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F85F479" w:rsidR="00E978D0" w:rsidRPr="00B57B36" w:rsidRDefault="005B2823" w:rsidP="00E978D0">
      <w:pPr>
        <w:pStyle w:val="CETTitle"/>
      </w:pPr>
      <w:r w:rsidRPr="005B2823">
        <w:t xml:space="preserve">Viscosity modelling of </w:t>
      </w:r>
      <w:r w:rsidR="0085049E">
        <w:t>D</w:t>
      </w:r>
      <w:r w:rsidRPr="005B2823">
        <w:t xml:space="preserve">eep </w:t>
      </w:r>
      <w:r w:rsidR="0085049E">
        <w:t>E</w:t>
      </w:r>
      <w:r w:rsidRPr="005B2823">
        <w:t xml:space="preserve">utectic </w:t>
      </w:r>
      <w:r w:rsidR="0085049E">
        <w:t>S</w:t>
      </w:r>
      <w:r w:rsidRPr="005B2823">
        <w:t xml:space="preserve">olvents via the use of a </w:t>
      </w:r>
      <w:r w:rsidR="0085049E">
        <w:t>R</w:t>
      </w:r>
      <w:r w:rsidRPr="005B2823">
        <w:t xml:space="preserve">esidual-entropy </w:t>
      </w:r>
      <w:r w:rsidR="0085049E">
        <w:t>S</w:t>
      </w:r>
      <w:r>
        <w:t>caling</w:t>
      </w:r>
    </w:p>
    <w:p w14:paraId="0488FED2" w14:textId="6C03F00D" w:rsidR="00B57E6F" w:rsidRPr="00BD3E3B" w:rsidRDefault="00AD5EB9" w:rsidP="00B57E6F">
      <w:pPr>
        <w:pStyle w:val="CETAuthors"/>
        <w:rPr>
          <w:lang w:val="es-MX"/>
        </w:rPr>
      </w:pPr>
      <w:r w:rsidRPr="00BD3E3B">
        <w:rPr>
          <w:lang w:val="es-MX"/>
        </w:rPr>
        <w:t>Donaldo Pereda-Cruz</w:t>
      </w:r>
      <w:r w:rsidR="00B57E6F" w:rsidRPr="00BD3E3B">
        <w:rPr>
          <w:lang w:val="es-MX"/>
        </w:rPr>
        <w:t xml:space="preserve">, </w:t>
      </w:r>
      <w:r w:rsidRPr="00BD3E3B">
        <w:rPr>
          <w:lang w:val="es-MX"/>
        </w:rPr>
        <w:t>Ricardo Macías-Salinas</w:t>
      </w:r>
      <w:r w:rsidR="00D37705" w:rsidRPr="00BD3E3B">
        <w:rPr>
          <w:lang w:val="es-MX"/>
        </w:rPr>
        <w:t>*</w:t>
      </w:r>
    </w:p>
    <w:p w14:paraId="464C480A" w14:textId="77777777" w:rsidR="001E728D" w:rsidRPr="00D405FB" w:rsidRDefault="001E728D" w:rsidP="001E728D">
      <w:pPr>
        <w:pStyle w:val="CETAddress"/>
        <w:rPr>
          <w:lang w:val="es-MX"/>
        </w:rPr>
      </w:pPr>
      <w:bookmarkStart w:id="0" w:name="_Hlk495475023"/>
      <w:r>
        <w:rPr>
          <w:lang w:val="es-MX"/>
        </w:rPr>
        <w:t>SEPI ESIQIE, Instituto Politécnico Nacional Ave., Zacatenco, Gustavo A. Madero, Mexico City, 07738.</w:t>
      </w:r>
    </w:p>
    <w:p w14:paraId="77747B66" w14:textId="590F4203" w:rsidR="001E728D" w:rsidRPr="00B57B36" w:rsidRDefault="00562990" w:rsidP="001E728D">
      <w:pPr>
        <w:pStyle w:val="CETemail"/>
      </w:pPr>
      <w:r w:rsidRPr="005539A5">
        <w:rPr>
          <w:lang w:val="en-US"/>
        </w:rPr>
        <w:t>*</w:t>
      </w:r>
      <w:r w:rsidR="00D37705">
        <w:t>rms</w:t>
      </w:r>
      <w:r w:rsidR="001E728D">
        <w:t>@ipn.mx</w:t>
      </w:r>
    </w:p>
    <w:p w14:paraId="04B319EE" w14:textId="37C99596" w:rsidR="00600535" w:rsidRPr="00B57B36" w:rsidRDefault="005B2823" w:rsidP="00600535">
      <w:pPr>
        <w:pStyle w:val="CETBodytext"/>
        <w:rPr>
          <w:lang w:val="en-GB"/>
        </w:rPr>
      </w:pPr>
      <w:r w:rsidRPr="005B2823">
        <w:rPr>
          <w:lang w:val="en-GB"/>
        </w:rPr>
        <w:t xml:space="preserve">To best of our knowledge, we presently introduce, for the first time, the use of the residual-entropy scaling approach to adequately represent the dynamic viscosity of deep eutectic solvents (DESs) as a function of temperature and density. In this regard, various unreduced and reduced viscosity forms (total viscosity, </w:t>
      </w:r>
      <w:r w:rsidR="003A1195" w:rsidRPr="005B2823">
        <w:rPr>
          <w:lang w:val="en-GB"/>
        </w:rPr>
        <w:t>Rosenfeld,</w:t>
      </w:r>
      <w:r w:rsidRPr="005B2823">
        <w:rPr>
          <w:lang w:val="en-GB"/>
        </w:rPr>
        <w:t xml:space="preserve"> and dilute gas) were tested and compared. The use of a cubic </w:t>
      </w:r>
      <w:r w:rsidR="009C3C85">
        <w:rPr>
          <w:lang w:val="en-GB"/>
        </w:rPr>
        <w:t>E</w:t>
      </w:r>
      <w:r w:rsidRPr="005B2823">
        <w:rPr>
          <w:lang w:val="en-GB"/>
        </w:rPr>
        <w:t xml:space="preserve">quation of </w:t>
      </w:r>
      <w:r w:rsidR="009C3C85">
        <w:rPr>
          <w:lang w:val="en-GB"/>
        </w:rPr>
        <w:t>S</w:t>
      </w:r>
      <w:r w:rsidRPr="005B2823">
        <w:rPr>
          <w:lang w:val="en-GB"/>
        </w:rPr>
        <w:t>tate (C</w:t>
      </w:r>
      <w:r w:rsidR="00A278B0">
        <w:rPr>
          <w:lang w:val="en-GB"/>
        </w:rPr>
        <w:t xml:space="preserve">ubic </w:t>
      </w:r>
      <w:proofErr w:type="spellStart"/>
      <w:r w:rsidRPr="005B2823">
        <w:rPr>
          <w:lang w:val="en-GB"/>
        </w:rPr>
        <w:t>EoS</w:t>
      </w:r>
      <w:proofErr w:type="spellEnd"/>
      <w:r w:rsidRPr="005B2823">
        <w:rPr>
          <w:lang w:val="en-GB"/>
        </w:rPr>
        <w:t>: Soave-Redlich-Kwong</w:t>
      </w:r>
      <w:r w:rsidR="0085049E">
        <w:rPr>
          <w:lang w:val="en-GB"/>
        </w:rPr>
        <w:t>, SRK</w:t>
      </w:r>
      <w:r w:rsidRPr="005B2823">
        <w:rPr>
          <w:lang w:val="en-GB"/>
        </w:rPr>
        <w:t xml:space="preserve"> or Peng-Robinson</w:t>
      </w:r>
      <w:r w:rsidR="0085049E">
        <w:rPr>
          <w:lang w:val="en-GB"/>
        </w:rPr>
        <w:t>, PR</w:t>
      </w:r>
      <w:r w:rsidRPr="005B2823">
        <w:rPr>
          <w:lang w:val="en-GB"/>
        </w:rPr>
        <w:t xml:space="preserve">) served here to provide sufficiently accurate residual entropy data needed by the present </w:t>
      </w:r>
      <w:proofErr w:type="spellStart"/>
      <w:r w:rsidRPr="005B2823">
        <w:rPr>
          <w:lang w:val="en-GB"/>
        </w:rPr>
        <w:t>scalings</w:t>
      </w:r>
      <w:proofErr w:type="spellEnd"/>
      <w:r w:rsidRPr="005B2823">
        <w:rPr>
          <w:lang w:val="en-GB"/>
        </w:rPr>
        <w:t xml:space="preserve">. </w:t>
      </w:r>
      <w:r w:rsidR="00A278B0" w:rsidRPr="00A278B0">
        <w:rPr>
          <w:lang w:val="en-GB"/>
        </w:rPr>
        <w:t xml:space="preserve">The resulting </w:t>
      </w:r>
      <w:proofErr w:type="spellStart"/>
      <w:r w:rsidR="00A278B0" w:rsidRPr="00A278B0">
        <w:rPr>
          <w:lang w:val="en-GB"/>
        </w:rPr>
        <w:t>modeling</w:t>
      </w:r>
      <w:proofErr w:type="spellEnd"/>
      <w:r w:rsidR="00A278B0" w:rsidRPr="00A278B0">
        <w:rPr>
          <w:lang w:val="en-GB"/>
        </w:rPr>
        <w:t xml:space="preserve"> approach was successfully validated by representing experimental dynamic viscosit</w:t>
      </w:r>
      <w:r w:rsidR="00A278B0">
        <w:rPr>
          <w:lang w:val="en-GB"/>
        </w:rPr>
        <w:t>y data</w:t>
      </w:r>
      <w:r w:rsidR="00A278B0" w:rsidRPr="00A278B0">
        <w:rPr>
          <w:lang w:val="en-GB"/>
        </w:rPr>
        <w:t xml:space="preserve"> taken from the literature of three of the most representative choline chloride (</w:t>
      </w:r>
      <w:proofErr w:type="spellStart"/>
      <w:r w:rsidR="00A278B0" w:rsidRPr="00A278B0">
        <w:rPr>
          <w:lang w:val="en-GB"/>
        </w:rPr>
        <w:t>ChCl</w:t>
      </w:r>
      <w:proofErr w:type="spellEnd"/>
      <w:r w:rsidR="00A278B0" w:rsidRPr="00A278B0">
        <w:rPr>
          <w:lang w:val="en-GB"/>
        </w:rPr>
        <w:t xml:space="preserve">) based deep eutectic solvents (DESs): </w:t>
      </w:r>
      <w:proofErr w:type="spellStart"/>
      <w:r w:rsidR="00A278B0" w:rsidRPr="00A278B0">
        <w:rPr>
          <w:lang w:val="en-GB"/>
        </w:rPr>
        <w:t>ChCl:Urea</w:t>
      </w:r>
      <w:proofErr w:type="spellEnd"/>
      <w:r w:rsidR="00A278B0" w:rsidRPr="00A278B0">
        <w:rPr>
          <w:lang w:val="en-GB"/>
        </w:rPr>
        <w:t xml:space="preserve">(1:2), </w:t>
      </w:r>
      <w:proofErr w:type="spellStart"/>
      <w:r w:rsidR="00A278B0" w:rsidRPr="00A278B0">
        <w:rPr>
          <w:lang w:val="en-GB"/>
        </w:rPr>
        <w:t>ChCl:Ethylene</w:t>
      </w:r>
      <w:proofErr w:type="spellEnd"/>
      <w:r w:rsidR="00A278B0" w:rsidRPr="00A278B0">
        <w:rPr>
          <w:lang w:val="en-GB"/>
        </w:rPr>
        <w:t xml:space="preserve"> Glycol(1:2), and </w:t>
      </w:r>
      <w:proofErr w:type="spellStart"/>
      <w:r w:rsidR="00A278B0" w:rsidRPr="00A278B0">
        <w:rPr>
          <w:lang w:val="en-GB"/>
        </w:rPr>
        <w:t>ChCl:Glycerol</w:t>
      </w:r>
      <w:proofErr w:type="spellEnd"/>
      <w:r w:rsidR="00A278B0" w:rsidRPr="00A278B0">
        <w:rPr>
          <w:lang w:val="en-GB"/>
        </w:rPr>
        <w:t>(1:2). The validation was conducted within a temperature range varying from 10 to 100 °C and at pressures ranging from 1 to 1,000 bar</w:t>
      </w:r>
      <w:r w:rsidRPr="005B2823">
        <w:rPr>
          <w:lang w:val="en-GB"/>
        </w:rPr>
        <w:t>.</w:t>
      </w:r>
    </w:p>
    <w:bookmarkEnd w:id="0"/>
    <w:p w14:paraId="05C457D4" w14:textId="3B3EAA7C" w:rsidR="005B2823" w:rsidRPr="00CF7799" w:rsidRDefault="00600535" w:rsidP="00600535">
      <w:pPr>
        <w:pStyle w:val="CETHeading1"/>
        <w:rPr>
          <w:lang w:val="en-GB"/>
        </w:rPr>
      </w:pPr>
      <w:r w:rsidRPr="00B57B36">
        <w:rPr>
          <w:lang w:val="en-GB"/>
        </w:rPr>
        <w:t>Introduction</w:t>
      </w:r>
    </w:p>
    <w:p w14:paraId="7394ABBF" w14:textId="2810C466" w:rsidR="00E56CEC" w:rsidRDefault="005B2823" w:rsidP="00600535">
      <w:pPr>
        <w:pStyle w:val="CETBodytext"/>
      </w:pPr>
      <w:r w:rsidRPr="003F00B0">
        <w:t>Deep eutectic solvents (DES), also named by some authors as low transition temperature mixtures (Francisco et al., 2012), low melting mixtures (</w:t>
      </w:r>
      <w:proofErr w:type="spellStart"/>
      <w:r w:rsidRPr="003F00B0">
        <w:t>Imperato</w:t>
      </w:r>
      <w:proofErr w:type="spellEnd"/>
      <w:r w:rsidRPr="003F00B0">
        <w:t xml:space="preserve"> et al., 2005) and deep eutectic ionic liquids (</w:t>
      </w:r>
      <w:proofErr w:type="spellStart"/>
      <w:r w:rsidRPr="003F00B0">
        <w:t>Jhong</w:t>
      </w:r>
      <w:proofErr w:type="spellEnd"/>
      <w:r w:rsidRPr="003F00B0">
        <w:t xml:space="preserve"> et al., 2009) (LTTM, LMM, DEIL), are generally defined as a combination of two species: a salt (</w:t>
      </w:r>
      <w:r w:rsidR="0085049E">
        <w:t xml:space="preserve">a hydrogen bond acceptor, </w:t>
      </w:r>
      <w:r w:rsidRPr="003F00B0">
        <w:t xml:space="preserve">HBA) and a hydrogen bond donor (HBD). </w:t>
      </w:r>
      <w:r w:rsidR="003A06C1" w:rsidRPr="003F00B0">
        <w:t>Th</w:t>
      </w:r>
      <w:r w:rsidR="003A06C1">
        <w:t>is type of solvents</w:t>
      </w:r>
      <w:r w:rsidRPr="003F00B0">
        <w:t xml:space="preserve"> </w:t>
      </w:r>
      <w:r w:rsidR="003A06C1" w:rsidRPr="003F00B0">
        <w:t>gets</w:t>
      </w:r>
      <w:r w:rsidRPr="003F00B0">
        <w:t xml:space="preserve"> </w:t>
      </w:r>
      <w:r w:rsidR="003A06C1">
        <w:t>its</w:t>
      </w:r>
      <w:r w:rsidRPr="003F00B0">
        <w:t xml:space="preserve"> name from the fact that, when these two species are mixed in a certain molar ratio and heated to a moderate temperature</w:t>
      </w:r>
      <w:r w:rsidR="00E836DA">
        <w:t>,</w:t>
      </w:r>
      <w:r w:rsidRPr="003F00B0">
        <w:t xml:space="preserve"> form a transparent liquid (Smith et al., 2014) with hues ranging from white to amber (Hansen et al</w:t>
      </w:r>
      <w:r w:rsidR="00DE6EFA">
        <w:t>.</w:t>
      </w:r>
      <w:r w:rsidRPr="003F00B0">
        <w:t>, 2020). The resulting liquid has a melting point considerably lower than those of its individual constituents in the mixture.</w:t>
      </w:r>
      <w:r w:rsidR="009B0D97">
        <w:t xml:space="preserve"> </w:t>
      </w:r>
      <w:r w:rsidRPr="003F00B0">
        <w:t>Generally, DES have important characteristics such as biodegradability, low toxicity</w:t>
      </w:r>
      <w:r w:rsidR="00FB2C85">
        <w:t xml:space="preserve"> (Morrison et al., 2009)</w:t>
      </w:r>
      <w:r w:rsidRPr="003F00B0">
        <w:t>, near-zero vapor pressure</w:t>
      </w:r>
      <w:r w:rsidR="00FB2C85">
        <w:t xml:space="preserve"> (Earle et al., 2006)</w:t>
      </w:r>
      <w:r w:rsidRPr="003F00B0">
        <w:t xml:space="preserve"> and low production cost, which make them ideal as replacements for some conventional solvents. Moreover </w:t>
      </w:r>
      <w:proofErr w:type="spellStart"/>
      <w:r w:rsidRPr="003F00B0">
        <w:t>ChCl</w:t>
      </w:r>
      <w:proofErr w:type="spellEnd"/>
      <w:r w:rsidRPr="003F00B0">
        <w:t>-Based DES are biocompatible</w:t>
      </w:r>
      <w:r w:rsidR="00FB2C85">
        <w:t xml:space="preserve"> (</w:t>
      </w:r>
      <w:r w:rsidR="00FB2C85" w:rsidRPr="00FB2C85">
        <w:t>Singh</w:t>
      </w:r>
      <w:r w:rsidR="00FB2C85">
        <w:t xml:space="preserve"> et al., </w:t>
      </w:r>
      <w:r w:rsidR="00FB2C85" w:rsidRPr="00FB2C85">
        <w:t>2012</w:t>
      </w:r>
      <w:r w:rsidR="00FB2C85">
        <w:t>)</w:t>
      </w:r>
      <w:r w:rsidRPr="003F00B0">
        <w:t xml:space="preserve"> and widely used due to their availability and low cost. These solvents are among the few that can be prepared without the need for purification and low energy cost.</w:t>
      </w:r>
      <w:r w:rsidR="009B0D97">
        <w:t xml:space="preserve"> </w:t>
      </w:r>
      <w:r w:rsidRPr="003F00B0">
        <w:t>DES have been used in a variety of applications due to the aforementioned physicochemical properties. In metallurgy, metal salts exhibit high solubilities and electrical conductivities in DES, making them ideal for recycling and extraction of metals in solution, as well as for electroplating and mineral refining</w:t>
      </w:r>
      <w:r w:rsidR="00850E44">
        <w:t xml:space="preserve"> (</w:t>
      </w:r>
      <w:proofErr w:type="spellStart"/>
      <w:r w:rsidR="00850E44" w:rsidRPr="00850E44">
        <w:t>Bernasconi</w:t>
      </w:r>
      <w:proofErr w:type="spellEnd"/>
      <w:r w:rsidR="00850E44">
        <w:t xml:space="preserve"> et al., </w:t>
      </w:r>
      <w:r w:rsidR="00850E44" w:rsidRPr="00850E44">
        <w:t>2017</w:t>
      </w:r>
      <w:r w:rsidR="00850E44">
        <w:t>)</w:t>
      </w:r>
      <w:r w:rsidRPr="003F00B0">
        <w:t>.</w:t>
      </w:r>
      <w:r w:rsidR="009B0D97">
        <w:t xml:space="preserve"> </w:t>
      </w:r>
      <w:r w:rsidRPr="00136162">
        <w:t xml:space="preserve">In addition, DES have also been applied in gas separation and capture, battery and </w:t>
      </w:r>
      <w:r w:rsidR="007746B6">
        <w:t>power systems</w:t>
      </w:r>
      <w:r w:rsidRPr="00136162">
        <w:t xml:space="preserve"> technologies, </w:t>
      </w:r>
      <w:proofErr w:type="spellStart"/>
      <w:r w:rsidRPr="00136162">
        <w:t>biocatalysis</w:t>
      </w:r>
      <w:proofErr w:type="spellEnd"/>
      <w:r w:rsidRPr="00136162">
        <w:t xml:space="preserve"> and organic chemistry, biomass processing, genomics, pharmaceutical and medical research, and nanomaterial synthesis</w:t>
      </w:r>
      <w:r w:rsidR="007746B6">
        <w:t xml:space="preserve"> (</w:t>
      </w:r>
      <w:r w:rsidR="007746B6" w:rsidRPr="003F00B0">
        <w:t>Hansen et al</w:t>
      </w:r>
      <w:r w:rsidR="00DE6EFA">
        <w:t>.</w:t>
      </w:r>
      <w:r w:rsidR="007746B6" w:rsidRPr="003F00B0">
        <w:t>, 2020</w:t>
      </w:r>
      <w:r w:rsidR="007746B6">
        <w:t>)</w:t>
      </w:r>
      <w:r>
        <w:t>.</w:t>
      </w:r>
      <w:r w:rsidR="009B0D97">
        <w:t xml:space="preserve"> </w:t>
      </w:r>
      <w:r w:rsidR="009B0D97" w:rsidRPr="009B0D97">
        <w:t>Given their favorable physicochemical properties and the range of potential applications, the number of DES-related publications has steadily increased since their first mention in 2004 and is expected to continue growing in the future</w:t>
      </w:r>
      <w:r w:rsidR="009B0D97">
        <w:t xml:space="preserve">, </w:t>
      </w:r>
      <w:r w:rsidR="000F0352">
        <w:t>as it can be seen in Figure</w:t>
      </w:r>
      <w:r w:rsidR="009B0D97">
        <w:t xml:space="preserve"> 1</w:t>
      </w:r>
      <w:r w:rsidR="008E0907">
        <w:t xml:space="preserve">, </w:t>
      </w:r>
      <w:r w:rsidR="008E0907" w:rsidRPr="008E0907">
        <w:t xml:space="preserve">according to </w:t>
      </w:r>
      <w:r w:rsidR="008E0907">
        <w:t>W</w:t>
      </w:r>
      <w:r w:rsidR="008E0907" w:rsidRPr="008E0907">
        <w:t xml:space="preserve">eb of </w:t>
      </w:r>
      <w:r w:rsidR="008E0907">
        <w:t>S</w:t>
      </w:r>
      <w:r w:rsidR="008E0907" w:rsidRPr="008E0907">
        <w:t>cience</w:t>
      </w:r>
      <w:r w:rsidR="009B0D97" w:rsidRPr="009B0D97">
        <w:t>. The growing use of DES in various fields of research will foster the development of new applications and may result in new technological advancements.</w:t>
      </w:r>
      <w:r w:rsidR="00233A27">
        <w:t xml:space="preserve"> </w:t>
      </w:r>
      <w:r w:rsidR="00EC62A4" w:rsidRPr="00EC62A4">
        <w:t>Aiming to provide tools that encourage their implementation in different applications, a dynamic viscosity model for Deep Eutectic Solvents based on a residual-entropy scaling approach is proposed, as this property is key for the design and analysis of chemical processes.</w:t>
      </w:r>
      <w:r w:rsidR="00946D30">
        <w:t xml:space="preserve"> </w:t>
      </w:r>
    </w:p>
    <w:p w14:paraId="078B9136" w14:textId="4AC820C3" w:rsidR="00765B42" w:rsidRPr="003328FC" w:rsidRDefault="00765B42" w:rsidP="00765B42">
      <w:pPr>
        <w:pStyle w:val="CETCaption"/>
        <w:rPr>
          <w:lang w:val="en-US"/>
        </w:rPr>
      </w:pPr>
      <w:r w:rsidRPr="005B7939">
        <w:rPr>
          <w:noProof/>
        </w:rPr>
        <w:lastRenderedPageBreak/>
        <w:drawing>
          <wp:anchor distT="0" distB="0" distL="114300" distR="114300" simplePos="0" relativeHeight="251659264" behindDoc="0" locked="0" layoutInCell="1" allowOverlap="1" wp14:anchorId="79C40077" wp14:editId="7A9DB898">
            <wp:simplePos x="0" y="0"/>
            <wp:positionH relativeFrom="margin">
              <wp:align>right</wp:align>
            </wp:positionH>
            <wp:positionV relativeFrom="paragraph">
              <wp:posOffset>0</wp:posOffset>
            </wp:positionV>
            <wp:extent cx="5577840" cy="2512695"/>
            <wp:effectExtent l="0" t="0" r="3810" b="1905"/>
            <wp:wrapTopAndBottom/>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3328FC">
        <w:rPr>
          <w:lang w:val="en-US"/>
        </w:rPr>
        <w:t>Figure 1: Increase in the number of DES</w:t>
      </w:r>
      <w:r>
        <w:rPr>
          <w:lang w:val="en-US"/>
        </w:rPr>
        <w:t>-related</w:t>
      </w:r>
      <w:r w:rsidRPr="003328FC">
        <w:rPr>
          <w:lang w:val="en-US"/>
        </w:rPr>
        <w:t xml:space="preserve"> publications per year.</w:t>
      </w:r>
    </w:p>
    <w:p w14:paraId="5741900F" w14:textId="552D34B1" w:rsidR="00453E24" w:rsidRDefault="00BB4319" w:rsidP="00453E24">
      <w:pPr>
        <w:pStyle w:val="CETHeading1"/>
      </w:pPr>
      <w:r>
        <w:t xml:space="preserve">Modelling approach </w:t>
      </w:r>
    </w:p>
    <w:p w14:paraId="0D7FF01B" w14:textId="669CD440" w:rsidR="00771234" w:rsidRDefault="00D37164" w:rsidP="00453E24">
      <w:pPr>
        <w:pStyle w:val="CETBodytext"/>
      </w:pPr>
      <w:r>
        <w:t>Originally proposed by Rosenfeld (1977), residual-entropy scaling is a thermodynamic approach on the relation of transport properties and the internal entropy of a system</w:t>
      </w:r>
      <w:r w:rsidR="00C20CAB">
        <w:t xml:space="preserve">. </w:t>
      </w:r>
      <w:r>
        <w:t>In this work, the use of such approach was tested for complex fluids such as DES.</w:t>
      </w:r>
      <w:r w:rsidR="00E9274B">
        <w:t xml:space="preserve"> </w:t>
      </w:r>
      <w:r w:rsidR="00C20CAB">
        <w:t xml:space="preserve">If </w:t>
      </w:r>
      <m:oMath>
        <m:r>
          <w:rPr>
            <w:rFonts w:ascii="Cambria Math" w:hAnsi="Cambria Math"/>
          </w:rPr>
          <m:t>S</m:t>
        </m:r>
        <m:d>
          <m:dPr>
            <m:ctrlPr>
              <w:rPr>
                <w:rFonts w:ascii="Cambria Math" w:hAnsi="Cambria Math"/>
                <w:i/>
              </w:rPr>
            </m:ctrlPr>
          </m:dPr>
          <m:e>
            <m:r>
              <w:rPr>
                <w:rFonts w:ascii="Cambria Math" w:hAnsi="Cambria Math"/>
              </w:rPr>
              <m:t>ρ,T</m:t>
            </m:r>
          </m:e>
        </m:d>
      </m:oMath>
      <w:r w:rsidR="00C20CAB">
        <w:t xml:space="preserve"> is the entropy of a system, the residual entropy, also k</w:t>
      </w:r>
      <w:r w:rsidR="00320F78">
        <w:t>nown</w:t>
      </w:r>
      <w:r w:rsidR="00C20CAB">
        <w:t xml:space="preserve"> as departure entropy or excess entropy </w:t>
      </w:r>
      <m:oMath>
        <m:sSup>
          <m:sSupPr>
            <m:ctrlPr>
              <w:rPr>
                <w:rFonts w:ascii="Cambria Math" w:hAnsi="Cambria Math"/>
                <w:i/>
              </w:rPr>
            </m:ctrlPr>
          </m:sSupPr>
          <m:e>
            <m:r>
              <w:rPr>
                <w:rFonts w:ascii="Cambria Math" w:hAnsi="Cambria Math"/>
              </w:rPr>
              <m:t>S</m:t>
            </m:r>
          </m:e>
          <m:sup>
            <m:r>
              <w:rPr>
                <w:rFonts w:ascii="Cambria Math" w:hAnsi="Cambria Math"/>
              </w:rPr>
              <m:t>res</m:t>
            </m:r>
          </m:sup>
        </m:sSup>
        <m:d>
          <m:dPr>
            <m:ctrlPr>
              <w:rPr>
                <w:rFonts w:ascii="Cambria Math" w:hAnsi="Cambria Math"/>
                <w:i/>
              </w:rPr>
            </m:ctrlPr>
          </m:dPr>
          <m:e>
            <m:r>
              <w:rPr>
                <w:rFonts w:ascii="Cambria Math" w:hAnsi="Cambria Math"/>
              </w:rPr>
              <m:t>ρ,T</m:t>
            </m:r>
          </m:e>
        </m:d>
      </m:oMath>
      <w:r w:rsidR="00C20CAB">
        <w:t xml:space="preserve">, is defined as the difference between </w:t>
      </w:r>
      <w:r w:rsidR="00AD5EB9">
        <w:t>the entropy of the system and the entropy of an ideal gas at the same temperature</w:t>
      </w:r>
      <w:r w:rsidR="00132507">
        <w:t xml:space="preserve"> (</w:t>
      </w:r>
      <m:oMath>
        <m:r>
          <w:rPr>
            <w:rFonts w:ascii="Cambria Math" w:hAnsi="Cambria Math"/>
          </w:rPr>
          <m:t>T</m:t>
        </m:r>
      </m:oMath>
      <w:r w:rsidR="00132507">
        <w:t>)</w:t>
      </w:r>
      <w:r w:rsidR="00AD5EB9">
        <w:t xml:space="preserve"> and density</w:t>
      </w:r>
      <w:r w:rsidR="00132507">
        <w:t xml:space="preserve"> (</w:t>
      </w:r>
      <m:oMath>
        <m:r>
          <w:rPr>
            <w:rFonts w:ascii="Cambria Math" w:hAnsi="Cambria Math"/>
          </w:rPr>
          <m:t>ρ</m:t>
        </m:r>
      </m:oMath>
      <w:r w:rsidR="00132507">
        <w:t>)</w:t>
      </w:r>
      <w:r w:rsidR="00AD5EB9">
        <w:t xml:space="preserve">, </w:t>
      </w:r>
      <m:oMath>
        <m:sSup>
          <m:sSupPr>
            <m:ctrlPr>
              <w:rPr>
                <w:rFonts w:ascii="Cambria Math" w:hAnsi="Cambria Math"/>
                <w:i/>
              </w:rPr>
            </m:ctrlPr>
          </m:sSupPr>
          <m:e>
            <m:r>
              <w:rPr>
                <w:rFonts w:ascii="Cambria Math" w:hAnsi="Cambria Math"/>
              </w:rPr>
              <m:t>S</m:t>
            </m:r>
          </m:e>
          <m:sup>
            <m:r>
              <w:rPr>
                <w:rFonts w:ascii="Cambria Math" w:hAnsi="Cambria Math"/>
              </w:rPr>
              <m:t>id</m:t>
            </m:r>
          </m:sup>
        </m:sSup>
        <m:r>
          <w:rPr>
            <w:rFonts w:ascii="Cambria Math" w:hAnsi="Cambria Math"/>
          </w:rPr>
          <m:t>(ρ,T)</m:t>
        </m:r>
      </m:oMath>
      <w:r w:rsidR="00183E6E">
        <w:t xml:space="preserve"> (</w:t>
      </w:r>
      <w:proofErr w:type="spellStart"/>
      <w:r w:rsidR="00183E6E" w:rsidRPr="00183E6E">
        <w:t>Dehlouz</w:t>
      </w:r>
      <w:proofErr w:type="spellEnd"/>
      <w:r w:rsidR="00183E6E">
        <w:t xml:space="preserve"> et al., </w:t>
      </w:r>
      <w:r w:rsidR="00183E6E" w:rsidRPr="00183E6E">
        <w:t>202</w:t>
      </w:r>
      <w:r w:rsidR="00183E6E">
        <w:t>1)</w:t>
      </w:r>
      <w:r w:rsidR="00AD5EB9">
        <w:t>, this can be expressed by the following equation:</w:t>
      </w:r>
    </w:p>
    <w:tbl>
      <w:tblPr>
        <w:tblW w:w="5000" w:type="pct"/>
        <w:tblLook w:val="04A0" w:firstRow="1" w:lastRow="0" w:firstColumn="1" w:lastColumn="0" w:noHBand="0" w:noVBand="1"/>
      </w:tblPr>
      <w:tblGrid>
        <w:gridCol w:w="7983"/>
        <w:gridCol w:w="804"/>
      </w:tblGrid>
      <w:tr w:rsidR="00AD5EB9" w:rsidRPr="00B57B36" w14:paraId="0AF09BB6" w14:textId="77777777" w:rsidTr="00CB12E6">
        <w:tc>
          <w:tcPr>
            <w:tcW w:w="8188" w:type="dxa"/>
            <w:shd w:val="clear" w:color="auto" w:fill="auto"/>
            <w:vAlign w:val="center"/>
          </w:tcPr>
          <w:p w14:paraId="5766120D" w14:textId="5E6C6BF8" w:rsidR="00AD5EB9" w:rsidRPr="00966945" w:rsidRDefault="00000000" w:rsidP="00CB12E6">
            <w:pPr>
              <w:pStyle w:val="CETEquation"/>
              <w:rPr>
                <w:rFonts w:cs="Arial"/>
              </w:rPr>
            </w:pPr>
            <m:oMathPara>
              <m:oMathParaPr>
                <m:jc m:val="left"/>
              </m:oMathParaPr>
              <m:oMath>
                <m:sSup>
                  <m:sSupPr>
                    <m:ctrlPr>
                      <w:rPr>
                        <w:rFonts w:ascii="Cambria Math" w:hAnsi="Cambria Math" w:cs="Arial"/>
                        <w:i/>
                      </w:rPr>
                    </m:ctrlPr>
                  </m:sSupPr>
                  <m:e>
                    <m:r>
                      <w:rPr>
                        <w:rFonts w:ascii="Cambria Math" w:hAnsi="Cambria Math" w:cs="Arial"/>
                      </w:rPr>
                      <m:t>S</m:t>
                    </m:r>
                  </m:e>
                  <m:sup>
                    <m:r>
                      <w:rPr>
                        <w:rFonts w:ascii="Cambria Math" w:hAnsi="Cambria Math" w:cs="Arial"/>
                      </w:rPr>
                      <m:t>res</m:t>
                    </m:r>
                  </m:sup>
                </m:sSup>
                <m:d>
                  <m:dPr>
                    <m:ctrlPr>
                      <w:rPr>
                        <w:rFonts w:ascii="Cambria Math" w:hAnsi="Cambria Math" w:cs="Arial"/>
                        <w:i/>
                      </w:rPr>
                    </m:ctrlPr>
                  </m:dPr>
                  <m:e>
                    <m:r>
                      <w:rPr>
                        <w:rFonts w:ascii="Cambria Math" w:hAnsi="Cambria Math" w:cs="Arial"/>
                      </w:rPr>
                      <m:t>ρ,T</m:t>
                    </m:r>
                  </m:e>
                </m:d>
                <m:r>
                  <w:rPr>
                    <w:rFonts w:ascii="Cambria Math" w:hAnsi="Cambria Math" w:cs="Arial"/>
                  </w:rPr>
                  <m:t>=</m:t>
                </m:r>
                <m:r>
                  <w:rPr>
                    <w:rFonts w:ascii="Cambria Math" w:hAnsi="Cambria Math"/>
                  </w:rPr>
                  <m:t>S</m:t>
                </m:r>
                <m:d>
                  <m:dPr>
                    <m:ctrlPr>
                      <w:rPr>
                        <w:rFonts w:ascii="Cambria Math" w:hAnsi="Cambria Math"/>
                        <w:i/>
                      </w:rPr>
                    </m:ctrlPr>
                  </m:dPr>
                  <m:e>
                    <m:r>
                      <w:rPr>
                        <w:rFonts w:ascii="Cambria Math" w:hAnsi="Cambria Math"/>
                      </w:rPr>
                      <m:t>ρ,T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id</m:t>
                    </m:r>
                  </m:sup>
                </m:sSup>
                <m:r>
                  <w:rPr>
                    <w:rFonts w:ascii="Cambria Math" w:hAnsi="Cambria Math"/>
                  </w:rPr>
                  <m:t>(ρ,T)</m:t>
                </m:r>
              </m:oMath>
            </m:oMathPara>
          </w:p>
        </w:tc>
        <w:tc>
          <w:tcPr>
            <w:tcW w:w="815" w:type="dxa"/>
            <w:shd w:val="clear" w:color="auto" w:fill="auto"/>
            <w:vAlign w:val="center"/>
          </w:tcPr>
          <w:p w14:paraId="01CF5B5C" w14:textId="77777777" w:rsidR="00AD5EB9" w:rsidRPr="00B57B36" w:rsidRDefault="00AD5EB9" w:rsidP="00CB12E6">
            <w:pPr>
              <w:pStyle w:val="CETEquation"/>
              <w:jc w:val="right"/>
            </w:pPr>
            <w:r w:rsidRPr="00B57B36">
              <w:t>(1)</w:t>
            </w:r>
          </w:p>
        </w:tc>
      </w:tr>
    </w:tbl>
    <w:p w14:paraId="698873FC" w14:textId="6D22574F" w:rsidR="00AE12BF" w:rsidRDefault="00AE12BF" w:rsidP="00453E24">
      <w:pPr>
        <w:pStyle w:val="CETBodytext"/>
      </w:pPr>
      <w:r>
        <w:t>Residual-entropy scaling for dynamic viscosity can be described by the following equation (Rosenfeld</w:t>
      </w:r>
      <w:r w:rsidR="0099285B">
        <w:t>,</w:t>
      </w:r>
      <w:r>
        <w:t xml:space="preserve"> 1977):</w:t>
      </w:r>
    </w:p>
    <w:tbl>
      <w:tblPr>
        <w:tblW w:w="5000" w:type="pct"/>
        <w:tblLook w:val="04A0" w:firstRow="1" w:lastRow="0" w:firstColumn="1" w:lastColumn="0" w:noHBand="0" w:noVBand="1"/>
      </w:tblPr>
      <w:tblGrid>
        <w:gridCol w:w="7984"/>
        <w:gridCol w:w="803"/>
      </w:tblGrid>
      <w:tr w:rsidR="00AE12BF" w:rsidRPr="00B57B36" w14:paraId="27C148D5" w14:textId="77777777" w:rsidTr="00CB12E6">
        <w:tc>
          <w:tcPr>
            <w:tcW w:w="8188" w:type="dxa"/>
            <w:shd w:val="clear" w:color="auto" w:fill="auto"/>
            <w:vAlign w:val="center"/>
          </w:tcPr>
          <w:p w14:paraId="138C3E78" w14:textId="43D92204" w:rsidR="00AE12BF" w:rsidRPr="00966945" w:rsidRDefault="00000000" w:rsidP="00CB12E6">
            <w:pPr>
              <w:pStyle w:val="CETEquation"/>
              <w:rPr>
                <w:rFonts w:cs="Arial"/>
              </w:rPr>
            </w:pPr>
            <m:oMathPara>
              <m:oMathParaPr>
                <m:jc m:val="left"/>
              </m:oMathParaPr>
              <m:oMath>
                <m:acc>
                  <m:accPr>
                    <m:chr m:val="̃"/>
                    <m:ctrlPr>
                      <w:rPr>
                        <w:rFonts w:ascii="Cambria Math" w:hAnsi="Cambria Math" w:cs="Arial"/>
                        <w:i/>
                      </w:rPr>
                    </m:ctrlPr>
                  </m:accPr>
                  <m:e>
                    <m:r>
                      <w:rPr>
                        <w:rFonts w:ascii="Cambria Math" w:hAnsi="Cambria Math" w:cs="Arial"/>
                      </w:rPr>
                      <m:t>η</m:t>
                    </m:r>
                  </m:e>
                </m:acc>
                <m:r>
                  <w:rPr>
                    <w:rFonts w:ascii="Cambria Math" w:hAnsi="Cambria Math" w:cs="Arial"/>
                  </w:rPr>
                  <m:t>=</m:t>
                </m:r>
                <m:f>
                  <m:fPr>
                    <m:ctrlPr>
                      <w:rPr>
                        <w:rFonts w:ascii="Cambria Math" w:hAnsi="Cambria Math" w:cs="Arial"/>
                        <w:i/>
                      </w:rPr>
                    </m:ctrlPr>
                  </m:fPr>
                  <m:num>
                    <m:r>
                      <w:rPr>
                        <w:rFonts w:ascii="Cambria Math" w:hAnsi="Cambria Math" w:cs="Arial"/>
                      </w:rPr>
                      <m:t>η</m:t>
                    </m:r>
                  </m:num>
                  <m:den>
                    <m:sSup>
                      <m:sSupPr>
                        <m:ctrlPr>
                          <w:rPr>
                            <w:rFonts w:ascii="Cambria Math" w:hAnsi="Cambria Math" w:cs="Arial"/>
                            <w:i/>
                          </w:rPr>
                        </m:ctrlPr>
                      </m:sSupPr>
                      <m:e>
                        <m:r>
                          <w:rPr>
                            <w:rFonts w:ascii="Cambria Math" w:hAnsi="Cambria Math" w:cs="Arial"/>
                          </w:rPr>
                          <m:t>η</m:t>
                        </m:r>
                      </m:e>
                      <m:sup>
                        <m:r>
                          <w:rPr>
                            <w:rFonts w:ascii="Cambria Math" w:hAnsi="Cambria Math" w:cs="Arial"/>
                          </w:rPr>
                          <m:t>R</m:t>
                        </m:r>
                      </m:sup>
                    </m:sSup>
                  </m:den>
                </m:f>
                <m:r>
                  <w:rPr>
                    <w:rFonts w:ascii="Cambria Math" w:hAnsi="Cambria Math" w:cs="Arial"/>
                  </w:rPr>
                  <m:t>=f</m:t>
                </m:r>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S</m:t>
                            </m:r>
                          </m:e>
                          <m:sup>
                            <m:r>
                              <w:rPr>
                                <w:rFonts w:ascii="Cambria Math" w:hAnsi="Cambria Math" w:cs="Arial"/>
                              </w:rPr>
                              <m:t>res</m:t>
                            </m:r>
                          </m:sup>
                        </m:sSup>
                        <m:d>
                          <m:dPr>
                            <m:ctrlPr>
                              <w:rPr>
                                <w:rFonts w:ascii="Cambria Math" w:hAnsi="Cambria Math" w:cs="Arial"/>
                                <w:i/>
                              </w:rPr>
                            </m:ctrlPr>
                          </m:dPr>
                          <m:e>
                            <m:r>
                              <w:rPr>
                                <w:rFonts w:ascii="Cambria Math" w:hAnsi="Cambria Math" w:cs="Arial"/>
                              </w:rPr>
                              <m:t>ρ,T</m:t>
                            </m:r>
                          </m:e>
                        </m:d>
                      </m:num>
                      <m:den>
                        <m:r>
                          <w:rPr>
                            <w:rFonts w:ascii="Cambria Math" w:hAnsi="Cambria Math" w:cs="Arial"/>
                          </w:rPr>
                          <m:t>R</m:t>
                        </m:r>
                      </m:den>
                    </m:f>
                  </m:e>
                </m:d>
              </m:oMath>
            </m:oMathPara>
          </w:p>
        </w:tc>
        <w:tc>
          <w:tcPr>
            <w:tcW w:w="815" w:type="dxa"/>
            <w:shd w:val="clear" w:color="auto" w:fill="auto"/>
            <w:vAlign w:val="center"/>
          </w:tcPr>
          <w:p w14:paraId="064532FA" w14:textId="578F9E1C" w:rsidR="00AE12BF" w:rsidRPr="00B57B36" w:rsidRDefault="00AE12BF" w:rsidP="00CB12E6">
            <w:pPr>
              <w:pStyle w:val="CETEquation"/>
              <w:jc w:val="right"/>
            </w:pPr>
            <w:r w:rsidRPr="00B57B36">
              <w:t>(</w:t>
            </w:r>
            <w:r w:rsidR="00865DCF">
              <w:t>2</w:t>
            </w:r>
            <w:r w:rsidRPr="00B57B36">
              <w:t>)</w:t>
            </w:r>
          </w:p>
        </w:tc>
      </w:tr>
    </w:tbl>
    <w:p w14:paraId="518AF4CA" w14:textId="76C3C193" w:rsidR="00E836DA" w:rsidRDefault="00CF7B4D" w:rsidP="00453E24">
      <w:pPr>
        <w:pStyle w:val="CETBodytext"/>
      </w:pPr>
      <w:r>
        <w:t>Where</w:t>
      </w:r>
      <w:r w:rsidRPr="00CF7B4D">
        <w:t xml:space="preserve"> </w:t>
      </w:r>
      <m:oMath>
        <m:acc>
          <m:accPr>
            <m:chr m:val="̃"/>
            <m:ctrlPr>
              <w:rPr>
                <w:rFonts w:ascii="Cambria Math" w:hAnsi="Cambria Math" w:cs="Arial"/>
                <w:i/>
              </w:rPr>
            </m:ctrlPr>
          </m:accPr>
          <m:e>
            <m:r>
              <w:rPr>
                <w:rFonts w:ascii="Cambria Math" w:hAnsi="Cambria Math" w:cs="Arial"/>
              </w:rPr>
              <m:t>η</m:t>
            </m:r>
          </m:e>
        </m:acc>
      </m:oMath>
      <w:r>
        <w:t xml:space="preserve"> is the reduced dynamic viscosity, </w:t>
      </w:r>
      <m:oMath>
        <m:r>
          <w:rPr>
            <w:rFonts w:ascii="Cambria Math" w:hAnsi="Cambria Math" w:cs="Arial"/>
          </w:rPr>
          <m:t>η</m:t>
        </m:r>
      </m:oMath>
      <w:r w:rsidR="00AE12BF">
        <w:t xml:space="preserve"> is the</w:t>
      </w:r>
      <w:r>
        <w:t xml:space="preserve"> unreduced dynamic</w:t>
      </w:r>
      <w:r w:rsidR="00AE12BF">
        <w:t xml:space="preserve"> viscosity</w:t>
      </w:r>
      <w:r>
        <w:t xml:space="preserve">, </w:t>
      </w:r>
      <m:oMath>
        <m:sSup>
          <m:sSupPr>
            <m:ctrlPr>
              <w:rPr>
                <w:rFonts w:ascii="Cambria Math" w:hAnsi="Cambria Math"/>
                <w:i/>
              </w:rPr>
            </m:ctrlPr>
          </m:sSupPr>
          <m:e>
            <m:r>
              <w:rPr>
                <w:rFonts w:ascii="Cambria Math" w:hAnsi="Cambria Math"/>
              </w:rPr>
              <m:t>η</m:t>
            </m:r>
          </m:e>
          <m:sup>
            <m:r>
              <w:rPr>
                <w:rFonts w:ascii="Cambria Math" w:hAnsi="Cambria Math"/>
              </w:rPr>
              <m:t>R</m:t>
            </m:r>
          </m:sup>
        </m:sSup>
      </m:oMath>
      <w:r w:rsidR="008E0907">
        <w:t xml:space="preserve"> is</w:t>
      </w:r>
      <w:r>
        <w:t xml:space="preserve"> a reference viscosity, </w:t>
      </w:r>
      <m:oMath>
        <m:r>
          <w:rPr>
            <w:rFonts w:ascii="Cambria Math" w:hAnsi="Cambria Math"/>
          </w:rPr>
          <m:t>R</m:t>
        </m:r>
      </m:oMath>
      <w:r>
        <w:t xml:space="preserve"> is the gas constant</w:t>
      </w:r>
      <w:r w:rsidR="00966945">
        <w:t xml:space="preserve">, </w:t>
      </w:r>
      <m:oMath>
        <m:r>
          <w:rPr>
            <w:rFonts w:ascii="Cambria Math" w:hAnsi="Cambria Math"/>
          </w:rPr>
          <m:t>f</m:t>
        </m:r>
      </m:oMath>
      <w:r w:rsidR="00966945">
        <w:t xml:space="preserve"> is an applicable scaling function</w:t>
      </w:r>
      <w:r>
        <w:t xml:space="preserve"> and </w:t>
      </w:r>
      <m:oMath>
        <m:sSup>
          <m:sSupPr>
            <m:ctrlPr>
              <w:rPr>
                <w:rFonts w:ascii="Cambria Math" w:hAnsi="Cambria Math"/>
                <w:i/>
              </w:rPr>
            </m:ctrlPr>
          </m:sSupPr>
          <m:e>
            <m:r>
              <w:rPr>
                <w:rFonts w:ascii="Cambria Math" w:hAnsi="Cambria Math"/>
              </w:rPr>
              <m:t>S</m:t>
            </m:r>
          </m:e>
          <m:sup>
            <m:r>
              <w:rPr>
                <w:rFonts w:ascii="Cambria Math" w:hAnsi="Cambria Math"/>
              </w:rPr>
              <m:t>res</m:t>
            </m:r>
          </m:sup>
        </m:sSup>
        <m:d>
          <m:dPr>
            <m:ctrlPr>
              <w:rPr>
                <w:rFonts w:ascii="Cambria Math" w:hAnsi="Cambria Math"/>
                <w:i/>
              </w:rPr>
            </m:ctrlPr>
          </m:dPr>
          <m:e>
            <m:r>
              <w:rPr>
                <w:rFonts w:ascii="Cambria Math" w:hAnsi="Cambria Math"/>
              </w:rPr>
              <m:t>ρ,T</m:t>
            </m:r>
          </m:e>
        </m:d>
      </m:oMath>
      <w:r>
        <w:t xml:space="preserve"> is the residual entropy.</w:t>
      </w:r>
      <w:r w:rsidR="00E836DA">
        <w:t xml:space="preserve"> The residual entropy can be calculated with the aid of a</w:t>
      </w:r>
      <w:r w:rsidR="008E0907">
        <w:t>n</w:t>
      </w:r>
      <w:r w:rsidR="00E836DA">
        <w:t xml:space="preserve"> </w:t>
      </w:r>
      <w:r w:rsidR="009C3C85">
        <w:t>E</w:t>
      </w:r>
      <w:r w:rsidR="00E836DA">
        <w:t xml:space="preserve">quation of </w:t>
      </w:r>
      <w:r w:rsidR="009C3C85">
        <w:t>S</w:t>
      </w:r>
      <w:r w:rsidR="00E836DA">
        <w:t xml:space="preserve">tate. Indeed, the </w:t>
      </w:r>
      <w:r w:rsidR="009C3C85">
        <w:t>E</w:t>
      </w:r>
      <w:r w:rsidR="00E836DA">
        <w:t xml:space="preserve">quation of </w:t>
      </w:r>
      <w:r w:rsidR="009C3C85">
        <w:t>S</w:t>
      </w:r>
      <w:r w:rsidR="00E836DA">
        <w:t>tate capabilities for estimating this proper</w:t>
      </w:r>
      <w:r w:rsidR="00643C9A">
        <w:t>ty</w:t>
      </w:r>
      <w:r w:rsidR="00E836DA">
        <w:t xml:space="preserve"> wi</w:t>
      </w:r>
      <w:r w:rsidR="00643C9A">
        <w:t>ll</w:t>
      </w:r>
      <w:r w:rsidR="00E836DA">
        <w:t xml:space="preserve"> impact </w:t>
      </w:r>
      <w:r w:rsidR="00643C9A">
        <w:t>on the quality of the scaling.</w:t>
      </w:r>
    </w:p>
    <w:p w14:paraId="5EBABDDA" w14:textId="750CE53C" w:rsidR="008E0907" w:rsidRDefault="00E836DA" w:rsidP="00453E24">
      <w:pPr>
        <w:pStyle w:val="CETBodytext"/>
      </w:pPr>
      <w:r>
        <w:t xml:space="preserve">For the sake of keeping the model simplicity, </w:t>
      </w:r>
      <w:r w:rsidR="00643C9A">
        <w:t xml:space="preserve">two cubic </w:t>
      </w:r>
      <w:r w:rsidR="009C3C85">
        <w:t>E</w:t>
      </w:r>
      <w:r w:rsidR="00643C9A">
        <w:t xml:space="preserve">quations of </w:t>
      </w:r>
      <w:r w:rsidR="009C3C85">
        <w:t>S</w:t>
      </w:r>
      <w:r w:rsidR="00643C9A">
        <w:t>tate were used</w:t>
      </w:r>
      <w:r w:rsidR="00A95873">
        <w:t>:</w:t>
      </w:r>
      <w:r w:rsidR="00643C9A">
        <w:t xml:space="preserve"> SRK and PR. </w:t>
      </w:r>
      <w:r w:rsidR="00A95873">
        <w:t xml:space="preserve">For a pressure-explicit cubic </w:t>
      </w:r>
      <w:r w:rsidR="009C3C85">
        <w:t>E</w:t>
      </w:r>
      <w:r w:rsidR="00A95873">
        <w:t xml:space="preserve">quation of </w:t>
      </w:r>
      <w:r w:rsidR="009C3C85">
        <w:t>S</w:t>
      </w:r>
      <w:r w:rsidR="00A95873">
        <w:t>tate, a residual entropy equation can be obtained with the following expression</w:t>
      </w:r>
      <w:r w:rsidR="00183E6E">
        <w:t xml:space="preserve"> (</w:t>
      </w:r>
      <w:r w:rsidR="00183E6E" w:rsidRPr="00183E6E">
        <w:t>Olivera</w:t>
      </w:r>
      <w:r w:rsidR="00183E6E">
        <w:t>-</w:t>
      </w:r>
      <w:r w:rsidR="00183E6E" w:rsidRPr="00183E6E">
        <w:t>Fuentes</w:t>
      </w:r>
      <w:r w:rsidR="00183E6E">
        <w:t xml:space="preserve"> et al., 1991)</w:t>
      </w:r>
      <w:r w:rsidR="00A95873">
        <w:t>:</w:t>
      </w:r>
    </w:p>
    <w:tbl>
      <w:tblPr>
        <w:tblW w:w="5000" w:type="pct"/>
        <w:tblLook w:val="04A0" w:firstRow="1" w:lastRow="0" w:firstColumn="1" w:lastColumn="0" w:noHBand="0" w:noVBand="1"/>
      </w:tblPr>
      <w:tblGrid>
        <w:gridCol w:w="7983"/>
        <w:gridCol w:w="804"/>
      </w:tblGrid>
      <w:tr w:rsidR="00A95873" w:rsidRPr="00B57B36" w14:paraId="4E836BF1" w14:textId="77777777" w:rsidTr="00A95873">
        <w:tc>
          <w:tcPr>
            <w:tcW w:w="7983" w:type="dxa"/>
            <w:shd w:val="clear" w:color="auto" w:fill="auto"/>
            <w:vAlign w:val="center"/>
          </w:tcPr>
          <w:p w14:paraId="215990D3" w14:textId="2F49D424" w:rsidR="00A95873" w:rsidRPr="00966945" w:rsidRDefault="00000000" w:rsidP="00CB12E6">
            <w:pPr>
              <w:pStyle w:val="CETEquation"/>
              <w:rPr>
                <w:rFonts w:cs="Arial"/>
              </w:rPr>
            </w:pPr>
            <m:oMathPara>
              <m:oMathParaPr>
                <m:jc m:val="left"/>
              </m:oMathParaPr>
              <m:oMath>
                <m:sSup>
                  <m:sSupPr>
                    <m:ctrlPr>
                      <w:rPr>
                        <w:rFonts w:ascii="Cambria Math" w:hAnsi="Cambria Math" w:cs="Arial"/>
                        <w:i/>
                      </w:rPr>
                    </m:ctrlPr>
                  </m:sSupPr>
                  <m:e>
                    <m:r>
                      <w:rPr>
                        <w:rFonts w:ascii="Cambria Math" w:hAnsi="Cambria Math" w:cs="Arial"/>
                      </w:rPr>
                      <m:t>S</m:t>
                    </m:r>
                  </m:e>
                  <m:sup>
                    <m:r>
                      <w:rPr>
                        <w:rFonts w:ascii="Cambria Math" w:hAnsi="Cambria Math" w:cs="Arial"/>
                      </w:rPr>
                      <m:t>res</m:t>
                    </m:r>
                  </m:sup>
                </m:sSup>
                <m:d>
                  <m:dPr>
                    <m:ctrlPr>
                      <w:rPr>
                        <w:rFonts w:ascii="Cambria Math" w:hAnsi="Cambria Math" w:cs="Arial"/>
                        <w:i/>
                      </w:rPr>
                    </m:ctrlPr>
                  </m:dPr>
                  <m:e>
                    <m:r>
                      <w:rPr>
                        <w:rFonts w:ascii="Cambria Math" w:hAnsi="Cambria Math" w:cs="Arial"/>
                      </w:rPr>
                      <m:t>ρ,T</m:t>
                    </m:r>
                  </m:e>
                </m:d>
                <m:r>
                  <w:rPr>
                    <w:rFonts w:ascii="Cambria Math" w:hAnsi="Cambria Math" w:cs="Arial"/>
                  </w:rPr>
                  <m:t>=</m:t>
                </m:r>
                <m:nary>
                  <m:naryPr>
                    <m:ctrlPr>
                      <w:rPr>
                        <w:rFonts w:ascii="Cambria Math" w:hAnsi="Cambria Math" w:cs="Arial"/>
                        <w:i/>
                      </w:rPr>
                    </m:ctrlPr>
                  </m:naryPr>
                  <m:sub>
                    <m:r>
                      <w:rPr>
                        <w:rFonts w:ascii="Cambria Math" w:hAnsi="Cambria Math" w:cs="Arial"/>
                      </w:rPr>
                      <m:t>∞</m:t>
                    </m:r>
                  </m:sub>
                  <m:sup>
                    <m:r>
                      <w:rPr>
                        <w:rFonts w:ascii="Cambria Math" w:hAnsi="Cambria Math" w:cs="Arial"/>
                      </w:rPr>
                      <m:t>v</m:t>
                    </m:r>
                  </m:sup>
                  <m:e>
                    <m:d>
                      <m:dPr>
                        <m:begChr m:val="["/>
                        <m:endChr m:val="]"/>
                        <m:ctrlPr>
                          <w:rPr>
                            <w:rFonts w:ascii="Cambria Math" w:hAnsi="Cambria Math" w:cs="Arial"/>
                            <w:i/>
                          </w:rPr>
                        </m:ctrlPr>
                      </m:dPr>
                      <m:e>
                        <m:sSub>
                          <m:sSubPr>
                            <m:ctrlPr>
                              <w:rPr>
                                <w:rFonts w:ascii="Cambria Math" w:hAnsi="Cambria Math" w:cs="Arial"/>
                                <w:i/>
                              </w:rPr>
                            </m:ctrlPr>
                          </m:sSubPr>
                          <m:e>
                            <m:d>
                              <m:dPr>
                                <m:ctrlPr>
                                  <w:rPr>
                                    <w:rFonts w:ascii="Cambria Math" w:hAnsi="Cambria Math" w:cs="Arial"/>
                                    <w:i/>
                                  </w:rPr>
                                </m:ctrlPr>
                              </m:dPr>
                              <m:e>
                                <m:f>
                                  <m:fPr>
                                    <m:ctrlPr>
                                      <w:rPr>
                                        <w:rFonts w:ascii="Cambria Math" w:hAnsi="Cambria Math" w:cs="Arial"/>
                                        <w:i/>
                                      </w:rPr>
                                    </m:ctrlPr>
                                  </m:fPr>
                                  <m:num>
                                    <m:r>
                                      <w:rPr>
                                        <w:rFonts w:ascii="Cambria Math" w:hAnsi="Cambria Math" w:cs="Arial"/>
                                      </w:rPr>
                                      <m:t>∂P</m:t>
                                    </m:r>
                                  </m:num>
                                  <m:den>
                                    <m:r>
                                      <w:rPr>
                                        <w:rFonts w:ascii="Cambria Math" w:hAnsi="Cambria Math" w:cs="Arial"/>
                                      </w:rPr>
                                      <m:t>∂T</m:t>
                                    </m:r>
                                  </m:den>
                                </m:f>
                              </m:e>
                            </m:d>
                          </m:e>
                          <m:sub>
                            <m:r>
                              <w:rPr>
                                <w:rFonts w:ascii="Cambria Math" w:hAnsi="Cambria Math" w:cs="Arial"/>
                              </w:rPr>
                              <m:t>v</m:t>
                            </m:r>
                          </m:sub>
                        </m:sSub>
                        <m:r>
                          <w:rPr>
                            <w:rFonts w:ascii="Cambria Math" w:hAnsi="Cambria Math" w:cs="Arial"/>
                          </w:rPr>
                          <m:t>-</m:t>
                        </m:r>
                        <m:f>
                          <m:fPr>
                            <m:ctrlPr>
                              <w:rPr>
                                <w:rFonts w:ascii="Cambria Math" w:hAnsi="Cambria Math" w:cs="Arial"/>
                                <w:i/>
                              </w:rPr>
                            </m:ctrlPr>
                          </m:fPr>
                          <m:num>
                            <m:r>
                              <w:rPr>
                                <w:rFonts w:ascii="Cambria Math" w:hAnsi="Cambria Math" w:cs="Arial"/>
                              </w:rPr>
                              <m:t>R</m:t>
                            </m:r>
                          </m:num>
                          <m:den>
                            <m:r>
                              <w:rPr>
                                <w:rFonts w:ascii="Cambria Math" w:hAnsi="Cambria Math" w:cs="Arial"/>
                              </w:rPr>
                              <m:t>v</m:t>
                            </m:r>
                          </m:den>
                        </m:f>
                      </m:e>
                    </m:d>
                    <m:r>
                      <w:rPr>
                        <w:rFonts w:ascii="Cambria Math" w:hAnsi="Cambria Math" w:cs="Arial"/>
                      </w:rPr>
                      <m:t>dv</m:t>
                    </m:r>
                  </m:e>
                </m:nary>
                <m:r>
                  <w:rPr>
                    <w:rFonts w:ascii="Cambria Math" w:hAnsi="Cambria Math" w:cs="Arial"/>
                  </w:rPr>
                  <m:t xml:space="preserve"> </m:t>
                </m:r>
              </m:oMath>
            </m:oMathPara>
          </w:p>
        </w:tc>
        <w:tc>
          <w:tcPr>
            <w:tcW w:w="804" w:type="dxa"/>
            <w:shd w:val="clear" w:color="auto" w:fill="auto"/>
            <w:vAlign w:val="center"/>
          </w:tcPr>
          <w:p w14:paraId="0415AC66" w14:textId="22A620CC" w:rsidR="00A95873" w:rsidRPr="00B57B36" w:rsidRDefault="00A95873" w:rsidP="00CB12E6">
            <w:pPr>
              <w:pStyle w:val="CETEquation"/>
              <w:jc w:val="right"/>
            </w:pPr>
            <w:r w:rsidRPr="00B57B36">
              <w:t>(</w:t>
            </w:r>
            <w:r w:rsidR="00865DCF">
              <w:t>3</w:t>
            </w:r>
            <w:r w:rsidRPr="00B57B36">
              <w:t>)</w:t>
            </w:r>
          </w:p>
        </w:tc>
      </w:tr>
    </w:tbl>
    <w:p w14:paraId="35155554" w14:textId="4CE4AAE1" w:rsidR="00CF7B4D" w:rsidRDefault="00A95873" w:rsidP="00453E24">
      <w:pPr>
        <w:pStyle w:val="CETBodytext"/>
      </w:pPr>
      <w:r>
        <w:t>Th</w:t>
      </w:r>
      <w:r w:rsidRPr="00A95873">
        <w:t>erefore</w:t>
      </w:r>
      <w:r>
        <w:t>, a</w:t>
      </w:r>
      <w:r w:rsidR="00865424" w:rsidRPr="00865424">
        <w:t xml:space="preserve"> shared equation for calculating residual entropy </w:t>
      </w:r>
      <w:r w:rsidR="00865424">
        <w:t>with</w:t>
      </w:r>
      <w:r w:rsidR="00865424" w:rsidRPr="00865424">
        <w:t xml:space="preserve"> both SRK and PR </w:t>
      </w:r>
      <w:r w:rsidR="009C3C85">
        <w:t>E</w:t>
      </w:r>
      <w:r w:rsidR="00865424" w:rsidRPr="00865424">
        <w:t xml:space="preserve">quations of </w:t>
      </w:r>
      <w:r w:rsidR="009C3C85">
        <w:t>S</w:t>
      </w:r>
      <w:r w:rsidR="00865424" w:rsidRPr="00865424">
        <w:t>tate is presented below</w:t>
      </w:r>
      <w:r w:rsidR="00865424">
        <w:t>:</w:t>
      </w:r>
    </w:p>
    <w:tbl>
      <w:tblPr>
        <w:tblW w:w="5000" w:type="pct"/>
        <w:tblLook w:val="04A0" w:firstRow="1" w:lastRow="0" w:firstColumn="1" w:lastColumn="0" w:noHBand="0" w:noVBand="1"/>
      </w:tblPr>
      <w:tblGrid>
        <w:gridCol w:w="7986"/>
        <w:gridCol w:w="801"/>
      </w:tblGrid>
      <w:tr w:rsidR="00865424" w:rsidRPr="00B57B36" w14:paraId="4FD58B1F" w14:textId="77777777" w:rsidTr="0055492C">
        <w:tc>
          <w:tcPr>
            <w:tcW w:w="7986" w:type="dxa"/>
            <w:shd w:val="clear" w:color="auto" w:fill="auto"/>
            <w:vAlign w:val="center"/>
          </w:tcPr>
          <w:p w14:paraId="4E402467" w14:textId="7F2E6BF8" w:rsidR="00851AC0" w:rsidRPr="00966945" w:rsidRDefault="00000000" w:rsidP="0055492C">
            <w:pPr>
              <w:pStyle w:val="CETEquation"/>
              <w:rPr>
                <w:rFonts w:cs="Arial"/>
              </w:rPr>
            </w:pPr>
            <m:oMathPara>
              <m:oMathParaPr>
                <m:jc m:val="left"/>
              </m:oMathParaPr>
              <m:oMath>
                <m:sSup>
                  <m:sSupPr>
                    <m:ctrlPr>
                      <w:rPr>
                        <w:rFonts w:ascii="Cambria Math" w:hAnsi="Cambria Math" w:cs="Arial"/>
                        <w:i/>
                      </w:rPr>
                    </m:ctrlPr>
                  </m:sSupPr>
                  <m:e>
                    <m:r>
                      <w:rPr>
                        <w:rFonts w:ascii="Cambria Math" w:hAnsi="Cambria Math" w:cs="Arial"/>
                      </w:rPr>
                      <m:t>S</m:t>
                    </m:r>
                  </m:e>
                  <m:sup>
                    <m:r>
                      <w:rPr>
                        <w:rFonts w:ascii="Cambria Math" w:hAnsi="Cambria Math" w:cs="Arial"/>
                      </w:rPr>
                      <m:t>res</m:t>
                    </m:r>
                  </m:sup>
                </m:sSup>
                <m:d>
                  <m:dPr>
                    <m:ctrlPr>
                      <w:rPr>
                        <w:rFonts w:ascii="Cambria Math" w:hAnsi="Cambria Math" w:cs="Arial"/>
                        <w:i/>
                      </w:rPr>
                    </m:ctrlPr>
                  </m:dPr>
                  <m:e>
                    <m:r>
                      <w:rPr>
                        <w:rFonts w:ascii="Cambria Math" w:hAnsi="Cambria Math" w:cs="Arial"/>
                      </w:rPr>
                      <m:t>ρ,T</m:t>
                    </m:r>
                  </m:e>
                </m:d>
                <m:r>
                  <w:rPr>
                    <w:rFonts w:ascii="Cambria Math" w:hAnsi="Cambria Math" w:cs="Arial"/>
                  </w:rPr>
                  <m:t>=-</m:t>
                </m:r>
                <m:f>
                  <m:fPr>
                    <m:ctrlPr>
                      <w:rPr>
                        <w:rFonts w:ascii="Cambria Math" w:hAnsi="Cambria Math" w:cs="Arial"/>
                        <w:i/>
                      </w:rPr>
                    </m:ctrlPr>
                  </m:fPr>
                  <m:num>
                    <m:r>
                      <w:rPr>
                        <w:rFonts w:ascii="Cambria Math" w:hAnsi="Cambria Math" w:cs="Arial"/>
                      </w:rPr>
                      <m:t>da</m:t>
                    </m:r>
                  </m:num>
                  <m:den>
                    <m:r>
                      <w:rPr>
                        <w:rFonts w:ascii="Cambria Math" w:hAnsi="Cambria Math" w:cs="Arial"/>
                      </w:rPr>
                      <m:t>dT</m:t>
                    </m:r>
                  </m:den>
                </m:f>
                <m:f>
                  <m:fPr>
                    <m:ctrlPr>
                      <w:rPr>
                        <w:rFonts w:ascii="Cambria Math" w:hAnsi="Cambria Math" w:cs="Arial"/>
                        <w:i/>
                      </w:rPr>
                    </m:ctrlPr>
                  </m:fPr>
                  <m:num>
                    <m:r>
                      <w:rPr>
                        <w:rFonts w:ascii="Cambria Math" w:hAnsi="Cambria Math" w:cs="Arial"/>
                      </w:rPr>
                      <m:t>1</m:t>
                    </m:r>
                  </m:num>
                  <m:den>
                    <m:r>
                      <w:rPr>
                        <w:rFonts w:ascii="Cambria Math" w:hAnsi="Cambria Math" w:cs="Arial"/>
                      </w:rPr>
                      <m:t>b</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δ</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δ</m:t>
                            </m:r>
                          </m:e>
                          <m:sub>
                            <m:r>
                              <w:rPr>
                                <w:rFonts w:ascii="Cambria Math" w:hAnsi="Cambria Math" w:cs="Arial"/>
                              </w:rPr>
                              <m:t>2</m:t>
                            </m:r>
                          </m:sub>
                        </m:sSub>
                      </m:e>
                    </m:d>
                  </m:den>
                </m:f>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1+bρ</m:t>
                            </m:r>
                            <m:sSub>
                              <m:sSubPr>
                                <m:ctrlPr>
                                  <w:rPr>
                                    <w:rFonts w:ascii="Cambria Math" w:hAnsi="Cambria Math" w:cs="Arial"/>
                                    <w:i/>
                                  </w:rPr>
                                </m:ctrlPr>
                              </m:sSubPr>
                              <m:e>
                                <m:r>
                                  <w:rPr>
                                    <w:rFonts w:ascii="Cambria Math" w:hAnsi="Cambria Math" w:cs="Arial"/>
                                  </w:rPr>
                                  <m:t>δ</m:t>
                                </m:r>
                              </m:e>
                              <m:sub>
                                <m:r>
                                  <w:rPr>
                                    <w:rFonts w:ascii="Cambria Math" w:hAnsi="Cambria Math" w:cs="Arial"/>
                                  </w:rPr>
                                  <m:t>2</m:t>
                                </m:r>
                              </m:sub>
                            </m:sSub>
                          </m:num>
                          <m:den>
                            <m:r>
                              <w:rPr>
                                <w:rFonts w:ascii="Cambria Math" w:hAnsi="Cambria Math" w:cs="Arial"/>
                              </w:rPr>
                              <m:t>1+bρ</m:t>
                            </m:r>
                            <m:sSub>
                              <m:sSubPr>
                                <m:ctrlPr>
                                  <w:rPr>
                                    <w:rFonts w:ascii="Cambria Math" w:hAnsi="Cambria Math" w:cs="Arial"/>
                                    <w:i/>
                                  </w:rPr>
                                </m:ctrlPr>
                              </m:sSubPr>
                              <m:e>
                                <m:r>
                                  <w:rPr>
                                    <w:rFonts w:ascii="Cambria Math" w:hAnsi="Cambria Math" w:cs="Arial"/>
                                  </w:rPr>
                                  <m:t>δ</m:t>
                                </m:r>
                              </m:e>
                              <m:sub>
                                <m:r>
                                  <w:rPr>
                                    <w:rFonts w:ascii="Cambria Math" w:hAnsi="Cambria Math" w:cs="Arial"/>
                                  </w:rPr>
                                  <m:t>1</m:t>
                                </m:r>
                              </m:sub>
                            </m:sSub>
                          </m:den>
                        </m:f>
                      </m:e>
                    </m:d>
                  </m:e>
                </m:func>
                <m:r>
                  <w:rPr>
                    <w:rFonts w:ascii="Cambria Math" w:hAnsi="Cambria Math" w:cs="Arial"/>
                  </w:rPr>
                  <m:t>-R</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1-bρ</m:t>
                            </m:r>
                          </m:den>
                        </m:f>
                      </m:e>
                    </m:d>
                  </m:e>
                </m:func>
              </m:oMath>
            </m:oMathPara>
          </w:p>
        </w:tc>
        <w:tc>
          <w:tcPr>
            <w:tcW w:w="801" w:type="dxa"/>
            <w:shd w:val="clear" w:color="auto" w:fill="auto"/>
            <w:vAlign w:val="center"/>
          </w:tcPr>
          <w:p w14:paraId="0DC16893" w14:textId="2261A38F" w:rsidR="00865424" w:rsidRPr="00B57B36" w:rsidRDefault="00865424" w:rsidP="00CB12E6">
            <w:pPr>
              <w:pStyle w:val="CETEquation"/>
              <w:jc w:val="right"/>
            </w:pPr>
            <w:r w:rsidRPr="00B57B36">
              <w:t>(</w:t>
            </w:r>
            <w:r w:rsidR="00865DCF">
              <w:t>4</w:t>
            </w:r>
            <w:r w:rsidRPr="00B57B36">
              <w:t>)</w:t>
            </w:r>
          </w:p>
        </w:tc>
      </w:tr>
    </w:tbl>
    <w:p w14:paraId="7B5F5F5B" w14:textId="73FAF9B1" w:rsidR="00555025" w:rsidRDefault="0055492C" w:rsidP="0055492C">
      <w:pPr>
        <w:pStyle w:val="CETBodytext"/>
        <w:rPr>
          <w:lang w:val="en-GB"/>
        </w:rPr>
      </w:pPr>
      <w:r>
        <w:rPr>
          <w:lang w:val="en-GB"/>
        </w:rPr>
        <w:t xml:space="preserve">Where the values of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2</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1</m:t>
            </m:r>
          </m:sub>
        </m:sSub>
      </m:oMath>
      <w:r>
        <w:rPr>
          <w:lang w:val="en-GB"/>
        </w:rPr>
        <w:t xml:space="preserve"> define which </w:t>
      </w:r>
      <w:r w:rsidR="009C3C85">
        <w:rPr>
          <w:lang w:val="en-GB"/>
        </w:rPr>
        <w:t>E</w:t>
      </w:r>
      <w:r>
        <w:rPr>
          <w:lang w:val="en-GB"/>
        </w:rPr>
        <w:t xml:space="preserve">quation of </w:t>
      </w:r>
      <w:r w:rsidR="009C3C85">
        <w:rPr>
          <w:lang w:val="en-GB"/>
        </w:rPr>
        <w:t>S</w:t>
      </w:r>
      <w:r>
        <w:rPr>
          <w:lang w:val="en-GB"/>
        </w:rPr>
        <w:t>tate i</w:t>
      </w:r>
      <w:r w:rsidR="00A95873">
        <w:rPr>
          <w:lang w:val="en-GB"/>
        </w:rPr>
        <w:t>s</w:t>
      </w:r>
      <w:r>
        <w:rPr>
          <w:lang w:val="en-GB"/>
        </w:rPr>
        <w:t xml:space="preserve"> being used (PR</w:t>
      </w:r>
      <w:r w:rsidR="009C3C85">
        <w:rPr>
          <w:lang w:val="en-GB"/>
        </w:rPr>
        <w:t xml:space="preserve"> </w:t>
      </w:r>
      <w:proofErr w:type="spellStart"/>
      <w:r w:rsidR="009C3C85">
        <w:rPr>
          <w:lang w:val="en-GB"/>
        </w:rPr>
        <w:t>EoS</w:t>
      </w:r>
      <w:proofErr w:type="spellEnd"/>
      <w:r>
        <w:rPr>
          <w:lang w:val="en-GB"/>
        </w:rPr>
        <w:t xml:space="preserve">: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1</m:t>
            </m:r>
          </m:sub>
        </m:sSub>
        <m:r>
          <w:rPr>
            <w:rFonts w:ascii="Cambria Math" w:hAnsi="Cambria Math"/>
            <w:lang w:val="en-GB"/>
          </w:rPr>
          <m:t>=1+</m:t>
        </m:r>
        <m:rad>
          <m:radPr>
            <m:degHide m:val="1"/>
            <m:ctrlPr>
              <w:rPr>
                <w:rFonts w:ascii="Cambria Math" w:hAnsi="Cambria Math"/>
                <w:i/>
                <w:lang w:val="en-GB"/>
              </w:rPr>
            </m:ctrlPr>
          </m:radPr>
          <m:deg/>
          <m:e>
            <m:r>
              <w:rPr>
                <w:rFonts w:ascii="Cambria Math" w:hAnsi="Cambria Math"/>
                <w:lang w:val="en-GB"/>
              </w:rPr>
              <m:t>2</m:t>
            </m:r>
          </m:e>
        </m:rad>
      </m:oMath>
      <w:r>
        <w:rPr>
          <w:lang w:val="en-GB"/>
        </w:rPr>
        <w:t xml:space="preserve">,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2</m:t>
            </m:r>
          </m:sub>
        </m:sSub>
        <m:r>
          <w:rPr>
            <w:rFonts w:ascii="Cambria Math" w:hAnsi="Cambria Math"/>
            <w:lang w:val="en-GB"/>
          </w:rPr>
          <m:t>=1-</m:t>
        </m:r>
        <m:rad>
          <m:radPr>
            <m:degHide m:val="1"/>
            <m:ctrlPr>
              <w:rPr>
                <w:rFonts w:ascii="Cambria Math" w:hAnsi="Cambria Math"/>
                <w:i/>
                <w:lang w:val="en-GB"/>
              </w:rPr>
            </m:ctrlPr>
          </m:radPr>
          <m:deg/>
          <m:e>
            <m:r>
              <w:rPr>
                <w:rFonts w:ascii="Cambria Math" w:hAnsi="Cambria Math"/>
                <w:lang w:val="en-GB"/>
              </w:rPr>
              <m:t>2</m:t>
            </m:r>
          </m:e>
        </m:rad>
      </m:oMath>
      <w:r>
        <w:rPr>
          <w:lang w:val="en-GB"/>
        </w:rPr>
        <w:t>, SRK</w:t>
      </w:r>
      <w:r w:rsidR="009C3C85">
        <w:rPr>
          <w:lang w:val="en-GB"/>
        </w:rPr>
        <w:t xml:space="preserve"> </w:t>
      </w:r>
      <w:proofErr w:type="spellStart"/>
      <w:r w:rsidR="009C3C85">
        <w:rPr>
          <w:lang w:val="en-GB"/>
        </w:rPr>
        <w:t>EoS</w:t>
      </w:r>
      <w:proofErr w:type="spellEnd"/>
      <w:r>
        <w:rPr>
          <w:lang w:val="en-GB"/>
        </w:rPr>
        <w:t xml:space="preserve">: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1</m:t>
            </m:r>
          </m:sub>
        </m:sSub>
        <m:r>
          <w:rPr>
            <w:rFonts w:ascii="Cambria Math" w:hAnsi="Cambria Math"/>
            <w:lang w:val="en-GB"/>
          </w:rPr>
          <m:t>=1</m:t>
        </m:r>
      </m:oMath>
      <w:r>
        <w:rPr>
          <w:lang w:val="en-GB"/>
        </w:rPr>
        <w:t xml:space="preserve">,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2</m:t>
            </m:r>
          </m:sub>
        </m:sSub>
        <m:r>
          <w:rPr>
            <w:rFonts w:ascii="Cambria Math" w:hAnsi="Cambria Math"/>
            <w:lang w:val="en-GB"/>
          </w:rPr>
          <m:t>=0</m:t>
        </m:r>
      </m:oMath>
      <w:r>
        <w:rPr>
          <w:lang w:val="en-GB"/>
        </w:rPr>
        <w:t xml:space="preserve">), </w:t>
      </w:r>
      <m:oMath>
        <m:r>
          <w:rPr>
            <w:rFonts w:ascii="Cambria Math" w:hAnsi="Cambria Math"/>
            <w:lang w:val="en-GB"/>
          </w:rPr>
          <m:t>ρ</m:t>
        </m:r>
      </m:oMath>
      <w:r>
        <w:rPr>
          <w:lang w:val="en-GB"/>
        </w:rPr>
        <w:t xml:space="preserve"> is the molar density and </w:t>
      </w:r>
      <m:oMath>
        <m:r>
          <w:rPr>
            <w:rFonts w:ascii="Cambria Math" w:hAnsi="Cambria Math"/>
            <w:lang w:val="en-GB"/>
          </w:rPr>
          <m:t>b</m:t>
        </m:r>
      </m:oMath>
      <w:r>
        <w:rPr>
          <w:lang w:val="en-GB"/>
        </w:rPr>
        <w:t xml:space="preserve"> and </w:t>
      </w:r>
      <m:oMath>
        <m:f>
          <m:fPr>
            <m:ctrlPr>
              <w:rPr>
                <w:rFonts w:ascii="Cambria Math" w:hAnsi="Cambria Math"/>
                <w:i/>
                <w:lang w:val="en-GB"/>
              </w:rPr>
            </m:ctrlPr>
          </m:fPr>
          <m:num>
            <m:r>
              <w:rPr>
                <w:rFonts w:ascii="Cambria Math" w:hAnsi="Cambria Math"/>
                <w:lang w:val="en-GB"/>
              </w:rPr>
              <m:t>da</m:t>
            </m:r>
          </m:num>
          <m:den>
            <m:r>
              <w:rPr>
                <w:rFonts w:ascii="Cambria Math" w:hAnsi="Cambria Math"/>
                <w:lang w:val="en-GB"/>
              </w:rPr>
              <m:t>dT</m:t>
            </m:r>
          </m:den>
        </m:f>
      </m:oMath>
      <w:r>
        <w:rPr>
          <w:lang w:val="en-GB"/>
        </w:rPr>
        <w:t xml:space="preserve"> are the co</w:t>
      </w:r>
      <w:r w:rsidR="00DC3A6F">
        <w:rPr>
          <w:lang w:val="en-GB"/>
        </w:rPr>
        <w:t>-</w:t>
      </w:r>
      <w:r>
        <w:rPr>
          <w:lang w:val="en-GB"/>
        </w:rPr>
        <w:t>volume term and the derivative of the attraction term, respectively, for the</w:t>
      </w:r>
      <w:r w:rsidR="008A7FDF">
        <w:rPr>
          <w:lang w:val="en-GB"/>
        </w:rPr>
        <w:t xml:space="preserve"> chosen </w:t>
      </w:r>
      <w:r w:rsidR="009C3C85">
        <w:rPr>
          <w:lang w:val="en-GB"/>
        </w:rPr>
        <w:t>E</w:t>
      </w:r>
      <w:r>
        <w:rPr>
          <w:lang w:val="en-GB"/>
        </w:rPr>
        <w:t xml:space="preserve">quation of </w:t>
      </w:r>
      <w:r w:rsidR="009C3C85">
        <w:rPr>
          <w:lang w:val="en-GB"/>
        </w:rPr>
        <w:t>S</w:t>
      </w:r>
      <w:r>
        <w:rPr>
          <w:lang w:val="en-GB"/>
        </w:rPr>
        <w:t>tate.</w:t>
      </w:r>
    </w:p>
    <w:p w14:paraId="144422DA" w14:textId="711B0615" w:rsidR="00555025" w:rsidRDefault="006B6581" w:rsidP="0055492C">
      <w:pPr>
        <w:pStyle w:val="CETBodytext"/>
        <w:rPr>
          <w:lang w:val="en-GB"/>
        </w:rPr>
      </w:pPr>
      <w:r w:rsidRPr="00555025">
        <w:rPr>
          <w:lang w:val="en-GB"/>
        </w:rPr>
        <w:t>Regarding</w:t>
      </w:r>
      <w:r w:rsidR="00555025">
        <w:rPr>
          <w:lang w:val="en-GB"/>
        </w:rPr>
        <w:t xml:space="preserve"> the</w:t>
      </w:r>
      <w:r>
        <w:rPr>
          <w:lang w:val="en-GB"/>
        </w:rPr>
        <w:t xml:space="preserve"> use of a</w:t>
      </w:r>
      <w:r w:rsidR="00555025">
        <w:rPr>
          <w:lang w:val="en-GB"/>
        </w:rPr>
        <w:t xml:space="preserve"> reference viscosity, three </w:t>
      </w:r>
      <w:r>
        <w:rPr>
          <w:lang w:val="en-GB"/>
        </w:rPr>
        <w:t xml:space="preserve">reduced viscosity </w:t>
      </w:r>
      <w:r w:rsidR="00555025">
        <w:rPr>
          <w:lang w:val="en-GB"/>
        </w:rPr>
        <w:t xml:space="preserve">variations </w:t>
      </w:r>
      <w:r>
        <w:rPr>
          <w:lang w:val="en-GB"/>
        </w:rPr>
        <w:t>were</w:t>
      </w:r>
      <w:r w:rsidR="00555025">
        <w:rPr>
          <w:lang w:val="en-GB"/>
        </w:rPr>
        <w:t xml:space="preserve"> used: </w:t>
      </w:r>
      <w:r>
        <w:rPr>
          <w:lang w:val="en-GB"/>
        </w:rPr>
        <w:t>the reduced form originally proposed by Rosenfeld, the</w:t>
      </w:r>
      <w:r w:rsidR="00DC3A6F">
        <w:rPr>
          <w:lang w:val="en-GB"/>
        </w:rPr>
        <w:t xml:space="preserve"> use of the</w:t>
      </w:r>
      <w:r>
        <w:rPr>
          <w:lang w:val="en-GB"/>
        </w:rPr>
        <w:t xml:space="preserve"> Chung et al. variation of the Chapman-Enskog dilute gas equation</w:t>
      </w:r>
      <w:r w:rsidR="00DC3A6F">
        <w:rPr>
          <w:lang w:val="en-GB"/>
        </w:rPr>
        <w:t xml:space="preserve"> as reference viscosity</w:t>
      </w:r>
      <w:r w:rsidR="00183E6E">
        <w:rPr>
          <w:lang w:val="en-GB"/>
        </w:rPr>
        <w:t xml:space="preserve"> (</w:t>
      </w:r>
      <w:r w:rsidR="00183E6E">
        <w:t>Poling</w:t>
      </w:r>
      <w:r w:rsidR="00B649F0">
        <w:t xml:space="preserve"> et al.</w:t>
      </w:r>
      <w:r w:rsidR="00183E6E">
        <w:t>, 2001</w:t>
      </w:r>
      <w:r w:rsidR="00183E6E">
        <w:rPr>
          <w:lang w:val="en-GB"/>
        </w:rPr>
        <w:t>)</w:t>
      </w:r>
      <w:r>
        <w:rPr>
          <w:lang w:val="en-GB"/>
        </w:rPr>
        <w:t>, and an unreduced form (</w:t>
      </w:r>
      <m:oMath>
        <m:sSup>
          <m:sSupPr>
            <m:ctrlPr>
              <w:rPr>
                <w:rFonts w:ascii="Cambria Math" w:hAnsi="Cambria Math"/>
                <w:i/>
                <w:lang w:val="en-GB"/>
              </w:rPr>
            </m:ctrlPr>
          </m:sSupPr>
          <m:e>
            <m:r>
              <w:rPr>
                <w:rFonts w:ascii="Cambria Math" w:hAnsi="Cambria Math"/>
                <w:lang w:val="en-GB"/>
              </w:rPr>
              <m:t>η</m:t>
            </m:r>
          </m:e>
          <m:sup>
            <m:r>
              <w:rPr>
                <w:rFonts w:ascii="Cambria Math" w:hAnsi="Cambria Math"/>
                <w:lang w:val="en-GB"/>
              </w:rPr>
              <m:t>R</m:t>
            </m:r>
          </m:sup>
        </m:sSup>
        <m:r>
          <w:rPr>
            <w:rFonts w:ascii="Cambria Math" w:hAnsi="Cambria Math"/>
            <w:lang w:val="en-GB"/>
          </w:rPr>
          <m:t>=1</m:t>
        </m:r>
      </m:oMath>
      <w:r>
        <w:rPr>
          <w:lang w:val="en-GB"/>
        </w:rPr>
        <w:t xml:space="preserve">). </w:t>
      </w:r>
    </w:p>
    <w:p w14:paraId="2E5CCE5F" w14:textId="08BC8AAB" w:rsidR="00C02726" w:rsidRDefault="004A4F71" w:rsidP="0055492C">
      <w:pPr>
        <w:pStyle w:val="CETBodytext"/>
        <w:rPr>
          <w:lang w:val="en-GB"/>
        </w:rPr>
      </w:pPr>
      <w:r w:rsidRPr="00C02726">
        <w:rPr>
          <w:lang w:val="en-GB"/>
        </w:rPr>
        <w:t>The Rosenfeld reference viscosity can be expressed as follow</w:t>
      </w:r>
      <w:r>
        <w:rPr>
          <w:lang w:val="en-GB"/>
        </w:rPr>
        <w:t>s</w:t>
      </w:r>
      <w:r w:rsidR="00966945">
        <w:rPr>
          <w:lang w:val="en-GB"/>
        </w:rPr>
        <w:t>:</w:t>
      </w:r>
    </w:p>
    <w:tbl>
      <w:tblPr>
        <w:tblW w:w="5000" w:type="pct"/>
        <w:tblLook w:val="04A0" w:firstRow="1" w:lastRow="0" w:firstColumn="1" w:lastColumn="0" w:noHBand="0" w:noVBand="1"/>
      </w:tblPr>
      <w:tblGrid>
        <w:gridCol w:w="7986"/>
        <w:gridCol w:w="801"/>
      </w:tblGrid>
      <w:tr w:rsidR="004A4F71" w:rsidRPr="00B57B36" w14:paraId="5FDEDD07" w14:textId="77777777" w:rsidTr="00CB12E6">
        <w:tc>
          <w:tcPr>
            <w:tcW w:w="7986" w:type="dxa"/>
            <w:shd w:val="clear" w:color="auto" w:fill="auto"/>
            <w:vAlign w:val="center"/>
          </w:tcPr>
          <w:p w14:paraId="4555007F" w14:textId="34D6B019" w:rsidR="004A4F71" w:rsidRPr="00966945" w:rsidRDefault="00000000" w:rsidP="00CB12E6">
            <w:pPr>
              <w:pStyle w:val="CETEquation"/>
              <w:rPr>
                <w:rFonts w:cs="Arial"/>
              </w:rPr>
            </w:pPr>
            <m:oMathPara>
              <m:oMathParaPr>
                <m:jc m:val="left"/>
              </m:oMathParaPr>
              <m:oMath>
                <m:sSup>
                  <m:sSupPr>
                    <m:ctrlPr>
                      <w:rPr>
                        <w:rFonts w:ascii="Cambria Math" w:hAnsi="Cambria Math" w:cs="Arial"/>
                        <w:i/>
                      </w:rPr>
                    </m:ctrlPr>
                  </m:sSupPr>
                  <m:e>
                    <m:r>
                      <w:rPr>
                        <w:rFonts w:ascii="Cambria Math" w:hAnsi="Cambria Math" w:cs="Arial"/>
                      </w:rPr>
                      <m:t>η</m:t>
                    </m:r>
                  </m:e>
                  <m:sup>
                    <m:r>
                      <w:rPr>
                        <w:rFonts w:ascii="Cambria Math" w:hAnsi="Cambria Math" w:cs="Arial"/>
                      </w:rPr>
                      <m:t>R</m:t>
                    </m:r>
                  </m:sup>
                </m:sSup>
                <m:r>
                  <w:rPr>
                    <w:rFonts w:ascii="Cambria Math" w:hAnsi="Cambria Math" w:cs="Arial"/>
                  </w:rPr>
                  <m:t>=</m:t>
                </m:r>
                <m:sSub>
                  <m:sSubPr>
                    <m:ctrlPr>
                      <w:rPr>
                        <w:rFonts w:ascii="Cambria Math" w:hAnsi="Cambria Math" w:cs="Arial"/>
                        <w:i/>
                      </w:rPr>
                    </m:ctrlPr>
                  </m:sSubPr>
                  <m:e>
                    <m:r>
                      <w:rPr>
                        <w:rFonts w:ascii="Cambria Math" w:hAnsi="Cambria Math" w:cs="Arial"/>
                      </w:rPr>
                      <m:t>η</m:t>
                    </m:r>
                  </m:e>
                  <m:sub>
                    <m:r>
                      <w:rPr>
                        <w:rFonts w:ascii="Cambria Math" w:hAnsi="Cambria Math" w:cs="Arial"/>
                      </w:rPr>
                      <m:t>R</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ρ</m:t>
                    </m:r>
                  </m:e>
                  <m:sub>
                    <m:r>
                      <w:rPr>
                        <w:rFonts w:ascii="Cambria Math" w:hAnsi="Cambria Math" w:cs="Arial"/>
                      </w:rPr>
                      <m:t>M</m:t>
                    </m:r>
                  </m:sub>
                  <m:sup>
                    <m:f>
                      <m:fPr>
                        <m:ctrlPr>
                          <w:rPr>
                            <w:rFonts w:ascii="Cambria Math" w:hAnsi="Cambria Math" w:cs="Arial"/>
                            <w:i/>
                          </w:rPr>
                        </m:ctrlPr>
                      </m:fPr>
                      <m:num>
                        <m:r>
                          <w:rPr>
                            <w:rFonts w:ascii="Cambria Math" w:hAnsi="Cambria Math" w:cs="Arial"/>
                          </w:rPr>
                          <m:t>2</m:t>
                        </m:r>
                      </m:num>
                      <m:den>
                        <m:r>
                          <w:rPr>
                            <w:rFonts w:ascii="Cambria Math" w:hAnsi="Cambria Math" w:cs="Arial"/>
                          </w:rPr>
                          <m:t>3</m:t>
                        </m:r>
                      </m:den>
                    </m:f>
                  </m:sup>
                </m:sSubSup>
                <m:rad>
                  <m:radPr>
                    <m:degHide m:val="1"/>
                    <m:ctrlPr>
                      <w:rPr>
                        <w:rFonts w:ascii="Cambria Math" w:hAnsi="Cambria Math" w:cs="Arial"/>
                        <w:i/>
                      </w:rPr>
                    </m:ctrlPr>
                  </m:radPr>
                  <m:deg/>
                  <m:e>
                    <m:r>
                      <w:rPr>
                        <w:rFonts w:ascii="Cambria Math" w:hAnsi="Cambria Math" w:cs="Arial"/>
                      </w:rPr>
                      <m:t>m</m:t>
                    </m:r>
                    <m:sSub>
                      <m:sSubPr>
                        <m:ctrlPr>
                          <w:rPr>
                            <w:rFonts w:ascii="Cambria Math" w:hAnsi="Cambria Math" w:cs="Arial"/>
                            <w:i/>
                          </w:rPr>
                        </m:ctrlPr>
                      </m:sSubPr>
                      <m:e>
                        <m:r>
                          <w:rPr>
                            <w:rFonts w:ascii="Cambria Math" w:hAnsi="Cambria Math" w:cs="Arial"/>
                          </w:rPr>
                          <m:t>k</m:t>
                        </m:r>
                      </m:e>
                      <m:sub>
                        <m:r>
                          <w:rPr>
                            <w:rFonts w:ascii="Cambria Math" w:hAnsi="Cambria Math" w:cs="Arial"/>
                          </w:rPr>
                          <m:t>B</m:t>
                        </m:r>
                      </m:sub>
                    </m:sSub>
                    <m:r>
                      <w:rPr>
                        <w:rFonts w:ascii="Cambria Math" w:hAnsi="Cambria Math" w:cs="Arial"/>
                      </w:rPr>
                      <m:t>T</m:t>
                    </m:r>
                  </m:e>
                </m:rad>
              </m:oMath>
            </m:oMathPara>
          </w:p>
        </w:tc>
        <w:tc>
          <w:tcPr>
            <w:tcW w:w="801" w:type="dxa"/>
            <w:shd w:val="clear" w:color="auto" w:fill="auto"/>
            <w:vAlign w:val="center"/>
          </w:tcPr>
          <w:p w14:paraId="6900D456" w14:textId="3C8AEFAE" w:rsidR="004A4F71" w:rsidRPr="00B57B36" w:rsidRDefault="004A4F71" w:rsidP="00CB12E6">
            <w:pPr>
              <w:pStyle w:val="CETEquation"/>
              <w:jc w:val="right"/>
            </w:pPr>
            <w:r w:rsidRPr="00B57B36">
              <w:t>(</w:t>
            </w:r>
            <w:r w:rsidR="00865DCF">
              <w:t>5</w:t>
            </w:r>
            <w:r w:rsidRPr="00B57B36">
              <w:t>)</w:t>
            </w:r>
          </w:p>
        </w:tc>
      </w:tr>
    </w:tbl>
    <w:p w14:paraId="5605623F" w14:textId="52267160" w:rsidR="00C02726" w:rsidRDefault="00897808" w:rsidP="0055492C">
      <w:pPr>
        <w:pStyle w:val="CETBodytext"/>
      </w:pPr>
      <w:r>
        <w:rPr>
          <w:lang w:val="en-GB"/>
        </w:rPr>
        <w:t xml:space="preserve">Where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M</m:t>
            </m:r>
          </m:sub>
        </m:sSub>
      </m:oMath>
      <w:r>
        <w:rPr>
          <w:lang w:val="en-GB"/>
        </w:rPr>
        <w:t xml:space="preserve"> is the molecular density</w:t>
      </w:r>
      <w:r w:rsidR="00CE2AB7">
        <w:rPr>
          <w:lang w:val="en-GB"/>
        </w:rPr>
        <w:t xml:space="preserve">, </w:t>
      </w:r>
      <m:oMath>
        <m:r>
          <w:rPr>
            <w:rFonts w:ascii="Cambria Math" w:hAnsi="Cambria Math" w:cs="Arial"/>
          </w:rPr>
          <m:t>m</m:t>
        </m:r>
      </m:oMath>
      <w:r w:rsidR="00CE2AB7">
        <w:t xml:space="preserve"> is the molecular mass, </w:t>
      </w:r>
      <m:oMath>
        <m:sSub>
          <m:sSubPr>
            <m:ctrlPr>
              <w:rPr>
                <w:rFonts w:ascii="Cambria Math" w:hAnsi="Cambria Math" w:cs="Arial"/>
                <w:i/>
              </w:rPr>
            </m:ctrlPr>
          </m:sSubPr>
          <m:e>
            <m:r>
              <w:rPr>
                <w:rFonts w:ascii="Cambria Math" w:hAnsi="Cambria Math" w:cs="Arial"/>
              </w:rPr>
              <m:t>k</m:t>
            </m:r>
          </m:e>
          <m:sub>
            <m:r>
              <w:rPr>
                <w:rFonts w:ascii="Cambria Math" w:hAnsi="Cambria Math" w:cs="Arial"/>
              </w:rPr>
              <m:t>B</m:t>
            </m:r>
          </m:sub>
        </m:sSub>
      </m:oMath>
      <w:r w:rsidR="00CE2AB7">
        <w:t xml:space="preserve"> is the Boltzmann constant and </w:t>
      </w:r>
      <m:oMath>
        <m:r>
          <w:rPr>
            <w:rFonts w:ascii="Cambria Math" w:hAnsi="Cambria Math"/>
          </w:rPr>
          <m:t>T</m:t>
        </m:r>
      </m:oMath>
      <w:r w:rsidR="00CE2AB7">
        <w:t xml:space="preserve"> is an absolute temperature.</w:t>
      </w:r>
    </w:p>
    <w:p w14:paraId="64522B57" w14:textId="40D1D31A" w:rsidR="00CE2AB7" w:rsidRPr="00966945" w:rsidRDefault="00CE2AB7" w:rsidP="0055492C">
      <w:pPr>
        <w:pStyle w:val="CETBodytext"/>
      </w:pPr>
      <w:r w:rsidRPr="00CE2AB7">
        <w:rPr>
          <w:lang w:val="en-GB"/>
        </w:rPr>
        <w:t>Meanwhile</w:t>
      </w:r>
      <w:r w:rsidR="00B0015A">
        <w:rPr>
          <w:lang w:val="en-GB"/>
        </w:rPr>
        <w:t>,</w:t>
      </w:r>
      <w:r w:rsidRPr="00CE2AB7">
        <w:rPr>
          <w:lang w:val="en-GB"/>
        </w:rPr>
        <w:t xml:space="preserve"> the Chung et al. variation of the Chapman-Enskog dilute gas equation can be expressed as follows</w:t>
      </w:r>
      <w:r w:rsidR="00183E6E">
        <w:rPr>
          <w:lang w:val="en-GB"/>
        </w:rPr>
        <w:t xml:space="preserve"> (</w:t>
      </w:r>
      <w:r w:rsidR="00183E6E">
        <w:t>Poling</w:t>
      </w:r>
      <w:r w:rsidR="00B649F0">
        <w:t xml:space="preserve"> et al.</w:t>
      </w:r>
      <w:r w:rsidR="00183E6E">
        <w:t>, 2001</w:t>
      </w:r>
      <w:r w:rsidR="00183E6E">
        <w:rPr>
          <w:lang w:val="en-GB"/>
        </w:rPr>
        <w:t>)</w:t>
      </w:r>
      <w:r>
        <w:rPr>
          <w:lang w:val="en-GB"/>
        </w:rPr>
        <w:t>:</w:t>
      </w:r>
    </w:p>
    <w:tbl>
      <w:tblPr>
        <w:tblW w:w="5000" w:type="pct"/>
        <w:tblLook w:val="04A0" w:firstRow="1" w:lastRow="0" w:firstColumn="1" w:lastColumn="0" w:noHBand="0" w:noVBand="1"/>
      </w:tblPr>
      <w:tblGrid>
        <w:gridCol w:w="7986"/>
        <w:gridCol w:w="801"/>
      </w:tblGrid>
      <w:tr w:rsidR="00966945" w:rsidRPr="00B57B36" w14:paraId="408D4051" w14:textId="77777777" w:rsidTr="00CB12E6">
        <w:tc>
          <w:tcPr>
            <w:tcW w:w="7986" w:type="dxa"/>
            <w:shd w:val="clear" w:color="auto" w:fill="auto"/>
            <w:vAlign w:val="center"/>
          </w:tcPr>
          <w:p w14:paraId="1DCEF3C5" w14:textId="6ACDA8E2" w:rsidR="00966945" w:rsidRPr="00966945" w:rsidRDefault="00000000" w:rsidP="00CB12E6">
            <w:pPr>
              <w:pStyle w:val="CETEquation"/>
              <w:rPr>
                <w:rFonts w:cs="Arial"/>
              </w:rPr>
            </w:pPr>
            <m:oMathPara>
              <m:oMathParaPr>
                <m:jc m:val="left"/>
              </m:oMathParaPr>
              <m:oMath>
                <m:sSup>
                  <m:sSupPr>
                    <m:ctrlPr>
                      <w:rPr>
                        <w:rFonts w:ascii="Cambria Math" w:hAnsi="Cambria Math" w:cs="Arial"/>
                        <w:i/>
                      </w:rPr>
                    </m:ctrlPr>
                  </m:sSupPr>
                  <m:e>
                    <m:r>
                      <w:rPr>
                        <w:rFonts w:ascii="Cambria Math" w:hAnsi="Cambria Math" w:cs="Arial"/>
                      </w:rPr>
                      <m:t>η</m:t>
                    </m:r>
                  </m:e>
                  <m:sup>
                    <m:r>
                      <w:rPr>
                        <w:rFonts w:ascii="Cambria Math" w:hAnsi="Cambria Math" w:cs="Arial"/>
                      </w:rPr>
                      <m:t>R</m:t>
                    </m:r>
                  </m:sup>
                </m:sSup>
                <m:r>
                  <w:rPr>
                    <w:rFonts w:ascii="Cambria Math" w:hAnsi="Cambria Math" w:cs="Arial"/>
                  </w:rPr>
                  <m:t>=</m:t>
                </m:r>
                <m:sSub>
                  <m:sSubPr>
                    <m:ctrlPr>
                      <w:rPr>
                        <w:rFonts w:ascii="Cambria Math" w:hAnsi="Cambria Math" w:cs="Arial"/>
                        <w:i/>
                      </w:rPr>
                    </m:ctrlPr>
                  </m:sSubPr>
                  <m:e>
                    <m:r>
                      <w:rPr>
                        <w:rFonts w:ascii="Cambria Math" w:hAnsi="Cambria Math" w:cs="Arial"/>
                      </w:rPr>
                      <m:t>η</m:t>
                    </m:r>
                  </m:e>
                  <m:sub>
                    <m:r>
                      <w:rPr>
                        <w:rFonts w:ascii="Cambria Math" w:hAnsi="Cambria Math" w:cs="Arial"/>
                      </w:rPr>
                      <m:t>CE</m:t>
                    </m:r>
                  </m:sub>
                </m:sSub>
                <m:r>
                  <w:rPr>
                    <w:rFonts w:ascii="Cambria Math" w:hAnsi="Cambria Math" w:cs="Arial"/>
                  </w:rPr>
                  <m:t>=40.785</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c</m:t>
                        </m:r>
                      </m:sub>
                    </m:sSub>
                    <m:rad>
                      <m:radPr>
                        <m:degHide m:val="1"/>
                        <m:ctrlPr>
                          <w:rPr>
                            <w:rFonts w:ascii="Cambria Math" w:hAnsi="Cambria Math" w:cs="Arial"/>
                            <w:i/>
                          </w:rPr>
                        </m:ctrlPr>
                      </m:radPr>
                      <m:deg/>
                      <m:e>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r>
                          <w:rPr>
                            <w:rFonts w:ascii="Cambria Math" w:hAnsi="Cambria Math" w:cs="Arial"/>
                          </w:rPr>
                          <m:t>T</m:t>
                        </m:r>
                      </m:e>
                    </m:rad>
                  </m:num>
                  <m:den>
                    <m:sSubSup>
                      <m:sSubSupPr>
                        <m:ctrlPr>
                          <w:rPr>
                            <w:rFonts w:ascii="Cambria Math" w:hAnsi="Cambria Math" w:cs="Arial"/>
                            <w:i/>
                          </w:rPr>
                        </m:ctrlPr>
                      </m:sSubSupPr>
                      <m:e>
                        <m:r>
                          <w:rPr>
                            <w:rFonts w:ascii="Cambria Math" w:hAnsi="Cambria Math" w:cs="Arial"/>
                          </w:rPr>
                          <m:t>v</m:t>
                        </m:r>
                      </m:e>
                      <m:sub>
                        <m:r>
                          <w:rPr>
                            <w:rFonts w:ascii="Cambria Math" w:hAnsi="Cambria Math" w:cs="Arial"/>
                          </w:rPr>
                          <m:t>c</m:t>
                        </m:r>
                      </m:sub>
                      <m:sup>
                        <m:r>
                          <w:rPr>
                            <w:rFonts w:ascii="Cambria Math" w:hAnsi="Cambria Math" w:cs="Arial"/>
                          </w:rPr>
                          <m:t>2/3</m:t>
                        </m:r>
                      </m:sup>
                    </m:sSubSup>
                    <m:sSup>
                      <m:sSupPr>
                        <m:ctrlPr>
                          <w:rPr>
                            <w:rFonts w:ascii="Cambria Math" w:hAnsi="Cambria Math" w:cs="Arial"/>
                            <w:i/>
                          </w:rPr>
                        </m:ctrlPr>
                      </m:sSupPr>
                      <m:e>
                        <m:r>
                          <m:rPr>
                            <m:sty m:val="p"/>
                          </m:rPr>
                          <w:rPr>
                            <w:rFonts w:ascii="Cambria Math" w:hAnsi="Cambria Math" w:cs="Arial"/>
                          </w:rPr>
                          <m:t>Ω</m:t>
                        </m:r>
                        <m:ctrlPr>
                          <w:rPr>
                            <w:rFonts w:ascii="Cambria Math" w:hAnsi="Cambria Math" w:cs="Arial"/>
                          </w:rPr>
                        </m:ctrlPr>
                      </m:e>
                      <m:sup>
                        <m:r>
                          <w:rPr>
                            <w:rFonts w:ascii="Cambria Math" w:hAnsi="Cambria Math" w:cs="Arial"/>
                          </w:rPr>
                          <m:t>*</m:t>
                        </m:r>
                      </m:sup>
                    </m:sSup>
                  </m:den>
                </m:f>
              </m:oMath>
            </m:oMathPara>
          </w:p>
        </w:tc>
        <w:tc>
          <w:tcPr>
            <w:tcW w:w="801" w:type="dxa"/>
            <w:shd w:val="clear" w:color="auto" w:fill="auto"/>
            <w:vAlign w:val="center"/>
          </w:tcPr>
          <w:p w14:paraId="276AA01D" w14:textId="28CA6859" w:rsidR="00966945" w:rsidRPr="00B57B36" w:rsidRDefault="00966945" w:rsidP="00CB12E6">
            <w:pPr>
              <w:pStyle w:val="CETEquation"/>
              <w:jc w:val="right"/>
            </w:pPr>
            <w:r w:rsidRPr="00B57B36">
              <w:t>(</w:t>
            </w:r>
            <w:r w:rsidR="00865DCF">
              <w:t>6</w:t>
            </w:r>
            <w:r w:rsidRPr="00B57B36">
              <w:t>)</w:t>
            </w:r>
          </w:p>
        </w:tc>
      </w:tr>
      <w:tr w:rsidR="00B0015A" w:rsidRPr="00B57B36" w14:paraId="463AE9A1" w14:textId="77777777" w:rsidTr="00CB12E6">
        <w:tc>
          <w:tcPr>
            <w:tcW w:w="7986" w:type="dxa"/>
            <w:shd w:val="clear" w:color="auto" w:fill="auto"/>
            <w:vAlign w:val="center"/>
          </w:tcPr>
          <w:p w14:paraId="4D5291F8" w14:textId="1F4480D8" w:rsidR="00B0015A" w:rsidRPr="00B0015A" w:rsidRDefault="00000000" w:rsidP="00CB12E6">
            <w:pPr>
              <w:pStyle w:val="CETEquation"/>
            </w:pPr>
            <m:oMathPara>
              <m:oMathParaPr>
                <m:jc m:val="left"/>
              </m:oMathParaPr>
              <m:oMath>
                <m:sSup>
                  <m:sSupPr>
                    <m:ctrlPr>
                      <w:rPr>
                        <w:rFonts w:ascii="Cambria Math" w:hAnsi="Cambria Math" w:cs="Arial"/>
                        <w:i/>
                      </w:rPr>
                    </m:ctrlPr>
                  </m:sSupPr>
                  <m:e>
                    <m:r>
                      <m:rPr>
                        <m:sty m:val="p"/>
                      </m:rPr>
                      <w:rPr>
                        <w:rFonts w:ascii="Cambria Math" w:hAnsi="Cambria Math" w:cs="Arial"/>
                      </w:rPr>
                      <m:t>Ω</m:t>
                    </m:r>
                    <m:ctrlPr>
                      <w:rPr>
                        <w:rFonts w:ascii="Cambria Math" w:hAnsi="Cambria Math" w:cs="Arial"/>
                      </w:rPr>
                    </m:ctrlPr>
                  </m:e>
                  <m:sup>
                    <m:r>
                      <w:rPr>
                        <w:rFonts w:ascii="Cambria Math" w:hAnsi="Cambria Math" w:cs="Arial"/>
                      </w:rPr>
                      <m:t>*</m:t>
                    </m:r>
                  </m:sup>
                </m:sSup>
                <m:r>
                  <w:rPr>
                    <w:rFonts w:ascii="Cambria Math" w:hAnsi="Cambria Math" w:cs="Arial"/>
                  </w:rPr>
                  <m:t>=</m:t>
                </m:r>
                <m:f>
                  <m:fPr>
                    <m:ctrlPr>
                      <w:rPr>
                        <w:rFonts w:ascii="Cambria Math" w:hAnsi="Cambria Math" w:cs="Arial"/>
                        <w:i/>
                      </w:rPr>
                    </m:ctrlPr>
                  </m:fPr>
                  <m:num>
                    <m:r>
                      <w:rPr>
                        <w:rFonts w:ascii="Cambria Math" w:hAnsi="Cambria Math" w:cs="Arial"/>
                      </w:rPr>
                      <m:t>1.16145</m:t>
                    </m:r>
                  </m:num>
                  <m:den>
                    <m:sSup>
                      <m:sSupPr>
                        <m:ctrlPr>
                          <w:rPr>
                            <w:rFonts w:ascii="Cambria Math" w:hAnsi="Cambria Math" w:cs="Arial"/>
                            <w:i/>
                          </w:rPr>
                        </m:ctrlPr>
                      </m:sSupPr>
                      <m:e>
                        <m:sSup>
                          <m:sSupPr>
                            <m:ctrlPr>
                              <w:rPr>
                                <w:rFonts w:ascii="Cambria Math" w:hAnsi="Cambria Math" w:cs="Arial"/>
                                <w:i/>
                              </w:rPr>
                            </m:ctrlPr>
                          </m:sSupPr>
                          <m:e>
                            <m:r>
                              <w:rPr>
                                <w:rFonts w:ascii="Cambria Math" w:hAnsi="Cambria Math" w:cs="Arial"/>
                              </w:rPr>
                              <m:t>T</m:t>
                            </m:r>
                          </m:e>
                          <m:sup>
                            <m:r>
                              <w:rPr>
                                <w:rFonts w:ascii="Cambria Math" w:hAnsi="Cambria Math" w:cs="Arial"/>
                              </w:rPr>
                              <m:t>*</m:t>
                            </m:r>
                          </m:sup>
                        </m:sSup>
                      </m:e>
                      <m:sup>
                        <m:r>
                          <w:rPr>
                            <w:rFonts w:ascii="Cambria Math" w:hAnsi="Cambria Math" w:cs="Arial"/>
                          </w:rPr>
                          <m:t>0.14874</m:t>
                        </m:r>
                      </m:sup>
                    </m:sSup>
                  </m:den>
                </m:f>
                <m:r>
                  <w:rPr>
                    <w:rFonts w:ascii="Cambria Math" w:hAnsi="Cambria Math"/>
                  </w:rPr>
                  <m:t>+</m:t>
                </m:r>
                <m:f>
                  <m:fPr>
                    <m:ctrlPr>
                      <w:rPr>
                        <w:rFonts w:ascii="Cambria Math" w:hAnsi="Cambria Math"/>
                        <w:i/>
                      </w:rPr>
                    </m:ctrlPr>
                  </m:fPr>
                  <m:num>
                    <m:r>
                      <w:rPr>
                        <w:rFonts w:ascii="Cambria Math" w:hAnsi="Cambria Math"/>
                      </w:rPr>
                      <m:t>0.52487</m:t>
                    </m:r>
                  </m:num>
                  <m:den>
                    <m:func>
                      <m:funcPr>
                        <m:ctrlPr>
                          <w:rPr>
                            <w:rFonts w:ascii="Cambria Math" w:hAnsi="Cambria Math"/>
                            <w:i/>
                          </w:rPr>
                        </m:ctrlPr>
                      </m:funcPr>
                      <m:fName>
                        <m:r>
                          <m:rPr>
                            <m:sty m:val="p"/>
                          </m:rPr>
                          <w:rPr>
                            <w:rFonts w:ascii="Cambria Math" w:hAnsi="Cambria Math"/>
                          </w:rPr>
                          <m:t>exp</m:t>
                        </m:r>
                      </m:fName>
                      <m:e>
                        <m:r>
                          <w:rPr>
                            <w:rFonts w:ascii="Cambria Math" w:hAnsi="Cambria Math"/>
                          </w:rPr>
                          <m:t>(0.77320</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e>
                    </m:func>
                  </m:den>
                </m:f>
                <m:r>
                  <w:rPr>
                    <w:rFonts w:ascii="Cambria Math" w:hAnsi="Cambria Math"/>
                  </w:rPr>
                  <m:t>+</m:t>
                </m:r>
                <m:f>
                  <m:fPr>
                    <m:ctrlPr>
                      <w:rPr>
                        <w:rFonts w:ascii="Cambria Math" w:hAnsi="Cambria Math"/>
                        <w:i/>
                      </w:rPr>
                    </m:ctrlPr>
                  </m:fPr>
                  <m:num>
                    <m:r>
                      <w:rPr>
                        <w:rFonts w:ascii="Cambria Math" w:hAnsi="Cambria Math"/>
                      </w:rPr>
                      <m:t>2.16178</m:t>
                    </m:r>
                  </m:num>
                  <m:den>
                    <m:func>
                      <m:funcPr>
                        <m:ctrlPr>
                          <w:rPr>
                            <w:rFonts w:ascii="Cambria Math" w:hAnsi="Cambria Math"/>
                            <w:i/>
                          </w:rPr>
                        </m:ctrlPr>
                      </m:funcPr>
                      <m:fName>
                        <m:r>
                          <m:rPr>
                            <m:sty m:val="p"/>
                          </m:rPr>
                          <w:rPr>
                            <w:rFonts w:ascii="Cambria Math" w:hAnsi="Cambria Math"/>
                          </w:rPr>
                          <m:t>exp</m:t>
                        </m:r>
                      </m:fName>
                      <m:e>
                        <m:r>
                          <w:rPr>
                            <w:rFonts w:ascii="Cambria Math" w:hAnsi="Cambria Math"/>
                          </w:rPr>
                          <m:t>(2.43787</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e>
                    </m:func>
                  </m:den>
                </m:f>
                <m:r>
                  <w:rPr>
                    <w:rFonts w:ascii="Cambria Math" w:hAnsi="Cambria Math"/>
                  </w:rPr>
                  <m:t>-6.43*</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m:t>
                        </m:r>
                      </m:sup>
                    </m:sSup>
                  </m:e>
                  <m:sup>
                    <m:r>
                      <w:rPr>
                        <w:rFonts w:ascii="Cambria Math" w:hAnsi="Cambria Math"/>
                      </w:rPr>
                      <m:t>0.14874</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(18.0323</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m:t>
                            </m:r>
                          </m:sup>
                        </m:sSup>
                      </m:e>
                      <m:sup>
                        <m:r>
                          <w:rPr>
                            <w:rFonts w:ascii="Cambria Math" w:hAnsi="Cambria Math"/>
                          </w:rPr>
                          <m:t>-0.76830</m:t>
                        </m:r>
                      </m:sup>
                    </m:sSup>
                    <m:r>
                      <w:rPr>
                        <w:rFonts w:ascii="Cambria Math" w:hAnsi="Cambria Math"/>
                      </w:rPr>
                      <m:t>-7.27371)</m:t>
                    </m:r>
                  </m:e>
                </m:func>
              </m:oMath>
            </m:oMathPara>
          </w:p>
        </w:tc>
        <w:tc>
          <w:tcPr>
            <w:tcW w:w="801" w:type="dxa"/>
            <w:shd w:val="clear" w:color="auto" w:fill="auto"/>
            <w:vAlign w:val="center"/>
          </w:tcPr>
          <w:p w14:paraId="73B6C89B" w14:textId="63900B7C" w:rsidR="00B0015A" w:rsidRPr="00B57B36" w:rsidRDefault="00B0015A" w:rsidP="00CB12E6">
            <w:pPr>
              <w:pStyle w:val="CETEquation"/>
              <w:jc w:val="right"/>
            </w:pPr>
            <w:r w:rsidRPr="00B57B36">
              <w:t>(</w:t>
            </w:r>
            <w:r w:rsidR="00865DCF">
              <w:t>7</w:t>
            </w:r>
            <w:r w:rsidRPr="00B57B36">
              <w:t>)</w:t>
            </w:r>
          </w:p>
        </w:tc>
      </w:tr>
      <w:tr w:rsidR="00F91A38" w:rsidRPr="00B57B36" w14:paraId="42A97649" w14:textId="77777777" w:rsidTr="00CB12E6">
        <w:tc>
          <w:tcPr>
            <w:tcW w:w="7986" w:type="dxa"/>
            <w:shd w:val="clear" w:color="auto" w:fill="auto"/>
            <w:vAlign w:val="center"/>
          </w:tcPr>
          <w:p w14:paraId="3DEA448B" w14:textId="623E2958" w:rsidR="00F91A38" w:rsidRPr="00F91A38" w:rsidRDefault="00000000" w:rsidP="00CB12E6">
            <w:pPr>
              <w:pStyle w:val="CETEquation"/>
            </w:pPr>
            <m:oMathPara>
              <m:oMathParaPr>
                <m:jc m:val="left"/>
              </m:oMathParaPr>
              <m:oMath>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=1.2594</m:t>
                </m:r>
                <m:sSub>
                  <m:sSubPr>
                    <m:ctrlPr>
                      <w:rPr>
                        <w:rFonts w:ascii="Cambria Math" w:hAnsi="Cambria Math"/>
                        <w:i/>
                      </w:rPr>
                    </m:ctrlPr>
                  </m:sSubPr>
                  <m:e>
                    <m:r>
                      <w:rPr>
                        <w:rFonts w:ascii="Cambria Math" w:hAnsi="Cambria Math"/>
                      </w:rPr>
                      <m:t>T</m:t>
                    </m:r>
                  </m:e>
                  <m:sub>
                    <m:r>
                      <w:rPr>
                        <w:rFonts w:ascii="Cambria Math" w:hAnsi="Cambria Math"/>
                      </w:rPr>
                      <m:t>r</m:t>
                    </m:r>
                  </m:sub>
                </m:sSub>
              </m:oMath>
            </m:oMathPara>
          </w:p>
        </w:tc>
        <w:tc>
          <w:tcPr>
            <w:tcW w:w="801" w:type="dxa"/>
            <w:shd w:val="clear" w:color="auto" w:fill="auto"/>
            <w:vAlign w:val="center"/>
          </w:tcPr>
          <w:p w14:paraId="5F545E10" w14:textId="5A0B64CA" w:rsidR="00F91A38" w:rsidRPr="00B57B36" w:rsidRDefault="00F91A38" w:rsidP="00CB12E6">
            <w:pPr>
              <w:pStyle w:val="CETEquation"/>
              <w:jc w:val="right"/>
            </w:pPr>
            <w:r w:rsidRPr="00B57B36">
              <w:t>(</w:t>
            </w:r>
            <w:r w:rsidR="00865DCF">
              <w:t>8</w:t>
            </w:r>
            <w:r w:rsidRPr="00B57B36">
              <w:t>)</w:t>
            </w:r>
          </w:p>
        </w:tc>
      </w:tr>
      <w:tr w:rsidR="00F91A38" w:rsidRPr="00B57B36" w14:paraId="31B291E0" w14:textId="77777777" w:rsidTr="00CB12E6">
        <w:tc>
          <w:tcPr>
            <w:tcW w:w="7986" w:type="dxa"/>
            <w:shd w:val="clear" w:color="auto" w:fill="auto"/>
            <w:vAlign w:val="center"/>
          </w:tcPr>
          <w:p w14:paraId="55F08103" w14:textId="56B943B5" w:rsidR="00F91A38" w:rsidRPr="00F91A38" w:rsidRDefault="00000000" w:rsidP="00CB12E6">
            <w:pPr>
              <w:pStyle w:val="CETEquation"/>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=1-0.2756ω+0.0590035</m:t>
                </m:r>
                <m:sSubSup>
                  <m:sSubSupPr>
                    <m:ctrlPr>
                      <w:rPr>
                        <w:rFonts w:ascii="Cambria Math" w:hAnsi="Cambria Math"/>
                        <w:i/>
                      </w:rPr>
                    </m:ctrlPr>
                  </m:sSubSupPr>
                  <m:e>
                    <m:r>
                      <w:rPr>
                        <w:rFonts w:ascii="Cambria Math" w:hAnsi="Cambria Math"/>
                      </w:rPr>
                      <m:t>μ</m:t>
                    </m:r>
                  </m:e>
                  <m:sub>
                    <m:r>
                      <w:rPr>
                        <w:rFonts w:ascii="Cambria Math" w:hAnsi="Cambria Math"/>
                      </w:rPr>
                      <m:t>r</m:t>
                    </m:r>
                  </m:sub>
                  <m:sup>
                    <m:r>
                      <w:rPr>
                        <w:rFonts w:ascii="Cambria Math" w:hAnsi="Cambria Math"/>
                      </w:rPr>
                      <m:t>4</m:t>
                    </m:r>
                  </m:sup>
                </m:sSubSup>
                <m:r>
                  <w:rPr>
                    <w:rFonts w:ascii="Cambria Math" w:hAnsi="Cambria Math"/>
                  </w:rPr>
                  <m:t>+κ</m:t>
                </m:r>
              </m:oMath>
            </m:oMathPara>
          </w:p>
        </w:tc>
        <w:tc>
          <w:tcPr>
            <w:tcW w:w="801" w:type="dxa"/>
            <w:shd w:val="clear" w:color="auto" w:fill="auto"/>
            <w:vAlign w:val="center"/>
          </w:tcPr>
          <w:p w14:paraId="069232C6" w14:textId="1A63C942" w:rsidR="00F91A38" w:rsidRPr="00B57B36" w:rsidRDefault="00F91A38" w:rsidP="00CB12E6">
            <w:pPr>
              <w:pStyle w:val="CETEquation"/>
              <w:jc w:val="right"/>
            </w:pPr>
            <w:r w:rsidRPr="00B57B36">
              <w:t>(</w:t>
            </w:r>
            <w:r w:rsidR="00865DCF">
              <w:t>9</w:t>
            </w:r>
            <w:r w:rsidRPr="00B57B36">
              <w:t>)</w:t>
            </w:r>
          </w:p>
        </w:tc>
      </w:tr>
    </w:tbl>
    <w:p w14:paraId="438AFF13" w14:textId="5F3BE0EA" w:rsidR="00CE2AB7" w:rsidRDefault="00796F38" w:rsidP="0055492C">
      <w:pPr>
        <w:pStyle w:val="CETBodytext"/>
        <w:rPr>
          <w:lang w:val="en-GB"/>
        </w:rPr>
      </w:pPr>
      <w:r>
        <w:rPr>
          <w:lang w:val="en-GB"/>
        </w:rPr>
        <w:t xml:space="preserve">Where </w:t>
      </w:r>
      <m:oMath>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CE</m:t>
            </m:r>
          </m:sub>
        </m:sSub>
      </m:oMath>
      <w:r>
        <w:rPr>
          <w:lang w:val="en-GB"/>
        </w:rPr>
        <w:t>(</w:t>
      </w:r>
      <m:oMath>
        <m:r>
          <w:rPr>
            <w:rFonts w:ascii="Cambria Math" w:hAnsi="Cambria Math"/>
            <w:lang w:val="en-GB"/>
          </w:rPr>
          <m:t>μP</m:t>
        </m:r>
      </m:oMath>
      <w:r>
        <w:rPr>
          <w:lang w:val="en-GB"/>
        </w:rPr>
        <w:t xml:space="preserve">) is the dilute gas viscosity, </w:t>
      </w:r>
      <m:oMath>
        <m:sSub>
          <m:sSubPr>
            <m:ctrlPr>
              <w:rPr>
                <w:rFonts w:ascii="Cambria Math" w:hAnsi="Cambria Math"/>
                <w:i/>
                <w:lang w:val="en-GB"/>
              </w:rPr>
            </m:ctrlPr>
          </m:sSubPr>
          <m:e>
            <m:r>
              <w:rPr>
                <w:rFonts w:ascii="Cambria Math" w:hAnsi="Cambria Math"/>
                <w:lang w:val="en-GB"/>
              </w:rPr>
              <m:t>M</m:t>
            </m:r>
          </m:e>
          <m:sub>
            <m:r>
              <w:rPr>
                <w:rFonts w:ascii="Cambria Math" w:hAnsi="Cambria Math"/>
                <w:vertAlign w:val="subscript"/>
                <w:lang w:val="en-GB"/>
              </w:rPr>
              <m:t>w</m:t>
            </m:r>
          </m:sub>
        </m:sSub>
      </m:oMath>
      <w:r>
        <w:rPr>
          <w:lang w:val="en-GB"/>
        </w:rPr>
        <w:t xml:space="preserve">(g/mol) is the molecular weight,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c</m:t>
            </m:r>
          </m:sub>
        </m:sSub>
      </m:oMath>
      <w:r>
        <w:rPr>
          <w:lang w:val="en-GB"/>
        </w:rPr>
        <w:t>(cm</w:t>
      </w:r>
      <w:r>
        <w:rPr>
          <w:vertAlign w:val="superscript"/>
          <w:lang w:val="en-GB"/>
        </w:rPr>
        <w:t>3</w:t>
      </w:r>
      <w:r>
        <w:rPr>
          <w:lang w:val="en-GB"/>
        </w:rPr>
        <w:t xml:space="preserve">/mol) is the critical volume,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r</m:t>
            </m:r>
          </m:sub>
        </m:sSub>
      </m:oMath>
      <w:r>
        <w:rPr>
          <w:lang w:val="en-GB"/>
        </w:rPr>
        <w:t xml:space="preserve"> is the reduced temperature, </w:t>
      </w:r>
      <m:oMath>
        <m:r>
          <w:rPr>
            <w:rFonts w:ascii="Cambria Math" w:hAnsi="Cambria Math"/>
            <w:lang w:val="en-GB"/>
          </w:rPr>
          <m:t>T</m:t>
        </m:r>
      </m:oMath>
      <w:r>
        <w:rPr>
          <w:lang w:val="en-GB"/>
        </w:rPr>
        <w:t xml:space="preserve">(K) is an absolute temperature, </w:t>
      </w:r>
      <m:oMath>
        <m:sSup>
          <m:sSupPr>
            <m:ctrlPr>
              <w:rPr>
                <w:rFonts w:ascii="Cambria Math" w:hAnsi="Cambria Math"/>
                <w:i/>
                <w:lang w:val="en-GB"/>
              </w:rPr>
            </m:ctrlPr>
          </m:sSupPr>
          <m:e>
            <m:r>
              <m:rPr>
                <m:sty m:val="p"/>
              </m:rPr>
              <w:rPr>
                <w:rFonts w:ascii="Cambria Math" w:hAnsi="Cambria Math"/>
                <w:lang w:val="en-GB"/>
              </w:rPr>
              <m:t>Ω</m:t>
            </m:r>
            <m:ctrlPr>
              <w:rPr>
                <w:rFonts w:ascii="Cambria Math" w:hAnsi="Cambria Math"/>
                <w:lang w:val="en-GB"/>
              </w:rPr>
            </m:ctrlPr>
          </m:e>
          <m:sup>
            <m:r>
              <w:rPr>
                <w:rFonts w:ascii="Cambria Math" w:hAnsi="Cambria Math"/>
                <w:lang w:val="en-GB"/>
              </w:rPr>
              <m:t>*</m:t>
            </m:r>
          </m:sup>
        </m:sSup>
      </m:oMath>
      <w:r>
        <w:rPr>
          <w:lang w:val="en-GB"/>
        </w:rPr>
        <w:t xml:space="preserve"> is Neufeld’s collision integral,</w:t>
      </w:r>
      <w:r w:rsidR="00AE3EF4">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m:t>
            </m:r>
          </m:sub>
        </m:sSub>
      </m:oMath>
      <w:r w:rsidR="00AE3EF4">
        <w:rPr>
          <w:lang w:val="en-GB"/>
        </w:rPr>
        <w:t xml:space="preserve"> is an empirical factor that improves predictions for polar substances, </w:t>
      </w:r>
      <m:oMath>
        <m:r>
          <w:rPr>
            <w:rFonts w:ascii="Cambria Math" w:hAnsi="Cambria Math"/>
            <w:lang w:val="en-GB"/>
          </w:rPr>
          <m:t>ω</m:t>
        </m:r>
      </m:oMath>
      <w:r w:rsidR="00252D96">
        <w:rPr>
          <w:lang w:val="en-GB"/>
        </w:rPr>
        <w:t xml:space="preserve"> is the acentric factor, </w:t>
      </w:r>
      <m:oMath>
        <m:r>
          <w:rPr>
            <w:rFonts w:ascii="Cambria Math" w:hAnsi="Cambria Math"/>
            <w:lang w:val="en-GB"/>
          </w:rPr>
          <m:t>κ</m:t>
        </m:r>
      </m:oMath>
      <w:r w:rsidR="00252D96">
        <w:rPr>
          <w:lang w:val="en-GB"/>
        </w:rPr>
        <w:t xml:space="preserve"> is an associating parameter for highly polar and associating substances such as alcohols and acids and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r</m:t>
            </m:r>
          </m:sub>
        </m:sSub>
      </m:oMath>
      <w:r w:rsidR="00252D96">
        <w:rPr>
          <w:lang w:val="en-GB"/>
        </w:rPr>
        <w:t xml:space="preserve"> is the reduced dipole moment. For the sake of model simplicity,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m:t>
            </m:r>
          </m:sub>
        </m:sSub>
      </m:oMath>
      <w:r w:rsidR="00F27772">
        <w:rPr>
          <w:lang w:val="en-GB"/>
        </w:rPr>
        <w:t xml:space="preserve"> is assumed to be 1.</w:t>
      </w:r>
    </w:p>
    <w:p w14:paraId="18BAFA6F" w14:textId="248B5865" w:rsidR="00453E24" w:rsidRPr="00B57B36" w:rsidRDefault="00BD3E3B" w:rsidP="00453E24">
      <w:pPr>
        <w:pStyle w:val="CETheadingx"/>
      </w:pPr>
      <w:r>
        <w:t>M</w:t>
      </w:r>
      <w:r w:rsidRPr="00BD3E3B">
        <w:t>ethodology</w:t>
      </w:r>
    </w:p>
    <w:p w14:paraId="1C1F868F" w14:textId="1724F907" w:rsidR="007617E9" w:rsidRDefault="00D55449" w:rsidP="005A79A0">
      <w:pPr>
        <w:pStyle w:val="CETBodytext"/>
        <w:rPr>
          <w:lang w:val="en-GB"/>
        </w:rPr>
      </w:pPr>
      <w:r w:rsidRPr="00D55449">
        <w:rPr>
          <w:lang w:val="en-GB"/>
        </w:rPr>
        <w:t xml:space="preserve">To use the residual entropy approach with SRK and PR </w:t>
      </w:r>
      <w:r w:rsidR="009C3C85">
        <w:rPr>
          <w:lang w:val="en-GB"/>
        </w:rPr>
        <w:t>E</w:t>
      </w:r>
      <w:r w:rsidRPr="00D55449">
        <w:rPr>
          <w:lang w:val="en-GB"/>
        </w:rPr>
        <w:t xml:space="preserve">quations of </w:t>
      </w:r>
      <w:r w:rsidR="009C3C85">
        <w:rPr>
          <w:lang w:val="en-GB"/>
        </w:rPr>
        <w:t>S</w:t>
      </w:r>
      <w:r w:rsidRPr="00D55449">
        <w:rPr>
          <w:lang w:val="en-GB"/>
        </w:rPr>
        <w:t>tate, it is necessary to obtain the critical properties and</w:t>
      </w:r>
      <w:r>
        <w:rPr>
          <w:lang w:val="en-GB"/>
        </w:rPr>
        <w:t xml:space="preserve"> acentric </w:t>
      </w:r>
      <w:r w:rsidRPr="00D55449">
        <w:rPr>
          <w:lang w:val="en-GB"/>
        </w:rPr>
        <w:t>factors for various types of DES</w:t>
      </w:r>
      <w:r w:rsidR="003D4728">
        <w:rPr>
          <w:lang w:val="en-GB"/>
        </w:rPr>
        <w:t xml:space="preserve">. Mirza et al. (2015) estimated these properties using the modified </w:t>
      </w:r>
      <w:proofErr w:type="spellStart"/>
      <w:r w:rsidR="003D4728" w:rsidRPr="003D4728">
        <w:rPr>
          <w:lang w:val="en-GB"/>
        </w:rPr>
        <w:t>Lydersen</w:t>
      </w:r>
      <w:proofErr w:type="spellEnd"/>
      <w:r w:rsidR="003D4728" w:rsidRPr="003D4728">
        <w:rPr>
          <w:lang w:val="en-GB"/>
        </w:rPr>
        <w:t>−</w:t>
      </w:r>
      <w:proofErr w:type="spellStart"/>
      <w:r w:rsidR="003D4728" w:rsidRPr="003D4728">
        <w:rPr>
          <w:lang w:val="en-GB"/>
        </w:rPr>
        <w:t>Joback</w:t>
      </w:r>
      <w:proofErr w:type="spellEnd"/>
      <w:r w:rsidR="003D4728" w:rsidRPr="003D4728">
        <w:rPr>
          <w:lang w:val="en-GB"/>
        </w:rPr>
        <w:t>−Reid (LJR) method and the Lee−Kesler mixing rules</w:t>
      </w:r>
      <w:r w:rsidR="003D4728">
        <w:rPr>
          <w:lang w:val="en-GB"/>
        </w:rPr>
        <w:t xml:space="preserve"> for 39 DES</w:t>
      </w:r>
      <w:r w:rsidR="00245AC5">
        <w:rPr>
          <w:lang w:val="en-GB"/>
        </w:rPr>
        <w:t xml:space="preserve">. </w:t>
      </w:r>
      <w:r w:rsidR="005C73C6">
        <w:rPr>
          <w:lang w:val="en-GB"/>
        </w:rPr>
        <w:t>In addition, to</w:t>
      </w:r>
      <w:r w:rsidR="005C73C6" w:rsidRPr="005C73C6">
        <w:rPr>
          <w:lang w:val="en-GB"/>
        </w:rPr>
        <w:t xml:space="preserve"> confirm that a DES exhibits </w:t>
      </w:r>
      <w:r w:rsidR="0005579C">
        <w:rPr>
          <w:lang w:val="en-GB"/>
        </w:rPr>
        <w:t xml:space="preserve">a </w:t>
      </w:r>
      <w:r w:rsidR="005C73C6" w:rsidRPr="005C73C6">
        <w:rPr>
          <w:lang w:val="en-GB"/>
        </w:rPr>
        <w:t xml:space="preserve">residual-entropy scaling </w:t>
      </w:r>
      <w:r w:rsidR="0005579C" w:rsidRPr="005C73C6">
        <w:rPr>
          <w:lang w:val="en-GB"/>
        </w:rPr>
        <w:t>behaviour</w:t>
      </w:r>
      <w:r w:rsidR="005C73C6" w:rsidRPr="005C73C6">
        <w:rPr>
          <w:lang w:val="en-GB"/>
        </w:rPr>
        <w:t xml:space="preserve">, dynamic viscosity data at various temperatures and pressures </w:t>
      </w:r>
      <w:r w:rsidR="008A7FDF">
        <w:rPr>
          <w:lang w:val="en-GB"/>
        </w:rPr>
        <w:t>are</w:t>
      </w:r>
      <w:r w:rsidR="005C73C6" w:rsidRPr="005C73C6">
        <w:rPr>
          <w:lang w:val="en-GB"/>
        </w:rPr>
        <w:t xml:space="preserve"> crucial. However, only three DES meet this requirement: </w:t>
      </w:r>
      <w:proofErr w:type="spellStart"/>
      <w:r w:rsidR="005C73C6" w:rsidRPr="005C73C6">
        <w:rPr>
          <w:lang w:val="en-GB"/>
        </w:rPr>
        <w:t>ChCl:Ethylene</w:t>
      </w:r>
      <w:proofErr w:type="spellEnd"/>
      <w:r w:rsidR="005C73C6" w:rsidRPr="005C73C6">
        <w:rPr>
          <w:lang w:val="en-GB"/>
        </w:rPr>
        <w:t xml:space="preserve"> Glycol (1:2), </w:t>
      </w:r>
      <w:proofErr w:type="spellStart"/>
      <w:r w:rsidR="005C73C6" w:rsidRPr="005C73C6">
        <w:rPr>
          <w:lang w:val="en-GB"/>
        </w:rPr>
        <w:t>ChCl:Ethylene</w:t>
      </w:r>
      <w:proofErr w:type="spellEnd"/>
      <w:r w:rsidR="005C73C6" w:rsidRPr="005C73C6">
        <w:rPr>
          <w:lang w:val="en-GB"/>
        </w:rPr>
        <w:t xml:space="preserve"> Glycol (1:2), and </w:t>
      </w:r>
      <w:proofErr w:type="spellStart"/>
      <w:r w:rsidR="005C73C6" w:rsidRPr="005C73C6">
        <w:rPr>
          <w:lang w:val="en-GB"/>
        </w:rPr>
        <w:t>ChCl:Urea</w:t>
      </w:r>
      <w:proofErr w:type="spellEnd"/>
      <w:r w:rsidR="005C73C6" w:rsidRPr="005C73C6">
        <w:rPr>
          <w:lang w:val="en-GB"/>
        </w:rPr>
        <w:t xml:space="preserve"> (1:2), commercially referred to as Ethaline, </w:t>
      </w:r>
      <w:proofErr w:type="spellStart"/>
      <w:r w:rsidR="005C73C6" w:rsidRPr="005C73C6">
        <w:rPr>
          <w:lang w:val="en-GB"/>
        </w:rPr>
        <w:t>Glyceline</w:t>
      </w:r>
      <w:proofErr w:type="spellEnd"/>
      <w:r w:rsidR="005C73C6" w:rsidRPr="005C73C6">
        <w:rPr>
          <w:lang w:val="en-GB"/>
        </w:rPr>
        <w:t>, and Reline.</w:t>
      </w:r>
      <w:r w:rsidR="005C73C6">
        <w:rPr>
          <w:lang w:val="en-GB"/>
        </w:rPr>
        <w:t xml:space="preserve"> </w:t>
      </w:r>
      <w:r w:rsidR="005C73C6" w:rsidRPr="005C73C6">
        <w:rPr>
          <w:lang w:val="en-GB"/>
        </w:rPr>
        <w:t xml:space="preserve">According to the </w:t>
      </w:r>
      <w:r w:rsidR="005C73C6">
        <w:rPr>
          <w:lang w:val="en-GB"/>
        </w:rPr>
        <w:t xml:space="preserve">information at hand, </w:t>
      </w:r>
      <w:r w:rsidR="00720939" w:rsidRPr="00720939">
        <w:rPr>
          <w:lang w:val="en-GB"/>
        </w:rPr>
        <w:t xml:space="preserve">Crespo et al. (2019) is the only source </w:t>
      </w:r>
      <w:r w:rsidR="00183E6E">
        <w:rPr>
          <w:lang w:val="en-GB"/>
        </w:rPr>
        <w:t>who</w:t>
      </w:r>
      <w:r w:rsidR="00720939" w:rsidRPr="00720939">
        <w:rPr>
          <w:lang w:val="en-GB"/>
        </w:rPr>
        <w:t xml:space="preserve"> has characterized dynamic viscosity of DES at high pressure, and their experimental data can be found in the supplementary data of their article</w:t>
      </w:r>
      <w:r w:rsidR="00720939">
        <w:rPr>
          <w:lang w:val="en-GB"/>
        </w:rPr>
        <w:t xml:space="preserve">. </w:t>
      </w:r>
      <w:r w:rsidR="007617E9" w:rsidRPr="007617E9">
        <w:rPr>
          <w:lang w:val="en-GB"/>
        </w:rPr>
        <w:t xml:space="preserve">Consequently, this work </w:t>
      </w:r>
      <w:r w:rsidR="006F4FCD">
        <w:rPr>
          <w:lang w:val="en-GB"/>
        </w:rPr>
        <w:t xml:space="preserve">is </w:t>
      </w:r>
      <w:r w:rsidR="00720939">
        <w:rPr>
          <w:lang w:val="en-GB"/>
        </w:rPr>
        <w:t>focused</w:t>
      </w:r>
      <w:r w:rsidR="007617E9" w:rsidRPr="007617E9">
        <w:rPr>
          <w:lang w:val="en-GB"/>
        </w:rPr>
        <w:t xml:space="preserve"> on these </w:t>
      </w:r>
      <w:r w:rsidR="00720939">
        <w:rPr>
          <w:lang w:val="en-GB"/>
        </w:rPr>
        <w:t>three</w:t>
      </w:r>
      <w:r w:rsidR="007617E9" w:rsidRPr="007617E9">
        <w:rPr>
          <w:lang w:val="en-GB"/>
        </w:rPr>
        <w:t xml:space="preserve"> DES.</w:t>
      </w:r>
    </w:p>
    <w:p w14:paraId="53115F59" w14:textId="5CA5EE91" w:rsidR="0072082A" w:rsidRPr="0072082A" w:rsidRDefault="0072082A" w:rsidP="0072082A">
      <w:pPr>
        <w:pStyle w:val="CETBodytext"/>
        <w:rPr>
          <w:lang w:val="en-GB"/>
        </w:rPr>
      </w:pPr>
      <w:r>
        <w:rPr>
          <w:lang w:val="en-GB"/>
        </w:rPr>
        <w:t>R</w:t>
      </w:r>
      <w:r w:rsidR="000E3512">
        <w:rPr>
          <w:lang w:val="en-GB"/>
        </w:rPr>
        <w:t>educed</w:t>
      </w:r>
      <w:r w:rsidR="00A84D80">
        <w:rPr>
          <w:lang w:val="en-GB"/>
        </w:rPr>
        <w:t xml:space="preserve"> dynamic viscosity experimental data</w:t>
      </w:r>
      <w:r w:rsidR="009C3C85">
        <w:rPr>
          <w:lang w:val="en-GB"/>
        </w:rPr>
        <w:t xml:space="preserve">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η</m:t>
                </m:r>
              </m:e>
            </m:acc>
          </m:e>
          <m:sub>
            <m:r>
              <w:rPr>
                <w:rFonts w:ascii="Cambria Math" w:hAnsi="Cambria Math" w:cs="Arial"/>
              </w:rPr>
              <m:t>exp</m:t>
            </m:r>
          </m:sub>
        </m:sSub>
      </m:oMath>
      <w:r w:rsidR="009C3C85">
        <w:rPr>
          <w:lang w:val="en-GB"/>
        </w:rPr>
        <w:t>)</w:t>
      </w:r>
      <w:r w:rsidRPr="0072082A">
        <w:rPr>
          <w:lang w:val="en-GB"/>
        </w:rPr>
        <w:t xml:space="preserve"> was found to increase nearly exponentially with increasing reduced residual entrop</w:t>
      </w:r>
      <w:r w:rsidR="00485296">
        <w:rPr>
          <w:lang w:val="en-GB"/>
        </w:rPr>
        <w:t>y. T</w:t>
      </w:r>
      <w:r w:rsidR="00485296" w:rsidRPr="0072082A">
        <w:rPr>
          <w:lang w:val="en-GB"/>
        </w:rPr>
        <w:t>o</w:t>
      </w:r>
      <w:r w:rsidRPr="0072082A">
        <w:rPr>
          <w:lang w:val="en-GB"/>
        </w:rPr>
        <w:t xml:space="preserve"> model this relationship, the reduced viscosity data were fit to the following exponential</w:t>
      </w:r>
      <w:r>
        <w:rPr>
          <w:lang w:val="en-GB"/>
        </w:rPr>
        <w:t xml:space="preserve"> scaling</w:t>
      </w:r>
      <w:r w:rsidRPr="0072082A">
        <w:rPr>
          <w:lang w:val="en-GB"/>
        </w:rPr>
        <w:t xml:space="preserve"> function</w:t>
      </w:r>
      <w:r>
        <w:rPr>
          <w:lang w:val="en-GB"/>
        </w:rPr>
        <w:t xml:space="preserve"> (</w:t>
      </w:r>
      <w:proofErr w:type="spellStart"/>
      <w:r>
        <w:rPr>
          <w:lang w:val="en-GB"/>
        </w:rPr>
        <w:t>Mairhofer</w:t>
      </w:r>
      <w:proofErr w:type="spellEnd"/>
      <w:r w:rsidR="00183E6E">
        <w:rPr>
          <w:lang w:val="en-GB"/>
        </w:rPr>
        <w:t>, 2021</w:t>
      </w:r>
      <w:r>
        <w:rPr>
          <w:lang w:val="en-GB"/>
        </w:rPr>
        <w:t>)</w:t>
      </w:r>
      <w:r w:rsidRPr="0072082A">
        <w:rPr>
          <w:lang w:val="en-GB"/>
        </w:rPr>
        <w:t>:</w:t>
      </w:r>
    </w:p>
    <w:tbl>
      <w:tblPr>
        <w:tblW w:w="5000" w:type="pct"/>
        <w:tblLook w:val="04A0" w:firstRow="1" w:lastRow="0" w:firstColumn="1" w:lastColumn="0" w:noHBand="0" w:noVBand="1"/>
      </w:tblPr>
      <w:tblGrid>
        <w:gridCol w:w="7986"/>
        <w:gridCol w:w="801"/>
      </w:tblGrid>
      <w:tr w:rsidR="0072082A" w:rsidRPr="00B57B36" w14:paraId="4E379B50" w14:textId="77777777" w:rsidTr="00CB12E6">
        <w:tc>
          <w:tcPr>
            <w:tcW w:w="7986" w:type="dxa"/>
            <w:shd w:val="clear" w:color="auto" w:fill="auto"/>
            <w:vAlign w:val="center"/>
          </w:tcPr>
          <w:p w14:paraId="47395A9E" w14:textId="6FCC6E52" w:rsidR="0072082A" w:rsidRPr="00966945" w:rsidRDefault="00000000" w:rsidP="00CB12E6">
            <w:pPr>
              <w:pStyle w:val="CETEquation"/>
              <w:rPr>
                <w:rFonts w:cs="Arial"/>
              </w:rPr>
            </w:pPr>
            <m:oMathPara>
              <m:oMathParaPr>
                <m:jc m:val="left"/>
              </m:oMathParaPr>
              <m:oMath>
                <m:acc>
                  <m:accPr>
                    <m:chr m:val="̃"/>
                    <m:ctrlPr>
                      <w:rPr>
                        <w:rFonts w:ascii="Cambria Math" w:hAnsi="Cambria Math" w:cs="Arial"/>
                        <w:i/>
                      </w:rPr>
                    </m:ctrlPr>
                  </m:accPr>
                  <m:e>
                    <m:r>
                      <w:rPr>
                        <w:rFonts w:ascii="Cambria Math" w:hAnsi="Cambria Math" w:cs="Arial"/>
                      </w:rPr>
                      <m:t>η</m:t>
                    </m:r>
                  </m:e>
                </m:acc>
                <m:d>
                  <m:dPr>
                    <m:ctrlPr>
                      <w:rPr>
                        <w:rFonts w:ascii="Cambria Math" w:hAnsi="Cambria Math" w:cs="Arial"/>
                        <w:i/>
                      </w:rPr>
                    </m:ctrlPr>
                  </m:dPr>
                  <m:e>
                    <m:r>
                      <w:rPr>
                        <w:rFonts w:ascii="Cambria Math" w:hAnsi="Cambria Math" w:cs="Arial"/>
                      </w:rPr>
                      <m:t>ρ,T</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exp</m:t>
                    </m:r>
                  </m:fName>
                  <m:e>
                    <m:r>
                      <w:rPr>
                        <w:rFonts w:ascii="Cambria Math" w:hAnsi="Cambria Math" w:cs="Arial"/>
                      </w:rPr>
                      <m:t>(A+BX+C</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e>
                </m:func>
              </m:oMath>
            </m:oMathPara>
          </w:p>
        </w:tc>
        <w:tc>
          <w:tcPr>
            <w:tcW w:w="801" w:type="dxa"/>
            <w:shd w:val="clear" w:color="auto" w:fill="auto"/>
            <w:vAlign w:val="center"/>
          </w:tcPr>
          <w:p w14:paraId="7E56423A" w14:textId="012CA78C" w:rsidR="0072082A" w:rsidRPr="00B57B36" w:rsidRDefault="0072082A" w:rsidP="00CB12E6">
            <w:pPr>
              <w:pStyle w:val="CETEquation"/>
              <w:jc w:val="right"/>
            </w:pPr>
            <w:r w:rsidRPr="00B57B36">
              <w:t>(1</w:t>
            </w:r>
            <w:r w:rsidR="00865DCF">
              <w:t>0</w:t>
            </w:r>
            <w:r w:rsidRPr="00B57B36">
              <w:t>)</w:t>
            </w:r>
          </w:p>
        </w:tc>
      </w:tr>
    </w:tbl>
    <w:p w14:paraId="1E192AF7" w14:textId="24CE7346" w:rsidR="00BD3E3B" w:rsidRDefault="0072082A" w:rsidP="0072082A">
      <w:pPr>
        <w:pStyle w:val="CETBodytext"/>
        <w:rPr>
          <w:lang w:val="en-GB"/>
        </w:rPr>
      </w:pPr>
      <w:r w:rsidRPr="0072082A">
        <w:rPr>
          <w:lang w:val="en-GB"/>
        </w:rPr>
        <w:t xml:space="preserve">where </w:t>
      </w:r>
      <m:oMath>
        <m:acc>
          <m:accPr>
            <m:chr m:val="̃"/>
            <m:ctrlPr>
              <w:rPr>
                <w:rFonts w:ascii="Cambria Math" w:hAnsi="Cambria Math"/>
                <w:i/>
                <w:lang w:val="en-GB"/>
              </w:rPr>
            </m:ctrlPr>
          </m:accPr>
          <m:e>
            <m:r>
              <w:rPr>
                <w:rFonts w:ascii="Cambria Math" w:hAnsi="Cambria Math"/>
                <w:lang w:val="en-GB"/>
              </w:rPr>
              <m:t>η</m:t>
            </m:r>
          </m:e>
        </m:acc>
      </m:oMath>
      <w:r>
        <w:rPr>
          <w:lang w:val="en-GB"/>
        </w:rPr>
        <w:t xml:space="preserve"> </w:t>
      </w:r>
      <w:r w:rsidRPr="0072082A">
        <w:rPr>
          <w:lang w:val="en-GB"/>
        </w:rPr>
        <w:t xml:space="preserve">is the reduced </w:t>
      </w:r>
      <w:r>
        <w:rPr>
          <w:lang w:val="en-GB"/>
        </w:rPr>
        <w:t xml:space="preserve">dynamic </w:t>
      </w:r>
      <w:r w:rsidRPr="0072082A">
        <w:rPr>
          <w:lang w:val="en-GB"/>
        </w:rPr>
        <w:t>viscosity</w:t>
      </w:r>
      <w:r>
        <w:rPr>
          <w:lang w:val="en-GB"/>
        </w:rPr>
        <w:t xml:space="preserve"> model, </w:t>
      </w:r>
      <m:oMath>
        <m:r>
          <w:rPr>
            <w:rFonts w:ascii="Cambria Math" w:hAnsi="Cambria Math"/>
            <w:lang w:val="en-GB"/>
          </w:rPr>
          <m:t>X</m:t>
        </m:r>
      </m:oMath>
      <w:r>
        <w:rPr>
          <w:lang w:val="en-GB"/>
        </w:rPr>
        <w:t xml:space="preserve"> is the reduced residual entropy (</w:t>
      </w:r>
      <m:oMath>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res</m:t>
                </m:r>
              </m:sup>
            </m:sSup>
            <m:d>
              <m:dPr>
                <m:ctrlPr>
                  <w:rPr>
                    <w:rFonts w:ascii="Cambria Math" w:hAnsi="Cambria Math"/>
                    <w:i/>
                    <w:lang w:val="en-GB"/>
                  </w:rPr>
                </m:ctrlPr>
              </m:dPr>
              <m:e>
                <m:r>
                  <w:rPr>
                    <w:rFonts w:ascii="Cambria Math" w:hAnsi="Cambria Math"/>
                    <w:lang w:val="en-GB"/>
                  </w:rPr>
                  <m:t>ρ,T</m:t>
                </m:r>
              </m:e>
            </m:d>
          </m:num>
          <m:den>
            <m:r>
              <w:rPr>
                <w:rFonts w:ascii="Cambria Math" w:hAnsi="Cambria Math"/>
                <w:lang w:val="en-GB"/>
              </w:rPr>
              <m:t>R</m:t>
            </m:r>
          </m:den>
        </m:f>
      </m:oMath>
      <w:r>
        <w:rPr>
          <w:lang w:val="en-GB"/>
        </w:rPr>
        <w:t>)</w:t>
      </w:r>
      <w:r w:rsidR="001E3157">
        <w:rPr>
          <w:lang w:val="en-GB"/>
        </w:rPr>
        <w:t xml:space="preserve"> and </w:t>
      </w:r>
      <m:oMath>
        <m:r>
          <w:rPr>
            <w:rFonts w:ascii="Cambria Math" w:hAnsi="Cambria Math"/>
            <w:lang w:val="en-GB"/>
          </w:rPr>
          <m:t>A</m:t>
        </m:r>
      </m:oMath>
      <w:r w:rsidR="001E3157">
        <w:rPr>
          <w:lang w:val="en-GB"/>
        </w:rPr>
        <w:t xml:space="preserve">, </w:t>
      </w:r>
      <m:oMath>
        <m:r>
          <w:rPr>
            <w:rFonts w:ascii="Cambria Math" w:hAnsi="Cambria Math"/>
            <w:lang w:val="en-GB"/>
          </w:rPr>
          <m:t>B</m:t>
        </m:r>
      </m:oMath>
      <w:r w:rsidR="001E3157">
        <w:rPr>
          <w:lang w:val="en-GB"/>
        </w:rPr>
        <w:t xml:space="preserve"> and </w:t>
      </w:r>
      <m:oMath>
        <m:r>
          <w:rPr>
            <w:rFonts w:ascii="Cambria Math" w:hAnsi="Cambria Math"/>
            <w:lang w:val="en-GB"/>
          </w:rPr>
          <m:t>C</m:t>
        </m:r>
      </m:oMath>
      <w:r w:rsidR="001E3157">
        <w:rPr>
          <w:lang w:val="en-GB"/>
        </w:rPr>
        <w:t xml:space="preserve"> are the model fitting pa</w:t>
      </w:r>
      <w:r w:rsidR="00391226">
        <w:rPr>
          <w:lang w:val="en-GB"/>
        </w:rPr>
        <w:t>r</w:t>
      </w:r>
      <w:r w:rsidR="001E3157">
        <w:rPr>
          <w:lang w:val="en-GB"/>
        </w:rPr>
        <w:t>ameters.</w:t>
      </w:r>
    </w:p>
    <w:p w14:paraId="1F290C97" w14:textId="3C9DDF5C" w:rsidR="005F5D7C" w:rsidRDefault="005F5D7C" w:rsidP="0072082A">
      <w:pPr>
        <w:pStyle w:val="CETBodytext"/>
        <w:rPr>
          <w:lang w:val="en-GB"/>
        </w:rPr>
      </w:pPr>
      <w:r>
        <w:rPr>
          <w:lang w:val="en-GB"/>
        </w:rPr>
        <w:t>The objective function used for the model fitting was:</w:t>
      </w:r>
    </w:p>
    <w:tbl>
      <w:tblPr>
        <w:tblW w:w="5000" w:type="pct"/>
        <w:tblLook w:val="04A0" w:firstRow="1" w:lastRow="0" w:firstColumn="1" w:lastColumn="0" w:noHBand="0" w:noVBand="1"/>
      </w:tblPr>
      <w:tblGrid>
        <w:gridCol w:w="7986"/>
        <w:gridCol w:w="801"/>
      </w:tblGrid>
      <w:tr w:rsidR="00553044" w:rsidRPr="00B57B36" w14:paraId="71E06DCD" w14:textId="77777777" w:rsidTr="00CB12E6">
        <w:tc>
          <w:tcPr>
            <w:tcW w:w="7986" w:type="dxa"/>
            <w:shd w:val="clear" w:color="auto" w:fill="auto"/>
            <w:vAlign w:val="center"/>
          </w:tcPr>
          <w:p w14:paraId="6F258328" w14:textId="77777777" w:rsidR="00553044" w:rsidRPr="00553044" w:rsidRDefault="00000000" w:rsidP="00CB12E6">
            <w:pPr>
              <w:pStyle w:val="CETEquation"/>
              <w:rPr>
                <w:rFonts w:cs="Arial"/>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OBJ</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η</m:t>
                                            </m:r>
                                          </m:e>
                                        </m:acc>
                                      </m:e>
                                      <m:sub>
                                        <m:r>
                                          <w:rPr>
                                            <w:rFonts w:ascii="Cambria Math" w:hAnsi="Cambria Math" w:cs="Arial"/>
                                          </w:rPr>
                                          <m:t>exp</m:t>
                                        </m:r>
                                      </m:sub>
                                    </m:sSub>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acc>
                                          <m:accPr>
                                            <m:chr m:val="̃"/>
                                            <m:ctrlPr>
                                              <w:rPr>
                                                <w:rFonts w:ascii="Cambria Math" w:hAnsi="Cambria Math" w:cs="Arial"/>
                                                <w:i/>
                                              </w:rPr>
                                            </m:ctrlPr>
                                          </m:accPr>
                                          <m:e>
                                            <m:r>
                                              <w:rPr>
                                                <w:rFonts w:ascii="Cambria Math" w:hAnsi="Cambria Math" w:cs="Arial"/>
                                              </w:rPr>
                                              <m:t>η</m:t>
                                            </m:r>
                                          </m:e>
                                        </m:acc>
                                        <m:d>
                                          <m:dPr>
                                            <m:ctrlPr>
                                              <w:rPr>
                                                <w:rFonts w:ascii="Cambria Math" w:hAnsi="Cambria Math" w:cs="Arial"/>
                                                <w:i/>
                                              </w:rPr>
                                            </m:ctrlPr>
                                          </m:dPr>
                                          <m:e>
                                            <m:r>
                                              <w:rPr>
                                                <w:rFonts w:ascii="Cambria Math" w:hAnsi="Cambria Math" w:cs="Arial"/>
                                              </w:rPr>
                                              <m:t>ρ,T</m:t>
                                            </m:r>
                                          </m:e>
                                        </m:d>
                                      </m:e>
                                    </m:d>
                                  </m:e>
                                </m:func>
                              </m:e>
                            </m:func>
                          </m:e>
                        </m:d>
                      </m:e>
                      <m:sup>
                        <m:r>
                          <w:rPr>
                            <w:rFonts w:ascii="Cambria Math" w:hAnsi="Cambria Math" w:cs="Arial"/>
                          </w:rPr>
                          <m:t>2</m:t>
                        </m:r>
                      </m:sup>
                    </m:sSup>
                  </m:e>
                </m:nary>
              </m:oMath>
            </m:oMathPara>
          </w:p>
        </w:tc>
        <w:tc>
          <w:tcPr>
            <w:tcW w:w="801" w:type="dxa"/>
            <w:shd w:val="clear" w:color="auto" w:fill="auto"/>
            <w:vAlign w:val="center"/>
          </w:tcPr>
          <w:p w14:paraId="0D257AB0" w14:textId="292463AD" w:rsidR="00553044" w:rsidRPr="00B57B36" w:rsidRDefault="00553044" w:rsidP="00CB12E6">
            <w:pPr>
              <w:pStyle w:val="CETEquation"/>
              <w:jc w:val="right"/>
            </w:pPr>
            <w:r w:rsidRPr="00B57B36">
              <w:t>(</w:t>
            </w:r>
            <w:r w:rsidR="00865DCF">
              <w:t>1</w:t>
            </w:r>
            <w:r w:rsidRPr="00B57B36">
              <w:t>1)</w:t>
            </w:r>
          </w:p>
        </w:tc>
      </w:tr>
    </w:tbl>
    <w:p w14:paraId="5336AC36" w14:textId="7D7EF32E" w:rsidR="00553044" w:rsidRDefault="00553044" w:rsidP="0072082A">
      <w:pPr>
        <w:pStyle w:val="CETBodytext"/>
        <w:rPr>
          <w:lang w:val="en-GB"/>
        </w:rPr>
      </w:pPr>
      <w:r w:rsidRPr="00553044">
        <w:rPr>
          <w:lang w:val="en-GB"/>
        </w:rPr>
        <w:t xml:space="preserve">The goodness of fit was measured using two </w:t>
      </w:r>
      <w:r w:rsidR="008A7FDF">
        <w:rPr>
          <w:lang w:val="en-GB"/>
        </w:rPr>
        <w:t>statistical parameters</w:t>
      </w:r>
      <w:r w:rsidRPr="00553044">
        <w:rPr>
          <w:lang w:val="en-GB"/>
        </w:rPr>
        <w:t>, the absolute average deviation (AAD%) and the maximum deviation (MD%), which are expressed using the following equations</w:t>
      </w:r>
      <w:r>
        <w:rPr>
          <w:lang w:val="en-GB"/>
        </w:rPr>
        <w:t>:</w:t>
      </w:r>
    </w:p>
    <w:tbl>
      <w:tblPr>
        <w:tblW w:w="5000" w:type="pct"/>
        <w:tblLook w:val="04A0" w:firstRow="1" w:lastRow="0" w:firstColumn="1" w:lastColumn="0" w:noHBand="0" w:noVBand="1"/>
      </w:tblPr>
      <w:tblGrid>
        <w:gridCol w:w="7986"/>
        <w:gridCol w:w="801"/>
      </w:tblGrid>
      <w:tr w:rsidR="00553044" w:rsidRPr="00B57B36" w14:paraId="538719E1" w14:textId="77777777" w:rsidTr="00CB12E6">
        <w:tc>
          <w:tcPr>
            <w:tcW w:w="7986" w:type="dxa"/>
            <w:shd w:val="clear" w:color="auto" w:fill="auto"/>
            <w:vAlign w:val="center"/>
          </w:tcPr>
          <w:p w14:paraId="3B97C66C" w14:textId="040CF45D" w:rsidR="00553044" w:rsidRPr="00553044" w:rsidRDefault="00553044" w:rsidP="00CB12E6">
            <w:pPr>
              <w:pStyle w:val="CETEquation"/>
              <w:rPr>
                <w:rFonts w:cs="Arial"/>
              </w:rPr>
            </w:pPr>
            <m:oMathPara>
              <m:oMathParaPr>
                <m:jc m:val="left"/>
              </m:oMathParaPr>
              <m:oMath>
                <m:r>
                  <w:rPr>
                    <w:rFonts w:ascii="Cambria Math" w:hAnsi="Cambria Math" w:cs="Arial"/>
                  </w:rPr>
                  <m:t>AAD%=</m:t>
                </m:r>
                <m:f>
                  <m:fPr>
                    <m:ctrlPr>
                      <w:rPr>
                        <w:rFonts w:ascii="Cambria Math" w:hAnsi="Cambria Math" w:cs="Arial"/>
                        <w:i/>
                      </w:rPr>
                    </m:ctrlPr>
                  </m:fPr>
                  <m:num>
                    <m:r>
                      <w:rPr>
                        <w:rFonts w:ascii="Cambria Math" w:hAnsi="Cambria Math" w:cs="Arial"/>
                      </w:rPr>
                      <m:t>100</m:t>
                    </m:r>
                  </m:num>
                  <m:den>
                    <m:r>
                      <w:rPr>
                        <w:rFonts w:ascii="Cambria Math" w:hAnsi="Cambria Math" w:cs="Arial"/>
                      </w:rPr>
                      <m:t>N</m:t>
                    </m:r>
                  </m:den>
                </m:f>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d>
                      <m:dPr>
                        <m:begChr m:val="|"/>
                        <m:endChr m:val="|"/>
                        <m:ctrlPr>
                          <w:rPr>
                            <w:rFonts w:ascii="Cambria Math" w:hAnsi="Cambria Math" w:cs="Arial"/>
                            <w:i/>
                          </w:rPr>
                        </m:ctrlPr>
                      </m:dPr>
                      <m:e>
                        <m:r>
                          <w:rPr>
                            <w:rFonts w:ascii="Cambria Math" w:hAnsi="Cambria Math" w:cs="Arial"/>
                          </w:rPr>
                          <m:t>1-</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η</m:t>
                                </m:r>
                              </m:e>
                            </m:acc>
                            <m:d>
                              <m:dPr>
                                <m:ctrlPr>
                                  <w:rPr>
                                    <w:rFonts w:ascii="Cambria Math" w:hAnsi="Cambria Math" w:cs="Arial"/>
                                    <w:i/>
                                  </w:rPr>
                                </m:ctrlPr>
                              </m:dPr>
                              <m:e>
                                <m:r>
                                  <w:rPr>
                                    <w:rFonts w:ascii="Cambria Math" w:hAnsi="Cambria Math" w:cs="Arial"/>
                                  </w:rPr>
                                  <m:t>ρ,T</m:t>
                                </m:r>
                              </m:e>
                            </m:d>
                          </m:num>
                          <m:den>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η</m:t>
                                    </m:r>
                                  </m:e>
                                </m:acc>
                              </m:e>
                              <m:sub>
                                <m:r>
                                  <w:rPr>
                                    <w:rFonts w:ascii="Cambria Math" w:hAnsi="Cambria Math" w:cs="Arial"/>
                                  </w:rPr>
                                  <m:t>exp</m:t>
                                </m:r>
                              </m:sub>
                            </m:sSub>
                          </m:den>
                        </m:f>
                      </m:e>
                    </m:d>
                  </m:e>
                </m:nary>
              </m:oMath>
            </m:oMathPara>
          </w:p>
        </w:tc>
        <w:tc>
          <w:tcPr>
            <w:tcW w:w="801" w:type="dxa"/>
            <w:shd w:val="clear" w:color="auto" w:fill="auto"/>
            <w:vAlign w:val="center"/>
          </w:tcPr>
          <w:p w14:paraId="48A3EB4F" w14:textId="7410B811" w:rsidR="00553044" w:rsidRPr="00B57B36" w:rsidRDefault="00553044" w:rsidP="00CB12E6">
            <w:pPr>
              <w:pStyle w:val="CETEquation"/>
              <w:jc w:val="right"/>
            </w:pPr>
            <w:r w:rsidRPr="00B57B36">
              <w:t>(1</w:t>
            </w:r>
            <w:r w:rsidR="00865DCF">
              <w:t>2</w:t>
            </w:r>
            <w:r w:rsidRPr="00B57B36">
              <w:t>)</w:t>
            </w:r>
          </w:p>
        </w:tc>
      </w:tr>
      <w:tr w:rsidR="00553044" w:rsidRPr="00B57B36" w14:paraId="1380FC0C" w14:textId="77777777" w:rsidTr="00CB12E6">
        <w:tc>
          <w:tcPr>
            <w:tcW w:w="7986" w:type="dxa"/>
            <w:shd w:val="clear" w:color="auto" w:fill="auto"/>
            <w:vAlign w:val="center"/>
          </w:tcPr>
          <w:p w14:paraId="767544DA" w14:textId="257C6980" w:rsidR="00553044" w:rsidRPr="00553044" w:rsidRDefault="00D73E9E" w:rsidP="00CB12E6">
            <w:pPr>
              <w:pStyle w:val="CETEquation"/>
            </w:pPr>
            <m:oMathPara>
              <m:oMathParaPr>
                <m:jc m:val="left"/>
              </m:oMathParaPr>
              <m:oMath>
                <m:r>
                  <w:rPr>
                    <w:rFonts w:ascii="Cambria Math" w:hAnsi="Cambria Math"/>
                  </w:rPr>
                  <m:t>MD%=100</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r>
                              <w:rPr>
                                <w:rFonts w:ascii="Cambria Math" w:hAnsi="Cambria Math"/>
                              </w:rPr>
                              <m:t>1-</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η</m:t>
                                    </m:r>
                                  </m:e>
                                </m:acc>
                                <m:d>
                                  <m:dPr>
                                    <m:ctrlPr>
                                      <w:rPr>
                                        <w:rFonts w:ascii="Cambria Math" w:hAnsi="Cambria Math" w:cs="Arial"/>
                                        <w:i/>
                                      </w:rPr>
                                    </m:ctrlPr>
                                  </m:dPr>
                                  <m:e>
                                    <m:r>
                                      <w:rPr>
                                        <w:rFonts w:ascii="Cambria Math" w:hAnsi="Cambria Math" w:cs="Arial"/>
                                      </w:rPr>
                                      <m:t>ρ,T</m:t>
                                    </m:r>
                                  </m:e>
                                </m:d>
                              </m:num>
                              <m:den>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η</m:t>
                                        </m:r>
                                      </m:e>
                                    </m:acc>
                                  </m:e>
                                  <m:sub>
                                    <m:r>
                                      <w:rPr>
                                        <w:rFonts w:ascii="Cambria Math" w:hAnsi="Cambria Math" w:cs="Arial"/>
                                      </w:rPr>
                                      <m:t>exp</m:t>
                                    </m:r>
                                  </m:sub>
                                </m:sSub>
                              </m:den>
                            </m:f>
                          </m:e>
                        </m:d>
                      </m:e>
                    </m:d>
                  </m:e>
                </m:func>
              </m:oMath>
            </m:oMathPara>
          </w:p>
        </w:tc>
        <w:tc>
          <w:tcPr>
            <w:tcW w:w="801" w:type="dxa"/>
            <w:shd w:val="clear" w:color="auto" w:fill="auto"/>
            <w:vAlign w:val="center"/>
          </w:tcPr>
          <w:p w14:paraId="0BDF6060" w14:textId="40724FD0" w:rsidR="00553044" w:rsidRPr="00B57B36" w:rsidRDefault="00553044" w:rsidP="00CB12E6">
            <w:pPr>
              <w:pStyle w:val="CETEquation"/>
              <w:jc w:val="right"/>
            </w:pPr>
            <w:r w:rsidRPr="00B57B36">
              <w:t>(1</w:t>
            </w:r>
            <w:r w:rsidR="00865DCF">
              <w:t>3</w:t>
            </w:r>
            <w:r w:rsidRPr="00B57B36">
              <w:t>)</w:t>
            </w:r>
          </w:p>
        </w:tc>
      </w:tr>
    </w:tbl>
    <w:p w14:paraId="3948DECA" w14:textId="7FFB53C1" w:rsidR="00553044" w:rsidRDefault="006F4FCD" w:rsidP="008A33DC">
      <w:pPr>
        <w:pStyle w:val="CETBodytext"/>
        <w:rPr>
          <w:lang w:val="en-GB"/>
        </w:rPr>
      </w:pPr>
      <w:r>
        <w:rPr>
          <w:lang w:val="en-GB"/>
        </w:rPr>
        <w:t>Furthermore, g</w:t>
      </w:r>
      <w:r w:rsidR="008A33DC" w:rsidRPr="008A33DC">
        <w:rPr>
          <w:lang w:val="en-GB"/>
        </w:rPr>
        <w:t xml:space="preserve">iven that several authors have reported that systems exhibiting residual-entropy scaling behaviour </w:t>
      </w:r>
      <w:r w:rsidR="00180187">
        <w:rPr>
          <w:lang w:val="en-GB"/>
        </w:rPr>
        <w:t xml:space="preserve">may </w:t>
      </w:r>
      <w:r w:rsidR="008A33DC" w:rsidRPr="008A33DC">
        <w:rPr>
          <w:lang w:val="en-GB"/>
        </w:rPr>
        <w:t xml:space="preserve">also conform to the principles of the "isomorph theory," which </w:t>
      </w:r>
      <w:r w:rsidR="008A7FDF">
        <w:rPr>
          <w:lang w:val="en-GB"/>
        </w:rPr>
        <w:t>stipulates</w:t>
      </w:r>
      <w:r w:rsidR="008A33DC" w:rsidRPr="008A33DC">
        <w:rPr>
          <w:lang w:val="en-GB"/>
        </w:rPr>
        <w:t xml:space="preserve"> that state points with equal </w:t>
      </w:r>
      <w:r w:rsidR="00180187">
        <w:rPr>
          <w:lang w:val="en-GB"/>
        </w:rPr>
        <w:t>residual</w:t>
      </w:r>
      <w:r w:rsidR="008A33DC" w:rsidRPr="008A33DC">
        <w:rPr>
          <w:lang w:val="en-GB"/>
        </w:rPr>
        <w:t xml:space="preserve"> entropy have the same microscopic dynamic</w:t>
      </w:r>
      <w:r w:rsidR="008A7FDF">
        <w:rPr>
          <w:lang w:val="en-GB"/>
        </w:rPr>
        <w:t xml:space="preserve"> (</w:t>
      </w:r>
      <w:proofErr w:type="spellStart"/>
      <w:r w:rsidR="008A7FDF">
        <w:rPr>
          <w:lang w:val="en-GB"/>
        </w:rPr>
        <w:t>Dyre</w:t>
      </w:r>
      <w:proofErr w:type="spellEnd"/>
      <w:r w:rsidR="008A7FDF">
        <w:rPr>
          <w:lang w:val="en-GB"/>
        </w:rPr>
        <w:t xml:space="preserve">, 2018), </w:t>
      </w:r>
      <w:r w:rsidR="00A812F1">
        <w:rPr>
          <w:lang w:val="en-GB"/>
        </w:rPr>
        <w:t>t</w:t>
      </w:r>
      <w:r w:rsidR="00A812F1" w:rsidRPr="00A812F1">
        <w:rPr>
          <w:lang w:val="en-GB"/>
        </w:rPr>
        <w:t xml:space="preserve">his study proposes two scaling variations. The first, referred to as the Regressed </w:t>
      </w:r>
      <w:r w:rsidR="00A812F1">
        <w:rPr>
          <w:lang w:val="en-GB"/>
        </w:rPr>
        <w:t>M</w:t>
      </w:r>
      <w:r w:rsidR="00A812F1" w:rsidRPr="00A812F1">
        <w:rPr>
          <w:lang w:val="en-GB"/>
        </w:rPr>
        <w:t xml:space="preserve">aster </w:t>
      </w:r>
      <w:r w:rsidR="00A812F1">
        <w:rPr>
          <w:lang w:val="en-GB"/>
        </w:rPr>
        <w:t>C</w:t>
      </w:r>
      <w:r w:rsidR="00A812F1" w:rsidRPr="00A812F1">
        <w:rPr>
          <w:lang w:val="en-GB"/>
        </w:rPr>
        <w:t>urve</w:t>
      </w:r>
      <w:r w:rsidR="00C836BF">
        <w:rPr>
          <w:lang w:val="en-GB"/>
        </w:rPr>
        <w:t xml:space="preserve"> (RMC)</w:t>
      </w:r>
      <w:r w:rsidR="00A812F1" w:rsidRPr="00A812F1">
        <w:rPr>
          <w:lang w:val="en-GB"/>
        </w:rPr>
        <w:t>, incorporates dynamic viscosity data at various temperatures and pressures. The second variation</w:t>
      </w:r>
      <w:r w:rsidR="00A812F1">
        <w:rPr>
          <w:lang w:val="en-GB"/>
        </w:rPr>
        <w:t>, referred to as Regressed Alternative Curve</w:t>
      </w:r>
      <w:r w:rsidR="00C836BF">
        <w:rPr>
          <w:lang w:val="en-GB"/>
        </w:rPr>
        <w:t xml:space="preserve"> (RAC)</w:t>
      </w:r>
      <w:r w:rsidR="00A812F1" w:rsidRPr="00A812F1">
        <w:rPr>
          <w:lang w:val="en-GB"/>
        </w:rPr>
        <w:t>, considers dynamic viscosity at various temperatures</w:t>
      </w:r>
      <w:r w:rsidR="00A812F1">
        <w:rPr>
          <w:lang w:val="en-GB"/>
        </w:rPr>
        <w:t xml:space="preserve">, </w:t>
      </w:r>
      <w:r w:rsidR="00A812F1" w:rsidRPr="00A812F1">
        <w:rPr>
          <w:lang w:val="en-GB"/>
        </w:rPr>
        <w:t>but only at pressures below 1 atmosphere, as experimental data is typically reported only at this pressure.</w:t>
      </w:r>
      <w:r w:rsidR="008F0326">
        <w:rPr>
          <w:lang w:val="en-GB"/>
        </w:rPr>
        <w:t xml:space="preserve"> </w:t>
      </w:r>
      <w:r w:rsidR="003B19B6" w:rsidRPr="003B19B6">
        <w:rPr>
          <w:lang w:val="en-GB"/>
        </w:rPr>
        <w:t>If the two variations are found to be highly similar, this will indicate that the DES studied in this work conforms to the isomorph theory, and that dynamic viscosity behaviour at high pressures can be predicted even if only data reported at atmospheric pressure is available.</w:t>
      </w:r>
    </w:p>
    <w:p w14:paraId="575A683B" w14:textId="56826138" w:rsidR="00FB3BC8" w:rsidRDefault="00A23BE8" w:rsidP="008A33DC">
      <w:pPr>
        <w:pStyle w:val="CETBodytext"/>
        <w:rPr>
          <w:lang w:val="en-GB"/>
        </w:rPr>
      </w:pPr>
      <w:r w:rsidRPr="00A23BE8">
        <w:rPr>
          <w:lang w:val="en-GB"/>
        </w:rPr>
        <w:t xml:space="preserve">In closing, if an adequate scaling is not observed for a particular DES with the properties described by Mirza et al. (2015), a vapor pressure fitting will be incorporated into the objective function </w:t>
      </w:r>
      <w:r w:rsidR="000F15E7" w:rsidRPr="00A23BE8">
        <w:rPr>
          <w:lang w:val="en-GB"/>
        </w:rPr>
        <w:t>to</w:t>
      </w:r>
      <w:r w:rsidRPr="00A23BE8">
        <w:rPr>
          <w:lang w:val="en-GB"/>
        </w:rPr>
        <w:t xml:space="preserve"> empirically determine the critical properties and the acentric factor</w:t>
      </w:r>
      <w:r w:rsidR="00646446">
        <w:rPr>
          <w:lang w:val="en-GB"/>
        </w:rPr>
        <w:t>.</w:t>
      </w:r>
      <w:r w:rsidR="00FE2E78">
        <w:rPr>
          <w:lang w:val="en-GB"/>
        </w:rPr>
        <w:t xml:space="preserve"> </w:t>
      </w:r>
      <w:r w:rsidR="00646446">
        <w:rPr>
          <w:lang w:val="en-GB"/>
        </w:rPr>
        <w:t>T</w:t>
      </w:r>
      <w:r w:rsidR="00FE2E78">
        <w:rPr>
          <w:lang w:val="en-GB"/>
        </w:rPr>
        <w:t>his can be expressed by the following equation:</w:t>
      </w:r>
    </w:p>
    <w:tbl>
      <w:tblPr>
        <w:tblW w:w="5000" w:type="pct"/>
        <w:tblLook w:val="04A0" w:firstRow="1" w:lastRow="0" w:firstColumn="1" w:lastColumn="0" w:noHBand="0" w:noVBand="1"/>
      </w:tblPr>
      <w:tblGrid>
        <w:gridCol w:w="7986"/>
        <w:gridCol w:w="801"/>
      </w:tblGrid>
      <w:tr w:rsidR="008F0326" w:rsidRPr="00B57B36" w14:paraId="3B145498" w14:textId="77777777" w:rsidTr="00CB12E6">
        <w:tc>
          <w:tcPr>
            <w:tcW w:w="7986" w:type="dxa"/>
            <w:shd w:val="clear" w:color="auto" w:fill="auto"/>
            <w:vAlign w:val="center"/>
          </w:tcPr>
          <w:p w14:paraId="7E57B85F" w14:textId="35EA9514" w:rsidR="008F0326" w:rsidRPr="00553044" w:rsidRDefault="00000000" w:rsidP="00CB12E6">
            <w:pPr>
              <w:pStyle w:val="CETEquation"/>
              <w:rPr>
                <w:rFonts w:cs="Arial"/>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OBJ</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η</m:t>
                                            </m:r>
                                          </m:e>
                                          <m:sub>
                                            <m:r>
                                              <w:rPr>
                                                <w:rFonts w:ascii="Cambria Math" w:hAnsi="Cambria Math" w:cs="Arial"/>
                                              </w:rPr>
                                              <m:t>exp</m:t>
                                            </m:r>
                                          </m:sub>
                                        </m:sSub>
                                      </m:num>
                                      <m:den>
                                        <m:sSub>
                                          <m:sSubPr>
                                            <m:ctrlPr>
                                              <w:rPr>
                                                <w:rFonts w:ascii="Cambria Math" w:hAnsi="Cambria Math" w:cs="Arial"/>
                                                <w:i/>
                                              </w:rPr>
                                            </m:ctrlPr>
                                          </m:sSubPr>
                                          <m:e>
                                            <m:r>
                                              <w:rPr>
                                                <w:rFonts w:ascii="Cambria Math" w:hAnsi="Cambria Math" w:cs="Arial"/>
                                              </w:rPr>
                                              <m:t>η</m:t>
                                            </m:r>
                                          </m:e>
                                          <m:sub>
                                            <m:r>
                                              <w:rPr>
                                                <w:rFonts w:ascii="Cambria Math" w:hAnsi="Cambria Math" w:cs="Arial"/>
                                              </w:rPr>
                                              <m:t>CE</m:t>
                                            </m:r>
                                          </m:sub>
                                        </m:sSub>
                                      </m:den>
                                    </m:f>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η</m:t>
                                            </m:r>
                                            <m:d>
                                              <m:dPr>
                                                <m:ctrlPr>
                                                  <w:rPr>
                                                    <w:rFonts w:ascii="Cambria Math" w:hAnsi="Cambria Math" w:cs="Arial"/>
                                                    <w:i/>
                                                  </w:rPr>
                                                </m:ctrlPr>
                                              </m:dPr>
                                              <m:e>
                                                <m:r>
                                                  <w:rPr>
                                                    <w:rFonts w:ascii="Cambria Math" w:hAnsi="Cambria Math" w:cs="Arial"/>
                                                  </w:rPr>
                                                  <m:t>ρ,T</m:t>
                                                </m:r>
                                              </m:e>
                                            </m:d>
                                          </m:num>
                                          <m:den>
                                            <m:sSub>
                                              <m:sSubPr>
                                                <m:ctrlPr>
                                                  <w:rPr>
                                                    <w:rFonts w:ascii="Cambria Math" w:hAnsi="Cambria Math" w:cs="Arial"/>
                                                    <w:i/>
                                                  </w:rPr>
                                                </m:ctrlPr>
                                              </m:sSubPr>
                                              <m:e>
                                                <m:r>
                                                  <w:rPr>
                                                    <w:rFonts w:ascii="Cambria Math" w:hAnsi="Cambria Math" w:cs="Arial"/>
                                                  </w:rPr>
                                                  <m:t>η</m:t>
                                                </m:r>
                                              </m:e>
                                              <m:sub>
                                                <m:r>
                                                  <w:rPr>
                                                    <w:rFonts w:ascii="Cambria Math" w:hAnsi="Cambria Math" w:cs="Arial"/>
                                                  </w:rPr>
                                                  <m:t>CE</m:t>
                                                </m:r>
                                              </m:sub>
                                            </m:sSub>
                                          </m:den>
                                        </m:f>
                                      </m:e>
                                    </m:d>
                                  </m:e>
                                </m:func>
                              </m:e>
                            </m:func>
                          </m:e>
                        </m:d>
                      </m:e>
                      <m:sup>
                        <m:r>
                          <w:rPr>
                            <w:rFonts w:ascii="Cambria Math" w:hAnsi="Cambria Math" w:cs="Arial"/>
                          </w:rPr>
                          <m:t>2</m:t>
                        </m:r>
                      </m:sup>
                    </m:sSup>
                  </m:e>
                </m:nary>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P</m:t>
                                </m:r>
                              </m:e>
                              <m:sub>
                                <m:r>
                                  <w:rPr>
                                    <w:rFonts w:ascii="Cambria Math" w:hAnsi="Cambria Math" w:cs="Arial"/>
                                  </w:rPr>
                                  <m:t>exp</m:t>
                                </m:r>
                              </m:sub>
                              <m:sup>
                                <m:r>
                                  <w:rPr>
                                    <w:rFonts w:ascii="Cambria Math" w:hAnsi="Cambria Math" w:cs="Arial"/>
                                  </w:rPr>
                                  <m:t>sat</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P</m:t>
                                </m:r>
                              </m:e>
                              <m:sub>
                                <m:r>
                                  <w:rPr>
                                    <w:rFonts w:ascii="Cambria Math" w:hAnsi="Cambria Math" w:cs="Arial"/>
                                  </w:rPr>
                                  <m:t>EoS</m:t>
                                </m:r>
                              </m:sub>
                              <m:sup>
                                <m:r>
                                  <w:rPr>
                                    <w:rFonts w:ascii="Cambria Math" w:hAnsi="Cambria Math" w:cs="Arial"/>
                                  </w:rPr>
                                  <m:t>sat</m:t>
                                </m:r>
                              </m:sup>
                            </m:sSubSup>
                          </m:e>
                        </m:d>
                      </m:e>
                      <m:sup>
                        <m:r>
                          <w:rPr>
                            <w:rFonts w:ascii="Cambria Math" w:hAnsi="Cambria Math" w:cs="Arial"/>
                          </w:rPr>
                          <m:t>2</m:t>
                        </m:r>
                      </m:sup>
                    </m:sSup>
                  </m:e>
                </m:nary>
              </m:oMath>
            </m:oMathPara>
          </w:p>
        </w:tc>
        <w:tc>
          <w:tcPr>
            <w:tcW w:w="801" w:type="dxa"/>
            <w:shd w:val="clear" w:color="auto" w:fill="auto"/>
            <w:vAlign w:val="center"/>
          </w:tcPr>
          <w:p w14:paraId="06490A14" w14:textId="7C6CA285" w:rsidR="008F0326" w:rsidRPr="00B57B36" w:rsidRDefault="008F0326" w:rsidP="00CB12E6">
            <w:pPr>
              <w:pStyle w:val="CETEquation"/>
              <w:jc w:val="right"/>
            </w:pPr>
            <w:r w:rsidRPr="00B57B36">
              <w:t>(1</w:t>
            </w:r>
            <w:r w:rsidR="00865DCF">
              <w:t>4</w:t>
            </w:r>
            <w:r w:rsidRPr="00B57B36">
              <w:t>)</w:t>
            </w:r>
          </w:p>
        </w:tc>
      </w:tr>
    </w:tbl>
    <w:p w14:paraId="2E0A7460" w14:textId="751DA9E7" w:rsidR="00A84D80" w:rsidRDefault="00BB4319" w:rsidP="00BB4319">
      <w:pPr>
        <w:pStyle w:val="CETHeading1"/>
        <w:tabs>
          <w:tab w:val="clear" w:pos="360"/>
          <w:tab w:val="right" w:pos="7100"/>
        </w:tabs>
        <w:jc w:val="both"/>
        <w:rPr>
          <w:lang w:val="en-GB"/>
        </w:rPr>
      </w:pPr>
      <w:r>
        <w:rPr>
          <w:lang w:val="en-GB"/>
        </w:rPr>
        <w:t>Results</w:t>
      </w:r>
    </w:p>
    <w:p w14:paraId="0E0BFF01" w14:textId="0FEF8E8D" w:rsidR="0004027F" w:rsidRPr="0004027F" w:rsidRDefault="005D471D" w:rsidP="0004027F">
      <w:pPr>
        <w:pStyle w:val="CETBodytext"/>
        <w:rPr>
          <w:lang w:val="en-GB"/>
        </w:rPr>
      </w:pPr>
      <w:r w:rsidRPr="005D471D">
        <w:rPr>
          <w:lang w:val="en-GB"/>
        </w:rPr>
        <w:t>The results obtained using the methodology previously described</w:t>
      </w:r>
      <w:r>
        <w:rPr>
          <w:lang w:val="en-GB"/>
        </w:rPr>
        <w:t xml:space="preserve"> for the RMC</w:t>
      </w:r>
      <w:r w:rsidRPr="005D471D">
        <w:rPr>
          <w:lang w:val="en-GB"/>
        </w:rPr>
        <w:t xml:space="preserve"> are summarized in</w:t>
      </w:r>
      <w:r w:rsidR="00F97C37">
        <w:rPr>
          <w:lang w:val="en-GB"/>
        </w:rPr>
        <w:t xml:space="preserve"> Table 1</w:t>
      </w:r>
      <w:r>
        <w:rPr>
          <w:lang w:val="en-GB"/>
        </w:rPr>
        <w:t>.</w:t>
      </w:r>
    </w:p>
    <w:p w14:paraId="75413D52" w14:textId="56596885" w:rsidR="00A84D80" w:rsidRDefault="00A84D80" w:rsidP="00B73B18">
      <w:pPr>
        <w:pStyle w:val="CETTabletitle"/>
      </w:pPr>
      <w:r>
        <w:t>Tabl</w:t>
      </w:r>
      <w:r w:rsidR="00485296">
        <w:t>e</w:t>
      </w:r>
      <w:r>
        <w:t xml:space="preserve"> 1. </w:t>
      </w:r>
      <w:r w:rsidRPr="005A79A0">
        <w:t xml:space="preserve">Comparison of </w:t>
      </w:r>
      <w:r>
        <w:t>r</w:t>
      </w:r>
      <w:r w:rsidRPr="005A79A0">
        <w:t xml:space="preserve">esults </w:t>
      </w:r>
      <w:r>
        <w:t>o</w:t>
      </w:r>
      <w:r w:rsidRPr="005A79A0">
        <w:t>btained with SRK and PR Equation</w:t>
      </w:r>
      <w:r>
        <w:t>s</w:t>
      </w:r>
      <w:r w:rsidRPr="005A79A0">
        <w:t xml:space="preserve"> of State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10"/>
        <w:gridCol w:w="895"/>
        <w:gridCol w:w="896"/>
        <w:gridCol w:w="777"/>
        <w:gridCol w:w="876"/>
        <w:gridCol w:w="848"/>
        <w:gridCol w:w="983"/>
        <w:gridCol w:w="776"/>
        <w:gridCol w:w="647"/>
        <w:gridCol w:w="645"/>
        <w:gridCol w:w="634"/>
      </w:tblGrid>
      <w:tr w:rsidR="00A84D80" w:rsidRPr="00B57B36" w14:paraId="6E02A318" w14:textId="77777777" w:rsidTr="00A84D80">
        <w:tc>
          <w:tcPr>
            <w:tcW w:w="810" w:type="dxa"/>
            <w:tcBorders>
              <w:bottom w:val="single" w:sz="6" w:space="0" w:color="008000"/>
            </w:tcBorders>
            <w:shd w:val="clear" w:color="auto" w:fill="FFFFFF"/>
            <w:vAlign w:val="center"/>
          </w:tcPr>
          <w:p w14:paraId="2FE7235E" w14:textId="77777777" w:rsidR="00A84D80" w:rsidRPr="00B57B36" w:rsidRDefault="00A84D80" w:rsidP="00CB12E6">
            <w:pPr>
              <w:pStyle w:val="CETBodytext"/>
              <w:jc w:val="left"/>
              <w:rPr>
                <w:lang w:val="en-GB"/>
              </w:rPr>
            </w:pPr>
            <w:r>
              <w:rPr>
                <w:lang w:val="en-GB"/>
              </w:rPr>
              <w:t>DES</w:t>
            </w:r>
          </w:p>
        </w:tc>
        <w:tc>
          <w:tcPr>
            <w:tcW w:w="895" w:type="dxa"/>
            <w:tcBorders>
              <w:top w:val="single" w:sz="12" w:space="0" w:color="008000"/>
              <w:bottom w:val="single" w:sz="6" w:space="0" w:color="008000"/>
            </w:tcBorders>
            <w:shd w:val="clear" w:color="auto" w:fill="FFFFFF"/>
            <w:vAlign w:val="center"/>
          </w:tcPr>
          <w:p w14:paraId="51449B26" w14:textId="77777777" w:rsidR="00A84D80" w:rsidRPr="00B57B36" w:rsidRDefault="00A84D80" w:rsidP="00CB12E6">
            <w:pPr>
              <w:pStyle w:val="CETBodytext"/>
              <w:jc w:val="left"/>
              <w:rPr>
                <w:lang w:val="en-GB"/>
              </w:rPr>
            </w:pPr>
            <w:r w:rsidRPr="0059535D">
              <w:rPr>
                <w:lang w:val="es-MX"/>
              </w:rPr>
              <w:t>Ω</w:t>
            </w:r>
          </w:p>
        </w:tc>
        <w:tc>
          <w:tcPr>
            <w:tcW w:w="896" w:type="dxa"/>
            <w:tcBorders>
              <w:top w:val="single" w:sz="12" w:space="0" w:color="008000"/>
              <w:bottom w:val="single" w:sz="6" w:space="0" w:color="008000"/>
            </w:tcBorders>
            <w:shd w:val="clear" w:color="auto" w:fill="FFFFFF"/>
            <w:vAlign w:val="center"/>
          </w:tcPr>
          <w:p w14:paraId="5000DE04" w14:textId="77777777" w:rsidR="00A84D80" w:rsidRDefault="00A84D80" w:rsidP="00CB12E6">
            <w:pPr>
              <w:pStyle w:val="CETBodytext"/>
              <w:jc w:val="left"/>
              <w:rPr>
                <w:lang w:val="es-MX"/>
              </w:rPr>
            </w:pPr>
            <w:r>
              <w:rPr>
                <w:lang w:val="es-MX"/>
              </w:rPr>
              <w:t>T</w:t>
            </w:r>
            <w:r>
              <w:rPr>
                <w:vertAlign w:val="subscript"/>
                <w:lang w:val="es-MX"/>
              </w:rPr>
              <w:t>c</w:t>
            </w:r>
            <w:r>
              <w:rPr>
                <w:lang w:val="es-MX"/>
              </w:rPr>
              <w:t xml:space="preserve"> </w:t>
            </w:r>
          </w:p>
          <w:p w14:paraId="4C5217CB" w14:textId="77777777" w:rsidR="00A84D80" w:rsidRPr="00B57B36" w:rsidRDefault="00A84D80" w:rsidP="00CB12E6">
            <w:pPr>
              <w:pStyle w:val="CETBodytext"/>
              <w:jc w:val="left"/>
              <w:rPr>
                <w:lang w:val="en-GB"/>
              </w:rPr>
            </w:pPr>
            <w:r>
              <w:rPr>
                <w:lang w:val="es-MX"/>
              </w:rPr>
              <w:t>(K)</w:t>
            </w:r>
          </w:p>
        </w:tc>
        <w:tc>
          <w:tcPr>
            <w:tcW w:w="777" w:type="dxa"/>
            <w:tcBorders>
              <w:top w:val="single" w:sz="12" w:space="0" w:color="008000"/>
              <w:bottom w:val="single" w:sz="6" w:space="0" w:color="008000"/>
            </w:tcBorders>
            <w:shd w:val="clear" w:color="auto" w:fill="FFFFFF"/>
            <w:vAlign w:val="center"/>
          </w:tcPr>
          <w:p w14:paraId="0467A682" w14:textId="77777777" w:rsidR="00A84D80" w:rsidRDefault="00A84D80" w:rsidP="00CB12E6">
            <w:pPr>
              <w:pStyle w:val="CETBodytext"/>
              <w:ind w:right="-1"/>
              <w:jc w:val="left"/>
              <w:rPr>
                <w:lang w:val="es-MX"/>
              </w:rPr>
            </w:pPr>
            <w:r>
              <w:rPr>
                <w:lang w:val="es-MX"/>
              </w:rPr>
              <w:t>P</w:t>
            </w:r>
            <w:r>
              <w:rPr>
                <w:vertAlign w:val="subscript"/>
                <w:lang w:val="es-MX"/>
              </w:rPr>
              <w:t>c</w:t>
            </w:r>
            <w:r>
              <w:rPr>
                <w:lang w:val="es-MX"/>
              </w:rPr>
              <w:t xml:space="preserve"> </w:t>
            </w:r>
          </w:p>
          <w:p w14:paraId="176B81F3" w14:textId="77777777" w:rsidR="00A84D80" w:rsidRPr="00B57B36" w:rsidRDefault="00A84D80" w:rsidP="00CB12E6">
            <w:pPr>
              <w:pStyle w:val="CETBodytext"/>
              <w:ind w:right="-1"/>
              <w:jc w:val="left"/>
              <w:rPr>
                <w:rFonts w:cs="Arial"/>
                <w:szCs w:val="18"/>
                <w:lang w:val="en-GB"/>
              </w:rPr>
            </w:pPr>
            <w:r>
              <w:rPr>
                <w:lang w:val="es-MX"/>
              </w:rPr>
              <w:t>(MPa)</w:t>
            </w:r>
          </w:p>
        </w:tc>
        <w:tc>
          <w:tcPr>
            <w:tcW w:w="876" w:type="dxa"/>
            <w:tcBorders>
              <w:top w:val="single" w:sz="12" w:space="0" w:color="008000"/>
              <w:bottom w:val="single" w:sz="6" w:space="0" w:color="008000"/>
            </w:tcBorders>
            <w:shd w:val="clear" w:color="auto" w:fill="FFFFFF"/>
            <w:vAlign w:val="center"/>
          </w:tcPr>
          <w:p w14:paraId="12650E03" w14:textId="50AA250D" w:rsidR="00A84D80" w:rsidRDefault="00B46232" w:rsidP="00CB12E6">
            <w:pPr>
              <w:pStyle w:val="CETBodytext"/>
              <w:ind w:right="-1"/>
              <w:jc w:val="left"/>
              <w:rPr>
                <w:lang w:val="es-MX"/>
              </w:rPr>
            </w:pPr>
            <w:proofErr w:type="spellStart"/>
            <w:r>
              <w:rPr>
                <w:lang w:val="es-MX"/>
              </w:rPr>
              <w:t>v</w:t>
            </w:r>
            <w:r w:rsidR="00A84D80">
              <w:rPr>
                <w:vertAlign w:val="subscript"/>
                <w:lang w:val="es-MX"/>
              </w:rPr>
              <w:t>c</w:t>
            </w:r>
            <w:proofErr w:type="spellEnd"/>
            <w:r w:rsidR="00A84D80">
              <w:rPr>
                <w:lang w:val="es-MX"/>
              </w:rPr>
              <w:t xml:space="preserve"> </w:t>
            </w:r>
          </w:p>
          <w:p w14:paraId="49D74E8C" w14:textId="77777777" w:rsidR="00A84D80" w:rsidRPr="00B57B36" w:rsidRDefault="00A84D80" w:rsidP="00CB12E6">
            <w:pPr>
              <w:pStyle w:val="CETBodytext"/>
              <w:ind w:right="-1"/>
              <w:jc w:val="left"/>
              <w:rPr>
                <w:rFonts w:cs="Arial"/>
                <w:szCs w:val="18"/>
                <w:lang w:val="en-GB"/>
              </w:rPr>
            </w:pPr>
            <w:r>
              <w:rPr>
                <w:lang w:val="es-MX"/>
              </w:rPr>
              <w:t>(cm</w:t>
            </w:r>
            <w:r>
              <w:rPr>
                <w:vertAlign w:val="superscript"/>
                <w:lang w:val="es-MX"/>
              </w:rPr>
              <w:t>3</w:t>
            </w:r>
            <w:r>
              <w:rPr>
                <w:lang w:val="es-MX"/>
              </w:rPr>
              <w:t>/mol)</w:t>
            </w:r>
          </w:p>
        </w:tc>
        <w:tc>
          <w:tcPr>
            <w:tcW w:w="848" w:type="dxa"/>
            <w:tcBorders>
              <w:top w:val="single" w:sz="12" w:space="0" w:color="008000"/>
              <w:bottom w:val="single" w:sz="6" w:space="0" w:color="008000"/>
            </w:tcBorders>
            <w:shd w:val="clear" w:color="auto" w:fill="FFFFFF"/>
            <w:vAlign w:val="center"/>
          </w:tcPr>
          <w:p w14:paraId="63ED394F" w14:textId="77777777" w:rsidR="00A84D80" w:rsidRDefault="00A84D80" w:rsidP="00CB12E6">
            <w:pPr>
              <w:pStyle w:val="CETBodytext"/>
              <w:ind w:right="-1"/>
              <w:jc w:val="left"/>
              <w:rPr>
                <w:vertAlign w:val="subscript"/>
                <w:lang w:val="es-MX"/>
              </w:rPr>
            </w:pPr>
            <w:proofErr w:type="spellStart"/>
            <w:r>
              <w:rPr>
                <w:lang w:val="es-MX"/>
              </w:rPr>
              <w:t>M</w:t>
            </w:r>
            <w:r>
              <w:rPr>
                <w:vertAlign w:val="subscript"/>
                <w:lang w:val="es-MX"/>
              </w:rPr>
              <w:t>w</w:t>
            </w:r>
            <w:proofErr w:type="spellEnd"/>
            <w:r>
              <w:rPr>
                <w:vertAlign w:val="subscript"/>
                <w:lang w:val="es-MX"/>
              </w:rPr>
              <w:t xml:space="preserve"> </w:t>
            </w:r>
          </w:p>
          <w:p w14:paraId="1EBC6D7C" w14:textId="77777777" w:rsidR="00A84D80" w:rsidRDefault="00A84D80" w:rsidP="00CB12E6">
            <w:pPr>
              <w:pStyle w:val="CETBodytext"/>
              <w:ind w:right="-1"/>
              <w:jc w:val="left"/>
              <w:rPr>
                <w:lang w:val="es-MX"/>
              </w:rPr>
            </w:pPr>
            <w:r>
              <w:rPr>
                <w:lang w:val="es-MX"/>
              </w:rPr>
              <w:t>(g/mol)</w:t>
            </w:r>
          </w:p>
        </w:tc>
        <w:tc>
          <w:tcPr>
            <w:tcW w:w="983" w:type="dxa"/>
            <w:tcBorders>
              <w:bottom w:val="single" w:sz="6" w:space="0" w:color="008000"/>
            </w:tcBorders>
            <w:shd w:val="clear" w:color="auto" w:fill="FFFFFF"/>
            <w:vAlign w:val="center"/>
          </w:tcPr>
          <w:p w14:paraId="3DC0E319" w14:textId="77777777" w:rsidR="00A84D80" w:rsidRDefault="00A84D80" w:rsidP="00CB12E6">
            <w:pPr>
              <w:pStyle w:val="CETBodytext"/>
              <w:ind w:right="-1"/>
              <w:jc w:val="left"/>
              <w:rPr>
                <w:lang w:val="es-MX"/>
              </w:rPr>
            </w:pPr>
            <w:r>
              <w:rPr>
                <w:lang w:val="es-MX"/>
              </w:rPr>
              <w:t xml:space="preserve">Reference </w:t>
            </w:r>
            <w:proofErr w:type="spellStart"/>
            <w:r>
              <w:rPr>
                <w:lang w:val="es-MX"/>
              </w:rPr>
              <w:t>Viscosity</w:t>
            </w:r>
            <w:proofErr w:type="spellEnd"/>
          </w:p>
        </w:tc>
        <w:tc>
          <w:tcPr>
            <w:tcW w:w="776" w:type="dxa"/>
            <w:tcBorders>
              <w:top w:val="single" w:sz="12" w:space="0" w:color="008000"/>
              <w:bottom w:val="single" w:sz="6" w:space="0" w:color="008000"/>
            </w:tcBorders>
            <w:shd w:val="clear" w:color="auto" w:fill="FFFFFF"/>
            <w:vAlign w:val="center"/>
          </w:tcPr>
          <w:p w14:paraId="2BD500A3" w14:textId="77777777" w:rsidR="00A84D80" w:rsidRDefault="00A84D80" w:rsidP="00CB12E6">
            <w:pPr>
              <w:pStyle w:val="CETBodytext"/>
              <w:ind w:right="-1"/>
              <w:jc w:val="left"/>
              <w:rPr>
                <w:lang w:val="es-MX"/>
              </w:rPr>
            </w:pPr>
            <w:r>
              <w:rPr>
                <w:lang w:val="es-MX"/>
              </w:rPr>
              <w:t>SRK AAD%</w:t>
            </w:r>
          </w:p>
        </w:tc>
        <w:tc>
          <w:tcPr>
            <w:tcW w:w="647" w:type="dxa"/>
            <w:tcBorders>
              <w:top w:val="single" w:sz="12" w:space="0" w:color="008000"/>
              <w:bottom w:val="single" w:sz="6" w:space="0" w:color="008000"/>
            </w:tcBorders>
            <w:shd w:val="clear" w:color="auto" w:fill="FFFFFF"/>
            <w:vAlign w:val="center"/>
          </w:tcPr>
          <w:p w14:paraId="25863CCA" w14:textId="77777777" w:rsidR="00A84D80" w:rsidRDefault="00A84D80" w:rsidP="00CB12E6">
            <w:pPr>
              <w:pStyle w:val="CETBodytext"/>
              <w:ind w:right="-1"/>
              <w:jc w:val="left"/>
              <w:rPr>
                <w:lang w:val="es-MX"/>
              </w:rPr>
            </w:pPr>
            <w:r>
              <w:rPr>
                <w:lang w:val="es-MX"/>
              </w:rPr>
              <w:t>SRK MD%</w:t>
            </w:r>
          </w:p>
        </w:tc>
        <w:tc>
          <w:tcPr>
            <w:tcW w:w="645" w:type="dxa"/>
            <w:tcBorders>
              <w:top w:val="single" w:sz="12" w:space="0" w:color="008000"/>
              <w:bottom w:val="single" w:sz="6" w:space="0" w:color="008000"/>
            </w:tcBorders>
            <w:shd w:val="clear" w:color="auto" w:fill="FFFFFF"/>
            <w:vAlign w:val="center"/>
          </w:tcPr>
          <w:p w14:paraId="29D6E77A" w14:textId="77777777" w:rsidR="00A84D80" w:rsidRDefault="00A84D80" w:rsidP="00CB12E6">
            <w:pPr>
              <w:pStyle w:val="CETBodytext"/>
              <w:ind w:right="-1"/>
              <w:jc w:val="left"/>
              <w:rPr>
                <w:lang w:val="es-MX"/>
              </w:rPr>
            </w:pPr>
            <w:r>
              <w:rPr>
                <w:lang w:val="es-MX"/>
              </w:rPr>
              <w:t>PR AAD%</w:t>
            </w:r>
          </w:p>
        </w:tc>
        <w:tc>
          <w:tcPr>
            <w:tcW w:w="634" w:type="dxa"/>
            <w:tcBorders>
              <w:top w:val="single" w:sz="12" w:space="0" w:color="008000"/>
              <w:bottom w:val="single" w:sz="6" w:space="0" w:color="008000"/>
            </w:tcBorders>
            <w:shd w:val="clear" w:color="auto" w:fill="FFFFFF"/>
            <w:vAlign w:val="center"/>
          </w:tcPr>
          <w:p w14:paraId="347B01D9" w14:textId="77777777" w:rsidR="00A84D80" w:rsidRDefault="00A84D80" w:rsidP="00CB12E6">
            <w:pPr>
              <w:pStyle w:val="CETBodytext"/>
              <w:ind w:right="-1"/>
              <w:jc w:val="left"/>
              <w:rPr>
                <w:lang w:val="es-MX"/>
              </w:rPr>
            </w:pPr>
            <w:r>
              <w:rPr>
                <w:lang w:val="es-MX"/>
              </w:rPr>
              <w:t>PR MD%</w:t>
            </w:r>
          </w:p>
        </w:tc>
      </w:tr>
      <w:tr w:rsidR="00A84D80" w:rsidRPr="00B57B36" w14:paraId="5ECF3D74" w14:textId="77777777" w:rsidTr="00A84D80">
        <w:trPr>
          <w:trHeight w:val="46"/>
        </w:trPr>
        <w:tc>
          <w:tcPr>
            <w:tcW w:w="810" w:type="dxa"/>
            <w:vMerge w:val="restart"/>
            <w:shd w:val="clear" w:color="auto" w:fill="FFFFFF"/>
            <w:vAlign w:val="center"/>
          </w:tcPr>
          <w:p w14:paraId="7637B192" w14:textId="77777777" w:rsidR="00A84D80" w:rsidRPr="00B57B36" w:rsidRDefault="00A84D80" w:rsidP="00CB12E6">
            <w:pPr>
              <w:pStyle w:val="CETBodytext"/>
              <w:jc w:val="left"/>
              <w:rPr>
                <w:lang w:val="en-GB"/>
              </w:rPr>
            </w:pPr>
            <w:r>
              <w:rPr>
                <w:lang w:val="en-GB"/>
              </w:rPr>
              <w:t>Ethaline</w:t>
            </w:r>
          </w:p>
        </w:tc>
        <w:tc>
          <w:tcPr>
            <w:tcW w:w="895" w:type="dxa"/>
            <w:vMerge w:val="restart"/>
            <w:shd w:val="clear" w:color="auto" w:fill="FFFFFF"/>
            <w:vAlign w:val="center"/>
          </w:tcPr>
          <w:p w14:paraId="51A436EF" w14:textId="77777777" w:rsidR="00A84D80" w:rsidRPr="008F7D6E" w:rsidRDefault="00A84D80" w:rsidP="00CB12E6">
            <w:pPr>
              <w:pStyle w:val="CETBodytext"/>
              <w:jc w:val="left"/>
              <w:rPr>
                <w:lang w:val="es-MX"/>
              </w:rPr>
            </w:pPr>
            <w:r w:rsidRPr="008F7D6E">
              <w:rPr>
                <w:lang w:val="es-MX"/>
              </w:rPr>
              <w:t>0.952</w:t>
            </w:r>
          </w:p>
        </w:tc>
        <w:tc>
          <w:tcPr>
            <w:tcW w:w="896" w:type="dxa"/>
            <w:vMerge w:val="restart"/>
            <w:shd w:val="clear" w:color="auto" w:fill="FFFFFF"/>
            <w:vAlign w:val="center"/>
          </w:tcPr>
          <w:p w14:paraId="23DC4345" w14:textId="77777777" w:rsidR="00A84D80" w:rsidRPr="008F7D6E" w:rsidRDefault="00A84D80" w:rsidP="00CB12E6">
            <w:pPr>
              <w:pStyle w:val="CETBodytext"/>
              <w:jc w:val="left"/>
              <w:rPr>
                <w:lang w:val="es-MX"/>
              </w:rPr>
            </w:pPr>
            <w:r w:rsidRPr="008F7D6E">
              <w:rPr>
                <w:lang w:val="es-MX"/>
              </w:rPr>
              <w:t>602</w:t>
            </w:r>
          </w:p>
        </w:tc>
        <w:tc>
          <w:tcPr>
            <w:tcW w:w="777" w:type="dxa"/>
            <w:vMerge w:val="restart"/>
            <w:shd w:val="clear" w:color="auto" w:fill="FFFFFF"/>
            <w:vAlign w:val="center"/>
          </w:tcPr>
          <w:p w14:paraId="540D7CBD" w14:textId="77777777" w:rsidR="00A84D80" w:rsidRPr="008F7D6E" w:rsidRDefault="00A84D80" w:rsidP="00CB12E6">
            <w:pPr>
              <w:pStyle w:val="CETBodytext"/>
              <w:ind w:right="-1"/>
              <w:jc w:val="left"/>
              <w:rPr>
                <w:rFonts w:cs="Arial"/>
                <w:szCs w:val="18"/>
                <w:lang w:val="es-MX"/>
              </w:rPr>
            </w:pPr>
            <w:r w:rsidRPr="008F7D6E">
              <w:rPr>
                <w:rFonts w:cs="Arial"/>
                <w:szCs w:val="18"/>
                <w:lang w:val="es-MX"/>
              </w:rPr>
              <w:t>4</w:t>
            </w:r>
            <w:r>
              <w:rPr>
                <w:rFonts w:cs="Arial"/>
                <w:szCs w:val="18"/>
                <w:lang w:val="es-MX"/>
              </w:rPr>
              <w:t>.</w:t>
            </w:r>
            <w:r w:rsidRPr="008F7D6E">
              <w:rPr>
                <w:rFonts w:cs="Arial"/>
                <w:szCs w:val="18"/>
                <w:lang w:val="es-MX"/>
              </w:rPr>
              <w:t>039</w:t>
            </w:r>
          </w:p>
        </w:tc>
        <w:tc>
          <w:tcPr>
            <w:tcW w:w="876" w:type="dxa"/>
            <w:vMerge w:val="restart"/>
            <w:shd w:val="clear" w:color="auto" w:fill="FFFFFF"/>
            <w:vAlign w:val="center"/>
          </w:tcPr>
          <w:p w14:paraId="2477543A" w14:textId="77777777" w:rsidR="00A84D80" w:rsidRPr="00B57B36" w:rsidRDefault="00A84D80" w:rsidP="00CB12E6">
            <w:pPr>
              <w:pStyle w:val="CETBodytext"/>
              <w:ind w:right="-1"/>
              <w:jc w:val="left"/>
              <w:rPr>
                <w:rFonts w:cs="Arial"/>
                <w:szCs w:val="18"/>
                <w:lang w:val="en-GB"/>
              </w:rPr>
            </w:pPr>
            <w:r w:rsidRPr="007D726E">
              <w:rPr>
                <w:rFonts w:cs="Arial"/>
                <w:szCs w:val="18"/>
                <w:lang w:val="en-GB"/>
              </w:rPr>
              <w:t>259.67</w:t>
            </w:r>
          </w:p>
        </w:tc>
        <w:tc>
          <w:tcPr>
            <w:tcW w:w="848" w:type="dxa"/>
            <w:vMerge w:val="restart"/>
            <w:shd w:val="clear" w:color="auto" w:fill="FFFFFF"/>
            <w:vAlign w:val="center"/>
          </w:tcPr>
          <w:p w14:paraId="10E6E853" w14:textId="77777777" w:rsidR="00A84D80" w:rsidRPr="008F7D6E" w:rsidRDefault="00A84D80" w:rsidP="00CB12E6">
            <w:pPr>
              <w:pStyle w:val="CETBodytext"/>
              <w:ind w:right="-1"/>
              <w:jc w:val="left"/>
              <w:rPr>
                <w:rFonts w:cs="Arial"/>
                <w:szCs w:val="18"/>
                <w:lang w:val="es-MX"/>
              </w:rPr>
            </w:pPr>
            <w:r w:rsidRPr="008F7D6E">
              <w:rPr>
                <w:rFonts w:cs="Arial"/>
                <w:szCs w:val="18"/>
                <w:lang w:val="es-MX"/>
              </w:rPr>
              <w:t>87.92</w:t>
            </w:r>
          </w:p>
        </w:tc>
        <w:tc>
          <w:tcPr>
            <w:tcW w:w="983" w:type="dxa"/>
            <w:shd w:val="clear" w:color="auto" w:fill="FFFFFF"/>
            <w:vAlign w:val="center"/>
          </w:tcPr>
          <w:p w14:paraId="056B74EC" w14:textId="77777777" w:rsidR="00A84D80" w:rsidRPr="00B57B36" w:rsidRDefault="00A84D80" w:rsidP="00CB12E6">
            <w:pPr>
              <w:pStyle w:val="CETBodytext"/>
              <w:ind w:right="-1"/>
              <w:jc w:val="left"/>
              <w:rPr>
                <w:rFonts w:cs="Arial"/>
                <w:szCs w:val="18"/>
                <w:lang w:val="en-GB"/>
              </w:rPr>
            </w:pPr>
            <w:r>
              <w:rPr>
                <w:rFonts w:cs="Arial"/>
                <w:szCs w:val="18"/>
                <w:lang w:val="en-GB"/>
              </w:rPr>
              <w:t>1</w:t>
            </w:r>
          </w:p>
        </w:tc>
        <w:tc>
          <w:tcPr>
            <w:tcW w:w="776" w:type="dxa"/>
            <w:shd w:val="clear" w:color="auto" w:fill="FFFFFF"/>
          </w:tcPr>
          <w:p w14:paraId="06714121" w14:textId="77777777" w:rsidR="00A84D80" w:rsidRPr="00B57B36" w:rsidRDefault="00A84D80" w:rsidP="00CB12E6">
            <w:pPr>
              <w:pStyle w:val="CETBodytext"/>
              <w:ind w:right="-1"/>
              <w:jc w:val="left"/>
              <w:rPr>
                <w:rFonts w:cs="Arial"/>
                <w:szCs w:val="18"/>
                <w:lang w:val="en-GB"/>
              </w:rPr>
            </w:pPr>
            <w:r w:rsidRPr="00D572B8">
              <w:t>2.25</w:t>
            </w:r>
          </w:p>
        </w:tc>
        <w:tc>
          <w:tcPr>
            <w:tcW w:w="647" w:type="dxa"/>
            <w:shd w:val="clear" w:color="auto" w:fill="FFFFFF"/>
          </w:tcPr>
          <w:p w14:paraId="41DC35BA" w14:textId="77777777" w:rsidR="00A84D80" w:rsidRPr="00B57B36" w:rsidRDefault="00A84D80" w:rsidP="00CB12E6">
            <w:pPr>
              <w:pStyle w:val="CETBodytext"/>
              <w:ind w:right="-1"/>
              <w:jc w:val="left"/>
              <w:rPr>
                <w:rFonts w:cs="Arial"/>
                <w:szCs w:val="18"/>
                <w:lang w:val="en-GB"/>
              </w:rPr>
            </w:pPr>
            <w:r w:rsidRPr="00D572B8">
              <w:t>6.02</w:t>
            </w:r>
          </w:p>
        </w:tc>
        <w:tc>
          <w:tcPr>
            <w:tcW w:w="645" w:type="dxa"/>
            <w:shd w:val="clear" w:color="auto" w:fill="FFFFFF"/>
          </w:tcPr>
          <w:p w14:paraId="3805F6E3" w14:textId="77777777" w:rsidR="00A84D80" w:rsidRPr="00B57B36" w:rsidRDefault="00A84D80" w:rsidP="00CB12E6">
            <w:pPr>
              <w:pStyle w:val="CETBodytext"/>
              <w:ind w:right="-1"/>
              <w:jc w:val="left"/>
              <w:rPr>
                <w:rFonts w:cs="Arial"/>
                <w:szCs w:val="18"/>
                <w:lang w:val="en-GB"/>
              </w:rPr>
            </w:pPr>
            <w:r w:rsidRPr="00D572B8">
              <w:t>2.73</w:t>
            </w:r>
          </w:p>
        </w:tc>
        <w:tc>
          <w:tcPr>
            <w:tcW w:w="634" w:type="dxa"/>
            <w:shd w:val="clear" w:color="auto" w:fill="FFFFFF"/>
          </w:tcPr>
          <w:p w14:paraId="57DD45E5" w14:textId="77777777" w:rsidR="00A84D80" w:rsidRPr="00B57B36" w:rsidRDefault="00A84D80" w:rsidP="00CB12E6">
            <w:pPr>
              <w:pStyle w:val="CETBodytext"/>
              <w:ind w:right="-1"/>
              <w:jc w:val="left"/>
              <w:rPr>
                <w:rFonts w:cs="Arial"/>
                <w:szCs w:val="18"/>
                <w:lang w:val="en-GB"/>
              </w:rPr>
            </w:pPr>
            <w:r w:rsidRPr="00D572B8">
              <w:t>4.99</w:t>
            </w:r>
          </w:p>
        </w:tc>
      </w:tr>
      <w:tr w:rsidR="00A84D80" w:rsidRPr="00B57B36" w14:paraId="51A6DC8F" w14:textId="77777777" w:rsidTr="00A84D80">
        <w:trPr>
          <w:trHeight w:val="46"/>
        </w:trPr>
        <w:tc>
          <w:tcPr>
            <w:tcW w:w="810" w:type="dxa"/>
            <w:vMerge/>
            <w:shd w:val="clear" w:color="auto" w:fill="FFFFFF"/>
            <w:vAlign w:val="center"/>
          </w:tcPr>
          <w:p w14:paraId="4F756E1F" w14:textId="77777777" w:rsidR="00A84D80" w:rsidRDefault="00A84D80" w:rsidP="00CB12E6">
            <w:pPr>
              <w:pStyle w:val="CETBodytext"/>
              <w:jc w:val="left"/>
              <w:rPr>
                <w:lang w:val="en-GB"/>
              </w:rPr>
            </w:pPr>
          </w:p>
        </w:tc>
        <w:tc>
          <w:tcPr>
            <w:tcW w:w="895" w:type="dxa"/>
            <w:vMerge/>
            <w:shd w:val="clear" w:color="auto" w:fill="FFFFFF"/>
            <w:vAlign w:val="center"/>
          </w:tcPr>
          <w:p w14:paraId="670E7313" w14:textId="77777777" w:rsidR="00A84D80" w:rsidRPr="008F7D6E" w:rsidRDefault="00A84D80" w:rsidP="00CB12E6">
            <w:pPr>
              <w:pStyle w:val="CETBodytext"/>
              <w:jc w:val="left"/>
              <w:rPr>
                <w:lang w:val="es-MX"/>
              </w:rPr>
            </w:pPr>
          </w:p>
        </w:tc>
        <w:tc>
          <w:tcPr>
            <w:tcW w:w="896" w:type="dxa"/>
            <w:vMerge/>
            <w:shd w:val="clear" w:color="auto" w:fill="FFFFFF"/>
            <w:vAlign w:val="center"/>
          </w:tcPr>
          <w:p w14:paraId="30619B9C" w14:textId="77777777" w:rsidR="00A84D80" w:rsidRPr="008F7D6E" w:rsidRDefault="00A84D80" w:rsidP="00CB12E6">
            <w:pPr>
              <w:pStyle w:val="CETBodytext"/>
              <w:jc w:val="left"/>
              <w:rPr>
                <w:lang w:val="es-MX"/>
              </w:rPr>
            </w:pPr>
          </w:p>
        </w:tc>
        <w:tc>
          <w:tcPr>
            <w:tcW w:w="777" w:type="dxa"/>
            <w:vMerge/>
            <w:shd w:val="clear" w:color="auto" w:fill="FFFFFF"/>
            <w:vAlign w:val="center"/>
          </w:tcPr>
          <w:p w14:paraId="2B9B853E" w14:textId="77777777" w:rsidR="00A84D80" w:rsidRPr="008F7D6E" w:rsidRDefault="00A84D80" w:rsidP="00CB12E6">
            <w:pPr>
              <w:pStyle w:val="CETBodytext"/>
              <w:ind w:right="-1"/>
              <w:jc w:val="left"/>
              <w:rPr>
                <w:rFonts w:cs="Arial"/>
                <w:szCs w:val="18"/>
                <w:lang w:val="es-MX"/>
              </w:rPr>
            </w:pPr>
          </w:p>
        </w:tc>
        <w:tc>
          <w:tcPr>
            <w:tcW w:w="876" w:type="dxa"/>
            <w:vMerge/>
            <w:shd w:val="clear" w:color="auto" w:fill="FFFFFF"/>
            <w:vAlign w:val="center"/>
          </w:tcPr>
          <w:p w14:paraId="08535FA3" w14:textId="77777777" w:rsidR="00A84D80" w:rsidRPr="00B57B36" w:rsidRDefault="00A84D80" w:rsidP="00CB12E6">
            <w:pPr>
              <w:pStyle w:val="CETBodytext"/>
              <w:ind w:right="-1"/>
              <w:jc w:val="left"/>
              <w:rPr>
                <w:rFonts w:cs="Arial"/>
                <w:szCs w:val="18"/>
                <w:lang w:val="en-GB"/>
              </w:rPr>
            </w:pPr>
          </w:p>
        </w:tc>
        <w:tc>
          <w:tcPr>
            <w:tcW w:w="848" w:type="dxa"/>
            <w:vMerge/>
            <w:shd w:val="clear" w:color="auto" w:fill="FFFFFF"/>
            <w:vAlign w:val="center"/>
          </w:tcPr>
          <w:p w14:paraId="0188A7F7" w14:textId="77777777" w:rsidR="00A84D80" w:rsidRPr="008F7D6E" w:rsidRDefault="00A84D80" w:rsidP="00CB12E6">
            <w:pPr>
              <w:pStyle w:val="CETBodytext"/>
              <w:ind w:right="-1"/>
              <w:jc w:val="left"/>
              <w:rPr>
                <w:rFonts w:cs="Arial"/>
                <w:szCs w:val="18"/>
                <w:lang w:val="es-MX"/>
              </w:rPr>
            </w:pPr>
          </w:p>
        </w:tc>
        <w:tc>
          <w:tcPr>
            <w:tcW w:w="983" w:type="dxa"/>
            <w:shd w:val="clear" w:color="auto" w:fill="FFFFFF"/>
            <w:vAlign w:val="center"/>
          </w:tcPr>
          <w:p w14:paraId="72A06799" w14:textId="77777777" w:rsidR="00A84D80" w:rsidRPr="00B57B36" w:rsidRDefault="00A84D80" w:rsidP="00CB12E6">
            <w:pPr>
              <w:pStyle w:val="CETBodytext"/>
              <w:ind w:right="-1"/>
              <w:jc w:val="left"/>
              <w:rPr>
                <w:rFonts w:cs="Arial"/>
                <w:szCs w:val="18"/>
                <w:lang w:val="en-GB"/>
              </w:rPr>
            </w:pPr>
            <w:r>
              <w:rPr>
                <w:rFonts w:cs="Arial"/>
                <w:szCs w:val="18"/>
                <w:lang w:val="en-GB"/>
              </w:rPr>
              <w:t>Rosenfeld</w:t>
            </w:r>
          </w:p>
        </w:tc>
        <w:tc>
          <w:tcPr>
            <w:tcW w:w="776" w:type="dxa"/>
            <w:shd w:val="clear" w:color="auto" w:fill="FFFFFF"/>
          </w:tcPr>
          <w:p w14:paraId="0EB3539E" w14:textId="77777777" w:rsidR="00A84D80" w:rsidRPr="00B57B36" w:rsidRDefault="00A84D80" w:rsidP="00CB12E6">
            <w:pPr>
              <w:pStyle w:val="CETBodytext"/>
              <w:ind w:right="-1"/>
              <w:jc w:val="left"/>
              <w:rPr>
                <w:rFonts w:cs="Arial"/>
                <w:szCs w:val="18"/>
                <w:lang w:val="en-GB"/>
              </w:rPr>
            </w:pPr>
            <w:r w:rsidRPr="00D572B8">
              <w:t>2.42</w:t>
            </w:r>
          </w:p>
        </w:tc>
        <w:tc>
          <w:tcPr>
            <w:tcW w:w="647" w:type="dxa"/>
            <w:shd w:val="clear" w:color="auto" w:fill="FFFFFF"/>
          </w:tcPr>
          <w:p w14:paraId="109B9D28" w14:textId="77777777" w:rsidR="00A84D80" w:rsidRPr="00B57B36" w:rsidRDefault="00A84D80" w:rsidP="00CB12E6">
            <w:pPr>
              <w:pStyle w:val="CETBodytext"/>
              <w:ind w:right="-1"/>
              <w:jc w:val="left"/>
              <w:rPr>
                <w:rFonts w:cs="Arial"/>
                <w:szCs w:val="18"/>
                <w:lang w:val="en-GB"/>
              </w:rPr>
            </w:pPr>
            <w:r w:rsidRPr="00D572B8">
              <w:t>8.61</w:t>
            </w:r>
          </w:p>
        </w:tc>
        <w:tc>
          <w:tcPr>
            <w:tcW w:w="645" w:type="dxa"/>
            <w:shd w:val="clear" w:color="auto" w:fill="FFFFFF"/>
          </w:tcPr>
          <w:p w14:paraId="3CE8C952" w14:textId="77777777" w:rsidR="00A84D80" w:rsidRPr="00B57B36" w:rsidRDefault="00A84D80" w:rsidP="00CB12E6">
            <w:pPr>
              <w:pStyle w:val="CETBodytext"/>
              <w:ind w:right="-1"/>
              <w:jc w:val="left"/>
              <w:rPr>
                <w:rFonts w:cs="Arial"/>
                <w:szCs w:val="18"/>
                <w:lang w:val="en-GB"/>
              </w:rPr>
            </w:pPr>
            <w:r w:rsidRPr="00D572B8">
              <w:t>2.30</w:t>
            </w:r>
          </w:p>
        </w:tc>
        <w:tc>
          <w:tcPr>
            <w:tcW w:w="634" w:type="dxa"/>
            <w:shd w:val="clear" w:color="auto" w:fill="FFFFFF"/>
          </w:tcPr>
          <w:p w14:paraId="498014B2" w14:textId="77777777" w:rsidR="00A84D80" w:rsidRPr="00B57B36" w:rsidRDefault="00A84D80" w:rsidP="00CB12E6">
            <w:pPr>
              <w:pStyle w:val="CETBodytext"/>
              <w:ind w:right="-1"/>
              <w:jc w:val="left"/>
              <w:rPr>
                <w:rFonts w:cs="Arial"/>
                <w:szCs w:val="18"/>
                <w:lang w:val="en-GB"/>
              </w:rPr>
            </w:pPr>
            <w:r w:rsidRPr="00D572B8">
              <w:t>6.23</w:t>
            </w:r>
          </w:p>
        </w:tc>
      </w:tr>
      <w:tr w:rsidR="00A84D80" w:rsidRPr="00B57B36" w14:paraId="7543E21C" w14:textId="77777777" w:rsidTr="00A84D80">
        <w:trPr>
          <w:trHeight w:val="46"/>
        </w:trPr>
        <w:tc>
          <w:tcPr>
            <w:tcW w:w="810" w:type="dxa"/>
            <w:vMerge/>
            <w:shd w:val="clear" w:color="auto" w:fill="FFFFFF"/>
            <w:vAlign w:val="center"/>
          </w:tcPr>
          <w:p w14:paraId="0968495F" w14:textId="77777777" w:rsidR="00A84D80" w:rsidRDefault="00A84D80" w:rsidP="00CB12E6">
            <w:pPr>
              <w:pStyle w:val="CETBodytext"/>
              <w:jc w:val="left"/>
              <w:rPr>
                <w:lang w:val="en-GB"/>
              </w:rPr>
            </w:pPr>
          </w:p>
        </w:tc>
        <w:tc>
          <w:tcPr>
            <w:tcW w:w="895" w:type="dxa"/>
            <w:vMerge/>
            <w:shd w:val="clear" w:color="auto" w:fill="FFFFFF"/>
            <w:vAlign w:val="center"/>
          </w:tcPr>
          <w:p w14:paraId="00D378D0" w14:textId="77777777" w:rsidR="00A84D80" w:rsidRPr="008F7D6E" w:rsidRDefault="00A84D80" w:rsidP="00CB12E6">
            <w:pPr>
              <w:pStyle w:val="CETBodytext"/>
              <w:jc w:val="left"/>
              <w:rPr>
                <w:lang w:val="es-MX"/>
              </w:rPr>
            </w:pPr>
          </w:p>
        </w:tc>
        <w:tc>
          <w:tcPr>
            <w:tcW w:w="896" w:type="dxa"/>
            <w:vMerge/>
            <w:shd w:val="clear" w:color="auto" w:fill="FFFFFF"/>
            <w:vAlign w:val="center"/>
          </w:tcPr>
          <w:p w14:paraId="4BCE78FC" w14:textId="77777777" w:rsidR="00A84D80" w:rsidRPr="008F7D6E" w:rsidRDefault="00A84D80" w:rsidP="00CB12E6">
            <w:pPr>
              <w:pStyle w:val="CETBodytext"/>
              <w:jc w:val="left"/>
              <w:rPr>
                <w:lang w:val="es-MX"/>
              </w:rPr>
            </w:pPr>
          </w:p>
        </w:tc>
        <w:tc>
          <w:tcPr>
            <w:tcW w:w="777" w:type="dxa"/>
            <w:vMerge/>
            <w:shd w:val="clear" w:color="auto" w:fill="FFFFFF"/>
            <w:vAlign w:val="center"/>
          </w:tcPr>
          <w:p w14:paraId="4B0448F1" w14:textId="77777777" w:rsidR="00A84D80" w:rsidRPr="008F7D6E" w:rsidRDefault="00A84D80" w:rsidP="00CB12E6">
            <w:pPr>
              <w:pStyle w:val="CETBodytext"/>
              <w:ind w:right="-1"/>
              <w:jc w:val="left"/>
              <w:rPr>
                <w:rFonts w:cs="Arial"/>
                <w:szCs w:val="18"/>
                <w:lang w:val="es-MX"/>
              </w:rPr>
            </w:pPr>
          </w:p>
        </w:tc>
        <w:tc>
          <w:tcPr>
            <w:tcW w:w="876" w:type="dxa"/>
            <w:vMerge/>
            <w:shd w:val="clear" w:color="auto" w:fill="FFFFFF"/>
            <w:vAlign w:val="center"/>
          </w:tcPr>
          <w:p w14:paraId="7E6F3258" w14:textId="77777777" w:rsidR="00A84D80" w:rsidRPr="00B57B36" w:rsidRDefault="00A84D80" w:rsidP="00CB12E6">
            <w:pPr>
              <w:pStyle w:val="CETBodytext"/>
              <w:ind w:right="-1"/>
              <w:jc w:val="left"/>
              <w:rPr>
                <w:rFonts w:cs="Arial"/>
                <w:szCs w:val="18"/>
                <w:lang w:val="en-GB"/>
              </w:rPr>
            </w:pPr>
          </w:p>
        </w:tc>
        <w:tc>
          <w:tcPr>
            <w:tcW w:w="848" w:type="dxa"/>
            <w:vMerge/>
            <w:shd w:val="clear" w:color="auto" w:fill="FFFFFF"/>
            <w:vAlign w:val="center"/>
          </w:tcPr>
          <w:p w14:paraId="0AEB5049" w14:textId="77777777" w:rsidR="00A84D80" w:rsidRPr="008F7D6E" w:rsidRDefault="00A84D80" w:rsidP="00CB12E6">
            <w:pPr>
              <w:pStyle w:val="CETBodytext"/>
              <w:ind w:right="-1"/>
              <w:jc w:val="left"/>
              <w:rPr>
                <w:rFonts w:cs="Arial"/>
                <w:szCs w:val="18"/>
                <w:lang w:val="es-MX"/>
              </w:rPr>
            </w:pPr>
          </w:p>
        </w:tc>
        <w:tc>
          <w:tcPr>
            <w:tcW w:w="983" w:type="dxa"/>
            <w:shd w:val="clear" w:color="auto" w:fill="FFFFFF"/>
            <w:vAlign w:val="center"/>
          </w:tcPr>
          <w:p w14:paraId="0073ACCE" w14:textId="77777777" w:rsidR="00A84D80" w:rsidRPr="00B57B36" w:rsidRDefault="00A84D80" w:rsidP="00CB12E6">
            <w:pPr>
              <w:pStyle w:val="CETBodytext"/>
              <w:ind w:right="-1"/>
              <w:jc w:val="left"/>
              <w:rPr>
                <w:rFonts w:cs="Arial"/>
                <w:szCs w:val="18"/>
                <w:lang w:val="en-GB"/>
              </w:rPr>
            </w:pPr>
            <w:r>
              <w:rPr>
                <w:rFonts w:cs="Arial"/>
                <w:szCs w:val="18"/>
                <w:lang w:val="en-GB"/>
              </w:rPr>
              <w:t>CE</w:t>
            </w:r>
          </w:p>
        </w:tc>
        <w:tc>
          <w:tcPr>
            <w:tcW w:w="776" w:type="dxa"/>
            <w:shd w:val="clear" w:color="auto" w:fill="FFFFFF"/>
          </w:tcPr>
          <w:p w14:paraId="70B91BB9" w14:textId="77777777" w:rsidR="00A84D80" w:rsidRPr="00B57B36" w:rsidRDefault="00A84D80" w:rsidP="00CB12E6">
            <w:pPr>
              <w:pStyle w:val="CETBodytext"/>
              <w:ind w:right="-1"/>
              <w:jc w:val="left"/>
              <w:rPr>
                <w:rFonts w:cs="Arial"/>
                <w:szCs w:val="18"/>
                <w:lang w:val="en-GB"/>
              </w:rPr>
            </w:pPr>
            <w:r w:rsidRPr="00D572B8">
              <w:t>2.52</w:t>
            </w:r>
          </w:p>
        </w:tc>
        <w:tc>
          <w:tcPr>
            <w:tcW w:w="647" w:type="dxa"/>
            <w:shd w:val="clear" w:color="auto" w:fill="FFFFFF"/>
          </w:tcPr>
          <w:p w14:paraId="08696D97" w14:textId="77777777" w:rsidR="00A84D80" w:rsidRPr="00B57B36" w:rsidRDefault="00A84D80" w:rsidP="00CB12E6">
            <w:pPr>
              <w:pStyle w:val="CETBodytext"/>
              <w:ind w:right="-1"/>
              <w:jc w:val="left"/>
              <w:rPr>
                <w:rFonts w:cs="Arial"/>
                <w:szCs w:val="18"/>
                <w:lang w:val="en-GB"/>
              </w:rPr>
            </w:pPr>
            <w:r w:rsidRPr="00D572B8">
              <w:t>8.99</w:t>
            </w:r>
          </w:p>
        </w:tc>
        <w:tc>
          <w:tcPr>
            <w:tcW w:w="645" w:type="dxa"/>
            <w:shd w:val="clear" w:color="auto" w:fill="FFFFFF"/>
          </w:tcPr>
          <w:p w14:paraId="4F9DEFBA" w14:textId="77777777" w:rsidR="00A84D80" w:rsidRPr="00B57B36" w:rsidRDefault="00A84D80" w:rsidP="00CB12E6">
            <w:pPr>
              <w:pStyle w:val="CETBodytext"/>
              <w:ind w:right="-1"/>
              <w:jc w:val="left"/>
              <w:rPr>
                <w:rFonts w:cs="Arial"/>
                <w:szCs w:val="18"/>
                <w:lang w:val="en-GB"/>
              </w:rPr>
            </w:pPr>
            <w:r w:rsidRPr="00D572B8">
              <w:t>2.27</w:t>
            </w:r>
          </w:p>
        </w:tc>
        <w:tc>
          <w:tcPr>
            <w:tcW w:w="634" w:type="dxa"/>
            <w:shd w:val="clear" w:color="auto" w:fill="FFFFFF"/>
          </w:tcPr>
          <w:p w14:paraId="7902A369" w14:textId="77777777" w:rsidR="00A84D80" w:rsidRPr="00B57B36" w:rsidRDefault="00A84D80" w:rsidP="00CB12E6">
            <w:pPr>
              <w:pStyle w:val="CETBodytext"/>
              <w:ind w:right="-1"/>
              <w:jc w:val="left"/>
              <w:rPr>
                <w:rFonts w:cs="Arial"/>
                <w:szCs w:val="18"/>
                <w:lang w:val="en-GB"/>
              </w:rPr>
            </w:pPr>
            <w:r w:rsidRPr="00D572B8">
              <w:t>6.70</w:t>
            </w:r>
          </w:p>
        </w:tc>
      </w:tr>
      <w:tr w:rsidR="00A84D80" w:rsidRPr="00B57B36" w14:paraId="3EBD6B0F" w14:textId="77777777" w:rsidTr="00A84D80">
        <w:trPr>
          <w:trHeight w:val="59"/>
        </w:trPr>
        <w:tc>
          <w:tcPr>
            <w:tcW w:w="810" w:type="dxa"/>
            <w:vMerge w:val="restart"/>
            <w:shd w:val="clear" w:color="auto" w:fill="FFFFFF"/>
            <w:vAlign w:val="center"/>
          </w:tcPr>
          <w:p w14:paraId="48464CD3" w14:textId="77777777" w:rsidR="00A84D80" w:rsidRPr="00B57B36" w:rsidRDefault="00A84D80" w:rsidP="00CB12E6">
            <w:pPr>
              <w:pStyle w:val="CETBodytext"/>
              <w:jc w:val="left"/>
              <w:rPr>
                <w:lang w:val="en-GB"/>
              </w:rPr>
            </w:pPr>
            <w:proofErr w:type="spellStart"/>
            <w:r>
              <w:rPr>
                <w:lang w:val="en-GB"/>
              </w:rPr>
              <w:t>Glyceline</w:t>
            </w:r>
            <w:proofErr w:type="spellEnd"/>
          </w:p>
        </w:tc>
        <w:tc>
          <w:tcPr>
            <w:tcW w:w="895" w:type="dxa"/>
            <w:vMerge w:val="restart"/>
            <w:shd w:val="clear" w:color="auto" w:fill="FFFFFF"/>
            <w:vAlign w:val="center"/>
          </w:tcPr>
          <w:p w14:paraId="4BFE0FD8" w14:textId="77777777" w:rsidR="00A84D80" w:rsidRPr="008F7D6E" w:rsidRDefault="00A84D80" w:rsidP="00CB12E6">
            <w:pPr>
              <w:pStyle w:val="CETBodytext"/>
              <w:jc w:val="left"/>
              <w:rPr>
                <w:lang w:val="es-MX"/>
              </w:rPr>
            </w:pPr>
            <w:r w:rsidRPr="008F7D6E">
              <w:rPr>
                <w:lang w:val="es-MX"/>
              </w:rPr>
              <w:t>1.251</w:t>
            </w:r>
          </w:p>
        </w:tc>
        <w:tc>
          <w:tcPr>
            <w:tcW w:w="896" w:type="dxa"/>
            <w:vMerge w:val="restart"/>
            <w:shd w:val="clear" w:color="auto" w:fill="FFFFFF"/>
            <w:vAlign w:val="center"/>
          </w:tcPr>
          <w:p w14:paraId="6CB2BF76" w14:textId="77777777" w:rsidR="00A84D80" w:rsidRPr="008F7D6E" w:rsidRDefault="00A84D80" w:rsidP="00CB12E6">
            <w:pPr>
              <w:pStyle w:val="CETBodytext"/>
              <w:jc w:val="left"/>
              <w:rPr>
                <w:lang w:val="es-MX"/>
              </w:rPr>
            </w:pPr>
            <w:r w:rsidRPr="008F7D6E">
              <w:rPr>
                <w:lang w:val="es-MX"/>
              </w:rPr>
              <w:t>680.67</w:t>
            </w:r>
          </w:p>
        </w:tc>
        <w:tc>
          <w:tcPr>
            <w:tcW w:w="777" w:type="dxa"/>
            <w:vMerge w:val="restart"/>
            <w:shd w:val="clear" w:color="auto" w:fill="FFFFFF"/>
            <w:vAlign w:val="center"/>
          </w:tcPr>
          <w:p w14:paraId="20680496" w14:textId="77777777" w:rsidR="00A84D80" w:rsidRPr="008F7D6E" w:rsidRDefault="00A84D80" w:rsidP="00CB12E6">
            <w:pPr>
              <w:pStyle w:val="CETBodytext"/>
              <w:ind w:right="-1"/>
              <w:jc w:val="left"/>
              <w:rPr>
                <w:rFonts w:cs="Arial"/>
                <w:szCs w:val="18"/>
                <w:lang w:val="es-MX"/>
              </w:rPr>
            </w:pPr>
            <w:r w:rsidRPr="008F7D6E">
              <w:rPr>
                <w:rFonts w:cs="Arial"/>
                <w:szCs w:val="18"/>
                <w:lang w:val="es-MX"/>
              </w:rPr>
              <w:t>3</w:t>
            </w:r>
            <w:r>
              <w:rPr>
                <w:rFonts w:cs="Arial"/>
                <w:szCs w:val="18"/>
                <w:lang w:val="es-MX"/>
              </w:rPr>
              <w:t>.</w:t>
            </w:r>
            <w:r w:rsidRPr="008F7D6E">
              <w:rPr>
                <w:rFonts w:cs="Arial"/>
                <w:szCs w:val="18"/>
                <w:lang w:val="es-MX"/>
              </w:rPr>
              <w:t>306</w:t>
            </w:r>
          </w:p>
        </w:tc>
        <w:tc>
          <w:tcPr>
            <w:tcW w:w="876" w:type="dxa"/>
            <w:vMerge w:val="restart"/>
            <w:shd w:val="clear" w:color="auto" w:fill="FFFFFF"/>
            <w:vAlign w:val="center"/>
          </w:tcPr>
          <w:p w14:paraId="5184A590" w14:textId="77777777" w:rsidR="00A84D80" w:rsidRPr="00B57B36" w:rsidRDefault="00A84D80" w:rsidP="00CB12E6">
            <w:pPr>
              <w:pStyle w:val="CETBodytext"/>
              <w:ind w:right="-1"/>
              <w:jc w:val="left"/>
              <w:rPr>
                <w:rFonts w:cs="Arial"/>
                <w:szCs w:val="18"/>
                <w:lang w:val="en-GB"/>
              </w:rPr>
            </w:pPr>
            <w:r w:rsidRPr="007D726E">
              <w:rPr>
                <w:rFonts w:cs="Arial"/>
                <w:szCs w:val="18"/>
                <w:lang w:val="en-GB"/>
              </w:rPr>
              <w:t>315.17</w:t>
            </w:r>
          </w:p>
        </w:tc>
        <w:tc>
          <w:tcPr>
            <w:tcW w:w="848" w:type="dxa"/>
            <w:vMerge w:val="restart"/>
            <w:shd w:val="clear" w:color="auto" w:fill="FFFFFF"/>
            <w:vAlign w:val="center"/>
          </w:tcPr>
          <w:p w14:paraId="68D0728E" w14:textId="77777777" w:rsidR="00A84D80" w:rsidRPr="008F7D6E" w:rsidRDefault="00A84D80" w:rsidP="00CB12E6">
            <w:pPr>
              <w:pStyle w:val="CETBodytext"/>
              <w:ind w:right="-1"/>
              <w:jc w:val="left"/>
              <w:rPr>
                <w:rFonts w:cs="Arial"/>
                <w:szCs w:val="18"/>
                <w:lang w:val="es-MX"/>
              </w:rPr>
            </w:pPr>
            <w:r w:rsidRPr="008F7D6E">
              <w:rPr>
                <w:rFonts w:cs="Arial"/>
                <w:szCs w:val="18"/>
                <w:lang w:val="es-MX"/>
              </w:rPr>
              <w:t>107.93</w:t>
            </w:r>
          </w:p>
        </w:tc>
        <w:tc>
          <w:tcPr>
            <w:tcW w:w="983" w:type="dxa"/>
            <w:shd w:val="clear" w:color="auto" w:fill="FFFFFF"/>
            <w:vAlign w:val="center"/>
          </w:tcPr>
          <w:p w14:paraId="1FC7AB59" w14:textId="77777777" w:rsidR="00A84D80" w:rsidRPr="00B57B36" w:rsidRDefault="00A84D80" w:rsidP="00CB12E6">
            <w:pPr>
              <w:pStyle w:val="CETBodytext"/>
              <w:ind w:right="-1"/>
              <w:jc w:val="left"/>
              <w:rPr>
                <w:rFonts w:cs="Arial"/>
                <w:szCs w:val="18"/>
                <w:lang w:val="en-GB"/>
              </w:rPr>
            </w:pPr>
            <w:r>
              <w:rPr>
                <w:rFonts w:cs="Arial"/>
                <w:szCs w:val="18"/>
                <w:lang w:val="en-GB"/>
              </w:rPr>
              <w:t>1</w:t>
            </w:r>
          </w:p>
        </w:tc>
        <w:tc>
          <w:tcPr>
            <w:tcW w:w="776" w:type="dxa"/>
            <w:shd w:val="clear" w:color="auto" w:fill="FFFFFF"/>
          </w:tcPr>
          <w:p w14:paraId="4A052F2D" w14:textId="77777777" w:rsidR="00A84D80" w:rsidRPr="00B57B36" w:rsidRDefault="00A84D80" w:rsidP="00CB12E6">
            <w:pPr>
              <w:pStyle w:val="CETBodytext"/>
              <w:ind w:right="-1"/>
              <w:jc w:val="left"/>
              <w:rPr>
                <w:rFonts w:cs="Arial"/>
                <w:szCs w:val="18"/>
                <w:lang w:val="en-GB"/>
              </w:rPr>
            </w:pPr>
            <w:r w:rsidRPr="00D572B8">
              <w:t>3.27</w:t>
            </w:r>
          </w:p>
        </w:tc>
        <w:tc>
          <w:tcPr>
            <w:tcW w:w="647" w:type="dxa"/>
            <w:shd w:val="clear" w:color="auto" w:fill="FFFFFF"/>
          </w:tcPr>
          <w:p w14:paraId="43EFB3E1" w14:textId="77777777" w:rsidR="00A84D80" w:rsidRPr="00B57B36" w:rsidRDefault="00A84D80" w:rsidP="00CB12E6">
            <w:pPr>
              <w:pStyle w:val="CETBodytext"/>
              <w:ind w:right="-1"/>
              <w:jc w:val="left"/>
              <w:rPr>
                <w:rFonts w:cs="Arial"/>
                <w:szCs w:val="18"/>
                <w:lang w:val="en-GB"/>
              </w:rPr>
            </w:pPr>
            <w:r w:rsidRPr="00D572B8">
              <w:t>10.33</w:t>
            </w:r>
          </w:p>
        </w:tc>
        <w:tc>
          <w:tcPr>
            <w:tcW w:w="645" w:type="dxa"/>
            <w:shd w:val="clear" w:color="auto" w:fill="FFFFFF"/>
          </w:tcPr>
          <w:p w14:paraId="5DD4931B" w14:textId="77777777" w:rsidR="00A84D80" w:rsidRPr="00B57B36" w:rsidRDefault="00A84D80" w:rsidP="00CB12E6">
            <w:pPr>
              <w:pStyle w:val="CETBodytext"/>
              <w:ind w:right="-1"/>
              <w:jc w:val="left"/>
              <w:rPr>
                <w:rFonts w:cs="Arial"/>
                <w:szCs w:val="18"/>
                <w:lang w:val="en-GB"/>
              </w:rPr>
            </w:pPr>
            <w:r w:rsidRPr="00D572B8">
              <w:t>3.27</w:t>
            </w:r>
          </w:p>
        </w:tc>
        <w:tc>
          <w:tcPr>
            <w:tcW w:w="634" w:type="dxa"/>
            <w:shd w:val="clear" w:color="auto" w:fill="FFFFFF"/>
          </w:tcPr>
          <w:p w14:paraId="3F1C60E1" w14:textId="77777777" w:rsidR="00A84D80" w:rsidRPr="00B57B36" w:rsidRDefault="00A84D80" w:rsidP="00CB12E6">
            <w:pPr>
              <w:pStyle w:val="CETBodytext"/>
              <w:ind w:right="-1"/>
              <w:jc w:val="left"/>
              <w:rPr>
                <w:rFonts w:cs="Arial"/>
                <w:szCs w:val="18"/>
                <w:lang w:val="en-GB"/>
              </w:rPr>
            </w:pPr>
            <w:r w:rsidRPr="00D572B8">
              <w:t>12.43</w:t>
            </w:r>
          </w:p>
        </w:tc>
      </w:tr>
      <w:tr w:rsidR="00A84D80" w:rsidRPr="00B57B36" w14:paraId="05CF0983" w14:textId="77777777" w:rsidTr="00A84D80">
        <w:trPr>
          <w:trHeight w:val="57"/>
        </w:trPr>
        <w:tc>
          <w:tcPr>
            <w:tcW w:w="810" w:type="dxa"/>
            <w:vMerge/>
            <w:shd w:val="clear" w:color="auto" w:fill="FFFFFF"/>
            <w:vAlign w:val="center"/>
          </w:tcPr>
          <w:p w14:paraId="03C0F7B1" w14:textId="77777777" w:rsidR="00A84D80" w:rsidRDefault="00A84D80" w:rsidP="00CB12E6">
            <w:pPr>
              <w:pStyle w:val="CETBodytext"/>
              <w:jc w:val="left"/>
              <w:rPr>
                <w:lang w:val="en-GB"/>
              </w:rPr>
            </w:pPr>
          </w:p>
        </w:tc>
        <w:tc>
          <w:tcPr>
            <w:tcW w:w="895" w:type="dxa"/>
            <w:vMerge/>
            <w:shd w:val="clear" w:color="auto" w:fill="FFFFFF"/>
            <w:vAlign w:val="center"/>
          </w:tcPr>
          <w:p w14:paraId="1CEB0197" w14:textId="77777777" w:rsidR="00A84D80" w:rsidRPr="008F7D6E" w:rsidRDefault="00A84D80" w:rsidP="00CB12E6">
            <w:pPr>
              <w:pStyle w:val="CETBodytext"/>
              <w:jc w:val="left"/>
              <w:rPr>
                <w:lang w:val="es-MX"/>
              </w:rPr>
            </w:pPr>
          </w:p>
        </w:tc>
        <w:tc>
          <w:tcPr>
            <w:tcW w:w="896" w:type="dxa"/>
            <w:vMerge/>
            <w:shd w:val="clear" w:color="auto" w:fill="FFFFFF"/>
            <w:vAlign w:val="center"/>
          </w:tcPr>
          <w:p w14:paraId="7EA8D1D9" w14:textId="77777777" w:rsidR="00A84D80" w:rsidRPr="008F7D6E" w:rsidRDefault="00A84D80" w:rsidP="00CB12E6">
            <w:pPr>
              <w:pStyle w:val="CETBodytext"/>
              <w:jc w:val="left"/>
              <w:rPr>
                <w:lang w:val="es-MX"/>
              </w:rPr>
            </w:pPr>
          </w:p>
        </w:tc>
        <w:tc>
          <w:tcPr>
            <w:tcW w:w="777" w:type="dxa"/>
            <w:vMerge/>
            <w:shd w:val="clear" w:color="auto" w:fill="FFFFFF"/>
            <w:vAlign w:val="center"/>
          </w:tcPr>
          <w:p w14:paraId="2D87636D" w14:textId="77777777" w:rsidR="00A84D80" w:rsidRPr="008F7D6E" w:rsidRDefault="00A84D80" w:rsidP="00CB12E6">
            <w:pPr>
              <w:pStyle w:val="CETBodytext"/>
              <w:ind w:right="-1"/>
              <w:jc w:val="left"/>
              <w:rPr>
                <w:rFonts w:cs="Arial"/>
                <w:szCs w:val="18"/>
                <w:lang w:val="es-MX"/>
              </w:rPr>
            </w:pPr>
          </w:p>
        </w:tc>
        <w:tc>
          <w:tcPr>
            <w:tcW w:w="876" w:type="dxa"/>
            <w:vMerge/>
            <w:shd w:val="clear" w:color="auto" w:fill="FFFFFF"/>
            <w:vAlign w:val="center"/>
          </w:tcPr>
          <w:p w14:paraId="3DFE0E29" w14:textId="77777777" w:rsidR="00A84D80" w:rsidRPr="00B57B36" w:rsidRDefault="00A84D80" w:rsidP="00CB12E6">
            <w:pPr>
              <w:pStyle w:val="CETBodytext"/>
              <w:ind w:right="-1"/>
              <w:jc w:val="left"/>
              <w:rPr>
                <w:rFonts w:cs="Arial"/>
                <w:szCs w:val="18"/>
                <w:lang w:val="en-GB"/>
              </w:rPr>
            </w:pPr>
          </w:p>
        </w:tc>
        <w:tc>
          <w:tcPr>
            <w:tcW w:w="848" w:type="dxa"/>
            <w:vMerge/>
            <w:shd w:val="clear" w:color="auto" w:fill="FFFFFF"/>
            <w:vAlign w:val="center"/>
          </w:tcPr>
          <w:p w14:paraId="56721243" w14:textId="77777777" w:rsidR="00A84D80" w:rsidRPr="008F7D6E" w:rsidRDefault="00A84D80" w:rsidP="00CB12E6">
            <w:pPr>
              <w:pStyle w:val="CETBodytext"/>
              <w:ind w:right="-1"/>
              <w:jc w:val="left"/>
              <w:rPr>
                <w:rFonts w:cs="Arial"/>
                <w:szCs w:val="18"/>
                <w:lang w:val="es-MX"/>
              </w:rPr>
            </w:pPr>
          </w:p>
        </w:tc>
        <w:tc>
          <w:tcPr>
            <w:tcW w:w="983" w:type="dxa"/>
            <w:shd w:val="clear" w:color="auto" w:fill="FFFFFF"/>
            <w:vAlign w:val="center"/>
          </w:tcPr>
          <w:p w14:paraId="7133663C" w14:textId="77777777" w:rsidR="00A84D80" w:rsidRPr="00B57B36" w:rsidRDefault="00A84D80" w:rsidP="00CB12E6">
            <w:pPr>
              <w:pStyle w:val="CETBodytext"/>
              <w:ind w:right="-1"/>
              <w:jc w:val="left"/>
              <w:rPr>
                <w:rFonts w:cs="Arial"/>
                <w:szCs w:val="18"/>
                <w:lang w:val="en-GB"/>
              </w:rPr>
            </w:pPr>
            <w:r>
              <w:rPr>
                <w:rFonts w:cs="Arial"/>
                <w:szCs w:val="18"/>
                <w:lang w:val="en-GB"/>
              </w:rPr>
              <w:t>Rosenfeld</w:t>
            </w:r>
          </w:p>
        </w:tc>
        <w:tc>
          <w:tcPr>
            <w:tcW w:w="776" w:type="dxa"/>
            <w:shd w:val="clear" w:color="auto" w:fill="FFFFFF"/>
          </w:tcPr>
          <w:p w14:paraId="5BE5FA17" w14:textId="77777777" w:rsidR="00A84D80" w:rsidRPr="00B57B36" w:rsidRDefault="00A84D80" w:rsidP="00CB12E6">
            <w:pPr>
              <w:pStyle w:val="CETBodytext"/>
              <w:ind w:right="-1"/>
              <w:jc w:val="left"/>
              <w:rPr>
                <w:rFonts w:cs="Arial"/>
                <w:szCs w:val="18"/>
                <w:lang w:val="en-GB"/>
              </w:rPr>
            </w:pPr>
            <w:r w:rsidRPr="00D572B8">
              <w:t>3.67</w:t>
            </w:r>
          </w:p>
        </w:tc>
        <w:tc>
          <w:tcPr>
            <w:tcW w:w="647" w:type="dxa"/>
            <w:shd w:val="clear" w:color="auto" w:fill="FFFFFF"/>
          </w:tcPr>
          <w:p w14:paraId="20B82C95" w14:textId="77777777" w:rsidR="00A84D80" w:rsidRPr="00B57B36" w:rsidRDefault="00A84D80" w:rsidP="00CB12E6">
            <w:pPr>
              <w:pStyle w:val="CETBodytext"/>
              <w:ind w:right="-1"/>
              <w:jc w:val="left"/>
              <w:rPr>
                <w:rFonts w:cs="Arial"/>
                <w:szCs w:val="18"/>
                <w:lang w:val="en-GB"/>
              </w:rPr>
            </w:pPr>
            <w:r w:rsidRPr="00D572B8">
              <w:t>11.17</w:t>
            </w:r>
          </w:p>
        </w:tc>
        <w:tc>
          <w:tcPr>
            <w:tcW w:w="645" w:type="dxa"/>
            <w:shd w:val="clear" w:color="auto" w:fill="FFFFFF"/>
          </w:tcPr>
          <w:p w14:paraId="54931D01" w14:textId="77777777" w:rsidR="00A84D80" w:rsidRPr="00B57B36" w:rsidRDefault="00A84D80" w:rsidP="00CB12E6">
            <w:pPr>
              <w:pStyle w:val="CETBodytext"/>
              <w:ind w:right="-1"/>
              <w:jc w:val="left"/>
              <w:rPr>
                <w:rFonts w:cs="Arial"/>
                <w:szCs w:val="18"/>
                <w:lang w:val="en-GB"/>
              </w:rPr>
            </w:pPr>
            <w:r w:rsidRPr="00D572B8">
              <w:t>3.20</w:t>
            </w:r>
          </w:p>
        </w:tc>
        <w:tc>
          <w:tcPr>
            <w:tcW w:w="634" w:type="dxa"/>
            <w:shd w:val="clear" w:color="auto" w:fill="FFFFFF"/>
          </w:tcPr>
          <w:p w14:paraId="2ACC9724" w14:textId="77777777" w:rsidR="00A84D80" w:rsidRPr="00B57B36" w:rsidRDefault="00A84D80" w:rsidP="00CB12E6">
            <w:pPr>
              <w:pStyle w:val="CETBodytext"/>
              <w:ind w:right="-1"/>
              <w:jc w:val="left"/>
              <w:rPr>
                <w:rFonts w:cs="Arial"/>
                <w:szCs w:val="18"/>
                <w:lang w:val="en-GB"/>
              </w:rPr>
            </w:pPr>
            <w:r w:rsidRPr="00D572B8">
              <w:t>11.03</w:t>
            </w:r>
          </w:p>
        </w:tc>
      </w:tr>
      <w:tr w:rsidR="00A84D80" w:rsidRPr="00B57B36" w14:paraId="3FDC0066" w14:textId="77777777" w:rsidTr="00A84D80">
        <w:trPr>
          <w:trHeight w:val="57"/>
        </w:trPr>
        <w:tc>
          <w:tcPr>
            <w:tcW w:w="810" w:type="dxa"/>
            <w:vMerge/>
            <w:shd w:val="clear" w:color="auto" w:fill="FFFFFF"/>
            <w:vAlign w:val="center"/>
          </w:tcPr>
          <w:p w14:paraId="72AC9A5D" w14:textId="77777777" w:rsidR="00A84D80" w:rsidRDefault="00A84D80" w:rsidP="00CB12E6">
            <w:pPr>
              <w:pStyle w:val="CETBodytext"/>
              <w:jc w:val="left"/>
              <w:rPr>
                <w:lang w:val="en-GB"/>
              </w:rPr>
            </w:pPr>
          </w:p>
        </w:tc>
        <w:tc>
          <w:tcPr>
            <w:tcW w:w="895" w:type="dxa"/>
            <w:vMerge/>
            <w:shd w:val="clear" w:color="auto" w:fill="FFFFFF"/>
            <w:vAlign w:val="center"/>
          </w:tcPr>
          <w:p w14:paraId="62AACF54" w14:textId="77777777" w:rsidR="00A84D80" w:rsidRPr="008F7D6E" w:rsidRDefault="00A84D80" w:rsidP="00CB12E6">
            <w:pPr>
              <w:pStyle w:val="CETBodytext"/>
              <w:jc w:val="left"/>
              <w:rPr>
                <w:lang w:val="es-MX"/>
              </w:rPr>
            </w:pPr>
          </w:p>
        </w:tc>
        <w:tc>
          <w:tcPr>
            <w:tcW w:w="896" w:type="dxa"/>
            <w:vMerge/>
            <w:shd w:val="clear" w:color="auto" w:fill="FFFFFF"/>
            <w:vAlign w:val="center"/>
          </w:tcPr>
          <w:p w14:paraId="4DE0B8EF" w14:textId="77777777" w:rsidR="00A84D80" w:rsidRPr="008F7D6E" w:rsidRDefault="00A84D80" w:rsidP="00CB12E6">
            <w:pPr>
              <w:pStyle w:val="CETBodytext"/>
              <w:jc w:val="left"/>
              <w:rPr>
                <w:lang w:val="es-MX"/>
              </w:rPr>
            </w:pPr>
          </w:p>
        </w:tc>
        <w:tc>
          <w:tcPr>
            <w:tcW w:w="777" w:type="dxa"/>
            <w:vMerge/>
            <w:shd w:val="clear" w:color="auto" w:fill="FFFFFF"/>
            <w:vAlign w:val="center"/>
          </w:tcPr>
          <w:p w14:paraId="4123867C" w14:textId="77777777" w:rsidR="00A84D80" w:rsidRPr="008F7D6E" w:rsidRDefault="00A84D80" w:rsidP="00CB12E6">
            <w:pPr>
              <w:pStyle w:val="CETBodytext"/>
              <w:ind w:right="-1"/>
              <w:jc w:val="left"/>
              <w:rPr>
                <w:rFonts w:cs="Arial"/>
                <w:szCs w:val="18"/>
                <w:lang w:val="es-MX"/>
              </w:rPr>
            </w:pPr>
          </w:p>
        </w:tc>
        <w:tc>
          <w:tcPr>
            <w:tcW w:w="876" w:type="dxa"/>
            <w:vMerge/>
            <w:shd w:val="clear" w:color="auto" w:fill="FFFFFF"/>
            <w:vAlign w:val="center"/>
          </w:tcPr>
          <w:p w14:paraId="0AEB1ED6" w14:textId="77777777" w:rsidR="00A84D80" w:rsidRPr="00B57B36" w:rsidRDefault="00A84D80" w:rsidP="00CB12E6">
            <w:pPr>
              <w:pStyle w:val="CETBodytext"/>
              <w:ind w:right="-1"/>
              <w:jc w:val="left"/>
              <w:rPr>
                <w:rFonts w:cs="Arial"/>
                <w:szCs w:val="18"/>
                <w:lang w:val="en-GB"/>
              </w:rPr>
            </w:pPr>
          </w:p>
        </w:tc>
        <w:tc>
          <w:tcPr>
            <w:tcW w:w="848" w:type="dxa"/>
            <w:vMerge/>
            <w:shd w:val="clear" w:color="auto" w:fill="FFFFFF"/>
            <w:vAlign w:val="center"/>
          </w:tcPr>
          <w:p w14:paraId="790ABEC5" w14:textId="77777777" w:rsidR="00A84D80" w:rsidRPr="008F7D6E" w:rsidRDefault="00A84D80" w:rsidP="00CB12E6">
            <w:pPr>
              <w:pStyle w:val="CETBodytext"/>
              <w:ind w:right="-1"/>
              <w:jc w:val="left"/>
              <w:rPr>
                <w:rFonts w:cs="Arial"/>
                <w:szCs w:val="18"/>
                <w:lang w:val="es-MX"/>
              </w:rPr>
            </w:pPr>
          </w:p>
        </w:tc>
        <w:tc>
          <w:tcPr>
            <w:tcW w:w="983" w:type="dxa"/>
            <w:shd w:val="clear" w:color="auto" w:fill="FFFFFF"/>
            <w:vAlign w:val="center"/>
          </w:tcPr>
          <w:p w14:paraId="2C459343" w14:textId="77777777" w:rsidR="00A84D80" w:rsidRPr="00B57B36" w:rsidRDefault="00A84D80" w:rsidP="00CB12E6">
            <w:pPr>
              <w:pStyle w:val="CETBodytext"/>
              <w:ind w:right="-1"/>
              <w:jc w:val="left"/>
              <w:rPr>
                <w:rFonts w:cs="Arial"/>
                <w:szCs w:val="18"/>
                <w:lang w:val="en-GB"/>
              </w:rPr>
            </w:pPr>
            <w:r>
              <w:rPr>
                <w:rFonts w:cs="Arial"/>
                <w:szCs w:val="18"/>
                <w:lang w:val="en-GB"/>
              </w:rPr>
              <w:t>CE</w:t>
            </w:r>
          </w:p>
        </w:tc>
        <w:tc>
          <w:tcPr>
            <w:tcW w:w="776" w:type="dxa"/>
            <w:shd w:val="clear" w:color="auto" w:fill="FFFFFF"/>
          </w:tcPr>
          <w:p w14:paraId="042F4962" w14:textId="77777777" w:rsidR="00A84D80" w:rsidRPr="00B57B36" w:rsidRDefault="00A84D80" w:rsidP="00CB12E6">
            <w:pPr>
              <w:pStyle w:val="CETBodytext"/>
              <w:ind w:right="-1"/>
              <w:jc w:val="left"/>
              <w:rPr>
                <w:rFonts w:cs="Arial"/>
                <w:szCs w:val="18"/>
                <w:lang w:val="en-GB"/>
              </w:rPr>
            </w:pPr>
            <w:r w:rsidRPr="00D572B8">
              <w:t>3.73</w:t>
            </w:r>
          </w:p>
        </w:tc>
        <w:tc>
          <w:tcPr>
            <w:tcW w:w="647" w:type="dxa"/>
            <w:shd w:val="clear" w:color="auto" w:fill="FFFFFF"/>
          </w:tcPr>
          <w:p w14:paraId="251EF87D" w14:textId="77777777" w:rsidR="00A84D80" w:rsidRPr="00B57B36" w:rsidRDefault="00A84D80" w:rsidP="00CB12E6">
            <w:pPr>
              <w:pStyle w:val="CETBodytext"/>
              <w:ind w:right="-1"/>
              <w:jc w:val="left"/>
              <w:rPr>
                <w:rFonts w:cs="Arial"/>
                <w:szCs w:val="18"/>
                <w:lang w:val="en-GB"/>
              </w:rPr>
            </w:pPr>
            <w:r w:rsidRPr="00D572B8">
              <w:t>11.24</w:t>
            </w:r>
          </w:p>
        </w:tc>
        <w:tc>
          <w:tcPr>
            <w:tcW w:w="645" w:type="dxa"/>
            <w:shd w:val="clear" w:color="auto" w:fill="FFFFFF"/>
          </w:tcPr>
          <w:p w14:paraId="302F9C9E" w14:textId="77777777" w:rsidR="00A84D80" w:rsidRPr="00B57B36" w:rsidRDefault="00A84D80" w:rsidP="00CB12E6">
            <w:pPr>
              <w:pStyle w:val="CETBodytext"/>
              <w:ind w:right="-1"/>
              <w:jc w:val="left"/>
              <w:rPr>
                <w:rFonts w:cs="Arial"/>
                <w:szCs w:val="18"/>
                <w:lang w:val="en-GB"/>
              </w:rPr>
            </w:pPr>
            <w:r w:rsidRPr="00D572B8">
              <w:t>3.20</w:t>
            </w:r>
          </w:p>
        </w:tc>
        <w:tc>
          <w:tcPr>
            <w:tcW w:w="634" w:type="dxa"/>
            <w:shd w:val="clear" w:color="auto" w:fill="FFFFFF"/>
          </w:tcPr>
          <w:p w14:paraId="2D981EA2" w14:textId="77777777" w:rsidR="00A84D80" w:rsidRPr="00B57B36" w:rsidRDefault="00A84D80" w:rsidP="00CB12E6">
            <w:pPr>
              <w:pStyle w:val="CETBodytext"/>
              <w:ind w:right="-1"/>
              <w:jc w:val="left"/>
              <w:rPr>
                <w:rFonts w:cs="Arial"/>
                <w:szCs w:val="18"/>
                <w:lang w:val="en-GB"/>
              </w:rPr>
            </w:pPr>
            <w:r w:rsidRPr="00D572B8">
              <w:t>10.70</w:t>
            </w:r>
          </w:p>
        </w:tc>
      </w:tr>
      <w:tr w:rsidR="00A84D80" w:rsidRPr="00B57B36" w14:paraId="08037EF6" w14:textId="77777777" w:rsidTr="00A84D80">
        <w:trPr>
          <w:trHeight w:val="59"/>
        </w:trPr>
        <w:tc>
          <w:tcPr>
            <w:tcW w:w="810" w:type="dxa"/>
            <w:vMerge w:val="restart"/>
            <w:shd w:val="clear" w:color="auto" w:fill="FFFFFF"/>
            <w:vAlign w:val="center"/>
          </w:tcPr>
          <w:p w14:paraId="760810D5" w14:textId="77777777" w:rsidR="00A84D80" w:rsidRPr="00B57B36" w:rsidRDefault="00A84D80" w:rsidP="00CB12E6">
            <w:pPr>
              <w:pStyle w:val="CETBodytext"/>
              <w:ind w:right="-1"/>
              <w:jc w:val="left"/>
              <w:rPr>
                <w:rFonts w:cs="Arial"/>
                <w:szCs w:val="18"/>
                <w:lang w:val="en-GB"/>
              </w:rPr>
            </w:pPr>
            <w:r>
              <w:rPr>
                <w:rFonts w:cs="Arial"/>
                <w:szCs w:val="18"/>
                <w:lang w:val="en-GB"/>
              </w:rPr>
              <w:t>Reline</w:t>
            </w:r>
          </w:p>
        </w:tc>
        <w:tc>
          <w:tcPr>
            <w:tcW w:w="895" w:type="dxa"/>
            <w:vMerge w:val="restart"/>
            <w:shd w:val="clear" w:color="auto" w:fill="FFFFFF"/>
            <w:vAlign w:val="center"/>
          </w:tcPr>
          <w:p w14:paraId="2E7ABC08" w14:textId="77777777" w:rsidR="00A84D80" w:rsidRDefault="00A84D80" w:rsidP="00CB12E6">
            <w:pPr>
              <w:pStyle w:val="CETBodytext"/>
              <w:ind w:right="-1"/>
              <w:jc w:val="left"/>
              <w:rPr>
                <w:rFonts w:cs="Arial"/>
                <w:szCs w:val="18"/>
                <w:lang w:val="en-GB"/>
              </w:rPr>
            </w:pPr>
            <w:r w:rsidRPr="00300633">
              <w:rPr>
                <w:rFonts w:cs="Arial"/>
                <w:szCs w:val="18"/>
                <w:lang w:val="en-GB"/>
              </w:rPr>
              <w:t>0.513</w:t>
            </w:r>
            <w:r>
              <w:rPr>
                <w:rFonts w:cs="Arial"/>
                <w:szCs w:val="18"/>
                <w:lang w:val="en-GB"/>
              </w:rPr>
              <w:t>8</w:t>
            </w:r>
            <w:r>
              <w:rPr>
                <w:rFonts w:cs="Arial"/>
                <w:szCs w:val="18"/>
                <w:vertAlign w:val="superscript"/>
                <w:lang w:val="en-GB"/>
              </w:rPr>
              <w:t>a</w:t>
            </w:r>
          </w:p>
          <w:p w14:paraId="358C541A" w14:textId="77777777" w:rsidR="00A84D80" w:rsidRPr="00FF2B6A" w:rsidRDefault="00A84D80" w:rsidP="00CB12E6">
            <w:pPr>
              <w:pStyle w:val="CETBodytext"/>
              <w:ind w:right="-1"/>
              <w:jc w:val="left"/>
              <w:rPr>
                <w:rFonts w:cs="Arial"/>
                <w:szCs w:val="18"/>
                <w:vertAlign w:val="superscript"/>
                <w:lang w:val="en-GB"/>
              </w:rPr>
            </w:pPr>
            <w:r w:rsidRPr="00FF2B6A">
              <w:rPr>
                <w:rFonts w:cs="Arial"/>
                <w:szCs w:val="18"/>
                <w:lang w:val="en-GB"/>
              </w:rPr>
              <w:t>0.5848</w:t>
            </w:r>
            <w:r>
              <w:rPr>
                <w:rFonts w:cs="Arial"/>
                <w:szCs w:val="18"/>
                <w:vertAlign w:val="superscript"/>
                <w:lang w:val="en-GB"/>
              </w:rPr>
              <w:t>b</w:t>
            </w:r>
          </w:p>
        </w:tc>
        <w:tc>
          <w:tcPr>
            <w:tcW w:w="896" w:type="dxa"/>
            <w:vMerge w:val="restart"/>
            <w:shd w:val="clear" w:color="auto" w:fill="FFFFFF"/>
            <w:vAlign w:val="center"/>
          </w:tcPr>
          <w:p w14:paraId="63833113" w14:textId="77777777" w:rsidR="00A84D80" w:rsidRDefault="00A84D80" w:rsidP="00CB12E6">
            <w:pPr>
              <w:pStyle w:val="CETBodytext"/>
              <w:ind w:right="-1"/>
              <w:jc w:val="left"/>
              <w:rPr>
                <w:rFonts w:cs="Arial"/>
                <w:szCs w:val="18"/>
                <w:lang w:val="en-GB"/>
              </w:rPr>
            </w:pPr>
            <w:r w:rsidRPr="00300633">
              <w:rPr>
                <w:rFonts w:cs="Arial"/>
                <w:szCs w:val="18"/>
                <w:lang w:val="en-GB"/>
              </w:rPr>
              <w:t>927.49</w:t>
            </w:r>
            <w:r>
              <w:rPr>
                <w:rFonts w:cs="Arial"/>
                <w:szCs w:val="18"/>
                <w:vertAlign w:val="superscript"/>
                <w:lang w:val="en-GB"/>
              </w:rPr>
              <w:t>a</w:t>
            </w:r>
          </w:p>
          <w:p w14:paraId="3AFE989E" w14:textId="77777777" w:rsidR="00A84D80" w:rsidRPr="00FF2B6A" w:rsidRDefault="00A84D80" w:rsidP="00CB12E6">
            <w:pPr>
              <w:pStyle w:val="CETBodytext"/>
              <w:ind w:right="-1"/>
              <w:jc w:val="left"/>
              <w:rPr>
                <w:rFonts w:cs="Arial"/>
                <w:szCs w:val="18"/>
                <w:vertAlign w:val="superscript"/>
                <w:lang w:val="en-GB"/>
              </w:rPr>
            </w:pPr>
            <w:r w:rsidRPr="00FF2B6A">
              <w:rPr>
                <w:rFonts w:cs="Arial"/>
                <w:szCs w:val="18"/>
                <w:lang w:val="en-GB"/>
              </w:rPr>
              <w:t>902.31</w:t>
            </w:r>
            <w:r>
              <w:rPr>
                <w:rFonts w:cs="Arial"/>
                <w:szCs w:val="18"/>
                <w:vertAlign w:val="superscript"/>
                <w:lang w:val="en-GB"/>
              </w:rPr>
              <w:t>b</w:t>
            </w:r>
          </w:p>
        </w:tc>
        <w:tc>
          <w:tcPr>
            <w:tcW w:w="777" w:type="dxa"/>
            <w:vMerge w:val="restart"/>
            <w:shd w:val="clear" w:color="auto" w:fill="FFFFFF"/>
            <w:vAlign w:val="center"/>
          </w:tcPr>
          <w:p w14:paraId="5431C2C2" w14:textId="77777777" w:rsidR="00A84D80" w:rsidRDefault="00A84D80" w:rsidP="00CB12E6">
            <w:pPr>
              <w:tabs>
                <w:tab w:val="clear" w:pos="7100"/>
              </w:tabs>
              <w:spacing w:line="240" w:lineRule="auto"/>
              <w:jc w:val="left"/>
              <w:rPr>
                <w:rFonts w:cs="Arial"/>
                <w:szCs w:val="18"/>
              </w:rPr>
            </w:pPr>
            <w:r w:rsidRPr="00FF2B6A">
              <w:rPr>
                <w:rFonts w:cs="Arial"/>
                <w:szCs w:val="18"/>
              </w:rPr>
              <w:t>8</w:t>
            </w:r>
            <w:r>
              <w:rPr>
                <w:rFonts w:cs="Arial"/>
                <w:szCs w:val="18"/>
              </w:rPr>
              <w:t>.</w:t>
            </w:r>
            <w:r w:rsidRPr="00FF2B6A">
              <w:rPr>
                <w:rFonts w:cs="Arial"/>
                <w:szCs w:val="18"/>
              </w:rPr>
              <w:t>537</w:t>
            </w:r>
            <w:r>
              <w:rPr>
                <w:rFonts w:cs="Arial"/>
                <w:szCs w:val="18"/>
                <w:vertAlign w:val="superscript"/>
              </w:rPr>
              <w:t>a</w:t>
            </w:r>
          </w:p>
          <w:p w14:paraId="140972C2" w14:textId="77777777" w:rsidR="00A84D80" w:rsidRPr="00FF2B6A" w:rsidRDefault="00A84D80" w:rsidP="00CB12E6">
            <w:pPr>
              <w:tabs>
                <w:tab w:val="clear" w:pos="7100"/>
              </w:tabs>
              <w:spacing w:line="240" w:lineRule="auto"/>
              <w:jc w:val="left"/>
              <w:rPr>
                <w:rFonts w:cs="Arial"/>
                <w:szCs w:val="18"/>
                <w:vertAlign w:val="superscript"/>
              </w:rPr>
            </w:pPr>
            <w:r w:rsidRPr="00FF2B6A">
              <w:rPr>
                <w:rFonts w:cs="Arial"/>
                <w:szCs w:val="18"/>
              </w:rPr>
              <w:t>7</w:t>
            </w:r>
            <w:r>
              <w:rPr>
                <w:rFonts w:cs="Arial"/>
                <w:szCs w:val="18"/>
              </w:rPr>
              <w:t>.</w:t>
            </w:r>
            <w:r w:rsidRPr="00FF2B6A">
              <w:rPr>
                <w:rFonts w:cs="Arial"/>
                <w:szCs w:val="18"/>
              </w:rPr>
              <w:t>095</w:t>
            </w:r>
            <w:r>
              <w:rPr>
                <w:rFonts w:cs="Arial"/>
                <w:szCs w:val="18"/>
                <w:vertAlign w:val="superscript"/>
              </w:rPr>
              <w:t>b</w:t>
            </w:r>
          </w:p>
        </w:tc>
        <w:tc>
          <w:tcPr>
            <w:tcW w:w="876" w:type="dxa"/>
            <w:vMerge w:val="restart"/>
            <w:shd w:val="clear" w:color="auto" w:fill="FFFFFF"/>
            <w:vAlign w:val="center"/>
          </w:tcPr>
          <w:p w14:paraId="49842DA1" w14:textId="77777777" w:rsidR="00A84D80" w:rsidRDefault="00A84D80" w:rsidP="00CB12E6">
            <w:pPr>
              <w:pStyle w:val="CETBodytext"/>
              <w:ind w:right="-1"/>
              <w:jc w:val="left"/>
              <w:rPr>
                <w:rFonts w:cs="Arial"/>
                <w:szCs w:val="18"/>
                <w:lang w:val="en-GB"/>
              </w:rPr>
            </w:pPr>
            <w:r w:rsidRPr="00FF2B6A">
              <w:rPr>
                <w:rFonts w:cs="Arial"/>
                <w:szCs w:val="18"/>
                <w:lang w:val="en-GB"/>
              </w:rPr>
              <w:t>508.53</w:t>
            </w:r>
            <w:r>
              <w:rPr>
                <w:rFonts w:cs="Arial"/>
                <w:szCs w:val="18"/>
                <w:vertAlign w:val="superscript"/>
                <w:lang w:val="en-GB"/>
              </w:rPr>
              <w:t>a</w:t>
            </w:r>
          </w:p>
          <w:p w14:paraId="6ED75952" w14:textId="77777777" w:rsidR="00A84D80" w:rsidRPr="00FF2B6A" w:rsidRDefault="00A84D80" w:rsidP="00CB12E6">
            <w:pPr>
              <w:pStyle w:val="CETBodytext"/>
              <w:ind w:right="-1"/>
              <w:jc w:val="left"/>
              <w:rPr>
                <w:rFonts w:cs="Arial"/>
                <w:szCs w:val="18"/>
                <w:vertAlign w:val="superscript"/>
                <w:lang w:val="en-GB"/>
              </w:rPr>
            </w:pPr>
            <w:r w:rsidRPr="00FF2B6A">
              <w:rPr>
                <w:rFonts w:cs="Arial"/>
                <w:szCs w:val="18"/>
                <w:lang w:val="en-GB"/>
              </w:rPr>
              <w:t>313.82</w:t>
            </w:r>
            <w:r>
              <w:rPr>
                <w:rFonts w:cs="Arial"/>
                <w:szCs w:val="18"/>
                <w:vertAlign w:val="superscript"/>
                <w:lang w:val="en-GB"/>
              </w:rPr>
              <w:t>b</w:t>
            </w:r>
          </w:p>
        </w:tc>
        <w:tc>
          <w:tcPr>
            <w:tcW w:w="848" w:type="dxa"/>
            <w:vMerge w:val="restart"/>
            <w:shd w:val="clear" w:color="auto" w:fill="FFFFFF"/>
            <w:vAlign w:val="center"/>
          </w:tcPr>
          <w:p w14:paraId="568A84D7" w14:textId="77777777" w:rsidR="00A84D80" w:rsidRPr="00B57B36" w:rsidRDefault="00A84D80" w:rsidP="00CB12E6">
            <w:pPr>
              <w:pStyle w:val="CETBodytext"/>
              <w:ind w:right="-1"/>
              <w:jc w:val="left"/>
              <w:rPr>
                <w:rFonts w:cs="Arial"/>
                <w:szCs w:val="18"/>
                <w:lang w:val="en-GB"/>
              </w:rPr>
            </w:pPr>
            <w:r w:rsidRPr="00FF2B6A">
              <w:rPr>
                <w:rFonts w:cs="Arial"/>
                <w:szCs w:val="18"/>
                <w:lang w:val="en-GB"/>
              </w:rPr>
              <w:t>86.58</w:t>
            </w:r>
          </w:p>
        </w:tc>
        <w:tc>
          <w:tcPr>
            <w:tcW w:w="983" w:type="dxa"/>
            <w:shd w:val="clear" w:color="auto" w:fill="FFFFFF"/>
            <w:vAlign w:val="center"/>
          </w:tcPr>
          <w:p w14:paraId="1B17153C" w14:textId="77777777" w:rsidR="00A84D80" w:rsidRPr="00B57B36" w:rsidRDefault="00A84D80" w:rsidP="00CB12E6">
            <w:pPr>
              <w:pStyle w:val="CETBodytext"/>
              <w:ind w:right="-1"/>
              <w:jc w:val="left"/>
              <w:rPr>
                <w:rFonts w:cs="Arial"/>
                <w:szCs w:val="18"/>
                <w:lang w:val="en-GB"/>
              </w:rPr>
            </w:pPr>
            <w:r>
              <w:rPr>
                <w:rFonts w:cs="Arial"/>
                <w:szCs w:val="18"/>
                <w:lang w:val="en-GB"/>
              </w:rPr>
              <w:t>1</w:t>
            </w:r>
          </w:p>
        </w:tc>
        <w:tc>
          <w:tcPr>
            <w:tcW w:w="776" w:type="dxa"/>
            <w:shd w:val="clear" w:color="auto" w:fill="FFFFFF"/>
          </w:tcPr>
          <w:p w14:paraId="5F964C34" w14:textId="77777777" w:rsidR="00A84D80" w:rsidRPr="00B57B36" w:rsidRDefault="00A84D80" w:rsidP="00CB12E6">
            <w:pPr>
              <w:pStyle w:val="CETBodytext"/>
              <w:ind w:right="-1"/>
              <w:jc w:val="left"/>
              <w:rPr>
                <w:rFonts w:cs="Arial"/>
                <w:szCs w:val="18"/>
                <w:lang w:val="en-GB"/>
              </w:rPr>
            </w:pPr>
            <w:r w:rsidRPr="00315743">
              <w:t>2.91</w:t>
            </w:r>
          </w:p>
        </w:tc>
        <w:tc>
          <w:tcPr>
            <w:tcW w:w="647" w:type="dxa"/>
            <w:shd w:val="clear" w:color="auto" w:fill="FFFFFF"/>
          </w:tcPr>
          <w:p w14:paraId="23F64394" w14:textId="77777777" w:rsidR="00A84D80" w:rsidRPr="00B57B36" w:rsidRDefault="00A84D80" w:rsidP="00CB12E6">
            <w:pPr>
              <w:pStyle w:val="CETBodytext"/>
              <w:ind w:right="-1"/>
              <w:jc w:val="left"/>
              <w:rPr>
                <w:rFonts w:cs="Arial"/>
                <w:szCs w:val="18"/>
                <w:lang w:val="en-GB"/>
              </w:rPr>
            </w:pPr>
            <w:r w:rsidRPr="00315743">
              <w:t>9.22</w:t>
            </w:r>
          </w:p>
        </w:tc>
        <w:tc>
          <w:tcPr>
            <w:tcW w:w="645" w:type="dxa"/>
            <w:shd w:val="clear" w:color="auto" w:fill="FFFFFF"/>
          </w:tcPr>
          <w:p w14:paraId="398B52B1" w14:textId="77777777" w:rsidR="00A84D80" w:rsidRPr="00B57B36" w:rsidRDefault="00A84D80" w:rsidP="00CB12E6">
            <w:pPr>
              <w:pStyle w:val="CETBodytext"/>
              <w:ind w:right="-1"/>
              <w:jc w:val="left"/>
              <w:rPr>
                <w:rFonts w:cs="Arial"/>
                <w:szCs w:val="18"/>
                <w:lang w:val="en-GB"/>
              </w:rPr>
            </w:pPr>
            <w:r w:rsidRPr="00315743">
              <w:t>2.95</w:t>
            </w:r>
          </w:p>
        </w:tc>
        <w:tc>
          <w:tcPr>
            <w:tcW w:w="634" w:type="dxa"/>
            <w:shd w:val="clear" w:color="auto" w:fill="FFFFFF"/>
          </w:tcPr>
          <w:p w14:paraId="30F0268B" w14:textId="77777777" w:rsidR="00A84D80" w:rsidRPr="00B57B36" w:rsidRDefault="00A84D80" w:rsidP="00CB12E6">
            <w:pPr>
              <w:pStyle w:val="CETBodytext"/>
              <w:ind w:right="-1"/>
              <w:jc w:val="left"/>
              <w:rPr>
                <w:rFonts w:cs="Arial"/>
                <w:szCs w:val="18"/>
                <w:lang w:val="en-GB"/>
              </w:rPr>
            </w:pPr>
            <w:r w:rsidRPr="00315743">
              <w:t>9.27</w:t>
            </w:r>
          </w:p>
        </w:tc>
      </w:tr>
      <w:tr w:rsidR="00A84D80" w:rsidRPr="00B57B36" w14:paraId="1BD9EA0D" w14:textId="77777777" w:rsidTr="00A84D80">
        <w:trPr>
          <w:trHeight w:val="57"/>
        </w:trPr>
        <w:tc>
          <w:tcPr>
            <w:tcW w:w="810" w:type="dxa"/>
            <w:vMerge/>
            <w:shd w:val="clear" w:color="auto" w:fill="FFFFFF"/>
            <w:vAlign w:val="center"/>
          </w:tcPr>
          <w:p w14:paraId="092A5C64" w14:textId="77777777" w:rsidR="00A84D80" w:rsidRDefault="00A84D80" w:rsidP="00CB12E6">
            <w:pPr>
              <w:pStyle w:val="CETBodytext"/>
              <w:ind w:right="-1"/>
              <w:jc w:val="left"/>
              <w:rPr>
                <w:rFonts w:cs="Arial"/>
                <w:szCs w:val="18"/>
                <w:lang w:val="en-GB"/>
              </w:rPr>
            </w:pPr>
          </w:p>
        </w:tc>
        <w:tc>
          <w:tcPr>
            <w:tcW w:w="895" w:type="dxa"/>
            <w:vMerge/>
            <w:shd w:val="clear" w:color="auto" w:fill="FFFFFF"/>
            <w:vAlign w:val="center"/>
          </w:tcPr>
          <w:p w14:paraId="39272492" w14:textId="77777777" w:rsidR="00A84D80" w:rsidRPr="00B57B36" w:rsidRDefault="00A84D80" w:rsidP="00CB12E6">
            <w:pPr>
              <w:pStyle w:val="CETBodytext"/>
              <w:ind w:right="-1"/>
              <w:jc w:val="left"/>
              <w:rPr>
                <w:rFonts w:cs="Arial"/>
                <w:szCs w:val="18"/>
                <w:lang w:val="en-GB"/>
              </w:rPr>
            </w:pPr>
          </w:p>
        </w:tc>
        <w:tc>
          <w:tcPr>
            <w:tcW w:w="896" w:type="dxa"/>
            <w:vMerge/>
            <w:shd w:val="clear" w:color="auto" w:fill="FFFFFF"/>
            <w:vAlign w:val="center"/>
          </w:tcPr>
          <w:p w14:paraId="2DB2D061" w14:textId="77777777" w:rsidR="00A84D80" w:rsidRPr="00B57B36" w:rsidRDefault="00A84D80" w:rsidP="00CB12E6">
            <w:pPr>
              <w:pStyle w:val="CETBodytext"/>
              <w:ind w:right="-1"/>
              <w:jc w:val="left"/>
              <w:rPr>
                <w:rFonts w:cs="Arial"/>
                <w:szCs w:val="18"/>
                <w:lang w:val="en-GB"/>
              </w:rPr>
            </w:pPr>
          </w:p>
        </w:tc>
        <w:tc>
          <w:tcPr>
            <w:tcW w:w="777" w:type="dxa"/>
            <w:vMerge/>
            <w:shd w:val="clear" w:color="auto" w:fill="FFFFFF"/>
            <w:vAlign w:val="center"/>
          </w:tcPr>
          <w:p w14:paraId="3FF0DCD3" w14:textId="77777777" w:rsidR="00A84D80" w:rsidRPr="00B57B36" w:rsidRDefault="00A84D80" w:rsidP="00CB12E6">
            <w:pPr>
              <w:pStyle w:val="CETBodytext"/>
              <w:ind w:right="-1"/>
              <w:jc w:val="left"/>
              <w:rPr>
                <w:rFonts w:cs="Arial"/>
                <w:szCs w:val="18"/>
                <w:lang w:val="en-GB"/>
              </w:rPr>
            </w:pPr>
          </w:p>
        </w:tc>
        <w:tc>
          <w:tcPr>
            <w:tcW w:w="876" w:type="dxa"/>
            <w:vMerge/>
            <w:shd w:val="clear" w:color="auto" w:fill="FFFFFF"/>
            <w:vAlign w:val="center"/>
          </w:tcPr>
          <w:p w14:paraId="16545E5A" w14:textId="77777777" w:rsidR="00A84D80" w:rsidRPr="00B57B36" w:rsidRDefault="00A84D80" w:rsidP="00CB12E6">
            <w:pPr>
              <w:pStyle w:val="CETBodytext"/>
              <w:ind w:right="-1"/>
              <w:jc w:val="left"/>
              <w:rPr>
                <w:rFonts w:cs="Arial"/>
                <w:szCs w:val="18"/>
                <w:lang w:val="en-GB"/>
              </w:rPr>
            </w:pPr>
          </w:p>
        </w:tc>
        <w:tc>
          <w:tcPr>
            <w:tcW w:w="848" w:type="dxa"/>
            <w:vMerge/>
            <w:shd w:val="clear" w:color="auto" w:fill="FFFFFF"/>
            <w:vAlign w:val="center"/>
          </w:tcPr>
          <w:p w14:paraId="3DB4520D" w14:textId="77777777" w:rsidR="00A84D80" w:rsidRPr="00B57B36" w:rsidRDefault="00A84D80" w:rsidP="00CB12E6">
            <w:pPr>
              <w:pStyle w:val="CETBodytext"/>
              <w:ind w:right="-1"/>
              <w:jc w:val="left"/>
              <w:rPr>
                <w:rFonts w:cs="Arial"/>
                <w:szCs w:val="18"/>
                <w:lang w:val="en-GB"/>
              </w:rPr>
            </w:pPr>
          </w:p>
        </w:tc>
        <w:tc>
          <w:tcPr>
            <w:tcW w:w="983" w:type="dxa"/>
            <w:shd w:val="clear" w:color="auto" w:fill="FFFFFF"/>
            <w:vAlign w:val="center"/>
          </w:tcPr>
          <w:p w14:paraId="49BC8EC5" w14:textId="77777777" w:rsidR="00A84D80" w:rsidRPr="00B57B36" w:rsidRDefault="00A84D80" w:rsidP="00CB12E6">
            <w:pPr>
              <w:pStyle w:val="CETBodytext"/>
              <w:ind w:right="-1"/>
              <w:jc w:val="left"/>
              <w:rPr>
                <w:rFonts w:cs="Arial"/>
                <w:szCs w:val="18"/>
                <w:lang w:val="en-GB"/>
              </w:rPr>
            </w:pPr>
            <w:r>
              <w:rPr>
                <w:rFonts w:cs="Arial"/>
                <w:szCs w:val="18"/>
                <w:lang w:val="en-GB"/>
              </w:rPr>
              <w:t>Rosenfeld</w:t>
            </w:r>
          </w:p>
        </w:tc>
        <w:tc>
          <w:tcPr>
            <w:tcW w:w="776" w:type="dxa"/>
            <w:shd w:val="clear" w:color="auto" w:fill="FFFFFF"/>
          </w:tcPr>
          <w:p w14:paraId="61BDF16F" w14:textId="77777777" w:rsidR="00A84D80" w:rsidRPr="00B57B36" w:rsidRDefault="00A84D80" w:rsidP="00CB12E6">
            <w:pPr>
              <w:pStyle w:val="CETBodytext"/>
              <w:ind w:right="-1"/>
              <w:jc w:val="left"/>
              <w:rPr>
                <w:rFonts w:cs="Arial"/>
                <w:szCs w:val="18"/>
                <w:lang w:val="en-GB"/>
              </w:rPr>
            </w:pPr>
            <w:r w:rsidRPr="00315743">
              <w:t>2.81</w:t>
            </w:r>
          </w:p>
        </w:tc>
        <w:tc>
          <w:tcPr>
            <w:tcW w:w="647" w:type="dxa"/>
            <w:shd w:val="clear" w:color="auto" w:fill="FFFFFF"/>
          </w:tcPr>
          <w:p w14:paraId="4EE40F4F" w14:textId="77777777" w:rsidR="00A84D80" w:rsidRPr="00B57B36" w:rsidRDefault="00A84D80" w:rsidP="00CB12E6">
            <w:pPr>
              <w:pStyle w:val="CETBodytext"/>
              <w:ind w:right="-1"/>
              <w:jc w:val="left"/>
              <w:rPr>
                <w:rFonts w:cs="Arial"/>
                <w:szCs w:val="18"/>
                <w:lang w:val="en-GB"/>
              </w:rPr>
            </w:pPr>
            <w:r w:rsidRPr="00315743">
              <w:t>8.75</w:t>
            </w:r>
          </w:p>
        </w:tc>
        <w:tc>
          <w:tcPr>
            <w:tcW w:w="645" w:type="dxa"/>
            <w:shd w:val="clear" w:color="auto" w:fill="FFFFFF"/>
          </w:tcPr>
          <w:p w14:paraId="1E2C1754" w14:textId="77777777" w:rsidR="00A84D80" w:rsidRPr="00B57B36" w:rsidRDefault="00A84D80" w:rsidP="00CB12E6">
            <w:pPr>
              <w:pStyle w:val="CETBodytext"/>
              <w:ind w:right="-1"/>
              <w:jc w:val="left"/>
              <w:rPr>
                <w:rFonts w:cs="Arial"/>
                <w:szCs w:val="18"/>
                <w:lang w:val="en-GB"/>
              </w:rPr>
            </w:pPr>
            <w:r w:rsidRPr="00315743">
              <w:t>2.82</w:t>
            </w:r>
          </w:p>
        </w:tc>
        <w:tc>
          <w:tcPr>
            <w:tcW w:w="634" w:type="dxa"/>
            <w:shd w:val="clear" w:color="auto" w:fill="FFFFFF"/>
          </w:tcPr>
          <w:p w14:paraId="1C87ABE3" w14:textId="77777777" w:rsidR="00A84D80" w:rsidRPr="00B57B36" w:rsidRDefault="00A84D80" w:rsidP="00CB12E6">
            <w:pPr>
              <w:pStyle w:val="CETBodytext"/>
              <w:ind w:right="-1"/>
              <w:jc w:val="left"/>
              <w:rPr>
                <w:rFonts w:cs="Arial"/>
                <w:szCs w:val="18"/>
                <w:lang w:val="en-GB"/>
              </w:rPr>
            </w:pPr>
            <w:r w:rsidRPr="00315743">
              <w:t>8.81</w:t>
            </w:r>
          </w:p>
        </w:tc>
      </w:tr>
      <w:tr w:rsidR="00A84D80" w:rsidRPr="00B57B36" w14:paraId="46EC1C95" w14:textId="77777777" w:rsidTr="00A84D80">
        <w:trPr>
          <w:trHeight w:val="57"/>
        </w:trPr>
        <w:tc>
          <w:tcPr>
            <w:tcW w:w="810" w:type="dxa"/>
            <w:vMerge/>
            <w:shd w:val="clear" w:color="auto" w:fill="FFFFFF"/>
            <w:vAlign w:val="center"/>
          </w:tcPr>
          <w:p w14:paraId="11F4AC3F" w14:textId="77777777" w:rsidR="00A84D80" w:rsidRDefault="00A84D80" w:rsidP="00CB12E6">
            <w:pPr>
              <w:pStyle w:val="CETBodytext"/>
              <w:ind w:right="-1"/>
              <w:jc w:val="left"/>
              <w:rPr>
                <w:rFonts w:cs="Arial"/>
                <w:szCs w:val="18"/>
                <w:lang w:val="en-GB"/>
              </w:rPr>
            </w:pPr>
          </w:p>
        </w:tc>
        <w:tc>
          <w:tcPr>
            <w:tcW w:w="895" w:type="dxa"/>
            <w:vMerge/>
            <w:shd w:val="clear" w:color="auto" w:fill="FFFFFF"/>
            <w:vAlign w:val="center"/>
          </w:tcPr>
          <w:p w14:paraId="7280B736" w14:textId="77777777" w:rsidR="00A84D80" w:rsidRPr="00B57B36" w:rsidRDefault="00A84D80" w:rsidP="00CB12E6">
            <w:pPr>
              <w:pStyle w:val="CETBodytext"/>
              <w:ind w:right="-1"/>
              <w:jc w:val="left"/>
              <w:rPr>
                <w:rFonts w:cs="Arial"/>
                <w:szCs w:val="18"/>
                <w:lang w:val="en-GB"/>
              </w:rPr>
            </w:pPr>
          </w:p>
        </w:tc>
        <w:tc>
          <w:tcPr>
            <w:tcW w:w="896" w:type="dxa"/>
            <w:vMerge/>
            <w:shd w:val="clear" w:color="auto" w:fill="FFFFFF"/>
            <w:vAlign w:val="center"/>
          </w:tcPr>
          <w:p w14:paraId="4F019A03" w14:textId="77777777" w:rsidR="00A84D80" w:rsidRPr="00B57B36" w:rsidRDefault="00A84D80" w:rsidP="00CB12E6">
            <w:pPr>
              <w:pStyle w:val="CETBodytext"/>
              <w:ind w:right="-1"/>
              <w:jc w:val="left"/>
              <w:rPr>
                <w:rFonts w:cs="Arial"/>
                <w:szCs w:val="18"/>
                <w:lang w:val="en-GB"/>
              </w:rPr>
            </w:pPr>
          </w:p>
        </w:tc>
        <w:tc>
          <w:tcPr>
            <w:tcW w:w="777" w:type="dxa"/>
            <w:vMerge/>
            <w:shd w:val="clear" w:color="auto" w:fill="FFFFFF"/>
            <w:vAlign w:val="center"/>
          </w:tcPr>
          <w:p w14:paraId="0B7E47A0" w14:textId="77777777" w:rsidR="00A84D80" w:rsidRPr="00B57B36" w:rsidRDefault="00A84D80" w:rsidP="00CB12E6">
            <w:pPr>
              <w:pStyle w:val="CETBodytext"/>
              <w:ind w:right="-1"/>
              <w:jc w:val="left"/>
              <w:rPr>
                <w:rFonts w:cs="Arial"/>
                <w:szCs w:val="18"/>
                <w:lang w:val="en-GB"/>
              </w:rPr>
            </w:pPr>
          </w:p>
        </w:tc>
        <w:tc>
          <w:tcPr>
            <w:tcW w:w="876" w:type="dxa"/>
            <w:vMerge/>
            <w:shd w:val="clear" w:color="auto" w:fill="FFFFFF"/>
            <w:vAlign w:val="center"/>
          </w:tcPr>
          <w:p w14:paraId="068E7323" w14:textId="77777777" w:rsidR="00A84D80" w:rsidRPr="00B57B36" w:rsidRDefault="00A84D80" w:rsidP="00CB12E6">
            <w:pPr>
              <w:pStyle w:val="CETBodytext"/>
              <w:ind w:right="-1"/>
              <w:jc w:val="left"/>
              <w:rPr>
                <w:rFonts w:cs="Arial"/>
                <w:szCs w:val="18"/>
                <w:lang w:val="en-GB"/>
              </w:rPr>
            </w:pPr>
          </w:p>
        </w:tc>
        <w:tc>
          <w:tcPr>
            <w:tcW w:w="848" w:type="dxa"/>
            <w:vMerge/>
            <w:shd w:val="clear" w:color="auto" w:fill="FFFFFF"/>
            <w:vAlign w:val="center"/>
          </w:tcPr>
          <w:p w14:paraId="21E3A70F" w14:textId="77777777" w:rsidR="00A84D80" w:rsidRPr="00B57B36" w:rsidRDefault="00A84D80" w:rsidP="00CB12E6">
            <w:pPr>
              <w:pStyle w:val="CETBodytext"/>
              <w:ind w:right="-1"/>
              <w:jc w:val="left"/>
              <w:rPr>
                <w:rFonts w:cs="Arial"/>
                <w:szCs w:val="18"/>
                <w:lang w:val="en-GB"/>
              </w:rPr>
            </w:pPr>
          </w:p>
        </w:tc>
        <w:tc>
          <w:tcPr>
            <w:tcW w:w="983" w:type="dxa"/>
            <w:shd w:val="clear" w:color="auto" w:fill="FFFFFF"/>
            <w:vAlign w:val="center"/>
          </w:tcPr>
          <w:p w14:paraId="358CBDC5" w14:textId="77777777" w:rsidR="00A84D80" w:rsidRPr="00B57B36" w:rsidRDefault="00A84D80" w:rsidP="00CB12E6">
            <w:pPr>
              <w:pStyle w:val="CETBodytext"/>
              <w:ind w:right="-1"/>
              <w:jc w:val="left"/>
              <w:rPr>
                <w:rFonts w:cs="Arial"/>
                <w:szCs w:val="18"/>
                <w:lang w:val="en-GB"/>
              </w:rPr>
            </w:pPr>
            <w:r>
              <w:rPr>
                <w:rFonts w:cs="Arial"/>
                <w:szCs w:val="18"/>
                <w:lang w:val="en-GB"/>
              </w:rPr>
              <w:t>CE</w:t>
            </w:r>
          </w:p>
        </w:tc>
        <w:tc>
          <w:tcPr>
            <w:tcW w:w="776" w:type="dxa"/>
            <w:shd w:val="clear" w:color="auto" w:fill="FFFFFF"/>
          </w:tcPr>
          <w:p w14:paraId="735907CE" w14:textId="77777777" w:rsidR="00A84D80" w:rsidRPr="00B57B36" w:rsidRDefault="00A84D80" w:rsidP="00CB12E6">
            <w:pPr>
              <w:pStyle w:val="CETBodytext"/>
              <w:ind w:right="-1"/>
              <w:jc w:val="left"/>
              <w:rPr>
                <w:rFonts w:cs="Arial"/>
                <w:szCs w:val="18"/>
                <w:lang w:val="en-GB"/>
              </w:rPr>
            </w:pPr>
            <w:r w:rsidRPr="00315743">
              <w:t>2.80</w:t>
            </w:r>
          </w:p>
        </w:tc>
        <w:tc>
          <w:tcPr>
            <w:tcW w:w="647" w:type="dxa"/>
            <w:shd w:val="clear" w:color="auto" w:fill="FFFFFF"/>
          </w:tcPr>
          <w:p w14:paraId="398D507D" w14:textId="77777777" w:rsidR="00A84D80" w:rsidRPr="00B57B36" w:rsidRDefault="00A84D80" w:rsidP="00CB12E6">
            <w:pPr>
              <w:pStyle w:val="CETBodytext"/>
              <w:ind w:right="-1"/>
              <w:jc w:val="left"/>
              <w:rPr>
                <w:rFonts w:cs="Arial"/>
                <w:szCs w:val="18"/>
                <w:lang w:val="en-GB"/>
              </w:rPr>
            </w:pPr>
            <w:r w:rsidRPr="00315743">
              <w:t>8.6211</w:t>
            </w:r>
          </w:p>
        </w:tc>
        <w:tc>
          <w:tcPr>
            <w:tcW w:w="645" w:type="dxa"/>
            <w:shd w:val="clear" w:color="auto" w:fill="FFFFFF"/>
          </w:tcPr>
          <w:p w14:paraId="7D559F8D" w14:textId="77777777" w:rsidR="00A84D80" w:rsidRPr="00B57B36" w:rsidRDefault="00A84D80" w:rsidP="00CB12E6">
            <w:pPr>
              <w:pStyle w:val="CETBodytext"/>
              <w:ind w:right="-1"/>
              <w:jc w:val="left"/>
              <w:rPr>
                <w:rFonts w:cs="Arial"/>
                <w:szCs w:val="18"/>
                <w:lang w:val="en-GB"/>
              </w:rPr>
            </w:pPr>
            <w:r w:rsidRPr="00315743">
              <w:t>2.80</w:t>
            </w:r>
          </w:p>
        </w:tc>
        <w:tc>
          <w:tcPr>
            <w:tcW w:w="634" w:type="dxa"/>
            <w:shd w:val="clear" w:color="auto" w:fill="FFFFFF"/>
          </w:tcPr>
          <w:p w14:paraId="58D6E3C0" w14:textId="77777777" w:rsidR="00A84D80" w:rsidRPr="00B57B36" w:rsidRDefault="00A84D80" w:rsidP="00CB12E6">
            <w:pPr>
              <w:pStyle w:val="CETBodytext"/>
              <w:ind w:right="-1"/>
              <w:jc w:val="left"/>
              <w:rPr>
                <w:rFonts w:cs="Arial"/>
                <w:szCs w:val="18"/>
                <w:lang w:val="en-GB"/>
              </w:rPr>
            </w:pPr>
            <w:r w:rsidRPr="00315743">
              <w:t>8.66</w:t>
            </w:r>
          </w:p>
        </w:tc>
      </w:tr>
    </w:tbl>
    <w:p w14:paraId="601663BD" w14:textId="56861149" w:rsidR="00A84D80" w:rsidRDefault="00A84D80" w:rsidP="00A84D80">
      <w:pPr>
        <w:pStyle w:val="CETBodytext"/>
        <w:rPr>
          <w:iCs/>
        </w:rPr>
      </w:pPr>
      <w:proofErr w:type="spellStart"/>
      <w:r>
        <w:rPr>
          <w:iCs/>
          <w:vertAlign w:val="superscript"/>
        </w:rPr>
        <w:t>a</w:t>
      </w:r>
      <w:proofErr w:type="spellEnd"/>
      <w:r>
        <w:rPr>
          <w:iCs/>
        </w:rPr>
        <w:t xml:space="preserve"> For SRK </w:t>
      </w:r>
      <w:proofErr w:type="spellStart"/>
      <w:r>
        <w:rPr>
          <w:iCs/>
        </w:rPr>
        <w:t>EoS</w:t>
      </w:r>
      <w:proofErr w:type="spellEnd"/>
      <w:r>
        <w:rPr>
          <w:iCs/>
        </w:rPr>
        <w:t xml:space="preserve">, </w:t>
      </w:r>
      <w:r>
        <w:rPr>
          <w:iCs/>
          <w:vertAlign w:val="superscript"/>
        </w:rPr>
        <w:t xml:space="preserve">b </w:t>
      </w:r>
      <w:r>
        <w:rPr>
          <w:iCs/>
        </w:rPr>
        <w:t xml:space="preserve">For PR </w:t>
      </w:r>
      <w:proofErr w:type="spellStart"/>
      <w:r>
        <w:rPr>
          <w:iCs/>
        </w:rPr>
        <w:t>EoS</w:t>
      </w:r>
      <w:proofErr w:type="spellEnd"/>
    </w:p>
    <w:p w14:paraId="34C45876" w14:textId="77777777" w:rsidR="00301EFB" w:rsidRDefault="008F0326" w:rsidP="00301EFB">
      <w:pPr>
        <w:pStyle w:val="CETBodytext"/>
      </w:pPr>
      <w:r w:rsidRPr="00425659">
        <w:rPr>
          <w:i/>
          <w:iCs/>
          <w:noProof/>
        </w:rPr>
        <w:drawing>
          <wp:anchor distT="0" distB="0" distL="114300" distR="114300" simplePos="0" relativeHeight="251661312" behindDoc="0" locked="0" layoutInCell="1" allowOverlap="1" wp14:anchorId="4D592D8B" wp14:editId="2AF48FB3">
            <wp:simplePos x="0" y="0"/>
            <wp:positionH relativeFrom="margin">
              <wp:align>right</wp:align>
            </wp:positionH>
            <wp:positionV relativeFrom="paragraph">
              <wp:posOffset>144145</wp:posOffset>
            </wp:positionV>
            <wp:extent cx="5575300" cy="3165475"/>
            <wp:effectExtent l="0" t="0" r="6350" b="0"/>
            <wp:wrapTopAndBottom/>
            <wp:docPr id="13" name="Imagen 13"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10;&#10;Descripción generada automáticamente con confianza baja"/>
                    <pic:cNvPicPr/>
                  </pic:nvPicPr>
                  <pic:blipFill>
                    <a:blip r:embed="rId11"/>
                    <a:stretch>
                      <a:fillRect/>
                    </a:stretch>
                  </pic:blipFill>
                  <pic:spPr>
                    <a:xfrm>
                      <a:off x="0" y="0"/>
                      <a:ext cx="5600322" cy="3179775"/>
                    </a:xfrm>
                    <a:prstGeom prst="rect">
                      <a:avLst/>
                    </a:prstGeom>
                  </pic:spPr>
                </pic:pic>
              </a:graphicData>
            </a:graphic>
            <wp14:sizeRelH relativeFrom="page">
              <wp14:pctWidth>0</wp14:pctWidth>
            </wp14:sizeRelH>
            <wp14:sizeRelV relativeFrom="page">
              <wp14:pctHeight>0</wp14:pctHeight>
            </wp14:sizeRelV>
          </wp:anchor>
        </w:drawing>
      </w:r>
      <w:r w:rsidR="005D471D" w:rsidRPr="005D471D">
        <w:t>The most accurate scaling for each DES is shown in the following figures</w:t>
      </w:r>
      <w:r w:rsidR="00FA64DC">
        <w:t>:</w:t>
      </w:r>
    </w:p>
    <w:p w14:paraId="37A249E0" w14:textId="20BAAE7B" w:rsidR="00771234" w:rsidRDefault="00771234" w:rsidP="00301EFB">
      <w:pPr>
        <w:pStyle w:val="CETBodytext"/>
      </w:pPr>
      <w:r w:rsidRPr="00301EFB">
        <w:rPr>
          <w:rStyle w:val="CETCaptionCarattere"/>
        </w:rPr>
        <w:t xml:space="preserve">Figure 2: Resulting Regressed Master Curve (solid line) and Regressed Alternative Curve (dashed line) obtained with SRK (red) and PR (blue) Cubic Equations of State using dynamic viscosity experimental data at high pressure (circle) and pressures below 1 </w:t>
      </w:r>
      <w:proofErr w:type="spellStart"/>
      <w:r w:rsidRPr="00301EFB">
        <w:rPr>
          <w:rStyle w:val="CETCaptionCarattere"/>
        </w:rPr>
        <w:t>atm</w:t>
      </w:r>
      <w:proofErr w:type="spellEnd"/>
      <w:r w:rsidRPr="00301EFB">
        <w:rPr>
          <w:rStyle w:val="CETCaptionCarattere"/>
        </w:rPr>
        <w:t xml:space="preserve"> (asterisk) for the </w:t>
      </w:r>
      <w:proofErr w:type="spellStart"/>
      <w:r w:rsidRPr="00301EFB">
        <w:rPr>
          <w:rStyle w:val="CETCaptionCarattere"/>
        </w:rPr>
        <w:t>ChCl:Ethylene</w:t>
      </w:r>
      <w:proofErr w:type="spellEnd"/>
      <w:r w:rsidRPr="00301EFB">
        <w:rPr>
          <w:rStyle w:val="CETCaptionCarattere"/>
        </w:rPr>
        <w:t xml:space="preserve"> Glycol (1:2) DES</w:t>
      </w:r>
      <w:r>
        <w:t>.</w:t>
      </w:r>
    </w:p>
    <w:p w14:paraId="01FEEBAD" w14:textId="476BF2AD" w:rsidR="00B73B18" w:rsidRDefault="00B2399B" w:rsidP="00B73B18">
      <w:pPr>
        <w:pStyle w:val="CETBodytext"/>
      </w:pPr>
      <w:r w:rsidRPr="00301EFB">
        <w:rPr>
          <w:rStyle w:val="CETCaptionCarattere"/>
          <w:noProof/>
        </w:rPr>
        <w:drawing>
          <wp:anchor distT="0" distB="0" distL="114300" distR="114300" simplePos="0" relativeHeight="251663360" behindDoc="0" locked="0" layoutInCell="1" allowOverlap="1" wp14:anchorId="310F8918" wp14:editId="1228CCF2">
            <wp:simplePos x="0" y="0"/>
            <wp:positionH relativeFrom="margin">
              <wp:align>right</wp:align>
            </wp:positionH>
            <wp:positionV relativeFrom="paragraph">
              <wp:posOffset>3665220</wp:posOffset>
            </wp:positionV>
            <wp:extent cx="5576400" cy="3164400"/>
            <wp:effectExtent l="0" t="0" r="5715" b="0"/>
            <wp:wrapTopAndBottom/>
            <wp:docPr id="9" name="Imagen 9" descr="Imagen que contiene Dia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9" descr="Imagen que contiene Diagrama&#10;&#10;Descripción generada automáticamente"/>
                    <pic:cNvPicPr preferRelativeResize="0"/>
                  </pic:nvPicPr>
                  <pic:blipFill>
                    <a:blip r:embed="rId12"/>
                    <a:stretch>
                      <a:fillRect/>
                    </a:stretch>
                  </pic:blipFill>
                  <pic:spPr>
                    <a:xfrm>
                      <a:off x="0" y="0"/>
                      <a:ext cx="5576400" cy="3164400"/>
                    </a:xfrm>
                    <a:prstGeom prst="rect">
                      <a:avLst/>
                    </a:prstGeom>
                  </pic:spPr>
                </pic:pic>
              </a:graphicData>
            </a:graphic>
            <wp14:sizeRelH relativeFrom="page">
              <wp14:pctWidth>0</wp14:pctWidth>
            </wp14:sizeRelH>
            <wp14:sizeRelV relativeFrom="page">
              <wp14:pctHeight>0</wp14:pctHeight>
            </wp14:sizeRelV>
          </wp:anchor>
        </w:drawing>
      </w:r>
      <w:r w:rsidR="00B73B18" w:rsidRPr="00301EFB">
        <w:rPr>
          <w:rStyle w:val="CETCaptionCarattere"/>
          <w:noProof/>
        </w:rPr>
        <w:drawing>
          <wp:anchor distT="0" distB="0" distL="114300" distR="114300" simplePos="0" relativeHeight="251662336" behindDoc="0" locked="0" layoutInCell="1" allowOverlap="1" wp14:anchorId="7DB2CF2A" wp14:editId="45847D71">
            <wp:simplePos x="0" y="0"/>
            <wp:positionH relativeFrom="margin">
              <wp:align>center</wp:align>
            </wp:positionH>
            <wp:positionV relativeFrom="paragraph">
              <wp:posOffset>0</wp:posOffset>
            </wp:positionV>
            <wp:extent cx="5576400" cy="3164400"/>
            <wp:effectExtent l="0" t="0" r="5715" b="0"/>
            <wp:wrapTopAndBottom/>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referRelativeResize="0"/>
                  </pic:nvPicPr>
                  <pic:blipFill>
                    <a:blip r:embed="rId13"/>
                    <a:stretch>
                      <a:fillRect/>
                    </a:stretch>
                  </pic:blipFill>
                  <pic:spPr>
                    <a:xfrm>
                      <a:off x="0" y="0"/>
                      <a:ext cx="5576400" cy="3164400"/>
                    </a:xfrm>
                    <a:prstGeom prst="rect">
                      <a:avLst/>
                    </a:prstGeom>
                  </pic:spPr>
                </pic:pic>
              </a:graphicData>
            </a:graphic>
            <wp14:sizeRelH relativeFrom="page">
              <wp14:pctWidth>0</wp14:pctWidth>
            </wp14:sizeRelH>
            <wp14:sizeRelV relativeFrom="page">
              <wp14:pctHeight>0</wp14:pctHeight>
            </wp14:sizeRelV>
          </wp:anchor>
        </w:drawing>
      </w:r>
      <w:r w:rsidR="00B73B18" w:rsidRPr="00301EFB">
        <w:rPr>
          <w:rStyle w:val="CETCaptionCarattere"/>
        </w:rPr>
        <w:t xml:space="preserve">Figure 3: Resulting Regressed Master Curve (solid line) and Regressed Alternative Curve (dashed line) obtained with SRK (red) and PR (blue) Cubic Equations of State using dynamic viscosity experimental data at high pressure (circle) and pressures below 1 </w:t>
      </w:r>
      <w:proofErr w:type="spellStart"/>
      <w:r w:rsidR="00B73B18" w:rsidRPr="00301EFB">
        <w:rPr>
          <w:rStyle w:val="CETCaptionCarattere"/>
        </w:rPr>
        <w:t>atm</w:t>
      </w:r>
      <w:proofErr w:type="spellEnd"/>
      <w:r w:rsidR="00B73B18" w:rsidRPr="00301EFB">
        <w:rPr>
          <w:rStyle w:val="CETCaptionCarattere"/>
        </w:rPr>
        <w:t xml:space="preserve"> (asterisk) for the </w:t>
      </w:r>
      <w:proofErr w:type="spellStart"/>
      <w:r w:rsidR="00FA64DC" w:rsidRPr="00301EFB">
        <w:rPr>
          <w:rStyle w:val="CETCaptionCarattere"/>
        </w:rPr>
        <w:t>ChCl:Glycerol</w:t>
      </w:r>
      <w:proofErr w:type="spellEnd"/>
      <w:r w:rsidR="00FA64DC" w:rsidRPr="00301EFB">
        <w:rPr>
          <w:rStyle w:val="CETCaptionCarattere"/>
        </w:rPr>
        <w:t xml:space="preserve">(1:2) </w:t>
      </w:r>
      <w:r w:rsidR="00B73B18" w:rsidRPr="00301EFB">
        <w:rPr>
          <w:rStyle w:val="CETCaptionCarattere"/>
        </w:rPr>
        <w:t>DES</w:t>
      </w:r>
      <w:r w:rsidR="00B73B18">
        <w:t>.</w:t>
      </w:r>
    </w:p>
    <w:p w14:paraId="07B4F1D4" w14:textId="424B1F14" w:rsidR="00165DC0" w:rsidRDefault="00B2399B" w:rsidP="00E10847">
      <w:pPr>
        <w:pStyle w:val="CETCaption"/>
      </w:pPr>
      <w:r w:rsidRPr="003328FC">
        <w:t xml:space="preserve">Figure </w:t>
      </w:r>
      <w:r w:rsidR="00301EFB">
        <w:t>4</w:t>
      </w:r>
      <w:r w:rsidRPr="003328FC">
        <w:t xml:space="preserve">: </w:t>
      </w:r>
      <w:r w:rsidRPr="00D80630">
        <w:t>Resulting Regressed Master Curve (solid line) and Regressed Alternative Curve (dashed</w:t>
      </w:r>
      <w:r>
        <w:t xml:space="preserve"> line</w:t>
      </w:r>
      <w:r w:rsidRPr="00D80630">
        <w:t xml:space="preserve">) obtained with SRK (red) and PR (blue) </w:t>
      </w:r>
      <w:r>
        <w:t>C</w:t>
      </w:r>
      <w:r w:rsidRPr="00D80630">
        <w:t xml:space="preserve">ubic Equations of State using dynamic viscosity experimental data at high pressure (circle) and pressures below 1 </w:t>
      </w:r>
      <w:proofErr w:type="spellStart"/>
      <w:r w:rsidRPr="00D80630">
        <w:t>atm</w:t>
      </w:r>
      <w:proofErr w:type="spellEnd"/>
      <w:r w:rsidRPr="00D80630">
        <w:t xml:space="preserve"> (</w:t>
      </w:r>
      <w:r>
        <w:t xml:space="preserve">asterisk) for the </w:t>
      </w:r>
      <w:proofErr w:type="spellStart"/>
      <w:r w:rsidRPr="005B2823">
        <w:t>ChCl:</w:t>
      </w:r>
      <w:r w:rsidR="00865DCF">
        <w:t>Urea</w:t>
      </w:r>
      <w:proofErr w:type="spellEnd"/>
      <w:r w:rsidRPr="005B2823">
        <w:t>(1:2)</w:t>
      </w:r>
      <w:r>
        <w:t xml:space="preserve"> DES.</w:t>
      </w:r>
    </w:p>
    <w:p w14:paraId="049A1585" w14:textId="01646444" w:rsidR="00165DC0" w:rsidRPr="00CE31E3" w:rsidRDefault="00165DC0" w:rsidP="00A84D80">
      <w:pPr>
        <w:pStyle w:val="CETBodytext"/>
      </w:pPr>
      <w:r w:rsidRPr="00165DC0">
        <w:t xml:space="preserve">All residual entropy scaling variations using different reference viscosities proposed in this work produced satisfactory results, </w:t>
      </w:r>
      <w:r w:rsidR="00301EFB" w:rsidRPr="00165DC0">
        <w:t>except for</w:t>
      </w:r>
      <w:r w:rsidRPr="00165DC0">
        <w:t xml:space="preserve"> the reline, which required fitting vapor pressure data</w:t>
      </w:r>
      <w:r w:rsidR="008A7FDF">
        <w:t xml:space="preserve"> (</w:t>
      </w:r>
      <w:proofErr w:type="spellStart"/>
      <w:r w:rsidR="008A7FDF">
        <w:t>Ravula</w:t>
      </w:r>
      <w:proofErr w:type="spellEnd"/>
      <w:r w:rsidR="008A7FDF">
        <w:t xml:space="preserve"> et al., 2019)</w:t>
      </w:r>
      <w:r w:rsidRPr="00165DC0">
        <w:t xml:space="preserve"> using </w:t>
      </w:r>
      <w:r w:rsidR="00B342D1">
        <w:t>Eq(</w:t>
      </w:r>
      <w:r w:rsidRPr="00165DC0">
        <w:t>14</w:t>
      </w:r>
      <w:r w:rsidR="00B342D1">
        <w:t>)</w:t>
      </w:r>
      <w:r w:rsidR="00EB5219">
        <w:t>.</w:t>
      </w:r>
    </w:p>
    <w:p w14:paraId="68D26B83" w14:textId="1AFDF8A4" w:rsidR="00600535" w:rsidRDefault="00600535" w:rsidP="00600535">
      <w:pPr>
        <w:pStyle w:val="CETHeading1"/>
        <w:rPr>
          <w:lang w:val="en-GB"/>
        </w:rPr>
      </w:pPr>
      <w:r w:rsidRPr="00B57B36">
        <w:rPr>
          <w:lang w:val="en-GB"/>
        </w:rPr>
        <w:t>Conclusions</w:t>
      </w:r>
    </w:p>
    <w:p w14:paraId="1C386DAB" w14:textId="066EFD2F" w:rsidR="00771234" w:rsidRPr="00771234" w:rsidRDefault="009562D0" w:rsidP="00DD3922">
      <w:pPr>
        <w:pStyle w:val="CETBodytext"/>
        <w:rPr>
          <w:lang w:val="en-GB"/>
        </w:rPr>
      </w:pPr>
      <w:r w:rsidRPr="009562D0">
        <w:rPr>
          <w:lang w:val="en-GB"/>
        </w:rPr>
        <w:t xml:space="preserve">It was observed that </w:t>
      </w:r>
      <w:r>
        <w:rPr>
          <w:lang w:val="en-GB"/>
        </w:rPr>
        <w:t xml:space="preserve">the residual-entropy scaling approach </w:t>
      </w:r>
      <w:r w:rsidRPr="009562D0">
        <w:rPr>
          <w:lang w:val="en-GB"/>
        </w:rPr>
        <w:t xml:space="preserve">can adequately represent the dynamic viscosity of complex fluids such as </w:t>
      </w:r>
      <w:r w:rsidR="00206AB7">
        <w:rPr>
          <w:lang w:val="en-GB"/>
        </w:rPr>
        <w:t>the DES considered</w:t>
      </w:r>
      <w:r w:rsidRPr="009562D0">
        <w:rPr>
          <w:lang w:val="en-GB"/>
        </w:rPr>
        <w:t xml:space="preserve"> in the present work. Based on previously reported results, the following conclusions </w:t>
      </w:r>
      <w:r w:rsidR="00206AB7">
        <w:rPr>
          <w:lang w:val="en-GB"/>
        </w:rPr>
        <w:t>can be drawn</w:t>
      </w:r>
      <w:r w:rsidR="00DD3922">
        <w:rPr>
          <w:lang w:val="en-GB"/>
        </w:rPr>
        <w:t xml:space="preserve">. </w:t>
      </w:r>
      <w:r w:rsidRPr="009562D0">
        <w:rPr>
          <w:lang w:val="en-GB"/>
        </w:rPr>
        <w:t xml:space="preserve">An adequate </w:t>
      </w:r>
      <w:r w:rsidR="00206AB7">
        <w:rPr>
          <w:lang w:val="en-GB"/>
        </w:rPr>
        <w:t>superposition</w:t>
      </w:r>
      <w:r w:rsidRPr="009562D0">
        <w:rPr>
          <w:lang w:val="en-GB"/>
        </w:rPr>
        <w:t xml:space="preserve"> of dynamic viscosity data with respect to residual entropy can be achieved using simple </w:t>
      </w:r>
      <w:r w:rsidR="009C3C85">
        <w:rPr>
          <w:lang w:val="en-GB"/>
        </w:rPr>
        <w:t>E</w:t>
      </w:r>
      <w:r w:rsidRPr="009562D0">
        <w:rPr>
          <w:lang w:val="en-GB"/>
        </w:rPr>
        <w:t xml:space="preserve">quations of </w:t>
      </w:r>
      <w:r w:rsidR="009C3C85">
        <w:rPr>
          <w:lang w:val="en-GB"/>
        </w:rPr>
        <w:t>S</w:t>
      </w:r>
      <w:r w:rsidRPr="009562D0">
        <w:rPr>
          <w:lang w:val="en-GB"/>
        </w:rPr>
        <w:t>tate, such as SRK and PR, with the SRK equation generally achieving better results.</w:t>
      </w:r>
      <w:r w:rsidR="00DD3922">
        <w:rPr>
          <w:lang w:val="en-GB"/>
        </w:rPr>
        <w:t xml:space="preserve"> </w:t>
      </w:r>
      <w:r w:rsidRPr="009562D0">
        <w:rPr>
          <w:lang w:val="en-GB"/>
        </w:rPr>
        <w:t xml:space="preserve">No significant difference was observed between the use of a reference viscosity and scaling with </w:t>
      </w:r>
      <w:r>
        <w:rPr>
          <w:lang w:val="en-GB"/>
        </w:rPr>
        <w:t>un</w:t>
      </w:r>
      <w:r w:rsidRPr="009562D0">
        <w:rPr>
          <w:lang w:val="en-GB"/>
        </w:rPr>
        <w:t xml:space="preserve">reduced viscosity, presumably because the DES are only in the liquid phase, so for simplicity it is recommended to use </w:t>
      </w:r>
      <w:r>
        <w:rPr>
          <w:lang w:val="en-GB"/>
        </w:rPr>
        <w:t>un</w:t>
      </w:r>
      <w:r w:rsidRPr="009562D0">
        <w:rPr>
          <w:lang w:val="en-GB"/>
        </w:rPr>
        <w:t>reduced viscosity.</w:t>
      </w:r>
      <w:r w:rsidR="00DD3922">
        <w:rPr>
          <w:lang w:val="en-GB"/>
        </w:rPr>
        <w:t xml:space="preserve"> </w:t>
      </w:r>
      <w:r w:rsidRPr="009562D0">
        <w:rPr>
          <w:lang w:val="en-GB"/>
        </w:rPr>
        <w:t xml:space="preserve">There was no significant difference between the RMC and RAC </w:t>
      </w:r>
      <w:r w:rsidR="004C5C97" w:rsidRPr="009562D0">
        <w:rPr>
          <w:lang w:val="en-GB"/>
        </w:rPr>
        <w:t>scaling</w:t>
      </w:r>
      <w:r w:rsidRPr="009562D0">
        <w:rPr>
          <w:lang w:val="en-GB"/>
        </w:rPr>
        <w:t xml:space="preserve">, so the methodology </w:t>
      </w:r>
      <w:r w:rsidR="00206AB7">
        <w:rPr>
          <w:lang w:val="en-GB"/>
        </w:rPr>
        <w:t>may</w:t>
      </w:r>
      <w:r w:rsidRPr="009562D0">
        <w:rPr>
          <w:lang w:val="en-GB"/>
        </w:rPr>
        <w:t xml:space="preserve"> have important predictive ca</w:t>
      </w:r>
      <w:r w:rsidR="00206AB7">
        <w:rPr>
          <w:lang w:val="en-GB"/>
        </w:rPr>
        <w:t>pabilities</w:t>
      </w:r>
      <w:r w:rsidRPr="009562D0">
        <w:rPr>
          <w:lang w:val="en-GB"/>
        </w:rPr>
        <w:t>.</w:t>
      </w:r>
      <w:r w:rsidR="005A4FC8">
        <w:rPr>
          <w:lang w:val="en-GB"/>
        </w:rPr>
        <w:t xml:space="preserve"> </w:t>
      </w:r>
      <w:r w:rsidR="005A4FC8" w:rsidRPr="005A4FC8">
        <w:rPr>
          <w:lang w:val="en-GB"/>
        </w:rPr>
        <w:t>This may be highly advantageous for chemical engineering applications that require viscosity</w:t>
      </w:r>
      <w:r w:rsidR="006A60B8">
        <w:rPr>
          <w:lang w:val="en-GB"/>
        </w:rPr>
        <w:t xml:space="preserve"> data</w:t>
      </w:r>
      <w:r w:rsidR="005A4FC8" w:rsidRPr="005A4FC8">
        <w:rPr>
          <w:lang w:val="en-GB"/>
        </w:rPr>
        <w:t xml:space="preserve"> at a wide range of temperatures and pressures, despite limited availability of experimental data.</w:t>
      </w:r>
    </w:p>
    <w:p w14:paraId="4F1327F8" w14:textId="77777777" w:rsidR="00600535" w:rsidRPr="00B57B36" w:rsidRDefault="00600535" w:rsidP="00600535">
      <w:pPr>
        <w:pStyle w:val="CETReference"/>
      </w:pPr>
      <w:r w:rsidRPr="00B57B36">
        <w:t>References</w:t>
      </w:r>
    </w:p>
    <w:p w14:paraId="2524CDE5" w14:textId="067F9CE6" w:rsidR="00DD3922" w:rsidRPr="00DD3922" w:rsidRDefault="00DD3922" w:rsidP="00DD3922">
      <w:pPr>
        <w:pStyle w:val="CETReferencetext"/>
      </w:pPr>
      <w:proofErr w:type="spellStart"/>
      <w:r w:rsidRPr="00DD3922">
        <w:t>Bernasconi</w:t>
      </w:r>
      <w:proofErr w:type="spellEnd"/>
      <w:r w:rsidRPr="00DD3922">
        <w:t xml:space="preserve"> R., </w:t>
      </w:r>
      <w:proofErr w:type="spellStart"/>
      <w:r w:rsidRPr="00DD3922">
        <w:t>Panzeri</w:t>
      </w:r>
      <w:proofErr w:type="spellEnd"/>
      <w:r w:rsidRPr="00DD3922">
        <w:t xml:space="preserve"> G., </w:t>
      </w:r>
      <w:proofErr w:type="spellStart"/>
      <w:r w:rsidRPr="00DD3922">
        <w:t>Accogli</w:t>
      </w:r>
      <w:proofErr w:type="spellEnd"/>
      <w:r w:rsidRPr="00DD3922">
        <w:t xml:space="preserve"> A., </w:t>
      </w:r>
      <w:proofErr w:type="spellStart"/>
      <w:r w:rsidRPr="00DD3922">
        <w:t>Liberale</w:t>
      </w:r>
      <w:proofErr w:type="spellEnd"/>
      <w:r w:rsidRPr="00DD3922">
        <w:t xml:space="preserve"> F., Nobili L., </w:t>
      </w:r>
      <w:proofErr w:type="spellStart"/>
      <w:r w:rsidRPr="00DD3922">
        <w:t>Magagnin</w:t>
      </w:r>
      <w:proofErr w:type="spellEnd"/>
      <w:r w:rsidRPr="00DD3922">
        <w:t xml:space="preserve"> L.</w:t>
      </w:r>
      <w:r w:rsidR="00BE7BAC">
        <w:t xml:space="preserve">, </w:t>
      </w:r>
      <w:r w:rsidRPr="00DD3922">
        <w:t>2017</w:t>
      </w:r>
      <w:r w:rsidR="00BE7BAC">
        <w:t>,</w:t>
      </w:r>
      <w:r w:rsidRPr="00DD3922">
        <w:t xml:space="preserve"> Electrodeposition from deep eutectic solvents. Progress and Developments in Ionic Liquids. </w:t>
      </w:r>
    </w:p>
    <w:p w14:paraId="0FFB919A" w14:textId="0D98FA99" w:rsidR="00DD3922" w:rsidRPr="00DD3922" w:rsidRDefault="00DD3922" w:rsidP="00DD3922">
      <w:pPr>
        <w:pStyle w:val="CETReferencetext"/>
      </w:pPr>
      <w:r w:rsidRPr="00BE7BAC">
        <w:rPr>
          <w:lang w:val="en-US"/>
        </w:rPr>
        <w:t>Crespo E. A., Costa J. M. L., Palma A. M., Soares B., Martín M. C., Segovia J. J., Carvalho P. J., Coutinho J. A. P.</w:t>
      </w:r>
      <w:r w:rsidR="00BE7BAC">
        <w:rPr>
          <w:lang w:val="en-US"/>
        </w:rPr>
        <w:t xml:space="preserve">, </w:t>
      </w:r>
      <w:r w:rsidRPr="00BE7BAC">
        <w:rPr>
          <w:lang w:val="en-US"/>
        </w:rPr>
        <w:t>2019</w:t>
      </w:r>
      <w:r w:rsidR="00BE7BAC">
        <w:rPr>
          <w:lang w:val="en-US"/>
        </w:rPr>
        <w:t xml:space="preserve">, </w:t>
      </w:r>
      <w:r w:rsidRPr="00DD3922">
        <w:t xml:space="preserve">Thermodynamic characterization of deep eutectic solvents at high pressures. Fluid Phase Equilibria, 500, 112249. </w:t>
      </w:r>
    </w:p>
    <w:p w14:paraId="136EC74C" w14:textId="3041F0F4" w:rsidR="00EB5219" w:rsidRDefault="00DD3922" w:rsidP="005F5729">
      <w:pPr>
        <w:pStyle w:val="CETReferencetext"/>
      </w:pPr>
      <w:proofErr w:type="spellStart"/>
      <w:r w:rsidRPr="00DD3922">
        <w:t>Dehlouz</w:t>
      </w:r>
      <w:proofErr w:type="spellEnd"/>
      <w:r w:rsidRPr="00DD3922">
        <w:t xml:space="preserve"> A., Privat R., </w:t>
      </w:r>
      <w:proofErr w:type="spellStart"/>
      <w:r w:rsidRPr="00DD3922">
        <w:t>Galliero</w:t>
      </w:r>
      <w:proofErr w:type="spellEnd"/>
      <w:r w:rsidRPr="00DD3922">
        <w:t xml:space="preserve"> G., </w:t>
      </w:r>
      <w:proofErr w:type="spellStart"/>
      <w:r w:rsidRPr="00DD3922">
        <w:t>Bonnissel</w:t>
      </w:r>
      <w:proofErr w:type="spellEnd"/>
      <w:r w:rsidRPr="00DD3922">
        <w:t xml:space="preserve"> M., </w:t>
      </w:r>
      <w:proofErr w:type="spellStart"/>
      <w:r w:rsidRPr="00DD3922">
        <w:t>Jaubert</w:t>
      </w:r>
      <w:proofErr w:type="spellEnd"/>
      <w:r w:rsidRPr="00DD3922">
        <w:t xml:space="preserve"> J.-N.</w:t>
      </w:r>
      <w:r w:rsidR="00BE7BAC">
        <w:t xml:space="preserve">, </w:t>
      </w:r>
      <w:r w:rsidRPr="00DD3922">
        <w:t>2021</w:t>
      </w:r>
      <w:r w:rsidR="00BE7BAC">
        <w:t>,</w:t>
      </w:r>
      <w:r w:rsidRPr="00DD3922">
        <w:t xml:space="preserve"> Revisiting the entropy-scaling concept for shear-viscosity estimation from cubic and saft equations of state: Application to pure fluids in gas, liquid and supercritical states. Industrial &amp; Engineering Chemistry Research, 60(34), 12719–12739. </w:t>
      </w:r>
    </w:p>
    <w:p w14:paraId="410D7864" w14:textId="6CC5959B" w:rsidR="00DD3922" w:rsidRPr="00DD3922" w:rsidRDefault="00EB5219" w:rsidP="00DD3922">
      <w:pPr>
        <w:pStyle w:val="CETReferencetext"/>
      </w:pPr>
      <w:proofErr w:type="spellStart"/>
      <w:r w:rsidRPr="00EB5219">
        <w:t>Dyre</w:t>
      </w:r>
      <w:proofErr w:type="spellEnd"/>
      <w:r w:rsidRPr="00EB5219">
        <w:t xml:space="preserve"> J. C.</w:t>
      </w:r>
      <w:r w:rsidR="00BE7BAC">
        <w:t xml:space="preserve">, </w:t>
      </w:r>
      <w:r w:rsidRPr="00EB5219">
        <w:t>2018</w:t>
      </w:r>
      <w:r w:rsidR="00BE7BAC">
        <w:t xml:space="preserve">, </w:t>
      </w:r>
      <w:r w:rsidRPr="00EB5219">
        <w:t xml:space="preserve">Perspective: Excess-entropy scaling. The Journal of Chemical Physics, 149(21), 210901. </w:t>
      </w:r>
    </w:p>
    <w:p w14:paraId="3CD07E0D" w14:textId="3E561DB9" w:rsidR="00DD3922" w:rsidRPr="00DD3922" w:rsidRDefault="00DD3922" w:rsidP="00DD3922">
      <w:pPr>
        <w:pStyle w:val="CETReferencetext"/>
      </w:pPr>
      <w:r w:rsidRPr="00DD3922">
        <w:t xml:space="preserve">Earle M. J., </w:t>
      </w:r>
      <w:proofErr w:type="spellStart"/>
      <w:r w:rsidRPr="00DD3922">
        <w:t>Esperança</w:t>
      </w:r>
      <w:proofErr w:type="spellEnd"/>
      <w:r w:rsidRPr="00DD3922">
        <w:t xml:space="preserve"> J. M. S. S., </w:t>
      </w:r>
      <w:proofErr w:type="spellStart"/>
      <w:r w:rsidRPr="00DD3922">
        <w:t>Gilea</w:t>
      </w:r>
      <w:proofErr w:type="spellEnd"/>
      <w:r w:rsidRPr="00DD3922">
        <w:t xml:space="preserve"> M. A., </w:t>
      </w:r>
      <w:proofErr w:type="spellStart"/>
      <w:r w:rsidRPr="00DD3922">
        <w:t>Canongia</w:t>
      </w:r>
      <w:proofErr w:type="spellEnd"/>
      <w:r w:rsidRPr="00DD3922">
        <w:t xml:space="preserve"> Lopes J. N., </w:t>
      </w:r>
      <w:proofErr w:type="spellStart"/>
      <w:r w:rsidRPr="00DD3922">
        <w:t>Rebelo</w:t>
      </w:r>
      <w:proofErr w:type="spellEnd"/>
      <w:r w:rsidRPr="00DD3922">
        <w:t xml:space="preserve"> L. P. N., Magee J. W., Seddon K. R., </w:t>
      </w:r>
      <w:proofErr w:type="spellStart"/>
      <w:r w:rsidRPr="00DD3922">
        <w:t>Widegren</w:t>
      </w:r>
      <w:proofErr w:type="spellEnd"/>
      <w:r w:rsidRPr="00DD3922">
        <w:t xml:space="preserve"> J. A. (2006). The distillation and volatility of ionic liquids. Nature, 439(7078), 831–834. </w:t>
      </w:r>
    </w:p>
    <w:p w14:paraId="25809DE1" w14:textId="0624E74D" w:rsidR="00DD3922" w:rsidRPr="00DD3922" w:rsidRDefault="00DD3922" w:rsidP="00DD3922">
      <w:pPr>
        <w:pStyle w:val="CETReferencetext"/>
      </w:pPr>
      <w:r w:rsidRPr="00DD3922">
        <w:t xml:space="preserve">Francisco M., van den </w:t>
      </w:r>
      <w:proofErr w:type="spellStart"/>
      <w:r w:rsidRPr="00DD3922">
        <w:t>Bruinhorst</w:t>
      </w:r>
      <w:proofErr w:type="spellEnd"/>
      <w:r w:rsidRPr="00DD3922">
        <w:t xml:space="preserve"> A., Kroon M. C.</w:t>
      </w:r>
      <w:r w:rsidR="00BE7BAC">
        <w:t xml:space="preserve">, </w:t>
      </w:r>
      <w:r w:rsidRPr="00DD3922">
        <w:t>2012</w:t>
      </w:r>
      <w:r w:rsidR="00BE7BAC">
        <w:t>,</w:t>
      </w:r>
      <w:r w:rsidRPr="00DD3922">
        <w:t xml:space="preserve"> New natural and renewable low transition temperature mixtures (</w:t>
      </w:r>
      <w:proofErr w:type="spellStart"/>
      <w:r w:rsidRPr="00DD3922">
        <w:t>lttms</w:t>
      </w:r>
      <w:proofErr w:type="spellEnd"/>
      <w:r w:rsidRPr="00DD3922">
        <w:t xml:space="preserve">): Screening as solvents for lignocellulosic biomass processing. Green Chemistry, 14(8), 2153. </w:t>
      </w:r>
    </w:p>
    <w:p w14:paraId="52357C75" w14:textId="6E86B5A6" w:rsidR="00DD3922" w:rsidRPr="00DD3922" w:rsidRDefault="00DD3922" w:rsidP="00DD3922">
      <w:pPr>
        <w:pStyle w:val="CETReferencetext"/>
      </w:pPr>
      <w:r w:rsidRPr="00DD3922">
        <w:t xml:space="preserve">Hansen B. B., Spittle S., Chen B., Poe D., Zhang Y., Klein J. M., Horton A., Adhikari L., </w:t>
      </w:r>
      <w:proofErr w:type="spellStart"/>
      <w:r w:rsidRPr="00DD3922">
        <w:t>Zelovich</w:t>
      </w:r>
      <w:proofErr w:type="spellEnd"/>
      <w:r w:rsidRPr="00DD3922">
        <w:t xml:space="preserve"> T., Doherty B. W., Gurkan B., </w:t>
      </w:r>
      <w:proofErr w:type="spellStart"/>
      <w:r w:rsidRPr="00DD3922">
        <w:t>Maginn</w:t>
      </w:r>
      <w:proofErr w:type="spellEnd"/>
      <w:r w:rsidRPr="00DD3922">
        <w:t xml:space="preserve"> E. J., </w:t>
      </w:r>
      <w:proofErr w:type="spellStart"/>
      <w:r w:rsidRPr="00DD3922">
        <w:t>Ragauskas</w:t>
      </w:r>
      <w:proofErr w:type="spellEnd"/>
      <w:r w:rsidRPr="00DD3922">
        <w:t xml:space="preserve"> A., </w:t>
      </w:r>
      <w:proofErr w:type="spellStart"/>
      <w:r w:rsidRPr="00DD3922">
        <w:t>Dadmun</w:t>
      </w:r>
      <w:proofErr w:type="spellEnd"/>
      <w:r w:rsidRPr="00DD3922">
        <w:t xml:space="preserve"> M., </w:t>
      </w:r>
      <w:proofErr w:type="spellStart"/>
      <w:r w:rsidRPr="00DD3922">
        <w:t>Zawodzinski</w:t>
      </w:r>
      <w:proofErr w:type="spellEnd"/>
      <w:r w:rsidRPr="00DD3922">
        <w:t xml:space="preserve"> T. A., Baker G. A., Tuckerman M. E., </w:t>
      </w:r>
      <w:proofErr w:type="spellStart"/>
      <w:r w:rsidRPr="00DD3922">
        <w:t>Savinell</w:t>
      </w:r>
      <w:proofErr w:type="spellEnd"/>
      <w:r w:rsidRPr="00DD3922">
        <w:t xml:space="preserve"> R. F., </w:t>
      </w:r>
      <w:proofErr w:type="spellStart"/>
      <w:r w:rsidRPr="00DD3922">
        <w:t>Sangoro</w:t>
      </w:r>
      <w:proofErr w:type="spellEnd"/>
      <w:r w:rsidRPr="00DD3922">
        <w:t xml:space="preserve"> J. R.</w:t>
      </w:r>
      <w:r w:rsidR="00BE7BAC">
        <w:t xml:space="preserve">, </w:t>
      </w:r>
      <w:r w:rsidRPr="00DD3922">
        <w:t>2020</w:t>
      </w:r>
      <w:r w:rsidR="00BE7BAC">
        <w:t>,</w:t>
      </w:r>
      <w:r w:rsidRPr="00DD3922">
        <w:t xml:space="preserve"> Deep eutectic solvents: A review of fundamentals and applications. Chemical Reviews, 121(3), 1232–1285. </w:t>
      </w:r>
    </w:p>
    <w:p w14:paraId="68F4656D" w14:textId="4FA22625" w:rsidR="00DD3922" w:rsidRPr="00DD3922" w:rsidRDefault="00DD3922" w:rsidP="00DD3922">
      <w:pPr>
        <w:pStyle w:val="CETReferencetext"/>
      </w:pPr>
      <w:proofErr w:type="spellStart"/>
      <w:r w:rsidRPr="00DD3922">
        <w:t>Imperato</w:t>
      </w:r>
      <w:proofErr w:type="spellEnd"/>
      <w:r w:rsidRPr="00DD3922">
        <w:t xml:space="preserve"> G., </w:t>
      </w:r>
      <w:proofErr w:type="spellStart"/>
      <w:r w:rsidRPr="00DD3922">
        <w:t>Eibler</w:t>
      </w:r>
      <w:proofErr w:type="spellEnd"/>
      <w:r w:rsidRPr="00DD3922">
        <w:t xml:space="preserve"> E., </w:t>
      </w:r>
      <w:proofErr w:type="spellStart"/>
      <w:r w:rsidRPr="00DD3922">
        <w:t>Niedermaier</w:t>
      </w:r>
      <w:proofErr w:type="spellEnd"/>
      <w:r w:rsidRPr="00DD3922">
        <w:t xml:space="preserve"> J., König B.</w:t>
      </w:r>
      <w:r w:rsidR="00BE7BAC">
        <w:t xml:space="preserve">, </w:t>
      </w:r>
      <w:r w:rsidRPr="00DD3922">
        <w:t>2005</w:t>
      </w:r>
      <w:r w:rsidR="00BE7BAC">
        <w:t>,</w:t>
      </w:r>
      <w:r w:rsidRPr="00DD3922">
        <w:t xml:space="preserve"> Low-melting sugar–urea–salt mixtures as solvents for Diels–Alder reactions. Chem. </w:t>
      </w:r>
      <w:proofErr w:type="spellStart"/>
      <w:r w:rsidRPr="00DD3922">
        <w:t>Commun</w:t>
      </w:r>
      <w:proofErr w:type="spellEnd"/>
      <w:r w:rsidRPr="00DD3922">
        <w:t>., (9), 1170–1172.</w:t>
      </w:r>
    </w:p>
    <w:p w14:paraId="1090C394" w14:textId="1FD6AA18" w:rsidR="00EB5219" w:rsidRDefault="00DD3922" w:rsidP="00DD3922">
      <w:pPr>
        <w:pStyle w:val="CETReferencetext"/>
      </w:pPr>
      <w:proofErr w:type="spellStart"/>
      <w:r w:rsidRPr="00DD3922">
        <w:t>Jhong</w:t>
      </w:r>
      <w:proofErr w:type="spellEnd"/>
      <w:r w:rsidRPr="00DD3922">
        <w:t xml:space="preserve"> H.-R., Wong D. S.-H., Wan C.-C., Wang Y.-Y., Wei T.-C.</w:t>
      </w:r>
      <w:r w:rsidR="00BE7BAC">
        <w:t xml:space="preserve">, </w:t>
      </w:r>
      <w:r w:rsidRPr="00DD3922">
        <w:t>2009</w:t>
      </w:r>
      <w:r w:rsidR="00BE7BAC">
        <w:t>,</w:t>
      </w:r>
      <w:r w:rsidRPr="00DD3922">
        <w:t xml:space="preserve"> A novel deep eutectic solvent-based ionic liquid used as electrolyte for dye-sensitized solar cells. Electrochemistry Communications, 11(1), 209–211.</w:t>
      </w:r>
      <w:r w:rsidR="00EB5219">
        <w:t xml:space="preserve"> </w:t>
      </w:r>
    </w:p>
    <w:p w14:paraId="02E3E709" w14:textId="0948292D" w:rsidR="00DD3922" w:rsidRPr="00DD3922" w:rsidRDefault="00EB5219" w:rsidP="00DD3922">
      <w:pPr>
        <w:pStyle w:val="CETReferencetext"/>
      </w:pPr>
      <w:proofErr w:type="spellStart"/>
      <w:r w:rsidRPr="00EB5219">
        <w:t>Mairhofer</w:t>
      </w:r>
      <w:proofErr w:type="spellEnd"/>
      <w:r w:rsidRPr="00EB5219">
        <w:t xml:space="preserve"> J.</w:t>
      </w:r>
      <w:r w:rsidR="00BE7BAC">
        <w:t xml:space="preserve">, </w:t>
      </w:r>
      <w:r w:rsidRPr="00EB5219">
        <w:t>2021</w:t>
      </w:r>
      <w:r w:rsidR="00BE7BAC">
        <w:t>,</w:t>
      </w:r>
      <w:r w:rsidRPr="00EB5219">
        <w:t xml:space="preserve"> A residual entropy scaling approach for viscosity based on the gerg-2008 equation of State. Industrial &amp;</w:t>
      </w:r>
      <w:r w:rsidR="00B60D71">
        <w:t xml:space="preserve"> </w:t>
      </w:r>
      <w:r w:rsidRPr="00EB5219">
        <w:t xml:space="preserve"> Engineering Chemistry Research, 60(6), 2652–2662. </w:t>
      </w:r>
    </w:p>
    <w:p w14:paraId="7C22EEFA" w14:textId="7A2D0DC3" w:rsidR="00DD3922" w:rsidRPr="00DD3922" w:rsidRDefault="00DD3922" w:rsidP="00DD3922">
      <w:pPr>
        <w:pStyle w:val="CETReferencetext"/>
      </w:pPr>
      <w:r w:rsidRPr="00DD3922">
        <w:t>Mirza N. R., Nicholas N. J., Wu Y., Kentish S., Stevens G. W.</w:t>
      </w:r>
      <w:r w:rsidR="00BE7BAC">
        <w:t xml:space="preserve">, </w:t>
      </w:r>
      <w:r w:rsidRPr="00DD3922">
        <w:t>2015</w:t>
      </w:r>
      <w:r w:rsidR="00BE7BAC">
        <w:t>,</w:t>
      </w:r>
      <w:r w:rsidRPr="00DD3922">
        <w:t xml:space="preserve"> Estimation of normal boiling temperatures, critical properties, and acentric factors of deep eutectic solvents. Journal of Chemical </w:t>
      </w:r>
      <w:r w:rsidR="00B60D71">
        <w:t xml:space="preserve">&amp; </w:t>
      </w:r>
      <w:r w:rsidRPr="00DD3922">
        <w:t xml:space="preserve">Engineering Data, 60(6), 1844–1854. </w:t>
      </w:r>
    </w:p>
    <w:p w14:paraId="6336DB31" w14:textId="5ACB1FB8" w:rsidR="00DD3922" w:rsidRPr="00DD3922" w:rsidRDefault="00DD3922" w:rsidP="00DD3922">
      <w:pPr>
        <w:pStyle w:val="CETReferencetext"/>
      </w:pPr>
      <w:r w:rsidRPr="00DD3922">
        <w:t>Morrison H. G., Sun C. C.,</w:t>
      </w:r>
      <w:r w:rsidR="00CE4397">
        <w:t xml:space="preserve"> </w:t>
      </w:r>
      <w:proofErr w:type="spellStart"/>
      <w:r w:rsidRPr="00DD3922">
        <w:t>Neervannan</w:t>
      </w:r>
      <w:proofErr w:type="spellEnd"/>
      <w:r w:rsidRPr="00DD3922">
        <w:t xml:space="preserve"> S.</w:t>
      </w:r>
      <w:r w:rsidR="00BE7BAC">
        <w:t xml:space="preserve">, </w:t>
      </w:r>
      <w:r w:rsidRPr="00DD3922">
        <w:t>2009</w:t>
      </w:r>
      <w:r w:rsidR="00BE7BAC">
        <w:t>,</w:t>
      </w:r>
      <w:r w:rsidRPr="00DD3922">
        <w:t xml:space="preserve"> Characterization of thermal </w:t>
      </w:r>
      <w:proofErr w:type="spellStart"/>
      <w:r w:rsidRPr="00DD3922">
        <w:t>behavior</w:t>
      </w:r>
      <w:proofErr w:type="spellEnd"/>
      <w:r w:rsidRPr="00DD3922">
        <w:t xml:space="preserve"> of deep eutectic solvents and their potential as drug solubilization vehicles. International Journal of Pharmaceutics, 378(1-2), 136–139. </w:t>
      </w:r>
    </w:p>
    <w:p w14:paraId="4A83C6A2" w14:textId="3D8CBEF8" w:rsidR="00DD3922" w:rsidRPr="00DD3922" w:rsidRDefault="00DD3922" w:rsidP="00DD3922">
      <w:pPr>
        <w:pStyle w:val="CETReferencetext"/>
      </w:pPr>
      <w:r w:rsidRPr="00DD3922">
        <w:t>Olivera-Fuentes C.</w:t>
      </w:r>
      <w:r w:rsidR="00BE7BAC">
        <w:t xml:space="preserve">, </w:t>
      </w:r>
      <w:r w:rsidRPr="00DD3922">
        <w:t>1991</w:t>
      </w:r>
      <w:r w:rsidR="00BE7BAC">
        <w:t>,</w:t>
      </w:r>
      <w:r w:rsidRPr="00DD3922">
        <w:t xml:space="preserve"> Multicomponent fugacity coefficients and residual properties from pressure-explicit equations of State. Chemical Engineering Science, 46(8), 2019–2029. </w:t>
      </w:r>
    </w:p>
    <w:p w14:paraId="37F9D133" w14:textId="153A4B63" w:rsidR="00EB5219" w:rsidRDefault="00DD3922" w:rsidP="00DD3922">
      <w:pPr>
        <w:pStyle w:val="CETReferencetext"/>
      </w:pPr>
      <w:r w:rsidRPr="00DD3922">
        <w:t xml:space="preserve">Poling B. E., </w:t>
      </w:r>
      <w:proofErr w:type="spellStart"/>
      <w:r w:rsidRPr="00DD3922">
        <w:t>Prausnitz</w:t>
      </w:r>
      <w:proofErr w:type="spellEnd"/>
      <w:r w:rsidRPr="00DD3922">
        <w:t xml:space="preserve"> J. M., O'Connell J. P.</w:t>
      </w:r>
      <w:r w:rsidR="00BE7BAC">
        <w:t xml:space="preserve">, </w:t>
      </w:r>
      <w:r w:rsidRPr="00DD3922">
        <w:t>2001</w:t>
      </w:r>
      <w:r w:rsidR="00BE7BAC">
        <w:t>,</w:t>
      </w:r>
      <w:r w:rsidRPr="00DD3922">
        <w:t xml:space="preserve"> The properties of gases and liquids. McGraw-Hill</w:t>
      </w:r>
      <w:r w:rsidR="00B649F0">
        <w:t>, Texas, USA.</w:t>
      </w:r>
    </w:p>
    <w:p w14:paraId="3C681AE8" w14:textId="632BDC05" w:rsidR="00DD3922" w:rsidRPr="00DD3922" w:rsidRDefault="00EB5219" w:rsidP="00DD3922">
      <w:pPr>
        <w:pStyle w:val="CETReferencetext"/>
      </w:pPr>
      <w:proofErr w:type="spellStart"/>
      <w:r w:rsidRPr="00EB5219">
        <w:t>Ravula</w:t>
      </w:r>
      <w:proofErr w:type="spellEnd"/>
      <w:r w:rsidRPr="00EB5219">
        <w:t xml:space="preserve"> S., Larm N. E., </w:t>
      </w:r>
      <w:proofErr w:type="spellStart"/>
      <w:r w:rsidRPr="00EB5219">
        <w:t>Mottaleb</w:t>
      </w:r>
      <w:proofErr w:type="spellEnd"/>
      <w:r w:rsidRPr="00EB5219">
        <w:t xml:space="preserve"> M. A., </w:t>
      </w:r>
      <w:proofErr w:type="spellStart"/>
      <w:r w:rsidRPr="00EB5219">
        <w:t>Heitz</w:t>
      </w:r>
      <w:proofErr w:type="spellEnd"/>
      <w:r w:rsidRPr="00EB5219">
        <w:t xml:space="preserve"> M. P., Baker G. A</w:t>
      </w:r>
      <w:r w:rsidR="006F7486">
        <w:t xml:space="preserve">, </w:t>
      </w:r>
      <w:r w:rsidRPr="00EB5219">
        <w:t>2019</w:t>
      </w:r>
      <w:r w:rsidR="006F7486">
        <w:t>,</w:t>
      </w:r>
      <w:r w:rsidRPr="00EB5219">
        <w:t xml:space="preserve"> Vapor pressure mapping of ionic liquids and low-volatility fluids using graded isothermal thermogravimetric analysis. </w:t>
      </w:r>
      <w:proofErr w:type="spellStart"/>
      <w:r w:rsidRPr="00EB5219">
        <w:t>ChemEngineering</w:t>
      </w:r>
      <w:proofErr w:type="spellEnd"/>
      <w:r w:rsidRPr="00EB5219">
        <w:t xml:space="preserve">, 3(2), 42. </w:t>
      </w:r>
    </w:p>
    <w:p w14:paraId="00DCF8E6" w14:textId="24A49697" w:rsidR="00DD3922" w:rsidRPr="00DD3922" w:rsidRDefault="00DD3922" w:rsidP="00DD3922">
      <w:pPr>
        <w:pStyle w:val="CETReferencetext"/>
      </w:pPr>
      <w:r w:rsidRPr="00DD3922">
        <w:t>Rosenfeld Y.</w:t>
      </w:r>
      <w:r w:rsidR="006F7486">
        <w:t xml:space="preserve">, </w:t>
      </w:r>
      <w:r w:rsidRPr="00DD3922">
        <w:t>1977</w:t>
      </w:r>
      <w:r w:rsidR="006F7486">
        <w:t>,</w:t>
      </w:r>
      <w:r w:rsidRPr="00DD3922">
        <w:t xml:space="preserve"> Relation between the transport coefficients and the internal entropy of Simple Systems. Physical Review A, 15(6), 2545–2549. </w:t>
      </w:r>
    </w:p>
    <w:p w14:paraId="38452F06" w14:textId="08A5E5B6" w:rsidR="00DD3922" w:rsidRPr="00DD3922" w:rsidRDefault="00DD3922" w:rsidP="00DD3922">
      <w:pPr>
        <w:pStyle w:val="CETReferencetext"/>
      </w:pPr>
      <w:r w:rsidRPr="00DD3922">
        <w:t xml:space="preserve">Singh B. S., Lobo H. R., </w:t>
      </w:r>
      <w:proofErr w:type="spellStart"/>
      <w:r w:rsidRPr="00DD3922">
        <w:t>Shankarling</w:t>
      </w:r>
      <w:proofErr w:type="spellEnd"/>
      <w:r w:rsidRPr="00DD3922">
        <w:t xml:space="preserve"> G. S.</w:t>
      </w:r>
      <w:r w:rsidR="006F7486">
        <w:t xml:space="preserve">, </w:t>
      </w:r>
      <w:r w:rsidRPr="00DD3922">
        <w:t>2012</w:t>
      </w:r>
      <w:r w:rsidR="006F7486">
        <w:t>,</w:t>
      </w:r>
      <w:r w:rsidRPr="00DD3922">
        <w:t xml:space="preserve"> Choline chloride based eutectic solvents: Magical catalytic system for carbon–carbon bond formation in the rapid synthesis of β-hydroxy functionalized derivatives. Catalysis Communications, 24, 70–74. </w:t>
      </w:r>
    </w:p>
    <w:p w14:paraId="03507984" w14:textId="41A30C57" w:rsidR="00600535" w:rsidRPr="00B57B36" w:rsidRDefault="00DD3922" w:rsidP="00DD3922">
      <w:pPr>
        <w:pStyle w:val="CETReferencetext"/>
      </w:pPr>
      <w:r w:rsidRPr="00DD3922">
        <w:t>Smith E. L., Abbott A. P., Ryder K. S.</w:t>
      </w:r>
      <w:r w:rsidR="006F7486">
        <w:t xml:space="preserve">, </w:t>
      </w:r>
      <w:r w:rsidRPr="00DD3922">
        <w:t>2014</w:t>
      </w:r>
      <w:r w:rsidR="006F7486">
        <w:t>,</w:t>
      </w:r>
      <w:r w:rsidRPr="00DD3922">
        <w:t xml:space="preserve"> Deep eutectic solvents (DESS) and their applications. Chemical Reviews, 114(21), 11060–11082. </w:t>
      </w:r>
    </w:p>
    <w:sectPr w:rsidR="00600535" w:rsidRPr="00B57B3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6831" w14:textId="77777777" w:rsidR="007C711F" w:rsidRDefault="007C711F" w:rsidP="004F5E36">
      <w:r>
        <w:separator/>
      </w:r>
    </w:p>
  </w:endnote>
  <w:endnote w:type="continuationSeparator" w:id="0">
    <w:p w14:paraId="049ED864" w14:textId="77777777" w:rsidR="007C711F" w:rsidRDefault="007C71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6A5B" w14:textId="77777777" w:rsidR="007C711F" w:rsidRDefault="007C711F" w:rsidP="004F5E36">
      <w:r>
        <w:separator/>
      </w:r>
    </w:p>
  </w:footnote>
  <w:footnote w:type="continuationSeparator" w:id="0">
    <w:p w14:paraId="7C565F68" w14:textId="77777777" w:rsidR="007C711F" w:rsidRDefault="007C711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0395A6E"/>
    <w:multiLevelType w:val="hybridMultilevel"/>
    <w:tmpl w:val="0E728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666432">
    <w:abstractNumId w:val="11"/>
  </w:num>
  <w:num w:numId="2" w16cid:durableId="683173053">
    <w:abstractNumId w:val="8"/>
  </w:num>
  <w:num w:numId="3" w16cid:durableId="746725976">
    <w:abstractNumId w:val="3"/>
  </w:num>
  <w:num w:numId="4" w16cid:durableId="1528636740">
    <w:abstractNumId w:val="2"/>
  </w:num>
  <w:num w:numId="5" w16cid:durableId="1926986230">
    <w:abstractNumId w:val="1"/>
  </w:num>
  <w:num w:numId="6" w16cid:durableId="485585515">
    <w:abstractNumId w:val="0"/>
  </w:num>
  <w:num w:numId="7" w16cid:durableId="1986738695">
    <w:abstractNumId w:val="9"/>
  </w:num>
  <w:num w:numId="8" w16cid:durableId="231277794">
    <w:abstractNumId w:val="7"/>
  </w:num>
  <w:num w:numId="9" w16cid:durableId="1070543585">
    <w:abstractNumId w:val="6"/>
  </w:num>
  <w:num w:numId="10" w16cid:durableId="1072966325">
    <w:abstractNumId w:val="5"/>
  </w:num>
  <w:num w:numId="11" w16cid:durableId="978655599">
    <w:abstractNumId w:val="4"/>
  </w:num>
  <w:num w:numId="12" w16cid:durableId="2071342386">
    <w:abstractNumId w:val="18"/>
  </w:num>
  <w:num w:numId="13" w16cid:durableId="2035156525">
    <w:abstractNumId w:val="13"/>
  </w:num>
  <w:num w:numId="14" w16cid:durableId="1942760480">
    <w:abstractNumId w:val="19"/>
  </w:num>
  <w:num w:numId="15" w16cid:durableId="415828989">
    <w:abstractNumId w:val="21"/>
  </w:num>
  <w:num w:numId="16" w16cid:durableId="177428053">
    <w:abstractNumId w:val="20"/>
  </w:num>
  <w:num w:numId="17" w16cid:durableId="1438987117">
    <w:abstractNumId w:val="12"/>
  </w:num>
  <w:num w:numId="18" w16cid:durableId="1266308291">
    <w:abstractNumId w:val="13"/>
    <w:lvlOverride w:ilvl="0">
      <w:startOverride w:val="1"/>
    </w:lvlOverride>
  </w:num>
  <w:num w:numId="19" w16cid:durableId="1225065403">
    <w:abstractNumId w:val="17"/>
  </w:num>
  <w:num w:numId="20" w16cid:durableId="777145952">
    <w:abstractNumId w:val="16"/>
  </w:num>
  <w:num w:numId="21" w16cid:durableId="737290090">
    <w:abstractNumId w:val="15"/>
  </w:num>
  <w:num w:numId="22" w16cid:durableId="772940100">
    <w:abstractNumId w:val="14"/>
  </w:num>
  <w:num w:numId="23" w16cid:durableId="2101098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52F"/>
    <w:rsid w:val="000027C0"/>
    <w:rsid w:val="000052FB"/>
    <w:rsid w:val="000117CB"/>
    <w:rsid w:val="0003148D"/>
    <w:rsid w:val="00031EEC"/>
    <w:rsid w:val="000356CF"/>
    <w:rsid w:val="0004027F"/>
    <w:rsid w:val="00045720"/>
    <w:rsid w:val="00051566"/>
    <w:rsid w:val="0005579C"/>
    <w:rsid w:val="000562A9"/>
    <w:rsid w:val="00062A9A"/>
    <w:rsid w:val="00065058"/>
    <w:rsid w:val="00066F37"/>
    <w:rsid w:val="00067048"/>
    <w:rsid w:val="00086C39"/>
    <w:rsid w:val="00087804"/>
    <w:rsid w:val="00096FCE"/>
    <w:rsid w:val="000A03B2"/>
    <w:rsid w:val="000D0268"/>
    <w:rsid w:val="000D0C47"/>
    <w:rsid w:val="000D34BE"/>
    <w:rsid w:val="000E102F"/>
    <w:rsid w:val="000E3512"/>
    <w:rsid w:val="000E36F1"/>
    <w:rsid w:val="000E3A73"/>
    <w:rsid w:val="000E414A"/>
    <w:rsid w:val="000F0352"/>
    <w:rsid w:val="000F093C"/>
    <w:rsid w:val="000F15E7"/>
    <w:rsid w:val="000F787B"/>
    <w:rsid w:val="0012091F"/>
    <w:rsid w:val="00126BC2"/>
    <w:rsid w:val="001308B6"/>
    <w:rsid w:val="0013121F"/>
    <w:rsid w:val="00131FE6"/>
    <w:rsid w:val="00132507"/>
    <w:rsid w:val="0013263F"/>
    <w:rsid w:val="001331DF"/>
    <w:rsid w:val="00134DE4"/>
    <w:rsid w:val="0014034D"/>
    <w:rsid w:val="00144D16"/>
    <w:rsid w:val="00150E59"/>
    <w:rsid w:val="00152DE3"/>
    <w:rsid w:val="00164CF9"/>
    <w:rsid w:val="00165DC0"/>
    <w:rsid w:val="001667A6"/>
    <w:rsid w:val="00180187"/>
    <w:rsid w:val="00182629"/>
    <w:rsid w:val="00183E6E"/>
    <w:rsid w:val="00184290"/>
    <w:rsid w:val="00184AD6"/>
    <w:rsid w:val="001A4AF7"/>
    <w:rsid w:val="001B0349"/>
    <w:rsid w:val="001B1E93"/>
    <w:rsid w:val="001B65C1"/>
    <w:rsid w:val="001C684B"/>
    <w:rsid w:val="001D0CFB"/>
    <w:rsid w:val="001D21AF"/>
    <w:rsid w:val="001D53FC"/>
    <w:rsid w:val="001E3157"/>
    <w:rsid w:val="001E728D"/>
    <w:rsid w:val="001F42A5"/>
    <w:rsid w:val="001F7B9D"/>
    <w:rsid w:val="00201C93"/>
    <w:rsid w:val="00206AB7"/>
    <w:rsid w:val="002224B4"/>
    <w:rsid w:val="00231715"/>
    <w:rsid w:val="00233A27"/>
    <w:rsid w:val="002447EF"/>
    <w:rsid w:val="00245AC5"/>
    <w:rsid w:val="00251550"/>
    <w:rsid w:val="00252D96"/>
    <w:rsid w:val="00263B05"/>
    <w:rsid w:val="0027221A"/>
    <w:rsid w:val="00275B61"/>
    <w:rsid w:val="00280FAF"/>
    <w:rsid w:val="00282656"/>
    <w:rsid w:val="00296B83"/>
    <w:rsid w:val="002B381D"/>
    <w:rsid w:val="002B4015"/>
    <w:rsid w:val="002B78CE"/>
    <w:rsid w:val="002C2FB6"/>
    <w:rsid w:val="002C73E3"/>
    <w:rsid w:val="002D75C3"/>
    <w:rsid w:val="002E5FA7"/>
    <w:rsid w:val="002F3309"/>
    <w:rsid w:val="003008CE"/>
    <w:rsid w:val="003009B7"/>
    <w:rsid w:val="00300E56"/>
    <w:rsid w:val="0030152C"/>
    <w:rsid w:val="00301EFB"/>
    <w:rsid w:val="0030469C"/>
    <w:rsid w:val="00320F78"/>
    <w:rsid w:val="00321CA6"/>
    <w:rsid w:val="00323763"/>
    <w:rsid w:val="00323C5F"/>
    <w:rsid w:val="0032554E"/>
    <w:rsid w:val="00334701"/>
    <w:rsid w:val="00334C09"/>
    <w:rsid w:val="003649DE"/>
    <w:rsid w:val="00364F7F"/>
    <w:rsid w:val="003723D4"/>
    <w:rsid w:val="00381905"/>
    <w:rsid w:val="00384CC8"/>
    <w:rsid w:val="003871FD"/>
    <w:rsid w:val="00391226"/>
    <w:rsid w:val="003A06C1"/>
    <w:rsid w:val="003A1195"/>
    <w:rsid w:val="003A1E30"/>
    <w:rsid w:val="003A2829"/>
    <w:rsid w:val="003A7D1C"/>
    <w:rsid w:val="003B19B6"/>
    <w:rsid w:val="003B304B"/>
    <w:rsid w:val="003B3146"/>
    <w:rsid w:val="003D4728"/>
    <w:rsid w:val="003E21DE"/>
    <w:rsid w:val="003F015E"/>
    <w:rsid w:val="00400414"/>
    <w:rsid w:val="004015FA"/>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85296"/>
    <w:rsid w:val="004A004E"/>
    <w:rsid w:val="004A24CF"/>
    <w:rsid w:val="004A4F71"/>
    <w:rsid w:val="004C3D1D"/>
    <w:rsid w:val="004C3D84"/>
    <w:rsid w:val="004C5C97"/>
    <w:rsid w:val="004C7913"/>
    <w:rsid w:val="004E4DD6"/>
    <w:rsid w:val="004F49FD"/>
    <w:rsid w:val="004F5E36"/>
    <w:rsid w:val="00507B47"/>
    <w:rsid w:val="00507BEF"/>
    <w:rsid w:val="00507CC9"/>
    <w:rsid w:val="005119A5"/>
    <w:rsid w:val="005278B7"/>
    <w:rsid w:val="00532016"/>
    <w:rsid w:val="005346C8"/>
    <w:rsid w:val="00543E7D"/>
    <w:rsid w:val="00547A68"/>
    <w:rsid w:val="00553044"/>
    <w:rsid w:val="005531C9"/>
    <w:rsid w:val="005539A5"/>
    <w:rsid w:val="0055492C"/>
    <w:rsid w:val="00555025"/>
    <w:rsid w:val="005624DA"/>
    <w:rsid w:val="00562990"/>
    <w:rsid w:val="00570C43"/>
    <w:rsid w:val="00572556"/>
    <w:rsid w:val="00582E9C"/>
    <w:rsid w:val="005A4FC8"/>
    <w:rsid w:val="005A79A0"/>
    <w:rsid w:val="005B2110"/>
    <w:rsid w:val="005B2823"/>
    <w:rsid w:val="005B61E6"/>
    <w:rsid w:val="005C73C6"/>
    <w:rsid w:val="005C77E1"/>
    <w:rsid w:val="005D471D"/>
    <w:rsid w:val="005D668A"/>
    <w:rsid w:val="005D6A2F"/>
    <w:rsid w:val="005D74CE"/>
    <w:rsid w:val="005E1A82"/>
    <w:rsid w:val="005E794C"/>
    <w:rsid w:val="005F0A28"/>
    <w:rsid w:val="005F0E5E"/>
    <w:rsid w:val="005F5729"/>
    <w:rsid w:val="005F5D7C"/>
    <w:rsid w:val="00600535"/>
    <w:rsid w:val="00610CD6"/>
    <w:rsid w:val="00620DEE"/>
    <w:rsid w:val="00621F92"/>
    <w:rsid w:val="0062280A"/>
    <w:rsid w:val="00625639"/>
    <w:rsid w:val="00631B33"/>
    <w:rsid w:val="0064184D"/>
    <w:rsid w:val="006422CC"/>
    <w:rsid w:val="00643C9A"/>
    <w:rsid w:val="00646446"/>
    <w:rsid w:val="00656B7F"/>
    <w:rsid w:val="00660E3E"/>
    <w:rsid w:val="00662E74"/>
    <w:rsid w:val="00680C23"/>
    <w:rsid w:val="00693766"/>
    <w:rsid w:val="006A3281"/>
    <w:rsid w:val="006A60B8"/>
    <w:rsid w:val="006B4888"/>
    <w:rsid w:val="006B6581"/>
    <w:rsid w:val="006C2E45"/>
    <w:rsid w:val="006C359C"/>
    <w:rsid w:val="006C5579"/>
    <w:rsid w:val="006D6E8B"/>
    <w:rsid w:val="006E737D"/>
    <w:rsid w:val="006F4FCD"/>
    <w:rsid w:val="006F7486"/>
    <w:rsid w:val="00713973"/>
    <w:rsid w:val="0072082A"/>
    <w:rsid w:val="00720939"/>
    <w:rsid w:val="00720A24"/>
    <w:rsid w:val="00732386"/>
    <w:rsid w:val="0073514D"/>
    <w:rsid w:val="007447F3"/>
    <w:rsid w:val="0075198E"/>
    <w:rsid w:val="00751FD4"/>
    <w:rsid w:val="00754809"/>
    <w:rsid w:val="0075499F"/>
    <w:rsid w:val="00757BAA"/>
    <w:rsid w:val="007617E9"/>
    <w:rsid w:val="00765B42"/>
    <w:rsid w:val="007661C8"/>
    <w:rsid w:val="0077098D"/>
    <w:rsid w:val="00771234"/>
    <w:rsid w:val="007746B6"/>
    <w:rsid w:val="007931FA"/>
    <w:rsid w:val="00796F38"/>
    <w:rsid w:val="007A117B"/>
    <w:rsid w:val="007A4861"/>
    <w:rsid w:val="007A7BBA"/>
    <w:rsid w:val="007B0C50"/>
    <w:rsid w:val="007B48F9"/>
    <w:rsid w:val="007C1A43"/>
    <w:rsid w:val="007C711F"/>
    <w:rsid w:val="007D0951"/>
    <w:rsid w:val="007D699F"/>
    <w:rsid w:val="007E5007"/>
    <w:rsid w:val="0080013E"/>
    <w:rsid w:val="0080432D"/>
    <w:rsid w:val="00813288"/>
    <w:rsid w:val="008168FC"/>
    <w:rsid w:val="0081746A"/>
    <w:rsid w:val="00830996"/>
    <w:rsid w:val="008345F1"/>
    <w:rsid w:val="00835720"/>
    <w:rsid w:val="0085049E"/>
    <w:rsid w:val="00850E44"/>
    <w:rsid w:val="00851AC0"/>
    <w:rsid w:val="00865424"/>
    <w:rsid w:val="00865B07"/>
    <w:rsid w:val="00865DCF"/>
    <w:rsid w:val="008667EA"/>
    <w:rsid w:val="0087637F"/>
    <w:rsid w:val="00883DEC"/>
    <w:rsid w:val="00892AD5"/>
    <w:rsid w:val="00897808"/>
    <w:rsid w:val="008A1512"/>
    <w:rsid w:val="008A33DC"/>
    <w:rsid w:val="008A7FDF"/>
    <w:rsid w:val="008D32B9"/>
    <w:rsid w:val="008D433B"/>
    <w:rsid w:val="008D4A16"/>
    <w:rsid w:val="008E0907"/>
    <w:rsid w:val="008E566E"/>
    <w:rsid w:val="008F0326"/>
    <w:rsid w:val="0090161A"/>
    <w:rsid w:val="00901EB6"/>
    <w:rsid w:val="00904C62"/>
    <w:rsid w:val="00922BA8"/>
    <w:rsid w:val="00924DAC"/>
    <w:rsid w:val="00927058"/>
    <w:rsid w:val="00942750"/>
    <w:rsid w:val="009450CE"/>
    <w:rsid w:val="009459BB"/>
    <w:rsid w:val="00946D30"/>
    <w:rsid w:val="00947179"/>
    <w:rsid w:val="0095164B"/>
    <w:rsid w:val="00954090"/>
    <w:rsid w:val="009562D0"/>
    <w:rsid w:val="009573E7"/>
    <w:rsid w:val="00963E05"/>
    <w:rsid w:val="00964A45"/>
    <w:rsid w:val="00966945"/>
    <w:rsid w:val="00967843"/>
    <w:rsid w:val="00967D54"/>
    <w:rsid w:val="00971028"/>
    <w:rsid w:val="0099285B"/>
    <w:rsid w:val="00993B84"/>
    <w:rsid w:val="00996483"/>
    <w:rsid w:val="00996F5A"/>
    <w:rsid w:val="009B041A"/>
    <w:rsid w:val="009B0D97"/>
    <w:rsid w:val="009C37C3"/>
    <w:rsid w:val="009C3C85"/>
    <w:rsid w:val="009C7C86"/>
    <w:rsid w:val="009D2FF7"/>
    <w:rsid w:val="009D6199"/>
    <w:rsid w:val="009E3DB6"/>
    <w:rsid w:val="009E7884"/>
    <w:rsid w:val="009E788A"/>
    <w:rsid w:val="009F0E08"/>
    <w:rsid w:val="009F1339"/>
    <w:rsid w:val="009F14E8"/>
    <w:rsid w:val="00A1763D"/>
    <w:rsid w:val="00A17CEC"/>
    <w:rsid w:val="00A23BE8"/>
    <w:rsid w:val="00A278B0"/>
    <w:rsid w:val="00A27EF0"/>
    <w:rsid w:val="00A4042D"/>
    <w:rsid w:val="00A42361"/>
    <w:rsid w:val="00A50955"/>
    <w:rsid w:val="00A50B20"/>
    <w:rsid w:val="00A51390"/>
    <w:rsid w:val="00A60D13"/>
    <w:rsid w:val="00A67BA7"/>
    <w:rsid w:val="00A7223D"/>
    <w:rsid w:val="00A72745"/>
    <w:rsid w:val="00A76EFC"/>
    <w:rsid w:val="00A812F1"/>
    <w:rsid w:val="00A84D80"/>
    <w:rsid w:val="00A87D50"/>
    <w:rsid w:val="00A91010"/>
    <w:rsid w:val="00A95873"/>
    <w:rsid w:val="00A97F29"/>
    <w:rsid w:val="00AA702E"/>
    <w:rsid w:val="00AA7D26"/>
    <w:rsid w:val="00AB0964"/>
    <w:rsid w:val="00AB5011"/>
    <w:rsid w:val="00AC7368"/>
    <w:rsid w:val="00AD16B9"/>
    <w:rsid w:val="00AD5EB9"/>
    <w:rsid w:val="00AE0167"/>
    <w:rsid w:val="00AE12BF"/>
    <w:rsid w:val="00AE1C83"/>
    <w:rsid w:val="00AE377D"/>
    <w:rsid w:val="00AE3EF4"/>
    <w:rsid w:val="00AF0EBA"/>
    <w:rsid w:val="00B0015A"/>
    <w:rsid w:val="00B02C8A"/>
    <w:rsid w:val="00B12F5D"/>
    <w:rsid w:val="00B17FBD"/>
    <w:rsid w:val="00B22C4E"/>
    <w:rsid w:val="00B2399B"/>
    <w:rsid w:val="00B25C00"/>
    <w:rsid w:val="00B315A6"/>
    <w:rsid w:val="00B31813"/>
    <w:rsid w:val="00B33365"/>
    <w:rsid w:val="00B342D1"/>
    <w:rsid w:val="00B42A5E"/>
    <w:rsid w:val="00B46232"/>
    <w:rsid w:val="00B50C07"/>
    <w:rsid w:val="00B57B36"/>
    <w:rsid w:val="00B57E6F"/>
    <w:rsid w:val="00B60D71"/>
    <w:rsid w:val="00B649F0"/>
    <w:rsid w:val="00B73B18"/>
    <w:rsid w:val="00B8686D"/>
    <w:rsid w:val="00B93F69"/>
    <w:rsid w:val="00BA0D0B"/>
    <w:rsid w:val="00BB1DDC"/>
    <w:rsid w:val="00BB4319"/>
    <w:rsid w:val="00BC30C9"/>
    <w:rsid w:val="00BD077D"/>
    <w:rsid w:val="00BD3E3B"/>
    <w:rsid w:val="00BE3E58"/>
    <w:rsid w:val="00BE7BAC"/>
    <w:rsid w:val="00C01616"/>
    <w:rsid w:val="00C0162B"/>
    <w:rsid w:val="00C02726"/>
    <w:rsid w:val="00C068ED"/>
    <w:rsid w:val="00C20CAB"/>
    <w:rsid w:val="00C22E0C"/>
    <w:rsid w:val="00C345B1"/>
    <w:rsid w:val="00C40142"/>
    <w:rsid w:val="00C42B73"/>
    <w:rsid w:val="00C52C3C"/>
    <w:rsid w:val="00C555A6"/>
    <w:rsid w:val="00C57182"/>
    <w:rsid w:val="00C57863"/>
    <w:rsid w:val="00C640AF"/>
    <w:rsid w:val="00C64F6F"/>
    <w:rsid w:val="00C655FD"/>
    <w:rsid w:val="00C75407"/>
    <w:rsid w:val="00C836BF"/>
    <w:rsid w:val="00C870A8"/>
    <w:rsid w:val="00C94434"/>
    <w:rsid w:val="00C9488D"/>
    <w:rsid w:val="00CA0D75"/>
    <w:rsid w:val="00CA1C95"/>
    <w:rsid w:val="00CA5A9C"/>
    <w:rsid w:val="00CC4C20"/>
    <w:rsid w:val="00CD1C04"/>
    <w:rsid w:val="00CD3517"/>
    <w:rsid w:val="00CD5FE2"/>
    <w:rsid w:val="00CE2AB7"/>
    <w:rsid w:val="00CE4397"/>
    <w:rsid w:val="00CE7C68"/>
    <w:rsid w:val="00CF7799"/>
    <w:rsid w:val="00CF7B4D"/>
    <w:rsid w:val="00D02B4C"/>
    <w:rsid w:val="00D040C4"/>
    <w:rsid w:val="00D15005"/>
    <w:rsid w:val="00D20AD1"/>
    <w:rsid w:val="00D31452"/>
    <w:rsid w:val="00D37164"/>
    <w:rsid w:val="00D37705"/>
    <w:rsid w:val="00D46B7E"/>
    <w:rsid w:val="00D55449"/>
    <w:rsid w:val="00D57C84"/>
    <w:rsid w:val="00D6057D"/>
    <w:rsid w:val="00D71640"/>
    <w:rsid w:val="00D73E9E"/>
    <w:rsid w:val="00D836C5"/>
    <w:rsid w:val="00D84576"/>
    <w:rsid w:val="00DA1399"/>
    <w:rsid w:val="00DA24C6"/>
    <w:rsid w:val="00DA4D7B"/>
    <w:rsid w:val="00DC3A6F"/>
    <w:rsid w:val="00DD271C"/>
    <w:rsid w:val="00DD3922"/>
    <w:rsid w:val="00DE264A"/>
    <w:rsid w:val="00DE6EFA"/>
    <w:rsid w:val="00DF5072"/>
    <w:rsid w:val="00E02D18"/>
    <w:rsid w:val="00E041E7"/>
    <w:rsid w:val="00E10847"/>
    <w:rsid w:val="00E23CA1"/>
    <w:rsid w:val="00E409A8"/>
    <w:rsid w:val="00E50C12"/>
    <w:rsid w:val="00E5525D"/>
    <w:rsid w:val="00E5625F"/>
    <w:rsid w:val="00E56CEC"/>
    <w:rsid w:val="00E65B91"/>
    <w:rsid w:val="00E7209D"/>
    <w:rsid w:val="00E72EAD"/>
    <w:rsid w:val="00E77223"/>
    <w:rsid w:val="00E836DA"/>
    <w:rsid w:val="00E8528B"/>
    <w:rsid w:val="00E85B94"/>
    <w:rsid w:val="00E9274B"/>
    <w:rsid w:val="00E978D0"/>
    <w:rsid w:val="00EA0929"/>
    <w:rsid w:val="00EA4613"/>
    <w:rsid w:val="00EA7F91"/>
    <w:rsid w:val="00EB1523"/>
    <w:rsid w:val="00EB5219"/>
    <w:rsid w:val="00EC0E49"/>
    <w:rsid w:val="00EC101F"/>
    <w:rsid w:val="00EC1D9F"/>
    <w:rsid w:val="00EC62A4"/>
    <w:rsid w:val="00EE0131"/>
    <w:rsid w:val="00EE17B0"/>
    <w:rsid w:val="00EE1B4C"/>
    <w:rsid w:val="00EF06D9"/>
    <w:rsid w:val="00F27772"/>
    <w:rsid w:val="00F3049E"/>
    <w:rsid w:val="00F30C64"/>
    <w:rsid w:val="00F32BA2"/>
    <w:rsid w:val="00F32CDB"/>
    <w:rsid w:val="00F54BF9"/>
    <w:rsid w:val="00F565FE"/>
    <w:rsid w:val="00F63341"/>
    <w:rsid w:val="00F63A70"/>
    <w:rsid w:val="00F63D8C"/>
    <w:rsid w:val="00F7534E"/>
    <w:rsid w:val="00F91A38"/>
    <w:rsid w:val="00F93EDF"/>
    <w:rsid w:val="00F97C37"/>
    <w:rsid w:val="00FA1802"/>
    <w:rsid w:val="00FA21D0"/>
    <w:rsid w:val="00FA5F5F"/>
    <w:rsid w:val="00FA64DC"/>
    <w:rsid w:val="00FB2C85"/>
    <w:rsid w:val="00FB3BC8"/>
    <w:rsid w:val="00FB730C"/>
    <w:rsid w:val="00FC2695"/>
    <w:rsid w:val="00FC3E03"/>
    <w:rsid w:val="00FC3FC1"/>
    <w:rsid w:val="00FE2E7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8F0326"/>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AE12BF"/>
    <w:rPr>
      <w:color w:val="808080"/>
    </w:rPr>
  </w:style>
  <w:style w:type="character" w:styleId="Mencinsinresolver">
    <w:name w:val="Unresolved Mention"/>
    <w:basedOn w:val="Fuentedeprrafopredeter"/>
    <w:uiPriority w:val="99"/>
    <w:semiHidden/>
    <w:unhideWhenUsed/>
    <w:rsid w:val="00EB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7282">
      <w:bodyDiv w:val="1"/>
      <w:marLeft w:val="0"/>
      <w:marRight w:val="0"/>
      <w:marTop w:val="0"/>
      <w:marBottom w:val="0"/>
      <w:divBdr>
        <w:top w:val="none" w:sz="0" w:space="0" w:color="auto"/>
        <w:left w:val="none" w:sz="0" w:space="0" w:color="auto"/>
        <w:bottom w:val="none" w:sz="0" w:space="0" w:color="auto"/>
        <w:right w:val="none" w:sz="0" w:space="0" w:color="auto"/>
      </w:divBdr>
      <w:divsChild>
        <w:div w:id="1272590626">
          <w:marLeft w:val="0"/>
          <w:marRight w:val="0"/>
          <w:marTop w:val="0"/>
          <w:marBottom w:val="0"/>
          <w:divBdr>
            <w:top w:val="single" w:sz="2" w:space="0" w:color="auto"/>
            <w:left w:val="single" w:sz="2" w:space="0" w:color="auto"/>
            <w:bottom w:val="single" w:sz="6" w:space="0" w:color="auto"/>
            <w:right w:val="single" w:sz="2" w:space="0" w:color="auto"/>
          </w:divBdr>
          <w:divsChild>
            <w:div w:id="439494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782112">
                  <w:marLeft w:val="0"/>
                  <w:marRight w:val="0"/>
                  <w:marTop w:val="0"/>
                  <w:marBottom w:val="0"/>
                  <w:divBdr>
                    <w:top w:val="single" w:sz="2" w:space="0" w:color="D9D9E3"/>
                    <w:left w:val="single" w:sz="2" w:space="0" w:color="D9D9E3"/>
                    <w:bottom w:val="single" w:sz="2" w:space="0" w:color="D9D9E3"/>
                    <w:right w:val="single" w:sz="2" w:space="0" w:color="D9D9E3"/>
                  </w:divBdr>
                  <w:divsChild>
                    <w:div w:id="226654196">
                      <w:marLeft w:val="0"/>
                      <w:marRight w:val="0"/>
                      <w:marTop w:val="0"/>
                      <w:marBottom w:val="0"/>
                      <w:divBdr>
                        <w:top w:val="single" w:sz="2" w:space="0" w:color="D9D9E3"/>
                        <w:left w:val="single" w:sz="2" w:space="0" w:color="D9D9E3"/>
                        <w:bottom w:val="single" w:sz="2" w:space="0" w:color="D9D9E3"/>
                        <w:right w:val="single" w:sz="2" w:space="0" w:color="D9D9E3"/>
                      </w:divBdr>
                      <w:divsChild>
                        <w:div w:id="1155225576">
                          <w:marLeft w:val="0"/>
                          <w:marRight w:val="0"/>
                          <w:marTop w:val="0"/>
                          <w:marBottom w:val="0"/>
                          <w:divBdr>
                            <w:top w:val="single" w:sz="2" w:space="0" w:color="D9D9E3"/>
                            <w:left w:val="single" w:sz="2" w:space="0" w:color="D9D9E3"/>
                            <w:bottom w:val="single" w:sz="2" w:space="0" w:color="D9D9E3"/>
                            <w:right w:val="single" w:sz="2" w:space="0" w:color="D9D9E3"/>
                          </w:divBdr>
                          <w:divsChild>
                            <w:div w:id="1823766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121799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Hoja1!$B$1</c:f>
              <c:strCache>
                <c:ptCount val="1"/>
                <c:pt idx="0">
                  <c:v>Serie 1</c:v>
                </c:pt>
              </c:strCache>
            </c:strRef>
          </c:tx>
          <c:spPr>
            <a:solidFill>
              <a:schemeClr val="accent1"/>
            </a:solidFill>
            <a:ln>
              <a:noFill/>
            </a:ln>
            <a:effectLst/>
            <a:sp3d/>
          </c:spPr>
          <c:invertIfNegative val="0"/>
          <c:cat>
            <c:numRef>
              <c:f>Hoja1!$A$2:$A$20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Hoja1!$B$2:$B$20</c:f>
              <c:numCache>
                <c:formatCode>General</c:formatCode>
                <c:ptCount val="19"/>
                <c:pt idx="0">
                  <c:v>1</c:v>
                </c:pt>
                <c:pt idx="1">
                  <c:v>1</c:v>
                </c:pt>
                <c:pt idx="2">
                  <c:v>4</c:v>
                </c:pt>
                <c:pt idx="3">
                  <c:v>5</c:v>
                </c:pt>
                <c:pt idx="4">
                  <c:v>8</c:v>
                </c:pt>
                <c:pt idx="5">
                  <c:v>20</c:v>
                </c:pt>
                <c:pt idx="6">
                  <c:v>28</c:v>
                </c:pt>
                <c:pt idx="7">
                  <c:v>43</c:v>
                </c:pt>
                <c:pt idx="8">
                  <c:v>97</c:v>
                </c:pt>
                <c:pt idx="9">
                  <c:v>129</c:v>
                </c:pt>
                <c:pt idx="10">
                  <c:v>195</c:v>
                </c:pt>
                <c:pt idx="11">
                  <c:v>281</c:v>
                </c:pt>
                <c:pt idx="12">
                  <c:v>390</c:v>
                </c:pt>
                <c:pt idx="13">
                  <c:v>623</c:v>
                </c:pt>
                <c:pt idx="14">
                  <c:v>757</c:v>
                </c:pt>
                <c:pt idx="15">
                  <c:v>1059</c:v>
                </c:pt>
                <c:pt idx="16">
                  <c:v>1524</c:v>
                </c:pt>
                <c:pt idx="17">
                  <c:v>1912</c:v>
                </c:pt>
                <c:pt idx="18">
                  <c:v>2074</c:v>
                </c:pt>
              </c:numCache>
            </c:numRef>
          </c:val>
          <c:extLst>
            <c:ext xmlns:c16="http://schemas.microsoft.com/office/drawing/2014/chart" uri="{C3380CC4-5D6E-409C-BE32-E72D297353CC}">
              <c16:uniqueId val="{00000000-24BE-4C0F-BEE7-469A50829E1B}"/>
            </c:ext>
          </c:extLst>
        </c:ser>
        <c:ser>
          <c:idx val="1"/>
          <c:order val="1"/>
          <c:tx>
            <c:strRef>
              <c:f>Hoja1!$C$1</c:f>
              <c:strCache>
                <c:ptCount val="1"/>
                <c:pt idx="0">
                  <c:v>Columna1</c:v>
                </c:pt>
              </c:strCache>
            </c:strRef>
          </c:tx>
          <c:spPr>
            <a:solidFill>
              <a:schemeClr val="accent2"/>
            </a:solidFill>
            <a:ln>
              <a:noFill/>
            </a:ln>
            <a:effectLst/>
            <a:sp3d/>
          </c:spPr>
          <c:invertIfNegative val="0"/>
          <c:cat>
            <c:numRef>
              <c:f>Hoja1!$A$2:$A$20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Hoja1!$C$2:$C$20</c:f>
              <c:numCache>
                <c:formatCode>General</c:formatCode>
                <c:ptCount val="19"/>
              </c:numCache>
            </c:numRef>
          </c:val>
          <c:extLst>
            <c:ext xmlns:c16="http://schemas.microsoft.com/office/drawing/2014/chart" uri="{C3380CC4-5D6E-409C-BE32-E72D297353CC}">
              <c16:uniqueId val="{00000001-24BE-4C0F-BEE7-469A50829E1B}"/>
            </c:ext>
          </c:extLst>
        </c:ser>
        <c:ser>
          <c:idx val="2"/>
          <c:order val="2"/>
          <c:tx>
            <c:strRef>
              <c:f>Hoja1!$D$1</c:f>
              <c:strCache>
                <c:ptCount val="1"/>
                <c:pt idx="0">
                  <c:v>Columna2</c:v>
                </c:pt>
              </c:strCache>
            </c:strRef>
          </c:tx>
          <c:spPr>
            <a:solidFill>
              <a:schemeClr val="accent3"/>
            </a:solidFill>
            <a:ln>
              <a:noFill/>
            </a:ln>
            <a:effectLst/>
            <a:sp3d/>
          </c:spPr>
          <c:invertIfNegative val="0"/>
          <c:cat>
            <c:numRef>
              <c:f>Hoja1!$A$2:$A$20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Hoja1!$D$2:$D$20</c:f>
              <c:numCache>
                <c:formatCode>General</c:formatCode>
                <c:ptCount val="19"/>
              </c:numCache>
            </c:numRef>
          </c:val>
          <c:extLst>
            <c:ext xmlns:c16="http://schemas.microsoft.com/office/drawing/2014/chart" uri="{C3380CC4-5D6E-409C-BE32-E72D297353CC}">
              <c16:uniqueId val="{00000002-24BE-4C0F-BEE7-469A50829E1B}"/>
            </c:ext>
          </c:extLst>
        </c:ser>
        <c:dLbls>
          <c:showLegendKey val="0"/>
          <c:showVal val="0"/>
          <c:showCatName val="0"/>
          <c:showSerName val="0"/>
          <c:showPercent val="0"/>
          <c:showBubbleSize val="0"/>
        </c:dLbls>
        <c:gapWidth val="150"/>
        <c:shape val="box"/>
        <c:axId val="1266132895"/>
        <c:axId val="1266140799"/>
        <c:axId val="0"/>
      </c:bar3DChart>
      <c:catAx>
        <c:axId val="12661328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66140799"/>
        <c:crosses val="autoZero"/>
        <c:auto val="1"/>
        <c:lblAlgn val="ctr"/>
        <c:lblOffset val="100"/>
        <c:noMultiLvlLbl val="0"/>
      </c:catAx>
      <c:valAx>
        <c:axId val="12661407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DES</a:t>
                </a:r>
                <a:r>
                  <a:rPr lang="es-MX" baseline="0"/>
                  <a:t>-related publications</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6613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6</Pages>
  <Words>2747</Words>
  <Characters>15109</Characters>
  <Application>Microsoft Office Word</Application>
  <DocSecurity>0</DocSecurity>
  <Lines>125</Lines>
  <Paragraphs>35</Paragraphs>
  <ScaleCrop>false</ScaleCrop>
  <HeadingPairs>
    <vt:vector size="8" baseType="variant">
      <vt:variant>
        <vt:lpstr>Título</vt:lpstr>
      </vt:variant>
      <vt:variant>
        <vt:i4>1</vt:i4>
      </vt:variant>
      <vt:variant>
        <vt:lpstr>Títulos</vt:lpstr>
      </vt:variant>
      <vt:variant>
        <vt:i4>1</vt:i4>
      </vt:variant>
      <vt:variant>
        <vt:lpstr>Titolo</vt:lpstr>
      </vt:variant>
      <vt:variant>
        <vt:i4>1</vt:i4>
      </vt:variant>
      <vt:variant>
        <vt:lpstr>Title</vt:lpstr>
      </vt:variant>
      <vt:variant>
        <vt:i4>1</vt:i4>
      </vt:variant>
    </vt:vector>
  </HeadingPairs>
  <TitlesOfParts>
    <vt:vector size="4" baseType="lpstr">
      <vt:lpstr/>
      <vt:lpstr>Viscosity modelling of Deep Eutectic Solvents via the use of a Residual-entropy </vt:lpstr>
      <vt:lpstr/>
      <vt:lpstr/>
    </vt:vector>
  </TitlesOfParts>
  <Company>Dipartimento CMIC - Politecnico di Milano</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Donaldo Pereda Cruz Pereda Cruz</cp:lastModifiedBy>
  <cp:revision>102</cp:revision>
  <cp:lastPrinted>2023-02-14T01:38:00Z</cp:lastPrinted>
  <dcterms:created xsi:type="dcterms:W3CDTF">2022-09-21T08:52:00Z</dcterms:created>
  <dcterms:modified xsi:type="dcterms:W3CDTF">2023-04-15T00:53:00Z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