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82" w:type="dxa"/>
        <w:jc w:val="center"/>
        <w:tblLayout w:type="fixed"/>
        <w:tblLook w:val="04A0" w:firstRow="1" w:lastRow="0" w:firstColumn="1" w:lastColumn="0" w:noHBand="0" w:noVBand="1"/>
      </w:tblPr>
      <w:tblGrid>
        <w:gridCol w:w="6942"/>
        <w:gridCol w:w="1840"/>
      </w:tblGrid>
      <w:tr w:rsidR="00325766" w14:paraId="682EA9C2" w14:textId="77777777">
        <w:trPr>
          <w:trHeight w:val="852"/>
          <w:jc w:val="center"/>
        </w:trPr>
        <w:tc>
          <w:tcPr>
            <w:tcW w:w="6941" w:type="dxa"/>
            <w:vMerge w:val="restart"/>
            <w:tcBorders>
              <w:right w:val="single" w:sz="4" w:space="0" w:color="000000"/>
            </w:tcBorders>
          </w:tcPr>
          <w:p w14:paraId="2D541A42" w14:textId="77777777" w:rsidR="00325766" w:rsidRDefault="00000000">
            <w:pPr>
              <w:pStyle w:val="Standard"/>
              <w:widowControl w:val="0"/>
              <w:tabs>
                <w:tab w:val="clear" w:pos="7100"/>
                <w:tab w:val="left" w:pos="-216"/>
                <w:tab w:val="right" w:pos="6992"/>
              </w:tabs>
              <w:ind w:left="-108"/>
              <w:jc w:val="left"/>
            </w:pPr>
            <w:r>
              <w:rPr>
                <w:noProof/>
              </w:rPr>
              <w:drawing>
                <wp:inline distT="0" distB="0" distL="0" distR="0" wp14:anchorId="410367F6" wp14:editId="3AB816D1">
                  <wp:extent cx="640080" cy="373380"/>
                  <wp:effectExtent l="0" t="0" r="0" b="0"/>
                  <wp:docPr id="1"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cetlogo"/>
                          <pic:cNvPicPr>
                            <a:picLocks noChangeAspect="1" noChangeArrowheads="1"/>
                          </pic:cNvPicPr>
                        </pic:nvPicPr>
                        <pic:blipFill>
                          <a:blip r:embed="rId5"/>
                          <a:stretch>
                            <a:fillRect/>
                          </a:stretch>
                        </pic:blipFill>
                        <pic:spPr bwMode="auto">
                          <a:xfrm>
                            <a:off x="0" y="0"/>
                            <a:ext cx="640080" cy="373380"/>
                          </a:xfrm>
                          <a:prstGeom prst="rect">
                            <a:avLst/>
                          </a:prstGeom>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0E802C86" w14:textId="77777777" w:rsidR="00325766" w:rsidRDefault="00000000">
            <w:pPr>
              <w:pStyle w:val="Standard"/>
              <w:widowControl w:val="0"/>
              <w:tabs>
                <w:tab w:val="clear" w:pos="7100"/>
                <w:tab w:val="left" w:pos="-216"/>
                <w:tab w:val="right" w:pos="6992"/>
              </w:tabs>
              <w:ind w:left="-108"/>
              <w:rPr>
                <w:rFonts w:cs="Arial"/>
                <w:b/>
                <w:bCs/>
                <w:i/>
                <w:iCs/>
                <w:color w:val="000066"/>
                <w:sz w:val="22"/>
                <w:szCs w:val="22"/>
                <w:lang w:eastAsia="it-IT"/>
              </w:rPr>
            </w:pPr>
            <w:r>
              <w:rPr>
                <w:rFonts w:cs="Arial"/>
                <w:b/>
                <w:bCs/>
                <w:i/>
                <w:iCs/>
                <w:color w:val="000066"/>
                <w:sz w:val="22"/>
                <w:szCs w:val="22"/>
                <w:lang w:eastAsia="it-IT"/>
              </w:rPr>
              <w:t>VOL.    , 2023</w:t>
            </w:r>
          </w:p>
        </w:tc>
        <w:tc>
          <w:tcPr>
            <w:tcW w:w="1840" w:type="dxa"/>
            <w:tcBorders>
              <w:left w:val="single" w:sz="4" w:space="0" w:color="000000"/>
              <w:right w:val="single" w:sz="4" w:space="0" w:color="000000"/>
            </w:tcBorders>
          </w:tcPr>
          <w:p w14:paraId="6638BC49" w14:textId="77777777" w:rsidR="00325766" w:rsidRDefault="00000000">
            <w:pPr>
              <w:pStyle w:val="Standard"/>
              <w:widowControl w:val="0"/>
              <w:spacing w:line="140" w:lineRule="atLeast"/>
              <w:jc w:val="right"/>
              <w:rPr>
                <w:rFonts w:cs="Arial"/>
                <w:sz w:val="14"/>
                <w:szCs w:val="14"/>
              </w:rPr>
            </w:pPr>
            <w:r>
              <w:rPr>
                <w:rFonts w:cs="Arial"/>
                <w:sz w:val="14"/>
                <w:szCs w:val="14"/>
              </w:rPr>
              <w:t>A publication of</w:t>
            </w:r>
          </w:p>
          <w:p w14:paraId="299C31C9" w14:textId="77777777" w:rsidR="00325766" w:rsidRDefault="00000000">
            <w:pPr>
              <w:pStyle w:val="Standard"/>
              <w:widowControl w:val="0"/>
              <w:jc w:val="right"/>
            </w:pPr>
            <w:r>
              <w:rPr>
                <w:noProof/>
              </w:rPr>
              <w:drawing>
                <wp:inline distT="0" distB="0" distL="0" distR="0" wp14:anchorId="43503095" wp14:editId="7664AA1A">
                  <wp:extent cx="670560" cy="358140"/>
                  <wp:effectExtent l="0" t="0" r="0" b="0"/>
                  <wp:docPr id="2"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descr="aidiclogo_grande"/>
                          <pic:cNvPicPr>
                            <a:picLocks noChangeAspect="1" noChangeArrowheads="1"/>
                          </pic:cNvPicPr>
                        </pic:nvPicPr>
                        <pic:blipFill>
                          <a:blip r:embed="rId6"/>
                          <a:stretch>
                            <a:fillRect/>
                          </a:stretch>
                        </pic:blipFill>
                        <pic:spPr bwMode="auto">
                          <a:xfrm>
                            <a:off x="0" y="0"/>
                            <a:ext cx="670560" cy="358140"/>
                          </a:xfrm>
                          <a:prstGeom prst="rect">
                            <a:avLst/>
                          </a:prstGeom>
                        </pic:spPr>
                      </pic:pic>
                    </a:graphicData>
                  </a:graphic>
                </wp:inline>
              </w:drawing>
            </w:r>
          </w:p>
        </w:tc>
      </w:tr>
      <w:tr w:rsidR="00325766" w:rsidRPr="0084559D" w14:paraId="73B2AFC2" w14:textId="77777777">
        <w:trPr>
          <w:trHeight w:val="567"/>
          <w:jc w:val="center"/>
        </w:trPr>
        <w:tc>
          <w:tcPr>
            <w:tcW w:w="6941" w:type="dxa"/>
            <w:vMerge/>
            <w:tcBorders>
              <w:right w:val="single" w:sz="4" w:space="0" w:color="000000"/>
            </w:tcBorders>
          </w:tcPr>
          <w:p w14:paraId="61336B17" w14:textId="77777777" w:rsidR="00325766" w:rsidRDefault="00325766"/>
        </w:tc>
        <w:tc>
          <w:tcPr>
            <w:tcW w:w="1840" w:type="dxa"/>
            <w:tcBorders>
              <w:left w:val="single" w:sz="4" w:space="0" w:color="000000"/>
              <w:right w:val="single" w:sz="4" w:space="0" w:color="000000"/>
            </w:tcBorders>
          </w:tcPr>
          <w:p w14:paraId="0CA0359D" w14:textId="77777777" w:rsidR="00325766" w:rsidRDefault="00000000">
            <w:pPr>
              <w:pStyle w:val="Standard"/>
              <w:widowControl w:val="0"/>
              <w:spacing w:line="140" w:lineRule="atLeast"/>
              <w:jc w:val="right"/>
              <w:rPr>
                <w:rFonts w:cs="Arial"/>
                <w:sz w:val="14"/>
                <w:szCs w:val="14"/>
              </w:rPr>
            </w:pPr>
            <w:r>
              <w:rPr>
                <w:rFonts w:cs="Arial"/>
                <w:sz w:val="14"/>
                <w:szCs w:val="14"/>
              </w:rPr>
              <w:t>The Italian Association</w:t>
            </w:r>
          </w:p>
          <w:p w14:paraId="79357CDB" w14:textId="77777777" w:rsidR="00325766" w:rsidRDefault="00000000">
            <w:pPr>
              <w:pStyle w:val="Standard"/>
              <w:widowControl w:val="0"/>
              <w:spacing w:line="140" w:lineRule="atLeast"/>
              <w:jc w:val="right"/>
              <w:rPr>
                <w:rFonts w:cs="Arial"/>
                <w:sz w:val="14"/>
                <w:szCs w:val="14"/>
              </w:rPr>
            </w:pPr>
            <w:r>
              <w:rPr>
                <w:rFonts w:cs="Arial"/>
                <w:sz w:val="14"/>
                <w:szCs w:val="14"/>
              </w:rPr>
              <w:t>of Chemical Engineering</w:t>
            </w:r>
          </w:p>
          <w:p w14:paraId="1403DFF0" w14:textId="77777777" w:rsidR="00325766" w:rsidRDefault="00000000">
            <w:pPr>
              <w:pStyle w:val="Standard"/>
              <w:widowControl w:val="0"/>
              <w:spacing w:line="140" w:lineRule="atLeast"/>
              <w:jc w:val="right"/>
              <w:rPr>
                <w:rFonts w:cs="Arial"/>
                <w:sz w:val="13"/>
                <w:szCs w:val="13"/>
              </w:rPr>
            </w:pPr>
            <w:r>
              <w:rPr>
                <w:rFonts w:cs="Arial"/>
                <w:sz w:val="13"/>
                <w:szCs w:val="13"/>
              </w:rPr>
              <w:t>Online at www.cetjournal.it</w:t>
            </w:r>
          </w:p>
        </w:tc>
      </w:tr>
      <w:tr w:rsidR="00325766" w14:paraId="27D3F557" w14:textId="77777777">
        <w:trPr>
          <w:trHeight w:val="68"/>
          <w:jc w:val="center"/>
        </w:trPr>
        <w:tc>
          <w:tcPr>
            <w:tcW w:w="8781" w:type="dxa"/>
            <w:gridSpan w:val="2"/>
            <w:tcBorders>
              <w:bottom w:val="single" w:sz="4" w:space="0" w:color="000000"/>
            </w:tcBorders>
          </w:tcPr>
          <w:p w14:paraId="290DA0CF" w14:textId="77777777" w:rsidR="00325766" w:rsidRDefault="00000000">
            <w:pPr>
              <w:pStyle w:val="Standard"/>
              <w:widowControl w:val="0"/>
              <w:ind w:left="-107"/>
              <w:outlineLvl w:val="2"/>
            </w:pPr>
            <w:r>
              <w:rPr>
                <w:rFonts w:ascii="Tahoma" w:hAnsi="Tahoma" w:cs="Tahoma"/>
                <w:iCs/>
                <w:color w:val="333333"/>
                <w:sz w:val="14"/>
                <w:szCs w:val="14"/>
                <w:lang w:eastAsia="it-IT"/>
              </w:rPr>
              <w:t>Guest Editor:</w:t>
            </w:r>
            <w:r>
              <w:rPr>
                <w:rFonts w:ascii="Tahoma" w:hAnsi="Tahoma" w:cs="Tahoma"/>
                <w:color w:val="000000"/>
                <w:sz w:val="14"/>
                <w:szCs w:val="14"/>
                <w:shd w:val="clear" w:color="auto" w:fill="FFFFFF"/>
              </w:rPr>
              <w:t xml:space="preserve"> </w:t>
            </w:r>
            <w:r>
              <w:rPr>
                <w:rFonts w:ascii="Tahoma" w:hAnsi="Tahoma" w:cs="Tahoma"/>
                <w:sz w:val="14"/>
                <w:szCs w:val="14"/>
              </w:rPr>
              <w:t>Sauro Pierucci</w:t>
            </w:r>
          </w:p>
          <w:p w14:paraId="0ADEFE71" w14:textId="77777777" w:rsidR="00325766" w:rsidRDefault="00000000">
            <w:pPr>
              <w:pStyle w:val="Standard"/>
              <w:widowControl w:val="0"/>
              <w:tabs>
                <w:tab w:val="clear" w:pos="7100"/>
                <w:tab w:val="left" w:pos="-215"/>
                <w:tab w:val="right" w:pos="6993"/>
              </w:tabs>
              <w:spacing w:line="140" w:lineRule="atLeast"/>
              <w:ind w:left="-107"/>
              <w:jc w:val="left"/>
            </w:pPr>
            <w:r>
              <w:rPr>
                <w:rFonts w:ascii="Tahoma" w:hAnsi="Tahoma" w:cs="Tahoma"/>
                <w:iCs/>
                <w:color w:val="333333"/>
                <w:sz w:val="14"/>
                <w:szCs w:val="14"/>
                <w:lang w:eastAsia="it-IT"/>
              </w:rPr>
              <w:t>Copyright © 2023, AIDIC Servizi S.r.l.</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978-88-95608-98-3</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0977DE9B" w14:textId="77777777" w:rsidR="00325766" w:rsidRDefault="00000000">
      <w:pPr>
        <w:pStyle w:val="CETTitle"/>
      </w:pPr>
      <w:r>
        <w:t>Particle Size Characterization through Bed Permeability Tests</w:t>
      </w:r>
    </w:p>
    <w:p w14:paraId="56A3852C" w14:textId="77777777" w:rsidR="00325766" w:rsidRDefault="00000000">
      <w:pPr>
        <w:pStyle w:val="CETAuthors"/>
        <w:rPr>
          <w:lang w:val="it-IT"/>
        </w:rPr>
      </w:pPr>
      <w:r>
        <w:rPr>
          <w:lang w:val="it-IT"/>
        </w:rPr>
        <w:t>Andrea C. Santomaso*, Elisabetta Carazzai, Silvia Volpato</w:t>
      </w:r>
    </w:p>
    <w:p w14:paraId="5A38D0E9" w14:textId="77777777" w:rsidR="00325766" w:rsidRDefault="00000000">
      <w:pPr>
        <w:pStyle w:val="CETAddress"/>
        <w:rPr>
          <w:lang w:val="it-IT"/>
        </w:rPr>
      </w:pPr>
      <w:r>
        <w:rPr>
          <w:lang w:val="it-IT"/>
        </w:rPr>
        <w:t>APTLab – Advanced Particle Technology Laboratory – Dipartimento di Ingegneria Industriale, Università di Padova – via Marzolo 9, 35131 Padova (Italia)</w:t>
      </w:r>
    </w:p>
    <w:p w14:paraId="50B35203" w14:textId="77777777" w:rsidR="00325766" w:rsidRDefault="00000000">
      <w:pPr>
        <w:pStyle w:val="CETemail"/>
      </w:pPr>
      <w:r>
        <w:t>corresponding author: andrea.santomaso@unipd.it</w:t>
      </w:r>
    </w:p>
    <w:p w14:paraId="0A5E0EFD" w14:textId="75D29189" w:rsidR="00325766" w:rsidRDefault="00000000">
      <w:pPr>
        <w:pStyle w:val="CETBodytext"/>
      </w:pPr>
      <w:r>
        <w:rPr>
          <w:lang w:val="en-GB"/>
        </w:rPr>
        <w:t xml:space="preserve">This is an experimental study aiming at understanding the relationship between particle diameters measured with different analytical techniques: optical analysis (microscopy aided by computer image analysis), laser light scattering and permeability tests. Permeability test can provide an equivalent mean diameter that can be used in several cases where particle specific surface is the relevant property to focus on (for example problems related to particle reactivity or involving interactions with fluids as in pneumatic transport or in fluidization). This diameter can be determined by measuring the pressure loss in a granular bed of known porosity at various gas flow rate and by using a proper mathematical model (e.g., Darcy or Karman-Kozeny models) to correlate them. Four different materials (glass </w:t>
      </w:r>
      <w:r w:rsidR="00727E2D">
        <w:rPr>
          <w:lang w:val="en-GB"/>
        </w:rPr>
        <w:t>beads</w:t>
      </w:r>
      <w:r>
        <w:rPr>
          <w:lang w:val="en-GB"/>
        </w:rPr>
        <w:t>, granulated microcrystalline cellulose, MCC, sodium chloride crystals, tetraacetylethylenediamine powders, TAED) in the size range 700-1000 µm (by sieve analysis) were analysed. A strong discrepancy was observed by calculating the Sauter diameters from image analysis (and laser light scattering) and those from permeability measurements. The introduction of a function considering the pores morphology and connectivity was able to reconcile the size measured with the three different methods.</w:t>
      </w:r>
    </w:p>
    <w:p w14:paraId="5571C7D7" w14:textId="77777777" w:rsidR="00325766" w:rsidRDefault="00000000">
      <w:pPr>
        <w:pStyle w:val="CETHeading1"/>
        <w:numPr>
          <w:ilvl w:val="1"/>
          <w:numId w:val="1"/>
        </w:numPr>
        <w:rPr>
          <w:lang w:val="en-GB"/>
        </w:rPr>
      </w:pPr>
      <w:r>
        <w:rPr>
          <w:lang w:val="en-GB"/>
        </w:rPr>
        <w:t>Introduction</w:t>
      </w:r>
    </w:p>
    <w:p w14:paraId="090C6B56" w14:textId="16B58410" w:rsidR="00325766" w:rsidRDefault="00000000" w:rsidP="003F1BC4">
      <w:pPr>
        <w:pStyle w:val="Standard"/>
        <w:spacing w:line="276" w:lineRule="auto"/>
        <w:rPr>
          <w:szCs w:val="18"/>
        </w:rPr>
      </w:pPr>
      <w:r>
        <w:rPr>
          <w:szCs w:val="18"/>
        </w:rPr>
        <w:t>Particle size definition is strongly dependent on the analytical method used to characterize the size. The use of equivalent particle diameters is normal in Particle Technology and the choice of one equivalent diameter rather than another should depend only on the specific application we are measuring the size for. However, the availability of a specific analytical instrument can determine the use of an incorrect equivalent diameter. Under this premise it can be useful to find some rule of equivalency between different equivalent particle diameters measured with different techniques.</w:t>
      </w:r>
      <w:r w:rsidR="00B53455">
        <w:rPr>
          <w:szCs w:val="18"/>
        </w:rPr>
        <w:t xml:space="preserve"> The results of this study can be of interest for processes involving packed or fluidized beds </w:t>
      </w:r>
      <w:r w:rsidR="00022660">
        <w:rPr>
          <w:szCs w:val="18"/>
        </w:rPr>
        <w:t xml:space="preserve">or </w:t>
      </w:r>
      <w:r w:rsidR="00B53455">
        <w:rPr>
          <w:szCs w:val="18"/>
        </w:rPr>
        <w:t>where particle size is relevant</w:t>
      </w:r>
      <w:r w:rsidR="00022660">
        <w:rPr>
          <w:szCs w:val="18"/>
        </w:rPr>
        <w:t xml:space="preserve"> (Tirapelle et al., 2021)</w:t>
      </w:r>
      <w:r w:rsidR="00B53455">
        <w:rPr>
          <w:szCs w:val="18"/>
        </w:rPr>
        <w:t>.</w:t>
      </w:r>
    </w:p>
    <w:p w14:paraId="3C7E68C2" w14:textId="2538B164" w:rsidR="00325766" w:rsidRDefault="00000000">
      <w:pPr>
        <w:pStyle w:val="Standard"/>
        <w:spacing w:line="276" w:lineRule="auto"/>
        <w:rPr>
          <w:szCs w:val="18"/>
        </w:rPr>
      </w:pPr>
      <w:r>
        <w:rPr>
          <w:szCs w:val="18"/>
        </w:rPr>
        <w:t>Studies on the flow of a viscous fluid through granular and porous media have mainly led to the derivation of macroscopic laws for fluid flow. The rate at which an interstitial fluid migrates through a granular and/or porous material under the effect of a pressure gradient is determined by permeability. This topic was first studied by Darcy who, for a creeping flow of a single-phase viscous fluid, experimentally derived the following phenomenological law:</w:t>
      </w:r>
    </w:p>
    <w:tbl>
      <w:tblPr>
        <w:tblW w:w="5000" w:type="pct"/>
        <w:tblInd w:w="109" w:type="dxa"/>
        <w:tblLayout w:type="fixed"/>
        <w:tblLook w:val="04A0" w:firstRow="1" w:lastRow="0" w:firstColumn="1" w:lastColumn="0" w:noHBand="0" w:noVBand="1"/>
      </w:tblPr>
      <w:tblGrid>
        <w:gridCol w:w="8179"/>
        <w:gridCol w:w="824"/>
      </w:tblGrid>
      <w:tr w:rsidR="00325766" w14:paraId="3CB3151E" w14:textId="77777777">
        <w:tc>
          <w:tcPr>
            <w:tcW w:w="7982" w:type="dxa"/>
            <w:vAlign w:val="center"/>
          </w:tcPr>
          <w:p w14:paraId="58859BE3" w14:textId="77777777" w:rsidR="00325766" w:rsidRDefault="00000000">
            <w:pPr>
              <w:pStyle w:val="CETEquation"/>
              <w:widowControl w:val="0"/>
            </w:pPr>
            <m:oMathPara>
              <m:oMathParaPr>
                <m:jc m:val="left"/>
              </m:oMathParaPr>
              <m:oMath>
                <m:f>
                  <m:fPr>
                    <m:ctrlPr>
                      <w:rPr>
                        <w:rFonts w:ascii="Cambria Math" w:hAnsi="Cambria Math"/>
                      </w:rPr>
                    </m:ctrlPr>
                  </m:fPr>
                  <m:num>
                    <m:r>
                      <w:rPr>
                        <w:rFonts w:ascii="Cambria Math" w:hAnsi="Cambria Math"/>
                      </w:rPr>
                      <m:t>ΔP</m:t>
                    </m:r>
                  </m:num>
                  <m:den>
                    <m:r>
                      <w:rPr>
                        <w:rFonts w:ascii="Cambria Math" w:hAnsi="Cambria Math"/>
                      </w:rPr>
                      <m:t>L</m:t>
                    </m:r>
                  </m:den>
                </m:f>
                <m:r>
                  <w:rPr>
                    <w:rFonts w:ascii="Cambria Math" w:hAnsi="Cambria Math"/>
                  </w:rPr>
                  <m:t>=</m:t>
                </m:r>
                <m:f>
                  <m:fPr>
                    <m:ctrlPr>
                      <w:rPr>
                        <w:rFonts w:ascii="Cambria Math" w:hAnsi="Cambria Math"/>
                      </w:rPr>
                    </m:ctrlPr>
                  </m:fPr>
                  <m:num>
                    <m:r>
                      <w:rPr>
                        <w:rFonts w:ascii="Cambria Math" w:hAnsi="Cambria Math"/>
                      </w:rPr>
                      <m:t>η</m:t>
                    </m:r>
                  </m:num>
                  <m:den>
                    <m:r>
                      <w:rPr>
                        <w:rFonts w:ascii="Cambria Math" w:hAnsi="Cambria Math"/>
                      </w:rPr>
                      <m:t>k</m:t>
                    </m:r>
                  </m:den>
                </m:f>
                <m:sSub>
                  <m:sSubPr>
                    <m:ctrlPr>
                      <w:rPr>
                        <w:rFonts w:ascii="Cambria Math" w:hAnsi="Cambria Math"/>
                      </w:rPr>
                    </m:ctrlPr>
                  </m:sSubPr>
                  <m:e>
                    <m:r>
                      <w:rPr>
                        <w:rFonts w:ascii="Cambria Math" w:hAnsi="Cambria Math"/>
                      </w:rPr>
                      <m:t>u</m:t>
                    </m:r>
                  </m:e>
                  <m:sub>
                    <m:r>
                      <w:rPr>
                        <w:rFonts w:ascii="Cambria Math" w:hAnsi="Cambria Math"/>
                      </w:rPr>
                      <m:t>s</m:t>
                    </m:r>
                  </m:sub>
                </m:sSub>
              </m:oMath>
            </m:oMathPara>
          </w:p>
        </w:tc>
        <w:tc>
          <w:tcPr>
            <w:tcW w:w="804" w:type="dxa"/>
            <w:vAlign w:val="center"/>
          </w:tcPr>
          <w:p w14:paraId="18BA4343" w14:textId="77777777" w:rsidR="00325766" w:rsidRDefault="00000000">
            <w:pPr>
              <w:pStyle w:val="CETEquation"/>
              <w:widowControl w:val="0"/>
              <w:jc w:val="right"/>
            </w:pPr>
            <w:r>
              <w:t>(1)</w:t>
            </w:r>
          </w:p>
        </w:tc>
      </w:tr>
    </w:tbl>
    <w:p w14:paraId="3D3DE715" w14:textId="77777777" w:rsidR="00325766" w:rsidRDefault="00000000">
      <w:pPr>
        <w:pStyle w:val="Standard"/>
        <w:spacing w:line="276" w:lineRule="auto"/>
      </w:pPr>
      <w:r>
        <w:rPr>
          <w:szCs w:val="18"/>
        </w:rPr>
        <w:tab/>
        <w:t xml:space="preserve">This law is known to hold for a wide variety of natural granular media ranging from loose sand to tight granite rocks. Here </w:t>
      </w:r>
      <w:r>
        <w:rPr>
          <w:i/>
          <w:iCs/>
          <w:szCs w:val="18"/>
        </w:rPr>
        <w:t>u</w:t>
      </w:r>
      <w:r>
        <w:rPr>
          <w:szCs w:val="18"/>
          <w:vertAlign w:val="subscript"/>
        </w:rPr>
        <w:t>s</w:t>
      </w:r>
      <w:r>
        <w:rPr>
          <w:szCs w:val="18"/>
        </w:rPr>
        <w:t xml:space="preserve"> is the superficial velocity of the fluid through the porous medium, </w:t>
      </w:r>
      <w:r>
        <w:rPr>
          <w:i/>
          <w:iCs/>
          <w:szCs w:val="18"/>
        </w:rPr>
        <w:t>η</w:t>
      </w:r>
      <w:r>
        <w:rPr>
          <w:szCs w:val="18"/>
        </w:rPr>
        <w:t xml:space="preserve"> is the viscosity of the fluid, and </w:t>
      </w:r>
      <w:r>
        <w:rPr>
          <w:i/>
          <w:iCs/>
          <w:szCs w:val="18"/>
        </w:rPr>
        <w:t>P</w:t>
      </w:r>
      <w:r>
        <w:rPr>
          <w:szCs w:val="18"/>
        </w:rPr>
        <w:t xml:space="preserve"> is the fluid pressure. The superficial velocity </w:t>
      </w:r>
      <w:r>
        <w:rPr>
          <w:i/>
          <w:iCs/>
          <w:szCs w:val="18"/>
        </w:rPr>
        <w:t>u</w:t>
      </w:r>
      <w:r>
        <w:rPr>
          <w:szCs w:val="18"/>
          <w:vertAlign w:val="subscript"/>
        </w:rPr>
        <w:t>s</w:t>
      </w:r>
      <w:r>
        <w:rPr>
          <w:szCs w:val="18"/>
        </w:rPr>
        <w:t xml:space="preserve"> has not to be confused with the interstitial velocity </w:t>
      </w:r>
      <w:r>
        <w:rPr>
          <w:i/>
          <w:iCs/>
          <w:szCs w:val="18"/>
        </w:rPr>
        <w:t>u</w:t>
      </w:r>
      <w:r>
        <w:rPr>
          <w:szCs w:val="18"/>
          <w:vertAlign w:val="subscript"/>
        </w:rPr>
        <w:t>i</w:t>
      </w:r>
      <w:r>
        <w:rPr>
          <w:szCs w:val="18"/>
        </w:rPr>
        <w:t xml:space="preserve"> defined as the volumetric flow rate divided by the cross-sectional area of the voids. So,</w:t>
      </w:r>
      <w:r>
        <w:rPr>
          <w:szCs w:val="18"/>
        </w:rPr>
        <w:tab/>
      </w:r>
      <w:r>
        <w:rPr>
          <w:szCs w:val="18"/>
        </w:rPr>
        <w:tab/>
      </w:r>
      <w:r>
        <w:rPr>
          <w:szCs w:val="18"/>
        </w:rPr>
        <w:tab/>
      </w:r>
    </w:p>
    <w:tbl>
      <w:tblPr>
        <w:tblW w:w="5000" w:type="pct"/>
        <w:tblInd w:w="109" w:type="dxa"/>
        <w:tblLayout w:type="fixed"/>
        <w:tblLook w:val="04A0" w:firstRow="1" w:lastRow="0" w:firstColumn="1" w:lastColumn="0" w:noHBand="0" w:noVBand="1"/>
      </w:tblPr>
      <w:tblGrid>
        <w:gridCol w:w="8179"/>
        <w:gridCol w:w="824"/>
      </w:tblGrid>
      <w:tr w:rsidR="00325766" w14:paraId="710BC1CD" w14:textId="77777777">
        <w:tc>
          <w:tcPr>
            <w:tcW w:w="7982" w:type="dxa"/>
            <w:vAlign w:val="center"/>
          </w:tcPr>
          <w:p w14:paraId="0AD6D98A" w14:textId="77777777" w:rsidR="00325766" w:rsidRDefault="00000000">
            <w:pPr>
              <w:pStyle w:val="CETEquation"/>
              <w:widowControl w:val="0"/>
            </w:pPr>
            <m:oMathPara>
              <m:oMathParaPr>
                <m:jc m:val="left"/>
              </m:oMathParaPr>
              <m:oMath>
                <m:sSub>
                  <m:sSubPr>
                    <m:ctrlPr>
                      <w:rPr>
                        <w:rFonts w:ascii="Cambria Math" w:hAnsi="Cambria Math"/>
                      </w:rPr>
                    </m:ctrlPr>
                  </m:sSubPr>
                  <m:e>
                    <m:r>
                      <w:rPr>
                        <w:rFonts w:ascii="Cambria Math" w:hAnsi="Cambria Math"/>
                      </w:rPr>
                      <m:t>u</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r>
                  <w:rPr>
                    <w:rFonts w:ascii="Cambria Math" w:hAnsi="Cambria Math"/>
                  </w:rPr>
                  <m:t>⋅ε</m:t>
                </m:r>
              </m:oMath>
            </m:oMathPara>
          </w:p>
        </w:tc>
        <w:tc>
          <w:tcPr>
            <w:tcW w:w="804" w:type="dxa"/>
            <w:vAlign w:val="center"/>
          </w:tcPr>
          <w:p w14:paraId="6F642C7E" w14:textId="77777777" w:rsidR="00325766" w:rsidRDefault="00000000">
            <w:pPr>
              <w:pStyle w:val="CETEquation"/>
              <w:widowControl w:val="0"/>
              <w:jc w:val="right"/>
            </w:pPr>
            <w:r>
              <w:t>(2)</w:t>
            </w:r>
          </w:p>
        </w:tc>
      </w:tr>
    </w:tbl>
    <w:p w14:paraId="6B16C231" w14:textId="31232339" w:rsidR="00325766" w:rsidRDefault="00000000">
      <w:pPr>
        <w:pStyle w:val="Standard"/>
        <w:spacing w:line="276" w:lineRule="auto"/>
      </w:pPr>
      <w:r>
        <w:rPr>
          <w:szCs w:val="18"/>
        </w:rPr>
        <w:t xml:space="preserve">where </w:t>
      </w:r>
      <w:r>
        <w:rPr>
          <w:i/>
          <w:iCs/>
          <w:szCs w:val="18"/>
        </w:rPr>
        <w:t>ε</w:t>
      </w:r>
      <w:r>
        <w:rPr>
          <w:szCs w:val="18"/>
        </w:rPr>
        <w:t xml:space="preserve"> is the void fraction or </w:t>
      </w:r>
      <w:r w:rsidR="0084559D">
        <w:rPr>
          <w:szCs w:val="18"/>
        </w:rPr>
        <w:t xml:space="preserve">bulk </w:t>
      </w:r>
      <w:r>
        <w:rPr>
          <w:szCs w:val="18"/>
        </w:rPr>
        <w:t xml:space="preserve">porosity. The permeability coefficient, </w:t>
      </w:r>
      <w:r>
        <w:rPr>
          <w:i/>
          <w:iCs/>
          <w:szCs w:val="18"/>
        </w:rPr>
        <w:t>k</w:t>
      </w:r>
      <w:r>
        <w:rPr>
          <w:szCs w:val="18"/>
        </w:rPr>
        <w:t>, is a measure of fluid conductivity through the packed medium.</w:t>
      </w:r>
    </w:p>
    <w:p w14:paraId="6324C138" w14:textId="00C62381" w:rsidR="00325766" w:rsidRDefault="00000000">
      <w:pPr>
        <w:pStyle w:val="Standard"/>
        <w:spacing w:line="276" w:lineRule="auto"/>
      </w:pPr>
      <w:r>
        <w:rPr>
          <w:szCs w:val="18"/>
        </w:rPr>
        <w:lastRenderedPageBreak/>
        <w:t xml:space="preserve">Eq(1) was put on a firmer theoretical basis for spherical monosized particles of diameter </w:t>
      </w:r>
      <w:r>
        <w:rPr>
          <w:i/>
          <w:iCs/>
          <w:szCs w:val="18"/>
        </w:rPr>
        <w:t>x</w:t>
      </w:r>
      <w:r>
        <w:rPr>
          <w:szCs w:val="18"/>
        </w:rPr>
        <w:t xml:space="preserve"> by Kozeny and Carman who derived the result:</w:t>
      </w:r>
      <w:r>
        <w:rPr>
          <w:szCs w:val="18"/>
        </w:rPr>
        <w:tab/>
      </w:r>
      <w:r>
        <w:rPr>
          <w:szCs w:val="18"/>
        </w:rPr>
        <w:tab/>
      </w:r>
      <w:r>
        <w:rPr>
          <w:szCs w:val="18"/>
        </w:rPr>
        <w:tab/>
      </w:r>
    </w:p>
    <w:tbl>
      <w:tblPr>
        <w:tblW w:w="5000" w:type="pct"/>
        <w:tblInd w:w="109" w:type="dxa"/>
        <w:tblLayout w:type="fixed"/>
        <w:tblLook w:val="04A0" w:firstRow="1" w:lastRow="0" w:firstColumn="1" w:lastColumn="0" w:noHBand="0" w:noVBand="1"/>
      </w:tblPr>
      <w:tblGrid>
        <w:gridCol w:w="8179"/>
        <w:gridCol w:w="824"/>
      </w:tblGrid>
      <w:tr w:rsidR="00325766" w14:paraId="38495A17" w14:textId="77777777">
        <w:tc>
          <w:tcPr>
            <w:tcW w:w="7982" w:type="dxa"/>
            <w:vAlign w:val="center"/>
          </w:tcPr>
          <w:p w14:paraId="14155F15" w14:textId="77777777" w:rsidR="00325766" w:rsidRDefault="00000000">
            <w:pPr>
              <w:pStyle w:val="CETEquation"/>
              <w:widowControl w:val="0"/>
            </w:pPr>
            <m:oMathPara>
              <m:oMathParaPr>
                <m:jc m:val="left"/>
              </m:oMathParaPr>
              <m:oMath>
                <m:f>
                  <m:fPr>
                    <m:ctrlPr>
                      <w:rPr>
                        <w:rFonts w:ascii="Cambria Math" w:hAnsi="Cambria Math"/>
                      </w:rPr>
                    </m:ctrlPr>
                  </m:fPr>
                  <m:num>
                    <m:r>
                      <w:rPr>
                        <w:rFonts w:ascii="Cambria Math" w:hAnsi="Cambria Math"/>
                      </w:rPr>
                      <m:t>ΔP</m:t>
                    </m:r>
                  </m:num>
                  <m:den>
                    <m:r>
                      <w:rPr>
                        <w:rFonts w:ascii="Cambria Math" w:hAnsi="Cambria Math"/>
                      </w:rPr>
                      <m:t>L</m:t>
                    </m:r>
                  </m:den>
                </m:f>
                <m:r>
                  <w:rPr>
                    <w:rFonts w:ascii="Cambria Math" w:hAnsi="Cambria Math"/>
                  </w:rPr>
                  <m:t>=180⋅</m:t>
                </m:r>
                <m:f>
                  <m:fPr>
                    <m:ctrlPr>
                      <w:rPr>
                        <w:rFonts w:ascii="Cambria Math" w:hAnsi="Cambria Math"/>
                      </w:rPr>
                    </m:ctrlPr>
                  </m:fPr>
                  <m:num>
                    <m:r>
                      <w:rPr>
                        <w:rFonts w:ascii="Cambria Math" w:hAnsi="Cambria Math"/>
                      </w:rPr>
                      <m:t>η</m:t>
                    </m:r>
                  </m:num>
                  <m:den>
                    <m:sSup>
                      <m:sSupPr>
                        <m:ctrlPr>
                          <w:rPr>
                            <w:rFonts w:ascii="Cambria Math" w:hAnsi="Cambria Math"/>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1-ε</m:t>
                            </m:r>
                          </m:e>
                        </m:d>
                      </m:e>
                      <m:sup>
                        <m:r>
                          <w:rPr>
                            <w:rFonts w:ascii="Cambria Math" w:hAnsi="Cambria Math"/>
                          </w:rPr>
                          <m:t>2</m:t>
                        </m:r>
                      </m:sup>
                    </m:sSup>
                  </m:num>
                  <m:den>
                    <m:sSup>
                      <m:sSupPr>
                        <m:ctrlPr>
                          <w:rPr>
                            <w:rFonts w:ascii="Cambria Math" w:hAnsi="Cambria Math"/>
                          </w:rPr>
                        </m:ctrlPr>
                      </m:sSupPr>
                      <m:e>
                        <m:r>
                          <w:rPr>
                            <w:rFonts w:ascii="Cambria Math" w:hAnsi="Cambria Math"/>
                          </w:rPr>
                          <m:t>ε</m:t>
                        </m:r>
                      </m:e>
                      <m:sup>
                        <m:r>
                          <w:rPr>
                            <w:rFonts w:ascii="Cambria Math" w:hAnsi="Cambria Math"/>
                          </w:rPr>
                          <m:t>3</m:t>
                        </m:r>
                      </m:sup>
                    </m:sSup>
                  </m:den>
                </m:f>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s</m:t>
                    </m:r>
                  </m:sub>
                </m:sSub>
              </m:oMath>
            </m:oMathPara>
          </w:p>
        </w:tc>
        <w:tc>
          <w:tcPr>
            <w:tcW w:w="804" w:type="dxa"/>
            <w:vAlign w:val="center"/>
          </w:tcPr>
          <w:p w14:paraId="12ED6506" w14:textId="77777777" w:rsidR="00325766" w:rsidRDefault="00000000">
            <w:pPr>
              <w:pStyle w:val="CETEquation"/>
              <w:widowControl w:val="0"/>
              <w:jc w:val="right"/>
            </w:pPr>
            <w:r>
              <w:t>(3)</w:t>
            </w:r>
          </w:p>
        </w:tc>
      </w:tr>
    </w:tbl>
    <w:p w14:paraId="7112060F" w14:textId="77777777" w:rsidR="00325766" w:rsidRDefault="00000000">
      <w:pPr>
        <w:pStyle w:val="Standard"/>
        <w:spacing w:line="276" w:lineRule="auto"/>
        <w:rPr>
          <w:szCs w:val="18"/>
        </w:rPr>
      </w:pPr>
      <w:r>
        <w:rPr>
          <w:szCs w:val="18"/>
        </w:rPr>
        <w:t xml:space="preserve">so that from Eq(1) and Eq(3): </w:t>
      </w:r>
      <w:r>
        <w:rPr>
          <w:szCs w:val="18"/>
        </w:rPr>
        <w:tab/>
      </w:r>
      <w:r>
        <w:rPr>
          <w:szCs w:val="18"/>
        </w:rPr>
        <w:tab/>
      </w:r>
    </w:p>
    <w:tbl>
      <w:tblPr>
        <w:tblW w:w="5000" w:type="pct"/>
        <w:tblInd w:w="109" w:type="dxa"/>
        <w:tblLayout w:type="fixed"/>
        <w:tblLook w:val="04A0" w:firstRow="1" w:lastRow="0" w:firstColumn="1" w:lastColumn="0" w:noHBand="0" w:noVBand="1"/>
      </w:tblPr>
      <w:tblGrid>
        <w:gridCol w:w="8179"/>
        <w:gridCol w:w="824"/>
      </w:tblGrid>
      <w:tr w:rsidR="00325766" w14:paraId="4FA407BD" w14:textId="77777777">
        <w:tc>
          <w:tcPr>
            <w:tcW w:w="7982" w:type="dxa"/>
            <w:vAlign w:val="center"/>
          </w:tcPr>
          <w:p w14:paraId="5B7F6841" w14:textId="77777777" w:rsidR="00325766" w:rsidRDefault="00000000">
            <w:pPr>
              <w:pStyle w:val="CETEquation"/>
              <w:widowControl w:val="0"/>
            </w:pPr>
            <m:oMathPara>
              <m:oMathParaPr>
                <m:jc m:val="left"/>
              </m:oMathParaPr>
              <m:oMath>
                <m:r>
                  <w:rPr>
                    <w:rFonts w:ascii="Cambria Math" w:hAnsi="Cambria Math"/>
                  </w:rPr>
                  <m:t>k=</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180</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ε</m:t>
                        </m:r>
                      </m:e>
                      <m:sup>
                        <m:r>
                          <w:rPr>
                            <w:rFonts w:ascii="Cambria Math" w:hAnsi="Cambria Math"/>
                          </w:rPr>
                          <m:t>3</m:t>
                        </m:r>
                      </m:sup>
                    </m:sSup>
                  </m:num>
                  <m:den>
                    <m:sSup>
                      <m:sSupPr>
                        <m:ctrlPr>
                          <w:rPr>
                            <w:rFonts w:ascii="Cambria Math" w:hAnsi="Cambria Math"/>
                          </w:rPr>
                        </m:ctrlPr>
                      </m:sSupPr>
                      <m:e>
                        <m:d>
                          <m:dPr>
                            <m:ctrlPr>
                              <w:rPr>
                                <w:rFonts w:ascii="Cambria Math" w:hAnsi="Cambria Math"/>
                              </w:rPr>
                            </m:ctrlPr>
                          </m:dPr>
                          <m:e>
                            <m:r>
                              <w:rPr>
                                <w:rFonts w:ascii="Cambria Math" w:hAnsi="Cambria Math"/>
                              </w:rPr>
                              <m:t>1-ε</m:t>
                            </m:r>
                          </m:e>
                        </m:d>
                      </m:e>
                      <m:sup>
                        <m:r>
                          <w:rPr>
                            <w:rFonts w:ascii="Cambria Math" w:hAnsi="Cambria Math"/>
                          </w:rPr>
                          <m:t>2</m:t>
                        </m:r>
                      </m:sup>
                    </m:sSup>
                  </m:den>
                </m:f>
              </m:oMath>
            </m:oMathPara>
          </w:p>
        </w:tc>
        <w:tc>
          <w:tcPr>
            <w:tcW w:w="804" w:type="dxa"/>
            <w:vAlign w:val="center"/>
          </w:tcPr>
          <w:p w14:paraId="41CF7ABA" w14:textId="77777777" w:rsidR="00325766" w:rsidRDefault="00000000">
            <w:pPr>
              <w:pStyle w:val="CETEquation"/>
              <w:widowControl w:val="0"/>
              <w:jc w:val="right"/>
            </w:pPr>
            <w:r>
              <w:t>(4)</w:t>
            </w:r>
          </w:p>
        </w:tc>
      </w:tr>
    </w:tbl>
    <w:p w14:paraId="62C9B327" w14:textId="77777777" w:rsidR="00325766" w:rsidRDefault="00000000">
      <w:pPr>
        <w:pStyle w:val="Standard"/>
        <w:spacing w:line="276" w:lineRule="auto"/>
      </w:pPr>
      <w:r>
        <w:rPr>
          <w:szCs w:val="18"/>
        </w:rPr>
        <w:tab/>
        <w:t xml:space="preserve">For non monosized spherical particles the average Sauter diameter </w:t>
      </w:r>
      <w:r>
        <w:rPr>
          <w:i/>
          <w:iCs/>
          <w:szCs w:val="18"/>
        </w:rPr>
        <w:t>x</w:t>
      </w:r>
      <w:r>
        <w:rPr>
          <w:szCs w:val="18"/>
          <w:vertAlign w:val="subscript"/>
        </w:rPr>
        <w:t>32</w:t>
      </w:r>
      <w:r>
        <w:rPr>
          <w:szCs w:val="18"/>
        </w:rPr>
        <w:t xml:space="preserve"> must be used instead of </w:t>
      </w:r>
      <w:r>
        <w:rPr>
          <w:i/>
          <w:iCs/>
          <w:szCs w:val="18"/>
        </w:rPr>
        <w:t>x</w:t>
      </w:r>
      <w:r>
        <w:rPr>
          <w:szCs w:val="18"/>
        </w:rPr>
        <w:t>:</w:t>
      </w:r>
      <w:r>
        <w:rPr>
          <w:szCs w:val="18"/>
        </w:rPr>
        <w:tab/>
      </w:r>
      <w:r>
        <w:rPr>
          <w:szCs w:val="18"/>
        </w:rPr>
        <w:tab/>
      </w:r>
    </w:p>
    <w:tbl>
      <w:tblPr>
        <w:tblW w:w="5000" w:type="pct"/>
        <w:tblInd w:w="109" w:type="dxa"/>
        <w:tblLayout w:type="fixed"/>
        <w:tblLook w:val="04A0" w:firstRow="1" w:lastRow="0" w:firstColumn="1" w:lastColumn="0" w:noHBand="0" w:noVBand="1"/>
      </w:tblPr>
      <w:tblGrid>
        <w:gridCol w:w="8179"/>
        <w:gridCol w:w="824"/>
      </w:tblGrid>
      <w:tr w:rsidR="00325766" w14:paraId="5AAFA56A" w14:textId="77777777">
        <w:tc>
          <w:tcPr>
            <w:tcW w:w="7982" w:type="dxa"/>
            <w:vAlign w:val="center"/>
          </w:tcPr>
          <w:p w14:paraId="6EEAC2AC" w14:textId="77777777" w:rsidR="00325766" w:rsidRDefault="00000000">
            <w:pPr>
              <w:pStyle w:val="CETEquation"/>
              <w:widowControl w:val="0"/>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32</m:t>
                    </m:r>
                  </m:sub>
                </m:sSub>
                <m:r>
                  <w:rPr>
                    <w:rFonts w:ascii="Cambria Math"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3</m:t>
                        </m:r>
                      </m:sup>
                    </m:sSubSup>
                  </m:num>
                  <m:den>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2</m:t>
                        </m:r>
                      </m:sup>
                    </m:sSubSup>
                  </m:den>
                </m:f>
              </m:oMath>
            </m:oMathPara>
          </w:p>
        </w:tc>
        <w:tc>
          <w:tcPr>
            <w:tcW w:w="804" w:type="dxa"/>
            <w:vAlign w:val="center"/>
          </w:tcPr>
          <w:p w14:paraId="3F3B22B7" w14:textId="77777777" w:rsidR="00325766" w:rsidRDefault="00000000">
            <w:pPr>
              <w:pStyle w:val="CETEquation"/>
              <w:widowControl w:val="0"/>
              <w:jc w:val="right"/>
            </w:pPr>
            <w:r>
              <w:t>(5)</w:t>
            </w:r>
          </w:p>
        </w:tc>
      </w:tr>
    </w:tbl>
    <w:p w14:paraId="1F69B2AB" w14:textId="77777777" w:rsidR="00325766" w:rsidRDefault="00000000">
      <w:pPr>
        <w:pStyle w:val="Standard"/>
        <w:spacing w:line="276" w:lineRule="auto"/>
      </w:pPr>
      <w:r>
        <w:rPr>
          <w:szCs w:val="18"/>
        </w:rPr>
        <w:t xml:space="preserve">and for non-spherical particles the surface to volume equivalent diameter, </w:t>
      </w:r>
      <w:r>
        <w:rPr>
          <w:i/>
          <w:iCs/>
          <w:szCs w:val="18"/>
        </w:rPr>
        <w:t>x</w:t>
      </w:r>
      <w:r>
        <w:rPr>
          <w:szCs w:val="18"/>
          <w:vertAlign w:val="subscript"/>
        </w:rPr>
        <w:t>sv</w:t>
      </w:r>
      <w:r>
        <w:rPr>
          <w:szCs w:val="18"/>
        </w:rPr>
        <w:t xml:space="preserve">, has to be used in the calculation of </w:t>
      </w:r>
      <w:r>
        <w:rPr>
          <w:i/>
          <w:iCs/>
          <w:szCs w:val="18"/>
        </w:rPr>
        <w:t>x</w:t>
      </w:r>
      <w:r>
        <w:rPr>
          <w:szCs w:val="18"/>
          <w:vertAlign w:val="subscript"/>
        </w:rPr>
        <w:t>32</w:t>
      </w:r>
      <w:r>
        <w:rPr>
          <w:szCs w:val="18"/>
        </w:rPr>
        <w:t xml:space="preserve">. If different equivalent diameters are available (for example volume equivalent diameter, </w:t>
      </w:r>
      <w:r>
        <w:rPr>
          <w:i/>
          <w:iCs/>
          <w:szCs w:val="18"/>
        </w:rPr>
        <w:t>x</w:t>
      </w:r>
      <w:r>
        <w:rPr>
          <w:szCs w:val="18"/>
          <w:vertAlign w:val="subscript"/>
        </w:rPr>
        <w:t>v</w:t>
      </w:r>
      <w:r>
        <w:rPr>
          <w:szCs w:val="18"/>
        </w:rPr>
        <w:t xml:space="preserve">, or surface equivalent diameter, </w:t>
      </w:r>
      <w:r>
        <w:rPr>
          <w:i/>
          <w:iCs/>
          <w:szCs w:val="18"/>
        </w:rPr>
        <w:t>x</w:t>
      </w:r>
      <w:r>
        <w:rPr>
          <w:szCs w:val="18"/>
          <w:vertAlign w:val="subscript"/>
        </w:rPr>
        <w:t>s</w:t>
      </w:r>
      <w:r>
        <w:rPr>
          <w:szCs w:val="18"/>
        </w:rPr>
        <w:t xml:space="preserve">) a proper correction with particle sphericity, </w:t>
      </w:r>
      <w:r>
        <w:rPr>
          <w:i/>
          <w:iCs/>
          <w:szCs w:val="18"/>
        </w:rPr>
        <w:t>ϕ</w:t>
      </w:r>
      <w:r>
        <w:rPr>
          <w:szCs w:val="18"/>
          <w:vertAlign w:val="subscript"/>
        </w:rPr>
        <w:t>s</w:t>
      </w:r>
      <w:r>
        <w:rPr>
          <w:szCs w:val="18"/>
        </w:rPr>
        <w:t>, needs to be used.</w:t>
      </w:r>
    </w:p>
    <w:p w14:paraId="34F817D3" w14:textId="112D0AA6" w:rsidR="00325766" w:rsidRDefault="00000000">
      <w:pPr>
        <w:pStyle w:val="Standard"/>
        <w:spacing w:line="276" w:lineRule="auto"/>
      </w:pPr>
      <w:r>
        <w:rPr>
          <w:szCs w:val="18"/>
        </w:rPr>
        <w:t xml:space="preserve">The prediction of the permeability </w:t>
      </w:r>
      <w:r>
        <w:rPr>
          <w:i/>
          <w:iCs/>
          <w:szCs w:val="18"/>
        </w:rPr>
        <w:t>k</w:t>
      </w:r>
      <w:r>
        <w:rPr>
          <w:szCs w:val="18"/>
        </w:rPr>
        <w:t xml:space="preserve"> for various granular media has been a long-standing problem of great practical relevance. Several different experimental methods have been used in the studies from rather straightforward measurements to more sophisticated approaches, which utilize, e.g., mercury porosimetry, electrical conductivity, nuclear magnetic resonance, and acoustic properties of the medium. Theoretical work has often involved models with simplified pore geometries, which allows an analytical solution of the microscopic flow patterns. More sophisticated models based on statistical methods or on numerical simulations have also been used. However, due to the extremely complex nature of the phenomena involved, many basic questions remain unanswered. Various correlations between the permeability and the parameters describing the geometrical properties of the medium have been suggested, but a general form for the permeability as a function of </w:t>
      </w:r>
      <w:r w:rsidR="0084559D">
        <w:rPr>
          <w:szCs w:val="18"/>
        </w:rPr>
        <w:t xml:space="preserve">bulk </w:t>
      </w:r>
      <w:r>
        <w:rPr>
          <w:szCs w:val="18"/>
        </w:rPr>
        <w:t>porosity is still lacking.</w:t>
      </w:r>
    </w:p>
    <w:p w14:paraId="2CB6BAFE" w14:textId="67B4F895" w:rsidR="00325766" w:rsidRDefault="00000000">
      <w:pPr>
        <w:pStyle w:val="Standard"/>
        <w:spacing w:line="276" w:lineRule="auto"/>
      </w:pPr>
      <w:r>
        <w:rPr>
          <w:szCs w:val="18"/>
        </w:rPr>
        <w:t xml:space="preserve">The flow resistance of a fluid percolating the porous sample can be experimentally evaluated by measuring the fluid </w:t>
      </w:r>
      <w:r w:rsidR="003F1BC4">
        <w:rPr>
          <w:szCs w:val="18"/>
        </w:rPr>
        <w:t>rate</w:t>
      </w:r>
      <w:r>
        <w:rPr>
          <w:szCs w:val="18"/>
        </w:rPr>
        <w:t xml:space="preserve"> in response to variations in the pressure drop or vice versa. Permeability constant is then obtained by fitting a predefined equation to the experimental data. In this work, permeability evaluation was based on Darcy Eq(1), to express the linear dependence of pressure drop (Δ</w:t>
      </w:r>
      <w:r>
        <w:rPr>
          <w:i/>
          <w:iCs/>
          <w:szCs w:val="18"/>
        </w:rPr>
        <w:t>P</w:t>
      </w:r>
      <w:r>
        <w:rPr>
          <w:szCs w:val="18"/>
        </w:rPr>
        <w:t>) through the medium with the resulting superficial velocity (</w:t>
      </w:r>
      <w:r>
        <w:rPr>
          <w:i/>
          <w:iCs/>
          <w:szCs w:val="18"/>
        </w:rPr>
        <w:t>u</w:t>
      </w:r>
      <w:r>
        <w:rPr>
          <w:szCs w:val="18"/>
          <w:vertAlign w:val="subscript"/>
        </w:rPr>
        <w:t>s</w:t>
      </w:r>
      <w:r>
        <w:rPr>
          <w:szCs w:val="18"/>
        </w:rPr>
        <w:t>) where the linear term [</w:t>
      </w:r>
      <w:r>
        <w:rPr>
          <w:i/>
          <w:iCs/>
          <w:szCs w:val="18"/>
        </w:rPr>
        <w:t>ηu</w:t>
      </w:r>
      <w:r>
        <w:rPr>
          <w:szCs w:val="18"/>
          <w:vertAlign w:val="subscript"/>
        </w:rPr>
        <w:t>s</w:t>
      </w:r>
      <w:r>
        <w:rPr>
          <w:szCs w:val="18"/>
        </w:rPr>
        <w:t>/</w:t>
      </w:r>
      <w:r>
        <w:rPr>
          <w:i/>
          <w:iCs/>
          <w:szCs w:val="18"/>
        </w:rPr>
        <w:t>k</w:t>
      </w:r>
      <w:r>
        <w:rPr>
          <w:szCs w:val="18"/>
        </w:rPr>
        <w:t>] in Darcy equation represents the viscous energy losses due to friction between fluid layers.</w:t>
      </w:r>
    </w:p>
    <w:p w14:paraId="793064BB" w14:textId="77777777" w:rsidR="00325766" w:rsidRDefault="00000000">
      <w:pPr>
        <w:pStyle w:val="Standard"/>
        <w:spacing w:line="276" w:lineRule="auto"/>
        <w:rPr>
          <w:szCs w:val="18"/>
        </w:rPr>
      </w:pPr>
      <w:r>
        <w:rPr>
          <w:szCs w:val="18"/>
        </w:rPr>
        <w:t>For incompressible flow (liquids) the pressure loss can be simply evaluated as:</w:t>
      </w:r>
    </w:p>
    <w:tbl>
      <w:tblPr>
        <w:tblW w:w="5000" w:type="pct"/>
        <w:tblInd w:w="109" w:type="dxa"/>
        <w:tblLayout w:type="fixed"/>
        <w:tblLook w:val="04A0" w:firstRow="1" w:lastRow="0" w:firstColumn="1" w:lastColumn="0" w:noHBand="0" w:noVBand="1"/>
      </w:tblPr>
      <w:tblGrid>
        <w:gridCol w:w="8179"/>
        <w:gridCol w:w="824"/>
      </w:tblGrid>
      <w:tr w:rsidR="00325766" w14:paraId="380150A5" w14:textId="77777777">
        <w:tc>
          <w:tcPr>
            <w:tcW w:w="7982" w:type="dxa"/>
            <w:vAlign w:val="center"/>
          </w:tcPr>
          <w:p w14:paraId="50955E8E" w14:textId="77777777" w:rsidR="00325766" w:rsidRDefault="00000000">
            <w:pPr>
              <w:pStyle w:val="CETEquation"/>
              <w:widowControl w:val="0"/>
            </w:pPr>
            <m:oMathPara>
              <m:oMathParaPr>
                <m:jc m:val="left"/>
              </m:oMathParaPr>
              <m:oMath>
                <m:f>
                  <m:fPr>
                    <m:ctrlPr>
                      <w:rPr>
                        <w:rFonts w:ascii="Cambria Math" w:hAnsi="Cambria Math"/>
                      </w:rPr>
                    </m:ctrlPr>
                  </m:fPr>
                  <m:num>
                    <m:r>
                      <w:rPr>
                        <w:rFonts w:ascii="Cambria Math" w:hAnsi="Cambria Math"/>
                      </w:rPr>
                      <m:t>ΔP</m:t>
                    </m:r>
                  </m:num>
                  <m:den>
                    <m:r>
                      <w:rPr>
                        <w:rFonts w:ascii="Cambria Math" w:hAnsi="Cambria Math"/>
                      </w:rPr>
                      <m:t>L</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0</m:t>
                        </m:r>
                      </m:sub>
                    </m:sSub>
                  </m:num>
                  <m:den>
                    <m:r>
                      <w:rPr>
                        <w:rFonts w:ascii="Cambria Math" w:hAnsi="Cambria Math"/>
                      </w:rPr>
                      <m:t>L</m:t>
                    </m:r>
                  </m:den>
                </m:f>
              </m:oMath>
            </m:oMathPara>
          </w:p>
        </w:tc>
        <w:tc>
          <w:tcPr>
            <w:tcW w:w="804" w:type="dxa"/>
            <w:vAlign w:val="center"/>
          </w:tcPr>
          <w:p w14:paraId="0D595AE9" w14:textId="77777777" w:rsidR="00325766" w:rsidRDefault="00000000">
            <w:pPr>
              <w:pStyle w:val="CETEquation"/>
              <w:widowControl w:val="0"/>
              <w:jc w:val="right"/>
            </w:pPr>
            <w:r>
              <w:t>(6a)</w:t>
            </w:r>
          </w:p>
        </w:tc>
      </w:tr>
    </w:tbl>
    <w:p w14:paraId="257FA608" w14:textId="1BF4FB91" w:rsidR="00325766" w:rsidRDefault="00000000">
      <w:pPr>
        <w:pStyle w:val="CETBodytext"/>
        <w:widowControl w:val="0"/>
        <w:spacing w:line="276" w:lineRule="auto"/>
        <w:rPr>
          <w:szCs w:val="18"/>
        </w:rPr>
      </w:pPr>
      <w:r>
        <w:rPr>
          <w:szCs w:val="18"/>
        </w:rPr>
        <w:t xml:space="preserve"> and for compressible flow (gases and vapors) (Innocentini et al., 20</w:t>
      </w:r>
      <w:r w:rsidR="00022660">
        <w:rPr>
          <w:szCs w:val="18"/>
        </w:rPr>
        <w:t>10</w:t>
      </w:r>
      <w:r>
        <w:rPr>
          <w:szCs w:val="18"/>
        </w:rPr>
        <w:t>, 201</w:t>
      </w:r>
      <w:r w:rsidR="00022660">
        <w:rPr>
          <w:szCs w:val="18"/>
        </w:rPr>
        <w:t>9</w:t>
      </w:r>
      <w:r>
        <w:rPr>
          <w:szCs w:val="18"/>
        </w:rPr>
        <w:t>):</w:t>
      </w:r>
    </w:p>
    <w:tbl>
      <w:tblPr>
        <w:tblW w:w="5000" w:type="pct"/>
        <w:tblInd w:w="109" w:type="dxa"/>
        <w:tblLayout w:type="fixed"/>
        <w:tblLook w:val="04A0" w:firstRow="1" w:lastRow="0" w:firstColumn="1" w:lastColumn="0" w:noHBand="0" w:noVBand="1"/>
      </w:tblPr>
      <w:tblGrid>
        <w:gridCol w:w="8179"/>
        <w:gridCol w:w="824"/>
      </w:tblGrid>
      <w:tr w:rsidR="00325766" w14:paraId="0A691498" w14:textId="77777777">
        <w:tc>
          <w:tcPr>
            <w:tcW w:w="7982" w:type="dxa"/>
            <w:vAlign w:val="center"/>
          </w:tcPr>
          <w:p w14:paraId="2D113D73" w14:textId="77777777" w:rsidR="00325766" w:rsidRDefault="00000000">
            <w:pPr>
              <w:pStyle w:val="CETEquation"/>
              <w:widowControl w:val="0"/>
            </w:pPr>
            <m:oMathPara>
              <m:oMathParaPr>
                <m:jc m:val="left"/>
              </m:oMathParaPr>
              <m:oMath>
                <m:f>
                  <m:fPr>
                    <m:ctrlPr>
                      <w:rPr>
                        <w:rFonts w:ascii="Cambria Math" w:hAnsi="Cambria Math"/>
                      </w:rPr>
                    </m:ctrlPr>
                  </m:fPr>
                  <m:num>
                    <m:r>
                      <w:rPr>
                        <w:rFonts w:ascii="Cambria Math" w:hAnsi="Cambria Math"/>
                      </w:rPr>
                      <m:t>ΔP</m:t>
                    </m:r>
                  </m:num>
                  <m:den>
                    <m:r>
                      <w:rPr>
                        <w:rFonts w:ascii="Cambria Math" w:hAnsi="Cambria Math"/>
                      </w:rPr>
                      <m:t>L</m:t>
                    </m:r>
                  </m:den>
                </m:f>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P</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2</m:t>
                        </m:r>
                      </m:sup>
                    </m:sSubSup>
                  </m:num>
                  <m:den>
                    <m:r>
                      <w:rPr>
                        <w:rFonts w:ascii="Cambria Math" w:hAnsi="Cambria Math"/>
                      </w:rPr>
                      <m:t>2PL</m:t>
                    </m:r>
                  </m:den>
                </m:f>
              </m:oMath>
            </m:oMathPara>
          </w:p>
        </w:tc>
        <w:tc>
          <w:tcPr>
            <w:tcW w:w="804" w:type="dxa"/>
            <w:vAlign w:val="center"/>
          </w:tcPr>
          <w:p w14:paraId="096F35A1" w14:textId="77777777" w:rsidR="00325766" w:rsidRDefault="00000000">
            <w:pPr>
              <w:pStyle w:val="CETEquation"/>
              <w:widowControl w:val="0"/>
              <w:jc w:val="right"/>
            </w:pPr>
            <w:r>
              <w:t>(6b)</w:t>
            </w:r>
          </w:p>
        </w:tc>
      </w:tr>
    </w:tbl>
    <w:p w14:paraId="7C47BA0C" w14:textId="76F5F7C4" w:rsidR="00325766" w:rsidRDefault="00000000">
      <w:pPr>
        <w:pStyle w:val="Standard"/>
        <w:spacing w:line="276" w:lineRule="auto"/>
      </w:pPr>
      <w:r>
        <w:rPr>
          <w:szCs w:val="18"/>
        </w:rPr>
        <w:t xml:space="preserve">in which </w:t>
      </w:r>
      <w:r>
        <w:rPr>
          <w:i/>
          <w:iCs/>
          <w:szCs w:val="18"/>
        </w:rPr>
        <w:t>P</w:t>
      </w:r>
      <w:r>
        <w:rPr>
          <w:szCs w:val="18"/>
          <w:vertAlign w:val="subscript"/>
        </w:rPr>
        <w:t>1</w:t>
      </w:r>
      <w:r>
        <w:rPr>
          <w:szCs w:val="18"/>
        </w:rPr>
        <w:t xml:space="preserve"> and </w:t>
      </w:r>
      <w:r>
        <w:rPr>
          <w:i/>
          <w:iCs/>
          <w:szCs w:val="18"/>
        </w:rPr>
        <w:t>P</w:t>
      </w:r>
      <w:r>
        <w:rPr>
          <w:szCs w:val="18"/>
          <w:vertAlign w:val="subscript"/>
        </w:rPr>
        <w:t>0</w:t>
      </w:r>
      <w:r>
        <w:rPr>
          <w:szCs w:val="18"/>
        </w:rPr>
        <w:t xml:space="preserve"> are, respectively, the absolute fluid pressures at the entrance and exit of the medium, </w:t>
      </w:r>
      <w:r>
        <w:rPr>
          <w:i/>
          <w:iCs/>
          <w:szCs w:val="18"/>
        </w:rPr>
        <w:t>L</w:t>
      </w:r>
      <w:r>
        <w:rPr>
          <w:szCs w:val="18"/>
        </w:rPr>
        <w:t xml:space="preserve"> is the packed bed length or thickness along the macroscopic flow direction, </w:t>
      </w:r>
      <w:r>
        <w:rPr>
          <w:i/>
          <w:iCs/>
          <w:szCs w:val="18"/>
        </w:rPr>
        <w:t>η</w:t>
      </w:r>
      <w:r>
        <w:rPr>
          <w:szCs w:val="18"/>
        </w:rPr>
        <w:t xml:space="preserve"> and </w:t>
      </w:r>
      <w:r>
        <w:rPr>
          <w:i/>
          <w:iCs/>
          <w:szCs w:val="18"/>
        </w:rPr>
        <w:t>ρ</w:t>
      </w:r>
      <w:r>
        <w:rPr>
          <w:szCs w:val="18"/>
        </w:rPr>
        <w:t xml:space="preserve"> are respectively the fluid viscosity and density. </w:t>
      </w:r>
      <w:r>
        <w:rPr>
          <w:i/>
          <w:iCs/>
          <w:szCs w:val="18"/>
        </w:rPr>
        <w:t>P</w:t>
      </w:r>
      <w:r>
        <w:rPr>
          <w:szCs w:val="18"/>
        </w:rPr>
        <w:t xml:space="preserve"> is the pressure (either </w:t>
      </w:r>
      <w:r>
        <w:rPr>
          <w:i/>
          <w:iCs/>
          <w:szCs w:val="18"/>
        </w:rPr>
        <w:t>P</w:t>
      </w:r>
      <w:r>
        <w:rPr>
          <w:i/>
          <w:iCs/>
          <w:szCs w:val="18"/>
          <w:vertAlign w:val="subscript"/>
        </w:rPr>
        <w:t>1</w:t>
      </w:r>
      <w:r>
        <w:rPr>
          <w:szCs w:val="18"/>
        </w:rPr>
        <w:t xml:space="preserve"> or </w:t>
      </w:r>
      <w:r>
        <w:rPr>
          <w:i/>
          <w:iCs/>
          <w:szCs w:val="18"/>
        </w:rPr>
        <w:t>P</w:t>
      </w:r>
      <w:r>
        <w:rPr>
          <w:i/>
          <w:iCs/>
          <w:szCs w:val="18"/>
          <w:vertAlign w:val="subscript"/>
        </w:rPr>
        <w:t>0</w:t>
      </w:r>
      <w:r>
        <w:rPr>
          <w:szCs w:val="18"/>
        </w:rPr>
        <w:t xml:space="preserve">) for which </w:t>
      </w:r>
      <w:r>
        <w:rPr>
          <w:i/>
          <w:iCs/>
          <w:szCs w:val="18"/>
        </w:rPr>
        <w:t>u</w:t>
      </w:r>
      <w:r>
        <w:rPr>
          <w:szCs w:val="18"/>
          <w:vertAlign w:val="subscript"/>
        </w:rPr>
        <w:t>s</w:t>
      </w:r>
      <w:r>
        <w:rPr>
          <w:szCs w:val="18"/>
        </w:rPr>
        <w:t xml:space="preserve">, </w:t>
      </w:r>
      <w:r>
        <w:rPr>
          <w:i/>
          <w:iCs/>
          <w:szCs w:val="18"/>
        </w:rPr>
        <w:t>η</w:t>
      </w:r>
      <w:r>
        <w:rPr>
          <w:szCs w:val="18"/>
        </w:rPr>
        <w:t xml:space="preserve"> and </w:t>
      </w:r>
      <w:r>
        <w:rPr>
          <w:i/>
          <w:iCs/>
          <w:szCs w:val="18"/>
        </w:rPr>
        <w:t>ρ</w:t>
      </w:r>
      <w:r>
        <w:rPr>
          <w:szCs w:val="18"/>
        </w:rPr>
        <w:t xml:space="preserve"> are measured or calculated. The superficial velocity </w:t>
      </w:r>
      <w:r>
        <w:rPr>
          <w:i/>
          <w:iCs/>
          <w:szCs w:val="18"/>
        </w:rPr>
        <w:t>u</w:t>
      </w:r>
      <w:r>
        <w:rPr>
          <w:szCs w:val="18"/>
          <w:vertAlign w:val="subscript"/>
        </w:rPr>
        <w:t>s</w:t>
      </w:r>
      <w:r>
        <w:rPr>
          <w:szCs w:val="18"/>
        </w:rPr>
        <w:t xml:space="preserve"> is the volumetric flow rate </w:t>
      </w:r>
      <w:r>
        <w:rPr>
          <w:i/>
          <w:iCs/>
          <w:szCs w:val="18"/>
        </w:rPr>
        <w:t>Q</w:t>
      </w:r>
      <w:r>
        <w:rPr>
          <w:szCs w:val="18"/>
        </w:rPr>
        <w:t xml:space="preserve"> divided by the nominal surface area </w:t>
      </w:r>
      <w:r>
        <w:rPr>
          <w:i/>
          <w:iCs/>
          <w:szCs w:val="18"/>
        </w:rPr>
        <w:t>A</w:t>
      </w:r>
      <w:r>
        <w:rPr>
          <w:szCs w:val="18"/>
        </w:rPr>
        <w:t xml:space="preserve"> of the sample exposed to flow. Due to the low-pressure drops experienced in the present experiment, the correction for compressible flow is very small (Δ</w:t>
      </w:r>
      <w:r>
        <w:rPr>
          <w:i/>
          <w:iCs/>
          <w:szCs w:val="18"/>
        </w:rPr>
        <w:t>P</w:t>
      </w:r>
      <w:r>
        <w:rPr>
          <w:szCs w:val="18"/>
        </w:rPr>
        <w:t xml:space="preserve"> was only 0.2% higher for compressible flow at the highest flow velocity </w:t>
      </w:r>
      <w:r>
        <w:rPr>
          <w:i/>
          <w:iCs/>
          <w:szCs w:val="18"/>
        </w:rPr>
        <w:t>u</w:t>
      </w:r>
      <w:r>
        <w:rPr>
          <w:szCs w:val="18"/>
          <w:vertAlign w:val="subscript"/>
        </w:rPr>
        <w:t>s</w:t>
      </w:r>
      <w:r>
        <w:rPr>
          <w:szCs w:val="18"/>
        </w:rPr>
        <w:t xml:space="preserve">). As reported in Nedderman (1994) measured values of the permeability and void fraction can be used as a means of determining the average particle diameter, </w:t>
      </w:r>
      <w:r>
        <w:rPr>
          <w:i/>
          <w:iCs/>
          <w:szCs w:val="18"/>
        </w:rPr>
        <w:t>x</w:t>
      </w:r>
      <w:r>
        <w:rPr>
          <w:szCs w:val="18"/>
          <w:vertAlign w:val="subscript"/>
        </w:rPr>
        <w:t>32</w:t>
      </w:r>
      <w:r>
        <w:rPr>
          <w:szCs w:val="18"/>
        </w:rPr>
        <w:t xml:space="preserve"> from Eq(2). This work aims exactly at investigating the possibility of using these types of measurements (permeability and </w:t>
      </w:r>
      <w:r w:rsidR="0084559D">
        <w:rPr>
          <w:szCs w:val="18"/>
        </w:rPr>
        <w:t xml:space="preserve">bulk </w:t>
      </w:r>
      <w:r>
        <w:rPr>
          <w:szCs w:val="18"/>
        </w:rPr>
        <w:t>porosity) to estimate the size of the particles that form the granular bed when other analytical techniques are not available.</w:t>
      </w:r>
    </w:p>
    <w:p w14:paraId="66B94C5A" w14:textId="77777777" w:rsidR="00325766" w:rsidRDefault="00000000">
      <w:pPr>
        <w:pStyle w:val="CETHeading1"/>
        <w:numPr>
          <w:ilvl w:val="1"/>
          <w:numId w:val="1"/>
        </w:numPr>
        <w:jc w:val="both"/>
      </w:pPr>
      <w:r>
        <w:t>Materials and Methods</w:t>
      </w:r>
    </w:p>
    <w:p w14:paraId="6DB30B68" w14:textId="77777777" w:rsidR="00325766" w:rsidRDefault="00000000">
      <w:pPr>
        <w:pStyle w:val="Standard"/>
        <w:spacing w:line="276" w:lineRule="auto"/>
      </w:pPr>
      <w:r>
        <w:rPr>
          <w:szCs w:val="18"/>
        </w:rPr>
        <w:t>For the experimental evaluation of permeability, air at room temperature (</w:t>
      </w:r>
      <w:r>
        <w:rPr>
          <w:i/>
          <w:iCs/>
          <w:szCs w:val="18"/>
        </w:rPr>
        <w:t xml:space="preserve">T </w:t>
      </w:r>
      <w:r>
        <w:rPr>
          <w:szCs w:val="18"/>
        </w:rPr>
        <w:t xml:space="preserve">= 20 °C, </w:t>
      </w:r>
      <w:r>
        <w:rPr>
          <w:i/>
          <w:iCs/>
          <w:szCs w:val="18"/>
        </w:rPr>
        <w:t>P</w:t>
      </w:r>
      <w:r>
        <w:rPr>
          <w:szCs w:val="18"/>
        </w:rPr>
        <w:t xml:space="preserve"> = </w:t>
      </w:r>
      <w:r>
        <w:rPr>
          <w:i/>
          <w:iCs/>
          <w:szCs w:val="18"/>
        </w:rPr>
        <w:t>P</w:t>
      </w:r>
      <w:r>
        <w:rPr>
          <w:szCs w:val="18"/>
          <w:vertAlign w:val="subscript"/>
        </w:rPr>
        <w:t xml:space="preserve">0 </w:t>
      </w:r>
      <w:r>
        <w:rPr>
          <w:szCs w:val="18"/>
        </w:rPr>
        <w:t>= 101325 Pa,</w:t>
      </w:r>
      <w:r>
        <w:rPr>
          <w:szCs w:val="18"/>
        </w:rPr>
        <w:br/>
      </w:r>
      <w:r>
        <w:rPr>
          <w:i/>
          <w:iCs/>
          <w:szCs w:val="18"/>
        </w:rPr>
        <w:t xml:space="preserve">ρ </w:t>
      </w:r>
      <w:r>
        <w:rPr>
          <w:szCs w:val="18"/>
        </w:rPr>
        <w:t>= 1.20 kg/m</w:t>
      </w:r>
      <w:r>
        <w:rPr>
          <w:szCs w:val="18"/>
          <w:vertAlign w:val="superscript"/>
        </w:rPr>
        <w:t>3</w:t>
      </w:r>
      <w:r>
        <w:rPr>
          <w:szCs w:val="18"/>
        </w:rPr>
        <w:t xml:space="preserve">, </w:t>
      </w:r>
      <w:r>
        <w:rPr>
          <w:i/>
          <w:iCs/>
          <w:szCs w:val="18"/>
        </w:rPr>
        <w:t xml:space="preserve">η </w:t>
      </w:r>
      <w:r>
        <w:rPr>
          <w:szCs w:val="18"/>
        </w:rPr>
        <w:t>= 1.81·10</w:t>
      </w:r>
      <w:r>
        <w:rPr>
          <w:szCs w:val="18"/>
          <w:vertAlign w:val="superscript"/>
        </w:rPr>
        <w:t>-5</w:t>
      </w:r>
      <w:r>
        <w:rPr>
          <w:szCs w:val="18"/>
        </w:rPr>
        <w:t xml:space="preserve"> Pa s) was forced to flow through the granular sample at steady state in laminar regime. For laminar regime in a granular packed bed, Reynolds number should be smaller than 10:</w:t>
      </w:r>
    </w:p>
    <w:tbl>
      <w:tblPr>
        <w:tblW w:w="5000" w:type="pct"/>
        <w:tblInd w:w="109" w:type="dxa"/>
        <w:tblLayout w:type="fixed"/>
        <w:tblLook w:val="04A0" w:firstRow="1" w:lastRow="0" w:firstColumn="1" w:lastColumn="0" w:noHBand="0" w:noVBand="1"/>
      </w:tblPr>
      <w:tblGrid>
        <w:gridCol w:w="8179"/>
        <w:gridCol w:w="824"/>
      </w:tblGrid>
      <w:tr w:rsidR="00325766" w14:paraId="620FC355" w14:textId="77777777">
        <w:tc>
          <w:tcPr>
            <w:tcW w:w="7982" w:type="dxa"/>
            <w:vAlign w:val="center"/>
          </w:tcPr>
          <w:p w14:paraId="08C99882" w14:textId="77777777" w:rsidR="00325766" w:rsidRDefault="00000000">
            <w:pPr>
              <w:pStyle w:val="CETEquation"/>
              <w:widowControl w:val="0"/>
            </w:pPr>
            <m:oMathPara>
              <m:oMathParaPr>
                <m:jc m:val="left"/>
              </m:oMathParaPr>
              <m:oMath>
                <m:r>
                  <m:rPr>
                    <m:lit/>
                    <m:nor/>
                  </m:rPr>
                  <w:rPr>
                    <w:rFonts w:ascii="Cambria Math" w:hAnsi="Cambria Math"/>
                  </w:rPr>
                  <w:lastRenderedPageBreak/>
                  <m:t>Re =</m:t>
                </m:r>
                <m:f>
                  <m:fPr>
                    <m:ctrlPr>
                      <w:rPr>
                        <w:rFonts w:ascii="Cambria Math" w:hAnsi="Cambria Math"/>
                      </w:rPr>
                    </m:ctrlPr>
                  </m:fPr>
                  <m:num>
                    <m:r>
                      <w:rPr>
                        <w:rFonts w:ascii="Cambria Math" w:hAnsi="Cambria Math"/>
                      </w:rPr>
                      <m:t>ρ</m:t>
                    </m:r>
                    <m:sSub>
                      <m:sSubPr>
                        <m:ctrlPr>
                          <w:rPr>
                            <w:rFonts w:ascii="Cambria Math" w:hAnsi="Cambria Math"/>
                          </w:rPr>
                        </m:ctrlPr>
                      </m:sSubPr>
                      <m:e>
                        <m:r>
                          <w:rPr>
                            <w:rFonts w:ascii="Cambria Math" w:hAnsi="Cambria Math"/>
                          </w:rPr>
                          <m:t>u</m:t>
                        </m:r>
                      </m:e>
                      <m:sub>
                        <m:r>
                          <w:rPr>
                            <w:rFonts w:ascii="Cambria Math" w:hAnsi="Cambria Math"/>
                          </w:rPr>
                          <m:t>s</m:t>
                        </m:r>
                      </m:sub>
                    </m:sSub>
                    <m:r>
                      <w:rPr>
                        <w:rFonts w:ascii="Cambria Math" w:hAnsi="Cambria Math"/>
                      </w:rPr>
                      <m:t>x</m:t>
                    </m:r>
                  </m:num>
                  <m:den>
                    <m:r>
                      <w:rPr>
                        <w:rFonts w:ascii="Cambria Math" w:hAnsi="Cambria Math"/>
                      </w:rPr>
                      <m:t>η</m:t>
                    </m:r>
                    <m:d>
                      <m:dPr>
                        <m:ctrlPr>
                          <w:rPr>
                            <w:rFonts w:ascii="Cambria Math" w:hAnsi="Cambria Math"/>
                          </w:rPr>
                        </m:ctrlPr>
                      </m:dPr>
                      <m:e>
                        <m:r>
                          <w:rPr>
                            <w:rFonts w:ascii="Cambria Math" w:hAnsi="Cambria Math"/>
                          </w:rPr>
                          <m:t>1-ε</m:t>
                        </m:r>
                      </m:e>
                    </m:d>
                  </m:den>
                </m:f>
                <m:r>
                  <w:rPr>
                    <w:rFonts w:ascii="Cambria Math" w:hAnsi="Cambria Math"/>
                  </w:rPr>
                  <m:t>&lt;10</m:t>
                </m:r>
              </m:oMath>
            </m:oMathPara>
          </w:p>
        </w:tc>
        <w:tc>
          <w:tcPr>
            <w:tcW w:w="804" w:type="dxa"/>
            <w:vAlign w:val="center"/>
          </w:tcPr>
          <w:p w14:paraId="38EC734A" w14:textId="77777777" w:rsidR="00325766" w:rsidRDefault="00325766">
            <w:pPr>
              <w:pStyle w:val="CETEquation"/>
              <w:widowControl w:val="0"/>
              <w:jc w:val="right"/>
            </w:pPr>
          </w:p>
        </w:tc>
      </w:tr>
    </w:tbl>
    <w:p w14:paraId="11C591D6" w14:textId="77777777" w:rsidR="00325766" w:rsidRDefault="00000000">
      <w:pPr>
        <w:pStyle w:val="Standard"/>
        <w:spacing w:line="276" w:lineRule="auto"/>
      </w:pPr>
      <w:r>
        <w:rPr>
          <w:szCs w:val="18"/>
        </w:rPr>
        <w:t>The sample powder was poured in a hollow cylinder and sandwiched between two horizontal fine grids (see Figure 1). Table 1 gives a description of the sample geometry and dimensions.</w:t>
      </w:r>
    </w:p>
    <w:p w14:paraId="63787F2E" w14:textId="77777777" w:rsidR="00325766" w:rsidRDefault="00000000">
      <w:pPr>
        <w:pStyle w:val="CETTabletitle"/>
        <w:spacing w:line="276" w:lineRule="auto"/>
      </w:pPr>
      <w:r>
        <w:t>Table 1: Packed granular bed geometry.</w:t>
      </w:r>
    </w:p>
    <w:tbl>
      <w:tblPr>
        <w:tblW w:w="5669" w:type="dxa"/>
        <w:tblLayout w:type="fixed"/>
        <w:tblCellMar>
          <w:left w:w="0" w:type="dxa"/>
          <w:right w:w="0" w:type="dxa"/>
        </w:tblCellMar>
        <w:tblLook w:val="04A0" w:firstRow="1" w:lastRow="0" w:firstColumn="1" w:lastColumn="0" w:noHBand="0" w:noVBand="1"/>
      </w:tblPr>
      <w:tblGrid>
        <w:gridCol w:w="1418"/>
        <w:gridCol w:w="1419"/>
        <w:gridCol w:w="1415"/>
        <w:gridCol w:w="1417"/>
      </w:tblGrid>
      <w:tr w:rsidR="00325766" w14:paraId="2EEA09AA" w14:textId="77777777">
        <w:tc>
          <w:tcPr>
            <w:tcW w:w="1417" w:type="dxa"/>
            <w:tcBorders>
              <w:top w:val="single" w:sz="12" w:space="0" w:color="008000"/>
              <w:bottom w:val="single" w:sz="6" w:space="0" w:color="008000"/>
            </w:tcBorders>
            <w:shd w:val="clear" w:color="auto" w:fill="FFFFFF"/>
          </w:tcPr>
          <w:p w14:paraId="20B3E9A5" w14:textId="77777777" w:rsidR="00325766" w:rsidRDefault="00000000">
            <w:pPr>
              <w:pStyle w:val="CETBodytext"/>
              <w:widowControl w:val="0"/>
              <w:spacing w:line="276" w:lineRule="auto"/>
              <w:jc w:val="center"/>
            </w:pPr>
            <w:r>
              <w:rPr>
                <w:lang w:val="en-GB"/>
              </w:rPr>
              <w:t xml:space="preserve">Sample diameter </w:t>
            </w:r>
            <w:r>
              <w:rPr>
                <w:i/>
                <w:iCs/>
                <w:lang w:val="en-GB"/>
              </w:rPr>
              <w:t>D</w:t>
            </w:r>
            <w:r>
              <w:rPr>
                <w:lang w:val="en-GB"/>
              </w:rPr>
              <w:t xml:space="preserve"> [m]</w:t>
            </w:r>
          </w:p>
        </w:tc>
        <w:tc>
          <w:tcPr>
            <w:tcW w:w="1419" w:type="dxa"/>
            <w:tcBorders>
              <w:top w:val="single" w:sz="12" w:space="0" w:color="008000"/>
              <w:bottom w:val="single" w:sz="6" w:space="0" w:color="008000"/>
            </w:tcBorders>
            <w:shd w:val="clear" w:color="auto" w:fill="FFFFFF"/>
          </w:tcPr>
          <w:p w14:paraId="311721EE" w14:textId="77777777" w:rsidR="00325766" w:rsidRDefault="00000000">
            <w:pPr>
              <w:pStyle w:val="CETBodytext"/>
              <w:widowControl w:val="0"/>
              <w:spacing w:line="276" w:lineRule="auto"/>
              <w:jc w:val="center"/>
            </w:pPr>
            <w:r>
              <w:rPr>
                <w:lang w:val="en-GB"/>
              </w:rPr>
              <w:t>Sample length</w:t>
            </w:r>
            <w:r>
              <w:rPr>
                <w:lang w:val="en-GB"/>
              </w:rPr>
              <w:br/>
            </w:r>
            <w:r>
              <w:rPr>
                <w:i/>
                <w:iCs/>
                <w:lang w:val="en-GB"/>
              </w:rPr>
              <w:t>L</w:t>
            </w:r>
            <w:r>
              <w:rPr>
                <w:lang w:val="en-GB"/>
              </w:rPr>
              <w:t xml:space="preserve"> [m]</w:t>
            </w:r>
          </w:p>
        </w:tc>
        <w:tc>
          <w:tcPr>
            <w:tcW w:w="1415" w:type="dxa"/>
            <w:tcBorders>
              <w:top w:val="single" w:sz="12" w:space="0" w:color="008000"/>
              <w:bottom w:val="single" w:sz="6" w:space="0" w:color="008000"/>
            </w:tcBorders>
            <w:shd w:val="clear" w:color="auto" w:fill="FFFFFF"/>
          </w:tcPr>
          <w:p w14:paraId="5F7D69C5" w14:textId="77777777" w:rsidR="00325766" w:rsidRDefault="00000000">
            <w:pPr>
              <w:pStyle w:val="CETBodytext"/>
              <w:widowControl w:val="0"/>
              <w:spacing w:line="276" w:lineRule="auto"/>
              <w:jc w:val="center"/>
            </w:pPr>
            <w:r>
              <w:rPr>
                <w:lang w:val="en-GB"/>
              </w:rPr>
              <w:t xml:space="preserve">Cross flow area </w:t>
            </w:r>
            <w:r>
              <w:rPr>
                <w:lang w:val="en-GB"/>
              </w:rPr>
              <w:br/>
            </w:r>
            <w:r>
              <w:rPr>
                <w:i/>
                <w:iCs/>
                <w:lang w:val="en-GB"/>
              </w:rPr>
              <w:t>A</w:t>
            </w:r>
            <w:r>
              <w:rPr>
                <w:lang w:val="en-GB"/>
              </w:rPr>
              <w:t xml:space="preserve"> [m</w:t>
            </w:r>
            <w:r>
              <w:rPr>
                <w:vertAlign w:val="superscript"/>
                <w:lang w:val="en-GB"/>
              </w:rPr>
              <w:t>2</w:t>
            </w:r>
            <w:r>
              <w:rPr>
                <w:lang w:val="en-GB"/>
              </w:rPr>
              <w:t>]</w:t>
            </w:r>
          </w:p>
        </w:tc>
        <w:tc>
          <w:tcPr>
            <w:tcW w:w="1417" w:type="dxa"/>
            <w:tcBorders>
              <w:top w:val="single" w:sz="12" w:space="0" w:color="008000"/>
              <w:bottom w:val="single" w:sz="6" w:space="0" w:color="008000"/>
            </w:tcBorders>
            <w:shd w:val="clear" w:color="auto" w:fill="FFFFFF"/>
          </w:tcPr>
          <w:p w14:paraId="694FA140" w14:textId="77777777" w:rsidR="00325766" w:rsidRDefault="00000000">
            <w:pPr>
              <w:pStyle w:val="CETBodytext"/>
              <w:widowControl w:val="0"/>
              <w:spacing w:line="276" w:lineRule="auto"/>
              <w:ind w:right="-1"/>
              <w:jc w:val="center"/>
            </w:pPr>
            <w:r>
              <w:rPr>
                <w:rFonts w:cs="Arial"/>
                <w:szCs w:val="18"/>
                <w:lang w:val="en-GB"/>
              </w:rPr>
              <w:t>Sample volume</w:t>
            </w:r>
            <w:r>
              <w:rPr>
                <w:rFonts w:cs="Arial"/>
                <w:szCs w:val="18"/>
                <w:lang w:val="en-GB"/>
              </w:rPr>
              <w:br/>
            </w:r>
            <w:r>
              <w:rPr>
                <w:rFonts w:cs="Arial"/>
                <w:i/>
                <w:iCs/>
                <w:szCs w:val="18"/>
                <w:lang w:val="en-GB"/>
              </w:rPr>
              <w:t>V</w:t>
            </w:r>
            <w:r>
              <w:rPr>
                <w:rFonts w:cs="Arial"/>
                <w:szCs w:val="18"/>
                <w:lang w:val="en-GB"/>
              </w:rPr>
              <w:t xml:space="preserve"> [m</w:t>
            </w:r>
            <w:r>
              <w:rPr>
                <w:rFonts w:cs="Arial"/>
                <w:szCs w:val="18"/>
                <w:vertAlign w:val="superscript"/>
                <w:lang w:val="en-GB"/>
              </w:rPr>
              <w:t>3</w:t>
            </w:r>
            <w:r>
              <w:rPr>
                <w:rFonts w:cs="Arial"/>
                <w:szCs w:val="18"/>
                <w:lang w:val="en-GB"/>
              </w:rPr>
              <w:t>]</w:t>
            </w:r>
          </w:p>
        </w:tc>
      </w:tr>
      <w:tr w:rsidR="00325766" w14:paraId="546871DE" w14:textId="77777777">
        <w:tc>
          <w:tcPr>
            <w:tcW w:w="1417" w:type="dxa"/>
            <w:tcBorders>
              <w:top w:val="single" w:sz="6" w:space="0" w:color="008000"/>
              <w:bottom w:val="single" w:sz="12" w:space="0" w:color="008000"/>
            </w:tcBorders>
            <w:shd w:val="clear" w:color="auto" w:fill="FFFFFF"/>
          </w:tcPr>
          <w:p w14:paraId="63818A6F" w14:textId="77777777" w:rsidR="00325766" w:rsidRDefault="00000000">
            <w:pPr>
              <w:pStyle w:val="CETBodytext"/>
              <w:widowControl w:val="0"/>
              <w:spacing w:line="276" w:lineRule="auto"/>
              <w:jc w:val="center"/>
              <w:rPr>
                <w:lang w:val="en-GB"/>
              </w:rPr>
            </w:pPr>
            <w:r>
              <w:rPr>
                <w:lang w:val="en-GB"/>
              </w:rPr>
              <w:t>0.059</w:t>
            </w:r>
          </w:p>
        </w:tc>
        <w:tc>
          <w:tcPr>
            <w:tcW w:w="1419" w:type="dxa"/>
            <w:tcBorders>
              <w:top w:val="single" w:sz="6" w:space="0" w:color="008000"/>
              <w:bottom w:val="single" w:sz="12" w:space="0" w:color="008000"/>
            </w:tcBorders>
            <w:shd w:val="clear" w:color="auto" w:fill="FFFFFF"/>
          </w:tcPr>
          <w:p w14:paraId="7BA8AFB1" w14:textId="77777777" w:rsidR="00325766" w:rsidRDefault="00000000">
            <w:pPr>
              <w:pStyle w:val="CETBodytext"/>
              <w:widowControl w:val="0"/>
              <w:spacing w:line="276" w:lineRule="auto"/>
              <w:jc w:val="center"/>
              <w:rPr>
                <w:lang w:val="en-GB"/>
              </w:rPr>
            </w:pPr>
            <w:r>
              <w:rPr>
                <w:lang w:val="en-GB"/>
              </w:rPr>
              <w:t>0.053</w:t>
            </w:r>
          </w:p>
        </w:tc>
        <w:tc>
          <w:tcPr>
            <w:tcW w:w="1415" w:type="dxa"/>
            <w:tcBorders>
              <w:top w:val="single" w:sz="6" w:space="0" w:color="008000"/>
              <w:bottom w:val="single" w:sz="12" w:space="0" w:color="008000"/>
            </w:tcBorders>
            <w:shd w:val="clear" w:color="auto" w:fill="FFFFFF"/>
          </w:tcPr>
          <w:p w14:paraId="116924AC" w14:textId="77777777" w:rsidR="00325766" w:rsidRDefault="00000000">
            <w:pPr>
              <w:pStyle w:val="CETBodytext"/>
              <w:widowControl w:val="0"/>
              <w:spacing w:line="276" w:lineRule="auto"/>
              <w:jc w:val="center"/>
            </w:pPr>
            <w:r>
              <w:rPr>
                <w:lang w:val="en-GB"/>
              </w:rPr>
              <w:t>2.73 10</w:t>
            </w:r>
            <w:r>
              <w:rPr>
                <w:vertAlign w:val="superscript"/>
                <w:lang w:val="en-GB"/>
              </w:rPr>
              <w:t>-3</w:t>
            </w:r>
          </w:p>
        </w:tc>
        <w:tc>
          <w:tcPr>
            <w:tcW w:w="1417" w:type="dxa"/>
            <w:tcBorders>
              <w:top w:val="single" w:sz="6" w:space="0" w:color="008000"/>
              <w:bottom w:val="single" w:sz="12" w:space="0" w:color="008000"/>
            </w:tcBorders>
            <w:shd w:val="clear" w:color="auto" w:fill="FFFFFF"/>
          </w:tcPr>
          <w:p w14:paraId="09B08845" w14:textId="77777777" w:rsidR="00325766" w:rsidRDefault="00000000">
            <w:pPr>
              <w:pStyle w:val="CETBodytext"/>
              <w:widowControl w:val="0"/>
              <w:spacing w:line="276" w:lineRule="auto"/>
              <w:ind w:right="-1"/>
              <w:jc w:val="center"/>
            </w:pPr>
            <w:r>
              <w:rPr>
                <w:rFonts w:cs="Arial"/>
                <w:szCs w:val="18"/>
                <w:lang w:val="en-GB"/>
              </w:rPr>
              <w:t>1.45 10</w:t>
            </w:r>
            <w:r>
              <w:rPr>
                <w:rFonts w:cs="Arial"/>
                <w:szCs w:val="18"/>
                <w:vertAlign w:val="superscript"/>
                <w:lang w:val="en-GB"/>
              </w:rPr>
              <w:t>-4</w:t>
            </w:r>
          </w:p>
        </w:tc>
      </w:tr>
    </w:tbl>
    <w:p w14:paraId="45E53155" w14:textId="77777777" w:rsidR="00325766" w:rsidRDefault="00325766">
      <w:pPr>
        <w:pStyle w:val="Standard"/>
        <w:spacing w:line="276" w:lineRule="auto"/>
        <w:jc w:val="left"/>
        <w:rPr>
          <w:b/>
          <w:bCs/>
          <w:szCs w:val="18"/>
        </w:rPr>
      </w:pPr>
    </w:p>
    <w:p w14:paraId="04A26200" w14:textId="77777777" w:rsidR="00325766" w:rsidRDefault="00000000">
      <w:pPr>
        <w:pStyle w:val="Standard"/>
        <w:spacing w:line="276" w:lineRule="auto"/>
      </w:pPr>
      <w:r>
        <w:rPr>
          <w:szCs w:val="18"/>
        </w:rPr>
        <w:t xml:space="preserve">Below the sample, an expansion chamber at pressure </w:t>
      </w:r>
      <w:r>
        <w:rPr>
          <w:i/>
          <w:iCs/>
          <w:szCs w:val="18"/>
        </w:rPr>
        <w:t>P</w:t>
      </w:r>
      <w:r>
        <w:rPr>
          <w:szCs w:val="18"/>
          <w:vertAlign w:val="subscript"/>
        </w:rPr>
        <w:t>1</w:t>
      </w:r>
      <w:r>
        <w:rPr>
          <w:szCs w:val="18"/>
        </w:rPr>
        <w:t xml:space="preserve"> allowed the even distribution of the air through the packed bed. The flow was controlled by valves and measured with different rotameters. Three rotameters were used for different ranges of flow rate as schematized in Figure 1.</w:t>
      </w:r>
    </w:p>
    <w:p w14:paraId="64963E7D" w14:textId="77777777" w:rsidR="00325766" w:rsidRDefault="00325766">
      <w:pPr>
        <w:pStyle w:val="Standard"/>
        <w:spacing w:line="276" w:lineRule="auto"/>
        <w:jc w:val="left"/>
        <w:rPr>
          <w:szCs w:val="18"/>
        </w:rPr>
      </w:pPr>
    </w:p>
    <w:p w14:paraId="72E82CDB" w14:textId="77777777" w:rsidR="00325766" w:rsidRDefault="00000000">
      <w:pPr>
        <w:pStyle w:val="Standard"/>
        <w:spacing w:line="276" w:lineRule="auto"/>
        <w:jc w:val="left"/>
      </w:pPr>
      <w:r>
        <w:rPr>
          <w:noProof/>
        </w:rPr>
        <w:drawing>
          <wp:inline distT="0" distB="0" distL="0" distR="0" wp14:anchorId="0EDEAFD1" wp14:editId="100BAEE2">
            <wp:extent cx="4319905" cy="2055495"/>
            <wp:effectExtent l="0" t="0" r="0" b="0"/>
            <wp:docPr id="3"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pic:cNvPicPr>
                      <a:picLocks noChangeAspect="1" noChangeArrowheads="1"/>
                    </pic:cNvPicPr>
                  </pic:nvPicPr>
                  <pic:blipFill>
                    <a:blip r:embed="rId7"/>
                    <a:stretch>
                      <a:fillRect/>
                    </a:stretch>
                  </pic:blipFill>
                  <pic:spPr bwMode="auto">
                    <a:xfrm>
                      <a:off x="0" y="0"/>
                      <a:ext cx="4319905" cy="2055495"/>
                    </a:xfrm>
                    <a:prstGeom prst="rect">
                      <a:avLst/>
                    </a:prstGeom>
                  </pic:spPr>
                </pic:pic>
              </a:graphicData>
            </a:graphic>
          </wp:inline>
        </w:drawing>
      </w:r>
    </w:p>
    <w:p w14:paraId="500DB988" w14:textId="77777777" w:rsidR="00325766" w:rsidRDefault="00000000">
      <w:pPr>
        <w:pStyle w:val="CETCaption"/>
      </w:pPr>
      <w:r>
        <w:rPr>
          <w:rStyle w:val="CETCaptionCarattere"/>
          <w:i/>
        </w:rPr>
        <w:t>Figure 1: Experimental set-up for permeability tests.</w:t>
      </w:r>
    </w:p>
    <w:p w14:paraId="39936681" w14:textId="77777777" w:rsidR="00325766" w:rsidRDefault="00000000">
      <w:pPr>
        <w:pStyle w:val="Standard"/>
        <w:spacing w:line="276" w:lineRule="auto"/>
      </w:pPr>
      <w:r>
        <w:rPr>
          <w:szCs w:val="18"/>
        </w:rPr>
        <w:t>Pressure drop Δ</w:t>
      </w:r>
      <w:r>
        <w:rPr>
          <w:i/>
          <w:iCs/>
          <w:szCs w:val="18"/>
        </w:rPr>
        <w:t>P</w:t>
      </w:r>
      <w:r>
        <w:rPr>
          <w:szCs w:val="18"/>
        </w:rPr>
        <w:t xml:space="preserve"> was measured with a digital micromanometer (Bluetooth testo 510i, Testo SpA) and recorded as a function of the air volumetric flow rate </w:t>
      </w:r>
      <w:r>
        <w:rPr>
          <w:i/>
          <w:iCs/>
          <w:szCs w:val="18"/>
        </w:rPr>
        <w:t>Q</w:t>
      </w:r>
      <w:r>
        <w:rPr>
          <w:szCs w:val="18"/>
        </w:rPr>
        <w:t xml:space="preserve">, measured with a rotameter. </w:t>
      </w:r>
      <w:r>
        <w:rPr>
          <w:i/>
          <w:iCs/>
          <w:szCs w:val="18"/>
        </w:rPr>
        <w:t>Q</w:t>
      </w:r>
      <w:r>
        <w:rPr>
          <w:szCs w:val="18"/>
        </w:rPr>
        <w:t xml:space="preserve"> was then converted to the superficial velocity by </w:t>
      </w:r>
      <w:r>
        <w:rPr>
          <w:i/>
          <w:iCs/>
          <w:szCs w:val="18"/>
        </w:rPr>
        <w:t>u</w:t>
      </w:r>
      <w:r>
        <w:rPr>
          <w:szCs w:val="18"/>
          <w:vertAlign w:val="subscript"/>
        </w:rPr>
        <w:t>s</w:t>
      </w:r>
      <w:r>
        <w:rPr>
          <w:szCs w:val="18"/>
        </w:rPr>
        <w:t>=</w:t>
      </w:r>
      <w:r>
        <w:rPr>
          <w:i/>
          <w:iCs/>
          <w:szCs w:val="18"/>
        </w:rPr>
        <w:t>Q</w:t>
      </w:r>
      <w:r>
        <w:rPr>
          <w:szCs w:val="18"/>
        </w:rPr>
        <w:t>/</w:t>
      </w:r>
      <w:r>
        <w:rPr>
          <w:i/>
          <w:iCs/>
          <w:szCs w:val="18"/>
        </w:rPr>
        <w:t>A</w:t>
      </w:r>
      <w:r>
        <w:rPr>
          <w:szCs w:val="18"/>
        </w:rPr>
        <w:t>. The collected data set (Δ</w:t>
      </w:r>
      <w:r>
        <w:rPr>
          <w:i/>
          <w:iCs/>
          <w:szCs w:val="18"/>
        </w:rPr>
        <w:t>P</w:t>
      </w:r>
      <w:r>
        <w:rPr>
          <w:szCs w:val="18"/>
        </w:rPr>
        <w:t xml:space="preserve"> vs. </w:t>
      </w:r>
      <w:r>
        <w:rPr>
          <w:i/>
          <w:iCs/>
          <w:szCs w:val="18"/>
        </w:rPr>
        <w:t>u</w:t>
      </w:r>
      <w:r>
        <w:rPr>
          <w:szCs w:val="18"/>
          <w:vertAlign w:val="subscript"/>
        </w:rPr>
        <w:t>s</w:t>
      </w:r>
      <w:r>
        <w:rPr>
          <w:szCs w:val="18"/>
        </w:rPr>
        <w:t>) was fitted according to the least-square method using a liner model of the type: Δ</w:t>
      </w:r>
      <w:r>
        <w:rPr>
          <w:i/>
          <w:iCs/>
          <w:szCs w:val="18"/>
        </w:rPr>
        <w:t>P</w:t>
      </w:r>
      <w:r>
        <w:rPr>
          <w:szCs w:val="18"/>
        </w:rPr>
        <w:t>/L=</w:t>
      </w:r>
      <w:r>
        <w:rPr>
          <w:i/>
          <w:iCs/>
          <w:szCs w:val="18"/>
        </w:rPr>
        <w:t>m·u</w:t>
      </w:r>
      <w:r>
        <w:rPr>
          <w:szCs w:val="18"/>
          <w:vertAlign w:val="subscript"/>
        </w:rPr>
        <w:t>s</w:t>
      </w:r>
      <w:r>
        <w:rPr>
          <w:szCs w:val="18"/>
        </w:rPr>
        <w:t xml:space="preserve">. The permeability parameter of Darcy equation in Eq(1) was then calculated from the fitting constant </w:t>
      </w:r>
      <w:r>
        <w:rPr>
          <w:i/>
          <w:iCs/>
          <w:szCs w:val="18"/>
        </w:rPr>
        <w:t>m</w:t>
      </w:r>
      <w:r>
        <w:rPr>
          <w:szCs w:val="18"/>
        </w:rPr>
        <w:t xml:space="preserve"> as </w:t>
      </w:r>
      <w:r>
        <w:rPr>
          <w:i/>
          <w:iCs/>
          <w:szCs w:val="18"/>
        </w:rPr>
        <w:t>k</w:t>
      </w:r>
      <w:r>
        <w:rPr>
          <w:szCs w:val="18"/>
        </w:rPr>
        <w:t xml:space="preserve"> = </w:t>
      </w:r>
      <w:r>
        <w:rPr>
          <w:i/>
          <w:iCs/>
          <w:szCs w:val="18"/>
        </w:rPr>
        <w:t>η</w:t>
      </w:r>
      <w:r>
        <w:rPr>
          <w:szCs w:val="18"/>
        </w:rPr>
        <w:t>/</w:t>
      </w:r>
      <w:r>
        <w:rPr>
          <w:i/>
          <w:iCs/>
          <w:szCs w:val="18"/>
        </w:rPr>
        <w:t>m</w:t>
      </w:r>
      <w:r>
        <w:rPr>
          <w:szCs w:val="18"/>
        </w:rPr>
        <w:t>.</w:t>
      </w:r>
    </w:p>
    <w:p w14:paraId="66D0435E" w14:textId="77777777" w:rsidR="00325766" w:rsidRDefault="00000000">
      <w:pPr>
        <w:pStyle w:val="Standard"/>
        <w:spacing w:line="276" w:lineRule="auto"/>
      </w:pPr>
      <w:r>
        <w:rPr>
          <w:szCs w:val="18"/>
        </w:rPr>
        <w:t xml:space="preserve">Care was given to the creation of the packed bed. The cylinder was filled simply pouring the powder in the cylinder or by pluviation from different heights or by tapping the cylinder after filling it to obtain beds with different packing porosity. Eq(3) was rearranged and used to calculate the diameter </w:t>
      </w:r>
      <w:r>
        <w:rPr>
          <w:i/>
          <w:iCs/>
          <w:szCs w:val="18"/>
        </w:rPr>
        <w:t>x</w:t>
      </w:r>
      <w:r>
        <w:rPr>
          <w:szCs w:val="18"/>
          <w:vertAlign w:val="subscript"/>
        </w:rPr>
        <w:t>ΔP</w:t>
      </w:r>
      <w:r>
        <w:rPr>
          <w:szCs w:val="18"/>
        </w:rPr>
        <w:t xml:space="preserve"> as: </w:t>
      </w:r>
      <w:r>
        <w:rPr>
          <w:szCs w:val="18"/>
        </w:rPr>
        <w:tab/>
      </w:r>
      <w:r>
        <w:rPr>
          <w:szCs w:val="18"/>
        </w:rPr>
        <w:tab/>
      </w:r>
    </w:p>
    <w:tbl>
      <w:tblPr>
        <w:tblW w:w="5000" w:type="pct"/>
        <w:tblInd w:w="109" w:type="dxa"/>
        <w:tblLayout w:type="fixed"/>
        <w:tblLook w:val="04A0" w:firstRow="1" w:lastRow="0" w:firstColumn="1" w:lastColumn="0" w:noHBand="0" w:noVBand="1"/>
      </w:tblPr>
      <w:tblGrid>
        <w:gridCol w:w="8179"/>
        <w:gridCol w:w="824"/>
      </w:tblGrid>
      <w:tr w:rsidR="00325766" w14:paraId="258EED2A" w14:textId="77777777">
        <w:tc>
          <w:tcPr>
            <w:tcW w:w="7982" w:type="dxa"/>
            <w:vAlign w:val="center"/>
          </w:tcPr>
          <w:p w14:paraId="5EB56B8D" w14:textId="77777777" w:rsidR="00325766" w:rsidRDefault="00000000">
            <w:pPr>
              <w:pStyle w:val="CETEquation"/>
              <w:widowControl w:val="0"/>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ΔP</m:t>
                    </m:r>
                  </m:sub>
                </m:sSub>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180⋅η⋅</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1-ε</m:t>
                                    </m:r>
                                  </m:e>
                                </m:d>
                              </m:e>
                              <m:sup>
                                <m:r>
                                  <w:rPr>
                                    <w:rFonts w:ascii="Cambria Math" w:hAnsi="Cambria Math"/>
                                  </w:rPr>
                                  <m:t>2</m:t>
                                </m:r>
                              </m:sup>
                            </m:sSup>
                          </m:num>
                          <m:den>
                            <m:sSup>
                              <m:sSupPr>
                                <m:ctrlPr>
                                  <w:rPr>
                                    <w:rFonts w:ascii="Cambria Math" w:hAnsi="Cambria Math"/>
                                  </w:rPr>
                                </m:ctrlPr>
                              </m:sSupPr>
                              <m:e>
                                <m:r>
                                  <w:rPr>
                                    <w:rFonts w:ascii="Cambria Math" w:hAnsi="Cambria Math"/>
                                  </w:rPr>
                                  <m:t>ε</m:t>
                                </m:r>
                              </m:e>
                              <m:sup>
                                <m:r>
                                  <w:rPr>
                                    <w:rFonts w:ascii="Cambria Math" w:hAnsi="Cambria Math"/>
                                  </w:rPr>
                                  <m:t>3</m:t>
                                </m:r>
                              </m:sup>
                            </m:sSup>
                          </m:den>
                        </m:f>
                        <m:r>
                          <w:rPr>
                            <w:rFonts w:ascii="Cambria Math" w:hAnsi="Cambria Math"/>
                          </w:rPr>
                          <m:t>⋅</m:t>
                        </m:r>
                        <m:f>
                          <m:fPr>
                            <m:ctrlPr>
                              <w:rPr>
                                <w:rFonts w:ascii="Cambria Math" w:hAnsi="Cambria Math"/>
                              </w:rPr>
                            </m:ctrlPr>
                          </m:fPr>
                          <m:num>
                            <m:r>
                              <w:rPr>
                                <w:rFonts w:ascii="Cambria Math" w:hAnsi="Cambria Math"/>
                              </w:rPr>
                              <m:t>1</m:t>
                            </m:r>
                          </m:num>
                          <m:den>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m:t>
                                    </m:r>
                                  </m:e>
                                  <m:sub>
                                    <m:r>
                                      <w:rPr>
                                        <w:rFonts w:ascii="Cambria Math" w:hAnsi="Cambria Math"/>
                                      </w:rPr>
                                      <m:t>s</m:t>
                                    </m:r>
                                  </m:sub>
                                </m:sSub>
                              </m:den>
                            </m:f>
                            <m:f>
                              <m:fPr>
                                <m:ctrlPr>
                                  <w:rPr>
                                    <w:rFonts w:ascii="Cambria Math" w:hAnsi="Cambria Math"/>
                                  </w:rPr>
                                </m:ctrlPr>
                              </m:fPr>
                              <m:num>
                                <m:r>
                                  <w:rPr>
                                    <w:rFonts w:ascii="Cambria Math" w:hAnsi="Cambria Math"/>
                                  </w:rPr>
                                  <m:t>ΔP</m:t>
                                </m:r>
                              </m:num>
                              <m:den>
                                <m:r>
                                  <w:rPr>
                                    <w:rFonts w:ascii="Cambria Math" w:hAnsi="Cambria Math"/>
                                  </w:rPr>
                                  <m:t>L</m:t>
                                </m:r>
                              </m:den>
                            </m:f>
                          </m:den>
                        </m:f>
                      </m:e>
                    </m:d>
                  </m:e>
                  <m:sup>
                    <m:r>
                      <w:rPr>
                        <w:rFonts w:ascii="Cambria Math" w:hAnsi="Cambria Math"/>
                      </w:rPr>
                      <m:t>0.5</m:t>
                    </m:r>
                  </m:sup>
                </m:sSup>
              </m:oMath>
            </m:oMathPara>
          </w:p>
        </w:tc>
        <w:tc>
          <w:tcPr>
            <w:tcW w:w="804" w:type="dxa"/>
            <w:vAlign w:val="center"/>
          </w:tcPr>
          <w:p w14:paraId="70EBEA78" w14:textId="77777777" w:rsidR="00325766" w:rsidRDefault="00000000">
            <w:pPr>
              <w:pStyle w:val="Standard"/>
              <w:widowControl w:val="0"/>
              <w:spacing w:before="120" w:after="120" w:line="276" w:lineRule="auto"/>
              <w:jc w:val="left"/>
              <w:rPr>
                <w:szCs w:val="18"/>
              </w:rPr>
            </w:pPr>
            <w:r>
              <w:rPr>
                <w:szCs w:val="18"/>
              </w:rPr>
              <w:t>(7)</w:t>
            </w:r>
          </w:p>
        </w:tc>
      </w:tr>
    </w:tbl>
    <w:p w14:paraId="772D2990" w14:textId="77777777" w:rsidR="00325766" w:rsidRDefault="00000000">
      <w:pPr>
        <w:pStyle w:val="Standard"/>
        <w:spacing w:line="276" w:lineRule="auto"/>
      </w:pPr>
      <w:r>
        <w:rPr>
          <w:i/>
          <w:iCs/>
          <w:szCs w:val="18"/>
        </w:rPr>
        <w:t>ε</w:t>
      </w:r>
      <w:r>
        <w:rPr>
          <w:szCs w:val="18"/>
        </w:rPr>
        <w:t xml:space="preserve"> and the group 1/</w:t>
      </w:r>
      <w:r>
        <w:rPr>
          <w:i/>
          <w:iCs/>
          <w:szCs w:val="18"/>
        </w:rPr>
        <w:t>u</w:t>
      </w:r>
      <w:r>
        <w:rPr>
          <w:szCs w:val="18"/>
          <w:vertAlign w:val="subscript"/>
        </w:rPr>
        <w:t>s</w:t>
      </w:r>
      <w:r>
        <w:rPr>
          <w:rFonts w:cs="Arial"/>
          <w:szCs w:val="18"/>
        </w:rPr>
        <w:t>∙</w:t>
      </w:r>
      <w:r>
        <w:rPr>
          <w:rFonts w:ascii="Calibri Greek" w:hAnsi="Calibri Greek"/>
          <w:szCs w:val="18"/>
        </w:rPr>
        <w:t>Δ</w:t>
      </w:r>
      <w:r>
        <w:rPr>
          <w:i/>
          <w:iCs/>
          <w:szCs w:val="18"/>
        </w:rPr>
        <w:t>P</w:t>
      </w:r>
      <w:r>
        <w:rPr>
          <w:szCs w:val="18"/>
        </w:rPr>
        <w:t>/L</w:t>
      </w:r>
      <w:r>
        <w:t xml:space="preserve"> </w:t>
      </w:r>
      <w:r>
        <w:rPr>
          <w:szCs w:val="18"/>
        </w:rPr>
        <w:t xml:space="preserve">in this equation are measured quantities and </w:t>
      </w:r>
      <w:r>
        <w:rPr>
          <w:i/>
          <w:iCs/>
          <w:szCs w:val="18"/>
        </w:rPr>
        <w:t>x</w:t>
      </w:r>
      <w:r>
        <w:rPr>
          <w:szCs w:val="18"/>
          <w:vertAlign w:val="subscript"/>
        </w:rPr>
        <w:t>ΔP</w:t>
      </w:r>
      <w:r>
        <w:rPr>
          <w:szCs w:val="18"/>
        </w:rPr>
        <w:t xml:space="preserve"> with subscript Δ</w:t>
      </w:r>
      <w:r>
        <w:rPr>
          <w:i/>
          <w:iCs/>
          <w:szCs w:val="18"/>
        </w:rPr>
        <w:t xml:space="preserve">P </w:t>
      </w:r>
      <w:r>
        <w:rPr>
          <w:szCs w:val="18"/>
        </w:rPr>
        <w:t xml:space="preserve">indicates that the diameter comes from permeability tests.  </w:t>
      </w:r>
    </w:p>
    <w:p w14:paraId="1AA07A31" w14:textId="793287C2" w:rsidR="00325766" w:rsidRDefault="00000000">
      <w:pPr>
        <w:pStyle w:val="Standard"/>
        <w:spacing w:line="276" w:lineRule="auto"/>
      </w:pPr>
      <w:r>
        <w:rPr>
          <w:szCs w:val="18"/>
        </w:rPr>
        <w:t xml:space="preserve">Four different materials (glass </w:t>
      </w:r>
      <w:r w:rsidR="00727E2D">
        <w:rPr>
          <w:szCs w:val="18"/>
        </w:rPr>
        <w:t>beads</w:t>
      </w:r>
      <w:r>
        <w:rPr>
          <w:szCs w:val="18"/>
        </w:rPr>
        <w:t>, granulated microcrystalline cellulose, MCC, sodium chloride crystals, tetraacetylethylenediamine powders, TAED) in the size range 700-1000 µm (by sieve analysis) have been analysed. Particles had similar size but where different for particle shape and surface roughness (Figure 2). For comparing permeability test results, the size of the particles was measured also by optical microscopy and Image Analysis (IA) and by Laser Light Scattering, LLS (</w:t>
      </w:r>
      <w:r>
        <w:t>Malvern Hydro 2000, Malvern, UK</w:t>
      </w:r>
      <w:r>
        <w:rPr>
          <w:szCs w:val="18"/>
        </w:rPr>
        <w:t xml:space="preserve">). Images were analysed with the software Fiji (Schindelin et al., 2012). The Sauter mean diameters </w:t>
      </w:r>
      <w:r>
        <w:rPr>
          <w:i/>
          <w:iCs/>
          <w:szCs w:val="18"/>
        </w:rPr>
        <w:t>x</w:t>
      </w:r>
      <w:r>
        <w:rPr>
          <w:szCs w:val="18"/>
          <w:vertAlign w:val="subscript"/>
        </w:rPr>
        <w:t>32</w:t>
      </w:r>
      <w:r>
        <w:rPr>
          <w:szCs w:val="18"/>
        </w:rPr>
        <w:t xml:space="preserve">, were then calculated from the particle size distributions (PSDs) obtained from the two methods and are here indicated as </w:t>
      </w:r>
      <w:r>
        <w:rPr>
          <w:i/>
          <w:iCs/>
          <w:szCs w:val="18"/>
        </w:rPr>
        <w:t>x</w:t>
      </w:r>
      <w:r>
        <w:rPr>
          <w:szCs w:val="18"/>
          <w:vertAlign w:val="subscript"/>
        </w:rPr>
        <w:t>IA</w:t>
      </w:r>
      <w:r>
        <w:rPr>
          <w:szCs w:val="18"/>
        </w:rPr>
        <w:t xml:space="preserve"> and  </w:t>
      </w:r>
      <w:r>
        <w:rPr>
          <w:i/>
          <w:iCs/>
          <w:szCs w:val="18"/>
        </w:rPr>
        <w:t>x</w:t>
      </w:r>
      <w:r>
        <w:rPr>
          <w:szCs w:val="18"/>
          <w:vertAlign w:val="subscript"/>
        </w:rPr>
        <w:t>LLS</w:t>
      </w:r>
      <w:r>
        <w:rPr>
          <w:szCs w:val="18"/>
        </w:rPr>
        <w:t xml:space="preserve"> respectively.</w:t>
      </w:r>
    </w:p>
    <w:p w14:paraId="197C6D77" w14:textId="77777777" w:rsidR="00325766" w:rsidRDefault="00325766">
      <w:pPr>
        <w:pStyle w:val="Standard"/>
        <w:spacing w:line="276" w:lineRule="auto"/>
        <w:rPr>
          <w:szCs w:val="18"/>
        </w:rPr>
      </w:pPr>
    </w:p>
    <w:p w14:paraId="55802288" w14:textId="77777777" w:rsidR="00325766" w:rsidRDefault="00000000">
      <w:pPr>
        <w:pStyle w:val="Standard"/>
        <w:spacing w:line="276" w:lineRule="auto"/>
        <w:jc w:val="left"/>
      </w:pPr>
      <w:r>
        <w:rPr>
          <w:noProof/>
        </w:rPr>
        <w:lastRenderedPageBreak/>
        <w:drawing>
          <wp:inline distT="0" distB="0" distL="0" distR="0" wp14:anchorId="2B40D24B" wp14:editId="70D057F1">
            <wp:extent cx="720090" cy="720090"/>
            <wp:effectExtent l="0" t="0" r="0" b="0"/>
            <wp:docPr id="4"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pic:cNvPicPr>
                      <a:picLocks noChangeAspect="1" noChangeArrowheads="1"/>
                    </pic:cNvPicPr>
                  </pic:nvPicPr>
                  <pic:blipFill>
                    <a:blip r:embed="rId8"/>
                    <a:stretch>
                      <a:fillRect/>
                    </a:stretch>
                  </pic:blipFill>
                  <pic:spPr bwMode="auto">
                    <a:xfrm>
                      <a:off x="0" y="0"/>
                      <a:ext cx="720090" cy="720090"/>
                    </a:xfrm>
                    <a:prstGeom prst="rect">
                      <a:avLst/>
                    </a:prstGeom>
                  </pic:spPr>
                </pic:pic>
              </a:graphicData>
            </a:graphic>
          </wp:inline>
        </w:drawing>
      </w:r>
      <w:r>
        <w:rPr>
          <w:i/>
          <w:iCs/>
          <w:szCs w:val="18"/>
        </w:rPr>
        <w:t xml:space="preserve">  </w:t>
      </w:r>
      <w:r>
        <w:rPr>
          <w:noProof/>
        </w:rPr>
        <w:drawing>
          <wp:inline distT="0" distB="0" distL="0" distR="0" wp14:anchorId="03CAAA72" wp14:editId="10F98E7D">
            <wp:extent cx="720090" cy="720090"/>
            <wp:effectExtent l="0" t="0" r="0" b="0"/>
            <wp:docPr id="5"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5"/>
                    <pic:cNvPicPr>
                      <a:picLocks noChangeAspect="1" noChangeArrowheads="1"/>
                    </pic:cNvPicPr>
                  </pic:nvPicPr>
                  <pic:blipFill>
                    <a:blip r:embed="rId9"/>
                    <a:stretch>
                      <a:fillRect/>
                    </a:stretch>
                  </pic:blipFill>
                  <pic:spPr bwMode="auto">
                    <a:xfrm>
                      <a:off x="0" y="0"/>
                      <a:ext cx="720090" cy="720090"/>
                    </a:xfrm>
                    <a:prstGeom prst="rect">
                      <a:avLst/>
                    </a:prstGeom>
                  </pic:spPr>
                </pic:pic>
              </a:graphicData>
            </a:graphic>
          </wp:inline>
        </w:drawing>
      </w:r>
      <w:r>
        <w:rPr>
          <w:i/>
          <w:iCs/>
          <w:szCs w:val="18"/>
        </w:rPr>
        <w:t xml:space="preserve">  </w:t>
      </w:r>
      <w:r>
        <w:rPr>
          <w:noProof/>
        </w:rPr>
        <w:drawing>
          <wp:inline distT="0" distB="0" distL="0" distR="0" wp14:anchorId="50DC184B" wp14:editId="269CC8A5">
            <wp:extent cx="720090" cy="720090"/>
            <wp:effectExtent l="0" t="0" r="0" b="0"/>
            <wp:docPr id="6"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7"/>
                    <pic:cNvPicPr>
                      <a:picLocks noChangeAspect="1" noChangeArrowheads="1"/>
                    </pic:cNvPicPr>
                  </pic:nvPicPr>
                  <pic:blipFill>
                    <a:blip r:embed="rId10"/>
                    <a:stretch>
                      <a:fillRect/>
                    </a:stretch>
                  </pic:blipFill>
                  <pic:spPr bwMode="auto">
                    <a:xfrm>
                      <a:off x="0" y="0"/>
                      <a:ext cx="720090" cy="720090"/>
                    </a:xfrm>
                    <a:prstGeom prst="rect">
                      <a:avLst/>
                    </a:prstGeom>
                  </pic:spPr>
                </pic:pic>
              </a:graphicData>
            </a:graphic>
          </wp:inline>
        </w:drawing>
      </w:r>
      <w:r>
        <w:rPr>
          <w:i/>
          <w:iCs/>
          <w:szCs w:val="18"/>
        </w:rPr>
        <w:t xml:space="preserve">  </w:t>
      </w:r>
      <w:r>
        <w:rPr>
          <w:noProof/>
        </w:rPr>
        <w:drawing>
          <wp:inline distT="0" distB="0" distL="0" distR="0" wp14:anchorId="67CA1BC9" wp14:editId="4F98D08D">
            <wp:extent cx="720090" cy="720090"/>
            <wp:effectExtent l="0" t="0" r="0" b="0"/>
            <wp:docPr id="7"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2"/>
                    <pic:cNvPicPr>
                      <a:picLocks noChangeAspect="1" noChangeArrowheads="1"/>
                    </pic:cNvPicPr>
                  </pic:nvPicPr>
                  <pic:blipFill>
                    <a:blip r:embed="rId11"/>
                    <a:stretch>
                      <a:fillRect/>
                    </a:stretch>
                  </pic:blipFill>
                  <pic:spPr bwMode="auto">
                    <a:xfrm>
                      <a:off x="0" y="0"/>
                      <a:ext cx="720090" cy="720090"/>
                    </a:xfrm>
                    <a:prstGeom prst="rect">
                      <a:avLst/>
                    </a:prstGeom>
                  </pic:spPr>
                </pic:pic>
              </a:graphicData>
            </a:graphic>
          </wp:inline>
        </w:drawing>
      </w:r>
    </w:p>
    <w:p w14:paraId="2FB98D01" w14:textId="77777777" w:rsidR="00325766" w:rsidRDefault="00000000">
      <w:pPr>
        <w:pStyle w:val="Standard"/>
        <w:tabs>
          <w:tab w:val="clear" w:pos="7100"/>
          <w:tab w:val="left" w:pos="564"/>
          <w:tab w:val="left" w:pos="1757"/>
          <w:tab w:val="left" w:pos="2950"/>
          <w:tab w:val="left" w:pos="4193"/>
        </w:tabs>
        <w:spacing w:line="276" w:lineRule="auto"/>
        <w:jc w:val="left"/>
        <w:rPr>
          <w:i/>
          <w:iCs/>
          <w:szCs w:val="18"/>
        </w:rPr>
      </w:pPr>
      <w:r>
        <w:rPr>
          <w:i/>
          <w:iCs/>
          <w:szCs w:val="18"/>
        </w:rPr>
        <w:tab/>
        <w:t>a</w:t>
      </w:r>
      <w:r>
        <w:rPr>
          <w:i/>
          <w:iCs/>
          <w:szCs w:val="18"/>
        </w:rPr>
        <w:tab/>
        <w:t>b</w:t>
      </w:r>
      <w:r>
        <w:rPr>
          <w:i/>
          <w:iCs/>
          <w:szCs w:val="18"/>
        </w:rPr>
        <w:tab/>
        <w:t>c</w:t>
      </w:r>
      <w:r>
        <w:rPr>
          <w:i/>
          <w:iCs/>
          <w:szCs w:val="18"/>
        </w:rPr>
        <w:tab/>
        <w:t>d</w:t>
      </w:r>
    </w:p>
    <w:p w14:paraId="7C6331C8" w14:textId="77777777" w:rsidR="00325766" w:rsidRDefault="00000000">
      <w:pPr>
        <w:pStyle w:val="CETCaption"/>
      </w:pPr>
      <w:r>
        <w:rPr>
          <w:rStyle w:val="CETCaptionCarattere"/>
          <w:i/>
        </w:rPr>
        <w:t>Figure 2: Powder used for the tests: a. glass beads, b. TAED powders, c. Salt (NaCl), d. granulated MCC.</w:t>
      </w:r>
    </w:p>
    <w:p w14:paraId="0479BE5F" w14:textId="77777777" w:rsidR="00325766" w:rsidRDefault="00000000">
      <w:pPr>
        <w:pStyle w:val="CETHeading1"/>
        <w:numPr>
          <w:ilvl w:val="1"/>
          <w:numId w:val="1"/>
        </w:numPr>
        <w:rPr>
          <w:lang w:val="en-GB"/>
        </w:rPr>
      </w:pPr>
      <w:r>
        <w:rPr>
          <w:lang w:val="en-GB"/>
        </w:rPr>
        <w:t>Results and Discussion</w:t>
      </w:r>
    </w:p>
    <w:p w14:paraId="4D88E79A" w14:textId="77777777" w:rsidR="00325766" w:rsidRDefault="00000000">
      <w:pPr>
        <w:pStyle w:val="Standard"/>
        <w:spacing w:line="276" w:lineRule="auto"/>
        <w:jc w:val="left"/>
        <w:rPr>
          <w:b/>
          <w:bCs/>
          <w:szCs w:val="18"/>
        </w:rPr>
      </w:pPr>
      <w:r>
        <w:rPr>
          <w:b/>
          <w:bCs/>
          <w:szCs w:val="18"/>
        </w:rPr>
        <w:t>Results and discussion</w:t>
      </w:r>
    </w:p>
    <w:p w14:paraId="1829D56A" w14:textId="177F749F" w:rsidR="00325766" w:rsidRDefault="00000000">
      <w:pPr>
        <w:pStyle w:val="Standard"/>
        <w:spacing w:line="276" w:lineRule="auto"/>
      </w:pPr>
      <w:r>
        <w:rPr>
          <w:szCs w:val="18"/>
        </w:rPr>
        <w:t xml:space="preserve">It is clear from Eq(7) that for the same granular material (made of particles with the same size) different diameters </w:t>
      </w:r>
      <w:r>
        <w:rPr>
          <w:i/>
          <w:iCs/>
          <w:szCs w:val="18"/>
        </w:rPr>
        <w:t>x</w:t>
      </w:r>
      <w:r>
        <w:rPr>
          <w:szCs w:val="18"/>
          <w:vertAlign w:val="subscript"/>
        </w:rPr>
        <w:t>ΔP</w:t>
      </w:r>
      <w:r>
        <w:rPr>
          <w:szCs w:val="18"/>
        </w:rPr>
        <w:t xml:space="preserve"> can be calculated as a function of </w:t>
      </w:r>
      <w:r w:rsidR="0084559D">
        <w:rPr>
          <w:szCs w:val="18"/>
        </w:rPr>
        <w:t>bulk</w:t>
      </w:r>
      <w:r>
        <w:rPr>
          <w:szCs w:val="18"/>
        </w:rPr>
        <w:t xml:space="preserve"> porosity simply by changing the packing level of the granular bed. The same powder, packed in different ways (i.e., with different </w:t>
      </w:r>
      <w:r>
        <w:rPr>
          <w:i/>
          <w:iCs/>
          <w:szCs w:val="18"/>
        </w:rPr>
        <w:t>ε</w:t>
      </w:r>
      <w:r>
        <w:rPr>
          <w:szCs w:val="18"/>
        </w:rPr>
        <w:t xml:space="preserve">), appears to be made of particles with different average size. Figure 3 shows the trend of </w:t>
      </w:r>
      <w:r>
        <w:rPr>
          <w:i/>
          <w:iCs/>
          <w:szCs w:val="18"/>
        </w:rPr>
        <w:t>x</w:t>
      </w:r>
      <w:r>
        <w:rPr>
          <w:szCs w:val="18"/>
          <w:vertAlign w:val="subscript"/>
        </w:rPr>
        <w:t>ΔP</w:t>
      </w:r>
      <w:r>
        <w:rPr>
          <w:szCs w:val="18"/>
        </w:rPr>
        <w:t xml:space="preserve"> </w:t>
      </w:r>
      <w:r>
        <w:rPr>
          <w:i/>
          <w:iCs/>
          <w:szCs w:val="18"/>
        </w:rPr>
        <w:t>vs</w:t>
      </w:r>
      <w:r>
        <w:rPr>
          <w:szCs w:val="18"/>
        </w:rPr>
        <w:t xml:space="preserve"> </w:t>
      </w:r>
      <w:r>
        <w:rPr>
          <w:i/>
          <w:iCs/>
          <w:szCs w:val="18"/>
        </w:rPr>
        <w:t>ε</w:t>
      </w:r>
      <w:r>
        <w:rPr>
          <w:szCs w:val="18"/>
        </w:rPr>
        <w:t>.</w:t>
      </w:r>
    </w:p>
    <w:p w14:paraId="17ED0E84" w14:textId="77777777" w:rsidR="00325766" w:rsidRDefault="00325766">
      <w:pPr>
        <w:pStyle w:val="Standard"/>
        <w:spacing w:line="276" w:lineRule="auto"/>
      </w:pPr>
    </w:p>
    <w:p w14:paraId="7C528A9B" w14:textId="77777777" w:rsidR="00325766" w:rsidRDefault="00000000">
      <w:pPr>
        <w:pStyle w:val="Standard"/>
        <w:spacing w:line="276" w:lineRule="auto"/>
        <w:jc w:val="left"/>
      </w:pPr>
      <w:r>
        <w:rPr>
          <w:noProof/>
        </w:rPr>
        <w:drawing>
          <wp:inline distT="0" distB="0" distL="0" distR="0" wp14:anchorId="34858598" wp14:editId="3548B1A4">
            <wp:extent cx="3117850" cy="2339532"/>
            <wp:effectExtent l="0" t="0" r="0" b="0"/>
            <wp:docPr id="8"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117850" cy="2339532"/>
                    </a:xfrm>
                    <a:prstGeom prst="rect">
                      <a:avLst/>
                    </a:prstGeom>
                  </pic:spPr>
                </pic:pic>
              </a:graphicData>
            </a:graphic>
          </wp:inline>
        </w:drawing>
      </w:r>
      <w:r>
        <w:rPr>
          <w:szCs w:val="18"/>
        </w:rPr>
        <w:t xml:space="preserve"> </w:t>
      </w:r>
    </w:p>
    <w:p w14:paraId="059C6668" w14:textId="77777777" w:rsidR="00325766" w:rsidRDefault="00000000">
      <w:pPr>
        <w:pStyle w:val="CETCaption"/>
      </w:pPr>
      <w:r>
        <w:rPr>
          <w:rStyle w:val="CETCaptionCarattere"/>
          <w:i/>
        </w:rPr>
        <w:t>Figure 3: Particle size calculated from permeability test results using Eq(7).</w:t>
      </w:r>
    </w:p>
    <w:p w14:paraId="5C114E44" w14:textId="06F9339A" w:rsidR="00325766" w:rsidRDefault="00000000">
      <w:pPr>
        <w:pStyle w:val="CETCaption"/>
      </w:pPr>
      <w:r>
        <w:t xml:space="preserve">Table 3: </w:t>
      </w:r>
      <w:r w:rsidR="0084559D">
        <w:t>Bulk p</w:t>
      </w:r>
      <w:r>
        <w:t xml:space="preserve">orosity, circularity </w:t>
      </w:r>
      <w:r w:rsidR="00727E2D">
        <w:t>(</w:t>
      </w:r>
      <w:r w:rsidR="00727E2D">
        <w:rPr>
          <w:iCs/>
          <w:szCs w:val="18"/>
        </w:rPr>
        <w:t>ϕ</w:t>
      </w:r>
      <w:r w:rsidR="00727E2D">
        <w:rPr>
          <w:szCs w:val="18"/>
          <w:vertAlign w:val="subscript"/>
        </w:rPr>
        <w:t>c</w:t>
      </w:r>
      <w:r w:rsidR="00727E2D">
        <w:t>=[</w:t>
      </w:r>
      <w:r w:rsidR="0084559D">
        <w:t>4</w:t>
      </w:r>
      <w:r w:rsidR="0084559D">
        <w:rPr>
          <w:rFonts w:cs="Arial"/>
        </w:rPr>
        <w:t>π</w:t>
      </w:r>
      <w:r w:rsidR="00727E2D">
        <w:t>A</w:t>
      </w:r>
      <w:r w:rsidR="00727E2D" w:rsidRPr="00727E2D">
        <w:rPr>
          <w:vertAlign w:val="subscript"/>
        </w:rPr>
        <w:t>p</w:t>
      </w:r>
      <w:r w:rsidR="00727E2D">
        <w:t>]</w:t>
      </w:r>
      <w:r w:rsidR="00727E2D" w:rsidRPr="00727E2D">
        <w:rPr>
          <w:vertAlign w:val="superscript"/>
        </w:rPr>
        <w:t>0.5</w:t>
      </w:r>
      <w:r w:rsidR="0084559D">
        <w:t>/P</w:t>
      </w:r>
      <w:r w:rsidR="00727E2D">
        <w:t xml:space="preserve">) </w:t>
      </w:r>
      <w:r>
        <w:t>and particle sizes estimated using the different methods.</w:t>
      </w:r>
    </w:p>
    <w:tbl>
      <w:tblPr>
        <w:tblW w:w="8163" w:type="dxa"/>
        <w:tblLayout w:type="fixed"/>
        <w:tblCellMar>
          <w:left w:w="0" w:type="dxa"/>
          <w:right w:w="0" w:type="dxa"/>
        </w:tblCellMar>
        <w:tblLook w:val="04A0" w:firstRow="1" w:lastRow="0" w:firstColumn="1" w:lastColumn="0" w:noHBand="0" w:noVBand="1"/>
      </w:tblPr>
      <w:tblGrid>
        <w:gridCol w:w="1022"/>
        <w:gridCol w:w="1134"/>
        <w:gridCol w:w="1133"/>
        <w:gridCol w:w="1134"/>
        <w:gridCol w:w="1302"/>
        <w:gridCol w:w="1194"/>
        <w:gridCol w:w="1244"/>
      </w:tblGrid>
      <w:tr w:rsidR="00325766" w:rsidRPr="0084559D" w14:paraId="70FC909D" w14:textId="77777777">
        <w:tc>
          <w:tcPr>
            <w:tcW w:w="1021" w:type="dxa"/>
            <w:tcBorders>
              <w:top w:val="single" w:sz="12" w:space="0" w:color="008000"/>
              <w:bottom w:val="single" w:sz="6" w:space="0" w:color="008000"/>
            </w:tcBorders>
            <w:shd w:val="clear" w:color="auto" w:fill="FFFFFF"/>
          </w:tcPr>
          <w:p w14:paraId="1EF4602B" w14:textId="77777777" w:rsidR="00325766" w:rsidRDefault="00000000">
            <w:pPr>
              <w:pStyle w:val="CETBodytext"/>
              <w:widowControl w:val="0"/>
              <w:spacing w:line="276" w:lineRule="auto"/>
              <w:jc w:val="center"/>
              <w:rPr>
                <w:szCs w:val="18"/>
                <w:lang w:val="en-GB"/>
              </w:rPr>
            </w:pPr>
            <w:r>
              <w:rPr>
                <w:szCs w:val="18"/>
                <w:lang w:val="en-GB"/>
              </w:rPr>
              <w:t>Material</w:t>
            </w:r>
          </w:p>
        </w:tc>
        <w:tc>
          <w:tcPr>
            <w:tcW w:w="1134" w:type="dxa"/>
            <w:tcBorders>
              <w:top w:val="single" w:sz="12" w:space="0" w:color="008000"/>
              <w:bottom w:val="single" w:sz="6" w:space="0" w:color="008000"/>
            </w:tcBorders>
            <w:shd w:val="clear" w:color="auto" w:fill="FFFFFF"/>
          </w:tcPr>
          <w:p w14:paraId="201A26D1" w14:textId="77777777" w:rsidR="00325766" w:rsidRDefault="00000000">
            <w:pPr>
              <w:pStyle w:val="CETBodytext"/>
              <w:widowControl w:val="0"/>
              <w:spacing w:line="276" w:lineRule="auto"/>
              <w:jc w:val="center"/>
              <w:rPr>
                <w:szCs w:val="18"/>
                <w:lang w:val="en-GB"/>
              </w:rPr>
            </w:pPr>
            <w:r>
              <w:rPr>
                <w:szCs w:val="18"/>
                <w:lang w:val="en-GB"/>
              </w:rPr>
              <w:t xml:space="preserve">Porosity, ε </w:t>
            </w:r>
            <w:r>
              <w:rPr>
                <w:szCs w:val="18"/>
                <w:lang w:val="en-GB"/>
              </w:rPr>
              <w:br/>
            </w:r>
          </w:p>
          <w:p w14:paraId="264FE78F" w14:textId="77777777" w:rsidR="00325766" w:rsidRDefault="00000000">
            <w:pPr>
              <w:pStyle w:val="CETBodytext"/>
              <w:widowControl w:val="0"/>
              <w:spacing w:line="276" w:lineRule="auto"/>
              <w:jc w:val="center"/>
              <w:rPr>
                <w:szCs w:val="18"/>
                <w:lang w:val="en-GB"/>
              </w:rPr>
            </w:pPr>
            <w:r>
              <w:rPr>
                <w:szCs w:val="18"/>
                <w:lang w:val="en-GB"/>
              </w:rPr>
              <w:t>[-]</w:t>
            </w:r>
          </w:p>
        </w:tc>
        <w:tc>
          <w:tcPr>
            <w:tcW w:w="1133" w:type="dxa"/>
            <w:tcBorders>
              <w:top w:val="single" w:sz="12" w:space="0" w:color="008000"/>
              <w:bottom w:val="single" w:sz="6" w:space="0" w:color="008000"/>
            </w:tcBorders>
            <w:shd w:val="clear" w:color="auto" w:fill="FFFFFF"/>
          </w:tcPr>
          <w:p w14:paraId="6273254D" w14:textId="77777777" w:rsidR="00325766" w:rsidRDefault="00000000">
            <w:pPr>
              <w:pStyle w:val="CETBodytext"/>
              <w:widowControl w:val="0"/>
              <w:spacing w:line="276" w:lineRule="auto"/>
              <w:jc w:val="center"/>
              <w:rPr>
                <w:szCs w:val="18"/>
              </w:rPr>
            </w:pPr>
            <w:r>
              <w:rPr>
                <w:szCs w:val="18"/>
                <w:lang w:val="en-GB"/>
              </w:rPr>
              <w:t xml:space="preserve">Particle circularity, </w:t>
            </w:r>
            <w:r>
              <w:rPr>
                <w:i/>
                <w:iCs/>
                <w:szCs w:val="18"/>
                <w:lang w:val="en-GB"/>
              </w:rPr>
              <w:t>ϕ</w:t>
            </w:r>
            <w:r>
              <w:rPr>
                <w:szCs w:val="18"/>
                <w:vertAlign w:val="subscript"/>
                <w:lang w:val="en-GB"/>
              </w:rPr>
              <w:t>c</w:t>
            </w:r>
            <w:r>
              <w:rPr>
                <w:i/>
                <w:iCs/>
                <w:szCs w:val="18"/>
                <w:vertAlign w:val="subscript"/>
                <w:lang w:val="en-GB"/>
              </w:rPr>
              <w:br/>
            </w:r>
            <w:r>
              <w:rPr>
                <w:szCs w:val="18"/>
                <w:lang w:val="en-GB"/>
              </w:rPr>
              <w:t>[-]</w:t>
            </w:r>
          </w:p>
        </w:tc>
        <w:tc>
          <w:tcPr>
            <w:tcW w:w="1134" w:type="dxa"/>
            <w:tcBorders>
              <w:top w:val="single" w:sz="12" w:space="0" w:color="008000"/>
              <w:bottom w:val="single" w:sz="6" w:space="0" w:color="008000"/>
            </w:tcBorders>
            <w:shd w:val="clear" w:color="auto" w:fill="FFFFFF"/>
          </w:tcPr>
          <w:p w14:paraId="766AD855" w14:textId="77777777" w:rsidR="00325766" w:rsidRDefault="00000000">
            <w:pPr>
              <w:pStyle w:val="CETBodytext"/>
              <w:widowControl w:val="0"/>
              <w:spacing w:line="276" w:lineRule="auto"/>
              <w:jc w:val="center"/>
              <w:rPr>
                <w:szCs w:val="18"/>
              </w:rPr>
            </w:pPr>
            <w:r>
              <w:rPr>
                <w:i/>
                <w:iCs/>
                <w:szCs w:val="18"/>
                <w:lang w:val="en-GB"/>
              </w:rPr>
              <w:t>x</w:t>
            </w:r>
            <w:r>
              <w:rPr>
                <w:szCs w:val="18"/>
                <w:vertAlign w:val="subscript"/>
                <w:lang w:val="en-GB"/>
              </w:rPr>
              <w:t>ΔP</w:t>
            </w:r>
            <w:r>
              <w:rPr>
                <w:szCs w:val="18"/>
                <w:lang w:val="en-GB"/>
              </w:rPr>
              <w:t xml:space="preserve"> from Eq(4)</w:t>
            </w:r>
            <w:r>
              <w:rPr>
                <w:szCs w:val="18"/>
                <w:lang w:val="en-GB"/>
              </w:rPr>
              <w:br/>
            </w:r>
            <w:r>
              <w:rPr>
                <w:szCs w:val="18"/>
                <w:lang w:val="en-GB"/>
              </w:rPr>
              <w:br/>
              <w:t xml:space="preserve"> [µm]</w:t>
            </w:r>
          </w:p>
        </w:tc>
        <w:tc>
          <w:tcPr>
            <w:tcW w:w="1302" w:type="dxa"/>
            <w:tcBorders>
              <w:top w:val="single" w:sz="12" w:space="0" w:color="008000"/>
              <w:bottom w:val="single" w:sz="6" w:space="0" w:color="008000"/>
            </w:tcBorders>
            <w:shd w:val="clear" w:color="auto" w:fill="FFFFFF"/>
          </w:tcPr>
          <w:p w14:paraId="7BFA1B27" w14:textId="77777777" w:rsidR="00325766" w:rsidRDefault="00000000">
            <w:pPr>
              <w:pStyle w:val="CETBodytext"/>
              <w:widowControl w:val="0"/>
              <w:spacing w:line="276" w:lineRule="auto"/>
              <w:ind w:right="-1"/>
              <w:jc w:val="center"/>
              <w:rPr>
                <w:szCs w:val="18"/>
              </w:rPr>
            </w:pPr>
            <w:r>
              <w:rPr>
                <w:rFonts w:cs="Arial"/>
                <w:i/>
                <w:iCs/>
                <w:szCs w:val="18"/>
                <w:lang w:val="en-GB"/>
              </w:rPr>
              <w:t>x</w:t>
            </w:r>
            <w:r>
              <w:rPr>
                <w:rFonts w:cs="Arial"/>
                <w:szCs w:val="18"/>
                <w:vertAlign w:val="subscript"/>
                <w:lang w:val="en-GB"/>
              </w:rPr>
              <w:t>IA</w:t>
            </w:r>
            <w:r>
              <w:rPr>
                <w:rFonts w:cs="Arial"/>
                <w:szCs w:val="18"/>
                <w:lang w:val="en-GB"/>
              </w:rPr>
              <w:t xml:space="preserve"> from IA</w:t>
            </w:r>
            <w:r>
              <w:rPr>
                <w:rFonts w:cs="Arial"/>
                <w:szCs w:val="18"/>
                <w:lang w:val="en-GB"/>
              </w:rPr>
              <w:br/>
              <w:t>(number based)</w:t>
            </w:r>
            <w:r>
              <w:rPr>
                <w:rFonts w:cs="Arial"/>
                <w:szCs w:val="18"/>
                <w:lang w:val="en-GB"/>
              </w:rPr>
              <w:br/>
              <w:t>[</w:t>
            </w:r>
            <w:r>
              <w:rPr>
                <w:szCs w:val="18"/>
                <w:lang w:val="en-GB"/>
              </w:rPr>
              <w:t>µm</w:t>
            </w:r>
            <w:r>
              <w:rPr>
                <w:rFonts w:cs="Arial"/>
                <w:szCs w:val="18"/>
                <w:lang w:val="en-GB"/>
              </w:rPr>
              <w:t>]</w:t>
            </w:r>
          </w:p>
        </w:tc>
        <w:tc>
          <w:tcPr>
            <w:tcW w:w="1194" w:type="dxa"/>
            <w:tcBorders>
              <w:top w:val="single" w:sz="12" w:space="0" w:color="008000"/>
              <w:bottom w:val="single" w:sz="6" w:space="0" w:color="008000"/>
            </w:tcBorders>
            <w:shd w:val="clear" w:color="auto" w:fill="FFFFFF"/>
          </w:tcPr>
          <w:p w14:paraId="44F0A51F" w14:textId="77777777" w:rsidR="00325766" w:rsidRDefault="00000000">
            <w:pPr>
              <w:pStyle w:val="CETBodytext"/>
              <w:widowControl w:val="0"/>
              <w:spacing w:line="276" w:lineRule="auto"/>
              <w:ind w:right="-1"/>
              <w:jc w:val="center"/>
              <w:rPr>
                <w:szCs w:val="18"/>
              </w:rPr>
            </w:pPr>
            <w:r>
              <w:rPr>
                <w:rFonts w:cs="Arial"/>
                <w:i/>
                <w:iCs/>
                <w:szCs w:val="18"/>
                <w:lang w:val="en-GB"/>
              </w:rPr>
              <w:t>x</w:t>
            </w:r>
            <w:r>
              <w:rPr>
                <w:rFonts w:cs="Arial"/>
                <w:szCs w:val="18"/>
                <w:vertAlign w:val="subscript"/>
                <w:lang w:val="en-GB"/>
              </w:rPr>
              <w:t>LLS</w:t>
            </w:r>
            <w:r>
              <w:rPr>
                <w:rFonts w:cs="Arial"/>
                <w:szCs w:val="18"/>
                <w:lang w:val="en-GB"/>
              </w:rPr>
              <w:t xml:space="preserve"> from LLS</w:t>
            </w:r>
            <w:r>
              <w:rPr>
                <w:rFonts w:cs="Arial"/>
                <w:szCs w:val="18"/>
                <w:lang w:val="en-GB"/>
              </w:rPr>
              <w:br/>
              <w:t>(mass based)</w:t>
            </w:r>
            <w:r>
              <w:rPr>
                <w:rFonts w:cs="Arial"/>
                <w:szCs w:val="18"/>
                <w:lang w:val="en-GB"/>
              </w:rPr>
              <w:br/>
              <w:t>[</w:t>
            </w:r>
            <w:r>
              <w:rPr>
                <w:szCs w:val="18"/>
                <w:lang w:val="en-GB"/>
              </w:rPr>
              <w:t>µm</w:t>
            </w:r>
            <w:r>
              <w:rPr>
                <w:rFonts w:cs="Arial"/>
                <w:szCs w:val="18"/>
                <w:lang w:val="en-GB"/>
              </w:rPr>
              <w:t>]</w:t>
            </w:r>
          </w:p>
        </w:tc>
        <w:tc>
          <w:tcPr>
            <w:tcW w:w="1244" w:type="dxa"/>
            <w:tcBorders>
              <w:top w:val="single" w:sz="12" w:space="0" w:color="008000"/>
              <w:bottom w:val="single" w:sz="6" w:space="0" w:color="008000"/>
            </w:tcBorders>
            <w:shd w:val="clear" w:color="auto" w:fill="FFFFFF"/>
          </w:tcPr>
          <w:p w14:paraId="5EFB7D23" w14:textId="77777777" w:rsidR="00325766" w:rsidRDefault="00000000">
            <w:pPr>
              <w:pStyle w:val="CETBodytext"/>
              <w:widowControl w:val="0"/>
              <w:spacing w:line="276" w:lineRule="auto"/>
              <w:ind w:right="-1"/>
              <w:jc w:val="center"/>
              <w:rPr>
                <w:szCs w:val="18"/>
              </w:rPr>
            </w:pPr>
            <w:r>
              <w:rPr>
                <w:rFonts w:cs="Arial"/>
                <w:i/>
                <w:iCs/>
                <w:szCs w:val="18"/>
                <w:lang w:val="en-GB"/>
              </w:rPr>
              <w:t>x</w:t>
            </w:r>
            <w:r>
              <w:rPr>
                <w:rFonts w:cs="Arial"/>
                <w:szCs w:val="18"/>
                <w:vertAlign w:val="subscript"/>
                <w:lang w:val="en-GB"/>
              </w:rPr>
              <w:t>IA</w:t>
            </w:r>
            <w:r>
              <w:rPr>
                <w:rFonts w:cs="Arial"/>
                <w:szCs w:val="18"/>
                <w:lang w:val="en-GB"/>
              </w:rPr>
              <w:t xml:space="preserve"> from IA</w:t>
            </w:r>
            <w:r>
              <w:rPr>
                <w:rFonts w:cs="Arial"/>
                <w:szCs w:val="18"/>
                <w:lang w:val="en-GB"/>
              </w:rPr>
              <w:br/>
              <w:t>(mass based)</w:t>
            </w:r>
            <w:r>
              <w:rPr>
                <w:rFonts w:cs="Arial"/>
                <w:szCs w:val="18"/>
                <w:lang w:val="en-GB"/>
              </w:rPr>
              <w:br/>
              <w:t>[</w:t>
            </w:r>
            <w:r>
              <w:rPr>
                <w:szCs w:val="18"/>
                <w:lang w:val="en-GB"/>
              </w:rPr>
              <w:t>µm</w:t>
            </w:r>
            <w:r>
              <w:rPr>
                <w:rFonts w:cs="Arial"/>
                <w:szCs w:val="18"/>
                <w:lang w:val="en-GB"/>
              </w:rPr>
              <w:t>]</w:t>
            </w:r>
          </w:p>
        </w:tc>
      </w:tr>
      <w:tr w:rsidR="00325766" w14:paraId="6FCCEAFB" w14:textId="77777777">
        <w:tc>
          <w:tcPr>
            <w:tcW w:w="1021" w:type="dxa"/>
            <w:vMerge w:val="restart"/>
            <w:shd w:val="clear" w:color="auto" w:fill="FFFFFF"/>
            <w:tcMar>
              <w:top w:w="55" w:type="dxa"/>
              <w:left w:w="55" w:type="dxa"/>
              <w:bottom w:w="55" w:type="dxa"/>
              <w:right w:w="55" w:type="dxa"/>
            </w:tcMar>
            <w:vAlign w:val="center"/>
          </w:tcPr>
          <w:p w14:paraId="2444BC44" w14:textId="77777777" w:rsidR="00325766" w:rsidRDefault="00000000">
            <w:pPr>
              <w:pStyle w:val="CETBodytext"/>
              <w:widowControl w:val="0"/>
              <w:spacing w:line="216" w:lineRule="auto"/>
              <w:jc w:val="center"/>
              <w:rPr>
                <w:szCs w:val="18"/>
              </w:rPr>
            </w:pPr>
            <w:r>
              <w:rPr>
                <w:szCs w:val="18"/>
              </w:rPr>
              <w:t>MCC</w:t>
            </w:r>
          </w:p>
        </w:tc>
        <w:tc>
          <w:tcPr>
            <w:tcW w:w="1134" w:type="dxa"/>
            <w:shd w:val="clear" w:color="auto" w:fill="FFFFFF"/>
            <w:tcMar>
              <w:top w:w="55" w:type="dxa"/>
              <w:left w:w="55" w:type="dxa"/>
              <w:bottom w:w="55" w:type="dxa"/>
              <w:right w:w="55" w:type="dxa"/>
            </w:tcMar>
            <w:vAlign w:val="center"/>
          </w:tcPr>
          <w:p w14:paraId="7BF73F76" w14:textId="77777777" w:rsidR="00325766" w:rsidRDefault="00000000">
            <w:pPr>
              <w:pStyle w:val="CETBodytext"/>
              <w:widowControl w:val="0"/>
              <w:spacing w:line="216" w:lineRule="auto"/>
              <w:jc w:val="center"/>
              <w:rPr>
                <w:sz w:val="16"/>
                <w:szCs w:val="16"/>
              </w:rPr>
            </w:pPr>
            <w:r>
              <w:rPr>
                <w:sz w:val="16"/>
                <w:szCs w:val="16"/>
              </w:rPr>
              <w:t>0.253</w:t>
            </w:r>
          </w:p>
        </w:tc>
        <w:tc>
          <w:tcPr>
            <w:tcW w:w="1133" w:type="dxa"/>
            <w:vMerge w:val="restart"/>
            <w:shd w:val="clear" w:color="auto" w:fill="FFFFFF"/>
            <w:tcMar>
              <w:top w:w="55" w:type="dxa"/>
              <w:left w:w="55" w:type="dxa"/>
              <w:bottom w:w="55" w:type="dxa"/>
              <w:right w:w="55" w:type="dxa"/>
            </w:tcMar>
            <w:vAlign w:val="center"/>
          </w:tcPr>
          <w:p w14:paraId="574A8C00" w14:textId="77777777" w:rsidR="00325766" w:rsidRDefault="00000000">
            <w:pPr>
              <w:pStyle w:val="CETBodytext"/>
              <w:widowControl w:val="0"/>
              <w:spacing w:line="216" w:lineRule="auto"/>
              <w:jc w:val="center"/>
              <w:rPr>
                <w:sz w:val="16"/>
                <w:szCs w:val="16"/>
              </w:rPr>
            </w:pPr>
            <w:r>
              <w:rPr>
                <w:sz w:val="16"/>
                <w:szCs w:val="16"/>
              </w:rPr>
              <w:t>0.93</w:t>
            </w:r>
          </w:p>
        </w:tc>
        <w:tc>
          <w:tcPr>
            <w:tcW w:w="1134" w:type="dxa"/>
            <w:shd w:val="clear" w:color="auto" w:fill="FFFFFF"/>
            <w:tcMar>
              <w:top w:w="55" w:type="dxa"/>
              <w:left w:w="55" w:type="dxa"/>
              <w:bottom w:w="55" w:type="dxa"/>
              <w:right w:w="55" w:type="dxa"/>
            </w:tcMar>
            <w:vAlign w:val="center"/>
          </w:tcPr>
          <w:p w14:paraId="61E9B8D6" w14:textId="77777777" w:rsidR="00325766" w:rsidRDefault="00000000">
            <w:pPr>
              <w:pStyle w:val="CETBodytext"/>
              <w:widowControl w:val="0"/>
              <w:spacing w:line="216" w:lineRule="auto"/>
              <w:jc w:val="center"/>
              <w:rPr>
                <w:sz w:val="16"/>
                <w:szCs w:val="16"/>
              </w:rPr>
            </w:pPr>
            <w:r>
              <w:rPr>
                <w:sz w:val="16"/>
                <w:szCs w:val="16"/>
              </w:rPr>
              <w:t>1111</w:t>
            </w:r>
          </w:p>
        </w:tc>
        <w:tc>
          <w:tcPr>
            <w:tcW w:w="1302" w:type="dxa"/>
            <w:vMerge w:val="restart"/>
            <w:shd w:val="clear" w:color="auto" w:fill="FFFFFF"/>
            <w:tcMar>
              <w:top w:w="55" w:type="dxa"/>
              <w:left w:w="55" w:type="dxa"/>
              <w:bottom w:w="55" w:type="dxa"/>
              <w:right w:w="55" w:type="dxa"/>
            </w:tcMar>
            <w:vAlign w:val="center"/>
          </w:tcPr>
          <w:p w14:paraId="5E64C59A" w14:textId="77777777" w:rsidR="00325766" w:rsidRDefault="00000000">
            <w:pPr>
              <w:pStyle w:val="CETBodytext"/>
              <w:widowControl w:val="0"/>
              <w:spacing w:line="216" w:lineRule="auto"/>
              <w:jc w:val="center"/>
              <w:rPr>
                <w:sz w:val="16"/>
                <w:szCs w:val="16"/>
              </w:rPr>
            </w:pPr>
            <w:r>
              <w:rPr>
                <w:sz w:val="16"/>
                <w:szCs w:val="16"/>
              </w:rPr>
              <w:t>594</w:t>
            </w:r>
          </w:p>
        </w:tc>
        <w:tc>
          <w:tcPr>
            <w:tcW w:w="1194" w:type="dxa"/>
            <w:vMerge w:val="restart"/>
            <w:shd w:val="clear" w:color="auto" w:fill="FFFFFF"/>
            <w:tcMar>
              <w:top w:w="55" w:type="dxa"/>
              <w:left w:w="55" w:type="dxa"/>
              <w:bottom w:w="55" w:type="dxa"/>
              <w:right w:w="55" w:type="dxa"/>
            </w:tcMar>
            <w:vAlign w:val="center"/>
          </w:tcPr>
          <w:p w14:paraId="5AFD994F" w14:textId="77777777" w:rsidR="00325766" w:rsidRDefault="00000000">
            <w:pPr>
              <w:pStyle w:val="CETBodytext"/>
              <w:widowControl w:val="0"/>
              <w:spacing w:line="216" w:lineRule="auto"/>
              <w:jc w:val="center"/>
              <w:rPr>
                <w:sz w:val="16"/>
                <w:szCs w:val="16"/>
              </w:rPr>
            </w:pPr>
            <w:r>
              <w:rPr>
                <w:sz w:val="16"/>
                <w:szCs w:val="16"/>
              </w:rPr>
              <w:t>588</w:t>
            </w:r>
          </w:p>
        </w:tc>
        <w:tc>
          <w:tcPr>
            <w:tcW w:w="1244" w:type="dxa"/>
            <w:vMerge w:val="restart"/>
            <w:shd w:val="clear" w:color="auto" w:fill="FFFFFF"/>
            <w:tcMar>
              <w:top w:w="55" w:type="dxa"/>
              <w:left w:w="55" w:type="dxa"/>
              <w:bottom w:w="55" w:type="dxa"/>
              <w:right w:w="55" w:type="dxa"/>
            </w:tcMar>
            <w:vAlign w:val="center"/>
          </w:tcPr>
          <w:p w14:paraId="4DEF48E9" w14:textId="77777777" w:rsidR="00325766" w:rsidRDefault="00000000">
            <w:pPr>
              <w:pStyle w:val="CETBodytext"/>
              <w:widowControl w:val="0"/>
              <w:spacing w:line="216" w:lineRule="auto"/>
              <w:jc w:val="center"/>
              <w:rPr>
                <w:sz w:val="16"/>
                <w:szCs w:val="16"/>
              </w:rPr>
            </w:pPr>
            <w:r>
              <w:rPr>
                <w:sz w:val="16"/>
                <w:szCs w:val="16"/>
              </w:rPr>
              <w:t>661</w:t>
            </w:r>
          </w:p>
        </w:tc>
      </w:tr>
      <w:tr w:rsidR="00325766" w14:paraId="6F7A8AA1" w14:textId="77777777">
        <w:tc>
          <w:tcPr>
            <w:tcW w:w="1021" w:type="dxa"/>
            <w:vMerge/>
            <w:shd w:val="clear" w:color="auto" w:fill="FFFFFF"/>
            <w:tcMar>
              <w:top w:w="55" w:type="dxa"/>
              <w:left w:w="55" w:type="dxa"/>
              <w:bottom w:w="55" w:type="dxa"/>
              <w:right w:w="55" w:type="dxa"/>
            </w:tcMar>
            <w:vAlign w:val="center"/>
          </w:tcPr>
          <w:p w14:paraId="235FA54F" w14:textId="77777777" w:rsidR="00325766" w:rsidRDefault="00325766"/>
        </w:tc>
        <w:tc>
          <w:tcPr>
            <w:tcW w:w="1134" w:type="dxa"/>
            <w:shd w:val="clear" w:color="auto" w:fill="FFFFFF"/>
            <w:tcMar>
              <w:top w:w="55" w:type="dxa"/>
              <w:left w:w="55" w:type="dxa"/>
              <w:bottom w:w="55" w:type="dxa"/>
              <w:right w:w="55" w:type="dxa"/>
            </w:tcMar>
            <w:vAlign w:val="center"/>
          </w:tcPr>
          <w:p w14:paraId="27558092" w14:textId="77777777" w:rsidR="00325766" w:rsidRDefault="00000000">
            <w:pPr>
              <w:pStyle w:val="CETBodytext"/>
              <w:widowControl w:val="0"/>
              <w:spacing w:line="216" w:lineRule="auto"/>
              <w:jc w:val="center"/>
              <w:rPr>
                <w:sz w:val="16"/>
                <w:szCs w:val="16"/>
              </w:rPr>
            </w:pPr>
            <w:r>
              <w:rPr>
                <w:sz w:val="16"/>
                <w:szCs w:val="16"/>
              </w:rPr>
              <w:t>0.267</w:t>
            </w:r>
          </w:p>
        </w:tc>
        <w:tc>
          <w:tcPr>
            <w:tcW w:w="1133" w:type="dxa"/>
            <w:vMerge/>
            <w:shd w:val="clear" w:color="auto" w:fill="FFFFFF"/>
            <w:tcMar>
              <w:top w:w="55" w:type="dxa"/>
              <w:left w:w="55" w:type="dxa"/>
              <w:bottom w:w="55" w:type="dxa"/>
              <w:right w:w="55" w:type="dxa"/>
            </w:tcMar>
            <w:vAlign w:val="center"/>
          </w:tcPr>
          <w:p w14:paraId="163235B6" w14:textId="77777777" w:rsidR="00325766" w:rsidRDefault="00325766"/>
        </w:tc>
        <w:tc>
          <w:tcPr>
            <w:tcW w:w="1134" w:type="dxa"/>
            <w:shd w:val="clear" w:color="auto" w:fill="FFFFFF"/>
            <w:tcMar>
              <w:top w:w="55" w:type="dxa"/>
              <w:left w:w="55" w:type="dxa"/>
              <w:bottom w:w="55" w:type="dxa"/>
              <w:right w:w="55" w:type="dxa"/>
            </w:tcMar>
            <w:vAlign w:val="center"/>
          </w:tcPr>
          <w:p w14:paraId="1F434456" w14:textId="77777777" w:rsidR="00325766" w:rsidRDefault="00000000">
            <w:pPr>
              <w:pStyle w:val="CETBodytext"/>
              <w:widowControl w:val="0"/>
              <w:spacing w:line="216" w:lineRule="auto"/>
              <w:jc w:val="center"/>
              <w:rPr>
                <w:sz w:val="16"/>
                <w:szCs w:val="16"/>
              </w:rPr>
            </w:pPr>
            <w:r>
              <w:rPr>
                <w:sz w:val="16"/>
                <w:szCs w:val="16"/>
              </w:rPr>
              <w:t>1206</w:t>
            </w:r>
          </w:p>
        </w:tc>
        <w:tc>
          <w:tcPr>
            <w:tcW w:w="1302" w:type="dxa"/>
            <w:vMerge/>
            <w:shd w:val="clear" w:color="auto" w:fill="FFFFFF"/>
            <w:tcMar>
              <w:top w:w="55" w:type="dxa"/>
              <w:left w:w="55" w:type="dxa"/>
              <w:bottom w:w="55" w:type="dxa"/>
              <w:right w:w="55" w:type="dxa"/>
            </w:tcMar>
            <w:vAlign w:val="center"/>
          </w:tcPr>
          <w:p w14:paraId="72A15A13" w14:textId="77777777" w:rsidR="00325766" w:rsidRDefault="00325766"/>
        </w:tc>
        <w:tc>
          <w:tcPr>
            <w:tcW w:w="1194" w:type="dxa"/>
            <w:vMerge/>
            <w:shd w:val="clear" w:color="auto" w:fill="FFFFFF"/>
            <w:tcMar>
              <w:top w:w="55" w:type="dxa"/>
              <w:left w:w="55" w:type="dxa"/>
              <w:bottom w:w="55" w:type="dxa"/>
              <w:right w:w="55" w:type="dxa"/>
            </w:tcMar>
            <w:vAlign w:val="center"/>
          </w:tcPr>
          <w:p w14:paraId="33098C01" w14:textId="77777777" w:rsidR="00325766" w:rsidRDefault="00325766"/>
        </w:tc>
        <w:tc>
          <w:tcPr>
            <w:tcW w:w="1244" w:type="dxa"/>
            <w:vMerge/>
            <w:shd w:val="clear" w:color="auto" w:fill="FFFFFF"/>
            <w:tcMar>
              <w:top w:w="55" w:type="dxa"/>
              <w:left w:w="55" w:type="dxa"/>
              <w:bottom w:w="55" w:type="dxa"/>
              <w:right w:w="55" w:type="dxa"/>
            </w:tcMar>
            <w:vAlign w:val="center"/>
          </w:tcPr>
          <w:p w14:paraId="104CDB02" w14:textId="77777777" w:rsidR="00325766" w:rsidRDefault="00325766"/>
        </w:tc>
      </w:tr>
      <w:tr w:rsidR="00325766" w14:paraId="384502D1" w14:textId="77777777">
        <w:tc>
          <w:tcPr>
            <w:tcW w:w="1021" w:type="dxa"/>
            <w:vMerge/>
            <w:shd w:val="clear" w:color="auto" w:fill="FFFFFF"/>
            <w:tcMar>
              <w:top w:w="55" w:type="dxa"/>
              <w:left w:w="55" w:type="dxa"/>
              <w:bottom w:w="55" w:type="dxa"/>
              <w:right w:w="55" w:type="dxa"/>
            </w:tcMar>
            <w:vAlign w:val="center"/>
          </w:tcPr>
          <w:p w14:paraId="4B253773" w14:textId="77777777" w:rsidR="00325766" w:rsidRDefault="00325766"/>
        </w:tc>
        <w:tc>
          <w:tcPr>
            <w:tcW w:w="1134" w:type="dxa"/>
            <w:shd w:val="clear" w:color="auto" w:fill="FFFFFF"/>
            <w:tcMar>
              <w:top w:w="55" w:type="dxa"/>
              <w:left w:w="55" w:type="dxa"/>
              <w:bottom w:w="55" w:type="dxa"/>
              <w:right w:w="55" w:type="dxa"/>
            </w:tcMar>
            <w:vAlign w:val="center"/>
          </w:tcPr>
          <w:p w14:paraId="6DCD2572" w14:textId="77777777" w:rsidR="00325766" w:rsidRDefault="00000000">
            <w:pPr>
              <w:pStyle w:val="CETBodytext"/>
              <w:widowControl w:val="0"/>
              <w:spacing w:line="216" w:lineRule="auto"/>
              <w:jc w:val="center"/>
              <w:rPr>
                <w:sz w:val="16"/>
                <w:szCs w:val="16"/>
              </w:rPr>
            </w:pPr>
            <w:r>
              <w:rPr>
                <w:sz w:val="16"/>
                <w:szCs w:val="16"/>
              </w:rPr>
              <w:t>0.301</w:t>
            </w:r>
          </w:p>
        </w:tc>
        <w:tc>
          <w:tcPr>
            <w:tcW w:w="1133" w:type="dxa"/>
            <w:vMerge/>
            <w:shd w:val="clear" w:color="auto" w:fill="FFFFFF"/>
            <w:tcMar>
              <w:top w:w="55" w:type="dxa"/>
              <w:left w:w="55" w:type="dxa"/>
              <w:bottom w:w="55" w:type="dxa"/>
              <w:right w:w="55" w:type="dxa"/>
            </w:tcMar>
            <w:vAlign w:val="center"/>
          </w:tcPr>
          <w:p w14:paraId="72226B1D" w14:textId="77777777" w:rsidR="00325766" w:rsidRDefault="00325766"/>
        </w:tc>
        <w:tc>
          <w:tcPr>
            <w:tcW w:w="1134" w:type="dxa"/>
            <w:shd w:val="clear" w:color="auto" w:fill="FFFFFF"/>
            <w:tcMar>
              <w:top w:w="55" w:type="dxa"/>
              <w:left w:w="55" w:type="dxa"/>
              <w:bottom w:w="55" w:type="dxa"/>
              <w:right w:w="55" w:type="dxa"/>
            </w:tcMar>
            <w:vAlign w:val="center"/>
          </w:tcPr>
          <w:p w14:paraId="2D743C89" w14:textId="77777777" w:rsidR="00325766" w:rsidRDefault="00000000">
            <w:pPr>
              <w:pStyle w:val="CETBodytext"/>
              <w:widowControl w:val="0"/>
              <w:spacing w:line="216" w:lineRule="auto"/>
              <w:jc w:val="center"/>
              <w:rPr>
                <w:sz w:val="16"/>
                <w:szCs w:val="16"/>
              </w:rPr>
            </w:pPr>
            <w:r>
              <w:rPr>
                <w:sz w:val="16"/>
                <w:szCs w:val="16"/>
              </w:rPr>
              <w:t>925</w:t>
            </w:r>
          </w:p>
        </w:tc>
        <w:tc>
          <w:tcPr>
            <w:tcW w:w="1302" w:type="dxa"/>
            <w:vMerge/>
            <w:shd w:val="clear" w:color="auto" w:fill="FFFFFF"/>
            <w:tcMar>
              <w:top w:w="55" w:type="dxa"/>
              <w:left w:w="55" w:type="dxa"/>
              <w:bottom w:w="55" w:type="dxa"/>
              <w:right w:w="55" w:type="dxa"/>
            </w:tcMar>
            <w:vAlign w:val="center"/>
          </w:tcPr>
          <w:p w14:paraId="5F431721" w14:textId="77777777" w:rsidR="00325766" w:rsidRDefault="00325766"/>
        </w:tc>
        <w:tc>
          <w:tcPr>
            <w:tcW w:w="1194" w:type="dxa"/>
            <w:vMerge/>
            <w:shd w:val="clear" w:color="auto" w:fill="FFFFFF"/>
            <w:tcMar>
              <w:top w:w="55" w:type="dxa"/>
              <w:left w:w="55" w:type="dxa"/>
              <w:bottom w:w="55" w:type="dxa"/>
              <w:right w:w="55" w:type="dxa"/>
            </w:tcMar>
            <w:vAlign w:val="center"/>
          </w:tcPr>
          <w:p w14:paraId="2BDB3225" w14:textId="77777777" w:rsidR="00325766" w:rsidRDefault="00325766"/>
        </w:tc>
        <w:tc>
          <w:tcPr>
            <w:tcW w:w="1244" w:type="dxa"/>
            <w:vMerge/>
            <w:shd w:val="clear" w:color="auto" w:fill="FFFFFF"/>
            <w:tcMar>
              <w:top w:w="55" w:type="dxa"/>
              <w:left w:w="55" w:type="dxa"/>
              <w:bottom w:w="55" w:type="dxa"/>
              <w:right w:w="55" w:type="dxa"/>
            </w:tcMar>
            <w:vAlign w:val="center"/>
          </w:tcPr>
          <w:p w14:paraId="131F712A" w14:textId="77777777" w:rsidR="00325766" w:rsidRDefault="00325766"/>
        </w:tc>
      </w:tr>
      <w:tr w:rsidR="00325766" w14:paraId="188AF3CB" w14:textId="77777777">
        <w:tc>
          <w:tcPr>
            <w:tcW w:w="1021" w:type="dxa"/>
            <w:vMerge/>
            <w:shd w:val="clear" w:color="auto" w:fill="FFFFFF"/>
            <w:tcMar>
              <w:top w:w="55" w:type="dxa"/>
              <w:left w:w="55" w:type="dxa"/>
              <w:bottom w:w="55" w:type="dxa"/>
              <w:right w:w="55" w:type="dxa"/>
            </w:tcMar>
            <w:vAlign w:val="center"/>
          </w:tcPr>
          <w:p w14:paraId="4A89EC5C" w14:textId="77777777" w:rsidR="00325766" w:rsidRDefault="00325766"/>
        </w:tc>
        <w:tc>
          <w:tcPr>
            <w:tcW w:w="1134" w:type="dxa"/>
            <w:shd w:val="clear" w:color="auto" w:fill="FFFFFF"/>
            <w:tcMar>
              <w:top w:w="55" w:type="dxa"/>
              <w:left w:w="55" w:type="dxa"/>
              <w:bottom w:w="55" w:type="dxa"/>
              <w:right w:w="55" w:type="dxa"/>
            </w:tcMar>
            <w:vAlign w:val="center"/>
          </w:tcPr>
          <w:p w14:paraId="283D567F" w14:textId="77777777" w:rsidR="00325766" w:rsidRDefault="00000000">
            <w:pPr>
              <w:pStyle w:val="CETBodytext"/>
              <w:widowControl w:val="0"/>
              <w:spacing w:line="216" w:lineRule="auto"/>
              <w:jc w:val="center"/>
              <w:rPr>
                <w:sz w:val="16"/>
                <w:szCs w:val="16"/>
              </w:rPr>
            </w:pPr>
            <w:r>
              <w:rPr>
                <w:sz w:val="16"/>
                <w:szCs w:val="16"/>
              </w:rPr>
              <w:t>0.322</w:t>
            </w:r>
          </w:p>
        </w:tc>
        <w:tc>
          <w:tcPr>
            <w:tcW w:w="1133" w:type="dxa"/>
            <w:vMerge/>
            <w:shd w:val="clear" w:color="auto" w:fill="FFFFFF"/>
            <w:tcMar>
              <w:top w:w="55" w:type="dxa"/>
              <w:left w:w="55" w:type="dxa"/>
              <w:bottom w:w="55" w:type="dxa"/>
              <w:right w:w="55" w:type="dxa"/>
            </w:tcMar>
            <w:vAlign w:val="center"/>
          </w:tcPr>
          <w:p w14:paraId="542C0E24" w14:textId="77777777" w:rsidR="00325766" w:rsidRDefault="00325766"/>
        </w:tc>
        <w:tc>
          <w:tcPr>
            <w:tcW w:w="1134" w:type="dxa"/>
            <w:shd w:val="clear" w:color="auto" w:fill="FFFFFF"/>
            <w:tcMar>
              <w:top w:w="55" w:type="dxa"/>
              <w:left w:w="55" w:type="dxa"/>
              <w:bottom w:w="55" w:type="dxa"/>
              <w:right w:w="55" w:type="dxa"/>
            </w:tcMar>
            <w:vAlign w:val="center"/>
          </w:tcPr>
          <w:p w14:paraId="39276A46" w14:textId="77777777" w:rsidR="00325766" w:rsidRDefault="00000000">
            <w:pPr>
              <w:pStyle w:val="CETBodytext"/>
              <w:widowControl w:val="0"/>
              <w:spacing w:line="216" w:lineRule="auto"/>
              <w:jc w:val="center"/>
              <w:rPr>
                <w:sz w:val="16"/>
                <w:szCs w:val="16"/>
              </w:rPr>
            </w:pPr>
            <w:r>
              <w:rPr>
                <w:sz w:val="16"/>
                <w:szCs w:val="16"/>
              </w:rPr>
              <w:t>932</w:t>
            </w:r>
          </w:p>
        </w:tc>
        <w:tc>
          <w:tcPr>
            <w:tcW w:w="1302" w:type="dxa"/>
            <w:vMerge/>
            <w:shd w:val="clear" w:color="auto" w:fill="FFFFFF"/>
            <w:tcMar>
              <w:top w:w="55" w:type="dxa"/>
              <w:left w:w="55" w:type="dxa"/>
              <w:bottom w:w="55" w:type="dxa"/>
              <w:right w:w="55" w:type="dxa"/>
            </w:tcMar>
            <w:vAlign w:val="center"/>
          </w:tcPr>
          <w:p w14:paraId="3824C830" w14:textId="77777777" w:rsidR="00325766" w:rsidRDefault="00325766"/>
        </w:tc>
        <w:tc>
          <w:tcPr>
            <w:tcW w:w="1194" w:type="dxa"/>
            <w:vMerge/>
            <w:shd w:val="clear" w:color="auto" w:fill="FFFFFF"/>
            <w:tcMar>
              <w:top w:w="55" w:type="dxa"/>
              <w:left w:w="55" w:type="dxa"/>
              <w:bottom w:w="55" w:type="dxa"/>
              <w:right w:w="55" w:type="dxa"/>
            </w:tcMar>
            <w:vAlign w:val="center"/>
          </w:tcPr>
          <w:p w14:paraId="76209B39" w14:textId="77777777" w:rsidR="00325766" w:rsidRDefault="00325766"/>
        </w:tc>
        <w:tc>
          <w:tcPr>
            <w:tcW w:w="1244" w:type="dxa"/>
            <w:vMerge/>
            <w:shd w:val="clear" w:color="auto" w:fill="FFFFFF"/>
            <w:tcMar>
              <w:top w:w="55" w:type="dxa"/>
              <w:left w:w="55" w:type="dxa"/>
              <w:bottom w:w="55" w:type="dxa"/>
              <w:right w:w="55" w:type="dxa"/>
            </w:tcMar>
            <w:vAlign w:val="center"/>
          </w:tcPr>
          <w:p w14:paraId="5BEFC5FA" w14:textId="77777777" w:rsidR="00325766" w:rsidRDefault="00325766"/>
        </w:tc>
      </w:tr>
      <w:tr w:rsidR="00325766" w14:paraId="7E5B82C8" w14:textId="77777777">
        <w:tc>
          <w:tcPr>
            <w:tcW w:w="1021" w:type="dxa"/>
            <w:vMerge/>
            <w:shd w:val="clear" w:color="auto" w:fill="FFFFFF"/>
            <w:tcMar>
              <w:top w:w="55" w:type="dxa"/>
              <w:left w:w="55" w:type="dxa"/>
              <w:bottom w:w="55" w:type="dxa"/>
              <w:right w:w="55" w:type="dxa"/>
            </w:tcMar>
            <w:vAlign w:val="center"/>
          </w:tcPr>
          <w:p w14:paraId="25B782C5" w14:textId="77777777" w:rsidR="00325766" w:rsidRDefault="00325766"/>
        </w:tc>
        <w:tc>
          <w:tcPr>
            <w:tcW w:w="1134" w:type="dxa"/>
            <w:shd w:val="clear" w:color="auto" w:fill="FFFFFF"/>
            <w:tcMar>
              <w:top w:w="55" w:type="dxa"/>
              <w:left w:w="55" w:type="dxa"/>
              <w:bottom w:w="55" w:type="dxa"/>
              <w:right w:w="55" w:type="dxa"/>
            </w:tcMar>
            <w:vAlign w:val="center"/>
          </w:tcPr>
          <w:p w14:paraId="0C20991C" w14:textId="77777777" w:rsidR="00325766" w:rsidRDefault="00000000">
            <w:pPr>
              <w:pStyle w:val="CETBodytext"/>
              <w:widowControl w:val="0"/>
              <w:spacing w:line="216" w:lineRule="auto"/>
              <w:jc w:val="center"/>
              <w:rPr>
                <w:sz w:val="16"/>
                <w:szCs w:val="16"/>
              </w:rPr>
            </w:pPr>
            <w:r>
              <w:rPr>
                <w:sz w:val="16"/>
                <w:szCs w:val="16"/>
              </w:rPr>
              <w:t>0.328</w:t>
            </w:r>
          </w:p>
        </w:tc>
        <w:tc>
          <w:tcPr>
            <w:tcW w:w="1133" w:type="dxa"/>
            <w:vMerge/>
            <w:shd w:val="clear" w:color="auto" w:fill="FFFFFF"/>
            <w:tcMar>
              <w:top w:w="55" w:type="dxa"/>
              <w:left w:w="55" w:type="dxa"/>
              <w:bottom w:w="55" w:type="dxa"/>
              <w:right w:w="55" w:type="dxa"/>
            </w:tcMar>
            <w:vAlign w:val="center"/>
          </w:tcPr>
          <w:p w14:paraId="599E7CF8" w14:textId="77777777" w:rsidR="00325766" w:rsidRDefault="00325766"/>
        </w:tc>
        <w:tc>
          <w:tcPr>
            <w:tcW w:w="1134" w:type="dxa"/>
            <w:shd w:val="clear" w:color="auto" w:fill="FFFFFF"/>
            <w:tcMar>
              <w:top w:w="55" w:type="dxa"/>
              <w:left w:w="55" w:type="dxa"/>
              <w:bottom w:w="55" w:type="dxa"/>
              <w:right w:w="55" w:type="dxa"/>
            </w:tcMar>
            <w:vAlign w:val="center"/>
          </w:tcPr>
          <w:p w14:paraId="302D1FF8" w14:textId="77777777" w:rsidR="00325766" w:rsidRDefault="00000000">
            <w:pPr>
              <w:pStyle w:val="CETBodytext"/>
              <w:widowControl w:val="0"/>
              <w:spacing w:line="216" w:lineRule="auto"/>
              <w:jc w:val="center"/>
              <w:rPr>
                <w:sz w:val="16"/>
                <w:szCs w:val="16"/>
              </w:rPr>
            </w:pPr>
            <w:r>
              <w:rPr>
                <w:sz w:val="16"/>
                <w:szCs w:val="16"/>
              </w:rPr>
              <w:t>949</w:t>
            </w:r>
          </w:p>
        </w:tc>
        <w:tc>
          <w:tcPr>
            <w:tcW w:w="1302" w:type="dxa"/>
            <w:vMerge/>
            <w:shd w:val="clear" w:color="auto" w:fill="FFFFFF"/>
            <w:tcMar>
              <w:top w:w="55" w:type="dxa"/>
              <w:left w:w="55" w:type="dxa"/>
              <w:bottom w:w="55" w:type="dxa"/>
              <w:right w:w="55" w:type="dxa"/>
            </w:tcMar>
            <w:vAlign w:val="center"/>
          </w:tcPr>
          <w:p w14:paraId="4E3039D2" w14:textId="77777777" w:rsidR="00325766" w:rsidRDefault="00325766"/>
        </w:tc>
        <w:tc>
          <w:tcPr>
            <w:tcW w:w="1194" w:type="dxa"/>
            <w:vMerge/>
            <w:shd w:val="clear" w:color="auto" w:fill="FFFFFF"/>
            <w:tcMar>
              <w:top w:w="55" w:type="dxa"/>
              <w:left w:w="55" w:type="dxa"/>
              <w:bottom w:w="55" w:type="dxa"/>
              <w:right w:w="55" w:type="dxa"/>
            </w:tcMar>
            <w:vAlign w:val="center"/>
          </w:tcPr>
          <w:p w14:paraId="2B270721" w14:textId="77777777" w:rsidR="00325766" w:rsidRDefault="00325766"/>
        </w:tc>
        <w:tc>
          <w:tcPr>
            <w:tcW w:w="1244" w:type="dxa"/>
            <w:vMerge/>
            <w:shd w:val="clear" w:color="auto" w:fill="FFFFFF"/>
            <w:tcMar>
              <w:top w:w="55" w:type="dxa"/>
              <w:left w:w="55" w:type="dxa"/>
              <w:bottom w:w="55" w:type="dxa"/>
              <w:right w:w="55" w:type="dxa"/>
            </w:tcMar>
            <w:vAlign w:val="center"/>
          </w:tcPr>
          <w:p w14:paraId="13494EAA" w14:textId="77777777" w:rsidR="00325766" w:rsidRDefault="00325766"/>
        </w:tc>
      </w:tr>
      <w:tr w:rsidR="00325766" w14:paraId="6E018A85" w14:textId="77777777">
        <w:tc>
          <w:tcPr>
            <w:tcW w:w="1021" w:type="dxa"/>
            <w:tcBorders>
              <w:top w:val="single" w:sz="4" w:space="0" w:color="127622"/>
              <w:bottom w:val="single" w:sz="4" w:space="0" w:color="127622"/>
            </w:tcBorders>
            <w:shd w:val="clear" w:color="auto" w:fill="FFFFFF"/>
            <w:tcMar>
              <w:top w:w="55" w:type="dxa"/>
              <w:left w:w="55" w:type="dxa"/>
              <w:bottom w:w="55" w:type="dxa"/>
              <w:right w:w="55" w:type="dxa"/>
            </w:tcMar>
            <w:vAlign w:val="center"/>
          </w:tcPr>
          <w:p w14:paraId="17B5273F" w14:textId="77777777" w:rsidR="00325766" w:rsidRDefault="00000000">
            <w:pPr>
              <w:pStyle w:val="CETBodytext"/>
              <w:widowControl w:val="0"/>
              <w:spacing w:line="216" w:lineRule="auto"/>
              <w:jc w:val="center"/>
              <w:rPr>
                <w:szCs w:val="18"/>
              </w:rPr>
            </w:pPr>
            <w:r>
              <w:rPr>
                <w:szCs w:val="18"/>
              </w:rPr>
              <w:t>Glass beads</w:t>
            </w:r>
          </w:p>
        </w:tc>
        <w:tc>
          <w:tcPr>
            <w:tcW w:w="1134" w:type="dxa"/>
            <w:tcBorders>
              <w:top w:val="single" w:sz="4" w:space="0" w:color="127622"/>
              <w:bottom w:val="single" w:sz="4" w:space="0" w:color="127622"/>
            </w:tcBorders>
            <w:shd w:val="clear" w:color="auto" w:fill="FFFFFF"/>
            <w:tcMar>
              <w:top w:w="55" w:type="dxa"/>
              <w:left w:w="55" w:type="dxa"/>
              <w:bottom w:w="55" w:type="dxa"/>
              <w:right w:w="55" w:type="dxa"/>
            </w:tcMar>
            <w:vAlign w:val="center"/>
          </w:tcPr>
          <w:p w14:paraId="1BAF67A4" w14:textId="77777777" w:rsidR="00325766" w:rsidRDefault="00000000">
            <w:pPr>
              <w:pStyle w:val="CETBodytext"/>
              <w:widowControl w:val="0"/>
              <w:spacing w:line="216" w:lineRule="auto"/>
              <w:jc w:val="center"/>
              <w:rPr>
                <w:sz w:val="16"/>
                <w:szCs w:val="16"/>
              </w:rPr>
            </w:pPr>
            <w:r>
              <w:rPr>
                <w:sz w:val="16"/>
                <w:szCs w:val="16"/>
              </w:rPr>
              <w:t>0.343</w:t>
            </w:r>
          </w:p>
        </w:tc>
        <w:tc>
          <w:tcPr>
            <w:tcW w:w="1133" w:type="dxa"/>
            <w:tcBorders>
              <w:top w:val="single" w:sz="4" w:space="0" w:color="127622"/>
              <w:bottom w:val="single" w:sz="4" w:space="0" w:color="127622"/>
            </w:tcBorders>
            <w:shd w:val="clear" w:color="auto" w:fill="FFFFFF"/>
            <w:tcMar>
              <w:top w:w="55" w:type="dxa"/>
              <w:left w:w="55" w:type="dxa"/>
              <w:bottom w:w="55" w:type="dxa"/>
              <w:right w:w="55" w:type="dxa"/>
            </w:tcMar>
            <w:vAlign w:val="center"/>
          </w:tcPr>
          <w:p w14:paraId="3327CA8E" w14:textId="77777777" w:rsidR="00325766" w:rsidRDefault="00000000">
            <w:pPr>
              <w:pStyle w:val="CETBodytext"/>
              <w:widowControl w:val="0"/>
              <w:spacing w:line="216" w:lineRule="auto"/>
              <w:jc w:val="center"/>
              <w:rPr>
                <w:sz w:val="16"/>
                <w:szCs w:val="16"/>
              </w:rPr>
            </w:pPr>
            <w:r>
              <w:rPr>
                <w:sz w:val="16"/>
                <w:szCs w:val="16"/>
              </w:rPr>
              <w:t>0.98</w:t>
            </w:r>
          </w:p>
        </w:tc>
        <w:tc>
          <w:tcPr>
            <w:tcW w:w="1134" w:type="dxa"/>
            <w:tcBorders>
              <w:top w:val="single" w:sz="4" w:space="0" w:color="127622"/>
              <w:bottom w:val="single" w:sz="4" w:space="0" w:color="127622"/>
            </w:tcBorders>
            <w:shd w:val="clear" w:color="auto" w:fill="FFFFFF"/>
            <w:tcMar>
              <w:top w:w="55" w:type="dxa"/>
              <w:left w:w="55" w:type="dxa"/>
              <w:bottom w:w="55" w:type="dxa"/>
              <w:right w:w="55" w:type="dxa"/>
            </w:tcMar>
            <w:vAlign w:val="center"/>
          </w:tcPr>
          <w:p w14:paraId="18928A79" w14:textId="77777777" w:rsidR="00325766" w:rsidRDefault="00000000">
            <w:pPr>
              <w:pStyle w:val="CETBodytext"/>
              <w:widowControl w:val="0"/>
              <w:spacing w:line="216" w:lineRule="auto"/>
              <w:jc w:val="center"/>
              <w:rPr>
                <w:sz w:val="16"/>
                <w:szCs w:val="16"/>
              </w:rPr>
            </w:pPr>
            <w:r>
              <w:rPr>
                <w:sz w:val="16"/>
                <w:szCs w:val="16"/>
              </w:rPr>
              <w:t>1181</w:t>
            </w:r>
          </w:p>
        </w:tc>
        <w:tc>
          <w:tcPr>
            <w:tcW w:w="1302" w:type="dxa"/>
            <w:tcBorders>
              <w:top w:val="single" w:sz="4" w:space="0" w:color="127622"/>
              <w:bottom w:val="single" w:sz="4" w:space="0" w:color="127622"/>
            </w:tcBorders>
            <w:shd w:val="clear" w:color="auto" w:fill="FFFFFF"/>
            <w:tcMar>
              <w:top w:w="55" w:type="dxa"/>
              <w:left w:w="55" w:type="dxa"/>
              <w:bottom w:w="55" w:type="dxa"/>
              <w:right w:w="55" w:type="dxa"/>
            </w:tcMar>
            <w:vAlign w:val="center"/>
          </w:tcPr>
          <w:p w14:paraId="48D6F21D" w14:textId="77777777" w:rsidR="00325766" w:rsidRDefault="00000000">
            <w:pPr>
              <w:pStyle w:val="CETBodytext"/>
              <w:widowControl w:val="0"/>
              <w:spacing w:line="216" w:lineRule="auto"/>
              <w:jc w:val="center"/>
              <w:rPr>
                <w:sz w:val="16"/>
                <w:szCs w:val="16"/>
              </w:rPr>
            </w:pPr>
            <w:r>
              <w:rPr>
                <w:sz w:val="16"/>
                <w:szCs w:val="16"/>
              </w:rPr>
              <w:t>873</w:t>
            </w:r>
          </w:p>
        </w:tc>
        <w:tc>
          <w:tcPr>
            <w:tcW w:w="1194" w:type="dxa"/>
            <w:tcBorders>
              <w:top w:val="single" w:sz="4" w:space="0" w:color="127622"/>
              <w:bottom w:val="single" w:sz="4" w:space="0" w:color="127622"/>
            </w:tcBorders>
            <w:shd w:val="clear" w:color="auto" w:fill="FFFFFF"/>
            <w:tcMar>
              <w:top w:w="55" w:type="dxa"/>
              <w:left w:w="55" w:type="dxa"/>
              <w:bottom w:w="55" w:type="dxa"/>
              <w:right w:w="55" w:type="dxa"/>
            </w:tcMar>
            <w:vAlign w:val="center"/>
          </w:tcPr>
          <w:p w14:paraId="7913182D" w14:textId="77777777" w:rsidR="00325766" w:rsidRDefault="00000000">
            <w:pPr>
              <w:pStyle w:val="CETBodytext"/>
              <w:widowControl w:val="0"/>
              <w:spacing w:line="216" w:lineRule="auto"/>
              <w:jc w:val="center"/>
              <w:rPr>
                <w:sz w:val="16"/>
                <w:szCs w:val="16"/>
              </w:rPr>
            </w:pPr>
            <w:r>
              <w:rPr>
                <w:sz w:val="16"/>
                <w:szCs w:val="16"/>
              </w:rPr>
              <w:t>955</w:t>
            </w:r>
          </w:p>
        </w:tc>
        <w:tc>
          <w:tcPr>
            <w:tcW w:w="1244" w:type="dxa"/>
            <w:tcBorders>
              <w:top w:val="single" w:sz="4" w:space="0" w:color="127622"/>
              <w:bottom w:val="single" w:sz="4" w:space="0" w:color="127622"/>
            </w:tcBorders>
            <w:shd w:val="clear" w:color="auto" w:fill="FFFFFF"/>
            <w:tcMar>
              <w:top w:w="55" w:type="dxa"/>
              <w:left w:w="55" w:type="dxa"/>
              <w:bottom w:w="55" w:type="dxa"/>
              <w:right w:w="55" w:type="dxa"/>
            </w:tcMar>
            <w:vAlign w:val="center"/>
          </w:tcPr>
          <w:p w14:paraId="6C9367C9" w14:textId="77777777" w:rsidR="00325766" w:rsidRDefault="00000000">
            <w:pPr>
              <w:pStyle w:val="CETBodytext"/>
              <w:widowControl w:val="0"/>
              <w:spacing w:line="216" w:lineRule="auto"/>
              <w:jc w:val="center"/>
              <w:rPr>
                <w:sz w:val="16"/>
                <w:szCs w:val="16"/>
              </w:rPr>
            </w:pPr>
            <w:r>
              <w:rPr>
                <w:sz w:val="16"/>
                <w:szCs w:val="16"/>
              </w:rPr>
              <w:t>900</w:t>
            </w:r>
          </w:p>
        </w:tc>
      </w:tr>
      <w:tr w:rsidR="00325766" w14:paraId="060EAE6A" w14:textId="77777777">
        <w:tc>
          <w:tcPr>
            <w:tcW w:w="1021" w:type="dxa"/>
            <w:vMerge w:val="restart"/>
            <w:tcBorders>
              <w:bottom w:val="single" w:sz="4" w:space="0" w:color="127622"/>
            </w:tcBorders>
            <w:shd w:val="clear" w:color="auto" w:fill="FFFFFF"/>
            <w:tcMar>
              <w:top w:w="55" w:type="dxa"/>
              <w:left w:w="55" w:type="dxa"/>
              <w:bottom w:w="55" w:type="dxa"/>
              <w:right w:w="55" w:type="dxa"/>
            </w:tcMar>
            <w:vAlign w:val="center"/>
          </w:tcPr>
          <w:p w14:paraId="4C2BFDF0" w14:textId="77777777" w:rsidR="00325766" w:rsidRDefault="00000000">
            <w:pPr>
              <w:pStyle w:val="CETBodytext"/>
              <w:widowControl w:val="0"/>
              <w:spacing w:line="216" w:lineRule="auto"/>
              <w:jc w:val="center"/>
              <w:rPr>
                <w:szCs w:val="18"/>
              </w:rPr>
            </w:pPr>
            <w:r>
              <w:rPr>
                <w:szCs w:val="18"/>
              </w:rPr>
              <w:t>Salt</w:t>
            </w:r>
          </w:p>
        </w:tc>
        <w:tc>
          <w:tcPr>
            <w:tcW w:w="1134" w:type="dxa"/>
            <w:shd w:val="clear" w:color="auto" w:fill="FFFFFF"/>
            <w:tcMar>
              <w:top w:w="55" w:type="dxa"/>
              <w:left w:w="55" w:type="dxa"/>
              <w:bottom w:w="55" w:type="dxa"/>
              <w:right w:w="55" w:type="dxa"/>
            </w:tcMar>
            <w:vAlign w:val="center"/>
          </w:tcPr>
          <w:p w14:paraId="4EB9B023" w14:textId="77777777" w:rsidR="00325766" w:rsidRDefault="00000000">
            <w:pPr>
              <w:pStyle w:val="CETBodytext"/>
              <w:widowControl w:val="0"/>
              <w:spacing w:line="216" w:lineRule="auto"/>
              <w:jc w:val="center"/>
              <w:rPr>
                <w:sz w:val="16"/>
                <w:szCs w:val="16"/>
              </w:rPr>
            </w:pPr>
            <w:r>
              <w:rPr>
                <w:sz w:val="16"/>
                <w:szCs w:val="16"/>
              </w:rPr>
              <w:t>0.406</w:t>
            </w:r>
          </w:p>
        </w:tc>
        <w:tc>
          <w:tcPr>
            <w:tcW w:w="1133" w:type="dxa"/>
            <w:vMerge w:val="restart"/>
            <w:tcBorders>
              <w:bottom w:val="single" w:sz="4" w:space="0" w:color="127622"/>
            </w:tcBorders>
            <w:shd w:val="clear" w:color="auto" w:fill="FFFFFF"/>
            <w:tcMar>
              <w:top w:w="55" w:type="dxa"/>
              <w:left w:w="55" w:type="dxa"/>
              <w:bottom w:w="55" w:type="dxa"/>
              <w:right w:w="55" w:type="dxa"/>
            </w:tcMar>
            <w:vAlign w:val="center"/>
          </w:tcPr>
          <w:p w14:paraId="44A70149" w14:textId="77777777" w:rsidR="00325766" w:rsidRDefault="00000000">
            <w:pPr>
              <w:pStyle w:val="CETBodytext"/>
              <w:widowControl w:val="0"/>
              <w:spacing w:line="216" w:lineRule="auto"/>
              <w:jc w:val="center"/>
              <w:rPr>
                <w:sz w:val="16"/>
                <w:szCs w:val="16"/>
              </w:rPr>
            </w:pPr>
            <w:r>
              <w:rPr>
                <w:sz w:val="16"/>
                <w:szCs w:val="16"/>
              </w:rPr>
              <w:t>0.71</w:t>
            </w:r>
          </w:p>
        </w:tc>
        <w:tc>
          <w:tcPr>
            <w:tcW w:w="1134" w:type="dxa"/>
            <w:shd w:val="clear" w:color="auto" w:fill="FFFFFF"/>
            <w:tcMar>
              <w:top w:w="55" w:type="dxa"/>
              <w:left w:w="55" w:type="dxa"/>
              <w:bottom w:w="55" w:type="dxa"/>
              <w:right w:w="55" w:type="dxa"/>
            </w:tcMar>
            <w:vAlign w:val="center"/>
          </w:tcPr>
          <w:p w14:paraId="55E92DCD" w14:textId="77777777" w:rsidR="00325766" w:rsidRDefault="00000000">
            <w:pPr>
              <w:pStyle w:val="CETBodytext"/>
              <w:widowControl w:val="0"/>
              <w:spacing w:line="216" w:lineRule="auto"/>
              <w:jc w:val="center"/>
              <w:rPr>
                <w:sz w:val="16"/>
                <w:szCs w:val="16"/>
              </w:rPr>
            </w:pPr>
            <w:r>
              <w:rPr>
                <w:sz w:val="16"/>
                <w:szCs w:val="16"/>
              </w:rPr>
              <w:t>687</w:t>
            </w:r>
          </w:p>
        </w:tc>
        <w:tc>
          <w:tcPr>
            <w:tcW w:w="1302" w:type="dxa"/>
            <w:vMerge w:val="restart"/>
            <w:tcBorders>
              <w:bottom w:val="single" w:sz="4" w:space="0" w:color="127622"/>
            </w:tcBorders>
            <w:shd w:val="clear" w:color="auto" w:fill="FFFFFF"/>
            <w:tcMar>
              <w:top w:w="55" w:type="dxa"/>
              <w:left w:w="55" w:type="dxa"/>
              <w:bottom w:w="55" w:type="dxa"/>
              <w:right w:w="55" w:type="dxa"/>
            </w:tcMar>
            <w:vAlign w:val="center"/>
          </w:tcPr>
          <w:p w14:paraId="6D8EFAF8" w14:textId="77777777" w:rsidR="00325766" w:rsidRDefault="00000000">
            <w:pPr>
              <w:pStyle w:val="CETBodytext"/>
              <w:widowControl w:val="0"/>
              <w:spacing w:line="216" w:lineRule="auto"/>
              <w:jc w:val="center"/>
              <w:rPr>
                <w:sz w:val="16"/>
                <w:szCs w:val="16"/>
              </w:rPr>
            </w:pPr>
            <w:r>
              <w:rPr>
                <w:sz w:val="16"/>
                <w:szCs w:val="16"/>
              </w:rPr>
              <w:t>610</w:t>
            </w:r>
          </w:p>
        </w:tc>
        <w:tc>
          <w:tcPr>
            <w:tcW w:w="1194" w:type="dxa"/>
            <w:vMerge w:val="restart"/>
            <w:tcBorders>
              <w:bottom w:val="single" w:sz="4" w:space="0" w:color="127622"/>
            </w:tcBorders>
            <w:shd w:val="clear" w:color="auto" w:fill="FFFFFF"/>
            <w:tcMar>
              <w:top w:w="55" w:type="dxa"/>
              <w:left w:w="55" w:type="dxa"/>
              <w:bottom w:w="55" w:type="dxa"/>
              <w:right w:w="55" w:type="dxa"/>
            </w:tcMar>
            <w:vAlign w:val="center"/>
          </w:tcPr>
          <w:p w14:paraId="213EF2B5" w14:textId="77777777" w:rsidR="00325766" w:rsidRDefault="00000000">
            <w:pPr>
              <w:pStyle w:val="CETBodytext"/>
              <w:widowControl w:val="0"/>
              <w:spacing w:line="216" w:lineRule="auto"/>
              <w:jc w:val="center"/>
              <w:rPr>
                <w:sz w:val="16"/>
                <w:szCs w:val="16"/>
              </w:rPr>
            </w:pPr>
            <w:r>
              <w:rPr>
                <w:sz w:val="16"/>
                <w:szCs w:val="16"/>
              </w:rPr>
              <w:t>941</w:t>
            </w:r>
          </w:p>
        </w:tc>
        <w:tc>
          <w:tcPr>
            <w:tcW w:w="1244" w:type="dxa"/>
            <w:vMerge w:val="restart"/>
            <w:tcBorders>
              <w:bottom w:val="single" w:sz="4" w:space="0" w:color="127622"/>
            </w:tcBorders>
            <w:shd w:val="clear" w:color="auto" w:fill="FFFFFF"/>
            <w:tcMar>
              <w:top w:w="55" w:type="dxa"/>
              <w:left w:w="55" w:type="dxa"/>
              <w:bottom w:w="55" w:type="dxa"/>
              <w:right w:w="55" w:type="dxa"/>
            </w:tcMar>
            <w:vAlign w:val="center"/>
          </w:tcPr>
          <w:p w14:paraId="06F1D1EA" w14:textId="77777777" w:rsidR="00325766" w:rsidRDefault="00000000">
            <w:pPr>
              <w:pStyle w:val="CETBodytext"/>
              <w:widowControl w:val="0"/>
              <w:spacing w:line="216" w:lineRule="auto"/>
              <w:jc w:val="center"/>
              <w:rPr>
                <w:sz w:val="16"/>
                <w:szCs w:val="16"/>
              </w:rPr>
            </w:pPr>
            <w:r>
              <w:rPr>
                <w:sz w:val="16"/>
                <w:szCs w:val="16"/>
              </w:rPr>
              <w:t>989</w:t>
            </w:r>
          </w:p>
        </w:tc>
      </w:tr>
      <w:tr w:rsidR="00325766" w14:paraId="38E652C1" w14:textId="77777777">
        <w:tc>
          <w:tcPr>
            <w:tcW w:w="1021" w:type="dxa"/>
            <w:vMerge/>
            <w:tcBorders>
              <w:bottom w:val="single" w:sz="4" w:space="0" w:color="127622"/>
            </w:tcBorders>
            <w:shd w:val="clear" w:color="auto" w:fill="FFFFFF"/>
            <w:tcMar>
              <w:top w:w="55" w:type="dxa"/>
              <w:left w:w="55" w:type="dxa"/>
              <w:bottom w:w="55" w:type="dxa"/>
              <w:right w:w="55" w:type="dxa"/>
            </w:tcMar>
            <w:vAlign w:val="center"/>
          </w:tcPr>
          <w:p w14:paraId="7C45D905" w14:textId="77777777" w:rsidR="00325766" w:rsidRDefault="00325766"/>
        </w:tc>
        <w:tc>
          <w:tcPr>
            <w:tcW w:w="1134" w:type="dxa"/>
            <w:shd w:val="clear" w:color="auto" w:fill="FFFFFF"/>
            <w:tcMar>
              <w:top w:w="55" w:type="dxa"/>
              <w:left w:w="55" w:type="dxa"/>
              <w:bottom w:w="55" w:type="dxa"/>
              <w:right w:w="55" w:type="dxa"/>
            </w:tcMar>
            <w:vAlign w:val="center"/>
          </w:tcPr>
          <w:p w14:paraId="1EA37DB8" w14:textId="77777777" w:rsidR="00325766" w:rsidRDefault="00000000">
            <w:pPr>
              <w:pStyle w:val="CETBodytext"/>
              <w:widowControl w:val="0"/>
              <w:spacing w:line="216" w:lineRule="auto"/>
              <w:jc w:val="center"/>
              <w:rPr>
                <w:sz w:val="16"/>
                <w:szCs w:val="16"/>
              </w:rPr>
            </w:pPr>
            <w:r>
              <w:rPr>
                <w:sz w:val="16"/>
                <w:szCs w:val="16"/>
              </w:rPr>
              <w:t>0.423</w:t>
            </w:r>
          </w:p>
        </w:tc>
        <w:tc>
          <w:tcPr>
            <w:tcW w:w="1133" w:type="dxa"/>
            <w:vMerge/>
            <w:tcBorders>
              <w:bottom w:val="single" w:sz="4" w:space="0" w:color="127622"/>
            </w:tcBorders>
            <w:shd w:val="clear" w:color="auto" w:fill="FFFFFF"/>
            <w:tcMar>
              <w:top w:w="55" w:type="dxa"/>
              <w:left w:w="55" w:type="dxa"/>
              <w:bottom w:w="55" w:type="dxa"/>
              <w:right w:w="55" w:type="dxa"/>
            </w:tcMar>
            <w:vAlign w:val="center"/>
          </w:tcPr>
          <w:p w14:paraId="011ABAB6" w14:textId="77777777" w:rsidR="00325766" w:rsidRDefault="00325766"/>
        </w:tc>
        <w:tc>
          <w:tcPr>
            <w:tcW w:w="1134" w:type="dxa"/>
            <w:shd w:val="clear" w:color="auto" w:fill="FFFFFF"/>
            <w:tcMar>
              <w:top w:w="55" w:type="dxa"/>
              <w:left w:w="55" w:type="dxa"/>
              <w:bottom w:w="55" w:type="dxa"/>
              <w:right w:w="55" w:type="dxa"/>
            </w:tcMar>
            <w:vAlign w:val="center"/>
          </w:tcPr>
          <w:p w14:paraId="79799ACD" w14:textId="77777777" w:rsidR="00325766" w:rsidRDefault="00000000">
            <w:pPr>
              <w:pStyle w:val="CETBodytext"/>
              <w:widowControl w:val="0"/>
              <w:spacing w:line="216" w:lineRule="auto"/>
              <w:jc w:val="center"/>
              <w:rPr>
                <w:sz w:val="16"/>
                <w:szCs w:val="16"/>
              </w:rPr>
            </w:pPr>
            <w:r>
              <w:rPr>
                <w:sz w:val="16"/>
                <w:szCs w:val="16"/>
              </w:rPr>
              <w:t>623</w:t>
            </w:r>
          </w:p>
        </w:tc>
        <w:tc>
          <w:tcPr>
            <w:tcW w:w="1302" w:type="dxa"/>
            <w:vMerge/>
            <w:tcBorders>
              <w:bottom w:val="single" w:sz="4" w:space="0" w:color="127622"/>
            </w:tcBorders>
            <w:shd w:val="clear" w:color="auto" w:fill="FFFFFF"/>
            <w:tcMar>
              <w:top w:w="55" w:type="dxa"/>
              <w:left w:w="55" w:type="dxa"/>
              <w:bottom w:w="55" w:type="dxa"/>
              <w:right w:w="55" w:type="dxa"/>
            </w:tcMar>
            <w:vAlign w:val="center"/>
          </w:tcPr>
          <w:p w14:paraId="49349DA3" w14:textId="77777777" w:rsidR="00325766" w:rsidRDefault="00325766"/>
        </w:tc>
        <w:tc>
          <w:tcPr>
            <w:tcW w:w="1194" w:type="dxa"/>
            <w:vMerge/>
            <w:tcBorders>
              <w:bottom w:val="single" w:sz="4" w:space="0" w:color="127622"/>
            </w:tcBorders>
            <w:shd w:val="clear" w:color="auto" w:fill="FFFFFF"/>
            <w:tcMar>
              <w:top w:w="55" w:type="dxa"/>
              <w:left w:w="55" w:type="dxa"/>
              <w:bottom w:w="55" w:type="dxa"/>
              <w:right w:w="55" w:type="dxa"/>
            </w:tcMar>
            <w:vAlign w:val="center"/>
          </w:tcPr>
          <w:p w14:paraId="029062A4" w14:textId="77777777" w:rsidR="00325766" w:rsidRDefault="00325766"/>
        </w:tc>
        <w:tc>
          <w:tcPr>
            <w:tcW w:w="1244" w:type="dxa"/>
            <w:vMerge/>
            <w:tcBorders>
              <w:bottom w:val="single" w:sz="4" w:space="0" w:color="127622"/>
            </w:tcBorders>
            <w:shd w:val="clear" w:color="auto" w:fill="FFFFFF"/>
            <w:tcMar>
              <w:top w:w="55" w:type="dxa"/>
              <w:left w:w="55" w:type="dxa"/>
              <w:bottom w:w="55" w:type="dxa"/>
              <w:right w:w="55" w:type="dxa"/>
            </w:tcMar>
            <w:vAlign w:val="center"/>
          </w:tcPr>
          <w:p w14:paraId="7824DAAF" w14:textId="77777777" w:rsidR="00325766" w:rsidRDefault="00325766"/>
        </w:tc>
      </w:tr>
      <w:tr w:rsidR="00325766" w14:paraId="7E78894E" w14:textId="77777777">
        <w:trPr>
          <w:trHeight w:val="53"/>
        </w:trPr>
        <w:tc>
          <w:tcPr>
            <w:tcW w:w="1021" w:type="dxa"/>
            <w:vMerge/>
            <w:tcBorders>
              <w:bottom w:val="single" w:sz="4" w:space="0" w:color="127622"/>
            </w:tcBorders>
            <w:shd w:val="clear" w:color="auto" w:fill="FFFFFF"/>
            <w:tcMar>
              <w:top w:w="55" w:type="dxa"/>
              <w:left w:w="55" w:type="dxa"/>
              <w:bottom w:w="55" w:type="dxa"/>
              <w:right w:w="55" w:type="dxa"/>
            </w:tcMar>
            <w:vAlign w:val="center"/>
          </w:tcPr>
          <w:p w14:paraId="77018529" w14:textId="77777777" w:rsidR="00325766" w:rsidRDefault="00325766"/>
        </w:tc>
        <w:tc>
          <w:tcPr>
            <w:tcW w:w="1134" w:type="dxa"/>
            <w:tcBorders>
              <w:bottom w:val="single" w:sz="4" w:space="0" w:color="127622"/>
            </w:tcBorders>
            <w:shd w:val="clear" w:color="auto" w:fill="FFFFFF"/>
            <w:tcMar>
              <w:top w:w="55" w:type="dxa"/>
              <w:left w:w="55" w:type="dxa"/>
              <w:bottom w:w="55" w:type="dxa"/>
              <w:right w:w="55" w:type="dxa"/>
            </w:tcMar>
            <w:vAlign w:val="center"/>
          </w:tcPr>
          <w:p w14:paraId="105E67F0" w14:textId="77777777" w:rsidR="00325766" w:rsidRDefault="00000000">
            <w:pPr>
              <w:pStyle w:val="CETBodytext"/>
              <w:widowControl w:val="0"/>
              <w:spacing w:line="216" w:lineRule="auto"/>
              <w:jc w:val="center"/>
              <w:rPr>
                <w:sz w:val="16"/>
                <w:szCs w:val="16"/>
              </w:rPr>
            </w:pPr>
            <w:r>
              <w:rPr>
                <w:sz w:val="16"/>
                <w:szCs w:val="16"/>
              </w:rPr>
              <w:t>0.447</w:t>
            </w:r>
          </w:p>
        </w:tc>
        <w:tc>
          <w:tcPr>
            <w:tcW w:w="1133" w:type="dxa"/>
            <w:vMerge/>
            <w:tcBorders>
              <w:bottom w:val="single" w:sz="4" w:space="0" w:color="127622"/>
            </w:tcBorders>
            <w:shd w:val="clear" w:color="auto" w:fill="FFFFFF"/>
            <w:tcMar>
              <w:top w:w="55" w:type="dxa"/>
              <w:left w:w="55" w:type="dxa"/>
              <w:bottom w:w="55" w:type="dxa"/>
              <w:right w:w="55" w:type="dxa"/>
            </w:tcMar>
            <w:vAlign w:val="center"/>
          </w:tcPr>
          <w:p w14:paraId="10C62759" w14:textId="77777777" w:rsidR="00325766" w:rsidRDefault="00325766"/>
        </w:tc>
        <w:tc>
          <w:tcPr>
            <w:tcW w:w="1134" w:type="dxa"/>
            <w:tcBorders>
              <w:bottom w:val="single" w:sz="4" w:space="0" w:color="127622"/>
            </w:tcBorders>
            <w:shd w:val="clear" w:color="auto" w:fill="FFFFFF"/>
            <w:tcMar>
              <w:top w:w="55" w:type="dxa"/>
              <w:left w:w="55" w:type="dxa"/>
              <w:bottom w:w="55" w:type="dxa"/>
              <w:right w:w="55" w:type="dxa"/>
            </w:tcMar>
            <w:vAlign w:val="center"/>
          </w:tcPr>
          <w:p w14:paraId="1CE04DE9" w14:textId="77777777" w:rsidR="00325766" w:rsidRDefault="00000000">
            <w:pPr>
              <w:pStyle w:val="CETBodytext"/>
              <w:widowControl w:val="0"/>
              <w:spacing w:line="216" w:lineRule="auto"/>
              <w:jc w:val="center"/>
              <w:rPr>
                <w:sz w:val="16"/>
                <w:szCs w:val="16"/>
              </w:rPr>
            </w:pPr>
            <w:r>
              <w:rPr>
                <w:sz w:val="16"/>
                <w:szCs w:val="16"/>
              </w:rPr>
              <w:t>566</w:t>
            </w:r>
          </w:p>
        </w:tc>
        <w:tc>
          <w:tcPr>
            <w:tcW w:w="1302" w:type="dxa"/>
            <w:vMerge/>
            <w:tcBorders>
              <w:bottom w:val="single" w:sz="4" w:space="0" w:color="127622"/>
            </w:tcBorders>
            <w:shd w:val="clear" w:color="auto" w:fill="FFFFFF"/>
            <w:tcMar>
              <w:top w:w="55" w:type="dxa"/>
              <w:left w:w="55" w:type="dxa"/>
              <w:bottom w:w="55" w:type="dxa"/>
              <w:right w:w="55" w:type="dxa"/>
            </w:tcMar>
            <w:vAlign w:val="center"/>
          </w:tcPr>
          <w:p w14:paraId="6419AF8C" w14:textId="77777777" w:rsidR="00325766" w:rsidRDefault="00325766"/>
        </w:tc>
        <w:tc>
          <w:tcPr>
            <w:tcW w:w="1194" w:type="dxa"/>
            <w:vMerge/>
            <w:tcBorders>
              <w:bottom w:val="single" w:sz="4" w:space="0" w:color="127622"/>
            </w:tcBorders>
            <w:shd w:val="clear" w:color="auto" w:fill="FFFFFF"/>
            <w:tcMar>
              <w:top w:w="55" w:type="dxa"/>
              <w:left w:w="55" w:type="dxa"/>
              <w:bottom w:w="55" w:type="dxa"/>
              <w:right w:w="55" w:type="dxa"/>
            </w:tcMar>
            <w:vAlign w:val="center"/>
          </w:tcPr>
          <w:p w14:paraId="487067C6" w14:textId="77777777" w:rsidR="00325766" w:rsidRDefault="00325766"/>
        </w:tc>
        <w:tc>
          <w:tcPr>
            <w:tcW w:w="1244" w:type="dxa"/>
            <w:vMerge/>
            <w:tcBorders>
              <w:bottom w:val="single" w:sz="4" w:space="0" w:color="127622"/>
            </w:tcBorders>
            <w:shd w:val="clear" w:color="auto" w:fill="FFFFFF"/>
            <w:tcMar>
              <w:top w:w="55" w:type="dxa"/>
              <w:left w:w="55" w:type="dxa"/>
              <w:bottom w:w="55" w:type="dxa"/>
              <w:right w:w="55" w:type="dxa"/>
            </w:tcMar>
            <w:vAlign w:val="center"/>
          </w:tcPr>
          <w:p w14:paraId="1B49EF93" w14:textId="77777777" w:rsidR="00325766" w:rsidRDefault="00325766"/>
        </w:tc>
      </w:tr>
      <w:tr w:rsidR="00325766" w14:paraId="38DAE489" w14:textId="77777777">
        <w:tc>
          <w:tcPr>
            <w:tcW w:w="1021" w:type="dxa"/>
            <w:vMerge w:val="restart"/>
            <w:tcBorders>
              <w:bottom w:val="single" w:sz="12" w:space="0" w:color="127622"/>
            </w:tcBorders>
            <w:shd w:val="clear" w:color="auto" w:fill="FFFFFF"/>
            <w:tcMar>
              <w:top w:w="55" w:type="dxa"/>
              <w:left w:w="55" w:type="dxa"/>
              <w:bottom w:w="55" w:type="dxa"/>
              <w:right w:w="55" w:type="dxa"/>
            </w:tcMar>
            <w:vAlign w:val="center"/>
          </w:tcPr>
          <w:p w14:paraId="71386A4C" w14:textId="77777777" w:rsidR="00325766" w:rsidRDefault="00000000">
            <w:pPr>
              <w:pStyle w:val="CETBodytext"/>
              <w:widowControl w:val="0"/>
              <w:spacing w:line="216" w:lineRule="auto"/>
              <w:jc w:val="center"/>
              <w:rPr>
                <w:szCs w:val="18"/>
              </w:rPr>
            </w:pPr>
            <w:r>
              <w:rPr>
                <w:szCs w:val="18"/>
              </w:rPr>
              <w:t>TAED</w:t>
            </w:r>
          </w:p>
        </w:tc>
        <w:tc>
          <w:tcPr>
            <w:tcW w:w="1134" w:type="dxa"/>
            <w:shd w:val="clear" w:color="auto" w:fill="FFFFFF"/>
            <w:tcMar>
              <w:top w:w="55" w:type="dxa"/>
              <w:left w:w="55" w:type="dxa"/>
              <w:bottom w:w="55" w:type="dxa"/>
              <w:right w:w="55" w:type="dxa"/>
            </w:tcMar>
            <w:vAlign w:val="center"/>
          </w:tcPr>
          <w:p w14:paraId="1C52D448" w14:textId="77777777" w:rsidR="00325766" w:rsidRDefault="00000000">
            <w:pPr>
              <w:pStyle w:val="CETBodytext"/>
              <w:widowControl w:val="0"/>
              <w:spacing w:line="216" w:lineRule="auto"/>
              <w:jc w:val="center"/>
              <w:rPr>
                <w:sz w:val="16"/>
                <w:szCs w:val="16"/>
              </w:rPr>
            </w:pPr>
            <w:r>
              <w:rPr>
                <w:sz w:val="16"/>
                <w:szCs w:val="16"/>
              </w:rPr>
              <w:t>0.510</w:t>
            </w:r>
          </w:p>
        </w:tc>
        <w:tc>
          <w:tcPr>
            <w:tcW w:w="1133" w:type="dxa"/>
            <w:vMerge w:val="restart"/>
            <w:tcBorders>
              <w:bottom w:val="single" w:sz="12" w:space="0" w:color="127622"/>
            </w:tcBorders>
            <w:shd w:val="clear" w:color="auto" w:fill="FFFFFF"/>
            <w:tcMar>
              <w:top w:w="55" w:type="dxa"/>
              <w:left w:w="55" w:type="dxa"/>
              <w:bottom w:w="55" w:type="dxa"/>
              <w:right w:w="55" w:type="dxa"/>
            </w:tcMar>
            <w:vAlign w:val="center"/>
          </w:tcPr>
          <w:p w14:paraId="30A68C93" w14:textId="77777777" w:rsidR="00325766" w:rsidRDefault="00000000">
            <w:pPr>
              <w:pStyle w:val="CETBodytext"/>
              <w:widowControl w:val="0"/>
              <w:spacing w:line="216" w:lineRule="auto"/>
              <w:jc w:val="center"/>
              <w:rPr>
                <w:sz w:val="16"/>
                <w:szCs w:val="16"/>
              </w:rPr>
            </w:pPr>
            <w:r>
              <w:rPr>
                <w:sz w:val="16"/>
                <w:szCs w:val="16"/>
              </w:rPr>
              <w:t>0.74</w:t>
            </w:r>
          </w:p>
        </w:tc>
        <w:tc>
          <w:tcPr>
            <w:tcW w:w="1134" w:type="dxa"/>
            <w:shd w:val="clear" w:color="auto" w:fill="FFFFFF"/>
            <w:tcMar>
              <w:top w:w="55" w:type="dxa"/>
              <w:left w:w="55" w:type="dxa"/>
              <w:bottom w:w="55" w:type="dxa"/>
              <w:right w:w="55" w:type="dxa"/>
            </w:tcMar>
            <w:vAlign w:val="center"/>
          </w:tcPr>
          <w:p w14:paraId="006BA2A5" w14:textId="77777777" w:rsidR="00325766" w:rsidRDefault="00000000">
            <w:pPr>
              <w:pStyle w:val="CETBodytext"/>
              <w:widowControl w:val="0"/>
              <w:spacing w:line="216" w:lineRule="auto"/>
              <w:jc w:val="center"/>
              <w:rPr>
                <w:sz w:val="16"/>
                <w:szCs w:val="16"/>
              </w:rPr>
            </w:pPr>
            <w:r>
              <w:rPr>
                <w:sz w:val="16"/>
                <w:szCs w:val="16"/>
              </w:rPr>
              <w:t>437</w:t>
            </w:r>
          </w:p>
        </w:tc>
        <w:tc>
          <w:tcPr>
            <w:tcW w:w="1302" w:type="dxa"/>
            <w:vMerge w:val="restart"/>
            <w:tcBorders>
              <w:bottom w:val="single" w:sz="12" w:space="0" w:color="127622"/>
            </w:tcBorders>
            <w:shd w:val="clear" w:color="auto" w:fill="FFFFFF"/>
            <w:tcMar>
              <w:top w:w="55" w:type="dxa"/>
              <w:left w:w="55" w:type="dxa"/>
              <w:bottom w:w="55" w:type="dxa"/>
              <w:right w:w="55" w:type="dxa"/>
            </w:tcMar>
            <w:vAlign w:val="center"/>
          </w:tcPr>
          <w:p w14:paraId="3C4B531B" w14:textId="77777777" w:rsidR="00325766" w:rsidRDefault="00000000">
            <w:pPr>
              <w:pStyle w:val="CETBodytext"/>
              <w:widowControl w:val="0"/>
              <w:spacing w:line="216" w:lineRule="auto"/>
              <w:jc w:val="center"/>
              <w:rPr>
                <w:sz w:val="16"/>
                <w:szCs w:val="16"/>
              </w:rPr>
            </w:pPr>
            <w:r>
              <w:rPr>
                <w:sz w:val="16"/>
                <w:szCs w:val="16"/>
              </w:rPr>
              <w:t>629</w:t>
            </w:r>
          </w:p>
        </w:tc>
        <w:tc>
          <w:tcPr>
            <w:tcW w:w="1194" w:type="dxa"/>
            <w:vMerge w:val="restart"/>
            <w:tcBorders>
              <w:bottom w:val="single" w:sz="12" w:space="0" w:color="127622"/>
            </w:tcBorders>
            <w:shd w:val="clear" w:color="auto" w:fill="FFFFFF"/>
            <w:tcMar>
              <w:top w:w="55" w:type="dxa"/>
              <w:left w:w="55" w:type="dxa"/>
              <w:bottom w:w="55" w:type="dxa"/>
              <w:right w:w="55" w:type="dxa"/>
            </w:tcMar>
            <w:vAlign w:val="center"/>
          </w:tcPr>
          <w:p w14:paraId="30C0115F" w14:textId="77777777" w:rsidR="00325766" w:rsidRDefault="00000000">
            <w:pPr>
              <w:pStyle w:val="CETBodytext"/>
              <w:widowControl w:val="0"/>
              <w:spacing w:line="216" w:lineRule="auto"/>
              <w:jc w:val="center"/>
              <w:rPr>
                <w:sz w:val="16"/>
                <w:szCs w:val="16"/>
              </w:rPr>
            </w:pPr>
            <w:r>
              <w:rPr>
                <w:sz w:val="16"/>
                <w:szCs w:val="16"/>
              </w:rPr>
              <w:t>920</w:t>
            </w:r>
          </w:p>
        </w:tc>
        <w:tc>
          <w:tcPr>
            <w:tcW w:w="1244" w:type="dxa"/>
            <w:vMerge w:val="restart"/>
            <w:tcBorders>
              <w:bottom w:val="single" w:sz="12" w:space="0" w:color="127622"/>
            </w:tcBorders>
            <w:shd w:val="clear" w:color="auto" w:fill="FFFFFF"/>
            <w:tcMar>
              <w:top w:w="55" w:type="dxa"/>
              <w:left w:w="55" w:type="dxa"/>
              <w:bottom w:w="55" w:type="dxa"/>
              <w:right w:w="55" w:type="dxa"/>
            </w:tcMar>
            <w:vAlign w:val="center"/>
          </w:tcPr>
          <w:p w14:paraId="5367314B" w14:textId="77777777" w:rsidR="00325766" w:rsidRDefault="00000000">
            <w:pPr>
              <w:pStyle w:val="CETBodytext"/>
              <w:widowControl w:val="0"/>
              <w:spacing w:line="216" w:lineRule="auto"/>
              <w:jc w:val="center"/>
              <w:rPr>
                <w:sz w:val="16"/>
                <w:szCs w:val="16"/>
              </w:rPr>
            </w:pPr>
            <w:r>
              <w:rPr>
                <w:sz w:val="16"/>
                <w:szCs w:val="16"/>
              </w:rPr>
              <w:t>1001</w:t>
            </w:r>
          </w:p>
        </w:tc>
      </w:tr>
      <w:tr w:rsidR="00325766" w14:paraId="67FA2932" w14:textId="77777777">
        <w:trPr>
          <w:trHeight w:val="172"/>
        </w:trPr>
        <w:tc>
          <w:tcPr>
            <w:tcW w:w="1021" w:type="dxa"/>
            <w:vMerge/>
            <w:tcBorders>
              <w:bottom w:val="single" w:sz="12" w:space="0" w:color="127622"/>
            </w:tcBorders>
            <w:shd w:val="clear" w:color="auto" w:fill="FFFFFF"/>
            <w:tcMar>
              <w:top w:w="55" w:type="dxa"/>
              <w:left w:w="55" w:type="dxa"/>
              <w:bottom w:w="55" w:type="dxa"/>
              <w:right w:w="55" w:type="dxa"/>
            </w:tcMar>
            <w:vAlign w:val="center"/>
          </w:tcPr>
          <w:p w14:paraId="407E30E3" w14:textId="77777777" w:rsidR="00325766" w:rsidRDefault="00325766"/>
        </w:tc>
        <w:tc>
          <w:tcPr>
            <w:tcW w:w="1134" w:type="dxa"/>
            <w:shd w:val="clear" w:color="auto" w:fill="FFFFFF"/>
            <w:tcMar>
              <w:top w:w="55" w:type="dxa"/>
              <w:left w:w="55" w:type="dxa"/>
              <w:bottom w:w="55" w:type="dxa"/>
              <w:right w:w="55" w:type="dxa"/>
            </w:tcMar>
          </w:tcPr>
          <w:p w14:paraId="44265B7E" w14:textId="77777777" w:rsidR="00325766" w:rsidRDefault="00000000">
            <w:pPr>
              <w:pStyle w:val="CETBodytext"/>
              <w:widowControl w:val="0"/>
              <w:spacing w:line="240" w:lineRule="auto"/>
              <w:jc w:val="center"/>
              <w:rPr>
                <w:sz w:val="16"/>
                <w:szCs w:val="16"/>
              </w:rPr>
            </w:pPr>
            <w:r>
              <w:rPr>
                <w:sz w:val="16"/>
                <w:szCs w:val="16"/>
              </w:rPr>
              <w:t>0.528</w:t>
            </w:r>
          </w:p>
        </w:tc>
        <w:tc>
          <w:tcPr>
            <w:tcW w:w="1133" w:type="dxa"/>
            <w:vMerge/>
            <w:tcBorders>
              <w:bottom w:val="single" w:sz="12" w:space="0" w:color="127622"/>
            </w:tcBorders>
            <w:shd w:val="clear" w:color="auto" w:fill="FFFFFF"/>
            <w:tcMar>
              <w:top w:w="55" w:type="dxa"/>
              <w:left w:w="55" w:type="dxa"/>
              <w:bottom w:w="55" w:type="dxa"/>
              <w:right w:w="55" w:type="dxa"/>
            </w:tcMar>
            <w:vAlign w:val="center"/>
          </w:tcPr>
          <w:p w14:paraId="0E90C140" w14:textId="77777777" w:rsidR="00325766" w:rsidRDefault="00325766"/>
        </w:tc>
        <w:tc>
          <w:tcPr>
            <w:tcW w:w="1134" w:type="dxa"/>
            <w:shd w:val="clear" w:color="auto" w:fill="FFFFFF"/>
            <w:tcMar>
              <w:top w:w="55" w:type="dxa"/>
              <w:left w:w="55" w:type="dxa"/>
              <w:bottom w:w="55" w:type="dxa"/>
              <w:right w:w="55" w:type="dxa"/>
            </w:tcMar>
          </w:tcPr>
          <w:p w14:paraId="62526ADF" w14:textId="77777777" w:rsidR="00325766" w:rsidRDefault="00000000">
            <w:pPr>
              <w:pStyle w:val="CETBodytext"/>
              <w:widowControl w:val="0"/>
              <w:spacing w:line="240" w:lineRule="auto"/>
              <w:jc w:val="center"/>
              <w:rPr>
                <w:sz w:val="16"/>
                <w:szCs w:val="16"/>
              </w:rPr>
            </w:pPr>
            <w:r>
              <w:rPr>
                <w:sz w:val="16"/>
                <w:szCs w:val="16"/>
              </w:rPr>
              <w:t>423</w:t>
            </w:r>
          </w:p>
        </w:tc>
        <w:tc>
          <w:tcPr>
            <w:tcW w:w="1302" w:type="dxa"/>
            <w:vMerge/>
            <w:tcBorders>
              <w:bottom w:val="single" w:sz="12" w:space="0" w:color="127622"/>
            </w:tcBorders>
            <w:shd w:val="clear" w:color="auto" w:fill="FFFFFF"/>
            <w:tcMar>
              <w:top w:w="55" w:type="dxa"/>
              <w:left w:w="55" w:type="dxa"/>
              <w:bottom w:w="55" w:type="dxa"/>
              <w:right w:w="55" w:type="dxa"/>
            </w:tcMar>
            <w:vAlign w:val="center"/>
          </w:tcPr>
          <w:p w14:paraId="0EDAD6D0" w14:textId="77777777" w:rsidR="00325766" w:rsidRDefault="00325766"/>
        </w:tc>
        <w:tc>
          <w:tcPr>
            <w:tcW w:w="1194" w:type="dxa"/>
            <w:vMerge/>
            <w:tcBorders>
              <w:bottom w:val="single" w:sz="12" w:space="0" w:color="127622"/>
            </w:tcBorders>
            <w:shd w:val="clear" w:color="auto" w:fill="FFFFFF"/>
            <w:tcMar>
              <w:top w:w="55" w:type="dxa"/>
              <w:left w:w="55" w:type="dxa"/>
              <w:bottom w:w="55" w:type="dxa"/>
              <w:right w:w="55" w:type="dxa"/>
            </w:tcMar>
            <w:vAlign w:val="center"/>
          </w:tcPr>
          <w:p w14:paraId="7C6FAF51" w14:textId="77777777" w:rsidR="00325766" w:rsidRDefault="00325766"/>
        </w:tc>
        <w:tc>
          <w:tcPr>
            <w:tcW w:w="1244" w:type="dxa"/>
            <w:vMerge/>
            <w:tcBorders>
              <w:bottom w:val="single" w:sz="12" w:space="0" w:color="127622"/>
            </w:tcBorders>
            <w:shd w:val="clear" w:color="auto" w:fill="FFFFFF"/>
            <w:tcMar>
              <w:top w:w="55" w:type="dxa"/>
              <w:left w:w="55" w:type="dxa"/>
              <w:bottom w:w="55" w:type="dxa"/>
              <w:right w:w="55" w:type="dxa"/>
            </w:tcMar>
            <w:vAlign w:val="center"/>
          </w:tcPr>
          <w:p w14:paraId="63A5BABF" w14:textId="77777777" w:rsidR="00325766" w:rsidRDefault="00325766"/>
        </w:tc>
      </w:tr>
      <w:tr w:rsidR="00325766" w14:paraId="2B3E8335" w14:textId="77777777">
        <w:trPr>
          <w:trHeight w:val="55"/>
        </w:trPr>
        <w:tc>
          <w:tcPr>
            <w:tcW w:w="1021" w:type="dxa"/>
            <w:vMerge/>
            <w:tcBorders>
              <w:bottom w:val="single" w:sz="12" w:space="0" w:color="127622"/>
            </w:tcBorders>
            <w:shd w:val="clear" w:color="auto" w:fill="FFFFFF"/>
            <w:tcMar>
              <w:top w:w="55" w:type="dxa"/>
              <w:left w:w="55" w:type="dxa"/>
              <w:bottom w:w="55" w:type="dxa"/>
              <w:right w:w="55" w:type="dxa"/>
            </w:tcMar>
            <w:vAlign w:val="center"/>
          </w:tcPr>
          <w:p w14:paraId="030B4E04" w14:textId="77777777" w:rsidR="00325766" w:rsidRDefault="00325766"/>
        </w:tc>
        <w:tc>
          <w:tcPr>
            <w:tcW w:w="1134" w:type="dxa"/>
            <w:tcBorders>
              <w:bottom w:val="single" w:sz="12" w:space="0" w:color="127622"/>
            </w:tcBorders>
            <w:shd w:val="clear" w:color="auto" w:fill="FFFFFF"/>
            <w:tcMar>
              <w:top w:w="55" w:type="dxa"/>
              <w:left w:w="55" w:type="dxa"/>
              <w:bottom w:w="55" w:type="dxa"/>
              <w:right w:w="55" w:type="dxa"/>
            </w:tcMar>
          </w:tcPr>
          <w:p w14:paraId="63BCA3AD" w14:textId="77777777" w:rsidR="00325766" w:rsidRDefault="00000000">
            <w:pPr>
              <w:pStyle w:val="CETBodytext"/>
              <w:widowControl w:val="0"/>
              <w:spacing w:line="240" w:lineRule="auto"/>
              <w:jc w:val="center"/>
              <w:rPr>
                <w:sz w:val="16"/>
                <w:szCs w:val="16"/>
              </w:rPr>
            </w:pPr>
            <w:r>
              <w:rPr>
                <w:sz w:val="16"/>
                <w:szCs w:val="16"/>
              </w:rPr>
              <w:t>0.570</w:t>
            </w:r>
          </w:p>
        </w:tc>
        <w:tc>
          <w:tcPr>
            <w:tcW w:w="1133" w:type="dxa"/>
            <w:vMerge/>
            <w:tcBorders>
              <w:bottom w:val="single" w:sz="12" w:space="0" w:color="127622"/>
            </w:tcBorders>
            <w:shd w:val="clear" w:color="auto" w:fill="FFFFFF"/>
            <w:tcMar>
              <w:top w:w="55" w:type="dxa"/>
              <w:left w:w="55" w:type="dxa"/>
              <w:bottom w:w="55" w:type="dxa"/>
              <w:right w:w="55" w:type="dxa"/>
            </w:tcMar>
            <w:vAlign w:val="center"/>
          </w:tcPr>
          <w:p w14:paraId="56E014D7" w14:textId="77777777" w:rsidR="00325766" w:rsidRDefault="00325766"/>
        </w:tc>
        <w:tc>
          <w:tcPr>
            <w:tcW w:w="1134" w:type="dxa"/>
            <w:tcBorders>
              <w:bottom w:val="single" w:sz="12" w:space="0" w:color="127622"/>
            </w:tcBorders>
            <w:shd w:val="clear" w:color="auto" w:fill="FFFFFF"/>
            <w:tcMar>
              <w:top w:w="55" w:type="dxa"/>
              <w:left w:w="55" w:type="dxa"/>
              <w:bottom w:w="55" w:type="dxa"/>
              <w:right w:w="55" w:type="dxa"/>
            </w:tcMar>
          </w:tcPr>
          <w:p w14:paraId="6D8C69A6" w14:textId="77777777" w:rsidR="00325766" w:rsidRDefault="00000000">
            <w:pPr>
              <w:pStyle w:val="CETBodytext"/>
              <w:widowControl w:val="0"/>
              <w:spacing w:line="240" w:lineRule="auto"/>
              <w:jc w:val="center"/>
              <w:rPr>
                <w:sz w:val="16"/>
                <w:szCs w:val="16"/>
              </w:rPr>
            </w:pPr>
            <w:r>
              <w:rPr>
                <w:sz w:val="16"/>
                <w:szCs w:val="16"/>
              </w:rPr>
              <w:t>402</w:t>
            </w:r>
          </w:p>
        </w:tc>
        <w:tc>
          <w:tcPr>
            <w:tcW w:w="1302" w:type="dxa"/>
            <w:vMerge/>
            <w:tcBorders>
              <w:bottom w:val="single" w:sz="12" w:space="0" w:color="127622"/>
            </w:tcBorders>
            <w:shd w:val="clear" w:color="auto" w:fill="FFFFFF"/>
            <w:tcMar>
              <w:top w:w="55" w:type="dxa"/>
              <w:left w:w="55" w:type="dxa"/>
              <w:bottom w:w="55" w:type="dxa"/>
              <w:right w:w="55" w:type="dxa"/>
            </w:tcMar>
            <w:vAlign w:val="center"/>
          </w:tcPr>
          <w:p w14:paraId="3EBDF493" w14:textId="77777777" w:rsidR="00325766" w:rsidRDefault="00325766"/>
        </w:tc>
        <w:tc>
          <w:tcPr>
            <w:tcW w:w="1194" w:type="dxa"/>
            <w:vMerge/>
            <w:tcBorders>
              <w:bottom w:val="single" w:sz="12" w:space="0" w:color="127622"/>
            </w:tcBorders>
            <w:shd w:val="clear" w:color="auto" w:fill="FFFFFF"/>
            <w:tcMar>
              <w:top w:w="55" w:type="dxa"/>
              <w:left w:w="55" w:type="dxa"/>
              <w:bottom w:w="55" w:type="dxa"/>
              <w:right w:w="55" w:type="dxa"/>
            </w:tcMar>
            <w:vAlign w:val="center"/>
          </w:tcPr>
          <w:p w14:paraId="185C7B34" w14:textId="77777777" w:rsidR="00325766" w:rsidRDefault="00325766"/>
        </w:tc>
        <w:tc>
          <w:tcPr>
            <w:tcW w:w="1244" w:type="dxa"/>
            <w:vMerge/>
            <w:tcBorders>
              <w:bottom w:val="single" w:sz="12" w:space="0" w:color="127622"/>
            </w:tcBorders>
            <w:shd w:val="clear" w:color="auto" w:fill="FFFFFF"/>
            <w:tcMar>
              <w:top w:w="55" w:type="dxa"/>
              <w:left w:w="55" w:type="dxa"/>
              <w:bottom w:w="55" w:type="dxa"/>
              <w:right w:w="55" w:type="dxa"/>
            </w:tcMar>
            <w:vAlign w:val="center"/>
          </w:tcPr>
          <w:p w14:paraId="2EEF3E87" w14:textId="77777777" w:rsidR="00325766" w:rsidRDefault="00325766"/>
        </w:tc>
      </w:tr>
    </w:tbl>
    <w:p w14:paraId="183C4AA5" w14:textId="16A6F88C" w:rsidR="00325766" w:rsidRDefault="00000000">
      <w:pPr>
        <w:pStyle w:val="Standard"/>
        <w:spacing w:line="276" w:lineRule="auto"/>
      </w:pPr>
      <w:r>
        <w:rPr>
          <w:szCs w:val="18"/>
        </w:rPr>
        <w:lastRenderedPageBreak/>
        <w:t xml:space="preserve">Table 3 shows the measurements/calculations performed with </w:t>
      </w:r>
      <w:r w:rsidR="00727E2D">
        <w:rPr>
          <w:szCs w:val="18"/>
        </w:rPr>
        <w:t xml:space="preserve">the </w:t>
      </w:r>
      <w:r>
        <w:rPr>
          <w:szCs w:val="18"/>
        </w:rPr>
        <w:t>materials at different</w:t>
      </w:r>
      <w:r w:rsidR="00727E2D">
        <w:rPr>
          <w:szCs w:val="18"/>
        </w:rPr>
        <w:t xml:space="preserve"> </w:t>
      </w:r>
      <w:r>
        <w:rPr>
          <w:szCs w:val="18"/>
        </w:rPr>
        <w:t>porosities according to Eq(7) and compare</w:t>
      </w:r>
      <w:r w:rsidR="00727E2D">
        <w:rPr>
          <w:szCs w:val="18"/>
        </w:rPr>
        <w:t>s</w:t>
      </w:r>
      <w:r>
        <w:rPr>
          <w:szCs w:val="18"/>
        </w:rPr>
        <w:t xml:space="preserve"> them with the sizes measured IA and those measured LLS. A direct correspondence was found between Sauter mean diameter </w:t>
      </w:r>
      <w:r>
        <w:rPr>
          <w:i/>
          <w:iCs/>
          <w:szCs w:val="18"/>
        </w:rPr>
        <w:t>x</w:t>
      </w:r>
      <w:r>
        <w:rPr>
          <w:szCs w:val="18"/>
          <w:vertAlign w:val="subscript"/>
        </w:rPr>
        <w:t>32</w:t>
      </w:r>
      <w:r>
        <w:rPr>
          <w:szCs w:val="18"/>
        </w:rPr>
        <w:t xml:space="preserve"> calculated from IA and LLS data after transformation of IA PSD from number to mass basis. While there was an agreement between these two diameters a large discrepancy was observed with the diameters calculated from permeability tests. For most of the materials, the calculated diameter was smaller than the measured one (glass beads, salt and TAED powders), </w:t>
      </w:r>
      <w:r>
        <w:rPr>
          <w:i/>
          <w:iCs/>
          <w:szCs w:val="18"/>
        </w:rPr>
        <w:t>viceversa</w:t>
      </w:r>
      <w:r>
        <w:rPr>
          <w:szCs w:val="18"/>
        </w:rPr>
        <w:t xml:space="preserve"> for the granulated MCC.</w:t>
      </w:r>
    </w:p>
    <w:p w14:paraId="5C084CDE" w14:textId="1770A19E" w:rsidR="00325766" w:rsidRDefault="00000000">
      <w:pPr>
        <w:pStyle w:val="Standard"/>
        <w:spacing w:line="276" w:lineRule="auto"/>
      </w:pPr>
      <w:r>
        <w:rPr>
          <w:szCs w:val="18"/>
        </w:rPr>
        <w:t xml:space="preserve">The diameter </w:t>
      </w:r>
      <w:r>
        <w:rPr>
          <w:i/>
          <w:iCs/>
          <w:szCs w:val="18"/>
        </w:rPr>
        <w:t>x</w:t>
      </w:r>
      <w:r>
        <w:rPr>
          <w:szCs w:val="18"/>
          <w:vertAlign w:val="subscript"/>
        </w:rPr>
        <w:t>ΔP</w:t>
      </w:r>
      <w:r>
        <w:rPr>
          <w:szCs w:val="18"/>
        </w:rPr>
        <w:t xml:space="preserve"> calculated by Eq(7) has therefore to be interpreted as an average equivalent diameter which has not a direct correspondence with the physical dimension of the particle that constitute the granular packing since it is strongly affected by morphology, size distribution, connectivity and volume of the void fraction (</w:t>
      </w:r>
      <w:r w:rsidR="0084559D">
        <w:rPr>
          <w:szCs w:val="18"/>
        </w:rPr>
        <w:t xml:space="preserve">bulk </w:t>
      </w:r>
      <w:r>
        <w:rPr>
          <w:szCs w:val="18"/>
        </w:rPr>
        <w:t>porosity).</w:t>
      </w:r>
    </w:p>
    <w:p w14:paraId="4579D1F1" w14:textId="6C39E934" w:rsidR="00325766" w:rsidRDefault="00000000">
      <w:pPr>
        <w:pStyle w:val="Standard"/>
        <w:spacing w:line="276" w:lineRule="auto"/>
      </w:pPr>
      <w:r>
        <w:rPr>
          <w:szCs w:val="18"/>
        </w:rPr>
        <w:t xml:space="preserve">In order to make the particle diameter constant (for each type of material) and equal to that measured by IA we need to modify Eq(3) or Eq(7) by substituting the constant </w:t>
      </w:r>
      <w:r>
        <w:rPr>
          <w:i/>
          <w:iCs/>
          <w:szCs w:val="18"/>
        </w:rPr>
        <w:t>C</w:t>
      </w:r>
      <w:r>
        <w:rPr>
          <w:szCs w:val="18"/>
        </w:rPr>
        <w:t xml:space="preserve"> = 180 in Eq(7) with a function of </w:t>
      </w:r>
      <w:r w:rsidR="0084559D">
        <w:rPr>
          <w:szCs w:val="18"/>
        </w:rPr>
        <w:t>bulk</w:t>
      </w:r>
      <w:r>
        <w:rPr>
          <w:szCs w:val="18"/>
        </w:rPr>
        <w:t xml:space="preserve"> porosity </w:t>
      </w:r>
      <w:r>
        <w:rPr>
          <w:i/>
          <w:iCs/>
          <w:szCs w:val="18"/>
        </w:rPr>
        <w:t>f</w:t>
      </w:r>
      <w:r>
        <w:rPr>
          <w:szCs w:val="18"/>
        </w:rPr>
        <w:t>(</w:t>
      </w:r>
      <w:r>
        <w:rPr>
          <w:i/>
          <w:iCs/>
          <w:szCs w:val="18"/>
        </w:rPr>
        <w:t>ε</w:t>
      </w:r>
      <w:r>
        <w:rPr>
          <w:szCs w:val="18"/>
        </w:rPr>
        <w:t>). Let’s therefore rewrite Eq(7) as:</w:t>
      </w:r>
    </w:p>
    <w:tbl>
      <w:tblPr>
        <w:tblW w:w="5000" w:type="pct"/>
        <w:tblInd w:w="109" w:type="dxa"/>
        <w:tblLayout w:type="fixed"/>
        <w:tblLook w:val="04A0" w:firstRow="1" w:lastRow="0" w:firstColumn="1" w:lastColumn="0" w:noHBand="0" w:noVBand="1"/>
      </w:tblPr>
      <w:tblGrid>
        <w:gridCol w:w="8179"/>
        <w:gridCol w:w="824"/>
      </w:tblGrid>
      <w:tr w:rsidR="00325766" w14:paraId="649497A8" w14:textId="77777777">
        <w:tc>
          <w:tcPr>
            <w:tcW w:w="7982" w:type="dxa"/>
            <w:vAlign w:val="center"/>
          </w:tcPr>
          <w:p w14:paraId="6D77D69A" w14:textId="77777777" w:rsidR="00325766" w:rsidRDefault="00000000">
            <w:pPr>
              <w:pStyle w:val="CETEquation"/>
              <w:widowControl w:val="0"/>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IA</m:t>
                    </m:r>
                  </m:sub>
                </m:sSub>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36⋅f</m:t>
                        </m:r>
                        <m:d>
                          <m:dPr>
                            <m:ctrlPr>
                              <w:rPr>
                                <w:rFonts w:ascii="Cambria Math" w:hAnsi="Cambria Math"/>
                              </w:rPr>
                            </m:ctrlPr>
                          </m:dPr>
                          <m:e>
                            <m:r>
                              <w:rPr>
                                <w:rFonts w:ascii="Cambria Math" w:hAnsi="Cambria Math"/>
                              </w:rPr>
                              <m:t>ε</m:t>
                            </m:r>
                          </m:e>
                        </m:d>
                        <m:r>
                          <w:rPr>
                            <w:rFonts w:ascii="Cambria Math" w:hAnsi="Cambria Math"/>
                          </w:rPr>
                          <m:t>⋅η⋅</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1-ε</m:t>
                                    </m:r>
                                  </m:e>
                                </m:d>
                              </m:e>
                              <m:sup>
                                <m:r>
                                  <w:rPr>
                                    <w:rFonts w:ascii="Cambria Math" w:hAnsi="Cambria Math"/>
                                  </w:rPr>
                                  <m:t>2</m:t>
                                </m:r>
                              </m:sup>
                            </m:sSup>
                          </m:num>
                          <m:den>
                            <m:sSup>
                              <m:sSupPr>
                                <m:ctrlPr>
                                  <w:rPr>
                                    <w:rFonts w:ascii="Cambria Math" w:hAnsi="Cambria Math"/>
                                  </w:rPr>
                                </m:ctrlPr>
                              </m:sSupPr>
                              <m:e>
                                <m:r>
                                  <w:rPr>
                                    <w:rFonts w:ascii="Cambria Math" w:hAnsi="Cambria Math"/>
                                  </w:rPr>
                                  <m:t>ε</m:t>
                                </m:r>
                              </m:e>
                              <m:sup>
                                <m:r>
                                  <w:rPr>
                                    <w:rFonts w:ascii="Cambria Math" w:hAnsi="Cambria Math"/>
                                  </w:rPr>
                                  <m:t>3</m:t>
                                </m:r>
                              </m:sup>
                            </m:sSup>
                          </m:den>
                        </m:f>
                        <m:r>
                          <w:rPr>
                            <w:rFonts w:ascii="Cambria Math" w:hAnsi="Cambria Math"/>
                          </w:rPr>
                          <m:t>⋅</m:t>
                        </m:r>
                        <m:f>
                          <m:fPr>
                            <m:ctrlPr>
                              <w:rPr>
                                <w:rFonts w:ascii="Cambria Math" w:hAnsi="Cambria Math"/>
                              </w:rPr>
                            </m:ctrlPr>
                          </m:fPr>
                          <m:num>
                            <m:r>
                              <w:rPr>
                                <w:rFonts w:ascii="Cambria Math" w:hAnsi="Cambria Math"/>
                              </w:rPr>
                              <m:t>1</m:t>
                            </m:r>
                          </m:num>
                          <m:den>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m:t>
                                    </m:r>
                                  </m:e>
                                  <m:sub>
                                    <m:r>
                                      <w:rPr>
                                        <w:rFonts w:ascii="Cambria Math" w:hAnsi="Cambria Math"/>
                                      </w:rPr>
                                      <m:t>s</m:t>
                                    </m:r>
                                  </m:sub>
                                </m:sSub>
                              </m:den>
                            </m:f>
                            <m:f>
                              <m:fPr>
                                <m:ctrlPr>
                                  <w:rPr>
                                    <w:rFonts w:ascii="Cambria Math" w:hAnsi="Cambria Math"/>
                                  </w:rPr>
                                </m:ctrlPr>
                              </m:fPr>
                              <m:num>
                                <m:r>
                                  <w:rPr>
                                    <w:rFonts w:ascii="Cambria Math" w:hAnsi="Cambria Math"/>
                                  </w:rPr>
                                  <m:t>ΔP</m:t>
                                </m:r>
                              </m:num>
                              <m:den>
                                <m:r>
                                  <w:rPr>
                                    <w:rFonts w:ascii="Cambria Math" w:hAnsi="Cambria Math"/>
                                  </w:rPr>
                                  <m:t>L</m:t>
                                </m:r>
                              </m:den>
                            </m:f>
                          </m:den>
                        </m:f>
                      </m:e>
                    </m:d>
                  </m:e>
                  <m:sup>
                    <m:r>
                      <w:rPr>
                        <w:rFonts w:ascii="Cambria Math" w:hAnsi="Cambria Math"/>
                      </w:rPr>
                      <m:t>0.5</m:t>
                    </m:r>
                  </m:sup>
                </m:sSup>
              </m:oMath>
            </m:oMathPara>
          </w:p>
        </w:tc>
        <w:tc>
          <w:tcPr>
            <w:tcW w:w="804" w:type="dxa"/>
            <w:vAlign w:val="center"/>
          </w:tcPr>
          <w:p w14:paraId="2970B9CC" w14:textId="77777777" w:rsidR="00325766" w:rsidRDefault="00000000">
            <w:pPr>
              <w:pStyle w:val="Standard"/>
              <w:widowControl w:val="0"/>
              <w:spacing w:before="120" w:after="120" w:line="276" w:lineRule="auto"/>
              <w:jc w:val="left"/>
              <w:rPr>
                <w:szCs w:val="18"/>
              </w:rPr>
            </w:pPr>
            <w:r>
              <w:rPr>
                <w:szCs w:val="18"/>
              </w:rPr>
              <w:t>(8)</w:t>
            </w:r>
          </w:p>
        </w:tc>
      </w:tr>
    </w:tbl>
    <w:p w14:paraId="338AEBFD" w14:textId="77777777" w:rsidR="00325766" w:rsidRDefault="00000000">
      <w:pPr>
        <w:pStyle w:val="Standard"/>
        <w:spacing w:line="276" w:lineRule="auto"/>
      </w:pPr>
      <w:r>
        <w:rPr>
          <w:szCs w:val="18"/>
        </w:rPr>
        <w:t xml:space="preserve">where the constant </w:t>
      </w:r>
      <w:r>
        <w:rPr>
          <w:i/>
          <w:iCs/>
          <w:szCs w:val="18"/>
        </w:rPr>
        <w:t>C</w:t>
      </w:r>
      <w:r>
        <w:rPr>
          <w:szCs w:val="18"/>
        </w:rPr>
        <w:t xml:space="preserve"> = 180 has been substituted with 36·</w:t>
      </w:r>
      <w:r>
        <w:rPr>
          <w:i/>
          <w:iCs/>
          <w:szCs w:val="18"/>
        </w:rPr>
        <w:t>f</w:t>
      </w:r>
      <w:r>
        <w:rPr>
          <w:szCs w:val="18"/>
        </w:rPr>
        <w:t>(</w:t>
      </w:r>
      <w:r>
        <w:rPr>
          <w:i/>
          <w:iCs/>
          <w:szCs w:val="18"/>
        </w:rPr>
        <w:t>ε</w:t>
      </w:r>
      <w:r>
        <w:rPr>
          <w:szCs w:val="18"/>
        </w:rPr>
        <w:t xml:space="preserve">). The function </w:t>
      </w:r>
      <w:r>
        <w:rPr>
          <w:i/>
          <w:iCs/>
          <w:szCs w:val="18"/>
        </w:rPr>
        <w:t>f</w:t>
      </w:r>
      <w:r>
        <w:rPr>
          <w:szCs w:val="18"/>
        </w:rPr>
        <w:t>(</w:t>
      </w:r>
      <w:r>
        <w:rPr>
          <w:i/>
          <w:iCs/>
          <w:szCs w:val="18"/>
        </w:rPr>
        <w:t>ε</w:t>
      </w:r>
      <w:r>
        <w:rPr>
          <w:szCs w:val="18"/>
        </w:rPr>
        <w:t xml:space="preserve">) has the scope of preserving the independence of the diameter on </w:t>
      </w:r>
      <w:r>
        <w:rPr>
          <w:i/>
          <w:iCs/>
          <w:szCs w:val="18"/>
        </w:rPr>
        <w:t>ε</w:t>
      </w:r>
      <w:r>
        <w:rPr>
          <w:szCs w:val="18"/>
        </w:rPr>
        <w:t xml:space="preserve"> and considers all the complexity of the bed packing (morphology and connectivity of the pores). From Eq(8) this function can be made explicit and then plotted in Figure 4.</w:t>
      </w:r>
    </w:p>
    <w:tbl>
      <w:tblPr>
        <w:tblW w:w="5000" w:type="pct"/>
        <w:tblInd w:w="109" w:type="dxa"/>
        <w:tblLayout w:type="fixed"/>
        <w:tblLook w:val="04A0" w:firstRow="1" w:lastRow="0" w:firstColumn="1" w:lastColumn="0" w:noHBand="0" w:noVBand="1"/>
      </w:tblPr>
      <w:tblGrid>
        <w:gridCol w:w="8179"/>
        <w:gridCol w:w="824"/>
      </w:tblGrid>
      <w:tr w:rsidR="00325766" w14:paraId="34652855" w14:textId="77777777">
        <w:tc>
          <w:tcPr>
            <w:tcW w:w="7982" w:type="dxa"/>
            <w:vAlign w:val="center"/>
          </w:tcPr>
          <w:p w14:paraId="738C0839" w14:textId="77777777" w:rsidR="00325766" w:rsidRDefault="00000000">
            <w:pPr>
              <w:pStyle w:val="CETEquation"/>
              <w:widowControl w:val="0"/>
            </w:pPr>
            <m:oMathPara>
              <m:oMathParaPr>
                <m:jc m:val="left"/>
              </m:oMathParaPr>
              <m:oMath>
                <m:r>
                  <w:rPr>
                    <w:rFonts w:ascii="Cambria Math" w:hAnsi="Cambria Math"/>
                  </w:rPr>
                  <m:t>f</m:t>
                </m:r>
                <m:d>
                  <m:dPr>
                    <m:ctrlPr>
                      <w:rPr>
                        <w:rFonts w:ascii="Cambria Math" w:hAnsi="Cambria Math"/>
                      </w:rPr>
                    </m:ctrlPr>
                  </m:dPr>
                  <m:e>
                    <m:r>
                      <w:rPr>
                        <w:rFonts w:ascii="Cambria Math" w:hAnsi="Cambria Math"/>
                      </w:rPr>
                      <m:t>ε</m:t>
                    </m:r>
                  </m:e>
                </m:d>
                <m:r>
                  <w:rPr>
                    <w:rFonts w:ascii="Cambria Math" w:hAnsi="Cambria Math"/>
                  </w:rPr>
                  <m:t>=</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x</m:t>
                            </m:r>
                          </m:e>
                          <m:sub>
                            <m:r>
                              <w:rPr>
                                <w:rFonts w:ascii="Cambria Math" w:hAnsi="Cambria Math"/>
                              </w:rPr>
                              <m:t>IA</m:t>
                            </m:r>
                          </m:sub>
                        </m:sSub>
                      </m:e>
                      <m:sup>
                        <m:r>
                          <w:rPr>
                            <w:rFonts w:ascii="Cambria Math" w:hAnsi="Cambria Math"/>
                          </w:rPr>
                          <m:t>2</m:t>
                        </m:r>
                      </m:sup>
                    </m:sSup>
                  </m:num>
                  <m:den>
                    <m:r>
                      <w:rPr>
                        <w:rFonts w:ascii="Cambria Math" w:hAnsi="Cambria Math"/>
                      </w:rPr>
                      <m:t>36</m:t>
                    </m:r>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m:t>
                        </m:r>
                      </m:e>
                      <m:sub>
                        <m:r>
                          <w:rPr>
                            <w:rFonts w:ascii="Cambria Math" w:hAnsi="Cambria Math"/>
                          </w:rPr>
                          <m:t>s</m:t>
                        </m:r>
                      </m:sub>
                    </m:sSub>
                  </m:den>
                </m:f>
                <m:f>
                  <m:fPr>
                    <m:ctrlPr>
                      <w:rPr>
                        <w:rFonts w:ascii="Cambria Math" w:hAnsi="Cambria Math"/>
                      </w:rPr>
                    </m:ctrlPr>
                  </m:fPr>
                  <m:num>
                    <m:r>
                      <w:rPr>
                        <w:rFonts w:ascii="Cambria Math" w:hAnsi="Cambria Math"/>
                      </w:rPr>
                      <m:t>ΔP</m:t>
                    </m:r>
                  </m:num>
                  <m:den>
                    <m:r>
                      <w:rPr>
                        <w:rFonts w:ascii="Cambria Math" w:hAnsi="Cambria Math"/>
                      </w:rPr>
                      <m:t>L</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η</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ε</m:t>
                        </m:r>
                      </m:e>
                      <m:sup>
                        <m:r>
                          <w:rPr>
                            <w:rFonts w:ascii="Cambria Math" w:hAnsi="Cambria Math"/>
                          </w:rPr>
                          <m:t>3</m:t>
                        </m:r>
                      </m:sup>
                    </m:sSup>
                  </m:num>
                  <m:den>
                    <m:sSup>
                      <m:sSupPr>
                        <m:ctrlPr>
                          <w:rPr>
                            <w:rFonts w:ascii="Cambria Math" w:hAnsi="Cambria Math"/>
                          </w:rPr>
                        </m:ctrlPr>
                      </m:sSupPr>
                      <m:e>
                        <m:d>
                          <m:dPr>
                            <m:ctrlPr>
                              <w:rPr>
                                <w:rFonts w:ascii="Cambria Math" w:hAnsi="Cambria Math"/>
                              </w:rPr>
                            </m:ctrlPr>
                          </m:dPr>
                          <m:e>
                            <m:r>
                              <w:rPr>
                                <w:rFonts w:ascii="Cambria Math" w:hAnsi="Cambria Math"/>
                              </w:rPr>
                              <m:t>1-ε</m:t>
                            </m:r>
                          </m:e>
                        </m:d>
                      </m:e>
                      <m:sup>
                        <m:r>
                          <w:rPr>
                            <w:rFonts w:ascii="Cambria Math" w:hAnsi="Cambria Math"/>
                          </w:rPr>
                          <m:t>2</m:t>
                        </m:r>
                      </m:sup>
                    </m:sSup>
                  </m:den>
                </m:f>
              </m:oMath>
            </m:oMathPara>
          </w:p>
        </w:tc>
        <w:tc>
          <w:tcPr>
            <w:tcW w:w="804" w:type="dxa"/>
            <w:vAlign w:val="center"/>
          </w:tcPr>
          <w:p w14:paraId="5E245F34" w14:textId="77777777" w:rsidR="00325766" w:rsidRDefault="00000000">
            <w:pPr>
              <w:pStyle w:val="Standard"/>
              <w:widowControl w:val="0"/>
              <w:spacing w:before="120" w:after="120" w:line="276" w:lineRule="auto"/>
              <w:jc w:val="left"/>
              <w:rPr>
                <w:szCs w:val="18"/>
              </w:rPr>
            </w:pPr>
            <w:r>
              <w:rPr>
                <w:szCs w:val="18"/>
              </w:rPr>
              <w:t>(9)</w:t>
            </w:r>
          </w:p>
        </w:tc>
      </w:tr>
    </w:tbl>
    <w:p w14:paraId="27C90193" w14:textId="77777777" w:rsidR="00325766" w:rsidRDefault="00000000">
      <w:pPr>
        <w:pStyle w:val="Standard"/>
        <w:spacing w:line="276" w:lineRule="auto"/>
      </w:pPr>
      <w:r>
        <w:rPr>
          <w:noProof/>
        </w:rPr>
        <w:drawing>
          <wp:inline distT="0" distB="0" distL="0" distR="0" wp14:anchorId="49355A6B" wp14:editId="7B3DB715">
            <wp:extent cx="3117850" cy="2339532"/>
            <wp:effectExtent l="0" t="0" r="0" b="0"/>
            <wp:docPr id="9"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17850" cy="2339532"/>
                    </a:xfrm>
                    <a:prstGeom prst="rect">
                      <a:avLst/>
                    </a:prstGeom>
                  </pic:spPr>
                </pic:pic>
              </a:graphicData>
            </a:graphic>
          </wp:inline>
        </w:drawing>
      </w:r>
    </w:p>
    <w:p w14:paraId="654E1CD2" w14:textId="77777777" w:rsidR="00325766" w:rsidRDefault="00000000">
      <w:pPr>
        <w:pStyle w:val="CETCaption"/>
      </w:pPr>
      <w:r>
        <w:rPr>
          <w:rStyle w:val="CETCaptionCarattere"/>
          <w:i/>
        </w:rPr>
        <w:t xml:space="preserve">Figure 4: Determination of the function </w:t>
      </w:r>
      <w:r>
        <w:rPr>
          <w:rStyle w:val="CETCaptionCarattere"/>
          <w:i/>
          <w:iCs/>
          <w:szCs w:val="18"/>
        </w:rPr>
        <w:t>f</w:t>
      </w:r>
      <w:r>
        <w:rPr>
          <w:rStyle w:val="CETCaptionCarattere"/>
          <w:i/>
          <w:szCs w:val="18"/>
        </w:rPr>
        <w:t>(</w:t>
      </w:r>
      <w:r>
        <w:rPr>
          <w:rStyle w:val="CETCaptionCarattere"/>
          <w:i/>
          <w:iCs/>
          <w:szCs w:val="18"/>
        </w:rPr>
        <w:t>ε</w:t>
      </w:r>
      <w:r>
        <w:rPr>
          <w:rStyle w:val="CETCaptionCarattere"/>
          <w:i/>
          <w:szCs w:val="18"/>
        </w:rPr>
        <w:t>) by linear fitting.</w:t>
      </w:r>
    </w:p>
    <w:p w14:paraId="00B49BE1" w14:textId="77777777" w:rsidR="00325766" w:rsidRDefault="00000000">
      <w:pPr>
        <w:pStyle w:val="CETBodytext"/>
      </w:pPr>
      <w:r>
        <w:rPr>
          <w:rStyle w:val="CETCaptionCarattere"/>
          <w:i w:val="0"/>
        </w:rPr>
        <w:t xml:space="preserve">From Figure 4 it can be observed that </w:t>
      </w:r>
      <w:r>
        <w:rPr>
          <w:rStyle w:val="CETCaptionCarattere"/>
          <w:iCs/>
          <w:szCs w:val="18"/>
        </w:rPr>
        <w:t>f</w:t>
      </w:r>
      <w:r>
        <w:rPr>
          <w:rStyle w:val="CETCaptionCarattere"/>
          <w:i w:val="0"/>
          <w:szCs w:val="18"/>
        </w:rPr>
        <w:t>(</w:t>
      </w:r>
      <w:r>
        <w:rPr>
          <w:rStyle w:val="CETCaptionCarattere"/>
          <w:iCs/>
          <w:szCs w:val="18"/>
        </w:rPr>
        <w:t>ε</w:t>
      </w:r>
      <w:r>
        <w:rPr>
          <w:rStyle w:val="CETCaptionCarattere"/>
          <w:i w:val="0"/>
          <w:szCs w:val="18"/>
        </w:rPr>
        <w:t>) can be fitted (least-square method) by two linear functions with a very high coefficient of determination (R</w:t>
      </w:r>
      <w:r>
        <w:rPr>
          <w:rStyle w:val="CETCaptionCarattere"/>
          <w:i w:val="0"/>
          <w:szCs w:val="18"/>
          <w:vertAlign w:val="superscript"/>
        </w:rPr>
        <w:t>2</w:t>
      </w:r>
      <w:r>
        <w:rPr>
          <w:rStyle w:val="CETCaptionCarattere"/>
          <w:i w:val="0"/>
          <w:szCs w:val="18"/>
        </w:rPr>
        <w:t xml:space="preserve"> = 0.99). Their expressions are:</w:t>
      </w:r>
    </w:p>
    <w:tbl>
      <w:tblPr>
        <w:tblW w:w="5000" w:type="pct"/>
        <w:tblInd w:w="109" w:type="dxa"/>
        <w:tblLayout w:type="fixed"/>
        <w:tblLook w:val="04A0" w:firstRow="1" w:lastRow="0" w:firstColumn="1" w:lastColumn="0" w:noHBand="0" w:noVBand="1"/>
      </w:tblPr>
      <w:tblGrid>
        <w:gridCol w:w="8179"/>
        <w:gridCol w:w="824"/>
      </w:tblGrid>
      <w:tr w:rsidR="00325766" w14:paraId="1252A591" w14:textId="77777777">
        <w:tc>
          <w:tcPr>
            <w:tcW w:w="7982" w:type="dxa"/>
            <w:vAlign w:val="center"/>
          </w:tcPr>
          <w:p w14:paraId="2BCCB652" w14:textId="77777777" w:rsidR="00325766" w:rsidRDefault="00000000">
            <w:pPr>
              <w:pStyle w:val="CETEquation"/>
              <w:widowControl w:val="0"/>
            </w:pPr>
            <w:r>
              <w:rPr>
                <w:rStyle w:val="CETCaptionCarattere"/>
                <w:iCs/>
                <w:szCs w:val="18"/>
              </w:rPr>
              <w:t>f</w:t>
            </w:r>
            <w:r>
              <w:rPr>
                <w:rStyle w:val="CETCaptionCarattere"/>
                <w:i w:val="0"/>
                <w:szCs w:val="18"/>
              </w:rPr>
              <w:t>(</w:t>
            </w:r>
            <w:r>
              <w:rPr>
                <w:rStyle w:val="CETCaptionCarattere"/>
                <w:iCs/>
                <w:szCs w:val="18"/>
              </w:rPr>
              <w:t>ε</w:t>
            </w:r>
            <w:r>
              <w:rPr>
                <w:rStyle w:val="CETCaptionCarattere"/>
                <w:i w:val="0"/>
                <w:szCs w:val="18"/>
              </w:rPr>
              <w:t>) = 7.84·</w:t>
            </w:r>
            <w:r>
              <w:rPr>
                <w:rStyle w:val="CETCaptionCarattere"/>
                <w:iCs/>
                <w:szCs w:val="18"/>
              </w:rPr>
              <w:t xml:space="preserve">ε     </w:t>
            </w:r>
            <w:r>
              <w:rPr>
                <w:rStyle w:val="CETCaptionCarattere"/>
                <w:i w:val="0"/>
                <w:szCs w:val="18"/>
              </w:rPr>
              <w:t xml:space="preserve">                 for </w:t>
            </w:r>
            <w:r>
              <w:rPr>
                <w:rStyle w:val="CETCaptionCarattere"/>
                <w:iCs/>
                <w:szCs w:val="18"/>
              </w:rPr>
              <w:t xml:space="preserve">ε </w:t>
            </w:r>
            <w:r>
              <w:rPr>
                <w:rStyle w:val="CETCaptionCarattere"/>
                <w:i w:val="0"/>
                <w:szCs w:val="18"/>
              </w:rPr>
              <w:t xml:space="preserve">&lt; 0.36 and </w:t>
            </w:r>
            <w:r>
              <w:rPr>
                <w:rStyle w:val="CETCaptionCarattere"/>
                <w:iCs/>
                <w:szCs w:val="18"/>
              </w:rPr>
              <w:t>ϕ</w:t>
            </w:r>
            <w:r>
              <w:rPr>
                <w:rStyle w:val="CETCaptionCarattere"/>
                <w:iCs/>
                <w:szCs w:val="18"/>
                <w:vertAlign w:val="subscript"/>
              </w:rPr>
              <w:t>c</w:t>
            </w:r>
            <w:r>
              <w:rPr>
                <w:rStyle w:val="CETCaptionCarattere"/>
                <w:iCs/>
                <w:szCs w:val="18"/>
              </w:rPr>
              <w:t xml:space="preserve"> &gt;</w:t>
            </w:r>
            <w:r>
              <w:rPr>
                <w:rStyle w:val="CETCaptionCarattere"/>
                <w:i w:val="0"/>
                <w:szCs w:val="18"/>
              </w:rPr>
              <w:t xml:space="preserve"> 0.90</w:t>
            </w:r>
          </w:p>
          <w:p w14:paraId="677B2860" w14:textId="77777777" w:rsidR="00325766" w:rsidRDefault="00000000">
            <w:pPr>
              <w:pStyle w:val="CETBodytext"/>
              <w:widowControl w:val="0"/>
              <w:spacing w:before="120" w:after="120"/>
              <w:jc w:val="left"/>
            </w:pPr>
            <w:r>
              <w:rPr>
                <w:rStyle w:val="CETCaptionCarattere"/>
                <w:iCs/>
                <w:szCs w:val="18"/>
              </w:rPr>
              <w:t>f</w:t>
            </w:r>
            <w:r>
              <w:rPr>
                <w:rStyle w:val="CETCaptionCarattere"/>
                <w:i w:val="0"/>
                <w:szCs w:val="18"/>
              </w:rPr>
              <w:t>(</w:t>
            </w:r>
            <w:r>
              <w:rPr>
                <w:rStyle w:val="CETCaptionCarattere"/>
                <w:iCs/>
                <w:szCs w:val="18"/>
              </w:rPr>
              <w:t>ε</w:t>
            </w:r>
            <w:r>
              <w:rPr>
                <w:rStyle w:val="CETCaptionCarattere"/>
                <w:i w:val="0"/>
                <w:szCs w:val="18"/>
              </w:rPr>
              <w:t>) = 126.77·</w:t>
            </w:r>
            <w:r>
              <w:rPr>
                <w:rStyle w:val="CETCaptionCarattere"/>
                <w:iCs/>
                <w:szCs w:val="18"/>
              </w:rPr>
              <w:t>ε</w:t>
            </w:r>
            <w:r>
              <w:rPr>
                <w:rStyle w:val="CETCaptionCarattere"/>
                <w:i w:val="0"/>
                <w:szCs w:val="18"/>
              </w:rPr>
              <w:t xml:space="preserve"> – 42.70     for </w:t>
            </w:r>
            <w:r>
              <w:rPr>
                <w:rStyle w:val="CETCaptionCarattere"/>
                <w:iCs/>
                <w:szCs w:val="18"/>
              </w:rPr>
              <w:t>ε &gt;</w:t>
            </w:r>
            <w:r>
              <w:rPr>
                <w:rStyle w:val="CETCaptionCarattere"/>
                <w:i w:val="0"/>
                <w:szCs w:val="18"/>
              </w:rPr>
              <w:t xml:space="preserve"> 0.36 and </w:t>
            </w:r>
            <w:r>
              <w:rPr>
                <w:rStyle w:val="CETCaptionCarattere"/>
                <w:iCs/>
                <w:szCs w:val="18"/>
              </w:rPr>
              <w:t>ϕ</w:t>
            </w:r>
            <w:r>
              <w:rPr>
                <w:rStyle w:val="CETCaptionCarattere"/>
                <w:iCs/>
                <w:szCs w:val="18"/>
                <w:vertAlign w:val="subscript"/>
              </w:rPr>
              <w:t>c</w:t>
            </w:r>
            <w:r>
              <w:rPr>
                <w:rStyle w:val="CETCaptionCarattere"/>
                <w:iCs/>
                <w:szCs w:val="18"/>
              </w:rPr>
              <w:t xml:space="preserve"> </w:t>
            </w:r>
            <w:r>
              <w:rPr>
                <w:rStyle w:val="CETCaptionCarattere"/>
                <w:i w:val="0"/>
                <w:szCs w:val="18"/>
              </w:rPr>
              <w:t>&lt; 0.90</w:t>
            </w:r>
          </w:p>
        </w:tc>
        <w:tc>
          <w:tcPr>
            <w:tcW w:w="804" w:type="dxa"/>
            <w:vAlign w:val="center"/>
          </w:tcPr>
          <w:p w14:paraId="7AC8E63E" w14:textId="77777777" w:rsidR="00325766" w:rsidRDefault="00000000">
            <w:pPr>
              <w:pStyle w:val="Standard"/>
              <w:widowControl w:val="0"/>
              <w:spacing w:before="120" w:after="120" w:line="276" w:lineRule="auto"/>
              <w:jc w:val="left"/>
              <w:rPr>
                <w:szCs w:val="18"/>
              </w:rPr>
            </w:pPr>
            <w:r>
              <w:rPr>
                <w:szCs w:val="18"/>
              </w:rPr>
              <w:t>(10a)</w:t>
            </w:r>
          </w:p>
          <w:p w14:paraId="0835C852" w14:textId="77777777" w:rsidR="00325766" w:rsidRDefault="00000000">
            <w:pPr>
              <w:pStyle w:val="Standard"/>
              <w:widowControl w:val="0"/>
              <w:spacing w:before="120" w:after="120" w:line="276" w:lineRule="auto"/>
              <w:jc w:val="left"/>
              <w:rPr>
                <w:szCs w:val="18"/>
              </w:rPr>
            </w:pPr>
            <w:r>
              <w:rPr>
                <w:szCs w:val="18"/>
              </w:rPr>
              <w:t>(10b)</w:t>
            </w:r>
          </w:p>
        </w:tc>
      </w:tr>
    </w:tbl>
    <w:p w14:paraId="07A672DD" w14:textId="21322C35" w:rsidR="00325766" w:rsidRDefault="00000000">
      <w:pPr>
        <w:pStyle w:val="CETBodytext"/>
      </w:pPr>
      <w:r>
        <w:rPr>
          <w:rStyle w:val="CETCaptionCarattere"/>
          <w:i w:val="0"/>
          <w:szCs w:val="18"/>
        </w:rPr>
        <w:t>The group 36·</w:t>
      </w:r>
      <w:r>
        <w:rPr>
          <w:rStyle w:val="CETCaptionCarattere"/>
          <w:iCs/>
          <w:szCs w:val="18"/>
        </w:rPr>
        <w:t>f</w:t>
      </w:r>
      <w:r>
        <w:rPr>
          <w:rStyle w:val="CETCaptionCarattere"/>
          <w:i w:val="0"/>
          <w:szCs w:val="18"/>
        </w:rPr>
        <w:t>(</w:t>
      </w:r>
      <w:r>
        <w:rPr>
          <w:rStyle w:val="CETCaptionCarattere"/>
          <w:iCs/>
          <w:szCs w:val="18"/>
        </w:rPr>
        <w:t>ε</w:t>
      </w:r>
      <w:r>
        <w:rPr>
          <w:rStyle w:val="CETCaptionCarattere"/>
          <w:i w:val="0"/>
          <w:szCs w:val="18"/>
        </w:rPr>
        <w:t xml:space="preserve">) spans in the range 60-1000 (with the present experiments) and can be therefore very different from the constant </w:t>
      </w:r>
      <w:r>
        <w:rPr>
          <w:rStyle w:val="CETCaptionCarattere"/>
          <w:iCs/>
          <w:szCs w:val="18"/>
        </w:rPr>
        <w:t>C</w:t>
      </w:r>
      <w:r>
        <w:rPr>
          <w:rStyle w:val="CETCaptionCarattere"/>
          <w:i w:val="0"/>
          <w:szCs w:val="18"/>
        </w:rPr>
        <w:t xml:space="preserve"> of Carman-Kozeny equation which is invariably 180. It can be observed looking at Table 3 that particles with circularity </w:t>
      </w:r>
      <w:r>
        <w:rPr>
          <w:rStyle w:val="CETCaptionCarattere"/>
          <w:iCs/>
          <w:szCs w:val="18"/>
        </w:rPr>
        <w:t>ϕ</w:t>
      </w:r>
      <w:r>
        <w:rPr>
          <w:rStyle w:val="CETCaptionCarattere"/>
          <w:iCs/>
          <w:szCs w:val="18"/>
          <w:vertAlign w:val="subscript"/>
        </w:rPr>
        <w:t>c</w:t>
      </w:r>
      <w:r>
        <w:rPr>
          <w:rStyle w:val="CETCaptionCarattere"/>
          <w:iCs/>
          <w:szCs w:val="18"/>
        </w:rPr>
        <w:t xml:space="preserve"> &gt;</w:t>
      </w:r>
      <w:r>
        <w:rPr>
          <w:rStyle w:val="CETCaptionCarattere"/>
          <w:i w:val="0"/>
          <w:szCs w:val="18"/>
        </w:rPr>
        <w:t xml:space="preserve"> 0.90 fit to Eq(10a) while those with </w:t>
      </w:r>
      <w:r>
        <w:rPr>
          <w:rStyle w:val="CETCaptionCarattere"/>
          <w:iCs/>
          <w:szCs w:val="18"/>
        </w:rPr>
        <w:t>ϕ</w:t>
      </w:r>
      <w:r>
        <w:rPr>
          <w:rStyle w:val="CETCaptionCarattere"/>
          <w:iCs/>
          <w:szCs w:val="18"/>
          <w:vertAlign w:val="subscript"/>
        </w:rPr>
        <w:t>c</w:t>
      </w:r>
      <w:r>
        <w:rPr>
          <w:rStyle w:val="CETCaptionCarattere"/>
          <w:iCs/>
          <w:szCs w:val="18"/>
        </w:rPr>
        <w:t xml:space="preserve"> &lt;</w:t>
      </w:r>
      <w:r>
        <w:rPr>
          <w:rStyle w:val="CETCaptionCarattere"/>
          <w:i w:val="0"/>
          <w:szCs w:val="18"/>
        </w:rPr>
        <w:t xml:space="preserve"> 0.90 fit to Eq(10b) suggesting also a dependence of </w:t>
      </w:r>
      <w:r w:rsidR="0084559D">
        <w:rPr>
          <w:rStyle w:val="CETCaptionCarattere"/>
          <w:i w:val="0"/>
          <w:szCs w:val="18"/>
        </w:rPr>
        <w:t>bulk</w:t>
      </w:r>
      <w:r>
        <w:rPr>
          <w:rStyle w:val="CETCaptionCarattere"/>
          <w:i w:val="0"/>
          <w:szCs w:val="18"/>
        </w:rPr>
        <w:t xml:space="preserve"> porosity on particle shape. By applying the function</w:t>
      </w:r>
      <w:r>
        <w:rPr>
          <w:rStyle w:val="CETCaptionCarattere"/>
          <w:i w:val="0"/>
        </w:rPr>
        <w:t xml:space="preserve"> </w:t>
      </w:r>
      <w:r>
        <w:rPr>
          <w:rStyle w:val="CETCaptionCarattere"/>
          <w:iCs/>
          <w:szCs w:val="18"/>
        </w:rPr>
        <w:t>f</w:t>
      </w:r>
      <w:r>
        <w:rPr>
          <w:rStyle w:val="CETCaptionCarattere"/>
          <w:i w:val="0"/>
          <w:szCs w:val="18"/>
        </w:rPr>
        <w:t>(</w:t>
      </w:r>
      <w:r>
        <w:rPr>
          <w:rStyle w:val="CETCaptionCarattere"/>
          <w:iCs/>
          <w:szCs w:val="18"/>
        </w:rPr>
        <w:t>ε</w:t>
      </w:r>
      <w:r>
        <w:rPr>
          <w:rStyle w:val="CETCaptionCarattere"/>
          <w:i w:val="0"/>
          <w:szCs w:val="18"/>
        </w:rPr>
        <w:t xml:space="preserve">) into Eq(8) allows to correct the diameter obtained from permeability tests and to make it very similar (as values) to the one estimated by IA. Figure 5 shows a parity plot of the diameters from permeability tests </w:t>
      </w:r>
      <w:r>
        <w:rPr>
          <w:rStyle w:val="CETCaptionCarattere"/>
          <w:iCs/>
          <w:szCs w:val="18"/>
        </w:rPr>
        <w:t>vs</w:t>
      </w:r>
      <w:r>
        <w:rPr>
          <w:rStyle w:val="CETCaptionCarattere"/>
          <w:i w:val="0"/>
          <w:szCs w:val="18"/>
        </w:rPr>
        <w:t xml:space="preserve"> the IA diameters before and after correction (by using </w:t>
      </w:r>
      <w:r>
        <w:rPr>
          <w:rStyle w:val="CETCaptionCarattere"/>
          <w:iCs/>
          <w:szCs w:val="18"/>
        </w:rPr>
        <w:t>f</w:t>
      </w:r>
      <w:r>
        <w:rPr>
          <w:rStyle w:val="CETCaptionCarattere"/>
          <w:i w:val="0"/>
          <w:szCs w:val="18"/>
        </w:rPr>
        <w:t>(</w:t>
      </w:r>
      <w:r>
        <w:rPr>
          <w:rStyle w:val="CETCaptionCarattere"/>
          <w:iCs/>
          <w:szCs w:val="18"/>
        </w:rPr>
        <w:t>ε</w:t>
      </w:r>
      <w:r>
        <w:rPr>
          <w:rStyle w:val="CETCaptionCarattere"/>
          <w:i w:val="0"/>
          <w:szCs w:val="18"/>
        </w:rPr>
        <w:t>)). The improvement of the estimated diameters is self-evident.</w:t>
      </w:r>
    </w:p>
    <w:p w14:paraId="17912AD4" w14:textId="77777777" w:rsidR="00325766" w:rsidRDefault="00325766">
      <w:pPr>
        <w:pStyle w:val="CETBodytext"/>
        <w:rPr>
          <w:rStyle w:val="CETCaptionCarattere"/>
          <w:i w:val="0"/>
          <w:szCs w:val="18"/>
        </w:rPr>
      </w:pPr>
    </w:p>
    <w:p w14:paraId="3724D6BD" w14:textId="77777777" w:rsidR="00325766" w:rsidRDefault="00000000">
      <w:pPr>
        <w:pStyle w:val="Standard"/>
        <w:spacing w:line="276" w:lineRule="auto"/>
      </w:pPr>
      <w:r>
        <w:rPr>
          <w:noProof/>
        </w:rPr>
        <w:lastRenderedPageBreak/>
        <w:drawing>
          <wp:inline distT="0" distB="0" distL="0" distR="0" wp14:anchorId="4270E84A" wp14:editId="53100BB7">
            <wp:extent cx="2339975" cy="2339975"/>
            <wp:effectExtent l="0" t="0" r="0" b="0"/>
            <wp:docPr id="10"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39975" cy="2339975"/>
                    </a:xfrm>
                    <a:prstGeom prst="rect">
                      <a:avLst/>
                    </a:prstGeom>
                  </pic:spPr>
                </pic:pic>
              </a:graphicData>
            </a:graphic>
          </wp:inline>
        </w:drawing>
      </w:r>
    </w:p>
    <w:p w14:paraId="1B4EF4B1" w14:textId="77777777" w:rsidR="00325766" w:rsidRDefault="00000000">
      <w:pPr>
        <w:pStyle w:val="CETCaption"/>
      </w:pPr>
      <w:r>
        <w:rPr>
          <w:rStyle w:val="CETCaptionCarattere"/>
          <w:i/>
        </w:rPr>
        <w:t>Figure 5: Parity plot comparing the particle sizes obtained from permeability tests (estimated with Eq(7) and Eq(8) respectively) with those obtained from microscopy assisted by computer image analysis.</w:t>
      </w:r>
    </w:p>
    <w:p w14:paraId="3F0DF095" w14:textId="14998030" w:rsidR="00325766" w:rsidRDefault="00000000">
      <w:pPr>
        <w:pStyle w:val="CETBodytext"/>
      </w:pPr>
      <w:r>
        <w:rPr>
          <w:rStyle w:val="CETCaptionCarattere"/>
          <w:i w:val="0"/>
          <w:szCs w:val="18"/>
        </w:rPr>
        <w:t xml:space="preserve">Clearly, these results are affected by the limited number of materials tested and further experiments needs to be collected, however the trend is clear and only minor modifications on the fitting functions are expected. </w:t>
      </w:r>
    </w:p>
    <w:p w14:paraId="14D36C82" w14:textId="77777777" w:rsidR="00325766" w:rsidRDefault="00000000">
      <w:pPr>
        <w:pStyle w:val="CETHeading1"/>
        <w:numPr>
          <w:ilvl w:val="1"/>
          <w:numId w:val="1"/>
        </w:numPr>
        <w:rPr>
          <w:lang w:val="en-GB"/>
        </w:rPr>
      </w:pPr>
      <w:r>
        <w:rPr>
          <w:lang w:val="en-GB"/>
        </w:rPr>
        <w:t>Conclusions</w:t>
      </w:r>
    </w:p>
    <w:p w14:paraId="0DF66BAE" w14:textId="2D48B280" w:rsidR="00325766" w:rsidRDefault="00000000">
      <w:pPr>
        <w:pStyle w:val="CETBodytext"/>
        <w:rPr>
          <w:lang w:val="en-GB"/>
        </w:rPr>
      </w:pPr>
      <w:r>
        <w:rPr>
          <w:lang w:val="en-GB"/>
        </w:rPr>
        <w:t xml:space="preserve">Particle diameters measured with different analytical techniques have been compared. Optical analysis (microscopy aided by computer image analysis) and laser light scattering have shown agreement between them while permeability test result deviated from the former. Only the introduction of a function of the </w:t>
      </w:r>
      <w:r w:rsidR="0084559D">
        <w:rPr>
          <w:lang w:val="en-GB"/>
        </w:rPr>
        <w:t xml:space="preserve">bulk </w:t>
      </w:r>
      <w:r>
        <w:rPr>
          <w:lang w:val="en-GB"/>
        </w:rPr>
        <w:t xml:space="preserve">porosity was able to reconcile the size measured with the three different methods. The dependency of this function on the </w:t>
      </w:r>
      <w:r w:rsidR="0084559D">
        <w:rPr>
          <w:lang w:val="en-GB"/>
        </w:rPr>
        <w:t xml:space="preserve">bulk </w:t>
      </w:r>
      <w:r>
        <w:rPr>
          <w:lang w:val="en-GB"/>
        </w:rPr>
        <w:t xml:space="preserve">porosity suggests that pores morphology and connectivity (i.e., the tortuosity) can be involved and further studies are required to define this dependence. Nevertheless, the results obtained here allow permeability measurements to be used to directly determine the actual </w:t>
      </w:r>
      <w:r w:rsidR="00B53455">
        <w:rPr>
          <w:lang w:val="en-GB"/>
        </w:rPr>
        <w:t xml:space="preserve">average </w:t>
      </w:r>
      <w:r>
        <w:rPr>
          <w:lang w:val="en-GB"/>
        </w:rPr>
        <w:t>particle size as it would be measured by optical microscopy or laser light scattering techniques</w:t>
      </w:r>
      <w:r w:rsidR="00B53455">
        <w:rPr>
          <w:rStyle w:val="CETCaptionCarattere"/>
          <w:i w:val="0"/>
          <w:szCs w:val="18"/>
        </w:rPr>
        <w:t>.</w:t>
      </w:r>
    </w:p>
    <w:p w14:paraId="418DAB62" w14:textId="77777777" w:rsidR="00325766" w:rsidRDefault="00000000">
      <w:pPr>
        <w:pStyle w:val="CETHeadingxx"/>
        <w:numPr>
          <w:ilvl w:val="0"/>
          <w:numId w:val="0"/>
        </w:numPr>
      </w:pPr>
      <w:r>
        <w:t>Nomenclature</w:t>
      </w:r>
    </w:p>
    <w:p w14:paraId="72F498C7" w14:textId="77777777" w:rsidR="00325766" w:rsidRDefault="00325766">
      <w:pPr>
        <w:rPr>
          <w:lang w:val="en-US"/>
        </w:rPr>
      </w:pPr>
    </w:p>
    <w:p w14:paraId="2C9603C1" w14:textId="77777777" w:rsidR="00325766" w:rsidRPr="003F1BC4" w:rsidRDefault="00325766">
      <w:pPr>
        <w:rPr>
          <w:lang w:val="en-US"/>
        </w:rPr>
        <w:sectPr w:rsidR="00325766" w:rsidRPr="003F1BC4">
          <w:pgSz w:w="11906" w:h="16838"/>
          <w:pgMar w:top="1701" w:right="1418" w:bottom="1701" w:left="1701" w:header="0" w:footer="0" w:gutter="0"/>
          <w:cols w:space="720"/>
          <w:formProt w:val="0"/>
          <w:docGrid w:linePitch="100" w:charSpace="8192"/>
        </w:sectPr>
      </w:pPr>
    </w:p>
    <w:p w14:paraId="121AC787" w14:textId="77777777" w:rsidR="00325766" w:rsidRDefault="00000000">
      <w:pPr>
        <w:pStyle w:val="CETBodytext"/>
        <w:jc w:val="left"/>
      </w:pPr>
      <w:r>
        <w:rPr>
          <w:rFonts w:eastAsia="SimSun"/>
          <w:i/>
          <w:iCs/>
        </w:rPr>
        <w:t xml:space="preserve">A – </w:t>
      </w:r>
      <w:r>
        <w:rPr>
          <w:rFonts w:eastAsia="SimSun"/>
        </w:rPr>
        <w:t>cross sectional area of the sample, m</w:t>
      </w:r>
      <w:r>
        <w:rPr>
          <w:rFonts w:eastAsia="SimSun"/>
          <w:vertAlign w:val="superscript"/>
        </w:rPr>
        <w:t>2</w:t>
      </w:r>
    </w:p>
    <w:p w14:paraId="2865334D" w14:textId="77777777" w:rsidR="00325766" w:rsidRDefault="00000000">
      <w:pPr>
        <w:pStyle w:val="CETBodytext"/>
        <w:jc w:val="left"/>
      </w:pPr>
      <w:r>
        <w:rPr>
          <w:rFonts w:eastAsia="SimSun"/>
          <w:i/>
          <w:iCs/>
        </w:rPr>
        <w:t>k</w:t>
      </w:r>
      <w:r>
        <w:rPr>
          <w:rFonts w:eastAsia="SimSun"/>
        </w:rPr>
        <w:t xml:space="preserve"> – permeability coefficient, m</w:t>
      </w:r>
      <w:r>
        <w:rPr>
          <w:rFonts w:eastAsia="SimSun"/>
          <w:vertAlign w:val="superscript"/>
        </w:rPr>
        <w:t>2</w:t>
      </w:r>
    </w:p>
    <w:p w14:paraId="4D6DDFB9" w14:textId="77777777" w:rsidR="00325766" w:rsidRDefault="00000000">
      <w:pPr>
        <w:pStyle w:val="CETBodytext"/>
        <w:jc w:val="left"/>
      </w:pPr>
      <w:r>
        <w:rPr>
          <w:rFonts w:eastAsia="SimSun"/>
          <w:i/>
          <w:iCs/>
        </w:rPr>
        <w:t>L</w:t>
      </w:r>
      <w:r>
        <w:rPr>
          <w:rFonts w:eastAsia="SimSun"/>
        </w:rPr>
        <w:t xml:space="preserve"> – sample thickness, m</w:t>
      </w:r>
    </w:p>
    <w:p w14:paraId="0B2C9261" w14:textId="77777777" w:rsidR="00325766" w:rsidRDefault="00000000">
      <w:pPr>
        <w:pStyle w:val="CETBodytext"/>
        <w:jc w:val="left"/>
      </w:pPr>
      <w:r>
        <w:rPr>
          <w:rFonts w:eastAsia="SimSun"/>
          <w:i/>
          <w:iCs/>
        </w:rPr>
        <w:t>m</w:t>
      </w:r>
      <w:r>
        <w:rPr>
          <w:rFonts w:eastAsia="SimSun"/>
        </w:rPr>
        <w:t xml:space="preserve"> – slope from fitting, m</w:t>
      </w:r>
      <w:r>
        <w:rPr>
          <w:rFonts w:eastAsia="SimSun"/>
          <w:vertAlign w:val="superscript"/>
        </w:rPr>
        <w:t>2</w:t>
      </w:r>
      <w:r>
        <w:rPr>
          <w:rFonts w:eastAsia="SimSun"/>
        </w:rPr>
        <w:t>/(Pa·s)</w:t>
      </w:r>
    </w:p>
    <w:p w14:paraId="47F8425E" w14:textId="77777777" w:rsidR="00325766" w:rsidRDefault="00000000">
      <w:pPr>
        <w:pStyle w:val="CETBodytext"/>
        <w:jc w:val="left"/>
      </w:pPr>
      <w:r>
        <w:rPr>
          <w:rFonts w:eastAsia="SimSun"/>
          <w:i/>
          <w:iCs/>
        </w:rPr>
        <w:t>P</w:t>
      </w:r>
      <w:r>
        <w:rPr>
          <w:rFonts w:eastAsia="SimSun"/>
          <w:lang w:val="el-GR"/>
        </w:rPr>
        <w:t xml:space="preserve"> – </w:t>
      </w:r>
      <w:r>
        <w:rPr>
          <w:rFonts w:eastAsia="SimSun"/>
        </w:rPr>
        <w:t>pressure, Pa</w:t>
      </w:r>
    </w:p>
    <w:p w14:paraId="1A16F3A8" w14:textId="77777777" w:rsidR="00325766" w:rsidRDefault="00000000">
      <w:pPr>
        <w:pStyle w:val="CETBodytext"/>
        <w:jc w:val="left"/>
      </w:pPr>
      <w:r>
        <w:rPr>
          <w:rFonts w:eastAsia="SimSun"/>
          <w:i/>
          <w:iCs/>
        </w:rPr>
        <w:t>Q</w:t>
      </w:r>
      <w:r>
        <w:rPr>
          <w:rFonts w:eastAsia="SimSun"/>
        </w:rPr>
        <w:t xml:space="preserve"> – air flow rate, m</w:t>
      </w:r>
      <w:r>
        <w:rPr>
          <w:rFonts w:eastAsia="SimSun"/>
          <w:vertAlign w:val="superscript"/>
        </w:rPr>
        <w:t>3</w:t>
      </w:r>
      <w:r>
        <w:rPr>
          <w:rFonts w:eastAsia="SimSun"/>
        </w:rPr>
        <w:t>/s</w:t>
      </w:r>
    </w:p>
    <w:p w14:paraId="7D8E2FE5" w14:textId="77777777" w:rsidR="00325766" w:rsidRDefault="00000000">
      <w:pPr>
        <w:pStyle w:val="CETBodytext"/>
        <w:jc w:val="left"/>
        <w:rPr>
          <w:rFonts w:eastAsia="SimSun"/>
        </w:rPr>
      </w:pPr>
      <w:r>
        <w:rPr>
          <w:rFonts w:eastAsia="SimSun"/>
          <w:i/>
          <w:iCs/>
        </w:rPr>
        <w:t>T</w:t>
      </w:r>
      <w:r>
        <w:rPr>
          <w:rFonts w:eastAsia="SimSun"/>
        </w:rPr>
        <w:t xml:space="preserve"> – air temperature, °C</w:t>
      </w:r>
    </w:p>
    <w:p w14:paraId="52D0696A" w14:textId="77777777" w:rsidR="00325766" w:rsidRDefault="00000000">
      <w:pPr>
        <w:pStyle w:val="CETBodytext"/>
        <w:jc w:val="left"/>
      </w:pPr>
      <w:r>
        <w:rPr>
          <w:rFonts w:eastAsia="SimSun"/>
          <w:i/>
          <w:iCs/>
        </w:rPr>
        <w:t>u</w:t>
      </w:r>
      <w:r>
        <w:rPr>
          <w:rFonts w:eastAsia="SimSun"/>
          <w:vertAlign w:val="subscript"/>
        </w:rPr>
        <w:t>i</w:t>
      </w:r>
      <w:r>
        <w:rPr>
          <w:rFonts w:eastAsia="SimSun"/>
        </w:rPr>
        <w:t xml:space="preserve"> – interstitial velocity, m/s</w:t>
      </w:r>
    </w:p>
    <w:p w14:paraId="2068DFDA" w14:textId="77777777" w:rsidR="00325766" w:rsidRDefault="00000000">
      <w:pPr>
        <w:pStyle w:val="CETBodytext"/>
        <w:jc w:val="left"/>
      </w:pPr>
      <w:r>
        <w:rPr>
          <w:rFonts w:eastAsia="SimSun"/>
          <w:i/>
          <w:iCs/>
        </w:rPr>
        <w:t>u</w:t>
      </w:r>
      <w:r>
        <w:rPr>
          <w:rFonts w:eastAsia="SimSun"/>
          <w:vertAlign w:val="subscript"/>
        </w:rPr>
        <w:t>s</w:t>
      </w:r>
      <w:r>
        <w:rPr>
          <w:rFonts w:eastAsia="SimSun"/>
        </w:rPr>
        <w:t xml:space="preserve"> – superficial velocity, m/s</w:t>
      </w:r>
    </w:p>
    <w:p w14:paraId="72606796" w14:textId="77777777" w:rsidR="00325766" w:rsidRDefault="00000000">
      <w:pPr>
        <w:pStyle w:val="CETBodytext"/>
        <w:jc w:val="left"/>
      </w:pPr>
      <w:r>
        <w:rPr>
          <w:rFonts w:eastAsia="SimSun"/>
          <w:i/>
          <w:iCs/>
        </w:rPr>
        <w:t>x</w:t>
      </w:r>
      <w:r>
        <w:rPr>
          <w:rFonts w:eastAsia="SimSun"/>
        </w:rPr>
        <w:t xml:space="preserve"> – generic particle diameter, m or µm</w:t>
      </w:r>
    </w:p>
    <w:p w14:paraId="7772EAF0" w14:textId="77777777" w:rsidR="00325766" w:rsidRDefault="00000000">
      <w:pPr>
        <w:pStyle w:val="CETBodytext"/>
        <w:jc w:val="left"/>
      </w:pPr>
      <w:r>
        <w:rPr>
          <w:rFonts w:eastAsia="SimSun"/>
          <w:i/>
          <w:iCs/>
        </w:rPr>
        <w:t>x</w:t>
      </w:r>
      <w:r>
        <w:rPr>
          <w:rFonts w:eastAsia="SimSun"/>
          <w:vertAlign w:val="subscript"/>
        </w:rPr>
        <w:t>32</w:t>
      </w:r>
      <w:r>
        <w:rPr>
          <w:rFonts w:eastAsia="SimSun"/>
        </w:rPr>
        <w:t xml:space="preserve"> – generic Sauter mean diameter, m or µm</w:t>
      </w:r>
    </w:p>
    <w:p w14:paraId="0EABE65D" w14:textId="77777777" w:rsidR="00325766" w:rsidRDefault="00000000">
      <w:pPr>
        <w:pStyle w:val="CETBodytext"/>
        <w:jc w:val="left"/>
      </w:pPr>
      <w:r>
        <w:rPr>
          <w:rFonts w:eastAsia="SimSun"/>
          <w:i/>
          <w:iCs/>
        </w:rPr>
        <w:t>x</w:t>
      </w:r>
      <w:r>
        <w:rPr>
          <w:rFonts w:eastAsia="SimSun"/>
          <w:vertAlign w:val="subscript"/>
        </w:rPr>
        <w:t>IA</w:t>
      </w:r>
      <w:r>
        <w:rPr>
          <w:rFonts w:eastAsia="SimSun"/>
        </w:rPr>
        <w:t xml:space="preserve">, </w:t>
      </w:r>
      <w:r>
        <w:rPr>
          <w:rFonts w:eastAsia="SimSun"/>
          <w:i/>
          <w:iCs/>
        </w:rPr>
        <w:t>x</w:t>
      </w:r>
      <w:r>
        <w:rPr>
          <w:rFonts w:eastAsia="SimSun"/>
          <w:vertAlign w:val="subscript"/>
        </w:rPr>
        <w:t>LLS</w:t>
      </w:r>
      <w:r>
        <w:rPr>
          <w:rFonts w:eastAsia="SimSun"/>
        </w:rPr>
        <w:t xml:space="preserve"> – diameter from IA, LLS, m or µm</w:t>
      </w:r>
    </w:p>
    <w:p w14:paraId="73B123EC" w14:textId="77777777" w:rsidR="00325766" w:rsidRDefault="00000000">
      <w:pPr>
        <w:pStyle w:val="CETBodytext"/>
        <w:jc w:val="left"/>
      </w:pPr>
      <w:r>
        <w:rPr>
          <w:rFonts w:eastAsia="SimSun"/>
          <w:i/>
          <w:iCs/>
          <w:lang w:val="el-GR"/>
        </w:rPr>
        <w:t>ε</w:t>
      </w:r>
      <w:r>
        <w:rPr>
          <w:rFonts w:eastAsia="SimSun"/>
          <w:lang w:val="el-GR"/>
        </w:rPr>
        <w:t xml:space="preserve"> – s</w:t>
      </w:r>
      <w:r>
        <w:rPr>
          <w:rFonts w:eastAsia="SimSun"/>
        </w:rPr>
        <w:t>ample porosity, -</w:t>
      </w:r>
    </w:p>
    <w:p w14:paraId="6DBC0007" w14:textId="77777777" w:rsidR="00325766" w:rsidRDefault="00000000">
      <w:pPr>
        <w:pStyle w:val="Standard"/>
        <w:spacing w:line="276" w:lineRule="auto"/>
      </w:pPr>
      <w:r>
        <w:rPr>
          <w:rFonts w:eastAsia="SimSun"/>
          <w:i/>
          <w:iCs/>
          <w:szCs w:val="18"/>
          <w:lang w:val="it-IT"/>
        </w:rPr>
        <w:t>ϕ</w:t>
      </w:r>
      <w:r>
        <w:rPr>
          <w:rFonts w:eastAsia="SimSun"/>
          <w:szCs w:val="18"/>
          <w:vertAlign w:val="subscript"/>
          <w:lang w:val="en-US"/>
        </w:rPr>
        <w:t>s</w:t>
      </w:r>
      <w:r>
        <w:rPr>
          <w:rFonts w:eastAsia="SimSun"/>
          <w:i/>
          <w:iCs/>
          <w:szCs w:val="18"/>
          <w:lang w:val="el-GR"/>
        </w:rPr>
        <w:t xml:space="preserve">, </w:t>
      </w:r>
      <w:r>
        <w:rPr>
          <w:rFonts w:eastAsia="SimSun"/>
          <w:i/>
          <w:iCs/>
          <w:szCs w:val="18"/>
          <w:lang w:val="it-IT"/>
        </w:rPr>
        <w:t>ϕ</w:t>
      </w:r>
      <w:r>
        <w:rPr>
          <w:rFonts w:eastAsia="SimSun"/>
          <w:szCs w:val="18"/>
          <w:vertAlign w:val="subscript"/>
          <w:lang w:val="en-US"/>
        </w:rPr>
        <w:t xml:space="preserve">c </w:t>
      </w:r>
      <w:r>
        <w:rPr>
          <w:rFonts w:eastAsia="SimSun"/>
          <w:i/>
          <w:iCs/>
          <w:szCs w:val="18"/>
          <w:lang w:val="el-GR"/>
        </w:rPr>
        <w:t>–</w:t>
      </w:r>
      <w:r>
        <w:rPr>
          <w:rFonts w:eastAsia="SimSun"/>
          <w:i/>
          <w:iCs/>
          <w:szCs w:val="18"/>
          <w:lang w:val="en-US"/>
        </w:rPr>
        <w:t xml:space="preserve"> </w:t>
      </w:r>
      <w:r>
        <w:rPr>
          <w:rFonts w:eastAsia="SimSun"/>
          <w:szCs w:val="18"/>
          <w:lang w:val="en-US"/>
        </w:rPr>
        <w:t>particle sphericity, circularity -</w:t>
      </w:r>
    </w:p>
    <w:p w14:paraId="605A10F1" w14:textId="77777777" w:rsidR="00325766" w:rsidRDefault="00000000">
      <w:pPr>
        <w:pStyle w:val="CETBodytext"/>
        <w:jc w:val="left"/>
      </w:pPr>
      <w:r>
        <w:rPr>
          <w:rFonts w:eastAsia="SimSun"/>
          <w:i/>
          <w:iCs/>
          <w:lang w:val="el-GR"/>
        </w:rPr>
        <w:t>η</w:t>
      </w:r>
      <w:r>
        <w:rPr>
          <w:rFonts w:eastAsia="SimSun"/>
          <w:lang w:val="el-GR"/>
        </w:rPr>
        <w:t xml:space="preserve"> </w:t>
      </w:r>
      <w:r>
        <w:rPr>
          <w:rFonts w:eastAsia="SimSun"/>
        </w:rPr>
        <w:t>– air viscosity, Pa·s</w:t>
      </w:r>
    </w:p>
    <w:p w14:paraId="7A48C5E3" w14:textId="77777777" w:rsidR="00325766" w:rsidRDefault="00000000">
      <w:pPr>
        <w:pStyle w:val="CETBodytext"/>
        <w:jc w:val="left"/>
      </w:pPr>
      <w:r>
        <w:rPr>
          <w:rFonts w:eastAsia="SimSun" w:cs="Arial"/>
          <w:i/>
          <w:iCs/>
          <w:lang w:val="el-GR"/>
        </w:rPr>
        <w:t>ρ</w:t>
      </w:r>
      <w:r>
        <w:rPr>
          <w:rFonts w:eastAsia="SimSun"/>
          <w:lang w:val="el-GR"/>
        </w:rPr>
        <w:t xml:space="preserve"> – a</w:t>
      </w:r>
      <w:r>
        <w:rPr>
          <w:rFonts w:eastAsia="SimSun"/>
        </w:rPr>
        <w:t>ir density, kg/m</w:t>
      </w:r>
      <w:r>
        <w:rPr>
          <w:rFonts w:eastAsia="SimSun"/>
          <w:vertAlign w:val="superscript"/>
        </w:rPr>
        <w:t>3</w:t>
      </w:r>
    </w:p>
    <w:p w14:paraId="54DC9B96" w14:textId="77777777" w:rsidR="00325766" w:rsidRPr="003F1BC4" w:rsidRDefault="00325766">
      <w:pPr>
        <w:rPr>
          <w:lang w:val="en-US"/>
        </w:rPr>
        <w:sectPr w:rsidR="00325766" w:rsidRPr="003F1BC4">
          <w:type w:val="continuous"/>
          <w:pgSz w:w="11906" w:h="16838"/>
          <w:pgMar w:top="1701" w:right="1418" w:bottom="1701" w:left="1701" w:header="0" w:footer="0" w:gutter="0"/>
          <w:cols w:num="2" w:space="708"/>
          <w:formProt w:val="0"/>
          <w:docGrid w:linePitch="100" w:charSpace="8192"/>
        </w:sectPr>
      </w:pPr>
    </w:p>
    <w:p w14:paraId="2E49A8BA" w14:textId="77777777" w:rsidR="00325766" w:rsidRDefault="00000000">
      <w:pPr>
        <w:pStyle w:val="CETReference"/>
        <w:rPr>
          <w:lang w:val="en-US"/>
        </w:rPr>
      </w:pPr>
      <w:r>
        <w:t>References</w:t>
      </w:r>
    </w:p>
    <w:p w14:paraId="5ADABC3D" w14:textId="6501FB77" w:rsidR="00325766" w:rsidRDefault="00000000">
      <w:pPr>
        <w:pStyle w:val="CETReferencetext"/>
        <w:rPr>
          <w:lang w:val="en-US"/>
        </w:rPr>
      </w:pPr>
      <w:r>
        <w:t>Innocentini M.D.M., Faleiros R.K., Pisani Jr R., Thijs I., Luyten J., Mullens S., 2010, Permeability of porous gelcast scaffolds for bone tissue engineering, Journal of Porous Materials, 17(5), 615–27.</w:t>
      </w:r>
    </w:p>
    <w:p w14:paraId="147453BE" w14:textId="4B88B94F" w:rsidR="00325766" w:rsidRDefault="00000000">
      <w:pPr>
        <w:pStyle w:val="CETReferencetext"/>
        <w:rPr>
          <w:lang w:val="en-US"/>
        </w:rPr>
      </w:pPr>
      <w:r>
        <w:t>Innocentini M.D.M., Faria M.A.V., Crespi M.R., AndradeV.H.B., 2019, Air Permeability Assessment of Corrugated Fiber-Cement Roofing Sheets, Cement and Concrete Composites 97, 259–67</w:t>
      </w:r>
      <w:r w:rsidR="001626E4">
        <w:t>.</w:t>
      </w:r>
    </w:p>
    <w:p w14:paraId="4DBD62DC" w14:textId="77777777" w:rsidR="00325766" w:rsidRDefault="00000000">
      <w:pPr>
        <w:pStyle w:val="CETReferencetext"/>
      </w:pPr>
      <w:r>
        <w:t>Nedderman R.M., 1992, Statics and kinematics of granular materials, Cambridge University Press.</w:t>
      </w:r>
    </w:p>
    <w:p w14:paraId="011D17BB" w14:textId="17E67755" w:rsidR="00022660" w:rsidRPr="001626E4" w:rsidRDefault="00022660">
      <w:pPr>
        <w:pStyle w:val="CETReferencetext"/>
        <w:rPr>
          <w:lang w:val="en-US"/>
        </w:rPr>
      </w:pPr>
      <w:r w:rsidRPr="001626E4">
        <w:rPr>
          <w:lang w:val="en-US"/>
        </w:rPr>
        <w:t>Tirapelle</w:t>
      </w:r>
      <w:r w:rsidR="001626E4" w:rsidRPr="001626E4">
        <w:rPr>
          <w:lang w:val="en-US"/>
        </w:rPr>
        <w:t xml:space="preserve"> </w:t>
      </w:r>
      <w:r w:rsidRPr="001626E4">
        <w:rPr>
          <w:lang w:val="en-US"/>
        </w:rPr>
        <w:t>M.</w:t>
      </w:r>
      <w:r w:rsidRPr="001626E4">
        <w:rPr>
          <w:lang w:val="en-US"/>
        </w:rPr>
        <w:t>,</w:t>
      </w:r>
      <w:r w:rsidRPr="001626E4">
        <w:rPr>
          <w:lang w:val="en-US"/>
        </w:rPr>
        <w:t xml:space="preserve"> </w:t>
      </w:r>
      <w:r w:rsidRPr="001626E4">
        <w:rPr>
          <w:lang w:val="en-US"/>
        </w:rPr>
        <w:t>Troncon</w:t>
      </w:r>
      <w:r w:rsidRPr="001626E4">
        <w:rPr>
          <w:lang w:val="en-US"/>
        </w:rPr>
        <w:t xml:space="preserve"> L.</w:t>
      </w:r>
      <w:r w:rsidRPr="001626E4">
        <w:rPr>
          <w:lang w:val="en-US"/>
        </w:rPr>
        <w:t>, Volpato</w:t>
      </w:r>
      <w:r w:rsidRPr="001626E4">
        <w:rPr>
          <w:lang w:val="en-US"/>
        </w:rPr>
        <w:t xml:space="preserve"> S.</w:t>
      </w:r>
      <w:r w:rsidRPr="001626E4">
        <w:rPr>
          <w:lang w:val="en-US"/>
        </w:rPr>
        <w:t xml:space="preserve">, </w:t>
      </w:r>
      <w:r w:rsidR="001626E4" w:rsidRPr="001626E4">
        <w:rPr>
          <w:lang w:val="en-US"/>
        </w:rPr>
        <w:t>Santomaso</w:t>
      </w:r>
      <w:r w:rsidR="001626E4" w:rsidRPr="001626E4">
        <w:rPr>
          <w:lang w:val="en-US"/>
        </w:rPr>
        <w:t xml:space="preserve"> </w:t>
      </w:r>
      <w:r w:rsidRPr="001626E4">
        <w:rPr>
          <w:lang w:val="en-US"/>
        </w:rPr>
        <w:t>A</w:t>
      </w:r>
      <w:r w:rsidR="001626E4" w:rsidRPr="001626E4">
        <w:rPr>
          <w:lang w:val="en-US"/>
        </w:rPr>
        <w:t>.</w:t>
      </w:r>
      <w:r w:rsidRPr="001626E4">
        <w:rPr>
          <w:lang w:val="en-US"/>
        </w:rPr>
        <w:t>C.</w:t>
      </w:r>
      <w:r w:rsidR="001626E4" w:rsidRPr="001626E4">
        <w:rPr>
          <w:lang w:val="en-US"/>
        </w:rPr>
        <w:t xml:space="preserve">, 2021, </w:t>
      </w:r>
      <w:r w:rsidR="001626E4" w:rsidRPr="001626E4">
        <w:rPr>
          <w:lang w:val="en-US"/>
        </w:rPr>
        <w:t>Size Segregation of Ternary Mixtures in Inclined Chute Flows: an Experimental Study</w:t>
      </w:r>
      <w:r w:rsidR="001626E4">
        <w:rPr>
          <w:lang w:val="en-US"/>
        </w:rPr>
        <w:t>, Chemical Engineering Transaction, 86, 823-828</w:t>
      </w:r>
    </w:p>
    <w:p w14:paraId="71DA5F17" w14:textId="0E49085D" w:rsidR="00022660" w:rsidRPr="00022660" w:rsidRDefault="00000000" w:rsidP="00022660">
      <w:pPr>
        <w:pStyle w:val="CETReferencetext"/>
        <w:rPr>
          <w:color w:val="000080"/>
          <w:u w:val="single"/>
        </w:rPr>
      </w:pPr>
      <w:r>
        <w:t>Schindelin J., Arganda-Carreras I., Frise E., Kaynig V., Longair M., Pietzsch T., Cardona A.</w:t>
      </w:r>
      <w:r w:rsidR="001626E4">
        <w:t xml:space="preserve">, </w:t>
      </w:r>
      <w:r>
        <w:t>2012</w:t>
      </w:r>
      <w:r w:rsidR="001626E4">
        <w:t>,</w:t>
      </w:r>
      <w:r>
        <w:t xml:space="preserve"> Fiji: an open-source platform for biological-image analysis. Nature Methods, 9(7), 676–682.</w:t>
      </w:r>
      <w:r>
        <w:rPr>
          <w:rStyle w:val="CollegamentoInternet"/>
        </w:rPr>
        <w:t xml:space="preserve"> </w:t>
      </w:r>
      <w:r w:rsidR="001626E4" w:rsidRPr="00022660">
        <w:rPr>
          <w:color w:val="000080"/>
          <w:u w:val="single"/>
        </w:rPr>
        <w:t xml:space="preserve"> </w:t>
      </w:r>
    </w:p>
    <w:sectPr w:rsidR="00022660" w:rsidRPr="00022660">
      <w:type w:val="continuous"/>
      <w:pgSz w:w="11906" w:h="16838"/>
      <w:pgMar w:top="1701" w:right="1418" w:bottom="1701" w:left="1701" w:header="0" w:footer="0" w:gutter="0"/>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P6960">
    <w:altName w:val="Cambria"/>
    <w:charset w:val="00"/>
    <w:family w:val="roman"/>
    <w:pitch w:val="variable"/>
  </w:font>
  <w:font w:name="Calibri Greek">
    <w:altName w:val="Cambria"/>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67689"/>
    <w:multiLevelType w:val="multilevel"/>
    <w:tmpl w:val="6D803B84"/>
    <w:lvl w:ilvl="0">
      <w:start w:val="1"/>
      <w:numFmt w:val="decimal"/>
      <w:pStyle w:val="Numeroelenco4"/>
      <w:lvlText w:val="%1."/>
      <w:lvlJc w:val="left"/>
      <w:pPr>
        <w:tabs>
          <w:tab w:val="num" w:pos="0"/>
        </w:tabs>
        <w:ind w:left="1209"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06A5240B"/>
    <w:multiLevelType w:val="multilevel"/>
    <w:tmpl w:val="E6E6ACB2"/>
    <w:lvl w:ilvl="0">
      <w:start w:val="1"/>
      <w:numFmt w:val="decimal"/>
      <w:pStyle w:val="Numeroelenco"/>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 w15:restartNumberingAfterBreak="0">
    <w:nsid w:val="09802202"/>
    <w:multiLevelType w:val="multilevel"/>
    <w:tmpl w:val="BCF46A1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BD06206"/>
    <w:multiLevelType w:val="multilevel"/>
    <w:tmpl w:val="A224CD84"/>
    <w:lvl w:ilvl="0">
      <w:start w:val="1"/>
      <w:numFmt w:val="lowerLetter"/>
      <w:pStyle w:val="CETnumberinga"/>
      <w:lvlText w:val="%1."/>
      <w:lvlJc w:val="left"/>
      <w:pPr>
        <w:tabs>
          <w:tab w:val="num" w:pos="0"/>
        </w:tabs>
        <w:ind w:left="340" w:hanging="227"/>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ED529A6"/>
    <w:multiLevelType w:val="multilevel"/>
    <w:tmpl w:val="EB640ED2"/>
    <w:lvl w:ilvl="0">
      <w:start w:val="1"/>
      <w:numFmt w:val="bullet"/>
      <w:pStyle w:val="Puntoelenco4"/>
      <w:lvlText w:val=""/>
      <w:lvlJc w:val="left"/>
      <w:pPr>
        <w:tabs>
          <w:tab w:val="num" w:pos="0"/>
        </w:tabs>
        <w:ind w:left="1209"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15:restartNumberingAfterBreak="0">
    <w:nsid w:val="2D0D15EA"/>
    <w:multiLevelType w:val="multilevel"/>
    <w:tmpl w:val="B1FE078A"/>
    <w:lvl w:ilvl="0">
      <w:start w:val="1"/>
      <w:numFmt w:val="decimal"/>
      <w:pStyle w:val="Numeroelenco3"/>
      <w:lvlText w:val="%1."/>
      <w:lvlJc w:val="left"/>
      <w:pPr>
        <w:tabs>
          <w:tab w:val="num" w:pos="0"/>
        </w:tabs>
        <w:ind w:left="926"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15:restartNumberingAfterBreak="0">
    <w:nsid w:val="3198608C"/>
    <w:multiLevelType w:val="multilevel"/>
    <w:tmpl w:val="2EF8401C"/>
    <w:lvl w:ilvl="0">
      <w:start w:val="1"/>
      <w:numFmt w:val="decimal"/>
      <w:pStyle w:val="CETnumbering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6CB4574"/>
    <w:multiLevelType w:val="multilevel"/>
    <w:tmpl w:val="46244A96"/>
    <w:lvl w:ilvl="0">
      <w:start w:val="1"/>
      <w:numFmt w:val="bullet"/>
      <w:pStyle w:val="Puntoelenco2"/>
      <w:lvlText w:val=""/>
      <w:lvlJc w:val="left"/>
      <w:pPr>
        <w:tabs>
          <w:tab w:val="num" w:pos="0"/>
        </w:tabs>
        <w:ind w:left="643"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 w15:restartNumberingAfterBreak="0">
    <w:nsid w:val="3D50700C"/>
    <w:multiLevelType w:val="multilevel"/>
    <w:tmpl w:val="A64C1EAC"/>
    <w:lvl w:ilvl="0">
      <w:start w:val="1"/>
      <w:numFmt w:val="decimal"/>
      <w:pStyle w:val="Numeroelenco2"/>
      <w:lvlText w:val="%1."/>
      <w:lvlJc w:val="left"/>
      <w:pPr>
        <w:tabs>
          <w:tab w:val="num" w:pos="0"/>
        </w:tabs>
        <w:ind w:left="643"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 w15:restartNumberingAfterBreak="0">
    <w:nsid w:val="45D367E3"/>
    <w:multiLevelType w:val="multilevel"/>
    <w:tmpl w:val="98EC2A92"/>
    <w:lvl w:ilvl="0">
      <w:start w:val="1"/>
      <w:numFmt w:val="bullet"/>
      <w:pStyle w:val="Puntoelenco3"/>
      <w:lvlText w:val=""/>
      <w:lvlJc w:val="left"/>
      <w:pPr>
        <w:tabs>
          <w:tab w:val="num" w:pos="0"/>
        </w:tabs>
        <w:ind w:left="926"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 w15:restartNumberingAfterBreak="0">
    <w:nsid w:val="49BC6AB7"/>
    <w:multiLevelType w:val="multilevel"/>
    <w:tmpl w:val="830A8C80"/>
    <w:lvl w:ilvl="0">
      <w:start w:val="1"/>
      <w:numFmt w:val="bullet"/>
      <w:pStyle w:val="CETnumberingbullets"/>
      <w:lvlText w:val=""/>
      <w:lvlJc w:val="left"/>
      <w:pPr>
        <w:tabs>
          <w:tab w:val="num" w:pos="0"/>
        </w:tabs>
        <w:ind w:left="340" w:hanging="22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50F05C7F"/>
    <w:multiLevelType w:val="multilevel"/>
    <w:tmpl w:val="579C97E4"/>
    <w:lvl w:ilvl="0">
      <w:start w:val="1"/>
      <w:numFmt w:val="bullet"/>
      <w:pStyle w:val="Puntoelenco"/>
      <w:lvlText w:val=""/>
      <w:lvlJc w:val="left"/>
      <w:pPr>
        <w:tabs>
          <w:tab w:val="num" w:pos="0"/>
        </w:tabs>
        <w:ind w:left="3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2" w15:restartNumberingAfterBreak="0">
    <w:nsid w:val="53CE4447"/>
    <w:multiLevelType w:val="multilevel"/>
    <w:tmpl w:val="351A9100"/>
    <w:lvl w:ilvl="0">
      <w:start w:val="1"/>
      <w:numFmt w:val="bullet"/>
      <w:pStyle w:val="Puntoelenco5"/>
      <w:lvlText w:val=""/>
      <w:lvlJc w:val="left"/>
      <w:pPr>
        <w:tabs>
          <w:tab w:val="num" w:pos="0"/>
        </w:tabs>
        <w:ind w:left="1492"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3" w15:restartNumberingAfterBreak="0">
    <w:nsid w:val="67DE101D"/>
    <w:multiLevelType w:val="multilevel"/>
    <w:tmpl w:val="BF5CCED8"/>
    <w:lvl w:ilvl="0">
      <w:start w:val="1"/>
      <w:numFmt w:val="decimal"/>
      <w:pStyle w:val="Numeroelenco5"/>
      <w:lvlText w:val="%1."/>
      <w:lvlJc w:val="left"/>
      <w:pPr>
        <w:tabs>
          <w:tab w:val="num" w:pos="0"/>
        </w:tabs>
        <w:ind w:left="1492"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4" w15:restartNumberingAfterBreak="0">
    <w:nsid w:val="7FF40E58"/>
    <w:multiLevelType w:val="multilevel"/>
    <w:tmpl w:val="D8328434"/>
    <w:lvl w:ilvl="0">
      <w:start w:val="1"/>
      <w:numFmt w:val="decimal"/>
      <w:pStyle w:val="CETheadingx"/>
      <w:suff w:val="space"/>
      <w:lvlText w:val="Chapter %1"/>
      <w:lvlJc w:val="left"/>
      <w:pPr>
        <w:tabs>
          <w:tab w:val="num" w:pos="0"/>
        </w:tabs>
        <w:ind w:left="0" w:firstLine="0"/>
      </w:pPr>
    </w:lvl>
    <w:lvl w:ilvl="1">
      <w:start w:val="1"/>
      <w:numFmt w:val="decimal"/>
      <w:suff w:val="space"/>
      <w:lvlText w:val="%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2.%3.%4.%5.%6.%7.%8.%9."/>
      <w:lvlJc w:val="left"/>
      <w:pPr>
        <w:tabs>
          <w:tab w:val="num" w:pos="0"/>
        </w:tabs>
        <w:ind w:left="0" w:firstLine="0"/>
      </w:pPr>
    </w:lvl>
  </w:abstractNum>
  <w:num w:numId="1" w16cid:durableId="1999768971">
    <w:abstractNumId w:val="14"/>
  </w:num>
  <w:num w:numId="2" w16cid:durableId="795563169">
    <w:abstractNumId w:val="1"/>
  </w:num>
  <w:num w:numId="3" w16cid:durableId="1155604504">
    <w:abstractNumId w:val="8"/>
  </w:num>
  <w:num w:numId="4" w16cid:durableId="966205812">
    <w:abstractNumId w:val="5"/>
  </w:num>
  <w:num w:numId="5" w16cid:durableId="940911134">
    <w:abstractNumId w:val="0"/>
  </w:num>
  <w:num w:numId="6" w16cid:durableId="1102528883">
    <w:abstractNumId w:val="13"/>
  </w:num>
  <w:num w:numId="7" w16cid:durableId="867641080">
    <w:abstractNumId w:val="11"/>
  </w:num>
  <w:num w:numId="8" w16cid:durableId="267852351">
    <w:abstractNumId w:val="7"/>
  </w:num>
  <w:num w:numId="9" w16cid:durableId="1377318271">
    <w:abstractNumId w:val="9"/>
  </w:num>
  <w:num w:numId="10" w16cid:durableId="1245191040">
    <w:abstractNumId w:val="4"/>
  </w:num>
  <w:num w:numId="11" w16cid:durableId="1800688944">
    <w:abstractNumId w:val="12"/>
  </w:num>
  <w:num w:numId="12" w16cid:durableId="838695406">
    <w:abstractNumId w:val="10"/>
  </w:num>
  <w:num w:numId="13" w16cid:durableId="855391484">
    <w:abstractNumId w:val="6"/>
  </w:num>
  <w:num w:numId="14" w16cid:durableId="1468888602">
    <w:abstractNumId w:val="3"/>
  </w:num>
  <w:num w:numId="15" w16cid:durableId="5905069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autoHyphenation/>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325766"/>
    <w:rsid w:val="00022660"/>
    <w:rsid w:val="001626E4"/>
    <w:rsid w:val="00325766"/>
    <w:rsid w:val="003F1BC4"/>
    <w:rsid w:val="00581691"/>
    <w:rsid w:val="00727E2D"/>
    <w:rsid w:val="0084559D"/>
    <w:rsid w:val="00A52F0C"/>
    <w:rsid w:val="00B53455"/>
    <w:rsid w:val="00D015B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2255C"/>
  <w15:docId w15:val="{3994F267-9359-431C-A498-4F4022E6D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textAlignment w:val="baseline"/>
    </w:pPr>
  </w:style>
  <w:style w:type="paragraph" w:styleId="Titolo1">
    <w:name w:val="heading 1"/>
    <w:basedOn w:val="CETHeading1"/>
    <w:next w:val="Standard"/>
    <w:uiPriority w:val="9"/>
    <w:qFormat/>
    <w:pPr>
      <w:tabs>
        <w:tab w:val="clear" w:pos="360"/>
        <w:tab w:val="right" w:pos="7100"/>
      </w:tabs>
      <w:jc w:val="both"/>
      <w:outlineLvl w:val="0"/>
    </w:pPr>
    <w:rPr>
      <w:lang w:val="en-GB"/>
    </w:rPr>
  </w:style>
  <w:style w:type="paragraph" w:styleId="Titolo2">
    <w:name w:val="heading 2"/>
    <w:basedOn w:val="Standard"/>
    <w:next w:val="Standard"/>
    <w:uiPriority w:val="9"/>
    <w:semiHidden/>
    <w:unhideWhenUsed/>
    <w:qFormat/>
    <w:pPr>
      <w:keepNext/>
      <w:keepLines/>
      <w:spacing w:before="200" w:after="120"/>
      <w:outlineLvl w:val="1"/>
    </w:pPr>
    <w:rPr>
      <w:rFonts w:ascii="Cambria" w:eastAsia="SimSun" w:hAnsi="Cambria" w:cs="Tahoma"/>
      <w:b/>
      <w:bCs/>
      <w:color w:val="4F81BD"/>
      <w:sz w:val="26"/>
      <w:szCs w:val="26"/>
    </w:rPr>
  </w:style>
  <w:style w:type="paragraph" w:styleId="Titolo3">
    <w:name w:val="heading 3"/>
    <w:basedOn w:val="Standard"/>
    <w:next w:val="Standard"/>
    <w:uiPriority w:val="9"/>
    <w:semiHidden/>
    <w:unhideWhenUsed/>
    <w:qFormat/>
    <w:pPr>
      <w:keepNext/>
      <w:keepLines/>
      <w:spacing w:before="200" w:after="120"/>
      <w:outlineLvl w:val="2"/>
    </w:pPr>
    <w:rPr>
      <w:rFonts w:ascii="Cambria" w:eastAsia="SimSun" w:hAnsi="Cambria" w:cs="Tahoma"/>
      <w:b/>
      <w:bCs/>
      <w:color w:val="4F81BD"/>
    </w:rPr>
  </w:style>
  <w:style w:type="paragraph" w:styleId="Titolo4">
    <w:name w:val="heading 4"/>
    <w:basedOn w:val="Standard"/>
    <w:next w:val="Standard"/>
    <w:uiPriority w:val="9"/>
    <w:semiHidden/>
    <w:unhideWhenUsed/>
    <w:qFormat/>
    <w:pPr>
      <w:keepNext/>
      <w:keepLines/>
      <w:spacing w:before="200" w:after="120"/>
      <w:outlineLvl w:val="3"/>
    </w:pPr>
    <w:rPr>
      <w:rFonts w:ascii="Cambria" w:eastAsia="SimSun" w:hAnsi="Cambria" w:cs="Tahoma"/>
      <w:b/>
      <w:bCs/>
      <w:i/>
      <w:iCs/>
      <w:color w:val="4F81BD"/>
    </w:rPr>
  </w:style>
  <w:style w:type="paragraph" w:styleId="Titolo5">
    <w:name w:val="heading 5"/>
    <w:basedOn w:val="Standard"/>
    <w:next w:val="Standard"/>
    <w:uiPriority w:val="9"/>
    <w:semiHidden/>
    <w:unhideWhenUsed/>
    <w:qFormat/>
    <w:pPr>
      <w:keepNext/>
      <w:keepLines/>
      <w:spacing w:before="200" w:after="120"/>
      <w:outlineLvl w:val="4"/>
    </w:pPr>
    <w:rPr>
      <w:rFonts w:ascii="Cambria" w:eastAsia="SimSun" w:hAnsi="Cambria" w:cs="Tahoma"/>
      <w:color w:val="243F60"/>
    </w:rPr>
  </w:style>
  <w:style w:type="paragraph" w:styleId="Titolo6">
    <w:name w:val="heading 6"/>
    <w:basedOn w:val="Standard"/>
    <w:next w:val="Standard"/>
    <w:uiPriority w:val="9"/>
    <w:semiHidden/>
    <w:unhideWhenUsed/>
    <w:qFormat/>
    <w:pPr>
      <w:keepNext/>
      <w:keepLines/>
      <w:spacing w:before="200" w:after="120"/>
      <w:outlineLvl w:val="5"/>
    </w:pPr>
    <w:rPr>
      <w:rFonts w:ascii="Cambria" w:eastAsia="SimSun" w:hAnsi="Cambria" w:cs="Tahoma"/>
      <w:i/>
      <w:iCs/>
      <w:color w:val="243F60"/>
    </w:rPr>
  </w:style>
  <w:style w:type="paragraph" w:styleId="Titolo7">
    <w:name w:val="heading 7"/>
    <w:basedOn w:val="Standard"/>
    <w:next w:val="Standard"/>
    <w:qFormat/>
    <w:pPr>
      <w:keepNext/>
      <w:keepLines/>
      <w:spacing w:before="200" w:after="120"/>
      <w:outlineLvl w:val="6"/>
    </w:pPr>
    <w:rPr>
      <w:rFonts w:ascii="Cambria" w:eastAsia="SimSun" w:hAnsi="Cambria" w:cs="Tahoma"/>
      <w:i/>
      <w:iCs/>
      <w:color w:val="404040"/>
    </w:rPr>
  </w:style>
  <w:style w:type="paragraph" w:styleId="Titolo8">
    <w:name w:val="heading 8"/>
    <w:basedOn w:val="Standard"/>
    <w:next w:val="Standard"/>
    <w:qFormat/>
    <w:pPr>
      <w:keepNext/>
      <w:keepLines/>
      <w:spacing w:before="200" w:after="120"/>
      <w:outlineLvl w:val="7"/>
    </w:pPr>
    <w:rPr>
      <w:rFonts w:ascii="Cambria" w:eastAsia="SimSun" w:hAnsi="Cambria" w:cs="Tahoma"/>
      <w:color w:val="404040"/>
    </w:rPr>
  </w:style>
  <w:style w:type="paragraph" w:styleId="Titolo9">
    <w:name w:val="heading 9"/>
    <w:basedOn w:val="Standard"/>
    <w:next w:val="Standard"/>
    <w:qFormat/>
    <w:pPr>
      <w:keepNext/>
      <w:keepLines/>
      <w:spacing w:before="200" w:after="120"/>
      <w:outlineLvl w:val="8"/>
    </w:pPr>
    <w:rPr>
      <w:rFonts w:ascii="Cambria" w:eastAsia="SimSun" w:hAnsi="Cambria" w:cs="Tahoma"/>
      <w:i/>
      <w:iCs/>
      <w:color w:val="40404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ETAuthorsCarattere">
    <w:name w:val="CET Authors Carattere"/>
    <w:qFormat/>
    <w:rPr>
      <w:rFonts w:ascii="Arial" w:eastAsia="Times New Roman" w:hAnsi="Arial" w:cs="Times New Roman"/>
      <w:sz w:val="24"/>
      <w:szCs w:val="20"/>
      <w:lang w:val="en-GB"/>
    </w:rPr>
  </w:style>
  <w:style w:type="character" w:customStyle="1" w:styleId="CETTitleCarattere">
    <w:name w:val="CET Title Carattere"/>
    <w:qFormat/>
    <w:rPr>
      <w:rFonts w:ascii="Arial" w:eastAsia="Times New Roman" w:hAnsi="Arial" w:cs="Times New Roman"/>
      <w:sz w:val="32"/>
      <w:szCs w:val="20"/>
      <w:lang w:val="en-GB"/>
    </w:rPr>
  </w:style>
  <w:style w:type="character" w:customStyle="1" w:styleId="CETBodytextCarattere">
    <w:name w:val="CET Body text Carattere"/>
    <w:qFormat/>
    <w:rPr>
      <w:rFonts w:ascii="Arial" w:eastAsia="Times New Roman" w:hAnsi="Arial" w:cs="Times New Roman"/>
      <w:sz w:val="18"/>
      <w:szCs w:val="20"/>
      <w:lang w:val="en-US"/>
    </w:rPr>
  </w:style>
  <w:style w:type="character" w:customStyle="1" w:styleId="CETheadingxCarattere">
    <w:name w:val="CET headingx Carattere"/>
    <w:qFormat/>
    <w:rPr>
      <w:rFonts w:ascii="Arial" w:eastAsia="Times New Roman" w:hAnsi="Arial" w:cs="Times New Roman"/>
      <w:b/>
      <w:sz w:val="18"/>
      <w:szCs w:val="20"/>
      <w:lang w:val="en-US"/>
    </w:rPr>
  </w:style>
  <w:style w:type="character" w:customStyle="1" w:styleId="CETCaptionCarattere">
    <w:name w:val="CET Caption Carattere"/>
    <w:qFormat/>
    <w:rPr>
      <w:rFonts w:ascii="Arial" w:eastAsia="Times New Roman" w:hAnsi="Arial" w:cs="Times New Roman"/>
      <w:i/>
      <w:sz w:val="18"/>
      <w:szCs w:val="20"/>
      <w:lang w:val="en-GB"/>
    </w:rPr>
  </w:style>
  <w:style w:type="character" w:styleId="Rimandocommento">
    <w:name w:val="annotation reference"/>
    <w:basedOn w:val="Carpredefinitoparagrafo"/>
    <w:qFormat/>
    <w:rPr>
      <w:sz w:val="16"/>
      <w:szCs w:val="16"/>
    </w:rPr>
  </w:style>
  <w:style w:type="character" w:customStyle="1" w:styleId="TestofumettoCarattere">
    <w:name w:val="Testo fumetto Carattere"/>
    <w:basedOn w:val="Carpredefinitoparagrafo"/>
    <w:qFormat/>
    <w:rPr>
      <w:rFonts w:ascii="Tahoma" w:eastAsia="Tahoma" w:hAnsi="Tahoma" w:cs="Tahoma"/>
      <w:sz w:val="16"/>
      <w:szCs w:val="16"/>
    </w:rPr>
  </w:style>
  <w:style w:type="character" w:customStyle="1" w:styleId="Corpodeltesto2Carattere">
    <w:name w:val="Corpo del testo 2 Carattere"/>
    <w:basedOn w:val="Carpredefinitoparagrafo"/>
    <w:qFormat/>
  </w:style>
  <w:style w:type="character" w:customStyle="1" w:styleId="Corpodeltesto3Carattere">
    <w:name w:val="Corpo del testo 3 Carattere"/>
    <w:basedOn w:val="Carpredefinitoparagrafo"/>
    <w:qFormat/>
    <w:rPr>
      <w:sz w:val="16"/>
      <w:szCs w:val="16"/>
    </w:rPr>
  </w:style>
  <w:style w:type="character" w:customStyle="1" w:styleId="CorpotestoCarattere">
    <w:name w:val="Corpo testo Carattere"/>
    <w:basedOn w:val="Carpredefinitoparagrafo"/>
    <w:qFormat/>
  </w:style>
  <w:style w:type="character" w:customStyle="1" w:styleId="DataCarattere">
    <w:name w:val="Data Carattere"/>
    <w:basedOn w:val="Carpredefinitoparagrafo"/>
    <w:qFormat/>
  </w:style>
  <w:style w:type="character" w:customStyle="1" w:styleId="FirmaCarattere">
    <w:name w:val="Firma Carattere"/>
    <w:basedOn w:val="Carpredefinitoparagrafo"/>
    <w:qFormat/>
  </w:style>
  <w:style w:type="character" w:customStyle="1" w:styleId="FirmadipostaelettronicaCarattere">
    <w:name w:val="Firma di posta elettronica Carattere"/>
    <w:basedOn w:val="Carpredefinitoparagrafo"/>
    <w:qFormat/>
  </w:style>
  <w:style w:type="character" w:customStyle="1" w:styleId="FormuladiaperturaCarattere">
    <w:name w:val="Formula di apertura Carattere"/>
    <w:basedOn w:val="Carpredefinitoparagrafo"/>
    <w:qFormat/>
  </w:style>
  <w:style w:type="character" w:customStyle="1" w:styleId="FormuladichiusuraCarattere">
    <w:name w:val="Formula di chiusura Carattere"/>
    <w:basedOn w:val="Carpredefinitoparagrafo"/>
    <w:qFormat/>
  </w:style>
  <w:style w:type="character" w:customStyle="1" w:styleId="IndirizzoHTMLCarattere">
    <w:name w:val="Indirizzo HTML Carattere"/>
    <w:basedOn w:val="Carpredefinitoparagrafo"/>
    <w:qFormat/>
    <w:rPr>
      <w:i/>
      <w:iCs/>
    </w:rPr>
  </w:style>
  <w:style w:type="character" w:customStyle="1" w:styleId="IntestazionemessaggioCarattere">
    <w:name w:val="Intestazione messaggio Carattere"/>
    <w:basedOn w:val="Carpredefinitoparagrafo"/>
    <w:qFormat/>
    <w:rPr>
      <w:rFonts w:ascii="Cambria" w:eastAsia="SimSun" w:hAnsi="Cambria" w:cs="Tahoma"/>
      <w:sz w:val="24"/>
      <w:szCs w:val="24"/>
      <w:shd w:val="clear" w:color="auto" w:fill="CCCCCC"/>
    </w:rPr>
  </w:style>
  <w:style w:type="character" w:customStyle="1" w:styleId="IntestazionenotaCarattere">
    <w:name w:val="Intestazione nota Carattere"/>
    <w:basedOn w:val="Carpredefinitoparagrafo"/>
    <w:qFormat/>
  </w:style>
  <w:style w:type="character" w:customStyle="1" w:styleId="MappadocumentoCarattere">
    <w:name w:val="Mappa documento Carattere"/>
    <w:basedOn w:val="Carpredefinitoparagrafo"/>
    <w:qFormat/>
    <w:rPr>
      <w:rFonts w:ascii="Tahoma" w:eastAsia="Tahoma" w:hAnsi="Tahoma" w:cs="Tahoma"/>
      <w:sz w:val="16"/>
      <w:szCs w:val="16"/>
    </w:rPr>
  </w:style>
  <w:style w:type="character" w:customStyle="1" w:styleId="PreformattatoHTMLCarattere">
    <w:name w:val="Preformattato HTML Carattere"/>
    <w:basedOn w:val="Carpredefinitoparagrafo"/>
    <w:qFormat/>
    <w:rPr>
      <w:rFonts w:ascii="Consolas" w:eastAsia="Consolas" w:hAnsi="Consolas" w:cs="Consolas"/>
      <w:sz w:val="20"/>
      <w:szCs w:val="20"/>
    </w:rPr>
  </w:style>
  <w:style w:type="character" w:customStyle="1" w:styleId="PrimorientrocorpodeltestoCarattere">
    <w:name w:val="Primo rientro corpo del testo Carattere"/>
    <w:basedOn w:val="CorpotestoCarattere"/>
    <w:qFormat/>
  </w:style>
  <w:style w:type="character" w:customStyle="1" w:styleId="RientrocorpodeltestoCarattere">
    <w:name w:val="Rientro corpo del testo Carattere"/>
    <w:basedOn w:val="Carpredefinitoparagrafo"/>
    <w:qFormat/>
  </w:style>
  <w:style w:type="character" w:customStyle="1" w:styleId="Primorientrocorpodeltesto2Carattere">
    <w:name w:val="Primo rientro corpo del testo 2 Carattere"/>
    <w:basedOn w:val="RientrocorpodeltestoCarattere"/>
    <w:qFormat/>
  </w:style>
  <w:style w:type="character" w:customStyle="1" w:styleId="Rientrocorpodeltesto2Carattere">
    <w:name w:val="Rientro corpo del testo 2 Carattere"/>
    <w:basedOn w:val="Carpredefinitoparagrafo"/>
    <w:qFormat/>
  </w:style>
  <w:style w:type="character" w:customStyle="1" w:styleId="Rientrocorpodeltesto3Carattere">
    <w:name w:val="Rientro corpo del testo 3 Carattere"/>
    <w:basedOn w:val="Carpredefinitoparagrafo"/>
    <w:qFormat/>
    <w:rPr>
      <w:sz w:val="16"/>
      <w:szCs w:val="16"/>
    </w:rPr>
  </w:style>
  <w:style w:type="character" w:customStyle="1" w:styleId="TestocommentoCarattere">
    <w:name w:val="Testo commento Carattere"/>
    <w:basedOn w:val="Carpredefinitoparagrafo"/>
    <w:qFormat/>
    <w:rPr>
      <w:sz w:val="20"/>
      <w:szCs w:val="20"/>
    </w:rPr>
  </w:style>
  <w:style w:type="character" w:customStyle="1" w:styleId="SoggettocommentoCarattere">
    <w:name w:val="Soggetto commento Carattere"/>
    <w:basedOn w:val="TestocommentoCarattere"/>
    <w:qFormat/>
    <w:rPr>
      <w:b/>
      <w:bCs/>
      <w:sz w:val="20"/>
      <w:szCs w:val="20"/>
    </w:rPr>
  </w:style>
  <w:style w:type="character" w:customStyle="1" w:styleId="TestomacroCarattere">
    <w:name w:val="Testo macro Carattere"/>
    <w:basedOn w:val="Carpredefinitoparagrafo"/>
    <w:qFormat/>
    <w:rPr>
      <w:rFonts w:ascii="Consolas" w:eastAsia="Consolas" w:hAnsi="Consolas" w:cs="Consolas"/>
      <w:sz w:val="20"/>
      <w:szCs w:val="20"/>
    </w:rPr>
  </w:style>
  <w:style w:type="character" w:customStyle="1" w:styleId="TestonormaleCarattere">
    <w:name w:val="Testo normale Carattere"/>
    <w:basedOn w:val="Carpredefinitoparagrafo"/>
    <w:qFormat/>
    <w:rPr>
      <w:rFonts w:ascii="Consolas" w:eastAsia="Consolas" w:hAnsi="Consolas" w:cs="Consolas"/>
      <w:sz w:val="21"/>
      <w:szCs w:val="21"/>
    </w:rPr>
  </w:style>
  <w:style w:type="character" w:customStyle="1" w:styleId="TestonotaapidipaginaCarattere">
    <w:name w:val="Testo nota a piè di pagina Carattere"/>
    <w:basedOn w:val="Carpredefinitoparagrafo"/>
    <w:qFormat/>
    <w:rPr>
      <w:sz w:val="20"/>
      <w:szCs w:val="20"/>
    </w:rPr>
  </w:style>
  <w:style w:type="character" w:customStyle="1" w:styleId="TestonotadichiusuraCarattere">
    <w:name w:val="Testo nota di chiusura Carattere"/>
    <w:basedOn w:val="Carpredefinitoparagrafo"/>
    <w:qFormat/>
    <w:rPr>
      <w:sz w:val="20"/>
      <w:szCs w:val="20"/>
    </w:rPr>
  </w:style>
  <w:style w:type="character" w:customStyle="1" w:styleId="Titolo1Carattere">
    <w:name w:val="Titolo 1 Carattere"/>
    <w:basedOn w:val="Carpredefinitoparagrafo"/>
    <w:qFormat/>
    <w:rPr>
      <w:rFonts w:ascii="Arial" w:eastAsia="Times New Roman" w:hAnsi="Arial" w:cs="Times New Roman"/>
      <w:b/>
      <w:sz w:val="20"/>
      <w:szCs w:val="20"/>
      <w:lang w:val="en-GB"/>
    </w:rPr>
  </w:style>
  <w:style w:type="character" w:customStyle="1" w:styleId="Titolo2Carattere">
    <w:name w:val="Titolo 2 Carattere"/>
    <w:basedOn w:val="Carpredefinitoparagrafo"/>
    <w:qFormat/>
    <w:rPr>
      <w:rFonts w:ascii="Cambria" w:eastAsia="SimSun" w:hAnsi="Cambria" w:cs="Tahoma"/>
      <w:b/>
      <w:bCs/>
      <w:color w:val="4F81BD"/>
      <w:sz w:val="26"/>
      <w:szCs w:val="26"/>
    </w:rPr>
  </w:style>
  <w:style w:type="character" w:customStyle="1" w:styleId="Titolo3Carattere">
    <w:name w:val="Titolo 3 Carattere"/>
    <w:basedOn w:val="Carpredefinitoparagrafo"/>
    <w:qFormat/>
    <w:rPr>
      <w:rFonts w:ascii="Cambria" w:eastAsia="SimSun" w:hAnsi="Cambria" w:cs="Tahoma"/>
      <w:b/>
      <w:bCs/>
      <w:color w:val="4F81BD"/>
    </w:rPr>
  </w:style>
  <w:style w:type="character" w:customStyle="1" w:styleId="Titolo4Carattere">
    <w:name w:val="Titolo 4 Carattere"/>
    <w:basedOn w:val="Carpredefinitoparagrafo"/>
    <w:qFormat/>
    <w:rPr>
      <w:rFonts w:ascii="Cambria" w:eastAsia="SimSun" w:hAnsi="Cambria" w:cs="Tahoma"/>
      <w:b/>
      <w:bCs/>
      <w:i/>
      <w:iCs/>
      <w:color w:val="4F81BD"/>
    </w:rPr>
  </w:style>
  <w:style w:type="character" w:customStyle="1" w:styleId="Titolo5Carattere">
    <w:name w:val="Titolo 5 Carattere"/>
    <w:basedOn w:val="Carpredefinitoparagrafo"/>
    <w:qFormat/>
    <w:rPr>
      <w:rFonts w:ascii="Cambria" w:eastAsia="SimSun" w:hAnsi="Cambria" w:cs="Tahoma"/>
      <w:color w:val="243F60"/>
    </w:rPr>
  </w:style>
  <w:style w:type="character" w:customStyle="1" w:styleId="Titolo6Carattere">
    <w:name w:val="Titolo 6 Carattere"/>
    <w:basedOn w:val="Carpredefinitoparagrafo"/>
    <w:qFormat/>
    <w:rPr>
      <w:rFonts w:ascii="Cambria" w:eastAsia="SimSun" w:hAnsi="Cambria" w:cs="Tahoma"/>
      <w:i/>
      <w:iCs/>
      <w:color w:val="243F60"/>
    </w:rPr>
  </w:style>
  <w:style w:type="character" w:customStyle="1" w:styleId="Titolo7Carattere">
    <w:name w:val="Titolo 7 Carattere"/>
    <w:basedOn w:val="Carpredefinitoparagrafo"/>
    <w:qFormat/>
    <w:rPr>
      <w:rFonts w:ascii="Cambria" w:eastAsia="SimSun" w:hAnsi="Cambria" w:cs="Tahoma"/>
      <w:i/>
      <w:iCs/>
      <w:color w:val="404040"/>
    </w:rPr>
  </w:style>
  <w:style w:type="character" w:customStyle="1" w:styleId="Titolo8Carattere">
    <w:name w:val="Titolo 8 Carattere"/>
    <w:basedOn w:val="Carpredefinitoparagrafo"/>
    <w:qFormat/>
    <w:rPr>
      <w:rFonts w:ascii="Cambria" w:eastAsia="SimSun" w:hAnsi="Cambria" w:cs="Tahoma"/>
      <w:color w:val="404040"/>
      <w:sz w:val="20"/>
      <w:szCs w:val="20"/>
    </w:rPr>
  </w:style>
  <w:style w:type="character" w:customStyle="1" w:styleId="Titolo9Carattere">
    <w:name w:val="Titolo 9 Carattere"/>
    <w:basedOn w:val="Carpredefinitoparagrafo"/>
    <w:qFormat/>
    <w:rPr>
      <w:rFonts w:ascii="Cambria" w:eastAsia="SimSun" w:hAnsi="Cambria" w:cs="Tahoma"/>
      <w:i/>
      <w:iCs/>
      <w:color w:val="404040"/>
      <w:sz w:val="20"/>
      <w:szCs w:val="20"/>
    </w:rPr>
  </w:style>
  <w:style w:type="character" w:customStyle="1" w:styleId="CETAddressCarattere">
    <w:name w:val="CET Address Carattere"/>
    <w:basedOn w:val="Carpredefinitoparagrafo"/>
    <w:qFormat/>
    <w:rPr>
      <w:rFonts w:ascii="Arial" w:eastAsia="Times New Roman" w:hAnsi="Arial" w:cs="Times New Roman"/>
      <w:sz w:val="16"/>
      <w:szCs w:val="20"/>
      <w:lang w:val="en-GB"/>
    </w:rPr>
  </w:style>
  <w:style w:type="character" w:customStyle="1" w:styleId="IntestazioneCarattere">
    <w:name w:val="Intestazione Carattere"/>
    <w:basedOn w:val="Carpredefinitoparagrafo"/>
    <w:qFormat/>
    <w:rPr>
      <w:rFonts w:ascii="Arial" w:eastAsia="Times New Roman" w:hAnsi="Arial" w:cs="Times New Roman"/>
      <w:sz w:val="18"/>
      <w:szCs w:val="20"/>
      <w:lang w:val="en-GB"/>
    </w:rPr>
  </w:style>
  <w:style w:type="character" w:customStyle="1" w:styleId="PidipaginaCarattere">
    <w:name w:val="Piè di pagina Carattere"/>
    <w:basedOn w:val="Carpredefinitoparagrafo"/>
    <w:qFormat/>
    <w:rPr>
      <w:rFonts w:ascii="Arial" w:eastAsia="Times New Roman" w:hAnsi="Arial" w:cs="Times New Roman"/>
      <w:sz w:val="18"/>
      <w:szCs w:val="20"/>
      <w:lang w:val="en-GB"/>
    </w:rPr>
  </w:style>
  <w:style w:type="character" w:customStyle="1" w:styleId="CollegamentoInternet">
    <w:name w:val="Collegamento Internet"/>
    <w:rPr>
      <w:color w:val="000080"/>
      <w:u w:val="single"/>
    </w:rPr>
  </w:style>
  <w:style w:type="character" w:customStyle="1" w:styleId="eudoraheader">
    <w:name w:val="eudoraheader"/>
    <w:basedOn w:val="Carpredefinitoparagrafo"/>
    <w:qFormat/>
  </w:style>
  <w:style w:type="character" w:customStyle="1" w:styleId="CETHeadingxxChar">
    <w:name w:val="CET Headingxx Char"/>
    <w:basedOn w:val="CETheadingxCarattere"/>
    <w:qFormat/>
    <w:rPr>
      <w:rFonts w:ascii="Arial" w:eastAsia="Times New Roman" w:hAnsi="Arial" w:cs="Times New Roman"/>
      <w:b/>
      <w:sz w:val="18"/>
      <w:szCs w:val="20"/>
      <w:lang w:val="en-US"/>
    </w:rPr>
  </w:style>
  <w:style w:type="paragraph" w:styleId="Titolo">
    <w:name w:val="Title"/>
    <w:basedOn w:val="Standard"/>
    <w:next w:val="Textbody"/>
    <w:uiPriority w:val="10"/>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Standard"/>
    <w:pPr>
      <w:spacing w:after="140"/>
      <w:ind w:left="283" w:hanging="283"/>
      <w:contextualSpacing/>
    </w:pPr>
  </w:style>
  <w:style w:type="paragraph" w:styleId="Didascalia">
    <w:name w:val="caption"/>
    <w:basedOn w:val="Standard"/>
    <w:next w:val="Standard"/>
    <w:qFormat/>
    <w:pPr>
      <w:spacing w:line="240" w:lineRule="auto"/>
    </w:pPr>
    <w:rPr>
      <w:b/>
      <w:bCs/>
      <w:color w:val="4F81BD"/>
      <w:szCs w:val="18"/>
    </w:rPr>
  </w:style>
  <w:style w:type="paragraph" w:customStyle="1" w:styleId="Indice">
    <w:name w:val="Indice"/>
    <w:basedOn w:val="Standard"/>
    <w:qFormat/>
    <w:pPr>
      <w:suppressLineNumbers/>
    </w:pPr>
    <w:rPr>
      <w:rFonts w:cs="Lucida Sans"/>
    </w:rPr>
  </w:style>
  <w:style w:type="paragraph" w:customStyle="1" w:styleId="Standard">
    <w:name w:val="Standard"/>
    <w:qFormat/>
    <w:pPr>
      <w:tabs>
        <w:tab w:val="right" w:pos="7100"/>
      </w:tabs>
      <w:spacing w:line="264" w:lineRule="auto"/>
      <w:jc w:val="both"/>
      <w:textAlignment w:val="baseline"/>
    </w:pPr>
    <w:rPr>
      <w:rFonts w:ascii="Arial" w:eastAsia="Times New Roman" w:hAnsi="Arial" w:cs="Times New Roman"/>
      <w:sz w:val="18"/>
      <w:szCs w:val="20"/>
      <w:lang w:val="en-GB"/>
    </w:rPr>
  </w:style>
  <w:style w:type="paragraph" w:customStyle="1" w:styleId="Textbody">
    <w:name w:val="Text body"/>
    <w:basedOn w:val="Standard"/>
    <w:qFormat/>
    <w:pPr>
      <w:spacing w:after="120"/>
    </w:pPr>
  </w:style>
  <w:style w:type="paragraph" w:customStyle="1" w:styleId="CETAuthors">
    <w:name w:val="CET Authors"/>
    <w:basedOn w:val="CETBodytext"/>
    <w:qFormat/>
    <w:pPr>
      <w:keepNext/>
      <w:spacing w:after="120"/>
    </w:pPr>
    <w:rPr>
      <w:sz w:val="24"/>
      <w:lang w:val="en-GB"/>
    </w:rPr>
  </w:style>
  <w:style w:type="paragraph" w:customStyle="1" w:styleId="CETTitle">
    <w:name w:val="CET Title"/>
    <w:next w:val="CETAuthors"/>
    <w:qFormat/>
    <w:pPr>
      <w:spacing w:before="480" w:after="120" w:line="264" w:lineRule="auto"/>
      <w:jc w:val="center"/>
      <w:textAlignment w:val="baseline"/>
      <w:outlineLvl w:val="0"/>
    </w:pPr>
    <w:rPr>
      <w:rFonts w:ascii="Arial" w:eastAsia="Times New Roman" w:hAnsi="Arial" w:cs="Times New Roman"/>
      <w:sz w:val="32"/>
      <w:szCs w:val="20"/>
      <w:lang w:val="en-GB"/>
    </w:rPr>
  </w:style>
  <w:style w:type="paragraph" w:customStyle="1" w:styleId="CETHeading1">
    <w:name w:val="CET Heading1"/>
    <w:next w:val="CETBodytext"/>
    <w:qFormat/>
    <w:pPr>
      <w:keepNext/>
      <w:tabs>
        <w:tab w:val="left" w:pos="360"/>
      </w:tabs>
      <w:spacing w:before="240" w:after="120"/>
      <w:textAlignment w:val="baseline"/>
    </w:pPr>
    <w:rPr>
      <w:rFonts w:ascii="Arial" w:eastAsia="Times New Roman" w:hAnsi="Arial" w:cs="Times New Roman"/>
      <w:b/>
      <w:sz w:val="20"/>
      <w:szCs w:val="20"/>
      <w:lang w:val="en-US"/>
    </w:rPr>
  </w:style>
  <w:style w:type="paragraph" w:customStyle="1" w:styleId="CETBodytext">
    <w:name w:val="CET Body text"/>
    <w:qFormat/>
    <w:pPr>
      <w:tabs>
        <w:tab w:val="right" w:pos="7100"/>
      </w:tabs>
      <w:spacing w:line="264" w:lineRule="auto"/>
      <w:jc w:val="both"/>
      <w:textAlignment w:val="baseline"/>
    </w:pPr>
    <w:rPr>
      <w:rFonts w:ascii="Arial" w:eastAsia="Times New Roman" w:hAnsi="Arial" w:cs="Times New Roman"/>
      <w:sz w:val="18"/>
      <w:szCs w:val="20"/>
      <w:lang w:val="en-US"/>
    </w:rPr>
  </w:style>
  <w:style w:type="paragraph" w:customStyle="1" w:styleId="CETheadingx">
    <w:name w:val="CET headingx"/>
    <w:next w:val="CETBodytext"/>
    <w:autoRedefine/>
    <w:qFormat/>
    <w:pPr>
      <w:keepNext/>
      <w:numPr>
        <w:numId w:val="1"/>
      </w:numPr>
      <w:spacing w:before="120" w:after="120"/>
      <w:textAlignment w:val="baseline"/>
    </w:pPr>
    <w:rPr>
      <w:rFonts w:ascii="Arial" w:eastAsia="Times New Roman" w:hAnsi="Arial" w:cs="Times New Roman"/>
      <w:b/>
      <w:sz w:val="18"/>
      <w:szCs w:val="20"/>
      <w:lang w:val="en-US"/>
    </w:rPr>
  </w:style>
  <w:style w:type="paragraph" w:customStyle="1" w:styleId="CETAddress">
    <w:name w:val="CET Address"/>
    <w:qFormat/>
    <w:pPr>
      <w:keepNext/>
      <w:spacing w:line="276" w:lineRule="auto"/>
      <w:contextualSpacing/>
      <w:textAlignment w:val="baseline"/>
    </w:pPr>
    <w:rPr>
      <w:rFonts w:ascii="Arial" w:eastAsia="Times New Roman" w:hAnsi="Arial" w:cs="Times New Roman"/>
      <w:sz w:val="16"/>
      <w:szCs w:val="20"/>
      <w:lang w:val="en-GB"/>
    </w:rPr>
  </w:style>
  <w:style w:type="paragraph" w:customStyle="1" w:styleId="CETReference">
    <w:name w:val="CET Reference"/>
    <w:qFormat/>
    <w:pPr>
      <w:spacing w:before="200" w:after="120"/>
      <w:textAlignment w:val="baseline"/>
    </w:pPr>
    <w:rPr>
      <w:rFonts w:ascii="Arial" w:eastAsia="Times New Roman" w:hAnsi="Arial" w:cs="Times New Roman"/>
      <w:b/>
      <w:sz w:val="18"/>
      <w:szCs w:val="20"/>
      <w:lang w:val="en-GB"/>
    </w:rPr>
  </w:style>
  <w:style w:type="paragraph" w:customStyle="1" w:styleId="CETCaption">
    <w:name w:val="CET Caption"/>
    <w:qFormat/>
    <w:pPr>
      <w:spacing w:before="240" w:after="240" w:line="264" w:lineRule="auto"/>
      <w:jc w:val="both"/>
      <w:textAlignment w:val="baseline"/>
    </w:pPr>
    <w:rPr>
      <w:rFonts w:ascii="Arial" w:eastAsia="Times New Roman" w:hAnsi="Arial" w:cs="Times New Roman"/>
      <w:i/>
      <w:sz w:val="18"/>
      <w:szCs w:val="20"/>
      <w:lang w:val="en-GB"/>
    </w:rPr>
  </w:style>
  <w:style w:type="paragraph" w:customStyle="1" w:styleId="CETBodytextItalic">
    <w:name w:val="CET Body text (Italic)"/>
    <w:basedOn w:val="CETBodytext"/>
    <w:qFormat/>
    <w:rPr>
      <w:i/>
      <w:lang w:val="en-GB"/>
    </w:rPr>
  </w:style>
  <w:style w:type="paragraph" w:styleId="Testofumetto">
    <w:name w:val="Balloon Text"/>
    <w:basedOn w:val="Standard"/>
    <w:qFormat/>
    <w:pPr>
      <w:spacing w:line="240" w:lineRule="auto"/>
    </w:pPr>
    <w:rPr>
      <w:rFonts w:ascii="Tahoma" w:eastAsia="Tahoma" w:hAnsi="Tahoma" w:cs="Tahoma"/>
      <w:sz w:val="16"/>
      <w:szCs w:val="16"/>
    </w:rPr>
  </w:style>
  <w:style w:type="paragraph" w:styleId="Bibliografia">
    <w:name w:val="Bibliography"/>
    <w:basedOn w:val="CETReferencetext"/>
    <w:qFormat/>
    <w:pPr>
      <w:spacing w:line="240" w:lineRule="auto"/>
      <w:ind w:left="720" w:hanging="720"/>
    </w:pPr>
  </w:style>
  <w:style w:type="paragraph" w:styleId="Corpodeltesto2">
    <w:name w:val="Body Text 2"/>
    <w:basedOn w:val="Standard"/>
    <w:qFormat/>
    <w:pPr>
      <w:spacing w:after="120" w:line="480" w:lineRule="auto"/>
    </w:pPr>
  </w:style>
  <w:style w:type="paragraph" w:styleId="Corpodeltesto3">
    <w:name w:val="Body Text 3"/>
    <w:basedOn w:val="Standard"/>
    <w:qFormat/>
    <w:pPr>
      <w:spacing w:after="120"/>
    </w:pPr>
    <w:rPr>
      <w:sz w:val="16"/>
      <w:szCs w:val="16"/>
    </w:rPr>
  </w:style>
  <w:style w:type="paragraph" w:styleId="Data">
    <w:name w:val="Date"/>
    <w:basedOn w:val="Standard"/>
    <w:next w:val="Standard"/>
    <w:qFormat/>
  </w:style>
  <w:style w:type="paragraph" w:styleId="Puntoelenco3">
    <w:name w:val="List Bullet 3"/>
    <w:basedOn w:val="Standard"/>
    <w:qFormat/>
    <w:pPr>
      <w:numPr>
        <w:numId w:val="9"/>
      </w:numPr>
      <w:contextualSpacing/>
    </w:pPr>
  </w:style>
  <w:style w:type="paragraph" w:styleId="Puntoelenco4">
    <w:name w:val="List Bullet 4"/>
    <w:basedOn w:val="Standard"/>
    <w:qFormat/>
    <w:pPr>
      <w:numPr>
        <w:numId w:val="10"/>
      </w:numPr>
      <w:contextualSpacing/>
    </w:pPr>
  </w:style>
  <w:style w:type="paragraph" w:styleId="Puntoelenco5">
    <w:name w:val="List Bullet 5"/>
    <w:basedOn w:val="Standard"/>
    <w:qFormat/>
    <w:pPr>
      <w:numPr>
        <w:numId w:val="11"/>
      </w:numPr>
      <w:contextualSpacing/>
    </w:pPr>
  </w:style>
  <w:style w:type="paragraph" w:styleId="Numeroelenco">
    <w:name w:val="List Number"/>
    <w:basedOn w:val="Standard"/>
    <w:qFormat/>
    <w:pPr>
      <w:numPr>
        <w:numId w:val="2"/>
      </w:numPr>
      <w:contextualSpacing/>
    </w:pPr>
  </w:style>
  <w:style w:type="paragraph" w:styleId="Elencocontinua">
    <w:name w:val="List Continue"/>
    <w:basedOn w:val="Standard"/>
    <w:qFormat/>
    <w:pPr>
      <w:spacing w:after="120"/>
      <w:ind w:left="283"/>
      <w:contextualSpacing/>
    </w:pPr>
  </w:style>
  <w:style w:type="paragraph" w:styleId="Elencocontinua2">
    <w:name w:val="List Continue 2"/>
    <w:basedOn w:val="Standard"/>
    <w:qFormat/>
    <w:pPr>
      <w:spacing w:after="120"/>
      <w:ind w:left="566"/>
      <w:contextualSpacing/>
    </w:pPr>
  </w:style>
  <w:style w:type="paragraph" w:styleId="Elencocontinua3">
    <w:name w:val="List Continue 3"/>
    <w:basedOn w:val="Standard"/>
    <w:qFormat/>
    <w:pPr>
      <w:spacing w:after="120"/>
      <w:ind w:left="849"/>
      <w:contextualSpacing/>
    </w:pPr>
  </w:style>
  <w:style w:type="paragraph" w:styleId="Elencocontinua4">
    <w:name w:val="List Continue 4"/>
    <w:basedOn w:val="Standard"/>
    <w:qFormat/>
    <w:pPr>
      <w:spacing w:after="120"/>
      <w:ind w:left="1132"/>
      <w:contextualSpacing/>
    </w:pPr>
  </w:style>
  <w:style w:type="paragraph" w:styleId="Elencocontinua5">
    <w:name w:val="List Continue 5"/>
    <w:basedOn w:val="Standard"/>
    <w:qFormat/>
    <w:pPr>
      <w:spacing w:after="120"/>
      <w:ind w:left="1415"/>
      <w:contextualSpacing/>
    </w:pPr>
  </w:style>
  <w:style w:type="paragraph" w:styleId="Firma">
    <w:name w:val="Signature"/>
    <w:basedOn w:val="Standard"/>
    <w:pPr>
      <w:spacing w:line="240" w:lineRule="auto"/>
      <w:ind w:left="4252"/>
    </w:pPr>
  </w:style>
  <w:style w:type="paragraph" w:styleId="Firmadipostaelettronica">
    <w:name w:val="E-mail Signature"/>
    <w:basedOn w:val="Standard"/>
    <w:qFormat/>
    <w:pPr>
      <w:spacing w:line="240" w:lineRule="auto"/>
    </w:pPr>
  </w:style>
  <w:style w:type="paragraph" w:styleId="Formuladiapertura">
    <w:name w:val="Salutation"/>
    <w:basedOn w:val="Standard"/>
    <w:next w:val="Standard"/>
  </w:style>
  <w:style w:type="paragraph" w:styleId="Formuladichiusura">
    <w:name w:val="Closing"/>
    <w:basedOn w:val="Standard"/>
    <w:qFormat/>
    <w:pPr>
      <w:spacing w:line="240" w:lineRule="auto"/>
      <w:ind w:left="4252"/>
    </w:pPr>
  </w:style>
  <w:style w:type="paragraph" w:styleId="Indice1">
    <w:name w:val="index 1"/>
    <w:basedOn w:val="Standard"/>
    <w:next w:val="Standard"/>
    <w:autoRedefine/>
    <w:qFormat/>
    <w:pPr>
      <w:spacing w:line="240" w:lineRule="auto"/>
      <w:ind w:left="220" w:hanging="220"/>
    </w:pPr>
  </w:style>
  <w:style w:type="paragraph" w:styleId="Indice2">
    <w:name w:val="index 2"/>
    <w:basedOn w:val="Standard"/>
    <w:next w:val="Standard"/>
    <w:autoRedefine/>
    <w:qFormat/>
    <w:pPr>
      <w:spacing w:line="240" w:lineRule="auto"/>
      <w:ind w:left="440" w:hanging="220"/>
    </w:pPr>
  </w:style>
  <w:style w:type="paragraph" w:styleId="Indice3">
    <w:name w:val="index 3"/>
    <w:basedOn w:val="Standard"/>
    <w:next w:val="Standard"/>
    <w:autoRedefine/>
    <w:qFormat/>
    <w:pPr>
      <w:spacing w:line="240" w:lineRule="auto"/>
      <w:ind w:left="660" w:hanging="220"/>
    </w:pPr>
  </w:style>
  <w:style w:type="paragraph" w:styleId="Indice4">
    <w:name w:val="index 4"/>
    <w:basedOn w:val="Standard"/>
    <w:next w:val="Standard"/>
    <w:autoRedefine/>
    <w:qFormat/>
    <w:pPr>
      <w:spacing w:line="240" w:lineRule="auto"/>
      <w:ind w:left="880" w:hanging="220"/>
    </w:pPr>
  </w:style>
  <w:style w:type="paragraph" w:styleId="Indice5">
    <w:name w:val="index 5"/>
    <w:basedOn w:val="Standard"/>
    <w:next w:val="Standard"/>
    <w:autoRedefine/>
    <w:qFormat/>
    <w:pPr>
      <w:spacing w:line="240" w:lineRule="auto"/>
      <w:ind w:left="1100" w:hanging="220"/>
    </w:pPr>
  </w:style>
  <w:style w:type="paragraph" w:styleId="Indice6">
    <w:name w:val="index 6"/>
    <w:basedOn w:val="Standard"/>
    <w:next w:val="Standard"/>
    <w:autoRedefine/>
    <w:qFormat/>
    <w:pPr>
      <w:spacing w:line="240" w:lineRule="auto"/>
      <w:ind w:left="1320" w:hanging="220"/>
    </w:pPr>
  </w:style>
  <w:style w:type="paragraph" w:styleId="Indice7">
    <w:name w:val="index 7"/>
    <w:basedOn w:val="Standard"/>
    <w:next w:val="Standard"/>
    <w:autoRedefine/>
    <w:qFormat/>
    <w:pPr>
      <w:spacing w:line="240" w:lineRule="auto"/>
      <w:ind w:left="1540" w:hanging="220"/>
    </w:pPr>
  </w:style>
  <w:style w:type="paragraph" w:styleId="Indice8">
    <w:name w:val="index 8"/>
    <w:basedOn w:val="Standard"/>
    <w:next w:val="Standard"/>
    <w:autoRedefine/>
    <w:qFormat/>
    <w:pPr>
      <w:spacing w:line="240" w:lineRule="auto"/>
      <w:ind w:left="1760" w:hanging="220"/>
    </w:pPr>
  </w:style>
  <w:style w:type="paragraph" w:styleId="Indice9">
    <w:name w:val="index 9"/>
    <w:basedOn w:val="Standard"/>
    <w:next w:val="Standard"/>
    <w:autoRedefine/>
    <w:qFormat/>
    <w:pPr>
      <w:spacing w:line="240" w:lineRule="auto"/>
      <w:ind w:left="1980" w:hanging="220"/>
    </w:pPr>
  </w:style>
  <w:style w:type="paragraph" w:styleId="Indicedellefigure">
    <w:name w:val="table of figures"/>
    <w:basedOn w:val="Standard"/>
    <w:next w:val="Standard"/>
    <w:qFormat/>
  </w:style>
  <w:style w:type="paragraph" w:styleId="Indicefonti">
    <w:name w:val="table of authorities"/>
    <w:basedOn w:val="Standard"/>
    <w:next w:val="Standard"/>
    <w:qFormat/>
    <w:pPr>
      <w:ind w:left="220" w:hanging="220"/>
    </w:pPr>
  </w:style>
  <w:style w:type="paragraph" w:styleId="Indirizzodestinatario">
    <w:name w:val="envelope address"/>
    <w:basedOn w:val="Standard"/>
    <w:qFormat/>
    <w:pPr>
      <w:spacing w:line="240" w:lineRule="auto"/>
      <w:ind w:left="2880"/>
    </w:pPr>
    <w:rPr>
      <w:rFonts w:ascii="Cambria" w:eastAsia="SimSun" w:hAnsi="Cambria" w:cs="Tahoma"/>
      <w:sz w:val="24"/>
      <w:szCs w:val="24"/>
    </w:rPr>
  </w:style>
  <w:style w:type="paragraph" w:styleId="IndirizzoHTML">
    <w:name w:val="HTML Address"/>
    <w:basedOn w:val="Standard"/>
    <w:qFormat/>
    <w:pPr>
      <w:spacing w:line="240" w:lineRule="auto"/>
    </w:pPr>
    <w:rPr>
      <w:i/>
      <w:iCs/>
    </w:rPr>
  </w:style>
  <w:style w:type="paragraph" w:styleId="Indirizzomittente">
    <w:name w:val="envelope return"/>
    <w:basedOn w:val="Standard"/>
    <w:qFormat/>
    <w:pPr>
      <w:spacing w:line="240" w:lineRule="auto"/>
    </w:pPr>
    <w:rPr>
      <w:rFonts w:ascii="Cambria" w:eastAsia="SimSun" w:hAnsi="Cambria" w:cs="Tahoma"/>
    </w:rPr>
  </w:style>
  <w:style w:type="paragraph" w:styleId="Intestazionemessaggio">
    <w:name w:val="Message Header"/>
    <w:basedOn w:val="Standard"/>
    <w:qFormat/>
    <w:pPr>
      <w:pBdr>
        <w:top w:val="single" w:sz="6" w:space="1" w:color="000000"/>
        <w:left w:val="single" w:sz="6" w:space="1" w:color="000000"/>
        <w:bottom w:val="single" w:sz="6" w:space="1" w:color="000000"/>
        <w:right w:val="single" w:sz="6" w:space="1" w:color="000000"/>
      </w:pBdr>
      <w:shd w:val="clear" w:color="auto" w:fill="CCCCCC"/>
      <w:spacing w:line="240" w:lineRule="auto"/>
      <w:ind w:left="1134" w:hanging="1134"/>
    </w:pPr>
    <w:rPr>
      <w:rFonts w:ascii="Cambria" w:eastAsia="SimSun" w:hAnsi="Cambria" w:cs="Tahoma"/>
      <w:sz w:val="24"/>
      <w:szCs w:val="24"/>
    </w:rPr>
  </w:style>
  <w:style w:type="paragraph" w:styleId="Intestazionenota">
    <w:name w:val="Note Heading"/>
    <w:basedOn w:val="Standard"/>
    <w:next w:val="Standard"/>
    <w:qFormat/>
    <w:pPr>
      <w:spacing w:line="240" w:lineRule="auto"/>
    </w:pPr>
  </w:style>
  <w:style w:type="paragraph" w:styleId="Mappadocumento">
    <w:name w:val="Document Map"/>
    <w:basedOn w:val="Standard"/>
    <w:qFormat/>
    <w:pPr>
      <w:spacing w:line="240" w:lineRule="auto"/>
    </w:pPr>
    <w:rPr>
      <w:rFonts w:ascii="Tahoma" w:eastAsia="Tahoma" w:hAnsi="Tahoma" w:cs="Tahoma"/>
      <w:sz w:val="16"/>
      <w:szCs w:val="16"/>
    </w:rPr>
  </w:style>
  <w:style w:type="paragraph" w:styleId="NormaleWeb">
    <w:name w:val="Normal (Web)"/>
    <w:basedOn w:val="Standard"/>
    <w:qFormat/>
    <w:rPr>
      <w:sz w:val="24"/>
      <w:szCs w:val="24"/>
    </w:rPr>
  </w:style>
  <w:style w:type="paragraph" w:styleId="Numeroelenco2">
    <w:name w:val="List Number 2"/>
    <w:basedOn w:val="Standard"/>
    <w:qFormat/>
    <w:pPr>
      <w:numPr>
        <w:numId w:val="3"/>
      </w:numPr>
      <w:contextualSpacing/>
    </w:pPr>
  </w:style>
  <w:style w:type="paragraph" w:styleId="Numeroelenco3">
    <w:name w:val="List Number 3"/>
    <w:basedOn w:val="Standard"/>
    <w:qFormat/>
    <w:pPr>
      <w:numPr>
        <w:numId w:val="4"/>
      </w:numPr>
      <w:contextualSpacing/>
    </w:pPr>
  </w:style>
  <w:style w:type="paragraph" w:styleId="Numeroelenco4">
    <w:name w:val="List Number 4"/>
    <w:basedOn w:val="Standard"/>
    <w:qFormat/>
    <w:pPr>
      <w:numPr>
        <w:numId w:val="5"/>
      </w:numPr>
      <w:contextualSpacing/>
    </w:pPr>
  </w:style>
  <w:style w:type="paragraph" w:styleId="Numeroelenco5">
    <w:name w:val="List Number 5"/>
    <w:basedOn w:val="Standard"/>
    <w:qFormat/>
    <w:pPr>
      <w:numPr>
        <w:numId w:val="6"/>
      </w:numPr>
      <w:contextualSpacing/>
    </w:pPr>
  </w:style>
  <w:style w:type="paragraph" w:styleId="PreformattatoHTML">
    <w:name w:val="HTML Preformatted"/>
    <w:basedOn w:val="Standard"/>
    <w:qFormat/>
    <w:pPr>
      <w:spacing w:line="240" w:lineRule="auto"/>
    </w:pPr>
    <w:rPr>
      <w:rFonts w:ascii="Consolas" w:eastAsia="Consolas" w:hAnsi="Consolas" w:cs="Consolas"/>
    </w:rPr>
  </w:style>
  <w:style w:type="paragraph" w:customStyle="1" w:styleId="Textbodyindent">
    <w:name w:val="Text body indent"/>
    <w:basedOn w:val="Standard"/>
    <w:qFormat/>
    <w:pPr>
      <w:spacing w:after="120"/>
      <w:ind w:left="283"/>
    </w:pPr>
  </w:style>
  <w:style w:type="paragraph" w:styleId="Primorientrocorpodeltesto2">
    <w:name w:val="Body Text First Indent 2"/>
    <w:basedOn w:val="Textbodyindent"/>
    <w:qFormat/>
    <w:pPr>
      <w:spacing w:after="200"/>
      <w:ind w:left="360" w:firstLine="360"/>
    </w:pPr>
  </w:style>
  <w:style w:type="paragraph" w:styleId="Puntoelenco">
    <w:name w:val="List Bullet"/>
    <w:basedOn w:val="Standard"/>
    <w:qFormat/>
    <w:pPr>
      <w:numPr>
        <w:numId w:val="7"/>
      </w:numPr>
      <w:contextualSpacing/>
    </w:pPr>
  </w:style>
  <w:style w:type="paragraph" w:styleId="Puntoelenco2">
    <w:name w:val="List Bullet 2"/>
    <w:basedOn w:val="Standard"/>
    <w:qFormat/>
    <w:pPr>
      <w:numPr>
        <w:numId w:val="8"/>
      </w:numPr>
      <w:contextualSpacing/>
    </w:pPr>
  </w:style>
  <w:style w:type="paragraph" w:styleId="Rientrocorpodeltesto2">
    <w:name w:val="Body Text Indent 2"/>
    <w:basedOn w:val="Standard"/>
    <w:qFormat/>
    <w:pPr>
      <w:spacing w:after="120" w:line="480" w:lineRule="auto"/>
      <w:ind w:left="283"/>
    </w:pPr>
  </w:style>
  <w:style w:type="paragraph" w:styleId="Rientrocorpodeltesto3">
    <w:name w:val="Body Text Indent 3"/>
    <w:basedOn w:val="Standard"/>
    <w:qFormat/>
    <w:pPr>
      <w:spacing w:after="120"/>
      <w:ind w:left="283"/>
    </w:pPr>
    <w:rPr>
      <w:sz w:val="16"/>
      <w:szCs w:val="16"/>
    </w:rPr>
  </w:style>
  <w:style w:type="paragraph" w:styleId="Rientronormale">
    <w:name w:val="Normal Indent"/>
    <w:basedOn w:val="Standard"/>
    <w:qFormat/>
    <w:pPr>
      <w:ind w:left="720"/>
    </w:pPr>
  </w:style>
  <w:style w:type="paragraph" w:styleId="Testocommento">
    <w:name w:val="annotation text"/>
    <w:basedOn w:val="Standard"/>
    <w:qFormat/>
    <w:pPr>
      <w:spacing w:line="240" w:lineRule="auto"/>
    </w:pPr>
  </w:style>
  <w:style w:type="paragraph" w:styleId="Soggettocommento">
    <w:name w:val="annotation subject"/>
    <w:basedOn w:val="Testocommento"/>
    <w:next w:val="Testocommento"/>
    <w:qFormat/>
    <w:rPr>
      <w:b/>
      <w:bCs/>
    </w:rPr>
  </w:style>
  <w:style w:type="paragraph" w:customStyle="1" w:styleId="Contents1">
    <w:name w:val="Contents 1"/>
    <w:basedOn w:val="Standard"/>
    <w:next w:val="Standard"/>
    <w:autoRedefine/>
    <w:qFormat/>
    <w:pPr>
      <w:spacing w:after="100"/>
    </w:pPr>
  </w:style>
  <w:style w:type="paragraph" w:customStyle="1" w:styleId="Contents2">
    <w:name w:val="Contents 2"/>
    <w:basedOn w:val="Standard"/>
    <w:next w:val="Standard"/>
    <w:autoRedefine/>
    <w:qFormat/>
    <w:pPr>
      <w:spacing w:after="100"/>
      <w:ind w:left="220"/>
    </w:pPr>
  </w:style>
  <w:style w:type="paragraph" w:customStyle="1" w:styleId="Contents3">
    <w:name w:val="Contents 3"/>
    <w:basedOn w:val="Standard"/>
    <w:next w:val="Standard"/>
    <w:autoRedefine/>
    <w:qFormat/>
    <w:pPr>
      <w:spacing w:after="100"/>
      <w:ind w:left="440"/>
    </w:pPr>
  </w:style>
  <w:style w:type="paragraph" w:customStyle="1" w:styleId="Contents4">
    <w:name w:val="Contents 4"/>
    <w:basedOn w:val="Standard"/>
    <w:next w:val="Standard"/>
    <w:autoRedefine/>
    <w:qFormat/>
    <w:pPr>
      <w:spacing w:after="100"/>
      <w:ind w:left="660"/>
    </w:pPr>
  </w:style>
  <w:style w:type="paragraph" w:customStyle="1" w:styleId="Contents5">
    <w:name w:val="Contents 5"/>
    <w:basedOn w:val="Standard"/>
    <w:next w:val="Standard"/>
    <w:autoRedefine/>
    <w:qFormat/>
    <w:pPr>
      <w:spacing w:after="100"/>
      <w:ind w:left="880"/>
    </w:pPr>
  </w:style>
  <w:style w:type="paragraph" w:customStyle="1" w:styleId="Contents6">
    <w:name w:val="Contents 6"/>
    <w:basedOn w:val="Standard"/>
    <w:next w:val="Standard"/>
    <w:autoRedefine/>
    <w:qFormat/>
    <w:pPr>
      <w:spacing w:after="100"/>
      <w:ind w:left="1100"/>
    </w:pPr>
  </w:style>
  <w:style w:type="paragraph" w:customStyle="1" w:styleId="Contents7">
    <w:name w:val="Contents 7"/>
    <w:basedOn w:val="Standard"/>
    <w:next w:val="Standard"/>
    <w:autoRedefine/>
    <w:qFormat/>
    <w:pPr>
      <w:spacing w:after="100"/>
      <w:ind w:left="1320"/>
    </w:pPr>
  </w:style>
  <w:style w:type="paragraph" w:customStyle="1" w:styleId="Contents8">
    <w:name w:val="Contents 8"/>
    <w:basedOn w:val="Standard"/>
    <w:next w:val="Standard"/>
    <w:autoRedefine/>
    <w:qFormat/>
    <w:pPr>
      <w:spacing w:after="100"/>
      <w:ind w:left="1540"/>
    </w:pPr>
  </w:style>
  <w:style w:type="paragraph" w:customStyle="1" w:styleId="Contents9">
    <w:name w:val="Contents 9"/>
    <w:basedOn w:val="Standard"/>
    <w:next w:val="Standard"/>
    <w:autoRedefine/>
    <w:qFormat/>
    <w:pPr>
      <w:spacing w:after="100"/>
      <w:ind w:left="1760"/>
    </w:pPr>
  </w:style>
  <w:style w:type="paragraph" w:styleId="Testodelblocco">
    <w:name w:val="Block Text"/>
    <w:basedOn w:val="Standard"/>
    <w:qFormat/>
    <w:pPr>
      <w:pBdr>
        <w:top w:val="single" w:sz="2" w:space="10" w:color="4F81BD"/>
        <w:left w:val="single" w:sz="2" w:space="10" w:color="4F81BD"/>
        <w:bottom w:val="single" w:sz="2" w:space="10" w:color="4F81BD"/>
        <w:right w:val="single" w:sz="2" w:space="10" w:color="4F81BD"/>
      </w:pBdr>
      <w:ind w:left="1152" w:right="1152"/>
    </w:pPr>
    <w:rPr>
      <w:rFonts w:eastAsia="SimSun"/>
      <w:i/>
      <w:iCs/>
      <w:color w:val="4F81BD"/>
    </w:rPr>
  </w:style>
  <w:style w:type="paragraph" w:styleId="Testomacro">
    <w:name w:val="macro"/>
    <w:qFormat/>
    <w:pPr>
      <w:tabs>
        <w:tab w:val="left" w:pos="480"/>
        <w:tab w:val="left" w:pos="960"/>
        <w:tab w:val="left" w:pos="1440"/>
        <w:tab w:val="left" w:pos="1920"/>
        <w:tab w:val="left" w:pos="2400"/>
        <w:tab w:val="left" w:pos="2880"/>
        <w:tab w:val="left" w:pos="3360"/>
        <w:tab w:val="left" w:pos="3840"/>
        <w:tab w:val="left" w:pos="4320"/>
      </w:tabs>
      <w:spacing w:line="276" w:lineRule="auto"/>
      <w:textAlignment w:val="baseline"/>
    </w:pPr>
    <w:rPr>
      <w:rFonts w:ascii="Consolas" w:hAnsi="Consolas" w:cs="Consolas"/>
      <w:sz w:val="20"/>
      <w:szCs w:val="20"/>
    </w:rPr>
  </w:style>
  <w:style w:type="paragraph" w:styleId="Testonormale">
    <w:name w:val="Plain Text"/>
    <w:basedOn w:val="Standard"/>
    <w:qFormat/>
    <w:pPr>
      <w:spacing w:line="240" w:lineRule="auto"/>
    </w:pPr>
    <w:rPr>
      <w:rFonts w:ascii="Consolas" w:eastAsia="Consolas" w:hAnsi="Consolas" w:cs="Consolas"/>
      <w:sz w:val="21"/>
      <w:szCs w:val="21"/>
    </w:rPr>
  </w:style>
  <w:style w:type="paragraph" w:customStyle="1" w:styleId="Footnote">
    <w:name w:val="Footnote"/>
    <w:basedOn w:val="Standard"/>
    <w:qFormat/>
    <w:pPr>
      <w:spacing w:line="240" w:lineRule="auto"/>
    </w:pPr>
  </w:style>
  <w:style w:type="paragraph" w:customStyle="1" w:styleId="Endnote">
    <w:name w:val="Endnote"/>
    <w:basedOn w:val="Standard"/>
    <w:qFormat/>
    <w:pPr>
      <w:spacing w:line="240" w:lineRule="auto"/>
    </w:pPr>
  </w:style>
  <w:style w:type="paragraph" w:styleId="Titoloindice">
    <w:name w:val="index heading"/>
    <w:basedOn w:val="Titolo"/>
    <w:qFormat/>
  </w:style>
  <w:style w:type="paragraph" w:styleId="Titoloindicefonti">
    <w:name w:val="toa heading"/>
    <w:basedOn w:val="Standard"/>
    <w:next w:val="Standard"/>
    <w:qFormat/>
    <w:pPr>
      <w:spacing w:before="120"/>
    </w:pPr>
    <w:rPr>
      <w:rFonts w:ascii="Cambria" w:eastAsia="SimSun" w:hAnsi="Cambria" w:cs="Tahoma"/>
      <w:b/>
      <w:bCs/>
      <w:sz w:val="24"/>
      <w:szCs w:val="24"/>
    </w:rPr>
  </w:style>
  <w:style w:type="paragraph" w:customStyle="1" w:styleId="ContentsHeading">
    <w:name w:val="Contents Heading"/>
    <w:basedOn w:val="Titolo1"/>
    <w:next w:val="Standard"/>
    <w:qFormat/>
  </w:style>
  <w:style w:type="paragraph" w:customStyle="1" w:styleId="CETemail">
    <w:name w:val="CET email"/>
    <w:next w:val="CETBodytext"/>
    <w:qFormat/>
    <w:pPr>
      <w:spacing w:after="240" w:line="276" w:lineRule="auto"/>
      <w:textAlignment w:val="baseline"/>
    </w:pPr>
    <w:rPr>
      <w:rFonts w:ascii="Arial" w:eastAsia="Times New Roman" w:hAnsi="Arial" w:cs="Times New Roman"/>
      <w:sz w:val="16"/>
      <w:szCs w:val="20"/>
      <w:lang w:val="en-GB"/>
    </w:rPr>
  </w:style>
  <w:style w:type="paragraph" w:customStyle="1" w:styleId="CETBodytextBold">
    <w:name w:val="CET Body text (Bold)"/>
    <w:basedOn w:val="CETBodytext"/>
    <w:qFormat/>
    <w:rPr>
      <w:b/>
    </w:rPr>
  </w:style>
  <w:style w:type="paragraph" w:customStyle="1" w:styleId="CETnumberingbullets">
    <w:name w:val="CET numbering (bullets)"/>
    <w:qFormat/>
    <w:pPr>
      <w:numPr>
        <w:numId w:val="12"/>
      </w:numPr>
      <w:spacing w:line="264" w:lineRule="auto"/>
      <w:textAlignment w:val="baseline"/>
    </w:pPr>
    <w:rPr>
      <w:rFonts w:ascii="Arial" w:eastAsia="Times New Roman" w:hAnsi="Arial" w:cs="Times New Roman"/>
      <w:sz w:val="18"/>
      <w:szCs w:val="20"/>
      <w:lang w:val="en-GB"/>
    </w:rPr>
  </w:style>
  <w:style w:type="paragraph" w:customStyle="1" w:styleId="CETnumbering1">
    <w:name w:val="CET numbering (1"/>
    <w:qFormat/>
    <w:pPr>
      <w:numPr>
        <w:numId w:val="13"/>
      </w:numPr>
      <w:spacing w:line="264" w:lineRule="auto"/>
      <w:textAlignment w:val="baseline"/>
    </w:pPr>
    <w:rPr>
      <w:rFonts w:ascii="Arial" w:eastAsia="Times New Roman" w:hAnsi="Arial" w:cs="Times New Roman"/>
      <w:sz w:val="18"/>
      <w:szCs w:val="20"/>
      <w:lang w:val="en-US"/>
    </w:rPr>
  </w:style>
  <w:style w:type="paragraph" w:customStyle="1" w:styleId="CETnumberinga">
    <w:name w:val="CET numbering (a"/>
    <w:qFormat/>
    <w:pPr>
      <w:numPr>
        <w:numId w:val="14"/>
      </w:numPr>
      <w:spacing w:line="264" w:lineRule="auto"/>
      <w:textAlignment w:val="baseline"/>
    </w:pPr>
    <w:rPr>
      <w:rFonts w:ascii="Arial" w:eastAsia="Times New Roman" w:hAnsi="Arial" w:cs="Times New Roman"/>
      <w:sz w:val="18"/>
      <w:szCs w:val="20"/>
      <w:lang w:val="en-GB"/>
    </w:rPr>
  </w:style>
  <w:style w:type="paragraph" w:customStyle="1" w:styleId="Intestazioneepidipagina">
    <w:name w:val="Intestazione e piè di pagina"/>
    <w:basedOn w:val="Standard"/>
    <w:qFormat/>
  </w:style>
  <w:style w:type="paragraph" w:styleId="Intestazione">
    <w:name w:val="header"/>
    <w:basedOn w:val="Standard"/>
    <w:pPr>
      <w:tabs>
        <w:tab w:val="clear" w:pos="7100"/>
        <w:tab w:val="center" w:pos="4819"/>
        <w:tab w:val="right" w:pos="9638"/>
      </w:tabs>
      <w:spacing w:line="240" w:lineRule="auto"/>
    </w:pPr>
  </w:style>
  <w:style w:type="paragraph" w:styleId="Pidipagina">
    <w:name w:val="footer"/>
    <w:basedOn w:val="Standard"/>
    <w:pPr>
      <w:tabs>
        <w:tab w:val="clear" w:pos="7100"/>
        <w:tab w:val="center" w:pos="4819"/>
        <w:tab w:val="right" w:pos="9638"/>
      </w:tabs>
      <w:spacing w:line="240" w:lineRule="auto"/>
    </w:pPr>
  </w:style>
  <w:style w:type="paragraph" w:customStyle="1" w:styleId="CETListbullets">
    <w:name w:val="CET List bullets"/>
    <w:qFormat/>
    <w:pPr>
      <w:spacing w:line="264" w:lineRule="auto"/>
      <w:ind w:left="340" w:hanging="227"/>
      <w:jc w:val="both"/>
      <w:textAlignment w:val="baseline"/>
    </w:pPr>
    <w:rPr>
      <w:rFonts w:ascii="Arial" w:eastAsia="Times New Roman" w:hAnsi="Arial" w:cs="Times New Roman"/>
      <w:sz w:val="18"/>
      <w:szCs w:val="20"/>
      <w:lang w:val="en-GB"/>
    </w:rPr>
  </w:style>
  <w:style w:type="paragraph" w:customStyle="1" w:styleId="CETReferencetext">
    <w:name w:val="CET Reference text"/>
    <w:qFormat/>
    <w:pPr>
      <w:spacing w:line="264" w:lineRule="auto"/>
      <w:ind w:left="284" w:hanging="284"/>
      <w:jc w:val="both"/>
      <w:textAlignment w:val="baseline"/>
    </w:pPr>
    <w:rPr>
      <w:rFonts w:ascii="Arial" w:eastAsia="Times New Roman" w:hAnsi="Arial" w:cs="Times New Roman"/>
      <w:sz w:val="18"/>
      <w:szCs w:val="20"/>
      <w:lang w:val="en-GB"/>
    </w:rPr>
  </w:style>
  <w:style w:type="paragraph" w:customStyle="1" w:styleId="CETTabletitle">
    <w:name w:val="CET Table title"/>
    <w:qFormat/>
    <w:pPr>
      <w:keepNext/>
      <w:spacing w:before="240" w:after="80" w:line="240" w:lineRule="exact"/>
      <w:textAlignment w:val="baseline"/>
    </w:pPr>
    <w:rPr>
      <w:rFonts w:ascii="Arial" w:eastAsia="Times New Roman" w:hAnsi="Arial" w:cs="Times New Roman"/>
      <w:i/>
      <w:sz w:val="18"/>
      <w:szCs w:val="20"/>
      <w:lang w:val="en-GB"/>
    </w:rPr>
  </w:style>
  <w:style w:type="paragraph" w:customStyle="1" w:styleId="CETAcknowledgementstitle">
    <w:name w:val="CET Acknowledgements title"/>
    <w:next w:val="CETBodytext"/>
    <w:qFormat/>
    <w:pPr>
      <w:spacing w:before="200" w:after="120" w:line="276" w:lineRule="auto"/>
      <w:textAlignment w:val="baseline"/>
    </w:pPr>
    <w:rPr>
      <w:rFonts w:ascii="Arial" w:eastAsia="Times New Roman" w:hAnsi="Arial" w:cs="Times New Roman"/>
      <w:b/>
      <w:sz w:val="18"/>
      <w:szCs w:val="20"/>
      <w:lang w:val="en-GB"/>
    </w:rPr>
  </w:style>
  <w:style w:type="paragraph" w:customStyle="1" w:styleId="CETEquation">
    <w:name w:val="CET Equation"/>
    <w:basedOn w:val="CETBodytext"/>
    <w:next w:val="CETBodytext"/>
    <w:qFormat/>
    <w:pPr>
      <w:spacing w:before="120" w:after="120"/>
      <w:jc w:val="left"/>
    </w:pPr>
    <w:rPr>
      <w:lang w:val="en-GB"/>
    </w:rPr>
  </w:style>
  <w:style w:type="paragraph" w:customStyle="1" w:styleId="CETHeadingxx">
    <w:name w:val="CET Headingxx"/>
    <w:basedOn w:val="CETheadingx"/>
    <w:qFormat/>
  </w:style>
  <w:style w:type="paragraph" w:styleId="Paragrafoelenco">
    <w:name w:val="List Paragraph"/>
    <w:basedOn w:val="Standard"/>
    <w:qFormat/>
    <w:pPr>
      <w:ind w:left="720"/>
      <w:contextualSpacing/>
    </w:pPr>
  </w:style>
  <w:style w:type="paragraph" w:customStyle="1" w:styleId="Contenutotabella">
    <w:name w:val="Contenuto tabella"/>
    <w:basedOn w:val="Standard"/>
    <w:qFormat/>
    <w:pPr>
      <w:widowControl w:val="0"/>
      <w:suppressLineNumbers/>
    </w:pPr>
  </w:style>
  <w:style w:type="paragraph" w:customStyle="1" w:styleId="Titolotabella">
    <w:name w:val="Titolo tabella"/>
    <w:basedOn w:val="Contenutotabella"/>
    <w:qFormat/>
    <w:pPr>
      <w:jc w:val="center"/>
    </w:pPr>
    <w:rPr>
      <w:b/>
      <w:bCs/>
    </w:rPr>
  </w:style>
  <w:style w:type="paragraph" w:customStyle="1" w:styleId="Tabellanormale1">
    <w:name w:val="Tabella normale1"/>
    <w:qFormat/>
    <w:rPr>
      <w:rFonts w:ascii="Times New Roman" w:eastAsia="Cambria Math"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6</Pages>
  <Words>2529</Words>
  <Characters>14421</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Dipartimento CMIC - Politecnico di Milano</Company>
  <LinksUpToDate>false</LinksUpToDate>
  <CharactersWithSpaces>16917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dc:description/>
  <cp:lastModifiedBy>Andrea Santomaso</cp:lastModifiedBy>
  <cp:revision>10</cp:revision>
  <cp:lastPrinted>2023-01-31T13:08:00Z</cp:lastPrinted>
  <dcterms:created xsi:type="dcterms:W3CDTF">2023-02-02T08:54:00Z</dcterms:created>
  <dcterms:modified xsi:type="dcterms:W3CDTF">2023-04-11T15:00:00Z</dcterms:modified>
  <dc:language>it-CH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