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38F92AEB" w14:textId="77777777" w:rsidTr="006A256F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627785FB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25559284"/>
            <w:bookmarkStart w:id="1" w:name="_GoBack"/>
            <w:bookmarkEnd w:id="0"/>
            <w:bookmarkEnd w:id="1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en-US"/>
              </w:rPr>
              <w:drawing>
                <wp:inline distT="0" distB="0" distL="0" distR="0" wp14:anchorId="2EF7169C" wp14:editId="582B2E8B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1E5BD1EB" w14:textId="77777777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2023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90E5C9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28CC1973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en-US"/>
              </w:rPr>
              <w:drawing>
                <wp:inline distT="0" distB="0" distL="0" distR="0" wp14:anchorId="0BA57C77" wp14:editId="66A49F45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4E517CE7" w14:textId="77777777" w:rsidTr="006A256F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49F0408D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E9507E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31C1C180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7129092A" w14:textId="77777777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FA24CC4" w14:textId="77777777" w:rsidTr="006A256F">
        <w:trPr>
          <w:trHeight w:val="68"/>
          <w:jc w:val="center"/>
        </w:trPr>
        <w:tc>
          <w:tcPr>
            <w:tcW w:w="8782" w:type="dxa"/>
            <w:gridSpan w:val="2"/>
          </w:tcPr>
          <w:p w14:paraId="27319272" w14:textId="77777777" w:rsidR="00AA7D26" w:rsidRPr="00F93EDF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F93ED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Editor:</w:t>
            </w:r>
            <w:r w:rsidRPr="00F93ED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</w:rPr>
              <w:t>Sauro</w:t>
            </w:r>
            <w:proofErr w:type="spellEnd"/>
            <w:r w:rsidRPr="00293D18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</w:rPr>
              <w:t>Pierucci</w:t>
            </w:r>
            <w:proofErr w:type="spellEnd"/>
          </w:p>
          <w:p w14:paraId="33CBE1CD" w14:textId="77777777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2023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0562A9">
              <w:rPr>
                <w:rFonts w:ascii="Tahoma" w:hAnsi="Tahoma" w:cs="Tahoma"/>
                <w:sz w:val="14"/>
                <w:szCs w:val="14"/>
              </w:rPr>
              <w:t>97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88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95608-98-3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0067C623" w14:textId="77777777" w:rsidR="006A256F" w:rsidRPr="006A256F" w:rsidRDefault="006A256F" w:rsidP="006A256F">
      <w:pPr>
        <w:pStyle w:val="CETAuthors"/>
        <w:rPr>
          <w:sz w:val="32"/>
        </w:rPr>
      </w:pPr>
    </w:p>
    <w:p w14:paraId="2828D268" w14:textId="77777777" w:rsidR="006A256F" w:rsidRDefault="006A256F" w:rsidP="006A256F">
      <w:pPr>
        <w:pStyle w:val="CETAuthors"/>
        <w:rPr>
          <w:noProof w:val="0"/>
          <w:sz w:val="32"/>
        </w:rPr>
      </w:pPr>
      <w:r w:rsidRPr="006A256F">
        <w:rPr>
          <w:noProof w:val="0"/>
          <w:sz w:val="32"/>
        </w:rPr>
        <w:t xml:space="preserve"> Analysis of high temperature degradation of multi-layer insulation (MLI) systems for liquid hydrogen storage tanks </w:t>
      </w:r>
    </w:p>
    <w:p w14:paraId="411CA145" w14:textId="77777777" w:rsidR="009E02B5" w:rsidRPr="00B20B08" w:rsidRDefault="009E02B5" w:rsidP="009E02B5">
      <w:pPr>
        <w:pStyle w:val="CETAuthors"/>
        <w:rPr>
          <w:rFonts w:cs="Arial"/>
          <w:lang w:val="it-IT"/>
        </w:rPr>
      </w:pPr>
      <w:r w:rsidRPr="00B20B08">
        <w:rPr>
          <w:rFonts w:cs="Arial"/>
          <w:lang w:val="it-IT"/>
        </w:rPr>
        <w:t>Davide Camplese</w:t>
      </w:r>
      <w:r w:rsidRPr="00B20B08">
        <w:rPr>
          <w:rFonts w:cs="Arial"/>
          <w:vertAlign w:val="superscript"/>
          <w:lang w:val="it-IT"/>
        </w:rPr>
        <w:t>a</w:t>
      </w:r>
      <w:r>
        <w:rPr>
          <w:rFonts w:cs="Arial"/>
          <w:vertAlign w:val="superscript"/>
          <w:lang w:val="it-IT"/>
        </w:rPr>
        <w:t>,*</w:t>
      </w:r>
      <w:r w:rsidRPr="00B20B08">
        <w:rPr>
          <w:rFonts w:cs="Arial"/>
          <w:lang w:val="it-IT"/>
        </w:rPr>
        <w:t>, Carmela Chianese</w:t>
      </w:r>
      <w:r w:rsidRPr="00B20B08">
        <w:rPr>
          <w:rFonts w:cs="Arial"/>
          <w:vertAlign w:val="superscript"/>
          <w:lang w:val="it-IT"/>
        </w:rPr>
        <w:t>a</w:t>
      </w:r>
      <w:r w:rsidRPr="00B20B08">
        <w:rPr>
          <w:rFonts w:cs="Arial"/>
          <w:lang w:val="it-IT"/>
        </w:rPr>
        <w:t>, Giordano Emrys Scarponi</w:t>
      </w:r>
      <w:r w:rsidRPr="00B20B08">
        <w:rPr>
          <w:rFonts w:cs="Arial"/>
          <w:vertAlign w:val="superscript"/>
          <w:lang w:val="it-IT"/>
        </w:rPr>
        <w:t>a</w:t>
      </w:r>
      <w:r w:rsidRPr="00B20B08">
        <w:rPr>
          <w:rFonts w:cs="Arial"/>
          <w:lang w:val="it-IT"/>
        </w:rPr>
        <w:t>, Robert Eberwein</w:t>
      </w:r>
      <w:r w:rsidRPr="00B20B08">
        <w:rPr>
          <w:rFonts w:cs="Arial"/>
          <w:vertAlign w:val="superscript"/>
          <w:lang w:val="it-IT"/>
        </w:rPr>
        <w:t>b</w:t>
      </w:r>
      <w:r w:rsidRPr="00B20B08">
        <w:rPr>
          <w:rFonts w:cs="Arial"/>
          <w:lang w:val="it-IT"/>
        </w:rPr>
        <w:t>, Frank Otremba</w:t>
      </w:r>
      <w:r w:rsidRPr="00B20B08">
        <w:rPr>
          <w:rFonts w:cs="Arial"/>
          <w:vertAlign w:val="superscript"/>
          <w:lang w:val="it-IT"/>
        </w:rPr>
        <w:t>b</w:t>
      </w:r>
      <w:r w:rsidRPr="00B20B08">
        <w:rPr>
          <w:rFonts w:cs="Arial"/>
          <w:lang w:val="it-IT"/>
        </w:rPr>
        <w:t>, Valerio Cozzani</w:t>
      </w:r>
      <w:r w:rsidRPr="00B20B08">
        <w:rPr>
          <w:rFonts w:cs="Arial"/>
          <w:vertAlign w:val="superscript"/>
          <w:lang w:val="it-IT"/>
        </w:rPr>
        <w:t>a</w:t>
      </w:r>
    </w:p>
    <w:p w14:paraId="0263B2DB" w14:textId="77777777" w:rsidR="009E02B5" w:rsidRPr="00272B46" w:rsidRDefault="009E02B5" w:rsidP="009E02B5">
      <w:pPr>
        <w:tabs>
          <w:tab w:val="left" w:pos="426"/>
          <w:tab w:val="left" w:pos="1560"/>
        </w:tabs>
        <w:rPr>
          <w:rFonts w:cs="Arial"/>
          <w:sz w:val="16"/>
          <w:szCs w:val="16"/>
          <w:lang w:val="it-IT"/>
        </w:rPr>
      </w:pPr>
      <w:proofErr w:type="spellStart"/>
      <w:r w:rsidRPr="00272B46">
        <w:rPr>
          <w:rFonts w:cs="Arial"/>
          <w:sz w:val="16"/>
          <w:szCs w:val="16"/>
          <w:vertAlign w:val="superscript"/>
          <w:lang w:val="it-IT"/>
        </w:rPr>
        <w:t>a</w:t>
      </w:r>
      <w:r w:rsidRPr="00272B46">
        <w:rPr>
          <w:rFonts w:cs="Arial"/>
          <w:sz w:val="16"/>
          <w:szCs w:val="16"/>
          <w:lang w:val="it-IT"/>
        </w:rPr>
        <w:t>Alma</w:t>
      </w:r>
      <w:proofErr w:type="spellEnd"/>
      <w:r w:rsidRPr="00272B46">
        <w:rPr>
          <w:rFonts w:cs="Arial"/>
          <w:sz w:val="16"/>
          <w:szCs w:val="16"/>
          <w:lang w:val="it-IT"/>
        </w:rPr>
        <w:t xml:space="preserve"> Mater Studiorum - Università di Bologna, Dipartimento di Ingegneria Civile, Chimica, Ambientale e dei Materiali, via </w:t>
      </w:r>
      <w:proofErr w:type="spellStart"/>
      <w:r w:rsidRPr="00272B46">
        <w:rPr>
          <w:rFonts w:cs="Arial"/>
          <w:sz w:val="16"/>
          <w:szCs w:val="16"/>
          <w:lang w:val="it-IT"/>
        </w:rPr>
        <w:t>Terracini</w:t>
      </w:r>
      <w:proofErr w:type="spellEnd"/>
      <w:r w:rsidRPr="00272B46">
        <w:rPr>
          <w:rFonts w:cs="Arial"/>
          <w:sz w:val="16"/>
          <w:szCs w:val="16"/>
          <w:lang w:val="it-IT"/>
        </w:rPr>
        <w:t xml:space="preserve"> 28, 40131 Bologna, </w:t>
      </w:r>
      <w:proofErr w:type="spellStart"/>
      <w:r w:rsidRPr="00272B46">
        <w:rPr>
          <w:rFonts w:cs="Arial"/>
          <w:sz w:val="16"/>
          <w:szCs w:val="16"/>
          <w:lang w:val="it-IT"/>
        </w:rPr>
        <w:t>Italy</w:t>
      </w:r>
      <w:proofErr w:type="spellEnd"/>
      <w:r w:rsidRPr="00272B46">
        <w:rPr>
          <w:rFonts w:cs="Arial"/>
          <w:sz w:val="16"/>
          <w:szCs w:val="16"/>
          <w:lang w:val="it-IT"/>
        </w:rPr>
        <w:t xml:space="preserve"> </w:t>
      </w:r>
    </w:p>
    <w:p w14:paraId="45D1266B" w14:textId="77777777" w:rsidR="00E418A7" w:rsidRPr="00E418A7" w:rsidRDefault="009E02B5" w:rsidP="009E02B5">
      <w:pPr>
        <w:tabs>
          <w:tab w:val="left" w:pos="426"/>
          <w:tab w:val="left" w:pos="1560"/>
        </w:tabs>
        <w:rPr>
          <w:rFonts w:cs="Arial"/>
          <w:iCs/>
          <w:sz w:val="16"/>
          <w:szCs w:val="16"/>
          <w:lang w:val="de-DE"/>
        </w:rPr>
      </w:pPr>
      <w:r w:rsidRPr="00B20B08">
        <w:rPr>
          <w:rFonts w:cs="Arial"/>
          <w:iCs/>
          <w:sz w:val="16"/>
          <w:szCs w:val="16"/>
          <w:vertAlign w:val="superscript"/>
          <w:lang w:val="de-DE"/>
        </w:rPr>
        <w:t>b</w:t>
      </w:r>
      <w:r w:rsidRPr="00B20B08">
        <w:rPr>
          <w:rFonts w:cs="Arial"/>
          <w:iCs/>
          <w:sz w:val="16"/>
          <w:szCs w:val="16"/>
          <w:lang w:val="de-DE"/>
        </w:rPr>
        <w:t>Bundesanstalt für Materialforschung und -prüfung (BAM), Berlin</w:t>
      </w:r>
    </w:p>
    <w:p w14:paraId="3966E361" w14:textId="2E7A3B71" w:rsidR="00AE6D62" w:rsidRDefault="00AE6D62" w:rsidP="00AE6D62">
      <w:pPr>
        <w:pStyle w:val="CETemail"/>
      </w:pPr>
      <w:r w:rsidRPr="009C640E">
        <w:t>davide.camplese@unibo.it</w:t>
      </w:r>
    </w:p>
    <w:p w14:paraId="5A69DD99" w14:textId="4D782A74" w:rsidR="00AE6D62" w:rsidRPr="00AE6D62" w:rsidRDefault="00AE6D62" w:rsidP="00AE6D62">
      <w:pPr>
        <w:pStyle w:val="CETBodytext"/>
        <w:rPr>
          <w:lang w:val="en-GB"/>
        </w:rPr>
      </w:pPr>
      <w:r>
        <w:rPr>
          <w:lang w:val="en-GB"/>
        </w:rPr>
        <w:t xml:space="preserve">The interest </w:t>
      </w:r>
      <w:r w:rsidR="00273C53">
        <w:rPr>
          <w:lang w:val="en-GB"/>
        </w:rPr>
        <w:t>in</w:t>
      </w:r>
      <w:r>
        <w:rPr>
          <w:lang w:val="en-GB"/>
        </w:rPr>
        <w:t xml:space="preserve"> hydrogen-based green energy is </w:t>
      </w:r>
      <w:r w:rsidR="00161DE6">
        <w:rPr>
          <w:lang w:val="en-GB"/>
        </w:rPr>
        <w:t xml:space="preserve">increasing </w:t>
      </w:r>
      <w:r>
        <w:rPr>
          <w:lang w:val="en-GB"/>
        </w:rPr>
        <w:t>worldwide, and the same is true for hydrogen-powered vehicles</w:t>
      </w:r>
      <w:r w:rsidR="006F4BC7">
        <w:rPr>
          <w:lang w:val="en-GB"/>
        </w:rPr>
        <w:t>.</w:t>
      </w:r>
      <w:r w:rsidRPr="00AE6D62">
        <w:rPr>
          <w:lang w:val="en-GB"/>
        </w:rPr>
        <w:t xml:space="preserve"> </w:t>
      </w:r>
      <w:r w:rsidRPr="005F6A83">
        <w:rPr>
          <w:lang w:val="en-GB"/>
        </w:rPr>
        <w:t>Among the possible solutions to store hydrogen in such vehicles, cryogenic tanks equipped with multi-layer insulation</w:t>
      </w:r>
      <w:r>
        <w:rPr>
          <w:lang w:val="en-GB"/>
        </w:rPr>
        <w:t xml:space="preserve"> (MLI)</w:t>
      </w:r>
      <w:r w:rsidRPr="005F6A83">
        <w:rPr>
          <w:lang w:val="en-GB"/>
        </w:rPr>
        <w:t xml:space="preserve"> </w:t>
      </w:r>
      <w:r>
        <w:rPr>
          <w:lang w:val="en-GB"/>
        </w:rPr>
        <w:t xml:space="preserve">are the most promising to </w:t>
      </w:r>
      <w:r w:rsidR="00D74557">
        <w:rPr>
          <w:lang w:val="en-GB"/>
        </w:rPr>
        <w:t>increase the amount of</w:t>
      </w:r>
      <w:r>
        <w:rPr>
          <w:lang w:val="en-GB"/>
        </w:rPr>
        <w:t xml:space="preserve"> energy </w:t>
      </w:r>
      <w:r w:rsidR="00D74557">
        <w:rPr>
          <w:lang w:val="en-GB"/>
        </w:rPr>
        <w:t xml:space="preserve">stored </w:t>
      </w:r>
      <w:r>
        <w:rPr>
          <w:lang w:val="en-GB"/>
        </w:rPr>
        <w:t xml:space="preserve">per unit volume. </w:t>
      </w:r>
      <w:r w:rsidR="00222B82">
        <w:rPr>
          <w:lang w:val="en-GB"/>
        </w:rPr>
        <w:t xml:space="preserve">However, MLI </w:t>
      </w:r>
      <w:r w:rsidR="00273C53">
        <w:rPr>
          <w:lang w:val="en-GB"/>
        </w:rPr>
        <w:t>is</w:t>
      </w:r>
      <w:r w:rsidR="00222B82">
        <w:rPr>
          <w:lang w:val="en-GB"/>
        </w:rPr>
        <w:t xml:space="preserve"> affected by severe deterioration when exposed to an external source of heat such as a fire following a car accident, leaving the tank unprotected</w:t>
      </w:r>
      <w:r w:rsidR="006856C9">
        <w:rPr>
          <w:lang w:val="en-GB"/>
        </w:rPr>
        <w:t xml:space="preserve"> and leading to failure in a relatively short time. </w:t>
      </w:r>
      <w:r>
        <w:rPr>
          <w:rFonts w:cs="Arial"/>
          <w:szCs w:val="18"/>
        </w:rPr>
        <w:t>In this work, a one-dimensional model to evaluate MLI thermal degradation when a liquid hydrogen tank is exposed to fire is presented.</w:t>
      </w:r>
      <w:r w:rsidRPr="00AE6D62">
        <w:rPr>
          <w:lang w:val="en-GB"/>
        </w:rPr>
        <w:t xml:space="preserve"> </w:t>
      </w:r>
      <w:r w:rsidR="006856C9" w:rsidRPr="00A70C9B">
        <w:rPr>
          <w:lang w:val="en-GB"/>
        </w:rPr>
        <w:t xml:space="preserve">The relevance of taking </w:t>
      </w:r>
      <w:r w:rsidR="006856C9">
        <w:rPr>
          <w:lang w:val="en-GB"/>
        </w:rPr>
        <w:t xml:space="preserve">MLI </w:t>
      </w:r>
      <w:r w:rsidR="006856C9" w:rsidRPr="00A70C9B">
        <w:rPr>
          <w:lang w:val="en-GB"/>
        </w:rPr>
        <w:t>degr</w:t>
      </w:r>
      <w:r w:rsidR="006856C9">
        <w:rPr>
          <w:lang w:val="en-GB"/>
        </w:rPr>
        <w:t>a</w:t>
      </w:r>
      <w:r w:rsidR="006856C9" w:rsidRPr="00A70C9B">
        <w:rPr>
          <w:lang w:val="en-GB"/>
        </w:rPr>
        <w:t xml:space="preserve">dation into account when simulating the pressure increase due to external fire exposure is </w:t>
      </w:r>
      <w:r w:rsidR="006856C9">
        <w:rPr>
          <w:lang w:val="en-GB"/>
        </w:rPr>
        <w:t xml:space="preserve">here </w:t>
      </w:r>
      <w:r w:rsidR="006856C9" w:rsidRPr="00A70C9B">
        <w:rPr>
          <w:lang w:val="en-GB"/>
        </w:rPr>
        <w:t>demonstrated through the analysis of several case studies</w:t>
      </w:r>
      <w:r w:rsidR="006856C9">
        <w:rPr>
          <w:lang w:val="en-GB"/>
        </w:rPr>
        <w:t xml:space="preserve">. </w:t>
      </w:r>
      <w:r w:rsidR="003A759C">
        <w:rPr>
          <w:lang w:val="en-GB"/>
        </w:rPr>
        <w:t xml:space="preserve">The results show that MLI systems performance depletes within a few minutes of exposure to hydrocarbon </w:t>
      </w:r>
      <w:proofErr w:type="spellStart"/>
      <w:r w:rsidR="003A759C">
        <w:rPr>
          <w:lang w:val="en-GB"/>
        </w:rPr>
        <w:t>poolfire</w:t>
      </w:r>
      <w:proofErr w:type="spellEnd"/>
      <w:r w:rsidR="003A759C">
        <w:rPr>
          <w:lang w:val="en-GB"/>
        </w:rPr>
        <w:t>.</w:t>
      </w:r>
    </w:p>
    <w:p w14:paraId="58979FC1" w14:textId="4E8E051C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314ECBB7" w14:textId="2BDB4BB5" w:rsidR="00676E6C" w:rsidRDefault="009E02B5" w:rsidP="00D62D8B">
      <w:pPr>
        <w:pStyle w:val="CETBodytext"/>
        <w:rPr>
          <w:lang w:val="en-GB"/>
        </w:rPr>
      </w:pPr>
      <w:r w:rsidRPr="005F6A83">
        <w:rPr>
          <w:lang w:val="en-GB"/>
        </w:rPr>
        <w:t>Hydrogen is among the most promising candidates to replace fossil fuels in the energy transition</w:t>
      </w:r>
      <w:r w:rsidR="004D26F0">
        <w:rPr>
          <w:lang w:val="en-GB"/>
        </w:rPr>
        <w:t xml:space="preserve"> (</w:t>
      </w:r>
      <w:proofErr w:type="spellStart"/>
      <w:r w:rsidR="002B5880" w:rsidRPr="002B5880">
        <w:rPr>
          <w:noProof/>
          <w:lang w:val="en-GB"/>
        </w:rPr>
        <w:t>Preuster</w:t>
      </w:r>
      <w:proofErr w:type="spellEnd"/>
      <w:r w:rsidR="002B5880" w:rsidRPr="002B5880">
        <w:rPr>
          <w:noProof/>
          <w:lang w:val="en-GB"/>
        </w:rPr>
        <w:t xml:space="preserve"> et al., 2017</w:t>
      </w:r>
      <w:r w:rsidR="004D26F0">
        <w:rPr>
          <w:lang w:val="en-GB"/>
        </w:rPr>
        <w:t>)</w:t>
      </w:r>
      <w:r w:rsidR="00FA17C0">
        <w:rPr>
          <w:lang w:val="en-GB"/>
        </w:rPr>
        <w:t>. H</w:t>
      </w:r>
      <w:r w:rsidRPr="005F6A83">
        <w:rPr>
          <w:lang w:val="en-GB"/>
        </w:rPr>
        <w:t>ydrogen-powered vehicle</w:t>
      </w:r>
      <w:r w:rsidR="00FA17C0">
        <w:rPr>
          <w:lang w:val="en-GB"/>
        </w:rPr>
        <w:t xml:space="preserve">s </w:t>
      </w:r>
      <w:r w:rsidRPr="005F6A83">
        <w:rPr>
          <w:lang w:val="en-GB"/>
        </w:rPr>
        <w:t xml:space="preserve">are already a reality and their number </w:t>
      </w:r>
      <w:proofErr w:type="gramStart"/>
      <w:r w:rsidRPr="005F6A83">
        <w:rPr>
          <w:lang w:val="en-GB"/>
        </w:rPr>
        <w:t>is</w:t>
      </w:r>
      <w:proofErr w:type="gramEnd"/>
      <w:r w:rsidRPr="005F6A83">
        <w:rPr>
          <w:lang w:val="en-GB"/>
        </w:rPr>
        <w:t xml:space="preserve"> foreseen to increase considerably in the next decade.</w:t>
      </w:r>
      <w:r w:rsidR="00A242DF">
        <w:rPr>
          <w:lang w:val="en-GB"/>
        </w:rPr>
        <w:t xml:space="preserve"> </w:t>
      </w:r>
    </w:p>
    <w:p w14:paraId="7FE16344" w14:textId="42146850" w:rsidR="00C70A3F" w:rsidRDefault="009E02B5" w:rsidP="0036149F">
      <w:pPr>
        <w:pStyle w:val="CETBodytext"/>
        <w:rPr>
          <w:lang w:val="en-GB"/>
        </w:rPr>
      </w:pPr>
      <w:r w:rsidRPr="005F6A83">
        <w:rPr>
          <w:lang w:val="en-GB"/>
        </w:rPr>
        <w:t>Among the possible solutions to store hydrogen i</w:t>
      </w:r>
      <w:r w:rsidR="00676E6C">
        <w:rPr>
          <w:lang w:val="en-GB"/>
        </w:rPr>
        <w:t>n</w:t>
      </w:r>
      <w:r w:rsidRPr="005F6A83">
        <w:rPr>
          <w:lang w:val="en-GB"/>
        </w:rPr>
        <w:t xml:space="preserve"> vehicles, cryogenic </w:t>
      </w:r>
      <w:r w:rsidR="00551936">
        <w:rPr>
          <w:lang w:val="en-GB"/>
        </w:rPr>
        <w:t xml:space="preserve">storage </w:t>
      </w:r>
      <w:r w:rsidRPr="005F6A83">
        <w:rPr>
          <w:lang w:val="en-GB"/>
        </w:rPr>
        <w:t>tanks appear to</w:t>
      </w:r>
      <w:r w:rsidR="005B0D99">
        <w:rPr>
          <w:lang w:val="en-GB"/>
        </w:rPr>
        <w:t xml:space="preserve"> be</w:t>
      </w:r>
      <w:r w:rsidRPr="005F6A83">
        <w:rPr>
          <w:lang w:val="en-GB"/>
        </w:rPr>
        <w:t xml:space="preserve"> the most effective to ensure high volumetric energy density</w:t>
      </w:r>
      <w:r w:rsidR="00BF1946">
        <w:rPr>
          <w:lang w:val="en-GB"/>
        </w:rPr>
        <w:t xml:space="preserve"> </w:t>
      </w:r>
      <w:r w:rsidR="002B5880" w:rsidRPr="002B5880">
        <w:rPr>
          <w:noProof/>
          <w:lang w:val="en-GB"/>
        </w:rPr>
        <w:t>(Kunze &amp; Kircher, 2012)</w:t>
      </w:r>
      <w:r w:rsidRPr="005F6A83">
        <w:rPr>
          <w:lang w:val="en-GB"/>
        </w:rPr>
        <w:t>.</w:t>
      </w:r>
      <w:r w:rsidR="003D4EA5">
        <w:rPr>
          <w:lang w:val="en-GB"/>
        </w:rPr>
        <w:t xml:space="preserve"> Since cryogenic storage conditions as well as low boil-off rates have to be maintained for a prolonged time, the heat leakage toward</w:t>
      </w:r>
      <w:r w:rsidR="003D2F43">
        <w:rPr>
          <w:lang w:val="en-GB"/>
        </w:rPr>
        <w:t>s</w:t>
      </w:r>
      <w:r w:rsidR="003D4EA5">
        <w:rPr>
          <w:lang w:val="en-GB"/>
        </w:rPr>
        <w:t xml:space="preserve"> the tank </w:t>
      </w:r>
      <w:r w:rsidR="002640C0">
        <w:rPr>
          <w:lang w:val="en-GB"/>
        </w:rPr>
        <w:t xml:space="preserve">must </w:t>
      </w:r>
      <w:r w:rsidR="003D4EA5">
        <w:rPr>
          <w:lang w:val="en-GB"/>
        </w:rPr>
        <w:t xml:space="preserve">be kept at minimum values. For this purpose, </w:t>
      </w:r>
      <w:r w:rsidR="007C716C">
        <w:rPr>
          <w:lang w:val="en-GB"/>
        </w:rPr>
        <w:t xml:space="preserve">several types of </w:t>
      </w:r>
      <w:r w:rsidR="003D4EA5">
        <w:rPr>
          <w:lang w:val="en-GB"/>
        </w:rPr>
        <w:t>thermal superinsulation systems such as perlite, high-vacuum, and multi-layer insulation (MLI) were developed.</w:t>
      </w:r>
      <w:r w:rsidR="00480E64" w:rsidRPr="00480E64">
        <w:t xml:space="preserve"> </w:t>
      </w:r>
      <w:r w:rsidR="003D4EA5">
        <w:t xml:space="preserve">In particular, MLI systems are </w:t>
      </w:r>
      <w:r w:rsidR="00A47EEC">
        <w:t xml:space="preserve">one of the most suitable as </w:t>
      </w:r>
      <w:r w:rsidR="003D4EA5">
        <w:t>the</w:t>
      </w:r>
      <w:r w:rsidR="00596E45">
        <w:t>y</w:t>
      </w:r>
      <w:r w:rsidR="00A47EEC">
        <w:t xml:space="preserve"> </w:t>
      </w:r>
      <w:r w:rsidR="003D4EA5">
        <w:t xml:space="preserve">can </w:t>
      </w:r>
      <w:r w:rsidR="00967044">
        <w:t>strongly reduce</w:t>
      </w:r>
      <w:r w:rsidR="003D4EA5">
        <w:t xml:space="preserve"> heat </w:t>
      </w:r>
      <w:r w:rsidR="002640C0">
        <w:t xml:space="preserve">leakage </w:t>
      </w:r>
      <w:r w:rsidR="003D4EA5">
        <w:t>into the vessel with a thinner thickness if compared to other in</w:t>
      </w:r>
      <w:r w:rsidR="00C5495F">
        <w:t>sulation material</w:t>
      </w:r>
      <w:r w:rsidR="002640C0">
        <w:t>s</w:t>
      </w:r>
      <w:r w:rsidR="003D4EA5">
        <w:t xml:space="preserve"> </w:t>
      </w:r>
      <w:r w:rsidR="003D4EA5" w:rsidRPr="00C1368E">
        <w:rPr>
          <w:noProof/>
        </w:rPr>
        <w:t>(Edward &amp; Filip, 2018)</w:t>
      </w:r>
      <w:r w:rsidR="00525DFD">
        <w:t>.</w:t>
      </w:r>
      <w:r w:rsidR="00FB31B6">
        <w:t xml:space="preserve"> The </w:t>
      </w:r>
      <w:r w:rsidR="00D93E4B">
        <w:rPr>
          <w:lang w:val="en-GB"/>
        </w:rPr>
        <w:t>advantage</w:t>
      </w:r>
      <w:r w:rsidR="00D66634">
        <w:rPr>
          <w:lang w:val="en-GB"/>
        </w:rPr>
        <w:t>s</w:t>
      </w:r>
      <w:r w:rsidR="00D93E4B">
        <w:rPr>
          <w:lang w:val="en-GB"/>
        </w:rPr>
        <w:t xml:space="preserve"> of cryogenic storage come together with </w:t>
      </w:r>
      <w:r w:rsidR="003D4FDF">
        <w:rPr>
          <w:lang w:val="en-GB"/>
        </w:rPr>
        <w:t>potential risks</w:t>
      </w:r>
      <w:r w:rsidR="006E3D8A">
        <w:rPr>
          <w:lang w:val="en-GB"/>
        </w:rPr>
        <w:t xml:space="preserve"> due to hydrogen</w:t>
      </w:r>
      <w:r w:rsidR="0036149F">
        <w:rPr>
          <w:lang w:val="en-GB"/>
        </w:rPr>
        <w:t xml:space="preserve">’s high flammability. </w:t>
      </w:r>
    </w:p>
    <w:p w14:paraId="3B4957FA" w14:textId="7393BA55" w:rsidR="00C05871" w:rsidRPr="0036149F" w:rsidRDefault="00D3433C" w:rsidP="0036149F">
      <w:pPr>
        <w:pStyle w:val="CETBodytext"/>
      </w:pPr>
      <w:r w:rsidRPr="0036149F">
        <w:t>An accidental</w:t>
      </w:r>
      <w:r w:rsidR="009E02B5" w:rsidRPr="0036149F">
        <w:t xml:space="preserve"> loss of integrity of </w:t>
      </w:r>
      <w:r w:rsidR="00B80C86" w:rsidRPr="0036149F">
        <w:t>liquefied hydrogen</w:t>
      </w:r>
      <w:r w:rsidR="009E02B5" w:rsidRPr="0036149F">
        <w:t xml:space="preserve"> storage </w:t>
      </w:r>
      <w:r w:rsidR="00B80C86" w:rsidRPr="0036149F">
        <w:t>units</w:t>
      </w:r>
      <w:r w:rsidR="009E02B5" w:rsidRPr="0036149F">
        <w:t xml:space="preserve"> might lead to </w:t>
      </w:r>
      <w:r w:rsidR="00F20CFB" w:rsidRPr="0036149F">
        <w:t>extremely dangerous phenomena</w:t>
      </w:r>
      <w:r w:rsidR="00B80C86" w:rsidRPr="0036149F">
        <w:t>, such as BLEVEs</w:t>
      </w:r>
      <w:r w:rsidR="00B61DB1">
        <w:t xml:space="preserve"> (</w:t>
      </w:r>
      <w:r w:rsidR="00122492">
        <w:t>B</w:t>
      </w:r>
      <w:r w:rsidR="00B61DB1" w:rsidRPr="00B61DB1">
        <w:t xml:space="preserve">oiling </w:t>
      </w:r>
      <w:r w:rsidR="00122492">
        <w:t>L</w:t>
      </w:r>
      <w:r w:rsidR="00B61DB1" w:rsidRPr="00B61DB1">
        <w:t xml:space="preserve">iquid </w:t>
      </w:r>
      <w:r w:rsidR="00122492">
        <w:t>E</w:t>
      </w:r>
      <w:r w:rsidR="00B61DB1" w:rsidRPr="00B61DB1">
        <w:t xml:space="preserve">xpanding </w:t>
      </w:r>
      <w:r w:rsidR="00122492">
        <w:t>V</w:t>
      </w:r>
      <w:r w:rsidR="00B61DB1" w:rsidRPr="00B61DB1">
        <w:t xml:space="preserve">apor </w:t>
      </w:r>
      <w:r w:rsidR="00122492">
        <w:t>E</w:t>
      </w:r>
      <w:r w:rsidR="00B61DB1" w:rsidRPr="00B61DB1">
        <w:t>xplosion</w:t>
      </w:r>
      <w:r w:rsidR="00B61DB1">
        <w:t>)</w:t>
      </w:r>
      <w:r w:rsidR="00B80C86" w:rsidRPr="0036149F">
        <w:t xml:space="preserve"> and fireballs</w:t>
      </w:r>
      <w:r w:rsidR="0036149F">
        <w:t xml:space="preserve"> </w:t>
      </w:r>
      <w:r w:rsidR="0036149F" w:rsidRPr="0036149F">
        <w:rPr>
          <w:noProof/>
        </w:rPr>
        <w:t>(van Wingerden et al., 2022)</w:t>
      </w:r>
      <w:r w:rsidR="0036149F">
        <w:t>.</w:t>
      </w:r>
      <w:r w:rsidR="009E02B5" w:rsidRPr="0036149F">
        <w:t xml:space="preserve"> </w:t>
      </w:r>
      <w:r w:rsidR="00ED7C34" w:rsidRPr="0036149F">
        <w:t xml:space="preserve">In the transportation sector, </w:t>
      </w:r>
      <w:r w:rsidR="00551936" w:rsidRPr="0036149F">
        <w:t>one of the most critical</w:t>
      </w:r>
      <w:r w:rsidR="00FD0D39" w:rsidRPr="0036149F">
        <w:t xml:space="preserve"> scenarios</w:t>
      </w:r>
      <w:r w:rsidR="001655E3" w:rsidRPr="0036149F">
        <w:t xml:space="preserve"> that can threaten tank integrity</w:t>
      </w:r>
      <w:r w:rsidR="00551936" w:rsidRPr="0036149F">
        <w:t xml:space="preserve"> is represented by the exposure to an external source of heat such as a fire </w:t>
      </w:r>
      <w:r w:rsidR="002E494F" w:rsidRPr="0036149F">
        <w:t xml:space="preserve">developed </w:t>
      </w:r>
      <w:r w:rsidR="00261155" w:rsidRPr="0036149F">
        <w:t>as a consequence of</w:t>
      </w:r>
      <w:r w:rsidR="002E494F" w:rsidRPr="0036149F">
        <w:t xml:space="preserve"> </w:t>
      </w:r>
      <w:r w:rsidR="00551936" w:rsidRPr="0036149F">
        <w:t>a car accident.</w:t>
      </w:r>
      <w:r w:rsidR="003D4EA5" w:rsidRPr="0036149F">
        <w:t xml:space="preserve"> </w:t>
      </w:r>
      <w:r w:rsidR="00371C7C" w:rsidRPr="0036149F">
        <w:t xml:space="preserve">Despite the super insulation features of MLI, </w:t>
      </w:r>
      <w:r w:rsidR="003D4EA5" w:rsidRPr="0036149F">
        <w:t>r</w:t>
      </w:r>
      <w:r w:rsidR="00551936" w:rsidRPr="0036149F">
        <w:t>eal-scale fire</w:t>
      </w:r>
      <w:r w:rsidR="00E27F4B" w:rsidRPr="0036149F">
        <w:t xml:space="preserve"> </w:t>
      </w:r>
      <w:r w:rsidR="00551936" w:rsidRPr="0036149F">
        <w:t xml:space="preserve">test results </w:t>
      </w:r>
      <w:r w:rsidR="003D4EA5" w:rsidRPr="0036149F">
        <w:t>showed</w:t>
      </w:r>
      <w:r w:rsidR="00551936" w:rsidRPr="0036149F">
        <w:t xml:space="preserve"> that cryogenic tank</w:t>
      </w:r>
      <w:r w:rsidR="00A242DF" w:rsidRPr="0036149F">
        <w:t>s</w:t>
      </w:r>
      <w:r w:rsidR="00D823FB" w:rsidRPr="0036149F">
        <w:t xml:space="preserve"> featuring this type of system</w:t>
      </w:r>
      <w:r w:rsidR="00551936" w:rsidRPr="0036149F">
        <w:t xml:space="preserve"> fail in a relatively short time </w:t>
      </w:r>
      <w:r w:rsidR="003D4EA5" w:rsidRPr="0036149F">
        <w:rPr>
          <w:noProof/>
        </w:rPr>
        <w:t>(Pehr K., 1996)</w:t>
      </w:r>
      <w:r w:rsidR="00FD0D39" w:rsidRPr="0036149F">
        <w:t>.</w:t>
      </w:r>
      <w:r w:rsidR="00612511" w:rsidRPr="0036149F">
        <w:t xml:space="preserve"> As </w:t>
      </w:r>
      <w:r w:rsidR="00C42B89" w:rsidRPr="0036149F">
        <w:t xml:space="preserve">demonstrated </w:t>
      </w:r>
      <w:r w:rsidR="00363003" w:rsidRPr="0036149F">
        <w:t xml:space="preserve">in </w:t>
      </w:r>
      <w:r w:rsidR="00C42B89" w:rsidRPr="0036149F">
        <w:t xml:space="preserve">the tests conducted </w:t>
      </w:r>
      <w:r w:rsidR="00612511" w:rsidRPr="0036149F">
        <w:t xml:space="preserve">by </w:t>
      </w:r>
      <w:proofErr w:type="spellStart"/>
      <w:r w:rsidR="00612511" w:rsidRPr="0036149F">
        <w:t>Eberwein</w:t>
      </w:r>
      <w:proofErr w:type="spellEnd"/>
      <w:r w:rsidR="00612511" w:rsidRPr="0036149F">
        <w:t xml:space="preserve"> et al. (2023), t</w:t>
      </w:r>
      <w:r w:rsidR="00FD0D39" w:rsidRPr="0036149F">
        <w:t xml:space="preserve">his is due to the </w:t>
      </w:r>
      <w:r w:rsidR="008C6DC1" w:rsidRPr="0036149F">
        <w:t xml:space="preserve">strong </w:t>
      </w:r>
      <w:r w:rsidR="00FD0D39" w:rsidRPr="0036149F">
        <w:t xml:space="preserve">degradation </w:t>
      </w:r>
      <w:r w:rsidR="00C059E9" w:rsidRPr="0036149F">
        <w:t>of</w:t>
      </w:r>
      <w:r w:rsidR="008C6DC1" w:rsidRPr="0036149F">
        <w:t xml:space="preserve"> MLI</w:t>
      </w:r>
      <w:r w:rsidR="003D4EA5" w:rsidRPr="0036149F">
        <w:t xml:space="preserve"> </w:t>
      </w:r>
      <w:r w:rsidR="008C6DC1" w:rsidRPr="0036149F">
        <w:t>at high temperature</w:t>
      </w:r>
      <w:r w:rsidR="003D4EA5" w:rsidRPr="0036149F">
        <w:t>s</w:t>
      </w:r>
      <w:r w:rsidR="00C059E9" w:rsidRPr="0036149F">
        <w:t>.</w:t>
      </w:r>
      <w:r w:rsidR="000B49FE" w:rsidRPr="0036149F">
        <w:t xml:space="preserve"> </w:t>
      </w:r>
      <w:r w:rsidR="007461A9" w:rsidRPr="0036149F">
        <w:t>This phenomenon cause</w:t>
      </w:r>
      <w:r w:rsidR="008E6B9F" w:rsidRPr="0036149F">
        <w:t>s</w:t>
      </w:r>
      <w:r w:rsidR="007461A9" w:rsidRPr="0036149F">
        <w:t xml:space="preserve"> the </w:t>
      </w:r>
      <w:r w:rsidR="005405F6" w:rsidRPr="0036149F">
        <w:t>deteriorat</w:t>
      </w:r>
      <w:r w:rsidR="007461A9" w:rsidRPr="0036149F">
        <w:t>ion</w:t>
      </w:r>
      <w:r w:rsidR="008E6B9F" w:rsidRPr="0036149F">
        <w:t xml:space="preserve"> </w:t>
      </w:r>
      <w:r w:rsidR="00DA7E47" w:rsidRPr="0036149F">
        <w:t xml:space="preserve">of </w:t>
      </w:r>
      <w:r w:rsidR="007F0171" w:rsidRPr="0036149F">
        <w:t>MLI protective performance</w:t>
      </w:r>
      <w:r w:rsidR="003D4EA5" w:rsidRPr="0036149F">
        <w:t xml:space="preserve">, </w:t>
      </w:r>
      <w:r w:rsidR="007F0171" w:rsidRPr="0036149F">
        <w:t xml:space="preserve">leaving </w:t>
      </w:r>
      <w:r w:rsidR="003D4EA5" w:rsidRPr="0036149F">
        <w:t>the tank a</w:t>
      </w:r>
      <w:r w:rsidR="00734BE1" w:rsidRPr="0036149F">
        <w:t>lmost</w:t>
      </w:r>
      <w:r w:rsidR="00E27F4B" w:rsidRPr="0036149F">
        <w:t xml:space="preserve"> unpr</w:t>
      </w:r>
      <w:r w:rsidR="00734BE1" w:rsidRPr="0036149F">
        <w:t>otected</w:t>
      </w:r>
      <w:r w:rsidR="00C75500" w:rsidRPr="0036149F">
        <w:t xml:space="preserve"> </w:t>
      </w:r>
      <w:r w:rsidR="009600E8" w:rsidRPr="0036149F">
        <w:t>against</w:t>
      </w:r>
      <w:r w:rsidR="009309CD" w:rsidRPr="0036149F">
        <w:t xml:space="preserve"> </w:t>
      </w:r>
      <w:r w:rsidR="00693ED1" w:rsidRPr="0036149F">
        <w:t xml:space="preserve">the </w:t>
      </w:r>
      <w:r w:rsidR="00734BE1" w:rsidRPr="0036149F">
        <w:t>high heat flux</w:t>
      </w:r>
      <w:r w:rsidR="00693ED1" w:rsidRPr="0036149F">
        <w:t xml:space="preserve"> from the fire</w:t>
      </w:r>
      <w:r w:rsidR="003D4EA5" w:rsidRPr="0036149F">
        <w:t xml:space="preserve">. </w:t>
      </w:r>
      <w:r w:rsidR="007714B4" w:rsidRPr="0036149F">
        <w:t xml:space="preserve">As a consequence, the tank pressure </w:t>
      </w:r>
      <w:r w:rsidR="008E6B9F" w:rsidRPr="0036149F">
        <w:t>u</w:t>
      </w:r>
      <w:r w:rsidR="008C0C54" w:rsidRPr="0036149F">
        <w:t>ndergoes a</w:t>
      </w:r>
      <w:r w:rsidR="008E6B9F" w:rsidRPr="0036149F">
        <w:t xml:space="preserve"> </w:t>
      </w:r>
      <w:r w:rsidR="00734BE1" w:rsidRPr="0036149F">
        <w:t xml:space="preserve">rapid </w:t>
      </w:r>
      <w:r w:rsidR="008C0C54" w:rsidRPr="0036149F">
        <w:t>increase which can finally lead t</w:t>
      </w:r>
      <w:r w:rsidR="008E6B9F" w:rsidRPr="0036149F">
        <w:t xml:space="preserve">o </w:t>
      </w:r>
      <w:r w:rsidR="00612511" w:rsidRPr="0036149F">
        <w:t xml:space="preserve">catastrophic </w:t>
      </w:r>
      <w:r w:rsidR="003D4EA5" w:rsidRPr="0036149F">
        <w:t>failur</w:t>
      </w:r>
      <w:r w:rsidR="00A30C17" w:rsidRPr="0036149F">
        <w:t>e</w:t>
      </w:r>
      <w:r w:rsidR="00E31B88" w:rsidRPr="0036149F">
        <w:t>.</w:t>
      </w:r>
      <w:r w:rsidR="00E27931" w:rsidRPr="0036149F">
        <w:t xml:space="preserve"> </w:t>
      </w:r>
      <w:r w:rsidR="00AF33FE" w:rsidRPr="0036149F">
        <w:t>In this sense, the</w:t>
      </w:r>
      <w:r w:rsidR="00E27931" w:rsidRPr="0036149F">
        <w:t xml:space="preserve"> </w:t>
      </w:r>
      <w:r w:rsidR="00525DFD" w:rsidRPr="0036149F">
        <w:t>availability</w:t>
      </w:r>
      <w:r w:rsidR="00E27931" w:rsidRPr="0036149F">
        <w:t xml:space="preserve"> of accurate and robust models</w:t>
      </w:r>
      <w:r w:rsidR="002D6D07" w:rsidRPr="0036149F">
        <w:t xml:space="preserve"> </w:t>
      </w:r>
      <w:r w:rsidR="00E27931" w:rsidRPr="0036149F">
        <w:t xml:space="preserve">able to simulate </w:t>
      </w:r>
      <w:r w:rsidR="00EA0487" w:rsidRPr="0036149F">
        <w:t>such scenarios is a</w:t>
      </w:r>
      <w:r w:rsidR="006558C0" w:rsidRPr="0036149F">
        <w:t xml:space="preserve"> </w:t>
      </w:r>
      <w:r w:rsidR="00E27931" w:rsidRPr="0036149F">
        <w:t xml:space="preserve">key </w:t>
      </w:r>
      <w:r w:rsidR="006558C0" w:rsidRPr="0036149F">
        <w:t>element</w:t>
      </w:r>
      <w:r w:rsidR="008E6B9F" w:rsidRPr="0036149F">
        <w:t xml:space="preserve"> </w:t>
      </w:r>
      <w:r w:rsidR="00E27931" w:rsidRPr="0036149F">
        <w:t>to ensure a safe design</w:t>
      </w:r>
      <w:r w:rsidR="003D4EA5" w:rsidRPr="0036149F">
        <w:t>.</w:t>
      </w:r>
      <w:r w:rsidR="00525DFD" w:rsidRPr="0036149F">
        <w:t xml:space="preserve"> </w:t>
      </w:r>
      <w:r w:rsidR="00A30C17" w:rsidRPr="0036149F">
        <w:t xml:space="preserve">Both CFD and zone models </w:t>
      </w:r>
      <w:r w:rsidR="00933022" w:rsidRPr="0036149F">
        <w:t>were</w:t>
      </w:r>
      <w:r w:rsidR="00A30C17" w:rsidRPr="0036149F">
        <w:t xml:space="preserve"> </w:t>
      </w:r>
      <w:r w:rsidR="00D463A5" w:rsidRPr="0036149F">
        <w:t xml:space="preserve">proposed </w:t>
      </w:r>
      <w:r w:rsidR="00A30C17" w:rsidRPr="0036149F">
        <w:t>for this purpose</w:t>
      </w:r>
      <w:r w:rsidR="00714F7D" w:rsidRPr="0036149F">
        <w:t xml:space="preserve"> </w:t>
      </w:r>
      <w:r w:rsidR="00714F7D" w:rsidRPr="0036149F">
        <w:rPr>
          <w:noProof/>
        </w:rPr>
        <w:t>(Scarponi et al., 2022)</w:t>
      </w:r>
      <w:r w:rsidR="007C6892" w:rsidRPr="0036149F">
        <w:t xml:space="preserve">, which provide satisfactory predictions when used to simulate </w:t>
      </w:r>
      <w:r w:rsidR="000A132D" w:rsidRPr="0036149F">
        <w:t>pressure tank response to fire</w:t>
      </w:r>
      <w:r w:rsidR="00A30C17" w:rsidRPr="0036149F">
        <w:t>. However</w:t>
      </w:r>
      <w:r w:rsidR="00714F7D" w:rsidRPr="0036149F">
        <w:t xml:space="preserve">, </w:t>
      </w:r>
      <w:r w:rsidR="00D463A5" w:rsidRPr="0036149F">
        <w:t xml:space="preserve">none of them </w:t>
      </w:r>
      <w:r w:rsidR="0043637B" w:rsidRPr="0036149F">
        <w:t xml:space="preserve">was designed to </w:t>
      </w:r>
      <w:proofErr w:type="gramStart"/>
      <w:r w:rsidR="0043637B" w:rsidRPr="0036149F">
        <w:t>take into account</w:t>
      </w:r>
      <w:proofErr w:type="gramEnd"/>
      <w:r w:rsidR="00D463A5" w:rsidRPr="0036149F">
        <w:t xml:space="preserve"> </w:t>
      </w:r>
      <w:r w:rsidR="008E6B9F" w:rsidRPr="0036149F">
        <w:t xml:space="preserve">the </w:t>
      </w:r>
      <w:r w:rsidR="00D463A5" w:rsidRPr="0036149F">
        <w:t>thermal degradation of the insulation system</w:t>
      </w:r>
      <w:r w:rsidR="008445A6" w:rsidRPr="0036149F">
        <w:t xml:space="preserve">. </w:t>
      </w:r>
      <w:r w:rsidR="00D66BB2" w:rsidRPr="0036149F">
        <w:lastRenderedPageBreak/>
        <w:t>On the other hand,</w:t>
      </w:r>
      <w:r w:rsidR="008E6B9F" w:rsidRPr="0036149F">
        <w:t xml:space="preserve"> </w:t>
      </w:r>
      <w:r w:rsidR="00B0385B" w:rsidRPr="0036149F">
        <w:t>thermal model</w:t>
      </w:r>
      <w:r w:rsidR="00C05871" w:rsidRPr="0036149F">
        <w:t>s</w:t>
      </w:r>
      <w:r w:rsidR="00B0385B" w:rsidRPr="0036149F">
        <w:t xml:space="preserve"> </w:t>
      </w:r>
      <w:r w:rsidR="00C05871" w:rsidRPr="0036149F">
        <w:t xml:space="preserve">able to simulate the heat flux throughout the MLI </w:t>
      </w:r>
      <w:r w:rsidR="008E6B9F" w:rsidRPr="0036149F">
        <w:t>(</w:t>
      </w:r>
      <w:r w:rsidR="20B1206A" w:rsidRPr="0036149F">
        <w:t>e.g.,</w:t>
      </w:r>
      <w:r w:rsidR="008E6B9F" w:rsidRPr="0036149F">
        <w:t xml:space="preserve"> the one proposed by McIntosh, 1994) </w:t>
      </w:r>
      <w:r w:rsidR="00A33CC6" w:rsidRPr="0036149F">
        <w:t>we</w:t>
      </w:r>
      <w:r w:rsidR="00C05871" w:rsidRPr="0036149F">
        <w:t>re developed and validated for normal operative conditions</w:t>
      </w:r>
      <w:r w:rsidR="00BF20AD" w:rsidRPr="0036149F">
        <w:t xml:space="preserve"> only, not accounting for insulation performance deterioration</w:t>
      </w:r>
      <w:r w:rsidR="0054601E" w:rsidRPr="0036149F">
        <w:t xml:space="preserve"> </w:t>
      </w:r>
      <w:r w:rsidR="00EE476C" w:rsidRPr="0036149F">
        <w:t>at high temperature</w:t>
      </w:r>
      <w:r w:rsidR="00BF20AD" w:rsidRPr="0036149F">
        <w:t>.</w:t>
      </w:r>
    </w:p>
    <w:p w14:paraId="5599B320" w14:textId="4D7D04BA" w:rsidR="00C1368E" w:rsidRPr="005F6A83" w:rsidRDefault="009E02B5" w:rsidP="009E02B5">
      <w:pPr>
        <w:pStyle w:val="CETBodytext"/>
        <w:rPr>
          <w:lang w:val="en-GB"/>
        </w:rPr>
      </w:pPr>
      <w:r w:rsidRPr="005F6A83">
        <w:rPr>
          <w:lang w:val="en-GB"/>
        </w:rPr>
        <w:t>Th</w:t>
      </w:r>
      <w:r w:rsidR="00A0585A">
        <w:rPr>
          <w:lang w:val="en-GB"/>
        </w:rPr>
        <w:t xml:space="preserve">e present </w:t>
      </w:r>
      <w:r w:rsidRPr="005F6A83">
        <w:rPr>
          <w:lang w:val="en-GB"/>
        </w:rPr>
        <w:t>work pr</w:t>
      </w:r>
      <w:r w:rsidR="00C1368E">
        <w:rPr>
          <w:lang w:val="en-GB"/>
        </w:rPr>
        <w:t>oposes</w:t>
      </w:r>
      <w:r w:rsidRPr="005F6A83">
        <w:rPr>
          <w:lang w:val="en-GB"/>
        </w:rPr>
        <w:t xml:space="preserve"> </w:t>
      </w:r>
      <w:r w:rsidR="00C1368E">
        <w:rPr>
          <w:lang w:val="en-GB"/>
        </w:rPr>
        <w:t>a model</w:t>
      </w:r>
      <w:r w:rsidR="00273C53">
        <w:rPr>
          <w:lang w:val="en-GB"/>
        </w:rPr>
        <w:t>l</w:t>
      </w:r>
      <w:r w:rsidR="00C1368E">
        <w:rPr>
          <w:lang w:val="en-GB"/>
        </w:rPr>
        <w:t>ing approach for simulating</w:t>
      </w:r>
      <w:r w:rsidRPr="005F6A83">
        <w:rPr>
          <w:lang w:val="en-GB"/>
        </w:rPr>
        <w:t xml:space="preserve"> the thermal degradation phenomena taking place </w:t>
      </w:r>
      <w:r w:rsidR="008F2F01" w:rsidRPr="005F6A83">
        <w:rPr>
          <w:lang w:val="en-GB"/>
        </w:rPr>
        <w:t>at high temperature</w:t>
      </w:r>
      <w:r w:rsidR="008F2F01">
        <w:rPr>
          <w:lang w:val="en-GB"/>
        </w:rPr>
        <w:t>s</w:t>
      </w:r>
      <w:r w:rsidR="008F2F01" w:rsidRPr="005F6A83">
        <w:rPr>
          <w:lang w:val="en-GB"/>
        </w:rPr>
        <w:t xml:space="preserve"> </w:t>
      </w:r>
      <w:r w:rsidRPr="005F6A83">
        <w:rPr>
          <w:lang w:val="en-GB"/>
        </w:rPr>
        <w:t xml:space="preserve">in </w:t>
      </w:r>
      <w:r w:rsidR="00C1368E">
        <w:rPr>
          <w:lang w:val="en-GB"/>
        </w:rPr>
        <w:t>a typical MLI system</w:t>
      </w:r>
      <w:r w:rsidR="008E6B9F">
        <w:rPr>
          <w:lang w:val="en-GB"/>
        </w:rPr>
        <w:t>.</w:t>
      </w:r>
      <w:r w:rsidR="001F68C9">
        <w:rPr>
          <w:lang w:val="en-GB"/>
        </w:rPr>
        <w:t xml:space="preserve"> The aim is to provide a tool that can be </w:t>
      </w:r>
      <w:r w:rsidR="000831A4">
        <w:rPr>
          <w:lang w:val="en-GB"/>
        </w:rPr>
        <w:t>integrated into CFD and zone models for the simulation of the response of cryogenic liquid tanks to fire exposure</w:t>
      </w:r>
      <w:r w:rsidR="008E6B9F">
        <w:rPr>
          <w:lang w:val="en-GB"/>
        </w:rPr>
        <w:t xml:space="preserve">. </w:t>
      </w:r>
      <w:r w:rsidR="00AC28EE">
        <w:rPr>
          <w:lang w:val="en-GB"/>
        </w:rPr>
        <w:t xml:space="preserve">The </w:t>
      </w:r>
      <w:r w:rsidR="00214D51">
        <w:rPr>
          <w:lang w:val="en-GB"/>
        </w:rPr>
        <w:t>relevance</w:t>
      </w:r>
      <w:r w:rsidR="00AC28EE">
        <w:rPr>
          <w:lang w:val="en-GB"/>
        </w:rPr>
        <w:t xml:space="preserve"> of </w:t>
      </w:r>
      <w:r w:rsidR="001F68C9">
        <w:rPr>
          <w:lang w:val="en-GB"/>
        </w:rPr>
        <w:t>MLI degradation</w:t>
      </w:r>
      <w:r w:rsidR="008E1747">
        <w:rPr>
          <w:lang w:val="en-GB"/>
        </w:rPr>
        <w:t xml:space="preserve"> </w:t>
      </w:r>
      <w:r w:rsidR="00592DDC">
        <w:rPr>
          <w:lang w:val="en-GB"/>
        </w:rPr>
        <w:t>and its impact o</w:t>
      </w:r>
      <w:r w:rsidR="008E6B9F">
        <w:rPr>
          <w:lang w:val="en-GB"/>
        </w:rPr>
        <w:t>n</w:t>
      </w:r>
      <w:r w:rsidR="00592DDC">
        <w:rPr>
          <w:lang w:val="en-GB"/>
        </w:rPr>
        <w:t xml:space="preserve"> the pressurization rate of a ty</w:t>
      </w:r>
      <w:r w:rsidR="00671D8E">
        <w:rPr>
          <w:lang w:val="en-GB"/>
        </w:rPr>
        <w:t xml:space="preserve">pical </w:t>
      </w:r>
      <w:r w:rsidR="000837DF">
        <w:rPr>
          <w:lang w:val="en-GB"/>
        </w:rPr>
        <w:t xml:space="preserve">tank </w:t>
      </w:r>
      <w:r w:rsidR="00477AFD">
        <w:rPr>
          <w:lang w:val="en-GB"/>
        </w:rPr>
        <w:t xml:space="preserve">for </w:t>
      </w:r>
      <w:r w:rsidR="00671D8E">
        <w:rPr>
          <w:lang w:val="en-GB"/>
        </w:rPr>
        <w:t>hydrogen-powered vehicle</w:t>
      </w:r>
      <w:r w:rsidR="00477AFD">
        <w:rPr>
          <w:lang w:val="en-GB"/>
        </w:rPr>
        <w:t xml:space="preserve">s under fire </w:t>
      </w:r>
      <w:r w:rsidR="00E875C6">
        <w:rPr>
          <w:lang w:val="en-GB"/>
        </w:rPr>
        <w:t>attack</w:t>
      </w:r>
      <w:r w:rsidR="00477AFD">
        <w:rPr>
          <w:lang w:val="en-GB"/>
        </w:rPr>
        <w:t xml:space="preserve"> is</w:t>
      </w:r>
      <w:r w:rsidR="008445A6">
        <w:rPr>
          <w:lang w:val="en-GB"/>
        </w:rPr>
        <w:t xml:space="preserve"> </w:t>
      </w:r>
      <w:r w:rsidR="00A70C9B" w:rsidRPr="00A70C9B">
        <w:rPr>
          <w:lang w:val="en-GB"/>
        </w:rPr>
        <w:t xml:space="preserve">demonstrated through the analysis of </w:t>
      </w:r>
      <w:r w:rsidR="00DF1C0A">
        <w:rPr>
          <w:lang w:val="en-GB"/>
        </w:rPr>
        <w:t>a series of case stud</w:t>
      </w:r>
      <w:r w:rsidR="005C6EC4">
        <w:rPr>
          <w:lang w:val="en-GB"/>
        </w:rPr>
        <w:t>ies</w:t>
      </w:r>
      <w:r w:rsidR="00714F7D">
        <w:rPr>
          <w:lang w:val="en-GB"/>
        </w:rPr>
        <w:t>.</w:t>
      </w:r>
      <w:r w:rsidR="005F66E4">
        <w:rPr>
          <w:lang w:val="en-GB"/>
        </w:rPr>
        <w:t xml:space="preserve"> </w:t>
      </w:r>
    </w:p>
    <w:p w14:paraId="2E6228CB" w14:textId="77777777" w:rsidR="00636355" w:rsidRDefault="009E02B5" w:rsidP="00636355">
      <w:pPr>
        <w:pStyle w:val="CETHeading1"/>
        <w:rPr>
          <w:lang w:val="en-GB"/>
        </w:rPr>
      </w:pPr>
      <w:r>
        <w:rPr>
          <w:lang w:val="en-GB"/>
        </w:rPr>
        <w:t>Methodology</w:t>
      </w:r>
    </w:p>
    <w:tbl>
      <w:tblPr>
        <w:tblStyle w:val="TableGrid"/>
        <w:tblpPr w:leftFromText="180" w:rightFromText="180" w:vertAnchor="text" w:horzAnchor="margin" w:tblpY="16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222"/>
      </w:tblGrid>
      <w:tr w:rsidR="00020F88" w14:paraId="52070156" w14:textId="77777777" w:rsidTr="00020F88">
        <w:trPr>
          <w:trHeight w:val="4810"/>
        </w:trPr>
        <w:tc>
          <w:tcPr>
            <w:tcW w:w="8565" w:type="dxa"/>
          </w:tcPr>
          <w:p w14:paraId="5E4DBEEB" w14:textId="77777777" w:rsidR="00020F88" w:rsidRDefault="00020F88" w:rsidP="00020F88">
            <w:pPr>
              <w:pStyle w:val="CETBodytext"/>
              <w:keepNext/>
              <w:jc w:val="left"/>
            </w:pPr>
            <w:r w:rsidRPr="00076F0D">
              <w:rPr>
                <w:noProof/>
              </w:rPr>
              <w:drawing>
                <wp:inline distT="0" distB="0" distL="0" distR="0" wp14:anchorId="71CB33EE" wp14:editId="1B941CB0">
                  <wp:extent cx="5339751" cy="2685987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751" cy="268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21EB3" w14:textId="1D9F174E" w:rsidR="00020F88" w:rsidRDefault="00020F88" w:rsidP="00020F88">
            <w:pPr>
              <w:pStyle w:val="CETCaption"/>
              <w:spacing w:after="80"/>
            </w:pPr>
            <w:r>
              <w:t xml:space="preserve">Figure </w:t>
            </w:r>
            <w:r w:rsidR="003D7A91">
              <w:rPr>
                <w:noProof/>
              </w:rPr>
              <w:t>1</w:t>
            </w:r>
            <w:r>
              <w:t xml:space="preserve">. Schematic representation of the thermal node discretization. L = liquid, Se = external shell, Si = internal shell, </w:t>
            </w:r>
            <w:proofErr w:type="spellStart"/>
            <w:r>
              <w:t>rl</w:t>
            </w:r>
            <w:proofErr w:type="spellEnd"/>
            <w:r>
              <w:t xml:space="preserve"> = radiative layer. Nodes 1 to N refer to the MLI radiative layers.</w:t>
            </w:r>
          </w:p>
        </w:tc>
        <w:tc>
          <w:tcPr>
            <w:tcW w:w="222" w:type="dxa"/>
          </w:tcPr>
          <w:p w14:paraId="5180B75B" w14:textId="77777777" w:rsidR="00020F88" w:rsidRPr="00D172BD" w:rsidRDefault="00020F88" w:rsidP="00020F88">
            <w:pPr>
              <w:pStyle w:val="CETBodytext"/>
              <w:keepNext/>
              <w:jc w:val="left"/>
              <w:rPr>
                <w:noProof/>
              </w:rPr>
            </w:pPr>
          </w:p>
        </w:tc>
      </w:tr>
    </w:tbl>
    <w:p w14:paraId="5D9D493C" w14:textId="7E550504" w:rsidR="00020F88" w:rsidRDefault="007A43A6" w:rsidP="0094327A">
      <w:pPr>
        <w:pStyle w:val="CETBodytext"/>
      </w:pPr>
      <w:r>
        <w:t>MLI systems are composed of several layers of low</w:t>
      </w:r>
      <w:r w:rsidR="005405F6">
        <w:t>-</w:t>
      </w:r>
      <w:r>
        <w:t>emissivity material</w:t>
      </w:r>
      <w:r w:rsidR="00824B58">
        <w:t xml:space="preserve"> (</w:t>
      </w:r>
      <w:r w:rsidR="00C91946">
        <w:t>radiative layers</w:t>
      </w:r>
      <w:r w:rsidR="00824B58">
        <w:t>)</w:t>
      </w:r>
      <w:r>
        <w:t xml:space="preserve"> interleaved with </w:t>
      </w:r>
      <w:r w:rsidR="0018675A">
        <w:t>high-free volume</w:t>
      </w:r>
      <w:r>
        <w:t xml:space="preserve"> spacers</w:t>
      </w:r>
      <w:r w:rsidR="00C91946">
        <w:t>. Th</w:t>
      </w:r>
      <w:r w:rsidR="00F326BC">
        <w:t>e</w:t>
      </w:r>
      <w:r w:rsidR="005B5749">
        <w:t>se are</w:t>
      </w:r>
      <w:r w:rsidR="00F326BC">
        <w:t xml:space="preserve"> enclosed </w:t>
      </w:r>
      <w:r w:rsidR="0094327A">
        <w:t>w</w:t>
      </w:r>
      <w:r w:rsidR="005405F6">
        <w:t>ith</w:t>
      </w:r>
      <w:r w:rsidR="0094327A">
        <w:t>in</w:t>
      </w:r>
      <w:r w:rsidR="00824B58">
        <w:t xml:space="preserve"> the</w:t>
      </w:r>
      <w:r w:rsidR="005B5749">
        <w:t xml:space="preserve"> </w:t>
      </w:r>
      <w:r w:rsidR="00824B58">
        <w:t xml:space="preserve">vessel </w:t>
      </w:r>
      <w:r w:rsidR="005B5749">
        <w:t>double walled shell, working under high-vacuum condition</w:t>
      </w:r>
      <w:r w:rsidR="005405F6">
        <w:t>s</w:t>
      </w:r>
      <w:r w:rsidR="0018675A">
        <w:t>.</w:t>
      </w:r>
      <w:r w:rsidR="00D17B87">
        <w:t xml:space="preserve"> </w:t>
      </w:r>
      <w:r w:rsidR="00636355" w:rsidRPr="003A08AC">
        <w:t xml:space="preserve">The MLI thermal degradation model presented in this study </w:t>
      </w:r>
      <w:r w:rsidR="0087239A" w:rsidRPr="003A08AC">
        <w:t>subdivides</w:t>
      </w:r>
      <w:r w:rsidR="00636355" w:rsidRPr="003A08AC">
        <w:t xml:space="preserve"> the</w:t>
      </w:r>
      <w:r w:rsidR="00D17B87">
        <w:t xml:space="preserve"> </w:t>
      </w:r>
      <w:r w:rsidR="00FB44F2">
        <w:t>tank</w:t>
      </w:r>
      <w:r w:rsidR="00636355" w:rsidRPr="003A08AC">
        <w:t xml:space="preserve"> in</w:t>
      </w:r>
      <w:r w:rsidR="0087239A" w:rsidRPr="003A08AC">
        <w:t>to</w:t>
      </w:r>
      <w:r w:rsidR="00636355" w:rsidRPr="003A08AC">
        <w:t xml:space="preserve"> </w:t>
      </w:r>
      <w:r w:rsidR="00636355" w:rsidRPr="00122492">
        <w:rPr>
          <w:i/>
        </w:rPr>
        <w:t>N</w:t>
      </w:r>
      <w:r w:rsidR="00636355" w:rsidRPr="003A08AC">
        <w:t>+3 nodes, as depicted in</w:t>
      </w:r>
      <w:r w:rsidR="005D296F">
        <w:t xml:space="preserve"> Figure 1</w:t>
      </w:r>
      <w:r w:rsidR="00512301">
        <w:t xml:space="preserve">. </w:t>
      </w:r>
      <w:r w:rsidR="00195B8F">
        <w:t>A node is assigned to e</w:t>
      </w:r>
      <w:r w:rsidR="00512301">
        <w:t xml:space="preserve">ach one of the </w:t>
      </w:r>
      <w:r w:rsidR="00512301" w:rsidRPr="00122492">
        <w:rPr>
          <w:i/>
        </w:rPr>
        <w:t>N</w:t>
      </w:r>
      <w:r w:rsidR="00512301">
        <w:t xml:space="preserve"> </w:t>
      </w:r>
      <w:r w:rsidR="00636355" w:rsidRPr="003A08AC">
        <w:t>radi</w:t>
      </w:r>
      <w:r w:rsidR="0094327A">
        <w:t>ative</w:t>
      </w:r>
      <w:r w:rsidR="00636355" w:rsidRPr="003A08AC">
        <w:t xml:space="preserve"> layers</w:t>
      </w:r>
      <w:r w:rsidR="00540919">
        <w:t xml:space="preserve">. </w:t>
      </w:r>
      <w:r w:rsidR="006A7009">
        <w:t xml:space="preserve">The internal and external shells are </w:t>
      </w:r>
      <w:r w:rsidR="00195B8F">
        <w:t>represented by node</w:t>
      </w:r>
      <w:r w:rsidR="008E6B9F">
        <w:t xml:space="preserve"> </w:t>
      </w:r>
      <w:r w:rsidR="007A62D8" w:rsidRPr="00122492">
        <w:rPr>
          <w:i/>
        </w:rPr>
        <w:t>S</w:t>
      </w:r>
      <w:r w:rsidR="007A62D8" w:rsidRPr="00122492">
        <w:rPr>
          <w:i/>
          <w:vertAlign w:val="subscript"/>
        </w:rPr>
        <w:t>i</w:t>
      </w:r>
      <w:r w:rsidR="00FC1989">
        <w:t xml:space="preserve"> </w:t>
      </w:r>
      <w:r w:rsidR="007A62D8">
        <w:t xml:space="preserve">and </w:t>
      </w:r>
      <w:r w:rsidR="007A62D8" w:rsidRPr="00122492">
        <w:rPr>
          <w:i/>
        </w:rPr>
        <w:t>Se</w:t>
      </w:r>
      <w:r w:rsidR="008E6B9F">
        <w:t xml:space="preserve">, </w:t>
      </w:r>
      <w:r w:rsidR="00195B8F" w:rsidRPr="008E6B9F">
        <w:t>respectively</w:t>
      </w:r>
      <w:r w:rsidR="00195B8F">
        <w:t>.</w:t>
      </w:r>
      <w:r w:rsidR="004A355F">
        <w:t xml:space="preserve"> Finally,</w:t>
      </w:r>
      <w:r w:rsidR="000B49FE">
        <w:t xml:space="preserve"> </w:t>
      </w:r>
      <w:r w:rsidR="0077335D">
        <w:t xml:space="preserve">node </w:t>
      </w:r>
      <w:r w:rsidR="0077335D" w:rsidRPr="00122492">
        <w:rPr>
          <w:i/>
        </w:rPr>
        <w:t>L</w:t>
      </w:r>
      <w:r w:rsidR="000B49FE">
        <w:t>,</w:t>
      </w:r>
      <w:r w:rsidR="00FE5E67">
        <w:t xml:space="preserve"> representative </w:t>
      </w:r>
      <w:r w:rsidR="00122492">
        <w:t>of</w:t>
      </w:r>
      <w:r w:rsidR="00FE5E67">
        <w:t xml:space="preserve"> the </w:t>
      </w:r>
      <w:r w:rsidR="007A62D8">
        <w:t xml:space="preserve">liquid </w:t>
      </w:r>
      <w:r w:rsidR="0077335D">
        <w:t xml:space="preserve">hydrogen </w:t>
      </w:r>
      <w:r w:rsidR="00F5272D">
        <w:t>thermal behavior</w:t>
      </w:r>
      <w:r w:rsidR="000B49FE">
        <w:t>,</w:t>
      </w:r>
      <w:r w:rsidR="00F5272D">
        <w:t xml:space="preserve"> </w:t>
      </w:r>
      <w:r w:rsidR="00B63C55">
        <w:t xml:space="preserve">is </w:t>
      </w:r>
      <w:r w:rsidR="00F5272D">
        <w:t>included</w:t>
      </w:r>
      <w:r w:rsidR="00B63C55">
        <w:t xml:space="preserve"> to simulate </w:t>
      </w:r>
      <w:r w:rsidR="005405F6">
        <w:t xml:space="preserve">the </w:t>
      </w:r>
      <w:r w:rsidR="00020F88">
        <w:t xml:space="preserve">tank </w:t>
      </w:r>
      <w:r w:rsidR="00B63C55">
        <w:t>self-pressurization rate</w:t>
      </w:r>
      <w:r w:rsidR="0077335D">
        <w:t>.</w:t>
      </w:r>
      <w:r w:rsidR="004B36C0">
        <w:t xml:space="preserve"> A transient thermal heat balance equation is written for </w:t>
      </w:r>
      <w:r w:rsidR="00CE267F">
        <w:t>each node</w:t>
      </w:r>
      <w:r w:rsidR="004C6366" w:rsidRPr="004C6366">
        <w:t xml:space="preserve"> </w:t>
      </w:r>
      <w:r w:rsidR="00CE267F">
        <w:t>(</w:t>
      </w:r>
      <w:r w:rsidR="00B27BAE">
        <w:t xml:space="preserve">eq. 1 to </w:t>
      </w:r>
      <w:r w:rsidR="00CA2D31">
        <w:t>6</w:t>
      </w:r>
      <w:r w:rsidR="00B27BAE">
        <w:t xml:space="preserve"> in</w:t>
      </w:r>
      <w:r w:rsidR="00CE267F">
        <w:t xml:space="preserve"> </w:t>
      </w:r>
      <w:r w:rsidR="004C6366">
        <w:t>Table 1</w:t>
      </w:r>
      <w:r w:rsidR="00CE267F">
        <w:t>)</w:t>
      </w:r>
      <w:r w:rsidR="00B27BAE">
        <w:t>.</w:t>
      </w:r>
    </w:p>
    <w:p w14:paraId="59F95DE7" w14:textId="78D821FD" w:rsidR="00107931" w:rsidRDefault="00107931" w:rsidP="00107931">
      <w:pPr>
        <w:pStyle w:val="CETTabletitle"/>
      </w:pPr>
      <w:r>
        <w:t xml:space="preserve">Table </w:t>
      </w:r>
      <w:r w:rsidR="003D7A91">
        <w:rPr>
          <w:noProof/>
        </w:rPr>
        <w:t>1</w:t>
      </w:r>
      <w:r>
        <w:t>.</w:t>
      </w:r>
      <w:r w:rsidRPr="00FF62FE">
        <w:t xml:space="preserve"> Set of the equation used for the MLI thermal degradation model.</w:t>
      </w:r>
    </w:p>
    <w:tbl>
      <w:tblPr>
        <w:tblpPr w:leftFromText="180" w:rightFromText="180" w:vertAnchor="page" w:horzAnchor="margin" w:tblpY="11241"/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731"/>
        <w:gridCol w:w="7047"/>
        <w:gridCol w:w="564"/>
      </w:tblGrid>
      <w:tr w:rsidR="00020F88" w:rsidRPr="00D17362" w14:paraId="58B3B411" w14:textId="77777777" w:rsidTr="00107931">
        <w:tc>
          <w:tcPr>
            <w:tcW w:w="25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B1975E5" w14:textId="77777777" w:rsidR="00020F88" w:rsidRPr="00D17362" w:rsidRDefault="00020F88" w:rsidP="00107931">
            <w:pPr>
              <w:pStyle w:val="CETBodytext"/>
              <w:jc w:val="center"/>
              <w:rPr>
                <w:lang w:val="en-GB"/>
              </w:rPr>
            </w:pPr>
            <w:r w:rsidRPr="00D17362">
              <w:rPr>
                <w:lang w:val="en-GB"/>
              </w:rPr>
              <w:t>Node</w:t>
            </w:r>
          </w:p>
        </w:tc>
        <w:tc>
          <w:tcPr>
            <w:tcW w:w="41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0ACC9ED9" w14:textId="77777777" w:rsidR="00020F88" w:rsidRPr="00D17362" w:rsidRDefault="00020F88" w:rsidP="00107931">
            <w:pPr>
              <w:pStyle w:val="CETBodytext"/>
              <w:jc w:val="center"/>
              <w:rPr>
                <w:lang w:val="en-GB"/>
              </w:rPr>
            </w:pPr>
            <w:r w:rsidRPr="00D17362">
              <w:rPr>
                <w:lang w:val="en-GB"/>
              </w:rPr>
              <w:t>Variable</w:t>
            </w:r>
          </w:p>
        </w:tc>
        <w:tc>
          <w:tcPr>
            <w:tcW w:w="401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66F69756" w14:textId="77777777" w:rsidR="00020F88" w:rsidRPr="00D17362" w:rsidRDefault="00020F88" w:rsidP="00107931">
            <w:pPr>
              <w:pStyle w:val="CETBodytext"/>
              <w:jc w:val="center"/>
              <w:rPr>
                <w:lang w:val="en-GB"/>
              </w:rPr>
            </w:pPr>
            <w:r w:rsidRPr="00D17362">
              <w:rPr>
                <w:lang w:val="en-GB"/>
              </w:rPr>
              <w:t>Equation</w:t>
            </w:r>
          </w:p>
        </w:tc>
        <w:tc>
          <w:tcPr>
            <w:tcW w:w="32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D18BA67" w14:textId="77777777" w:rsidR="00020F88" w:rsidRPr="00D17362" w:rsidRDefault="00020F88" w:rsidP="00107931">
            <w:pPr>
              <w:pStyle w:val="CETBodytext"/>
              <w:ind w:right="-1"/>
              <w:jc w:val="center"/>
              <w:rPr>
                <w:lang w:val="en-GB"/>
              </w:rPr>
            </w:pPr>
            <w:r w:rsidRPr="00D17362">
              <w:rPr>
                <w:lang w:val="en-GB"/>
              </w:rPr>
              <w:t>Eq. N°</w:t>
            </w:r>
          </w:p>
        </w:tc>
      </w:tr>
      <w:tr w:rsidR="00020F88" w:rsidRPr="00D17362" w14:paraId="728B8540" w14:textId="77777777" w:rsidTr="00107931">
        <w:tc>
          <w:tcPr>
            <w:tcW w:w="2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0FE84A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rFonts w:cs="Arial"/>
                <w:i/>
                <w:szCs w:val="18"/>
                <w:lang w:val="en-GB"/>
              </w:rPr>
            </w:pPr>
            <w:r w:rsidRPr="00122492">
              <w:rPr>
                <w:rFonts w:cs="Arial"/>
                <w:i/>
                <w:szCs w:val="18"/>
                <w:lang w:val="en-GB"/>
              </w:rPr>
              <w:t>S</w:t>
            </w:r>
            <w:r w:rsidRPr="00122492">
              <w:rPr>
                <w:rFonts w:cs="Arial"/>
                <w:i/>
                <w:szCs w:val="18"/>
                <w:vertAlign w:val="subscript"/>
                <w:lang w:val="en-GB"/>
              </w:rPr>
              <w:t>e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4F18E0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i/>
                <w:lang w:val="en-GB"/>
              </w:rPr>
            </w:pPr>
            <w:proofErr w:type="spellStart"/>
            <w:r w:rsidRPr="00122492">
              <w:rPr>
                <w:i/>
                <w:lang w:val="en-GB"/>
              </w:rPr>
              <w:t>T</w:t>
            </w:r>
            <w:r w:rsidRPr="00122492">
              <w:rPr>
                <w:i/>
                <w:vertAlign w:val="subscript"/>
                <w:lang w:val="en-GB"/>
              </w:rPr>
              <w:t>Se</w:t>
            </w:r>
            <w:proofErr w:type="spellEnd"/>
          </w:p>
        </w:tc>
        <w:tc>
          <w:tcPr>
            <w:tcW w:w="40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7A39D8" w14:textId="7747352B" w:rsidR="00020F88" w:rsidRDefault="00BB1D3C" w:rsidP="00107931">
            <w:pPr>
              <w:pStyle w:val="CETEquation"/>
              <w:spacing w:before="0" w:after="0"/>
              <w:rPr>
                <w:rFonts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_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BB</m:t>
                        </m:r>
                        <m:r>
                          <w:rPr>
                            <w:rFonts w:ascii="Cambria Math" w:hAnsi="Cambria Math"/>
                          </w:rPr>
                          <m:t>_</m:t>
                        </m:r>
                        <m:r>
                          <w:rPr>
                            <w:rFonts w:ascii="Cambria Math" w:hAnsi="Cambria Math"/>
                          </w:rPr>
                          <m:t>fire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ε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sub>
                                </m:sSub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09EB10" w14:textId="0398223A" w:rsidR="00020F88" w:rsidRPr="00D17362" w:rsidRDefault="00020F88" w:rsidP="00107931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 w:rsidR="00107931">
              <w:rPr>
                <w:rFonts w:cs="Arial"/>
                <w:szCs w:val="18"/>
                <w:lang w:val="en-GB"/>
              </w:rPr>
              <w:t>1</w:t>
            </w:r>
            <w:r w:rsidRPr="00D17362">
              <w:rPr>
                <w:rFonts w:cs="Arial"/>
                <w:szCs w:val="18"/>
                <w:lang w:val="en-GB"/>
              </w:rPr>
              <w:t>)</w:t>
            </w:r>
          </w:p>
        </w:tc>
      </w:tr>
      <w:tr w:rsidR="00020F88" w:rsidRPr="00D17362" w14:paraId="3FCD7A4B" w14:textId="77777777" w:rsidTr="00107931">
        <w:tc>
          <w:tcPr>
            <w:tcW w:w="2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3CA2E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rFonts w:cs="Arial"/>
                <w:i/>
                <w:szCs w:val="18"/>
                <w:lang w:val="en-GB"/>
              </w:rPr>
            </w:pPr>
            <w:r w:rsidRPr="00122492">
              <w:rPr>
                <w:rFonts w:cs="Arial"/>
                <w:i/>
                <w:szCs w:val="18"/>
                <w:lang w:val="en-GB"/>
              </w:rPr>
              <w:t>N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F03022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i/>
                <w:lang w:val="en-GB"/>
              </w:rPr>
            </w:pPr>
            <w:r w:rsidRPr="00122492">
              <w:rPr>
                <w:i/>
                <w:lang w:val="en-GB"/>
              </w:rPr>
              <w:t>T</w:t>
            </w:r>
            <w:r w:rsidRPr="00122492">
              <w:rPr>
                <w:i/>
                <w:vertAlign w:val="subscript"/>
                <w:lang w:val="en-GB"/>
              </w:rPr>
              <w:t>N</w:t>
            </w:r>
          </w:p>
        </w:tc>
        <w:tc>
          <w:tcPr>
            <w:tcW w:w="40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37811" w14:textId="4AC450AF" w:rsidR="00020F88" w:rsidRDefault="00BB1D3C" w:rsidP="00107931">
            <w:pPr>
              <w:pStyle w:val="CETEquation"/>
              <w:spacing w:before="0" w:after="0"/>
              <w:rPr>
                <w:rFonts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rl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rl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ε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sub>
                                </m:sSub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D21DC9" w14:textId="22D5754E" w:rsidR="00020F88" w:rsidRPr="00D17362" w:rsidRDefault="00020F88" w:rsidP="00107931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 w:rsidR="00107931">
              <w:rPr>
                <w:rFonts w:cs="Arial"/>
                <w:szCs w:val="18"/>
                <w:lang w:val="en-GB"/>
              </w:rPr>
              <w:t>2</w:t>
            </w:r>
            <w:r w:rsidRPr="00D17362">
              <w:rPr>
                <w:rFonts w:cs="Arial"/>
                <w:szCs w:val="18"/>
                <w:lang w:val="en-GB"/>
              </w:rPr>
              <w:t>)</w:t>
            </w:r>
          </w:p>
        </w:tc>
      </w:tr>
      <w:tr w:rsidR="00020F88" w:rsidRPr="00D17362" w14:paraId="692A5820" w14:textId="77777777" w:rsidTr="00107931">
        <w:tc>
          <w:tcPr>
            <w:tcW w:w="2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D953A8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rFonts w:cs="Arial"/>
                <w:i/>
                <w:szCs w:val="18"/>
                <w:lang w:val="en-GB"/>
              </w:rPr>
            </w:pPr>
            <w:proofErr w:type="spellStart"/>
            <w:r w:rsidRPr="00122492">
              <w:rPr>
                <w:rFonts w:cs="Arial"/>
                <w:i/>
                <w:szCs w:val="18"/>
                <w:lang w:val="en-GB"/>
              </w:rPr>
              <w:t>i</w:t>
            </w:r>
            <w:proofErr w:type="spellEnd"/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6B27A6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rFonts w:cs="Arial"/>
                <w:i/>
                <w:szCs w:val="18"/>
                <w:lang w:val="en-GB"/>
              </w:rPr>
            </w:pPr>
            <w:proofErr w:type="spellStart"/>
            <w:r w:rsidRPr="00122492">
              <w:rPr>
                <w:i/>
                <w:lang w:val="en-GB"/>
              </w:rPr>
              <w:t>T</w:t>
            </w:r>
            <w:r w:rsidRPr="00122492">
              <w:rPr>
                <w:i/>
                <w:vertAlign w:val="subscript"/>
                <w:lang w:val="en-GB"/>
              </w:rPr>
              <w:t>i</w:t>
            </w:r>
            <w:proofErr w:type="spellEnd"/>
          </w:p>
        </w:tc>
        <w:tc>
          <w:tcPr>
            <w:tcW w:w="40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DD006B" w14:textId="02C5F9F7" w:rsidR="00020F88" w:rsidRPr="00D17362" w:rsidRDefault="00BB1D3C" w:rsidP="00107931">
            <w:pPr>
              <w:pStyle w:val="CETEquation"/>
              <w:spacing w:before="0" w:after="0"/>
              <w:rPr>
                <w:rFonts w:cs="Arial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rl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rl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65DF0B" w14:textId="51CA2229" w:rsidR="00020F88" w:rsidRPr="00D17362" w:rsidRDefault="00020F88" w:rsidP="00107931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 w:rsidR="00107931">
              <w:rPr>
                <w:rFonts w:cs="Arial"/>
                <w:szCs w:val="18"/>
                <w:lang w:val="en-GB"/>
              </w:rPr>
              <w:t>3</w:t>
            </w:r>
            <w:r w:rsidRPr="00D17362">
              <w:rPr>
                <w:rFonts w:cs="Arial"/>
                <w:szCs w:val="18"/>
                <w:lang w:val="en-GB"/>
              </w:rPr>
              <w:t>)</w:t>
            </w:r>
          </w:p>
        </w:tc>
      </w:tr>
      <w:tr w:rsidR="00020F88" w:rsidRPr="00D17362" w14:paraId="018F4474" w14:textId="77777777" w:rsidTr="00107931">
        <w:tc>
          <w:tcPr>
            <w:tcW w:w="2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83A722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rFonts w:cs="Arial"/>
                <w:i/>
                <w:szCs w:val="18"/>
                <w:lang w:val="en-GB"/>
              </w:rPr>
            </w:pPr>
            <w:r w:rsidRPr="00122492">
              <w:rPr>
                <w:rFonts w:cs="Arial"/>
                <w:i/>
                <w:szCs w:val="18"/>
                <w:lang w:val="en-GB"/>
              </w:rPr>
              <w:t>1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AF7F39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rFonts w:cs="Arial"/>
                <w:i/>
                <w:szCs w:val="18"/>
                <w:vertAlign w:val="subscript"/>
                <w:lang w:val="en-GB"/>
              </w:rPr>
            </w:pPr>
            <w:r w:rsidRPr="00122492">
              <w:rPr>
                <w:i/>
                <w:lang w:val="en-GB"/>
              </w:rPr>
              <w:t>T</w:t>
            </w:r>
            <w:r w:rsidRPr="00122492">
              <w:rPr>
                <w:i/>
                <w:vertAlign w:val="subscript"/>
                <w:lang w:val="en-GB"/>
              </w:rPr>
              <w:t>1</w:t>
            </w:r>
          </w:p>
        </w:tc>
        <w:tc>
          <w:tcPr>
            <w:tcW w:w="40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B06635" w14:textId="5341D00C" w:rsidR="00020F88" w:rsidRPr="00D17362" w:rsidRDefault="00BB1D3C" w:rsidP="00107931">
            <w:pPr>
              <w:pStyle w:val="CETEquation"/>
              <w:spacing w:before="0" w:after="0"/>
              <w:rPr>
                <w:rFonts w:cs="Arial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rl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rl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4DB115" w14:textId="12F0FD37" w:rsidR="00020F88" w:rsidRPr="00D17362" w:rsidRDefault="00020F88" w:rsidP="00107931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 w:rsidR="00107931">
              <w:rPr>
                <w:rFonts w:cs="Arial"/>
                <w:szCs w:val="18"/>
                <w:lang w:val="en-GB"/>
              </w:rPr>
              <w:t>4</w:t>
            </w:r>
            <w:r w:rsidRPr="00D17362">
              <w:rPr>
                <w:rFonts w:cs="Arial"/>
                <w:szCs w:val="18"/>
                <w:lang w:val="en-GB"/>
              </w:rPr>
              <w:t>)</w:t>
            </w:r>
          </w:p>
        </w:tc>
      </w:tr>
      <w:tr w:rsidR="00020F88" w:rsidRPr="00D17362" w14:paraId="105B9C46" w14:textId="77777777" w:rsidTr="00107931">
        <w:tc>
          <w:tcPr>
            <w:tcW w:w="2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41D71A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rFonts w:cs="Arial"/>
                <w:i/>
                <w:szCs w:val="18"/>
                <w:lang w:val="en-GB"/>
              </w:rPr>
            </w:pPr>
            <w:r w:rsidRPr="00122492">
              <w:rPr>
                <w:rFonts w:cs="Arial"/>
                <w:i/>
                <w:szCs w:val="18"/>
                <w:lang w:val="en-GB"/>
              </w:rPr>
              <w:t>S</w:t>
            </w:r>
            <w:r w:rsidRPr="00122492">
              <w:rPr>
                <w:rFonts w:cs="Arial"/>
                <w:i/>
                <w:szCs w:val="18"/>
                <w:vertAlign w:val="subscript"/>
                <w:lang w:val="en-GB"/>
              </w:rPr>
              <w:t>i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E5ECCB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rFonts w:cs="Arial"/>
                <w:i/>
                <w:szCs w:val="18"/>
                <w:vertAlign w:val="subscript"/>
                <w:lang w:val="en-GB"/>
              </w:rPr>
            </w:pPr>
            <w:proofErr w:type="spellStart"/>
            <w:r w:rsidRPr="00122492">
              <w:rPr>
                <w:i/>
                <w:lang w:val="en-GB"/>
              </w:rPr>
              <w:t>T</w:t>
            </w:r>
            <w:r w:rsidRPr="00122492">
              <w:rPr>
                <w:i/>
                <w:vertAlign w:val="subscript"/>
                <w:lang w:val="en-GB"/>
              </w:rPr>
              <w:t>Si</w:t>
            </w:r>
            <w:proofErr w:type="spellEnd"/>
          </w:p>
        </w:tc>
        <w:tc>
          <w:tcPr>
            <w:tcW w:w="40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B9FFCA" w14:textId="06F6D2C6" w:rsidR="00020F88" w:rsidRPr="00D17362" w:rsidRDefault="00BB1D3C" w:rsidP="00107931">
            <w:pPr>
              <w:pStyle w:val="CETEquation"/>
              <w:spacing w:before="0" w:after="0"/>
              <w:rPr>
                <w:rFonts w:cs="Arial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_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96AC44" w14:textId="06BE4786" w:rsidR="00020F88" w:rsidRPr="00D17362" w:rsidRDefault="00020F88" w:rsidP="00107931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 w:rsidR="00107931">
              <w:rPr>
                <w:rFonts w:cs="Arial"/>
                <w:szCs w:val="18"/>
                <w:lang w:val="en-GB"/>
              </w:rPr>
              <w:t>5</w:t>
            </w:r>
            <w:r>
              <w:rPr>
                <w:rFonts w:cs="Arial"/>
                <w:szCs w:val="18"/>
                <w:lang w:val="en-GB"/>
              </w:rPr>
              <w:t>)</w:t>
            </w:r>
          </w:p>
        </w:tc>
      </w:tr>
      <w:tr w:rsidR="00020F88" w:rsidRPr="00D17362" w14:paraId="7A37628E" w14:textId="77777777" w:rsidTr="00107931">
        <w:tc>
          <w:tcPr>
            <w:tcW w:w="2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86EEAA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rFonts w:cs="Arial"/>
                <w:i/>
                <w:szCs w:val="18"/>
                <w:lang w:val="en-GB"/>
              </w:rPr>
            </w:pPr>
            <w:r w:rsidRPr="00122492">
              <w:rPr>
                <w:i/>
                <w:lang w:val="en-GB"/>
              </w:rPr>
              <w:t>L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7EC34E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i/>
                <w:lang w:val="en-GB"/>
              </w:rPr>
            </w:pPr>
            <w:r w:rsidRPr="00122492">
              <w:rPr>
                <w:i/>
                <w:lang w:val="en-GB"/>
              </w:rPr>
              <w:t>T</w:t>
            </w:r>
            <w:r w:rsidRPr="00122492">
              <w:rPr>
                <w:i/>
                <w:vertAlign w:val="subscript"/>
                <w:lang w:val="en-GB"/>
              </w:rPr>
              <w:t>L</w:t>
            </w:r>
          </w:p>
        </w:tc>
        <w:tc>
          <w:tcPr>
            <w:tcW w:w="40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74F1E" w14:textId="73630698" w:rsidR="00020F88" w:rsidRDefault="00BB1D3C" w:rsidP="00107931">
            <w:pPr>
              <w:pStyle w:val="CETEquation"/>
              <w:spacing w:before="0" w:after="0"/>
              <w:rPr>
                <w:rFonts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430C2F" w14:textId="4C7CA522" w:rsidR="00020F88" w:rsidRPr="00D17362" w:rsidRDefault="00020F88" w:rsidP="00107931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lang w:val="en-GB"/>
              </w:rPr>
              <w:t>(</w:t>
            </w:r>
            <w:r w:rsidR="00107931">
              <w:rPr>
                <w:lang w:val="en-GB"/>
              </w:rPr>
              <w:t>6</w:t>
            </w:r>
            <w:r w:rsidRPr="00D17362">
              <w:rPr>
                <w:lang w:val="en-GB"/>
              </w:rPr>
              <w:t>)</w:t>
            </w:r>
          </w:p>
        </w:tc>
      </w:tr>
      <w:tr w:rsidR="00020F88" w:rsidRPr="00D17362" w14:paraId="1DE29D39" w14:textId="77777777" w:rsidTr="00107931">
        <w:tc>
          <w:tcPr>
            <w:tcW w:w="253" w:type="pct"/>
            <w:tcBorders>
              <w:top w:val="nil"/>
              <w:bottom w:val="single" w:sz="12" w:space="0" w:color="008000"/>
            </w:tcBorders>
            <w:shd w:val="clear" w:color="auto" w:fill="FFFFFF"/>
            <w:vAlign w:val="center"/>
          </w:tcPr>
          <w:p w14:paraId="39CCC89D" w14:textId="77777777" w:rsidR="00020F88" w:rsidRPr="00D17362" w:rsidRDefault="00020F88" w:rsidP="00107931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416" w:type="pct"/>
            <w:tcBorders>
              <w:top w:val="nil"/>
              <w:bottom w:val="single" w:sz="12" w:space="0" w:color="008000"/>
            </w:tcBorders>
            <w:shd w:val="clear" w:color="auto" w:fill="FFFFFF"/>
            <w:vAlign w:val="center"/>
          </w:tcPr>
          <w:p w14:paraId="0038FF96" w14:textId="77777777" w:rsidR="00020F88" w:rsidRPr="00122492" w:rsidRDefault="00020F88" w:rsidP="00107931">
            <w:pPr>
              <w:pStyle w:val="CETBodytext"/>
              <w:ind w:right="-1"/>
              <w:jc w:val="center"/>
              <w:rPr>
                <w:rFonts w:cs="Arial"/>
                <w:i/>
                <w:szCs w:val="18"/>
                <w:lang w:val="en-GB"/>
              </w:rPr>
            </w:pPr>
            <w:r w:rsidRPr="00122492">
              <w:rPr>
                <w:rFonts w:cs="Arial"/>
                <w:i/>
                <w:szCs w:val="18"/>
                <w:lang w:val="en-GB"/>
              </w:rPr>
              <w:t>P</w:t>
            </w:r>
          </w:p>
        </w:tc>
        <w:tc>
          <w:tcPr>
            <w:tcW w:w="4010" w:type="pct"/>
            <w:tcBorders>
              <w:top w:val="nil"/>
              <w:bottom w:val="single" w:sz="12" w:space="0" w:color="008000"/>
            </w:tcBorders>
            <w:shd w:val="clear" w:color="auto" w:fill="FFFFFF"/>
            <w:vAlign w:val="center"/>
          </w:tcPr>
          <w:p w14:paraId="25B1DB16" w14:textId="77777777" w:rsidR="00020F88" w:rsidRPr="00D17362" w:rsidRDefault="00020F88" w:rsidP="00107931">
            <w:pPr>
              <w:pStyle w:val="CETEquation"/>
              <w:spacing w:before="0" w:after="0"/>
              <w:rPr>
                <w:rFonts w:cs="Arial"/>
                <w:szCs w:val="18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21" w:type="pct"/>
            <w:tcBorders>
              <w:top w:val="nil"/>
              <w:bottom w:val="single" w:sz="12" w:space="0" w:color="008000"/>
            </w:tcBorders>
            <w:shd w:val="clear" w:color="auto" w:fill="FFFFFF"/>
            <w:vAlign w:val="center"/>
          </w:tcPr>
          <w:p w14:paraId="332E9A4F" w14:textId="643BAB9A" w:rsidR="00020F88" w:rsidRPr="00D17362" w:rsidRDefault="00020F88" w:rsidP="00107931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 w:rsidR="00107931">
              <w:rPr>
                <w:rFonts w:cs="Arial"/>
                <w:szCs w:val="18"/>
                <w:lang w:val="en-GB"/>
              </w:rPr>
              <w:t>7</w:t>
            </w:r>
            <w:r w:rsidRPr="00D17362">
              <w:rPr>
                <w:rFonts w:cs="Arial"/>
                <w:szCs w:val="18"/>
                <w:lang w:val="en-GB"/>
              </w:rPr>
              <w:t>)</w:t>
            </w:r>
          </w:p>
        </w:tc>
      </w:tr>
    </w:tbl>
    <w:p w14:paraId="0C7AC24F" w14:textId="31F2DB64" w:rsidR="0094327A" w:rsidRPr="00020F88" w:rsidRDefault="00020F88" w:rsidP="0094327A">
      <w:pPr>
        <w:pStyle w:val="CETBodytext"/>
      </w:pPr>
      <w:r>
        <w:lastRenderedPageBreak/>
        <w:t xml:space="preserve">The heat transfer is considered </w:t>
      </w:r>
      <w:r w:rsidR="00960558">
        <w:t xml:space="preserve">to occur </w:t>
      </w:r>
      <w:r>
        <w:t xml:space="preserve">only </w:t>
      </w:r>
      <w:r w:rsidR="00960558">
        <w:t xml:space="preserve">in </w:t>
      </w:r>
      <w:r>
        <w:t xml:space="preserve">the </w:t>
      </w:r>
      <w:r w:rsidR="000465DB">
        <w:t xml:space="preserve">direction </w:t>
      </w:r>
      <w:r>
        <w:t xml:space="preserve">normal </w:t>
      </w:r>
      <w:r w:rsidR="000465DB">
        <w:t>to</w:t>
      </w:r>
      <w:r>
        <w:t xml:space="preserve"> </w:t>
      </w:r>
      <w:r w:rsidR="005405F6">
        <w:t>the surface of the layer</w:t>
      </w:r>
      <w:r>
        <w:t xml:space="preserve">, resulting in a one-dimensional approach. The heat flux </w:t>
      </w:r>
      <w:r>
        <w:rPr>
          <w:rFonts w:eastAsiaTheme="minorEastAsia"/>
        </w:rPr>
        <w:t>between any adjacent layer is expressed according to the classical “layer by layer” model proposed by</w:t>
      </w:r>
      <w:r w:rsidR="00E2383C">
        <w:rPr>
          <w:rFonts w:eastAsiaTheme="minorEastAsia"/>
        </w:rPr>
        <w:t xml:space="preserve"> </w:t>
      </w:r>
      <w:r w:rsidR="00E2383C" w:rsidRPr="00E2383C">
        <w:rPr>
          <w:rFonts w:eastAsiaTheme="minorEastAsia"/>
          <w:noProof/>
        </w:rPr>
        <w:t xml:space="preserve">McIntosh </w:t>
      </w:r>
      <w:r w:rsidR="00E2383C">
        <w:rPr>
          <w:rFonts w:eastAsiaTheme="minorEastAsia"/>
          <w:noProof/>
        </w:rPr>
        <w:t>(</w:t>
      </w:r>
      <w:r w:rsidR="00E2383C" w:rsidRPr="00E2383C">
        <w:rPr>
          <w:rFonts w:eastAsiaTheme="minorEastAsia"/>
          <w:noProof/>
        </w:rPr>
        <w:t>1994)</w:t>
      </w:r>
      <w:r>
        <w:rPr>
          <w:rFonts w:eastAsiaTheme="minorEastAsia"/>
        </w:rPr>
        <w:t xml:space="preserve">, in which three </w:t>
      </w:r>
      <w:r w:rsidR="00F91D0E">
        <w:rPr>
          <w:rFonts w:eastAsiaTheme="minorEastAsia"/>
        </w:rPr>
        <w:t xml:space="preserve">mechanisms </w:t>
      </w:r>
      <w:r>
        <w:rPr>
          <w:rFonts w:eastAsiaTheme="minorEastAsia"/>
        </w:rPr>
        <w:t xml:space="preserve">of heat </w:t>
      </w:r>
      <w:r w:rsidR="0094327A">
        <w:rPr>
          <w:rFonts w:eastAsiaTheme="minorEastAsia"/>
        </w:rPr>
        <w:t xml:space="preserve">transfer contribute to the total heat flux: </w:t>
      </w:r>
      <w:r w:rsidR="0094327A" w:rsidRPr="00D172BD">
        <w:rPr>
          <w:rFonts w:eastAsiaTheme="minorEastAsia"/>
        </w:rPr>
        <w:t xml:space="preserve">the thermal radiation between each </w:t>
      </w:r>
      <w:r w:rsidR="0094327A">
        <w:rPr>
          <w:rFonts w:eastAsiaTheme="minorEastAsia"/>
        </w:rPr>
        <w:t>layer</w:t>
      </w:r>
      <w:r w:rsidR="0094327A" w:rsidRPr="00D172BD">
        <w:rPr>
          <w:rFonts w:eastAsiaTheme="minorEastAsia"/>
        </w:rPr>
        <w:t xml:space="preserve"> </w:t>
      </w:r>
      <w:r w:rsidR="0094327A">
        <w:rPr>
          <w:rFonts w:eastAsiaTheme="minorEastAsia"/>
        </w:rPr>
        <w:t>(</w:t>
      </w:r>
      <w:proofErr w:type="spellStart"/>
      <w:r w:rsidR="0094327A" w:rsidRPr="00122492">
        <w:rPr>
          <w:rFonts w:eastAsiaTheme="minorEastAsia"/>
          <w:i/>
        </w:rPr>
        <w:t>q</w:t>
      </w:r>
      <w:r w:rsidR="0094327A" w:rsidRPr="00122492">
        <w:rPr>
          <w:rFonts w:eastAsiaTheme="minorEastAsia"/>
          <w:i/>
          <w:vertAlign w:val="subscript"/>
        </w:rPr>
        <w:t>rad</w:t>
      </w:r>
      <w:proofErr w:type="spellEnd"/>
      <w:r w:rsidR="00572378">
        <w:rPr>
          <w:rFonts w:eastAsiaTheme="minorEastAsia"/>
        </w:rPr>
        <w:t>, e</w:t>
      </w:r>
      <w:r w:rsidR="00E6711B">
        <w:rPr>
          <w:rFonts w:eastAsiaTheme="minorEastAsia"/>
        </w:rPr>
        <w:t>q. 8</w:t>
      </w:r>
      <w:r w:rsidR="0094327A">
        <w:rPr>
          <w:rFonts w:eastAsiaTheme="minorEastAsia"/>
        </w:rPr>
        <w:t>),</w:t>
      </w:r>
      <w:r w:rsidR="0094327A" w:rsidRPr="00D172BD">
        <w:rPr>
          <w:rFonts w:eastAsiaTheme="minorEastAsia"/>
        </w:rPr>
        <w:t xml:space="preserve"> </w:t>
      </w:r>
      <w:r w:rsidR="008E6B9F" w:rsidRPr="00D172BD">
        <w:rPr>
          <w:rFonts w:eastAsiaTheme="minorEastAsia"/>
        </w:rPr>
        <w:t>the solid conduction through the spacer</w:t>
      </w:r>
      <w:r w:rsidR="008E6B9F">
        <w:rPr>
          <w:rFonts w:eastAsiaTheme="minorEastAsia"/>
        </w:rPr>
        <w:t xml:space="preserve"> material (</w:t>
      </w:r>
      <w:proofErr w:type="spellStart"/>
      <w:r w:rsidR="008E6B9F" w:rsidRPr="00122492">
        <w:rPr>
          <w:rFonts w:eastAsiaTheme="minorEastAsia"/>
          <w:i/>
        </w:rPr>
        <w:t>q</w:t>
      </w:r>
      <w:r w:rsidR="008E6B9F" w:rsidRPr="00122492">
        <w:rPr>
          <w:rFonts w:eastAsiaTheme="minorEastAsia"/>
          <w:i/>
          <w:vertAlign w:val="subscript"/>
        </w:rPr>
        <w:t>s,cond</w:t>
      </w:r>
      <w:proofErr w:type="spellEnd"/>
      <w:r w:rsidR="008E6B9F">
        <w:rPr>
          <w:rFonts w:eastAsiaTheme="minorEastAsia"/>
        </w:rPr>
        <w:t>, eq. 9),</w:t>
      </w:r>
      <w:r w:rsidR="0094327A" w:rsidRPr="00D172BD">
        <w:rPr>
          <w:rFonts w:eastAsiaTheme="minorEastAsia"/>
        </w:rPr>
        <w:t xml:space="preserve"> and the </w:t>
      </w:r>
      <w:r w:rsidR="008E6B9F">
        <w:rPr>
          <w:rFonts w:eastAsiaTheme="minorEastAsia"/>
        </w:rPr>
        <w:t>gas</w:t>
      </w:r>
      <w:r w:rsidR="0094327A" w:rsidRPr="00D172BD">
        <w:rPr>
          <w:rFonts w:eastAsiaTheme="minorEastAsia"/>
        </w:rPr>
        <w:t xml:space="preserve"> conduction through the spacer</w:t>
      </w:r>
      <w:r w:rsidR="0094327A">
        <w:rPr>
          <w:rFonts w:eastAsiaTheme="minorEastAsia"/>
        </w:rPr>
        <w:t xml:space="preserve"> material</w:t>
      </w:r>
      <w:r w:rsidR="0094327A" w:rsidRPr="00D172BD">
        <w:rPr>
          <w:rFonts w:eastAsiaTheme="minorEastAsia"/>
        </w:rPr>
        <w:t xml:space="preserve"> </w:t>
      </w:r>
      <w:r w:rsidR="0094327A">
        <w:rPr>
          <w:rFonts w:eastAsiaTheme="minorEastAsia"/>
        </w:rPr>
        <w:t>(</w:t>
      </w:r>
      <w:proofErr w:type="spellStart"/>
      <w:r w:rsidR="0094327A" w:rsidRPr="00122492">
        <w:rPr>
          <w:rFonts w:eastAsiaTheme="minorEastAsia"/>
          <w:i/>
        </w:rPr>
        <w:t>q</w:t>
      </w:r>
      <w:r w:rsidR="008E6B9F" w:rsidRPr="00122492">
        <w:rPr>
          <w:rFonts w:eastAsiaTheme="minorEastAsia"/>
          <w:i/>
          <w:vertAlign w:val="subscript"/>
        </w:rPr>
        <w:t>g</w:t>
      </w:r>
      <w:r w:rsidR="0094327A" w:rsidRPr="00122492">
        <w:rPr>
          <w:rFonts w:eastAsiaTheme="minorEastAsia"/>
          <w:i/>
          <w:vertAlign w:val="subscript"/>
        </w:rPr>
        <w:t>,cond</w:t>
      </w:r>
      <w:proofErr w:type="spellEnd"/>
      <w:r w:rsidR="00572378">
        <w:rPr>
          <w:rFonts w:eastAsiaTheme="minorEastAsia"/>
        </w:rPr>
        <w:t>, eq. 10 and 11</w:t>
      </w:r>
      <w:r w:rsidR="0094327A">
        <w:rPr>
          <w:rFonts w:eastAsiaTheme="minorEastAsia"/>
        </w:rPr>
        <w:t xml:space="preserve">). </w:t>
      </w:r>
      <w:r w:rsidR="007C7F56">
        <w:rPr>
          <w:rFonts w:eastAsiaTheme="minorEastAsia"/>
        </w:rPr>
        <w:t>Thus, the total</w:t>
      </w:r>
      <w:r w:rsidR="0094327A">
        <w:rPr>
          <w:rFonts w:eastAsiaTheme="minorEastAsia"/>
        </w:rPr>
        <w:t xml:space="preserve"> heat flux from the </w:t>
      </w:r>
      <w:proofErr w:type="spellStart"/>
      <w:r w:rsidR="0094327A">
        <w:rPr>
          <w:rFonts w:eastAsiaTheme="minorEastAsia"/>
        </w:rPr>
        <w:t>i-th</w:t>
      </w:r>
      <w:proofErr w:type="spellEnd"/>
      <w:r w:rsidR="0094327A">
        <w:rPr>
          <w:rFonts w:eastAsiaTheme="minorEastAsia"/>
        </w:rPr>
        <w:t xml:space="preserve"> radiative layer to the (i-1)-</w:t>
      </w:r>
      <w:proofErr w:type="spellStart"/>
      <w:r w:rsidR="0094327A">
        <w:rPr>
          <w:rFonts w:eastAsiaTheme="minorEastAsia"/>
        </w:rPr>
        <w:t>th</w:t>
      </w:r>
      <w:proofErr w:type="spellEnd"/>
      <w:r w:rsidR="0094327A">
        <w:rPr>
          <w:rFonts w:eastAsiaTheme="minorEastAsia"/>
        </w:rPr>
        <w:t xml:space="preserve"> one is </w:t>
      </w:r>
      <w:r w:rsidR="00D262C0">
        <w:rPr>
          <w:rFonts w:eastAsiaTheme="minorEastAsia"/>
        </w:rPr>
        <w:t xml:space="preserve">calculated according to </w:t>
      </w:r>
      <w:r w:rsidR="00205188">
        <w:rPr>
          <w:rFonts w:eastAsiaTheme="minorEastAsia"/>
        </w:rPr>
        <w:t xml:space="preserve">eq. </w:t>
      </w:r>
      <w:r w:rsidR="008E6B9F">
        <w:rPr>
          <w:rFonts w:eastAsiaTheme="minorEastAsia"/>
        </w:rPr>
        <w:t>12.</w:t>
      </w:r>
    </w:p>
    <w:tbl>
      <w:tblPr>
        <w:tblpPr w:leftFromText="180" w:rightFromText="180" w:vertAnchor="text" w:horzAnchor="margin" w:tblpY="40"/>
        <w:tblW w:w="5000" w:type="pct"/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19"/>
        <w:gridCol w:w="431"/>
        <w:gridCol w:w="837"/>
      </w:tblGrid>
      <w:tr w:rsidR="0094327A" w:rsidRPr="00D17362" w14:paraId="710B932E" w14:textId="77777777" w:rsidTr="008E6B9F">
        <w:tc>
          <w:tcPr>
            <w:tcW w:w="4278" w:type="pct"/>
            <w:shd w:val="clear" w:color="auto" w:fill="FFFFFF"/>
            <w:vAlign w:val="center"/>
          </w:tcPr>
          <w:bookmarkStart w:id="2" w:name="_Hlk126232331"/>
          <w:p w14:paraId="21C1C736" w14:textId="77777777" w:rsidR="0094327A" w:rsidRPr="00D17362" w:rsidRDefault="00BB1D3C" w:rsidP="001E7DF8">
            <w:pPr>
              <w:pStyle w:val="CETEquation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rad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σ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="Calibri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Calibri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1</m:t>
                        </m:r>
                      </m:e>
                    </m:d>
                  </m:den>
                </m:f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Calibri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4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</w:rPr>
                          <m:t>i</m:t>
                        </m:r>
                        <m:r>
                          <w:rPr>
                            <w:rFonts w:ascii="Cambria Math" w:eastAsia="Calibri" w:hAnsi="Cambria Math"/>
                          </w:rPr>
                          <m:t>-</m:t>
                        </m:r>
                        <m:r>
                          <w:rPr>
                            <w:rFonts w:ascii="Cambria Math" w:eastAsia="Calibri" w:hAnsi="Cambria Math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4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245" w:type="pct"/>
            <w:shd w:val="clear" w:color="auto" w:fill="FFFFFF"/>
          </w:tcPr>
          <w:p w14:paraId="220429A7" w14:textId="77777777" w:rsidR="0094327A" w:rsidRPr="00D17362" w:rsidRDefault="0094327A" w:rsidP="001E7DF8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14BEA6A4" w14:textId="10BE5470" w:rsidR="0094327A" w:rsidRPr="00D17362" w:rsidRDefault="0094327A" w:rsidP="001E7DF8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 w:rsidR="008E6B9F">
              <w:rPr>
                <w:rFonts w:cs="Arial"/>
                <w:szCs w:val="18"/>
                <w:lang w:val="en-GB"/>
              </w:rPr>
              <w:t>8</w:t>
            </w:r>
            <w:r w:rsidRPr="00D17362">
              <w:rPr>
                <w:rFonts w:cs="Arial"/>
                <w:szCs w:val="18"/>
                <w:lang w:val="en-GB"/>
              </w:rPr>
              <w:t>)</w:t>
            </w:r>
          </w:p>
        </w:tc>
      </w:tr>
      <w:tr w:rsidR="0094327A" w:rsidRPr="00D17362" w14:paraId="551302CB" w14:textId="77777777" w:rsidTr="008E6B9F">
        <w:tc>
          <w:tcPr>
            <w:tcW w:w="4278" w:type="pct"/>
            <w:shd w:val="clear" w:color="auto" w:fill="FFFFFF"/>
            <w:vAlign w:val="center"/>
          </w:tcPr>
          <w:p w14:paraId="641A2EFD" w14:textId="22F01D1E" w:rsidR="0094327A" w:rsidRPr="00D172BD" w:rsidRDefault="00BB1D3C" w:rsidP="001E7DF8">
            <w:pPr>
              <w:pStyle w:val="CETEquation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cond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f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45" w:type="pct"/>
            <w:shd w:val="clear" w:color="auto" w:fill="FFFFFF"/>
          </w:tcPr>
          <w:p w14:paraId="5B8993AC" w14:textId="77777777" w:rsidR="0094327A" w:rsidRPr="00D17362" w:rsidRDefault="0094327A" w:rsidP="001E7DF8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47F31FAD" w14:textId="53458263" w:rsidR="0094327A" w:rsidRPr="00D17362" w:rsidRDefault="0094327A" w:rsidP="001E7DF8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 w:rsidR="00E6711B">
              <w:rPr>
                <w:rFonts w:cs="Arial"/>
                <w:szCs w:val="18"/>
                <w:lang w:val="en-GB"/>
              </w:rPr>
              <w:t>9</w:t>
            </w:r>
            <w:r w:rsidRPr="00D17362">
              <w:rPr>
                <w:rFonts w:cs="Arial"/>
                <w:szCs w:val="18"/>
                <w:lang w:val="en-GB"/>
              </w:rPr>
              <w:t>)</w:t>
            </w:r>
          </w:p>
        </w:tc>
      </w:tr>
      <w:tr w:rsidR="0094327A" w:rsidRPr="00D17362" w14:paraId="69F7A16F" w14:textId="77777777" w:rsidTr="008E6B9F">
        <w:tc>
          <w:tcPr>
            <w:tcW w:w="4278" w:type="pct"/>
            <w:shd w:val="clear" w:color="auto" w:fill="FFFFFF"/>
            <w:vAlign w:val="center"/>
          </w:tcPr>
          <w:p w14:paraId="555F0282" w14:textId="20AAEB48" w:rsidR="0094327A" w:rsidRPr="00D172BD" w:rsidRDefault="00BB1D3C" w:rsidP="001E7DF8">
            <w:pPr>
              <w:pStyle w:val="CETEquation"/>
              <w:rPr>
                <w:rFonts w:ascii="Calibri" w:eastAsia="Calibri" w:hAnsi="Calibri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cond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θ</m:t>
                </m:r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45" w:type="pct"/>
            <w:shd w:val="clear" w:color="auto" w:fill="FFFFFF"/>
          </w:tcPr>
          <w:p w14:paraId="38F00A1F" w14:textId="77777777" w:rsidR="0094327A" w:rsidRPr="00D17362" w:rsidRDefault="0094327A" w:rsidP="001E7DF8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BC11961" w14:textId="2CA7F233" w:rsidR="0094327A" w:rsidRPr="00D17362" w:rsidRDefault="0094327A" w:rsidP="001E7DF8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 w:rsidR="00107931">
              <w:rPr>
                <w:rFonts w:cs="Arial"/>
                <w:szCs w:val="18"/>
                <w:lang w:val="en-GB"/>
              </w:rPr>
              <w:t>1</w:t>
            </w:r>
            <w:r w:rsidR="00E6711B">
              <w:rPr>
                <w:rFonts w:cs="Arial"/>
                <w:szCs w:val="18"/>
                <w:lang w:val="en-GB"/>
              </w:rPr>
              <w:t>0</w:t>
            </w:r>
            <w:r w:rsidR="00107931">
              <w:rPr>
                <w:rFonts w:cs="Arial"/>
                <w:szCs w:val="18"/>
                <w:lang w:val="en-GB"/>
              </w:rPr>
              <w:t>)</w:t>
            </w:r>
          </w:p>
        </w:tc>
      </w:tr>
      <w:tr w:rsidR="0094327A" w:rsidRPr="00D17362" w14:paraId="6F4A16FD" w14:textId="77777777" w:rsidTr="008E6B9F">
        <w:tc>
          <w:tcPr>
            <w:tcW w:w="4278" w:type="pct"/>
            <w:shd w:val="clear" w:color="auto" w:fill="FFFFFF"/>
            <w:vAlign w:val="center"/>
          </w:tcPr>
          <w:p w14:paraId="5BF921A0" w14:textId="77777777" w:rsidR="0094327A" w:rsidRPr="00D172BD" w:rsidRDefault="00BB1D3C" w:rsidP="001E7DF8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>
                              <w:rPr>
                                <w:rFonts w:ascii="Cambria Math" w:hAnsi="Cambria Math"/>
                              </w:rPr>
                              <m:t>πMT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1/2</m:t>
                    </m:r>
                  </m:sup>
                </m:sSup>
              </m:oMath>
            </m:oMathPara>
          </w:p>
        </w:tc>
        <w:tc>
          <w:tcPr>
            <w:tcW w:w="245" w:type="pct"/>
            <w:shd w:val="clear" w:color="auto" w:fill="FFFFFF"/>
          </w:tcPr>
          <w:p w14:paraId="7F8BCC17" w14:textId="77777777" w:rsidR="0094327A" w:rsidRPr="00D17362" w:rsidRDefault="0094327A" w:rsidP="001E7DF8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31218DCF" w14:textId="42034706" w:rsidR="0094327A" w:rsidRPr="00D17362" w:rsidRDefault="0094327A" w:rsidP="001E7DF8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(</w:t>
            </w:r>
            <w:r w:rsidR="00107931">
              <w:rPr>
                <w:rFonts w:cs="Arial"/>
                <w:szCs w:val="18"/>
                <w:lang w:val="en-GB"/>
              </w:rPr>
              <w:t>1</w:t>
            </w:r>
            <w:r w:rsidR="00E6711B">
              <w:rPr>
                <w:rFonts w:cs="Arial"/>
                <w:szCs w:val="18"/>
                <w:lang w:val="en-GB"/>
              </w:rPr>
              <w:t>1</w:t>
            </w:r>
            <w:r>
              <w:rPr>
                <w:rFonts w:cs="Arial"/>
                <w:szCs w:val="18"/>
                <w:lang w:val="en-GB"/>
              </w:rPr>
              <w:t>)</w:t>
            </w:r>
          </w:p>
        </w:tc>
      </w:tr>
      <w:tr w:rsidR="008E6B9F" w:rsidRPr="00D17362" w14:paraId="632558C1" w14:textId="77777777" w:rsidTr="008E6B9F">
        <w:tc>
          <w:tcPr>
            <w:tcW w:w="4278" w:type="pct"/>
            <w:shd w:val="clear" w:color="auto" w:fill="FFFFFF"/>
            <w:vAlign w:val="center"/>
          </w:tcPr>
          <w:p w14:paraId="4D5F1C68" w14:textId="768FEE3F" w:rsidR="008E6B9F" w:rsidRPr="008E6B9F" w:rsidRDefault="00BB1D3C" w:rsidP="008E6B9F">
            <w:pPr>
              <w:pStyle w:val="CETEquation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rad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cond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cond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245" w:type="pct"/>
            <w:shd w:val="clear" w:color="auto" w:fill="FFFFFF"/>
          </w:tcPr>
          <w:p w14:paraId="54D1940D" w14:textId="77777777" w:rsidR="008E6B9F" w:rsidRPr="00D17362" w:rsidRDefault="008E6B9F" w:rsidP="008E6B9F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0729A180" w14:textId="353B0D4C" w:rsidR="008E6B9F" w:rsidRDefault="008E6B9F" w:rsidP="008E6B9F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>
              <w:rPr>
                <w:rFonts w:cs="Arial"/>
                <w:szCs w:val="18"/>
                <w:lang w:val="en-GB"/>
              </w:rPr>
              <w:t>12</w:t>
            </w:r>
            <w:r w:rsidRPr="00D17362">
              <w:rPr>
                <w:rFonts w:cs="Arial"/>
                <w:szCs w:val="18"/>
                <w:lang w:val="en-GB"/>
              </w:rPr>
              <w:t>)</w:t>
            </w:r>
          </w:p>
        </w:tc>
      </w:tr>
      <w:bookmarkEnd w:id="2"/>
    </w:tbl>
    <w:p w14:paraId="7D7B7613" w14:textId="77777777" w:rsidR="009618B6" w:rsidRDefault="009618B6" w:rsidP="000207A5">
      <w:pPr>
        <w:pStyle w:val="CETBodytext"/>
      </w:pPr>
    </w:p>
    <w:p w14:paraId="57497C0F" w14:textId="3C82B58B" w:rsidR="000207A5" w:rsidRDefault="006527B6" w:rsidP="000207A5">
      <w:pPr>
        <w:pStyle w:val="CETBodytext"/>
      </w:pPr>
      <w:r>
        <w:t>The form of the thermal balance is the same for a</w:t>
      </w:r>
      <w:r w:rsidR="000207A5">
        <w:t xml:space="preserve">ll the </w:t>
      </w:r>
      <w:r w:rsidR="000207A5" w:rsidRPr="00122492">
        <w:rPr>
          <w:i/>
        </w:rPr>
        <w:t>N</w:t>
      </w:r>
      <w:r w:rsidR="000207A5">
        <w:t xml:space="preserve"> nodes, except for the 1-st and the N-</w:t>
      </w:r>
      <w:proofErr w:type="spellStart"/>
      <w:r w:rsidR="000207A5">
        <w:t>th</w:t>
      </w:r>
      <w:proofErr w:type="spellEnd"/>
      <w:r w:rsidR="000207A5">
        <w:t xml:space="preserve"> ones</w:t>
      </w:r>
      <w:r w:rsidR="00FA5871">
        <w:t>. In fact, these</w:t>
      </w:r>
      <w:r w:rsidR="000207A5">
        <w:t xml:space="preserve"> face the inner and outer shells, respectively. Since the model assumes the 1-st radiative layer is separated from the inner shell by a single spacer, the thermal balance in node 1 preserves the same form as those shown for the other radiative layers, but eq. </w:t>
      </w:r>
      <w:r w:rsidR="00107931">
        <w:t>5</w:t>
      </w:r>
      <w:r w:rsidR="000207A5">
        <w:t xml:space="preserve"> has to be modified </w:t>
      </w:r>
      <w:proofErr w:type="gramStart"/>
      <w:r w:rsidR="000207A5">
        <w:t>taking into account</w:t>
      </w:r>
      <w:proofErr w:type="gramEnd"/>
      <w:r w:rsidR="000207A5">
        <w:t xml:space="preserve"> the emissivity of the inner shell surface material. On the contrary, a high-vacuum gap is present between the N-</w:t>
      </w:r>
      <w:proofErr w:type="spellStart"/>
      <w:r w:rsidR="000207A5">
        <w:t>th</w:t>
      </w:r>
      <w:proofErr w:type="spellEnd"/>
      <w:r w:rsidR="000207A5">
        <w:t xml:space="preserve"> and the </w:t>
      </w:r>
      <w:r w:rsidR="000207A5" w:rsidRPr="00122492">
        <w:rPr>
          <w:i/>
        </w:rPr>
        <w:t>S</w:t>
      </w:r>
      <w:r w:rsidR="000207A5" w:rsidRPr="00122492">
        <w:rPr>
          <w:i/>
          <w:vertAlign w:val="subscript"/>
        </w:rPr>
        <w:t>e</w:t>
      </w:r>
      <w:r w:rsidR="000207A5">
        <w:t xml:space="preserve"> </w:t>
      </w:r>
      <w:r w:rsidR="000207A5" w:rsidRPr="000A01BE">
        <w:t>nodes</w:t>
      </w:r>
      <w:r w:rsidR="000207A5">
        <w:t>, thus only radiative heat flux is considered to enter into the N-</w:t>
      </w:r>
      <w:proofErr w:type="spellStart"/>
      <w:r w:rsidR="000207A5">
        <w:t>th</w:t>
      </w:r>
      <w:proofErr w:type="spellEnd"/>
      <w:r w:rsidR="000207A5">
        <w:t xml:space="preserve"> radiative layer in eq. </w:t>
      </w:r>
      <w:r w:rsidR="00107931">
        <w:t>2</w:t>
      </w:r>
      <w:r w:rsidR="000207A5">
        <w:t>.</w:t>
      </w:r>
    </w:p>
    <w:p w14:paraId="4732C5ED" w14:textId="666FBF47" w:rsidR="00540919" w:rsidRDefault="00697783" w:rsidP="00540919">
      <w:pPr>
        <w:pStyle w:val="CETBodytext"/>
      </w:pPr>
      <w:r>
        <w:t>The novelty with respect to the</w:t>
      </w:r>
      <w:r w:rsidR="008E6B9F">
        <w:t xml:space="preserve"> </w:t>
      </w:r>
      <w:r w:rsidR="00140228">
        <w:t xml:space="preserve">classical </w:t>
      </w:r>
      <w:r w:rsidR="007A62D8">
        <w:t>layer by layer</w:t>
      </w:r>
      <w:r w:rsidR="00140228">
        <w:t xml:space="preserve"> model </w:t>
      </w:r>
      <w:r w:rsidR="007A62D8">
        <w:t xml:space="preserve">is </w:t>
      </w:r>
      <w:r>
        <w:t>that the</w:t>
      </w:r>
      <w:r w:rsidR="00540919">
        <w:t xml:space="preserve"> </w:t>
      </w:r>
      <w:r w:rsidR="00857773">
        <w:t xml:space="preserve">high temperature </w:t>
      </w:r>
      <w:r w:rsidR="00540919">
        <w:t xml:space="preserve">degradation </w:t>
      </w:r>
      <w:r w:rsidR="00857773">
        <w:t>of</w:t>
      </w:r>
      <w:r w:rsidR="00540919">
        <w:t xml:space="preserve"> the MLI</w:t>
      </w:r>
      <w:r w:rsidR="007A62D8">
        <w:t xml:space="preserve"> </w:t>
      </w:r>
      <w:r w:rsidR="00857773">
        <w:t xml:space="preserve">is </w:t>
      </w:r>
      <w:proofErr w:type="gramStart"/>
      <w:r w:rsidR="00857773">
        <w:t>taken into account</w:t>
      </w:r>
      <w:proofErr w:type="gramEnd"/>
      <w:r w:rsidR="00857773">
        <w:t xml:space="preserve"> </w:t>
      </w:r>
      <w:r w:rsidR="007A62D8">
        <w:t>by assuming</w:t>
      </w:r>
      <w:r w:rsidR="00540919">
        <w:t xml:space="preserve"> that each radiation layer </w:t>
      </w:r>
      <w:r w:rsidR="005B27FC">
        <w:t>is destroyed when</w:t>
      </w:r>
      <w:r w:rsidR="00540919">
        <w:t xml:space="preserve"> its temperature reaches the melting point of the material (here defined as the degradation temperature, </w:t>
      </w:r>
      <w:proofErr w:type="spellStart"/>
      <w:r w:rsidR="00540919" w:rsidRPr="00122492">
        <w:rPr>
          <w:i/>
        </w:rPr>
        <w:t>T</w:t>
      </w:r>
      <w:r w:rsidR="00540919" w:rsidRPr="00122492">
        <w:rPr>
          <w:i/>
          <w:vertAlign w:val="subscript"/>
        </w:rPr>
        <w:t>deg</w:t>
      </w:r>
      <w:proofErr w:type="spellEnd"/>
      <w:r w:rsidR="00540919">
        <w:t xml:space="preserve">). This </w:t>
      </w:r>
      <w:r w:rsidR="006D0F02">
        <w:t xml:space="preserve">assumption </w:t>
      </w:r>
      <w:r w:rsidR="00540919">
        <w:t>is</w:t>
      </w:r>
      <w:r w:rsidR="00540919" w:rsidRPr="0032770B">
        <w:t xml:space="preserve"> dictated by </w:t>
      </w:r>
      <w:r w:rsidR="006D0F02">
        <w:t>logic</w:t>
      </w:r>
      <w:r w:rsidR="00540919" w:rsidRPr="0032770B">
        <w:t xml:space="preserve"> that, when</w:t>
      </w:r>
      <w:r w:rsidR="00540919">
        <w:t xml:space="preserve"> the </w:t>
      </w:r>
      <w:proofErr w:type="spellStart"/>
      <w:r w:rsidR="00540919">
        <w:t>i-th</w:t>
      </w:r>
      <w:proofErr w:type="spellEnd"/>
      <w:r w:rsidR="00540919">
        <w:t xml:space="preserve"> layer</w:t>
      </w:r>
      <w:r w:rsidR="00540919" w:rsidRPr="0032770B">
        <w:t xml:space="preserve"> </w:t>
      </w:r>
      <w:r w:rsidR="00540919">
        <w:t>melts</w:t>
      </w:r>
      <w:r w:rsidR="00540919" w:rsidRPr="0032770B">
        <w:t>,</w:t>
      </w:r>
      <w:r w:rsidR="00540919">
        <w:t xml:space="preserve"> it</w:t>
      </w:r>
      <w:r w:rsidR="00540919" w:rsidRPr="0032770B">
        <w:t xml:space="preserve"> loses its shape</w:t>
      </w:r>
      <w:r w:rsidR="00540919">
        <w:t xml:space="preserve">, leaving the underlying layer unprotected. For simplicity, each layer is considered to be entirely and instantaneously </w:t>
      </w:r>
      <w:r w:rsidR="00615550">
        <w:t>dest</w:t>
      </w:r>
      <w:r w:rsidR="008E6B9F">
        <w:t>roy</w:t>
      </w:r>
      <w:r w:rsidR="00615550">
        <w:t>ed</w:t>
      </w:r>
      <w:r w:rsidR="00540919">
        <w:t xml:space="preserve"> as soon as exceeds </w:t>
      </w:r>
      <w:proofErr w:type="spellStart"/>
      <w:r w:rsidR="00540919" w:rsidRPr="00122492">
        <w:rPr>
          <w:i/>
        </w:rPr>
        <w:t>T</w:t>
      </w:r>
      <w:r w:rsidR="00540919" w:rsidRPr="00122492">
        <w:rPr>
          <w:i/>
          <w:vertAlign w:val="subscript"/>
        </w:rPr>
        <w:t>deg</w:t>
      </w:r>
      <w:proofErr w:type="spellEnd"/>
      <w:r w:rsidR="00540919">
        <w:t xml:space="preserve">. </w:t>
      </w:r>
      <w:r w:rsidR="00870419">
        <w:t>From the numerical model point of view</w:t>
      </w:r>
      <w:r w:rsidR="005D3434">
        <w:t>,</w:t>
      </w:r>
      <w:r w:rsidR="00870419">
        <w:t xml:space="preserve"> this phenomenon</w:t>
      </w:r>
      <w:r w:rsidR="005D3434">
        <w:t xml:space="preserve"> </w:t>
      </w:r>
      <w:r w:rsidR="00540919">
        <w:t>is</w:t>
      </w:r>
      <w:r w:rsidR="00540919" w:rsidRPr="00182595">
        <w:t xml:space="preserve"> simulated </w:t>
      </w:r>
      <w:r w:rsidR="00540919">
        <w:t xml:space="preserve">by </w:t>
      </w:r>
      <w:r w:rsidR="00540919" w:rsidRPr="00182595">
        <w:t xml:space="preserve">replacing </w:t>
      </w:r>
      <w:r w:rsidR="00540919">
        <w:t xml:space="preserve">both the </w:t>
      </w:r>
      <w:proofErr w:type="spellStart"/>
      <w:r w:rsidR="00540919">
        <w:t>i-th</w:t>
      </w:r>
      <w:proofErr w:type="spellEnd"/>
      <w:r w:rsidR="00540919">
        <w:t xml:space="preserve"> radiative layer and the </w:t>
      </w:r>
      <w:proofErr w:type="spellStart"/>
      <w:r w:rsidR="00540919">
        <w:t>i-th</w:t>
      </w:r>
      <w:proofErr w:type="spellEnd"/>
      <w:r w:rsidR="00540919">
        <w:t xml:space="preserve"> spacer </w:t>
      </w:r>
      <w:r w:rsidR="00540919" w:rsidRPr="00182595">
        <w:t>with a</w:t>
      </w:r>
      <w:r w:rsidR="00540919">
        <w:t xml:space="preserve"> vacuum</w:t>
      </w:r>
      <w:r w:rsidR="00540919" w:rsidRPr="00182595">
        <w:t xml:space="preserve"> space of </w:t>
      </w:r>
      <w:r w:rsidR="00540919">
        <w:t>the same</w:t>
      </w:r>
      <w:r w:rsidR="00540919" w:rsidRPr="00182595">
        <w:t xml:space="preserve"> thickness</w:t>
      </w:r>
      <w:r w:rsidR="00540919">
        <w:t xml:space="preserve">. In this way, only radiative heat transfer is considered to take place between the first undamaged layer and the external shell. </w:t>
      </w:r>
      <w:r w:rsidR="002C7D51">
        <w:t xml:space="preserve">Such </w:t>
      </w:r>
      <w:r w:rsidR="008E6B9F">
        <w:t xml:space="preserve">a </w:t>
      </w:r>
      <w:r w:rsidR="002C7D51">
        <w:t>procedure</w:t>
      </w:r>
      <w:r w:rsidR="00540919" w:rsidRPr="002E42CF">
        <w:t xml:space="preserve"> allow</w:t>
      </w:r>
      <w:r w:rsidR="00540919">
        <w:t>s</w:t>
      </w:r>
      <w:r w:rsidR="00540919" w:rsidRPr="002E42CF">
        <w:t xml:space="preserve"> </w:t>
      </w:r>
      <w:r w:rsidR="00642851">
        <w:t xml:space="preserve">to </w:t>
      </w:r>
      <w:proofErr w:type="gramStart"/>
      <w:r w:rsidR="00642851">
        <w:t>take</w:t>
      </w:r>
      <w:r w:rsidR="00540919" w:rsidRPr="002E42CF">
        <w:t xml:space="preserve"> </w:t>
      </w:r>
      <w:r w:rsidR="00540919">
        <w:t xml:space="preserve">into </w:t>
      </w:r>
      <w:r w:rsidR="00540919" w:rsidRPr="002E42CF">
        <w:t>account</w:t>
      </w:r>
      <w:proofErr w:type="gramEnd"/>
      <w:r w:rsidR="00540919" w:rsidRPr="002E42CF">
        <w:t xml:space="preserve"> </w:t>
      </w:r>
      <w:r w:rsidR="00FD12D0">
        <w:t>the</w:t>
      </w:r>
      <w:r w:rsidR="00540919" w:rsidRPr="002E42CF">
        <w:t xml:space="preserve"> gradual </w:t>
      </w:r>
      <w:r w:rsidR="00054542">
        <w:t>deterioration</w:t>
      </w:r>
      <w:r w:rsidR="00540919" w:rsidRPr="002E42CF">
        <w:t xml:space="preserve"> of the MLI </w:t>
      </w:r>
      <w:r w:rsidR="00054542">
        <w:t xml:space="preserve">system </w:t>
      </w:r>
      <w:r w:rsidR="00FD12D0">
        <w:t>with the</w:t>
      </w:r>
      <w:r w:rsidR="00540919" w:rsidRPr="002E42CF">
        <w:t xml:space="preserve"> time.</w:t>
      </w:r>
    </w:p>
    <w:p w14:paraId="7BC78E5D" w14:textId="239DE00B" w:rsidR="005D22A8" w:rsidRPr="003A08AC" w:rsidRDefault="002821A6" w:rsidP="00540919">
      <w:pPr>
        <w:pStyle w:val="CETBodytext"/>
      </w:pPr>
      <w:r>
        <w:t xml:space="preserve">The heat </w:t>
      </w:r>
      <w:r w:rsidR="004C16AB">
        <w:t xml:space="preserve">transfer from the fire is simulated </w:t>
      </w:r>
      <w:r w:rsidR="00081D59">
        <w:t xml:space="preserve">by assuming that the external wall is </w:t>
      </w:r>
      <w:r w:rsidR="00933568">
        <w:t xml:space="preserve">uniformly </w:t>
      </w:r>
      <w:r w:rsidR="00081D59">
        <w:t xml:space="preserve">exposed to thermal radiation </w:t>
      </w:r>
      <w:r>
        <w:t xml:space="preserve">from a constant </w:t>
      </w:r>
      <w:r w:rsidR="00687F24">
        <w:t>black body temperature (</w:t>
      </w:r>
      <w:bookmarkStart w:id="3" w:name="_Hlk127116606"/>
      <w:proofErr w:type="spellStart"/>
      <w:r w:rsidR="00687F24" w:rsidRPr="00122492">
        <w:rPr>
          <w:i/>
        </w:rPr>
        <w:t>T</w:t>
      </w:r>
      <w:r w:rsidR="00687F24" w:rsidRPr="00122492">
        <w:rPr>
          <w:i/>
          <w:vertAlign w:val="subscript"/>
        </w:rPr>
        <w:t>BB_fire</w:t>
      </w:r>
      <w:bookmarkEnd w:id="3"/>
      <w:proofErr w:type="spellEnd"/>
      <w:r w:rsidR="00687F24">
        <w:t xml:space="preserve">). </w:t>
      </w:r>
    </w:p>
    <w:p w14:paraId="4706E9CF" w14:textId="6A89D8E9" w:rsidR="007E3A16" w:rsidRPr="00D8213F" w:rsidRDefault="006250F5" w:rsidP="007E3A16">
      <w:pPr>
        <w:pStyle w:val="CETBodytext"/>
        <w:rPr>
          <w:lang w:val="en-GB"/>
        </w:rPr>
      </w:pPr>
      <w:r>
        <w:t xml:space="preserve">The tank pressure is assumed to </w:t>
      </w:r>
      <w:r w:rsidR="00D67810">
        <w:t>match</w:t>
      </w:r>
      <w:r w:rsidR="0024772E">
        <w:t xml:space="preserve"> the saturation pressure (see </w:t>
      </w:r>
      <w:r w:rsidR="006326F6">
        <w:t xml:space="preserve">Eq. 7 in Table 1) </w:t>
      </w:r>
      <w:r w:rsidR="0024772E">
        <w:t>at the liquid temperature (</w:t>
      </w:r>
      <w:r w:rsidR="0024772E" w:rsidRPr="00122492">
        <w:rPr>
          <w:i/>
          <w:lang w:val="en-GB"/>
        </w:rPr>
        <w:t>T</w:t>
      </w:r>
      <w:r w:rsidR="0024772E" w:rsidRPr="00122492">
        <w:rPr>
          <w:i/>
          <w:vertAlign w:val="subscript"/>
          <w:lang w:val="en-GB"/>
        </w:rPr>
        <w:t>L</w:t>
      </w:r>
      <w:r w:rsidR="0024772E">
        <w:t>)</w:t>
      </w:r>
      <w:r w:rsidR="00FE55A2">
        <w:t>, calculated from the energy balance to the liquid node</w:t>
      </w:r>
      <w:r w:rsidR="0024772E">
        <w:t xml:space="preserve"> </w:t>
      </w:r>
      <w:r w:rsidR="00883686">
        <w:t xml:space="preserve">(see Eq. </w:t>
      </w:r>
      <w:r w:rsidR="00642851">
        <w:t>6</w:t>
      </w:r>
      <w:r w:rsidR="00883686">
        <w:t xml:space="preserve"> in Table 1)</w:t>
      </w:r>
      <w:r w:rsidR="00A41E52">
        <w:t xml:space="preserve">. </w:t>
      </w:r>
      <w:r w:rsidR="007E3A16">
        <w:t xml:space="preserve">The </w:t>
      </w:r>
      <w:r w:rsidR="007E3A16">
        <w:rPr>
          <w:lang w:val="en-GB"/>
        </w:rPr>
        <w:t xml:space="preserve">nucleate boiling </w:t>
      </w:r>
      <w:r w:rsidR="002A4041">
        <w:rPr>
          <w:lang w:val="en-GB"/>
        </w:rPr>
        <w:t xml:space="preserve">heat transfer </w:t>
      </w:r>
      <w:r w:rsidR="007E3A16">
        <w:rPr>
          <w:lang w:val="en-GB"/>
        </w:rPr>
        <w:t>coefficient (</w:t>
      </w:r>
      <w:proofErr w:type="spellStart"/>
      <w:r w:rsidR="007E3A16" w:rsidRPr="00122492">
        <w:rPr>
          <w:i/>
          <w:lang w:val="en-GB"/>
        </w:rPr>
        <w:t>h</w:t>
      </w:r>
      <w:r w:rsidR="007E3A16" w:rsidRPr="00122492">
        <w:rPr>
          <w:i/>
          <w:vertAlign w:val="subscript"/>
          <w:lang w:val="en-GB"/>
        </w:rPr>
        <w:t>L</w:t>
      </w:r>
      <w:proofErr w:type="spellEnd"/>
      <w:r w:rsidR="007E3A16">
        <w:rPr>
          <w:lang w:val="en-GB"/>
        </w:rPr>
        <w:t xml:space="preserve">) </w:t>
      </w:r>
      <w:r w:rsidR="002D29C9">
        <w:rPr>
          <w:lang w:val="en-GB"/>
        </w:rPr>
        <w:t>is calculated according to</w:t>
      </w:r>
      <w:r w:rsidR="007E3A16">
        <w:rPr>
          <w:lang w:val="en-GB"/>
        </w:rPr>
        <w:t xml:space="preserve"> eq. 13 </w:t>
      </w:r>
      <w:r w:rsidR="007E3A16" w:rsidRPr="00D62D8B">
        <w:rPr>
          <w:noProof/>
          <w:lang w:val="en-GB"/>
        </w:rPr>
        <w:t>(Ray, 1994)</w:t>
      </w:r>
      <w:r w:rsidR="007E3A16">
        <w:rPr>
          <w:lang w:val="en-GB"/>
        </w:rPr>
        <w:t xml:space="preserve">, </w:t>
      </w:r>
      <w:r w:rsidR="00AB7FC8">
        <w:rPr>
          <w:lang w:val="en-GB"/>
        </w:rPr>
        <w:t>where</w:t>
      </w:r>
      <w:r w:rsidR="007E3A16">
        <w:rPr>
          <w:lang w:val="en-GB"/>
        </w:rPr>
        <w:t xml:space="preserve"> </w:t>
      </w:r>
      <w:r w:rsidR="007E3A16" w:rsidRPr="00122492">
        <w:rPr>
          <w:i/>
          <w:lang w:val="en-GB"/>
        </w:rPr>
        <w:t>P</w:t>
      </w:r>
      <w:r w:rsidR="007E3A16" w:rsidRPr="00122492">
        <w:rPr>
          <w:i/>
          <w:vertAlign w:val="subscript"/>
          <w:lang w:val="en-GB"/>
        </w:rPr>
        <w:t>c</w:t>
      </w:r>
      <w:r w:rsidR="007E3A16">
        <w:rPr>
          <w:lang w:val="en-GB"/>
        </w:rPr>
        <w:t xml:space="preserve"> </w:t>
      </w:r>
      <w:r w:rsidR="007526A0">
        <w:rPr>
          <w:lang w:val="en-GB"/>
        </w:rPr>
        <w:t xml:space="preserve">and </w:t>
      </w:r>
      <w:proofErr w:type="spellStart"/>
      <w:r w:rsidR="007526A0" w:rsidRPr="00122492">
        <w:rPr>
          <w:i/>
          <w:lang w:val="en-GB"/>
        </w:rPr>
        <w:t>T</w:t>
      </w:r>
      <w:r w:rsidR="007526A0" w:rsidRPr="00122492">
        <w:rPr>
          <w:i/>
          <w:vertAlign w:val="subscript"/>
          <w:lang w:val="en-GB"/>
        </w:rPr>
        <w:t>L,sat</w:t>
      </w:r>
      <w:proofErr w:type="spellEnd"/>
      <w:r w:rsidR="007526A0">
        <w:rPr>
          <w:lang w:val="en-GB"/>
        </w:rPr>
        <w:t xml:space="preserve"> are </w:t>
      </w:r>
      <w:r w:rsidR="007E3A16">
        <w:rPr>
          <w:lang w:val="en-GB"/>
        </w:rPr>
        <w:t>the hydrogen critical pressure and liquid saturation temperature</w:t>
      </w:r>
      <w:r w:rsidR="009E0510">
        <w:rPr>
          <w:lang w:val="en-GB"/>
        </w:rPr>
        <w:t>,</w:t>
      </w:r>
      <w:r w:rsidR="007526A0">
        <w:rPr>
          <w:lang w:val="en-GB"/>
        </w:rPr>
        <w:t xml:space="preserve"> respectively</w:t>
      </w:r>
      <w:r w:rsidR="007E3A16">
        <w:rPr>
          <w:lang w:val="en-GB"/>
        </w:rPr>
        <w:t xml:space="preserve">. </w:t>
      </w:r>
      <w:r w:rsidR="00077316">
        <w:rPr>
          <w:lang w:val="en-GB"/>
        </w:rPr>
        <w:t xml:space="preserve">Here it is assumed that the liquid is saturated (thus, </w:t>
      </w:r>
      <w:proofErr w:type="spellStart"/>
      <w:proofErr w:type="gramStart"/>
      <w:r w:rsidR="00077316" w:rsidRPr="00122492">
        <w:rPr>
          <w:i/>
          <w:lang w:val="en-GB"/>
        </w:rPr>
        <w:t>T</w:t>
      </w:r>
      <w:r w:rsidR="00077316" w:rsidRPr="00122492">
        <w:rPr>
          <w:i/>
          <w:vertAlign w:val="subscript"/>
          <w:lang w:val="en-GB"/>
        </w:rPr>
        <w:t>L,sat</w:t>
      </w:r>
      <w:proofErr w:type="spellEnd"/>
      <w:proofErr w:type="gramEnd"/>
      <w:r w:rsidR="00077316">
        <w:rPr>
          <w:lang w:val="en-GB"/>
        </w:rPr>
        <w:t xml:space="preserve"> = </w:t>
      </w:r>
      <w:r w:rsidR="007E3A16" w:rsidRPr="00122492">
        <w:rPr>
          <w:i/>
          <w:lang w:val="en-GB"/>
        </w:rPr>
        <w:t>T</w:t>
      </w:r>
      <w:r w:rsidR="007E3A16" w:rsidRPr="00122492">
        <w:rPr>
          <w:i/>
          <w:vertAlign w:val="subscript"/>
          <w:lang w:val="en-GB"/>
        </w:rPr>
        <w:t>L</w:t>
      </w:r>
      <w:r w:rsidR="00077316">
        <w:rPr>
          <w:lang w:val="en-GB"/>
        </w:rPr>
        <w:t>).</w:t>
      </w:r>
    </w:p>
    <w:tbl>
      <w:tblPr>
        <w:tblpPr w:leftFromText="180" w:rightFromText="180" w:vertAnchor="text" w:horzAnchor="margin" w:tblpY="40"/>
        <w:tblW w:w="5000" w:type="pct"/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55"/>
        <w:gridCol w:w="566"/>
        <w:gridCol w:w="566"/>
      </w:tblGrid>
      <w:tr w:rsidR="007E3A16" w:rsidRPr="00D17362" w14:paraId="24E5EC00" w14:textId="77777777" w:rsidTr="001E7DF8">
        <w:tc>
          <w:tcPr>
            <w:tcW w:w="4356" w:type="pct"/>
            <w:shd w:val="clear" w:color="auto" w:fill="FFFFFF"/>
            <w:vAlign w:val="center"/>
          </w:tcPr>
          <w:p w14:paraId="6F44945F" w14:textId="77777777" w:rsidR="007E3A16" w:rsidRPr="008B4CC1" w:rsidRDefault="00BB1D3C" w:rsidP="001E7DF8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3.75×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-5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0.69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sat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0.7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1.8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0.17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+18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sup>
                            </m:sSup>
                          </m:e>
                        </m: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3.33</m:t>
                    </m:r>
                  </m:sup>
                </m:sSup>
              </m:oMath>
            </m:oMathPara>
          </w:p>
        </w:tc>
        <w:tc>
          <w:tcPr>
            <w:tcW w:w="322" w:type="pct"/>
            <w:shd w:val="clear" w:color="auto" w:fill="FFFFFF"/>
          </w:tcPr>
          <w:p w14:paraId="34FCE91D" w14:textId="77777777" w:rsidR="007E3A16" w:rsidRPr="00D17362" w:rsidRDefault="007E3A16" w:rsidP="001E7DF8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587C6E3" w14:textId="77777777" w:rsidR="007E3A16" w:rsidRPr="00D17362" w:rsidRDefault="007E3A16" w:rsidP="001E7DF8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17362">
              <w:rPr>
                <w:rFonts w:cs="Arial"/>
                <w:szCs w:val="18"/>
                <w:lang w:val="en-GB"/>
              </w:rPr>
              <w:t>(</w:t>
            </w:r>
            <w:r>
              <w:rPr>
                <w:rFonts w:cs="Arial"/>
                <w:szCs w:val="18"/>
                <w:lang w:val="en-GB"/>
              </w:rPr>
              <w:t>13</w:t>
            </w:r>
            <w:r w:rsidRPr="00D17362">
              <w:rPr>
                <w:rFonts w:cs="Arial"/>
                <w:szCs w:val="18"/>
                <w:lang w:val="en-GB"/>
              </w:rPr>
              <w:t>)</w:t>
            </w:r>
          </w:p>
        </w:tc>
      </w:tr>
    </w:tbl>
    <w:p w14:paraId="3929255D" w14:textId="055E94A8" w:rsidR="000207A5" w:rsidRDefault="000207A5" w:rsidP="000207A5">
      <w:pPr>
        <w:pStyle w:val="CETBodytext"/>
      </w:pPr>
      <w:r>
        <w:t xml:space="preserve">The vapor phase is considered to be in thermodynamic equilibrium with the liquid one (i.e. </w:t>
      </w:r>
      <w:r w:rsidR="005D22A8">
        <w:t xml:space="preserve">liquid and vapor </w:t>
      </w:r>
      <w:r>
        <w:t>share the same temperature and pressure)</w:t>
      </w:r>
      <w:r w:rsidR="00EF1E39">
        <w:t xml:space="preserve">. Thus, </w:t>
      </w:r>
      <w:r w:rsidR="000A4188">
        <w:t xml:space="preserve">no </w:t>
      </w:r>
      <w:r w:rsidR="00EF1E39">
        <w:t xml:space="preserve">thermal balance </w:t>
      </w:r>
      <w:r w:rsidR="00D366AA">
        <w:t>is solved for this phase</w:t>
      </w:r>
      <w:r w:rsidR="005D22A8">
        <w:t>.</w:t>
      </w:r>
    </w:p>
    <w:p w14:paraId="58966DA9" w14:textId="77777777" w:rsidR="00BB295D" w:rsidRDefault="00BB295D" w:rsidP="00BB295D">
      <w:pPr>
        <w:pStyle w:val="CETHeading1"/>
        <w:rPr>
          <w:lang w:val="en-GB"/>
        </w:rPr>
      </w:pPr>
      <w:r>
        <w:rPr>
          <w:lang w:val="en-GB"/>
        </w:rPr>
        <w:t>Case study</w:t>
      </w:r>
    </w:p>
    <w:p w14:paraId="3CA672FF" w14:textId="263DEE4D" w:rsidR="00BB295D" w:rsidRDefault="00BB295D" w:rsidP="000207A5">
      <w:pPr>
        <w:pStyle w:val="CETBodytext"/>
      </w:pPr>
      <w:r>
        <w:t xml:space="preserve">The thermal degradation model of MLI proposed in this study </w:t>
      </w:r>
      <w:r w:rsidRPr="003A08AC">
        <w:t>is applied to a horizontal cylindrical tank with two elliptical ends</w:t>
      </w:r>
      <w:r>
        <w:t>, an internal diameter of 0.6 m and a length of 1.2 m,</w:t>
      </w:r>
      <w:r w:rsidR="009629BB">
        <w:t xml:space="preserve"> for </w:t>
      </w:r>
      <w:r>
        <w:t>a total capacity of 0.31 m</w:t>
      </w:r>
      <w:r>
        <w:rPr>
          <w:vertAlign w:val="superscript"/>
        </w:rPr>
        <w:t>3</w:t>
      </w:r>
      <w:r>
        <w:t xml:space="preserve">. These dimensions are representative of </w:t>
      </w:r>
      <w:r w:rsidR="0070495D">
        <w:t xml:space="preserve">most </w:t>
      </w:r>
      <w:r>
        <w:t>storage tank</w:t>
      </w:r>
      <w:r w:rsidR="0070495D">
        <w:t>s used</w:t>
      </w:r>
      <w:r>
        <w:t xml:space="preserve"> for cryogenic hydrogen-powered vehicles. It is considered that 80 % of the storage volume is filled with liquid hydrogen</w:t>
      </w:r>
      <w:r w:rsidR="00EC3E0D">
        <w:t xml:space="preserve"> at</w:t>
      </w:r>
      <w:r>
        <w:t xml:space="preserve"> saturation temperature at ambient pressure (</w:t>
      </w:r>
      <w:r w:rsidRPr="00122492">
        <w:rPr>
          <w:i/>
        </w:rPr>
        <w:t>T</w:t>
      </w:r>
      <w:r w:rsidRPr="00122492">
        <w:rPr>
          <w:i/>
          <w:vertAlign w:val="subscript"/>
        </w:rPr>
        <w:t>L</w:t>
      </w:r>
      <w:r>
        <w:rPr>
          <w:vertAlign w:val="subscript"/>
        </w:rPr>
        <w:t xml:space="preserve"> </w:t>
      </w:r>
      <w:r>
        <w:t>= -252.75</w:t>
      </w:r>
      <w:r w:rsidR="00393899">
        <w:t xml:space="preserve"> </w:t>
      </w:r>
      <w:r>
        <w:t>°C,</w:t>
      </w:r>
      <w:r w:rsidRPr="00D17362">
        <w:t xml:space="preserve"> </w:t>
      </w:r>
      <w:r>
        <w:t xml:space="preserve">from </w:t>
      </w:r>
      <w:r w:rsidRPr="00281495">
        <w:rPr>
          <w:noProof/>
        </w:rPr>
        <w:t>NIST Chemistry WebBook</w:t>
      </w:r>
      <w:r>
        <w:t xml:space="preserve">). The thicknesses of the external and internal shells </w:t>
      </w:r>
      <w:r>
        <w:lastRenderedPageBreak/>
        <w:t xml:space="preserve">are 0.003 m and 0.01 m, respectively. Their material properties are listed in </w:t>
      </w:r>
      <w:r w:rsidR="003D7A91">
        <w:t xml:space="preserve">Table </w:t>
      </w:r>
      <w:r w:rsidR="003D7A91">
        <w:rPr>
          <w:noProof/>
        </w:rPr>
        <w:t>2</w:t>
      </w:r>
      <w:r>
        <w:t xml:space="preserve"> and are assumed </w:t>
      </w:r>
      <w:r w:rsidR="00DC52F8">
        <w:t xml:space="preserve">to be </w:t>
      </w:r>
      <w:r>
        <w:t>constant throughout the simulation.</w:t>
      </w:r>
    </w:p>
    <w:p w14:paraId="21090102" w14:textId="70E7E647" w:rsidR="00CD34D1" w:rsidRDefault="00CD34D1" w:rsidP="00CD34D1">
      <w:pPr>
        <w:pStyle w:val="CETTabletitle"/>
      </w:pPr>
      <w:bookmarkStart w:id="4" w:name="_Ref126141755"/>
      <w:r>
        <w:t xml:space="preserve">Table </w:t>
      </w:r>
      <w:r w:rsidR="003D7A91">
        <w:rPr>
          <w:noProof/>
        </w:rPr>
        <w:t>2</w:t>
      </w:r>
      <w:bookmarkEnd w:id="4"/>
      <w:r>
        <w:t>. Material properties.</w:t>
      </w:r>
    </w:p>
    <w:tbl>
      <w:tblPr>
        <w:tblW w:w="8222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134"/>
        <w:gridCol w:w="952"/>
        <w:gridCol w:w="1458"/>
        <w:gridCol w:w="1417"/>
        <w:gridCol w:w="1418"/>
      </w:tblGrid>
      <w:tr w:rsidR="006A7449" w:rsidRPr="00B57B36" w14:paraId="5580F4E1" w14:textId="77777777" w:rsidTr="0032770B">
        <w:tc>
          <w:tcPr>
            <w:tcW w:w="184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63C71D4C" w14:textId="77777777" w:rsidR="006A7449" w:rsidRPr="00B57B36" w:rsidRDefault="006A7449" w:rsidP="000205FE">
            <w:pPr>
              <w:pStyle w:val="CETBodytext"/>
              <w:rPr>
                <w:lang w:val="en-GB"/>
              </w:rPr>
            </w:pPr>
            <w:r w:rsidRPr="00CD34D1">
              <w:t>Property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68BBE158" w14:textId="77777777" w:rsidR="006A7449" w:rsidRPr="00B57B36" w:rsidRDefault="006A7449" w:rsidP="000205FE">
            <w:pPr>
              <w:pStyle w:val="CETBodytext"/>
              <w:rPr>
                <w:lang w:val="en-GB"/>
              </w:rPr>
            </w:pPr>
            <w:r w:rsidRPr="00CD34D1">
              <w:t>Symbol</w:t>
            </w:r>
          </w:p>
        </w:tc>
        <w:tc>
          <w:tcPr>
            <w:tcW w:w="95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0AC0ED06" w14:textId="77777777" w:rsidR="006A7449" w:rsidRPr="00B57B36" w:rsidRDefault="006A7449" w:rsidP="000205FE">
            <w:pPr>
              <w:pStyle w:val="CETBodytext"/>
              <w:rPr>
                <w:lang w:val="en-GB"/>
              </w:rPr>
            </w:pPr>
            <w:r w:rsidRPr="00CD34D1">
              <w:t>Unit</w:t>
            </w:r>
          </w:p>
        </w:tc>
        <w:tc>
          <w:tcPr>
            <w:tcW w:w="145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651C2EB" w14:textId="77777777" w:rsidR="006A7449" w:rsidRPr="00B57B36" w:rsidRDefault="006A7449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Tank lading</w:t>
            </w:r>
          </w:p>
        </w:tc>
        <w:tc>
          <w:tcPr>
            <w:tcW w:w="141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9AF6CA4" w14:textId="6ABF7FED" w:rsidR="006A7449" w:rsidRPr="00B57B36" w:rsidRDefault="0032770B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External shell</w:t>
            </w:r>
          </w:p>
        </w:tc>
        <w:tc>
          <w:tcPr>
            <w:tcW w:w="141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9E79D0E" w14:textId="4FF5D573" w:rsidR="006A7449" w:rsidRPr="00B57B36" w:rsidRDefault="0032770B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In</w:t>
            </w:r>
            <w:r w:rsidR="006A7449">
              <w:t>ternal shell</w:t>
            </w:r>
          </w:p>
        </w:tc>
      </w:tr>
      <w:tr w:rsidR="006A7449" w:rsidRPr="00B57B36" w14:paraId="07017C14" w14:textId="77777777" w:rsidTr="0032770B">
        <w:tc>
          <w:tcPr>
            <w:tcW w:w="1843" w:type="dxa"/>
            <w:shd w:val="clear" w:color="auto" w:fill="FFFFFF"/>
            <w:vAlign w:val="center"/>
          </w:tcPr>
          <w:p w14:paraId="4F3F50ED" w14:textId="77777777" w:rsidR="006A7449" w:rsidRPr="00B57B36" w:rsidRDefault="006A7449" w:rsidP="000205FE">
            <w:pPr>
              <w:pStyle w:val="CETBodytext"/>
              <w:rPr>
                <w:lang w:val="en-GB"/>
              </w:rPr>
            </w:pPr>
            <w:r>
              <w:t>Material/Compounds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10713C" w14:textId="77777777" w:rsidR="006A7449" w:rsidRPr="00B57B36" w:rsidRDefault="006A7449" w:rsidP="000205FE">
            <w:pPr>
              <w:pStyle w:val="CETBodytext"/>
              <w:rPr>
                <w:lang w:val="en-GB"/>
              </w:rPr>
            </w:pPr>
            <w:r>
              <w:rPr>
                <w:i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0D4DC2B" w14:textId="77777777" w:rsidR="006A7449" w:rsidRPr="00B57B36" w:rsidRDefault="006A7449" w:rsidP="000205FE">
            <w:pPr>
              <w:pStyle w:val="CETBodytext"/>
              <w:rPr>
                <w:lang w:val="en-GB"/>
              </w:rPr>
            </w:pPr>
            <w:r>
              <w:t>-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110F4181" w14:textId="7D84260D" w:rsidR="006A7449" w:rsidRPr="00B57B36" w:rsidRDefault="006A7449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 xml:space="preserve">Liquid </w:t>
            </w:r>
            <w:r w:rsidR="0032770B">
              <w:t>h</w:t>
            </w:r>
            <w:r>
              <w:t>ydrogen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50AA36" w14:textId="77777777" w:rsidR="006A7449" w:rsidRPr="00B57B36" w:rsidRDefault="006A7449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D34D1">
              <w:t>AISI-304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9EA3DF" w14:textId="77777777" w:rsidR="006A7449" w:rsidRPr="00B57B36" w:rsidRDefault="006A7449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AISI 316L</w:t>
            </w:r>
          </w:p>
        </w:tc>
      </w:tr>
      <w:tr w:rsidR="0032770B" w:rsidRPr="00B57B36" w14:paraId="770376D6" w14:textId="77777777" w:rsidTr="0032770B">
        <w:tc>
          <w:tcPr>
            <w:tcW w:w="1843" w:type="dxa"/>
            <w:shd w:val="clear" w:color="auto" w:fill="FFFFFF"/>
            <w:vAlign w:val="center"/>
          </w:tcPr>
          <w:p w14:paraId="5F01CB7A" w14:textId="77777777" w:rsidR="006A7449" w:rsidRPr="00B57B36" w:rsidRDefault="006A7449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D34D1">
              <w:t>Density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E7FAB5" w14:textId="77777777" w:rsidR="006A7449" w:rsidRPr="00B57B36" w:rsidRDefault="006A7449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D34D1">
              <w:rPr>
                <w:i/>
              </w:rPr>
              <w:t>ρ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889E777" w14:textId="77777777" w:rsidR="006A7449" w:rsidRPr="00B57B36" w:rsidRDefault="006A7449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D34D1">
              <w:t>kg/m</w:t>
            </w:r>
            <w:r w:rsidRPr="00CD34D1">
              <w:rPr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5D81A7C8" w14:textId="77777777" w:rsidR="006A7449" w:rsidRPr="00B57B36" w:rsidRDefault="006A7449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70.9*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0E7EB1" w14:textId="77777777" w:rsidR="006A7449" w:rsidRPr="00B57B36" w:rsidRDefault="006A7449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7800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1F40BE" w14:textId="77777777" w:rsidR="006A7449" w:rsidRPr="00B57B36" w:rsidRDefault="006A7449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7900</w:t>
            </w:r>
          </w:p>
        </w:tc>
      </w:tr>
      <w:tr w:rsidR="006A7449" w:rsidRPr="00B57B36" w14:paraId="6226CB4B" w14:textId="77777777" w:rsidTr="0032770B">
        <w:tc>
          <w:tcPr>
            <w:tcW w:w="1843" w:type="dxa"/>
            <w:shd w:val="clear" w:color="auto" w:fill="FFFFFF"/>
            <w:vAlign w:val="center"/>
          </w:tcPr>
          <w:p w14:paraId="5AF2EA53" w14:textId="77777777" w:rsidR="006A7449" w:rsidRPr="00CD34D1" w:rsidRDefault="006A7449" w:rsidP="000205FE">
            <w:pPr>
              <w:pStyle w:val="CETBodytext"/>
              <w:ind w:right="-1"/>
            </w:pPr>
            <w:r w:rsidRPr="00CD34D1">
              <w:t>Thermal Conductivity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145249" w14:textId="77777777" w:rsidR="006A7449" w:rsidRPr="00CD34D1" w:rsidRDefault="006A7449" w:rsidP="000205FE">
            <w:pPr>
              <w:pStyle w:val="CETBodytext"/>
              <w:ind w:right="-1"/>
              <w:rPr>
                <w:i/>
              </w:rPr>
            </w:pPr>
            <w:r w:rsidRPr="00CD34D1">
              <w:rPr>
                <w:i/>
              </w:rPr>
              <w:t>k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AA59616" w14:textId="77777777" w:rsidR="006A7449" w:rsidRPr="00CD34D1" w:rsidRDefault="006A7449" w:rsidP="000205FE">
            <w:pPr>
              <w:pStyle w:val="CETBodytext"/>
              <w:ind w:right="-1"/>
            </w:pPr>
            <w:r w:rsidRPr="00CD34D1">
              <w:t>W/(</w:t>
            </w:r>
            <w:proofErr w:type="spellStart"/>
            <w:r w:rsidRPr="00CD34D1">
              <w:t>m·K</w:t>
            </w:r>
            <w:proofErr w:type="spellEnd"/>
            <w:r w:rsidRPr="00CD34D1"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0D7B7C1F" w14:textId="77777777" w:rsidR="006A7449" w:rsidRDefault="006A7449" w:rsidP="000205FE">
            <w:pPr>
              <w:pStyle w:val="CETBodytext"/>
              <w:ind w:right="-1"/>
            </w:pPr>
            <w: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557898" w14:textId="4A1DFEBD" w:rsidR="006A7449" w:rsidRDefault="006A7449" w:rsidP="000205FE">
            <w:pPr>
              <w:pStyle w:val="CETBodytext"/>
              <w:ind w:right="-1"/>
            </w:pPr>
            <w: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00360F" w14:textId="77777777" w:rsidR="006A7449" w:rsidRDefault="006A7449" w:rsidP="000205FE">
            <w:pPr>
              <w:pStyle w:val="CETBodytext"/>
              <w:ind w:right="-1"/>
            </w:pPr>
            <w:r>
              <w:t>15</w:t>
            </w:r>
          </w:p>
        </w:tc>
      </w:tr>
      <w:tr w:rsidR="006A7449" w:rsidRPr="00B57B36" w14:paraId="7E933AB9" w14:textId="77777777" w:rsidTr="0032770B">
        <w:tc>
          <w:tcPr>
            <w:tcW w:w="1843" w:type="dxa"/>
            <w:shd w:val="clear" w:color="auto" w:fill="FFFFFF"/>
            <w:vAlign w:val="center"/>
          </w:tcPr>
          <w:p w14:paraId="0551E107" w14:textId="77777777" w:rsidR="006A7449" w:rsidRPr="00CD34D1" w:rsidRDefault="006A7449" w:rsidP="000205FE">
            <w:pPr>
              <w:pStyle w:val="CETBodytext"/>
              <w:ind w:right="-1"/>
            </w:pPr>
            <w:r w:rsidRPr="00CD34D1">
              <w:t>Heat capacity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3288C9" w14:textId="77777777" w:rsidR="006A7449" w:rsidRPr="00CD34D1" w:rsidRDefault="006A7449" w:rsidP="000205FE">
            <w:pPr>
              <w:pStyle w:val="CETBodytext"/>
              <w:ind w:right="-1"/>
              <w:rPr>
                <w:i/>
              </w:rPr>
            </w:pPr>
            <w:r>
              <w:rPr>
                <w:i/>
              </w:rPr>
              <w:t>c</w:t>
            </w:r>
            <w:r w:rsidRPr="00CD34D1">
              <w:rPr>
                <w:i/>
              </w:rPr>
              <w:t>p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AB6462E" w14:textId="77777777" w:rsidR="006A7449" w:rsidRPr="00CD34D1" w:rsidRDefault="006A7449" w:rsidP="000205FE">
            <w:pPr>
              <w:pStyle w:val="CETBodytext"/>
              <w:ind w:right="-1"/>
            </w:pPr>
            <w:r w:rsidRPr="00CD34D1">
              <w:t>J/(</w:t>
            </w:r>
            <w:proofErr w:type="spellStart"/>
            <w:r w:rsidRPr="00CD34D1">
              <w:t>kg·K</w:t>
            </w:r>
            <w:proofErr w:type="spellEnd"/>
            <w:r w:rsidRPr="00CD34D1"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3DAF57A2" w14:textId="77777777" w:rsidR="006A7449" w:rsidRDefault="006A7449" w:rsidP="000205FE">
            <w:pPr>
              <w:pStyle w:val="CETBodytext"/>
              <w:ind w:right="-1"/>
            </w:pPr>
            <w:r>
              <w:t>9800*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AC1C4B0" w14:textId="77777777" w:rsidR="006A7449" w:rsidRDefault="006A7449" w:rsidP="000205FE">
            <w:pPr>
              <w:pStyle w:val="CETBodytext"/>
              <w:ind w:right="-1"/>
            </w:pPr>
            <w:r>
              <w:t>490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A33774" w14:textId="77777777" w:rsidR="006A7449" w:rsidRDefault="006A7449" w:rsidP="000205FE">
            <w:pPr>
              <w:pStyle w:val="CETBodytext"/>
              <w:ind w:right="-1"/>
            </w:pPr>
            <w:r>
              <w:t>500</w:t>
            </w:r>
          </w:p>
        </w:tc>
      </w:tr>
      <w:tr w:rsidR="0032770B" w:rsidRPr="00B57B36" w14:paraId="0A2BC286" w14:textId="77777777" w:rsidTr="0032770B">
        <w:tc>
          <w:tcPr>
            <w:tcW w:w="1843" w:type="dxa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7140C663" w14:textId="1BFAA517" w:rsidR="006A7449" w:rsidRPr="00CD34D1" w:rsidRDefault="006A7449" w:rsidP="006A7449">
            <w:pPr>
              <w:pStyle w:val="CETBodytext"/>
              <w:ind w:right="-1"/>
            </w:pPr>
            <w:r w:rsidRPr="00CD34D1">
              <w:t>Emissivity</w:t>
            </w:r>
          </w:p>
        </w:tc>
        <w:tc>
          <w:tcPr>
            <w:tcW w:w="1134" w:type="dxa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5D07B57B" w14:textId="799C17E1" w:rsidR="006A7449" w:rsidRPr="00CD34D1" w:rsidRDefault="006A7449" w:rsidP="006A7449">
            <w:pPr>
              <w:pStyle w:val="CETBodytext"/>
              <w:ind w:right="-1"/>
              <w:rPr>
                <w:i/>
              </w:rPr>
            </w:pPr>
            <w:r w:rsidRPr="00CD34D1">
              <w:rPr>
                <w:i/>
              </w:rPr>
              <w:t>ε</w:t>
            </w:r>
          </w:p>
        </w:tc>
        <w:tc>
          <w:tcPr>
            <w:tcW w:w="952" w:type="dxa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0BCA10B8" w14:textId="744CF93D" w:rsidR="006A7449" w:rsidRPr="00CD34D1" w:rsidRDefault="006A7449" w:rsidP="006A7449">
            <w:pPr>
              <w:pStyle w:val="CETBodytext"/>
              <w:ind w:right="-1"/>
            </w:pPr>
            <w:r w:rsidRPr="00CD34D1">
              <w:t>-</w:t>
            </w:r>
          </w:p>
        </w:tc>
        <w:tc>
          <w:tcPr>
            <w:tcW w:w="1458" w:type="dxa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61F01EEF" w14:textId="77777777" w:rsidR="006A7449" w:rsidRDefault="006A7449" w:rsidP="006A7449">
            <w:pPr>
              <w:pStyle w:val="CETBodytext"/>
              <w:ind w:right="-1"/>
            </w:pPr>
          </w:p>
        </w:tc>
        <w:tc>
          <w:tcPr>
            <w:tcW w:w="1417" w:type="dxa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53DFAA96" w14:textId="48028595" w:rsidR="006A7449" w:rsidRDefault="006A7449" w:rsidP="006A7449">
            <w:pPr>
              <w:pStyle w:val="CETBodytext"/>
              <w:ind w:right="-1"/>
            </w:pPr>
            <w:r>
              <w:t>0.9</w:t>
            </w:r>
          </w:p>
        </w:tc>
        <w:tc>
          <w:tcPr>
            <w:tcW w:w="1418" w:type="dxa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46A02EAF" w14:textId="362A3ED6" w:rsidR="006A7449" w:rsidRDefault="006A7449" w:rsidP="006A7449">
            <w:pPr>
              <w:pStyle w:val="CETBodytext"/>
              <w:ind w:right="-1"/>
            </w:pPr>
            <w:r w:rsidRPr="00CD34D1">
              <w:t>0.</w:t>
            </w:r>
            <w:r w:rsidR="0032770B">
              <w:t>275</w:t>
            </w:r>
          </w:p>
        </w:tc>
      </w:tr>
      <w:tr w:rsidR="006A7449" w:rsidRPr="00B57B36" w14:paraId="355CA7E2" w14:textId="77777777" w:rsidTr="0032770B">
        <w:tc>
          <w:tcPr>
            <w:tcW w:w="8222" w:type="dxa"/>
            <w:gridSpan w:val="6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  <w:shd w:val="clear" w:color="auto" w:fill="FFFFFF"/>
            <w:vAlign w:val="center"/>
          </w:tcPr>
          <w:p w14:paraId="432674D3" w14:textId="509E94C8" w:rsidR="008C5379" w:rsidRDefault="006A7449" w:rsidP="006A7449">
            <w:pPr>
              <w:pStyle w:val="CETBodytext"/>
              <w:ind w:right="-1"/>
            </w:pPr>
            <w:r w:rsidRPr="00D17362">
              <w:t xml:space="preserve">* NIST, NIST Chemistry </w:t>
            </w:r>
            <w:proofErr w:type="spellStart"/>
            <w:r w:rsidRPr="00D17362">
              <w:t>WebBook</w:t>
            </w:r>
            <w:proofErr w:type="spellEnd"/>
          </w:p>
        </w:tc>
      </w:tr>
    </w:tbl>
    <w:p w14:paraId="0D458634" w14:textId="77777777" w:rsidR="00BB295D" w:rsidRDefault="00BB295D" w:rsidP="00CD34D1">
      <w:pPr>
        <w:pStyle w:val="CETBodytext"/>
      </w:pPr>
    </w:p>
    <w:p w14:paraId="7B01DC33" w14:textId="7030C838" w:rsidR="00EE6D6A" w:rsidRDefault="0032770B" w:rsidP="00AB3BD2">
      <w:pPr>
        <w:pStyle w:val="CETBodytext"/>
      </w:pPr>
      <w:r>
        <w:t xml:space="preserve">The tank </w:t>
      </w:r>
      <w:r w:rsidR="00DC52F8">
        <w:t>feature</w:t>
      </w:r>
      <w:r w:rsidR="008E6B9F">
        <w:t>s</w:t>
      </w:r>
      <w:r w:rsidR="00DC52F8">
        <w:t xml:space="preserve"> </w:t>
      </w:r>
      <w:r>
        <w:t>a typical commercial uniform density MLI composed of 20 pure aluminum radiative layers</w:t>
      </w:r>
      <w:r w:rsidR="007850C8">
        <w:t>,</w:t>
      </w:r>
      <w:r>
        <w:t xml:space="preserve"> interleaved with 20 layers of glass fibe</w:t>
      </w:r>
      <w:r w:rsidR="00C86C06">
        <w:t>r</w:t>
      </w:r>
      <w:r>
        <w:t xml:space="preserve"> fleece spacer material and a nominal area weight of 1.08 kg/m</w:t>
      </w:r>
      <w:r>
        <w:rPr>
          <w:vertAlign w:val="superscript"/>
        </w:rPr>
        <w:t>2</w:t>
      </w:r>
      <w:r>
        <w:t>. Residual gas w</w:t>
      </w:r>
      <w:r w:rsidR="00E31D94">
        <w:t>ith</w:t>
      </w:r>
      <w:r>
        <w:t xml:space="preserve">in the MLI is air. All the other data needed to close the model set of equations for the specific MLI considered are listed in </w:t>
      </w:r>
      <w:r w:rsidR="003D7A91">
        <w:t xml:space="preserve">Table </w:t>
      </w:r>
      <w:r w:rsidR="003D7A91">
        <w:rPr>
          <w:noProof/>
        </w:rPr>
        <w:t>3</w:t>
      </w:r>
      <w:r>
        <w:t>.</w:t>
      </w:r>
    </w:p>
    <w:p w14:paraId="1DE857E6" w14:textId="2D9EB1F8" w:rsidR="0032770B" w:rsidRPr="003A08AC" w:rsidRDefault="0032770B" w:rsidP="00CD34D1">
      <w:pPr>
        <w:pStyle w:val="CETBodytext"/>
      </w:pPr>
      <w:r>
        <w:t>The degradation temperature (</w:t>
      </w:r>
      <w:proofErr w:type="spellStart"/>
      <w:r w:rsidRPr="00122492">
        <w:rPr>
          <w:i/>
        </w:rPr>
        <w:t>T</w:t>
      </w:r>
      <w:r w:rsidRPr="00122492">
        <w:rPr>
          <w:i/>
          <w:vertAlign w:val="subscript"/>
        </w:rPr>
        <w:t>deg</w:t>
      </w:r>
      <w:proofErr w:type="spellEnd"/>
      <w:r>
        <w:t xml:space="preserve">) </w:t>
      </w:r>
      <w:r w:rsidR="002F4F25">
        <w:t>was</w:t>
      </w:r>
      <w:r>
        <w:t xml:space="preserve"> set to 660 °C, which </w:t>
      </w:r>
      <w:r w:rsidR="0071614B">
        <w:t xml:space="preserve">is </w:t>
      </w:r>
      <w:r>
        <w:t xml:space="preserve">the melting point temperature of the aluminum. </w:t>
      </w:r>
      <w:r w:rsidR="00AB3BD2">
        <w:t xml:space="preserve">A full engulfing hydrocarbon pool fire is selected as fire scenario. Thus, following the </w:t>
      </w:r>
      <w:r w:rsidR="00DB5F35">
        <w:t xml:space="preserve">guidelines proposed by </w:t>
      </w:r>
      <w:r w:rsidR="00DB5F35" w:rsidRPr="00350F30">
        <w:rPr>
          <w:noProof/>
        </w:rPr>
        <w:t xml:space="preserve">Anderson </w:t>
      </w:r>
      <w:r w:rsidR="00DB5F35">
        <w:rPr>
          <w:noProof/>
        </w:rPr>
        <w:t>et al.</w:t>
      </w:r>
      <w:r w:rsidR="00DB5F35" w:rsidRPr="00350F30">
        <w:rPr>
          <w:noProof/>
        </w:rPr>
        <w:t xml:space="preserve"> </w:t>
      </w:r>
      <w:r w:rsidR="00DB5F35">
        <w:rPr>
          <w:noProof/>
        </w:rPr>
        <w:t>(</w:t>
      </w:r>
      <w:r w:rsidR="00DB5F35" w:rsidRPr="00350F30">
        <w:rPr>
          <w:noProof/>
        </w:rPr>
        <w:t>1974)</w:t>
      </w:r>
      <w:r w:rsidR="00DB5F35">
        <w:t xml:space="preserve"> and </w:t>
      </w:r>
      <w:r w:rsidR="00DB5F35" w:rsidRPr="00350F30">
        <w:rPr>
          <w:noProof/>
        </w:rPr>
        <w:t xml:space="preserve">Birk et al. </w:t>
      </w:r>
      <w:r w:rsidR="00DB5F35">
        <w:rPr>
          <w:noProof/>
        </w:rPr>
        <w:t>(</w:t>
      </w:r>
      <w:r w:rsidR="00DB5F35" w:rsidRPr="00350F30">
        <w:rPr>
          <w:noProof/>
        </w:rPr>
        <w:t>2016)</w:t>
      </w:r>
      <w:r w:rsidR="008E6B9F">
        <w:t>,</w:t>
      </w:r>
      <w:r w:rsidR="00DB5F35">
        <w:t xml:space="preserve"> t</w:t>
      </w:r>
      <w:r w:rsidR="00AB3BD2">
        <w:t xml:space="preserve">he </w:t>
      </w:r>
      <w:proofErr w:type="spellStart"/>
      <w:r w:rsidR="00AB3BD2" w:rsidRPr="00122492">
        <w:rPr>
          <w:i/>
        </w:rPr>
        <w:t>T</w:t>
      </w:r>
      <w:r w:rsidR="00AB3BD2" w:rsidRPr="00122492">
        <w:rPr>
          <w:i/>
          <w:vertAlign w:val="subscript"/>
        </w:rPr>
        <w:t>BB_fire</w:t>
      </w:r>
      <w:proofErr w:type="spellEnd"/>
      <w:r w:rsidR="00AB3BD2" w:rsidDel="00C0033B">
        <w:t xml:space="preserve"> </w:t>
      </w:r>
      <w:r w:rsidR="00DB5F35">
        <w:t>is set</w:t>
      </w:r>
      <w:r w:rsidR="00CC40BB">
        <w:t xml:space="preserve"> to 871 °C</w:t>
      </w:r>
      <w:r w:rsidR="00AB3BD2">
        <w:t xml:space="preserve">. </w:t>
      </w:r>
    </w:p>
    <w:p w14:paraId="2F35989C" w14:textId="7880D5D7" w:rsidR="0032770B" w:rsidRDefault="0032770B" w:rsidP="0032770B">
      <w:pPr>
        <w:pStyle w:val="CETTabletitle"/>
      </w:pPr>
      <w:bookmarkStart w:id="5" w:name="_Ref126161673"/>
      <w:r>
        <w:t xml:space="preserve">Table </w:t>
      </w:r>
      <w:r w:rsidR="003D7A91">
        <w:rPr>
          <w:noProof/>
        </w:rPr>
        <w:t>3</w:t>
      </w:r>
      <w:bookmarkEnd w:id="5"/>
      <w:r>
        <w:t>. MLI geometrical and material properties</w:t>
      </w:r>
    </w:p>
    <w:tbl>
      <w:tblPr>
        <w:tblW w:w="0" w:type="auto"/>
        <w:tblBorders>
          <w:top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810"/>
        <w:gridCol w:w="1134"/>
        <w:gridCol w:w="1458"/>
        <w:gridCol w:w="1417"/>
      </w:tblGrid>
      <w:tr w:rsidR="0032770B" w:rsidRPr="00B57B36" w14:paraId="386897F3" w14:textId="77777777" w:rsidTr="0032770B">
        <w:tc>
          <w:tcPr>
            <w:tcW w:w="198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6B3A476" w14:textId="77777777" w:rsidR="0032770B" w:rsidRPr="00B57B36" w:rsidRDefault="0032770B" w:rsidP="000205FE">
            <w:pPr>
              <w:pStyle w:val="CETBodytext"/>
              <w:rPr>
                <w:lang w:val="en-GB"/>
              </w:rPr>
            </w:pPr>
            <w:r w:rsidRPr="00CD34D1">
              <w:t>Property</w:t>
            </w:r>
          </w:p>
        </w:tc>
        <w:tc>
          <w:tcPr>
            <w:tcW w:w="81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4B9082D" w14:textId="77777777" w:rsidR="0032770B" w:rsidRPr="00B57B36" w:rsidRDefault="0032770B" w:rsidP="000205FE">
            <w:pPr>
              <w:pStyle w:val="CETBodytext"/>
              <w:rPr>
                <w:lang w:val="en-GB"/>
              </w:rPr>
            </w:pPr>
            <w:r w:rsidRPr="00CD34D1">
              <w:t>Symbol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97B80DC" w14:textId="77777777" w:rsidR="0032770B" w:rsidRPr="00B57B36" w:rsidRDefault="0032770B" w:rsidP="000205FE">
            <w:pPr>
              <w:pStyle w:val="CETBodytext"/>
              <w:rPr>
                <w:lang w:val="en-GB"/>
              </w:rPr>
            </w:pPr>
            <w:r w:rsidRPr="00CD34D1">
              <w:t>Unit</w:t>
            </w:r>
          </w:p>
        </w:tc>
        <w:tc>
          <w:tcPr>
            <w:tcW w:w="145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720B61F1" w14:textId="54E992F7" w:rsidR="0032770B" w:rsidRPr="00B57B36" w:rsidRDefault="0032770B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Radiative layer</w:t>
            </w:r>
          </w:p>
        </w:tc>
        <w:tc>
          <w:tcPr>
            <w:tcW w:w="141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9B95B94" w14:textId="4EF556B7" w:rsidR="0032770B" w:rsidRPr="00B57B36" w:rsidRDefault="0032770B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Spacer</w:t>
            </w:r>
          </w:p>
        </w:tc>
      </w:tr>
      <w:tr w:rsidR="0032770B" w:rsidRPr="00B57B36" w14:paraId="1A0521F2" w14:textId="77777777" w:rsidTr="0032770B">
        <w:tc>
          <w:tcPr>
            <w:tcW w:w="1985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1F9A0F62" w14:textId="077EC3D2" w:rsidR="0032770B" w:rsidRPr="00B57B36" w:rsidRDefault="0032770B" w:rsidP="000205FE">
            <w:pPr>
              <w:pStyle w:val="CETBodytext"/>
              <w:rPr>
                <w:lang w:val="en-GB"/>
              </w:rPr>
            </w:pPr>
            <w:r>
              <w:t>Material</w:t>
            </w:r>
          </w:p>
        </w:tc>
        <w:tc>
          <w:tcPr>
            <w:tcW w:w="810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744CEEBA" w14:textId="77777777" w:rsidR="0032770B" w:rsidRPr="0032770B" w:rsidRDefault="0032770B" w:rsidP="000205FE">
            <w:pPr>
              <w:pStyle w:val="CETBodytext"/>
              <w:rPr>
                <w:lang w:val="en-GB"/>
              </w:rPr>
            </w:pPr>
            <w:r w:rsidRPr="0032770B">
              <w:t>-</w:t>
            </w:r>
          </w:p>
        </w:tc>
        <w:tc>
          <w:tcPr>
            <w:tcW w:w="1134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466F4464" w14:textId="77777777" w:rsidR="0032770B" w:rsidRPr="0032770B" w:rsidRDefault="0032770B" w:rsidP="000205FE">
            <w:pPr>
              <w:pStyle w:val="CETBodytext"/>
              <w:rPr>
                <w:lang w:val="en-GB"/>
              </w:rPr>
            </w:pPr>
            <w:r w:rsidRPr="0032770B">
              <w:t>-</w:t>
            </w:r>
          </w:p>
        </w:tc>
        <w:tc>
          <w:tcPr>
            <w:tcW w:w="1458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359F7CAE" w14:textId="7F2B7F2E" w:rsidR="0032770B" w:rsidRPr="00B57B36" w:rsidRDefault="0032770B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Aluminum</w:t>
            </w:r>
          </w:p>
        </w:tc>
        <w:tc>
          <w:tcPr>
            <w:tcW w:w="1417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427EFC92" w14:textId="09CA8269" w:rsidR="0032770B" w:rsidRPr="00B57B36" w:rsidRDefault="0032770B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Glass fib</w:t>
            </w:r>
            <w:r w:rsidR="00C86C06">
              <w:t>e</w:t>
            </w:r>
            <w:r>
              <w:t>r fleece</w:t>
            </w:r>
          </w:p>
        </w:tc>
      </w:tr>
      <w:tr w:rsidR="0032770B" w:rsidRPr="00B57B36" w14:paraId="7D1B7025" w14:textId="77777777" w:rsidTr="0032770B">
        <w:tc>
          <w:tcPr>
            <w:tcW w:w="1985" w:type="dxa"/>
            <w:shd w:val="clear" w:color="auto" w:fill="FFFFFF"/>
            <w:vAlign w:val="center"/>
          </w:tcPr>
          <w:p w14:paraId="7922E71B" w14:textId="5280683B" w:rsidR="0032770B" w:rsidRPr="00CD34D1" w:rsidRDefault="00CA7C10" w:rsidP="000205FE">
            <w:pPr>
              <w:pStyle w:val="CETBodytext"/>
              <w:ind w:right="-1"/>
            </w:pPr>
            <w:r>
              <w:t>T</w:t>
            </w:r>
            <w:r w:rsidR="0032770B">
              <w:t>hickness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B08E3AE" w14:textId="2849A931" w:rsidR="0032770B" w:rsidRPr="0032770B" w:rsidRDefault="0032770B" w:rsidP="000205FE">
            <w:pPr>
              <w:pStyle w:val="CETBodytext"/>
              <w:ind w:right="-1"/>
              <w:rPr>
                <w:i/>
              </w:rPr>
            </w:pPr>
            <w:proofErr w:type="spellStart"/>
            <w:r w:rsidRPr="0032770B">
              <w:rPr>
                <w:rFonts w:cs="Arial"/>
                <w:i/>
              </w:rPr>
              <w:t>δ</w:t>
            </w:r>
            <w:r w:rsidR="00871F4B">
              <w:rPr>
                <w:rFonts w:cs="Arial"/>
                <w:i/>
                <w:vertAlign w:val="subscript"/>
              </w:rPr>
              <w:t>rl</w:t>
            </w:r>
            <w:proofErr w:type="spellEnd"/>
            <w:r w:rsidRPr="0032770B">
              <w:rPr>
                <w:rFonts w:cs="Arial"/>
                <w:i/>
              </w:rPr>
              <w:t>/D</w:t>
            </w:r>
            <w:r w:rsidRPr="0032770B">
              <w:rPr>
                <w:rFonts w:cs="Arial"/>
                <w:i/>
                <w:vertAlign w:val="subscript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136134" w14:textId="585C7B1C" w:rsidR="0032770B" w:rsidRPr="00CD34D1" w:rsidRDefault="0032770B" w:rsidP="000205FE">
            <w:pPr>
              <w:pStyle w:val="CETBodytext"/>
              <w:ind w:right="-1"/>
            </w:pPr>
            <w:r>
              <w:t>m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1584DD50" w14:textId="027D1589" w:rsidR="0032770B" w:rsidRPr="0032770B" w:rsidRDefault="0032770B" w:rsidP="000205FE">
            <w:pPr>
              <w:pStyle w:val="CETBodytext"/>
              <w:ind w:right="-1"/>
              <w:rPr>
                <w:vertAlign w:val="superscript"/>
              </w:rPr>
            </w:pPr>
            <w:r>
              <w:t>9</w:t>
            </w:r>
            <w:r w:rsidRPr="000640D2">
              <w:rPr>
                <w:rFonts w:eastAsia="SimSun"/>
              </w:rPr>
              <w:t>·</w:t>
            </w:r>
            <w:r>
              <w:rPr>
                <w:rFonts w:eastAsia="SimSun"/>
              </w:rPr>
              <w:t>10</w:t>
            </w:r>
            <w:r>
              <w:rPr>
                <w:rFonts w:eastAsia="SimSun"/>
                <w:vertAlign w:val="superscript"/>
              </w:rPr>
              <w:t>-6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2AFC3D" w14:textId="791DF808" w:rsidR="0032770B" w:rsidRDefault="0032770B" w:rsidP="000205FE">
            <w:pPr>
              <w:pStyle w:val="CETBodytext"/>
              <w:ind w:right="-1"/>
            </w:pPr>
            <w:r>
              <w:t>7</w:t>
            </w:r>
            <w:r w:rsidRPr="000640D2">
              <w:rPr>
                <w:rFonts w:eastAsia="SimSun"/>
              </w:rPr>
              <w:t>·</w:t>
            </w:r>
            <w:r>
              <w:rPr>
                <w:rFonts w:eastAsia="SimSun"/>
              </w:rPr>
              <w:t>10</w:t>
            </w:r>
            <w:r>
              <w:rPr>
                <w:rFonts w:eastAsia="SimSun"/>
                <w:vertAlign w:val="superscript"/>
              </w:rPr>
              <w:t>-4</w:t>
            </w:r>
          </w:p>
        </w:tc>
      </w:tr>
      <w:tr w:rsidR="0032770B" w:rsidRPr="00B57B36" w14:paraId="01A7325F" w14:textId="77777777" w:rsidTr="0032770B">
        <w:tc>
          <w:tcPr>
            <w:tcW w:w="1985" w:type="dxa"/>
            <w:shd w:val="clear" w:color="auto" w:fill="FFFFFF"/>
            <w:vAlign w:val="center"/>
          </w:tcPr>
          <w:p w14:paraId="51F3FA62" w14:textId="77777777" w:rsidR="0032770B" w:rsidRPr="00B57B36" w:rsidRDefault="0032770B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D34D1">
              <w:t>Density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7D967A8" w14:textId="77777777" w:rsidR="0032770B" w:rsidRPr="0032770B" w:rsidRDefault="0032770B" w:rsidP="000205FE">
            <w:pPr>
              <w:pStyle w:val="CETBodytext"/>
              <w:ind w:right="-1"/>
              <w:rPr>
                <w:rFonts w:cs="Arial"/>
                <w:i/>
                <w:szCs w:val="18"/>
                <w:lang w:val="en-GB"/>
              </w:rPr>
            </w:pPr>
            <w:r w:rsidRPr="0032770B">
              <w:rPr>
                <w:i/>
              </w:rPr>
              <w:t>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6A5AA5" w14:textId="77777777" w:rsidR="0032770B" w:rsidRPr="00B57B36" w:rsidRDefault="0032770B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D34D1">
              <w:t>kg/m</w:t>
            </w:r>
            <w:r w:rsidRPr="00CD34D1">
              <w:rPr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2D2431C7" w14:textId="15E45CC3" w:rsidR="0032770B" w:rsidRPr="00B57B36" w:rsidRDefault="0032770B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2700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0965DDB" w14:textId="70AE0508" w:rsidR="0032770B" w:rsidRPr="00B57B36" w:rsidRDefault="0032770B" w:rsidP="00020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2500*</w:t>
            </w:r>
          </w:p>
        </w:tc>
      </w:tr>
      <w:tr w:rsidR="0032770B" w:rsidRPr="00B57B36" w14:paraId="2501DBF9" w14:textId="77777777" w:rsidTr="0032770B">
        <w:tc>
          <w:tcPr>
            <w:tcW w:w="1985" w:type="dxa"/>
            <w:shd w:val="clear" w:color="auto" w:fill="FFFFFF"/>
            <w:vAlign w:val="center"/>
          </w:tcPr>
          <w:p w14:paraId="06441F76" w14:textId="77777777" w:rsidR="0032770B" w:rsidRPr="00CD34D1" w:rsidRDefault="0032770B" w:rsidP="000205FE">
            <w:pPr>
              <w:pStyle w:val="CETBodytext"/>
              <w:ind w:right="-1"/>
            </w:pPr>
            <w:r w:rsidRPr="00CD34D1">
              <w:t>Thermal Conductivity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E77A724" w14:textId="77777777" w:rsidR="0032770B" w:rsidRPr="0032770B" w:rsidRDefault="0032770B" w:rsidP="000205FE">
            <w:pPr>
              <w:pStyle w:val="CETBodytext"/>
              <w:ind w:right="-1"/>
              <w:rPr>
                <w:i/>
              </w:rPr>
            </w:pPr>
            <w:r w:rsidRPr="0032770B">
              <w:rPr>
                <w:i/>
              </w:rPr>
              <w:t>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53FB08" w14:textId="77777777" w:rsidR="0032770B" w:rsidRPr="00CD34D1" w:rsidRDefault="0032770B" w:rsidP="000205FE">
            <w:pPr>
              <w:pStyle w:val="CETBodytext"/>
              <w:ind w:right="-1"/>
            </w:pPr>
            <w:r w:rsidRPr="00CD34D1">
              <w:t>W/(</w:t>
            </w:r>
            <w:proofErr w:type="spellStart"/>
            <w:r w:rsidRPr="00CD34D1">
              <w:t>m·K</w:t>
            </w:r>
            <w:proofErr w:type="spellEnd"/>
            <w:r w:rsidRPr="00CD34D1"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63D25286" w14:textId="58082861" w:rsidR="0032770B" w:rsidRDefault="0032770B" w:rsidP="000205FE">
            <w:pPr>
              <w:pStyle w:val="CETBodytext"/>
              <w:ind w:right="-1"/>
            </w:pPr>
            <w:r>
              <w:t>250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6B4B8BF" w14:textId="7ED2715D" w:rsidR="0032770B" w:rsidRDefault="0032770B" w:rsidP="000205FE">
            <w:pPr>
              <w:pStyle w:val="CETBodytext"/>
              <w:ind w:right="-1"/>
            </w:pPr>
            <w:r>
              <w:t>0.8*</w:t>
            </w:r>
          </w:p>
        </w:tc>
      </w:tr>
      <w:tr w:rsidR="0032770B" w:rsidRPr="00B57B36" w14:paraId="6BF5CB31" w14:textId="77777777" w:rsidTr="0032770B">
        <w:tc>
          <w:tcPr>
            <w:tcW w:w="1985" w:type="dxa"/>
            <w:shd w:val="clear" w:color="auto" w:fill="FFFFFF"/>
            <w:vAlign w:val="center"/>
          </w:tcPr>
          <w:p w14:paraId="5360AECE" w14:textId="77777777" w:rsidR="0032770B" w:rsidRPr="00CD34D1" w:rsidRDefault="0032770B" w:rsidP="000205FE">
            <w:pPr>
              <w:pStyle w:val="CETBodytext"/>
              <w:ind w:right="-1"/>
            </w:pPr>
            <w:r w:rsidRPr="00CD34D1">
              <w:t>Heat capacity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F1EFC63" w14:textId="77777777" w:rsidR="0032770B" w:rsidRPr="0032770B" w:rsidRDefault="0032770B" w:rsidP="000205FE">
            <w:pPr>
              <w:pStyle w:val="CETBodytext"/>
              <w:ind w:right="-1"/>
              <w:rPr>
                <w:i/>
              </w:rPr>
            </w:pPr>
            <w:r w:rsidRPr="0032770B">
              <w:rPr>
                <w:i/>
              </w:rPr>
              <w:t>c</w:t>
            </w:r>
            <w:r w:rsidRPr="00393899">
              <w:rPr>
                <w:i/>
                <w:vertAlign w:val="subscript"/>
              </w:rPr>
              <w:t>p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C53CDB" w14:textId="77777777" w:rsidR="0032770B" w:rsidRPr="00CD34D1" w:rsidRDefault="0032770B" w:rsidP="000205FE">
            <w:pPr>
              <w:pStyle w:val="CETBodytext"/>
              <w:ind w:right="-1"/>
            </w:pPr>
            <w:r w:rsidRPr="00CD34D1">
              <w:t>J/(</w:t>
            </w:r>
            <w:proofErr w:type="spellStart"/>
            <w:r w:rsidRPr="00CD34D1">
              <w:t>kg·K</w:t>
            </w:r>
            <w:proofErr w:type="spellEnd"/>
            <w:r w:rsidRPr="00CD34D1"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03BC5DB4" w14:textId="518EB500" w:rsidR="0032770B" w:rsidRDefault="0032770B" w:rsidP="000205FE">
            <w:pPr>
              <w:pStyle w:val="CETBodytext"/>
              <w:ind w:right="-1"/>
            </w:pPr>
            <w:r>
              <w:t>900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636215" w14:textId="5AFD7724" w:rsidR="0032770B" w:rsidRDefault="0032770B" w:rsidP="000205FE">
            <w:pPr>
              <w:pStyle w:val="CETBodytext"/>
              <w:ind w:right="-1"/>
            </w:pPr>
            <w:r>
              <w:t>-</w:t>
            </w:r>
          </w:p>
        </w:tc>
      </w:tr>
      <w:tr w:rsidR="0032770B" w:rsidRPr="00B57B36" w14:paraId="6D40B1C9" w14:textId="77777777" w:rsidTr="0032770B">
        <w:tc>
          <w:tcPr>
            <w:tcW w:w="1985" w:type="dxa"/>
            <w:tcBorders>
              <w:bottom w:val="nil"/>
            </w:tcBorders>
            <w:shd w:val="clear" w:color="auto" w:fill="FFFFFF"/>
            <w:vAlign w:val="center"/>
          </w:tcPr>
          <w:p w14:paraId="3B100033" w14:textId="35953610" w:rsidR="0032770B" w:rsidRPr="00CD34D1" w:rsidRDefault="0032770B" w:rsidP="000205FE">
            <w:pPr>
              <w:pStyle w:val="CETBodytext"/>
              <w:ind w:right="-1"/>
            </w:pPr>
            <w:r>
              <w:t>Relative density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vAlign w:val="center"/>
          </w:tcPr>
          <w:p w14:paraId="6FE483C2" w14:textId="3847CB25" w:rsidR="0032770B" w:rsidRPr="0032770B" w:rsidRDefault="0032770B" w:rsidP="000205FE">
            <w:pPr>
              <w:pStyle w:val="CETBodytext"/>
              <w:ind w:right="-1"/>
              <w:rPr>
                <w:i/>
              </w:rPr>
            </w:pPr>
            <w:r w:rsidRPr="0032770B">
              <w:rPr>
                <w:i/>
              </w:rPr>
              <w:t>f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14:paraId="2C9FA483" w14:textId="35492149" w:rsidR="0032770B" w:rsidRPr="0032770B" w:rsidRDefault="0032770B" w:rsidP="000205FE">
            <w:pPr>
              <w:pStyle w:val="CETBodytext"/>
              <w:ind w:right="-1"/>
            </w:pPr>
            <w:r w:rsidRPr="0032770B">
              <w:t>-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FFFFFF"/>
            <w:vAlign w:val="center"/>
          </w:tcPr>
          <w:p w14:paraId="0376F2F6" w14:textId="5FF4A61A" w:rsidR="0032770B" w:rsidRDefault="0032770B" w:rsidP="000205FE">
            <w:pPr>
              <w:pStyle w:val="CETBodytext"/>
              <w:ind w:right="-1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vAlign w:val="center"/>
          </w:tcPr>
          <w:p w14:paraId="055371C8" w14:textId="0D5F414D" w:rsidR="0032770B" w:rsidRDefault="0032770B" w:rsidP="000205FE">
            <w:pPr>
              <w:pStyle w:val="CETBodytext"/>
              <w:ind w:right="-1"/>
            </w:pPr>
            <w:r>
              <w:t>0.017</w:t>
            </w:r>
          </w:p>
        </w:tc>
      </w:tr>
      <w:tr w:rsidR="0032770B" w:rsidRPr="00B57B36" w14:paraId="5953C460" w14:textId="77777777" w:rsidTr="0032770B"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D8E114" w14:textId="06B7BAE2" w:rsidR="0032770B" w:rsidRPr="00CD34D1" w:rsidRDefault="0032770B" w:rsidP="000205FE">
            <w:pPr>
              <w:pStyle w:val="CETBodytext"/>
              <w:ind w:right="-1"/>
            </w:pPr>
            <w:r>
              <w:t>Emissivity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3FB308" w14:textId="033ED9AD" w:rsidR="0032770B" w:rsidRPr="0032770B" w:rsidRDefault="0032770B" w:rsidP="000205FE">
            <w:pPr>
              <w:pStyle w:val="CETBodytext"/>
              <w:ind w:right="-1"/>
              <w:rPr>
                <w:i/>
              </w:rPr>
            </w:pPr>
            <w:r w:rsidRPr="0032770B">
              <w:rPr>
                <w:i/>
              </w:rPr>
              <w:t>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C3E9A2" w14:textId="123AD682" w:rsidR="0032770B" w:rsidRPr="0032770B" w:rsidRDefault="0032770B" w:rsidP="000205FE">
            <w:pPr>
              <w:pStyle w:val="CETBodytext"/>
              <w:ind w:right="-1"/>
            </w:pPr>
            <w:r w:rsidRPr="0032770B">
              <w:t>-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6E0BE" w14:textId="123EBD66" w:rsidR="0032770B" w:rsidRDefault="0032770B" w:rsidP="000205FE">
            <w:pPr>
              <w:pStyle w:val="CETBodytext"/>
              <w:ind w:right="-1"/>
            </w:pPr>
            <w:r>
              <w:t>0.04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489A4A" w14:textId="0BF49D4B" w:rsidR="0032770B" w:rsidRDefault="0032770B" w:rsidP="000205FE">
            <w:pPr>
              <w:pStyle w:val="CETBodytext"/>
              <w:ind w:right="-1"/>
            </w:pPr>
            <w:r>
              <w:t>-</w:t>
            </w:r>
          </w:p>
        </w:tc>
      </w:tr>
      <w:tr w:rsidR="0032770B" w:rsidRPr="00B57B36" w14:paraId="6E750A7F" w14:textId="77777777" w:rsidTr="0032770B"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23FAC5" w14:textId="682ACDB7" w:rsidR="0032770B" w:rsidRDefault="0032770B" w:rsidP="000205FE">
            <w:pPr>
              <w:pStyle w:val="CETBodytext"/>
              <w:ind w:right="-1"/>
            </w:pPr>
            <w:r>
              <w:t>Spacer empirical factor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581F1F" w14:textId="0C98C83E" w:rsidR="0032770B" w:rsidRPr="0032770B" w:rsidRDefault="0032770B" w:rsidP="000205FE">
            <w:pPr>
              <w:pStyle w:val="CETBodytext"/>
              <w:ind w:right="-1"/>
              <w:rPr>
                <w:i/>
              </w:rPr>
            </w:pPr>
            <w:r w:rsidRPr="0032770B">
              <w:rPr>
                <w:i/>
              </w:rPr>
              <w:t>C</w:t>
            </w:r>
            <w:r w:rsidRPr="0032770B">
              <w:rPr>
                <w:i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AED403" w14:textId="5C469750" w:rsidR="0032770B" w:rsidRPr="0032770B" w:rsidRDefault="0032770B" w:rsidP="000205FE">
            <w:pPr>
              <w:pStyle w:val="CETBodytext"/>
              <w:ind w:right="-1"/>
            </w:pPr>
            <w:r w:rsidRPr="0032770B">
              <w:t>-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08325B" w14:textId="1B27B906" w:rsidR="0032770B" w:rsidRDefault="0032770B" w:rsidP="000205FE">
            <w:pPr>
              <w:pStyle w:val="CETBodytext"/>
              <w:ind w:right="-1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80C0E6" w14:textId="40F5667A" w:rsidR="0032770B" w:rsidRDefault="0032770B" w:rsidP="000205FE">
            <w:pPr>
              <w:pStyle w:val="CETBodytext"/>
              <w:ind w:right="-1"/>
            </w:pPr>
            <w:r>
              <w:t>0.0025</w:t>
            </w:r>
          </w:p>
        </w:tc>
      </w:tr>
      <w:tr w:rsidR="0032770B" w:rsidRPr="00B57B36" w14:paraId="0FE71597" w14:textId="77777777" w:rsidTr="00A112BE">
        <w:tc>
          <w:tcPr>
            <w:tcW w:w="1985" w:type="dxa"/>
            <w:tcBorders>
              <w:top w:val="nil"/>
              <w:bottom w:val="single" w:sz="6" w:space="0" w:color="008000"/>
            </w:tcBorders>
            <w:shd w:val="clear" w:color="auto" w:fill="FFFFFF"/>
            <w:vAlign w:val="center"/>
          </w:tcPr>
          <w:p w14:paraId="55495B82" w14:textId="067F5BD9" w:rsidR="0032770B" w:rsidRDefault="0032770B" w:rsidP="000205FE">
            <w:pPr>
              <w:pStyle w:val="CETBodytext"/>
              <w:ind w:right="-1"/>
            </w:pPr>
            <w:r>
              <w:t>Residual gas pressure</w:t>
            </w:r>
          </w:p>
        </w:tc>
        <w:tc>
          <w:tcPr>
            <w:tcW w:w="810" w:type="dxa"/>
            <w:tcBorders>
              <w:top w:val="nil"/>
              <w:bottom w:val="single" w:sz="6" w:space="0" w:color="008000"/>
            </w:tcBorders>
            <w:shd w:val="clear" w:color="auto" w:fill="FFFFFF"/>
            <w:vAlign w:val="center"/>
          </w:tcPr>
          <w:p w14:paraId="7A4873B9" w14:textId="26614622" w:rsidR="0032770B" w:rsidRPr="0032770B" w:rsidRDefault="0032770B" w:rsidP="000205FE">
            <w:pPr>
              <w:pStyle w:val="CETBodytext"/>
              <w:ind w:right="-1"/>
              <w:rPr>
                <w:i/>
              </w:rPr>
            </w:pPr>
            <w:proofErr w:type="spellStart"/>
            <w:r w:rsidRPr="0032770B">
              <w:rPr>
                <w:i/>
              </w:rPr>
              <w:t>P</w:t>
            </w:r>
            <w:r w:rsidRPr="0032770B">
              <w:rPr>
                <w:i/>
                <w:vertAlign w:val="subscript"/>
              </w:rPr>
              <w:t>r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6" w:space="0" w:color="008000"/>
            </w:tcBorders>
            <w:shd w:val="clear" w:color="auto" w:fill="FFFFFF"/>
            <w:vAlign w:val="center"/>
          </w:tcPr>
          <w:p w14:paraId="488C76D1" w14:textId="442650EB" w:rsidR="0032770B" w:rsidRDefault="0032770B" w:rsidP="000205FE">
            <w:pPr>
              <w:pStyle w:val="CETBodytext"/>
              <w:ind w:right="-1"/>
            </w:pPr>
            <w:r>
              <w:t>Pa</w:t>
            </w:r>
          </w:p>
        </w:tc>
        <w:tc>
          <w:tcPr>
            <w:tcW w:w="2875" w:type="dxa"/>
            <w:gridSpan w:val="2"/>
            <w:tcBorders>
              <w:top w:val="nil"/>
              <w:bottom w:val="single" w:sz="6" w:space="0" w:color="008000"/>
            </w:tcBorders>
            <w:shd w:val="clear" w:color="auto" w:fill="FFFFFF"/>
            <w:vAlign w:val="center"/>
          </w:tcPr>
          <w:p w14:paraId="3F17D22E" w14:textId="7E92F888" w:rsidR="0032770B" w:rsidRPr="0032770B" w:rsidRDefault="0032770B" w:rsidP="0032770B">
            <w:pPr>
              <w:pStyle w:val="CETBodytext"/>
              <w:ind w:right="-1"/>
            </w:pPr>
            <w:r>
              <w:t xml:space="preserve">                     1</w:t>
            </w:r>
            <w:r w:rsidRPr="000640D2">
              <w:rPr>
                <w:rFonts w:eastAsia="SimSun"/>
              </w:rPr>
              <w:t>·</w:t>
            </w:r>
            <w:r>
              <w:rPr>
                <w:rFonts w:eastAsia="SimSun"/>
              </w:rPr>
              <w:t>10</w:t>
            </w:r>
            <w:r>
              <w:rPr>
                <w:rFonts w:eastAsia="SimSun"/>
                <w:vertAlign w:val="superscript"/>
              </w:rPr>
              <w:t>-4</w:t>
            </w:r>
          </w:p>
        </w:tc>
      </w:tr>
      <w:tr w:rsidR="0032770B" w:rsidRPr="00B57B36" w14:paraId="7E5FBEAE" w14:textId="77777777" w:rsidTr="00A112BE">
        <w:tc>
          <w:tcPr>
            <w:tcW w:w="6804" w:type="dxa"/>
            <w:gridSpan w:val="5"/>
            <w:tcBorders>
              <w:top w:val="single" w:sz="6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59B7E1D6" w14:textId="7D14EF8C" w:rsidR="0032770B" w:rsidRDefault="0032770B" w:rsidP="000205FE">
            <w:pPr>
              <w:pStyle w:val="CETBodytext"/>
              <w:ind w:right="-1"/>
            </w:pPr>
            <w:r>
              <w:t>*solid material propert</w:t>
            </w:r>
            <w:r w:rsidR="00871F4B">
              <w:t>ies</w:t>
            </w:r>
          </w:p>
        </w:tc>
      </w:tr>
    </w:tbl>
    <w:p w14:paraId="57F1A928" w14:textId="77777777" w:rsidR="00281495" w:rsidRDefault="00281495" w:rsidP="00E22D99">
      <w:pPr>
        <w:pStyle w:val="CETBodytext"/>
      </w:pPr>
    </w:p>
    <w:p w14:paraId="6B4B3D9D" w14:textId="057FE1E1" w:rsidR="00E22D99" w:rsidRDefault="00E22D99" w:rsidP="00E22D99">
      <w:pPr>
        <w:pStyle w:val="CETBodytext"/>
        <w:rPr>
          <w:lang w:val="en-GB"/>
        </w:rPr>
      </w:pPr>
      <w:r>
        <w:t xml:space="preserve">In order to assess </w:t>
      </w:r>
      <w:r w:rsidR="0090266B">
        <w:t>the impact that the</w:t>
      </w:r>
      <w:r w:rsidR="008073B2">
        <w:t xml:space="preserve"> degradation of the</w:t>
      </w:r>
      <w:r w:rsidR="00E23131">
        <w:t xml:space="preserve"> MLI </w:t>
      </w:r>
      <w:r w:rsidR="008073B2">
        <w:t xml:space="preserve">system </w:t>
      </w:r>
      <w:r w:rsidR="00E23131">
        <w:t xml:space="preserve">can </w:t>
      </w:r>
      <w:r w:rsidR="0090266B">
        <w:t>have</w:t>
      </w:r>
      <w:r w:rsidR="00AC46AE">
        <w:t xml:space="preserve"> on</w:t>
      </w:r>
      <w:r w:rsidR="0090266B">
        <w:t xml:space="preserve"> </w:t>
      </w:r>
      <w:r w:rsidR="00E23131">
        <w:t xml:space="preserve">the pressurization rate of a cryogenic hydrogen tank </w:t>
      </w:r>
      <w:r w:rsidR="008073B2">
        <w:t xml:space="preserve">in case </w:t>
      </w:r>
      <w:r w:rsidR="005405F6">
        <w:t xml:space="preserve">of </w:t>
      </w:r>
      <w:r w:rsidR="00E23131">
        <w:t xml:space="preserve">fire, three different cases were </w:t>
      </w:r>
      <w:r w:rsidR="008073B2">
        <w:t>analyzed</w:t>
      </w:r>
      <w:r w:rsidR="00E23131">
        <w:t xml:space="preserve">. </w:t>
      </w:r>
      <w:r w:rsidR="0090266B">
        <w:t xml:space="preserve">In </w:t>
      </w:r>
      <w:r w:rsidR="00E23131">
        <w:t>CASE A the degradation of MLI</w:t>
      </w:r>
      <w:r w:rsidR="00DD3B9A">
        <w:t xml:space="preserve"> is</w:t>
      </w:r>
      <w:r w:rsidR="00137B53">
        <w:t xml:space="preserve"> simulated </w:t>
      </w:r>
      <w:proofErr w:type="gramStart"/>
      <w:r w:rsidR="00137B53">
        <w:t>taking into account</w:t>
      </w:r>
      <w:proofErr w:type="gramEnd"/>
      <w:r w:rsidR="00137B53">
        <w:t xml:space="preserve"> MLI degradation</w:t>
      </w:r>
      <w:r w:rsidR="00DD3B9A">
        <w:t xml:space="preserve"> </w:t>
      </w:r>
      <w:r w:rsidR="00E23131">
        <w:t>as described</w:t>
      </w:r>
      <w:r w:rsidR="00137B53">
        <w:t xml:space="preserve"> in section 2</w:t>
      </w:r>
      <w:r w:rsidR="004D3A99">
        <w:t xml:space="preserve">. Then, two limit conditions are </w:t>
      </w:r>
      <w:r w:rsidR="00500627">
        <w:t>considered</w:t>
      </w:r>
      <w:r w:rsidR="00E23131">
        <w:t>.</w:t>
      </w:r>
      <w:r w:rsidR="00E31D94">
        <w:t xml:space="preserve"> </w:t>
      </w:r>
      <w:r w:rsidR="0001118F">
        <w:t>The first one</w:t>
      </w:r>
      <w:r w:rsidR="00E23131">
        <w:t xml:space="preserve"> </w:t>
      </w:r>
      <w:r w:rsidR="0001118F">
        <w:t xml:space="preserve">(CASE B) </w:t>
      </w:r>
      <w:r w:rsidR="0001118F" w:rsidRPr="0001118F">
        <w:t xml:space="preserve">assumes that MLI never degrades during exposure to fire, effectively </w:t>
      </w:r>
      <w:r w:rsidR="0001118F">
        <w:t>keeping</w:t>
      </w:r>
      <w:r w:rsidR="0001118F" w:rsidRPr="0001118F">
        <w:t xml:space="preserve"> all radiative layers intact</w:t>
      </w:r>
      <w:r w:rsidR="0001118F">
        <w:t>. In the second limit case (CASE C)</w:t>
      </w:r>
      <w:r w:rsidR="00561370">
        <w:t xml:space="preserve">, no MLI is present, in fact considering only high vacuum between the two shells. </w:t>
      </w:r>
      <w:r w:rsidR="003D7A91" w:rsidRPr="00561370">
        <w:t xml:space="preserve">Table </w:t>
      </w:r>
      <w:r w:rsidR="003D7A91">
        <w:rPr>
          <w:noProof/>
        </w:rPr>
        <w:t>4</w:t>
      </w:r>
      <w:r w:rsidR="00B20937">
        <w:rPr>
          <w:lang w:val="en-GB"/>
        </w:rPr>
        <w:t xml:space="preserve"> </w:t>
      </w:r>
      <w:r w:rsidR="00561370" w:rsidRPr="00A57B88">
        <w:rPr>
          <w:lang w:val="en-GB"/>
        </w:rPr>
        <w:t>summarizes the simulations performed</w:t>
      </w:r>
      <w:r w:rsidR="00561370">
        <w:rPr>
          <w:lang w:val="en-GB"/>
        </w:rPr>
        <w:t>.</w:t>
      </w:r>
      <w:r w:rsidR="00500627">
        <w:rPr>
          <w:lang w:val="en-GB"/>
        </w:rPr>
        <w:t xml:space="preserve"> </w:t>
      </w:r>
    </w:p>
    <w:p w14:paraId="45B68BC4" w14:textId="360F900E" w:rsidR="00561370" w:rsidRPr="00561370" w:rsidRDefault="00561370" w:rsidP="00561370">
      <w:pPr>
        <w:pStyle w:val="CETTabletitle"/>
      </w:pPr>
      <w:bookmarkStart w:id="6" w:name="_Ref126962504"/>
      <w:r w:rsidRPr="00561370">
        <w:t xml:space="preserve">Table </w:t>
      </w:r>
      <w:r w:rsidR="003D7A91">
        <w:rPr>
          <w:noProof/>
        </w:rPr>
        <w:t>4</w:t>
      </w:r>
      <w:bookmarkEnd w:id="6"/>
      <w:r w:rsidRPr="00561370">
        <w:t>. List of case stud</w:t>
      </w:r>
      <w:r w:rsidR="00E31D94">
        <w:t>ies</w:t>
      </w:r>
      <w:r w:rsidRPr="00561370">
        <w:t xml:space="preserve"> considered in the simulation.</w:t>
      </w:r>
    </w:p>
    <w:tbl>
      <w:tblPr>
        <w:tblW w:w="333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4823"/>
        <w:gridCol w:w="19"/>
        <w:gridCol w:w="19"/>
      </w:tblGrid>
      <w:tr w:rsidR="00F4787B" w:rsidRPr="007A5F29" w14:paraId="2EF57DCF" w14:textId="77777777" w:rsidTr="00F4787B">
        <w:tc>
          <w:tcPr>
            <w:tcW w:w="84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47286DE" w14:textId="77777777" w:rsidR="00F4787B" w:rsidRPr="007A5F29" w:rsidRDefault="00F4787B" w:rsidP="00BD1503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Case study</w:t>
            </w:r>
          </w:p>
        </w:tc>
        <w:tc>
          <w:tcPr>
            <w:tcW w:w="412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8ACAB00" w14:textId="77777777" w:rsidR="00F4787B" w:rsidRPr="007A5F29" w:rsidRDefault="00F4787B" w:rsidP="00BD1503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DC97EE5" w14:textId="77777777" w:rsidR="00F4787B" w:rsidRPr="007A5F29" w:rsidRDefault="00F4787B" w:rsidP="00BD150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615D768" w14:textId="77777777" w:rsidR="00F4787B" w:rsidRPr="007A5F29" w:rsidRDefault="00F4787B" w:rsidP="00BD150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F4787B" w:rsidRPr="007A5F29" w14:paraId="442D675C" w14:textId="77777777" w:rsidTr="00F4787B">
        <w:tc>
          <w:tcPr>
            <w:tcW w:w="847" w:type="pct"/>
            <w:shd w:val="clear" w:color="auto" w:fill="FFFFFF"/>
          </w:tcPr>
          <w:p w14:paraId="1AE83D8D" w14:textId="369722EC" w:rsidR="00F4787B" w:rsidRPr="007A5F29" w:rsidRDefault="00F4787B" w:rsidP="00BD150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CASE A</w:t>
            </w:r>
          </w:p>
        </w:tc>
        <w:tc>
          <w:tcPr>
            <w:tcW w:w="4121" w:type="pct"/>
            <w:shd w:val="clear" w:color="auto" w:fill="FFFFFF"/>
          </w:tcPr>
          <w:p w14:paraId="5A8E0B69" w14:textId="481EE43A" w:rsidR="00F4787B" w:rsidRPr="007A5F29" w:rsidRDefault="00F4787B" w:rsidP="00BD150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MLI degradation on</w:t>
            </w:r>
          </w:p>
        </w:tc>
        <w:tc>
          <w:tcPr>
            <w:tcW w:w="16" w:type="pct"/>
            <w:shd w:val="clear" w:color="auto" w:fill="FFFFFF"/>
          </w:tcPr>
          <w:p w14:paraId="5F809768" w14:textId="77777777" w:rsidR="00F4787B" w:rsidRPr="007A5F29" w:rsidRDefault="00F4787B" w:rsidP="00BD150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6" w:type="pct"/>
            <w:shd w:val="clear" w:color="auto" w:fill="FFFFFF"/>
          </w:tcPr>
          <w:p w14:paraId="633D5D33" w14:textId="77777777" w:rsidR="00F4787B" w:rsidRPr="007A5F29" w:rsidRDefault="00F4787B" w:rsidP="00BD150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F4787B" w:rsidRPr="009F5C32" w14:paraId="65ADE274" w14:textId="77777777" w:rsidTr="00F4787B">
        <w:tc>
          <w:tcPr>
            <w:tcW w:w="847" w:type="pct"/>
            <w:shd w:val="clear" w:color="auto" w:fill="FFFFFF"/>
          </w:tcPr>
          <w:p w14:paraId="1CE31B9A" w14:textId="259A525A" w:rsidR="00F4787B" w:rsidRDefault="00F4787B" w:rsidP="00BD150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CASE B</w:t>
            </w:r>
          </w:p>
        </w:tc>
        <w:tc>
          <w:tcPr>
            <w:tcW w:w="4121" w:type="pct"/>
            <w:shd w:val="clear" w:color="auto" w:fill="FFFFFF"/>
          </w:tcPr>
          <w:p w14:paraId="4FA69AFE" w14:textId="59DD7161" w:rsidR="00F4787B" w:rsidRPr="009F5C32" w:rsidRDefault="00F4787B" w:rsidP="00BD1503">
            <w:pPr>
              <w:pStyle w:val="CETBodytext"/>
            </w:pPr>
            <w:r>
              <w:t>NO MLI degradation</w:t>
            </w:r>
          </w:p>
        </w:tc>
        <w:tc>
          <w:tcPr>
            <w:tcW w:w="16" w:type="pct"/>
            <w:shd w:val="clear" w:color="auto" w:fill="FFFFFF"/>
          </w:tcPr>
          <w:p w14:paraId="7A099EFF" w14:textId="77777777" w:rsidR="00F4787B" w:rsidRPr="009F5C32" w:rsidRDefault="00F4787B" w:rsidP="00BD1503">
            <w:pPr>
              <w:pStyle w:val="CETBodytext"/>
              <w:ind w:right="-1"/>
              <w:rPr>
                <w:rFonts w:cs="Arial"/>
                <w:szCs w:val="18"/>
              </w:rPr>
            </w:pPr>
          </w:p>
        </w:tc>
        <w:tc>
          <w:tcPr>
            <w:tcW w:w="16" w:type="pct"/>
            <w:shd w:val="clear" w:color="auto" w:fill="FFFFFF"/>
          </w:tcPr>
          <w:p w14:paraId="5E25A814" w14:textId="77777777" w:rsidR="00F4787B" w:rsidRPr="009F5C32" w:rsidRDefault="00F4787B" w:rsidP="00BD1503">
            <w:pPr>
              <w:pStyle w:val="CETBodytext"/>
              <w:ind w:right="-1"/>
              <w:rPr>
                <w:rFonts w:cs="Arial"/>
                <w:szCs w:val="18"/>
              </w:rPr>
            </w:pPr>
          </w:p>
        </w:tc>
      </w:tr>
      <w:tr w:rsidR="00F4787B" w:rsidRPr="007A5F29" w14:paraId="7F3076A9" w14:textId="77777777" w:rsidTr="00F4787B">
        <w:tc>
          <w:tcPr>
            <w:tcW w:w="847" w:type="pct"/>
            <w:shd w:val="clear" w:color="auto" w:fill="FFFFFF"/>
          </w:tcPr>
          <w:p w14:paraId="5AD55827" w14:textId="3EA20C98" w:rsidR="00F4787B" w:rsidRDefault="00F4787B" w:rsidP="00BD150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CASE C</w:t>
            </w:r>
          </w:p>
        </w:tc>
        <w:tc>
          <w:tcPr>
            <w:tcW w:w="4121" w:type="pct"/>
            <w:shd w:val="clear" w:color="auto" w:fill="FFFFFF"/>
          </w:tcPr>
          <w:p w14:paraId="45A3AC1B" w14:textId="0D2C03EB" w:rsidR="00F4787B" w:rsidRPr="009F5C32" w:rsidRDefault="00F4787B" w:rsidP="00BD1503">
            <w:pPr>
              <w:pStyle w:val="CETBodytext"/>
            </w:pPr>
            <w:r>
              <w:rPr>
                <w:lang w:val="en-GB"/>
              </w:rPr>
              <w:t>NO MLI presence in the vacuum chamber</w:t>
            </w:r>
          </w:p>
        </w:tc>
        <w:tc>
          <w:tcPr>
            <w:tcW w:w="16" w:type="pct"/>
            <w:shd w:val="clear" w:color="auto" w:fill="FFFFFF"/>
          </w:tcPr>
          <w:p w14:paraId="490A1762" w14:textId="77777777" w:rsidR="00F4787B" w:rsidRPr="007A5F29" w:rsidRDefault="00F4787B" w:rsidP="00BD150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6" w:type="pct"/>
            <w:shd w:val="clear" w:color="auto" w:fill="FFFFFF"/>
          </w:tcPr>
          <w:p w14:paraId="232FE352" w14:textId="77777777" w:rsidR="00F4787B" w:rsidRPr="007A5F29" w:rsidRDefault="00F4787B" w:rsidP="00BD150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0B21C208" w14:textId="77777777" w:rsidR="00127FA9" w:rsidRDefault="00127FA9" w:rsidP="00127FA9">
      <w:pPr>
        <w:pStyle w:val="CETBodytext"/>
      </w:pPr>
    </w:p>
    <w:p w14:paraId="1AA9DD85" w14:textId="46B1A82C" w:rsidR="00127FA9" w:rsidRDefault="00127FA9" w:rsidP="00127FA9">
      <w:pPr>
        <w:pStyle w:val="CETBodytext"/>
        <w:rPr>
          <w:lang w:val="en-GB"/>
        </w:rPr>
      </w:pPr>
      <w:r>
        <w:t xml:space="preserve">In all the cases, </w:t>
      </w:r>
      <w:r w:rsidR="00EB4280">
        <w:t>t</w:t>
      </w:r>
      <w:r>
        <w:t xml:space="preserve">he initial temperature profile in each node is set </w:t>
      </w:r>
      <w:r w:rsidR="007B1B93">
        <w:t>as</w:t>
      </w:r>
      <w:r>
        <w:t xml:space="preserve"> the </w:t>
      </w:r>
      <w:r w:rsidRPr="0027734D">
        <w:t xml:space="preserve">steady-state </w:t>
      </w:r>
      <w:r>
        <w:t xml:space="preserve">solution obtained considering </w:t>
      </w:r>
      <w:r w:rsidRPr="0027734D">
        <w:t>constant boundary temperatures</w:t>
      </w:r>
      <w:r w:rsidR="00EB4280">
        <w:t>:</w:t>
      </w:r>
      <w:r>
        <w:t xml:space="preserve"> a liquid temperature of -252.75 °C (i.e. the saturation temperature of hydrogen at atmospheric pressure)</w:t>
      </w:r>
      <w:r w:rsidRPr="0027734D">
        <w:t xml:space="preserve"> and </w:t>
      </w:r>
      <w:r>
        <w:t xml:space="preserve">an outer shell </w:t>
      </w:r>
      <w:r w:rsidRPr="0027734D">
        <w:t xml:space="preserve">temperature </w:t>
      </w:r>
      <w:r>
        <w:t>of</w:t>
      </w:r>
      <w:r w:rsidRPr="0027734D">
        <w:t xml:space="preserve"> </w:t>
      </w:r>
      <w:r>
        <w:t>25 °C (ambient temperature)</w:t>
      </w:r>
      <w:r w:rsidRPr="0027734D">
        <w:t xml:space="preserve">. </w:t>
      </w:r>
      <w:r>
        <w:t>This is representative of the system condition prior to fire exposure</w:t>
      </w:r>
      <w:r w:rsidRPr="0027734D">
        <w:t>.</w:t>
      </w:r>
    </w:p>
    <w:p w14:paraId="5E08D487" w14:textId="6982299C" w:rsidR="00F4787B" w:rsidRDefault="00B37D30" w:rsidP="00F4787B">
      <w:pPr>
        <w:pStyle w:val="CETHeading1"/>
        <w:rPr>
          <w:lang w:val="en-GB"/>
        </w:rPr>
      </w:pPr>
      <w:r>
        <w:rPr>
          <w:lang w:val="en-GB"/>
        </w:rPr>
        <w:t>Results and Discussion</w:t>
      </w:r>
    </w:p>
    <w:p w14:paraId="1B80F41C" w14:textId="7ADA9D1F" w:rsidR="004E7CEB" w:rsidRPr="009B7648" w:rsidRDefault="003D7A91" w:rsidP="00EF1257">
      <w:pPr>
        <w:pStyle w:val="CETBodytext"/>
      </w:pPr>
      <w:r>
        <w:t xml:space="preserve">Figure </w:t>
      </w:r>
      <w:r>
        <w:rPr>
          <w:noProof/>
        </w:rPr>
        <w:t>2</w:t>
      </w:r>
      <w:r w:rsidR="00AE03D8">
        <w:rPr>
          <w:lang w:val="en-GB"/>
        </w:rPr>
        <w:t xml:space="preserve"> shows the transient temperature evolution w</w:t>
      </w:r>
      <w:r w:rsidR="00E31D94">
        <w:rPr>
          <w:lang w:val="en-GB"/>
        </w:rPr>
        <w:t>ith</w:t>
      </w:r>
      <w:r w:rsidR="00AE03D8">
        <w:rPr>
          <w:lang w:val="en-GB"/>
        </w:rPr>
        <w:t xml:space="preserve">in the tank </w:t>
      </w:r>
      <w:r w:rsidR="00E806D5">
        <w:rPr>
          <w:lang w:val="en-GB"/>
        </w:rPr>
        <w:t>insulation system</w:t>
      </w:r>
      <w:r w:rsidR="00F93B57">
        <w:rPr>
          <w:lang w:val="en-GB"/>
        </w:rPr>
        <w:t xml:space="preserve"> obtained</w:t>
      </w:r>
      <w:r w:rsidR="00E806D5">
        <w:rPr>
          <w:lang w:val="en-GB"/>
        </w:rPr>
        <w:t xml:space="preserve"> for CASE A</w:t>
      </w:r>
      <w:r w:rsidR="00AE03D8">
        <w:rPr>
          <w:lang w:val="en-GB"/>
        </w:rPr>
        <w:t>.</w:t>
      </w:r>
      <w:r w:rsidR="0027734D">
        <w:rPr>
          <w:sz w:val="22"/>
          <w:szCs w:val="22"/>
        </w:rPr>
        <w:t xml:space="preserve"> </w:t>
      </w:r>
      <w:r w:rsidR="00DA3F0C" w:rsidRPr="00DA3F0C">
        <w:t>For the sake of clarity, only five radiative layer</w:t>
      </w:r>
      <w:r w:rsidR="00E31D94">
        <w:t>s</w:t>
      </w:r>
      <w:r w:rsidR="00DA3F0C" w:rsidRPr="00DA3F0C">
        <w:t xml:space="preserve"> of the MLI are represented.</w:t>
      </w:r>
      <w:r w:rsidR="00DA3F0C">
        <w:t xml:space="preserve"> </w:t>
      </w:r>
      <w:r w:rsidR="00E31D94">
        <w:rPr>
          <w:lang w:val="en-GB"/>
        </w:rPr>
        <w:t>The d</w:t>
      </w:r>
      <w:r w:rsidR="00AE03D8">
        <w:rPr>
          <w:lang w:val="en-GB"/>
        </w:rPr>
        <w:t>ashed red line depicts the temperature of the external wall.</w:t>
      </w:r>
      <w:r w:rsidR="00E806D5">
        <w:rPr>
          <w:lang w:val="en-GB"/>
        </w:rPr>
        <w:t xml:space="preserve"> </w:t>
      </w:r>
      <w:r w:rsidR="00F93B57">
        <w:rPr>
          <w:lang w:val="en-GB"/>
        </w:rPr>
        <w:t xml:space="preserve">Starting from </w:t>
      </w:r>
      <w:r w:rsidR="00A40A55">
        <w:rPr>
          <w:lang w:val="en-GB"/>
        </w:rPr>
        <w:t>the in</w:t>
      </w:r>
      <w:r w:rsidR="001D7BD8">
        <w:rPr>
          <w:lang w:val="en-GB"/>
        </w:rPr>
        <w:t>i</w:t>
      </w:r>
      <w:r w:rsidR="00A40A55">
        <w:rPr>
          <w:lang w:val="en-GB"/>
        </w:rPr>
        <w:t>tial value</w:t>
      </w:r>
      <w:r w:rsidR="00F93B57">
        <w:rPr>
          <w:lang w:val="en-GB"/>
        </w:rPr>
        <w:t>, this</w:t>
      </w:r>
      <w:r w:rsidR="00836509">
        <w:rPr>
          <w:lang w:val="en-GB"/>
        </w:rPr>
        <w:t xml:space="preserve"> rapidly increases</w:t>
      </w:r>
      <w:r w:rsidR="00F93B57">
        <w:rPr>
          <w:lang w:val="en-GB"/>
        </w:rPr>
        <w:t xml:space="preserve"> </w:t>
      </w:r>
      <w:r w:rsidR="00EA0FD9">
        <w:rPr>
          <w:lang w:val="en-GB"/>
        </w:rPr>
        <w:t>approaching th</w:t>
      </w:r>
      <w:r w:rsidR="00F93B57">
        <w:rPr>
          <w:lang w:val="en-GB"/>
        </w:rPr>
        <w:t xml:space="preserve">e fire </w:t>
      </w:r>
      <w:r w:rsidR="009E6990">
        <w:rPr>
          <w:lang w:val="en-GB"/>
        </w:rPr>
        <w:t>temperature</w:t>
      </w:r>
      <w:r w:rsidR="00EF7C3E">
        <w:rPr>
          <w:lang w:val="en-GB"/>
        </w:rPr>
        <w:t>.</w:t>
      </w:r>
      <w:r w:rsidR="0027734D">
        <w:rPr>
          <w:lang w:val="en-GB"/>
        </w:rPr>
        <w:t xml:space="preserve"> </w:t>
      </w:r>
      <w:r w:rsidR="0027734D" w:rsidRPr="0027734D">
        <w:t>As a result, the temperature of the first MLI layer</w:t>
      </w:r>
      <w:r w:rsidR="0027734D">
        <w:t xml:space="preserve"> (</w:t>
      </w:r>
      <w:r w:rsidR="008E6B9F">
        <w:t xml:space="preserve">solid </w:t>
      </w:r>
      <w:r w:rsidR="004E7CEB">
        <w:rPr>
          <w:color w:val="000000" w:themeColor="text1"/>
        </w:rPr>
        <w:t>yellow</w:t>
      </w:r>
      <w:r w:rsidR="0027734D">
        <w:t xml:space="preserve"> line)</w:t>
      </w:r>
      <w:r w:rsidR="0027734D" w:rsidRPr="0027734D">
        <w:t xml:space="preserve"> starts to rise until it reaches</w:t>
      </w:r>
      <w:r w:rsidR="004E2E46">
        <w:t xml:space="preserve"> the </w:t>
      </w:r>
      <w:r w:rsidR="004E2E46">
        <w:lastRenderedPageBreak/>
        <w:t>point of degradation (</w:t>
      </w:r>
      <w:proofErr w:type="spellStart"/>
      <w:r w:rsidR="0027734D" w:rsidRPr="00122492">
        <w:rPr>
          <w:i/>
        </w:rPr>
        <w:t>T</w:t>
      </w:r>
      <w:r w:rsidR="0027734D" w:rsidRPr="00122492">
        <w:rPr>
          <w:i/>
          <w:vertAlign w:val="subscript"/>
        </w:rPr>
        <w:t>deg</w:t>
      </w:r>
      <w:proofErr w:type="spellEnd"/>
      <w:r w:rsidR="004E2E46">
        <w:t>)</w:t>
      </w:r>
      <w:r w:rsidR="000D6054">
        <w:t>. At this point,</w:t>
      </w:r>
      <w:r w:rsidR="008E6B9F">
        <w:t xml:space="preserve"> </w:t>
      </w:r>
      <w:r w:rsidR="000D6054">
        <w:t>when</w:t>
      </w:r>
      <w:r w:rsidR="0027734D" w:rsidRPr="0027734D">
        <w:t xml:space="preserve"> </w:t>
      </w:r>
      <w:r w:rsidR="00185648">
        <w:t xml:space="preserve">the layer </w:t>
      </w:r>
      <w:r w:rsidR="0027734D" w:rsidRPr="0027734D">
        <w:t xml:space="preserve">is </w:t>
      </w:r>
      <w:r w:rsidR="00185648">
        <w:t>removed from the simulation</w:t>
      </w:r>
      <w:r w:rsidR="008E6B9F">
        <w:t>,</w:t>
      </w:r>
      <w:r w:rsidR="0027734D" w:rsidRPr="0027734D">
        <w:t xml:space="preserve"> </w:t>
      </w:r>
      <w:r w:rsidR="008E6B9F">
        <w:t>t</w:t>
      </w:r>
      <w:r w:rsidR="0027734D">
        <w:t xml:space="preserve">he underneath </w:t>
      </w:r>
      <w:r w:rsidR="008C60C9">
        <w:t xml:space="preserve">MLI </w:t>
      </w:r>
      <w:r w:rsidR="0027734D">
        <w:t>layers</w:t>
      </w:r>
      <w:r w:rsidR="0027734D" w:rsidRPr="0027734D">
        <w:t xml:space="preserve"> are affected by the </w:t>
      </w:r>
      <w:r w:rsidR="008C60C9">
        <w:t>external shell</w:t>
      </w:r>
      <w:r w:rsidR="0027734D" w:rsidRPr="0027734D">
        <w:t xml:space="preserve"> temperature variation with a delay that is longer the further the layer is from the fire. It is worth noti</w:t>
      </w:r>
      <w:r w:rsidR="00922AC3">
        <w:t>ci</w:t>
      </w:r>
      <w:r w:rsidR="0027734D" w:rsidRPr="0027734D">
        <w:t xml:space="preserve">ng </w:t>
      </w:r>
      <w:r w:rsidR="008C60C9">
        <w:t>that,</w:t>
      </w:r>
      <w:r w:rsidR="00DA3F0C">
        <w:t xml:space="preserve"> apart from the outermost layer,</w:t>
      </w:r>
      <w:r w:rsidR="008C60C9">
        <w:t xml:space="preserve"> </w:t>
      </w:r>
      <w:r w:rsidR="0027734D" w:rsidRPr="0027734D">
        <w:t xml:space="preserve">the rate of temperature </w:t>
      </w:r>
      <w:r w:rsidR="00DA3F0C">
        <w:t>increase</w:t>
      </w:r>
      <w:r w:rsidR="0027734D" w:rsidRPr="0027734D">
        <w:t xml:space="preserve"> </w:t>
      </w:r>
      <w:r w:rsidR="005F6A83">
        <w:t>of each radiative layer</w:t>
      </w:r>
      <w:r w:rsidR="0027734D" w:rsidRPr="0027734D">
        <w:t xml:space="preserve"> </w:t>
      </w:r>
      <w:r w:rsidR="00DA3F0C">
        <w:t>rises</w:t>
      </w:r>
      <w:r w:rsidR="0027734D" w:rsidRPr="0027734D">
        <w:t xml:space="preserve"> </w:t>
      </w:r>
      <w:r w:rsidR="000E472E" w:rsidRPr="0027734D">
        <w:t xml:space="preserve">sharply </w:t>
      </w:r>
      <w:r w:rsidR="0027734D" w:rsidRPr="0027734D">
        <w:t xml:space="preserve">as soon as the overlying layer is </w:t>
      </w:r>
      <w:r w:rsidR="000E472E">
        <w:t>destroyed</w:t>
      </w:r>
      <w:r w:rsidR="0027734D" w:rsidRPr="0027734D">
        <w:t>.</w:t>
      </w:r>
      <w:r w:rsidR="009B7648">
        <w:t xml:space="preserve"> </w:t>
      </w:r>
      <w:r w:rsidR="00737524">
        <w:t xml:space="preserve">In fact, when the </w:t>
      </w:r>
      <w:proofErr w:type="spellStart"/>
      <w:r w:rsidR="00737524">
        <w:t>i-th</w:t>
      </w:r>
      <w:proofErr w:type="spellEnd"/>
      <w:r w:rsidR="00737524">
        <w:t xml:space="preserve"> layer </w:t>
      </w:r>
      <w:r w:rsidR="0058201F">
        <w:t>disappears</w:t>
      </w:r>
      <w:r w:rsidR="00737524">
        <w:t xml:space="preserve">, the </w:t>
      </w:r>
      <w:r w:rsidR="008E0418">
        <w:t>(</w:t>
      </w:r>
      <w:r w:rsidR="00737524">
        <w:t>i</w:t>
      </w:r>
      <w:r w:rsidR="008E0418">
        <w:t>-</w:t>
      </w:r>
      <w:r w:rsidR="00FC1989">
        <w:t>1</w:t>
      </w:r>
      <w:r w:rsidR="008E0418">
        <w:t>)</w:t>
      </w:r>
      <w:r w:rsidR="00FC1989">
        <w:t>-</w:t>
      </w:r>
      <w:proofErr w:type="spellStart"/>
      <w:r w:rsidR="001C0A33">
        <w:t>th</w:t>
      </w:r>
      <w:proofErr w:type="spellEnd"/>
      <w:r w:rsidR="001C0A33">
        <w:t xml:space="preserve"> is suddenly exposed to high heat flux from the hot external wall.</w:t>
      </w:r>
      <w:r w:rsidR="009B7648">
        <w:t xml:space="preserve"> </w:t>
      </w:r>
      <w:r w:rsidR="00CE2886">
        <w:t xml:space="preserve">This phenomenon </w:t>
      </w:r>
      <w:r w:rsidR="007A1B40">
        <w:t xml:space="preserve">progresses until all the layers are </w:t>
      </w:r>
      <w:r w:rsidR="00437048">
        <w:t>destroyed. In the present simulation, this happens after 240 s of fire exposure.</w:t>
      </w:r>
      <w:r w:rsidR="009B7648">
        <w:t xml:space="preserve"> </w:t>
      </w:r>
      <w:r w:rsidR="00E31D94">
        <w:t>The d</w:t>
      </w:r>
      <w:r w:rsidR="00DA3F0C">
        <w:t xml:space="preserve">ashed </w:t>
      </w:r>
      <w:r w:rsidR="004E7CEB">
        <w:rPr>
          <w:color w:val="000000" w:themeColor="text1"/>
        </w:rPr>
        <w:t xml:space="preserve">blue </w:t>
      </w:r>
      <w:r w:rsidR="009E34C6">
        <w:rPr>
          <w:color w:val="000000" w:themeColor="text1"/>
        </w:rPr>
        <w:t>line depicts the temperature of the inner shell.</w:t>
      </w:r>
      <w:r w:rsidR="00A40A55">
        <w:rPr>
          <w:color w:val="000000" w:themeColor="text1"/>
        </w:rPr>
        <w:t xml:space="preserve"> Its</w:t>
      </w:r>
      <w:r w:rsidR="00A40A55" w:rsidRPr="00A40A55">
        <w:rPr>
          <w:color w:val="000000" w:themeColor="text1"/>
        </w:rPr>
        <w:t xml:space="preserve"> value does not vary appreciably from the i</w:t>
      </w:r>
      <w:r w:rsidR="00470D76">
        <w:rPr>
          <w:color w:val="000000" w:themeColor="text1"/>
        </w:rPr>
        <w:t>nitial</w:t>
      </w:r>
      <w:r w:rsidR="00A40A55" w:rsidRPr="00A40A55">
        <w:rPr>
          <w:color w:val="000000" w:themeColor="text1"/>
        </w:rPr>
        <w:t xml:space="preserve"> </w:t>
      </w:r>
      <w:r w:rsidR="00A40A55">
        <w:rPr>
          <w:color w:val="000000" w:themeColor="text1"/>
        </w:rPr>
        <w:t>on</w:t>
      </w:r>
      <w:r w:rsidR="00A40A55" w:rsidRPr="00A40A55">
        <w:rPr>
          <w:color w:val="000000" w:themeColor="text1"/>
        </w:rPr>
        <w:t>e as long as the entire MLI is not degraded</w:t>
      </w:r>
      <w:r w:rsidR="00470D76">
        <w:rPr>
          <w:color w:val="000000" w:themeColor="text1"/>
        </w:rPr>
        <w:t>.</w:t>
      </w:r>
      <w:r w:rsidR="00A40A55">
        <w:rPr>
          <w:color w:val="000000" w:themeColor="text1"/>
        </w:rPr>
        <w:t xml:space="preserve"> </w:t>
      </w:r>
      <w:r w:rsidR="00470D76" w:rsidRPr="00470D76">
        <w:rPr>
          <w:color w:val="000000" w:themeColor="text1"/>
        </w:rPr>
        <w:t xml:space="preserve">Since </w:t>
      </w:r>
      <w:proofErr w:type="spellStart"/>
      <w:r w:rsidR="00470D76" w:rsidRPr="00122492">
        <w:rPr>
          <w:i/>
          <w:color w:val="000000" w:themeColor="text1"/>
        </w:rPr>
        <w:t>T</w:t>
      </w:r>
      <w:r w:rsidR="00470D76" w:rsidRPr="00122492">
        <w:rPr>
          <w:i/>
          <w:color w:val="000000" w:themeColor="text1"/>
          <w:vertAlign w:val="subscript"/>
        </w:rPr>
        <w:t>Si</w:t>
      </w:r>
      <w:proofErr w:type="spellEnd"/>
      <w:r w:rsidR="00470D76" w:rsidRPr="00470D76">
        <w:rPr>
          <w:color w:val="000000" w:themeColor="text1"/>
        </w:rPr>
        <w:t xml:space="preserve"> directly </w:t>
      </w:r>
      <w:r w:rsidR="001D7BD8">
        <w:rPr>
          <w:color w:val="000000" w:themeColor="text1"/>
        </w:rPr>
        <w:t>affects</w:t>
      </w:r>
      <w:r w:rsidR="00470D76" w:rsidRPr="00470D76">
        <w:rPr>
          <w:color w:val="000000" w:themeColor="text1"/>
        </w:rPr>
        <w:t xml:space="preserve"> the heat flow entering the liquid phase (</w:t>
      </w:r>
      <w:r w:rsidR="00470D76">
        <w:rPr>
          <w:color w:val="000000" w:themeColor="text1"/>
        </w:rPr>
        <w:t>e</w:t>
      </w:r>
      <w:r w:rsidR="00470D76" w:rsidRPr="00470D76">
        <w:rPr>
          <w:color w:val="000000" w:themeColor="text1"/>
        </w:rPr>
        <w:t xml:space="preserve">q. </w:t>
      </w:r>
      <w:r w:rsidR="00107931">
        <w:rPr>
          <w:color w:val="000000" w:themeColor="text1"/>
        </w:rPr>
        <w:t>6</w:t>
      </w:r>
      <w:r w:rsidR="006C31E0">
        <w:rPr>
          <w:color w:val="000000" w:themeColor="text1"/>
        </w:rPr>
        <w:t xml:space="preserve"> in Table 1</w:t>
      </w:r>
      <w:r w:rsidR="00470D76" w:rsidRPr="00470D76">
        <w:rPr>
          <w:color w:val="000000" w:themeColor="text1"/>
        </w:rPr>
        <w:t xml:space="preserve">), this means that the temperature of the </w:t>
      </w:r>
      <w:r w:rsidR="00470D76">
        <w:rPr>
          <w:color w:val="000000" w:themeColor="text1"/>
        </w:rPr>
        <w:t>tank lading</w:t>
      </w:r>
      <w:r w:rsidR="00470D76" w:rsidRPr="00470D76">
        <w:rPr>
          <w:color w:val="000000" w:themeColor="text1"/>
        </w:rPr>
        <w:t xml:space="preserve"> </w:t>
      </w:r>
      <w:r w:rsidR="00470D76">
        <w:rPr>
          <w:color w:val="000000" w:themeColor="text1"/>
        </w:rPr>
        <w:t>does</w:t>
      </w:r>
      <w:r w:rsidR="00470D76" w:rsidRPr="00470D76">
        <w:rPr>
          <w:color w:val="000000" w:themeColor="text1"/>
        </w:rPr>
        <w:t xml:space="preserve"> not change from its initial value until the entire MLI is destroyed. This</w:t>
      </w:r>
      <w:r w:rsidR="00DA4EF3">
        <w:rPr>
          <w:color w:val="000000" w:themeColor="text1"/>
        </w:rPr>
        <w:t xml:space="preserve"> </w:t>
      </w:r>
      <w:r w:rsidR="00470D76" w:rsidRPr="00470D76">
        <w:rPr>
          <w:color w:val="000000" w:themeColor="text1"/>
        </w:rPr>
        <w:t>demonstrates the protective effect</w:t>
      </w:r>
      <w:r w:rsidR="00DB3EB0">
        <w:rPr>
          <w:color w:val="000000" w:themeColor="text1"/>
        </w:rPr>
        <w:t xml:space="preserve"> of the MLI</w:t>
      </w:r>
      <w:r w:rsidR="00470D76" w:rsidRPr="00470D76">
        <w:rPr>
          <w:color w:val="000000" w:themeColor="text1"/>
        </w:rPr>
        <w:t xml:space="preserve"> </w:t>
      </w:r>
      <w:r w:rsidR="004E6008">
        <w:rPr>
          <w:color w:val="000000" w:themeColor="text1"/>
        </w:rPr>
        <w:t>on tank lading</w:t>
      </w:r>
      <w:r w:rsidR="00470D76" w:rsidRPr="00470D76">
        <w:rPr>
          <w:color w:val="000000" w:themeColor="text1"/>
        </w:rPr>
        <w:t xml:space="preserve"> </w:t>
      </w:r>
      <w:r w:rsidR="00470D76">
        <w:rPr>
          <w:color w:val="000000" w:themeColor="text1"/>
        </w:rPr>
        <w:t>in terms of delaying</w:t>
      </w:r>
      <w:r w:rsidR="004E6008">
        <w:rPr>
          <w:color w:val="000000" w:themeColor="text1"/>
        </w:rPr>
        <w:t xml:space="preserve"> the </w:t>
      </w:r>
      <w:r w:rsidR="00E31D94">
        <w:rPr>
          <w:color w:val="000000" w:themeColor="text1"/>
        </w:rPr>
        <w:t>temperature</w:t>
      </w:r>
      <w:r w:rsidR="004E6008">
        <w:rPr>
          <w:color w:val="000000" w:themeColor="text1"/>
        </w:rPr>
        <w:t xml:space="preserve"> and, consequently,</w:t>
      </w:r>
      <w:r w:rsidR="00B134C9">
        <w:rPr>
          <w:color w:val="000000" w:themeColor="text1"/>
        </w:rPr>
        <w:t xml:space="preserve"> the</w:t>
      </w:r>
      <w:r w:rsidR="004E6008">
        <w:rPr>
          <w:color w:val="000000" w:themeColor="text1"/>
        </w:rPr>
        <w:t xml:space="preserve"> pressure</w:t>
      </w:r>
      <w:r w:rsidR="00E31D94">
        <w:rPr>
          <w:color w:val="000000" w:themeColor="text1"/>
        </w:rPr>
        <w:t xml:space="preserve"> rise</w:t>
      </w:r>
      <w:r w:rsidR="004E6008">
        <w:rPr>
          <w:color w:val="000000" w:themeColor="text1"/>
        </w:rPr>
        <w:t xml:space="preserve"> of the l</w:t>
      </w:r>
      <w:r w:rsidR="001D7BD8">
        <w:rPr>
          <w:color w:val="000000" w:themeColor="text1"/>
        </w:rPr>
        <w:t>iquid hydrogen</w:t>
      </w:r>
      <w:r w:rsidR="004E6008">
        <w:rPr>
          <w:color w:val="000000" w:themeColor="text1"/>
        </w:rPr>
        <w:t>.</w:t>
      </w:r>
      <w:r w:rsidR="00E31D94">
        <w:rPr>
          <w:color w:val="000000" w:themeColor="text1"/>
        </w:rPr>
        <w:t xml:space="preserve"> </w:t>
      </w:r>
    </w:p>
    <w:tbl>
      <w:tblPr>
        <w:tblStyle w:val="TableGrid"/>
        <w:tblpPr w:leftFromText="180" w:rightFromText="180" w:vertAnchor="text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E7CEB" w14:paraId="114B56A3" w14:textId="77777777" w:rsidTr="00545B5D">
        <w:trPr>
          <w:trHeight w:val="3518"/>
        </w:trPr>
        <w:tc>
          <w:tcPr>
            <w:tcW w:w="8777" w:type="dxa"/>
          </w:tcPr>
          <w:p w14:paraId="26BB6932" w14:textId="682F2A83" w:rsidR="004E7CEB" w:rsidRDefault="000F4119" w:rsidP="0033771F">
            <w:pPr>
              <w:pStyle w:val="CETBodytext"/>
              <w:keepNext/>
              <w:jc w:val="left"/>
            </w:pPr>
            <w:r w:rsidRPr="000F4119">
              <w:rPr>
                <w:noProof/>
              </w:rPr>
              <w:drawing>
                <wp:inline distT="0" distB="0" distL="0" distR="0" wp14:anchorId="26599B09" wp14:editId="62FB9279">
                  <wp:extent cx="4162425" cy="2333625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F707D" w14:textId="1A2D180E" w:rsidR="004E7CEB" w:rsidRDefault="004E7CEB" w:rsidP="004E7CEB">
            <w:pPr>
              <w:pStyle w:val="CETCaption"/>
              <w:jc w:val="left"/>
            </w:pPr>
            <w:bookmarkStart w:id="7" w:name="_Ref126234515"/>
            <w:bookmarkStart w:id="8" w:name="_Ref126234512"/>
            <w:r>
              <w:t xml:space="preserve">Figure </w:t>
            </w:r>
            <w:r w:rsidR="003D7A91">
              <w:rPr>
                <w:noProof/>
              </w:rPr>
              <w:t>2</w:t>
            </w:r>
            <w:bookmarkEnd w:id="7"/>
            <w:r>
              <w:t xml:space="preserve">. Transient temperature </w:t>
            </w:r>
            <w:r w:rsidR="002368B4">
              <w:t>profile</w:t>
            </w:r>
            <w:r w:rsidR="005405F6">
              <w:t xml:space="preserve"> </w:t>
            </w:r>
            <w:r>
              <w:t>within MLI</w:t>
            </w:r>
            <w:bookmarkEnd w:id="8"/>
            <w:r>
              <w:t xml:space="preserve"> for simulation case A</w:t>
            </w:r>
          </w:p>
        </w:tc>
      </w:tr>
    </w:tbl>
    <w:p w14:paraId="61CB9BEB" w14:textId="4637E743" w:rsidR="000F4119" w:rsidRDefault="003D7A91" w:rsidP="00EF1257">
      <w:pPr>
        <w:pStyle w:val="CETBodytext"/>
        <w:rPr>
          <w:color w:val="000000" w:themeColor="text1"/>
        </w:rPr>
      </w:pPr>
      <w:r>
        <w:t xml:space="preserve">Figure </w:t>
      </w:r>
      <w:r>
        <w:rPr>
          <w:noProof/>
        </w:rPr>
        <w:t>3</w:t>
      </w:r>
      <w:r w:rsidR="00122492">
        <w:rPr>
          <w:color w:val="000000" w:themeColor="text1"/>
        </w:rPr>
        <w:t xml:space="preserve"> shows the pressurization curves</w:t>
      </w:r>
      <w:r w:rsidR="00FC5E40">
        <w:rPr>
          <w:color w:val="000000" w:themeColor="text1"/>
        </w:rPr>
        <w:t xml:space="preserve"> for the three case studies.</w:t>
      </w:r>
      <w:r w:rsidR="004E7CEB">
        <w:rPr>
          <w:color w:val="000000" w:themeColor="text1"/>
        </w:rPr>
        <w:t xml:space="preserve"> </w:t>
      </w:r>
      <w:r w:rsidR="00B75622">
        <w:rPr>
          <w:color w:val="000000" w:themeColor="text1"/>
        </w:rPr>
        <w:t>When the MLI is not present (CASE C), t</w:t>
      </w:r>
      <w:r w:rsidR="00FC5E40">
        <w:rPr>
          <w:color w:val="000000" w:themeColor="text1"/>
        </w:rPr>
        <w:t>he</w:t>
      </w:r>
      <w:r w:rsidR="00DB3EB0">
        <w:rPr>
          <w:color w:val="000000" w:themeColor="text1"/>
        </w:rPr>
        <w:t xml:space="preserve"> pressure inside the tank starts to grow up </w:t>
      </w:r>
      <w:r w:rsidR="00DB3EB0" w:rsidRPr="00DB3EB0">
        <w:rPr>
          <w:color w:val="000000" w:themeColor="text1"/>
        </w:rPr>
        <w:t>considerably earlier than in the case</w:t>
      </w:r>
      <w:r w:rsidR="00B75622">
        <w:rPr>
          <w:color w:val="000000" w:themeColor="text1"/>
        </w:rPr>
        <w:t>s in which</w:t>
      </w:r>
      <w:r w:rsidR="00DB3EB0" w:rsidRPr="00DB3EB0">
        <w:rPr>
          <w:color w:val="000000" w:themeColor="text1"/>
        </w:rPr>
        <w:t xml:space="preserve"> </w:t>
      </w:r>
      <w:r w:rsidR="00DB3EB0">
        <w:rPr>
          <w:color w:val="000000" w:themeColor="text1"/>
        </w:rPr>
        <w:t xml:space="preserve">the </w:t>
      </w:r>
      <w:r w:rsidR="00B20CE1">
        <w:rPr>
          <w:color w:val="000000" w:themeColor="text1"/>
        </w:rPr>
        <w:t>insulation system is in place</w:t>
      </w:r>
      <w:r w:rsidR="00B75622">
        <w:rPr>
          <w:color w:val="000000" w:themeColor="text1"/>
        </w:rPr>
        <w:t>.</w:t>
      </w:r>
      <w:r w:rsidR="00DB3EB0">
        <w:rPr>
          <w:color w:val="000000" w:themeColor="text1"/>
        </w:rPr>
        <w:t xml:space="preserve"> </w:t>
      </w:r>
      <w:r w:rsidR="00BD20B2" w:rsidRPr="00BD20B2">
        <w:rPr>
          <w:color w:val="000000" w:themeColor="text1"/>
        </w:rPr>
        <w:t>If the degradation of the MLI is</w:t>
      </w:r>
      <w:r w:rsidR="00933D8E">
        <w:rPr>
          <w:color w:val="000000" w:themeColor="text1"/>
        </w:rPr>
        <w:t xml:space="preserve"> not</w:t>
      </w:r>
      <w:r w:rsidR="00BD20B2" w:rsidRPr="00BD20B2">
        <w:rPr>
          <w:color w:val="000000" w:themeColor="text1"/>
        </w:rPr>
        <w:t xml:space="preserve"> </w:t>
      </w:r>
      <w:r w:rsidR="009B163E">
        <w:rPr>
          <w:color w:val="000000" w:themeColor="text1"/>
        </w:rPr>
        <w:t>modelled</w:t>
      </w:r>
      <w:r w:rsidR="00907791">
        <w:rPr>
          <w:color w:val="000000" w:themeColor="text1"/>
        </w:rPr>
        <w:t xml:space="preserve"> (CASE B)</w:t>
      </w:r>
      <w:r w:rsidR="00BD20B2" w:rsidRPr="00BD20B2">
        <w:rPr>
          <w:color w:val="000000" w:themeColor="text1"/>
        </w:rPr>
        <w:t>, the pressure increase over the simulation time</w:t>
      </w:r>
      <w:r w:rsidR="009B163E">
        <w:rPr>
          <w:color w:val="000000" w:themeColor="text1"/>
        </w:rPr>
        <w:t xml:space="preserve"> i</w:t>
      </w:r>
      <w:r w:rsidR="009B7648">
        <w:rPr>
          <w:color w:val="000000" w:themeColor="text1"/>
        </w:rPr>
        <w:t>s</w:t>
      </w:r>
      <w:r w:rsidR="009B163E">
        <w:rPr>
          <w:color w:val="000000" w:themeColor="text1"/>
        </w:rPr>
        <w:t xml:space="preserve"> </w:t>
      </w:r>
      <w:r w:rsidR="007143CE">
        <w:rPr>
          <w:color w:val="000000" w:themeColor="text1"/>
        </w:rPr>
        <w:t>negligible</w:t>
      </w:r>
      <w:r w:rsidR="00BD20B2" w:rsidRPr="00BD20B2">
        <w:rPr>
          <w:color w:val="000000" w:themeColor="text1"/>
        </w:rPr>
        <w:t xml:space="preserve">. </w:t>
      </w:r>
      <w:r w:rsidR="006978D5">
        <w:rPr>
          <w:color w:val="000000" w:themeColor="text1"/>
        </w:rPr>
        <w:t>Clearly enough, t</w:t>
      </w:r>
      <w:r w:rsidR="00BD20B2" w:rsidRPr="00BD20B2">
        <w:rPr>
          <w:color w:val="000000" w:themeColor="text1"/>
        </w:rPr>
        <w:t>his</w:t>
      </w:r>
      <w:r w:rsidR="006978D5">
        <w:rPr>
          <w:color w:val="000000" w:themeColor="text1"/>
        </w:rPr>
        <w:t xml:space="preserve"> result </w:t>
      </w:r>
      <w:r w:rsidR="009F2F69">
        <w:rPr>
          <w:color w:val="000000" w:themeColor="text1"/>
        </w:rPr>
        <w:t>is not</w:t>
      </w:r>
      <w:r w:rsidR="00BD20B2" w:rsidRPr="00BD20B2">
        <w:rPr>
          <w:color w:val="000000" w:themeColor="text1"/>
        </w:rPr>
        <w:t xml:space="preserve"> realistic.</w:t>
      </w:r>
      <w:r w:rsidR="00907791">
        <w:rPr>
          <w:color w:val="000000" w:themeColor="text1"/>
        </w:rPr>
        <w:t xml:space="preserve"> </w:t>
      </w:r>
      <w:r w:rsidR="009F2F69">
        <w:rPr>
          <w:color w:val="000000" w:themeColor="text1"/>
        </w:rPr>
        <w:t>On the other hand</w:t>
      </w:r>
      <w:r w:rsidR="00907791">
        <w:rPr>
          <w:color w:val="000000" w:themeColor="text1"/>
        </w:rPr>
        <w:t xml:space="preserve">, if MLI degradation is </w:t>
      </w:r>
      <w:proofErr w:type="gramStart"/>
      <w:r w:rsidR="00907791">
        <w:rPr>
          <w:color w:val="000000" w:themeColor="text1"/>
        </w:rPr>
        <w:t>taken into account</w:t>
      </w:r>
      <w:proofErr w:type="gramEnd"/>
      <w:r w:rsidR="00907791">
        <w:rPr>
          <w:color w:val="000000" w:themeColor="text1"/>
        </w:rPr>
        <w:t xml:space="preserve"> (CASE A)</w:t>
      </w:r>
      <w:r w:rsidR="00BD20B2" w:rsidRPr="00BD20B2">
        <w:rPr>
          <w:color w:val="000000" w:themeColor="text1"/>
        </w:rPr>
        <w:t>, the pressure</w:t>
      </w:r>
      <w:r w:rsidR="00907791">
        <w:rPr>
          <w:color w:val="000000" w:themeColor="text1"/>
        </w:rPr>
        <w:t xml:space="preserve"> </w:t>
      </w:r>
      <w:r w:rsidR="00E735B0">
        <w:rPr>
          <w:color w:val="000000" w:themeColor="text1"/>
        </w:rPr>
        <w:t>increase</w:t>
      </w:r>
      <w:r w:rsidR="00907791">
        <w:rPr>
          <w:color w:val="000000" w:themeColor="text1"/>
        </w:rPr>
        <w:t xml:space="preserve"> </w:t>
      </w:r>
      <w:r w:rsidR="00982E5D">
        <w:rPr>
          <w:color w:val="000000" w:themeColor="text1"/>
        </w:rPr>
        <w:t>come</w:t>
      </w:r>
      <w:r w:rsidR="005405F6">
        <w:rPr>
          <w:color w:val="000000" w:themeColor="text1"/>
        </w:rPr>
        <w:t>s</w:t>
      </w:r>
      <w:r w:rsidR="00BD20B2" w:rsidRPr="00BD20B2">
        <w:rPr>
          <w:color w:val="000000" w:themeColor="text1"/>
        </w:rPr>
        <w:t xml:space="preserve"> with a significant delay </w:t>
      </w:r>
      <w:r w:rsidR="00907791">
        <w:rPr>
          <w:color w:val="000000" w:themeColor="text1"/>
        </w:rPr>
        <w:t xml:space="preserve">if </w:t>
      </w:r>
      <w:r w:rsidR="00BD20B2" w:rsidRPr="00BD20B2">
        <w:rPr>
          <w:color w:val="000000" w:themeColor="text1"/>
        </w:rPr>
        <w:t xml:space="preserve">compared to </w:t>
      </w:r>
      <w:r w:rsidR="00907791">
        <w:rPr>
          <w:color w:val="000000" w:themeColor="text1"/>
        </w:rPr>
        <w:t>CASE</w:t>
      </w:r>
      <w:r w:rsidR="00BD20B2" w:rsidRPr="00BD20B2">
        <w:rPr>
          <w:color w:val="000000" w:themeColor="text1"/>
        </w:rPr>
        <w:t xml:space="preserve"> C.</w:t>
      </w:r>
      <w:r w:rsidR="00933D8E">
        <w:rPr>
          <w:color w:val="000000" w:themeColor="text1"/>
        </w:rPr>
        <w:t xml:space="preserve"> In</w:t>
      </w:r>
      <w:r w:rsidR="00982E5D">
        <w:rPr>
          <w:color w:val="000000" w:themeColor="text1"/>
        </w:rPr>
        <w:t xml:space="preserve"> other words</w:t>
      </w:r>
      <w:r w:rsidR="00907791">
        <w:rPr>
          <w:color w:val="000000" w:themeColor="text1"/>
        </w:rPr>
        <w:t>, the MLI delay</w:t>
      </w:r>
      <w:r w:rsidR="005E2346">
        <w:rPr>
          <w:color w:val="000000" w:themeColor="text1"/>
        </w:rPr>
        <w:t>s</w:t>
      </w:r>
      <w:r w:rsidR="00907791">
        <w:rPr>
          <w:color w:val="000000" w:themeColor="text1"/>
        </w:rPr>
        <w:t xml:space="preserve"> the time at which the </w:t>
      </w:r>
      <w:r w:rsidR="00883202">
        <w:rPr>
          <w:color w:val="000000" w:themeColor="text1"/>
        </w:rPr>
        <w:t xml:space="preserve">“heat wave” from the fire reaches the </w:t>
      </w:r>
      <w:r w:rsidR="00907791">
        <w:rPr>
          <w:color w:val="000000" w:themeColor="text1"/>
        </w:rPr>
        <w:t>liquid</w:t>
      </w:r>
      <w:r w:rsidR="00933D8E">
        <w:rPr>
          <w:color w:val="000000" w:themeColor="text1"/>
        </w:rPr>
        <w:t>,</w:t>
      </w:r>
      <w:r w:rsidR="00A754C7">
        <w:rPr>
          <w:color w:val="000000" w:themeColor="text1"/>
        </w:rPr>
        <w:t xml:space="preserve"> resulting in a delayed </w:t>
      </w:r>
      <w:r w:rsidR="00724740">
        <w:rPr>
          <w:color w:val="000000" w:themeColor="text1"/>
        </w:rPr>
        <w:t>pressure growth</w:t>
      </w:r>
      <w:r w:rsidR="00A754C7">
        <w:rPr>
          <w:color w:val="000000" w:themeColor="text1"/>
        </w:rPr>
        <w:t xml:space="preserve"> with respect to CASE</w:t>
      </w:r>
      <w:r w:rsidR="00365D97">
        <w:rPr>
          <w:color w:val="000000" w:themeColor="text1"/>
        </w:rPr>
        <w:t xml:space="preserve"> C</w:t>
      </w:r>
      <w:r w:rsidR="00982E5D">
        <w:rPr>
          <w:color w:val="000000" w:themeColor="text1"/>
        </w:rPr>
        <w:t>. Th</w:t>
      </w:r>
      <w:r w:rsidR="00E31D94">
        <w:rPr>
          <w:color w:val="000000" w:themeColor="text1"/>
        </w:rPr>
        <w:t>ese</w:t>
      </w:r>
      <w:r w:rsidR="00982E5D">
        <w:rPr>
          <w:color w:val="000000" w:themeColor="text1"/>
        </w:rPr>
        <w:t xml:space="preserve"> outcomes agree with what </w:t>
      </w:r>
      <w:r w:rsidR="00E31D94">
        <w:rPr>
          <w:color w:val="000000" w:themeColor="text1"/>
        </w:rPr>
        <w:t xml:space="preserve">was </w:t>
      </w:r>
      <w:r w:rsidR="00982E5D">
        <w:rPr>
          <w:color w:val="000000" w:themeColor="text1"/>
        </w:rPr>
        <w:t xml:space="preserve">observed by </w:t>
      </w:r>
      <w:r w:rsidR="00E31D94" w:rsidRPr="00E31D94">
        <w:rPr>
          <w:noProof/>
          <w:color w:val="000000" w:themeColor="text1"/>
        </w:rPr>
        <w:t>Eberwein</w:t>
      </w:r>
      <w:r w:rsidR="00E31D94">
        <w:rPr>
          <w:noProof/>
          <w:color w:val="000000" w:themeColor="text1"/>
        </w:rPr>
        <w:t xml:space="preserve"> et al.</w:t>
      </w:r>
      <w:r w:rsidR="00E31D94" w:rsidRPr="00E31D94">
        <w:rPr>
          <w:noProof/>
          <w:color w:val="000000" w:themeColor="text1"/>
        </w:rPr>
        <w:t xml:space="preserve"> </w:t>
      </w:r>
      <w:r w:rsidR="00FC1989">
        <w:rPr>
          <w:noProof/>
          <w:color w:val="000000" w:themeColor="text1"/>
        </w:rPr>
        <w:t>(</w:t>
      </w:r>
      <w:r w:rsidR="00E31D94" w:rsidRPr="00E31D94">
        <w:rPr>
          <w:noProof/>
          <w:color w:val="000000" w:themeColor="text1"/>
        </w:rPr>
        <w:t>2023)</w:t>
      </w:r>
      <w:r w:rsidR="00724740">
        <w:rPr>
          <w:color w:val="000000" w:themeColor="text1"/>
        </w:rPr>
        <w:t xml:space="preserve">. </w:t>
      </w:r>
    </w:p>
    <w:p w14:paraId="1FD548A3" w14:textId="77777777" w:rsidR="000F4119" w:rsidRPr="004E7CEB" w:rsidRDefault="000F4119" w:rsidP="00EF1257">
      <w:pPr>
        <w:pStyle w:val="CETBodytext"/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E7CEB" w14:paraId="6EE38879" w14:textId="77777777" w:rsidTr="004E7CEB">
        <w:trPr>
          <w:trHeight w:val="3525"/>
        </w:trPr>
        <w:tc>
          <w:tcPr>
            <w:tcW w:w="8777" w:type="dxa"/>
            <w:vAlign w:val="center"/>
          </w:tcPr>
          <w:p w14:paraId="39E428AC" w14:textId="70101CF3" w:rsidR="004E7CEB" w:rsidRDefault="000F4119" w:rsidP="0033771F">
            <w:pPr>
              <w:pStyle w:val="CETBodytext"/>
              <w:keepNext/>
              <w:jc w:val="left"/>
            </w:pPr>
            <w:r w:rsidRPr="000F4119">
              <w:rPr>
                <w:noProof/>
              </w:rPr>
              <w:drawing>
                <wp:inline distT="0" distB="0" distL="0" distR="0" wp14:anchorId="0B049356" wp14:editId="4A6717FD">
                  <wp:extent cx="4080510" cy="23063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510" cy="23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1692" w14:textId="54DE8911" w:rsidR="004E7CEB" w:rsidRDefault="004E7CEB" w:rsidP="004E7CEB">
            <w:pPr>
              <w:pStyle w:val="CETCaption"/>
            </w:pPr>
            <w:bookmarkStart w:id="9" w:name="_Ref126401912"/>
            <w:r>
              <w:t xml:space="preserve">Figure </w:t>
            </w:r>
            <w:r w:rsidR="003D7A91">
              <w:rPr>
                <w:noProof/>
              </w:rPr>
              <w:t>3</w:t>
            </w:r>
            <w:bookmarkEnd w:id="9"/>
            <w:r>
              <w:t>. Pressurization curves for the cases studied.</w:t>
            </w:r>
          </w:p>
        </w:tc>
      </w:tr>
    </w:tbl>
    <w:p w14:paraId="5032D31B" w14:textId="6CAFBDE9" w:rsidR="009E02B5" w:rsidRDefault="009E02B5" w:rsidP="009E02B5">
      <w:pPr>
        <w:pStyle w:val="CETHeading1"/>
        <w:rPr>
          <w:lang w:val="en-GB"/>
        </w:rPr>
      </w:pPr>
      <w:r w:rsidRPr="00B57B36">
        <w:rPr>
          <w:lang w:val="en-GB"/>
        </w:rPr>
        <w:lastRenderedPageBreak/>
        <w:t>Conclusions</w:t>
      </w:r>
    </w:p>
    <w:p w14:paraId="2D15980B" w14:textId="44F7292F" w:rsidR="00E00783" w:rsidRPr="00E00783" w:rsidRDefault="00E00783" w:rsidP="003B1179">
      <w:pPr>
        <w:pStyle w:val="CETBodytext"/>
        <w:rPr>
          <w:lang w:val="en-GB"/>
        </w:rPr>
      </w:pPr>
      <w:r>
        <w:t xml:space="preserve">The problem of predicting the thermal </w:t>
      </w:r>
      <w:r w:rsidR="004861CF">
        <w:t>degradation of MLI and its effects on the pressure build-up within</w:t>
      </w:r>
      <w:r>
        <w:t xml:space="preserve"> liquid hydrogen tanks exposed to fires was addressed by developing a transient state model based </w:t>
      </w:r>
      <w:r w:rsidR="004861CF">
        <w:t>on thermal node discretization</w:t>
      </w:r>
      <w:r>
        <w:t>.</w:t>
      </w:r>
      <w:r w:rsidR="004861CF">
        <w:t xml:space="preserve"> </w:t>
      </w:r>
      <w:r w:rsidR="0077018D">
        <w:t>This</w:t>
      </w:r>
      <w:r w:rsidR="004861CF">
        <w:t xml:space="preserve"> </w:t>
      </w:r>
      <w:proofErr w:type="gramStart"/>
      <w:r w:rsidR="004861CF">
        <w:t>takes into account</w:t>
      </w:r>
      <w:proofErr w:type="gramEnd"/>
      <w:r w:rsidR="004861CF">
        <w:t xml:space="preserve"> the MLI degradation</w:t>
      </w:r>
      <w:r w:rsidR="00675A51">
        <w:t xml:space="preserve"> by</w:t>
      </w:r>
      <w:r w:rsidR="004861CF">
        <w:t xml:space="preserve"> </w:t>
      </w:r>
      <w:r w:rsidR="0010749A">
        <w:t xml:space="preserve">assuming that a </w:t>
      </w:r>
      <w:r w:rsidR="004861CF">
        <w:t>layer is destroyed</w:t>
      </w:r>
      <w:r w:rsidR="0010749A">
        <w:t xml:space="preserve"> when it </w:t>
      </w:r>
      <w:r w:rsidR="00D21777">
        <w:t>reaches its melting point</w:t>
      </w:r>
      <w:r w:rsidR="004861CF">
        <w:t xml:space="preserve">. </w:t>
      </w:r>
      <w:r w:rsidR="003350EC">
        <w:t xml:space="preserve">The results obtained from the </w:t>
      </w:r>
      <w:r w:rsidR="005B0D0D">
        <w:t>application of such approach to a realistic case study</w:t>
      </w:r>
      <w:r w:rsidR="003350EC">
        <w:t xml:space="preserve"> demonstrate </w:t>
      </w:r>
      <w:r w:rsidR="00A2641B">
        <w:t xml:space="preserve">the strong effect of </w:t>
      </w:r>
      <w:r w:rsidR="00503999">
        <w:t xml:space="preserve">the </w:t>
      </w:r>
      <w:r w:rsidR="00A658EA">
        <w:t xml:space="preserve">insulation system </w:t>
      </w:r>
      <w:r w:rsidR="00503999">
        <w:t>degradation on the tank pressurization in</w:t>
      </w:r>
      <w:r w:rsidR="00BA370B">
        <w:t xml:space="preserve"> fire scenarios</w:t>
      </w:r>
      <w:r w:rsidR="00EB4280">
        <w:t xml:space="preserve">. </w:t>
      </w:r>
      <w:r w:rsidR="006F5900">
        <w:t>In this situation, the</w:t>
      </w:r>
      <w:r w:rsidR="00691CD4">
        <w:t xml:space="preserve"> response is similar to the one of an </w:t>
      </w:r>
      <w:r w:rsidR="002B492E">
        <w:t>u</w:t>
      </w:r>
      <w:r w:rsidR="008E6B9F">
        <w:t>n</w:t>
      </w:r>
      <w:r w:rsidR="002B492E">
        <w:t xml:space="preserve">protected </w:t>
      </w:r>
      <w:proofErr w:type="gramStart"/>
      <w:r w:rsidR="00691CD4">
        <w:t>tank</w:t>
      </w:r>
      <w:proofErr w:type="gramEnd"/>
      <w:r w:rsidR="00691CD4">
        <w:t xml:space="preserve"> rather than one </w:t>
      </w:r>
      <w:r w:rsidR="008808E7">
        <w:t xml:space="preserve">with an intact insulation system. </w:t>
      </w:r>
      <w:r w:rsidR="00DC58B5">
        <w:t>T</w:t>
      </w:r>
      <w:r w:rsidR="006F0C8D">
        <w:t xml:space="preserve">he </w:t>
      </w:r>
      <w:r w:rsidR="008B74FF">
        <w:t xml:space="preserve">results </w:t>
      </w:r>
      <w:r w:rsidR="006F0C8D">
        <w:t xml:space="preserve">presented in this work </w:t>
      </w:r>
      <w:r w:rsidR="00E40233">
        <w:t>require</w:t>
      </w:r>
      <w:r w:rsidR="008B74FF">
        <w:t xml:space="preserve"> further confirmation from laboratory and </w:t>
      </w:r>
      <w:proofErr w:type="gramStart"/>
      <w:r w:rsidR="00EE71FB">
        <w:t>large scale</w:t>
      </w:r>
      <w:proofErr w:type="gramEnd"/>
      <w:r w:rsidR="00EE71FB">
        <w:t xml:space="preserve"> tests</w:t>
      </w:r>
      <w:r w:rsidR="00382479">
        <w:t xml:space="preserve"> which, unfortunately, are still not available</w:t>
      </w:r>
      <w:r w:rsidR="00EE71FB">
        <w:t>. Furthermore,</w:t>
      </w:r>
      <w:r w:rsidR="00BA7C07">
        <w:t xml:space="preserve"> it is worth remarking that</w:t>
      </w:r>
      <w:r w:rsidR="00EE71FB">
        <w:t xml:space="preserve"> the </w:t>
      </w:r>
      <w:r w:rsidR="00490FED">
        <w:t>proposed</w:t>
      </w:r>
      <w:r w:rsidR="00EE71FB">
        <w:t xml:space="preserve"> </w:t>
      </w:r>
      <w:r w:rsidR="00B23584">
        <w:t>approach assumes</w:t>
      </w:r>
      <w:r w:rsidR="000E0790">
        <w:t xml:space="preserve"> a quite simple MLI degradation mechanism, which </w:t>
      </w:r>
      <w:r w:rsidR="00B23584">
        <w:t>requires further investigation</w:t>
      </w:r>
      <w:r w:rsidR="002A3D2F">
        <w:t xml:space="preserve">. Nevertheless, </w:t>
      </w:r>
      <w:r w:rsidR="0033215D">
        <w:t>the analysis of the case studies</w:t>
      </w:r>
      <w:r w:rsidR="00595CEB">
        <w:t xml:space="preserve"> </w:t>
      </w:r>
      <w:r w:rsidR="00136ED2">
        <w:t>show</w:t>
      </w:r>
      <w:r w:rsidR="003714B5">
        <w:t>s</w:t>
      </w:r>
      <w:r w:rsidR="00136ED2">
        <w:t xml:space="preserve"> </w:t>
      </w:r>
      <w:r w:rsidR="002A3D2F">
        <w:t>that</w:t>
      </w:r>
      <w:r w:rsidR="00595CEB">
        <w:t xml:space="preserve"> the development of</w:t>
      </w:r>
      <w:r w:rsidR="002A3D2F">
        <w:t xml:space="preserve"> models aiming at simulating the behavior of liquid hydrogen tanks to fire exposure cannot neglect the phenomenon of insulation system degradation.</w:t>
      </w:r>
      <w:r w:rsidR="00F2600A">
        <w:t xml:space="preserve"> </w:t>
      </w:r>
      <w:r w:rsidR="00AA44F5">
        <w:t>The same is true</w:t>
      </w:r>
      <w:r w:rsidR="003B1179">
        <w:t xml:space="preserve"> </w:t>
      </w:r>
      <w:r w:rsidR="008B55CA">
        <w:t xml:space="preserve">for manufacturers </w:t>
      </w:r>
      <w:r w:rsidR="00CF54AD">
        <w:t xml:space="preserve">and regulators </w:t>
      </w:r>
      <w:r w:rsidR="008B55CA">
        <w:t xml:space="preserve">willing to ensure the safe </w:t>
      </w:r>
      <w:r w:rsidR="00CF54AD">
        <w:t xml:space="preserve">design and operation of liquid hydrogen tanks. </w:t>
      </w:r>
    </w:p>
    <w:p w14:paraId="48D998A3" w14:textId="5DD3CC65" w:rsidR="00280FAF" w:rsidRPr="00280FAF" w:rsidRDefault="00280FAF" w:rsidP="00122492">
      <w:pPr>
        <w:pStyle w:val="CETHeadingxx"/>
        <w:spacing w:after="0"/>
        <w:rPr>
          <w:lang w:val="en-GB"/>
        </w:rPr>
        <w:sectPr w:rsidR="00280FAF" w:rsidRPr="00280FAF" w:rsidSect="008E0221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  <w:r>
        <w:t>Nome</w:t>
      </w:r>
      <w:r w:rsidR="00BD50EC">
        <w:t>n</w:t>
      </w:r>
      <w:r>
        <w:t>clatur</w:t>
      </w:r>
      <w:r w:rsidR="000640D2">
        <w:t>e</w:t>
      </w:r>
    </w:p>
    <w:p w14:paraId="650FF622" w14:textId="3062598F" w:rsidR="000640D2" w:rsidRDefault="000640D2" w:rsidP="000640D2">
      <w:pPr>
        <w:pStyle w:val="CETBodytext"/>
      </w:pPr>
      <w:r w:rsidRPr="00122492">
        <w:rPr>
          <w:i/>
        </w:rPr>
        <w:t>T</w:t>
      </w:r>
      <w:r w:rsidRPr="000640D2">
        <w:t xml:space="preserve"> = temperature</w:t>
      </w:r>
      <w:r w:rsidRPr="000640D2">
        <w:rPr>
          <w:rFonts w:eastAsia="SimSun"/>
        </w:rPr>
        <w:t>, K</w:t>
      </w:r>
    </w:p>
    <w:p w14:paraId="33D4B506" w14:textId="134BF2D2" w:rsidR="00B5428B" w:rsidRPr="00280FAF" w:rsidRDefault="00B5428B" w:rsidP="00B5428B">
      <w:pPr>
        <w:pStyle w:val="CETBodytext"/>
        <w:rPr>
          <w:rFonts w:eastAsia="SimSun"/>
        </w:rPr>
      </w:pPr>
      <w:proofErr w:type="spellStart"/>
      <w:r w:rsidRPr="00122492">
        <w:rPr>
          <w:rFonts w:eastAsia="SimSun"/>
          <w:i/>
        </w:rPr>
        <w:t>T</w:t>
      </w:r>
      <w:r w:rsidRPr="00122492">
        <w:rPr>
          <w:rFonts w:eastAsia="SimSun"/>
          <w:i/>
          <w:vertAlign w:val="subscript"/>
        </w:rPr>
        <w:t>BB_fire</w:t>
      </w:r>
      <w:proofErr w:type="spellEnd"/>
      <w:r>
        <w:rPr>
          <w:rFonts w:eastAsia="SimSun"/>
        </w:rPr>
        <w:t xml:space="preserve"> = </w:t>
      </w:r>
      <w:r w:rsidR="00B50DF6">
        <w:rPr>
          <w:rFonts w:eastAsia="SimSun"/>
        </w:rPr>
        <w:t>f</w:t>
      </w:r>
      <w:r>
        <w:rPr>
          <w:rFonts w:eastAsia="SimSun"/>
        </w:rPr>
        <w:t>ire black body temperature</w:t>
      </w:r>
      <w:r w:rsidR="00CA7C10">
        <w:rPr>
          <w:rFonts w:eastAsia="SimSun"/>
        </w:rPr>
        <w:t>, K</w:t>
      </w:r>
    </w:p>
    <w:p w14:paraId="750FB984" w14:textId="77777777" w:rsidR="00B5428B" w:rsidRDefault="000640D2" w:rsidP="000640D2">
      <w:pPr>
        <w:pStyle w:val="CETBodytext"/>
        <w:rPr>
          <w:rFonts w:eastAsia="SimSun"/>
        </w:rPr>
      </w:pPr>
      <w:r w:rsidRPr="00122492">
        <w:rPr>
          <w:i/>
        </w:rPr>
        <w:t>P</w:t>
      </w:r>
      <w:r w:rsidRPr="000640D2">
        <w:t xml:space="preserve"> = pressure, </w:t>
      </w:r>
      <w:r w:rsidR="00D172BD">
        <w:t>Pa</w:t>
      </w:r>
      <w:r w:rsidRPr="000640D2">
        <w:rPr>
          <w:rFonts w:eastAsia="SimSun"/>
        </w:rPr>
        <w:t xml:space="preserve"> </w:t>
      </w:r>
    </w:p>
    <w:p w14:paraId="60D20B1B" w14:textId="183A4E3E" w:rsidR="00B5428B" w:rsidRPr="00B5428B" w:rsidRDefault="00B5428B" w:rsidP="000640D2">
      <w:pPr>
        <w:pStyle w:val="CETBodytext"/>
        <w:rPr>
          <w:rFonts w:eastAsia="SimSun"/>
        </w:rPr>
      </w:pPr>
      <w:r w:rsidRPr="00122492">
        <w:rPr>
          <w:rFonts w:eastAsia="SimSun"/>
          <w:i/>
        </w:rPr>
        <w:t>P</w:t>
      </w:r>
      <w:r w:rsidRPr="00122492">
        <w:rPr>
          <w:rFonts w:eastAsia="SimSun"/>
          <w:i/>
          <w:vertAlign w:val="subscript"/>
        </w:rPr>
        <w:t>c</w:t>
      </w:r>
      <w:r>
        <w:rPr>
          <w:rFonts w:eastAsia="SimSun"/>
        </w:rPr>
        <w:t xml:space="preserve"> = critical pressure, Pa</w:t>
      </w:r>
    </w:p>
    <w:p w14:paraId="403C7A2C" w14:textId="1DEE9848" w:rsidR="000640D2" w:rsidRPr="000640D2" w:rsidRDefault="00B5428B" w:rsidP="000640D2">
      <w:pPr>
        <w:pStyle w:val="CETBodytext"/>
        <w:rPr>
          <w:rFonts w:eastAsia="SimSun"/>
        </w:rPr>
      </w:pPr>
      <w:r w:rsidRPr="00122492">
        <w:rPr>
          <w:rFonts w:eastAsia="SimSun"/>
          <w:i/>
        </w:rPr>
        <w:t>N</w:t>
      </w:r>
      <w:r>
        <w:rPr>
          <w:rFonts w:eastAsia="SimSun"/>
        </w:rPr>
        <w:t xml:space="preserve"> = number of radiative layers, -</w:t>
      </w:r>
      <w:r w:rsidR="000640D2" w:rsidRPr="000640D2">
        <w:rPr>
          <w:rFonts w:eastAsia="SimSun"/>
        </w:rPr>
        <w:t xml:space="preserve">                                                                </w:t>
      </w:r>
    </w:p>
    <w:p w14:paraId="3DCD8743" w14:textId="0E67990D" w:rsidR="00280FAF" w:rsidRPr="000640D2" w:rsidRDefault="00393899" w:rsidP="000640D2">
      <w:pPr>
        <w:pStyle w:val="CETBodytext"/>
        <w:rPr>
          <w:rFonts w:eastAsia="SimSun"/>
        </w:rPr>
      </w:pPr>
      <w:r w:rsidRPr="00122492">
        <w:rPr>
          <w:i/>
        </w:rPr>
        <w:t>c</w:t>
      </w:r>
      <w:r w:rsidRPr="00122492">
        <w:rPr>
          <w:i/>
          <w:vertAlign w:val="subscript"/>
        </w:rPr>
        <w:t>p</w:t>
      </w:r>
      <w:r w:rsidR="001C29C5">
        <w:rPr>
          <w:i/>
          <w:vertAlign w:val="subscript"/>
        </w:rPr>
        <w:t xml:space="preserve"> </w:t>
      </w:r>
      <w:r w:rsidR="000640D2" w:rsidRPr="000640D2">
        <w:t>= specific heat capacity at constant pressure</w:t>
      </w:r>
      <w:r w:rsidR="00280FAF" w:rsidRPr="000640D2">
        <w:rPr>
          <w:rFonts w:eastAsia="SimSun"/>
        </w:rPr>
        <w:t>,</w:t>
      </w:r>
      <w:r w:rsidR="000640D2" w:rsidRPr="000640D2">
        <w:rPr>
          <w:rFonts w:eastAsia="SimSun"/>
        </w:rPr>
        <w:t xml:space="preserve"> J/(</w:t>
      </w:r>
      <w:proofErr w:type="spellStart"/>
      <w:r w:rsidR="000640D2" w:rsidRPr="000640D2">
        <w:rPr>
          <w:rFonts w:eastAsia="SimSun"/>
        </w:rPr>
        <w:t>kg·K</w:t>
      </w:r>
      <w:proofErr w:type="spellEnd"/>
      <w:r w:rsidR="000640D2" w:rsidRPr="000640D2">
        <w:rPr>
          <w:rFonts w:eastAsia="SimSun"/>
        </w:rPr>
        <w:t>)</w:t>
      </w:r>
    </w:p>
    <w:p w14:paraId="6A1D053C" w14:textId="77777777" w:rsidR="000640D2" w:rsidRPr="000640D2" w:rsidRDefault="000640D2" w:rsidP="000640D2">
      <w:pPr>
        <w:pStyle w:val="CETBodytext"/>
        <w:rPr>
          <w:rFonts w:eastAsia="SimSun"/>
        </w:rPr>
      </w:pPr>
      <w:r w:rsidRPr="00122492">
        <w:rPr>
          <w:i/>
        </w:rPr>
        <w:t xml:space="preserve">h </w:t>
      </w:r>
      <w:r w:rsidRPr="000640D2">
        <w:t xml:space="preserve">= convective heat transfer coefficient, </w:t>
      </w:r>
      <w:r w:rsidRPr="000640D2">
        <w:rPr>
          <w:rFonts w:eastAsia="SimSun"/>
        </w:rPr>
        <w:t>W/(m</w:t>
      </w:r>
      <w:r w:rsidRPr="00D172BD">
        <w:rPr>
          <w:rFonts w:eastAsia="SimSun"/>
          <w:vertAlign w:val="superscript"/>
        </w:rPr>
        <w:t>2</w:t>
      </w:r>
      <w:r w:rsidRPr="000640D2">
        <w:rPr>
          <w:rFonts w:eastAsia="SimSun"/>
        </w:rPr>
        <w:t>·K)</w:t>
      </w:r>
    </w:p>
    <w:p w14:paraId="22480599" w14:textId="1104DEF4" w:rsidR="000640D2" w:rsidRPr="000640D2" w:rsidRDefault="000640D2" w:rsidP="000640D2">
      <w:pPr>
        <w:pStyle w:val="CETBodytext"/>
        <w:rPr>
          <w:rFonts w:eastAsia="SimSun"/>
        </w:rPr>
      </w:pPr>
      <w:r w:rsidRPr="00122492">
        <w:rPr>
          <w:i/>
        </w:rPr>
        <w:t xml:space="preserve">R </w:t>
      </w:r>
      <w:r w:rsidRPr="000640D2">
        <w:t>=</w:t>
      </w:r>
      <w:r w:rsidR="00D172BD">
        <w:t xml:space="preserve"> universal</w:t>
      </w:r>
      <w:r w:rsidRPr="000640D2">
        <w:t xml:space="preserve"> gas constant, J/(</w:t>
      </w:r>
      <w:proofErr w:type="spellStart"/>
      <w:r w:rsidR="00D172BD">
        <w:t>mol</w:t>
      </w:r>
      <w:r w:rsidRPr="000640D2">
        <w:rPr>
          <w:rFonts w:eastAsia="SimSun"/>
        </w:rPr>
        <w:t>·K</w:t>
      </w:r>
      <w:proofErr w:type="spellEnd"/>
      <w:r w:rsidRPr="000640D2">
        <w:rPr>
          <w:rFonts w:eastAsia="SimSun"/>
        </w:rPr>
        <w:t xml:space="preserve">) </w:t>
      </w:r>
    </w:p>
    <w:p w14:paraId="2F8DC223" w14:textId="77777777" w:rsidR="000640D2" w:rsidRPr="000640D2" w:rsidRDefault="000640D2" w:rsidP="000640D2">
      <w:pPr>
        <w:pStyle w:val="CETBodytext"/>
      </w:pPr>
      <w:r w:rsidRPr="00122492">
        <w:rPr>
          <w:i/>
        </w:rPr>
        <w:t>ρ</w:t>
      </w:r>
      <w:r w:rsidRPr="000640D2">
        <w:t xml:space="preserve"> = density, kg/m</w:t>
      </w:r>
      <w:r w:rsidRPr="00D172BD">
        <w:rPr>
          <w:vertAlign w:val="superscript"/>
        </w:rPr>
        <w:t>3</w:t>
      </w:r>
    </w:p>
    <w:p w14:paraId="5E85E5D4" w14:textId="77777777" w:rsidR="000640D2" w:rsidRPr="000640D2" w:rsidRDefault="000640D2" w:rsidP="000640D2">
      <w:pPr>
        <w:pStyle w:val="CETBodytext"/>
      </w:pPr>
      <w:r w:rsidRPr="00122492">
        <w:rPr>
          <w:i/>
        </w:rPr>
        <w:t>δ</w:t>
      </w:r>
      <w:r w:rsidRPr="000640D2">
        <w:t xml:space="preserve"> = thickness, m</w:t>
      </w:r>
    </w:p>
    <w:p w14:paraId="40BA0975" w14:textId="0DE252E4" w:rsidR="003876EE" w:rsidRPr="000640D2" w:rsidRDefault="000640D2" w:rsidP="000640D2">
      <w:pPr>
        <w:pStyle w:val="CETBodytext"/>
      </w:pPr>
      <w:r w:rsidRPr="00122492">
        <w:rPr>
          <w:i/>
        </w:rPr>
        <w:t>k</w:t>
      </w:r>
      <w:r w:rsidRPr="000640D2">
        <w:t xml:space="preserve"> = thermal conductivity, W/(</w:t>
      </w:r>
      <w:proofErr w:type="spellStart"/>
      <w:r w:rsidRPr="000640D2">
        <w:t>m</w:t>
      </w:r>
      <w:r w:rsidRPr="000640D2">
        <w:rPr>
          <w:rFonts w:eastAsia="SimSun"/>
        </w:rPr>
        <w:t>·K</w:t>
      </w:r>
      <w:proofErr w:type="spellEnd"/>
      <w:r w:rsidRPr="000640D2">
        <w:rPr>
          <w:rFonts w:eastAsia="SimSun"/>
        </w:rPr>
        <w:t>)</w:t>
      </w:r>
    </w:p>
    <w:p w14:paraId="632413DA" w14:textId="70C92BA7" w:rsidR="000640D2" w:rsidRPr="000640D2" w:rsidRDefault="000640D2" w:rsidP="000640D2">
      <w:pPr>
        <w:pStyle w:val="CETBodytext"/>
        <w:rPr>
          <w:rFonts w:eastAsia="SimSun"/>
        </w:rPr>
      </w:pPr>
      <w:r w:rsidRPr="00122492">
        <w:rPr>
          <w:i/>
        </w:rPr>
        <w:t xml:space="preserve">q </w:t>
      </w:r>
      <w:r w:rsidRPr="000640D2">
        <w:t>= heat flux, W/m</w:t>
      </w:r>
      <w:r w:rsidRPr="00D172BD">
        <w:rPr>
          <w:vertAlign w:val="superscript"/>
        </w:rPr>
        <w:t>2</w:t>
      </w:r>
    </w:p>
    <w:p w14:paraId="573C8626" w14:textId="79D74ECB" w:rsidR="00D172BD" w:rsidRDefault="00D172BD" w:rsidP="000640D2">
      <w:pPr>
        <w:pStyle w:val="CETBodytext"/>
        <w:rPr>
          <w:rFonts w:eastAsia="SimSun"/>
        </w:rPr>
      </w:pPr>
      <w:r w:rsidRPr="00122492">
        <w:rPr>
          <w:rFonts w:eastAsia="SimSun"/>
          <w:i/>
        </w:rPr>
        <w:t>M</w:t>
      </w:r>
      <w:r>
        <w:rPr>
          <w:rFonts w:eastAsia="SimSun"/>
        </w:rPr>
        <w:t xml:space="preserve"> = molecular weight, kg/mol</w:t>
      </w:r>
    </w:p>
    <w:p w14:paraId="74DD3ACA" w14:textId="0C8F2CB0" w:rsidR="00D172BD" w:rsidRDefault="00D172BD" w:rsidP="000640D2">
      <w:pPr>
        <w:pStyle w:val="CETBodytext"/>
        <w:rPr>
          <w:rFonts w:eastAsia="SimSun"/>
        </w:rPr>
      </w:pPr>
      <w:r w:rsidRPr="00122492">
        <w:rPr>
          <w:rFonts w:eastAsia="SimSun" w:cs="Arial"/>
          <w:i/>
        </w:rPr>
        <w:t>γ</w:t>
      </w:r>
      <w:r>
        <w:rPr>
          <w:rFonts w:eastAsia="SimSun" w:cs="Arial"/>
        </w:rPr>
        <w:t xml:space="preserve"> </w:t>
      </w:r>
      <w:r>
        <w:rPr>
          <w:rFonts w:eastAsia="SimSun"/>
        </w:rPr>
        <w:t>= specific heat ratio, -</w:t>
      </w:r>
    </w:p>
    <w:p w14:paraId="5A1275C7" w14:textId="1BA0C81D" w:rsidR="00D172BD" w:rsidRDefault="00BD591C" w:rsidP="000640D2">
      <w:pPr>
        <w:pStyle w:val="CETBodytext"/>
        <w:rPr>
          <w:rFonts w:eastAsia="SimSun"/>
        </w:rPr>
      </w:pPr>
      <w:r w:rsidRPr="00122492">
        <w:rPr>
          <w:rFonts w:eastAsia="SimSun" w:cs="Arial"/>
          <w:i/>
        </w:rPr>
        <w:t>σ</w:t>
      </w:r>
      <w:r>
        <w:rPr>
          <w:rFonts w:eastAsia="SimSun"/>
        </w:rPr>
        <w:t xml:space="preserve"> </w:t>
      </w:r>
      <w:r w:rsidR="00D172BD">
        <w:rPr>
          <w:rFonts w:eastAsia="SimSun"/>
        </w:rPr>
        <w:t>= Stefan-Boltzmann coefficient, W/(m</w:t>
      </w:r>
      <w:r w:rsidR="00D172BD">
        <w:rPr>
          <w:rFonts w:eastAsia="SimSun"/>
          <w:vertAlign w:val="superscript"/>
        </w:rPr>
        <w:t>2</w:t>
      </w:r>
      <w:r w:rsidR="00D172BD" w:rsidRPr="000640D2">
        <w:rPr>
          <w:rFonts w:eastAsia="SimSun"/>
        </w:rPr>
        <w:t>·</w:t>
      </w:r>
      <w:r w:rsidR="00D172BD">
        <w:rPr>
          <w:rFonts w:eastAsia="SimSun"/>
        </w:rPr>
        <w:t>K</w:t>
      </w:r>
      <w:r w:rsidR="00D172BD">
        <w:rPr>
          <w:rFonts w:eastAsia="SimSun"/>
          <w:vertAlign w:val="superscript"/>
        </w:rPr>
        <w:t>4</w:t>
      </w:r>
      <w:r w:rsidR="00D172BD">
        <w:rPr>
          <w:rFonts w:eastAsia="SimSun"/>
        </w:rPr>
        <w:t>)</w:t>
      </w:r>
    </w:p>
    <w:p w14:paraId="0229B956" w14:textId="2169C4B5" w:rsidR="007E6295" w:rsidRPr="00D172BD" w:rsidRDefault="007E6295" w:rsidP="000640D2">
      <w:pPr>
        <w:pStyle w:val="CETBodytext"/>
        <w:rPr>
          <w:rFonts w:eastAsia="SimSun"/>
        </w:rPr>
      </w:pPr>
      <w:r w:rsidRPr="00122492">
        <w:rPr>
          <w:rFonts w:eastAsia="SimSun" w:cs="Arial"/>
          <w:i/>
        </w:rPr>
        <w:t>θ</w:t>
      </w:r>
      <w:r>
        <w:rPr>
          <w:rFonts w:eastAsia="SimSun"/>
        </w:rPr>
        <w:t xml:space="preserve"> = </w:t>
      </w:r>
      <w:r w:rsidR="00277752">
        <w:rPr>
          <w:rFonts w:eastAsia="SimSun"/>
        </w:rPr>
        <w:t>acco</w:t>
      </w:r>
      <w:r w:rsidR="005A2DBF">
        <w:rPr>
          <w:rFonts w:eastAsia="SimSun"/>
        </w:rPr>
        <w:t>m</w:t>
      </w:r>
      <w:r>
        <w:rPr>
          <w:rFonts w:eastAsia="SimSun"/>
        </w:rPr>
        <w:t>modation factor, -</w:t>
      </w:r>
    </w:p>
    <w:p w14:paraId="762F5A77" w14:textId="0D4BE5F3" w:rsidR="00D172BD" w:rsidRDefault="00D172BD" w:rsidP="000640D2">
      <w:pPr>
        <w:pStyle w:val="CETBodytext"/>
        <w:rPr>
          <w:rFonts w:eastAsia="SimSun"/>
        </w:rPr>
      </w:pPr>
      <w:r w:rsidRPr="00122492">
        <w:rPr>
          <w:rFonts w:eastAsia="SimSun"/>
          <w:i/>
        </w:rPr>
        <w:t>C</w:t>
      </w:r>
      <w:r w:rsidRPr="00122492">
        <w:rPr>
          <w:rFonts w:eastAsia="SimSun"/>
          <w:i/>
          <w:vertAlign w:val="subscript"/>
        </w:rPr>
        <w:t>2</w:t>
      </w:r>
      <w:r>
        <w:rPr>
          <w:rFonts w:eastAsia="SimSun"/>
        </w:rPr>
        <w:t xml:space="preserve"> = empirical constant for the spacer material, -</w:t>
      </w:r>
    </w:p>
    <w:p w14:paraId="3E1651DE" w14:textId="3BBD0839" w:rsidR="00280FAF" w:rsidRPr="00280FAF" w:rsidRDefault="00D172BD" w:rsidP="000640D2">
      <w:pPr>
        <w:pStyle w:val="CETBodytext"/>
        <w:rPr>
          <w:rFonts w:eastAsia="SimSun"/>
        </w:rPr>
      </w:pPr>
      <w:r w:rsidRPr="00122492">
        <w:rPr>
          <w:rFonts w:eastAsia="SimSun"/>
          <w:i/>
        </w:rPr>
        <w:t>f</w:t>
      </w:r>
      <w:r>
        <w:rPr>
          <w:rFonts w:eastAsia="SimSun"/>
        </w:rPr>
        <w:t xml:space="preserve"> = relative density of the spacer to the solid material, -</w:t>
      </w:r>
    </w:p>
    <w:p w14:paraId="794F8F15" w14:textId="6F5ABE2E" w:rsidR="00280FAF" w:rsidRPr="00280FAF" w:rsidRDefault="00D172BD" w:rsidP="000640D2">
      <w:pPr>
        <w:pStyle w:val="CETBodytext"/>
        <w:rPr>
          <w:rFonts w:eastAsia="SimSun"/>
        </w:rPr>
      </w:pPr>
      <w:proofErr w:type="spellStart"/>
      <w:r w:rsidRPr="00122492">
        <w:rPr>
          <w:rFonts w:eastAsia="SimSun"/>
          <w:i/>
        </w:rPr>
        <w:t>k</w:t>
      </w:r>
      <w:r w:rsidRPr="00122492">
        <w:rPr>
          <w:rFonts w:eastAsia="SimSun"/>
          <w:i/>
          <w:vertAlign w:val="subscript"/>
        </w:rPr>
        <w:t>s</w:t>
      </w:r>
      <w:proofErr w:type="spellEnd"/>
      <w:r>
        <w:rPr>
          <w:rFonts w:eastAsia="SimSun"/>
        </w:rPr>
        <w:t xml:space="preserve"> = thermal conductivity of the spacer</w:t>
      </w:r>
      <w:r w:rsidR="00BD591C">
        <w:rPr>
          <w:rFonts w:eastAsia="SimSun"/>
        </w:rPr>
        <w:t xml:space="preserve"> material</w:t>
      </w:r>
      <w:r>
        <w:rPr>
          <w:rFonts w:eastAsia="SimSun"/>
        </w:rPr>
        <w:t>, W/(</w:t>
      </w:r>
      <w:proofErr w:type="spellStart"/>
      <w:r>
        <w:rPr>
          <w:rFonts w:eastAsia="SimSun"/>
        </w:rPr>
        <w:t>m</w:t>
      </w:r>
      <w:r w:rsidRPr="000640D2">
        <w:rPr>
          <w:rFonts w:eastAsia="SimSun"/>
        </w:rPr>
        <w:t>·</w:t>
      </w:r>
      <w:r>
        <w:rPr>
          <w:rFonts w:eastAsia="SimSun"/>
        </w:rPr>
        <w:t>K</w:t>
      </w:r>
      <w:proofErr w:type="spellEnd"/>
      <w:r>
        <w:rPr>
          <w:rFonts w:eastAsia="SimSun"/>
        </w:rPr>
        <w:t>)</w:t>
      </w:r>
    </w:p>
    <w:p w14:paraId="7C3105DF" w14:textId="434B2AD1" w:rsidR="00280FAF" w:rsidRPr="00BD591C" w:rsidRDefault="00BD591C" w:rsidP="000640D2">
      <w:pPr>
        <w:pStyle w:val="CETBodytext"/>
        <w:rPr>
          <w:rFonts w:eastAsia="SimSun"/>
        </w:rPr>
      </w:pPr>
      <w:proofErr w:type="spellStart"/>
      <w:r w:rsidRPr="00122492">
        <w:rPr>
          <w:rFonts w:eastAsia="SimSun"/>
          <w:i/>
        </w:rPr>
        <w:t>P</w:t>
      </w:r>
      <w:r w:rsidRPr="00122492">
        <w:rPr>
          <w:rFonts w:eastAsia="SimSun"/>
          <w:i/>
          <w:vertAlign w:val="subscript"/>
        </w:rPr>
        <w:t>r</w:t>
      </w:r>
      <w:proofErr w:type="spellEnd"/>
      <w:r w:rsidRPr="00122492">
        <w:rPr>
          <w:rFonts w:eastAsia="SimSun"/>
          <w:i/>
        </w:rPr>
        <w:t xml:space="preserve"> </w:t>
      </w:r>
      <w:r>
        <w:rPr>
          <w:rFonts w:eastAsia="SimSun"/>
        </w:rPr>
        <w:t>= residual gas pressure within the spacer, Pa</w:t>
      </w:r>
    </w:p>
    <w:p w14:paraId="4C106697" w14:textId="745BBD4C" w:rsidR="00280FAF" w:rsidRPr="00280FAF" w:rsidRDefault="00BD591C" w:rsidP="000640D2">
      <w:pPr>
        <w:pStyle w:val="CETBodytext"/>
        <w:rPr>
          <w:rFonts w:eastAsia="SimSun"/>
        </w:rPr>
      </w:pPr>
      <w:r w:rsidRPr="00122492">
        <w:rPr>
          <w:rFonts w:eastAsia="SimSun" w:cs="Arial"/>
          <w:i/>
          <w:lang w:val="en-GB"/>
        </w:rPr>
        <w:t>ε</w:t>
      </w:r>
      <w:r>
        <w:rPr>
          <w:rFonts w:eastAsia="SimSun" w:cs="Arial"/>
          <w:lang w:val="en-GB"/>
        </w:rPr>
        <w:t xml:space="preserve"> = emissivity of the material surface, -</w:t>
      </w:r>
    </w:p>
    <w:p w14:paraId="563ED091" w14:textId="7E99C6E0" w:rsidR="00D55A46" w:rsidRDefault="00BD591C" w:rsidP="000640D2">
      <w:pPr>
        <w:pStyle w:val="CETBodytext"/>
        <w:rPr>
          <w:rFonts w:eastAsia="SimSun"/>
        </w:rPr>
      </w:pPr>
      <w:r w:rsidRPr="00122492">
        <w:rPr>
          <w:rFonts w:eastAsia="SimSun"/>
          <w:i/>
          <w:lang w:val="en-GB"/>
        </w:rPr>
        <w:t>D</w:t>
      </w:r>
      <w:r w:rsidRPr="00122492">
        <w:rPr>
          <w:rFonts w:eastAsia="SimSun"/>
          <w:i/>
          <w:vertAlign w:val="subscript"/>
          <w:lang w:val="en-GB"/>
        </w:rPr>
        <w:t>x</w:t>
      </w:r>
      <w:r w:rsidRPr="00122492">
        <w:rPr>
          <w:rFonts w:eastAsia="SimSun"/>
          <w:i/>
        </w:rPr>
        <w:t xml:space="preserve"> </w:t>
      </w:r>
      <w:r>
        <w:rPr>
          <w:rFonts w:eastAsia="SimSun"/>
        </w:rPr>
        <w:t>= actual thickness of the spacer,</w:t>
      </w:r>
      <w:r w:rsidR="00280FAF" w:rsidRPr="00280FAF">
        <w:rPr>
          <w:rFonts w:eastAsia="SimSun"/>
        </w:rPr>
        <w:t xml:space="preserve"> m</w:t>
      </w:r>
    </w:p>
    <w:p w14:paraId="6C6F8040" w14:textId="4F2C91D0" w:rsidR="00D55A46" w:rsidRDefault="00D55A46" w:rsidP="000640D2">
      <w:pPr>
        <w:pStyle w:val="CETBodytext"/>
        <w:rPr>
          <w:rFonts w:eastAsia="SimSun"/>
        </w:rPr>
      </w:pPr>
      <w:r w:rsidRPr="00122492">
        <w:rPr>
          <w:rFonts w:eastAsia="SimSun"/>
          <w:i/>
        </w:rPr>
        <w:t>m</w:t>
      </w:r>
      <w:r>
        <w:rPr>
          <w:rFonts w:eastAsia="SimSun"/>
        </w:rPr>
        <w:t xml:space="preserve"> = mass, kg</w:t>
      </w:r>
    </w:p>
    <w:p w14:paraId="3E75B52B" w14:textId="4860917C" w:rsidR="00D55A46" w:rsidRPr="00D55A46" w:rsidRDefault="00D55A46" w:rsidP="000640D2">
      <w:pPr>
        <w:pStyle w:val="CETBodytext"/>
        <w:rPr>
          <w:rFonts w:eastAsia="SimSun"/>
        </w:rPr>
      </w:pPr>
      <w:r w:rsidRPr="00122492">
        <w:rPr>
          <w:rFonts w:eastAsia="SimSun"/>
          <w:i/>
        </w:rPr>
        <w:t>A</w:t>
      </w:r>
      <w:r w:rsidRPr="00122492">
        <w:rPr>
          <w:rFonts w:eastAsia="SimSun"/>
          <w:i/>
          <w:vertAlign w:val="subscript"/>
        </w:rPr>
        <w:t>L</w:t>
      </w:r>
      <w:r>
        <w:rPr>
          <w:rFonts w:eastAsia="SimSun"/>
        </w:rPr>
        <w:t xml:space="preserve"> = internal tank area wetted by </w:t>
      </w:r>
      <w:r w:rsidR="00277752">
        <w:rPr>
          <w:rFonts w:eastAsia="SimSun"/>
        </w:rPr>
        <w:t xml:space="preserve">the </w:t>
      </w:r>
      <w:r>
        <w:rPr>
          <w:rFonts w:eastAsia="SimSun"/>
        </w:rPr>
        <w:t>liquid, m</w:t>
      </w:r>
      <w:r>
        <w:rPr>
          <w:rFonts w:eastAsia="SimSun"/>
          <w:vertAlign w:val="superscript"/>
        </w:rPr>
        <w:t>2</w:t>
      </w:r>
    </w:p>
    <w:p w14:paraId="2A745968" w14:textId="64F25EF0" w:rsidR="00D55A46" w:rsidRPr="00E377D0" w:rsidRDefault="00D55A46" w:rsidP="000640D2">
      <w:pPr>
        <w:pStyle w:val="CETBodytext"/>
        <w:rPr>
          <w:rFonts w:eastAsia="SimSun"/>
        </w:rPr>
        <w:sectPr w:rsidR="00D55A46" w:rsidRPr="00E377D0" w:rsidSect="0098097B">
          <w:type w:val="continuous"/>
          <w:pgSz w:w="11906" w:h="16838" w:code="9"/>
          <w:pgMar w:top="1701" w:right="1418" w:bottom="1701" w:left="1701" w:header="1701" w:footer="0" w:gutter="0"/>
          <w:cols w:num="2" w:space="708"/>
          <w:formProt w:val="0"/>
          <w:titlePg/>
          <w:docGrid w:linePitch="360"/>
        </w:sectPr>
      </w:pPr>
    </w:p>
    <w:p w14:paraId="4C96A7B3" w14:textId="77777777" w:rsidR="00600535" w:rsidRPr="00B57B36" w:rsidRDefault="00600535" w:rsidP="00122492">
      <w:pPr>
        <w:pStyle w:val="CETReference"/>
        <w:spacing w:before="120"/>
      </w:pPr>
      <w:r w:rsidRPr="00B57B36">
        <w:t>References</w:t>
      </w:r>
    </w:p>
    <w:p w14:paraId="0F9F0B89" w14:textId="1218F29D" w:rsidR="0036149F" w:rsidRPr="00674556" w:rsidRDefault="0036149F" w:rsidP="00674556">
      <w:pPr>
        <w:pStyle w:val="CETReferencetext"/>
      </w:pPr>
      <w:bookmarkStart w:id="10" w:name="_Hlk127353393"/>
      <w:r w:rsidRPr="00674556">
        <w:t>Anderson C.E., Townsend W., Zook J., C</w:t>
      </w:r>
      <w:r w:rsidR="00E51ACF">
        <w:t>owgill</w:t>
      </w:r>
      <w:r w:rsidRPr="00674556">
        <w:t xml:space="preserve"> G.</w:t>
      </w:r>
      <w:r w:rsidR="00351567">
        <w:t xml:space="preserve">, </w:t>
      </w:r>
      <w:r w:rsidRPr="00674556">
        <w:t>1974</w:t>
      </w:r>
      <w:r w:rsidR="00351567">
        <w:t>,</w:t>
      </w:r>
      <w:r w:rsidRPr="00674556">
        <w:t xml:space="preserve"> The effects of fire engulfment on a rail tank car filled with LPG.</w:t>
      </w:r>
      <w:r w:rsidR="00B61DB1" w:rsidRPr="00B61DB1">
        <w:rPr>
          <w:rFonts w:ascii="ArialMT" w:eastAsiaTheme="minorHAnsi" w:hAnsi="ArialMT" w:cs="ArialMT"/>
          <w:szCs w:val="18"/>
        </w:rPr>
        <w:t xml:space="preserve"> </w:t>
      </w:r>
      <w:r w:rsidR="00B61DB1">
        <w:rPr>
          <w:rFonts w:ascii="ArialMT" w:eastAsiaTheme="minorHAnsi" w:hAnsi="ArialMT" w:cs="ArialMT"/>
          <w:szCs w:val="18"/>
        </w:rPr>
        <w:t xml:space="preserve">US Dept </w:t>
      </w:r>
      <w:proofErr w:type="spellStart"/>
      <w:r w:rsidR="00B61DB1">
        <w:rPr>
          <w:rFonts w:ascii="ArialMT" w:eastAsiaTheme="minorHAnsi" w:hAnsi="ArialMT" w:cs="ArialMT"/>
          <w:szCs w:val="18"/>
        </w:rPr>
        <w:t>Trans.Rept</w:t>
      </w:r>
      <w:proofErr w:type="spellEnd"/>
      <w:r w:rsidR="00B61DB1">
        <w:rPr>
          <w:rFonts w:ascii="ArialMT" w:eastAsiaTheme="minorHAnsi" w:hAnsi="ArialMT" w:cs="ArialMT"/>
          <w:szCs w:val="18"/>
        </w:rPr>
        <w:t xml:space="preserve"> No FRA-OR&amp;D 31–75.</w:t>
      </w:r>
    </w:p>
    <w:p w14:paraId="638A4ACD" w14:textId="692C21F0" w:rsidR="0036149F" w:rsidRPr="00674556" w:rsidRDefault="0036149F" w:rsidP="00674556">
      <w:pPr>
        <w:pStyle w:val="CETReferencetext"/>
      </w:pPr>
      <w:r w:rsidRPr="00674556">
        <w:t xml:space="preserve">Birk A. M. </w:t>
      </w:r>
      <w:proofErr w:type="spellStart"/>
      <w:r w:rsidRPr="00674556">
        <w:t>Otremba</w:t>
      </w:r>
      <w:proofErr w:type="spellEnd"/>
      <w:r w:rsidRPr="00674556">
        <w:t xml:space="preserve"> F., Gonzalez F., Prabhakaran A., </w:t>
      </w:r>
      <w:proofErr w:type="spellStart"/>
      <w:r w:rsidRPr="00674556">
        <w:t>Borch</w:t>
      </w:r>
      <w:proofErr w:type="spellEnd"/>
      <w:r w:rsidRPr="00674556">
        <w:t xml:space="preserve"> J., Bradley I., </w:t>
      </w:r>
      <w:proofErr w:type="spellStart"/>
      <w:r w:rsidRPr="00674556">
        <w:t>Bisby</w:t>
      </w:r>
      <w:proofErr w:type="spellEnd"/>
      <w:r w:rsidRPr="00674556">
        <w:t xml:space="preserve"> L.</w:t>
      </w:r>
      <w:r w:rsidR="00351567">
        <w:t xml:space="preserve">, </w:t>
      </w:r>
      <w:r w:rsidRPr="00674556">
        <w:t>2016</w:t>
      </w:r>
      <w:r w:rsidR="00351567">
        <w:t>,</w:t>
      </w:r>
      <w:r w:rsidRPr="00674556">
        <w:t xml:space="preserve"> Fire testing of total containment pressure vessels. Chemical Engineering Transactions, 48, 277–282. </w:t>
      </w:r>
    </w:p>
    <w:p w14:paraId="4B6497FA" w14:textId="51BD74CE" w:rsidR="0036149F" w:rsidRPr="00674556" w:rsidRDefault="0036149F" w:rsidP="00674556">
      <w:pPr>
        <w:pStyle w:val="CETReferencetext"/>
      </w:pPr>
      <w:proofErr w:type="spellStart"/>
      <w:r w:rsidRPr="00674556">
        <w:t>Eberwein</w:t>
      </w:r>
      <w:proofErr w:type="spellEnd"/>
      <w:r w:rsidR="00351567">
        <w:t xml:space="preserve"> R.</w:t>
      </w:r>
      <w:r w:rsidRPr="00674556">
        <w:t xml:space="preserve">, </w:t>
      </w:r>
      <w:proofErr w:type="spellStart"/>
      <w:r w:rsidRPr="00674556">
        <w:t>Hajhariri</w:t>
      </w:r>
      <w:proofErr w:type="spellEnd"/>
      <w:r w:rsidR="00351567">
        <w:t xml:space="preserve"> A.</w:t>
      </w:r>
      <w:r w:rsidRPr="00674556">
        <w:t>, Camplese</w:t>
      </w:r>
      <w:r w:rsidR="00351567">
        <w:t xml:space="preserve"> D.</w:t>
      </w:r>
      <w:r w:rsidRPr="00674556">
        <w:t>, Scarponi</w:t>
      </w:r>
      <w:r w:rsidR="00351567">
        <w:t xml:space="preserve"> G.E.</w:t>
      </w:r>
      <w:r w:rsidRPr="00674556">
        <w:t xml:space="preserve">, </w:t>
      </w:r>
      <w:proofErr w:type="spellStart"/>
      <w:r w:rsidRPr="00674556">
        <w:t>Cozzani</w:t>
      </w:r>
      <w:proofErr w:type="spellEnd"/>
      <w:r w:rsidR="00351567">
        <w:t xml:space="preserve"> V.</w:t>
      </w:r>
      <w:r w:rsidRPr="00674556">
        <w:t xml:space="preserve">, </w:t>
      </w:r>
      <w:proofErr w:type="spellStart"/>
      <w:r w:rsidRPr="00674556">
        <w:t>Otremba</w:t>
      </w:r>
      <w:proofErr w:type="spellEnd"/>
      <w:r w:rsidRPr="00674556">
        <w:t xml:space="preserve"> R.</w:t>
      </w:r>
      <w:r w:rsidR="00351567">
        <w:t>,</w:t>
      </w:r>
      <w:r w:rsidRPr="00674556">
        <w:t>2023</w:t>
      </w:r>
      <w:r w:rsidR="00351567">
        <w:t>,</w:t>
      </w:r>
      <w:r w:rsidRPr="00674556">
        <w:t xml:space="preserve"> Insulation materials used in tanks for the storage of cryogenic fluids in fire scenarios</w:t>
      </w:r>
      <w:r w:rsidR="00F50B81">
        <w:t>. Proceedings of the ASME 2023 Pressure Vessel and Piping Conference</w:t>
      </w:r>
      <w:r w:rsidRPr="00674556">
        <w:t xml:space="preserve"> (PVP2023).</w:t>
      </w:r>
    </w:p>
    <w:p w14:paraId="6D27352C" w14:textId="755B036D" w:rsidR="0036149F" w:rsidRPr="00674556" w:rsidRDefault="0036149F" w:rsidP="00674556">
      <w:pPr>
        <w:pStyle w:val="CETReferencetext"/>
      </w:pPr>
      <w:r w:rsidRPr="00674556">
        <w:t>Edward L., Filip L.</w:t>
      </w:r>
      <w:r w:rsidR="00351567">
        <w:t xml:space="preserve">, </w:t>
      </w:r>
      <w:r w:rsidRPr="00674556">
        <w:t>2018</w:t>
      </w:r>
      <w:r w:rsidR="00351567">
        <w:t>,</w:t>
      </w:r>
      <w:r w:rsidRPr="00674556">
        <w:t xml:space="preserve"> Influence of vacuum level on insulation thermal performance for LNG cryogenic road tankers. MATEC Web of Conferences, 240.</w:t>
      </w:r>
    </w:p>
    <w:p w14:paraId="142FD3A5" w14:textId="0EEE0D2E" w:rsidR="0036149F" w:rsidRPr="00674556" w:rsidRDefault="0036149F" w:rsidP="00674556">
      <w:pPr>
        <w:pStyle w:val="CETReferencetext"/>
      </w:pPr>
      <w:r w:rsidRPr="00674556">
        <w:t>Kunze K., Kircher O.</w:t>
      </w:r>
      <w:r w:rsidR="00351567">
        <w:t xml:space="preserve">, </w:t>
      </w:r>
      <w:r w:rsidRPr="00674556">
        <w:t>2012</w:t>
      </w:r>
      <w:r w:rsidR="00351567">
        <w:t>,</w:t>
      </w:r>
      <w:r w:rsidRPr="00674556">
        <w:t xml:space="preserve"> Cryo-Compressed Hydrogen Storage Cryogenic Cluster Day, Oxford, September 28, 2012. Cryogenic Cluster Day, Oxford (UK), September 28, 2012.</w:t>
      </w:r>
    </w:p>
    <w:p w14:paraId="09D721C2" w14:textId="7D50EFEB" w:rsidR="0036149F" w:rsidRPr="00674556" w:rsidRDefault="0036149F" w:rsidP="00674556">
      <w:pPr>
        <w:pStyle w:val="CETReferencetext"/>
      </w:pPr>
      <w:r w:rsidRPr="00674556">
        <w:t>McIntosh, G. E.</w:t>
      </w:r>
      <w:r w:rsidR="00351567">
        <w:t>,</w:t>
      </w:r>
      <w:r w:rsidRPr="00674556">
        <w:t>1994</w:t>
      </w:r>
      <w:r w:rsidR="00351567">
        <w:t>,</w:t>
      </w:r>
      <w:r w:rsidRPr="00674556">
        <w:t xml:space="preserve"> Layer by layer MLI calculation using a separated mode equation. Advances in Cryogenic Engineering, 1683–1690.</w:t>
      </w:r>
    </w:p>
    <w:p w14:paraId="1D36C786" w14:textId="25110495" w:rsidR="0036149F" w:rsidRPr="00674556" w:rsidRDefault="0036149F" w:rsidP="00674556">
      <w:pPr>
        <w:pStyle w:val="CETReferencetext"/>
      </w:pPr>
      <w:r w:rsidRPr="00674556">
        <w:t>NIST</w:t>
      </w:r>
      <w:r w:rsidR="00351567">
        <w:t xml:space="preserve">, </w:t>
      </w:r>
      <w:r w:rsidR="00B61DB1">
        <w:t>2023</w:t>
      </w:r>
      <w:r w:rsidR="00351567">
        <w:t>,</w:t>
      </w:r>
      <w:r w:rsidRPr="00674556">
        <w:t xml:space="preserve"> NIST Chemistry </w:t>
      </w:r>
      <w:proofErr w:type="spellStart"/>
      <w:r w:rsidRPr="00674556">
        <w:t>WebBook</w:t>
      </w:r>
      <w:proofErr w:type="spellEnd"/>
      <w:r w:rsidR="00B61DB1">
        <w:t xml:space="preserve"> 69, National Institute of Standards and Technology &lt;webbook.nist.gov/chemistry/&gt; accessed </w:t>
      </w:r>
      <w:r w:rsidR="00122492">
        <w:t xml:space="preserve">on </w:t>
      </w:r>
      <w:r w:rsidR="00B61DB1">
        <w:t>29.0</w:t>
      </w:r>
      <w:r w:rsidR="00351567">
        <w:t>3</w:t>
      </w:r>
      <w:r w:rsidR="00B61DB1">
        <w:t>.2023</w:t>
      </w:r>
      <w:r w:rsidRPr="00674556">
        <w:t>.</w:t>
      </w:r>
    </w:p>
    <w:p w14:paraId="5991346C" w14:textId="615BA224" w:rsidR="0036149F" w:rsidRPr="00674556" w:rsidRDefault="0036149F" w:rsidP="00674556">
      <w:pPr>
        <w:pStyle w:val="CETReferencetext"/>
      </w:pPr>
      <w:proofErr w:type="spellStart"/>
      <w:r w:rsidRPr="00674556">
        <w:t>Pehr</w:t>
      </w:r>
      <w:proofErr w:type="spellEnd"/>
      <w:r w:rsidRPr="00674556">
        <w:t xml:space="preserve"> K.</w:t>
      </w:r>
      <w:r w:rsidR="00351567">
        <w:t xml:space="preserve">, </w:t>
      </w:r>
      <w:r w:rsidRPr="00674556">
        <w:t>1996</w:t>
      </w:r>
      <w:r w:rsidR="00351567">
        <w:t>,</w:t>
      </w:r>
      <w:r w:rsidRPr="00674556">
        <w:t xml:space="preserve"> Experimental examinations on the worst-case behaviour of LH2/LNG tanks for passenger cars. Proceedings of the 11th World Hydrogen Energy Conference, 2169–2187.</w:t>
      </w:r>
    </w:p>
    <w:p w14:paraId="3294FDC9" w14:textId="66F5C638" w:rsidR="0036149F" w:rsidRPr="00674556" w:rsidRDefault="0036149F" w:rsidP="00674556">
      <w:pPr>
        <w:pStyle w:val="CETReferencetext"/>
      </w:pPr>
      <w:proofErr w:type="spellStart"/>
      <w:r w:rsidRPr="00674556">
        <w:t>Preuster</w:t>
      </w:r>
      <w:proofErr w:type="spellEnd"/>
      <w:r w:rsidRPr="00674556">
        <w:t xml:space="preserve"> P., Alekseev A., </w:t>
      </w:r>
      <w:proofErr w:type="spellStart"/>
      <w:r w:rsidRPr="00674556">
        <w:t>Wasserscheid</w:t>
      </w:r>
      <w:proofErr w:type="spellEnd"/>
      <w:r w:rsidRPr="00674556">
        <w:t xml:space="preserve"> P.</w:t>
      </w:r>
      <w:r w:rsidR="00351567">
        <w:t xml:space="preserve">, </w:t>
      </w:r>
      <w:r w:rsidRPr="00674556">
        <w:t>2017</w:t>
      </w:r>
      <w:r w:rsidR="00351567">
        <w:t>,</w:t>
      </w:r>
      <w:r w:rsidRPr="00674556">
        <w:t xml:space="preserve"> Hydrogen storage technologies for future energy systems. Annual Review of Chemical and Biomolecular Engineering, 8, 445–471. </w:t>
      </w:r>
    </w:p>
    <w:p w14:paraId="18D8C6BD" w14:textId="53C6B90E" w:rsidR="0036149F" w:rsidRPr="00674556" w:rsidRDefault="0036149F" w:rsidP="00674556">
      <w:pPr>
        <w:pStyle w:val="CETReferencetext"/>
      </w:pPr>
      <w:r w:rsidRPr="00674556">
        <w:t>Ray M. S.</w:t>
      </w:r>
      <w:r w:rsidR="00351567">
        <w:t>,</w:t>
      </w:r>
      <w:r w:rsidRPr="00674556">
        <w:t xml:space="preserve"> 1994</w:t>
      </w:r>
      <w:r w:rsidR="00351567">
        <w:t>,</w:t>
      </w:r>
      <w:r w:rsidRPr="00674556">
        <w:t xml:space="preserve"> Coulson and Richardson’s Chemical Engineering Volume 6 (Design), 2nd Edition, by R.K. Sinnott, Pergamon Press, Oxford, UK (1993). 954 pages. ISBN 0-08-041865-1. Developments in Chemical Engineering and Mineral Processing, 2(4), 254–255. </w:t>
      </w:r>
    </w:p>
    <w:p w14:paraId="4F4CF569" w14:textId="52E5A2CA" w:rsidR="0036149F" w:rsidRPr="00674556" w:rsidRDefault="0036149F" w:rsidP="00674556">
      <w:pPr>
        <w:pStyle w:val="CETReferencetext"/>
      </w:pPr>
      <w:r w:rsidRPr="00674556">
        <w:t xml:space="preserve">Scarponi G. E., Bradley I., </w:t>
      </w:r>
      <w:proofErr w:type="spellStart"/>
      <w:r w:rsidRPr="00674556">
        <w:t>Landucci</w:t>
      </w:r>
      <w:proofErr w:type="spellEnd"/>
      <w:r w:rsidRPr="00674556">
        <w:t xml:space="preserve"> G., Birk A. M., </w:t>
      </w:r>
      <w:proofErr w:type="spellStart"/>
      <w:r w:rsidRPr="00674556">
        <w:t>Cozzani</w:t>
      </w:r>
      <w:proofErr w:type="spellEnd"/>
      <w:r w:rsidRPr="00674556">
        <w:t xml:space="preserve"> V.</w:t>
      </w:r>
      <w:r w:rsidR="00351567">
        <w:t>,</w:t>
      </w:r>
      <w:r w:rsidRPr="00674556">
        <w:t xml:space="preserve"> 2022</w:t>
      </w:r>
      <w:r w:rsidR="00351567">
        <w:t>,</w:t>
      </w:r>
      <w:r w:rsidRPr="00674556">
        <w:t xml:space="preserve"> Modelling Pressure Tanks under Fire Exposure: Past Experience, Current Challenges and Future Perspectives. Chemical Engineering Transactions, 90, 481–486.</w:t>
      </w:r>
    </w:p>
    <w:p w14:paraId="45D950A8" w14:textId="7F2A9D1B" w:rsidR="008C5379" w:rsidRPr="00E2383C" w:rsidRDefault="0036149F" w:rsidP="00122492">
      <w:pPr>
        <w:pStyle w:val="CETReferencetext"/>
      </w:pPr>
      <w:r w:rsidRPr="00674556">
        <w:t xml:space="preserve">van </w:t>
      </w:r>
      <w:proofErr w:type="spellStart"/>
      <w:r w:rsidRPr="00674556">
        <w:t>Wingerden</w:t>
      </w:r>
      <w:proofErr w:type="spellEnd"/>
      <w:r w:rsidRPr="00674556">
        <w:t xml:space="preserve"> K., Kluge M., Habib A. K., </w:t>
      </w:r>
      <w:proofErr w:type="spellStart"/>
      <w:r w:rsidRPr="00674556">
        <w:t>Ustolin</w:t>
      </w:r>
      <w:proofErr w:type="spellEnd"/>
      <w:r w:rsidRPr="00674556">
        <w:t xml:space="preserve"> F., Paltrinieri N.</w:t>
      </w:r>
      <w:r w:rsidR="00730FCA">
        <w:t>,</w:t>
      </w:r>
      <w:r w:rsidRPr="00674556">
        <w:t xml:space="preserve"> 2022</w:t>
      </w:r>
      <w:r w:rsidR="00730FCA">
        <w:t>,</w:t>
      </w:r>
      <w:r w:rsidRPr="00674556">
        <w:t xml:space="preserve"> Medium-scale Tests to Investigate the Possibility and Effects of BLEVEs of Storage Vessels Containing Liquified Hydrogen. Chemical Engineering Transactions, 90, 547–552.</w:t>
      </w:r>
      <w:bookmarkEnd w:id="10"/>
    </w:p>
    <w:sectPr w:rsidR="008C5379" w:rsidRPr="00E2383C" w:rsidSect="00122492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6F837" w16cex:dateUtc="2023-02-15T05:20:00Z"/>
  <w16cex:commentExtensible w16cex:durableId="27971A5F" w16cex:dateUtc="2023-02-15T07:46:00Z"/>
  <w16cex:commentExtensible w16cex:durableId="27971D94" w16cex:dateUtc="2023-02-15T08:00:00Z"/>
  <w16cex:commentExtensible w16cex:durableId="27971BD0" w16cex:dateUtc="2023-02-15T07:52:00Z"/>
  <w16cex:commentExtensible w16cex:durableId="27971C73" w16cex:dateUtc="2023-02-15T07:55:00Z"/>
  <w16cex:commentExtensible w16cex:durableId="2796FEF4" w16cex:dateUtc="2023-02-15T05:49:00Z"/>
  <w16cex:commentExtensible w16cex:durableId="27970113" w16cex:dateUtc="2023-02-15T05:58:00Z"/>
  <w16cex:commentExtensible w16cex:durableId="27971E4B" w16cex:dateUtc="2023-02-15T08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E57EA" w14:textId="77777777" w:rsidR="00BB1D3C" w:rsidRDefault="00BB1D3C" w:rsidP="004F5E36">
      <w:r>
        <w:separator/>
      </w:r>
    </w:p>
  </w:endnote>
  <w:endnote w:type="continuationSeparator" w:id="0">
    <w:p w14:paraId="7CB6C67B" w14:textId="77777777" w:rsidR="00BB1D3C" w:rsidRDefault="00BB1D3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235A3" w14:textId="77777777" w:rsidR="00BB1D3C" w:rsidRDefault="00BB1D3C" w:rsidP="004F5E36">
      <w:r>
        <w:separator/>
      </w:r>
    </w:p>
  </w:footnote>
  <w:footnote w:type="continuationSeparator" w:id="0">
    <w:p w14:paraId="21C6BA64" w14:textId="77777777" w:rsidR="00BB1D3C" w:rsidRDefault="00BB1D3C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34B4"/>
    <w:multiLevelType w:val="hybridMultilevel"/>
    <w:tmpl w:val="1CCC284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70D3B06"/>
    <w:multiLevelType w:val="hybridMultilevel"/>
    <w:tmpl w:val="2B24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A65E6"/>
    <w:multiLevelType w:val="hybridMultilevel"/>
    <w:tmpl w:val="761EF9CA"/>
    <w:lvl w:ilvl="0" w:tplc="663EB82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860F3"/>
    <w:multiLevelType w:val="hybridMultilevel"/>
    <w:tmpl w:val="47608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4"/>
  </w:num>
  <w:num w:numId="14">
    <w:abstractNumId w:val="21"/>
  </w:num>
  <w:num w:numId="15">
    <w:abstractNumId w:val="23"/>
  </w:num>
  <w:num w:numId="16">
    <w:abstractNumId w:val="22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9"/>
  </w:num>
  <w:num w:numId="20">
    <w:abstractNumId w:val="18"/>
  </w:num>
  <w:num w:numId="21">
    <w:abstractNumId w:val="16"/>
  </w:num>
  <w:num w:numId="22">
    <w:abstractNumId w:val="15"/>
  </w:num>
  <w:num w:numId="23">
    <w:abstractNumId w:val="11"/>
  </w:num>
  <w:num w:numId="24">
    <w:abstractNumId w:val="24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MagFAIGtLpotAAAA"/>
  </w:docVars>
  <w:rsids>
    <w:rsidRoot w:val="000E414A"/>
    <w:rsid w:val="00001510"/>
    <w:rsid w:val="000027C0"/>
    <w:rsid w:val="000052FB"/>
    <w:rsid w:val="000100F9"/>
    <w:rsid w:val="00010AB9"/>
    <w:rsid w:val="0001118F"/>
    <w:rsid w:val="000117CB"/>
    <w:rsid w:val="000129DB"/>
    <w:rsid w:val="000205FE"/>
    <w:rsid w:val="000207A5"/>
    <w:rsid w:val="00020F88"/>
    <w:rsid w:val="0002756A"/>
    <w:rsid w:val="0003148D"/>
    <w:rsid w:val="00031EEC"/>
    <w:rsid w:val="0003630A"/>
    <w:rsid w:val="000465DB"/>
    <w:rsid w:val="00051566"/>
    <w:rsid w:val="0005248C"/>
    <w:rsid w:val="00054542"/>
    <w:rsid w:val="000562A9"/>
    <w:rsid w:val="00062A9A"/>
    <w:rsid w:val="000640D2"/>
    <w:rsid w:val="00065058"/>
    <w:rsid w:val="000661D3"/>
    <w:rsid w:val="00066264"/>
    <w:rsid w:val="00071000"/>
    <w:rsid w:val="00076F0D"/>
    <w:rsid w:val="00077316"/>
    <w:rsid w:val="00081D59"/>
    <w:rsid w:val="000831A4"/>
    <w:rsid w:val="000837DF"/>
    <w:rsid w:val="00086C39"/>
    <w:rsid w:val="00090B0F"/>
    <w:rsid w:val="000A01BE"/>
    <w:rsid w:val="000A03B2"/>
    <w:rsid w:val="000A0C26"/>
    <w:rsid w:val="000A132D"/>
    <w:rsid w:val="000A4188"/>
    <w:rsid w:val="000B0945"/>
    <w:rsid w:val="000B49FE"/>
    <w:rsid w:val="000B7530"/>
    <w:rsid w:val="000C14C0"/>
    <w:rsid w:val="000C2453"/>
    <w:rsid w:val="000C4842"/>
    <w:rsid w:val="000C4F3A"/>
    <w:rsid w:val="000D0268"/>
    <w:rsid w:val="000D0FCF"/>
    <w:rsid w:val="000D2063"/>
    <w:rsid w:val="000D34BE"/>
    <w:rsid w:val="000D6054"/>
    <w:rsid w:val="000D78FC"/>
    <w:rsid w:val="000E0790"/>
    <w:rsid w:val="000E102F"/>
    <w:rsid w:val="000E36F1"/>
    <w:rsid w:val="000E3A73"/>
    <w:rsid w:val="000E414A"/>
    <w:rsid w:val="000E472E"/>
    <w:rsid w:val="000F093C"/>
    <w:rsid w:val="000F1889"/>
    <w:rsid w:val="000F1AB8"/>
    <w:rsid w:val="000F4119"/>
    <w:rsid w:val="000F787B"/>
    <w:rsid w:val="00101E55"/>
    <w:rsid w:val="00106EDF"/>
    <w:rsid w:val="0010749A"/>
    <w:rsid w:val="00107931"/>
    <w:rsid w:val="00117B99"/>
    <w:rsid w:val="0012091F"/>
    <w:rsid w:val="00122492"/>
    <w:rsid w:val="0012631B"/>
    <w:rsid w:val="00126BC2"/>
    <w:rsid w:val="00127FA9"/>
    <w:rsid w:val="001303FE"/>
    <w:rsid w:val="001308B6"/>
    <w:rsid w:val="0013121F"/>
    <w:rsid w:val="00131FE6"/>
    <w:rsid w:val="0013263F"/>
    <w:rsid w:val="001331DF"/>
    <w:rsid w:val="00134DE4"/>
    <w:rsid w:val="00136ED2"/>
    <w:rsid w:val="00137B53"/>
    <w:rsid w:val="00140228"/>
    <w:rsid w:val="0014034D"/>
    <w:rsid w:val="0014081A"/>
    <w:rsid w:val="0014263F"/>
    <w:rsid w:val="00144D16"/>
    <w:rsid w:val="00150E59"/>
    <w:rsid w:val="00152DE3"/>
    <w:rsid w:val="001578F4"/>
    <w:rsid w:val="00161DE6"/>
    <w:rsid w:val="00164CF9"/>
    <w:rsid w:val="001655E3"/>
    <w:rsid w:val="001667A6"/>
    <w:rsid w:val="00182595"/>
    <w:rsid w:val="00184AD6"/>
    <w:rsid w:val="00185648"/>
    <w:rsid w:val="0018675A"/>
    <w:rsid w:val="00195B8F"/>
    <w:rsid w:val="001A3618"/>
    <w:rsid w:val="001A4AF7"/>
    <w:rsid w:val="001A6787"/>
    <w:rsid w:val="001B0349"/>
    <w:rsid w:val="001B1E93"/>
    <w:rsid w:val="001B25E1"/>
    <w:rsid w:val="001B4100"/>
    <w:rsid w:val="001B5F7A"/>
    <w:rsid w:val="001B65C1"/>
    <w:rsid w:val="001C0A33"/>
    <w:rsid w:val="001C1F71"/>
    <w:rsid w:val="001C29C5"/>
    <w:rsid w:val="001C684B"/>
    <w:rsid w:val="001D0CFB"/>
    <w:rsid w:val="001D21AF"/>
    <w:rsid w:val="001D3E60"/>
    <w:rsid w:val="001D53FC"/>
    <w:rsid w:val="001D7BD8"/>
    <w:rsid w:val="001E4913"/>
    <w:rsid w:val="001E4F6E"/>
    <w:rsid w:val="001E7DF8"/>
    <w:rsid w:val="001F42A5"/>
    <w:rsid w:val="001F68C9"/>
    <w:rsid w:val="001F7B9D"/>
    <w:rsid w:val="0020001A"/>
    <w:rsid w:val="00201C93"/>
    <w:rsid w:val="00205188"/>
    <w:rsid w:val="002075D2"/>
    <w:rsid w:val="00207EC1"/>
    <w:rsid w:val="00214B37"/>
    <w:rsid w:val="00214D51"/>
    <w:rsid w:val="00220274"/>
    <w:rsid w:val="00220C55"/>
    <w:rsid w:val="00221B8F"/>
    <w:rsid w:val="002224B4"/>
    <w:rsid w:val="00222B82"/>
    <w:rsid w:val="002246C6"/>
    <w:rsid w:val="00235F11"/>
    <w:rsid w:val="002368B4"/>
    <w:rsid w:val="002447EF"/>
    <w:rsid w:val="0024772E"/>
    <w:rsid w:val="0025061C"/>
    <w:rsid w:val="00251550"/>
    <w:rsid w:val="00253222"/>
    <w:rsid w:val="0025494E"/>
    <w:rsid w:val="00260EB6"/>
    <w:rsid w:val="00261155"/>
    <w:rsid w:val="00263B05"/>
    <w:rsid w:val="002640C0"/>
    <w:rsid w:val="00270A65"/>
    <w:rsid w:val="0027221A"/>
    <w:rsid w:val="00272B46"/>
    <w:rsid w:val="00273823"/>
    <w:rsid w:val="00273C53"/>
    <w:rsid w:val="00275114"/>
    <w:rsid w:val="00275B61"/>
    <w:rsid w:val="0027734D"/>
    <w:rsid w:val="00277752"/>
    <w:rsid w:val="002777D1"/>
    <w:rsid w:val="00280FAF"/>
    <w:rsid w:val="00281495"/>
    <w:rsid w:val="002821A6"/>
    <w:rsid w:val="00282656"/>
    <w:rsid w:val="00290474"/>
    <w:rsid w:val="0029580E"/>
    <w:rsid w:val="00296B83"/>
    <w:rsid w:val="002A3D2F"/>
    <w:rsid w:val="002A4041"/>
    <w:rsid w:val="002A66C1"/>
    <w:rsid w:val="002B4015"/>
    <w:rsid w:val="002B492E"/>
    <w:rsid w:val="002B498A"/>
    <w:rsid w:val="002B5880"/>
    <w:rsid w:val="002B78CE"/>
    <w:rsid w:val="002C2FB6"/>
    <w:rsid w:val="002C3F09"/>
    <w:rsid w:val="002C5DC3"/>
    <w:rsid w:val="002C7D51"/>
    <w:rsid w:val="002D29C9"/>
    <w:rsid w:val="002D6D07"/>
    <w:rsid w:val="002E0034"/>
    <w:rsid w:val="002E42CF"/>
    <w:rsid w:val="002E494F"/>
    <w:rsid w:val="002E5FA7"/>
    <w:rsid w:val="002F3309"/>
    <w:rsid w:val="002F4CF9"/>
    <w:rsid w:val="002F4F25"/>
    <w:rsid w:val="003008CE"/>
    <w:rsid w:val="003009B7"/>
    <w:rsid w:val="00300E56"/>
    <w:rsid w:val="0030152C"/>
    <w:rsid w:val="0030469C"/>
    <w:rsid w:val="003143C1"/>
    <w:rsid w:val="00316DA2"/>
    <w:rsid w:val="00321CA6"/>
    <w:rsid w:val="00323763"/>
    <w:rsid w:val="003238E1"/>
    <w:rsid w:val="00323C5F"/>
    <w:rsid w:val="00327483"/>
    <w:rsid w:val="0032770B"/>
    <w:rsid w:val="0033215D"/>
    <w:rsid w:val="003333F1"/>
    <w:rsid w:val="00334C09"/>
    <w:rsid w:val="003350EC"/>
    <w:rsid w:val="0033771F"/>
    <w:rsid w:val="00340659"/>
    <w:rsid w:val="00344F25"/>
    <w:rsid w:val="00345526"/>
    <w:rsid w:val="00345CAC"/>
    <w:rsid w:val="00350F30"/>
    <w:rsid w:val="00351194"/>
    <w:rsid w:val="00351567"/>
    <w:rsid w:val="0036149F"/>
    <w:rsid w:val="00363003"/>
    <w:rsid w:val="003642DC"/>
    <w:rsid w:val="00365D97"/>
    <w:rsid w:val="003714B5"/>
    <w:rsid w:val="00371C7C"/>
    <w:rsid w:val="003723D4"/>
    <w:rsid w:val="00375EE6"/>
    <w:rsid w:val="00381905"/>
    <w:rsid w:val="00382479"/>
    <w:rsid w:val="00384CC8"/>
    <w:rsid w:val="003871FD"/>
    <w:rsid w:val="003876EE"/>
    <w:rsid w:val="00393899"/>
    <w:rsid w:val="00395096"/>
    <w:rsid w:val="0039784B"/>
    <w:rsid w:val="003A08AC"/>
    <w:rsid w:val="003A1E30"/>
    <w:rsid w:val="003A2829"/>
    <w:rsid w:val="003A759C"/>
    <w:rsid w:val="003A7D1C"/>
    <w:rsid w:val="003B1179"/>
    <w:rsid w:val="003B304B"/>
    <w:rsid w:val="003B3146"/>
    <w:rsid w:val="003D2F43"/>
    <w:rsid w:val="003D4EA5"/>
    <w:rsid w:val="003D4FDF"/>
    <w:rsid w:val="003D7A91"/>
    <w:rsid w:val="003E4A38"/>
    <w:rsid w:val="003E6266"/>
    <w:rsid w:val="003F015E"/>
    <w:rsid w:val="00400414"/>
    <w:rsid w:val="0041446B"/>
    <w:rsid w:val="0043637B"/>
    <w:rsid w:val="00437048"/>
    <w:rsid w:val="0044071E"/>
    <w:rsid w:val="004415B5"/>
    <w:rsid w:val="0044237C"/>
    <w:rsid w:val="0044329C"/>
    <w:rsid w:val="00444235"/>
    <w:rsid w:val="0044582C"/>
    <w:rsid w:val="00451235"/>
    <w:rsid w:val="00451420"/>
    <w:rsid w:val="00453E24"/>
    <w:rsid w:val="00457456"/>
    <w:rsid w:val="004577FE"/>
    <w:rsid w:val="00457B9C"/>
    <w:rsid w:val="00460012"/>
    <w:rsid w:val="0046164A"/>
    <w:rsid w:val="004628D2"/>
    <w:rsid w:val="00462DCD"/>
    <w:rsid w:val="004640FD"/>
    <w:rsid w:val="004648AD"/>
    <w:rsid w:val="004658CE"/>
    <w:rsid w:val="004703A9"/>
    <w:rsid w:val="00470D76"/>
    <w:rsid w:val="00473050"/>
    <w:rsid w:val="004760DE"/>
    <w:rsid w:val="004763D7"/>
    <w:rsid w:val="00477AFD"/>
    <w:rsid w:val="00480E64"/>
    <w:rsid w:val="004861CF"/>
    <w:rsid w:val="00490FED"/>
    <w:rsid w:val="0049229E"/>
    <w:rsid w:val="00495D4C"/>
    <w:rsid w:val="004A004E"/>
    <w:rsid w:val="004A0321"/>
    <w:rsid w:val="004A24CF"/>
    <w:rsid w:val="004A2C77"/>
    <w:rsid w:val="004A355F"/>
    <w:rsid w:val="004A4486"/>
    <w:rsid w:val="004A4F49"/>
    <w:rsid w:val="004B36C0"/>
    <w:rsid w:val="004B70E4"/>
    <w:rsid w:val="004C16AB"/>
    <w:rsid w:val="004C3D1D"/>
    <w:rsid w:val="004C3D84"/>
    <w:rsid w:val="004C518C"/>
    <w:rsid w:val="004C6366"/>
    <w:rsid w:val="004C6D61"/>
    <w:rsid w:val="004C7913"/>
    <w:rsid w:val="004D26F0"/>
    <w:rsid w:val="004D3A99"/>
    <w:rsid w:val="004E2E46"/>
    <w:rsid w:val="004E4DD6"/>
    <w:rsid w:val="004E6008"/>
    <w:rsid w:val="004E647D"/>
    <w:rsid w:val="004E7658"/>
    <w:rsid w:val="004E7CEB"/>
    <w:rsid w:val="004F319B"/>
    <w:rsid w:val="004F5E36"/>
    <w:rsid w:val="00500627"/>
    <w:rsid w:val="00500F94"/>
    <w:rsid w:val="00503999"/>
    <w:rsid w:val="0050629E"/>
    <w:rsid w:val="00506E94"/>
    <w:rsid w:val="00507B47"/>
    <w:rsid w:val="00507BEF"/>
    <w:rsid w:val="00507CC9"/>
    <w:rsid w:val="00507D07"/>
    <w:rsid w:val="005119A5"/>
    <w:rsid w:val="00512301"/>
    <w:rsid w:val="00522253"/>
    <w:rsid w:val="00525DFD"/>
    <w:rsid w:val="005278B7"/>
    <w:rsid w:val="00532016"/>
    <w:rsid w:val="005346C8"/>
    <w:rsid w:val="00534EC2"/>
    <w:rsid w:val="005405F6"/>
    <w:rsid w:val="00540919"/>
    <w:rsid w:val="00543E7D"/>
    <w:rsid w:val="00544449"/>
    <w:rsid w:val="0054587F"/>
    <w:rsid w:val="00545B5D"/>
    <w:rsid w:val="0054601E"/>
    <w:rsid w:val="00547A68"/>
    <w:rsid w:val="00551936"/>
    <w:rsid w:val="005531C9"/>
    <w:rsid w:val="0056063F"/>
    <w:rsid w:val="005606B9"/>
    <w:rsid w:val="00561370"/>
    <w:rsid w:val="005640A8"/>
    <w:rsid w:val="00570C43"/>
    <w:rsid w:val="00571BE5"/>
    <w:rsid w:val="00572378"/>
    <w:rsid w:val="00574B6F"/>
    <w:rsid w:val="005803B3"/>
    <w:rsid w:val="0058201F"/>
    <w:rsid w:val="00582A05"/>
    <w:rsid w:val="00592DDC"/>
    <w:rsid w:val="00595CEB"/>
    <w:rsid w:val="00596E45"/>
    <w:rsid w:val="00597480"/>
    <w:rsid w:val="005A2DBF"/>
    <w:rsid w:val="005A55C8"/>
    <w:rsid w:val="005A6DFB"/>
    <w:rsid w:val="005A7F4A"/>
    <w:rsid w:val="005B0D0D"/>
    <w:rsid w:val="005B0D99"/>
    <w:rsid w:val="005B19EE"/>
    <w:rsid w:val="005B2110"/>
    <w:rsid w:val="005B27FC"/>
    <w:rsid w:val="005B5749"/>
    <w:rsid w:val="005B61E6"/>
    <w:rsid w:val="005B6566"/>
    <w:rsid w:val="005B72F1"/>
    <w:rsid w:val="005C6EC4"/>
    <w:rsid w:val="005C77E1"/>
    <w:rsid w:val="005D142D"/>
    <w:rsid w:val="005D1706"/>
    <w:rsid w:val="005D1F71"/>
    <w:rsid w:val="005D22A8"/>
    <w:rsid w:val="005D296F"/>
    <w:rsid w:val="005D3434"/>
    <w:rsid w:val="005D6132"/>
    <w:rsid w:val="005D668A"/>
    <w:rsid w:val="005D6A2F"/>
    <w:rsid w:val="005E1A65"/>
    <w:rsid w:val="005E1A82"/>
    <w:rsid w:val="005E2346"/>
    <w:rsid w:val="005E35F8"/>
    <w:rsid w:val="005E63FC"/>
    <w:rsid w:val="005E794C"/>
    <w:rsid w:val="005F0A28"/>
    <w:rsid w:val="005F0E5E"/>
    <w:rsid w:val="005F196E"/>
    <w:rsid w:val="005F66E4"/>
    <w:rsid w:val="005F6A83"/>
    <w:rsid w:val="00600535"/>
    <w:rsid w:val="006039A1"/>
    <w:rsid w:val="00604966"/>
    <w:rsid w:val="00607EDA"/>
    <w:rsid w:val="00610CD6"/>
    <w:rsid w:val="00612511"/>
    <w:rsid w:val="00615550"/>
    <w:rsid w:val="006177B4"/>
    <w:rsid w:val="00620DEE"/>
    <w:rsid w:val="00621F92"/>
    <w:rsid w:val="0062280A"/>
    <w:rsid w:val="006250F5"/>
    <w:rsid w:val="00625639"/>
    <w:rsid w:val="00625AB0"/>
    <w:rsid w:val="00631A28"/>
    <w:rsid w:val="00631B33"/>
    <w:rsid w:val="006326F6"/>
    <w:rsid w:val="00636355"/>
    <w:rsid w:val="0064184D"/>
    <w:rsid w:val="006422CC"/>
    <w:rsid w:val="00642851"/>
    <w:rsid w:val="006527B6"/>
    <w:rsid w:val="00652D7F"/>
    <w:rsid w:val="006558C0"/>
    <w:rsid w:val="00655C66"/>
    <w:rsid w:val="00656374"/>
    <w:rsid w:val="00660E3E"/>
    <w:rsid w:val="00662E74"/>
    <w:rsid w:val="006677E5"/>
    <w:rsid w:val="00671D8E"/>
    <w:rsid w:val="00674556"/>
    <w:rsid w:val="00675A51"/>
    <w:rsid w:val="00676E6C"/>
    <w:rsid w:val="006775BD"/>
    <w:rsid w:val="00680C23"/>
    <w:rsid w:val="006856C9"/>
    <w:rsid w:val="00685D11"/>
    <w:rsid w:val="00687F24"/>
    <w:rsid w:val="00691CD4"/>
    <w:rsid w:val="00693766"/>
    <w:rsid w:val="00693ED1"/>
    <w:rsid w:val="0069438D"/>
    <w:rsid w:val="00697783"/>
    <w:rsid w:val="006978D5"/>
    <w:rsid w:val="006A1BF8"/>
    <w:rsid w:val="006A256F"/>
    <w:rsid w:val="006A3281"/>
    <w:rsid w:val="006A3582"/>
    <w:rsid w:val="006A4878"/>
    <w:rsid w:val="006A7009"/>
    <w:rsid w:val="006A7449"/>
    <w:rsid w:val="006B4888"/>
    <w:rsid w:val="006B7F69"/>
    <w:rsid w:val="006C2E45"/>
    <w:rsid w:val="006C31E0"/>
    <w:rsid w:val="006C359C"/>
    <w:rsid w:val="006C5579"/>
    <w:rsid w:val="006D0F02"/>
    <w:rsid w:val="006D6C0E"/>
    <w:rsid w:val="006D6E8B"/>
    <w:rsid w:val="006D74D5"/>
    <w:rsid w:val="006E01E4"/>
    <w:rsid w:val="006E3D8A"/>
    <w:rsid w:val="006E737D"/>
    <w:rsid w:val="006F0C8D"/>
    <w:rsid w:val="006F1955"/>
    <w:rsid w:val="006F4BC7"/>
    <w:rsid w:val="006F5900"/>
    <w:rsid w:val="006F5953"/>
    <w:rsid w:val="006F7066"/>
    <w:rsid w:val="007029D4"/>
    <w:rsid w:val="0070495D"/>
    <w:rsid w:val="00707B28"/>
    <w:rsid w:val="00713973"/>
    <w:rsid w:val="007143CE"/>
    <w:rsid w:val="00714F7D"/>
    <w:rsid w:val="0071614B"/>
    <w:rsid w:val="00720A24"/>
    <w:rsid w:val="00724740"/>
    <w:rsid w:val="00724F0A"/>
    <w:rsid w:val="007255BE"/>
    <w:rsid w:val="00730FCA"/>
    <w:rsid w:val="00732386"/>
    <w:rsid w:val="00734BE1"/>
    <w:rsid w:val="0073514D"/>
    <w:rsid w:val="00736521"/>
    <w:rsid w:val="00737524"/>
    <w:rsid w:val="00741864"/>
    <w:rsid w:val="00743DBA"/>
    <w:rsid w:val="007447F3"/>
    <w:rsid w:val="007461A9"/>
    <w:rsid w:val="00746EA7"/>
    <w:rsid w:val="0074740E"/>
    <w:rsid w:val="00750728"/>
    <w:rsid w:val="007526A0"/>
    <w:rsid w:val="00752C88"/>
    <w:rsid w:val="00753D11"/>
    <w:rsid w:val="0075499F"/>
    <w:rsid w:val="007661C8"/>
    <w:rsid w:val="0077018D"/>
    <w:rsid w:val="0077098D"/>
    <w:rsid w:val="007714B4"/>
    <w:rsid w:val="0077335D"/>
    <w:rsid w:val="00773B94"/>
    <w:rsid w:val="00776461"/>
    <w:rsid w:val="00783802"/>
    <w:rsid w:val="007850C8"/>
    <w:rsid w:val="007931FA"/>
    <w:rsid w:val="007A0F0B"/>
    <w:rsid w:val="007A0F86"/>
    <w:rsid w:val="007A1B40"/>
    <w:rsid w:val="007A3CB7"/>
    <w:rsid w:val="007A43A6"/>
    <w:rsid w:val="007A4861"/>
    <w:rsid w:val="007A5014"/>
    <w:rsid w:val="007A62D8"/>
    <w:rsid w:val="007A7BBA"/>
    <w:rsid w:val="007B0C50"/>
    <w:rsid w:val="007B1B93"/>
    <w:rsid w:val="007B1EB0"/>
    <w:rsid w:val="007B48F9"/>
    <w:rsid w:val="007B5B03"/>
    <w:rsid w:val="007B5C05"/>
    <w:rsid w:val="007C1A43"/>
    <w:rsid w:val="007C6892"/>
    <w:rsid w:val="007C716C"/>
    <w:rsid w:val="007C7F56"/>
    <w:rsid w:val="007D0951"/>
    <w:rsid w:val="007E3A16"/>
    <w:rsid w:val="007E6295"/>
    <w:rsid w:val="007E7F8A"/>
    <w:rsid w:val="007F0171"/>
    <w:rsid w:val="0080013E"/>
    <w:rsid w:val="0080702E"/>
    <w:rsid w:val="008073B2"/>
    <w:rsid w:val="00813288"/>
    <w:rsid w:val="008145DF"/>
    <w:rsid w:val="008168FC"/>
    <w:rsid w:val="00824B58"/>
    <w:rsid w:val="00830996"/>
    <w:rsid w:val="00832A5C"/>
    <w:rsid w:val="008345F1"/>
    <w:rsid w:val="00836509"/>
    <w:rsid w:val="008370EC"/>
    <w:rsid w:val="0083750F"/>
    <w:rsid w:val="00840089"/>
    <w:rsid w:val="00840F9B"/>
    <w:rsid w:val="008445A6"/>
    <w:rsid w:val="008542A8"/>
    <w:rsid w:val="008558BF"/>
    <w:rsid w:val="00857773"/>
    <w:rsid w:val="008625DC"/>
    <w:rsid w:val="008650A0"/>
    <w:rsid w:val="00865B07"/>
    <w:rsid w:val="008667EA"/>
    <w:rsid w:val="008674BD"/>
    <w:rsid w:val="00870419"/>
    <w:rsid w:val="00871F4B"/>
    <w:rsid w:val="0087239A"/>
    <w:rsid w:val="00873405"/>
    <w:rsid w:val="0087637F"/>
    <w:rsid w:val="008808E7"/>
    <w:rsid w:val="008830B1"/>
    <w:rsid w:val="00883202"/>
    <w:rsid w:val="00883686"/>
    <w:rsid w:val="00884BB6"/>
    <w:rsid w:val="00892AD5"/>
    <w:rsid w:val="008A1512"/>
    <w:rsid w:val="008A16C3"/>
    <w:rsid w:val="008A1819"/>
    <w:rsid w:val="008A3019"/>
    <w:rsid w:val="008B4CC1"/>
    <w:rsid w:val="008B4E35"/>
    <w:rsid w:val="008B55CA"/>
    <w:rsid w:val="008B74FF"/>
    <w:rsid w:val="008C0C54"/>
    <w:rsid w:val="008C299F"/>
    <w:rsid w:val="008C5379"/>
    <w:rsid w:val="008C60C9"/>
    <w:rsid w:val="008C6C07"/>
    <w:rsid w:val="008C6DC1"/>
    <w:rsid w:val="008D32B9"/>
    <w:rsid w:val="008D433B"/>
    <w:rsid w:val="008D4A16"/>
    <w:rsid w:val="008E0221"/>
    <w:rsid w:val="008E0418"/>
    <w:rsid w:val="008E1747"/>
    <w:rsid w:val="008E566E"/>
    <w:rsid w:val="008E6B9F"/>
    <w:rsid w:val="008F2F01"/>
    <w:rsid w:val="008F723E"/>
    <w:rsid w:val="0090161A"/>
    <w:rsid w:val="00901EB6"/>
    <w:rsid w:val="0090266B"/>
    <w:rsid w:val="00904C62"/>
    <w:rsid w:val="00907791"/>
    <w:rsid w:val="009106F4"/>
    <w:rsid w:val="00922AC3"/>
    <w:rsid w:val="00922BA8"/>
    <w:rsid w:val="00924DAC"/>
    <w:rsid w:val="00927058"/>
    <w:rsid w:val="00927155"/>
    <w:rsid w:val="00927DF6"/>
    <w:rsid w:val="00930954"/>
    <w:rsid w:val="009309CD"/>
    <w:rsid w:val="00933022"/>
    <w:rsid w:val="00933568"/>
    <w:rsid w:val="00933D8E"/>
    <w:rsid w:val="00942750"/>
    <w:rsid w:val="0094327A"/>
    <w:rsid w:val="009447BB"/>
    <w:rsid w:val="009450CE"/>
    <w:rsid w:val="009459BB"/>
    <w:rsid w:val="00947179"/>
    <w:rsid w:val="0095164B"/>
    <w:rsid w:val="00954090"/>
    <w:rsid w:val="0095703A"/>
    <w:rsid w:val="009573E7"/>
    <w:rsid w:val="009600E8"/>
    <w:rsid w:val="00960558"/>
    <w:rsid w:val="009618B6"/>
    <w:rsid w:val="009629BB"/>
    <w:rsid w:val="00963E05"/>
    <w:rsid w:val="00964A45"/>
    <w:rsid w:val="00967044"/>
    <w:rsid w:val="00967843"/>
    <w:rsid w:val="00967D54"/>
    <w:rsid w:val="00971028"/>
    <w:rsid w:val="00973EED"/>
    <w:rsid w:val="00977473"/>
    <w:rsid w:val="0098097B"/>
    <w:rsid w:val="00982168"/>
    <w:rsid w:val="00982E5D"/>
    <w:rsid w:val="00993B84"/>
    <w:rsid w:val="00996483"/>
    <w:rsid w:val="00996F5A"/>
    <w:rsid w:val="00997EDB"/>
    <w:rsid w:val="009B041A"/>
    <w:rsid w:val="009B163E"/>
    <w:rsid w:val="009B3105"/>
    <w:rsid w:val="009B7648"/>
    <w:rsid w:val="009C37C3"/>
    <w:rsid w:val="009C3D00"/>
    <w:rsid w:val="009C640E"/>
    <w:rsid w:val="009C7C86"/>
    <w:rsid w:val="009D15E6"/>
    <w:rsid w:val="009D2FF7"/>
    <w:rsid w:val="009E02B5"/>
    <w:rsid w:val="009E0510"/>
    <w:rsid w:val="009E2559"/>
    <w:rsid w:val="009E34C6"/>
    <w:rsid w:val="009E6990"/>
    <w:rsid w:val="009E7884"/>
    <w:rsid w:val="009E788A"/>
    <w:rsid w:val="009F0E08"/>
    <w:rsid w:val="009F1339"/>
    <w:rsid w:val="009F144C"/>
    <w:rsid w:val="009F2F69"/>
    <w:rsid w:val="009F62BC"/>
    <w:rsid w:val="00A0262B"/>
    <w:rsid w:val="00A03618"/>
    <w:rsid w:val="00A0585A"/>
    <w:rsid w:val="00A06B28"/>
    <w:rsid w:val="00A10E9C"/>
    <w:rsid w:val="00A112BE"/>
    <w:rsid w:val="00A114D9"/>
    <w:rsid w:val="00A11F89"/>
    <w:rsid w:val="00A134B4"/>
    <w:rsid w:val="00A15772"/>
    <w:rsid w:val="00A1763D"/>
    <w:rsid w:val="00A17CEC"/>
    <w:rsid w:val="00A226A6"/>
    <w:rsid w:val="00A242DF"/>
    <w:rsid w:val="00A2641B"/>
    <w:rsid w:val="00A2696F"/>
    <w:rsid w:val="00A27131"/>
    <w:rsid w:val="00A27EF0"/>
    <w:rsid w:val="00A30C17"/>
    <w:rsid w:val="00A33CC6"/>
    <w:rsid w:val="00A37C9F"/>
    <w:rsid w:val="00A40A55"/>
    <w:rsid w:val="00A41E52"/>
    <w:rsid w:val="00A42361"/>
    <w:rsid w:val="00A47EEC"/>
    <w:rsid w:val="00A50B20"/>
    <w:rsid w:val="00A51390"/>
    <w:rsid w:val="00A60D13"/>
    <w:rsid w:val="00A62559"/>
    <w:rsid w:val="00A658EA"/>
    <w:rsid w:val="00A70C9B"/>
    <w:rsid w:val="00A7223D"/>
    <w:rsid w:val="00A7230F"/>
    <w:rsid w:val="00A72745"/>
    <w:rsid w:val="00A754C7"/>
    <w:rsid w:val="00A76A46"/>
    <w:rsid w:val="00A76EFC"/>
    <w:rsid w:val="00A77A41"/>
    <w:rsid w:val="00A87D50"/>
    <w:rsid w:val="00A91010"/>
    <w:rsid w:val="00A97F29"/>
    <w:rsid w:val="00AA44F5"/>
    <w:rsid w:val="00AA5AFD"/>
    <w:rsid w:val="00AA702E"/>
    <w:rsid w:val="00AA7D26"/>
    <w:rsid w:val="00AB0964"/>
    <w:rsid w:val="00AB3BD2"/>
    <w:rsid w:val="00AB5011"/>
    <w:rsid w:val="00AB592A"/>
    <w:rsid w:val="00AB7FC8"/>
    <w:rsid w:val="00AC28EE"/>
    <w:rsid w:val="00AC46AE"/>
    <w:rsid w:val="00AC7368"/>
    <w:rsid w:val="00AD16B9"/>
    <w:rsid w:val="00AD224D"/>
    <w:rsid w:val="00AD76B8"/>
    <w:rsid w:val="00AE03D8"/>
    <w:rsid w:val="00AE358D"/>
    <w:rsid w:val="00AE377D"/>
    <w:rsid w:val="00AE6D62"/>
    <w:rsid w:val="00AF0EBA"/>
    <w:rsid w:val="00AF33FE"/>
    <w:rsid w:val="00B00868"/>
    <w:rsid w:val="00B02C8A"/>
    <w:rsid w:val="00B03054"/>
    <w:rsid w:val="00B0385B"/>
    <w:rsid w:val="00B134C9"/>
    <w:rsid w:val="00B17FBD"/>
    <w:rsid w:val="00B20937"/>
    <w:rsid w:val="00B20CE1"/>
    <w:rsid w:val="00B2195D"/>
    <w:rsid w:val="00B229BC"/>
    <w:rsid w:val="00B23584"/>
    <w:rsid w:val="00B27BAE"/>
    <w:rsid w:val="00B300C2"/>
    <w:rsid w:val="00B315A6"/>
    <w:rsid w:val="00B31813"/>
    <w:rsid w:val="00B33365"/>
    <w:rsid w:val="00B337B1"/>
    <w:rsid w:val="00B3463F"/>
    <w:rsid w:val="00B37CA5"/>
    <w:rsid w:val="00B37D30"/>
    <w:rsid w:val="00B458C9"/>
    <w:rsid w:val="00B50DF6"/>
    <w:rsid w:val="00B52511"/>
    <w:rsid w:val="00B5428B"/>
    <w:rsid w:val="00B543B9"/>
    <w:rsid w:val="00B57B36"/>
    <w:rsid w:val="00B57E6F"/>
    <w:rsid w:val="00B6025C"/>
    <w:rsid w:val="00B61DB1"/>
    <w:rsid w:val="00B63C55"/>
    <w:rsid w:val="00B72854"/>
    <w:rsid w:val="00B7306D"/>
    <w:rsid w:val="00B75188"/>
    <w:rsid w:val="00B75622"/>
    <w:rsid w:val="00B80C86"/>
    <w:rsid w:val="00B82C0E"/>
    <w:rsid w:val="00B84DDA"/>
    <w:rsid w:val="00B8686D"/>
    <w:rsid w:val="00B93F69"/>
    <w:rsid w:val="00BA0012"/>
    <w:rsid w:val="00BA32B6"/>
    <w:rsid w:val="00BA370B"/>
    <w:rsid w:val="00BA7C07"/>
    <w:rsid w:val="00BB1D3C"/>
    <w:rsid w:val="00BB1DDC"/>
    <w:rsid w:val="00BB295D"/>
    <w:rsid w:val="00BB5072"/>
    <w:rsid w:val="00BB6695"/>
    <w:rsid w:val="00BC30AA"/>
    <w:rsid w:val="00BC30C9"/>
    <w:rsid w:val="00BC3401"/>
    <w:rsid w:val="00BD077D"/>
    <w:rsid w:val="00BD1503"/>
    <w:rsid w:val="00BD20B2"/>
    <w:rsid w:val="00BD50EC"/>
    <w:rsid w:val="00BD591C"/>
    <w:rsid w:val="00BE3E58"/>
    <w:rsid w:val="00BE48C7"/>
    <w:rsid w:val="00BF1946"/>
    <w:rsid w:val="00BF20AD"/>
    <w:rsid w:val="00BF27CD"/>
    <w:rsid w:val="00BF52D0"/>
    <w:rsid w:val="00BF7362"/>
    <w:rsid w:val="00BF7E70"/>
    <w:rsid w:val="00C0033B"/>
    <w:rsid w:val="00C01616"/>
    <w:rsid w:val="00C0162B"/>
    <w:rsid w:val="00C0442E"/>
    <w:rsid w:val="00C05871"/>
    <w:rsid w:val="00C059E9"/>
    <w:rsid w:val="00C068ED"/>
    <w:rsid w:val="00C1368E"/>
    <w:rsid w:val="00C153CA"/>
    <w:rsid w:val="00C22E0C"/>
    <w:rsid w:val="00C271AF"/>
    <w:rsid w:val="00C345B1"/>
    <w:rsid w:val="00C347B3"/>
    <w:rsid w:val="00C40142"/>
    <w:rsid w:val="00C41CE1"/>
    <w:rsid w:val="00C42B73"/>
    <w:rsid w:val="00C42B89"/>
    <w:rsid w:val="00C45E90"/>
    <w:rsid w:val="00C52A36"/>
    <w:rsid w:val="00C52C3C"/>
    <w:rsid w:val="00C53821"/>
    <w:rsid w:val="00C540FD"/>
    <w:rsid w:val="00C5495F"/>
    <w:rsid w:val="00C57182"/>
    <w:rsid w:val="00C57863"/>
    <w:rsid w:val="00C640AF"/>
    <w:rsid w:val="00C655FD"/>
    <w:rsid w:val="00C70A3F"/>
    <w:rsid w:val="00C740D1"/>
    <w:rsid w:val="00C7414C"/>
    <w:rsid w:val="00C75407"/>
    <w:rsid w:val="00C75500"/>
    <w:rsid w:val="00C808E6"/>
    <w:rsid w:val="00C809D4"/>
    <w:rsid w:val="00C86C06"/>
    <w:rsid w:val="00C870A8"/>
    <w:rsid w:val="00C87C28"/>
    <w:rsid w:val="00C91946"/>
    <w:rsid w:val="00C94434"/>
    <w:rsid w:val="00C95737"/>
    <w:rsid w:val="00CA0D75"/>
    <w:rsid w:val="00CA1C95"/>
    <w:rsid w:val="00CA2D31"/>
    <w:rsid w:val="00CA5A9C"/>
    <w:rsid w:val="00CA7C10"/>
    <w:rsid w:val="00CA7DEB"/>
    <w:rsid w:val="00CB73DA"/>
    <w:rsid w:val="00CC0C2D"/>
    <w:rsid w:val="00CC40BB"/>
    <w:rsid w:val="00CC4C20"/>
    <w:rsid w:val="00CD34D1"/>
    <w:rsid w:val="00CD3517"/>
    <w:rsid w:val="00CD5FE2"/>
    <w:rsid w:val="00CE005D"/>
    <w:rsid w:val="00CE17E3"/>
    <w:rsid w:val="00CE267F"/>
    <w:rsid w:val="00CE2886"/>
    <w:rsid w:val="00CE7C68"/>
    <w:rsid w:val="00CF0687"/>
    <w:rsid w:val="00CF30AD"/>
    <w:rsid w:val="00CF54AD"/>
    <w:rsid w:val="00D013DA"/>
    <w:rsid w:val="00D02B4C"/>
    <w:rsid w:val="00D040C4"/>
    <w:rsid w:val="00D0436E"/>
    <w:rsid w:val="00D0559C"/>
    <w:rsid w:val="00D172BD"/>
    <w:rsid w:val="00D17B0D"/>
    <w:rsid w:val="00D17B87"/>
    <w:rsid w:val="00D20AD1"/>
    <w:rsid w:val="00D21777"/>
    <w:rsid w:val="00D246B3"/>
    <w:rsid w:val="00D262C0"/>
    <w:rsid w:val="00D300A8"/>
    <w:rsid w:val="00D3433C"/>
    <w:rsid w:val="00D366AA"/>
    <w:rsid w:val="00D37B3D"/>
    <w:rsid w:val="00D449B7"/>
    <w:rsid w:val="00D463A5"/>
    <w:rsid w:val="00D46B7E"/>
    <w:rsid w:val="00D50237"/>
    <w:rsid w:val="00D55A46"/>
    <w:rsid w:val="00D55E58"/>
    <w:rsid w:val="00D57C84"/>
    <w:rsid w:val="00D6057D"/>
    <w:rsid w:val="00D62D8B"/>
    <w:rsid w:val="00D6318A"/>
    <w:rsid w:val="00D6467D"/>
    <w:rsid w:val="00D66634"/>
    <w:rsid w:val="00D66BB2"/>
    <w:rsid w:val="00D67810"/>
    <w:rsid w:val="00D71640"/>
    <w:rsid w:val="00D74557"/>
    <w:rsid w:val="00D75F92"/>
    <w:rsid w:val="00D8213F"/>
    <w:rsid w:val="00D823FB"/>
    <w:rsid w:val="00D836C5"/>
    <w:rsid w:val="00D84576"/>
    <w:rsid w:val="00D8790E"/>
    <w:rsid w:val="00D912E1"/>
    <w:rsid w:val="00D93E4B"/>
    <w:rsid w:val="00D95CD6"/>
    <w:rsid w:val="00D96C76"/>
    <w:rsid w:val="00D974B4"/>
    <w:rsid w:val="00DA1399"/>
    <w:rsid w:val="00DA24C6"/>
    <w:rsid w:val="00DA3F0C"/>
    <w:rsid w:val="00DA4D7B"/>
    <w:rsid w:val="00DA4EF3"/>
    <w:rsid w:val="00DA50ED"/>
    <w:rsid w:val="00DA7E47"/>
    <w:rsid w:val="00DB23FF"/>
    <w:rsid w:val="00DB3EB0"/>
    <w:rsid w:val="00DB5F35"/>
    <w:rsid w:val="00DB76A4"/>
    <w:rsid w:val="00DC00B3"/>
    <w:rsid w:val="00DC2B44"/>
    <w:rsid w:val="00DC2C97"/>
    <w:rsid w:val="00DC3844"/>
    <w:rsid w:val="00DC52F8"/>
    <w:rsid w:val="00DC58B5"/>
    <w:rsid w:val="00DD0323"/>
    <w:rsid w:val="00DD1EDC"/>
    <w:rsid w:val="00DD271C"/>
    <w:rsid w:val="00DD3B9A"/>
    <w:rsid w:val="00DE264A"/>
    <w:rsid w:val="00DE5708"/>
    <w:rsid w:val="00DF1C0A"/>
    <w:rsid w:val="00DF5072"/>
    <w:rsid w:val="00DF651B"/>
    <w:rsid w:val="00E002B1"/>
    <w:rsid w:val="00E00783"/>
    <w:rsid w:val="00E02D18"/>
    <w:rsid w:val="00E041E7"/>
    <w:rsid w:val="00E05046"/>
    <w:rsid w:val="00E1572A"/>
    <w:rsid w:val="00E21944"/>
    <w:rsid w:val="00E22D99"/>
    <w:rsid w:val="00E23131"/>
    <w:rsid w:val="00E2383C"/>
    <w:rsid w:val="00E23CA1"/>
    <w:rsid w:val="00E27931"/>
    <w:rsid w:val="00E27F4B"/>
    <w:rsid w:val="00E31B88"/>
    <w:rsid w:val="00E31D94"/>
    <w:rsid w:val="00E40233"/>
    <w:rsid w:val="00E409A8"/>
    <w:rsid w:val="00E418A7"/>
    <w:rsid w:val="00E4240B"/>
    <w:rsid w:val="00E42423"/>
    <w:rsid w:val="00E47ED3"/>
    <w:rsid w:val="00E50C12"/>
    <w:rsid w:val="00E51ACF"/>
    <w:rsid w:val="00E65B91"/>
    <w:rsid w:val="00E6711B"/>
    <w:rsid w:val="00E71D17"/>
    <w:rsid w:val="00E7209D"/>
    <w:rsid w:val="00E72262"/>
    <w:rsid w:val="00E72EAD"/>
    <w:rsid w:val="00E735B0"/>
    <w:rsid w:val="00E74A3C"/>
    <w:rsid w:val="00E755E1"/>
    <w:rsid w:val="00E77223"/>
    <w:rsid w:val="00E773ED"/>
    <w:rsid w:val="00E806D5"/>
    <w:rsid w:val="00E8144C"/>
    <w:rsid w:val="00E8528B"/>
    <w:rsid w:val="00E85B94"/>
    <w:rsid w:val="00E875C6"/>
    <w:rsid w:val="00E921F8"/>
    <w:rsid w:val="00E94254"/>
    <w:rsid w:val="00E95D34"/>
    <w:rsid w:val="00E978D0"/>
    <w:rsid w:val="00EA0487"/>
    <w:rsid w:val="00EA0FD9"/>
    <w:rsid w:val="00EA2CF1"/>
    <w:rsid w:val="00EA3CC3"/>
    <w:rsid w:val="00EA4613"/>
    <w:rsid w:val="00EA7F91"/>
    <w:rsid w:val="00EB05F3"/>
    <w:rsid w:val="00EB1523"/>
    <w:rsid w:val="00EB4280"/>
    <w:rsid w:val="00EC08A9"/>
    <w:rsid w:val="00EC09B9"/>
    <w:rsid w:val="00EC0E49"/>
    <w:rsid w:val="00EC101F"/>
    <w:rsid w:val="00EC1212"/>
    <w:rsid w:val="00EC1D9F"/>
    <w:rsid w:val="00EC1E01"/>
    <w:rsid w:val="00EC2547"/>
    <w:rsid w:val="00EC3E0D"/>
    <w:rsid w:val="00ED1970"/>
    <w:rsid w:val="00ED5884"/>
    <w:rsid w:val="00ED7C34"/>
    <w:rsid w:val="00EE0131"/>
    <w:rsid w:val="00EE17B0"/>
    <w:rsid w:val="00EE39CB"/>
    <w:rsid w:val="00EE476C"/>
    <w:rsid w:val="00EE6D6A"/>
    <w:rsid w:val="00EE71FB"/>
    <w:rsid w:val="00EF06D9"/>
    <w:rsid w:val="00EF1257"/>
    <w:rsid w:val="00EF1E39"/>
    <w:rsid w:val="00EF7C3E"/>
    <w:rsid w:val="00F1037F"/>
    <w:rsid w:val="00F20CFB"/>
    <w:rsid w:val="00F2355F"/>
    <w:rsid w:val="00F2600A"/>
    <w:rsid w:val="00F3049E"/>
    <w:rsid w:val="00F30C64"/>
    <w:rsid w:val="00F32336"/>
    <w:rsid w:val="00F326BC"/>
    <w:rsid w:val="00F32BA2"/>
    <w:rsid w:val="00F32CDB"/>
    <w:rsid w:val="00F476E7"/>
    <w:rsid w:val="00F4787B"/>
    <w:rsid w:val="00F50B81"/>
    <w:rsid w:val="00F5272D"/>
    <w:rsid w:val="00F565FE"/>
    <w:rsid w:val="00F57B6A"/>
    <w:rsid w:val="00F603A8"/>
    <w:rsid w:val="00F63A70"/>
    <w:rsid w:val="00F63D8C"/>
    <w:rsid w:val="00F67401"/>
    <w:rsid w:val="00F7209E"/>
    <w:rsid w:val="00F7534E"/>
    <w:rsid w:val="00F80828"/>
    <w:rsid w:val="00F80B5B"/>
    <w:rsid w:val="00F816B7"/>
    <w:rsid w:val="00F839F6"/>
    <w:rsid w:val="00F91D0E"/>
    <w:rsid w:val="00F92918"/>
    <w:rsid w:val="00F93B57"/>
    <w:rsid w:val="00F93EDF"/>
    <w:rsid w:val="00FA17C0"/>
    <w:rsid w:val="00FA1802"/>
    <w:rsid w:val="00FA21D0"/>
    <w:rsid w:val="00FA2526"/>
    <w:rsid w:val="00FA5871"/>
    <w:rsid w:val="00FA5F5F"/>
    <w:rsid w:val="00FB31B6"/>
    <w:rsid w:val="00FB44F2"/>
    <w:rsid w:val="00FB4854"/>
    <w:rsid w:val="00FB730C"/>
    <w:rsid w:val="00FC1989"/>
    <w:rsid w:val="00FC214F"/>
    <w:rsid w:val="00FC2695"/>
    <w:rsid w:val="00FC3E03"/>
    <w:rsid w:val="00FC3FC1"/>
    <w:rsid w:val="00FC5E40"/>
    <w:rsid w:val="00FD0D39"/>
    <w:rsid w:val="00FD12D0"/>
    <w:rsid w:val="00FD296D"/>
    <w:rsid w:val="00FE55A2"/>
    <w:rsid w:val="00FE5E67"/>
    <w:rsid w:val="00FF2EAA"/>
    <w:rsid w:val="00FF7A32"/>
    <w:rsid w:val="20B1206A"/>
    <w:rsid w:val="7805E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0CDFEF"/>
  <w14:defaultImageDpi w14:val="330"/>
  <w15:docId w15:val="{08FD93EE-5018-44DD-9747-84E91346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A7449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rsid w:val="00280FA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2B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72BD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6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3019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C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037C793AF8641AD5887B608C535BC" ma:contentTypeVersion="15" ma:contentTypeDescription="Create a new document." ma:contentTypeScope="" ma:versionID="cabcead297664382a7da1600e2d57fe4">
  <xsd:schema xmlns:xsd="http://www.w3.org/2001/XMLSchema" xmlns:xs="http://www.w3.org/2001/XMLSchema" xmlns:p="http://schemas.microsoft.com/office/2006/metadata/properties" xmlns:ns3="c0485fdc-4386-4abf-92e8-01cffdfdc47b" xmlns:ns4="e9b0bac9-a1f2-4fcf-91d4-8be7934ce34f" targetNamespace="http://schemas.microsoft.com/office/2006/metadata/properties" ma:root="true" ma:fieldsID="528587ef255f61e017a7c5eea90eeecc" ns3:_="" ns4:_="">
    <xsd:import namespace="c0485fdc-4386-4abf-92e8-01cffdfdc47b"/>
    <xsd:import namespace="e9b0bac9-a1f2-4fcf-91d4-8be7934ce3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85fdc-4386-4abf-92e8-01cffdfdc4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0bac9-a1f2-4fcf-91d4-8be7934ce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b0bac9-a1f2-4fcf-91d4-8be7934ce3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1E32-C14A-4FF0-B7B7-535F048B2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85fdc-4386-4abf-92e8-01cffdfdc47b"/>
    <ds:schemaRef ds:uri="e9b0bac9-a1f2-4fcf-91d4-8be7934ce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0C756-1A26-4845-80CF-F214C2F47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486E4-E678-432E-B4D2-943FB40F7FF2}">
  <ds:schemaRefs>
    <ds:schemaRef ds:uri="http://schemas.microsoft.com/office/2006/metadata/properties"/>
    <ds:schemaRef ds:uri="http://schemas.microsoft.com/office/infopath/2007/PartnerControls"/>
    <ds:schemaRef ds:uri="e9b0bac9-a1f2-4fcf-91d4-8be7934ce34f"/>
  </ds:schemaRefs>
</ds:datastoreItem>
</file>

<file path=customXml/itemProps4.xml><?xml version="1.0" encoding="utf-8"?>
<ds:datastoreItem xmlns:ds="http://schemas.openxmlformats.org/officeDocument/2006/customXml" ds:itemID="{3B026C78-A2B4-4C69-B8FE-BB642734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3112</Words>
  <Characters>17743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Davide Camplese</cp:lastModifiedBy>
  <cp:revision>3</cp:revision>
  <cp:lastPrinted>2023-02-13T16:52:00Z</cp:lastPrinted>
  <dcterms:created xsi:type="dcterms:W3CDTF">2023-03-30T06:55:00Z</dcterms:created>
  <dcterms:modified xsi:type="dcterms:W3CDTF">2023-03-30T06:56:00Z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ContentTypeId">
    <vt:lpwstr>0x01010040A037C793AF8641AD5887B608C535BC</vt:lpwstr>
  </property>
  <property fmtid="{D5CDD505-2E9C-101B-9397-08002B2CF9AE}" pid="5" name="Mendeley Document_1">
    <vt:lpwstr>True</vt:lpwstr>
  </property>
  <property fmtid="{D5CDD505-2E9C-101B-9397-08002B2CF9AE}" pid="6" name="Mendeley Unique User Id_1">
    <vt:lpwstr>81e0e1ad-e1d8-3270-a00e-36db9d91f90c</vt:lpwstr>
  </property>
  <property fmtid="{D5CDD505-2E9C-101B-9397-08002B2CF9AE}" pid="7" name="Mendeley Citation Style_1">
    <vt:lpwstr>http://www.zotero.org/styles/apa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11th edition - Harvard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9th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</Properties>
</file>