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C13E6C">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C13E6C">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C13E6C">
        <w:trPr>
          <w:trHeight w:val="68"/>
          <w:jc w:val="center"/>
        </w:trPr>
        <w:tc>
          <w:tcPr>
            <w:tcW w:w="8782"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02E376BA" w:rsidR="00E978D0" w:rsidRPr="00B57B36" w:rsidRDefault="00C13E6C" w:rsidP="00E978D0">
      <w:pPr>
        <w:pStyle w:val="CETTitle"/>
      </w:pPr>
      <w:r w:rsidRPr="00C13E6C">
        <w:t>Recovery of lithium from brine by phosphate precipitation</w:t>
      </w:r>
    </w:p>
    <w:p w14:paraId="0488FED2" w14:textId="148E72D4" w:rsidR="00B57E6F" w:rsidRPr="001A788D" w:rsidRDefault="00C13E6C" w:rsidP="00B57E6F">
      <w:pPr>
        <w:pStyle w:val="CETAuthors"/>
        <w:rPr>
          <w:lang w:val="it-IT"/>
        </w:rPr>
      </w:pPr>
      <w:r w:rsidRPr="001A788D">
        <w:rPr>
          <w:lang w:val="it-IT"/>
        </w:rPr>
        <w:t>Federica Annunzi</w:t>
      </w:r>
      <w:r w:rsidR="00BD03E9" w:rsidRPr="000F019C">
        <w:rPr>
          <w:vertAlign w:val="superscript"/>
          <w:lang w:val="it-IT"/>
        </w:rPr>
        <w:t>a,</w:t>
      </w:r>
      <w:r w:rsidR="00BD03E9" w:rsidRPr="000F019C">
        <w:rPr>
          <w:lang w:val="it-IT"/>
        </w:rPr>
        <w:t>*</w:t>
      </w:r>
      <w:r w:rsidRPr="001A788D">
        <w:rPr>
          <w:lang w:val="it-IT"/>
        </w:rPr>
        <w:t>, Cristiano Nicolella</w:t>
      </w:r>
      <w:r w:rsidR="001A788D">
        <w:rPr>
          <w:vertAlign w:val="superscript"/>
          <w:lang w:val="it-IT"/>
        </w:rPr>
        <w:t>b</w:t>
      </w:r>
      <w:r w:rsidRPr="001A788D">
        <w:rPr>
          <w:lang w:val="it-IT"/>
        </w:rPr>
        <w:t xml:space="preserve">, </w:t>
      </w:r>
      <w:r w:rsidR="001A788D">
        <w:rPr>
          <w:lang w:val="it-IT"/>
        </w:rPr>
        <w:t xml:space="preserve">Rudi S. </w:t>
      </w:r>
      <w:r w:rsidR="001A788D" w:rsidRPr="001A788D">
        <w:rPr>
          <w:lang w:val="it-IT"/>
        </w:rPr>
        <w:t>Stella</w:t>
      </w:r>
      <w:r w:rsidR="001A788D">
        <w:rPr>
          <w:vertAlign w:val="superscript"/>
          <w:lang w:val="it-IT"/>
        </w:rPr>
        <w:t>c</w:t>
      </w:r>
      <w:r w:rsidR="001A788D" w:rsidRPr="001A788D">
        <w:rPr>
          <w:lang w:val="it-IT"/>
        </w:rPr>
        <w:t xml:space="preserve">, </w:t>
      </w:r>
      <w:r w:rsidR="001A788D">
        <w:rPr>
          <w:lang w:val="it-IT"/>
        </w:rPr>
        <w:t>Maurizio Lenzi</w:t>
      </w:r>
      <w:r w:rsidR="001A788D">
        <w:rPr>
          <w:vertAlign w:val="superscript"/>
          <w:lang w:val="it-IT"/>
        </w:rPr>
        <w:t>c</w:t>
      </w:r>
      <w:r w:rsidR="001A788D" w:rsidRPr="001A788D">
        <w:rPr>
          <w:lang w:val="it-IT"/>
        </w:rPr>
        <w:t xml:space="preserve">, </w:t>
      </w:r>
      <w:r w:rsidR="001A788D">
        <w:rPr>
          <w:lang w:val="it-IT"/>
        </w:rPr>
        <w:t>Francesca Signorini</w:t>
      </w:r>
      <w:r w:rsidR="001A788D" w:rsidRPr="001A788D">
        <w:rPr>
          <w:vertAlign w:val="superscript"/>
          <w:lang w:val="it-IT"/>
        </w:rPr>
        <w:t>a</w:t>
      </w:r>
    </w:p>
    <w:p w14:paraId="6B2D21B3" w14:textId="051B5E05" w:rsidR="00B57E6F" w:rsidRPr="001A788D" w:rsidRDefault="00B57E6F" w:rsidP="00B57E6F">
      <w:pPr>
        <w:pStyle w:val="CETAddress"/>
        <w:rPr>
          <w:lang w:val="it-IT"/>
        </w:rPr>
      </w:pPr>
      <w:r w:rsidRPr="001A788D">
        <w:rPr>
          <w:vertAlign w:val="superscript"/>
          <w:lang w:val="it-IT"/>
        </w:rPr>
        <w:t>a</w:t>
      </w:r>
      <w:r w:rsidR="00BD03E9">
        <w:rPr>
          <w:vertAlign w:val="superscript"/>
          <w:lang w:val="it-IT"/>
        </w:rPr>
        <w:t xml:space="preserve"> </w:t>
      </w:r>
      <w:r w:rsidR="001A788D" w:rsidRPr="001A788D">
        <w:rPr>
          <w:lang w:val="it-IT"/>
        </w:rPr>
        <w:t>Consorzio Polo Tecnologico Ma</w:t>
      </w:r>
      <w:r w:rsidR="001A788D">
        <w:rPr>
          <w:lang w:val="it-IT"/>
        </w:rPr>
        <w:t>gona, Cecina (LI)</w:t>
      </w:r>
    </w:p>
    <w:p w14:paraId="3D72B0B0" w14:textId="05F294A7" w:rsidR="00B57E6F" w:rsidRDefault="00B57E6F" w:rsidP="00B57E6F">
      <w:pPr>
        <w:pStyle w:val="CETAddress"/>
        <w:rPr>
          <w:lang w:val="it-IT"/>
        </w:rPr>
      </w:pPr>
      <w:r w:rsidRPr="001A788D">
        <w:rPr>
          <w:vertAlign w:val="superscript"/>
          <w:lang w:val="it-IT"/>
        </w:rPr>
        <w:t>b</w:t>
      </w:r>
      <w:r w:rsidR="00BD03E9">
        <w:rPr>
          <w:vertAlign w:val="superscript"/>
          <w:lang w:val="it-IT"/>
        </w:rPr>
        <w:t xml:space="preserve"> </w:t>
      </w:r>
      <w:r w:rsidR="001A788D" w:rsidRPr="001A788D">
        <w:rPr>
          <w:lang w:val="it-IT"/>
        </w:rPr>
        <w:t>UNIPI Dip. Ingegneria Civile e industriale</w:t>
      </w:r>
      <w:r w:rsidR="001A788D">
        <w:rPr>
          <w:lang w:val="it-IT"/>
        </w:rPr>
        <w:t>, Pisa</w:t>
      </w:r>
    </w:p>
    <w:p w14:paraId="30B7EB8B" w14:textId="0C02657F" w:rsidR="001A788D" w:rsidRPr="001A788D" w:rsidRDefault="001A788D" w:rsidP="00B57E6F">
      <w:pPr>
        <w:pStyle w:val="CETAddress"/>
        <w:rPr>
          <w:lang w:val="it-IT"/>
        </w:rPr>
      </w:pPr>
      <w:r w:rsidRPr="001A788D">
        <w:rPr>
          <w:vertAlign w:val="superscript"/>
          <w:lang w:val="it-IT"/>
        </w:rPr>
        <w:t>c</w:t>
      </w:r>
      <w:r w:rsidR="00BD03E9">
        <w:rPr>
          <w:vertAlign w:val="superscript"/>
          <w:lang w:val="it-IT"/>
        </w:rPr>
        <w:t xml:space="preserve"> </w:t>
      </w:r>
      <w:r w:rsidRPr="001A788D">
        <w:rPr>
          <w:lang w:val="it-IT"/>
        </w:rPr>
        <w:t>Locatelli Saline di Volterra S.r.l.</w:t>
      </w:r>
      <w:r>
        <w:rPr>
          <w:lang w:val="it-IT"/>
        </w:rPr>
        <w:t>, Saline di Volterra (PI)</w:t>
      </w:r>
    </w:p>
    <w:p w14:paraId="73F1267A" w14:textId="52FC790D" w:rsidR="00B57E6F" w:rsidRPr="00B57B36" w:rsidRDefault="00BD03E9" w:rsidP="00B57E6F">
      <w:pPr>
        <w:pStyle w:val="CETemail"/>
      </w:pPr>
      <w:r>
        <w:rPr>
          <w:lang w:val="en-US"/>
        </w:rPr>
        <w:t xml:space="preserve">* </w:t>
      </w:r>
      <w:r w:rsidR="001A788D">
        <w:t>f.annunzi</w:t>
      </w:r>
      <w:r w:rsidR="00B57E6F" w:rsidRPr="00B57B36">
        <w:t>@</w:t>
      </w:r>
      <w:r w:rsidR="001A788D">
        <w:t>polomagona.it</w:t>
      </w:r>
    </w:p>
    <w:p w14:paraId="37A61FCE" w14:textId="02E00F98" w:rsidR="00DA24C6" w:rsidRPr="00A51507" w:rsidRDefault="009A746E" w:rsidP="00A51507">
      <w:pPr>
        <w:pStyle w:val="CETBodytext"/>
        <w:rPr>
          <w:lang w:val="en-GB"/>
        </w:rPr>
      </w:pPr>
      <w:r w:rsidRPr="00A51507">
        <w:rPr>
          <w:lang w:val="en-GB"/>
        </w:rPr>
        <w:t>Lithium is an alkali metal that offers excellent thermal and electrical conductivity. Its many compounds are abundantly used in the manufacturing of a wide variety of products, including: glass, ceramics, batteries, and refrigerants.</w:t>
      </w:r>
      <w:r w:rsidR="00956C6B">
        <w:rPr>
          <w:lang w:val="en-GB"/>
        </w:rPr>
        <w:t xml:space="preserve"> </w:t>
      </w:r>
      <w:r w:rsidRPr="00A51507">
        <w:rPr>
          <w:lang w:val="en-GB"/>
        </w:rPr>
        <w:t>Locatelli Saline di Volterra has shown interest in the process of recovering lithium from brine. They decided to collaborate with the CPTM research cent</w:t>
      </w:r>
      <w:r w:rsidR="000B1063" w:rsidRPr="00A51507">
        <w:rPr>
          <w:lang w:val="en-GB"/>
        </w:rPr>
        <w:t>re</w:t>
      </w:r>
      <w:r w:rsidRPr="00A51507">
        <w:rPr>
          <w:lang w:val="en-GB"/>
        </w:rPr>
        <w:t xml:space="preserve"> to identify a chemical process as selective as possible for extracting lithium from brines. In particular, the main goal is to recover lithium from the mother </w:t>
      </w:r>
      <w:r w:rsidR="00204798">
        <w:rPr>
          <w:lang w:val="en-GB"/>
        </w:rPr>
        <w:t>liquors</w:t>
      </w:r>
      <w:r w:rsidRPr="00A51507">
        <w:rPr>
          <w:lang w:val="en-GB"/>
        </w:rPr>
        <w:t xml:space="preserve"> obtained from the sodium salt production process (i.e. from a process effluent), fully in line with the dictates of the circular economy.</w:t>
      </w:r>
      <w:r w:rsidR="00591B1F">
        <w:rPr>
          <w:lang w:val="en-GB"/>
        </w:rPr>
        <w:t xml:space="preserve"> </w:t>
      </w:r>
      <w:r w:rsidRPr="00A51507">
        <w:rPr>
          <w:lang w:val="en-GB"/>
        </w:rPr>
        <w:t>The recovery process mentioned above is difficult due to the low concentration of lithium compared to the other elements. Recovering lithium in low concentration solutions is possible, however, by taking advantage of the low solubility of some of its salts.</w:t>
      </w:r>
      <w:r w:rsidR="00591B1F">
        <w:rPr>
          <w:lang w:val="en-GB"/>
        </w:rPr>
        <w:t xml:space="preserve"> </w:t>
      </w:r>
      <w:r w:rsidRPr="00A51507">
        <w:rPr>
          <w:lang w:val="en-GB"/>
        </w:rPr>
        <w:t xml:space="preserve">Precipitation of lithium phosphate from salt solution, with initial lithium concentrations around 200 ppm, yielded excellent results, showing a maximum lithium recovery yield of 84 </w:t>
      </w:r>
      <w:r w:rsidR="00C04376">
        <w:rPr>
          <w:lang w:val="en-GB"/>
        </w:rPr>
        <w:t>%</w:t>
      </w:r>
      <w:r w:rsidRPr="00A51507">
        <w:rPr>
          <w:lang w:val="en-GB"/>
        </w:rPr>
        <w:t>. These results can be achieved operating at a temperature close to the boiling point of the solution (108</w:t>
      </w:r>
      <w:r w:rsidR="00C04376">
        <w:rPr>
          <w:lang w:val="en-GB"/>
        </w:rPr>
        <w:t xml:space="preserve"> </w:t>
      </w:r>
      <w:r w:rsidRPr="00A51507">
        <w:rPr>
          <w:lang w:val="en-GB"/>
        </w:rPr>
        <w:t>°C), for a reaction time of 2 h and a PO</w:t>
      </w:r>
      <w:r w:rsidRPr="00C04376">
        <w:rPr>
          <w:vertAlign w:val="subscript"/>
          <w:lang w:val="en-GB"/>
        </w:rPr>
        <w:t>4</w:t>
      </w:r>
      <w:r w:rsidRPr="00A51507">
        <w:rPr>
          <w:lang w:val="en-GB"/>
        </w:rPr>
        <w:t>/Li molar ratio of 0.91.</w:t>
      </w:r>
    </w:p>
    <w:p w14:paraId="476B2F2E" w14:textId="77777777" w:rsidR="00600535" w:rsidRPr="00B57B36" w:rsidRDefault="00600535" w:rsidP="00600535">
      <w:pPr>
        <w:pStyle w:val="CETHeading1"/>
        <w:rPr>
          <w:lang w:val="en-GB"/>
        </w:rPr>
      </w:pPr>
      <w:r w:rsidRPr="00B57B36">
        <w:rPr>
          <w:lang w:val="en-GB"/>
        </w:rPr>
        <w:t>Introduction</w:t>
      </w:r>
    </w:p>
    <w:p w14:paraId="5FCB5B1F" w14:textId="77777777" w:rsidR="00DD6B4A" w:rsidRDefault="00971039" w:rsidP="00971039">
      <w:pPr>
        <w:pStyle w:val="CETBodytext"/>
      </w:pPr>
      <w:r w:rsidRPr="00971039">
        <w:t>Lithium, symbol Li, is known to be the lightest metallic element. This metal and its many compounds, are abundantly used in the manufacture of glass, ceramics, batteries, refrigerants, chemical reagents, and much more leading to intensive exploitation of lithium ore pits known to date. This is causing a gradual depletion of high-grade deposits in mineral form, prompting increasing investment in the recovery of the element in its dissolved metal form in underground brines, salt lake waters, marine waters, geothermal waters as well as in those of oil fields (</w:t>
      </w:r>
      <w:proofErr w:type="spellStart"/>
      <w:r w:rsidRPr="00971039">
        <w:t>Murodjon</w:t>
      </w:r>
      <w:proofErr w:type="spellEnd"/>
      <w:r w:rsidRPr="00971039">
        <w:t xml:space="preserve"> et al., 2020). </w:t>
      </w:r>
    </w:p>
    <w:p w14:paraId="00F141B6" w14:textId="4E9FB40E" w:rsidR="00971039" w:rsidRPr="00971039" w:rsidRDefault="00971039" w:rsidP="00971039">
      <w:pPr>
        <w:pStyle w:val="CETBodytext"/>
      </w:pPr>
      <w:r w:rsidRPr="00971039">
        <w:t>Of the approximately 14 million tons constituting the world's reserves, only a small portion is contained in deposits, while 70-80</w:t>
      </w:r>
      <w:r w:rsidR="00C04376">
        <w:t xml:space="preserve"> </w:t>
      </w:r>
      <w:r w:rsidRPr="00971039">
        <w:t>% is present dissolved.</w:t>
      </w:r>
    </w:p>
    <w:p w14:paraId="46E2EFD5" w14:textId="77777777" w:rsidR="00DD6B4A" w:rsidRDefault="00971039" w:rsidP="00971039">
      <w:pPr>
        <w:pStyle w:val="CETBodytext"/>
      </w:pPr>
      <w:r w:rsidRPr="00971039">
        <w:t>The steady increase in its market demand is affecting the economic value of the element that is set to rise in the coming years (</w:t>
      </w:r>
      <w:proofErr w:type="spellStart"/>
      <w:r w:rsidRPr="00971039">
        <w:t>Narins</w:t>
      </w:r>
      <w:proofErr w:type="spellEnd"/>
      <w:r w:rsidRPr="00971039">
        <w:t xml:space="preserve">, 2017). </w:t>
      </w:r>
    </w:p>
    <w:p w14:paraId="03300F4C" w14:textId="17738C88" w:rsidR="00971039" w:rsidRPr="00971039" w:rsidRDefault="00971039" w:rsidP="00971039">
      <w:pPr>
        <w:pStyle w:val="CETBodytext"/>
      </w:pPr>
      <w:r w:rsidRPr="00971039">
        <w:t>The advent and production of electric-drive cars plays an important role in this estimate as global lithium production since 2000, targeted for use as batteries for these types of cars, has increased by about 20</w:t>
      </w:r>
      <w:r>
        <w:t xml:space="preserve"> %</w:t>
      </w:r>
      <w:r w:rsidRPr="00971039">
        <w:t xml:space="preserve"> per year, reaching 35</w:t>
      </w:r>
      <w:r>
        <w:t xml:space="preserve"> %</w:t>
      </w:r>
      <w:r w:rsidRPr="00971039">
        <w:t xml:space="preserve"> of total consumption of the element in 2015. From the commercial product production side, the most important lithium-containing compound is Li</w:t>
      </w:r>
      <w:r w:rsidRPr="00971039">
        <w:rPr>
          <w:vertAlign w:val="subscript"/>
        </w:rPr>
        <w:t>2</w:t>
      </w:r>
      <w:r w:rsidRPr="00971039">
        <w:t>CO</w:t>
      </w:r>
      <w:r w:rsidRPr="00971039">
        <w:rPr>
          <w:vertAlign w:val="subscript"/>
        </w:rPr>
        <w:t>3</w:t>
      </w:r>
      <w:r w:rsidRPr="00971039">
        <w:t xml:space="preserve">, which accounted for 46 </w:t>
      </w:r>
      <w:r>
        <w:t>%</w:t>
      </w:r>
      <w:r w:rsidRPr="00971039">
        <w:t xml:space="preserve"> of the global market in 2015 along with 19</w:t>
      </w:r>
      <w:r>
        <w:t xml:space="preserve"> % </w:t>
      </w:r>
      <w:r w:rsidRPr="00971039">
        <w:t xml:space="preserve">of </w:t>
      </w:r>
      <w:proofErr w:type="spellStart"/>
      <w:r w:rsidRPr="00971039">
        <w:t>LiOH</w:t>
      </w:r>
      <w:proofErr w:type="spellEnd"/>
      <w:r w:rsidRPr="00971039">
        <w:t>, marking two-thirds of its market (Martin et al., 2017).</w:t>
      </w:r>
    </w:p>
    <w:p w14:paraId="65C791BA" w14:textId="77777777" w:rsidR="00971039" w:rsidRPr="00971039" w:rsidRDefault="00971039" w:rsidP="00971039">
      <w:pPr>
        <w:pStyle w:val="CETBodytext"/>
      </w:pPr>
    </w:p>
    <w:p w14:paraId="09D3E732" w14:textId="32BB2742" w:rsidR="00F27885" w:rsidRPr="00971039" w:rsidRDefault="00053926" w:rsidP="00F27885">
      <w:pPr>
        <w:pStyle w:val="CETHeading1"/>
        <w:rPr>
          <w:lang w:val="it-IT"/>
        </w:rPr>
      </w:pPr>
      <w:proofErr w:type="spellStart"/>
      <w:r w:rsidRPr="00053926">
        <w:rPr>
          <w:lang w:val="it-IT"/>
        </w:rPr>
        <w:lastRenderedPageBreak/>
        <w:t>Lithium</w:t>
      </w:r>
      <w:proofErr w:type="spellEnd"/>
      <w:r w:rsidRPr="00053926">
        <w:rPr>
          <w:lang w:val="it-IT"/>
        </w:rPr>
        <w:t xml:space="preserve"> recovery from brine</w:t>
      </w:r>
    </w:p>
    <w:p w14:paraId="258A8AD7" w14:textId="4672910F" w:rsidR="00F27885" w:rsidRPr="00F27885" w:rsidRDefault="00282B59" w:rsidP="00D5609B">
      <w:pPr>
        <w:pStyle w:val="CETheadingx"/>
        <w:ind w:left="425"/>
      </w:pPr>
      <w:r w:rsidRPr="00282B59">
        <w:t>Seawater</w:t>
      </w:r>
    </w:p>
    <w:p w14:paraId="4341158A" w14:textId="3D6FD7C4" w:rsidR="00086D26" w:rsidRPr="00282B59" w:rsidRDefault="00282B59" w:rsidP="00600535">
      <w:pPr>
        <w:pStyle w:val="CETBodytext"/>
      </w:pPr>
      <w:r w:rsidRPr="00282B59">
        <w:t>One of the sources to which research is turning its attention is seawater, which at 2600 billion tons is the world's most important source of lithium (Yang et al., 2017). The main problem in using this type of source is the low concentration of the metal; its average concentrations, in fact, are in the range of 0.2 ppm in the Mediterranean Sea (Morozov, 1968), 0.22 ppm in the North Atlantic Ocean, 1.173 ppm in Japanese coastal waters of the Pacific Ocean, 0.16 ppm in Indian coastal waters, and usually hovers around 0.188 in the rest of the world (</w:t>
      </w:r>
      <w:proofErr w:type="spellStart"/>
      <w:r w:rsidRPr="00282B59">
        <w:t>Choubey</w:t>
      </w:r>
      <w:proofErr w:type="spellEnd"/>
      <w:r w:rsidRPr="00282B59">
        <w:t xml:space="preserve"> et al., 2017). Initially, the extraction of lithium from seawater was investigated mainly through two processes: precipitation with extraction on the one hand and ion exchange on the other (</w:t>
      </w:r>
      <w:proofErr w:type="spellStart"/>
      <w:r w:rsidRPr="00282B59">
        <w:t>Narins</w:t>
      </w:r>
      <w:proofErr w:type="spellEnd"/>
      <w:r w:rsidRPr="00282B59">
        <w:t>, 2017). More recently, research has expanded with liquid-liquid extraction processes (</w:t>
      </w:r>
      <w:proofErr w:type="spellStart"/>
      <w:r w:rsidRPr="00282B59">
        <w:t>Torrejos</w:t>
      </w:r>
      <w:proofErr w:type="spellEnd"/>
      <w:r w:rsidRPr="00282B59">
        <w:t xml:space="preserve"> et al., 2016), electrochemical methods (</w:t>
      </w:r>
      <w:proofErr w:type="spellStart"/>
      <w:r w:rsidRPr="00282B59">
        <w:t>Joo</w:t>
      </w:r>
      <w:proofErr w:type="spellEnd"/>
      <w:r w:rsidRPr="00282B59">
        <w:t xml:space="preserve"> et al., 2020), electrodialysis (</w:t>
      </w:r>
      <w:proofErr w:type="spellStart"/>
      <w:r w:rsidRPr="00282B59">
        <w:t>Jiab</w:t>
      </w:r>
      <w:proofErr w:type="spellEnd"/>
      <w:r w:rsidRPr="00282B59">
        <w:t xml:space="preserve"> et al., 2018), adsorption (Park et al., 2014) as well as through the use of membranes (Guo et al., 2018). Among these methods, great attention has been paid to ion exchange/adsorption systems based on lithium-selective ion sieves (</w:t>
      </w:r>
      <w:proofErr w:type="spellStart"/>
      <w:r w:rsidRPr="00282B59">
        <w:t>Chitrakar</w:t>
      </w:r>
      <w:proofErr w:type="spellEnd"/>
      <w:r w:rsidRPr="00282B59">
        <w:t xml:space="preserve"> et al., 2014).</w:t>
      </w:r>
    </w:p>
    <w:p w14:paraId="58563FCE" w14:textId="100AF52A" w:rsidR="00F27885" w:rsidRPr="00282B59" w:rsidRDefault="00282B59" w:rsidP="00282B59">
      <w:pPr>
        <w:pStyle w:val="CETheadingx"/>
        <w:ind w:left="425"/>
      </w:pPr>
      <w:r w:rsidRPr="00282B59">
        <w:t xml:space="preserve">Salt </w:t>
      </w:r>
      <w:r>
        <w:t>lake</w:t>
      </w:r>
      <w:r w:rsidRPr="00282B59">
        <w:t xml:space="preserve"> </w:t>
      </w:r>
      <w:r>
        <w:t>b</w:t>
      </w:r>
      <w:r w:rsidRPr="00282B59">
        <w:t xml:space="preserve">rine, </w:t>
      </w:r>
      <w:r>
        <w:t>u</w:t>
      </w:r>
      <w:r w:rsidRPr="00282B59">
        <w:t xml:space="preserve">nderground </w:t>
      </w:r>
      <w:r>
        <w:t>w</w:t>
      </w:r>
      <w:r w:rsidRPr="00282B59">
        <w:t xml:space="preserve">ater and </w:t>
      </w:r>
      <w:r>
        <w:t>g</w:t>
      </w:r>
      <w:r w:rsidRPr="00282B59">
        <w:t xml:space="preserve">eothermal </w:t>
      </w:r>
      <w:r>
        <w:t>w</w:t>
      </w:r>
      <w:r w:rsidRPr="00282B59">
        <w:t>ater</w:t>
      </w:r>
    </w:p>
    <w:p w14:paraId="7A5C6C0B" w14:textId="41AFED3E" w:rsidR="00117024" w:rsidRPr="00282B59" w:rsidRDefault="004C3D85" w:rsidP="00600535">
      <w:pPr>
        <w:pStyle w:val="CETBodytext"/>
      </w:pPr>
      <w:r>
        <w:t>B</w:t>
      </w:r>
      <w:r w:rsidR="00282B59" w:rsidRPr="00282B59">
        <w:t xml:space="preserve">rines </w:t>
      </w:r>
      <w:r>
        <w:t>are</w:t>
      </w:r>
      <w:r w:rsidR="00282B59" w:rsidRPr="00282B59">
        <w:t xml:space="preserve"> aqueous solutions with a high total content of salts, usually between 10 and 100 g/L (Carpenter, 1964). As with seawater, the recovery of lithium from brine is made difficult by its low concentration in comparison with the other elements present. For a general idea of the type of matrix being worked with, refer to Table 1 below (Park et al., 2020).</w:t>
      </w:r>
    </w:p>
    <w:p w14:paraId="29B1A66C" w14:textId="464B18C8" w:rsidR="000F019C" w:rsidRPr="00056AD8" w:rsidRDefault="000F019C" w:rsidP="000F019C">
      <w:pPr>
        <w:pStyle w:val="CETTabletitle"/>
        <w:rPr>
          <w:lang w:val="en-US"/>
        </w:rPr>
      </w:pPr>
      <w:r w:rsidRPr="00056AD8">
        <w:rPr>
          <w:lang w:val="en-US"/>
        </w:rPr>
        <w:t xml:space="preserve">Table 1: </w:t>
      </w:r>
      <w:r w:rsidR="00056AD8" w:rsidRPr="00056AD8">
        <w:rPr>
          <w:lang w:val="en-US"/>
        </w:rPr>
        <w:t>The compositions of representative lithium-containing brines around the world.</w:t>
      </w:r>
    </w:p>
    <w:tbl>
      <w:tblPr>
        <w:tblW w:w="878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985"/>
        <w:gridCol w:w="709"/>
        <w:gridCol w:w="761"/>
        <w:gridCol w:w="762"/>
        <w:gridCol w:w="762"/>
        <w:gridCol w:w="550"/>
        <w:gridCol w:w="850"/>
        <w:gridCol w:w="886"/>
        <w:gridCol w:w="815"/>
        <w:gridCol w:w="709"/>
      </w:tblGrid>
      <w:tr w:rsidR="004300AF" w:rsidRPr="007A3F90" w14:paraId="61B07814" w14:textId="77777777" w:rsidTr="000F0081">
        <w:tc>
          <w:tcPr>
            <w:tcW w:w="1985" w:type="dxa"/>
            <w:tcBorders>
              <w:top w:val="single" w:sz="12" w:space="0" w:color="008000"/>
              <w:bottom w:val="single" w:sz="6" w:space="0" w:color="008000"/>
            </w:tcBorders>
            <w:shd w:val="clear" w:color="auto" w:fill="FFFFFF"/>
          </w:tcPr>
          <w:p w14:paraId="1F4A56ED" w14:textId="74FF8DFE" w:rsidR="007A3F90" w:rsidRPr="007A3F90" w:rsidRDefault="007A3F90" w:rsidP="007A3F90">
            <w:pPr>
              <w:pStyle w:val="CETBodytext"/>
              <w:rPr>
                <w:rFonts w:eastAsia="Arial Unicode MS" w:cs="Arial"/>
                <w:sz w:val="14"/>
                <w:lang w:val="en-GB"/>
              </w:rPr>
            </w:pPr>
            <w:r w:rsidRPr="007A3F90">
              <w:rPr>
                <w:rFonts w:eastAsia="Arial Unicode MS" w:cs="Arial"/>
                <w:sz w:val="14"/>
                <w:lang w:val="en-GB"/>
              </w:rPr>
              <w:t xml:space="preserve">Source </w:t>
            </w:r>
          </w:p>
        </w:tc>
        <w:tc>
          <w:tcPr>
            <w:tcW w:w="709" w:type="dxa"/>
            <w:tcBorders>
              <w:top w:val="single" w:sz="12" w:space="0" w:color="008000"/>
              <w:bottom w:val="single" w:sz="6" w:space="0" w:color="008000"/>
            </w:tcBorders>
            <w:shd w:val="clear" w:color="auto" w:fill="FFFFFF"/>
          </w:tcPr>
          <w:p w14:paraId="01F585D6" w14:textId="1A055327" w:rsidR="007A3F90" w:rsidRPr="007A3F90" w:rsidRDefault="007A3F90" w:rsidP="007A3F90">
            <w:pPr>
              <w:pStyle w:val="CETBodytext"/>
              <w:rPr>
                <w:rFonts w:eastAsia="Arial Unicode MS" w:cs="Arial"/>
                <w:sz w:val="14"/>
                <w:lang w:val="en-GB"/>
              </w:rPr>
            </w:pPr>
            <w:r w:rsidRPr="007A3F90">
              <w:rPr>
                <w:rFonts w:eastAsia="Arial Unicode MS" w:cs="Arial"/>
                <w:sz w:val="14"/>
                <w:lang w:val="en-GB"/>
              </w:rPr>
              <w:t>Country</w:t>
            </w:r>
          </w:p>
        </w:tc>
        <w:tc>
          <w:tcPr>
            <w:tcW w:w="761" w:type="dxa"/>
            <w:tcBorders>
              <w:top w:val="single" w:sz="12" w:space="0" w:color="008000"/>
              <w:bottom w:val="single" w:sz="6" w:space="0" w:color="008000"/>
            </w:tcBorders>
            <w:shd w:val="clear" w:color="auto" w:fill="FFFFFF"/>
          </w:tcPr>
          <w:p w14:paraId="431C1E03" w14:textId="16021AD5" w:rsidR="007A3F90" w:rsidRPr="007A3F90" w:rsidRDefault="007A3F90" w:rsidP="007A3F90">
            <w:pPr>
              <w:pStyle w:val="CETBodytext"/>
              <w:rPr>
                <w:rFonts w:eastAsia="Arial Unicode MS" w:cs="Arial"/>
                <w:sz w:val="14"/>
                <w:lang w:val="en-GB"/>
              </w:rPr>
            </w:pPr>
            <w:r w:rsidRPr="007A3F90">
              <w:rPr>
                <w:rFonts w:eastAsia="Arial Unicode MS" w:cs="Arial"/>
                <w:sz w:val="14"/>
                <w:lang w:val="en-GB"/>
              </w:rPr>
              <w:t>Na</w:t>
            </w:r>
          </w:p>
        </w:tc>
        <w:tc>
          <w:tcPr>
            <w:tcW w:w="762" w:type="dxa"/>
            <w:tcBorders>
              <w:top w:val="single" w:sz="12" w:space="0" w:color="008000"/>
              <w:bottom w:val="single" w:sz="6" w:space="0" w:color="008000"/>
            </w:tcBorders>
            <w:shd w:val="clear" w:color="auto" w:fill="FFFFFF"/>
          </w:tcPr>
          <w:p w14:paraId="1A029008" w14:textId="084738ED" w:rsidR="007A3F90" w:rsidRPr="007A3F90" w:rsidRDefault="007A3F90" w:rsidP="007A3F90">
            <w:pPr>
              <w:pStyle w:val="CETBodytext"/>
              <w:ind w:right="-1"/>
              <w:rPr>
                <w:rFonts w:eastAsia="Arial Unicode MS" w:cs="Arial"/>
                <w:sz w:val="14"/>
                <w:szCs w:val="18"/>
                <w:lang w:val="en-GB"/>
              </w:rPr>
            </w:pPr>
            <w:r w:rsidRPr="007A3F90">
              <w:rPr>
                <w:rFonts w:eastAsia="Arial Unicode MS" w:cs="Arial"/>
                <w:sz w:val="14"/>
                <w:szCs w:val="18"/>
                <w:lang w:val="en-GB"/>
              </w:rPr>
              <w:t>K</w:t>
            </w:r>
          </w:p>
        </w:tc>
        <w:tc>
          <w:tcPr>
            <w:tcW w:w="762" w:type="dxa"/>
            <w:tcBorders>
              <w:top w:val="single" w:sz="12" w:space="0" w:color="008000"/>
              <w:bottom w:val="single" w:sz="6" w:space="0" w:color="008000"/>
            </w:tcBorders>
            <w:shd w:val="clear" w:color="auto" w:fill="FFFFFF"/>
          </w:tcPr>
          <w:p w14:paraId="78BBD8EF" w14:textId="00F6E1DD" w:rsidR="007A3F90" w:rsidRPr="007A3F90" w:rsidRDefault="007A3F90" w:rsidP="007A3F90">
            <w:pPr>
              <w:pStyle w:val="CETBodytext"/>
              <w:ind w:right="-1"/>
              <w:rPr>
                <w:rFonts w:eastAsia="Arial Unicode MS" w:cs="Arial"/>
                <w:sz w:val="14"/>
                <w:szCs w:val="18"/>
                <w:lang w:val="en-GB"/>
              </w:rPr>
            </w:pPr>
            <w:r>
              <w:rPr>
                <w:rFonts w:eastAsia="Arial Unicode MS" w:cs="Arial"/>
                <w:sz w:val="14"/>
                <w:szCs w:val="18"/>
                <w:lang w:val="en-GB"/>
              </w:rPr>
              <w:t>B</w:t>
            </w:r>
          </w:p>
        </w:tc>
        <w:tc>
          <w:tcPr>
            <w:tcW w:w="550" w:type="dxa"/>
            <w:tcBorders>
              <w:top w:val="single" w:sz="12" w:space="0" w:color="008000"/>
              <w:bottom w:val="single" w:sz="6" w:space="0" w:color="008000"/>
            </w:tcBorders>
            <w:shd w:val="clear" w:color="auto" w:fill="FFFFFF"/>
          </w:tcPr>
          <w:p w14:paraId="6F5C3FF8" w14:textId="29EBA17E" w:rsidR="007A3F90" w:rsidRPr="007A3F90" w:rsidRDefault="007A3F90" w:rsidP="007A3F90">
            <w:pPr>
              <w:pStyle w:val="CETBodytext"/>
              <w:ind w:right="-1"/>
              <w:rPr>
                <w:rFonts w:eastAsia="Arial Unicode MS" w:cs="Arial"/>
                <w:sz w:val="14"/>
                <w:szCs w:val="18"/>
                <w:lang w:val="en-GB"/>
              </w:rPr>
            </w:pPr>
            <w:r>
              <w:rPr>
                <w:rFonts w:eastAsia="Arial Unicode MS" w:cs="Arial"/>
                <w:sz w:val="14"/>
                <w:szCs w:val="18"/>
                <w:lang w:val="en-GB"/>
              </w:rPr>
              <w:t>Li</w:t>
            </w:r>
          </w:p>
        </w:tc>
        <w:tc>
          <w:tcPr>
            <w:tcW w:w="850" w:type="dxa"/>
            <w:tcBorders>
              <w:top w:val="single" w:sz="12" w:space="0" w:color="008000"/>
              <w:bottom w:val="single" w:sz="6" w:space="0" w:color="008000"/>
            </w:tcBorders>
            <w:shd w:val="clear" w:color="auto" w:fill="FFFFFF"/>
          </w:tcPr>
          <w:p w14:paraId="410F0EB8" w14:textId="72AF3572" w:rsidR="007A3F90" w:rsidRPr="007A3F90" w:rsidRDefault="007A3F90" w:rsidP="007A3F90">
            <w:pPr>
              <w:pStyle w:val="CETBodytext"/>
              <w:ind w:right="-1"/>
              <w:rPr>
                <w:rFonts w:eastAsia="Arial Unicode MS" w:cs="Arial"/>
                <w:sz w:val="14"/>
                <w:szCs w:val="18"/>
                <w:lang w:val="en-GB"/>
              </w:rPr>
            </w:pPr>
            <w:r>
              <w:rPr>
                <w:rFonts w:eastAsia="Arial Unicode MS" w:cs="Arial"/>
                <w:sz w:val="14"/>
                <w:szCs w:val="18"/>
                <w:lang w:val="en-GB"/>
              </w:rPr>
              <w:t>Mg</w:t>
            </w:r>
          </w:p>
        </w:tc>
        <w:tc>
          <w:tcPr>
            <w:tcW w:w="886" w:type="dxa"/>
            <w:tcBorders>
              <w:top w:val="single" w:sz="12" w:space="0" w:color="008000"/>
              <w:bottom w:val="single" w:sz="6" w:space="0" w:color="008000"/>
            </w:tcBorders>
            <w:shd w:val="clear" w:color="auto" w:fill="FFFFFF"/>
          </w:tcPr>
          <w:p w14:paraId="28B82692" w14:textId="50905CBD" w:rsidR="007A3F90" w:rsidRPr="007A3F90" w:rsidRDefault="007A3F90" w:rsidP="007A3F90">
            <w:pPr>
              <w:pStyle w:val="CETBodytext"/>
              <w:ind w:right="-1"/>
              <w:rPr>
                <w:rFonts w:eastAsia="Arial Unicode MS" w:cs="Arial"/>
                <w:sz w:val="14"/>
                <w:szCs w:val="18"/>
                <w:lang w:val="en-GB"/>
              </w:rPr>
            </w:pPr>
            <w:r>
              <w:rPr>
                <w:rFonts w:eastAsia="Arial Unicode MS" w:cs="Arial"/>
                <w:sz w:val="14"/>
                <w:szCs w:val="18"/>
                <w:lang w:val="en-GB"/>
              </w:rPr>
              <w:t>Ca</w:t>
            </w:r>
          </w:p>
        </w:tc>
        <w:tc>
          <w:tcPr>
            <w:tcW w:w="815" w:type="dxa"/>
            <w:tcBorders>
              <w:top w:val="single" w:sz="12" w:space="0" w:color="008000"/>
              <w:bottom w:val="single" w:sz="6" w:space="0" w:color="008000"/>
            </w:tcBorders>
            <w:shd w:val="clear" w:color="auto" w:fill="FFFFFF"/>
          </w:tcPr>
          <w:p w14:paraId="6A6891F0" w14:textId="128A4E04" w:rsidR="007A3F90" w:rsidRPr="007A3F90" w:rsidRDefault="007A3F90" w:rsidP="007A3F90">
            <w:pPr>
              <w:pStyle w:val="CETBodytext"/>
              <w:ind w:right="-1"/>
              <w:rPr>
                <w:rFonts w:eastAsia="Arial Unicode MS" w:cs="Arial"/>
                <w:sz w:val="14"/>
                <w:szCs w:val="18"/>
                <w:lang w:val="en-GB"/>
              </w:rPr>
            </w:pPr>
            <w:r>
              <w:rPr>
                <w:rFonts w:eastAsia="Arial Unicode MS" w:cs="Arial"/>
                <w:sz w:val="14"/>
                <w:szCs w:val="18"/>
                <w:lang w:val="en-GB"/>
              </w:rPr>
              <w:t>Cl</w:t>
            </w:r>
          </w:p>
        </w:tc>
        <w:tc>
          <w:tcPr>
            <w:tcW w:w="709" w:type="dxa"/>
            <w:tcBorders>
              <w:top w:val="single" w:sz="12" w:space="0" w:color="008000"/>
              <w:bottom w:val="single" w:sz="6" w:space="0" w:color="008000"/>
            </w:tcBorders>
            <w:shd w:val="clear" w:color="auto" w:fill="FFFFFF"/>
          </w:tcPr>
          <w:p w14:paraId="3BAC727A" w14:textId="3FE0917E" w:rsidR="007A3F90" w:rsidRPr="007A3F90" w:rsidRDefault="007A3F90" w:rsidP="007A3F90">
            <w:pPr>
              <w:pStyle w:val="CETBodytext"/>
              <w:ind w:right="-1"/>
              <w:rPr>
                <w:rFonts w:eastAsia="Arial Unicode MS" w:cs="Arial"/>
                <w:sz w:val="14"/>
                <w:szCs w:val="18"/>
                <w:lang w:val="en-GB"/>
              </w:rPr>
            </w:pPr>
            <w:r>
              <w:rPr>
                <w:rFonts w:eastAsia="Arial Unicode MS" w:cs="Arial"/>
                <w:sz w:val="14"/>
                <w:szCs w:val="18"/>
                <w:lang w:val="en-GB"/>
              </w:rPr>
              <w:t>SO</w:t>
            </w:r>
            <w:r w:rsidRPr="007A3F90">
              <w:rPr>
                <w:rFonts w:eastAsia="Arial Unicode MS" w:cs="Arial"/>
                <w:sz w:val="14"/>
                <w:szCs w:val="18"/>
                <w:vertAlign w:val="subscript"/>
                <w:lang w:val="en-GB"/>
              </w:rPr>
              <w:t>4</w:t>
            </w:r>
          </w:p>
        </w:tc>
      </w:tr>
      <w:tr w:rsidR="004300AF" w:rsidRPr="007A3F90" w14:paraId="4B85DF01" w14:textId="77777777" w:rsidTr="000F0081">
        <w:tc>
          <w:tcPr>
            <w:tcW w:w="1985" w:type="dxa"/>
            <w:shd w:val="clear" w:color="auto" w:fill="FFFFFF"/>
          </w:tcPr>
          <w:p w14:paraId="49FB753A" w14:textId="1B86E4D0" w:rsidR="007A3F90" w:rsidRPr="007A3F90" w:rsidRDefault="007A3F90" w:rsidP="007A3F90">
            <w:pPr>
              <w:pStyle w:val="CETBodytext"/>
              <w:rPr>
                <w:rFonts w:eastAsia="Arial Unicode MS" w:cs="Arial"/>
                <w:sz w:val="14"/>
                <w:lang w:val="en-GB"/>
              </w:rPr>
            </w:pPr>
            <w:r w:rsidRPr="007A3F90">
              <w:rPr>
                <w:rFonts w:eastAsia="Arial Unicode MS" w:cs="Arial"/>
                <w:sz w:val="14"/>
                <w:lang w:val="en-GB"/>
              </w:rPr>
              <w:t>Great Salt Lake</w:t>
            </w:r>
          </w:p>
        </w:tc>
        <w:tc>
          <w:tcPr>
            <w:tcW w:w="709" w:type="dxa"/>
            <w:shd w:val="clear" w:color="auto" w:fill="FFFFFF"/>
          </w:tcPr>
          <w:p w14:paraId="4ECD035E" w14:textId="4B350EA0" w:rsidR="007A3F90" w:rsidRPr="007A3F90" w:rsidRDefault="007A3F90" w:rsidP="007A3F90">
            <w:pPr>
              <w:pStyle w:val="CETBodytext"/>
              <w:rPr>
                <w:rFonts w:eastAsia="Arial Unicode MS" w:cs="Arial"/>
                <w:sz w:val="14"/>
                <w:lang w:val="en-GB"/>
              </w:rPr>
            </w:pPr>
            <w:r w:rsidRPr="007A3F90">
              <w:rPr>
                <w:rFonts w:eastAsia="Arial Unicode MS" w:cs="Arial"/>
                <w:sz w:val="14"/>
                <w:lang w:val="en-GB"/>
              </w:rPr>
              <w:t>USA</w:t>
            </w:r>
          </w:p>
        </w:tc>
        <w:tc>
          <w:tcPr>
            <w:tcW w:w="761" w:type="dxa"/>
            <w:shd w:val="clear" w:color="auto" w:fill="FFFFFF"/>
          </w:tcPr>
          <w:p w14:paraId="2A070A10" w14:textId="2B8B62E7" w:rsidR="007A3F90" w:rsidRPr="000F0081" w:rsidRDefault="007A3F90" w:rsidP="007A3F90">
            <w:pPr>
              <w:pStyle w:val="CETBodytext"/>
              <w:rPr>
                <w:rFonts w:eastAsia="Arial Unicode MS" w:cs="Arial"/>
                <w:sz w:val="12"/>
                <w:lang w:val="en-GB"/>
              </w:rPr>
            </w:pPr>
            <w:r w:rsidRPr="000F0081">
              <w:rPr>
                <w:rFonts w:eastAsia="Arial Unicode MS" w:cs="Arial"/>
                <w:sz w:val="12"/>
                <w:lang w:val="en-GB"/>
              </w:rPr>
              <w:t>3.7 (2050)</w:t>
            </w:r>
          </w:p>
        </w:tc>
        <w:tc>
          <w:tcPr>
            <w:tcW w:w="762" w:type="dxa"/>
            <w:shd w:val="clear" w:color="auto" w:fill="FFFFFF"/>
          </w:tcPr>
          <w:p w14:paraId="1E6AB536" w14:textId="2F5F957E"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0.26 (140)</w:t>
            </w:r>
          </w:p>
        </w:tc>
        <w:tc>
          <w:tcPr>
            <w:tcW w:w="762" w:type="dxa"/>
            <w:shd w:val="clear" w:color="auto" w:fill="FFFFFF"/>
          </w:tcPr>
          <w:p w14:paraId="5A1E01CF" w14:textId="1D84BA1D"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0.007 (4)</w:t>
            </w:r>
          </w:p>
        </w:tc>
        <w:tc>
          <w:tcPr>
            <w:tcW w:w="550" w:type="dxa"/>
            <w:shd w:val="clear" w:color="auto" w:fill="FFFFFF"/>
          </w:tcPr>
          <w:p w14:paraId="7EB6A5DD" w14:textId="79E88369"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0.0018</w:t>
            </w:r>
          </w:p>
        </w:tc>
        <w:tc>
          <w:tcPr>
            <w:tcW w:w="850" w:type="dxa"/>
            <w:shd w:val="clear" w:color="auto" w:fill="FFFFFF"/>
          </w:tcPr>
          <w:p w14:paraId="400619E7" w14:textId="18211FCB"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0.5 (280)</w:t>
            </w:r>
          </w:p>
        </w:tc>
        <w:tc>
          <w:tcPr>
            <w:tcW w:w="886" w:type="dxa"/>
            <w:shd w:val="clear" w:color="auto" w:fill="FFFFFF"/>
          </w:tcPr>
          <w:p w14:paraId="6B19C447" w14:textId="41FB9B69"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0.026 (10)</w:t>
            </w:r>
          </w:p>
        </w:tc>
        <w:tc>
          <w:tcPr>
            <w:tcW w:w="815" w:type="dxa"/>
            <w:shd w:val="clear" w:color="auto" w:fill="FFFFFF"/>
          </w:tcPr>
          <w:p w14:paraId="2B46C993" w14:textId="5A2AD15D"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7 (3890)</w:t>
            </w:r>
          </w:p>
        </w:tc>
        <w:tc>
          <w:tcPr>
            <w:tcW w:w="709" w:type="dxa"/>
            <w:shd w:val="clear" w:color="auto" w:fill="FFFFFF"/>
          </w:tcPr>
          <w:p w14:paraId="568BC809" w14:textId="55C6FCAD"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0.94 (520)</w:t>
            </w:r>
          </w:p>
        </w:tc>
      </w:tr>
      <w:tr w:rsidR="004300AF" w:rsidRPr="007A3F90" w14:paraId="73B215E1" w14:textId="77777777" w:rsidTr="000F0081">
        <w:tc>
          <w:tcPr>
            <w:tcW w:w="1985" w:type="dxa"/>
            <w:shd w:val="clear" w:color="auto" w:fill="FFFFFF"/>
          </w:tcPr>
          <w:p w14:paraId="69C90C1E" w14:textId="6E2924C8" w:rsidR="007A3F90" w:rsidRPr="007A3F90" w:rsidRDefault="007A3F90" w:rsidP="007A3F90">
            <w:pPr>
              <w:pStyle w:val="CETBodytext"/>
              <w:ind w:right="-1"/>
              <w:rPr>
                <w:rFonts w:eastAsia="Arial Unicode MS" w:cs="Arial"/>
                <w:sz w:val="14"/>
                <w:szCs w:val="18"/>
                <w:lang w:val="en-GB"/>
              </w:rPr>
            </w:pPr>
            <w:r w:rsidRPr="007A3F90">
              <w:rPr>
                <w:rFonts w:eastAsia="Arial Unicode MS" w:cs="Arial"/>
                <w:sz w:val="14"/>
                <w:szCs w:val="18"/>
                <w:lang w:val="en-GB"/>
              </w:rPr>
              <w:t>Clayton Valley</w:t>
            </w:r>
          </w:p>
        </w:tc>
        <w:tc>
          <w:tcPr>
            <w:tcW w:w="709" w:type="dxa"/>
            <w:shd w:val="clear" w:color="auto" w:fill="FFFFFF"/>
          </w:tcPr>
          <w:p w14:paraId="60E2C42C" w14:textId="3E05C29F" w:rsidR="007A3F90" w:rsidRPr="007A3F90" w:rsidRDefault="007A3F90" w:rsidP="007A3F90">
            <w:pPr>
              <w:pStyle w:val="CETBodytext"/>
              <w:ind w:right="-1"/>
              <w:rPr>
                <w:rFonts w:eastAsia="Arial Unicode MS" w:cs="Arial"/>
                <w:sz w:val="14"/>
                <w:szCs w:val="18"/>
                <w:lang w:val="en-GB"/>
              </w:rPr>
            </w:pPr>
            <w:r w:rsidRPr="007A3F90">
              <w:rPr>
                <w:rFonts w:eastAsia="Arial Unicode MS" w:cs="Arial"/>
                <w:sz w:val="14"/>
                <w:szCs w:val="18"/>
                <w:lang w:val="en-GB"/>
              </w:rPr>
              <w:t>USA</w:t>
            </w:r>
          </w:p>
        </w:tc>
        <w:tc>
          <w:tcPr>
            <w:tcW w:w="761" w:type="dxa"/>
            <w:shd w:val="clear" w:color="auto" w:fill="FFFFFF"/>
          </w:tcPr>
          <w:p w14:paraId="768CADB0" w14:textId="3326C65B"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4.69 (290)</w:t>
            </w:r>
          </w:p>
        </w:tc>
        <w:tc>
          <w:tcPr>
            <w:tcW w:w="762" w:type="dxa"/>
            <w:shd w:val="clear" w:color="auto" w:fill="FFFFFF"/>
          </w:tcPr>
          <w:p w14:paraId="738A3D8F" w14:textId="7CA617C4"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0.4 (24.5)</w:t>
            </w:r>
          </w:p>
        </w:tc>
        <w:tc>
          <w:tcPr>
            <w:tcW w:w="762" w:type="dxa"/>
            <w:shd w:val="clear" w:color="auto" w:fill="FFFFFF"/>
          </w:tcPr>
          <w:p w14:paraId="27639AC7" w14:textId="1EF3DD96"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0.005</w:t>
            </w:r>
          </w:p>
        </w:tc>
        <w:tc>
          <w:tcPr>
            <w:tcW w:w="550" w:type="dxa"/>
            <w:shd w:val="clear" w:color="auto" w:fill="FFFFFF"/>
          </w:tcPr>
          <w:p w14:paraId="19689103" w14:textId="4082C56B"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0.0163</w:t>
            </w:r>
          </w:p>
        </w:tc>
        <w:tc>
          <w:tcPr>
            <w:tcW w:w="850" w:type="dxa"/>
            <w:shd w:val="clear" w:color="auto" w:fill="FFFFFF"/>
          </w:tcPr>
          <w:p w14:paraId="5B8FCF85" w14:textId="35EEF80E"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0.019 (1.2)</w:t>
            </w:r>
          </w:p>
        </w:tc>
        <w:tc>
          <w:tcPr>
            <w:tcW w:w="886" w:type="dxa"/>
            <w:shd w:val="clear" w:color="auto" w:fill="FFFFFF"/>
          </w:tcPr>
          <w:p w14:paraId="0DF033C0" w14:textId="4D69AFF1"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0.045 (2.8)</w:t>
            </w:r>
          </w:p>
        </w:tc>
        <w:tc>
          <w:tcPr>
            <w:tcW w:w="815" w:type="dxa"/>
            <w:shd w:val="clear" w:color="auto" w:fill="FFFFFF"/>
          </w:tcPr>
          <w:p w14:paraId="5751B381" w14:textId="3A0B83E7"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7.26 (445)</w:t>
            </w:r>
          </w:p>
        </w:tc>
        <w:tc>
          <w:tcPr>
            <w:tcW w:w="709" w:type="dxa"/>
            <w:shd w:val="clear" w:color="auto" w:fill="FFFFFF"/>
          </w:tcPr>
          <w:p w14:paraId="52FDF523" w14:textId="7B171DB0"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0.34 (21)</w:t>
            </w:r>
          </w:p>
        </w:tc>
      </w:tr>
      <w:tr w:rsidR="000F0081" w:rsidRPr="007A3F90" w14:paraId="0087E032" w14:textId="77777777" w:rsidTr="000F0081">
        <w:tc>
          <w:tcPr>
            <w:tcW w:w="1985" w:type="dxa"/>
            <w:shd w:val="clear" w:color="auto" w:fill="FFFFFF"/>
          </w:tcPr>
          <w:p w14:paraId="0423B7B7" w14:textId="2C8EA964" w:rsidR="007A3F90" w:rsidRPr="007A3F90" w:rsidRDefault="007A3F90" w:rsidP="007A3F90">
            <w:pPr>
              <w:pStyle w:val="CETBodytext"/>
              <w:ind w:right="-1"/>
              <w:rPr>
                <w:rFonts w:eastAsia="Arial Unicode MS" w:cs="Arial"/>
                <w:sz w:val="14"/>
                <w:szCs w:val="18"/>
                <w:lang w:val="en-GB"/>
              </w:rPr>
            </w:pPr>
            <w:proofErr w:type="spellStart"/>
            <w:r w:rsidRPr="007A3F90">
              <w:rPr>
                <w:rFonts w:eastAsia="Arial Unicode MS" w:cs="Arial"/>
                <w:sz w:val="14"/>
                <w:szCs w:val="18"/>
                <w:lang w:val="en-GB"/>
              </w:rPr>
              <w:t>Salar</w:t>
            </w:r>
            <w:proofErr w:type="spellEnd"/>
            <w:r w:rsidRPr="007A3F90">
              <w:rPr>
                <w:rFonts w:eastAsia="Arial Unicode MS" w:cs="Arial"/>
                <w:sz w:val="14"/>
                <w:szCs w:val="18"/>
                <w:lang w:val="en-GB"/>
              </w:rPr>
              <w:t xml:space="preserve"> de Atacama</w:t>
            </w:r>
          </w:p>
        </w:tc>
        <w:tc>
          <w:tcPr>
            <w:tcW w:w="709" w:type="dxa"/>
            <w:shd w:val="clear" w:color="auto" w:fill="FFFFFF"/>
          </w:tcPr>
          <w:p w14:paraId="694BA5F8" w14:textId="7E022737" w:rsidR="007A3F90" w:rsidRPr="007A3F90" w:rsidRDefault="007A3F90" w:rsidP="007A3F90">
            <w:pPr>
              <w:pStyle w:val="CETBodytext"/>
              <w:ind w:right="-1"/>
              <w:rPr>
                <w:rFonts w:eastAsia="Arial Unicode MS" w:cs="Arial"/>
                <w:sz w:val="14"/>
                <w:szCs w:val="18"/>
                <w:lang w:val="en-GB"/>
              </w:rPr>
            </w:pPr>
            <w:r w:rsidRPr="007A3F90">
              <w:rPr>
                <w:rFonts w:eastAsia="Arial Unicode MS" w:cs="Arial"/>
                <w:sz w:val="14"/>
                <w:szCs w:val="18"/>
                <w:lang w:val="en-GB"/>
              </w:rPr>
              <w:t>Chile</w:t>
            </w:r>
          </w:p>
        </w:tc>
        <w:tc>
          <w:tcPr>
            <w:tcW w:w="761" w:type="dxa"/>
            <w:shd w:val="clear" w:color="auto" w:fill="FFFFFF"/>
          </w:tcPr>
          <w:p w14:paraId="162B07AB" w14:textId="32A8F15C"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9.1 (60)</w:t>
            </w:r>
          </w:p>
        </w:tc>
        <w:tc>
          <w:tcPr>
            <w:tcW w:w="762" w:type="dxa"/>
            <w:shd w:val="clear" w:color="auto" w:fill="FFFFFF"/>
          </w:tcPr>
          <w:p w14:paraId="0BD1E62B" w14:textId="0B234167"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2.36 (15)</w:t>
            </w:r>
          </w:p>
        </w:tc>
        <w:tc>
          <w:tcPr>
            <w:tcW w:w="762" w:type="dxa"/>
            <w:shd w:val="clear" w:color="auto" w:fill="FFFFFF"/>
          </w:tcPr>
          <w:p w14:paraId="0E77B832" w14:textId="54B57CB1"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0.04</w:t>
            </w:r>
          </w:p>
        </w:tc>
        <w:tc>
          <w:tcPr>
            <w:tcW w:w="550" w:type="dxa"/>
            <w:shd w:val="clear" w:color="auto" w:fill="FFFFFF"/>
          </w:tcPr>
          <w:p w14:paraId="21E20EF6" w14:textId="607CE912"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0.157</w:t>
            </w:r>
          </w:p>
        </w:tc>
        <w:tc>
          <w:tcPr>
            <w:tcW w:w="850" w:type="dxa"/>
            <w:shd w:val="clear" w:color="auto" w:fill="FFFFFF"/>
          </w:tcPr>
          <w:p w14:paraId="7864C111" w14:textId="7D9F7AE2"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0.965 (6)</w:t>
            </w:r>
          </w:p>
        </w:tc>
        <w:tc>
          <w:tcPr>
            <w:tcW w:w="886" w:type="dxa"/>
            <w:shd w:val="clear" w:color="auto" w:fill="FFFFFF"/>
          </w:tcPr>
          <w:p w14:paraId="4C4F90E0" w14:textId="27DEC0CB"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0.045 (0.3)</w:t>
            </w:r>
          </w:p>
        </w:tc>
        <w:tc>
          <w:tcPr>
            <w:tcW w:w="815" w:type="dxa"/>
            <w:shd w:val="clear" w:color="auto" w:fill="FFFFFF"/>
          </w:tcPr>
          <w:p w14:paraId="2375CA34" w14:textId="06331C13"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18.95 (120)</w:t>
            </w:r>
          </w:p>
        </w:tc>
        <w:tc>
          <w:tcPr>
            <w:tcW w:w="709" w:type="dxa"/>
            <w:shd w:val="clear" w:color="auto" w:fill="FFFFFF"/>
          </w:tcPr>
          <w:p w14:paraId="78DAE4C9" w14:textId="513CF742"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1.59 (10)</w:t>
            </w:r>
          </w:p>
        </w:tc>
      </w:tr>
      <w:tr w:rsidR="000F0081" w:rsidRPr="007A3F90" w14:paraId="1E603B20" w14:textId="77777777" w:rsidTr="000F0081">
        <w:tc>
          <w:tcPr>
            <w:tcW w:w="1985" w:type="dxa"/>
            <w:shd w:val="clear" w:color="auto" w:fill="FFFFFF"/>
          </w:tcPr>
          <w:p w14:paraId="77B0844D" w14:textId="23492FCD" w:rsidR="007A3F90" w:rsidRPr="007A3F90" w:rsidRDefault="007A3F90" w:rsidP="007A3F90">
            <w:pPr>
              <w:pStyle w:val="CETBodytext"/>
              <w:ind w:right="-1"/>
              <w:rPr>
                <w:rFonts w:eastAsia="Arial Unicode MS" w:cs="Arial"/>
                <w:sz w:val="14"/>
                <w:szCs w:val="18"/>
                <w:lang w:val="en-GB"/>
              </w:rPr>
            </w:pPr>
            <w:proofErr w:type="spellStart"/>
            <w:r w:rsidRPr="007A3F90">
              <w:rPr>
                <w:rFonts w:eastAsia="Arial Unicode MS" w:cs="Arial"/>
                <w:sz w:val="14"/>
                <w:szCs w:val="18"/>
                <w:lang w:val="en-GB"/>
              </w:rPr>
              <w:t>Salar</w:t>
            </w:r>
            <w:proofErr w:type="spellEnd"/>
            <w:r w:rsidRPr="007A3F90">
              <w:rPr>
                <w:rFonts w:eastAsia="Arial Unicode MS" w:cs="Arial"/>
                <w:sz w:val="14"/>
                <w:szCs w:val="18"/>
                <w:lang w:val="en-GB"/>
              </w:rPr>
              <w:t xml:space="preserve"> de Uyuni</w:t>
            </w:r>
          </w:p>
        </w:tc>
        <w:tc>
          <w:tcPr>
            <w:tcW w:w="709" w:type="dxa"/>
            <w:shd w:val="clear" w:color="auto" w:fill="FFFFFF"/>
          </w:tcPr>
          <w:p w14:paraId="49D06945" w14:textId="500F15D5" w:rsidR="007A3F90" w:rsidRPr="007A3F90" w:rsidRDefault="007A3F90" w:rsidP="007A3F90">
            <w:pPr>
              <w:pStyle w:val="CETBodytext"/>
              <w:ind w:right="-1"/>
              <w:rPr>
                <w:rFonts w:eastAsia="Arial Unicode MS" w:cs="Arial"/>
                <w:sz w:val="14"/>
                <w:szCs w:val="18"/>
                <w:lang w:val="en-GB"/>
              </w:rPr>
            </w:pPr>
            <w:r w:rsidRPr="007A3F90">
              <w:rPr>
                <w:rFonts w:eastAsia="Arial Unicode MS" w:cs="Arial"/>
                <w:sz w:val="14"/>
                <w:szCs w:val="18"/>
                <w:lang w:val="en-GB"/>
              </w:rPr>
              <w:t>Bolivia</w:t>
            </w:r>
          </w:p>
        </w:tc>
        <w:tc>
          <w:tcPr>
            <w:tcW w:w="761" w:type="dxa"/>
            <w:shd w:val="clear" w:color="auto" w:fill="FFFFFF"/>
          </w:tcPr>
          <w:p w14:paraId="5B6365A4" w14:textId="7B489A85"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7.06 (220)</w:t>
            </w:r>
          </w:p>
        </w:tc>
        <w:tc>
          <w:tcPr>
            <w:tcW w:w="762" w:type="dxa"/>
            <w:shd w:val="clear" w:color="auto" w:fill="FFFFFF"/>
          </w:tcPr>
          <w:p w14:paraId="0F3F1BCC" w14:textId="654D6F3F"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1.17 (40)</w:t>
            </w:r>
          </w:p>
        </w:tc>
        <w:tc>
          <w:tcPr>
            <w:tcW w:w="762" w:type="dxa"/>
            <w:shd w:val="clear" w:color="auto" w:fill="FFFFFF"/>
          </w:tcPr>
          <w:p w14:paraId="031A2513" w14:textId="6DC7C8E0"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0.071</w:t>
            </w:r>
          </w:p>
        </w:tc>
        <w:tc>
          <w:tcPr>
            <w:tcW w:w="550" w:type="dxa"/>
            <w:shd w:val="clear" w:color="auto" w:fill="FFFFFF"/>
          </w:tcPr>
          <w:p w14:paraId="1D0CF3B7" w14:textId="6CA91B12"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0.0321</w:t>
            </w:r>
          </w:p>
        </w:tc>
        <w:tc>
          <w:tcPr>
            <w:tcW w:w="850" w:type="dxa"/>
            <w:shd w:val="clear" w:color="auto" w:fill="FFFFFF"/>
          </w:tcPr>
          <w:p w14:paraId="14EE7499" w14:textId="19EF72DD"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0.65 (20)</w:t>
            </w:r>
          </w:p>
        </w:tc>
        <w:tc>
          <w:tcPr>
            <w:tcW w:w="886" w:type="dxa"/>
            <w:shd w:val="clear" w:color="auto" w:fill="FFFFFF"/>
          </w:tcPr>
          <w:p w14:paraId="1AFBD625" w14:textId="2409561D"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0.0306 (1)</w:t>
            </w:r>
          </w:p>
        </w:tc>
        <w:tc>
          <w:tcPr>
            <w:tcW w:w="815" w:type="dxa"/>
            <w:shd w:val="clear" w:color="auto" w:fill="FFFFFF"/>
          </w:tcPr>
          <w:p w14:paraId="4A5304A2" w14:textId="7D2FEC4E"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5 (160)</w:t>
            </w:r>
          </w:p>
        </w:tc>
        <w:tc>
          <w:tcPr>
            <w:tcW w:w="709" w:type="dxa"/>
            <w:shd w:val="clear" w:color="auto" w:fill="FFFFFF"/>
          </w:tcPr>
          <w:p w14:paraId="6DE5A7B8" w14:textId="4F8274D7"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N/A</w:t>
            </w:r>
          </w:p>
        </w:tc>
      </w:tr>
      <w:tr w:rsidR="000F0081" w:rsidRPr="007A3F90" w14:paraId="72737B84" w14:textId="77777777" w:rsidTr="000F0081">
        <w:tc>
          <w:tcPr>
            <w:tcW w:w="1985" w:type="dxa"/>
            <w:shd w:val="clear" w:color="auto" w:fill="FFFFFF"/>
          </w:tcPr>
          <w:p w14:paraId="77F8B317" w14:textId="6C23113A" w:rsidR="007A3F90" w:rsidRPr="007A3F90" w:rsidRDefault="007A3F90" w:rsidP="007A3F90">
            <w:pPr>
              <w:pStyle w:val="CETBodytext"/>
              <w:ind w:right="-1"/>
              <w:rPr>
                <w:rFonts w:eastAsia="Arial Unicode MS" w:cs="Arial"/>
                <w:sz w:val="14"/>
                <w:szCs w:val="18"/>
                <w:lang w:val="en-GB"/>
              </w:rPr>
            </w:pPr>
            <w:proofErr w:type="spellStart"/>
            <w:r w:rsidRPr="007A3F90">
              <w:rPr>
                <w:rFonts w:eastAsia="Arial Unicode MS" w:cs="Arial"/>
                <w:sz w:val="14"/>
                <w:szCs w:val="18"/>
                <w:lang w:val="en-GB"/>
              </w:rPr>
              <w:t>Zabuye</w:t>
            </w:r>
            <w:proofErr w:type="spellEnd"/>
          </w:p>
        </w:tc>
        <w:tc>
          <w:tcPr>
            <w:tcW w:w="709" w:type="dxa"/>
            <w:shd w:val="clear" w:color="auto" w:fill="FFFFFF"/>
          </w:tcPr>
          <w:p w14:paraId="1AFB75D0" w14:textId="556C8EF8" w:rsidR="007A3F90" w:rsidRPr="007A3F90" w:rsidRDefault="007A3F90" w:rsidP="007A3F90">
            <w:pPr>
              <w:pStyle w:val="CETBodytext"/>
              <w:ind w:right="-1"/>
              <w:rPr>
                <w:rFonts w:eastAsia="Arial Unicode MS" w:cs="Arial"/>
                <w:sz w:val="14"/>
                <w:szCs w:val="18"/>
                <w:lang w:val="en-GB"/>
              </w:rPr>
            </w:pPr>
            <w:r w:rsidRPr="007A3F90">
              <w:rPr>
                <w:rFonts w:eastAsia="Arial Unicode MS" w:cs="Arial"/>
                <w:sz w:val="14"/>
                <w:szCs w:val="18"/>
                <w:lang w:val="en-GB"/>
              </w:rPr>
              <w:t>China</w:t>
            </w:r>
          </w:p>
        </w:tc>
        <w:tc>
          <w:tcPr>
            <w:tcW w:w="761" w:type="dxa"/>
            <w:shd w:val="clear" w:color="auto" w:fill="FFFFFF"/>
          </w:tcPr>
          <w:p w14:paraId="3BE37B2A" w14:textId="539EF44A"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7.29 (150)</w:t>
            </w:r>
          </w:p>
        </w:tc>
        <w:tc>
          <w:tcPr>
            <w:tcW w:w="762" w:type="dxa"/>
            <w:shd w:val="clear" w:color="auto" w:fill="FFFFFF"/>
          </w:tcPr>
          <w:p w14:paraId="20F8C27E" w14:textId="5A2D507C"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1.66 (30)</w:t>
            </w:r>
          </w:p>
        </w:tc>
        <w:tc>
          <w:tcPr>
            <w:tcW w:w="762" w:type="dxa"/>
            <w:shd w:val="clear" w:color="auto" w:fill="FFFFFF"/>
          </w:tcPr>
          <w:p w14:paraId="024A1326" w14:textId="6CE3B527"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N/A</w:t>
            </w:r>
          </w:p>
        </w:tc>
        <w:tc>
          <w:tcPr>
            <w:tcW w:w="550" w:type="dxa"/>
            <w:shd w:val="clear" w:color="auto" w:fill="FFFFFF"/>
          </w:tcPr>
          <w:p w14:paraId="6ECD5532" w14:textId="2257F217"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0.0489</w:t>
            </w:r>
          </w:p>
        </w:tc>
        <w:tc>
          <w:tcPr>
            <w:tcW w:w="850" w:type="dxa"/>
            <w:shd w:val="clear" w:color="auto" w:fill="FFFFFF"/>
          </w:tcPr>
          <w:p w14:paraId="564A4871" w14:textId="22D43F17"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0.0026 (0.05)</w:t>
            </w:r>
          </w:p>
        </w:tc>
        <w:tc>
          <w:tcPr>
            <w:tcW w:w="886" w:type="dxa"/>
            <w:shd w:val="clear" w:color="auto" w:fill="FFFFFF"/>
          </w:tcPr>
          <w:p w14:paraId="7AC9E965" w14:textId="4F82CA92"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0.0106 (0.2)</w:t>
            </w:r>
          </w:p>
        </w:tc>
        <w:tc>
          <w:tcPr>
            <w:tcW w:w="815" w:type="dxa"/>
            <w:shd w:val="clear" w:color="auto" w:fill="FFFFFF"/>
          </w:tcPr>
          <w:p w14:paraId="2F0BB96F" w14:textId="2A459446"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9.53 (190)</w:t>
            </w:r>
          </w:p>
        </w:tc>
        <w:tc>
          <w:tcPr>
            <w:tcW w:w="709" w:type="dxa"/>
            <w:shd w:val="clear" w:color="auto" w:fill="FFFFFF"/>
          </w:tcPr>
          <w:p w14:paraId="6FD5A6F8" w14:textId="0E2DBF38"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N/A</w:t>
            </w:r>
          </w:p>
        </w:tc>
      </w:tr>
      <w:tr w:rsidR="000F0081" w:rsidRPr="007A3F90" w14:paraId="667F92CA" w14:textId="77777777" w:rsidTr="000F0081">
        <w:tc>
          <w:tcPr>
            <w:tcW w:w="1985" w:type="dxa"/>
            <w:shd w:val="clear" w:color="auto" w:fill="FFFFFF"/>
          </w:tcPr>
          <w:p w14:paraId="2077DEA1" w14:textId="51ABCAE8" w:rsidR="007A3F90" w:rsidRPr="007A3F90" w:rsidRDefault="007A3F90" w:rsidP="007A3F90">
            <w:pPr>
              <w:pStyle w:val="CETBodytext"/>
              <w:ind w:right="-1"/>
              <w:rPr>
                <w:rFonts w:eastAsia="Arial Unicode MS" w:cs="Arial"/>
                <w:sz w:val="14"/>
                <w:szCs w:val="18"/>
                <w:lang w:val="en-GB"/>
              </w:rPr>
            </w:pPr>
            <w:proofErr w:type="spellStart"/>
            <w:r w:rsidRPr="007A3F90">
              <w:rPr>
                <w:rFonts w:eastAsia="Arial Unicode MS" w:cs="Arial"/>
                <w:sz w:val="14"/>
                <w:szCs w:val="18"/>
                <w:lang w:val="en-GB"/>
              </w:rPr>
              <w:t>Taijinaier</w:t>
            </w:r>
            <w:proofErr w:type="spellEnd"/>
          </w:p>
        </w:tc>
        <w:tc>
          <w:tcPr>
            <w:tcW w:w="709" w:type="dxa"/>
            <w:shd w:val="clear" w:color="auto" w:fill="FFFFFF"/>
          </w:tcPr>
          <w:p w14:paraId="31A49B75" w14:textId="3D8D7651" w:rsidR="007A3F90" w:rsidRPr="007A3F90" w:rsidRDefault="007A3F90" w:rsidP="007A3F90">
            <w:pPr>
              <w:pStyle w:val="CETBodytext"/>
              <w:ind w:right="-1"/>
              <w:rPr>
                <w:rFonts w:eastAsia="Arial Unicode MS" w:cs="Arial"/>
                <w:sz w:val="14"/>
                <w:szCs w:val="18"/>
                <w:lang w:val="en-GB"/>
              </w:rPr>
            </w:pPr>
            <w:r w:rsidRPr="007A3F90">
              <w:rPr>
                <w:rFonts w:eastAsia="Arial Unicode MS" w:cs="Arial"/>
                <w:sz w:val="14"/>
                <w:szCs w:val="18"/>
                <w:lang w:val="en-GB"/>
              </w:rPr>
              <w:t>China</w:t>
            </w:r>
          </w:p>
        </w:tc>
        <w:tc>
          <w:tcPr>
            <w:tcW w:w="761" w:type="dxa"/>
            <w:shd w:val="clear" w:color="auto" w:fill="FFFFFF"/>
          </w:tcPr>
          <w:p w14:paraId="12ECB099" w14:textId="5DEAA2AF"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5.63 (180)</w:t>
            </w:r>
          </w:p>
        </w:tc>
        <w:tc>
          <w:tcPr>
            <w:tcW w:w="762" w:type="dxa"/>
            <w:shd w:val="clear" w:color="auto" w:fill="FFFFFF"/>
          </w:tcPr>
          <w:p w14:paraId="1D3F8FF0" w14:textId="74578C09"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0.44 (15)</w:t>
            </w:r>
          </w:p>
        </w:tc>
        <w:tc>
          <w:tcPr>
            <w:tcW w:w="762" w:type="dxa"/>
            <w:shd w:val="clear" w:color="auto" w:fill="FFFFFF"/>
          </w:tcPr>
          <w:p w14:paraId="2A81A010" w14:textId="29FF8276"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N/A</w:t>
            </w:r>
          </w:p>
        </w:tc>
        <w:tc>
          <w:tcPr>
            <w:tcW w:w="550" w:type="dxa"/>
            <w:shd w:val="clear" w:color="auto" w:fill="FFFFFF"/>
          </w:tcPr>
          <w:p w14:paraId="49E6504A" w14:textId="3F64925A"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0.031</w:t>
            </w:r>
          </w:p>
        </w:tc>
        <w:tc>
          <w:tcPr>
            <w:tcW w:w="850" w:type="dxa"/>
            <w:shd w:val="clear" w:color="auto" w:fill="FFFFFF"/>
          </w:tcPr>
          <w:p w14:paraId="23A315DB" w14:textId="2F327FDD"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2.02 (70)</w:t>
            </w:r>
          </w:p>
        </w:tc>
        <w:tc>
          <w:tcPr>
            <w:tcW w:w="886" w:type="dxa"/>
            <w:shd w:val="clear" w:color="auto" w:fill="FFFFFF"/>
          </w:tcPr>
          <w:p w14:paraId="428A2669" w14:textId="62B1E9FD"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0.02 (0.6)</w:t>
            </w:r>
          </w:p>
        </w:tc>
        <w:tc>
          <w:tcPr>
            <w:tcW w:w="815" w:type="dxa"/>
            <w:shd w:val="clear" w:color="auto" w:fill="FFFFFF"/>
          </w:tcPr>
          <w:p w14:paraId="48F0584B" w14:textId="7D7828F3"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13.42 (430)</w:t>
            </w:r>
          </w:p>
        </w:tc>
        <w:tc>
          <w:tcPr>
            <w:tcW w:w="709" w:type="dxa"/>
            <w:shd w:val="clear" w:color="auto" w:fill="FFFFFF"/>
          </w:tcPr>
          <w:p w14:paraId="47782065" w14:textId="6BA2627B"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3.41 (110)</w:t>
            </w:r>
          </w:p>
        </w:tc>
      </w:tr>
      <w:tr w:rsidR="000F0081" w:rsidRPr="007A3F90" w14:paraId="652C59D7" w14:textId="77777777" w:rsidTr="000F0081">
        <w:tc>
          <w:tcPr>
            <w:tcW w:w="1985" w:type="dxa"/>
            <w:shd w:val="clear" w:color="auto" w:fill="FFFFFF"/>
          </w:tcPr>
          <w:p w14:paraId="637EA1F2" w14:textId="11C77EAD" w:rsidR="007A3F90" w:rsidRPr="007A3F90" w:rsidRDefault="007A3F90" w:rsidP="007A3F90">
            <w:pPr>
              <w:pStyle w:val="CETBodytext"/>
              <w:ind w:right="-1"/>
              <w:rPr>
                <w:rFonts w:eastAsia="Arial Unicode MS" w:cs="Arial"/>
                <w:sz w:val="14"/>
                <w:szCs w:val="18"/>
                <w:lang w:val="en-GB"/>
              </w:rPr>
            </w:pPr>
            <w:r w:rsidRPr="007A3F90">
              <w:rPr>
                <w:rFonts w:eastAsia="Arial Unicode MS" w:cs="Arial"/>
                <w:sz w:val="14"/>
                <w:szCs w:val="18"/>
                <w:lang w:val="en-GB"/>
              </w:rPr>
              <w:t>Artificial brine</w:t>
            </w:r>
          </w:p>
        </w:tc>
        <w:tc>
          <w:tcPr>
            <w:tcW w:w="709" w:type="dxa"/>
            <w:shd w:val="clear" w:color="auto" w:fill="FFFFFF"/>
          </w:tcPr>
          <w:p w14:paraId="0C179F1A" w14:textId="7700C8FB" w:rsidR="007A3F90" w:rsidRPr="007A3F90" w:rsidRDefault="007A3F90" w:rsidP="007A3F90">
            <w:pPr>
              <w:pStyle w:val="CETBodytext"/>
              <w:ind w:right="-1"/>
              <w:rPr>
                <w:rFonts w:eastAsia="Arial Unicode MS" w:cs="Arial"/>
                <w:sz w:val="14"/>
                <w:szCs w:val="18"/>
                <w:lang w:val="en-GB"/>
              </w:rPr>
            </w:pPr>
            <w:r w:rsidRPr="007A3F90">
              <w:rPr>
                <w:rFonts w:eastAsia="Arial Unicode MS" w:cs="Arial"/>
                <w:sz w:val="14"/>
                <w:szCs w:val="18"/>
                <w:lang w:val="en-GB"/>
              </w:rPr>
              <w:t>-</w:t>
            </w:r>
          </w:p>
        </w:tc>
        <w:tc>
          <w:tcPr>
            <w:tcW w:w="761" w:type="dxa"/>
            <w:shd w:val="clear" w:color="auto" w:fill="FFFFFF"/>
          </w:tcPr>
          <w:p w14:paraId="013F684A" w14:textId="62AD34BC"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1 (100)</w:t>
            </w:r>
          </w:p>
        </w:tc>
        <w:tc>
          <w:tcPr>
            <w:tcW w:w="762" w:type="dxa"/>
            <w:shd w:val="clear" w:color="auto" w:fill="FFFFFF"/>
          </w:tcPr>
          <w:p w14:paraId="78908910" w14:textId="20AF5129"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0.1 (10)</w:t>
            </w:r>
          </w:p>
        </w:tc>
        <w:tc>
          <w:tcPr>
            <w:tcW w:w="762" w:type="dxa"/>
            <w:shd w:val="clear" w:color="auto" w:fill="FFFFFF"/>
          </w:tcPr>
          <w:p w14:paraId="5BE73521" w14:textId="7C09922F"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0.005 (0.5)</w:t>
            </w:r>
          </w:p>
        </w:tc>
        <w:tc>
          <w:tcPr>
            <w:tcW w:w="550" w:type="dxa"/>
            <w:shd w:val="clear" w:color="auto" w:fill="FFFFFF"/>
          </w:tcPr>
          <w:p w14:paraId="4FEE2434" w14:textId="00A79C83"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0.01</w:t>
            </w:r>
          </w:p>
        </w:tc>
        <w:tc>
          <w:tcPr>
            <w:tcW w:w="850" w:type="dxa"/>
            <w:shd w:val="clear" w:color="auto" w:fill="FFFFFF"/>
          </w:tcPr>
          <w:p w14:paraId="7DEFCA56" w14:textId="5A0F4F4D"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0.01 (1)</w:t>
            </w:r>
          </w:p>
        </w:tc>
        <w:tc>
          <w:tcPr>
            <w:tcW w:w="886" w:type="dxa"/>
            <w:shd w:val="clear" w:color="auto" w:fill="FFFFFF"/>
          </w:tcPr>
          <w:p w14:paraId="73323136" w14:textId="77343B46"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0.01 (1)</w:t>
            </w:r>
          </w:p>
        </w:tc>
        <w:tc>
          <w:tcPr>
            <w:tcW w:w="815" w:type="dxa"/>
            <w:shd w:val="clear" w:color="auto" w:fill="FFFFFF"/>
          </w:tcPr>
          <w:p w14:paraId="6796DB14" w14:textId="68925965"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1.6 (160)</w:t>
            </w:r>
          </w:p>
        </w:tc>
        <w:tc>
          <w:tcPr>
            <w:tcW w:w="709" w:type="dxa"/>
            <w:shd w:val="clear" w:color="auto" w:fill="FFFFFF"/>
          </w:tcPr>
          <w:p w14:paraId="215F6EDA" w14:textId="2325E690"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0.1 (10)</w:t>
            </w:r>
          </w:p>
        </w:tc>
      </w:tr>
      <w:tr w:rsidR="000F0081" w:rsidRPr="007A3F90" w14:paraId="49071D4B" w14:textId="77777777" w:rsidTr="000F0081">
        <w:tc>
          <w:tcPr>
            <w:tcW w:w="1985" w:type="dxa"/>
            <w:shd w:val="clear" w:color="auto" w:fill="FFFFFF"/>
          </w:tcPr>
          <w:p w14:paraId="2F41F431" w14:textId="54BA894A" w:rsidR="007A3F90" w:rsidRPr="007A3F90" w:rsidRDefault="007A3F90" w:rsidP="007A3F90">
            <w:pPr>
              <w:pStyle w:val="CETBodytext"/>
              <w:ind w:right="-1"/>
              <w:rPr>
                <w:rFonts w:eastAsia="Arial Unicode MS" w:cs="Arial"/>
                <w:sz w:val="14"/>
                <w:szCs w:val="18"/>
                <w:lang w:val="en-GB"/>
              </w:rPr>
            </w:pPr>
            <w:r w:rsidRPr="007A3F90">
              <w:rPr>
                <w:rFonts w:eastAsia="Arial Unicode MS" w:cs="Arial"/>
                <w:sz w:val="14"/>
                <w:szCs w:val="18"/>
                <w:lang w:val="en-GB"/>
              </w:rPr>
              <w:t>NF-</w:t>
            </w:r>
            <w:proofErr w:type="spellStart"/>
            <w:r w:rsidRPr="007A3F90">
              <w:rPr>
                <w:rFonts w:eastAsia="Arial Unicode MS" w:cs="Arial"/>
                <w:sz w:val="14"/>
                <w:szCs w:val="18"/>
                <w:lang w:val="en-GB"/>
              </w:rPr>
              <w:t>pretreated</w:t>
            </w:r>
            <w:proofErr w:type="spellEnd"/>
            <w:r w:rsidRPr="007A3F90">
              <w:rPr>
                <w:rFonts w:eastAsia="Arial Unicode MS" w:cs="Arial"/>
                <w:sz w:val="14"/>
                <w:szCs w:val="18"/>
                <w:lang w:val="en-GB"/>
              </w:rPr>
              <w:t xml:space="preserve"> artificial brine</w:t>
            </w:r>
          </w:p>
        </w:tc>
        <w:tc>
          <w:tcPr>
            <w:tcW w:w="709" w:type="dxa"/>
            <w:shd w:val="clear" w:color="auto" w:fill="FFFFFF"/>
          </w:tcPr>
          <w:p w14:paraId="1041B892" w14:textId="742B30ED" w:rsidR="007A3F90" w:rsidRPr="007A3F90" w:rsidRDefault="007A3F90" w:rsidP="007A3F90">
            <w:pPr>
              <w:pStyle w:val="CETBodytext"/>
              <w:ind w:right="-1"/>
              <w:rPr>
                <w:rFonts w:eastAsia="Arial Unicode MS" w:cs="Arial"/>
                <w:sz w:val="14"/>
                <w:szCs w:val="18"/>
                <w:lang w:val="en-GB"/>
              </w:rPr>
            </w:pPr>
            <w:r w:rsidRPr="007A3F90">
              <w:rPr>
                <w:rFonts w:eastAsia="Arial Unicode MS" w:cs="Arial"/>
                <w:sz w:val="14"/>
                <w:szCs w:val="18"/>
                <w:lang w:val="en-GB"/>
              </w:rPr>
              <w:t>-</w:t>
            </w:r>
          </w:p>
        </w:tc>
        <w:tc>
          <w:tcPr>
            <w:tcW w:w="761" w:type="dxa"/>
            <w:shd w:val="clear" w:color="auto" w:fill="FFFFFF"/>
          </w:tcPr>
          <w:p w14:paraId="4452786E" w14:textId="2A476AAC"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0.92 (95.8)</w:t>
            </w:r>
          </w:p>
        </w:tc>
        <w:tc>
          <w:tcPr>
            <w:tcW w:w="762" w:type="dxa"/>
            <w:shd w:val="clear" w:color="auto" w:fill="FFFFFF"/>
          </w:tcPr>
          <w:p w14:paraId="2AE2E110" w14:textId="60FC6943"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0.09 (9.4)</w:t>
            </w:r>
          </w:p>
        </w:tc>
        <w:tc>
          <w:tcPr>
            <w:tcW w:w="762" w:type="dxa"/>
            <w:shd w:val="clear" w:color="auto" w:fill="FFFFFF"/>
          </w:tcPr>
          <w:p w14:paraId="5CE0F921" w14:textId="14913809"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0.004 (0.4)</w:t>
            </w:r>
          </w:p>
        </w:tc>
        <w:tc>
          <w:tcPr>
            <w:tcW w:w="550" w:type="dxa"/>
            <w:shd w:val="clear" w:color="auto" w:fill="FFFFFF"/>
          </w:tcPr>
          <w:p w14:paraId="3DC24A6B" w14:textId="719234CE"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0.0096</w:t>
            </w:r>
          </w:p>
        </w:tc>
        <w:tc>
          <w:tcPr>
            <w:tcW w:w="850" w:type="dxa"/>
            <w:shd w:val="clear" w:color="auto" w:fill="FFFFFF"/>
          </w:tcPr>
          <w:p w14:paraId="61ADC622" w14:textId="5336DF42"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0.006 (0.625)</w:t>
            </w:r>
          </w:p>
        </w:tc>
        <w:tc>
          <w:tcPr>
            <w:tcW w:w="886" w:type="dxa"/>
            <w:shd w:val="clear" w:color="auto" w:fill="FFFFFF"/>
          </w:tcPr>
          <w:p w14:paraId="6296E954" w14:textId="35B0E0B2"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0.006 (0.625)</w:t>
            </w:r>
          </w:p>
        </w:tc>
        <w:tc>
          <w:tcPr>
            <w:tcW w:w="815" w:type="dxa"/>
            <w:shd w:val="clear" w:color="auto" w:fill="FFFFFF"/>
          </w:tcPr>
          <w:p w14:paraId="528239B2" w14:textId="64C988A4" w:rsidR="007A3F90" w:rsidRPr="000F0081" w:rsidRDefault="004300AF" w:rsidP="007A3F90">
            <w:pPr>
              <w:pStyle w:val="CETBodytext"/>
              <w:ind w:right="-1"/>
              <w:rPr>
                <w:rFonts w:eastAsia="Arial Unicode MS" w:cs="Arial"/>
                <w:sz w:val="12"/>
                <w:szCs w:val="18"/>
                <w:lang w:val="en-GB"/>
              </w:rPr>
            </w:pPr>
            <w:r w:rsidRPr="000F0081">
              <w:rPr>
                <w:rFonts w:eastAsia="Arial Unicode MS" w:cs="Arial"/>
                <w:sz w:val="12"/>
                <w:szCs w:val="18"/>
                <w:lang w:val="en-GB"/>
              </w:rPr>
              <w:t>1.2 (125)</w:t>
            </w:r>
          </w:p>
        </w:tc>
        <w:tc>
          <w:tcPr>
            <w:tcW w:w="709" w:type="dxa"/>
            <w:shd w:val="clear" w:color="auto" w:fill="FFFFFF"/>
          </w:tcPr>
          <w:p w14:paraId="68EC3701" w14:textId="431E3A80" w:rsidR="007A3F90" w:rsidRPr="000F0081" w:rsidRDefault="007A3F90" w:rsidP="007A3F90">
            <w:pPr>
              <w:pStyle w:val="CETBodytext"/>
              <w:ind w:right="-1"/>
              <w:rPr>
                <w:rFonts w:eastAsia="Arial Unicode MS" w:cs="Arial"/>
                <w:sz w:val="12"/>
                <w:szCs w:val="18"/>
                <w:lang w:val="en-GB"/>
              </w:rPr>
            </w:pPr>
            <w:r w:rsidRPr="000F0081">
              <w:rPr>
                <w:rFonts w:eastAsia="Arial Unicode MS" w:cs="Arial"/>
                <w:sz w:val="12"/>
                <w:szCs w:val="18"/>
                <w:lang w:val="en-GB"/>
              </w:rPr>
              <w:t>0.06 (6.25)</w:t>
            </w:r>
          </w:p>
        </w:tc>
      </w:tr>
    </w:tbl>
    <w:p w14:paraId="35B86130" w14:textId="68C2E659" w:rsidR="000F019C" w:rsidRPr="00AD4933" w:rsidRDefault="00056AD8" w:rsidP="00600535">
      <w:pPr>
        <w:pStyle w:val="CETBodytext"/>
        <w:rPr>
          <w:sz w:val="16"/>
        </w:rPr>
      </w:pPr>
      <w:r w:rsidRPr="00AD4933">
        <w:rPr>
          <w:sz w:val="16"/>
        </w:rPr>
        <w:t xml:space="preserve">All units are </w:t>
      </w:r>
      <w:proofErr w:type="spellStart"/>
      <w:r w:rsidRPr="00AD4933">
        <w:rPr>
          <w:sz w:val="16"/>
        </w:rPr>
        <w:t>wt</w:t>
      </w:r>
      <w:proofErr w:type="spellEnd"/>
      <w:r w:rsidRPr="00AD4933">
        <w:rPr>
          <w:sz w:val="16"/>
        </w:rPr>
        <w:t xml:space="preserve">%, </w:t>
      </w:r>
      <w:proofErr w:type="gramStart"/>
      <w:r w:rsidRPr="00AD4933">
        <w:rPr>
          <w:sz w:val="16"/>
        </w:rPr>
        <w:t>(</w:t>
      </w:r>
      <w:r w:rsidR="00591B1F">
        <w:rPr>
          <w:sz w:val="16"/>
        </w:rPr>
        <w:t xml:space="preserve"> </w:t>
      </w:r>
      <w:r w:rsidRPr="00AD4933">
        <w:rPr>
          <w:sz w:val="16"/>
        </w:rPr>
        <w:t>)</w:t>
      </w:r>
      <w:proofErr w:type="gramEnd"/>
      <w:r w:rsidRPr="00AD4933">
        <w:rPr>
          <w:sz w:val="16"/>
        </w:rPr>
        <w:t xml:space="preserve"> is the ratio with lithium.</w:t>
      </w:r>
    </w:p>
    <w:p w14:paraId="166B6897" w14:textId="31982506" w:rsidR="000F019C" w:rsidRPr="00056AD8" w:rsidRDefault="000F019C" w:rsidP="00600535">
      <w:pPr>
        <w:pStyle w:val="CETBodytext"/>
      </w:pPr>
    </w:p>
    <w:p w14:paraId="249EBDDA" w14:textId="77777777" w:rsidR="00DD6B4A" w:rsidRDefault="004C3D85" w:rsidP="00C45CC0">
      <w:pPr>
        <w:pStyle w:val="CETBodytext"/>
      </w:pPr>
      <w:r w:rsidRPr="004C3D85">
        <w:t>In contrast to seawater, the composition of "brines" varies greatly not only in origin and type but, also from site to site as it is greatly influenced by the geological context: the only common features are usually the abundance of Na</w:t>
      </w:r>
      <w:r w:rsidRPr="00CE619C">
        <w:rPr>
          <w:vertAlign w:val="superscript"/>
        </w:rPr>
        <w:t>+</w:t>
      </w:r>
      <w:r w:rsidRPr="004C3D85">
        <w:t>, Ca</w:t>
      </w:r>
      <w:r w:rsidRPr="00CE619C">
        <w:rPr>
          <w:vertAlign w:val="superscript"/>
        </w:rPr>
        <w:t>2+</w:t>
      </w:r>
      <w:r w:rsidRPr="004C3D85">
        <w:t>, Cl</w:t>
      </w:r>
      <w:r w:rsidRPr="00CE619C">
        <w:rPr>
          <w:vertAlign w:val="superscript"/>
        </w:rPr>
        <w:t>-</w:t>
      </w:r>
      <w:r w:rsidRPr="004C3D85">
        <w:t>, Mg</w:t>
      </w:r>
      <w:r w:rsidRPr="00CE619C">
        <w:rPr>
          <w:vertAlign w:val="superscript"/>
        </w:rPr>
        <w:t>2+</w:t>
      </w:r>
      <w:r w:rsidRPr="004C3D85">
        <w:t xml:space="preserve"> and K</w:t>
      </w:r>
      <w:r w:rsidRPr="00CE619C">
        <w:rPr>
          <w:vertAlign w:val="superscript"/>
        </w:rPr>
        <w:t>+</w:t>
      </w:r>
      <w:r w:rsidRPr="004C3D85">
        <w:t xml:space="preserve"> while the proportion of other elements is variable. </w:t>
      </w:r>
      <w:r w:rsidRPr="00CE619C">
        <w:t>Precisely because of the high number of certain elements, depending on the type of technique used, one or more interfering ions may be encountered. Brines that contain high amounts of lithium are known to have large amounts of magnesium, which makes electrochemical recovery of the former very difficult given the similar physicochemical characteristics between the two (</w:t>
      </w:r>
      <w:proofErr w:type="spellStart"/>
      <w:r w:rsidRPr="00CE619C">
        <w:t>Jiab</w:t>
      </w:r>
      <w:proofErr w:type="spellEnd"/>
      <w:r w:rsidRPr="00CE619C">
        <w:t xml:space="preserve"> et al., 2018). </w:t>
      </w:r>
    </w:p>
    <w:p w14:paraId="2118ECEC" w14:textId="0B17A196" w:rsidR="000F019C" w:rsidRPr="00CE619C" w:rsidRDefault="004C3D85" w:rsidP="00C45CC0">
      <w:pPr>
        <w:pStyle w:val="CETBodytext"/>
      </w:pPr>
      <w:r w:rsidRPr="00CE619C">
        <w:t>One of the advantages of working with geothermal-type sources, for example, lies precisely in the fact that although Li</w:t>
      </w:r>
      <w:r w:rsidR="00CE619C" w:rsidRPr="00CE619C">
        <w:rPr>
          <w:vertAlign w:val="superscript"/>
        </w:rPr>
        <w:t>+</w:t>
      </w:r>
      <w:r w:rsidRPr="00CE619C">
        <w:t xml:space="preserve"> is in concentrations between 20 and 50 mg/L, the concentrations of total dissolved solids and Mg</w:t>
      </w:r>
      <w:r w:rsidRPr="00CE619C">
        <w:rPr>
          <w:vertAlign w:val="superscript"/>
        </w:rPr>
        <w:t>2+</w:t>
      </w:r>
      <w:r w:rsidRPr="00CE619C">
        <w:t xml:space="preserve"> are low compared to those of other matrices, leading to fewer problems in recovering the analyte of interest (Han et al., 2020). The multiplicity of techniques studied for lithium recovery includes adsorption, precipitation, solvent extraction, electrolysis, and nanofiltration.</w:t>
      </w:r>
    </w:p>
    <w:p w14:paraId="66125E5A" w14:textId="6344D5D9" w:rsidR="008A6DF8" w:rsidRDefault="00731124" w:rsidP="008A6DF8">
      <w:pPr>
        <w:pStyle w:val="CETHeading1"/>
        <w:rPr>
          <w:lang w:val="it-IT"/>
        </w:rPr>
      </w:pPr>
      <w:proofErr w:type="spellStart"/>
      <w:r w:rsidRPr="00731124">
        <w:rPr>
          <w:lang w:val="it-IT"/>
        </w:rPr>
        <w:t>Lithium</w:t>
      </w:r>
      <w:proofErr w:type="spellEnd"/>
      <w:r w:rsidRPr="00731124">
        <w:rPr>
          <w:lang w:val="it-IT"/>
        </w:rPr>
        <w:t xml:space="preserve"> </w:t>
      </w:r>
      <w:proofErr w:type="spellStart"/>
      <w:r w:rsidRPr="00731124">
        <w:rPr>
          <w:lang w:val="it-IT"/>
        </w:rPr>
        <w:t>extraction</w:t>
      </w:r>
      <w:proofErr w:type="spellEnd"/>
    </w:p>
    <w:p w14:paraId="4CF6682A" w14:textId="613C263C" w:rsidR="008A6DF8" w:rsidRPr="008A6DF8" w:rsidRDefault="00CE619C" w:rsidP="00D5609B">
      <w:pPr>
        <w:pStyle w:val="CETheadingx"/>
        <w:ind w:left="425"/>
      </w:pPr>
      <w:r>
        <w:t>Precipitation</w:t>
      </w:r>
      <w:r w:rsidR="008A6DF8" w:rsidRPr="008A6DF8">
        <w:tab/>
      </w:r>
    </w:p>
    <w:p w14:paraId="2EF18826" w14:textId="13DCEF20" w:rsidR="008A6DF8" w:rsidRPr="00CE619C" w:rsidRDefault="00CE619C" w:rsidP="008A6DF8">
      <w:pPr>
        <w:pStyle w:val="CETBodytext"/>
      </w:pPr>
      <w:r w:rsidRPr="00CE619C">
        <w:t>Precipitation offers a variety of advantages, such as ease of recovery and the possibility of being able to search for a particular type of product by varying the reagent used, and most importantly, it is one of the most studied and industrially used processes. However, low lithium concentrations of less than 1 g/L do not allow the use of carbonates as precipitation reagents. The use of phosphates, on the other hand, allows processing with very low concentrations on the order of 100 mg/L and high recovery and good purity grade. Li</w:t>
      </w:r>
      <w:r w:rsidRPr="00CE619C">
        <w:rPr>
          <w:vertAlign w:val="subscript"/>
        </w:rPr>
        <w:t>3</w:t>
      </w:r>
      <w:r w:rsidRPr="00CE619C">
        <w:t>PO</w:t>
      </w:r>
      <w:r w:rsidRPr="00CE619C">
        <w:rPr>
          <w:vertAlign w:val="subscript"/>
        </w:rPr>
        <w:t>4</w:t>
      </w:r>
      <w:r w:rsidRPr="00CE619C">
        <w:t xml:space="preserve"> can then be eventually converted to soluble salt by reaction with Fe</w:t>
      </w:r>
      <w:r w:rsidRPr="00CE619C">
        <w:rPr>
          <w:vertAlign w:val="superscript"/>
        </w:rPr>
        <w:t>3+</w:t>
      </w:r>
      <w:r w:rsidRPr="00CE619C">
        <w:t xml:space="preserve"> salts.</w:t>
      </w:r>
    </w:p>
    <w:p w14:paraId="6AD13068" w14:textId="5AA1690B" w:rsidR="008A6DF8" w:rsidRDefault="008B6AD1" w:rsidP="00D5609B">
      <w:pPr>
        <w:pStyle w:val="CETheadingx"/>
        <w:ind w:left="425"/>
      </w:pPr>
      <w:r>
        <w:t>A</w:t>
      </w:r>
      <w:r w:rsidRPr="008B6AD1">
        <w:t>dsorption</w:t>
      </w:r>
      <w:r w:rsidR="008A6DF8" w:rsidRPr="008A6DF8">
        <w:tab/>
      </w:r>
    </w:p>
    <w:p w14:paraId="0300EB2E" w14:textId="02E45D4F" w:rsidR="008A6DF8" w:rsidRPr="008A6DF8" w:rsidRDefault="008B6AD1" w:rsidP="008A6DF8">
      <w:pPr>
        <w:pStyle w:val="CETBodytext"/>
        <w:rPr>
          <w:lang w:val="it-IT"/>
        </w:rPr>
      </w:pPr>
      <w:r w:rsidRPr="008B6AD1">
        <w:t xml:space="preserve">Adsorption has among its advantages that it can be used with low initial concentrations of lithium 100 mg/l and that it achieves high product purity. </w:t>
      </w:r>
      <w:r w:rsidRPr="008B6AD1">
        <w:rPr>
          <w:lang w:val="it-IT"/>
        </w:rPr>
        <w:t xml:space="preserve">No industrial </w:t>
      </w:r>
      <w:proofErr w:type="spellStart"/>
      <w:r w:rsidRPr="008B6AD1">
        <w:rPr>
          <w:lang w:val="it-IT"/>
        </w:rPr>
        <w:t>uses</w:t>
      </w:r>
      <w:proofErr w:type="spellEnd"/>
      <w:r w:rsidRPr="008B6AD1">
        <w:rPr>
          <w:lang w:val="it-IT"/>
        </w:rPr>
        <w:t xml:space="preserve"> are </w:t>
      </w:r>
      <w:proofErr w:type="spellStart"/>
      <w:r w:rsidRPr="008B6AD1">
        <w:rPr>
          <w:lang w:val="it-IT"/>
        </w:rPr>
        <w:t>currently</w:t>
      </w:r>
      <w:proofErr w:type="spellEnd"/>
      <w:r w:rsidRPr="008B6AD1">
        <w:rPr>
          <w:lang w:val="it-IT"/>
        </w:rPr>
        <w:t xml:space="preserve"> </w:t>
      </w:r>
      <w:proofErr w:type="spellStart"/>
      <w:r w:rsidRPr="008B6AD1">
        <w:rPr>
          <w:lang w:val="it-IT"/>
        </w:rPr>
        <w:t>reported</w:t>
      </w:r>
      <w:proofErr w:type="spellEnd"/>
      <w:r w:rsidRPr="008B6AD1">
        <w:rPr>
          <w:lang w:val="it-IT"/>
        </w:rPr>
        <w:t xml:space="preserve"> in the literature.</w:t>
      </w:r>
    </w:p>
    <w:p w14:paraId="13150EE4" w14:textId="2ACE77C7" w:rsidR="008A6DF8" w:rsidRDefault="008B6AD1" w:rsidP="00D5609B">
      <w:pPr>
        <w:pStyle w:val="CETheadingx"/>
        <w:ind w:left="425"/>
      </w:pPr>
      <w:r>
        <w:lastRenderedPageBreak/>
        <w:t>Liquid-liquid extraction</w:t>
      </w:r>
      <w:r w:rsidR="008A6DF8" w:rsidRPr="008A6DF8">
        <w:tab/>
      </w:r>
    </w:p>
    <w:p w14:paraId="554B013A" w14:textId="713A883C" w:rsidR="008A6DF8" w:rsidRPr="008B6AD1" w:rsidRDefault="008B6AD1" w:rsidP="008A6DF8">
      <w:pPr>
        <w:pStyle w:val="CETBodytext"/>
      </w:pPr>
      <w:r w:rsidRPr="008B6AD1">
        <w:t>Liquid-liquid extraction can also be used with very low lithium concentrations on the order of 10-20 mg/L, but has as an unfavorable aspect the use of organic solvents that must be recovered and managed.</w:t>
      </w:r>
    </w:p>
    <w:p w14:paraId="51A942FC" w14:textId="6B8643E3" w:rsidR="008A6DF8" w:rsidRDefault="008A6DF8" w:rsidP="00D5609B">
      <w:pPr>
        <w:pStyle w:val="CETheadingx"/>
        <w:ind w:left="425"/>
      </w:pPr>
      <w:r>
        <w:t xml:space="preserve">Membrane </w:t>
      </w:r>
      <w:r w:rsidR="008B6AD1">
        <w:t>process of extraction</w:t>
      </w:r>
      <w:r w:rsidRPr="008A6DF8">
        <w:tab/>
      </w:r>
    </w:p>
    <w:p w14:paraId="397AECC8" w14:textId="442F659C" w:rsidR="008A6DF8" w:rsidRPr="008B6AD1" w:rsidRDefault="008B6AD1" w:rsidP="008A6DF8">
      <w:pPr>
        <w:pStyle w:val="CETBodytext"/>
      </w:pPr>
      <w:r w:rsidRPr="008B6AD1">
        <w:t>Among the various technologies developed for lithium recovery, processes built on membranes based on electric fields and thermal gradients have received a great deal of attention in the past decade, due to such key attributes as high efficiency and low ecological impact. Although this technology is very attractive, its large-scale deployment is limited by the high operating costs and large investment capital required.</w:t>
      </w:r>
    </w:p>
    <w:p w14:paraId="3254E64C" w14:textId="1EF75B5C" w:rsidR="008B6AD1" w:rsidRPr="008B6AD1" w:rsidRDefault="008B6AD1" w:rsidP="00D5609B">
      <w:pPr>
        <w:pStyle w:val="CETheadingx"/>
        <w:ind w:left="425"/>
      </w:pPr>
      <w:r w:rsidRPr="00D5609B">
        <w:t>Electrolysis</w:t>
      </w:r>
      <w:r w:rsidR="008A6DF8" w:rsidRPr="008A6DF8">
        <w:tab/>
      </w:r>
      <w:r w:rsidRPr="00D5609B">
        <w:tab/>
      </w:r>
    </w:p>
    <w:p w14:paraId="7041703C" w14:textId="12788C5A" w:rsidR="00F27885" w:rsidRPr="008B6AD1" w:rsidRDefault="008B6AD1" w:rsidP="008B6AD1">
      <w:pPr>
        <w:pStyle w:val="CETBodytext"/>
      </w:pPr>
      <w:r w:rsidRPr="008B6AD1">
        <w:t>Electrolytic separation certainly has among its advantages the purity of the product and good recovery capacity, starting even from solutions with low lithium concentrations, but the energy used for recovery is high.</w:t>
      </w:r>
    </w:p>
    <w:p w14:paraId="2536D1E7" w14:textId="6D4392C4" w:rsidR="00DF2C45" w:rsidRPr="00DF2C45" w:rsidRDefault="00294F76" w:rsidP="00DF2C45">
      <w:pPr>
        <w:pStyle w:val="CETHeading1"/>
        <w:rPr>
          <w:lang w:val="it-IT"/>
        </w:rPr>
      </w:pPr>
      <w:proofErr w:type="spellStart"/>
      <w:r w:rsidRPr="00294F76">
        <w:rPr>
          <w:lang w:val="it-IT"/>
        </w:rPr>
        <w:t>Precipitation</w:t>
      </w:r>
      <w:proofErr w:type="spellEnd"/>
      <w:r w:rsidRPr="00294F76">
        <w:rPr>
          <w:lang w:val="it-IT"/>
        </w:rPr>
        <w:t xml:space="preserve"> with </w:t>
      </w:r>
      <w:proofErr w:type="spellStart"/>
      <w:r w:rsidRPr="00294F76">
        <w:rPr>
          <w:lang w:val="it-IT"/>
        </w:rPr>
        <w:t>lithium</w:t>
      </w:r>
      <w:proofErr w:type="spellEnd"/>
      <w:r w:rsidRPr="00294F76">
        <w:rPr>
          <w:lang w:val="it-IT"/>
        </w:rPr>
        <w:t xml:space="preserve"> </w:t>
      </w:r>
      <w:proofErr w:type="spellStart"/>
      <w:r w:rsidRPr="00294F76">
        <w:rPr>
          <w:lang w:val="it-IT"/>
        </w:rPr>
        <w:t>phosphate</w:t>
      </w:r>
      <w:proofErr w:type="spellEnd"/>
    </w:p>
    <w:p w14:paraId="7B8ADF1C" w14:textId="6073CC85" w:rsidR="008A6DF8" w:rsidRPr="00294F76" w:rsidRDefault="003E13DC" w:rsidP="00DF2C45">
      <w:pPr>
        <w:pStyle w:val="CETBodytext"/>
      </w:pPr>
      <w:r>
        <w:t>S</w:t>
      </w:r>
      <w:r w:rsidR="00294F76" w:rsidRPr="00294F76">
        <w:t>olubility product of Li</w:t>
      </w:r>
      <w:r w:rsidR="00294F76" w:rsidRPr="00294F76">
        <w:rPr>
          <w:vertAlign w:val="subscript"/>
        </w:rPr>
        <w:t>3</w:t>
      </w:r>
      <w:r w:rsidR="00294F76" w:rsidRPr="00294F76">
        <w:t>PO</w:t>
      </w:r>
      <w:r w:rsidR="00294F76" w:rsidRPr="00294F76">
        <w:rPr>
          <w:vertAlign w:val="subscript"/>
        </w:rPr>
        <w:t>4</w:t>
      </w:r>
      <w:r w:rsidR="00294F76" w:rsidRPr="00294F76">
        <w:t xml:space="preserve"> is 2.37∙10</w:t>
      </w:r>
      <w:r w:rsidR="00294F76" w:rsidRPr="00294F76">
        <w:rPr>
          <w:vertAlign w:val="superscript"/>
        </w:rPr>
        <w:t>-11</w:t>
      </w:r>
      <w:r>
        <w:t xml:space="preserve"> </w:t>
      </w:r>
      <w:r w:rsidR="00294F76" w:rsidRPr="00294F76">
        <w:t>(</w:t>
      </w:r>
      <w:proofErr w:type="spellStart"/>
      <w:r w:rsidRPr="003E13DC">
        <w:t>pKs</w:t>
      </w:r>
      <w:r w:rsidRPr="003E13DC">
        <w:rPr>
          <w:vertAlign w:val="subscript"/>
        </w:rPr>
        <w:t>p</w:t>
      </w:r>
      <w:proofErr w:type="spellEnd"/>
      <w:r w:rsidR="00294F76" w:rsidRPr="00294F76">
        <w:t xml:space="preserve"> = 10.6</w:t>
      </w:r>
      <w:r>
        <w:t>3</w:t>
      </w:r>
      <w:r w:rsidR="00294F76" w:rsidRPr="00294F76">
        <w:t>), which is much lower than that of carbonate 8.15∙10</w:t>
      </w:r>
      <w:r>
        <w:rPr>
          <w:vertAlign w:val="superscript"/>
        </w:rPr>
        <w:t>-</w:t>
      </w:r>
      <w:r w:rsidR="00294F76" w:rsidRPr="00294F76">
        <w:rPr>
          <w:vertAlign w:val="superscript"/>
        </w:rPr>
        <w:t>4</w:t>
      </w:r>
      <w:r w:rsidR="00294F76" w:rsidRPr="00294F76">
        <w:t xml:space="preserve"> </w:t>
      </w:r>
      <w:r>
        <w:t xml:space="preserve"> </w:t>
      </w:r>
      <w:proofErr w:type="gramStart"/>
      <w:r>
        <w:t xml:space="preserve">   </w:t>
      </w:r>
      <w:r w:rsidR="00294F76" w:rsidRPr="00294F76">
        <w:t>(</w:t>
      </w:r>
      <w:proofErr w:type="spellStart"/>
      <w:proofErr w:type="gramEnd"/>
      <w:r w:rsidRPr="003E13DC">
        <w:t>pKs</w:t>
      </w:r>
      <w:r w:rsidRPr="003E13DC">
        <w:rPr>
          <w:vertAlign w:val="subscript"/>
        </w:rPr>
        <w:t>p</w:t>
      </w:r>
      <w:proofErr w:type="spellEnd"/>
      <w:r w:rsidR="00294F76" w:rsidRPr="00294F76">
        <w:t xml:space="preserve"> = 2.2) (Xiao et Zeng, 2018); therefore, the application of precipitation in the form of phosphate for lithium recovery is interesting, even considering that lithium phosphate can be marketed as such.</w:t>
      </w:r>
    </w:p>
    <w:p w14:paraId="1829E23E" w14:textId="39F4A838" w:rsidR="00E127FF" w:rsidRPr="00E127FF" w:rsidRDefault="00294F76" w:rsidP="00D5609B">
      <w:pPr>
        <w:pStyle w:val="CETheadingx"/>
        <w:ind w:left="425"/>
      </w:pPr>
      <w:r w:rsidRPr="00294F76">
        <w:t>Instruments and reagents</w:t>
      </w:r>
      <w:r w:rsidR="00E127FF" w:rsidRPr="00E127FF">
        <w:tab/>
      </w:r>
    </w:p>
    <w:p w14:paraId="19D92F74" w14:textId="671C4916" w:rsidR="00E127FF" w:rsidRPr="009C5B52" w:rsidRDefault="00E127FF" w:rsidP="00BF230E">
      <w:pPr>
        <w:spacing w:before="120" w:after="120" w:line="240" w:lineRule="auto"/>
        <w:ind w:firstLine="425"/>
        <w:rPr>
          <w:rFonts w:cs="Arial"/>
          <w:szCs w:val="18"/>
        </w:rPr>
      </w:pPr>
      <w:r w:rsidRPr="009C5B52">
        <w:rPr>
          <w:rFonts w:cs="Arial"/>
          <w:szCs w:val="18"/>
        </w:rPr>
        <w:t>ICP-OES</w:t>
      </w:r>
    </w:p>
    <w:p w14:paraId="514DCDCB" w14:textId="77777777" w:rsidR="00294F76" w:rsidRPr="00294F76" w:rsidRDefault="00294F76" w:rsidP="00294F76">
      <w:pPr>
        <w:pStyle w:val="CETBodytext"/>
      </w:pPr>
      <w:r w:rsidRPr="00294F76">
        <w:t xml:space="preserve">An Inductively Coupled Plasma - Optical Emission Spectroscopy (ICP-OES) Spectro Mod. ARCOS-FHS12 was used for the determination of metal ions in the solutions. </w:t>
      </w:r>
    </w:p>
    <w:p w14:paraId="30DCCD1F" w14:textId="77777777" w:rsidR="00294F76" w:rsidRPr="00294F76" w:rsidRDefault="00294F76" w:rsidP="00294F76">
      <w:pPr>
        <w:pStyle w:val="CETBodytext"/>
      </w:pPr>
      <w:r w:rsidRPr="00294F76">
        <w:t xml:space="preserve">Calibration of the instrument was carried out using standard ICP solutions at various concentrations (range 0.5 to 100 ppm). Samples were diluted to the appropriate concentrations by addition of demineralized water solution acidified to 2 </w:t>
      </w:r>
      <w:proofErr w:type="spellStart"/>
      <w:r w:rsidRPr="00294F76">
        <w:t>wt</w:t>
      </w:r>
      <w:proofErr w:type="spellEnd"/>
      <w:r w:rsidRPr="00294F76">
        <w:t>% with HNO</w:t>
      </w:r>
      <w:r w:rsidRPr="00294F76">
        <w:rPr>
          <w:vertAlign w:val="subscript"/>
        </w:rPr>
        <w:t>3</w:t>
      </w:r>
      <w:r w:rsidRPr="00294F76">
        <w:t xml:space="preserve">. </w:t>
      </w:r>
    </w:p>
    <w:p w14:paraId="087FE033" w14:textId="21B5F914" w:rsidR="00294F76" w:rsidRPr="00294F76" w:rsidRDefault="00294F76" w:rsidP="00294F76">
      <w:pPr>
        <w:pStyle w:val="CETBodytext"/>
      </w:pPr>
      <w:r w:rsidRPr="00294F76">
        <w:t>Brine solutions were diluted at least 8 times before instrumental analysis because of their high salt content.</w:t>
      </w:r>
    </w:p>
    <w:p w14:paraId="409FEFED" w14:textId="77777777" w:rsidR="00294F76" w:rsidRPr="009C5B52" w:rsidRDefault="00294F76" w:rsidP="00294F76">
      <w:pPr>
        <w:spacing w:before="120" w:after="120" w:line="240" w:lineRule="auto"/>
        <w:ind w:firstLine="425"/>
        <w:rPr>
          <w:rFonts w:cs="Arial"/>
          <w:szCs w:val="18"/>
          <w:lang w:val="en-US"/>
        </w:rPr>
      </w:pPr>
      <w:r w:rsidRPr="009C5B52">
        <w:rPr>
          <w:rFonts w:cs="Arial"/>
          <w:szCs w:val="18"/>
          <w:lang w:val="en-US"/>
        </w:rPr>
        <w:t>Rotary evaporator</w:t>
      </w:r>
    </w:p>
    <w:p w14:paraId="52C41F8D" w14:textId="77777777" w:rsidR="00294F76" w:rsidRPr="003E13DC" w:rsidRDefault="00294F76" w:rsidP="00294F76">
      <w:pPr>
        <w:pStyle w:val="CETBodytext"/>
      </w:pPr>
      <w:r w:rsidRPr="003E13DC">
        <w:t>Brines were concentrated using IKA model RV10 Digital rotary evaporator equipped with HB10 Digital thermostatic oil bath.</w:t>
      </w:r>
    </w:p>
    <w:p w14:paraId="4E936826" w14:textId="00DA260B" w:rsidR="00294F76" w:rsidRPr="003E13DC" w:rsidRDefault="00294F76" w:rsidP="00294F76">
      <w:pPr>
        <w:pStyle w:val="CETBodytext"/>
      </w:pPr>
      <w:r w:rsidRPr="003E13DC">
        <w:t>Operations were conducted at a temperature of 135</w:t>
      </w:r>
      <w:r w:rsidR="00D41648">
        <w:t xml:space="preserve"> </w:t>
      </w:r>
      <w:r w:rsidRPr="003E13DC">
        <w:t>°C of the heating oil bath operating at 60 rpm rotation.</w:t>
      </w:r>
    </w:p>
    <w:p w14:paraId="3D519256" w14:textId="407D046F" w:rsidR="00E127FF" w:rsidRPr="009C5B52" w:rsidRDefault="00BF230E" w:rsidP="00BF230E">
      <w:pPr>
        <w:spacing w:before="120" w:after="120" w:line="240" w:lineRule="auto"/>
        <w:ind w:firstLine="425"/>
        <w:rPr>
          <w:rFonts w:cs="Arial"/>
          <w:szCs w:val="18"/>
          <w:lang w:val="en-US"/>
        </w:rPr>
      </w:pPr>
      <w:r w:rsidRPr="009C5B52">
        <w:rPr>
          <w:rFonts w:cs="Arial"/>
          <w:szCs w:val="18"/>
          <w:lang w:val="en-US"/>
        </w:rPr>
        <w:t>Reag</w:t>
      </w:r>
      <w:r w:rsidR="00294F76" w:rsidRPr="009C5B52">
        <w:rPr>
          <w:rFonts w:cs="Arial"/>
          <w:szCs w:val="18"/>
          <w:lang w:val="en-US"/>
        </w:rPr>
        <w:t>ents</w:t>
      </w:r>
    </w:p>
    <w:p w14:paraId="7D67D324" w14:textId="00A2891D" w:rsidR="00E127FF" w:rsidRPr="00294F76" w:rsidRDefault="00294F76" w:rsidP="00E127FF">
      <w:pPr>
        <w:pStyle w:val="CETBodytext"/>
      </w:pPr>
      <w:r w:rsidRPr="00294F76">
        <w:t>The main reagents used during the experimental work are listed below</w:t>
      </w:r>
      <w:r>
        <w:t>:</w:t>
      </w:r>
      <w:r w:rsidR="00E127FF" w:rsidRPr="00294F76">
        <w:t xml:space="preserve"> </w:t>
      </w:r>
    </w:p>
    <w:p w14:paraId="131C0D7B" w14:textId="23D59F26" w:rsidR="00E127FF" w:rsidRPr="00E4477A" w:rsidRDefault="00E127FF" w:rsidP="009E0280">
      <w:pPr>
        <w:pStyle w:val="CETListbullets"/>
        <w:numPr>
          <w:ilvl w:val="0"/>
          <w:numId w:val="13"/>
        </w:numPr>
        <w:rPr>
          <w:lang w:val="it-IT"/>
        </w:rPr>
      </w:pPr>
      <w:r w:rsidRPr="00E4477A">
        <w:rPr>
          <w:lang w:val="it-IT"/>
        </w:rPr>
        <w:t>Na</w:t>
      </w:r>
      <w:r w:rsidRPr="00E4477A">
        <w:rPr>
          <w:vertAlign w:val="subscript"/>
          <w:lang w:val="it-IT"/>
        </w:rPr>
        <w:t>3</w:t>
      </w:r>
      <w:r w:rsidRPr="00E4477A">
        <w:rPr>
          <w:lang w:val="it-IT"/>
        </w:rPr>
        <w:t>PO</w:t>
      </w:r>
      <w:r w:rsidRPr="00E4477A">
        <w:rPr>
          <w:vertAlign w:val="subscript"/>
          <w:lang w:val="it-IT"/>
        </w:rPr>
        <w:t>4</w:t>
      </w:r>
      <w:r w:rsidRPr="00E4477A">
        <w:rPr>
          <w:lang w:val="it-IT"/>
        </w:rPr>
        <w:t>•12H</w:t>
      </w:r>
      <w:r w:rsidRPr="00E4477A">
        <w:rPr>
          <w:vertAlign w:val="subscript"/>
          <w:lang w:val="it-IT"/>
        </w:rPr>
        <w:t>2</w:t>
      </w:r>
      <w:r w:rsidRPr="00E4477A">
        <w:rPr>
          <w:lang w:val="it-IT"/>
        </w:rPr>
        <w:t>O (</w:t>
      </w:r>
      <w:proofErr w:type="spellStart"/>
      <w:r w:rsidRPr="00E4477A">
        <w:rPr>
          <w:lang w:val="it-IT"/>
        </w:rPr>
        <w:t>Sodium</w:t>
      </w:r>
      <w:proofErr w:type="spellEnd"/>
      <w:r w:rsidRPr="00E4477A">
        <w:rPr>
          <w:lang w:val="it-IT"/>
        </w:rPr>
        <w:t xml:space="preserve"> </w:t>
      </w:r>
      <w:proofErr w:type="spellStart"/>
      <w:r w:rsidRPr="00E4477A">
        <w:rPr>
          <w:lang w:val="it-IT"/>
        </w:rPr>
        <w:t>phosphate</w:t>
      </w:r>
      <w:proofErr w:type="spellEnd"/>
      <w:r w:rsidRPr="00E4477A">
        <w:rPr>
          <w:lang w:val="it-IT"/>
        </w:rPr>
        <w:t xml:space="preserve"> </w:t>
      </w:r>
      <w:proofErr w:type="spellStart"/>
      <w:r w:rsidRPr="00E4477A">
        <w:rPr>
          <w:lang w:val="it-IT"/>
        </w:rPr>
        <w:t>dodecahydrate</w:t>
      </w:r>
      <w:proofErr w:type="spellEnd"/>
      <w:r w:rsidRPr="00E4477A">
        <w:rPr>
          <w:lang w:val="it-IT"/>
        </w:rPr>
        <w:t>) &gt;98</w:t>
      </w:r>
      <w:r w:rsidR="00D41648">
        <w:rPr>
          <w:lang w:val="it-IT"/>
        </w:rPr>
        <w:t xml:space="preserve"> </w:t>
      </w:r>
      <w:r w:rsidRPr="00E4477A">
        <w:rPr>
          <w:lang w:val="it-IT"/>
        </w:rPr>
        <w:t xml:space="preserve">%, Sigma-Aldrich; </w:t>
      </w:r>
    </w:p>
    <w:p w14:paraId="363DF5D6" w14:textId="4BF2272C" w:rsidR="00E127FF" w:rsidRPr="009E0280" w:rsidRDefault="00E127FF" w:rsidP="009E0280">
      <w:pPr>
        <w:pStyle w:val="CETListbullets"/>
        <w:numPr>
          <w:ilvl w:val="0"/>
          <w:numId w:val="13"/>
        </w:numPr>
      </w:pPr>
      <w:r w:rsidRPr="009E0280">
        <w:t>LiCl (Lithium chloride) &gt;99</w:t>
      </w:r>
      <w:r w:rsidR="00D41648">
        <w:t xml:space="preserve"> </w:t>
      </w:r>
      <w:r w:rsidRPr="009E0280">
        <w:t xml:space="preserve">%, Sigma-Aldrich; </w:t>
      </w:r>
    </w:p>
    <w:p w14:paraId="643363E6" w14:textId="5A55C5AD" w:rsidR="008A6DF8" w:rsidRDefault="003E13DC" w:rsidP="00D5609B">
      <w:pPr>
        <w:pStyle w:val="CETheadingx"/>
        <w:ind w:left="425"/>
      </w:pPr>
      <w:r>
        <w:t>Mother liquors</w:t>
      </w:r>
      <w:r w:rsidR="00D5609B">
        <w:t xml:space="preserve"> Locatelli</w:t>
      </w:r>
    </w:p>
    <w:p w14:paraId="75F01B8B" w14:textId="601A2347" w:rsidR="003E13DC" w:rsidRPr="003E13DC" w:rsidRDefault="003E13DC" w:rsidP="003E13DC">
      <w:pPr>
        <w:pStyle w:val="CETBodytext"/>
      </w:pPr>
      <w:r w:rsidRPr="003E13DC">
        <w:rPr>
          <w:lang w:val="it-IT"/>
        </w:rPr>
        <w:t xml:space="preserve">Locatelli Saline di Volterra </w:t>
      </w:r>
      <w:proofErr w:type="spellStart"/>
      <w:r w:rsidRPr="003E13DC">
        <w:rPr>
          <w:lang w:val="it-IT"/>
        </w:rPr>
        <w:t>produces</w:t>
      </w:r>
      <w:proofErr w:type="spellEnd"/>
      <w:r w:rsidRPr="003E13DC">
        <w:rPr>
          <w:lang w:val="it-IT"/>
        </w:rPr>
        <w:t xml:space="preserve"> </w:t>
      </w:r>
      <w:proofErr w:type="spellStart"/>
      <w:r w:rsidRPr="003E13DC">
        <w:rPr>
          <w:lang w:val="it-IT"/>
        </w:rPr>
        <w:t>recrystallized</w:t>
      </w:r>
      <w:proofErr w:type="spellEnd"/>
      <w:r w:rsidRPr="003E13DC">
        <w:rPr>
          <w:lang w:val="it-IT"/>
        </w:rPr>
        <w:t xml:space="preserve"> </w:t>
      </w:r>
      <w:proofErr w:type="spellStart"/>
      <w:r w:rsidRPr="003E13DC">
        <w:rPr>
          <w:lang w:val="it-IT"/>
        </w:rPr>
        <w:t>salt</w:t>
      </w:r>
      <w:proofErr w:type="spellEnd"/>
      <w:r w:rsidRPr="003E13DC">
        <w:rPr>
          <w:lang w:val="it-IT"/>
        </w:rPr>
        <w:t xml:space="preserve">. </w:t>
      </w:r>
      <w:r w:rsidRPr="003E13DC">
        <w:t xml:space="preserve">The underground deposits of Volterra, Cecina, and </w:t>
      </w:r>
      <w:proofErr w:type="spellStart"/>
      <w:r w:rsidRPr="003E13DC">
        <w:t>Poppiano</w:t>
      </w:r>
      <w:proofErr w:type="spellEnd"/>
      <w:r w:rsidRPr="003E13DC">
        <w:t xml:space="preserve"> are flooded with fresh water, which dissolves the salt into a 33 </w:t>
      </w:r>
      <w:r>
        <w:t>%</w:t>
      </w:r>
      <w:r w:rsidRPr="003E13DC">
        <w:t xml:space="preserve"> concentrated salt solution, which is then purified at 80 °C to remove all impurities that may contaminate it. The purified solution is then sent to crystallizers, 40 m high, where the high temperatures obtained by steam compression, bring the solution to</w:t>
      </w:r>
      <w:r w:rsidR="00D41648">
        <w:t xml:space="preserve">   </w:t>
      </w:r>
      <w:r w:rsidRPr="003E13DC">
        <w:t xml:space="preserve"> 130 °C, thus evaporating the water in the solution and leaving the salt behind.</w:t>
      </w:r>
    </w:p>
    <w:p w14:paraId="6E737A91" w14:textId="6EDCF36E" w:rsidR="0077333D" w:rsidRPr="003E13DC" w:rsidRDefault="003E13DC" w:rsidP="003E13DC">
      <w:pPr>
        <w:pStyle w:val="CETBodytext"/>
      </w:pPr>
      <w:r w:rsidRPr="003E13DC">
        <w:t xml:space="preserve">The extracted brine contains lithium with a concentration of 2-5 mg/L. The mother waters leaving the Locatelli plant evaporator, contain lithium with concentration of 20-70 mg/L. Lithium recovery operations are carried out on the mother </w:t>
      </w:r>
      <w:r>
        <w:t>liquors</w:t>
      </w:r>
      <w:r w:rsidRPr="003E13DC">
        <w:t xml:space="preserve"> samples.</w:t>
      </w:r>
    </w:p>
    <w:p w14:paraId="261640A7" w14:textId="2D5A0E6B" w:rsidR="00930617" w:rsidRPr="00056AD8" w:rsidRDefault="00930617" w:rsidP="00930617">
      <w:pPr>
        <w:pStyle w:val="CETTabletitle"/>
        <w:rPr>
          <w:lang w:val="en-US"/>
        </w:rPr>
      </w:pPr>
      <w:r w:rsidRPr="00056AD8">
        <w:rPr>
          <w:lang w:val="en-US"/>
        </w:rPr>
        <w:t xml:space="preserve">Table </w:t>
      </w:r>
      <w:r>
        <w:rPr>
          <w:lang w:val="en-US"/>
        </w:rPr>
        <w:t>2</w:t>
      </w:r>
      <w:r w:rsidRPr="00056AD8">
        <w:rPr>
          <w:lang w:val="en-US"/>
        </w:rPr>
        <w:t xml:space="preserve">: The compositions of representative lithium-containing </w:t>
      </w:r>
      <w:r w:rsidR="00204798">
        <w:rPr>
          <w:lang w:val="en-US"/>
        </w:rPr>
        <w:t>mother liquors Locatelli</w:t>
      </w:r>
      <w:r w:rsidRPr="00056AD8">
        <w:rPr>
          <w:lang w:val="en-US"/>
        </w:rPr>
        <w:t>.</w:t>
      </w:r>
    </w:p>
    <w:tbl>
      <w:tblPr>
        <w:tblW w:w="6521"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985"/>
        <w:gridCol w:w="756"/>
        <w:gridCol w:w="756"/>
        <w:gridCol w:w="756"/>
        <w:gridCol w:w="756"/>
        <w:gridCol w:w="756"/>
        <w:gridCol w:w="756"/>
      </w:tblGrid>
      <w:tr w:rsidR="00204798" w:rsidRPr="007A3F90" w14:paraId="57D6F217" w14:textId="77777777" w:rsidTr="00C45039">
        <w:tc>
          <w:tcPr>
            <w:tcW w:w="1985" w:type="dxa"/>
            <w:tcBorders>
              <w:top w:val="single" w:sz="12" w:space="0" w:color="008000"/>
              <w:bottom w:val="single" w:sz="6" w:space="0" w:color="008000"/>
            </w:tcBorders>
            <w:shd w:val="clear" w:color="auto" w:fill="FFFFFF"/>
          </w:tcPr>
          <w:p w14:paraId="3EBB0742" w14:textId="77777777" w:rsidR="00204798" w:rsidRPr="007A3F90" w:rsidRDefault="00204798" w:rsidP="00BC1809">
            <w:pPr>
              <w:pStyle w:val="CETBodytext"/>
              <w:rPr>
                <w:rFonts w:eastAsia="Arial Unicode MS" w:cs="Arial"/>
                <w:sz w:val="14"/>
                <w:lang w:val="en-GB"/>
              </w:rPr>
            </w:pPr>
            <w:r w:rsidRPr="007A3F90">
              <w:rPr>
                <w:rFonts w:eastAsia="Arial Unicode MS" w:cs="Arial"/>
                <w:sz w:val="14"/>
                <w:lang w:val="en-GB"/>
              </w:rPr>
              <w:t xml:space="preserve">Source </w:t>
            </w:r>
          </w:p>
        </w:tc>
        <w:tc>
          <w:tcPr>
            <w:tcW w:w="756" w:type="dxa"/>
            <w:tcBorders>
              <w:top w:val="single" w:sz="12" w:space="0" w:color="008000"/>
              <w:bottom w:val="single" w:sz="6" w:space="0" w:color="008000"/>
            </w:tcBorders>
            <w:shd w:val="clear" w:color="auto" w:fill="FFFFFF"/>
          </w:tcPr>
          <w:p w14:paraId="5E0DA7CA" w14:textId="77777777" w:rsidR="00204798" w:rsidRPr="007A3F90" w:rsidRDefault="00204798" w:rsidP="00BC1809">
            <w:pPr>
              <w:pStyle w:val="CETBodytext"/>
              <w:rPr>
                <w:rFonts w:eastAsia="Arial Unicode MS" w:cs="Arial"/>
                <w:sz w:val="14"/>
                <w:lang w:val="en-GB"/>
              </w:rPr>
            </w:pPr>
            <w:r w:rsidRPr="007A3F90">
              <w:rPr>
                <w:rFonts w:eastAsia="Arial Unicode MS" w:cs="Arial"/>
                <w:sz w:val="14"/>
                <w:lang w:val="en-GB"/>
              </w:rPr>
              <w:t>Na</w:t>
            </w:r>
          </w:p>
        </w:tc>
        <w:tc>
          <w:tcPr>
            <w:tcW w:w="756" w:type="dxa"/>
            <w:tcBorders>
              <w:top w:val="single" w:sz="12" w:space="0" w:color="008000"/>
              <w:bottom w:val="single" w:sz="6" w:space="0" w:color="008000"/>
            </w:tcBorders>
            <w:shd w:val="clear" w:color="auto" w:fill="FFFFFF"/>
          </w:tcPr>
          <w:p w14:paraId="4CEAD9CE" w14:textId="77777777" w:rsidR="00204798" w:rsidRPr="007A3F90" w:rsidRDefault="00204798" w:rsidP="00BC1809">
            <w:pPr>
              <w:pStyle w:val="CETBodytext"/>
              <w:ind w:right="-1"/>
              <w:rPr>
                <w:rFonts w:eastAsia="Arial Unicode MS" w:cs="Arial"/>
                <w:sz w:val="14"/>
                <w:szCs w:val="18"/>
                <w:lang w:val="en-GB"/>
              </w:rPr>
            </w:pPr>
            <w:r w:rsidRPr="007A3F90">
              <w:rPr>
                <w:rFonts w:eastAsia="Arial Unicode MS" w:cs="Arial"/>
                <w:sz w:val="14"/>
                <w:szCs w:val="18"/>
                <w:lang w:val="en-GB"/>
              </w:rPr>
              <w:t>K</w:t>
            </w:r>
          </w:p>
        </w:tc>
        <w:tc>
          <w:tcPr>
            <w:tcW w:w="756" w:type="dxa"/>
            <w:tcBorders>
              <w:top w:val="single" w:sz="12" w:space="0" w:color="008000"/>
              <w:bottom w:val="single" w:sz="6" w:space="0" w:color="008000"/>
            </w:tcBorders>
            <w:shd w:val="clear" w:color="auto" w:fill="FFFFFF"/>
          </w:tcPr>
          <w:p w14:paraId="68B2A37A" w14:textId="77777777" w:rsidR="00204798" w:rsidRPr="007A3F90" w:rsidRDefault="00204798" w:rsidP="00BC1809">
            <w:pPr>
              <w:pStyle w:val="CETBodytext"/>
              <w:ind w:right="-1"/>
              <w:rPr>
                <w:rFonts w:eastAsia="Arial Unicode MS" w:cs="Arial"/>
                <w:sz w:val="14"/>
                <w:szCs w:val="18"/>
                <w:lang w:val="en-GB"/>
              </w:rPr>
            </w:pPr>
            <w:r>
              <w:rPr>
                <w:rFonts w:eastAsia="Arial Unicode MS" w:cs="Arial"/>
                <w:sz w:val="14"/>
                <w:szCs w:val="18"/>
                <w:lang w:val="en-GB"/>
              </w:rPr>
              <w:t>B</w:t>
            </w:r>
          </w:p>
        </w:tc>
        <w:tc>
          <w:tcPr>
            <w:tcW w:w="756" w:type="dxa"/>
            <w:tcBorders>
              <w:top w:val="single" w:sz="12" w:space="0" w:color="008000"/>
              <w:bottom w:val="single" w:sz="6" w:space="0" w:color="008000"/>
            </w:tcBorders>
            <w:shd w:val="clear" w:color="auto" w:fill="FFFFFF"/>
          </w:tcPr>
          <w:p w14:paraId="283671E3" w14:textId="77777777" w:rsidR="00204798" w:rsidRPr="007A3F90" w:rsidRDefault="00204798" w:rsidP="00BC1809">
            <w:pPr>
              <w:pStyle w:val="CETBodytext"/>
              <w:ind w:right="-1"/>
              <w:rPr>
                <w:rFonts w:eastAsia="Arial Unicode MS" w:cs="Arial"/>
                <w:sz w:val="14"/>
                <w:szCs w:val="18"/>
                <w:lang w:val="en-GB"/>
              </w:rPr>
            </w:pPr>
            <w:r>
              <w:rPr>
                <w:rFonts w:eastAsia="Arial Unicode MS" w:cs="Arial"/>
                <w:sz w:val="14"/>
                <w:szCs w:val="18"/>
                <w:lang w:val="en-GB"/>
              </w:rPr>
              <w:t>Li</w:t>
            </w:r>
          </w:p>
        </w:tc>
        <w:tc>
          <w:tcPr>
            <w:tcW w:w="756" w:type="dxa"/>
            <w:tcBorders>
              <w:top w:val="single" w:sz="12" w:space="0" w:color="008000"/>
              <w:bottom w:val="single" w:sz="6" w:space="0" w:color="008000"/>
            </w:tcBorders>
            <w:shd w:val="clear" w:color="auto" w:fill="FFFFFF"/>
          </w:tcPr>
          <w:p w14:paraId="01AF52FD" w14:textId="77777777" w:rsidR="00204798" w:rsidRPr="007A3F90" w:rsidRDefault="00204798" w:rsidP="00BC1809">
            <w:pPr>
              <w:pStyle w:val="CETBodytext"/>
              <w:ind w:right="-1"/>
              <w:rPr>
                <w:rFonts w:eastAsia="Arial Unicode MS" w:cs="Arial"/>
                <w:sz w:val="14"/>
                <w:szCs w:val="18"/>
                <w:lang w:val="en-GB"/>
              </w:rPr>
            </w:pPr>
            <w:r>
              <w:rPr>
                <w:rFonts w:eastAsia="Arial Unicode MS" w:cs="Arial"/>
                <w:sz w:val="14"/>
                <w:szCs w:val="18"/>
                <w:lang w:val="en-GB"/>
              </w:rPr>
              <w:t>Ca</w:t>
            </w:r>
          </w:p>
        </w:tc>
        <w:tc>
          <w:tcPr>
            <w:tcW w:w="756" w:type="dxa"/>
            <w:tcBorders>
              <w:top w:val="single" w:sz="12" w:space="0" w:color="008000"/>
              <w:bottom w:val="single" w:sz="6" w:space="0" w:color="008000"/>
            </w:tcBorders>
            <w:shd w:val="clear" w:color="auto" w:fill="FFFFFF"/>
          </w:tcPr>
          <w:p w14:paraId="3E0F6450" w14:textId="77777777" w:rsidR="00204798" w:rsidRPr="007A3F90" w:rsidRDefault="00204798" w:rsidP="00BC1809">
            <w:pPr>
              <w:pStyle w:val="CETBodytext"/>
              <w:ind w:right="-1"/>
              <w:rPr>
                <w:rFonts w:eastAsia="Arial Unicode MS" w:cs="Arial"/>
                <w:sz w:val="14"/>
                <w:szCs w:val="18"/>
                <w:lang w:val="en-GB"/>
              </w:rPr>
            </w:pPr>
            <w:r>
              <w:rPr>
                <w:rFonts w:eastAsia="Arial Unicode MS" w:cs="Arial"/>
                <w:sz w:val="14"/>
                <w:szCs w:val="18"/>
                <w:lang w:val="en-GB"/>
              </w:rPr>
              <w:t>Cl</w:t>
            </w:r>
          </w:p>
        </w:tc>
      </w:tr>
      <w:tr w:rsidR="00204798" w:rsidRPr="007A3F90" w14:paraId="58EEBAEB" w14:textId="77777777" w:rsidTr="00C45039">
        <w:tc>
          <w:tcPr>
            <w:tcW w:w="1985" w:type="dxa"/>
            <w:shd w:val="clear" w:color="auto" w:fill="FFFFFF"/>
          </w:tcPr>
          <w:p w14:paraId="6C123897" w14:textId="278EC425" w:rsidR="00204798" w:rsidRPr="007A3F90" w:rsidRDefault="00204798" w:rsidP="00BC1809">
            <w:pPr>
              <w:pStyle w:val="CETBodytext"/>
              <w:rPr>
                <w:rFonts w:eastAsia="Arial Unicode MS" w:cs="Arial"/>
                <w:sz w:val="14"/>
                <w:lang w:val="en-GB"/>
              </w:rPr>
            </w:pPr>
            <w:r>
              <w:rPr>
                <w:rFonts w:eastAsia="Arial Unicode MS" w:cs="Arial"/>
                <w:sz w:val="14"/>
                <w:lang w:val="en-GB"/>
              </w:rPr>
              <w:t>Sample 1</w:t>
            </w:r>
          </w:p>
        </w:tc>
        <w:tc>
          <w:tcPr>
            <w:tcW w:w="756" w:type="dxa"/>
            <w:shd w:val="clear" w:color="auto" w:fill="FFFFFF"/>
          </w:tcPr>
          <w:p w14:paraId="543F40C8" w14:textId="7BA51E33" w:rsidR="00204798" w:rsidRPr="000F0081" w:rsidRDefault="00C45039" w:rsidP="00BC1809">
            <w:pPr>
              <w:pStyle w:val="CETBodytext"/>
              <w:rPr>
                <w:rFonts w:eastAsia="Arial Unicode MS" w:cs="Arial"/>
                <w:sz w:val="12"/>
                <w:lang w:val="en-GB"/>
              </w:rPr>
            </w:pPr>
            <w:r>
              <w:rPr>
                <w:rFonts w:eastAsia="Arial Unicode MS" w:cs="Arial"/>
                <w:sz w:val="12"/>
                <w:lang w:val="en-GB"/>
              </w:rPr>
              <w:t>10.37</w:t>
            </w:r>
          </w:p>
        </w:tc>
        <w:tc>
          <w:tcPr>
            <w:tcW w:w="756" w:type="dxa"/>
            <w:shd w:val="clear" w:color="auto" w:fill="FFFFFF"/>
          </w:tcPr>
          <w:p w14:paraId="19A520CF" w14:textId="2F857D29" w:rsidR="00204798" w:rsidRPr="000F0081" w:rsidRDefault="00204798" w:rsidP="00BC1809">
            <w:pPr>
              <w:pStyle w:val="CETBodytext"/>
              <w:ind w:right="-1"/>
              <w:rPr>
                <w:rFonts w:eastAsia="Arial Unicode MS" w:cs="Arial"/>
                <w:sz w:val="12"/>
                <w:szCs w:val="18"/>
                <w:lang w:val="en-GB"/>
              </w:rPr>
            </w:pPr>
            <w:r>
              <w:rPr>
                <w:rFonts w:eastAsia="Arial Unicode MS" w:cs="Arial"/>
                <w:sz w:val="12"/>
                <w:szCs w:val="18"/>
                <w:lang w:val="en-GB"/>
              </w:rPr>
              <w:t>1.73</w:t>
            </w:r>
          </w:p>
        </w:tc>
        <w:tc>
          <w:tcPr>
            <w:tcW w:w="756" w:type="dxa"/>
            <w:shd w:val="clear" w:color="auto" w:fill="FFFFFF"/>
          </w:tcPr>
          <w:p w14:paraId="6EE86B1B" w14:textId="4B9E150E" w:rsidR="00204798" w:rsidRPr="000F0081" w:rsidRDefault="00BF29BB" w:rsidP="00BC1809">
            <w:pPr>
              <w:pStyle w:val="CETBodytext"/>
              <w:ind w:right="-1"/>
              <w:rPr>
                <w:rFonts w:eastAsia="Arial Unicode MS" w:cs="Arial"/>
                <w:sz w:val="12"/>
                <w:szCs w:val="18"/>
                <w:lang w:val="en-GB"/>
              </w:rPr>
            </w:pPr>
            <w:r>
              <w:rPr>
                <w:rFonts w:eastAsia="Arial Unicode MS" w:cs="Arial"/>
                <w:sz w:val="12"/>
                <w:szCs w:val="18"/>
                <w:lang w:val="en-GB"/>
              </w:rPr>
              <w:t>0.00</w:t>
            </w:r>
            <w:r w:rsidR="00204798">
              <w:rPr>
                <w:rFonts w:eastAsia="Arial Unicode MS" w:cs="Arial"/>
                <w:sz w:val="12"/>
                <w:szCs w:val="18"/>
                <w:lang w:val="en-GB"/>
              </w:rPr>
              <w:t>887</w:t>
            </w:r>
          </w:p>
        </w:tc>
        <w:tc>
          <w:tcPr>
            <w:tcW w:w="756" w:type="dxa"/>
            <w:shd w:val="clear" w:color="auto" w:fill="FFFFFF"/>
          </w:tcPr>
          <w:p w14:paraId="6561D6B4" w14:textId="69F44CD8" w:rsidR="00204798" w:rsidRPr="000F0081" w:rsidRDefault="00BF29BB" w:rsidP="00BC1809">
            <w:pPr>
              <w:pStyle w:val="CETBodytext"/>
              <w:ind w:right="-1"/>
              <w:rPr>
                <w:rFonts w:eastAsia="Arial Unicode MS" w:cs="Arial"/>
                <w:sz w:val="12"/>
                <w:szCs w:val="18"/>
                <w:lang w:val="en-GB"/>
              </w:rPr>
            </w:pPr>
            <w:r>
              <w:rPr>
                <w:rFonts w:eastAsia="Arial Unicode MS" w:cs="Arial"/>
                <w:sz w:val="12"/>
                <w:szCs w:val="18"/>
                <w:lang w:val="en-GB"/>
              </w:rPr>
              <w:t>0.00</w:t>
            </w:r>
            <w:r w:rsidR="00C45039">
              <w:rPr>
                <w:rFonts w:eastAsia="Arial Unicode MS" w:cs="Arial"/>
                <w:sz w:val="12"/>
                <w:szCs w:val="18"/>
                <w:lang w:val="en-GB"/>
              </w:rPr>
              <w:t>245</w:t>
            </w:r>
          </w:p>
        </w:tc>
        <w:tc>
          <w:tcPr>
            <w:tcW w:w="756" w:type="dxa"/>
            <w:shd w:val="clear" w:color="auto" w:fill="FFFFFF"/>
          </w:tcPr>
          <w:p w14:paraId="63EA30DC" w14:textId="0F228E32" w:rsidR="00204798" w:rsidRPr="000F0081" w:rsidRDefault="00BF29BB" w:rsidP="00BC1809">
            <w:pPr>
              <w:pStyle w:val="CETBodytext"/>
              <w:ind w:right="-1"/>
              <w:rPr>
                <w:rFonts w:eastAsia="Arial Unicode MS" w:cs="Arial"/>
                <w:sz w:val="12"/>
                <w:szCs w:val="18"/>
                <w:lang w:val="en-GB"/>
              </w:rPr>
            </w:pPr>
            <w:r>
              <w:rPr>
                <w:rFonts w:eastAsia="Arial Unicode MS" w:cs="Arial"/>
                <w:sz w:val="12"/>
                <w:szCs w:val="18"/>
                <w:lang w:val="en-GB"/>
              </w:rPr>
              <w:t>0.00</w:t>
            </w:r>
            <w:r w:rsidR="00204798">
              <w:rPr>
                <w:rFonts w:eastAsia="Arial Unicode MS" w:cs="Arial"/>
                <w:sz w:val="12"/>
                <w:szCs w:val="18"/>
                <w:lang w:val="en-GB"/>
              </w:rPr>
              <w:t>142</w:t>
            </w:r>
          </w:p>
        </w:tc>
        <w:tc>
          <w:tcPr>
            <w:tcW w:w="756" w:type="dxa"/>
            <w:shd w:val="clear" w:color="auto" w:fill="FFFFFF"/>
          </w:tcPr>
          <w:p w14:paraId="2A6143DC" w14:textId="3B49D522" w:rsidR="00204798" w:rsidRPr="000F0081" w:rsidRDefault="00C45039" w:rsidP="00BC1809">
            <w:pPr>
              <w:pStyle w:val="CETBodytext"/>
              <w:ind w:right="-1"/>
              <w:rPr>
                <w:rFonts w:eastAsia="Arial Unicode MS" w:cs="Arial"/>
                <w:sz w:val="12"/>
                <w:szCs w:val="18"/>
                <w:lang w:val="en-GB"/>
              </w:rPr>
            </w:pPr>
            <w:r>
              <w:rPr>
                <w:rFonts w:eastAsia="Arial Unicode MS" w:cs="Arial"/>
                <w:sz w:val="12"/>
                <w:szCs w:val="18"/>
                <w:lang w:val="en-GB"/>
              </w:rPr>
              <w:t>14.71</w:t>
            </w:r>
          </w:p>
        </w:tc>
      </w:tr>
      <w:tr w:rsidR="00204798" w:rsidRPr="007A3F90" w14:paraId="16B04CD3" w14:textId="77777777" w:rsidTr="00C45039">
        <w:tc>
          <w:tcPr>
            <w:tcW w:w="1985" w:type="dxa"/>
            <w:shd w:val="clear" w:color="auto" w:fill="FFFFFF"/>
          </w:tcPr>
          <w:p w14:paraId="5985A229" w14:textId="4E5AC6B0" w:rsidR="00204798" w:rsidRPr="007A3F90" w:rsidRDefault="00204798" w:rsidP="00BC1809">
            <w:pPr>
              <w:pStyle w:val="CETBodytext"/>
              <w:ind w:right="-1"/>
              <w:rPr>
                <w:rFonts w:eastAsia="Arial Unicode MS" w:cs="Arial"/>
                <w:sz w:val="14"/>
                <w:szCs w:val="18"/>
                <w:lang w:val="en-GB"/>
              </w:rPr>
            </w:pPr>
            <w:r>
              <w:rPr>
                <w:rFonts w:eastAsia="Arial Unicode MS" w:cs="Arial"/>
                <w:sz w:val="14"/>
                <w:lang w:val="en-GB"/>
              </w:rPr>
              <w:t>Sample 2</w:t>
            </w:r>
          </w:p>
        </w:tc>
        <w:tc>
          <w:tcPr>
            <w:tcW w:w="756" w:type="dxa"/>
            <w:shd w:val="clear" w:color="auto" w:fill="FFFFFF"/>
          </w:tcPr>
          <w:p w14:paraId="14B0C5CE" w14:textId="7041F284" w:rsidR="00204798" w:rsidRPr="000F0081" w:rsidRDefault="00C45039" w:rsidP="00BC1809">
            <w:pPr>
              <w:pStyle w:val="CETBodytext"/>
              <w:ind w:right="-1"/>
              <w:rPr>
                <w:rFonts w:eastAsia="Arial Unicode MS" w:cs="Arial"/>
                <w:sz w:val="12"/>
                <w:szCs w:val="18"/>
                <w:lang w:val="en-GB"/>
              </w:rPr>
            </w:pPr>
            <w:r>
              <w:rPr>
                <w:rFonts w:eastAsia="Arial Unicode MS" w:cs="Arial"/>
                <w:sz w:val="12"/>
                <w:szCs w:val="18"/>
                <w:lang w:val="en-GB"/>
              </w:rPr>
              <w:t>10.01</w:t>
            </w:r>
          </w:p>
        </w:tc>
        <w:tc>
          <w:tcPr>
            <w:tcW w:w="756" w:type="dxa"/>
            <w:shd w:val="clear" w:color="auto" w:fill="FFFFFF"/>
          </w:tcPr>
          <w:p w14:paraId="5CA138E4" w14:textId="6ED3D87B" w:rsidR="00204798" w:rsidRPr="000F0081" w:rsidRDefault="00204798" w:rsidP="00BC1809">
            <w:pPr>
              <w:pStyle w:val="CETBodytext"/>
              <w:ind w:right="-1"/>
              <w:rPr>
                <w:rFonts w:eastAsia="Arial Unicode MS" w:cs="Arial"/>
                <w:sz w:val="12"/>
                <w:szCs w:val="18"/>
                <w:lang w:val="en-GB"/>
              </w:rPr>
            </w:pPr>
            <w:r>
              <w:rPr>
                <w:rFonts w:eastAsia="Arial Unicode MS" w:cs="Arial"/>
                <w:sz w:val="12"/>
                <w:szCs w:val="18"/>
                <w:lang w:val="en-GB"/>
              </w:rPr>
              <w:t>1.44</w:t>
            </w:r>
          </w:p>
        </w:tc>
        <w:tc>
          <w:tcPr>
            <w:tcW w:w="756" w:type="dxa"/>
            <w:shd w:val="clear" w:color="auto" w:fill="FFFFFF"/>
          </w:tcPr>
          <w:p w14:paraId="3010607D" w14:textId="3CCD8AC9" w:rsidR="00204798" w:rsidRPr="000F0081" w:rsidRDefault="00BF29BB" w:rsidP="00BC1809">
            <w:pPr>
              <w:pStyle w:val="CETBodytext"/>
              <w:ind w:right="-1"/>
              <w:rPr>
                <w:rFonts w:eastAsia="Arial Unicode MS" w:cs="Arial"/>
                <w:sz w:val="12"/>
                <w:szCs w:val="18"/>
                <w:lang w:val="en-GB"/>
              </w:rPr>
            </w:pPr>
            <w:r>
              <w:rPr>
                <w:rFonts w:eastAsia="Arial Unicode MS" w:cs="Arial"/>
                <w:sz w:val="12"/>
                <w:szCs w:val="18"/>
                <w:lang w:val="en-GB"/>
              </w:rPr>
              <w:t>0.00</w:t>
            </w:r>
            <w:r w:rsidR="00204798">
              <w:rPr>
                <w:rFonts w:eastAsia="Arial Unicode MS" w:cs="Arial"/>
                <w:sz w:val="12"/>
                <w:szCs w:val="18"/>
                <w:lang w:val="en-GB"/>
              </w:rPr>
              <w:t>72</w:t>
            </w:r>
          </w:p>
        </w:tc>
        <w:tc>
          <w:tcPr>
            <w:tcW w:w="756" w:type="dxa"/>
            <w:shd w:val="clear" w:color="auto" w:fill="FFFFFF"/>
          </w:tcPr>
          <w:p w14:paraId="7F527732" w14:textId="251A1DB5" w:rsidR="00204798" w:rsidRPr="000F0081" w:rsidRDefault="00BF29BB" w:rsidP="00BC1809">
            <w:pPr>
              <w:pStyle w:val="CETBodytext"/>
              <w:ind w:right="-1"/>
              <w:rPr>
                <w:rFonts w:eastAsia="Arial Unicode MS" w:cs="Arial"/>
                <w:sz w:val="12"/>
                <w:szCs w:val="18"/>
                <w:lang w:val="en-GB"/>
              </w:rPr>
            </w:pPr>
            <w:r>
              <w:rPr>
                <w:rFonts w:eastAsia="Arial Unicode MS" w:cs="Arial"/>
                <w:sz w:val="12"/>
                <w:szCs w:val="18"/>
                <w:lang w:val="en-GB"/>
              </w:rPr>
              <w:t>0.00</w:t>
            </w:r>
            <w:r w:rsidR="00C45039">
              <w:rPr>
                <w:rFonts w:eastAsia="Arial Unicode MS" w:cs="Arial"/>
                <w:sz w:val="12"/>
                <w:szCs w:val="18"/>
                <w:lang w:val="en-GB"/>
              </w:rPr>
              <w:t>212</w:t>
            </w:r>
          </w:p>
        </w:tc>
        <w:tc>
          <w:tcPr>
            <w:tcW w:w="756" w:type="dxa"/>
            <w:shd w:val="clear" w:color="auto" w:fill="FFFFFF"/>
          </w:tcPr>
          <w:p w14:paraId="1C099D49" w14:textId="59478D60" w:rsidR="00204798" w:rsidRPr="000F0081" w:rsidRDefault="00BF29BB" w:rsidP="00BC1809">
            <w:pPr>
              <w:pStyle w:val="CETBodytext"/>
              <w:ind w:right="-1"/>
              <w:rPr>
                <w:rFonts w:eastAsia="Arial Unicode MS" w:cs="Arial"/>
                <w:sz w:val="12"/>
                <w:szCs w:val="18"/>
                <w:lang w:val="en-GB"/>
              </w:rPr>
            </w:pPr>
            <w:r>
              <w:rPr>
                <w:rFonts w:eastAsia="Arial Unicode MS" w:cs="Arial"/>
                <w:sz w:val="12"/>
                <w:szCs w:val="18"/>
                <w:lang w:val="en-GB"/>
              </w:rPr>
              <w:t>0.00</w:t>
            </w:r>
            <w:r w:rsidR="00204798">
              <w:rPr>
                <w:rFonts w:eastAsia="Arial Unicode MS" w:cs="Arial"/>
                <w:sz w:val="12"/>
                <w:szCs w:val="18"/>
                <w:lang w:val="en-GB"/>
              </w:rPr>
              <w:t>181</w:t>
            </w:r>
          </w:p>
        </w:tc>
        <w:tc>
          <w:tcPr>
            <w:tcW w:w="756" w:type="dxa"/>
            <w:shd w:val="clear" w:color="auto" w:fill="FFFFFF"/>
          </w:tcPr>
          <w:p w14:paraId="37E3AB1F" w14:textId="490FC318" w:rsidR="00204798" w:rsidRPr="000F0081" w:rsidRDefault="00C45039" w:rsidP="00BC1809">
            <w:pPr>
              <w:pStyle w:val="CETBodytext"/>
              <w:ind w:right="-1"/>
              <w:rPr>
                <w:rFonts w:eastAsia="Arial Unicode MS" w:cs="Arial"/>
                <w:sz w:val="12"/>
                <w:szCs w:val="18"/>
                <w:lang w:val="en-GB"/>
              </w:rPr>
            </w:pPr>
            <w:r>
              <w:rPr>
                <w:rFonts w:eastAsia="Arial Unicode MS" w:cs="Arial"/>
                <w:sz w:val="12"/>
                <w:szCs w:val="18"/>
                <w:lang w:val="en-GB"/>
              </w:rPr>
              <w:t>14.85</w:t>
            </w:r>
          </w:p>
        </w:tc>
      </w:tr>
      <w:tr w:rsidR="00204798" w:rsidRPr="007A3F90" w14:paraId="2545F2CC" w14:textId="77777777" w:rsidTr="00C45039">
        <w:tc>
          <w:tcPr>
            <w:tcW w:w="1985" w:type="dxa"/>
            <w:shd w:val="clear" w:color="auto" w:fill="FFFFFF"/>
          </w:tcPr>
          <w:p w14:paraId="047FFF84" w14:textId="0C42E6C4" w:rsidR="00204798" w:rsidRPr="007A3F90" w:rsidRDefault="00204798" w:rsidP="00BC1809">
            <w:pPr>
              <w:pStyle w:val="CETBodytext"/>
              <w:ind w:right="-1"/>
              <w:rPr>
                <w:rFonts w:eastAsia="Arial Unicode MS" w:cs="Arial"/>
                <w:sz w:val="14"/>
                <w:szCs w:val="18"/>
                <w:lang w:val="en-GB"/>
              </w:rPr>
            </w:pPr>
            <w:r>
              <w:rPr>
                <w:rFonts w:eastAsia="Arial Unicode MS" w:cs="Arial"/>
                <w:sz w:val="14"/>
                <w:lang w:val="en-GB"/>
              </w:rPr>
              <w:t>Sample 3</w:t>
            </w:r>
          </w:p>
        </w:tc>
        <w:tc>
          <w:tcPr>
            <w:tcW w:w="756" w:type="dxa"/>
            <w:shd w:val="clear" w:color="auto" w:fill="FFFFFF"/>
          </w:tcPr>
          <w:p w14:paraId="1083D86C" w14:textId="0C8907C0" w:rsidR="00204798" w:rsidRPr="000F0081" w:rsidRDefault="00C45039" w:rsidP="00BC1809">
            <w:pPr>
              <w:pStyle w:val="CETBodytext"/>
              <w:ind w:right="-1"/>
              <w:rPr>
                <w:rFonts w:eastAsia="Arial Unicode MS" w:cs="Arial"/>
                <w:sz w:val="12"/>
                <w:szCs w:val="18"/>
                <w:lang w:val="en-GB"/>
              </w:rPr>
            </w:pPr>
            <w:r>
              <w:rPr>
                <w:rFonts w:eastAsia="Arial Unicode MS" w:cs="Arial"/>
                <w:sz w:val="12"/>
                <w:szCs w:val="18"/>
                <w:lang w:val="en-GB"/>
              </w:rPr>
              <w:t>10.04</w:t>
            </w:r>
          </w:p>
        </w:tc>
        <w:tc>
          <w:tcPr>
            <w:tcW w:w="756" w:type="dxa"/>
            <w:shd w:val="clear" w:color="auto" w:fill="FFFFFF"/>
          </w:tcPr>
          <w:p w14:paraId="2D12594A" w14:textId="2EA00487" w:rsidR="00204798" w:rsidRPr="000F0081" w:rsidRDefault="00204798" w:rsidP="00BC1809">
            <w:pPr>
              <w:pStyle w:val="CETBodytext"/>
              <w:ind w:right="-1"/>
              <w:rPr>
                <w:rFonts w:eastAsia="Arial Unicode MS" w:cs="Arial"/>
                <w:sz w:val="12"/>
                <w:szCs w:val="18"/>
                <w:lang w:val="en-GB"/>
              </w:rPr>
            </w:pPr>
            <w:r>
              <w:rPr>
                <w:rFonts w:eastAsia="Arial Unicode MS" w:cs="Arial"/>
                <w:sz w:val="12"/>
                <w:szCs w:val="18"/>
                <w:lang w:val="en-GB"/>
              </w:rPr>
              <w:t>1.94</w:t>
            </w:r>
          </w:p>
        </w:tc>
        <w:tc>
          <w:tcPr>
            <w:tcW w:w="756" w:type="dxa"/>
            <w:shd w:val="clear" w:color="auto" w:fill="FFFFFF"/>
          </w:tcPr>
          <w:p w14:paraId="33F82C3F" w14:textId="2CF369D3" w:rsidR="00204798" w:rsidRPr="000F0081" w:rsidRDefault="00BF29BB" w:rsidP="00BC1809">
            <w:pPr>
              <w:pStyle w:val="CETBodytext"/>
              <w:ind w:right="-1"/>
              <w:rPr>
                <w:rFonts w:eastAsia="Arial Unicode MS" w:cs="Arial"/>
                <w:sz w:val="12"/>
                <w:szCs w:val="18"/>
                <w:lang w:val="en-GB"/>
              </w:rPr>
            </w:pPr>
            <w:r>
              <w:rPr>
                <w:rFonts w:eastAsia="Arial Unicode MS" w:cs="Arial"/>
                <w:sz w:val="12"/>
                <w:szCs w:val="18"/>
                <w:lang w:val="en-GB"/>
              </w:rPr>
              <w:t>0.0</w:t>
            </w:r>
            <w:r w:rsidR="00204798">
              <w:rPr>
                <w:rFonts w:eastAsia="Arial Unicode MS" w:cs="Arial"/>
                <w:sz w:val="12"/>
                <w:szCs w:val="18"/>
                <w:lang w:val="en-GB"/>
              </w:rPr>
              <w:t>102</w:t>
            </w:r>
          </w:p>
        </w:tc>
        <w:tc>
          <w:tcPr>
            <w:tcW w:w="756" w:type="dxa"/>
            <w:shd w:val="clear" w:color="auto" w:fill="FFFFFF"/>
          </w:tcPr>
          <w:p w14:paraId="52C647D9" w14:textId="64AE3937" w:rsidR="00204798" w:rsidRPr="000F0081" w:rsidRDefault="00BF29BB" w:rsidP="00BC1809">
            <w:pPr>
              <w:pStyle w:val="CETBodytext"/>
              <w:ind w:right="-1"/>
              <w:rPr>
                <w:rFonts w:eastAsia="Arial Unicode MS" w:cs="Arial"/>
                <w:sz w:val="12"/>
                <w:szCs w:val="18"/>
                <w:lang w:val="en-GB"/>
              </w:rPr>
            </w:pPr>
            <w:r>
              <w:rPr>
                <w:rFonts w:eastAsia="Arial Unicode MS" w:cs="Arial"/>
                <w:sz w:val="12"/>
                <w:szCs w:val="18"/>
                <w:lang w:val="en-GB"/>
              </w:rPr>
              <w:t>0.00</w:t>
            </w:r>
            <w:r w:rsidR="00C45039">
              <w:rPr>
                <w:rFonts w:eastAsia="Arial Unicode MS" w:cs="Arial"/>
                <w:sz w:val="12"/>
                <w:szCs w:val="18"/>
                <w:lang w:val="en-GB"/>
              </w:rPr>
              <w:t>287</w:t>
            </w:r>
          </w:p>
        </w:tc>
        <w:tc>
          <w:tcPr>
            <w:tcW w:w="756" w:type="dxa"/>
            <w:shd w:val="clear" w:color="auto" w:fill="FFFFFF"/>
          </w:tcPr>
          <w:p w14:paraId="129F9B47" w14:textId="71DDC1CD" w:rsidR="00204798" w:rsidRPr="000F0081" w:rsidRDefault="00BF29BB" w:rsidP="00BC1809">
            <w:pPr>
              <w:pStyle w:val="CETBodytext"/>
              <w:ind w:right="-1"/>
              <w:rPr>
                <w:rFonts w:eastAsia="Arial Unicode MS" w:cs="Arial"/>
                <w:sz w:val="12"/>
                <w:szCs w:val="18"/>
                <w:lang w:val="en-GB"/>
              </w:rPr>
            </w:pPr>
            <w:r>
              <w:rPr>
                <w:rFonts w:eastAsia="Arial Unicode MS" w:cs="Arial"/>
                <w:sz w:val="12"/>
                <w:szCs w:val="18"/>
                <w:lang w:val="en-GB"/>
              </w:rPr>
              <w:t>0.00</w:t>
            </w:r>
            <w:r w:rsidR="00204798">
              <w:rPr>
                <w:rFonts w:eastAsia="Arial Unicode MS" w:cs="Arial"/>
                <w:sz w:val="12"/>
                <w:szCs w:val="18"/>
                <w:lang w:val="en-GB"/>
              </w:rPr>
              <w:t>156</w:t>
            </w:r>
          </w:p>
        </w:tc>
        <w:tc>
          <w:tcPr>
            <w:tcW w:w="756" w:type="dxa"/>
            <w:shd w:val="clear" w:color="auto" w:fill="FFFFFF"/>
          </w:tcPr>
          <w:p w14:paraId="1014A047" w14:textId="51162732" w:rsidR="00204798" w:rsidRPr="000F0081" w:rsidRDefault="00C45039" w:rsidP="00BC1809">
            <w:pPr>
              <w:pStyle w:val="CETBodytext"/>
              <w:ind w:right="-1"/>
              <w:rPr>
                <w:rFonts w:eastAsia="Arial Unicode MS" w:cs="Arial"/>
                <w:sz w:val="12"/>
                <w:szCs w:val="18"/>
                <w:lang w:val="en-GB"/>
              </w:rPr>
            </w:pPr>
            <w:r>
              <w:rPr>
                <w:rFonts w:eastAsia="Arial Unicode MS" w:cs="Arial"/>
                <w:sz w:val="12"/>
                <w:szCs w:val="18"/>
                <w:lang w:val="en-GB"/>
              </w:rPr>
              <w:t>14.80</w:t>
            </w:r>
          </w:p>
        </w:tc>
      </w:tr>
      <w:tr w:rsidR="00204798" w:rsidRPr="007A3F90" w14:paraId="6D66C764" w14:textId="77777777" w:rsidTr="00C45039">
        <w:tc>
          <w:tcPr>
            <w:tcW w:w="1985" w:type="dxa"/>
            <w:shd w:val="clear" w:color="auto" w:fill="FFFFFF"/>
          </w:tcPr>
          <w:p w14:paraId="078052BC" w14:textId="5505D52D" w:rsidR="00204798" w:rsidRPr="007A3F90" w:rsidRDefault="00204798" w:rsidP="00BC1809">
            <w:pPr>
              <w:pStyle w:val="CETBodytext"/>
              <w:ind w:right="-1"/>
              <w:rPr>
                <w:rFonts w:eastAsia="Arial Unicode MS" w:cs="Arial"/>
                <w:sz w:val="14"/>
                <w:szCs w:val="18"/>
                <w:lang w:val="en-GB"/>
              </w:rPr>
            </w:pPr>
            <w:r>
              <w:rPr>
                <w:rFonts w:eastAsia="Arial Unicode MS" w:cs="Arial"/>
                <w:sz w:val="14"/>
                <w:lang w:val="en-GB"/>
              </w:rPr>
              <w:t>Sample 4</w:t>
            </w:r>
          </w:p>
        </w:tc>
        <w:tc>
          <w:tcPr>
            <w:tcW w:w="756" w:type="dxa"/>
            <w:shd w:val="clear" w:color="auto" w:fill="FFFFFF"/>
          </w:tcPr>
          <w:p w14:paraId="55F81EAA" w14:textId="444CFAE8" w:rsidR="00204798" w:rsidRPr="000F0081" w:rsidRDefault="00C45039" w:rsidP="00BC1809">
            <w:pPr>
              <w:pStyle w:val="CETBodytext"/>
              <w:ind w:right="-1"/>
              <w:rPr>
                <w:rFonts w:eastAsia="Arial Unicode MS" w:cs="Arial"/>
                <w:sz w:val="12"/>
                <w:szCs w:val="18"/>
                <w:lang w:val="en-GB"/>
              </w:rPr>
            </w:pPr>
            <w:r>
              <w:rPr>
                <w:rFonts w:eastAsia="Arial Unicode MS" w:cs="Arial"/>
                <w:sz w:val="12"/>
                <w:szCs w:val="18"/>
                <w:lang w:val="en-GB"/>
              </w:rPr>
              <w:t>9.77</w:t>
            </w:r>
          </w:p>
        </w:tc>
        <w:tc>
          <w:tcPr>
            <w:tcW w:w="756" w:type="dxa"/>
            <w:shd w:val="clear" w:color="auto" w:fill="FFFFFF"/>
          </w:tcPr>
          <w:p w14:paraId="2ABD4510" w14:textId="4CBF0E9D" w:rsidR="00204798" w:rsidRPr="000F0081" w:rsidRDefault="00204798" w:rsidP="00BC1809">
            <w:pPr>
              <w:pStyle w:val="CETBodytext"/>
              <w:ind w:right="-1"/>
              <w:rPr>
                <w:rFonts w:eastAsia="Arial Unicode MS" w:cs="Arial"/>
                <w:sz w:val="12"/>
                <w:szCs w:val="18"/>
                <w:lang w:val="en-GB"/>
              </w:rPr>
            </w:pPr>
            <w:r>
              <w:rPr>
                <w:rFonts w:eastAsia="Arial Unicode MS" w:cs="Arial"/>
                <w:sz w:val="12"/>
                <w:szCs w:val="18"/>
                <w:lang w:val="en-GB"/>
              </w:rPr>
              <w:t>1.97</w:t>
            </w:r>
          </w:p>
        </w:tc>
        <w:tc>
          <w:tcPr>
            <w:tcW w:w="756" w:type="dxa"/>
            <w:shd w:val="clear" w:color="auto" w:fill="FFFFFF"/>
          </w:tcPr>
          <w:p w14:paraId="3A0F4078" w14:textId="142F3E68" w:rsidR="00204798" w:rsidRPr="000F0081" w:rsidRDefault="00BF29BB" w:rsidP="00BC1809">
            <w:pPr>
              <w:pStyle w:val="CETBodytext"/>
              <w:ind w:right="-1"/>
              <w:rPr>
                <w:rFonts w:eastAsia="Arial Unicode MS" w:cs="Arial"/>
                <w:sz w:val="12"/>
                <w:szCs w:val="18"/>
                <w:lang w:val="en-GB"/>
              </w:rPr>
            </w:pPr>
            <w:r>
              <w:rPr>
                <w:rFonts w:eastAsia="Arial Unicode MS" w:cs="Arial"/>
                <w:sz w:val="12"/>
                <w:szCs w:val="18"/>
                <w:lang w:val="en-GB"/>
              </w:rPr>
              <w:t>0.0</w:t>
            </w:r>
            <w:r w:rsidR="00204798">
              <w:rPr>
                <w:rFonts w:eastAsia="Arial Unicode MS" w:cs="Arial"/>
                <w:sz w:val="12"/>
                <w:szCs w:val="18"/>
                <w:lang w:val="en-GB"/>
              </w:rPr>
              <w:t>105</w:t>
            </w:r>
          </w:p>
        </w:tc>
        <w:tc>
          <w:tcPr>
            <w:tcW w:w="756" w:type="dxa"/>
            <w:shd w:val="clear" w:color="auto" w:fill="FFFFFF"/>
          </w:tcPr>
          <w:p w14:paraId="76290445" w14:textId="67803947" w:rsidR="00204798" w:rsidRPr="000F0081" w:rsidRDefault="00BF29BB" w:rsidP="00BC1809">
            <w:pPr>
              <w:pStyle w:val="CETBodytext"/>
              <w:ind w:right="-1"/>
              <w:rPr>
                <w:rFonts w:eastAsia="Arial Unicode MS" w:cs="Arial"/>
                <w:sz w:val="12"/>
                <w:szCs w:val="18"/>
                <w:lang w:val="en-GB"/>
              </w:rPr>
            </w:pPr>
            <w:r>
              <w:rPr>
                <w:rFonts w:eastAsia="Arial Unicode MS" w:cs="Arial"/>
                <w:sz w:val="12"/>
                <w:szCs w:val="18"/>
                <w:lang w:val="en-GB"/>
              </w:rPr>
              <w:t>0.00</w:t>
            </w:r>
            <w:r w:rsidR="00C45039">
              <w:rPr>
                <w:rFonts w:eastAsia="Arial Unicode MS" w:cs="Arial"/>
                <w:sz w:val="12"/>
                <w:szCs w:val="18"/>
                <w:lang w:val="en-GB"/>
              </w:rPr>
              <w:t>31</w:t>
            </w:r>
          </w:p>
        </w:tc>
        <w:tc>
          <w:tcPr>
            <w:tcW w:w="756" w:type="dxa"/>
            <w:shd w:val="clear" w:color="auto" w:fill="FFFFFF"/>
          </w:tcPr>
          <w:p w14:paraId="74BD9B23" w14:textId="5A2C1525" w:rsidR="00204798" w:rsidRPr="000F0081" w:rsidRDefault="00BF29BB" w:rsidP="00BC1809">
            <w:pPr>
              <w:pStyle w:val="CETBodytext"/>
              <w:ind w:right="-1"/>
              <w:rPr>
                <w:rFonts w:eastAsia="Arial Unicode MS" w:cs="Arial"/>
                <w:sz w:val="12"/>
                <w:szCs w:val="18"/>
                <w:lang w:val="en-GB"/>
              </w:rPr>
            </w:pPr>
            <w:r>
              <w:rPr>
                <w:rFonts w:eastAsia="Arial Unicode MS" w:cs="Arial"/>
                <w:sz w:val="12"/>
                <w:szCs w:val="18"/>
                <w:lang w:val="en-GB"/>
              </w:rPr>
              <w:t>0.000</w:t>
            </w:r>
            <w:r w:rsidR="00204798">
              <w:rPr>
                <w:rFonts w:eastAsia="Arial Unicode MS" w:cs="Arial"/>
                <w:sz w:val="12"/>
                <w:szCs w:val="18"/>
                <w:lang w:val="en-GB"/>
              </w:rPr>
              <w:t>77</w:t>
            </w:r>
          </w:p>
        </w:tc>
        <w:tc>
          <w:tcPr>
            <w:tcW w:w="756" w:type="dxa"/>
            <w:shd w:val="clear" w:color="auto" w:fill="FFFFFF"/>
          </w:tcPr>
          <w:p w14:paraId="28F58035" w14:textId="223A44CD" w:rsidR="00204798" w:rsidRPr="000F0081" w:rsidRDefault="00C45039" w:rsidP="00BC1809">
            <w:pPr>
              <w:pStyle w:val="CETBodytext"/>
              <w:ind w:right="-1"/>
              <w:rPr>
                <w:rFonts w:eastAsia="Arial Unicode MS" w:cs="Arial"/>
                <w:sz w:val="12"/>
                <w:szCs w:val="18"/>
                <w:lang w:val="en-GB"/>
              </w:rPr>
            </w:pPr>
            <w:r>
              <w:rPr>
                <w:rFonts w:eastAsia="Arial Unicode MS" w:cs="Arial"/>
                <w:sz w:val="12"/>
                <w:szCs w:val="18"/>
                <w:lang w:val="en-GB"/>
              </w:rPr>
              <w:t>14.93</w:t>
            </w:r>
          </w:p>
        </w:tc>
      </w:tr>
      <w:tr w:rsidR="00204798" w:rsidRPr="007A3F90" w14:paraId="60F8E4F9" w14:textId="77777777" w:rsidTr="00C45039">
        <w:tc>
          <w:tcPr>
            <w:tcW w:w="1985" w:type="dxa"/>
            <w:shd w:val="clear" w:color="auto" w:fill="FFFFFF"/>
          </w:tcPr>
          <w:p w14:paraId="1AFC443C" w14:textId="2D42877B" w:rsidR="00204798" w:rsidRPr="007A3F90" w:rsidRDefault="00204798" w:rsidP="00BC1809">
            <w:pPr>
              <w:pStyle w:val="CETBodytext"/>
              <w:ind w:right="-1"/>
              <w:rPr>
                <w:rFonts w:eastAsia="Arial Unicode MS" w:cs="Arial"/>
                <w:sz w:val="14"/>
                <w:szCs w:val="18"/>
                <w:lang w:val="en-GB"/>
              </w:rPr>
            </w:pPr>
            <w:r>
              <w:rPr>
                <w:rFonts w:eastAsia="Arial Unicode MS" w:cs="Arial"/>
                <w:sz w:val="14"/>
                <w:lang w:val="en-GB"/>
              </w:rPr>
              <w:t>Sample 5</w:t>
            </w:r>
          </w:p>
        </w:tc>
        <w:tc>
          <w:tcPr>
            <w:tcW w:w="756" w:type="dxa"/>
            <w:shd w:val="clear" w:color="auto" w:fill="FFFFFF"/>
          </w:tcPr>
          <w:p w14:paraId="5918CB56" w14:textId="1FAE684D" w:rsidR="00204798" w:rsidRPr="000F0081" w:rsidRDefault="00C45039" w:rsidP="00BC1809">
            <w:pPr>
              <w:pStyle w:val="CETBodytext"/>
              <w:ind w:right="-1"/>
              <w:rPr>
                <w:rFonts w:eastAsia="Arial Unicode MS" w:cs="Arial"/>
                <w:sz w:val="12"/>
                <w:szCs w:val="18"/>
                <w:lang w:val="en-GB"/>
              </w:rPr>
            </w:pPr>
            <w:r>
              <w:rPr>
                <w:rFonts w:eastAsia="Arial Unicode MS" w:cs="Arial"/>
                <w:sz w:val="12"/>
                <w:szCs w:val="18"/>
                <w:lang w:val="en-GB"/>
              </w:rPr>
              <w:t>9.98</w:t>
            </w:r>
          </w:p>
        </w:tc>
        <w:tc>
          <w:tcPr>
            <w:tcW w:w="756" w:type="dxa"/>
            <w:shd w:val="clear" w:color="auto" w:fill="FFFFFF"/>
          </w:tcPr>
          <w:p w14:paraId="273D823A" w14:textId="01F09FC9" w:rsidR="00204798" w:rsidRPr="000F0081" w:rsidRDefault="00204798" w:rsidP="00BC1809">
            <w:pPr>
              <w:pStyle w:val="CETBodytext"/>
              <w:ind w:right="-1"/>
              <w:rPr>
                <w:rFonts w:eastAsia="Arial Unicode MS" w:cs="Arial"/>
                <w:sz w:val="12"/>
                <w:szCs w:val="18"/>
                <w:lang w:val="en-GB"/>
              </w:rPr>
            </w:pPr>
            <w:r>
              <w:rPr>
                <w:rFonts w:eastAsia="Arial Unicode MS" w:cs="Arial"/>
                <w:sz w:val="12"/>
                <w:szCs w:val="18"/>
                <w:lang w:val="en-GB"/>
              </w:rPr>
              <w:t>1.89</w:t>
            </w:r>
          </w:p>
        </w:tc>
        <w:tc>
          <w:tcPr>
            <w:tcW w:w="756" w:type="dxa"/>
            <w:shd w:val="clear" w:color="auto" w:fill="FFFFFF"/>
          </w:tcPr>
          <w:p w14:paraId="7DB9B8B1" w14:textId="2422362E" w:rsidR="00204798" w:rsidRPr="000F0081" w:rsidRDefault="00BF29BB" w:rsidP="00BC1809">
            <w:pPr>
              <w:pStyle w:val="CETBodytext"/>
              <w:ind w:right="-1"/>
              <w:rPr>
                <w:rFonts w:eastAsia="Arial Unicode MS" w:cs="Arial"/>
                <w:sz w:val="12"/>
                <w:szCs w:val="18"/>
                <w:lang w:val="en-GB"/>
              </w:rPr>
            </w:pPr>
            <w:r>
              <w:rPr>
                <w:rFonts w:eastAsia="Arial Unicode MS" w:cs="Arial"/>
                <w:sz w:val="12"/>
                <w:szCs w:val="18"/>
                <w:lang w:val="en-GB"/>
              </w:rPr>
              <w:t>0.00</w:t>
            </w:r>
            <w:r w:rsidR="00204798">
              <w:rPr>
                <w:rFonts w:eastAsia="Arial Unicode MS" w:cs="Arial"/>
                <w:sz w:val="12"/>
                <w:szCs w:val="18"/>
                <w:lang w:val="en-GB"/>
              </w:rPr>
              <w:t>928</w:t>
            </w:r>
          </w:p>
        </w:tc>
        <w:tc>
          <w:tcPr>
            <w:tcW w:w="756" w:type="dxa"/>
            <w:shd w:val="clear" w:color="auto" w:fill="FFFFFF"/>
          </w:tcPr>
          <w:p w14:paraId="58EF6565" w14:textId="7C2F568D" w:rsidR="00204798" w:rsidRPr="000F0081" w:rsidRDefault="00BF29BB" w:rsidP="00BC1809">
            <w:pPr>
              <w:pStyle w:val="CETBodytext"/>
              <w:ind w:right="-1"/>
              <w:rPr>
                <w:rFonts w:eastAsia="Arial Unicode MS" w:cs="Arial"/>
                <w:sz w:val="12"/>
                <w:szCs w:val="18"/>
                <w:lang w:val="en-GB"/>
              </w:rPr>
            </w:pPr>
            <w:r>
              <w:rPr>
                <w:rFonts w:eastAsia="Arial Unicode MS" w:cs="Arial"/>
                <w:sz w:val="12"/>
                <w:szCs w:val="18"/>
                <w:lang w:val="en-GB"/>
              </w:rPr>
              <w:t>0.00</w:t>
            </w:r>
            <w:r w:rsidR="00C45039">
              <w:rPr>
                <w:rFonts w:eastAsia="Arial Unicode MS" w:cs="Arial"/>
                <w:sz w:val="12"/>
                <w:szCs w:val="18"/>
                <w:lang w:val="en-GB"/>
              </w:rPr>
              <w:t>238</w:t>
            </w:r>
          </w:p>
        </w:tc>
        <w:tc>
          <w:tcPr>
            <w:tcW w:w="756" w:type="dxa"/>
            <w:shd w:val="clear" w:color="auto" w:fill="FFFFFF"/>
          </w:tcPr>
          <w:p w14:paraId="0B1AEAF9" w14:textId="6EE90DAA" w:rsidR="00204798" w:rsidRPr="000F0081" w:rsidRDefault="00BF29BB" w:rsidP="00BC1809">
            <w:pPr>
              <w:pStyle w:val="CETBodytext"/>
              <w:ind w:right="-1"/>
              <w:rPr>
                <w:rFonts w:eastAsia="Arial Unicode MS" w:cs="Arial"/>
                <w:sz w:val="12"/>
                <w:szCs w:val="18"/>
                <w:lang w:val="en-GB"/>
              </w:rPr>
            </w:pPr>
            <w:r>
              <w:rPr>
                <w:rFonts w:eastAsia="Arial Unicode MS" w:cs="Arial"/>
                <w:sz w:val="12"/>
                <w:szCs w:val="18"/>
                <w:lang w:val="en-GB"/>
              </w:rPr>
              <w:t>0.000</w:t>
            </w:r>
            <w:r w:rsidR="00204798">
              <w:rPr>
                <w:rFonts w:eastAsia="Arial Unicode MS" w:cs="Arial"/>
                <w:sz w:val="12"/>
                <w:szCs w:val="18"/>
                <w:lang w:val="en-GB"/>
              </w:rPr>
              <w:t>88</w:t>
            </w:r>
          </w:p>
        </w:tc>
        <w:tc>
          <w:tcPr>
            <w:tcW w:w="756" w:type="dxa"/>
            <w:shd w:val="clear" w:color="auto" w:fill="FFFFFF"/>
          </w:tcPr>
          <w:p w14:paraId="22B518D1" w14:textId="2AAB022F" w:rsidR="00204798" w:rsidRPr="000F0081" w:rsidRDefault="00C45039" w:rsidP="00BC1809">
            <w:pPr>
              <w:pStyle w:val="CETBodytext"/>
              <w:ind w:right="-1"/>
              <w:rPr>
                <w:rFonts w:eastAsia="Arial Unicode MS" w:cs="Arial"/>
                <w:sz w:val="12"/>
                <w:szCs w:val="18"/>
                <w:lang w:val="en-GB"/>
              </w:rPr>
            </w:pPr>
            <w:r>
              <w:rPr>
                <w:rFonts w:eastAsia="Arial Unicode MS" w:cs="Arial"/>
                <w:sz w:val="12"/>
                <w:szCs w:val="18"/>
                <w:lang w:val="en-GB"/>
              </w:rPr>
              <w:t>15.04</w:t>
            </w:r>
          </w:p>
        </w:tc>
      </w:tr>
      <w:tr w:rsidR="00204798" w:rsidRPr="007A3F90" w14:paraId="0297DF75" w14:textId="77777777" w:rsidTr="00C45039">
        <w:tc>
          <w:tcPr>
            <w:tcW w:w="1985" w:type="dxa"/>
            <w:shd w:val="clear" w:color="auto" w:fill="FFFFFF"/>
          </w:tcPr>
          <w:p w14:paraId="4775045D" w14:textId="75974114" w:rsidR="00204798" w:rsidRPr="007A3F90" w:rsidRDefault="00204798" w:rsidP="00BC1809">
            <w:pPr>
              <w:pStyle w:val="CETBodytext"/>
              <w:ind w:right="-1"/>
              <w:rPr>
                <w:rFonts w:eastAsia="Arial Unicode MS" w:cs="Arial"/>
                <w:sz w:val="14"/>
                <w:szCs w:val="18"/>
                <w:lang w:val="en-GB"/>
              </w:rPr>
            </w:pPr>
            <w:r>
              <w:rPr>
                <w:rFonts w:eastAsia="Arial Unicode MS" w:cs="Arial"/>
                <w:sz w:val="14"/>
                <w:lang w:val="en-GB"/>
              </w:rPr>
              <w:t>Sample 6</w:t>
            </w:r>
          </w:p>
        </w:tc>
        <w:tc>
          <w:tcPr>
            <w:tcW w:w="756" w:type="dxa"/>
            <w:shd w:val="clear" w:color="auto" w:fill="FFFFFF"/>
          </w:tcPr>
          <w:p w14:paraId="6B69D3B0" w14:textId="2C840426" w:rsidR="00204798" w:rsidRPr="000F0081" w:rsidRDefault="00C45039" w:rsidP="00BC1809">
            <w:pPr>
              <w:pStyle w:val="CETBodytext"/>
              <w:ind w:right="-1"/>
              <w:rPr>
                <w:rFonts w:eastAsia="Arial Unicode MS" w:cs="Arial"/>
                <w:sz w:val="12"/>
                <w:szCs w:val="18"/>
                <w:lang w:val="en-GB"/>
              </w:rPr>
            </w:pPr>
            <w:r>
              <w:rPr>
                <w:rFonts w:eastAsia="Arial Unicode MS" w:cs="Arial"/>
                <w:sz w:val="12"/>
                <w:szCs w:val="18"/>
                <w:lang w:val="en-GB"/>
              </w:rPr>
              <w:t>10.02</w:t>
            </w:r>
          </w:p>
        </w:tc>
        <w:tc>
          <w:tcPr>
            <w:tcW w:w="756" w:type="dxa"/>
            <w:shd w:val="clear" w:color="auto" w:fill="FFFFFF"/>
          </w:tcPr>
          <w:p w14:paraId="55EAF3A8" w14:textId="70F1E17C" w:rsidR="00204798" w:rsidRPr="000F0081" w:rsidRDefault="00204798" w:rsidP="00BC1809">
            <w:pPr>
              <w:pStyle w:val="CETBodytext"/>
              <w:ind w:right="-1"/>
              <w:rPr>
                <w:rFonts w:eastAsia="Arial Unicode MS" w:cs="Arial"/>
                <w:sz w:val="12"/>
                <w:szCs w:val="18"/>
                <w:lang w:val="en-GB"/>
              </w:rPr>
            </w:pPr>
            <w:r>
              <w:rPr>
                <w:rFonts w:eastAsia="Arial Unicode MS" w:cs="Arial"/>
                <w:sz w:val="12"/>
                <w:szCs w:val="18"/>
                <w:lang w:val="en-GB"/>
              </w:rPr>
              <w:t>1.91</w:t>
            </w:r>
          </w:p>
        </w:tc>
        <w:tc>
          <w:tcPr>
            <w:tcW w:w="756" w:type="dxa"/>
            <w:shd w:val="clear" w:color="auto" w:fill="FFFFFF"/>
          </w:tcPr>
          <w:p w14:paraId="31926373" w14:textId="0B3FFC47" w:rsidR="00204798" w:rsidRPr="000F0081" w:rsidRDefault="00BF29BB" w:rsidP="00BC1809">
            <w:pPr>
              <w:pStyle w:val="CETBodytext"/>
              <w:ind w:right="-1"/>
              <w:rPr>
                <w:rFonts w:eastAsia="Arial Unicode MS" w:cs="Arial"/>
                <w:sz w:val="12"/>
                <w:szCs w:val="18"/>
                <w:lang w:val="en-GB"/>
              </w:rPr>
            </w:pPr>
            <w:r>
              <w:rPr>
                <w:rFonts w:eastAsia="Arial Unicode MS" w:cs="Arial"/>
                <w:sz w:val="12"/>
                <w:szCs w:val="18"/>
                <w:lang w:val="en-GB"/>
              </w:rPr>
              <w:t>0.00</w:t>
            </w:r>
            <w:r w:rsidR="00204798">
              <w:rPr>
                <w:rFonts w:eastAsia="Arial Unicode MS" w:cs="Arial"/>
                <w:sz w:val="12"/>
                <w:szCs w:val="18"/>
                <w:lang w:val="en-GB"/>
              </w:rPr>
              <w:t>95</w:t>
            </w:r>
          </w:p>
        </w:tc>
        <w:tc>
          <w:tcPr>
            <w:tcW w:w="756" w:type="dxa"/>
            <w:shd w:val="clear" w:color="auto" w:fill="FFFFFF"/>
          </w:tcPr>
          <w:p w14:paraId="57FE1070" w14:textId="1C5F5C6D" w:rsidR="00204798" w:rsidRPr="000F0081" w:rsidRDefault="00BF29BB" w:rsidP="00BC1809">
            <w:pPr>
              <w:pStyle w:val="CETBodytext"/>
              <w:ind w:right="-1"/>
              <w:rPr>
                <w:rFonts w:eastAsia="Arial Unicode MS" w:cs="Arial"/>
                <w:sz w:val="12"/>
                <w:szCs w:val="18"/>
                <w:lang w:val="en-GB"/>
              </w:rPr>
            </w:pPr>
            <w:r>
              <w:rPr>
                <w:rFonts w:eastAsia="Arial Unicode MS" w:cs="Arial"/>
                <w:sz w:val="12"/>
                <w:szCs w:val="18"/>
                <w:lang w:val="en-GB"/>
              </w:rPr>
              <w:t>0.00</w:t>
            </w:r>
            <w:r w:rsidR="00C45039">
              <w:rPr>
                <w:rFonts w:eastAsia="Arial Unicode MS" w:cs="Arial"/>
                <w:sz w:val="12"/>
                <w:szCs w:val="18"/>
                <w:lang w:val="en-GB"/>
              </w:rPr>
              <w:t>266</w:t>
            </w:r>
          </w:p>
        </w:tc>
        <w:tc>
          <w:tcPr>
            <w:tcW w:w="756" w:type="dxa"/>
            <w:shd w:val="clear" w:color="auto" w:fill="FFFFFF"/>
          </w:tcPr>
          <w:p w14:paraId="73863359" w14:textId="186B9E09" w:rsidR="00204798" w:rsidRPr="000F0081" w:rsidRDefault="00BF29BB" w:rsidP="00BC1809">
            <w:pPr>
              <w:pStyle w:val="CETBodytext"/>
              <w:ind w:right="-1"/>
              <w:rPr>
                <w:rFonts w:eastAsia="Arial Unicode MS" w:cs="Arial"/>
                <w:sz w:val="12"/>
                <w:szCs w:val="18"/>
                <w:lang w:val="en-GB"/>
              </w:rPr>
            </w:pPr>
            <w:r>
              <w:rPr>
                <w:rFonts w:eastAsia="Arial Unicode MS" w:cs="Arial"/>
                <w:sz w:val="12"/>
                <w:szCs w:val="18"/>
                <w:lang w:val="en-GB"/>
              </w:rPr>
              <w:t>0.000</w:t>
            </w:r>
            <w:r w:rsidR="00204798">
              <w:rPr>
                <w:rFonts w:eastAsia="Arial Unicode MS" w:cs="Arial"/>
                <w:sz w:val="12"/>
                <w:szCs w:val="18"/>
                <w:lang w:val="en-GB"/>
              </w:rPr>
              <w:t>57</w:t>
            </w:r>
          </w:p>
        </w:tc>
        <w:tc>
          <w:tcPr>
            <w:tcW w:w="756" w:type="dxa"/>
            <w:shd w:val="clear" w:color="auto" w:fill="FFFFFF"/>
          </w:tcPr>
          <w:p w14:paraId="7E6CE506" w14:textId="7F52AA59" w:rsidR="00204798" w:rsidRPr="000F0081" w:rsidRDefault="00C45039" w:rsidP="00BC1809">
            <w:pPr>
              <w:pStyle w:val="CETBodytext"/>
              <w:ind w:right="-1"/>
              <w:rPr>
                <w:rFonts w:eastAsia="Arial Unicode MS" w:cs="Arial"/>
                <w:sz w:val="12"/>
                <w:szCs w:val="18"/>
                <w:lang w:val="en-GB"/>
              </w:rPr>
            </w:pPr>
            <w:r>
              <w:rPr>
                <w:rFonts w:eastAsia="Arial Unicode MS" w:cs="Arial"/>
                <w:sz w:val="12"/>
                <w:szCs w:val="18"/>
                <w:lang w:val="en-GB"/>
              </w:rPr>
              <w:t>14.96</w:t>
            </w:r>
          </w:p>
        </w:tc>
      </w:tr>
      <w:tr w:rsidR="00204798" w:rsidRPr="007A3F90" w14:paraId="302E8798" w14:textId="77777777" w:rsidTr="00C45039">
        <w:tc>
          <w:tcPr>
            <w:tcW w:w="1985" w:type="dxa"/>
            <w:shd w:val="clear" w:color="auto" w:fill="FFFFFF"/>
          </w:tcPr>
          <w:p w14:paraId="17643551" w14:textId="4D4DFBED" w:rsidR="00204798" w:rsidRPr="007A3F90" w:rsidRDefault="00204798" w:rsidP="00BC1809">
            <w:pPr>
              <w:pStyle w:val="CETBodytext"/>
              <w:ind w:right="-1"/>
              <w:rPr>
                <w:rFonts w:eastAsia="Arial Unicode MS" w:cs="Arial"/>
                <w:sz w:val="14"/>
                <w:szCs w:val="18"/>
                <w:lang w:val="en-GB"/>
              </w:rPr>
            </w:pPr>
            <w:r>
              <w:rPr>
                <w:rFonts w:eastAsia="Arial Unicode MS" w:cs="Arial"/>
                <w:sz w:val="14"/>
                <w:lang w:val="en-GB"/>
              </w:rPr>
              <w:t>Sample 7</w:t>
            </w:r>
          </w:p>
        </w:tc>
        <w:tc>
          <w:tcPr>
            <w:tcW w:w="756" w:type="dxa"/>
            <w:shd w:val="clear" w:color="auto" w:fill="FFFFFF"/>
          </w:tcPr>
          <w:p w14:paraId="08D30A0F" w14:textId="3F92DC1C" w:rsidR="00204798" w:rsidRPr="000F0081" w:rsidRDefault="00C45039" w:rsidP="00BC1809">
            <w:pPr>
              <w:pStyle w:val="CETBodytext"/>
              <w:ind w:right="-1"/>
              <w:rPr>
                <w:rFonts w:eastAsia="Arial Unicode MS" w:cs="Arial"/>
                <w:sz w:val="12"/>
                <w:szCs w:val="18"/>
                <w:lang w:val="en-GB"/>
              </w:rPr>
            </w:pPr>
            <w:r>
              <w:rPr>
                <w:rFonts w:eastAsia="Arial Unicode MS" w:cs="Arial"/>
                <w:sz w:val="12"/>
                <w:szCs w:val="18"/>
                <w:lang w:val="en-GB"/>
              </w:rPr>
              <w:t>9.83</w:t>
            </w:r>
          </w:p>
        </w:tc>
        <w:tc>
          <w:tcPr>
            <w:tcW w:w="756" w:type="dxa"/>
            <w:shd w:val="clear" w:color="auto" w:fill="FFFFFF"/>
          </w:tcPr>
          <w:p w14:paraId="23359CB8" w14:textId="588B2008" w:rsidR="00204798" w:rsidRPr="000F0081" w:rsidRDefault="00204798" w:rsidP="00BC1809">
            <w:pPr>
              <w:pStyle w:val="CETBodytext"/>
              <w:ind w:right="-1"/>
              <w:rPr>
                <w:rFonts w:eastAsia="Arial Unicode MS" w:cs="Arial"/>
                <w:sz w:val="12"/>
                <w:szCs w:val="18"/>
                <w:lang w:val="en-GB"/>
              </w:rPr>
            </w:pPr>
            <w:r>
              <w:rPr>
                <w:rFonts w:eastAsia="Arial Unicode MS" w:cs="Arial"/>
                <w:sz w:val="12"/>
                <w:szCs w:val="18"/>
                <w:lang w:val="en-GB"/>
              </w:rPr>
              <w:t>1.93</w:t>
            </w:r>
          </w:p>
        </w:tc>
        <w:tc>
          <w:tcPr>
            <w:tcW w:w="756" w:type="dxa"/>
            <w:shd w:val="clear" w:color="auto" w:fill="FFFFFF"/>
          </w:tcPr>
          <w:p w14:paraId="5ACA0C51" w14:textId="6AE106FF" w:rsidR="00204798" w:rsidRPr="000F0081" w:rsidRDefault="00BF29BB" w:rsidP="00BC1809">
            <w:pPr>
              <w:pStyle w:val="CETBodytext"/>
              <w:ind w:right="-1"/>
              <w:rPr>
                <w:rFonts w:eastAsia="Arial Unicode MS" w:cs="Arial"/>
                <w:sz w:val="12"/>
                <w:szCs w:val="18"/>
                <w:lang w:val="en-GB"/>
              </w:rPr>
            </w:pPr>
            <w:r>
              <w:rPr>
                <w:rFonts w:eastAsia="Arial Unicode MS" w:cs="Arial"/>
                <w:sz w:val="12"/>
                <w:szCs w:val="18"/>
                <w:lang w:val="en-GB"/>
              </w:rPr>
              <w:t>0.0</w:t>
            </w:r>
            <w:r w:rsidR="00204798">
              <w:rPr>
                <w:rFonts w:eastAsia="Arial Unicode MS" w:cs="Arial"/>
                <w:sz w:val="12"/>
                <w:szCs w:val="18"/>
                <w:lang w:val="en-GB"/>
              </w:rPr>
              <w:t>146</w:t>
            </w:r>
          </w:p>
        </w:tc>
        <w:tc>
          <w:tcPr>
            <w:tcW w:w="756" w:type="dxa"/>
            <w:shd w:val="clear" w:color="auto" w:fill="FFFFFF"/>
          </w:tcPr>
          <w:p w14:paraId="14477896" w14:textId="2A15D57C" w:rsidR="00204798" w:rsidRPr="000F0081" w:rsidRDefault="00BF29BB" w:rsidP="00BC1809">
            <w:pPr>
              <w:pStyle w:val="CETBodytext"/>
              <w:ind w:right="-1"/>
              <w:rPr>
                <w:rFonts w:eastAsia="Arial Unicode MS" w:cs="Arial"/>
                <w:sz w:val="12"/>
                <w:szCs w:val="18"/>
                <w:lang w:val="en-GB"/>
              </w:rPr>
            </w:pPr>
            <w:r>
              <w:rPr>
                <w:rFonts w:eastAsia="Arial Unicode MS" w:cs="Arial"/>
                <w:sz w:val="12"/>
                <w:szCs w:val="18"/>
                <w:lang w:val="en-GB"/>
              </w:rPr>
              <w:t>0.00</w:t>
            </w:r>
            <w:r w:rsidR="00C45039">
              <w:rPr>
                <w:rFonts w:eastAsia="Arial Unicode MS" w:cs="Arial"/>
                <w:sz w:val="12"/>
                <w:szCs w:val="18"/>
                <w:lang w:val="en-GB"/>
              </w:rPr>
              <w:t>720</w:t>
            </w:r>
          </w:p>
        </w:tc>
        <w:tc>
          <w:tcPr>
            <w:tcW w:w="756" w:type="dxa"/>
            <w:shd w:val="clear" w:color="auto" w:fill="FFFFFF"/>
          </w:tcPr>
          <w:p w14:paraId="6B75BD8F" w14:textId="5C872B05" w:rsidR="00204798" w:rsidRPr="000F0081" w:rsidRDefault="00BF29BB" w:rsidP="00BC1809">
            <w:pPr>
              <w:pStyle w:val="CETBodytext"/>
              <w:ind w:right="-1"/>
              <w:rPr>
                <w:rFonts w:eastAsia="Arial Unicode MS" w:cs="Arial"/>
                <w:sz w:val="12"/>
                <w:szCs w:val="18"/>
                <w:lang w:val="en-GB"/>
              </w:rPr>
            </w:pPr>
            <w:r>
              <w:rPr>
                <w:rFonts w:eastAsia="Arial Unicode MS" w:cs="Arial"/>
                <w:sz w:val="12"/>
                <w:szCs w:val="18"/>
                <w:lang w:val="en-GB"/>
              </w:rPr>
              <w:t>0.000</w:t>
            </w:r>
            <w:r w:rsidR="00204798">
              <w:rPr>
                <w:rFonts w:eastAsia="Arial Unicode MS" w:cs="Arial"/>
                <w:sz w:val="12"/>
                <w:szCs w:val="18"/>
                <w:lang w:val="en-GB"/>
              </w:rPr>
              <w:t>69</w:t>
            </w:r>
          </w:p>
        </w:tc>
        <w:tc>
          <w:tcPr>
            <w:tcW w:w="756" w:type="dxa"/>
            <w:shd w:val="clear" w:color="auto" w:fill="FFFFFF"/>
          </w:tcPr>
          <w:p w14:paraId="1EF60EB0" w14:textId="5FB23BF8" w:rsidR="00204798" w:rsidRPr="000F0081" w:rsidRDefault="00C45039" w:rsidP="00BC1809">
            <w:pPr>
              <w:pStyle w:val="CETBodytext"/>
              <w:ind w:right="-1"/>
              <w:rPr>
                <w:rFonts w:eastAsia="Arial Unicode MS" w:cs="Arial"/>
                <w:sz w:val="12"/>
                <w:szCs w:val="18"/>
                <w:lang w:val="en-GB"/>
              </w:rPr>
            </w:pPr>
            <w:r>
              <w:rPr>
                <w:rFonts w:eastAsia="Arial Unicode MS" w:cs="Arial"/>
                <w:sz w:val="12"/>
                <w:szCs w:val="18"/>
                <w:lang w:val="en-GB"/>
              </w:rPr>
              <w:t>14.68</w:t>
            </w:r>
          </w:p>
        </w:tc>
      </w:tr>
    </w:tbl>
    <w:p w14:paraId="6F49B888" w14:textId="18599751" w:rsidR="00930617" w:rsidRPr="00AD4933" w:rsidRDefault="00930617" w:rsidP="00930617">
      <w:pPr>
        <w:pStyle w:val="CETBodytext"/>
        <w:rPr>
          <w:sz w:val="16"/>
        </w:rPr>
      </w:pPr>
      <w:r w:rsidRPr="00AD4933">
        <w:rPr>
          <w:sz w:val="16"/>
        </w:rPr>
        <w:t xml:space="preserve">All units are </w:t>
      </w:r>
      <w:proofErr w:type="spellStart"/>
      <w:r w:rsidRPr="00AD4933">
        <w:rPr>
          <w:sz w:val="16"/>
        </w:rPr>
        <w:t>wt</w:t>
      </w:r>
      <w:proofErr w:type="spellEnd"/>
      <w:r w:rsidRPr="00AD4933">
        <w:rPr>
          <w:sz w:val="16"/>
        </w:rPr>
        <w:t>%</w:t>
      </w:r>
      <w:r w:rsidR="00C45039">
        <w:rPr>
          <w:sz w:val="16"/>
        </w:rPr>
        <w:t>.</w:t>
      </w:r>
    </w:p>
    <w:p w14:paraId="117BC4D4" w14:textId="41A3023B" w:rsidR="003E13DC" w:rsidRPr="003E13DC" w:rsidRDefault="003E13DC" w:rsidP="003E13DC">
      <w:pPr>
        <w:pStyle w:val="CETHeading1"/>
        <w:tabs>
          <w:tab w:val="num" w:pos="360"/>
        </w:tabs>
      </w:pPr>
      <w:r w:rsidRPr="003E13DC">
        <w:lastRenderedPageBreak/>
        <w:t>Experimentation</w:t>
      </w:r>
    </w:p>
    <w:p w14:paraId="14F44546" w14:textId="1D7F20BC" w:rsidR="003E13DC" w:rsidRPr="00D5609B" w:rsidRDefault="003E13DC" w:rsidP="00D5609B">
      <w:pPr>
        <w:pStyle w:val="CETheadingx"/>
        <w:ind w:left="425"/>
      </w:pPr>
      <w:r w:rsidRPr="00D5609B">
        <w:t>Precipitation tests on aqueous solution of LiCl</w:t>
      </w:r>
    </w:p>
    <w:p w14:paraId="6371D2D9" w14:textId="4C7E9EDC" w:rsidR="003E13DC" w:rsidRPr="003E13DC" w:rsidRDefault="003E13DC" w:rsidP="003E13DC">
      <w:pPr>
        <w:pStyle w:val="CETBodytext"/>
      </w:pPr>
      <w:r w:rsidRPr="003E13DC">
        <w:t xml:space="preserve">Initial precipitation tests were conducted on solutions of LiCl in water at various concentrations. Phosphate was added, either solid, in the form of </w:t>
      </w:r>
      <w:r w:rsidR="00977312" w:rsidRPr="00977312">
        <w:t>Na</w:t>
      </w:r>
      <w:r w:rsidR="00977312" w:rsidRPr="00977312">
        <w:rPr>
          <w:vertAlign w:val="subscript"/>
        </w:rPr>
        <w:t>3</w:t>
      </w:r>
      <w:r w:rsidR="00977312" w:rsidRPr="00977312">
        <w:t>PO</w:t>
      </w:r>
      <w:r w:rsidR="00977312" w:rsidRPr="00977312">
        <w:rPr>
          <w:vertAlign w:val="subscript"/>
        </w:rPr>
        <w:t>4</w:t>
      </w:r>
      <w:r w:rsidR="00977312" w:rsidRPr="00977312">
        <w:t>•12H</w:t>
      </w:r>
      <w:r w:rsidR="00977312" w:rsidRPr="00977312">
        <w:rPr>
          <w:vertAlign w:val="subscript"/>
        </w:rPr>
        <w:t>2</w:t>
      </w:r>
      <w:r w:rsidR="00977312" w:rsidRPr="00977312">
        <w:t>O</w:t>
      </w:r>
      <w:r w:rsidRPr="003E13DC">
        <w:t xml:space="preserve"> or, as an aqueous solution obtained from </w:t>
      </w:r>
      <w:r w:rsidR="00977312" w:rsidRPr="00977312">
        <w:t>Na</w:t>
      </w:r>
      <w:r w:rsidR="00977312" w:rsidRPr="00977312">
        <w:rPr>
          <w:vertAlign w:val="subscript"/>
        </w:rPr>
        <w:t>3</w:t>
      </w:r>
      <w:r w:rsidR="00977312" w:rsidRPr="00977312">
        <w:t>PO</w:t>
      </w:r>
      <w:r w:rsidR="00977312" w:rsidRPr="00977312">
        <w:rPr>
          <w:vertAlign w:val="subscript"/>
        </w:rPr>
        <w:t>4</w:t>
      </w:r>
      <w:r w:rsidR="00977312" w:rsidRPr="00977312">
        <w:t>•12H</w:t>
      </w:r>
      <w:r w:rsidR="00977312" w:rsidRPr="00977312">
        <w:rPr>
          <w:vertAlign w:val="subscript"/>
        </w:rPr>
        <w:t>2</w:t>
      </w:r>
      <w:r w:rsidR="00977312" w:rsidRPr="00977312">
        <w:t>O</w:t>
      </w:r>
      <w:r w:rsidRPr="003E13DC">
        <w:t>.</w:t>
      </w:r>
    </w:p>
    <w:p w14:paraId="67223AF2" w14:textId="1F0841CB" w:rsidR="003E13DC" w:rsidRDefault="003E13DC" w:rsidP="003E13DC">
      <w:pPr>
        <w:pStyle w:val="CETBodytext"/>
      </w:pPr>
      <w:r w:rsidRPr="003E13DC">
        <w:t>The procedure was as follows:</w:t>
      </w:r>
    </w:p>
    <w:p w14:paraId="6C9F24E0" w14:textId="7A710D9F" w:rsidR="00977312" w:rsidRPr="00977312" w:rsidRDefault="00977312" w:rsidP="00977312">
      <w:pPr>
        <w:pStyle w:val="CETListbullets"/>
        <w:numPr>
          <w:ilvl w:val="0"/>
          <w:numId w:val="13"/>
        </w:numPr>
        <w:rPr>
          <w:lang w:val="en-US"/>
        </w:rPr>
      </w:pPr>
      <w:r w:rsidRPr="00977312">
        <w:rPr>
          <w:lang w:val="en-US"/>
        </w:rPr>
        <w:t>100 g LiCl solution of known Li concentration is placed in a beaker, under stirring;</w:t>
      </w:r>
    </w:p>
    <w:p w14:paraId="30568BCE" w14:textId="3835B473" w:rsidR="00977312" w:rsidRPr="00977312" w:rsidRDefault="00977312" w:rsidP="00977312">
      <w:pPr>
        <w:pStyle w:val="CETListbullets"/>
        <w:numPr>
          <w:ilvl w:val="0"/>
          <w:numId w:val="13"/>
        </w:numPr>
        <w:rPr>
          <w:lang w:val="en-US"/>
        </w:rPr>
      </w:pPr>
      <w:r w:rsidRPr="00977312">
        <w:rPr>
          <w:lang w:val="en-US"/>
        </w:rPr>
        <w:t>added Na</w:t>
      </w:r>
      <w:r w:rsidRPr="00977312">
        <w:rPr>
          <w:vertAlign w:val="subscript"/>
          <w:lang w:val="en-US"/>
        </w:rPr>
        <w:t>3</w:t>
      </w:r>
      <w:r w:rsidRPr="00977312">
        <w:rPr>
          <w:lang w:val="en-US"/>
        </w:rPr>
        <w:t>PO</w:t>
      </w:r>
      <w:r w:rsidRPr="00977312">
        <w:rPr>
          <w:vertAlign w:val="subscript"/>
          <w:lang w:val="en-US"/>
        </w:rPr>
        <w:t>4</w:t>
      </w:r>
      <w:r w:rsidRPr="00977312">
        <w:rPr>
          <w:lang w:val="en-US"/>
        </w:rPr>
        <w:t>*12H</w:t>
      </w:r>
      <w:r w:rsidRPr="00977312">
        <w:rPr>
          <w:vertAlign w:val="subscript"/>
          <w:lang w:val="en-US"/>
        </w:rPr>
        <w:t>2</w:t>
      </w:r>
      <w:r w:rsidRPr="00977312">
        <w:rPr>
          <w:lang w:val="en-US"/>
        </w:rPr>
        <w:t>O (solid) in known amount;</w:t>
      </w:r>
    </w:p>
    <w:p w14:paraId="033E1D01" w14:textId="4E35E9E6" w:rsidR="00977312" w:rsidRPr="00977312" w:rsidRDefault="00977312" w:rsidP="00977312">
      <w:pPr>
        <w:pStyle w:val="CETListbullets"/>
        <w:numPr>
          <w:ilvl w:val="0"/>
          <w:numId w:val="13"/>
        </w:numPr>
        <w:rPr>
          <w:lang w:val="en-US"/>
        </w:rPr>
      </w:pPr>
      <w:r w:rsidRPr="00977312">
        <w:rPr>
          <w:lang w:val="en-US"/>
        </w:rPr>
        <w:t>corrected pH with H</w:t>
      </w:r>
      <w:r w:rsidRPr="00977312">
        <w:rPr>
          <w:vertAlign w:val="subscript"/>
          <w:lang w:val="en-US"/>
        </w:rPr>
        <w:t>2</w:t>
      </w:r>
      <w:r w:rsidRPr="00977312">
        <w:rPr>
          <w:lang w:val="en-US"/>
        </w:rPr>
        <w:t>SO</w:t>
      </w:r>
      <w:r w:rsidRPr="00977312">
        <w:rPr>
          <w:vertAlign w:val="subscript"/>
          <w:lang w:val="en-US"/>
        </w:rPr>
        <w:t>4</w:t>
      </w:r>
      <w:r w:rsidRPr="00977312">
        <w:rPr>
          <w:lang w:val="en-US"/>
        </w:rPr>
        <w:t xml:space="preserve"> 10</w:t>
      </w:r>
      <w:r w:rsidR="00D41648">
        <w:rPr>
          <w:lang w:val="en-US"/>
        </w:rPr>
        <w:t xml:space="preserve"> </w:t>
      </w:r>
      <w:r w:rsidRPr="00977312">
        <w:rPr>
          <w:lang w:val="en-US"/>
        </w:rPr>
        <w:t>% or NaOH 10</w:t>
      </w:r>
      <w:r w:rsidR="00D41648">
        <w:rPr>
          <w:lang w:val="en-US"/>
        </w:rPr>
        <w:t xml:space="preserve"> </w:t>
      </w:r>
      <w:r w:rsidRPr="00977312">
        <w:rPr>
          <w:lang w:val="en-US"/>
        </w:rPr>
        <w:t>% to desired pH;</w:t>
      </w:r>
    </w:p>
    <w:p w14:paraId="00EB6790" w14:textId="3F5BE5E6" w:rsidR="00977312" w:rsidRPr="00977312" w:rsidRDefault="00977312" w:rsidP="00977312">
      <w:pPr>
        <w:pStyle w:val="CETListbullets"/>
        <w:numPr>
          <w:ilvl w:val="0"/>
          <w:numId w:val="13"/>
        </w:numPr>
        <w:rPr>
          <w:lang w:val="it-IT"/>
        </w:rPr>
      </w:pPr>
      <w:proofErr w:type="spellStart"/>
      <w:r w:rsidRPr="00977312">
        <w:rPr>
          <w:lang w:val="it-IT"/>
        </w:rPr>
        <w:t>stirring</w:t>
      </w:r>
      <w:proofErr w:type="spellEnd"/>
      <w:r w:rsidRPr="00977312">
        <w:rPr>
          <w:lang w:val="it-IT"/>
        </w:rPr>
        <w:t xml:space="preserve"> of </w:t>
      </w:r>
      <w:proofErr w:type="spellStart"/>
      <w:r w:rsidRPr="00977312">
        <w:rPr>
          <w:lang w:val="it-IT"/>
        </w:rPr>
        <w:t>solution</w:t>
      </w:r>
      <w:proofErr w:type="spellEnd"/>
      <w:r w:rsidRPr="00977312">
        <w:rPr>
          <w:lang w:val="it-IT"/>
        </w:rPr>
        <w:t>;</w:t>
      </w:r>
    </w:p>
    <w:p w14:paraId="61F0BBA1" w14:textId="745EE4CA" w:rsidR="00977312" w:rsidRPr="00977312" w:rsidRDefault="00977312" w:rsidP="00977312">
      <w:pPr>
        <w:pStyle w:val="CETListbullets"/>
        <w:numPr>
          <w:ilvl w:val="0"/>
          <w:numId w:val="13"/>
        </w:numPr>
        <w:rPr>
          <w:lang w:val="en-US"/>
        </w:rPr>
      </w:pPr>
      <w:r w:rsidRPr="00977312">
        <w:rPr>
          <w:lang w:val="en-US"/>
        </w:rPr>
        <w:t>filtration on 0.2 µm cartridge filter;</w:t>
      </w:r>
    </w:p>
    <w:p w14:paraId="3D158043" w14:textId="1DCBBDEA" w:rsidR="009E0280" w:rsidRPr="00977312" w:rsidRDefault="00977312" w:rsidP="00977312">
      <w:pPr>
        <w:pStyle w:val="CETListbullets"/>
        <w:numPr>
          <w:ilvl w:val="0"/>
          <w:numId w:val="13"/>
        </w:numPr>
        <w:rPr>
          <w:lang w:val="en-US"/>
        </w:rPr>
      </w:pPr>
      <w:r w:rsidRPr="00977312">
        <w:rPr>
          <w:lang w:val="en-US"/>
        </w:rPr>
        <w:t>ICP analysis of the filtered solution.</w:t>
      </w:r>
    </w:p>
    <w:p w14:paraId="7193A858" w14:textId="12FB380B" w:rsidR="00977312" w:rsidRPr="00977312" w:rsidRDefault="00977312" w:rsidP="00977312">
      <w:pPr>
        <w:pStyle w:val="CETBodytext"/>
      </w:pPr>
      <w:r w:rsidRPr="00977312">
        <w:t>Tests were performed with the aim of optimizing the various parameters that characterize the process (pH, PO</w:t>
      </w:r>
      <w:r w:rsidRPr="00977312">
        <w:rPr>
          <w:vertAlign w:val="subscript"/>
        </w:rPr>
        <w:t>4</w:t>
      </w:r>
      <w:r w:rsidRPr="00977312">
        <w:t>/Li ratio, time and temperature) from an initial lithium concentration of 200 ppm.</w:t>
      </w:r>
    </w:p>
    <w:p w14:paraId="48AE3819" w14:textId="4F7E5297" w:rsidR="00977312" w:rsidRPr="00977312" w:rsidRDefault="00977312" w:rsidP="00977312">
      <w:pPr>
        <w:pStyle w:val="CETBodytext"/>
      </w:pPr>
      <w:r w:rsidRPr="00977312">
        <w:t>The recovery of lithium as phosphate is clearly greater where operating at elevated temperatures (Figure 1a) and increasing the PO</w:t>
      </w:r>
      <w:r w:rsidRPr="00977312">
        <w:rPr>
          <w:vertAlign w:val="subscript"/>
        </w:rPr>
        <w:t>4</w:t>
      </w:r>
      <w:r w:rsidRPr="00977312">
        <w:rPr>
          <w:vertAlign w:val="superscript"/>
        </w:rPr>
        <w:t>3-</w:t>
      </w:r>
      <w:r w:rsidRPr="00977312">
        <w:t xml:space="preserve">/Li ratio and pH, which seems to have to be optimal equal to 12. </w:t>
      </w:r>
    </w:p>
    <w:p w14:paraId="5EAAE1EF" w14:textId="72C0D72A" w:rsidR="00977312" w:rsidRPr="00977312" w:rsidRDefault="00977312" w:rsidP="00977312">
      <w:pPr>
        <w:pStyle w:val="CETBodytext"/>
      </w:pPr>
      <w:r w:rsidRPr="00977312">
        <w:t>Having set the optimal temperature, pH and PO</w:t>
      </w:r>
      <w:r w:rsidRPr="00977312">
        <w:rPr>
          <w:vertAlign w:val="subscript"/>
        </w:rPr>
        <w:t>4</w:t>
      </w:r>
      <w:r w:rsidRPr="00977312">
        <w:rPr>
          <w:vertAlign w:val="superscript"/>
        </w:rPr>
        <w:t>3-</w:t>
      </w:r>
      <w:r w:rsidRPr="00977312">
        <w:t>/Li ratio parameters, the time required to achieve the maximum precipitation yield of Li</w:t>
      </w:r>
      <w:r w:rsidRPr="00DD6B4A">
        <w:rPr>
          <w:vertAlign w:val="subscript"/>
        </w:rPr>
        <w:t>3</w:t>
      </w:r>
      <w:r w:rsidRPr="00977312">
        <w:t>PO</w:t>
      </w:r>
      <w:r w:rsidRPr="00DD6B4A">
        <w:rPr>
          <w:vertAlign w:val="subscript"/>
        </w:rPr>
        <w:t>4</w:t>
      </w:r>
      <w:r w:rsidRPr="00977312">
        <w:t xml:space="preserve"> was then evaluated. Precipitation is completed in about one hour from the start of heating.</w:t>
      </w:r>
    </w:p>
    <w:p w14:paraId="5CE3CCC9" w14:textId="77777777" w:rsidR="00D5609B" w:rsidRDefault="00977312" w:rsidP="00977312">
      <w:pPr>
        <w:pStyle w:val="CETBodytext"/>
      </w:pPr>
      <w:r w:rsidRPr="00977312">
        <w:t xml:space="preserve">The last series of tests was aimed at evaluating the effectiveness of the precipitation process under conditions of lithium concentration below 200 ppm. Specifically, precipitation tests were conducted exploiting lithium concentrations of 150 ppm and 100 ppm. </w:t>
      </w:r>
    </w:p>
    <w:p w14:paraId="2BAB5684" w14:textId="72C078B6" w:rsidR="009E0280" w:rsidRPr="00977312" w:rsidRDefault="00977312" w:rsidP="00977312">
      <w:pPr>
        <w:pStyle w:val="CETBodytext"/>
      </w:pPr>
      <w:r w:rsidRPr="00977312">
        <w:t>Experimental evidence shows that operating under the optimal conditions in non-saline waters, the residual lithium concentration is around 40-60 ppm, so lithium recovery yields can be increased by increasing the starting lithium concentration in the brine (Figure 1b).</w:t>
      </w:r>
    </w:p>
    <w:p w14:paraId="1D907B5C" w14:textId="77777777" w:rsidR="00977312" w:rsidRPr="00977312" w:rsidRDefault="00977312" w:rsidP="009E0280">
      <w:pPr>
        <w:pStyle w:val="CETBodytext"/>
      </w:pPr>
    </w:p>
    <w:p w14:paraId="6D7132B4" w14:textId="319A814A" w:rsidR="009E0280" w:rsidRPr="00530B9F" w:rsidRDefault="002B3E25" w:rsidP="00856ADB">
      <w:pPr>
        <w:pStyle w:val="CETBodytext"/>
        <w:jc w:val="left"/>
      </w:pPr>
      <w:r>
        <w:rPr>
          <w:noProof/>
          <w:lang w:val="it-IT" w:eastAsia="it-IT"/>
        </w:rPr>
        <w:drawing>
          <wp:inline distT="0" distB="0" distL="0" distR="0" wp14:anchorId="274DF233" wp14:editId="73D9315A">
            <wp:extent cx="2694743" cy="18000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4743" cy="1800000"/>
                    </a:xfrm>
                    <a:prstGeom prst="rect">
                      <a:avLst/>
                    </a:prstGeom>
                    <a:noFill/>
                  </pic:spPr>
                </pic:pic>
              </a:graphicData>
            </a:graphic>
          </wp:inline>
        </w:drawing>
      </w:r>
      <w:r w:rsidR="00856ADB" w:rsidRPr="00530B9F">
        <w:t xml:space="preserve">   </w:t>
      </w:r>
      <w:r>
        <w:rPr>
          <w:noProof/>
          <w:lang w:val="it-IT" w:eastAsia="it-IT"/>
        </w:rPr>
        <w:drawing>
          <wp:inline distT="0" distB="0" distL="0" distR="0" wp14:anchorId="2D323E28" wp14:editId="79B63626">
            <wp:extent cx="2694737" cy="18000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4737" cy="1800000"/>
                    </a:xfrm>
                    <a:prstGeom prst="rect">
                      <a:avLst/>
                    </a:prstGeom>
                    <a:noFill/>
                  </pic:spPr>
                </pic:pic>
              </a:graphicData>
            </a:graphic>
          </wp:inline>
        </w:drawing>
      </w:r>
    </w:p>
    <w:p w14:paraId="7A666CE5" w14:textId="485F2ED9" w:rsidR="00E84B5B" w:rsidRDefault="00E84B5B" w:rsidP="00DD6B4A">
      <w:pPr>
        <w:pStyle w:val="CETCaption"/>
        <w:spacing w:before="120" w:after="0"/>
        <w:ind w:left="357"/>
        <w:jc w:val="center"/>
        <w:rPr>
          <w:rStyle w:val="CETCaptionCarattere"/>
          <w:i/>
          <w:lang w:val="en-US"/>
        </w:rPr>
      </w:pPr>
      <w:r>
        <w:rPr>
          <w:rStyle w:val="CETCaptionCarattere"/>
          <w:i/>
          <w:lang w:val="en-US"/>
        </w:rPr>
        <w:t xml:space="preserve">    (a)                                                                                          </w:t>
      </w:r>
      <w:proofErr w:type="gramStart"/>
      <w:r>
        <w:rPr>
          <w:rStyle w:val="CETCaptionCarattere"/>
          <w:i/>
          <w:lang w:val="en-US"/>
        </w:rPr>
        <w:t xml:space="preserve">   (</w:t>
      </w:r>
      <w:proofErr w:type="gramEnd"/>
      <w:r>
        <w:rPr>
          <w:rStyle w:val="CETCaptionCarattere"/>
          <w:i/>
          <w:lang w:val="en-US"/>
        </w:rPr>
        <w:t>b)</w:t>
      </w:r>
    </w:p>
    <w:p w14:paraId="4C2D212E" w14:textId="13B1DD04" w:rsidR="00530B9F" w:rsidRPr="00E84B5B" w:rsidRDefault="002355BE" w:rsidP="00E84B5B">
      <w:pPr>
        <w:pStyle w:val="CETCaption"/>
        <w:spacing w:before="120"/>
        <w:rPr>
          <w:lang w:val="en-US"/>
        </w:rPr>
      </w:pPr>
      <w:r w:rsidRPr="00530B9F">
        <w:rPr>
          <w:rStyle w:val="CETCaptionCarattere"/>
          <w:i/>
          <w:lang w:val="en-US"/>
        </w:rPr>
        <w:t xml:space="preserve">Figure 1: </w:t>
      </w:r>
      <w:r w:rsidR="00E84B5B">
        <w:rPr>
          <w:rStyle w:val="CETCaptionCarattere"/>
          <w:i/>
          <w:lang w:val="en-US"/>
        </w:rPr>
        <w:t>(</w:t>
      </w:r>
      <w:r w:rsidR="00530B9F">
        <w:rPr>
          <w:lang w:val="en-US"/>
        </w:rPr>
        <w:t>a</w:t>
      </w:r>
      <w:r w:rsidR="00E84B5B">
        <w:rPr>
          <w:lang w:val="en-US"/>
        </w:rPr>
        <w:t>)</w:t>
      </w:r>
      <w:r w:rsidR="00530B9F">
        <w:rPr>
          <w:lang w:val="en-US"/>
        </w:rPr>
        <w:t xml:space="preserve"> </w:t>
      </w:r>
      <w:r w:rsidR="00530B9F" w:rsidRPr="00530B9F">
        <w:rPr>
          <w:lang w:val="en-US"/>
        </w:rPr>
        <w:t>Precipitation yield of lithium as a function of pH under varying conditions of temperature and PO</w:t>
      </w:r>
      <w:r w:rsidR="00530B9F" w:rsidRPr="00E84B5B">
        <w:rPr>
          <w:vertAlign w:val="subscript"/>
          <w:lang w:val="en-US"/>
        </w:rPr>
        <w:t>4</w:t>
      </w:r>
      <w:r w:rsidR="00530B9F" w:rsidRPr="00530B9F">
        <w:rPr>
          <w:lang w:val="en-US"/>
        </w:rPr>
        <w:t xml:space="preserve">/Li ratio. Aqueous solution </w:t>
      </w:r>
      <w:r w:rsidR="00E84B5B">
        <w:rPr>
          <w:lang w:val="en-US"/>
        </w:rPr>
        <w:t>–</w:t>
      </w:r>
      <w:r w:rsidR="00530B9F" w:rsidRPr="00530B9F">
        <w:rPr>
          <w:lang w:val="en-US"/>
        </w:rPr>
        <w:t xml:space="preserve"> </w:t>
      </w:r>
      <w:r w:rsidR="00E84B5B">
        <w:rPr>
          <w:lang w:val="en-US"/>
        </w:rPr>
        <w:t>(</w:t>
      </w:r>
      <w:r w:rsidR="00530B9F" w:rsidRPr="00530B9F">
        <w:rPr>
          <w:lang w:val="en-US"/>
        </w:rPr>
        <w:t>b</w:t>
      </w:r>
      <w:r w:rsidR="00E84B5B">
        <w:rPr>
          <w:lang w:val="en-US"/>
        </w:rPr>
        <w:t>)</w:t>
      </w:r>
      <w:r w:rsidR="00530B9F" w:rsidRPr="00530B9F">
        <w:rPr>
          <w:lang w:val="en-US"/>
        </w:rPr>
        <w:t xml:space="preserve"> Precipitation yield of lithium as a function of initial concentration. </w:t>
      </w:r>
      <w:r w:rsidR="00530B9F" w:rsidRPr="00E84B5B">
        <w:rPr>
          <w:lang w:val="en-US"/>
        </w:rPr>
        <w:t>Aqueous solution</w:t>
      </w:r>
    </w:p>
    <w:p w14:paraId="4D275C2F" w14:textId="38B280F6" w:rsidR="009F5E71" w:rsidRPr="00530B9F" w:rsidRDefault="00530B9F" w:rsidP="00D5609B">
      <w:pPr>
        <w:pStyle w:val="CETheadingx"/>
        <w:ind w:left="425"/>
      </w:pPr>
      <w:r w:rsidRPr="00530B9F">
        <w:t>Precipitation tests on aqueous solution of LiCl saturated by NaCl</w:t>
      </w:r>
    </w:p>
    <w:p w14:paraId="54D4E472" w14:textId="77777777" w:rsidR="00530B9F" w:rsidRPr="00530B9F" w:rsidRDefault="00530B9F" w:rsidP="00530B9F">
      <w:pPr>
        <w:pStyle w:val="CETBodytext"/>
      </w:pPr>
      <w:r w:rsidRPr="00530B9F">
        <w:t xml:space="preserve">In light of the results of the tests carried out in interferent-free solutions, a series of tests were conducted aimed at optimizing the process in solutions as similar as possible to the brine leaving the evaporator of the real plant. To do this, saturated solutions of NaCl were prepared, to which LiCl was added at a known concentration. </w:t>
      </w:r>
    </w:p>
    <w:p w14:paraId="064CC0C9" w14:textId="77777777" w:rsidR="00530B9F" w:rsidRPr="00530B9F" w:rsidRDefault="00530B9F" w:rsidP="00530B9F">
      <w:pPr>
        <w:pStyle w:val="CETBodytext"/>
      </w:pPr>
      <w:r w:rsidRPr="00530B9F">
        <w:t>The test procedure was similar to that outlined in Section 5.1.</w:t>
      </w:r>
    </w:p>
    <w:p w14:paraId="1AAE6A81" w14:textId="055B0A54" w:rsidR="00530B9F" w:rsidRPr="00530B9F" w:rsidRDefault="00530B9F" w:rsidP="00530B9F">
      <w:pPr>
        <w:pStyle w:val="CETBodytext"/>
      </w:pPr>
      <w:r w:rsidRPr="00530B9F">
        <w:t>Given the high salinity and high viscosity of the solution, it was then explored to raise the working temperature to 108</w:t>
      </w:r>
      <w:r w:rsidR="00D41648">
        <w:t xml:space="preserve"> </w:t>
      </w:r>
      <w:r w:rsidRPr="00530B9F">
        <w:t>°C, just below the boiling temperature of the saturated solution for NaCl (Figure 2a). The impact of contact time on yield under these different operating conditions was also evaluated (Figure 2b).</w:t>
      </w:r>
    </w:p>
    <w:p w14:paraId="660F099C" w14:textId="77777777" w:rsidR="00530B9F" w:rsidRPr="00EE4A15" w:rsidRDefault="00530B9F" w:rsidP="009F5E71">
      <w:pPr>
        <w:pStyle w:val="CETBodytext"/>
      </w:pPr>
    </w:p>
    <w:p w14:paraId="05026388" w14:textId="77777777" w:rsidR="00BC1809" w:rsidRPr="00EE4A15" w:rsidRDefault="00BC1809" w:rsidP="009F5E71">
      <w:pPr>
        <w:pStyle w:val="CETBodytext"/>
      </w:pPr>
    </w:p>
    <w:p w14:paraId="1F95C38B" w14:textId="723130E4" w:rsidR="009F5E71" w:rsidRPr="009F5E71" w:rsidRDefault="009F5E71" w:rsidP="009F5E71">
      <w:pPr>
        <w:pStyle w:val="CETBodytext"/>
        <w:rPr>
          <w:lang w:val="it-IT"/>
        </w:rPr>
      </w:pPr>
      <w:r w:rsidRPr="009F5E71">
        <w:rPr>
          <w:lang w:val="it-IT"/>
        </w:rPr>
        <w:t> </w:t>
      </w:r>
    </w:p>
    <w:p w14:paraId="5F9DF9A4" w14:textId="057BAED2" w:rsidR="00BC1809" w:rsidRPr="00C04376" w:rsidRDefault="00942E9B" w:rsidP="009F5E71">
      <w:pPr>
        <w:pStyle w:val="CETBodytext"/>
      </w:pPr>
      <w:r>
        <w:rPr>
          <w:noProof/>
          <w:lang w:val="it-IT" w:eastAsia="it-IT"/>
        </w:rPr>
        <w:lastRenderedPageBreak/>
        <w:drawing>
          <wp:inline distT="0" distB="0" distL="0" distR="0" wp14:anchorId="13D24512" wp14:editId="7B9CC793">
            <wp:extent cx="2656800" cy="180000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6800" cy="1800000"/>
                    </a:xfrm>
                    <a:prstGeom prst="rect">
                      <a:avLst/>
                    </a:prstGeom>
                    <a:noFill/>
                  </pic:spPr>
                </pic:pic>
              </a:graphicData>
            </a:graphic>
          </wp:inline>
        </w:drawing>
      </w:r>
      <w:r w:rsidRPr="00C04376">
        <w:t xml:space="preserve">          </w:t>
      </w:r>
      <w:r>
        <w:rPr>
          <w:noProof/>
          <w:lang w:val="it-IT" w:eastAsia="it-IT"/>
        </w:rPr>
        <w:drawing>
          <wp:inline distT="0" distB="0" distL="0" distR="0" wp14:anchorId="517E5E70" wp14:editId="2731C2C8">
            <wp:extent cx="2655911" cy="18000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5911" cy="1800000"/>
                    </a:xfrm>
                    <a:prstGeom prst="rect">
                      <a:avLst/>
                    </a:prstGeom>
                    <a:noFill/>
                  </pic:spPr>
                </pic:pic>
              </a:graphicData>
            </a:graphic>
          </wp:inline>
        </w:drawing>
      </w:r>
      <w:r w:rsidR="00BC1809" w:rsidRPr="00C04376">
        <w:t xml:space="preserve">  </w:t>
      </w:r>
    </w:p>
    <w:p w14:paraId="408732B0" w14:textId="77777777" w:rsidR="00E84B5B" w:rsidRDefault="00E84B5B" w:rsidP="00DD6B4A">
      <w:pPr>
        <w:pStyle w:val="CETCaption"/>
        <w:spacing w:before="120" w:after="0"/>
        <w:ind w:left="357"/>
        <w:jc w:val="center"/>
        <w:rPr>
          <w:rStyle w:val="CETCaptionCarattere"/>
          <w:i/>
          <w:lang w:val="en-US"/>
        </w:rPr>
      </w:pPr>
      <w:r>
        <w:rPr>
          <w:rStyle w:val="CETCaptionCarattere"/>
          <w:i/>
          <w:lang w:val="en-US"/>
        </w:rPr>
        <w:t xml:space="preserve">    (a)                                                                                          </w:t>
      </w:r>
      <w:proofErr w:type="gramStart"/>
      <w:r>
        <w:rPr>
          <w:rStyle w:val="CETCaptionCarattere"/>
          <w:i/>
          <w:lang w:val="en-US"/>
        </w:rPr>
        <w:t xml:space="preserve">   (</w:t>
      </w:r>
      <w:proofErr w:type="gramEnd"/>
      <w:r>
        <w:rPr>
          <w:rStyle w:val="CETCaptionCarattere"/>
          <w:i/>
          <w:lang w:val="en-US"/>
        </w:rPr>
        <w:t>b)</w:t>
      </w:r>
    </w:p>
    <w:p w14:paraId="42F36445" w14:textId="00357795" w:rsidR="00BC1809" w:rsidRPr="00E84B5B" w:rsidRDefault="00BC1809" w:rsidP="00E84B5B">
      <w:pPr>
        <w:pStyle w:val="CETCaption"/>
        <w:spacing w:before="120"/>
        <w:rPr>
          <w:rStyle w:val="CETCaptionCarattere"/>
          <w:lang w:val="en-US"/>
        </w:rPr>
      </w:pPr>
      <w:r w:rsidRPr="00530B9F">
        <w:rPr>
          <w:rStyle w:val="CETCaptionCarattere"/>
          <w:i/>
          <w:lang w:val="en-US"/>
        </w:rPr>
        <w:t xml:space="preserve">Figure 2: </w:t>
      </w:r>
      <w:r w:rsidR="00E84B5B">
        <w:rPr>
          <w:rStyle w:val="CETCaptionCarattere"/>
          <w:i/>
          <w:lang w:val="en-US"/>
        </w:rPr>
        <w:t>(</w:t>
      </w:r>
      <w:r w:rsidR="00530B9F" w:rsidRPr="00530B9F">
        <w:rPr>
          <w:rStyle w:val="CETCaptionCarattere"/>
          <w:i/>
          <w:lang w:val="en-US"/>
        </w:rPr>
        <w:t>a</w:t>
      </w:r>
      <w:r w:rsidR="00E84B5B">
        <w:rPr>
          <w:rStyle w:val="CETCaptionCarattere"/>
          <w:i/>
          <w:lang w:val="en-US"/>
        </w:rPr>
        <w:t>)</w:t>
      </w:r>
      <w:r w:rsidR="00530B9F" w:rsidRPr="00530B9F">
        <w:rPr>
          <w:rStyle w:val="CETCaptionCarattere"/>
          <w:i/>
          <w:lang w:val="en-US"/>
        </w:rPr>
        <w:t xml:space="preserve"> Precipitation yield of lithium as a function of temperature Saturated salt solution </w:t>
      </w:r>
      <w:r w:rsidR="00E84B5B">
        <w:rPr>
          <w:rStyle w:val="CETCaptionCarattere"/>
          <w:i/>
          <w:lang w:val="en-US"/>
        </w:rPr>
        <w:t>–</w:t>
      </w:r>
      <w:r w:rsidR="00530B9F" w:rsidRPr="00530B9F">
        <w:rPr>
          <w:rStyle w:val="CETCaptionCarattere"/>
          <w:i/>
          <w:lang w:val="en-US"/>
        </w:rPr>
        <w:t xml:space="preserve"> </w:t>
      </w:r>
      <w:r w:rsidR="00E84B5B">
        <w:rPr>
          <w:rStyle w:val="CETCaptionCarattere"/>
          <w:i/>
          <w:lang w:val="en-US"/>
        </w:rPr>
        <w:t>(</w:t>
      </w:r>
      <w:r w:rsidR="00530B9F" w:rsidRPr="00530B9F">
        <w:rPr>
          <w:rStyle w:val="CETCaptionCarattere"/>
          <w:i/>
          <w:lang w:val="en-US"/>
        </w:rPr>
        <w:t>b</w:t>
      </w:r>
      <w:r w:rsidR="00E84B5B">
        <w:rPr>
          <w:rStyle w:val="CETCaptionCarattere"/>
          <w:i/>
          <w:lang w:val="en-US"/>
        </w:rPr>
        <w:t>)</w:t>
      </w:r>
      <w:r w:rsidR="00530B9F" w:rsidRPr="00530B9F">
        <w:rPr>
          <w:rStyle w:val="CETCaptionCarattere"/>
          <w:i/>
          <w:lang w:val="en-US"/>
        </w:rPr>
        <w:t xml:space="preserve"> Precipitation yield of lithium as a function of dissolution time. Saturated and aqueous salt solution.</w:t>
      </w:r>
    </w:p>
    <w:p w14:paraId="67F4FDEC" w14:textId="11E0ACB4" w:rsidR="00530B9F" w:rsidRDefault="00530B9F" w:rsidP="009F5E71">
      <w:pPr>
        <w:pStyle w:val="CETBodytext"/>
      </w:pPr>
      <w:r w:rsidRPr="00530B9F">
        <w:t xml:space="preserve">Raising the working temperature allows the yield of lithium recovery to increase, however, compared to dilute solutions, the maximum yield achievable from NaCl-saturated solutions is reached more slowly. In fact, it took two hours instead of 60 minutes to reach a steady-state value of the yield. </w:t>
      </w:r>
      <w:r w:rsidR="00EE4A15" w:rsidRPr="00EE4A15">
        <w:t>When solid sodium phosphate is used, the reaction times also include the dissolution phase of the latter, which appears to be completed within about 30 minutes under laboratory operating conditions.</w:t>
      </w:r>
    </w:p>
    <w:p w14:paraId="3CFE6E1A" w14:textId="77777777" w:rsidR="00530B9F" w:rsidRPr="00530B9F" w:rsidRDefault="00530B9F" w:rsidP="009F5E71">
      <w:pPr>
        <w:pStyle w:val="CETBodytext"/>
      </w:pPr>
    </w:p>
    <w:p w14:paraId="03A0C5D4" w14:textId="7BCC12D0" w:rsidR="00383FFB" w:rsidRPr="00135CE4" w:rsidRDefault="00135CE4" w:rsidP="00D5609B">
      <w:pPr>
        <w:pStyle w:val="CETheadingx"/>
        <w:ind w:left="425"/>
      </w:pPr>
      <w:r w:rsidRPr="00135CE4">
        <w:t>Precipitation tests on real solution after concentration</w:t>
      </w:r>
    </w:p>
    <w:p w14:paraId="3A463FB6" w14:textId="6FFB850A" w:rsidR="00135CE4" w:rsidRDefault="00135CE4" w:rsidP="00135CE4">
      <w:pPr>
        <w:pStyle w:val="CETBodytext"/>
      </w:pPr>
      <w:r w:rsidRPr="00135CE4">
        <w:t>In order to evaluate the effectiveness of the process of precipitating lithium as phosphate from process water produced by the "Locatelli" salt works, a preliminary concentration treatment in a rotary evaporator was required.</w:t>
      </w:r>
    </w:p>
    <w:p w14:paraId="73AA5040" w14:textId="77777777" w:rsidR="00135CE4" w:rsidRDefault="00135CE4" w:rsidP="00135CE4">
      <w:pPr>
        <w:pStyle w:val="CETBodytext"/>
      </w:pPr>
      <w:r w:rsidRPr="00135CE4">
        <w:t xml:space="preserve">Sampling was conducted to monitor the concentration of lithium within the obtained concentrate. </w:t>
      </w:r>
    </w:p>
    <w:p w14:paraId="41A66000" w14:textId="6A4BA949" w:rsidR="00135CE4" w:rsidRPr="00135CE4" w:rsidRDefault="00135CE4" w:rsidP="00135CE4">
      <w:pPr>
        <w:pStyle w:val="CETBodytext"/>
      </w:pPr>
      <w:r w:rsidRPr="00135CE4">
        <w:t>The salt was filtered with Buchner filter twice. Lithium, at the end of the rotary evaporator pretreatment, had a concentration of 247 ppm within the final concentrate.</w:t>
      </w:r>
    </w:p>
    <w:p w14:paraId="0CEAB9B1" w14:textId="776BC19E" w:rsidR="00135CE4" w:rsidRPr="00135CE4" w:rsidRDefault="00135CE4" w:rsidP="00E4477A">
      <w:pPr>
        <w:pStyle w:val="CETBodytext"/>
      </w:pPr>
      <w:r w:rsidRPr="00135CE4">
        <w:t>Precipitation test was conducted on the concentrate sample collected at the end of the pretreatment process in rotary evaporator, using the test conditions determined during preliminary testing (pH=12, temperature 108</w:t>
      </w:r>
      <w:r w:rsidR="00FC72F8">
        <w:t xml:space="preserve"> </w:t>
      </w:r>
      <w:r w:rsidRPr="00135CE4">
        <w:t>°C, PO</w:t>
      </w:r>
      <w:r w:rsidRPr="00135CE4">
        <w:rPr>
          <w:vertAlign w:val="subscript"/>
        </w:rPr>
        <w:t>4</w:t>
      </w:r>
      <w:r w:rsidRPr="00135CE4">
        <w:t>/Li= 0.91, time 120 minutes).</w:t>
      </w:r>
    </w:p>
    <w:p w14:paraId="55D8EF8D" w14:textId="76E66147" w:rsidR="00E4477A" w:rsidRPr="00135CE4" w:rsidRDefault="00135CE4" w:rsidP="00E4477A">
      <w:pPr>
        <w:pStyle w:val="CETTabletitle"/>
        <w:rPr>
          <w:lang w:val="en-US"/>
        </w:rPr>
      </w:pPr>
      <w:r w:rsidRPr="00135CE4">
        <w:rPr>
          <w:lang w:val="en-US"/>
        </w:rPr>
        <w:t>T</w:t>
      </w:r>
      <w:r w:rsidR="00E4477A" w:rsidRPr="00135CE4">
        <w:rPr>
          <w:lang w:val="en-US"/>
        </w:rPr>
        <w:t xml:space="preserve">able 3: </w:t>
      </w:r>
      <w:r w:rsidRPr="00135CE4">
        <w:rPr>
          <w:lang w:val="en-US"/>
        </w:rPr>
        <w:t>Precipitation test on the real concentrated solution with rotary evaporator.</w:t>
      </w:r>
    </w:p>
    <w:tbl>
      <w:tblPr>
        <w:tblW w:w="7938"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1134"/>
        <w:gridCol w:w="1134"/>
        <w:gridCol w:w="1134"/>
        <w:gridCol w:w="1134"/>
        <w:gridCol w:w="1276"/>
        <w:gridCol w:w="992"/>
      </w:tblGrid>
      <w:tr w:rsidR="0098353A" w:rsidRPr="007A3F90" w14:paraId="15D4B979" w14:textId="77777777" w:rsidTr="0098353A">
        <w:tc>
          <w:tcPr>
            <w:tcW w:w="1134" w:type="dxa"/>
            <w:tcBorders>
              <w:top w:val="single" w:sz="12" w:space="0" w:color="008000"/>
              <w:bottom w:val="single" w:sz="6" w:space="0" w:color="008000"/>
            </w:tcBorders>
            <w:shd w:val="clear" w:color="auto" w:fill="FFFFFF"/>
            <w:vAlign w:val="center"/>
          </w:tcPr>
          <w:p w14:paraId="7E6AC956" w14:textId="2003DCE9" w:rsidR="0098353A" w:rsidRPr="0098353A" w:rsidRDefault="0098353A" w:rsidP="0098353A">
            <w:pPr>
              <w:pStyle w:val="CETBodytext"/>
              <w:rPr>
                <w:rFonts w:eastAsia="Arial Unicode MS"/>
                <w:sz w:val="16"/>
              </w:rPr>
            </w:pPr>
            <w:r w:rsidRPr="0098353A">
              <w:rPr>
                <w:rFonts w:eastAsia="Arial Unicode MS"/>
                <w:sz w:val="16"/>
              </w:rPr>
              <w:t>Conc. IN Li</w:t>
            </w:r>
            <w:r w:rsidRPr="0098353A">
              <w:rPr>
                <w:rFonts w:eastAsia="Arial Unicode MS"/>
                <w:sz w:val="16"/>
                <w:vertAlign w:val="superscript"/>
              </w:rPr>
              <w:t>+</w:t>
            </w:r>
          </w:p>
        </w:tc>
        <w:tc>
          <w:tcPr>
            <w:tcW w:w="1134" w:type="dxa"/>
            <w:tcBorders>
              <w:top w:val="single" w:sz="12" w:space="0" w:color="008000"/>
              <w:bottom w:val="single" w:sz="6" w:space="0" w:color="008000"/>
            </w:tcBorders>
            <w:shd w:val="clear" w:color="auto" w:fill="FFFFFF"/>
            <w:vAlign w:val="center"/>
          </w:tcPr>
          <w:p w14:paraId="61BAF5A1" w14:textId="03BAC6A0" w:rsidR="0098353A" w:rsidRPr="0098353A" w:rsidRDefault="0098353A" w:rsidP="0098353A">
            <w:pPr>
              <w:pStyle w:val="CETBodytext"/>
              <w:rPr>
                <w:rFonts w:eastAsia="Arial Unicode MS"/>
                <w:sz w:val="16"/>
              </w:rPr>
            </w:pPr>
            <w:r w:rsidRPr="0098353A">
              <w:rPr>
                <w:rFonts w:eastAsia="Arial Unicode MS"/>
                <w:sz w:val="16"/>
              </w:rPr>
              <w:t>pH</w:t>
            </w:r>
          </w:p>
        </w:tc>
        <w:tc>
          <w:tcPr>
            <w:tcW w:w="1134" w:type="dxa"/>
            <w:tcBorders>
              <w:top w:val="single" w:sz="12" w:space="0" w:color="008000"/>
              <w:bottom w:val="single" w:sz="6" w:space="0" w:color="008000"/>
            </w:tcBorders>
            <w:shd w:val="clear" w:color="auto" w:fill="FFFFFF"/>
            <w:vAlign w:val="center"/>
          </w:tcPr>
          <w:p w14:paraId="5C6E1866" w14:textId="3F995590" w:rsidR="0098353A" w:rsidRPr="0098353A" w:rsidRDefault="0098353A" w:rsidP="0098353A">
            <w:pPr>
              <w:pStyle w:val="CETBodytext"/>
              <w:rPr>
                <w:rFonts w:eastAsia="Arial Unicode MS"/>
                <w:sz w:val="16"/>
              </w:rPr>
            </w:pPr>
            <w:r w:rsidRPr="0098353A">
              <w:rPr>
                <w:rFonts w:eastAsia="Arial Unicode MS"/>
                <w:sz w:val="16"/>
              </w:rPr>
              <w:t>Time</w:t>
            </w:r>
          </w:p>
        </w:tc>
        <w:tc>
          <w:tcPr>
            <w:tcW w:w="1134" w:type="dxa"/>
            <w:tcBorders>
              <w:top w:val="single" w:sz="12" w:space="0" w:color="008000"/>
              <w:bottom w:val="single" w:sz="6" w:space="0" w:color="008000"/>
            </w:tcBorders>
            <w:shd w:val="clear" w:color="auto" w:fill="FFFFFF"/>
            <w:vAlign w:val="center"/>
          </w:tcPr>
          <w:p w14:paraId="06AAE503" w14:textId="47AB845F" w:rsidR="0098353A" w:rsidRPr="0098353A" w:rsidRDefault="0098353A" w:rsidP="0098353A">
            <w:pPr>
              <w:pStyle w:val="CETBodytext"/>
              <w:rPr>
                <w:rFonts w:eastAsia="Arial Unicode MS"/>
                <w:sz w:val="16"/>
              </w:rPr>
            </w:pPr>
            <w:r w:rsidRPr="0098353A">
              <w:rPr>
                <w:rFonts w:eastAsia="Arial Unicode MS"/>
                <w:sz w:val="16"/>
              </w:rPr>
              <w:t>Temperature</w:t>
            </w:r>
          </w:p>
        </w:tc>
        <w:tc>
          <w:tcPr>
            <w:tcW w:w="1134" w:type="dxa"/>
            <w:tcBorders>
              <w:top w:val="single" w:sz="12" w:space="0" w:color="008000"/>
              <w:bottom w:val="single" w:sz="6" w:space="0" w:color="008000"/>
            </w:tcBorders>
            <w:shd w:val="clear" w:color="auto" w:fill="FFFFFF"/>
            <w:vAlign w:val="center"/>
          </w:tcPr>
          <w:p w14:paraId="3C7A43B9" w14:textId="7AD18414" w:rsidR="0098353A" w:rsidRPr="0098353A" w:rsidRDefault="0098353A" w:rsidP="0098353A">
            <w:pPr>
              <w:pStyle w:val="CETBodytext"/>
              <w:rPr>
                <w:rFonts w:eastAsia="Arial Unicode MS"/>
                <w:sz w:val="16"/>
                <w:vertAlign w:val="superscript"/>
              </w:rPr>
            </w:pPr>
            <w:r w:rsidRPr="0098353A">
              <w:rPr>
                <w:rFonts w:eastAsia="Arial Unicode MS"/>
                <w:sz w:val="16"/>
              </w:rPr>
              <w:t>PO</w:t>
            </w:r>
            <w:r w:rsidRPr="0098353A">
              <w:rPr>
                <w:rFonts w:eastAsia="Arial Unicode MS"/>
                <w:sz w:val="16"/>
                <w:vertAlign w:val="subscript"/>
              </w:rPr>
              <w:t>4</w:t>
            </w:r>
            <w:r w:rsidRPr="0098353A">
              <w:rPr>
                <w:rFonts w:eastAsia="Arial Unicode MS"/>
                <w:sz w:val="16"/>
                <w:vertAlign w:val="superscript"/>
              </w:rPr>
              <w:t>3-</w:t>
            </w:r>
            <w:r w:rsidRPr="0098353A">
              <w:rPr>
                <w:rFonts w:eastAsia="Arial Unicode MS"/>
                <w:sz w:val="16"/>
              </w:rPr>
              <w:t>/Li</w:t>
            </w:r>
            <w:r>
              <w:rPr>
                <w:rFonts w:eastAsia="Arial Unicode MS"/>
                <w:sz w:val="16"/>
                <w:vertAlign w:val="superscript"/>
              </w:rPr>
              <w:t>+</w:t>
            </w:r>
          </w:p>
        </w:tc>
        <w:tc>
          <w:tcPr>
            <w:tcW w:w="1276" w:type="dxa"/>
            <w:tcBorders>
              <w:top w:val="single" w:sz="12" w:space="0" w:color="008000"/>
              <w:bottom w:val="single" w:sz="6" w:space="0" w:color="008000"/>
            </w:tcBorders>
            <w:shd w:val="clear" w:color="auto" w:fill="FFFFFF"/>
            <w:vAlign w:val="center"/>
          </w:tcPr>
          <w:p w14:paraId="7B3F5364" w14:textId="6652637B" w:rsidR="0098353A" w:rsidRPr="0098353A" w:rsidRDefault="0098353A" w:rsidP="0098353A">
            <w:pPr>
              <w:pStyle w:val="CETBodytext"/>
              <w:rPr>
                <w:rFonts w:eastAsia="Arial Unicode MS"/>
                <w:sz w:val="16"/>
              </w:rPr>
            </w:pPr>
            <w:r w:rsidRPr="0098353A">
              <w:rPr>
                <w:rFonts w:eastAsia="Arial Unicode MS"/>
                <w:sz w:val="16"/>
              </w:rPr>
              <w:t>Conc. OUT Li</w:t>
            </w:r>
            <w:r w:rsidRPr="0098353A">
              <w:rPr>
                <w:rFonts w:eastAsia="Arial Unicode MS"/>
                <w:sz w:val="16"/>
                <w:vertAlign w:val="superscript"/>
              </w:rPr>
              <w:t>+</w:t>
            </w:r>
            <w:r>
              <w:rPr>
                <w:rFonts w:eastAsia="Arial Unicode MS"/>
                <w:sz w:val="16"/>
                <w:vertAlign w:val="superscript"/>
              </w:rPr>
              <w:t xml:space="preserve"> (1)</w:t>
            </w:r>
          </w:p>
        </w:tc>
        <w:tc>
          <w:tcPr>
            <w:tcW w:w="992" w:type="dxa"/>
            <w:tcBorders>
              <w:top w:val="single" w:sz="12" w:space="0" w:color="008000"/>
              <w:bottom w:val="single" w:sz="6" w:space="0" w:color="008000"/>
            </w:tcBorders>
            <w:shd w:val="clear" w:color="auto" w:fill="FFFFFF"/>
            <w:vAlign w:val="center"/>
          </w:tcPr>
          <w:p w14:paraId="65206367" w14:textId="27168269" w:rsidR="0098353A" w:rsidRPr="0098353A" w:rsidRDefault="0098353A" w:rsidP="0098353A">
            <w:pPr>
              <w:pStyle w:val="CETBodytext"/>
              <w:rPr>
                <w:rFonts w:eastAsia="Arial Unicode MS"/>
                <w:sz w:val="16"/>
              </w:rPr>
            </w:pPr>
            <w:r>
              <w:rPr>
                <w:rFonts w:eastAsia="Arial Unicode MS"/>
                <w:sz w:val="16"/>
              </w:rPr>
              <w:t>Yield</w:t>
            </w:r>
          </w:p>
        </w:tc>
      </w:tr>
      <w:tr w:rsidR="0098353A" w:rsidRPr="007A3F90" w14:paraId="66064853" w14:textId="77777777" w:rsidTr="0098353A">
        <w:trPr>
          <w:trHeight w:val="276"/>
        </w:trPr>
        <w:tc>
          <w:tcPr>
            <w:tcW w:w="1134" w:type="dxa"/>
            <w:shd w:val="clear" w:color="auto" w:fill="FFFFFF"/>
            <w:vAlign w:val="center"/>
          </w:tcPr>
          <w:p w14:paraId="1CDC0F61" w14:textId="471AB45F" w:rsidR="0098353A" w:rsidRPr="0098353A" w:rsidRDefault="0098353A" w:rsidP="0098353A">
            <w:pPr>
              <w:pStyle w:val="CETBodytext"/>
              <w:rPr>
                <w:rFonts w:eastAsia="Arial Unicode MS"/>
                <w:sz w:val="16"/>
              </w:rPr>
            </w:pPr>
            <w:r w:rsidRPr="0098353A">
              <w:rPr>
                <w:rFonts w:eastAsia="Arial Unicode MS"/>
                <w:sz w:val="16"/>
              </w:rPr>
              <w:t>ppm</w:t>
            </w:r>
          </w:p>
        </w:tc>
        <w:tc>
          <w:tcPr>
            <w:tcW w:w="1134" w:type="dxa"/>
            <w:shd w:val="clear" w:color="auto" w:fill="FFFFFF"/>
            <w:vAlign w:val="center"/>
          </w:tcPr>
          <w:p w14:paraId="4146CD76" w14:textId="5FAF02F3" w:rsidR="0098353A" w:rsidRPr="0098353A" w:rsidRDefault="0098353A" w:rsidP="0098353A">
            <w:pPr>
              <w:pStyle w:val="CETBodytext"/>
              <w:rPr>
                <w:rFonts w:eastAsia="Arial Unicode MS"/>
                <w:sz w:val="16"/>
              </w:rPr>
            </w:pPr>
          </w:p>
        </w:tc>
        <w:tc>
          <w:tcPr>
            <w:tcW w:w="1134" w:type="dxa"/>
            <w:shd w:val="clear" w:color="auto" w:fill="FFFFFF"/>
            <w:vAlign w:val="center"/>
          </w:tcPr>
          <w:p w14:paraId="5444FDCF" w14:textId="136E8125" w:rsidR="0098353A" w:rsidRPr="0098353A" w:rsidRDefault="0098353A" w:rsidP="0098353A">
            <w:pPr>
              <w:pStyle w:val="CETBodytext"/>
              <w:rPr>
                <w:rFonts w:eastAsia="Arial Unicode MS"/>
                <w:sz w:val="16"/>
              </w:rPr>
            </w:pPr>
            <w:r w:rsidRPr="0098353A">
              <w:rPr>
                <w:rFonts w:eastAsia="Arial Unicode MS"/>
                <w:sz w:val="16"/>
              </w:rPr>
              <w:t>min</w:t>
            </w:r>
          </w:p>
        </w:tc>
        <w:tc>
          <w:tcPr>
            <w:tcW w:w="1134" w:type="dxa"/>
            <w:shd w:val="clear" w:color="auto" w:fill="FFFFFF"/>
            <w:vAlign w:val="center"/>
          </w:tcPr>
          <w:p w14:paraId="75C9D526" w14:textId="5C11A7D5" w:rsidR="0098353A" w:rsidRPr="0098353A" w:rsidRDefault="0098353A" w:rsidP="0098353A">
            <w:pPr>
              <w:pStyle w:val="CETBodytext"/>
              <w:rPr>
                <w:rFonts w:eastAsia="Arial Unicode MS"/>
                <w:sz w:val="16"/>
              </w:rPr>
            </w:pPr>
            <w:r w:rsidRPr="0098353A">
              <w:rPr>
                <w:rFonts w:eastAsia="Arial Unicode MS"/>
                <w:sz w:val="16"/>
              </w:rPr>
              <w:t>°C</w:t>
            </w:r>
          </w:p>
        </w:tc>
        <w:tc>
          <w:tcPr>
            <w:tcW w:w="1134" w:type="dxa"/>
            <w:shd w:val="clear" w:color="auto" w:fill="FFFFFF"/>
            <w:vAlign w:val="center"/>
          </w:tcPr>
          <w:p w14:paraId="3A673ECB" w14:textId="426363F2" w:rsidR="0098353A" w:rsidRPr="0098353A" w:rsidRDefault="0098353A" w:rsidP="0098353A">
            <w:pPr>
              <w:pStyle w:val="CETBodytext"/>
              <w:rPr>
                <w:rFonts w:eastAsia="Arial Unicode MS"/>
                <w:sz w:val="16"/>
              </w:rPr>
            </w:pPr>
            <w:r w:rsidRPr="0098353A">
              <w:rPr>
                <w:rFonts w:eastAsia="Arial Unicode MS"/>
                <w:sz w:val="16"/>
              </w:rPr>
              <w:t>mol/mol</w:t>
            </w:r>
          </w:p>
        </w:tc>
        <w:tc>
          <w:tcPr>
            <w:tcW w:w="1276" w:type="dxa"/>
            <w:shd w:val="clear" w:color="auto" w:fill="FFFFFF"/>
            <w:vAlign w:val="center"/>
          </w:tcPr>
          <w:p w14:paraId="0E9BBF9B" w14:textId="59DF2097" w:rsidR="0098353A" w:rsidRPr="0098353A" w:rsidRDefault="0098353A" w:rsidP="0098353A">
            <w:pPr>
              <w:pStyle w:val="CETBodytext"/>
              <w:rPr>
                <w:rFonts w:eastAsia="Arial Unicode MS"/>
                <w:sz w:val="16"/>
              </w:rPr>
            </w:pPr>
            <w:r w:rsidRPr="0098353A">
              <w:rPr>
                <w:rFonts w:eastAsia="Arial Unicode MS"/>
                <w:sz w:val="16"/>
              </w:rPr>
              <w:t>ppm</w:t>
            </w:r>
          </w:p>
        </w:tc>
        <w:tc>
          <w:tcPr>
            <w:tcW w:w="992" w:type="dxa"/>
            <w:shd w:val="clear" w:color="auto" w:fill="FFFFFF"/>
            <w:vAlign w:val="center"/>
          </w:tcPr>
          <w:p w14:paraId="5B0302AC" w14:textId="0823B7B6" w:rsidR="0098353A" w:rsidRPr="0098353A" w:rsidRDefault="0098353A" w:rsidP="0098353A">
            <w:pPr>
              <w:pStyle w:val="CETBodytext"/>
              <w:rPr>
                <w:rFonts w:eastAsia="Arial Unicode MS"/>
                <w:sz w:val="16"/>
              </w:rPr>
            </w:pPr>
            <w:r w:rsidRPr="0098353A">
              <w:rPr>
                <w:rFonts w:eastAsia="Arial Unicode MS"/>
                <w:sz w:val="16"/>
              </w:rPr>
              <w:t>%</w:t>
            </w:r>
          </w:p>
        </w:tc>
      </w:tr>
      <w:tr w:rsidR="0098353A" w:rsidRPr="007A3F90" w14:paraId="24567E69" w14:textId="77777777" w:rsidTr="0098353A">
        <w:trPr>
          <w:trHeight w:val="80"/>
        </w:trPr>
        <w:tc>
          <w:tcPr>
            <w:tcW w:w="1134" w:type="dxa"/>
            <w:shd w:val="clear" w:color="auto" w:fill="FFFFFF"/>
            <w:vAlign w:val="center"/>
          </w:tcPr>
          <w:p w14:paraId="7C224A91" w14:textId="097DE5AA" w:rsidR="0098353A" w:rsidRPr="0098353A" w:rsidRDefault="0098353A" w:rsidP="0098353A">
            <w:pPr>
              <w:pStyle w:val="CETBodytext"/>
              <w:rPr>
                <w:rFonts w:eastAsia="Arial Unicode MS"/>
                <w:sz w:val="16"/>
              </w:rPr>
            </w:pPr>
            <w:r w:rsidRPr="0098353A">
              <w:rPr>
                <w:rFonts w:eastAsia="Arial Unicode MS"/>
                <w:sz w:val="16"/>
              </w:rPr>
              <w:t>247</w:t>
            </w:r>
          </w:p>
        </w:tc>
        <w:tc>
          <w:tcPr>
            <w:tcW w:w="1134" w:type="dxa"/>
            <w:shd w:val="clear" w:color="auto" w:fill="FFFFFF"/>
            <w:vAlign w:val="center"/>
          </w:tcPr>
          <w:p w14:paraId="4A9387D3" w14:textId="4DB6C813" w:rsidR="0098353A" w:rsidRPr="0098353A" w:rsidRDefault="0098353A" w:rsidP="0098353A">
            <w:pPr>
              <w:pStyle w:val="CETBodytext"/>
              <w:rPr>
                <w:rFonts w:eastAsia="Arial Unicode MS"/>
                <w:sz w:val="16"/>
              </w:rPr>
            </w:pPr>
            <w:r w:rsidRPr="0098353A">
              <w:rPr>
                <w:rFonts w:eastAsia="Arial Unicode MS"/>
                <w:sz w:val="16"/>
              </w:rPr>
              <w:t>12</w:t>
            </w:r>
          </w:p>
        </w:tc>
        <w:tc>
          <w:tcPr>
            <w:tcW w:w="1134" w:type="dxa"/>
            <w:shd w:val="clear" w:color="auto" w:fill="FFFFFF"/>
            <w:vAlign w:val="center"/>
          </w:tcPr>
          <w:p w14:paraId="18CE854B" w14:textId="7D1073D8" w:rsidR="0098353A" w:rsidRPr="0098353A" w:rsidRDefault="0098353A" w:rsidP="0098353A">
            <w:pPr>
              <w:pStyle w:val="CETBodytext"/>
              <w:rPr>
                <w:rFonts w:eastAsia="Arial Unicode MS"/>
                <w:sz w:val="16"/>
              </w:rPr>
            </w:pPr>
            <w:r w:rsidRPr="0098353A">
              <w:rPr>
                <w:rFonts w:eastAsia="Arial Unicode MS"/>
                <w:sz w:val="16"/>
              </w:rPr>
              <w:t>120</w:t>
            </w:r>
          </w:p>
        </w:tc>
        <w:tc>
          <w:tcPr>
            <w:tcW w:w="1134" w:type="dxa"/>
            <w:shd w:val="clear" w:color="auto" w:fill="FFFFFF"/>
            <w:vAlign w:val="center"/>
          </w:tcPr>
          <w:p w14:paraId="45DC4757" w14:textId="4BE07E87" w:rsidR="0098353A" w:rsidRPr="0098353A" w:rsidRDefault="0098353A" w:rsidP="0098353A">
            <w:pPr>
              <w:pStyle w:val="CETBodytext"/>
              <w:rPr>
                <w:rFonts w:eastAsia="Arial Unicode MS"/>
                <w:sz w:val="16"/>
              </w:rPr>
            </w:pPr>
            <w:r w:rsidRPr="0098353A">
              <w:rPr>
                <w:rFonts w:eastAsia="Arial Unicode MS"/>
                <w:sz w:val="16"/>
              </w:rPr>
              <w:t>180</w:t>
            </w:r>
          </w:p>
        </w:tc>
        <w:tc>
          <w:tcPr>
            <w:tcW w:w="1134" w:type="dxa"/>
            <w:shd w:val="clear" w:color="auto" w:fill="FFFFFF"/>
            <w:vAlign w:val="center"/>
          </w:tcPr>
          <w:p w14:paraId="3D115E1A" w14:textId="79FE0756" w:rsidR="0098353A" w:rsidRPr="0098353A" w:rsidRDefault="0098353A" w:rsidP="0098353A">
            <w:pPr>
              <w:pStyle w:val="CETBodytext"/>
              <w:rPr>
                <w:rFonts w:eastAsia="Arial Unicode MS"/>
                <w:sz w:val="16"/>
              </w:rPr>
            </w:pPr>
            <w:r w:rsidRPr="0098353A">
              <w:rPr>
                <w:rFonts w:eastAsia="Arial Unicode MS"/>
                <w:sz w:val="16"/>
              </w:rPr>
              <w:t>0.91</w:t>
            </w:r>
          </w:p>
        </w:tc>
        <w:tc>
          <w:tcPr>
            <w:tcW w:w="1276" w:type="dxa"/>
            <w:shd w:val="clear" w:color="auto" w:fill="FFFFFF"/>
            <w:vAlign w:val="center"/>
          </w:tcPr>
          <w:p w14:paraId="43588DAE" w14:textId="760D1952" w:rsidR="0098353A" w:rsidRPr="0098353A" w:rsidRDefault="0098353A" w:rsidP="0098353A">
            <w:pPr>
              <w:pStyle w:val="CETBodytext"/>
              <w:rPr>
                <w:rFonts w:eastAsia="Arial Unicode MS"/>
                <w:sz w:val="16"/>
              </w:rPr>
            </w:pPr>
            <w:r w:rsidRPr="0098353A">
              <w:rPr>
                <w:rFonts w:eastAsia="Arial Unicode MS"/>
                <w:sz w:val="16"/>
              </w:rPr>
              <w:t>40</w:t>
            </w:r>
          </w:p>
        </w:tc>
        <w:tc>
          <w:tcPr>
            <w:tcW w:w="992" w:type="dxa"/>
            <w:shd w:val="clear" w:color="auto" w:fill="FFFFFF"/>
            <w:vAlign w:val="center"/>
          </w:tcPr>
          <w:p w14:paraId="2EA9BE2E" w14:textId="3523419B" w:rsidR="0098353A" w:rsidRPr="0098353A" w:rsidRDefault="0098353A" w:rsidP="0098353A">
            <w:pPr>
              <w:pStyle w:val="CETBodytext"/>
              <w:rPr>
                <w:rFonts w:eastAsia="Arial Unicode MS"/>
                <w:sz w:val="16"/>
              </w:rPr>
            </w:pPr>
            <w:r w:rsidRPr="0098353A">
              <w:rPr>
                <w:rFonts w:eastAsia="Arial Unicode MS"/>
                <w:sz w:val="16"/>
              </w:rPr>
              <w:t>84</w:t>
            </w:r>
          </w:p>
        </w:tc>
      </w:tr>
    </w:tbl>
    <w:p w14:paraId="60FB588D" w14:textId="54F59BCB" w:rsidR="0098353A" w:rsidRPr="00135CE4" w:rsidRDefault="0098353A" w:rsidP="0098353A">
      <w:pPr>
        <w:pStyle w:val="CETBodytext"/>
        <w:rPr>
          <w:sz w:val="16"/>
        </w:rPr>
      </w:pPr>
      <w:r w:rsidRPr="00135CE4">
        <w:rPr>
          <w:sz w:val="16"/>
          <w:vertAlign w:val="superscript"/>
        </w:rPr>
        <w:t xml:space="preserve">(1) </w:t>
      </w:r>
      <w:r w:rsidR="00135CE4" w:rsidRPr="00135CE4">
        <w:rPr>
          <w:sz w:val="16"/>
        </w:rPr>
        <w:t>Concentration of lithium in the solution after removal of the precipitate.</w:t>
      </w:r>
    </w:p>
    <w:p w14:paraId="0D94D717" w14:textId="77777777" w:rsidR="00E4477A" w:rsidRPr="00135CE4" w:rsidRDefault="00E4477A" w:rsidP="009E0280">
      <w:pPr>
        <w:pStyle w:val="CETBodytext"/>
      </w:pPr>
    </w:p>
    <w:p w14:paraId="127CD8E4" w14:textId="3819CBE1" w:rsidR="00B210CE" w:rsidRPr="00B210CE" w:rsidRDefault="00B210CE" w:rsidP="00083647">
      <w:pPr>
        <w:pStyle w:val="CETBodytext"/>
      </w:pPr>
      <w:r w:rsidRPr="00B210CE">
        <w:t>Again, the formation of the white Li</w:t>
      </w:r>
      <w:r w:rsidRPr="00B210CE">
        <w:rPr>
          <w:vertAlign w:val="subscript"/>
        </w:rPr>
        <w:t>3</w:t>
      </w:r>
      <w:r w:rsidRPr="00B210CE">
        <w:t>PO</w:t>
      </w:r>
      <w:r w:rsidRPr="00B210CE">
        <w:rPr>
          <w:vertAlign w:val="subscript"/>
        </w:rPr>
        <w:t>4</w:t>
      </w:r>
      <w:r w:rsidRPr="00B210CE">
        <w:t xml:space="preserve"> precipitate was observed, and the precipitation yield (equal to 84 </w:t>
      </w:r>
      <w:r w:rsidR="002E4578">
        <w:t>%</w:t>
      </w:r>
      <w:r w:rsidRPr="00B210CE">
        <w:t xml:space="preserve"> and the final lithium concentration of 40 ppm) was in line with what was expected in light of tests conducted on saturated solution for NaCl. The interferents present, particularly boron, did not seem to affect the process. In particular, the boron concentration at the end of the precipitation process remains unchanged.</w:t>
      </w:r>
    </w:p>
    <w:p w14:paraId="6C6EE59F" w14:textId="77777777" w:rsidR="00B210CE" w:rsidRPr="00B210CE" w:rsidRDefault="00B210CE" w:rsidP="00B210CE">
      <w:pPr>
        <w:pStyle w:val="CETBodytext"/>
      </w:pPr>
      <w:r w:rsidRPr="00B210CE">
        <w:t xml:space="preserve">Finally, room-temperature tests were conducted on mother waters fortified with LiCl (up to lithium concentration close to 250 ppm) in the presence of crystalline germs, which could promote lithium phosphate precipitation (Liu et al., 2021). Crystalline lithium phosphate germs were obtained by adding, at room temperature and under stirring, sodium phosphate (solid) to aqueous LiCl solutions (2000-3000 ppm Li). Compared with the procedure reported in 5.1, crystalline germs (with an aqueous content of 70 </w:t>
      </w:r>
      <w:proofErr w:type="spellStart"/>
      <w:r w:rsidRPr="00B210CE">
        <w:t>wt</w:t>
      </w:r>
      <w:proofErr w:type="spellEnd"/>
      <w:r w:rsidRPr="00B210CE">
        <w:t>%) were added under agitation after the phosphate was added to the mother waters.</w:t>
      </w:r>
    </w:p>
    <w:p w14:paraId="71A384EE" w14:textId="50AF567F" w:rsidR="00B210CE" w:rsidRDefault="00B210CE" w:rsidP="00B210CE">
      <w:pPr>
        <w:pStyle w:val="CETBodytext"/>
      </w:pPr>
      <w:r w:rsidRPr="00B210CE">
        <w:t>The presence of crystalline germs leads to a slight increase in lithium yield of 3</w:t>
      </w:r>
      <w:r w:rsidR="002E4578">
        <w:t xml:space="preserve"> </w:t>
      </w:r>
      <w:r w:rsidRPr="00B210CE">
        <w:t>%.</w:t>
      </w:r>
    </w:p>
    <w:p w14:paraId="68D26B83" w14:textId="77777777" w:rsidR="00600535" w:rsidRPr="00D5609B" w:rsidRDefault="00600535" w:rsidP="00D5609B">
      <w:pPr>
        <w:pStyle w:val="CETHeading1"/>
        <w:tabs>
          <w:tab w:val="num" w:pos="360"/>
        </w:tabs>
      </w:pPr>
      <w:r w:rsidRPr="00D5609B">
        <w:t>Conclusions</w:t>
      </w:r>
    </w:p>
    <w:p w14:paraId="4B43927C" w14:textId="562B6B18" w:rsidR="00A00939" w:rsidRPr="00B210CE" w:rsidRDefault="00B210CE" w:rsidP="00A00939">
      <w:pPr>
        <w:pStyle w:val="CETBodytext"/>
      </w:pPr>
      <w:r w:rsidRPr="00B210CE">
        <w:t xml:space="preserve">The lithium precipitation conducted from the Locatelli solution as a phosphate yielded excellent results, namely a maximum lithium recovery yield of 84 </w:t>
      </w:r>
      <w:r w:rsidR="002E4578">
        <w:t>%</w:t>
      </w:r>
      <w:r w:rsidRPr="00B210CE">
        <w:t xml:space="preserve"> from initial lithium concentrations in the range of 200 ppm, operating at a temperature close to the boiling temperature of the solution (108 °C), at a pH of 12, for a reaction time of 2 h and with a PO</w:t>
      </w:r>
      <w:r w:rsidRPr="00B210CE">
        <w:rPr>
          <w:vertAlign w:val="subscript"/>
        </w:rPr>
        <w:t>4</w:t>
      </w:r>
      <w:r w:rsidRPr="00B210CE">
        <w:t>/Li molar ratio of 0.91.</w:t>
      </w:r>
      <w:r w:rsidR="00A00939">
        <w:t xml:space="preserve"> </w:t>
      </w:r>
      <w:r w:rsidR="00A00939">
        <w:t>SWOT analysis frames the process of lithium recovery from brine by phosphate precipitation.</w:t>
      </w:r>
      <w:r w:rsidR="00A00939">
        <w:t xml:space="preserve"> </w:t>
      </w:r>
      <w:r w:rsidR="00A00939">
        <w:t>Strengths: use of waste mother water as feedstock, use of waste geothermal energy</w:t>
      </w:r>
      <w:r w:rsidR="00A00939">
        <w:t>. W</w:t>
      </w:r>
      <w:r w:rsidR="00A00939">
        <w:t>eaknesses: concentration of lithium not high in the starting mother waters, input of substances not present in the initial brine</w:t>
      </w:r>
      <w:r w:rsidR="00A00939">
        <w:t xml:space="preserve">. </w:t>
      </w:r>
      <w:r w:rsidR="00A00939">
        <w:t>Opportunities: increasing demands for lithium</w:t>
      </w:r>
      <w:r w:rsidR="00A00939">
        <w:t xml:space="preserve">. </w:t>
      </w:r>
      <w:r w:rsidR="00A00939">
        <w:t>Threats: increasing increases in energy costs.</w:t>
      </w:r>
      <w:r w:rsidR="004F75EF">
        <w:t xml:space="preserve"> </w:t>
      </w:r>
      <w:r w:rsidR="00647229">
        <w:t xml:space="preserve"> </w:t>
      </w:r>
      <w:bookmarkStart w:id="0" w:name="_GoBack"/>
      <w:bookmarkEnd w:id="0"/>
      <w:r w:rsidR="004F75EF" w:rsidRPr="004F75EF">
        <w:t>The market analysis conducted identified the potential of this type of plant to achieve high lithium recovery efficiencies by exploiting the presence of geothermal steam for concentrating salt solutions to contain energy requirements.</w:t>
      </w:r>
    </w:p>
    <w:p w14:paraId="4F1327F8" w14:textId="05CC7693" w:rsidR="00600535" w:rsidRPr="00B57B36" w:rsidRDefault="00600535" w:rsidP="00600535">
      <w:pPr>
        <w:pStyle w:val="CETReference"/>
      </w:pPr>
      <w:r w:rsidRPr="00B57B36">
        <w:t>References</w:t>
      </w:r>
    </w:p>
    <w:p w14:paraId="0712C5D0" w14:textId="77777777" w:rsidR="00E048E3" w:rsidRDefault="00E048E3" w:rsidP="00E048E3">
      <w:pPr>
        <w:pStyle w:val="CETReferencetext"/>
      </w:pPr>
      <w:r>
        <w:t>Carpenter</w:t>
      </w:r>
      <w:r w:rsidRPr="00BA1277">
        <w:t xml:space="preserve"> </w:t>
      </w:r>
      <w:r>
        <w:t>A. B., 1964, Origin and chemical evolution of brines in sedimentary basin, Society of petroleum engineers of AIME.</w:t>
      </w:r>
    </w:p>
    <w:p w14:paraId="542302E7" w14:textId="77777777" w:rsidR="00E048E3" w:rsidRDefault="00E048E3" w:rsidP="00E048E3">
      <w:pPr>
        <w:pStyle w:val="CETReferencetext"/>
      </w:pPr>
      <w:proofErr w:type="spellStart"/>
      <w:r w:rsidRPr="00BA1277">
        <w:t>Chitrakar</w:t>
      </w:r>
      <w:proofErr w:type="spellEnd"/>
      <w:r w:rsidRPr="00BA1277">
        <w:t xml:space="preserve"> R., Makita Y., </w:t>
      </w:r>
      <w:proofErr w:type="spellStart"/>
      <w:r w:rsidRPr="00BA1277">
        <w:t>Ooi</w:t>
      </w:r>
      <w:proofErr w:type="spellEnd"/>
      <w:r w:rsidRPr="00BA1277">
        <w:t xml:space="preserve"> K. e</w:t>
      </w:r>
      <w:r>
        <w:t>t</w:t>
      </w:r>
      <w:r w:rsidRPr="00BA1277">
        <w:t xml:space="preserve"> </w:t>
      </w:r>
      <w:proofErr w:type="spellStart"/>
      <w:r w:rsidRPr="00BA1277">
        <w:t>Sonoda</w:t>
      </w:r>
      <w:proofErr w:type="spellEnd"/>
      <w:r w:rsidRPr="00BA1277">
        <w:t xml:space="preserve"> A</w:t>
      </w:r>
      <w:r>
        <w:t>.</w:t>
      </w:r>
      <w:r w:rsidRPr="00BA1277">
        <w:t xml:space="preserve">, </w:t>
      </w:r>
      <w:r>
        <w:t xml:space="preserve">2014, </w:t>
      </w:r>
      <w:r w:rsidRPr="00BA1277">
        <w:t>Synthesis of Iron-Doped Manganese Oxides with an Ion-Sieve Property: Lithium Adsorption from Bolivian Brine, Industrial and engineering chemistry researc</w:t>
      </w:r>
      <w:r>
        <w:t>h.</w:t>
      </w:r>
    </w:p>
    <w:p w14:paraId="354EB749" w14:textId="77777777" w:rsidR="00E048E3" w:rsidRDefault="00E048E3" w:rsidP="00E048E3">
      <w:pPr>
        <w:pStyle w:val="CETReferencetext"/>
        <w:rPr>
          <w:noProof/>
        </w:rPr>
      </w:pPr>
      <w:r>
        <w:rPr>
          <w:noProof/>
        </w:rPr>
        <w:t>Choubey</w:t>
      </w:r>
      <w:r w:rsidRPr="00233736">
        <w:rPr>
          <w:noProof/>
        </w:rPr>
        <w:t xml:space="preserve"> </w:t>
      </w:r>
      <w:r>
        <w:rPr>
          <w:noProof/>
        </w:rPr>
        <w:t>P. K., Chung</w:t>
      </w:r>
      <w:r w:rsidRPr="00233736">
        <w:rPr>
          <w:noProof/>
        </w:rPr>
        <w:t xml:space="preserve"> </w:t>
      </w:r>
      <w:r>
        <w:rPr>
          <w:noProof/>
        </w:rPr>
        <w:t>K.-S.,. Kim</w:t>
      </w:r>
      <w:r w:rsidRPr="00233736">
        <w:rPr>
          <w:noProof/>
        </w:rPr>
        <w:t xml:space="preserve"> </w:t>
      </w:r>
      <w:r>
        <w:rPr>
          <w:noProof/>
        </w:rPr>
        <w:t>M.-s,. Lee J.-c e. Srivastava</w:t>
      </w:r>
      <w:r w:rsidRPr="00233736">
        <w:rPr>
          <w:noProof/>
        </w:rPr>
        <w:t xml:space="preserve"> </w:t>
      </w:r>
      <w:r>
        <w:rPr>
          <w:noProof/>
        </w:rPr>
        <w:t>R. R, 2017, Advance review on the exploitation of the prominent energy-storage element Lithium. Part II: From sea water and spent lithium ion batteries (LIBs), Minerals Engineering, 104-121.</w:t>
      </w:r>
    </w:p>
    <w:p w14:paraId="544F52F1" w14:textId="77777777" w:rsidR="00E048E3" w:rsidRDefault="00E048E3" w:rsidP="00E048E3">
      <w:pPr>
        <w:pStyle w:val="CETReferencetext"/>
      </w:pPr>
      <w:r>
        <w:t>Guo</w:t>
      </w:r>
      <w:r w:rsidRPr="00557599">
        <w:t xml:space="preserve"> </w:t>
      </w:r>
      <w:r>
        <w:t>Z.-Y., Ji</w:t>
      </w:r>
      <w:r w:rsidRPr="00557599">
        <w:t xml:space="preserve"> </w:t>
      </w:r>
      <w:r>
        <w:t>Z.-Y., Chen</w:t>
      </w:r>
      <w:r w:rsidRPr="00557599">
        <w:t xml:space="preserve"> </w:t>
      </w:r>
      <w:r>
        <w:t>Q.-B., Liu J. et Zhao</w:t>
      </w:r>
      <w:r w:rsidRPr="00557599">
        <w:t xml:space="preserve"> </w:t>
      </w:r>
      <w:r>
        <w:t>Y.-Y., 2018, Prefractionation of LiCl from concentrated seawater/</w:t>
      </w:r>
      <w:proofErr w:type="gramStart"/>
      <w:r>
        <w:t>salt lake</w:t>
      </w:r>
      <w:proofErr w:type="gramEnd"/>
      <w:r>
        <w:t xml:space="preserve"> brines by electrodialysis with monovalent selective ion exchange membranes, Journal of Cleaner Production, 338-350.</w:t>
      </w:r>
    </w:p>
    <w:p w14:paraId="7EFE0753" w14:textId="77777777" w:rsidR="00E048E3" w:rsidRDefault="00E048E3" w:rsidP="00E048E3">
      <w:pPr>
        <w:pStyle w:val="CETReferencetext"/>
      </w:pPr>
      <w:proofErr w:type="spellStart"/>
      <w:r>
        <w:t>Hamzaoui</w:t>
      </w:r>
      <w:proofErr w:type="spellEnd"/>
      <w:r w:rsidRPr="008750C3">
        <w:t xml:space="preserve"> </w:t>
      </w:r>
      <w:r>
        <w:t xml:space="preserve">A., </w:t>
      </w:r>
      <w:proofErr w:type="spellStart"/>
      <w:r>
        <w:t>M’nif</w:t>
      </w:r>
      <w:proofErr w:type="spellEnd"/>
      <w:r w:rsidRPr="008750C3">
        <w:t xml:space="preserve"> </w:t>
      </w:r>
      <w:r>
        <w:t xml:space="preserve">A., </w:t>
      </w:r>
      <w:proofErr w:type="spellStart"/>
      <w:r>
        <w:t>Hammi</w:t>
      </w:r>
      <w:proofErr w:type="spellEnd"/>
      <w:r>
        <w:t xml:space="preserve"> H. e </w:t>
      </w:r>
      <w:proofErr w:type="spellStart"/>
      <w:r>
        <w:t>Rokbani</w:t>
      </w:r>
      <w:proofErr w:type="spellEnd"/>
      <w:r w:rsidRPr="008750C3">
        <w:t xml:space="preserve"> </w:t>
      </w:r>
      <w:r>
        <w:t xml:space="preserve">R., 2003, Contribution to the lithium recovery from brine, Desalination, 221-224. </w:t>
      </w:r>
    </w:p>
    <w:p w14:paraId="7B39CF78" w14:textId="77777777" w:rsidR="00E048E3" w:rsidRDefault="00E048E3" w:rsidP="00E048E3">
      <w:pPr>
        <w:pStyle w:val="CETReferencetext"/>
      </w:pPr>
      <w:r>
        <w:t>Han</w:t>
      </w:r>
      <w:r w:rsidRPr="008750C3">
        <w:t xml:space="preserve"> </w:t>
      </w:r>
      <w:r>
        <w:t>T., Yu</w:t>
      </w:r>
      <w:r w:rsidRPr="008750C3">
        <w:t xml:space="preserve"> </w:t>
      </w:r>
      <w:r>
        <w:t>X., Guo</w:t>
      </w:r>
      <w:r w:rsidRPr="008750C3">
        <w:t xml:space="preserve"> </w:t>
      </w:r>
      <w:r>
        <w:t>Y., Li</w:t>
      </w:r>
      <w:r w:rsidRPr="008750C3">
        <w:t xml:space="preserve"> </w:t>
      </w:r>
      <w:r>
        <w:t>M., Duo J. et Deng</w:t>
      </w:r>
      <w:r w:rsidRPr="008750C3">
        <w:t xml:space="preserve"> </w:t>
      </w:r>
      <w:r>
        <w:t>T., 2020 Green recovery of low concentration of lithium from geothermal water by a novel FPO/</w:t>
      </w:r>
      <w:proofErr w:type="spellStart"/>
      <w:r>
        <w:t>KNiFC</w:t>
      </w:r>
      <w:proofErr w:type="spellEnd"/>
      <w:r>
        <w:t xml:space="preserve"> ion pump technique, </w:t>
      </w:r>
      <w:proofErr w:type="spellStart"/>
      <w:r>
        <w:t>Electrochimica</w:t>
      </w:r>
      <w:proofErr w:type="spellEnd"/>
      <w:r>
        <w:t xml:space="preserve"> Acta.</w:t>
      </w:r>
    </w:p>
    <w:p w14:paraId="1B8E8FA6" w14:textId="77777777" w:rsidR="00E048E3" w:rsidRDefault="00E048E3" w:rsidP="00E048E3">
      <w:pPr>
        <w:pStyle w:val="CETReferencetext"/>
      </w:pPr>
      <w:proofErr w:type="spellStart"/>
      <w:r>
        <w:t>Jiab</w:t>
      </w:r>
      <w:proofErr w:type="spellEnd"/>
      <w:r w:rsidRPr="00233736">
        <w:t xml:space="preserve"> </w:t>
      </w:r>
      <w:r>
        <w:t>P.-Y., Jia</w:t>
      </w:r>
      <w:r w:rsidRPr="00233736">
        <w:t xml:space="preserve"> </w:t>
      </w:r>
      <w:r>
        <w:t>Z.-Y., Chen</w:t>
      </w:r>
      <w:r w:rsidRPr="00233736">
        <w:t xml:space="preserve"> </w:t>
      </w:r>
      <w:r>
        <w:t>Q.-B, Ying-Ying</w:t>
      </w:r>
      <w:r w:rsidRPr="00233736">
        <w:t xml:space="preserve"> </w:t>
      </w:r>
      <w:r>
        <w:t xml:space="preserve">J., </w:t>
      </w:r>
      <w:proofErr w:type="spellStart"/>
      <w:r>
        <w:t>Wanga</w:t>
      </w:r>
      <w:proofErr w:type="spellEnd"/>
      <w:r w:rsidRPr="00233736">
        <w:t xml:space="preserve"> </w:t>
      </w:r>
      <w:r>
        <w:t>Z., Li F. et Yuan, 2018, Effect of coexisting ions on recovering lithium from high Mg2+/Li+ ratio brines by selective-electrodialysis, Separation and Purification technology, 207, 1-11.</w:t>
      </w:r>
    </w:p>
    <w:p w14:paraId="6FD4DF4D" w14:textId="77777777" w:rsidR="00E048E3" w:rsidRDefault="00E048E3" w:rsidP="00E048E3">
      <w:pPr>
        <w:pStyle w:val="CETReferencetext"/>
        <w:rPr>
          <w:noProof/>
        </w:rPr>
      </w:pPr>
      <w:r>
        <w:rPr>
          <w:noProof/>
        </w:rPr>
        <w:t>Ji Z., Yang F., Zhao Y, Liu J. et al., 2017, Preparation of titanium base lithium ionic sieve with sodium persulfate as eluent and its performance, Chemical Engineering Journal, 768-775.</w:t>
      </w:r>
    </w:p>
    <w:p w14:paraId="16DD9881" w14:textId="3A9D1C4E" w:rsidR="00E048E3" w:rsidRDefault="00E048E3" w:rsidP="00E048E3">
      <w:pPr>
        <w:pStyle w:val="CETReferencetext"/>
      </w:pPr>
      <w:proofErr w:type="spellStart"/>
      <w:r>
        <w:t>Joo</w:t>
      </w:r>
      <w:proofErr w:type="spellEnd"/>
      <w:r w:rsidRPr="00233736">
        <w:t xml:space="preserve"> </w:t>
      </w:r>
      <w:r>
        <w:t>H., Lee J. et Yoon</w:t>
      </w:r>
      <w:r w:rsidRPr="00233736">
        <w:t xml:space="preserve"> </w:t>
      </w:r>
      <w:r>
        <w:t>J., 202</w:t>
      </w:r>
      <w:r w:rsidR="00A324B7">
        <w:t>0</w:t>
      </w:r>
      <w:r>
        <w:t>, Short Review: Timeline of the Electrochemical Lithium Recovery System Using the Spinel LiMn</w:t>
      </w:r>
      <w:r w:rsidRPr="00711759">
        <w:rPr>
          <w:vertAlign w:val="subscript"/>
        </w:rPr>
        <w:t>2</w:t>
      </w:r>
      <w:r>
        <w:t>O</w:t>
      </w:r>
      <w:r w:rsidRPr="00711759">
        <w:rPr>
          <w:vertAlign w:val="subscript"/>
        </w:rPr>
        <w:t>4</w:t>
      </w:r>
      <w:r>
        <w:t xml:space="preserve"> as a Positive Electrode, Energies. </w:t>
      </w:r>
    </w:p>
    <w:p w14:paraId="052785E8" w14:textId="77777777" w:rsidR="00E048E3" w:rsidRDefault="00E048E3" w:rsidP="00E048E3">
      <w:pPr>
        <w:pStyle w:val="CETReferencetext"/>
        <w:rPr>
          <w:noProof/>
        </w:rPr>
      </w:pPr>
      <w:r>
        <w:rPr>
          <w:noProof/>
        </w:rPr>
        <w:t xml:space="preserve">Martin G., Rentsch L., </w:t>
      </w:r>
      <w:r w:rsidRPr="00264284">
        <w:rPr>
          <w:noProof/>
        </w:rPr>
        <w:t>Höck</w:t>
      </w:r>
      <w:r>
        <w:rPr>
          <w:noProof/>
        </w:rPr>
        <w:t xml:space="preserve"> M., Bertau M., 2017, Lithium market research – global supply, future demand and price, </w:t>
      </w:r>
      <w:r w:rsidRPr="00542AF1">
        <w:rPr>
          <w:noProof/>
        </w:rPr>
        <w:t>Energy storage materials,</w:t>
      </w:r>
      <w:r>
        <w:rPr>
          <w:noProof/>
        </w:rPr>
        <w:t xml:space="preserve"> 6, 171-179.</w:t>
      </w:r>
    </w:p>
    <w:p w14:paraId="0E039911" w14:textId="77777777" w:rsidR="00E048E3" w:rsidRDefault="00E048E3" w:rsidP="00E048E3">
      <w:pPr>
        <w:pStyle w:val="CETReferencetext"/>
        <w:rPr>
          <w:noProof/>
        </w:rPr>
      </w:pPr>
      <w:r>
        <w:rPr>
          <w:noProof/>
        </w:rPr>
        <w:t>Morozov</w:t>
      </w:r>
      <w:r w:rsidRPr="00E048E3">
        <w:rPr>
          <w:noProof/>
        </w:rPr>
        <w:t xml:space="preserve"> </w:t>
      </w:r>
      <w:r>
        <w:rPr>
          <w:noProof/>
        </w:rPr>
        <w:t>N., 1968, Lithium and rubidium concentrations in waters of the Mediterranean Sea, P.P. Shirshov Institute of Oceanology, Russian Academy of Sciences, Moscow, PANGAEA.</w:t>
      </w:r>
    </w:p>
    <w:p w14:paraId="5C14EB27" w14:textId="66107311" w:rsidR="00BF230E" w:rsidRDefault="00784B32" w:rsidP="006B4888">
      <w:pPr>
        <w:pStyle w:val="CETReferencetext"/>
      </w:pPr>
      <w:proofErr w:type="spellStart"/>
      <w:r w:rsidRPr="00784B32">
        <w:t>Murodjon</w:t>
      </w:r>
      <w:proofErr w:type="spellEnd"/>
      <w:r w:rsidRPr="00784B32">
        <w:t>, S., Yu, X., Li, M., Duo, J., &amp; Deng, T.</w:t>
      </w:r>
      <w:r w:rsidR="005B118C">
        <w:t>,</w:t>
      </w:r>
      <w:r w:rsidRPr="00784B32">
        <w:t xml:space="preserve"> 2020</w:t>
      </w:r>
      <w:r w:rsidR="005B118C">
        <w:t>,</w:t>
      </w:r>
      <w:r w:rsidRPr="00784B32">
        <w:t xml:space="preserve"> Lithium recovery from brines including seawater, </w:t>
      </w:r>
      <w:proofErr w:type="gramStart"/>
      <w:r w:rsidRPr="00784B32">
        <w:t>salt lake</w:t>
      </w:r>
      <w:proofErr w:type="gramEnd"/>
      <w:r w:rsidRPr="00784B32">
        <w:t xml:space="preserve"> brine, underground water and geothermal water. Thermodynamics and Energy Engineering, 1-39.</w:t>
      </w:r>
    </w:p>
    <w:p w14:paraId="4CF54B74" w14:textId="6051822D" w:rsidR="00BF230E" w:rsidRDefault="00784B32" w:rsidP="006B4888">
      <w:pPr>
        <w:pStyle w:val="CETReferencetext"/>
        <w:rPr>
          <w:noProof/>
        </w:rPr>
      </w:pPr>
      <w:r>
        <w:rPr>
          <w:noProof/>
        </w:rPr>
        <w:t>Narins</w:t>
      </w:r>
      <w:r w:rsidR="005B118C">
        <w:rPr>
          <w:noProof/>
        </w:rPr>
        <w:t xml:space="preserve"> T.</w:t>
      </w:r>
      <w:r>
        <w:rPr>
          <w:noProof/>
        </w:rPr>
        <w:t xml:space="preserve">, </w:t>
      </w:r>
      <w:r w:rsidR="005B118C">
        <w:rPr>
          <w:noProof/>
        </w:rPr>
        <w:t xml:space="preserve">2017, </w:t>
      </w:r>
      <w:r>
        <w:rPr>
          <w:noProof/>
        </w:rPr>
        <w:t>The battery business: lithium availability and the growth of the global electric car industry</w:t>
      </w:r>
      <w:r w:rsidRPr="005B118C">
        <w:rPr>
          <w:noProof/>
        </w:rPr>
        <w:t xml:space="preserve">, </w:t>
      </w:r>
      <w:r w:rsidRPr="005B118C">
        <w:rPr>
          <w:iCs/>
          <w:noProof/>
        </w:rPr>
        <w:t>Extr. Ind. Soc.,</w:t>
      </w:r>
      <w:r w:rsidR="005B118C">
        <w:rPr>
          <w:noProof/>
        </w:rPr>
        <w:t xml:space="preserve"> 4,</w:t>
      </w:r>
      <w:r w:rsidR="005B118C" w:rsidRPr="005B118C">
        <w:rPr>
          <w:noProof/>
        </w:rPr>
        <w:t xml:space="preserve"> </w:t>
      </w:r>
      <w:r>
        <w:rPr>
          <w:noProof/>
        </w:rPr>
        <w:t xml:space="preserve"> 321-328.</w:t>
      </w:r>
    </w:p>
    <w:p w14:paraId="192109ED" w14:textId="77777777" w:rsidR="00E048E3" w:rsidRDefault="00E048E3" w:rsidP="00E048E3">
      <w:pPr>
        <w:pStyle w:val="CETReferencetext"/>
      </w:pPr>
      <w:r w:rsidRPr="00D45FCB">
        <w:rPr>
          <w:lang w:val="it-IT"/>
        </w:rPr>
        <w:t xml:space="preserve">Park M., </w:t>
      </w:r>
      <w:proofErr w:type="spellStart"/>
      <w:r w:rsidRPr="00D45FCB">
        <w:rPr>
          <w:lang w:val="it-IT"/>
        </w:rPr>
        <w:t>Nisola</w:t>
      </w:r>
      <w:proofErr w:type="spellEnd"/>
      <w:r w:rsidRPr="00D45FCB">
        <w:rPr>
          <w:lang w:val="it-IT"/>
        </w:rPr>
        <w:t xml:space="preserve"> G., </w:t>
      </w:r>
      <w:proofErr w:type="spellStart"/>
      <w:r w:rsidRPr="00D45FCB">
        <w:rPr>
          <w:lang w:val="it-IT"/>
        </w:rPr>
        <w:t>Beltran</w:t>
      </w:r>
      <w:proofErr w:type="spellEnd"/>
      <w:r w:rsidRPr="00D45FCB">
        <w:rPr>
          <w:lang w:val="it-IT"/>
        </w:rPr>
        <w:t xml:space="preserve"> A., </w:t>
      </w:r>
      <w:proofErr w:type="spellStart"/>
      <w:r w:rsidRPr="00D45FCB">
        <w:rPr>
          <w:lang w:val="it-IT"/>
        </w:rPr>
        <w:t>Torrejos</w:t>
      </w:r>
      <w:proofErr w:type="spellEnd"/>
      <w:r w:rsidRPr="00D45FCB">
        <w:rPr>
          <w:lang w:val="it-IT"/>
        </w:rPr>
        <w:t xml:space="preserve"> R., </w:t>
      </w:r>
      <w:proofErr w:type="spellStart"/>
      <w:r w:rsidRPr="00D45FCB">
        <w:rPr>
          <w:lang w:val="it-IT"/>
        </w:rPr>
        <w:t>Seo</w:t>
      </w:r>
      <w:proofErr w:type="spellEnd"/>
      <w:r w:rsidRPr="00D45FCB">
        <w:rPr>
          <w:lang w:val="it-IT"/>
        </w:rPr>
        <w:t xml:space="preserve"> J. et. </w:t>
      </w:r>
      <w:r>
        <w:t xml:space="preserve">Lee H., 2014, Recyclable composite nanofiber adsorbent for Li+ recovery from seawater desalination retentate, Chemical Engineering Journal, 254, 73-81. </w:t>
      </w:r>
    </w:p>
    <w:p w14:paraId="285FDC0B" w14:textId="77777777" w:rsidR="00E048E3" w:rsidRDefault="00E048E3" w:rsidP="00E048E3">
      <w:pPr>
        <w:pStyle w:val="CETReferencetext"/>
      </w:pPr>
      <w:r>
        <w:t>Park</w:t>
      </w:r>
      <w:r w:rsidRPr="008750C3">
        <w:t xml:space="preserve"> </w:t>
      </w:r>
      <w:r>
        <w:t>S. H., Kim</w:t>
      </w:r>
      <w:r w:rsidRPr="008750C3">
        <w:t xml:space="preserve"> </w:t>
      </w:r>
      <w:r>
        <w:t>J. H., Moon</w:t>
      </w:r>
      <w:r w:rsidRPr="008750C3">
        <w:t xml:space="preserve"> </w:t>
      </w:r>
      <w:r>
        <w:t>S. J., Jung</w:t>
      </w:r>
      <w:r w:rsidRPr="008750C3">
        <w:t xml:space="preserve"> </w:t>
      </w:r>
      <w:r>
        <w:t>J. T, Wang H. H. et Lee</w:t>
      </w:r>
      <w:r w:rsidRPr="008750C3">
        <w:t xml:space="preserve"> </w:t>
      </w:r>
      <w:r>
        <w:t xml:space="preserve">Y. M., 2020, Lithium recovery from artificial brine using energy-efficient membrane distillation and nanofiltration, Journal of Membrane Science. </w:t>
      </w:r>
    </w:p>
    <w:p w14:paraId="57DA906E" w14:textId="09C6DD61" w:rsidR="00784B32" w:rsidRDefault="00542AF1" w:rsidP="00542AF1">
      <w:pPr>
        <w:pStyle w:val="CETReferencetext"/>
      </w:pPr>
      <w:r>
        <w:rPr>
          <w:noProof/>
        </w:rPr>
        <w:t>Torrejos</w:t>
      </w:r>
      <w:r w:rsidR="00233736" w:rsidRPr="00233736">
        <w:rPr>
          <w:noProof/>
        </w:rPr>
        <w:t xml:space="preserve"> </w:t>
      </w:r>
      <w:r w:rsidR="00233736">
        <w:rPr>
          <w:noProof/>
        </w:rPr>
        <w:t>C.</w:t>
      </w:r>
      <w:r>
        <w:rPr>
          <w:noProof/>
        </w:rPr>
        <w:t xml:space="preserve">, Nisola </w:t>
      </w:r>
      <w:r w:rsidR="00233736">
        <w:rPr>
          <w:noProof/>
        </w:rPr>
        <w:t>G. M.and</w:t>
      </w:r>
      <w:r>
        <w:rPr>
          <w:noProof/>
        </w:rPr>
        <w:t xml:space="preserve"> SeongSong</w:t>
      </w:r>
      <w:r w:rsidR="00233736" w:rsidRPr="00233736">
        <w:rPr>
          <w:noProof/>
        </w:rPr>
        <w:t xml:space="preserve"> </w:t>
      </w:r>
      <w:r w:rsidR="00233736">
        <w:rPr>
          <w:noProof/>
        </w:rPr>
        <w:t>H.</w:t>
      </w:r>
      <w:r>
        <w:rPr>
          <w:noProof/>
        </w:rPr>
        <w:t xml:space="preserve">, </w:t>
      </w:r>
      <w:r w:rsidR="00233736">
        <w:rPr>
          <w:noProof/>
        </w:rPr>
        <w:t xml:space="preserve">2016, </w:t>
      </w:r>
      <w:r>
        <w:rPr>
          <w:noProof/>
        </w:rPr>
        <w:t>Liquid-liquid extraction of lithium using lipophilic dibenzo-14-crown-4 ether carboxylic</w:t>
      </w:r>
      <w:r>
        <w:t xml:space="preserve"> acid in hydrophobic room temperature ionic liquid, Hydrometallurgy, 164, 362-371.</w:t>
      </w:r>
    </w:p>
    <w:p w14:paraId="1CCDEEE9" w14:textId="0CFF9835" w:rsidR="00BA1277" w:rsidRPr="008750C3" w:rsidRDefault="00BA1277" w:rsidP="008750C3">
      <w:pPr>
        <w:pStyle w:val="CETReferencetext"/>
      </w:pPr>
      <w:bookmarkStart w:id="1" w:name="_Ref113545721"/>
      <w:r w:rsidRPr="008750C3">
        <w:t>Xiao C. et Zeng L., 2018, Thermodynamic study on recovery of lithium using phosphate precipitation method, Hydrometallurgy, 178, 283-286.</w:t>
      </w:r>
      <w:bookmarkEnd w:id="1"/>
      <w:r w:rsidRPr="008750C3">
        <w:t xml:space="preserve"> </w:t>
      </w:r>
    </w:p>
    <w:p w14:paraId="1CAD90C1" w14:textId="4997082A" w:rsidR="00BA1277" w:rsidRDefault="00BA1277" w:rsidP="00BA1277">
      <w:pPr>
        <w:pStyle w:val="CETReferencetext"/>
      </w:pPr>
    </w:p>
    <w:p w14:paraId="42211B1C" w14:textId="77777777" w:rsidR="00BA1277" w:rsidRDefault="00BA1277" w:rsidP="00BA1277">
      <w:pPr>
        <w:pStyle w:val="CETReferencetext"/>
      </w:pPr>
    </w:p>
    <w:sectPr w:rsidR="00BA1277"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22C6D" w14:textId="77777777" w:rsidR="00C27B7A" w:rsidRDefault="00C27B7A" w:rsidP="004F5E36">
      <w:r>
        <w:separator/>
      </w:r>
    </w:p>
  </w:endnote>
  <w:endnote w:type="continuationSeparator" w:id="0">
    <w:p w14:paraId="55803D71" w14:textId="77777777" w:rsidR="00C27B7A" w:rsidRDefault="00C27B7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F8DD0" w14:textId="77777777" w:rsidR="00C27B7A" w:rsidRDefault="00C27B7A" w:rsidP="004F5E36">
      <w:r>
        <w:separator/>
      </w:r>
    </w:p>
  </w:footnote>
  <w:footnote w:type="continuationSeparator" w:id="0">
    <w:p w14:paraId="7D55EF70" w14:textId="77777777" w:rsidR="00C27B7A" w:rsidRDefault="00C27B7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3BE48A6"/>
    <w:multiLevelType w:val="hybridMultilevel"/>
    <w:tmpl w:val="E4EE3C44"/>
    <w:lvl w:ilvl="0" w:tplc="4A6467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C030446"/>
    <w:multiLevelType w:val="multilevel"/>
    <w:tmpl w:val="374E05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438217E"/>
    <w:multiLevelType w:val="multilevel"/>
    <w:tmpl w:val="A8C2B60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4" w:firstLine="0"/>
      </w:pPr>
      <w:rPr>
        <w:rFonts w:hint="default"/>
      </w:rPr>
    </w:lvl>
    <w:lvl w:ilvl="2">
      <w:start w:val="1"/>
      <w:numFmt w:val="decimal"/>
      <w:pStyle w:val="CETheadingx"/>
      <w:suff w:val="space"/>
      <w:lvlText w:val="%2.%3"/>
      <w:lvlJc w:val="left"/>
      <w:pPr>
        <w:ind w:left="0" w:firstLine="0"/>
      </w:pPr>
      <w:rPr>
        <w:rFonts w:hint="default"/>
        <w:lang w:val="it-I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C8650F0"/>
    <w:multiLevelType w:val="hybridMultilevel"/>
    <w:tmpl w:val="B51EE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6E318AC"/>
    <w:multiLevelType w:val="hybridMultilevel"/>
    <w:tmpl w:val="58A8A1A6"/>
    <w:lvl w:ilvl="0" w:tplc="1EBC726A">
      <w:start w:val="3"/>
      <w:numFmt w:val="bullet"/>
      <w:lvlText w:val="•"/>
      <w:lvlJc w:val="left"/>
      <w:pPr>
        <w:ind w:left="1395" w:hanging="103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8615358"/>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F735CF0"/>
    <w:multiLevelType w:val="hybridMultilevel"/>
    <w:tmpl w:val="A58A1C6A"/>
    <w:lvl w:ilvl="0" w:tplc="9DAC3EFC">
      <w:start w:val="1"/>
      <w:numFmt w:val="decimal"/>
      <w:lvlText w:val="[%1]"/>
      <w:lvlJc w:val="left"/>
      <w:pPr>
        <w:ind w:left="10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2073E12"/>
    <w:multiLevelType w:val="hybridMultilevel"/>
    <w:tmpl w:val="EC201AA8"/>
    <w:lvl w:ilvl="0" w:tplc="1EBC726A">
      <w:start w:val="3"/>
      <w:numFmt w:val="bullet"/>
      <w:lvlText w:val="•"/>
      <w:lvlJc w:val="left"/>
      <w:pPr>
        <w:ind w:left="1395" w:hanging="103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5"/>
  </w:num>
  <w:num w:numId="14">
    <w:abstractNumId w:val="23"/>
  </w:num>
  <w:num w:numId="15">
    <w:abstractNumId w:val="25"/>
  </w:num>
  <w:num w:numId="16">
    <w:abstractNumId w:val="24"/>
  </w:num>
  <w:num w:numId="17">
    <w:abstractNumId w:val="14"/>
  </w:num>
  <w:num w:numId="18">
    <w:abstractNumId w:val="15"/>
    <w:lvlOverride w:ilvl="0">
      <w:startOverride w:val="1"/>
    </w:lvlOverride>
  </w:num>
  <w:num w:numId="19">
    <w:abstractNumId w:val="19"/>
  </w:num>
  <w:num w:numId="20">
    <w:abstractNumId w:val="18"/>
  </w:num>
  <w:num w:numId="21">
    <w:abstractNumId w:val="17"/>
  </w:num>
  <w:num w:numId="22">
    <w:abstractNumId w:val="16"/>
  </w:num>
  <w:num w:numId="23">
    <w:abstractNumId w:val="12"/>
  </w:num>
  <w:num w:numId="24">
    <w:abstractNumId w:val="11"/>
  </w:num>
  <w:num w:numId="25">
    <w:abstractNumId w:val="13"/>
  </w:num>
  <w:num w:numId="26">
    <w:abstractNumId w:val="27"/>
  </w:num>
  <w:num w:numId="27">
    <w:abstractNumId w:val="22"/>
  </w:num>
  <w:num w:numId="28">
    <w:abstractNumId w:val="21"/>
  </w:num>
  <w:num w:numId="29">
    <w:abstractNumId w:val="12"/>
  </w:num>
  <w:num w:numId="30">
    <w:abstractNumId w:val="12"/>
  </w:num>
  <w:num w:numId="31">
    <w:abstractNumId w:val="26"/>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912"/>
    <w:rsid w:val="000052FB"/>
    <w:rsid w:val="000117CB"/>
    <w:rsid w:val="000309BC"/>
    <w:rsid w:val="0003148D"/>
    <w:rsid w:val="00031EEC"/>
    <w:rsid w:val="00051566"/>
    <w:rsid w:val="00053926"/>
    <w:rsid w:val="000562A9"/>
    <w:rsid w:val="00056AD8"/>
    <w:rsid w:val="00062A9A"/>
    <w:rsid w:val="00065058"/>
    <w:rsid w:val="00083647"/>
    <w:rsid w:val="00086C39"/>
    <w:rsid w:val="00086D26"/>
    <w:rsid w:val="000A03B2"/>
    <w:rsid w:val="000B1063"/>
    <w:rsid w:val="000D0268"/>
    <w:rsid w:val="000D34BE"/>
    <w:rsid w:val="000E102F"/>
    <w:rsid w:val="000E36F1"/>
    <w:rsid w:val="000E3A73"/>
    <w:rsid w:val="000E414A"/>
    <w:rsid w:val="000F0081"/>
    <w:rsid w:val="000F019C"/>
    <w:rsid w:val="000F093C"/>
    <w:rsid w:val="000F787B"/>
    <w:rsid w:val="00117024"/>
    <w:rsid w:val="0012091F"/>
    <w:rsid w:val="00125804"/>
    <w:rsid w:val="00126BC2"/>
    <w:rsid w:val="001308B6"/>
    <w:rsid w:val="0013121F"/>
    <w:rsid w:val="00131FE6"/>
    <w:rsid w:val="0013263F"/>
    <w:rsid w:val="001331DF"/>
    <w:rsid w:val="00133E2E"/>
    <w:rsid w:val="00134DE4"/>
    <w:rsid w:val="00135CE4"/>
    <w:rsid w:val="0014034D"/>
    <w:rsid w:val="00144D16"/>
    <w:rsid w:val="00150E59"/>
    <w:rsid w:val="00152DE3"/>
    <w:rsid w:val="00164CF9"/>
    <w:rsid w:val="001667A6"/>
    <w:rsid w:val="00184AD6"/>
    <w:rsid w:val="001A4AF7"/>
    <w:rsid w:val="001A788D"/>
    <w:rsid w:val="001B0349"/>
    <w:rsid w:val="001B1E93"/>
    <w:rsid w:val="001B65C1"/>
    <w:rsid w:val="001B6866"/>
    <w:rsid w:val="001C684B"/>
    <w:rsid w:val="001D0CFB"/>
    <w:rsid w:val="001D21AF"/>
    <w:rsid w:val="001D53FC"/>
    <w:rsid w:val="001F42A5"/>
    <w:rsid w:val="001F7B9D"/>
    <w:rsid w:val="00201C93"/>
    <w:rsid w:val="00204798"/>
    <w:rsid w:val="002224B4"/>
    <w:rsid w:val="00233736"/>
    <w:rsid w:val="002355BE"/>
    <w:rsid w:val="002447EF"/>
    <w:rsid w:val="00251550"/>
    <w:rsid w:val="00263B05"/>
    <w:rsid w:val="00264284"/>
    <w:rsid w:val="0027221A"/>
    <w:rsid w:val="00275B61"/>
    <w:rsid w:val="00280FAF"/>
    <w:rsid w:val="00282656"/>
    <w:rsid w:val="00282B59"/>
    <w:rsid w:val="00294F76"/>
    <w:rsid w:val="00296B83"/>
    <w:rsid w:val="002B1689"/>
    <w:rsid w:val="002B3E25"/>
    <w:rsid w:val="002B4015"/>
    <w:rsid w:val="002B78CE"/>
    <w:rsid w:val="002C2FB6"/>
    <w:rsid w:val="002E4578"/>
    <w:rsid w:val="002E5FA7"/>
    <w:rsid w:val="002F3309"/>
    <w:rsid w:val="003008CE"/>
    <w:rsid w:val="003009B7"/>
    <w:rsid w:val="00300E56"/>
    <w:rsid w:val="0030152C"/>
    <w:rsid w:val="0030469C"/>
    <w:rsid w:val="00321CA6"/>
    <w:rsid w:val="00323763"/>
    <w:rsid w:val="00323C5F"/>
    <w:rsid w:val="00334C09"/>
    <w:rsid w:val="0037037A"/>
    <w:rsid w:val="003723D4"/>
    <w:rsid w:val="00381905"/>
    <w:rsid w:val="00383FFB"/>
    <w:rsid w:val="00384CC8"/>
    <w:rsid w:val="003871FD"/>
    <w:rsid w:val="003A1E30"/>
    <w:rsid w:val="003A2829"/>
    <w:rsid w:val="003A7D1C"/>
    <w:rsid w:val="003B304B"/>
    <w:rsid w:val="003B3146"/>
    <w:rsid w:val="003E13DC"/>
    <w:rsid w:val="003F015E"/>
    <w:rsid w:val="00400414"/>
    <w:rsid w:val="0041446B"/>
    <w:rsid w:val="004300AF"/>
    <w:rsid w:val="0044071E"/>
    <w:rsid w:val="0044329C"/>
    <w:rsid w:val="00453E24"/>
    <w:rsid w:val="00457456"/>
    <w:rsid w:val="004577FE"/>
    <w:rsid w:val="00457B9C"/>
    <w:rsid w:val="0046164A"/>
    <w:rsid w:val="004628D2"/>
    <w:rsid w:val="00462DCD"/>
    <w:rsid w:val="004648AD"/>
    <w:rsid w:val="004703A9"/>
    <w:rsid w:val="004760DE"/>
    <w:rsid w:val="004763D7"/>
    <w:rsid w:val="0048120A"/>
    <w:rsid w:val="00493FBB"/>
    <w:rsid w:val="004A004E"/>
    <w:rsid w:val="004A24CF"/>
    <w:rsid w:val="004C3D1D"/>
    <w:rsid w:val="004C3D84"/>
    <w:rsid w:val="004C3D85"/>
    <w:rsid w:val="004C7913"/>
    <w:rsid w:val="004D73D0"/>
    <w:rsid w:val="004E4DD6"/>
    <w:rsid w:val="004F5E36"/>
    <w:rsid w:val="004F75EF"/>
    <w:rsid w:val="00507B47"/>
    <w:rsid w:val="00507BEF"/>
    <w:rsid w:val="00507CC9"/>
    <w:rsid w:val="005119A5"/>
    <w:rsid w:val="005278B7"/>
    <w:rsid w:val="00530B9F"/>
    <w:rsid w:val="00532016"/>
    <w:rsid w:val="005346C8"/>
    <w:rsid w:val="00542AF1"/>
    <w:rsid w:val="00543721"/>
    <w:rsid w:val="00543E7D"/>
    <w:rsid w:val="00547A68"/>
    <w:rsid w:val="005531C9"/>
    <w:rsid w:val="00557599"/>
    <w:rsid w:val="00570C43"/>
    <w:rsid w:val="005715BB"/>
    <w:rsid w:val="00591B1F"/>
    <w:rsid w:val="005B118C"/>
    <w:rsid w:val="005B2110"/>
    <w:rsid w:val="005B61E6"/>
    <w:rsid w:val="005C77E1"/>
    <w:rsid w:val="005D04AF"/>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47229"/>
    <w:rsid w:val="00660E3E"/>
    <w:rsid w:val="00662E74"/>
    <w:rsid w:val="00680C23"/>
    <w:rsid w:val="00693766"/>
    <w:rsid w:val="006A3281"/>
    <w:rsid w:val="006B4888"/>
    <w:rsid w:val="006C2E45"/>
    <w:rsid w:val="006C359C"/>
    <w:rsid w:val="006C5579"/>
    <w:rsid w:val="006D6E8B"/>
    <w:rsid w:val="006E737D"/>
    <w:rsid w:val="00711759"/>
    <w:rsid w:val="00713973"/>
    <w:rsid w:val="00720A24"/>
    <w:rsid w:val="00731124"/>
    <w:rsid w:val="00732386"/>
    <w:rsid w:val="0073514D"/>
    <w:rsid w:val="007447F3"/>
    <w:rsid w:val="0075499F"/>
    <w:rsid w:val="007661C8"/>
    <w:rsid w:val="0077098D"/>
    <w:rsid w:val="0077333D"/>
    <w:rsid w:val="00784B32"/>
    <w:rsid w:val="007931FA"/>
    <w:rsid w:val="007A3F90"/>
    <w:rsid w:val="007A4861"/>
    <w:rsid w:val="007A7BBA"/>
    <w:rsid w:val="007B0C50"/>
    <w:rsid w:val="007B48F9"/>
    <w:rsid w:val="007C1A43"/>
    <w:rsid w:val="007C432B"/>
    <w:rsid w:val="007D0951"/>
    <w:rsid w:val="007E7825"/>
    <w:rsid w:val="0080013E"/>
    <w:rsid w:val="00813288"/>
    <w:rsid w:val="008168FC"/>
    <w:rsid w:val="00830996"/>
    <w:rsid w:val="008345F1"/>
    <w:rsid w:val="00856ADB"/>
    <w:rsid w:val="00865B07"/>
    <w:rsid w:val="008667EA"/>
    <w:rsid w:val="008750C3"/>
    <w:rsid w:val="0087637F"/>
    <w:rsid w:val="00886492"/>
    <w:rsid w:val="008923D0"/>
    <w:rsid w:val="00892AD5"/>
    <w:rsid w:val="008A1512"/>
    <w:rsid w:val="008A6DF8"/>
    <w:rsid w:val="008B6AD1"/>
    <w:rsid w:val="008D32B9"/>
    <w:rsid w:val="008D433B"/>
    <w:rsid w:val="008D4A16"/>
    <w:rsid w:val="008E566E"/>
    <w:rsid w:val="0090161A"/>
    <w:rsid w:val="00901EB6"/>
    <w:rsid w:val="00904C62"/>
    <w:rsid w:val="00922BA8"/>
    <w:rsid w:val="00924DAC"/>
    <w:rsid w:val="00927058"/>
    <w:rsid w:val="00930617"/>
    <w:rsid w:val="00942750"/>
    <w:rsid w:val="00942E9B"/>
    <w:rsid w:val="009450CE"/>
    <w:rsid w:val="009459BB"/>
    <w:rsid w:val="00947179"/>
    <w:rsid w:val="0095164B"/>
    <w:rsid w:val="00954090"/>
    <w:rsid w:val="00956C6B"/>
    <w:rsid w:val="009573E7"/>
    <w:rsid w:val="00961668"/>
    <w:rsid w:val="00963E05"/>
    <w:rsid w:val="00964A45"/>
    <w:rsid w:val="00967843"/>
    <w:rsid w:val="00967D54"/>
    <w:rsid w:val="00971028"/>
    <w:rsid w:val="00971039"/>
    <w:rsid w:val="00977312"/>
    <w:rsid w:val="0098353A"/>
    <w:rsid w:val="009919B8"/>
    <w:rsid w:val="00991AE5"/>
    <w:rsid w:val="00993B84"/>
    <w:rsid w:val="00996483"/>
    <w:rsid w:val="00996F5A"/>
    <w:rsid w:val="009A746E"/>
    <w:rsid w:val="009B041A"/>
    <w:rsid w:val="009C37C3"/>
    <w:rsid w:val="009C5B52"/>
    <w:rsid w:val="009C7C86"/>
    <w:rsid w:val="009D2FF7"/>
    <w:rsid w:val="009E0280"/>
    <w:rsid w:val="009E7884"/>
    <w:rsid w:val="009E788A"/>
    <w:rsid w:val="009F0E08"/>
    <w:rsid w:val="009F1339"/>
    <w:rsid w:val="009F5E71"/>
    <w:rsid w:val="00A00939"/>
    <w:rsid w:val="00A1763D"/>
    <w:rsid w:val="00A17CEC"/>
    <w:rsid w:val="00A2571E"/>
    <w:rsid w:val="00A27EF0"/>
    <w:rsid w:val="00A324B7"/>
    <w:rsid w:val="00A42361"/>
    <w:rsid w:val="00A50B20"/>
    <w:rsid w:val="00A51390"/>
    <w:rsid w:val="00A51507"/>
    <w:rsid w:val="00A60D13"/>
    <w:rsid w:val="00A7223D"/>
    <w:rsid w:val="00A72745"/>
    <w:rsid w:val="00A76EFC"/>
    <w:rsid w:val="00A87D50"/>
    <w:rsid w:val="00A91010"/>
    <w:rsid w:val="00A97F29"/>
    <w:rsid w:val="00AA702E"/>
    <w:rsid w:val="00AA7D26"/>
    <w:rsid w:val="00AB0964"/>
    <w:rsid w:val="00AB5011"/>
    <w:rsid w:val="00AC7368"/>
    <w:rsid w:val="00AD16B9"/>
    <w:rsid w:val="00AD4933"/>
    <w:rsid w:val="00AE377D"/>
    <w:rsid w:val="00AF0EBA"/>
    <w:rsid w:val="00B02C8A"/>
    <w:rsid w:val="00B17FBD"/>
    <w:rsid w:val="00B210CE"/>
    <w:rsid w:val="00B22240"/>
    <w:rsid w:val="00B315A6"/>
    <w:rsid w:val="00B31813"/>
    <w:rsid w:val="00B33365"/>
    <w:rsid w:val="00B57B36"/>
    <w:rsid w:val="00B57E6F"/>
    <w:rsid w:val="00B8686D"/>
    <w:rsid w:val="00B93F69"/>
    <w:rsid w:val="00BA1277"/>
    <w:rsid w:val="00BB1DDC"/>
    <w:rsid w:val="00BC1809"/>
    <w:rsid w:val="00BC18B8"/>
    <w:rsid w:val="00BC30C9"/>
    <w:rsid w:val="00BD03E9"/>
    <w:rsid w:val="00BD077D"/>
    <w:rsid w:val="00BE3E58"/>
    <w:rsid w:val="00BF230E"/>
    <w:rsid w:val="00BF29BB"/>
    <w:rsid w:val="00C01616"/>
    <w:rsid w:val="00C0162B"/>
    <w:rsid w:val="00C04376"/>
    <w:rsid w:val="00C068ED"/>
    <w:rsid w:val="00C13E6C"/>
    <w:rsid w:val="00C22E0C"/>
    <w:rsid w:val="00C27B7A"/>
    <w:rsid w:val="00C345B1"/>
    <w:rsid w:val="00C40142"/>
    <w:rsid w:val="00C42B73"/>
    <w:rsid w:val="00C45039"/>
    <w:rsid w:val="00C45902"/>
    <w:rsid w:val="00C45CC0"/>
    <w:rsid w:val="00C52C3C"/>
    <w:rsid w:val="00C57182"/>
    <w:rsid w:val="00C57863"/>
    <w:rsid w:val="00C640AF"/>
    <w:rsid w:val="00C655FD"/>
    <w:rsid w:val="00C75407"/>
    <w:rsid w:val="00C870A8"/>
    <w:rsid w:val="00C94434"/>
    <w:rsid w:val="00CA0D75"/>
    <w:rsid w:val="00CA1C95"/>
    <w:rsid w:val="00CA5A9C"/>
    <w:rsid w:val="00CC4C20"/>
    <w:rsid w:val="00CD3517"/>
    <w:rsid w:val="00CD5FE2"/>
    <w:rsid w:val="00CE619C"/>
    <w:rsid w:val="00CE7C68"/>
    <w:rsid w:val="00D02B4C"/>
    <w:rsid w:val="00D040C4"/>
    <w:rsid w:val="00D04803"/>
    <w:rsid w:val="00D20AD1"/>
    <w:rsid w:val="00D41648"/>
    <w:rsid w:val="00D45FCB"/>
    <w:rsid w:val="00D46B7E"/>
    <w:rsid w:val="00D5609B"/>
    <w:rsid w:val="00D57C84"/>
    <w:rsid w:val="00D6057D"/>
    <w:rsid w:val="00D71640"/>
    <w:rsid w:val="00D836C5"/>
    <w:rsid w:val="00D84576"/>
    <w:rsid w:val="00DA1399"/>
    <w:rsid w:val="00DA24C6"/>
    <w:rsid w:val="00DA4D7B"/>
    <w:rsid w:val="00DA759B"/>
    <w:rsid w:val="00DD271C"/>
    <w:rsid w:val="00DD6B4A"/>
    <w:rsid w:val="00DE264A"/>
    <w:rsid w:val="00DF2C45"/>
    <w:rsid w:val="00DF5072"/>
    <w:rsid w:val="00E02D18"/>
    <w:rsid w:val="00E041E7"/>
    <w:rsid w:val="00E048E3"/>
    <w:rsid w:val="00E127FF"/>
    <w:rsid w:val="00E23CA1"/>
    <w:rsid w:val="00E409A8"/>
    <w:rsid w:val="00E4477A"/>
    <w:rsid w:val="00E50C12"/>
    <w:rsid w:val="00E65B91"/>
    <w:rsid w:val="00E7209D"/>
    <w:rsid w:val="00E72EAD"/>
    <w:rsid w:val="00E77223"/>
    <w:rsid w:val="00E84B5B"/>
    <w:rsid w:val="00E8528B"/>
    <w:rsid w:val="00E85B94"/>
    <w:rsid w:val="00E87923"/>
    <w:rsid w:val="00E978D0"/>
    <w:rsid w:val="00EA4613"/>
    <w:rsid w:val="00EA7F91"/>
    <w:rsid w:val="00EB1523"/>
    <w:rsid w:val="00EB7E8A"/>
    <w:rsid w:val="00EC0E49"/>
    <w:rsid w:val="00EC101F"/>
    <w:rsid w:val="00EC1D9F"/>
    <w:rsid w:val="00EE0131"/>
    <w:rsid w:val="00EE17B0"/>
    <w:rsid w:val="00EE4A15"/>
    <w:rsid w:val="00EF06D9"/>
    <w:rsid w:val="00F00E43"/>
    <w:rsid w:val="00F030B6"/>
    <w:rsid w:val="00F11221"/>
    <w:rsid w:val="00F27885"/>
    <w:rsid w:val="00F3049E"/>
    <w:rsid w:val="00F30C64"/>
    <w:rsid w:val="00F32BA2"/>
    <w:rsid w:val="00F32CDB"/>
    <w:rsid w:val="00F565FE"/>
    <w:rsid w:val="00F63A70"/>
    <w:rsid w:val="00F63D8C"/>
    <w:rsid w:val="00F7534E"/>
    <w:rsid w:val="00F93EDF"/>
    <w:rsid w:val="00FA1802"/>
    <w:rsid w:val="00FA21D0"/>
    <w:rsid w:val="00FA5F5F"/>
    <w:rsid w:val="00FB730C"/>
    <w:rsid w:val="00FC2695"/>
    <w:rsid w:val="00FC3E03"/>
    <w:rsid w:val="00FC3FC1"/>
    <w:rsid w:val="00FC72F8"/>
    <w:rsid w:val="00FE48C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F230E"/>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F230E"/>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paragraph" w:customStyle="1" w:styleId="Corpodeltesto">
    <w:name w:val="Corpo del testo"/>
    <w:basedOn w:val="Corpotesto"/>
    <w:qFormat/>
    <w:rsid w:val="002355BE"/>
    <w:pPr>
      <w:tabs>
        <w:tab w:val="clear" w:pos="7100"/>
      </w:tabs>
      <w:spacing w:line="240" w:lineRule="auto"/>
      <w:ind w:firstLine="357"/>
    </w:pPr>
    <w:rPr>
      <w:rFonts w:ascii="Arial Unicode MS" w:eastAsia="Arial Unicode MS" w:hAnsi="Arial Unicode MS" w:cs="Arial Unicode MS"/>
      <w:sz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Pen18</b:Tag>
    <b:SourceType>JournalArticle</b:SourceType>
    <b:Guid>{4C9305A6-2239-46FB-A222-67C580B457EC}</b:Guid>
    <b:Author>
      <b:Author>
        <b:NameList>
          <b:Person>
            <b:Last>Jiab</b:Last>
            <b:First>Peng-Yuan</b:First>
          </b:Person>
          <b:Person>
            <b:Last>Jia</b:Last>
            <b:First>Zhi-Yong</b:First>
          </b:Person>
          <b:Person>
            <b:Last>Chen</b:Last>
            <b:First>Qing-Bai</b:First>
          </b:Person>
          <b:Person>
            <b:Last>Ying-Ying</b:Last>
            <b:First>Jie</b:First>
            <b:Middle>Liuac</b:Middle>
          </b:Person>
          <b:Person>
            <b:Last>Wanga</b:Last>
            <b:First>Zhao</b:First>
            <b:Middle>Shi-Zhao</b:Middle>
          </b:Person>
          <b:Person>
            <b:Last>Li</b:Last>
            <b:First>Fei</b:First>
          </b:Person>
          <b:Person>
            <b:Last>Jun-ShengYuan</b:Last>
          </b:Person>
        </b:NameList>
      </b:Author>
    </b:Author>
    <b:Title>Effect of coexisting ions on recovering lithium from high Mg2+/Li+ ratio brines by selective-electrodialysis</b:Title>
    <b:JournalName>Separation and Purification technology</b:JournalName>
    <b:Year>2018</b:Year>
    <b:Pages>1-11</b:Pages>
    <b:Volume>207</b:Volume>
    <b:RefOrder>12</b:RefOrder>
  </b:Source>
  <b:Source>
    <b:Tag>AHH03</b:Tag>
    <b:SourceType>JournalArticle</b:SourceType>
    <b:Guid>{CBE66120-4486-4670-A817-AADD48A8010F}</b:Guid>
    <b:Author>
      <b:Author>
        <b:NameList>
          <b:Person>
            <b:Last>Hamzaoui</b:Last>
            <b:First>A.H.</b:First>
          </b:Person>
          <b:Person>
            <b:Last>M’nif</b:Last>
            <b:First>A.</b:First>
          </b:Person>
          <b:Person>
            <b:Last>Hammi</b:Last>
            <b:First>H.</b:First>
          </b:Person>
          <b:Person>
            <b:Last>Rokbani</b:Last>
            <b:First>R.</b:First>
          </b:Person>
        </b:NameList>
      </b:Author>
    </b:Author>
    <b:Title>Contribution to the lithium recovery from brine</b:Title>
    <b:JournalName>Desalination </b:JournalName>
    <b:Year>2003</b:Year>
    <b:Pages>221-224</b:Pages>
    <b:RefOrder>21</b:RefOrder>
  </b:Source>
  <b:Source>
    <b:Tag>Gre</b:Tag>
    <b:SourceType>JournalArticle</b:SourceType>
    <b:Guid>{06157F21-AADC-452B-AED4-FAC8B4CA707E}</b:Guid>
    <b:Title>Green recovery of low concentration of lithium from geothermal water by a novel FPO/KNiFC ion pump technique</b:Title>
    <b:Author>
      <b:Author>
        <b:NameList>
          <b:Person>
            <b:Last>Han</b:Last>
            <b:First>Tao</b:First>
          </b:Person>
          <b:Person>
            <b:Last>Yu</b:Last>
            <b:First>Xiaoping</b:First>
          </b:Person>
          <b:Person>
            <b:Last>Guo</b:Last>
            <b:First>Yafei</b:First>
          </b:Person>
          <b:Person>
            <b:Last>Li</b:Last>
            <b:First>Mingli</b:First>
          </b:Person>
          <b:Person>
            <b:Last>Duo</b:Last>
            <b:First>Ji</b:First>
          </b:Person>
          <b:Person>
            <b:Last>Deng</b:Last>
            <b:First>Tianlong</b:First>
          </b:Person>
        </b:NameList>
      </b:Author>
    </b:Author>
    <b:JournalName>Electrochimica Acta</b:JournalName>
    <b:Year>2020</b:Year>
    <b:RefOrder>22</b:RefOrder>
  </b:Source>
  <b:Source>
    <b:Tag>Ram14</b:Tag>
    <b:SourceType>JournalArticle</b:SourceType>
    <b:Guid>{A001E642-F1BA-4161-A94A-171F72FA1B01}</b:Guid>
    <b:Author>
      <b:Author>
        <b:NameList>
          <b:Person>
            <b:Last>Chitrakar</b:Last>
            <b:First>Ramesh</b:First>
          </b:Person>
          <b:Person>
            <b:Last>Makita</b:Last>
            <b:First>Yoji</b:First>
          </b:Person>
          <b:Person>
            <b:Last>Ooi</b:Last>
            <b:First>Kenta</b:First>
          </b:Person>
          <b:Person>
            <b:Last>Sonoda</b:Last>
            <b:First>Akinari</b:First>
          </b:Person>
        </b:NameList>
      </b:Author>
    </b:Author>
    <b:Title>Lithium recovery from salt lake brine by H2TiO3</b:Title>
    <b:JournalName>Dalton transactions</b:JournalName>
    <b:Year>2014</b:Year>
    <b:Volume>23</b:Volume>
    <b:RefOrder>23</b:RefOrder>
  </b:Source>
  <b:Source>
    <b:Tag>Don18</b:Tag>
    <b:SourceType>JournalArticle</b:SourceType>
    <b:Guid>{589A1C6F-A347-48B2-9F1B-033CD20DC7BD}</b:Guid>
    <b:Author>
      <b:Author>
        <b:NameList>
          <b:Person>
            <b:Last>Gu</b:Last>
            <b:First>Donglei</b:First>
          </b:Person>
          <b:Person>
            <b:Last>Sun</b:Last>
            <b:First>Wenjun</b:First>
          </b:Person>
          <b:Person>
            <b:Last>Han</b:Last>
            <b:First>Guofei</b:First>
          </b:Person>
          <b:Person>
            <b:Last>Cui</b:Last>
            <b:First>Qun</b:First>
          </b:Person>
          <b:Person>
            <b:Last>Wang</b:Last>
            <b:First>Haiyan</b:First>
          </b:Person>
        </b:NameList>
      </b:Author>
    </b:Author>
    <b:Title>Lithium ion sieve synthesized via an improved solid state method and adsorption performance for West Taijinar Salt Lake brine</b:Title>
    <b:JournalName>Chemical Engineering Journal</b:JournalName>
    <b:Year>2018</b:Year>
    <b:Pages>474-483</b:Pages>
    <b:Volume>350</b:Volume>
    <b:RefOrder>24</b:RefOrder>
  </b:Source>
  <b:Source>
    <b:Tag>Hid12</b:Tag>
    <b:SourceType>JournalArticle</b:SourceType>
    <b:Guid>{EE79C663-CAF4-4F13-A06D-F1829A2B35C1}</b:Guid>
    <b:Author>
      <b:Author>
        <b:NameList>
          <b:Person>
            <b:Last>Sato</b:Last>
            <b:First>Hideki</b:First>
          </b:Person>
          <b:Person>
            <b:Last>Nishihama</b:Last>
            <b:First>Syouhei</b:First>
          </b:Person>
          <b:Person>
            <b:Last>Yoshizuka</b:Last>
            <b:First>Kazuharu</b:First>
          </b:Person>
        </b:NameList>
      </b:Author>
    </b:Author>
    <b:Title>Lithium Recovery from Geothermal Water by Combined Adsorption Methods</b:Title>
    <b:JournalName>Solvent extraction and ion exchange</b:JournalName>
    <b:Year>2012</b:Year>
    <b:RefOrder>25</b:RefOrder>
  </b:Source>
  <b:Source>
    <b:Tag>Don</b:Tag>
    <b:SourceType>JournalArticle</b:SourceType>
    <b:Guid>{4BE0E7E7-4984-4046-B06B-EE098BED8B0B}</b:Guid>
    <b:Author>
      <b:Author>
        <b:NameList>
          <b:Person>
            <b:Last>Liu</b:Last>
            <b:First>Dong-Fan</b:First>
          </b:Person>
          <b:Person>
            <b:Last>Sun</b:Last>
            <b:First>Shu-Ying</b:First>
          </b:Person>
          <b:Person>
            <b:Last>Yu</b:Last>
            <b:First>Jian-Guo</b:First>
          </b:Person>
        </b:NameList>
      </b:Author>
    </b:Author>
    <b:Title>A new high-efficiency process for Li+ recovery from solutions based on LiMn2O4/λ-MnO2 materials</b:Title>
    <b:JournalName>Chemical Engineering Journal</b:JournalName>
    <b:Year>2019</b:Year>
    <b:RefOrder>26</b:RefOrder>
  </b:Source>
  <b:Source>
    <b:Tag>Sha201</b:Tag>
    <b:SourceType>JournalArticle</b:SourceType>
    <b:Guid>{0ECAE113-0192-4903-AD80-3839273B2F13}</b:Guid>
    <b:Author>
      <b:Author>
        <b:NameList>
          <b:Person>
            <b:Last>Roobavannan</b:Last>
            <b:First>Sharaniya</b:First>
          </b:Person>
          <b:Person>
            <b:Last>Vigneswaran</b:Last>
            <b:First>Saravanamuthu</b:First>
          </b:Person>
          <b:Person>
            <b:Last>Naidu</b:Last>
            <b:First>Gayathri</b:First>
          </b:Person>
        </b:NameList>
      </b:Author>
    </b:Author>
    <b:Title>Enhancing the performance of membrane distillation and ion-exchange manganese oxide for recovery of water and lithium from seawater</b:Title>
    <b:JournalName>Chemical Engineering Journal</b:JournalName>
    <b:Year>2020</b:Year>
    <b:Volume>396</b:Volume>
    <b:RefOrder>27</b:RefOrder>
  </b:Source>
  <b:Source>
    <b:Tag>Ken17</b:Tag>
    <b:SourceType>JournalArticle</b:SourceType>
    <b:Guid>{FA073AD9-0DE9-4133-B40C-190D8DE3E281}</b:Guid>
    <b:Author>
      <b:Author>
        <b:NameList>
          <b:Person>
            <b:Last>Kenta</b:Last>
            <b:First>Ooi</b:First>
          </b:Person>
          <b:Person>
            <b:Last>Akinari</b:Last>
            <b:First>Sonoda</b:First>
          </b:Person>
          <b:Person>
            <b:Last>Yoji</b:Last>
            <b:First>Makita</b:First>
          </b:Person>
          <b:Person>
            <b:Last>Ramesh</b:Last>
            <b:First>Chitrakar</b:First>
          </b:Person>
          <b:Person>
            <b:Last>Tasaki-Handa</b:Last>
          </b:Person>
          <b:Person>
            <b:Last>Tetsuya</b:Last>
            <b:First>Nakazato</b:First>
          </b:Person>
        </b:NameList>
      </b:Author>
    </b:Author>
    <b:Title>Recovery of lithium from salt-brine eluates by direct crystallization as lithium sulfate</b:Title>
    <b:JournalName>Hydrometallurgy</b:JournalName>
    <b:Year>2017</b:Year>
    <b:Pages>123-130</b:Pages>
    <b:RefOrder>28</b:RefOrder>
  </b:Source>
  <b:Source>
    <b:Tag>Chu19</b:Tag>
    <b:SourceType>JournalArticle</b:SourceType>
    <b:Guid>{B65013D5-7418-4406-B817-A8BD539B1F81}</b:Guid>
    <b:Author>
      <b:Author>
        <b:NameList>
          <b:Person>
            <b:Last>Zhao</b:Last>
            <b:First>Chunlong</b:First>
          </b:Person>
          <b:Person>
            <b:Last>Zhang</b:Last>
            <b:First>Yanling</b:First>
          </b:Person>
          <b:Person>
            <b:Last>Caoa</b:Last>
            <b:First>Hongbin</b:First>
          </b:Person>
          <b:Person>
            <b:Last>Zheng</b:Last>
            <b:First>Xiaohong</b:First>
          </b:Person>
          <b:Person>
            <b:Last>Gerven</b:Last>
            <b:First>Tom</b:First>
            <b:Middle>Van</b:Middle>
          </b:Person>
          <b:Person>
            <b:Last>Hua</b:Last>
            <b:First>Yingyan</b:First>
          </b:Person>
          <b:Person>
            <b:Last>Sun</b:Last>
            <b:First>Zhi</b:First>
          </b:Person>
        </b:NameList>
      </b:Author>
    </b:Author>
    <b:Title>Lithium carbonate recovery from lithium-containing solution by ultrasound assisted precipitation</b:Title>
    <b:JournalName>Ultrasonics - Sonochemistry</b:JournalName>
    <b:Year>2019</b:Year>
    <b:Pages>484-492</b:Pages>
    <b:RefOrder>29</b:RefOrder>
  </b:Source>
  <b:Source>
    <b:Tag>Cha18</b:Tag>
    <b:SourceType>JournalArticle</b:SourceType>
    <b:Guid>{DEF19894-31D5-47DC-A7B9-1C70BF0C5250}</b:Guid>
    <b:Author>
      <b:Author>
        <b:NameList>
          <b:Person>
            <b:Last>Xiao</b:Last>
            <b:First>Chao</b:First>
          </b:Person>
          <b:Person>
            <b:Last>Zeng</b:Last>
            <b:First>Li</b:First>
          </b:Person>
        </b:NameList>
      </b:Author>
    </b:Author>
    <b:Title>Thermodynamic study on recovery of lithium using phosphate precipitation method</b:Title>
    <b:JournalName>Hydrometallurgy</b:JournalName>
    <b:Year>2018</b:Year>
    <b:Pages>283-286</b:Pages>
    <b:RefOrder>30</b:RefOrder>
  </b:Source>
  <b:Source>
    <b:Tag>Zhi</b:Tag>
    <b:SourceType>JournalArticle</b:SourceType>
    <b:Guid>{170F2D0C-FC27-48FE-BF2C-C1CDEB5714FC}</b:Guid>
    <b:Author>
      <b:Author>
        <b:NameList>
          <b:Person>
            <b:Last>Zhiyong</b:Last>
            <b:First>Zhou</b:First>
          </b:Person>
          <b:Person>
            <b:Last>Wei</b:Last>
            <b:First>Qin</b:First>
          </b:Person>
          <b:Person>
            <b:Last>Weiyang</b:Last>
            <b:First>Fei</b:First>
          </b:Person>
        </b:NameList>
      </b:Author>
    </b:Author>
    <b:Title>Extraction Equilibria of Lithium with Tributyl Phosphate in Three Diluents</b:Title>
    <b:JournalName>Journal of chemical &amp; engineering data</b:JournalName>
    <b:RefOrder>31</b:RefOrder>
  </b:Source>
  <b:Source>
    <b:Tag>Mat05</b:Tag>
    <b:SourceType>JournalArticle</b:SourceType>
    <b:Guid>{65AD8554-8CC2-43D5-8E58-F9CD930B8E23}</b:Guid>
    <b:Title>Extraction of lithium by organic solvents</b:Title>
    <b:JournalName>International Journal of Chemistry</b:JournalName>
    <b:Year>2005</b:Year>
    <b:Pages>227-234</b:Pages>
    <b:Author>
      <b:Author>
        <b:NameList>
          <b:Person>
            <b:Last>Mathuria</b:Last>
            <b:First>Prerna</b:First>
          </b:Person>
          <b:Person>
            <b:Last>Palria</b:Last>
            <b:First>V.</b:First>
            <b:Middle>S.</b:Middle>
          </b:Person>
        </b:NameList>
      </b:Author>
    </b:Author>
    <b:RefOrder>32</b:RefOrder>
  </b:Source>
  <b:Source>
    <b:Tag>Wal20</b:Tag>
    <b:SourceType>JournalArticle</b:SourceType>
    <b:Guid>{E82EFEE5-40D4-46D0-8D9D-23ACDBDE5CFB}</b:Guid>
    <b:Author>
      <b:Author>
        <b:NameList>
          <b:Person>
            <b:Last>Torres</b:Last>
            <b:First>Walter</b:First>
            <b:Middle>R.</b:Middle>
          </b:Person>
          <b:Person>
            <b:Last>Nieto</b:Last>
            <b:First>C´esar</b:First>
            <b:Middle>H. Díaz</b:Middle>
          </b:Person>
          <b:Person>
            <b:Last>Pr´evoteau</b:Last>
            <b:First>Antonin</b:First>
          </b:Person>
          <b:Person>
            <b:Last>Rabaey</b:Last>
            <b:First>Korneel</b:First>
          </b:Person>
        </b:NameList>
      </b:Author>
    </b:Author>
    <b:Title>Lithium carbonate recovery from brines using membrane electrolysis</b:Title>
    <b:JournalName>Journal of Membrane Science</b:JournalName>
    <b:Year>2020</b:Year>
    <b:RefOrder>33</b:RefOrder>
  </b:Source>
  <b:Source>
    <b:Tag>Cej16</b:Tag>
    <b:SourceType>JournalArticle</b:SourceType>
    <b:Guid>{68FB3F16-C4A2-4CBB-91E9-41FF64BCFCCF}</b:Guid>
    <b:Author>
      <b:Author>
        <b:NameList>
          <b:Person>
            <b:Last>Quist-Jensen</b:Last>
            <b:First>Cejna</b:First>
            <b:Middle>Anna</b:Middle>
          </b:Person>
          <b:Person>
            <b:Last>Ali</b:Last>
            <b:First>Aamer</b:First>
          </b:Person>
          <b:Person>
            <b:Last>Mondal</b:Last>
            <b:First>Suchintan</b:First>
          </b:Person>
          <b:Person>
            <b:Last>Macedonio</b:Last>
            <b:First>Francesca</b:First>
          </b:Person>
          <b:Person>
            <b:Last>Drioli</b:Last>
            <b:First>Enrico</b:First>
          </b:Person>
        </b:NameList>
      </b:Author>
    </b:Author>
    <b:Title>A study of membrane distillation and crystallization for lithium recovery from high-concentrated aqueous solutions</b:Title>
    <b:JournalName>Journal of Membrane Science</b:JournalName>
    <b:Year>2016</b:Year>
    <b:Pages>167-173</b:Pages>
    <b:RefOrder>34</b:RefOrder>
  </b:Source>
</b:Sources>
</file>

<file path=customXml/itemProps1.xml><?xml version="1.0" encoding="utf-8"?>
<ds:datastoreItem xmlns:ds="http://schemas.openxmlformats.org/officeDocument/2006/customXml" ds:itemID="{CA0CFA6A-95CD-4482-9955-8A792C99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3243</Words>
  <Characters>18488</Characters>
  <Application>Microsoft Office Word</Application>
  <DocSecurity>0</DocSecurity>
  <Lines>154</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Federica Annunzi</cp:lastModifiedBy>
  <cp:revision>2</cp:revision>
  <cp:lastPrinted>2015-05-12T18:31:00Z</cp:lastPrinted>
  <dcterms:created xsi:type="dcterms:W3CDTF">2023-03-14T09:26:00Z</dcterms:created>
  <dcterms:modified xsi:type="dcterms:W3CDTF">2023-03-14T09:26:00Z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