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AC7854" w14:paraId="2A131A54" w14:textId="77777777" w:rsidTr="00B2392E">
        <w:trPr>
          <w:trHeight w:val="852"/>
          <w:jc w:val="center"/>
        </w:trPr>
        <w:tc>
          <w:tcPr>
            <w:tcW w:w="6940" w:type="dxa"/>
            <w:vMerge w:val="restart"/>
            <w:tcBorders>
              <w:right w:val="single" w:sz="4" w:space="0" w:color="auto"/>
            </w:tcBorders>
          </w:tcPr>
          <w:p w14:paraId="38C3D2BA" w14:textId="77777777" w:rsidR="000A03B2" w:rsidRPr="00B57B36" w:rsidRDefault="005134AB"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6FC7AB61" wp14:editId="5A069748">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cetlogo"/>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p>
          <w:p w14:paraId="5FE0B5DA" w14:textId="77777777" w:rsidR="000A03B2" w:rsidRPr="00B57B36" w:rsidRDefault="000A03B2" w:rsidP="00DE264A">
            <w:pPr>
              <w:tabs>
                <w:tab w:val="left" w:pos="-108"/>
              </w:tabs>
              <w:ind w:left="-108"/>
              <w:jc w:val="left"/>
              <w:rPr>
                <w:rFonts w:cs="Arial"/>
                <w:b/>
                <w:bCs/>
                <w:i/>
                <w:iCs/>
                <w:color w:val="000066"/>
                <w:sz w:val="12"/>
                <w:szCs w:val="12"/>
                <w:lang w:eastAsia="it-IT"/>
              </w:rPr>
            </w:pPr>
          </w:p>
          <w:p w14:paraId="4B780582" w14:textId="530285EB" w:rsidR="000A03B2" w:rsidRPr="00B57B36" w:rsidRDefault="005134AB"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2" w:type="dxa"/>
            <w:tcBorders>
              <w:left w:val="single" w:sz="4" w:space="0" w:color="auto"/>
              <w:bottom w:val="nil"/>
              <w:right w:val="single" w:sz="4" w:space="0" w:color="auto"/>
            </w:tcBorders>
          </w:tcPr>
          <w:p w14:paraId="56782132" w14:textId="77777777" w:rsidR="000A03B2" w:rsidRPr="00B57B36" w:rsidRDefault="005134AB"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5134AB" w:rsidP="00CD5FE2">
            <w:pPr>
              <w:jc w:val="right"/>
            </w:pPr>
            <w:r w:rsidRPr="00B57B36">
              <w:rPr>
                <w:noProof/>
                <w:lang w:val="it-IT" w:eastAsia="it-IT"/>
              </w:rPr>
              <w:drawing>
                <wp:inline distT="0" distB="0" distL="0" distR="0" wp14:anchorId="49E6867D" wp14:editId="2BC24161">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aidiclogo_grand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0560" cy="358140"/>
                          </a:xfrm>
                          <a:prstGeom prst="rect">
                            <a:avLst/>
                          </a:prstGeom>
                          <a:noFill/>
                          <a:ln>
                            <a:noFill/>
                          </a:ln>
                        </pic:spPr>
                      </pic:pic>
                    </a:graphicData>
                  </a:graphic>
                </wp:inline>
              </w:drawing>
            </w:r>
          </w:p>
        </w:tc>
      </w:tr>
      <w:tr w:rsidR="00AC7854" w14:paraId="380FA3CD" w14:textId="77777777" w:rsidTr="00B2392E">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5134AB"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5134AB"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5134AB" w:rsidP="00CD5FE2">
            <w:pPr>
              <w:spacing w:line="140" w:lineRule="atLeast"/>
              <w:jc w:val="right"/>
              <w:rPr>
                <w:rFonts w:cs="Arial"/>
                <w:sz w:val="13"/>
                <w:szCs w:val="13"/>
              </w:rPr>
            </w:pPr>
            <w:r w:rsidRPr="000D0268">
              <w:rPr>
                <w:rFonts w:cs="Arial"/>
                <w:sz w:val="13"/>
                <w:szCs w:val="13"/>
              </w:rPr>
              <w:t>Online at www.cetjournal.it</w:t>
            </w:r>
          </w:p>
        </w:tc>
      </w:tr>
      <w:tr w:rsidR="00AC7854" w14:paraId="2D1B7169" w14:textId="77777777" w:rsidTr="00B2392E">
        <w:trPr>
          <w:trHeight w:val="68"/>
          <w:jc w:val="center"/>
        </w:trPr>
        <w:tc>
          <w:tcPr>
            <w:tcW w:w="8782" w:type="dxa"/>
            <w:gridSpan w:val="2"/>
          </w:tcPr>
          <w:p w14:paraId="1D8DD3C9" w14:textId="72C518CF" w:rsidR="00AA7D26" w:rsidRPr="00F93EDF" w:rsidRDefault="005134AB"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w:t>
            </w:r>
            <w:r w:rsidRPr="00F93EDF">
              <w:rPr>
                <w:rFonts w:ascii="Tahoma" w:hAnsi="Tahoma" w:cs="Tahoma"/>
                <w:color w:val="000000"/>
                <w:sz w:val="14"/>
                <w:szCs w:val="14"/>
                <w:shd w:val="clear" w:color="auto" w:fill="FFFFFF"/>
              </w:rPr>
              <w:t xml:space="preserve"> </w:t>
            </w:r>
            <w:proofErr w:type="spellStart"/>
            <w:r w:rsidRPr="00293D18">
              <w:rPr>
                <w:rFonts w:ascii="Tahoma" w:hAnsi="Tahoma" w:cs="Tahoma"/>
                <w:sz w:val="14"/>
                <w:szCs w:val="14"/>
              </w:rPr>
              <w:t>Sauro</w:t>
            </w:r>
            <w:proofErr w:type="spellEnd"/>
            <w:r w:rsidRPr="00293D18">
              <w:rPr>
                <w:rFonts w:ascii="Tahoma" w:hAnsi="Tahoma" w:cs="Tahoma"/>
                <w:sz w:val="14"/>
                <w:szCs w:val="14"/>
              </w:rPr>
              <w:t xml:space="preserve"> </w:t>
            </w:r>
            <w:proofErr w:type="spellStart"/>
            <w:r w:rsidRPr="00293D18">
              <w:rPr>
                <w:rFonts w:ascii="Tahoma" w:hAnsi="Tahoma" w:cs="Tahoma"/>
                <w:sz w:val="14"/>
                <w:szCs w:val="14"/>
              </w:rPr>
              <w:t>Pierucci</w:t>
            </w:r>
            <w:proofErr w:type="spellEnd"/>
          </w:p>
          <w:p w14:paraId="1B0F1814" w14:textId="650290B9" w:rsidR="000A03B2" w:rsidRPr="00B57B36" w:rsidRDefault="005134AB"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p>
          <w:p w14:paraId="04D75E91" w14:textId="77777777" w:rsidR="000A03B2" w:rsidRPr="00B57B36" w:rsidRDefault="005134AB" w:rsidP="00AA7D26">
            <w:pPr>
              <w:tabs>
                <w:tab w:val="left" w:pos="-108"/>
              </w:tabs>
              <w:spacing w:line="140" w:lineRule="atLeast"/>
              <w:ind w:left="-107"/>
              <w:jc w:val="left"/>
            </w:pP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8</w:t>
            </w:r>
            <w:r w:rsidRPr="000562A9">
              <w:rPr>
                <w:rFonts w:ascii="Tahoma" w:hAnsi="Tahoma" w:cs="Tahoma"/>
                <w:sz w:val="14"/>
                <w:szCs w:val="14"/>
              </w:rPr>
              <w:t>-</w:t>
            </w:r>
            <w:r>
              <w:rPr>
                <w:rFonts w:ascii="Tahoma" w:hAnsi="Tahoma" w:cs="Tahoma"/>
                <w:sz w:val="14"/>
                <w:szCs w:val="14"/>
              </w:rPr>
              <w:t>88</w:t>
            </w:r>
            <w:r w:rsidRPr="000562A9">
              <w:rPr>
                <w:rFonts w:ascii="Tahoma" w:hAnsi="Tahoma" w:cs="Tahoma"/>
                <w:sz w:val="14"/>
                <w:szCs w:val="14"/>
              </w:rPr>
              <w:t>-</w:t>
            </w:r>
            <w:r>
              <w:rPr>
                <w:rFonts w:ascii="Tahoma" w:hAnsi="Tahoma" w:cs="Tahoma"/>
                <w:sz w:val="14"/>
                <w:szCs w:val="14"/>
              </w:rPr>
              <w:t>95608-98-3</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702B860A" w:rsidR="00E978D0" w:rsidRPr="00B57B36" w:rsidRDefault="005134AB" w:rsidP="00E978D0">
      <w:pPr>
        <w:pStyle w:val="CETTitle"/>
      </w:pPr>
      <w:r w:rsidRPr="00B2392E">
        <w:t>Techno-economic analysis of green diesel production process from vegetable oils</w:t>
      </w:r>
    </w:p>
    <w:p w14:paraId="05267033" w14:textId="1F9AB424" w:rsidR="00B2392E" w:rsidRPr="00B2392E" w:rsidRDefault="005134AB" w:rsidP="00B2392E">
      <w:pPr>
        <w:pStyle w:val="CETAuthors"/>
        <w:rPr>
          <w:lang w:val="it-IT"/>
        </w:rPr>
      </w:pPr>
      <w:r w:rsidRPr="00B2392E">
        <w:rPr>
          <w:lang w:val="it-IT"/>
        </w:rPr>
        <w:t>Antonio Caporusso</w:t>
      </w:r>
      <w:r w:rsidRPr="00B2392E">
        <w:rPr>
          <w:vertAlign w:val="superscript"/>
          <w:lang w:val="it-IT"/>
        </w:rPr>
        <w:t>a,b</w:t>
      </w:r>
      <w:r w:rsidRPr="00B2392E">
        <w:rPr>
          <w:lang w:val="it-IT"/>
        </w:rPr>
        <w:t xml:space="preserve">, Aristide </w:t>
      </w:r>
      <w:r w:rsidRPr="00BA1EF1">
        <w:rPr>
          <w:lang w:val="it-IT"/>
        </w:rPr>
        <w:t>Giuliano</w:t>
      </w:r>
      <w:r w:rsidRPr="00BA1EF1">
        <w:rPr>
          <w:vertAlign w:val="superscript"/>
          <w:lang w:val="it-IT"/>
        </w:rPr>
        <w:t>a</w:t>
      </w:r>
      <w:r w:rsidRPr="00BA1EF1">
        <w:rPr>
          <w:lang w:val="it-IT"/>
        </w:rPr>
        <w:t>*, Federico Liuzzi</w:t>
      </w:r>
      <w:r w:rsidRPr="00BA1EF1">
        <w:rPr>
          <w:vertAlign w:val="superscript"/>
          <w:lang w:val="it-IT"/>
        </w:rPr>
        <w:t>a</w:t>
      </w:r>
      <w:r w:rsidRPr="00BA1EF1">
        <w:rPr>
          <w:lang w:val="it-IT"/>
        </w:rPr>
        <w:t>,</w:t>
      </w:r>
      <w:r w:rsidR="00BA1EF1" w:rsidRPr="00BA1EF1">
        <w:rPr>
          <w:lang w:val="it-IT"/>
        </w:rPr>
        <w:t xml:space="preserve"> Diego Barletta</w:t>
      </w:r>
      <w:r w:rsidR="0043575D" w:rsidRPr="0043575D">
        <w:rPr>
          <w:vertAlign w:val="superscript"/>
          <w:lang w:val="it-IT"/>
        </w:rPr>
        <w:t>c</w:t>
      </w:r>
      <w:r w:rsidR="00BA1EF1" w:rsidRPr="00BA1EF1">
        <w:rPr>
          <w:lang w:val="it-IT"/>
        </w:rPr>
        <w:t>,</w:t>
      </w:r>
      <w:r w:rsidRPr="00BA1EF1">
        <w:rPr>
          <w:lang w:val="it-IT"/>
        </w:rPr>
        <w:t xml:space="preserve"> Isabella De Bari</w:t>
      </w:r>
      <w:r w:rsidRPr="00BA1EF1">
        <w:rPr>
          <w:vertAlign w:val="superscript"/>
          <w:lang w:val="it-IT"/>
        </w:rPr>
        <w:t>a</w:t>
      </w:r>
    </w:p>
    <w:p w14:paraId="2EAB02C2" w14:textId="77777777" w:rsidR="00B2392E" w:rsidRPr="00B57B36" w:rsidRDefault="005134AB" w:rsidP="00B2392E">
      <w:pPr>
        <w:pStyle w:val="CETAddress"/>
      </w:pPr>
      <w:r w:rsidRPr="00B57B36">
        <w:rPr>
          <w:vertAlign w:val="superscript"/>
        </w:rPr>
        <w:t>a</w:t>
      </w:r>
      <w:r w:rsidRPr="00310F54">
        <w:t xml:space="preserve">ENEA, Italian National Agency for New Technologies, Energy and </w:t>
      </w:r>
      <w:r w:rsidRPr="00310F54">
        <w:t>Sustainable Economic Development, S.S. 106 Ionica, km 419+500, Rotondella, MT, Italy</w:t>
      </w:r>
    </w:p>
    <w:p w14:paraId="7195A916" w14:textId="447ACBDF" w:rsidR="00B2392E" w:rsidRDefault="005134AB" w:rsidP="00B2392E">
      <w:pPr>
        <w:pStyle w:val="CETAddress"/>
      </w:pPr>
      <w:r w:rsidRPr="0043575D">
        <w:rPr>
          <w:vertAlign w:val="superscript"/>
        </w:rPr>
        <w:t>b</w:t>
      </w:r>
      <w:r w:rsidRPr="0043575D">
        <w:t>School of Agricultural, Forest, Food and Environmental Sciences, University of Basilicata, Viale dell'Ateneo Lucano 10, Potenza, 85100, Italy</w:t>
      </w:r>
    </w:p>
    <w:p w14:paraId="35EC04C1" w14:textId="65DE487B" w:rsidR="00BA1EF1" w:rsidRPr="00BA1EF1" w:rsidRDefault="005134AB" w:rsidP="00B2392E">
      <w:pPr>
        <w:pStyle w:val="CETAddress"/>
        <w:rPr>
          <w:lang w:val="it-IT"/>
        </w:rPr>
      </w:pPr>
      <w:r w:rsidRPr="00BA1EF1">
        <w:rPr>
          <w:vertAlign w:val="superscript"/>
          <w:lang w:val="it-IT"/>
        </w:rPr>
        <w:t>c</w:t>
      </w:r>
      <w:r w:rsidRPr="00BA1EF1">
        <w:rPr>
          <w:lang w:val="it-IT"/>
        </w:rPr>
        <w:t>2Dipartimento di Ingegneria</w:t>
      </w:r>
      <w:r w:rsidRPr="00BA1EF1">
        <w:rPr>
          <w:lang w:val="it-IT"/>
        </w:rPr>
        <w:t xml:space="preserve"> Industriale, Universitá degli Studi di Salerno, Via Giovanni Paolo II 132, Fisciano (SA), Italy</w:t>
      </w:r>
    </w:p>
    <w:p w14:paraId="15849E51" w14:textId="77777777" w:rsidR="00B2392E" w:rsidRPr="00B57B36" w:rsidRDefault="005134AB" w:rsidP="00B2392E">
      <w:pPr>
        <w:pStyle w:val="CETemail"/>
      </w:pPr>
      <w:r w:rsidRPr="00310F54">
        <w:t>aristide.giuliano@enea.it</w:t>
      </w:r>
    </w:p>
    <w:p w14:paraId="36508DA5" w14:textId="1A00C1CB" w:rsidR="00B2392E" w:rsidRDefault="005134AB" w:rsidP="00B2392E">
      <w:pPr>
        <w:pStyle w:val="CETBodytext"/>
        <w:rPr>
          <w:lang w:val="en-GB"/>
        </w:rPr>
      </w:pPr>
      <w:bookmarkStart w:id="0" w:name="_Hlk495475023"/>
      <w:r w:rsidRPr="00813FC2">
        <w:rPr>
          <w:lang w:val="en-GB"/>
        </w:rPr>
        <w:t>Green diesel is a real solution for the decarbonization process of the world, reducing in this way, carbon dioxide emissions to the a</w:t>
      </w:r>
      <w:r w:rsidRPr="00813FC2">
        <w:rPr>
          <w:lang w:val="en-GB"/>
        </w:rPr>
        <w:t>tmosphere. The present work proposes a flexible biorefinery design where green diesel is produced by catalytic hydrotreatment of four vegetable oils: soybean, sunflower, palm, and cardoon oil feedstock. The process was simulated in Aspen Plus</w:t>
      </w:r>
      <w:r w:rsidRPr="00813FC2">
        <w:rPr>
          <w:vertAlign w:val="superscript"/>
          <w:lang w:val="en-GB"/>
        </w:rPr>
        <w:t>®</w:t>
      </w:r>
      <w:r w:rsidRPr="00813FC2">
        <w:rPr>
          <w:lang w:val="en-GB"/>
        </w:rPr>
        <w:t>. A multi-bed</w:t>
      </w:r>
      <w:r w:rsidRPr="00813FC2">
        <w:rPr>
          <w:lang w:val="en-GB"/>
        </w:rPr>
        <w:t xml:space="preserve"> reactor composed of four catalytic beds with quenching cooling is designed and simulated in the presence of Ni-W/SiO</w:t>
      </w:r>
      <w:r w:rsidRPr="00813FC2">
        <w:rPr>
          <w:vertAlign w:val="subscript"/>
          <w:lang w:val="en-GB"/>
        </w:rPr>
        <w:t>2</w:t>
      </w:r>
      <w:r w:rsidRPr="00813FC2">
        <w:rPr>
          <w:lang w:val="en-GB"/>
        </w:rPr>
        <w:t>-Al</w:t>
      </w:r>
      <w:r w:rsidRPr="00813FC2">
        <w:rPr>
          <w:vertAlign w:val="subscript"/>
          <w:lang w:val="en-GB"/>
        </w:rPr>
        <w:t>2</w:t>
      </w:r>
      <w:r w:rsidRPr="00813FC2">
        <w:rPr>
          <w:lang w:val="en-GB"/>
        </w:rPr>
        <w:t>O</w:t>
      </w:r>
      <w:r w:rsidRPr="00813FC2">
        <w:rPr>
          <w:vertAlign w:val="subscript"/>
          <w:lang w:val="en-GB"/>
        </w:rPr>
        <w:t>3</w:t>
      </w:r>
      <w:r w:rsidRPr="00813FC2">
        <w:rPr>
          <w:lang w:val="en-GB"/>
        </w:rPr>
        <w:t xml:space="preserve"> catalyst, in addition to a separation phase train to obtain the green diesel. Sensitivity analyses were carried out to determine th</w:t>
      </w:r>
      <w:r w:rsidRPr="00813FC2">
        <w:rPr>
          <w:lang w:val="en-GB"/>
        </w:rPr>
        <w:t>e parameter conditions of the unit operations. The results of the model reflex a molar conversion of triglycerides above 97% and overall mass yield into diesel fraction above 79%. Total capital costs and operating costs of the process were determined in th</w:t>
      </w:r>
      <w:r w:rsidRPr="00813FC2">
        <w:rPr>
          <w:lang w:val="en-GB"/>
        </w:rPr>
        <w:t xml:space="preserve">e economic analysis, where a base case is considered for the calculations, </w:t>
      </w:r>
      <w:r w:rsidR="00001DE2" w:rsidRPr="00813FC2">
        <w:rPr>
          <w:lang w:val="en-GB"/>
        </w:rPr>
        <w:t xml:space="preserve">obtaining the maximum vegetable oil market price can be sustainable to make economically convenient the biorefinery. Soybean oil resulted in the worst feedstock due to the high percentage of unsaturated bonds, while cardoon oil can be considered the best source to produce green diesel thanks to </w:t>
      </w:r>
      <w:r w:rsidR="00813FC2" w:rsidRPr="00813FC2">
        <w:rPr>
          <w:lang w:val="en-GB"/>
        </w:rPr>
        <w:t>higher conversion yields.</w:t>
      </w:r>
    </w:p>
    <w:bookmarkEnd w:id="0"/>
    <w:p w14:paraId="476B2F2E" w14:textId="77777777" w:rsidR="00600535" w:rsidRPr="00B57B36" w:rsidRDefault="005134AB" w:rsidP="00600535">
      <w:pPr>
        <w:pStyle w:val="CETHeading1"/>
        <w:rPr>
          <w:lang w:val="en-GB"/>
        </w:rPr>
      </w:pPr>
      <w:r w:rsidRPr="00B57B36">
        <w:rPr>
          <w:lang w:val="en-GB"/>
        </w:rPr>
        <w:t>Introduction</w:t>
      </w:r>
    </w:p>
    <w:p w14:paraId="2EEBBB49" w14:textId="3ED480E8" w:rsidR="005322A5" w:rsidRDefault="005134AB" w:rsidP="005322A5">
      <w:pPr>
        <w:pStyle w:val="CETBodytext"/>
        <w:rPr>
          <w:lang w:val="en-GB"/>
        </w:rPr>
      </w:pPr>
      <w:r w:rsidRPr="0043575D">
        <w:rPr>
          <w:lang w:val="en-GB"/>
        </w:rPr>
        <w:t xml:space="preserve">The introduction on the market </w:t>
      </w:r>
      <w:r>
        <w:rPr>
          <w:lang w:val="en-GB"/>
        </w:rPr>
        <w:t>of bio-based products (bio-fuels, bio-</w:t>
      </w:r>
      <w:proofErr w:type="gramStart"/>
      <w:r>
        <w:rPr>
          <w:lang w:val="en-GB"/>
        </w:rPr>
        <w:t>chemicals,..</w:t>
      </w:r>
      <w:proofErr w:type="gramEnd"/>
      <w:r>
        <w:rPr>
          <w:lang w:val="en-GB"/>
        </w:rPr>
        <w:t xml:space="preserve">) </w:t>
      </w:r>
      <w:r w:rsidRPr="0043575D">
        <w:rPr>
          <w:lang w:val="en-GB"/>
        </w:rPr>
        <w:t xml:space="preserve">represents </w:t>
      </w:r>
      <w:r>
        <w:rPr>
          <w:lang w:val="en-GB"/>
        </w:rPr>
        <w:t xml:space="preserve">the main </w:t>
      </w:r>
      <w:r w:rsidRPr="0043575D">
        <w:rPr>
          <w:lang w:val="en-GB"/>
        </w:rPr>
        <w:t xml:space="preserve">opportunity to </w:t>
      </w:r>
      <w:r>
        <w:rPr>
          <w:lang w:val="en-GB"/>
        </w:rPr>
        <w:t>substitute completely the fossil-based economy, by a transaction to a circular, bio</w:t>
      </w:r>
      <w:r w:rsidR="00EA59D3">
        <w:rPr>
          <w:lang w:val="en-GB"/>
        </w:rPr>
        <w:t xml:space="preserve">economy. The energy sector, in particular, can use renewable sources such as solar, wind and also biomass </w:t>
      </w:r>
      <w:r w:rsidR="00EA59D3">
        <w:rPr>
          <w:lang w:val="en-GB"/>
        </w:rPr>
        <w:fldChar w:fldCharType="begin"/>
      </w:r>
      <w:r w:rsidR="00EA59D3" w:rsidRPr="00EA59D3">
        <w:instrText xml:space="preserve"> ADDIN ZOTERO_ITEM CSL_CITATION {"citationID":"JR2sn9aK","properties":{"formattedCitation":"(Sofia et al., 2013)","plainCitation":"(Sofia et al., 2013)","noteIndex":0},"citationItems":[{"id":3230,"uris":["http://zotero.org/users/10649518/items/B4PLG8NY"],"itemData":{"id":3230,"type":"article-journal","abstract":"A process simulation model of the Integrated Gasification Combined Cycle (IGCC) plant of Elcogas was developed and validated with industrial data. The model was used to assess the technical and economic feasibility of the process co-fired with up to 20% by weight of two local biomass samples (olive husk and grape seed meal). Results indicate promising features of the process in the forthcoming scenario of more severe limitations to CO2emissions. Copyright © 2013, AIDIC Servizi S.r.l.","container-title":"Chemical Engineering Transactions","DOI":"10.3303/CET1332206","ISSN":"22839216","page":"1231–1236","title":"Techno-economic assessment of co-gasification of coal-petcoke and biomass in IGCC power plants","volume":"32","author":[{"family":"Sofia","given":"D."},{"family":"Giuliano","given":"A."},{"family":"Barletta","given":"D."}],"issued":{"date-parts":[["2013"]]}}}],"schema":"https://github.com/citation-style-language/schema/raw/master/csl-citation.json"} </w:instrText>
      </w:r>
      <w:r w:rsidR="00EA59D3">
        <w:rPr>
          <w:lang w:val="en-GB"/>
        </w:rPr>
        <w:fldChar w:fldCharType="separate"/>
      </w:r>
      <w:r w:rsidR="00EA59D3" w:rsidRPr="00EA59D3">
        <w:rPr>
          <w:rFonts w:cs="Arial"/>
        </w:rPr>
        <w:t>(Sofia et al., 2013)</w:t>
      </w:r>
      <w:r w:rsidR="00EA59D3">
        <w:rPr>
          <w:lang w:val="en-GB"/>
        </w:rPr>
        <w:fldChar w:fldCharType="end"/>
      </w:r>
      <w:r w:rsidR="00EA59D3">
        <w:rPr>
          <w:lang w:val="en-GB"/>
        </w:rPr>
        <w:t xml:space="preserve">, in particular, to produce bio-fuels </w:t>
      </w:r>
      <w:r w:rsidR="00EA59D3">
        <w:rPr>
          <w:lang w:val="en-GB"/>
        </w:rPr>
        <w:fldChar w:fldCharType="begin"/>
      </w:r>
      <w:r w:rsidR="00EA59D3">
        <w:rPr>
          <w:lang w:val="en-GB"/>
        </w:rPr>
        <w:instrText xml:space="preserve"> ADDIN ZOTERO_ITEM CSL_CITATION {"citationID":"DzlWmzwy","properties":{"formattedCitation":"(De Bari et al., 2020)","plainCitation":"(De Bari et al., 2020)","noteIndex":0},"citationItems":[{"id":293,"uris":["http://zotero.org/users/10649518/items/5NN8DJ2N"],"itemData":{"id":293,"type":"article-journal","abstract":"Biorefineries are novel, productive models that are aimed at producing biobased alternatives to many fossil-based products. Biomass supply and overall energy consumptions are important issues determining the overall biorefinery sustainability. Low-profit lands appear to be a potential option for the sustainable production of raw materials without competition with the food chain. Cardoon particularly matches these characteristics, thanks to the rapid growth and the economy of the cultivation and harvesting steps. An integrated biorefinery processing 60 kton/y cardoon lignocellulosic biomass for the production of 1,4-butanediol (bio-BDO) is presented and discussed in this work. After designing the biorefinery flowsheet, the mass and energy balances were calculated. The results indicated that the energy recovery system has been designed to almost completely cover the entire energy requirement of the BDO production process. Despite the lower supply of electricity, the energy recovery system can cover around 78% of the total electricity demand. Instead, the thermal energy recovery system was able to satisfy the overall demand of the sugar production process entirely, while BDO purification columns require high-pressure steam. The thermal energy recovery system can cover around 83% of the total thermal demand. Finally, a cradle-to-gate simplified environmental assessment was conducted in order to evaluate the environmental impact of the process in terms of carbon footprint. The carbon footprint value calculated for the entire production process of BDO was 2.82 kgCO2eq /kgBDO . The cultivation phase accounted for 1.94 kgCO2eq /kgBDO, the transport had very little impact, only for 0.067 kgCO2eq /kgBDO, while the biorefinery phase contributes for 0.813 kgCO2eq /kgBDO .","container-title":"Processes","DOI":"10.3390/pr8121585","ISSN":"22279717","issue":"12","page":"1–18","title":"From cardoon lignocellulosic biomass to bio-1,4 butanediol: An integrated biorefinery model","volume":"8","author":[{"family":"De Bari","given":"Isabella"},{"family":"Giuliano","given":"Aristide"},{"family":"Petrone","given":"Maria Teresa"},{"family":"Stoppiello","given":"Giovanni"},{"family":"Fatta","given":"Vittoria"},{"family":"Giardi","given":"Cecilia"},{"family":"Razza","given":"Francesco"},{"family":"Novelli","given":"Alessandra"}],"issued":{"date-parts":[["2020"]]}}}],"schema":"https://github.com/citation-style-language/schema/raw/master/csl-citation.json"} </w:instrText>
      </w:r>
      <w:r w:rsidR="00EA59D3">
        <w:rPr>
          <w:lang w:val="en-GB"/>
        </w:rPr>
        <w:fldChar w:fldCharType="separate"/>
      </w:r>
      <w:r w:rsidR="00EA59D3" w:rsidRPr="00B97E2B">
        <w:rPr>
          <w:rFonts w:cs="Arial"/>
        </w:rPr>
        <w:t>(De Bari et al., 2020)</w:t>
      </w:r>
      <w:r w:rsidR="00EA59D3">
        <w:rPr>
          <w:lang w:val="en-GB"/>
        </w:rPr>
        <w:fldChar w:fldCharType="end"/>
      </w:r>
      <w:r w:rsidR="00EA59D3">
        <w:rPr>
          <w:lang w:val="en-GB"/>
        </w:rPr>
        <w:t>.</w:t>
      </w:r>
      <w:r w:rsidR="00B153E5">
        <w:rPr>
          <w:lang w:val="en-GB"/>
        </w:rPr>
        <w:t xml:space="preserve"> </w:t>
      </w:r>
      <w:r w:rsidRPr="005322A5">
        <w:rPr>
          <w:lang w:val="en-GB"/>
        </w:rPr>
        <w:t>Biodiesel and hydrogenat</w:t>
      </w:r>
      <w:r w:rsidR="00EA59D3">
        <w:rPr>
          <w:lang w:val="en-GB"/>
        </w:rPr>
        <w:t xml:space="preserve">ed vegetable oils </w:t>
      </w:r>
      <w:r w:rsidRPr="005322A5">
        <w:rPr>
          <w:lang w:val="en-GB"/>
        </w:rPr>
        <w:t>(H</w:t>
      </w:r>
      <w:r w:rsidR="00EA59D3">
        <w:rPr>
          <w:lang w:val="en-GB"/>
        </w:rPr>
        <w:t>VO</w:t>
      </w:r>
      <w:r w:rsidRPr="005322A5">
        <w:rPr>
          <w:lang w:val="en-GB"/>
        </w:rPr>
        <w:t>)</w:t>
      </w:r>
      <w:r w:rsidR="00EA59D3">
        <w:rPr>
          <w:lang w:val="en-GB"/>
        </w:rPr>
        <w:t xml:space="preserve"> or </w:t>
      </w:r>
      <w:r w:rsidRPr="005322A5">
        <w:rPr>
          <w:lang w:val="en-GB"/>
        </w:rPr>
        <w:t>“Green diesel” are petrol diesel fuel substitutes derived from biomass. Biodiesel is composed of fatty acid methyl-esters</w:t>
      </w:r>
      <w:r w:rsidRPr="005322A5">
        <w:rPr>
          <w:lang w:val="en-GB"/>
        </w:rPr>
        <w:t xml:space="preserve"> (FAME) and is produced via transesterification, which consists of reacting the triglycerides in the vegetable oil with an alcohol (usual methanol) in the presence of an alkaline or acid catalyst</w:t>
      </w:r>
      <w:r w:rsidR="00EA59D3">
        <w:rPr>
          <w:lang w:val="en-GB"/>
        </w:rPr>
        <w:t xml:space="preserve"> </w:t>
      </w:r>
      <w:r w:rsidR="00EA59D3">
        <w:rPr>
          <w:lang w:val="en-GB"/>
        </w:rPr>
        <w:fldChar w:fldCharType="begin"/>
      </w:r>
      <w:r w:rsidR="00EA59D3">
        <w:rPr>
          <w:lang w:val="en-GB"/>
        </w:rPr>
        <w:instrText xml:space="preserve"> ADDIN ZOTERO_ITEM CSL_CITATION {"citationID":"awBQ303z","properties":{"formattedCitation":"(Caporusso et al., 2022)","plainCitation":"(Caporusso et al., 2022)","noteIndex":0},"citationItems":[{"id":4316,"uris":["http://zotero.org/users/10649518/items/E78JSSWN"],"itemData":{"id":4316,"type":"article-journal","container-title":"Chemical Engineering Transactions","DOI":"10.3303/CET2292107","language":"en","page":"637-642","source":"DOI.org (CSL JSON)","title":"Techno-economic Analysis of a Lignocellulosic Biorefinery Producing Microbial Oils by Oleaginous Yeasts","volume":"92","author":[{"family":"Caporusso","given":"Antonio"},{"family":"Giuliano","given":"Aristide"},{"family":"Liuzzi","given":"Federico"},{"family":"De Bari","given":"Isabella"}],"issued":{"date-parts":[["2022",6]]}}}],"schema":"https://github.com/citation-style-language/schema/raw/master/csl-citation.json"} </w:instrText>
      </w:r>
      <w:r w:rsidR="00EA59D3">
        <w:rPr>
          <w:lang w:val="en-GB"/>
        </w:rPr>
        <w:fldChar w:fldCharType="separate"/>
      </w:r>
      <w:r w:rsidR="00EA59D3" w:rsidRPr="00B97E2B">
        <w:rPr>
          <w:rFonts w:cs="Arial"/>
        </w:rPr>
        <w:t>(Caporusso et al., 2022)</w:t>
      </w:r>
      <w:r w:rsidR="00EA59D3">
        <w:rPr>
          <w:lang w:val="en-GB"/>
        </w:rPr>
        <w:fldChar w:fldCharType="end"/>
      </w:r>
      <w:r w:rsidRPr="005322A5">
        <w:rPr>
          <w:lang w:val="en-GB"/>
        </w:rPr>
        <w:t>. On the other hand, green diesel is generally composed of n-alkanes, which can be produced by reacting the triglycerides in the vegetable oil with hydrogen under high-pres</w:t>
      </w:r>
      <w:r w:rsidRPr="005322A5">
        <w:rPr>
          <w:lang w:val="en-GB"/>
        </w:rPr>
        <w:t>sure, high-temperature conditions in the presence of a catalyst</w:t>
      </w:r>
      <w:r w:rsidR="00EA59D3">
        <w:rPr>
          <w:lang w:val="en-GB"/>
        </w:rPr>
        <w:t xml:space="preserve"> </w:t>
      </w:r>
      <w:r w:rsidR="00EA59D3">
        <w:rPr>
          <w:lang w:val="en-GB"/>
        </w:rPr>
        <w:fldChar w:fldCharType="begin"/>
      </w:r>
      <w:r w:rsidR="00EA59D3">
        <w:rPr>
          <w:lang w:val="en-GB"/>
        </w:rPr>
        <w:instrText xml:space="preserve"> ADDIN ZOTERO_ITEM CSL_CITATION {"citationID":"uG54w3di","properties":{"formattedCitation":"(Bagnato et al., 2021)","plainCitation":"(Bagnato et al., 2021)","noteIndex":0},"citationItems":[{"id":4224,"uris":["http://zotero.org/users/10649518/items/Y95UY3XU"],"itemData":{"id":4224,"type":"article-journal","abstract":"Catalytic hydrotreatment (HT) is one of the most important reﬁning steps in the actual petroleum-based reﬁneries for the production of fuels and chemicals, and it will play also a crucial role for the development of biomass-based reﬁneries. In fact, the utilization of HT processes for the upgrading of biomass and/or lignocellulosic residues aimed to the production of synthetic fuels and chemical intermediates represents a reliable strategy to reduce both carbon dioxide emissions and fossil fuels dependence. At this regard, the catalytic hydrotreatment of oils obtained from either thermochemical (e.g., pyrolysis) or physical (e.g., vegetable seeds pressing) processes allows to convert biomass-derived oils into a biofuel with properties very similar to conventional ones (so-called drop-in biofuels). Similarly, catalytic hydro-processing also may have a key role in the valorization of other bioreﬁnery streams, such as lignocellulose, for the production of high-added value chemicals. This review is focused on recent hydrotreatment developments aimed to stabilizing the pyrolytic oil from biomasses. A particular emphasis is devoted on the catalyst formulation, reaction pathways, and technologies.","container-title":"Catalysts","DOI":"10.3390/catal11020157","ISSN":"2073-4344","issue":"2","journalAbbreviation":"Catalysts","language":"en","page":"157","source":"DOI.org (Crossref)","title":"Recent Catalytic Advances in Hydrotreatment Processes of Pyrolysis Bio-Oil","volume":"11","author":[{"family":"Bagnato","given":"Giuseppe"},{"family":"Sanna","given":"Aimaro"},{"family":"Paone","given":"Emilia"},{"family":"Catizzone","given":"Enrico"}],"issued":{"date-parts":[["2021",1,23]]}}}],"schema":"https://github.com/citation-style-language/schema/raw/master/csl-citation.json"} </w:instrText>
      </w:r>
      <w:r w:rsidR="00EA59D3">
        <w:rPr>
          <w:lang w:val="en-GB"/>
        </w:rPr>
        <w:fldChar w:fldCharType="separate"/>
      </w:r>
      <w:r w:rsidR="00EA59D3" w:rsidRPr="00EA59D3">
        <w:rPr>
          <w:rFonts w:cs="Arial"/>
        </w:rPr>
        <w:t>(Bagnato et al., 2021)</w:t>
      </w:r>
      <w:r w:rsidR="00EA59D3">
        <w:rPr>
          <w:lang w:val="en-GB"/>
        </w:rPr>
        <w:fldChar w:fldCharType="end"/>
      </w:r>
      <w:r w:rsidRPr="005322A5">
        <w:rPr>
          <w:lang w:val="en-GB"/>
        </w:rPr>
        <w:t>.</w:t>
      </w:r>
    </w:p>
    <w:p w14:paraId="61A9B77A" w14:textId="54A4804E" w:rsidR="00600535" w:rsidRPr="00B57B36" w:rsidRDefault="005134AB" w:rsidP="00FA5F5F">
      <w:pPr>
        <w:pStyle w:val="CETheadingx"/>
      </w:pPr>
      <w:r w:rsidRPr="005322A5">
        <w:t>Hydrotreatment of vegetable oils</w:t>
      </w:r>
    </w:p>
    <w:p w14:paraId="2B9DE80C" w14:textId="77777777" w:rsidR="00813FC2" w:rsidRDefault="005134AB" w:rsidP="005322A5">
      <w:pPr>
        <w:pStyle w:val="CETBodytext"/>
        <w:rPr>
          <w:lang w:val="en-GB"/>
        </w:rPr>
      </w:pPr>
      <w:r w:rsidRPr="005322A5">
        <w:rPr>
          <w:lang w:val="en-GB"/>
        </w:rPr>
        <w:t>The objective of this section is to develop a conceptual design for the</w:t>
      </w:r>
      <w:r w:rsidRPr="005322A5">
        <w:rPr>
          <w:lang w:val="en-GB"/>
        </w:rPr>
        <w:t xml:space="preserve"> hydrotreatment of vegetable oil (HVOs), describing chemical aspects and common types of feedstocks, the mechanism of the reaction, the catalyst, and industrial processes.</w:t>
      </w:r>
      <w:r w:rsidR="00B153E5">
        <w:rPr>
          <w:lang w:val="en-GB"/>
        </w:rPr>
        <w:t xml:space="preserve"> </w:t>
      </w:r>
      <w:r w:rsidRPr="005322A5">
        <w:rPr>
          <w:lang w:val="en-GB"/>
        </w:rPr>
        <w:t>Various type of vegetable oils is being used as feedstock for biofuel but to date, l</w:t>
      </w:r>
      <w:r w:rsidRPr="005322A5">
        <w:rPr>
          <w:lang w:val="en-GB"/>
        </w:rPr>
        <w:t>ike sunflower, cottonseed, peanut oil, soybean, palm, and rapeseed oil. Another potential source such as camelina only needs low water and nitrogen supply for cultivation. The most used edible oil is sunflower oil containing 40–50% oil. Ukraine, Russian Fe</w:t>
      </w:r>
      <w:r w:rsidRPr="005322A5">
        <w:rPr>
          <w:lang w:val="en-GB"/>
        </w:rPr>
        <w:t xml:space="preserve">deration, Turkey, Argentina, and Europe-27 are the countries that </w:t>
      </w:r>
      <w:proofErr w:type="gramStart"/>
      <w:r w:rsidRPr="005322A5">
        <w:rPr>
          <w:lang w:val="en-GB"/>
        </w:rPr>
        <w:t>highly</w:t>
      </w:r>
      <w:proofErr w:type="gramEnd"/>
      <w:r w:rsidRPr="005322A5">
        <w:rPr>
          <w:lang w:val="en-GB"/>
        </w:rPr>
        <w:t xml:space="preserve"> </w:t>
      </w:r>
    </w:p>
    <w:p w14:paraId="7F53C223" w14:textId="77777777" w:rsidR="00813FC2" w:rsidRPr="00B57B36" w:rsidRDefault="005134AB" w:rsidP="00813FC2">
      <w:pPr>
        <w:pStyle w:val="CETTabletitle"/>
      </w:pPr>
      <w:r w:rsidRPr="00B57B36">
        <w:lastRenderedPageBreak/>
        <w:t xml:space="preserve">Table 1: </w:t>
      </w:r>
      <w:r w:rsidRPr="00B2392E">
        <w:t>Mass basis oils profile taken from</w:t>
      </w:r>
      <w:r>
        <w:t xml:space="preserve"> the</w:t>
      </w:r>
      <w:r w:rsidRPr="00B2392E">
        <w:t xml:space="preserve"> literature</w:t>
      </w:r>
      <w:r>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79"/>
        <w:gridCol w:w="1919"/>
        <w:gridCol w:w="1919"/>
        <w:gridCol w:w="1956"/>
        <w:gridCol w:w="2014"/>
      </w:tblGrid>
      <w:tr w:rsidR="00AC7854" w14:paraId="32EA65F3" w14:textId="77777777" w:rsidTr="00660184">
        <w:tc>
          <w:tcPr>
            <w:tcW w:w="557" w:type="pct"/>
            <w:tcBorders>
              <w:top w:val="single" w:sz="12" w:space="0" w:color="008000"/>
              <w:bottom w:val="single" w:sz="6" w:space="0" w:color="008000"/>
            </w:tcBorders>
            <w:shd w:val="clear" w:color="auto" w:fill="FFFFFF"/>
          </w:tcPr>
          <w:p w14:paraId="4B4BAB21" w14:textId="77777777" w:rsidR="00813FC2" w:rsidRPr="00B57B36" w:rsidRDefault="005134AB" w:rsidP="00660184">
            <w:pPr>
              <w:pStyle w:val="CETBodytext"/>
              <w:keepNext/>
              <w:jc w:val="center"/>
              <w:rPr>
                <w:lang w:val="en-GB"/>
              </w:rPr>
            </w:pPr>
            <w:r>
              <w:rPr>
                <w:lang w:val="en-GB"/>
              </w:rPr>
              <w:t>%</w:t>
            </w:r>
            <w:proofErr w:type="spellStart"/>
            <w:r w:rsidRPr="00B2392E">
              <w:rPr>
                <w:vertAlign w:val="subscript"/>
                <w:lang w:val="en-GB"/>
              </w:rPr>
              <w:t>wt</w:t>
            </w:r>
            <w:proofErr w:type="spellEnd"/>
          </w:p>
        </w:tc>
        <w:tc>
          <w:tcPr>
            <w:tcW w:w="1092" w:type="pct"/>
            <w:tcBorders>
              <w:top w:val="single" w:sz="12" w:space="0" w:color="008000"/>
              <w:bottom w:val="single" w:sz="6" w:space="0" w:color="008000"/>
            </w:tcBorders>
            <w:shd w:val="clear" w:color="auto" w:fill="FFFFFF"/>
          </w:tcPr>
          <w:p w14:paraId="30F0F8EA" w14:textId="77777777" w:rsidR="00813FC2" w:rsidRDefault="005134AB" w:rsidP="00660184">
            <w:pPr>
              <w:pStyle w:val="CETBodytext"/>
              <w:keepNext/>
              <w:rPr>
                <w:lang w:val="en-GB"/>
              </w:rPr>
            </w:pPr>
            <w:r>
              <w:rPr>
                <w:lang w:val="en-GB"/>
              </w:rPr>
              <w:t>Soybean</w:t>
            </w:r>
          </w:p>
          <w:p w14:paraId="278A0060" w14:textId="77777777" w:rsidR="00813FC2" w:rsidRPr="00B57B36" w:rsidRDefault="005134AB" w:rsidP="00660184">
            <w:pPr>
              <w:pStyle w:val="CETBodytext"/>
              <w:keepNext/>
              <w:rPr>
                <w:lang w:val="en-GB"/>
              </w:rPr>
            </w:pPr>
            <w:r>
              <w:rPr>
                <w:lang w:val="en-GB"/>
              </w:rPr>
              <w:fldChar w:fldCharType="begin"/>
            </w:r>
            <w:r>
              <w:rPr>
                <w:lang w:val="en-GB"/>
              </w:rPr>
              <w:instrText xml:space="preserve"> ADDIN ZOTERO_ITEM CSL_CITATION {"citationID":"86TyaEsw","properties":{"formattedCitation":"(Ameen et al., 2017)","plainCitation":"(Ameen et al., 2017)","noteIndex":0},"citationItems":[{"id":4226,"uris":["http://zotero.org/users/10649518/items/3QPFTT53"],"</w:instrText>
            </w:r>
            <w:r>
              <w:rPr>
                <w:lang w:val="en-GB"/>
              </w:rPr>
              <w:instrText xml:space="preserve">itemData":{"id":4226,"type":"article-journal","abstract":"The catalytic upgrading of vegetable oil to green diesel is one of the distinct research subjects in bioreﬁneries. The catalytic conversion of triglycerides entails the method of hydrotreating such </w:instrText>
            </w:r>
            <w:r>
              <w:rPr>
                <w:lang w:val="en-GB"/>
              </w:rPr>
              <w:instrText>as hydrogenation, hydrodeoxygenation, decarboxylation and decarbonylation as well as isomerization. The product derived is renewable green diesel (straight chain hydrocarbon), of which its production addresses the sustainability of the future energy. The m</w:instrText>
            </w:r>
            <w:r>
              <w:rPr>
                <w:lang w:val="en-GB"/>
              </w:rPr>
              <w:instrText>ain challenges faced by hydrodeoxygenation are the selection and synthesis of suitable catalysts, selection of appropriate feedstocks, optimization of the thermodynamic parameters, and the reaction pathways. The literature on the selection of feedstock and</w:instrText>
            </w:r>
            <w:r>
              <w:rPr>
                <w:lang w:val="en-GB"/>
              </w:rPr>
              <w:instrText xml:space="preserve"> model compounds is discussed in the sub-section. This review also includes the evaluation on several potential catalysts such as bimetallic solid acid, sulphided, non-sulphided, nitrides, phosphided, isomerization and hydrocracking catalysts as well as th</w:instrText>
            </w:r>
            <w:r>
              <w:rPr>
                <w:lang w:val="en-GB"/>
              </w:rPr>
              <w:instrText>e noble metal catalysts. The selection of the metal supports catalysts, the catalyst designed practice and the overall performance is also reviewed and discussed. The most common supports used for the hydrodeoxygenation is solid acid composites such as Al2</w:instrText>
            </w:r>
            <w:r>
              <w:rPr>
                <w:lang w:val="en-GB"/>
              </w:rPr>
              <w:instrText>O3 and zeolites. In addition, the promoters tested yield diﬀerent results with diﬀerent reaction mechanisms demonstrated. The research on the hydrodeoxygenation pathways and the product distribution related with all kinds of catalysts are also addressed. I</w:instrText>
            </w:r>
            <w:r>
              <w:rPr>
                <w:lang w:val="en-GB"/>
              </w:rPr>
              <w:instrText>n addition, the advancement of cohydroprocessing of mix-vegetable oil and vacuumed gas oil is addressed and summarized as well. Overall, this review provides a comprehensive discussion on the hydrodeoxygenation issues and challenges in all relevant technic</w:instrText>
            </w:r>
            <w:r>
              <w:rPr>
                <w:lang w:val="en-GB"/>
              </w:rPr>
              <w:instrText>al aspects.","container-title":"Renewable and Sustainable Energy Reviews","DOI":"10.1016/j.rser.2017.05.268","ISSN":"13640321","journalAbbreviation":"Renewable and Sustainable Energy Reviews","language":"en","page":"1072-1088","source":"DOI.org (Crossref)"</w:instrText>
            </w:r>
            <w:r>
              <w:rPr>
                <w:lang w:val="en-GB"/>
              </w:rPr>
              <w:instrText>,"title":"Catalytic hydrodeoxygenation of triglycerides: An approach to clean diesel fuel production","title-short":"Catalytic hydrodeoxygenation of triglycerides","volume":"80","author":[{"family":"Ameen","given":"Mariam"},{"family":"Azizan","given":"Moha</w:instrText>
            </w:r>
            <w:r>
              <w:rPr>
                <w:lang w:val="en-GB"/>
              </w:rPr>
              <w:instrText xml:space="preserve">mmad Tazli"},{"family":"Yusup","given":"Suzana"},{"family":"Ramli","given":"Anita"},{"family":"Yasir","given":"Madiha"}],"issued":{"date-parts":[["2017",12]]}}}],"schema":"https://github.com/citation-style-language/schema/raw/master/csl-citation.json"} </w:instrText>
            </w:r>
            <w:r>
              <w:rPr>
                <w:lang w:val="en-GB"/>
              </w:rPr>
              <w:fldChar w:fldCharType="separate"/>
            </w:r>
            <w:r w:rsidRPr="00BA1EF1">
              <w:rPr>
                <w:rFonts w:cs="Arial"/>
              </w:rPr>
              <w:t>(Am</w:t>
            </w:r>
            <w:r w:rsidRPr="00BA1EF1">
              <w:rPr>
                <w:rFonts w:cs="Arial"/>
              </w:rPr>
              <w:t>een et al., 2017)</w:t>
            </w:r>
            <w:r>
              <w:rPr>
                <w:lang w:val="en-GB"/>
              </w:rPr>
              <w:fldChar w:fldCharType="end"/>
            </w:r>
          </w:p>
        </w:tc>
        <w:tc>
          <w:tcPr>
            <w:tcW w:w="1092" w:type="pct"/>
            <w:tcBorders>
              <w:top w:val="single" w:sz="12" w:space="0" w:color="008000"/>
              <w:bottom w:val="single" w:sz="6" w:space="0" w:color="008000"/>
            </w:tcBorders>
            <w:shd w:val="clear" w:color="auto" w:fill="FFFFFF"/>
          </w:tcPr>
          <w:p w14:paraId="743D34C5" w14:textId="77777777" w:rsidR="00813FC2" w:rsidRDefault="005134AB" w:rsidP="00660184">
            <w:pPr>
              <w:pStyle w:val="CETBodytext"/>
              <w:keepNext/>
              <w:rPr>
                <w:lang w:val="en-GB"/>
              </w:rPr>
            </w:pPr>
            <w:r>
              <w:rPr>
                <w:lang w:val="en-GB"/>
              </w:rPr>
              <w:t>Sunflower</w:t>
            </w:r>
          </w:p>
          <w:p w14:paraId="6B1E57DC" w14:textId="77777777" w:rsidR="00813FC2" w:rsidRPr="00B57B36" w:rsidRDefault="005134AB" w:rsidP="00660184">
            <w:pPr>
              <w:pStyle w:val="CETBodytext"/>
              <w:keepNext/>
              <w:rPr>
                <w:lang w:val="en-GB"/>
              </w:rPr>
            </w:pPr>
            <w:r>
              <w:rPr>
                <w:lang w:val="en-GB"/>
              </w:rPr>
              <w:fldChar w:fldCharType="begin"/>
            </w:r>
            <w:r>
              <w:rPr>
                <w:lang w:val="en-GB"/>
              </w:rPr>
              <w:instrText xml:space="preserve"> ADDIN ZOTERO_ITEM CSL_CITATION {"citationID":"7FnD65Wl","properties":{"formattedCitation":"(Ameen et al., 2017)","plainCitation":"(Ameen et al., 2017)","noteIndex":0},"citationItems":[{"id":4226,"uris":["http://zotero.org/us</w:instrText>
            </w:r>
            <w:r>
              <w:rPr>
                <w:lang w:val="en-GB"/>
              </w:rPr>
              <w:instrText>ers/10649518/items/3QPFTT53"],"itemData":{"id":4226,"type":"article-journal","abstract":"The catalytic upgrading of vegetable oil to green diesel is one of the distinct research subjects in bioreﬁneries. The catalytic conversion of triglycerides entails th</w:instrText>
            </w:r>
            <w:r>
              <w:rPr>
                <w:lang w:val="en-GB"/>
              </w:rPr>
              <w:instrText>e method of hydrotreating such as hydrogenation, hydrodeoxygenation, decarboxylation and decarbonylation as well as isomerization. The product derived is renewable green diesel (straight chain hydrocarbon), of which its production addresses the sustainabil</w:instrText>
            </w:r>
            <w:r>
              <w:rPr>
                <w:lang w:val="en-GB"/>
              </w:rPr>
              <w:instrText>ity of the future energy. The main challenges faced by hydrodeoxygenation are the selection and synthesis of suitable catalysts, selection of appropriate feedstocks, optimization of the thermodynamic parameters, and the reaction pathways. The literature on</w:instrText>
            </w:r>
            <w:r>
              <w:rPr>
                <w:lang w:val="en-GB"/>
              </w:rPr>
              <w:instrText xml:space="preserve"> the selection of feedstock and model compounds is discussed in the sub-section. This review also includes the evaluation on several potential catalysts such as bimetallic solid acid, sulphided, non-sulphided, nitrides, phosphided, isomerization and hydroc</w:instrText>
            </w:r>
            <w:r>
              <w:rPr>
                <w:lang w:val="en-GB"/>
              </w:rPr>
              <w:instrText>racking catalysts as well as the noble metal catalysts. The selection of the metal supports catalysts, the catalyst designed practice and the overall performance is also reviewed and discussed. The most common supports used for the hydrodeoxygenation is so</w:instrText>
            </w:r>
            <w:r>
              <w:rPr>
                <w:lang w:val="en-GB"/>
              </w:rPr>
              <w:instrText xml:space="preserve">lid acid composites such as Al2O3 and zeolites. In addition, the promoters tested yield diﬀerent results with diﬀerent reaction mechanisms demonstrated. The research on the hydrodeoxygenation pathways and the product distribution related with all kinds of </w:instrText>
            </w:r>
            <w:r>
              <w:rPr>
                <w:lang w:val="en-GB"/>
              </w:rPr>
              <w:instrText>catalysts are also addressed. In addition, the advancement of cohydroprocessing of mix-vegetable oil and vacuumed gas oil is addressed and summarized as well. Overall, this review provides a comprehensive discussion on the hydrodeoxygenation issues and cha</w:instrText>
            </w:r>
            <w:r>
              <w:rPr>
                <w:lang w:val="en-GB"/>
              </w:rPr>
              <w:instrText>llenges in all relevant technical aspects.","container-title":"Renewable and Sustainable Energy Reviews","DOI":"10.1016/j.rser.2017.05.268","ISSN":"13640321","journalAbbreviation":"Renewable and Sustainable Energy Reviews","language":"en","page":"1072-1088</w:instrText>
            </w:r>
            <w:r>
              <w:rPr>
                <w:lang w:val="en-GB"/>
              </w:rPr>
              <w:instrText>","source":"DOI.org (Crossref)","title":"Catalytic hydrodeoxygenation of triglycerides: An approach to clean diesel fuel production","title-short":"Catalytic hydrodeoxygenation of triglycerides","volume":"80","author":[{"family":"Ameen","given":"Mariam"},{</w:instrText>
            </w:r>
            <w:r>
              <w:rPr>
                <w:lang w:val="en-GB"/>
              </w:rPr>
              <w:instrText>"family":"Azizan","given":"Mohammad Tazli"},{"family":"Yusup","given":"Suzana"},{"family":"Ramli","given":"Anita"},{"family":"Yasir","given":"Madiha"}],"issued":{"date-parts":[["2017",12]]}}}],"schema":"https://github.com/citation-style-language/schema/raw</w:instrText>
            </w:r>
            <w:r>
              <w:rPr>
                <w:lang w:val="en-GB"/>
              </w:rPr>
              <w:instrText xml:space="preserve">/master/csl-citation.json"} </w:instrText>
            </w:r>
            <w:r>
              <w:rPr>
                <w:lang w:val="en-GB"/>
              </w:rPr>
              <w:fldChar w:fldCharType="separate"/>
            </w:r>
            <w:r w:rsidRPr="00BA1EF1">
              <w:rPr>
                <w:rFonts w:cs="Arial"/>
              </w:rPr>
              <w:t>(Ameen et al., 2017)</w:t>
            </w:r>
            <w:r>
              <w:rPr>
                <w:lang w:val="en-GB"/>
              </w:rPr>
              <w:fldChar w:fldCharType="end"/>
            </w:r>
          </w:p>
        </w:tc>
        <w:tc>
          <w:tcPr>
            <w:tcW w:w="1113" w:type="pct"/>
            <w:tcBorders>
              <w:top w:val="single" w:sz="12" w:space="0" w:color="008000"/>
              <w:bottom w:val="single" w:sz="6" w:space="0" w:color="008000"/>
            </w:tcBorders>
            <w:shd w:val="clear" w:color="auto" w:fill="FFFFFF"/>
          </w:tcPr>
          <w:p w14:paraId="061D7B27" w14:textId="77777777" w:rsidR="00813FC2" w:rsidRDefault="005134AB" w:rsidP="00660184">
            <w:pPr>
              <w:pStyle w:val="CETBodytext"/>
              <w:keepNext/>
              <w:ind w:right="-1"/>
              <w:rPr>
                <w:rFonts w:cs="Arial"/>
                <w:szCs w:val="18"/>
                <w:lang w:val="en-GB"/>
              </w:rPr>
            </w:pPr>
            <w:r>
              <w:rPr>
                <w:rFonts w:cs="Arial"/>
                <w:szCs w:val="18"/>
                <w:lang w:val="en-GB"/>
              </w:rPr>
              <w:t>Palm</w:t>
            </w:r>
          </w:p>
          <w:p w14:paraId="340A2DC2" w14:textId="77777777" w:rsidR="00813FC2" w:rsidRPr="00B57B36" w:rsidRDefault="005134AB" w:rsidP="00660184">
            <w:pPr>
              <w:pStyle w:val="CETBodytext"/>
              <w:keepNext/>
              <w:ind w:right="-1"/>
              <w:rPr>
                <w:rFonts w:cs="Arial"/>
                <w:szCs w:val="18"/>
                <w:lang w:val="en-GB"/>
              </w:rPr>
            </w:pPr>
            <w:r>
              <w:rPr>
                <w:rFonts w:cs="Arial"/>
                <w:szCs w:val="18"/>
                <w:lang w:val="en-GB"/>
              </w:rPr>
              <w:fldChar w:fldCharType="begin"/>
            </w:r>
            <w:r>
              <w:rPr>
                <w:rFonts w:cs="Arial"/>
                <w:szCs w:val="18"/>
                <w:lang w:val="en-GB"/>
              </w:rPr>
              <w:instrText xml:space="preserve"> ADDIN ZOTERO_ITEM CSL_CITATION {"citationID":"j6rsTFBa","properties":{"formattedCitation":"(V\\uc0\\u233{}lez Manco, 2014)","plainCitation":"(Vélez Manco, 2014)","noteIndex":0},"citationItems":[{"id</w:instrText>
            </w:r>
            <w:r>
              <w:rPr>
                <w:rFonts w:cs="Arial"/>
                <w:szCs w:val="18"/>
                <w:lang w:val="en-GB"/>
              </w:rPr>
              <w:instrText>":4375,"uris":["http://zotero.org/users/10649518/items/WGWVR566"],"itemData":{"id":4375,"type":"article-journal","abstract":"A reactor with an industrial production of renewable diesel via palm oil hydrotreatment was conceptually designed based on laborato</w:instrText>
            </w:r>
            <w:r>
              <w:rPr>
                <w:rFonts w:cs="Arial"/>
                <w:szCs w:val="18"/>
                <w:lang w:val="en-GB"/>
              </w:rPr>
              <w:instrText>ry-scale continuous and semi-batch reactor experiments. The conversion of vegetable oil to biodiesel through transesterication is responsible for a reduction in the use of a signi cant fraction of fossil fuels. Unfortunately, the diesel produced by transes</w:instrText>
            </w:r>
            <w:r>
              <w:rPr>
                <w:rFonts w:cs="Arial"/>
                <w:szCs w:val="18"/>
                <w:lang w:val="en-GB"/>
              </w:rPr>
              <w:instrText>terication has limitations such as high density, high viscosity and low cetane number. An alternative to transesteri cation is the hydrotreatment (HDT) of vegetable oils to produce a fuel with properties more similar to petroleum diésel than those of diese</w:instrText>
            </w:r>
            <w:r>
              <w:rPr>
                <w:rFonts w:cs="Arial"/>
                <w:szCs w:val="18"/>
                <w:lang w:val="en-GB"/>
              </w:rPr>
              <w:instrText>l obtained by transesterication. This thesis presents hydrotreating as an alternative for the production of renewable diesel in Colombia. It proposes a reaction pathway for hydrotreatment based on experiments with Rened, Bleached and Deodorized Palm Oil (R</w:instrText>
            </w:r>
            <w:r>
              <w:rPr>
                <w:rFonts w:cs="Arial"/>
                <w:szCs w:val="18"/>
                <w:lang w:val="en-GB"/>
              </w:rPr>
              <w:instrText>BDPO) and using a comercial solid trilobite NiMo catalyst (NiMo/).","language":"spa","license":"Atribución-NoComercial 4.0 Internacional","note":"Accepted: 2019-07-02T11:26:30Z","source":"repositorio.unal.edu.co","title":"Conceptual design of a palm oil hy</w:instrText>
            </w:r>
            <w:r>
              <w:rPr>
                <w:rFonts w:cs="Arial"/>
                <w:szCs w:val="18"/>
                <w:lang w:val="en-GB"/>
              </w:rPr>
              <w:instrText>drotreatment reactor for commercial diesel production","URL":"https://repositorio.unal.edu.co/handle/unal/55709","author":[{"family":"Vélez Manco","given":"Juan Felipe"}],"accessed":{"date-parts":[["2023",3,17]]},"issued":{"date-parts":[["2014"]]}}}],"sche</w:instrText>
            </w:r>
            <w:r>
              <w:rPr>
                <w:rFonts w:cs="Arial"/>
                <w:szCs w:val="18"/>
                <w:lang w:val="en-GB"/>
              </w:rPr>
              <w:instrText xml:space="preserve">ma":"https://github.com/citation-style-language/schema/raw/master/csl-citation.json"} </w:instrText>
            </w:r>
            <w:r>
              <w:rPr>
                <w:rFonts w:cs="Arial"/>
                <w:szCs w:val="18"/>
                <w:lang w:val="en-GB"/>
              </w:rPr>
              <w:fldChar w:fldCharType="separate"/>
            </w:r>
            <w:r w:rsidRPr="00653C10">
              <w:rPr>
                <w:rFonts w:cs="Arial"/>
                <w:szCs w:val="24"/>
              </w:rPr>
              <w:t>(Vélez Manco, 2014)</w:t>
            </w:r>
            <w:r>
              <w:rPr>
                <w:rFonts w:cs="Arial"/>
                <w:szCs w:val="18"/>
                <w:lang w:val="en-GB"/>
              </w:rPr>
              <w:fldChar w:fldCharType="end"/>
            </w:r>
          </w:p>
        </w:tc>
        <w:tc>
          <w:tcPr>
            <w:tcW w:w="1146" w:type="pct"/>
            <w:tcBorders>
              <w:top w:val="single" w:sz="12" w:space="0" w:color="008000"/>
              <w:bottom w:val="single" w:sz="6" w:space="0" w:color="008000"/>
            </w:tcBorders>
            <w:shd w:val="clear" w:color="auto" w:fill="FFFFFF"/>
          </w:tcPr>
          <w:p w14:paraId="058A33DC" w14:textId="77777777" w:rsidR="00813FC2" w:rsidRDefault="005134AB" w:rsidP="00660184">
            <w:pPr>
              <w:pStyle w:val="CETBodytext"/>
              <w:keepNext/>
              <w:ind w:right="-1"/>
              <w:rPr>
                <w:rFonts w:cs="Arial"/>
                <w:szCs w:val="18"/>
                <w:lang w:val="en-GB"/>
              </w:rPr>
            </w:pPr>
            <w:r>
              <w:rPr>
                <w:rFonts w:cs="Arial"/>
                <w:szCs w:val="18"/>
                <w:lang w:val="en-GB"/>
              </w:rPr>
              <w:t>Cardoon</w:t>
            </w:r>
          </w:p>
          <w:p w14:paraId="21F4443C" w14:textId="77777777" w:rsidR="00813FC2" w:rsidRPr="00B57B36" w:rsidRDefault="005134AB" w:rsidP="00660184">
            <w:pPr>
              <w:pStyle w:val="CETBodytext"/>
              <w:keepNext/>
              <w:ind w:right="-1"/>
              <w:rPr>
                <w:rFonts w:cs="Arial"/>
                <w:szCs w:val="18"/>
                <w:lang w:val="en-GB"/>
              </w:rPr>
            </w:pPr>
            <w:r>
              <w:rPr>
                <w:rFonts w:cs="Arial"/>
                <w:szCs w:val="18"/>
                <w:lang w:val="en-GB"/>
              </w:rPr>
              <w:fldChar w:fldCharType="begin"/>
            </w:r>
            <w:r>
              <w:rPr>
                <w:rFonts w:cs="Arial"/>
                <w:szCs w:val="18"/>
                <w:lang w:val="en-GB"/>
              </w:rPr>
              <w:instrText xml:space="preserve"> ADDIN ZOTERO_ITEM CSL_CITATION {"citationID":"EXMtqSlq","properties":{"formattedCitation":"(Raccuia et al., 2012)","plainCitation":"(Raccu</w:instrText>
            </w:r>
            <w:r>
              <w:rPr>
                <w:rFonts w:cs="Arial"/>
                <w:szCs w:val="18"/>
                <w:lang w:val="en-GB"/>
              </w:rPr>
              <w:instrText>ia et al., 2012)","noteIndex":0},"citationItems":[{"id":4151,"uris":["http://zotero.org/users/10649518/items/RNIEYM9N"],"itemData":{"id":4151,"type":"article-journal","abstract":"The vegetable oils have different compositions, such as in fatty acids and an</w:instrText>
            </w:r>
            <w:r>
              <w:rPr>
                <w:rFonts w:cs="Arial"/>
                <w:szCs w:val="18"/>
                <w:lang w:val="en-GB"/>
              </w:rPr>
              <w:instrText>tioxidants, enabling improved performance in food and industrial applications, as well as nutritional benefits.","container-title":"Acta Horticulturae","DOI":"10.17660/ActaHortic.2012.942.69","ISSN":"0567-7572, 2406-6168","issue":"942","journalAbbreviation</w:instrText>
            </w:r>
            <w:r>
              <w:rPr>
                <w:rFonts w:cs="Arial"/>
                <w:szCs w:val="18"/>
                <w:lang w:val="en-GB"/>
              </w:rPr>
              <w:instrText>":"Acta Hortic.","language":"en","page":"463-468","source":"DOI.org (Crossref)","title":"EVALUATION OF FATTY ACIDS COMPOSITION IN GRAIN OIL OF CARDOON (CYNARA CARDUNCULUS L.)","author":[{"family":"Raccuia","given":"S.A."},{"family":"Melilli","given":"M.G."</w:instrText>
            </w:r>
            <w:r>
              <w:rPr>
                <w:rFonts w:cs="Arial"/>
                <w:szCs w:val="18"/>
                <w:lang w:val="en-GB"/>
              </w:rPr>
              <w:instrText xml:space="preserve">},{"family":"Piscioneri","given":"I."},{"family":"Sharma","given":"N."}],"issued":{"date-parts":[["2012",1]]}}}],"schema":"https://github.com/citation-style-language/schema/raw/master/csl-citation.json"} </w:instrText>
            </w:r>
            <w:r>
              <w:rPr>
                <w:rFonts w:cs="Arial"/>
                <w:szCs w:val="18"/>
                <w:lang w:val="en-GB"/>
              </w:rPr>
              <w:fldChar w:fldCharType="separate"/>
            </w:r>
            <w:r w:rsidRPr="00653C10">
              <w:rPr>
                <w:rFonts w:cs="Arial"/>
              </w:rPr>
              <w:t>(Raccuia et al., 2012)</w:t>
            </w:r>
            <w:r>
              <w:rPr>
                <w:rFonts w:cs="Arial"/>
                <w:szCs w:val="18"/>
                <w:lang w:val="en-GB"/>
              </w:rPr>
              <w:fldChar w:fldCharType="end"/>
            </w:r>
          </w:p>
        </w:tc>
      </w:tr>
      <w:tr w:rsidR="00AC7854" w14:paraId="50188D79" w14:textId="77777777" w:rsidTr="00660184">
        <w:tc>
          <w:tcPr>
            <w:tcW w:w="557" w:type="pct"/>
            <w:shd w:val="clear" w:color="auto" w:fill="FFFFFF"/>
          </w:tcPr>
          <w:p w14:paraId="6555DEF0" w14:textId="77777777" w:rsidR="00813FC2" w:rsidRPr="00B57B36" w:rsidRDefault="005134AB" w:rsidP="00660184">
            <w:pPr>
              <w:pStyle w:val="CETBodytext"/>
              <w:keepNext/>
              <w:rPr>
                <w:lang w:val="en-GB"/>
              </w:rPr>
            </w:pPr>
            <w:proofErr w:type="spellStart"/>
            <w:r>
              <w:rPr>
                <w:lang w:val="en-GB"/>
              </w:rPr>
              <w:t>Trilinolinin</w:t>
            </w:r>
            <w:proofErr w:type="spellEnd"/>
          </w:p>
        </w:tc>
        <w:tc>
          <w:tcPr>
            <w:tcW w:w="1092" w:type="pct"/>
            <w:shd w:val="clear" w:color="auto" w:fill="FFFFFF"/>
          </w:tcPr>
          <w:p w14:paraId="2A5677DA" w14:textId="77777777" w:rsidR="00813FC2" w:rsidRPr="00B57B36" w:rsidRDefault="005134AB" w:rsidP="00660184">
            <w:pPr>
              <w:pStyle w:val="CETBodytext"/>
              <w:keepNext/>
              <w:rPr>
                <w:lang w:val="en-GB"/>
              </w:rPr>
            </w:pPr>
            <w:r>
              <w:rPr>
                <w:lang w:val="en-GB"/>
              </w:rPr>
              <w:t>7.0</w:t>
            </w:r>
          </w:p>
        </w:tc>
        <w:tc>
          <w:tcPr>
            <w:tcW w:w="1092" w:type="pct"/>
            <w:shd w:val="clear" w:color="auto" w:fill="FFFFFF"/>
          </w:tcPr>
          <w:p w14:paraId="5240B7CB" w14:textId="77777777" w:rsidR="00813FC2" w:rsidRPr="00B57B36" w:rsidRDefault="005134AB" w:rsidP="00660184">
            <w:pPr>
              <w:pStyle w:val="CETBodytext"/>
              <w:keepNext/>
              <w:rPr>
                <w:lang w:val="en-GB"/>
              </w:rPr>
            </w:pPr>
            <w:r>
              <w:rPr>
                <w:lang w:val="en-GB"/>
              </w:rPr>
              <w:t>0.2</w:t>
            </w:r>
          </w:p>
        </w:tc>
        <w:tc>
          <w:tcPr>
            <w:tcW w:w="1113" w:type="pct"/>
            <w:shd w:val="clear" w:color="auto" w:fill="FFFFFF"/>
          </w:tcPr>
          <w:p w14:paraId="17D7B92C" w14:textId="77777777" w:rsidR="00813FC2" w:rsidRPr="00B57B36" w:rsidRDefault="005134AB" w:rsidP="00660184">
            <w:pPr>
              <w:pStyle w:val="CETBodytext"/>
              <w:keepNext/>
              <w:ind w:right="-1"/>
              <w:rPr>
                <w:rFonts w:cs="Arial"/>
                <w:szCs w:val="18"/>
                <w:lang w:val="en-GB"/>
              </w:rPr>
            </w:pPr>
            <w:r>
              <w:rPr>
                <w:rFonts w:cs="Arial"/>
                <w:szCs w:val="18"/>
                <w:lang w:val="en-GB"/>
              </w:rPr>
              <w:t>0.0</w:t>
            </w:r>
          </w:p>
        </w:tc>
        <w:tc>
          <w:tcPr>
            <w:tcW w:w="1146" w:type="pct"/>
            <w:shd w:val="clear" w:color="auto" w:fill="FFFFFF"/>
          </w:tcPr>
          <w:p w14:paraId="49E778F8" w14:textId="77777777" w:rsidR="00813FC2" w:rsidRPr="00B57B36" w:rsidRDefault="005134AB" w:rsidP="00660184">
            <w:pPr>
              <w:pStyle w:val="CETBodytext"/>
              <w:keepNext/>
              <w:ind w:right="-1"/>
              <w:rPr>
                <w:rFonts w:cs="Arial"/>
                <w:szCs w:val="18"/>
                <w:lang w:val="en-GB"/>
              </w:rPr>
            </w:pPr>
            <w:r>
              <w:rPr>
                <w:rFonts w:cs="Arial"/>
                <w:szCs w:val="18"/>
                <w:lang w:val="en-GB"/>
              </w:rPr>
              <w:t>0.0</w:t>
            </w:r>
          </w:p>
        </w:tc>
      </w:tr>
      <w:tr w:rsidR="00AC7854" w14:paraId="297294C7" w14:textId="77777777" w:rsidTr="00660184">
        <w:tc>
          <w:tcPr>
            <w:tcW w:w="557" w:type="pct"/>
            <w:shd w:val="clear" w:color="auto" w:fill="FFFFFF"/>
          </w:tcPr>
          <w:p w14:paraId="58F82A74" w14:textId="77777777" w:rsidR="00813FC2" w:rsidRPr="00B57B36" w:rsidRDefault="005134AB" w:rsidP="00660184">
            <w:pPr>
              <w:pStyle w:val="CETBodytext"/>
              <w:keepNext/>
              <w:ind w:right="-1"/>
              <w:rPr>
                <w:rFonts w:cs="Arial"/>
                <w:szCs w:val="18"/>
                <w:lang w:val="en-GB"/>
              </w:rPr>
            </w:pPr>
            <w:proofErr w:type="spellStart"/>
            <w:r>
              <w:rPr>
                <w:rFonts w:cs="Arial"/>
                <w:szCs w:val="18"/>
                <w:lang w:val="en-GB"/>
              </w:rPr>
              <w:t>Trilinolein</w:t>
            </w:r>
            <w:proofErr w:type="spellEnd"/>
          </w:p>
        </w:tc>
        <w:tc>
          <w:tcPr>
            <w:tcW w:w="1092" w:type="pct"/>
            <w:shd w:val="clear" w:color="auto" w:fill="FFFFFF"/>
          </w:tcPr>
          <w:p w14:paraId="438199A1" w14:textId="77777777" w:rsidR="00813FC2" w:rsidRPr="00B57B36" w:rsidRDefault="005134AB" w:rsidP="00660184">
            <w:pPr>
              <w:pStyle w:val="CETBodytext"/>
              <w:keepNext/>
              <w:ind w:right="-1"/>
              <w:rPr>
                <w:rFonts w:cs="Arial"/>
                <w:szCs w:val="18"/>
                <w:lang w:val="en-GB"/>
              </w:rPr>
            </w:pPr>
            <w:r>
              <w:rPr>
                <w:rFonts w:cs="Arial"/>
                <w:szCs w:val="18"/>
                <w:lang w:val="en-GB"/>
              </w:rPr>
              <w:t>53.0</w:t>
            </w:r>
          </w:p>
        </w:tc>
        <w:tc>
          <w:tcPr>
            <w:tcW w:w="1092" w:type="pct"/>
            <w:shd w:val="clear" w:color="auto" w:fill="FFFFFF"/>
          </w:tcPr>
          <w:p w14:paraId="5DEF8822" w14:textId="77777777" w:rsidR="00813FC2" w:rsidRPr="00B57B36" w:rsidRDefault="005134AB" w:rsidP="00660184">
            <w:pPr>
              <w:pStyle w:val="CETBodytext"/>
              <w:keepNext/>
              <w:ind w:right="-1"/>
              <w:rPr>
                <w:rFonts w:cs="Arial"/>
                <w:szCs w:val="18"/>
                <w:lang w:val="en-GB"/>
              </w:rPr>
            </w:pPr>
            <w:r>
              <w:rPr>
                <w:rFonts w:cs="Arial"/>
                <w:szCs w:val="18"/>
                <w:lang w:val="en-GB"/>
              </w:rPr>
              <w:t>60.3</w:t>
            </w:r>
          </w:p>
        </w:tc>
        <w:tc>
          <w:tcPr>
            <w:tcW w:w="1113" w:type="pct"/>
            <w:shd w:val="clear" w:color="auto" w:fill="FFFFFF"/>
          </w:tcPr>
          <w:p w14:paraId="4946679A" w14:textId="77777777" w:rsidR="00813FC2" w:rsidRPr="00B57B36" w:rsidRDefault="005134AB" w:rsidP="00660184">
            <w:pPr>
              <w:pStyle w:val="CETBodytext"/>
              <w:keepNext/>
              <w:ind w:right="-1"/>
              <w:rPr>
                <w:rFonts w:cs="Arial"/>
                <w:szCs w:val="18"/>
                <w:lang w:val="en-GB"/>
              </w:rPr>
            </w:pPr>
            <w:r>
              <w:rPr>
                <w:rFonts w:cs="Arial"/>
                <w:szCs w:val="18"/>
                <w:lang w:val="en-GB"/>
              </w:rPr>
              <w:t>13.8</w:t>
            </w:r>
          </w:p>
        </w:tc>
        <w:tc>
          <w:tcPr>
            <w:tcW w:w="1146" w:type="pct"/>
            <w:shd w:val="clear" w:color="auto" w:fill="FFFFFF"/>
          </w:tcPr>
          <w:p w14:paraId="2D016453" w14:textId="77777777" w:rsidR="00813FC2" w:rsidRPr="00B57B36" w:rsidRDefault="005134AB" w:rsidP="00660184">
            <w:pPr>
              <w:pStyle w:val="CETBodytext"/>
              <w:keepNext/>
              <w:ind w:right="-1"/>
              <w:rPr>
                <w:rFonts w:cs="Arial"/>
                <w:szCs w:val="18"/>
                <w:lang w:val="en-GB"/>
              </w:rPr>
            </w:pPr>
            <w:r>
              <w:rPr>
                <w:rFonts w:cs="Arial"/>
                <w:szCs w:val="18"/>
                <w:lang w:val="en-GB"/>
              </w:rPr>
              <w:t>44.5</w:t>
            </w:r>
          </w:p>
        </w:tc>
      </w:tr>
      <w:tr w:rsidR="00AC7854" w14:paraId="32608321" w14:textId="77777777" w:rsidTr="00660184">
        <w:tc>
          <w:tcPr>
            <w:tcW w:w="557" w:type="pct"/>
            <w:shd w:val="clear" w:color="auto" w:fill="FFFFFF"/>
          </w:tcPr>
          <w:p w14:paraId="2BC25ADB" w14:textId="77777777" w:rsidR="00813FC2" w:rsidRPr="00B57B36" w:rsidRDefault="005134AB" w:rsidP="00660184">
            <w:pPr>
              <w:pStyle w:val="CETBodytext"/>
              <w:keepNext/>
              <w:ind w:right="-1"/>
              <w:rPr>
                <w:rFonts w:cs="Arial"/>
                <w:szCs w:val="18"/>
                <w:lang w:val="en-GB"/>
              </w:rPr>
            </w:pPr>
            <w:r>
              <w:rPr>
                <w:rFonts w:cs="Arial"/>
                <w:szCs w:val="18"/>
                <w:lang w:val="en-GB"/>
              </w:rPr>
              <w:t>Triolein</w:t>
            </w:r>
          </w:p>
        </w:tc>
        <w:tc>
          <w:tcPr>
            <w:tcW w:w="1092" w:type="pct"/>
            <w:shd w:val="clear" w:color="auto" w:fill="FFFFFF"/>
          </w:tcPr>
          <w:p w14:paraId="5A243EC0" w14:textId="77777777" w:rsidR="00813FC2" w:rsidRPr="00B57B36" w:rsidRDefault="005134AB" w:rsidP="00660184">
            <w:pPr>
              <w:pStyle w:val="CETBodytext"/>
              <w:keepNext/>
              <w:ind w:right="-1"/>
              <w:rPr>
                <w:rFonts w:cs="Arial"/>
                <w:szCs w:val="18"/>
                <w:lang w:val="en-GB"/>
              </w:rPr>
            </w:pPr>
            <w:r>
              <w:rPr>
                <w:rFonts w:cs="Arial"/>
                <w:szCs w:val="18"/>
                <w:lang w:val="en-GB"/>
              </w:rPr>
              <w:t>24.5</w:t>
            </w:r>
          </w:p>
        </w:tc>
        <w:tc>
          <w:tcPr>
            <w:tcW w:w="1092" w:type="pct"/>
            <w:shd w:val="clear" w:color="auto" w:fill="FFFFFF"/>
          </w:tcPr>
          <w:p w14:paraId="3B88389F" w14:textId="77777777" w:rsidR="00813FC2" w:rsidRPr="00B57B36" w:rsidRDefault="005134AB" w:rsidP="00660184">
            <w:pPr>
              <w:pStyle w:val="CETBodytext"/>
              <w:keepNext/>
              <w:ind w:right="-1"/>
              <w:rPr>
                <w:rFonts w:cs="Arial"/>
                <w:szCs w:val="18"/>
                <w:lang w:val="en-GB"/>
              </w:rPr>
            </w:pPr>
            <w:r>
              <w:rPr>
                <w:rFonts w:cs="Arial"/>
                <w:szCs w:val="18"/>
                <w:lang w:val="en-GB"/>
              </w:rPr>
              <w:t>27.1</w:t>
            </w:r>
          </w:p>
        </w:tc>
        <w:tc>
          <w:tcPr>
            <w:tcW w:w="1113" w:type="pct"/>
            <w:shd w:val="clear" w:color="auto" w:fill="FFFFFF"/>
          </w:tcPr>
          <w:p w14:paraId="73F102AD" w14:textId="77777777" w:rsidR="00813FC2" w:rsidRPr="00B57B36" w:rsidRDefault="005134AB" w:rsidP="00660184">
            <w:pPr>
              <w:pStyle w:val="CETBodytext"/>
              <w:keepNext/>
              <w:ind w:right="-1"/>
              <w:rPr>
                <w:rFonts w:cs="Arial"/>
                <w:szCs w:val="18"/>
                <w:lang w:val="en-GB"/>
              </w:rPr>
            </w:pPr>
            <w:r>
              <w:rPr>
                <w:rFonts w:cs="Arial"/>
                <w:szCs w:val="18"/>
                <w:lang w:val="en-GB"/>
              </w:rPr>
              <w:t>41.1</w:t>
            </w:r>
          </w:p>
        </w:tc>
        <w:tc>
          <w:tcPr>
            <w:tcW w:w="1146" w:type="pct"/>
            <w:shd w:val="clear" w:color="auto" w:fill="FFFFFF"/>
          </w:tcPr>
          <w:p w14:paraId="00009BAA" w14:textId="77777777" w:rsidR="00813FC2" w:rsidRPr="00B57B36" w:rsidRDefault="005134AB" w:rsidP="00660184">
            <w:pPr>
              <w:pStyle w:val="CETBodytext"/>
              <w:keepNext/>
              <w:ind w:right="-1"/>
              <w:rPr>
                <w:rFonts w:cs="Arial"/>
                <w:szCs w:val="18"/>
                <w:lang w:val="en-GB"/>
              </w:rPr>
            </w:pPr>
            <w:r>
              <w:rPr>
                <w:rFonts w:cs="Arial"/>
                <w:szCs w:val="18"/>
                <w:lang w:val="en-GB"/>
              </w:rPr>
              <w:t>42.6</w:t>
            </w:r>
          </w:p>
        </w:tc>
      </w:tr>
      <w:tr w:rsidR="00AC7854" w14:paraId="566BC45C" w14:textId="77777777" w:rsidTr="00660184">
        <w:tc>
          <w:tcPr>
            <w:tcW w:w="557" w:type="pct"/>
            <w:shd w:val="clear" w:color="auto" w:fill="FFFFFF"/>
          </w:tcPr>
          <w:p w14:paraId="3B934F93" w14:textId="77777777" w:rsidR="00813FC2" w:rsidRPr="00B57B36" w:rsidRDefault="005134AB" w:rsidP="00660184">
            <w:pPr>
              <w:pStyle w:val="CETBodytext"/>
              <w:keepNext/>
              <w:ind w:right="-1"/>
              <w:rPr>
                <w:rFonts w:cs="Arial"/>
                <w:szCs w:val="18"/>
                <w:lang w:val="en-GB"/>
              </w:rPr>
            </w:pPr>
            <w:r>
              <w:rPr>
                <w:rFonts w:cs="Arial"/>
                <w:szCs w:val="18"/>
                <w:lang w:val="en-GB"/>
              </w:rPr>
              <w:t>Tristearin</w:t>
            </w:r>
          </w:p>
        </w:tc>
        <w:tc>
          <w:tcPr>
            <w:tcW w:w="1092" w:type="pct"/>
            <w:shd w:val="clear" w:color="auto" w:fill="FFFFFF"/>
          </w:tcPr>
          <w:p w14:paraId="1D607FB7" w14:textId="77777777" w:rsidR="00813FC2" w:rsidRPr="00B57B36" w:rsidRDefault="005134AB" w:rsidP="00660184">
            <w:pPr>
              <w:pStyle w:val="CETBodytext"/>
              <w:keepNext/>
              <w:ind w:right="-1"/>
              <w:rPr>
                <w:rFonts w:cs="Arial"/>
                <w:szCs w:val="18"/>
                <w:lang w:val="en-GB"/>
              </w:rPr>
            </w:pPr>
            <w:r>
              <w:rPr>
                <w:rFonts w:cs="Arial"/>
                <w:szCs w:val="18"/>
                <w:lang w:val="en-GB"/>
              </w:rPr>
              <w:t>4.0</w:t>
            </w:r>
          </w:p>
        </w:tc>
        <w:tc>
          <w:tcPr>
            <w:tcW w:w="1092" w:type="pct"/>
            <w:shd w:val="clear" w:color="auto" w:fill="FFFFFF"/>
          </w:tcPr>
          <w:p w14:paraId="1A1043A2" w14:textId="77777777" w:rsidR="00813FC2" w:rsidRPr="00B57B36" w:rsidRDefault="005134AB" w:rsidP="00660184">
            <w:pPr>
              <w:pStyle w:val="CETBodytext"/>
              <w:keepNext/>
              <w:ind w:right="-1"/>
              <w:rPr>
                <w:rFonts w:cs="Arial"/>
                <w:szCs w:val="18"/>
                <w:lang w:val="en-GB"/>
              </w:rPr>
            </w:pPr>
            <w:r>
              <w:rPr>
                <w:rFonts w:cs="Arial"/>
                <w:szCs w:val="18"/>
                <w:lang w:val="en-GB"/>
              </w:rPr>
              <w:t>5.8</w:t>
            </w:r>
          </w:p>
        </w:tc>
        <w:tc>
          <w:tcPr>
            <w:tcW w:w="1113" w:type="pct"/>
            <w:shd w:val="clear" w:color="auto" w:fill="FFFFFF"/>
          </w:tcPr>
          <w:p w14:paraId="7CFF6182" w14:textId="77777777" w:rsidR="00813FC2" w:rsidRPr="00B57B36" w:rsidRDefault="005134AB" w:rsidP="00660184">
            <w:pPr>
              <w:pStyle w:val="CETBodytext"/>
              <w:keepNext/>
              <w:ind w:right="-1"/>
              <w:rPr>
                <w:rFonts w:cs="Arial"/>
                <w:szCs w:val="18"/>
                <w:lang w:val="en-GB"/>
              </w:rPr>
            </w:pPr>
            <w:r>
              <w:rPr>
                <w:rFonts w:cs="Arial"/>
                <w:szCs w:val="18"/>
                <w:lang w:val="en-GB"/>
              </w:rPr>
              <w:t>8.6</w:t>
            </w:r>
          </w:p>
        </w:tc>
        <w:tc>
          <w:tcPr>
            <w:tcW w:w="1146" w:type="pct"/>
            <w:shd w:val="clear" w:color="auto" w:fill="FFFFFF"/>
          </w:tcPr>
          <w:p w14:paraId="6C4CB940" w14:textId="77777777" w:rsidR="00813FC2" w:rsidRPr="00B57B36" w:rsidRDefault="005134AB" w:rsidP="00660184">
            <w:pPr>
              <w:pStyle w:val="CETBodytext"/>
              <w:keepNext/>
              <w:ind w:right="-1"/>
              <w:rPr>
                <w:rFonts w:cs="Arial"/>
                <w:szCs w:val="18"/>
                <w:lang w:val="en-GB"/>
              </w:rPr>
            </w:pPr>
            <w:r>
              <w:rPr>
                <w:rFonts w:cs="Arial"/>
                <w:szCs w:val="18"/>
                <w:lang w:val="en-GB"/>
              </w:rPr>
              <w:t>3.1</w:t>
            </w:r>
          </w:p>
        </w:tc>
      </w:tr>
      <w:tr w:rsidR="00AC7854" w14:paraId="3CFA1248" w14:textId="77777777" w:rsidTr="00660184">
        <w:tc>
          <w:tcPr>
            <w:tcW w:w="557" w:type="pct"/>
            <w:shd w:val="clear" w:color="auto" w:fill="FFFFFF"/>
          </w:tcPr>
          <w:p w14:paraId="7F58DDDA" w14:textId="77777777" w:rsidR="00813FC2" w:rsidRPr="00B57B36" w:rsidRDefault="005134AB" w:rsidP="00660184">
            <w:pPr>
              <w:pStyle w:val="CETBodytext"/>
              <w:ind w:right="-1"/>
              <w:rPr>
                <w:rFonts w:cs="Arial"/>
                <w:szCs w:val="18"/>
                <w:lang w:val="en-GB"/>
              </w:rPr>
            </w:pPr>
            <w:r>
              <w:rPr>
                <w:rFonts w:cs="Arial"/>
                <w:szCs w:val="18"/>
                <w:lang w:val="en-GB"/>
              </w:rPr>
              <w:t>Tripalmitin</w:t>
            </w:r>
          </w:p>
        </w:tc>
        <w:tc>
          <w:tcPr>
            <w:tcW w:w="1092" w:type="pct"/>
            <w:shd w:val="clear" w:color="auto" w:fill="FFFFFF"/>
          </w:tcPr>
          <w:p w14:paraId="0F43EBA2" w14:textId="77777777" w:rsidR="00813FC2" w:rsidRPr="00B57B36" w:rsidRDefault="005134AB" w:rsidP="00660184">
            <w:pPr>
              <w:pStyle w:val="CETBodytext"/>
              <w:ind w:right="-1"/>
              <w:rPr>
                <w:rFonts w:cs="Arial"/>
                <w:szCs w:val="18"/>
                <w:lang w:val="en-GB"/>
              </w:rPr>
            </w:pPr>
            <w:r>
              <w:rPr>
                <w:rFonts w:cs="Arial"/>
                <w:szCs w:val="18"/>
                <w:lang w:val="en-GB"/>
              </w:rPr>
              <w:t>11.5</w:t>
            </w:r>
          </w:p>
        </w:tc>
        <w:tc>
          <w:tcPr>
            <w:tcW w:w="1092" w:type="pct"/>
            <w:shd w:val="clear" w:color="auto" w:fill="FFFFFF"/>
          </w:tcPr>
          <w:p w14:paraId="3BB36E02" w14:textId="77777777" w:rsidR="00813FC2" w:rsidRPr="00B57B36" w:rsidRDefault="005134AB" w:rsidP="00660184">
            <w:pPr>
              <w:pStyle w:val="CETBodytext"/>
              <w:ind w:right="-1"/>
              <w:rPr>
                <w:rFonts w:cs="Arial"/>
                <w:szCs w:val="18"/>
                <w:lang w:val="en-GB"/>
              </w:rPr>
            </w:pPr>
            <w:r>
              <w:rPr>
                <w:rFonts w:cs="Arial"/>
                <w:szCs w:val="18"/>
                <w:lang w:val="en-GB"/>
              </w:rPr>
              <w:t>6.5</w:t>
            </w:r>
          </w:p>
        </w:tc>
        <w:tc>
          <w:tcPr>
            <w:tcW w:w="1113" w:type="pct"/>
            <w:shd w:val="clear" w:color="auto" w:fill="FFFFFF"/>
          </w:tcPr>
          <w:p w14:paraId="6D90197E" w14:textId="77777777" w:rsidR="00813FC2" w:rsidRPr="00B57B36" w:rsidRDefault="005134AB" w:rsidP="00660184">
            <w:pPr>
              <w:pStyle w:val="CETBodytext"/>
              <w:ind w:right="-1"/>
              <w:rPr>
                <w:rFonts w:cs="Arial"/>
                <w:szCs w:val="18"/>
                <w:lang w:val="en-GB"/>
              </w:rPr>
            </w:pPr>
            <w:r>
              <w:rPr>
                <w:rFonts w:cs="Arial"/>
                <w:szCs w:val="18"/>
                <w:lang w:val="en-GB"/>
              </w:rPr>
              <w:t>36.5</w:t>
            </w:r>
          </w:p>
        </w:tc>
        <w:tc>
          <w:tcPr>
            <w:tcW w:w="1146" w:type="pct"/>
            <w:shd w:val="clear" w:color="auto" w:fill="FFFFFF"/>
          </w:tcPr>
          <w:p w14:paraId="4C2EDDA6" w14:textId="77777777" w:rsidR="00813FC2" w:rsidRPr="00B57B36" w:rsidRDefault="005134AB" w:rsidP="00660184">
            <w:pPr>
              <w:pStyle w:val="CETBodytext"/>
              <w:ind w:right="-1"/>
              <w:rPr>
                <w:rFonts w:cs="Arial"/>
                <w:szCs w:val="18"/>
                <w:lang w:val="en-GB"/>
              </w:rPr>
            </w:pPr>
            <w:r>
              <w:rPr>
                <w:rFonts w:cs="Arial"/>
                <w:szCs w:val="18"/>
                <w:lang w:val="en-GB"/>
              </w:rPr>
              <w:t>9.8</w:t>
            </w:r>
          </w:p>
        </w:tc>
      </w:tr>
    </w:tbl>
    <w:p w14:paraId="609C19FD" w14:textId="77777777" w:rsidR="00813FC2" w:rsidRDefault="00813FC2" w:rsidP="00813FC2">
      <w:pPr>
        <w:pStyle w:val="CETBodytext"/>
        <w:rPr>
          <w:lang w:val="en-GB"/>
        </w:rPr>
      </w:pPr>
    </w:p>
    <w:p w14:paraId="04D71DBF" w14:textId="7F64060E" w:rsidR="005322A5" w:rsidRPr="00001DE2" w:rsidRDefault="005134AB" w:rsidP="005322A5">
      <w:pPr>
        <w:pStyle w:val="CETBodytext"/>
        <w:rPr>
          <w:lang w:val="en-GB"/>
        </w:rPr>
      </w:pPr>
      <w:r w:rsidRPr="005322A5">
        <w:rPr>
          <w:lang w:val="en-GB"/>
        </w:rPr>
        <w:t xml:space="preserve">produced sunflower oil. Sunflower and rapeseed oils are used as the main feedstock for biofuel mainly in Europe. Among </w:t>
      </w:r>
      <w:r w:rsidRPr="005322A5">
        <w:rPr>
          <w:lang w:val="en-GB"/>
        </w:rPr>
        <w:t>all edible oils, rapeseed oil, which is also known as canola oil is widely used as the feedstock for biofuel production.</w:t>
      </w:r>
      <w:r w:rsidR="00EA59D3">
        <w:rPr>
          <w:lang w:val="en-GB"/>
        </w:rPr>
        <w:t xml:space="preserve"> </w:t>
      </w:r>
      <w:r w:rsidRPr="005322A5">
        <w:rPr>
          <w:lang w:val="en-GB"/>
        </w:rPr>
        <w:t xml:space="preserve">The </w:t>
      </w:r>
      <w:proofErr w:type="spellStart"/>
      <w:r w:rsidRPr="005322A5">
        <w:rPr>
          <w:lang w:val="en-GB"/>
        </w:rPr>
        <w:t>hydroprocessing</w:t>
      </w:r>
      <w:proofErr w:type="spellEnd"/>
      <w:r w:rsidRPr="005322A5">
        <w:rPr>
          <w:lang w:val="en-GB"/>
        </w:rPr>
        <w:t xml:space="preserve"> of vegetable oil over catalysts, in presence of hydrogen, has complex reaction pathways and consists of consecutive</w:t>
      </w:r>
      <w:r w:rsidRPr="005322A5">
        <w:rPr>
          <w:lang w:val="en-GB"/>
        </w:rPr>
        <w:t xml:space="preserve"> and parallel reaction steps, including hydrogenation, hydrogenolysis, hydrodeoxygenation, decarboxylation, </w:t>
      </w:r>
      <w:proofErr w:type="spellStart"/>
      <w:r w:rsidRPr="005322A5">
        <w:rPr>
          <w:lang w:val="en-GB"/>
        </w:rPr>
        <w:t>decarbonylation</w:t>
      </w:r>
      <w:proofErr w:type="spellEnd"/>
      <w:r w:rsidRPr="005322A5">
        <w:rPr>
          <w:lang w:val="en-GB"/>
        </w:rPr>
        <w:t>, cyclization, aromatization and isomerization</w:t>
      </w:r>
      <w:r w:rsidR="00653C10">
        <w:rPr>
          <w:lang w:val="en-GB"/>
        </w:rPr>
        <w:t xml:space="preserve"> </w:t>
      </w:r>
      <w:r w:rsidR="00653C10">
        <w:rPr>
          <w:lang w:val="en-GB"/>
        </w:rPr>
        <w:fldChar w:fldCharType="begin"/>
      </w:r>
      <w:r w:rsidR="00653C10">
        <w:rPr>
          <w:lang w:val="en-GB"/>
        </w:rPr>
        <w:instrText xml:space="preserve"> ADDIN ZOTERO_ITEM CSL_CITATION {"citationID":"LzwCm5Vi","properties":{"formattedCitation":"(Agarwal et al., 2019)","plainCitation":"(Agarwal et al., 2019)","noteIndex":0},"citationItems":[{"id":4380,"uris":["http://zotero.org/users/10649518/items/5WCUU2MU"],"itemData":{"id":4380,"type":"article-journal","abstract":"A molecular-level kinetic model was developed for triglyceride hydroprocessing. Triglyceride molecules were defined on the basis of the 8–22 carbon fatty acids commonly present in renewable diesel feeds. A reaction network detailing the hydrodeoxygenation, decarboxylation, and decarbonylation parallel pathways of the triglyceride chemistry was constructed. The final network contained 476 species and 1709 reactions. The network was used to build a kinetic model based on experimental data for coconut and soybean oil hydroprocessing at various temperatures, pressures, and catalyst contact times. Parameter optimization for the kinetic parameters was performed for two different catalysts. The final kinetic model provided good agreement with experimental results. Diesel cetane number and cloud point property models were also constructed and optimized on the basis of experimental data. These property models were used to study the product diesel cetane number versus cloud point trade-off to determine the end-use properties of the product fuel.","container-title":"Energy &amp; fuels","ISSN":"1520-5029","language":"English","note":"publisher: American Chemical Society","source":"agris.fao.org","title":"Molecular-Level Kinetic Modeling of Triglyceride Hydroprocessing","URL":"https://doi.org/10.1021/acs.energyfuels.9b01309","author":[{"family":"Agarwal","given":"Pratyush"},{"family":"Al-Khattaf","given":"Sulaiman S."},{"family":"Klein","given":"Michael T."}],"accessed":{"date-parts":[["2023",3,17]]},"issued":{"date-parts":[["2019"]]}}}],"schema":"https://github.com/citation-style-language/schema/raw/master/csl-citation.json"} </w:instrText>
      </w:r>
      <w:r w:rsidR="00653C10">
        <w:rPr>
          <w:lang w:val="en-GB"/>
        </w:rPr>
        <w:fldChar w:fldCharType="separate"/>
      </w:r>
      <w:r w:rsidR="00653C10" w:rsidRPr="00653C10">
        <w:rPr>
          <w:rFonts w:cs="Arial"/>
        </w:rPr>
        <w:t>(Agarwal et al., 2019)</w:t>
      </w:r>
      <w:r w:rsidR="00653C10">
        <w:rPr>
          <w:lang w:val="en-GB"/>
        </w:rPr>
        <w:fldChar w:fldCharType="end"/>
      </w:r>
      <w:r w:rsidRPr="005322A5">
        <w:rPr>
          <w:lang w:val="en-GB"/>
        </w:rPr>
        <w:t>.</w:t>
      </w:r>
      <w:r w:rsidR="00EA59D3">
        <w:rPr>
          <w:lang w:val="en-GB"/>
        </w:rPr>
        <w:t xml:space="preserve"> </w:t>
      </w:r>
      <w:r w:rsidRPr="005322A5">
        <w:rPr>
          <w:lang w:val="en-GB"/>
        </w:rPr>
        <w:t>The pathway starts with the hydrogenation of the double bonds C=C of the vegetable oils with the following step of hydrocracking, producing the corresp</w:t>
      </w:r>
      <w:r w:rsidRPr="005322A5">
        <w:rPr>
          <w:lang w:val="en-GB"/>
        </w:rPr>
        <w:t>onding fatty acids and propane as a by-product. From fatty acids, three routes of deoxygenation are possible to produce an alkane: the hydrodeoxygenation route (HDO) preserves the carbon content of the fatty acid chain with the consumption of three moles o</w:t>
      </w:r>
      <w:r w:rsidRPr="005322A5">
        <w:rPr>
          <w:lang w:val="en-GB"/>
        </w:rPr>
        <w:t>f hydrogen and the production of two moles of water. As regards to decarboxylation route, the alkane formed has one carbon atom shorter than the total length of the fatty acid in the triglyceride, converted into CO</w:t>
      </w:r>
      <w:r w:rsidRPr="00B153E5">
        <w:rPr>
          <w:vertAlign w:val="subscript"/>
          <w:lang w:val="en-GB"/>
        </w:rPr>
        <w:t>2</w:t>
      </w:r>
      <w:r w:rsidRPr="005322A5">
        <w:rPr>
          <w:lang w:val="en-GB"/>
        </w:rPr>
        <w:t xml:space="preserve">. Also, the </w:t>
      </w:r>
      <w:proofErr w:type="spellStart"/>
      <w:r w:rsidRPr="005322A5">
        <w:rPr>
          <w:lang w:val="en-GB"/>
        </w:rPr>
        <w:t>decarbonylation</w:t>
      </w:r>
      <w:proofErr w:type="spellEnd"/>
      <w:r w:rsidRPr="005322A5">
        <w:rPr>
          <w:lang w:val="en-GB"/>
        </w:rPr>
        <w:t xml:space="preserve"> route reduces</w:t>
      </w:r>
      <w:r w:rsidRPr="005322A5">
        <w:rPr>
          <w:lang w:val="en-GB"/>
        </w:rPr>
        <w:t xml:space="preserve"> the carbon number with the elimination of CO, but this reaction consumes one mole of H</w:t>
      </w:r>
      <w:r w:rsidRPr="00B153E5">
        <w:rPr>
          <w:vertAlign w:val="subscript"/>
          <w:lang w:val="en-GB"/>
        </w:rPr>
        <w:t>2</w:t>
      </w:r>
      <w:r w:rsidRPr="005322A5">
        <w:rPr>
          <w:lang w:val="en-GB"/>
        </w:rPr>
        <w:t xml:space="preserve"> and produces one mole of H</w:t>
      </w:r>
      <w:r w:rsidRPr="00653C10">
        <w:rPr>
          <w:vertAlign w:val="subscript"/>
          <w:lang w:val="en-GB"/>
        </w:rPr>
        <w:t>2</w:t>
      </w:r>
      <w:r w:rsidRPr="005322A5">
        <w:rPr>
          <w:lang w:val="en-GB"/>
        </w:rPr>
        <w:t>O. The straight-chain alkanes can undergo isomerization and cracking to produce isomerized and lighter alkanes, respectively, and cyclizatio</w:t>
      </w:r>
      <w:r w:rsidRPr="005322A5">
        <w:rPr>
          <w:lang w:val="en-GB"/>
        </w:rPr>
        <w:t>n and aromatization</w:t>
      </w:r>
      <w:r w:rsidR="00653C10">
        <w:rPr>
          <w:lang w:val="en-GB"/>
        </w:rPr>
        <w:t xml:space="preserve"> </w:t>
      </w:r>
      <w:r w:rsidR="00653C10">
        <w:rPr>
          <w:lang w:val="en-GB"/>
        </w:rPr>
        <w:fldChar w:fldCharType="begin"/>
      </w:r>
      <w:r w:rsidR="00653C10">
        <w:rPr>
          <w:lang w:val="en-GB"/>
        </w:rPr>
        <w:instrText xml:space="preserve"> ADDIN ZOTERO_ITEM CSL_CITATION {"citationID":"CfHHlBB1","properties":{"formattedCitation":"(Silva and de Andrade, 2021)","plainCitation":"(Silva and de Andrade, 2021)","noteIndex":0},"citationItems":[{"id":4236,"uris":["http://zotero.org/users/10649518/items/Z9U9LDLZ"],"itemData":{"id":4236,"type":"article-journal","abstract":"A model for deoxygenation of vegetable oil components of renewable diesel manufacturing is proposed. The conversion of triglycerides over the deoxygenation catalyst in the presence of hydrogen were evaluated by including the rigorous kinetic data of complex reactions that happen in parallel and/or consecutively, including saturation, hydrogenation, hydrogenolysis, cracking, decarboxylation, decarbonylation, hydrodeoxygenation, methanation, and water-gas shift. A fixed-bed reactor was modeled using Aspen Plus® 8.8 software. The influence of reactor pressure, temperature, and H2/oil molar ratio was analyzed, in addition to type of feedstocks. The operational conditions in reactor considered optimized in this study for the deoxygenation of vegetable oils process were pressure 40 bar, temperature 300 °C, and H2/oil molar ratio of 2.5/1. For all oils analyzed, a conversion above 96% was observed, and the overall mass yields obtained from these in diesel-like hydrocarbons were &gt; 78%. In addition, it was noted that the type and amount of hydrocarbon converted are mainly related to the initial composition of vegetable oil used as feedstock. Conclusively, the model proposed can be used for new product design, improving operation conditions, and help economic analysis in green diesel manufacturing.","container-title":"Biomass Conversion and Biorefinery","DOI":"10.1007/s13399-021-01441-w","ISSN":"2190-6815, 2190-6823","journalAbbreviation":"Biomass Conv. Bioref.","language":"en","source":"DOI.org (Crossref)","title":"Simulation of deoxygenation of vegetable oils for diesel-like fuel production in continuous reactor","URL":"http://link.springer.com/10.1007/s13399-021-01441-w","author":[{"family":"Silva","given":"Gisele Cristina Rabelo"},{"family":"Andrade","given":"Maria Helena Caño","non-dropping-particle":"de"}],"accessed":{"date-parts":[["2022",3,8]]},"issued":{"date-parts":[["2021",3,20]]}}}],"schema":"https://github.com/citation-style-language/schema/raw/master/csl-citation.json"} </w:instrText>
      </w:r>
      <w:r w:rsidR="00653C10">
        <w:rPr>
          <w:lang w:val="en-GB"/>
        </w:rPr>
        <w:fldChar w:fldCharType="separate"/>
      </w:r>
      <w:r w:rsidR="00653C10" w:rsidRPr="00653C10">
        <w:rPr>
          <w:rFonts w:cs="Arial"/>
        </w:rPr>
        <w:t>(Silva and de Andrade, 2021)</w:t>
      </w:r>
      <w:r w:rsidR="00653C10">
        <w:rPr>
          <w:lang w:val="en-GB"/>
        </w:rPr>
        <w:fldChar w:fldCharType="end"/>
      </w:r>
      <w:r w:rsidRPr="005322A5">
        <w:rPr>
          <w:lang w:val="en-GB"/>
        </w:rPr>
        <w:t>.</w:t>
      </w:r>
      <w:r w:rsidR="00EA59D3">
        <w:rPr>
          <w:lang w:val="en-GB"/>
        </w:rPr>
        <w:t xml:space="preserve"> </w:t>
      </w:r>
      <w:r w:rsidRPr="005322A5">
        <w:rPr>
          <w:lang w:val="en-GB"/>
        </w:rPr>
        <w:t xml:space="preserve">The work </w:t>
      </w:r>
      <w:r w:rsidRPr="00B153E5">
        <w:rPr>
          <w:lang w:val="en-GB"/>
        </w:rPr>
        <w:t xml:space="preserve">of </w:t>
      </w:r>
      <w:r w:rsidR="000107A9" w:rsidRPr="00B153E5">
        <w:rPr>
          <w:lang w:val="en-GB"/>
        </w:rPr>
        <w:fldChar w:fldCharType="begin"/>
      </w:r>
      <w:r w:rsidR="000107A9" w:rsidRPr="00B153E5">
        <w:rPr>
          <w:lang w:val="en-GB"/>
        </w:rPr>
        <w:instrText xml:space="preserve"> ADDIN ZOTERO_ITEM CSL_CITATION {"citationID":"hDa4fEjy","properties":{"formattedCitation":"(Silva and de Andrade, 2021)","plainCitation":"(Silva and de Andrade, 2021)","noteIndex":0},"citationItems":[{"id":4236,"uris":["http://zotero.org/users/10649518/items/Z9U9LDLZ"],"itemData":{"id":4236,"type":"article-journal","abstract":"A model for deoxygenation of vegetable oil components of renewable diesel manufacturing is proposed. The conversion of triglycerides over the deoxygenation catalyst in the presence of hydrogen were evaluated by including the rigorous kinetic data of complex reactions that happen in parallel and/or consecutively, including saturation, hydrogenation, hydrogenolysis, cracking, decarboxylation, decarbonylation, hydrodeoxygenation, methanation, and water-gas shift. A fixed-bed reactor was modeled using Aspen Plus® 8.8 software. The influence of reactor pressure, temperature, and H2/oil molar ratio was analyzed, in addition to type of feedstocks. The operational conditions in reactor considered optimized in this study for the deoxygenation of vegetable oils process were pressure 40 bar, temperature 300 °C, and H2/oil molar ratio of 2.5/1. For all oils analyzed, a conversion above 96% was observed, and the overall mass yields obtained from these in diesel-like hydrocarbons were &gt; 78%. In addition, it was noted that the type and amount of hydrocarbon converted are mainly related to the initial composition of vegetable oil used as feedstock. Conclusively, the model proposed can be used for new product design, improving operation conditions, and help economic analysis in green diesel manufacturing.","container-title":"Biomass Conversion and Biorefinery","DOI":"10.1007/s13399-021-01441-w","ISSN":"2190-6815, 2190-6823","journalAbbreviation":"Biomass Conv. Bioref.","language":"en","source":"DOI.org (Crossref)","title":"Simulation of deoxygenation of vegetable oils for diesel-like fuel production in continuous reactor","URL":"http://link.springer.com/10.1007/s13399-021-01441-w","author":[{"family":"Silva","given":"Gisele Cristina Rabelo"},{"family":"Andrade","given":"Maria Helena Caño","non-dropping-particle":"de"}],"accessed":{"date-parts":[["2022",3,8]]},"issued":{"date-parts":[["2021",3,20]]}}}],"schema":"https://github.com/citation-style-language/schema/raw/master/csl-citation.json"} </w:instrText>
      </w:r>
      <w:r w:rsidR="000107A9" w:rsidRPr="00B153E5">
        <w:rPr>
          <w:lang w:val="en-GB"/>
        </w:rPr>
        <w:fldChar w:fldCharType="separate"/>
      </w:r>
      <w:r w:rsidR="000107A9" w:rsidRPr="00B153E5">
        <w:rPr>
          <w:rFonts w:cs="Arial"/>
        </w:rPr>
        <w:t xml:space="preserve">Silva and de Andrade </w:t>
      </w:r>
      <w:r w:rsidR="00EA59D3" w:rsidRPr="00B153E5">
        <w:rPr>
          <w:rFonts w:cs="Arial"/>
        </w:rPr>
        <w:t>(</w:t>
      </w:r>
      <w:r w:rsidR="000107A9" w:rsidRPr="00B153E5">
        <w:rPr>
          <w:rFonts w:cs="Arial"/>
        </w:rPr>
        <w:t>2021)</w:t>
      </w:r>
      <w:r w:rsidR="000107A9" w:rsidRPr="00B153E5">
        <w:rPr>
          <w:lang w:val="en-GB"/>
        </w:rPr>
        <w:fldChar w:fldCharType="end"/>
      </w:r>
      <w:r w:rsidR="000107A9" w:rsidRPr="00B153E5">
        <w:rPr>
          <w:lang w:val="en-GB"/>
        </w:rPr>
        <w:t xml:space="preserve"> </w:t>
      </w:r>
      <w:r w:rsidRPr="00B153E5">
        <w:rPr>
          <w:lang w:val="en-GB"/>
        </w:rPr>
        <w:t xml:space="preserve">consists of a simulation of the deoxygenation of vegetable oils to produce diesel </w:t>
      </w:r>
      <w:r w:rsidRPr="00B153E5">
        <w:rPr>
          <w:lang w:val="en-GB"/>
        </w:rPr>
        <w:t>fuel. The simulation was carried out in Aspen</w:t>
      </w:r>
      <w:r w:rsidRPr="005322A5">
        <w:rPr>
          <w:lang w:val="en-GB"/>
        </w:rPr>
        <w:t xml:space="preserve"> Plus</w:t>
      </w:r>
      <w:r w:rsidRPr="00EA59D3">
        <w:rPr>
          <w:vertAlign w:val="superscript"/>
          <w:lang w:val="en-GB"/>
        </w:rPr>
        <w:t>®</w:t>
      </w:r>
      <w:r w:rsidRPr="005322A5">
        <w:rPr>
          <w:lang w:val="en-GB"/>
        </w:rPr>
        <w:t xml:space="preserve"> software, where it has been </w:t>
      </w:r>
      <w:proofErr w:type="spellStart"/>
      <w:r w:rsidRPr="005322A5">
        <w:rPr>
          <w:lang w:val="en-GB"/>
        </w:rPr>
        <w:t>modeled</w:t>
      </w:r>
      <w:proofErr w:type="spellEnd"/>
      <w:r w:rsidRPr="005322A5">
        <w:rPr>
          <w:lang w:val="en-GB"/>
        </w:rPr>
        <w:t xml:space="preserve"> a fixed bed reactor with six kinds of vegetable oils that include sunflower, soybean, palm, olive, corn, and cottonseed. The catalyst used </w:t>
      </w:r>
      <w:r w:rsidRPr="00001DE2">
        <w:rPr>
          <w:lang w:val="en-GB"/>
        </w:rPr>
        <w:t>in the simulation was Pd / Ac</w:t>
      </w:r>
      <w:r w:rsidRPr="00001DE2">
        <w:rPr>
          <w:lang w:val="en-GB"/>
        </w:rPr>
        <w:t xml:space="preserve">tive carbon. The operational conditions in the reactor considered optimized for the deoxygenation of vegetable oils process were the pressure of 40 bar, the temperature of 300 °C, and the H2/feedstock molar ratio of 2.5/1. For all oils </w:t>
      </w:r>
      <w:proofErr w:type="spellStart"/>
      <w:r w:rsidRPr="00001DE2">
        <w:rPr>
          <w:lang w:val="en-GB"/>
        </w:rPr>
        <w:t>analyzed</w:t>
      </w:r>
      <w:proofErr w:type="spellEnd"/>
      <w:r w:rsidRPr="00001DE2">
        <w:rPr>
          <w:lang w:val="en-GB"/>
        </w:rPr>
        <w:t>, a conversi</w:t>
      </w:r>
      <w:r w:rsidRPr="00001DE2">
        <w:rPr>
          <w:lang w:val="en-GB"/>
        </w:rPr>
        <w:t>on above 96% was observed, and the overall mass yields obtained from these in diesel-like hydrocarbons were &gt; 78%</w:t>
      </w:r>
      <w:r w:rsidR="00E00181" w:rsidRPr="00001DE2">
        <w:rPr>
          <w:lang w:val="en-GB"/>
        </w:rPr>
        <w:t xml:space="preserve"> </w:t>
      </w:r>
      <w:r w:rsidR="00E00181" w:rsidRPr="00001DE2">
        <w:rPr>
          <w:lang w:val="en-GB"/>
        </w:rPr>
        <w:fldChar w:fldCharType="begin"/>
      </w:r>
      <w:r w:rsidR="00E00181" w:rsidRPr="00001DE2">
        <w:rPr>
          <w:lang w:val="en-GB"/>
        </w:rPr>
        <w:instrText xml:space="preserve"> ADDIN ZOTERO_ITEM CSL_CITATION {"citationID":"VmM5MaKP","properties":{"formattedCitation":"(Silva and de Andrade, 2021)","plainCitation":"(Silva and de Andrade, 2021)","noteIndex":0},"citationItems":[{"id":4236,"uris":["http://zotero.org/users/10649518/items/Z9U9LDLZ"],"itemData":{"id":4236,"type":"article-journal","abstract":"A model for deoxygenation of vegetable oil components of renewable diesel manufacturing is proposed. The conversion of triglycerides over the deoxygenation catalyst in the presence of hydrogen were evaluated by including the rigorous kinetic data of complex reactions that happen in parallel and/or consecutively, including saturation, hydrogenation, hydrogenolysis, cracking, decarboxylation, decarbonylation, hydrodeoxygenation, methanation, and water-gas shift. A fixed-bed reactor was modeled using Aspen Plus® 8.8 software. The influence of reactor pressure, temperature, and H2/oil molar ratio was analyzed, in addition to type of feedstocks. The operational conditions in reactor considered optimized in this study for the deoxygenation of vegetable oils process were pressure 40 bar, temperature 300 °C, and H2/oil molar ratio of 2.5/1. For all oils analyzed, a conversion above 96% was observed, and the overall mass yields obtained from these in diesel-like hydrocarbons were &gt; 78%. In addition, it was noted that the type and amount of hydrocarbon converted are mainly related to the initial composition of vegetable oil used as feedstock. Conclusively, the model proposed can be used for new product design, improving operation conditions, and help economic analysis in green diesel manufacturing.","container-title":"Biomass Conversion and Biorefinery","DOI":"10.1007/s13399-021-01441-w","ISSN":"2190-6815, 2190-6823","journalAbbreviation":"Biomass Conv. Bioref.","language":"en","source":"DOI.org (Crossref)","title":"Simulation of deoxygenation of vegetable oils for diesel-like fuel production in continuous reactor","URL":"http://link.springer.com/10.1007/s13399-021-01441-w","author":[{"family":"Silva","given":"Gisele Cristina Rabelo"},{"family":"Andrade","given":"Maria Helena Caño","non-dropping-particle":"de"}],"accessed":{"date-parts":[["2022",3,8]]},"issued":{"date-parts":[["2021",3,20]]}}}],"schema":"https://github.com/citation-style-language/schema/raw/master/csl-citation.json"} </w:instrText>
      </w:r>
      <w:r w:rsidR="00E00181" w:rsidRPr="00001DE2">
        <w:rPr>
          <w:lang w:val="en-GB"/>
        </w:rPr>
        <w:fldChar w:fldCharType="separate"/>
      </w:r>
      <w:r w:rsidR="00E00181" w:rsidRPr="00001DE2">
        <w:rPr>
          <w:rFonts w:cs="Arial"/>
        </w:rPr>
        <w:t>(Silva and de Andrade, 2021)</w:t>
      </w:r>
      <w:r w:rsidR="00E00181" w:rsidRPr="00001DE2">
        <w:rPr>
          <w:lang w:val="en-GB"/>
        </w:rPr>
        <w:fldChar w:fldCharType="end"/>
      </w:r>
      <w:r w:rsidRPr="00001DE2">
        <w:rPr>
          <w:lang w:val="en-GB"/>
        </w:rPr>
        <w:t>.</w:t>
      </w:r>
      <w:r w:rsidR="00EA59D3" w:rsidRPr="00001DE2">
        <w:rPr>
          <w:lang w:val="en-GB"/>
        </w:rPr>
        <w:t xml:space="preserve"> </w:t>
      </w:r>
      <w:r w:rsidRPr="00001DE2">
        <w:rPr>
          <w:lang w:val="en-GB"/>
        </w:rPr>
        <w:t xml:space="preserve">In the study of </w:t>
      </w:r>
      <w:r w:rsidR="00E00181" w:rsidRPr="00001DE2">
        <w:rPr>
          <w:lang w:val="en-GB"/>
        </w:rPr>
        <w:fldChar w:fldCharType="begin"/>
      </w:r>
      <w:r w:rsidR="00E00181" w:rsidRPr="00001DE2">
        <w:rPr>
          <w:lang w:val="en-GB"/>
        </w:rPr>
        <w:instrText xml:space="preserve"> ADDIN ZOTERO_ITEM CSL_CITATION {"citationID":"n2u0N8Mw","properties":{"formattedCitation":"(Miller, 2012)","plainCitation":"(Miller, 2012)","noteIndex":0},"citationItems":[{"id":4378,"uris":["http://zotero.org/users/10649518/items/CXDGMY6P"],"itemData":{"id":4378,"type":"webpage","abstract":"Hydrogenation-derived renewable diesel (HDRD) is a promising alternative fuel due to its excellent low-temperature properties, cetane...","container-title":"ERA","language":"en","note":"DOI: 10.7939/R32B8VP46","title":"Renewable Diesel Production from Canola and Camelina","URL":"https://era.library.ualberta.ca/items/98850243-8f37-457d-b238-e7f4c38eecbe","author":[{"family":"Miller","given":"Patrick E."}],"accessed":{"date-parts":[["2023",3,17]]},"issued":{"date-parts":[["2012"]],"season":"Fall"}}}],"schema":"https://github.com/citation-style-language/schema/raw/master/csl-citation.json"} </w:instrText>
      </w:r>
      <w:r w:rsidR="00E00181" w:rsidRPr="00001DE2">
        <w:rPr>
          <w:lang w:val="en-GB"/>
        </w:rPr>
        <w:fldChar w:fldCharType="separate"/>
      </w:r>
      <w:r w:rsidR="00E00181" w:rsidRPr="00001DE2">
        <w:rPr>
          <w:rFonts w:cs="Arial"/>
        </w:rPr>
        <w:t xml:space="preserve">Miller </w:t>
      </w:r>
      <w:r w:rsidR="00EA59D3" w:rsidRPr="00001DE2">
        <w:rPr>
          <w:rFonts w:cs="Arial"/>
        </w:rPr>
        <w:t>(</w:t>
      </w:r>
      <w:r w:rsidR="00E00181" w:rsidRPr="00001DE2">
        <w:rPr>
          <w:rFonts w:cs="Arial"/>
        </w:rPr>
        <w:t>2012)</w:t>
      </w:r>
      <w:r w:rsidR="00E00181" w:rsidRPr="00001DE2">
        <w:rPr>
          <w:lang w:val="en-GB"/>
        </w:rPr>
        <w:fldChar w:fldCharType="end"/>
      </w:r>
      <w:r w:rsidR="00E00181" w:rsidRPr="00001DE2">
        <w:rPr>
          <w:lang w:val="en-GB"/>
        </w:rPr>
        <w:t xml:space="preserve"> </w:t>
      </w:r>
      <w:r w:rsidRPr="00001DE2">
        <w:rPr>
          <w:lang w:val="en-GB"/>
        </w:rPr>
        <w:t xml:space="preserve">canola and camelina oil were used as feedstock in a process simulation based on experimental data from Alberta Agricultural and Rural Development (Canada) to produce renewable </w:t>
      </w:r>
      <w:r w:rsidRPr="00001DE2">
        <w:rPr>
          <w:lang w:val="en-GB"/>
        </w:rPr>
        <w:t>diesel. Through a techno-economic assessment, capital and operating costs were estimated. The simulation was carried out in Aspen Plus</w:t>
      </w:r>
      <w:r w:rsidRPr="00001DE2">
        <w:rPr>
          <w:vertAlign w:val="superscript"/>
          <w:lang w:val="en-GB"/>
        </w:rPr>
        <w:t>®</w:t>
      </w:r>
      <w:r w:rsidRPr="00001DE2">
        <w:rPr>
          <w:lang w:val="en-GB"/>
        </w:rPr>
        <w:t xml:space="preserve"> software, where the deoxygenation reactor was </w:t>
      </w:r>
      <w:proofErr w:type="spellStart"/>
      <w:r w:rsidRPr="00001DE2">
        <w:rPr>
          <w:lang w:val="en-GB"/>
        </w:rPr>
        <w:t>modeled</w:t>
      </w:r>
      <w:proofErr w:type="spellEnd"/>
      <w:r w:rsidRPr="00001DE2">
        <w:rPr>
          <w:lang w:val="en-GB"/>
        </w:rPr>
        <w:t xml:space="preserve"> in presence of Pd/ Carbon active catalyst and hexane as solvent. T</w:t>
      </w:r>
      <w:r w:rsidRPr="00001DE2">
        <w:rPr>
          <w:lang w:val="en-GB"/>
        </w:rPr>
        <w:t xml:space="preserve">he operation conditions were a temperature of 400°C, pressure of 15.2 </w:t>
      </w:r>
      <w:proofErr w:type="spellStart"/>
      <w:r w:rsidRPr="00001DE2">
        <w:rPr>
          <w:lang w:val="en-GB"/>
        </w:rPr>
        <w:t>MPag</w:t>
      </w:r>
      <w:proofErr w:type="spellEnd"/>
      <w:r w:rsidRPr="00001DE2">
        <w:rPr>
          <w:lang w:val="en-GB"/>
        </w:rPr>
        <w:t xml:space="preserve"> and residence time of 6 hr for both feedstocks. Sensitivity analyses conducted indicate that renewable diesel production cost is not very sensitive to capital and operating costs, b</w:t>
      </w:r>
      <w:r w:rsidRPr="00001DE2">
        <w:rPr>
          <w:lang w:val="en-GB"/>
        </w:rPr>
        <w:t>ut is highly sensitive to feedstock cost, solvent price, and solvent recovery.</w:t>
      </w:r>
      <w:r w:rsidR="00B153E5" w:rsidRPr="00001DE2">
        <w:rPr>
          <w:lang w:val="en-GB"/>
        </w:rPr>
        <w:t xml:space="preserve"> </w:t>
      </w:r>
      <w:r w:rsidRPr="00001DE2">
        <w:rPr>
          <w:lang w:val="en-GB"/>
        </w:rPr>
        <w:t xml:space="preserve">The main </w:t>
      </w:r>
      <w:r w:rsidR="00E00181" w:rsidRPr="00001DE2">
        <w:rPr>
          <w:lang w:val="en-GB"/>
        </w:rPr>
        <w:t>aim</w:t>
      </w:r>
      <w:r w:rsidRPr="00001DE2">
        <w:rPr>
          <w:lang w:val="en-GB"/>
        </w:rPr>
        <w:t xml:space="preserve"> of this work is to develop a techno-economical assessment of a biorefinery that </w:t>
      </w:r>
      <w:r w:rsidR="00E00181" w:rsidRPr="00001DE2">
        <w:rPr>
          <w:lang w:val="en-GB"/>
        </w:rPr>
        <w:t xml:space="preserve">can </w:t>
      </w:r>
      <w:r w:rsidRPr="00001DE2">
        <w:rPr>
          <w:lang w:val="en-GB"/>
        </w:rPr>
        <w:t xml:space="preserve">convert </w:t>
      </w:r>
      <w:r w:rsidR="00E00181" w:rsidRPr="00001DE2">
        <w:rPr>
          <w:lang w:val="en-GB"/>
        </w:rPr>
        <w:t xml:space="preserve">four </w:t>
      </w:r>
      <w:r w:rsidRPr="00001DE2">
        <w:rPr>
          <w:lang w:val="en-GB"/>
        </w:rPr>
        <w:t>vegetable oils into renewable fuel, which in this case is green die</w:t>
      </w:r>
      <w:r w:rsidRPr="00001DE2">
        <w:rPr>
          <w:lang w:val="en-GB"/>
        </w:rPr>
        <w:t xml:space="preserve">sel, through catalytic </w:t>
      </w:r>
      <w:proofErr w:type="spellStart"/>
      <w:r w:rsidRPr="00001DE2">
        <w:rPr>
          <w:lang w:val="en-GB"/>
        </w:rPr>
        <w:t>hydroprocessing</w:t>
      </w:r>
      <w:proofErr w:type="spellEnd"/>
      <w:r w:rsidRPr="00001DE2">
        <w:rPr>
          <w:lang w:val="en-GB"/>
        </w:rPr>
        <w:t>. Process feedstocks consist of four types of vegetable oils: Soybean, Sunflower, Palm and Cardoon oil.</w:t>
      </w:r>
    </w:p>
    <w:p w14:paraId="5741900F" w14:textId="450766F4" w:rsidR="00453E24" w:rsidRPr="00001DE2" w:rsidRDefault="005134AB" w:rsidP="00453E24">
      <w:pPr>
        <w:pStyle w:val="CETHeading1"/>
      </w:pPr>
      <w:r w:rsidRPr="00001DE2">
        <w:t>Process design</w:t>
      </w:r>
    </w:p>
    <w:p w14:paraId="09406386" w14:textId="10B6F6D0" w:rsidR="00453E24" w:rsidRDefault="005134AB" w:rsidP="00453E24">
      <w:pPr>
        <w:pStyle w:val="CETBodytext"/>
      </w:pPr>
      <w:r>
        <w:t>A process design methodology was applied to simulate and optimize the green diesel production flows</w:t>
      </w:r>
      <w:r>
        <w:t>heet considered</w:t>
      </w:r>
      <w:r w:rsidR="00AC0FD3">
        <w:t xml:space="preserve">. </w:t>
      </w:r>
      <w:r w:rsidR="005322A5" w:rsidRPr="005322A5">
        <w:t>Aspen Plus</w:t>
      </w:r>
      <w:r w:rsidR="005322A5" w:rsidRPr="00AC0FD3">
        <w:rPr>
          <w:vertAlign w:val="superscript"/>
        </w:rPr>
        <w:t>®</w:t>
      </w:r>
      <w:r w:rsidR="005322A5" w:rsidRPr="005322A5">
        <w:t xml:space="preserve"> </w:t>
      </w:r>
      <w:r w:rsidR="00AC0FD3">
        <w:t xml:space="preserve">simulation software was </w:t>
      </w:r>
      <w:r w:rsidR="00AC0FD3" w:rsidRPr="0093026B">
        <w:t xml:space="preserve">used for the reactor design by kinetics approach and for the purification train based on a thermodynamics approach </w:t>
      </w:r>
      <w:r w:rsidR="004A1D8E" w:rsidRPr="0093026B">
        <w:fldChar w:fldCharType="begin"/>
      </w:r>
      <w:r w:rsidR="004A1D8E" w:rsidRPr="0093026B">
        <w:instrText xml:space="preserve"> ADDIN ZOTERO_ITEM CSL_CITATION {"citationID":"d8SQnqwv","properties":{"formattedCitation":"(Giuliano et al., 2015)","plainCitation":"(Giuliano et al., 2015)","noteIndex":0},"citationItems":[{"id":3491,"uris":["http://zotero.org/users/10649518/items/GSFL86MK"],"itemData":{"id":3491,"type":"article-journal","container-title":"Computer Aided Chemical Engineering","DOI":"10.1016/B978-0-444-63577-8.50064-4","page":"1313–1318","title":"Process Design of a Multi-Product Lignocellulosic Biorefinery","volume":"37","author":[{"family":"Giuliano","given":"Aristide"},{"family":"Poletto","given":"Massimo"},{"family":"Barletta","given":"Diego"}],"issued":{"date-parts":[["2015"]]}}}],"schema":"https://github.com/citation-style-language/schema/raw/master/csl-citation.json"} </w:instrText>
      </w:r>
      <w:r w:rsidR="004A1D8E" w:rsidRPr="0093026B">
        <w:fldChar w:fldCharType="separate"/>
      </w:r>
      <w:r w:rsidR="004A1D8E" w:rsidRPr="0093026B">
        <w:rPr>
          <w:rFonts w:cs="Arial"/>
        </w:rPr>
        <w:t>(Giuliano et al., 2015)</w:t>
      </w:r>
      <w:r w:rsidR="004A1D8E" w:rsidRPr="0093026B">
        <w:fldChar w:fldCharType="end"/>
      </w:r>
      <w:r w:rsidR="00AC0FD3">
        <w:t>.</w:t>
      </w:r>
    </w:p>
    <w:p w14:paraId="3715F0AB" w14:textId="77777777" w:rsidR="00813FC2" w:rsidRPr="00B57B36" w:rsidRDefault="005134AB" w:rsidP="00813FC2">
      <w:pPr>
        <w:pStyle w:val="CETTabletitle"/>
      </w:pPr>
      <w:r w:rsidRPr="00B57B36">
        <w:t xml:space="preserve">Table </w:t>
      </w:r>
      <w:r>
        <w:t>2</w:t>
      </w:r>
      <w:r w:rsidRPr="00B57B36">
        <w:t xml:space="preserve">: </w:t>
      </w:r>
      <w:r>
        <w:t>Fixed design parameters.</w:t>
      </w:r>
    </w:p>
    <w:tbl>
      <w:tblPr>
        <w:tblW w:w="242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45"/>
        <w:gridCol w:w="708"/>
      </w:tblGrid>
      <w:tr w:rsidR="00AC7854" w14:paraId="4363AD5C" w14:textId="77777777" w:rsidTr="00660184">
        <w:tc>
          <w:tcPr>
            <w:tcW w:w="4168" w:type="pct"/>
            <w:tcBorders>
              <w:top w:val="single" w:sz="12" w:space="0" w:color="008000"/>
              <w:bottom w:val="single" w:sz="6" w:space="0" w:color="008000"/>
            </w:tcBorders>
            <w:shd w:val="clear" w:color="auto" w:fill="FFFFFF"/>
          </w:tcPr>
          <w:p w14:paraId="5FBE9C06" w14:textId="77777777" w:rsidR="00813FC2" w:rsidRPr="00B57B36" w:rsidRDefault="005134AB" w:rsidP="00660184">
            <w:pPr>
              <w:pStyle w:val="CETBodytext"/>
              <w:jc w:val="center"/>
              <w:rPr>
                <w:lang w:val="en-GB"/>
              </w:rPr>
            </w:pPr>
            <w:r>
              <w:rPr>
                <w:lang w:val="en-GB"/>
              </w:rPr>
              <w:t>Process parameter</w:t>
            </w:r>
          </w:p>
        </w:tc>
        <w:tc>
          <w:tcPr>
            <w:tcW w:w="832" w:type="pct"/>
            <w:tcBorders>
              <w:top w:val="single" w:sz="12" w:space="0" w:color="008000"/>
              <w:bottom w:val="single" w:sz="6" w:space="0" w:color="008000"/>
            </w:tcBorders>
            <w:shd w:val="clear" w:color="auto" w:fill="FFFFFF"/>
          </w:tcPr>
          <w:p w14:paraId="2E746C18" w14:textId="77777777" w:rsidR="00813FC2" w:rsidRPr="00B57B36" w:rsidRDefault="005134AB" w:rsidP="00660184">
            <w:pPr>
              <w:pStyle w:val="CETBodytext"/>
              <w:rPr>
                <w:lang w:val="en-GB"/>
              </w:rPr>
            </w:pPr>
            <w:r>
              <w:rPr>
                <w:lang w:val="en-GB"/>
              </w:rPr>
              <w:t>Value</w:t>
            </w:r>
          </w:p>
        </w:tc>
      </w:tr>
      <w:tr w:rsidR="00AC7854" w14:paraId="66975926" w14:textId="77777777" w:rsidTr="00660184">
        <w:tc>
          <w:tcPr>
            <w:tcW w:w="4168" w:type="pct"/>
            <w:shd w:val="clear" w:color="auto" w:fill="FFFFFF"/>
          </w:tcPr>
          <w:p w14:paraId="61FE77B0" w14:textId="77777777" w:rsidR="00813FC2" w:rsidRPr="00B57B36" w:rsidRDefault="005134AB" w:rsidP="00660184">
            <w:pPr>
              <w:pStyle w:val="CETBodytext"/>
              <w:rPr>
                <w:lang w:val="en-GB"/>
              </w:rPr>
            </w:pPr>
            <w:r w:rsidRPr="00BE4E6E">
              <w:rPr>
                <w:lang w:val="en-GB"/>
              </w:rPr>
              <w:t>Reactor diameter</w:t>
            </w:r>
            <w:r>
              <w:rPr>
                <w:lang w:val="en-GB"/>
              </w:rPr>
              <w:t xml:space="preserve"> (m)</w:t>
            </w:r>
          </w:p>
        </w:tc>
        <w:tc>
          <w:tcPr>
            <w:tcW w:w="832" w:type="pct"/>
            <w:shd w:val="clear" w:color="auto" w:fill="FFFFFF"/>
          </w:tcPr>
          <w:p w14:paraId="7A428FE6" w14:textId="77777777" w:rsidR="00813FC2" w:rsidRPr="00B57B36" w:rsidRDefault="005134AB" w:rsidP="00660184">
            <w:pPr>
              <w:pStyle w:val="CETBodytext"/>
              <w:rPr>
                <w:lang w:val="en-GB"/>
              </w:rPr>
            </w:pPr>
            <w:r>
              <w:rPr>
                <w:lang w:val="en-GB"/>
              </w:rPr>
              <w:t>2.0</w:t>
            </w:r>
          </w:p>
        </w:tc>
      </w:tr>
      <w:tr w:rsidR="00AC7854" w14:paraId="316241BE" w14:textId="77777777" w:rsidTr="00660184">
        <w:tc>
          <w:tcPr>
            <w:tcW w:w="4168" w:type="pct"/>
            <w:shd w:val="clear" w:color="auto" w:fill="FFFFFF"/>
          </w:tcPr>
          <w:p w14:paraId="5743E48A" w14:textId="77777777" w:rsidR="00813FC2" w:rsidRPr="00B57B36" w:rsidRDefault="005134AB" w:rsidP="00660184">
            <w:pPr>
              <w:pStyle w:val="CETBodytext"/>
              <w:ind w:right="-1"/>
              <w:rPr>
                <w:rFonts w:cs="Arial"/>
                <w:szCs w:val="18"/>
                <w:lang w:val="en-GB"/>
              </w:rPr>
            </w:pPr>
            <w:r w:rsidRPr="00BE4E6E">
              <w:rPr>
                <w:rFonts w:cs="Arial"/>
                <w:szCs w:val="18"/>
                <w:lang w:val="en-GB"/>
              </w:rPr>
              <w:t xml:space="preserve">Temperature of the </w:t>
            </w:r>
            <w:r w:rsidRPr="00BE4E6E">
              <w:rPr>
                <w:rFonts w:cs="Arial"/>
                <w:szCs w:val="18"/>
                <w:lang w:val="en-GB"/>
              </w:rPr>
              <w:t>feed (liquid + gas)</w:t>
            </w:r>
            <w:r>
              <w:rPr>
                <w:rFonts w:cs="Arial"/>
                <w:szCs w:val="18"/>
                <w:lang w:val="en-GB"/>
              </w:rPr>
              <w:t xml:space="preserve"> (°C)</w:t>
            </w:r>
          </w:p>
        </w:tc>
        <w:tc>
          <w:tcPr>
            <w:tcW w:w="832" w:type="pct"/>
            <w:shd w:val="clear" w:color="auto" w:fill="FFFFFF"/>
          </w:tcPr>
          <w:p w14:paraId="62A364E3" w14:textId="77777777" w:rsidR="00813FC2" w:rsidRPr="00B57B36" w:rsidRDefault="005134AB" w:rsidP="00660184">
            <w:pPr>
              <w:pStyle w:val="CETBodytext"/>
              <w:ind w:right="-1"/>
              <w:rPr>
                <w:rFonts w:cs="Arial"/>
                <w:szCs w:val="18"/>
                <w:lang w:val="en-GB"/>
              </w:rPr>
            </w:pPr>
            <w:r>
              <w:rPr>
                <w:rFonts w:cs="Arial"/>
                <w:szCs w:val="18"/>
                <w:lang w:val="en-GB"/>
              </w:rPr>
              <w:t>340</w:t>
            </w:r>
          </w:p>
        </w:tc>
      </w:tr>
      <w:tr w:rsidR="00AC7854" w14:paraId="4A17B0E5" w14:textId="77777777" w:rsidTr="00660184">
        <w:tc>
          <w:tcPr>
            <w:tcW w:w="4168" w:type="pct"/>
            <w:shd w:val="clear" w:color="auto" w:fill="FFFFFF"/>
          </w:tcPr>
          <w:p w14:paraId="2180D15E" w14:textId="77777777" w:rsidR="00813FC2" w:rsidRPr="00B57B36" w:rsidRDefault="005134AB" w:rsidP="00660184">
            <w:pPr>
              <w:pStyle w:val="CETBodytext"/>
              <w:ind w:right="-1"/>
              <w:rPr>
                <w:rFonts w:cs="Arial"/>
                <w:szCs w:val="18"/>
                <w:lang w:val="en-GB"/>
              </w:rPr>
            </w:pPr>
            <w:r w:rsidRPr="00BE4E6E">
              <w:rPr>
                <w:rFonts w:cs="Arial"/>
                <w:szCs w:val="18"/>
                <w:lang w:val="en-GB"/>
              </w:rPr>
              <w:t>Pressure</w:t>
            </w:r>
            <w:r>
              <w:rPr>
                <w:rFonts w:cs="Arial"/>
                <w:szCs w:val="18"/>
                <w:lang w:val="en-GB"/>
              </w:rPr>
              <w:t xml:space="preserve"> (bar)</w:t>
            </w:r>
          </w:p>
        </w:tc>
        <w:tc>
          <w:tcPr>
            <w:tcW w:w="832" w:type="pct"/>
            <w:shd w:val="clear" w:color="auto" w:fill="FFFFFF"/>
          </w:tcPr>
          <w:p w14:paraId="65ECD797" w14:textId="77777777" w:rsidR="00813FC2" w:rsidRPr="00B57B36" w:rsidRDefault="005134AB" w:rsidP="00660184">
            <w:pPr>
              <w:pStyle w:val="CETBodytext"/>
              <w:ind w:right="-1"/>
              <w:rPr>
                <w:rFonts w:cs="Arial"/>
                <w:szCs w:val="18"/>
                <w:lang w:val="en-GB"/>
              </w:rPr>
            </w:pPr>
            <w:r>
              <w:rPr>
                <w:rFonts w:cs="Arial"/>
                <w:szCs w:val="18"/>
                <w:lang w:val="en-GB"/>
              </w:rPr>
              <w:t>80</w:t>
            </w:r>
          </w:p>
        </w:tc>
      </w:tr>
      <w:tr w:rsidR="00AC7854" w14:paraId="1C81F1AF" w14:textId="77777777" w:rsidTr="00660184">
        <w:tc>
          <w:tcPr>
            <w:tcW w:w="4168" w:type="pct"/>
            <w:shd w:val="clear" w:color="auto" w:fill="FFFFFF"/>
          </w:tcPr>
          <w:p w14:paraId="09EA1065" w14:textId="77777777" w:rsidR="00813FC2" w:rsidRPr="00B57B36" w:rsidRDefault="005134AB" w:rsidP="00660184">
            <w:pPr>
              <w:pStyle w:val="CETBodytext"/>
              <w:ind w:right="-1"/>
              <w:rPr>
                <w:rFonts w:cs="Arial"/>
                <w:szCs w:val="18"/>
                <w:lang w:val="en-GB"/>
              </w:rPr>
            </w:pPr>
            <w:r>
              <w:rPr>
                <w:rFonts w:cs="Arial"/>
                <w:szCs w:val="18"/>
                <w:lang w:val="en-GB"/>
              </w:rPr>
              <w:t>First b</w:t>
            </w:r>
            <w:r w:rsidRPr="00BE4E6E">
              <w:rPr>
                <w:rFonts w:cs="Arial"/>
                <w:szCs w:val="18"/>
                <w:lang w:val="en-GB"/>
              </w:rPr>
              <w:t xml:space="preserve">ed </w:t>
            </w:r>
            <w:r>
              <w:rPr>
                <w:rFonts w:cs="Arial"/>
                <w:szCs w:val="18"/>
                <w:lang w:val="en-GB"/>
              </w:rPr>
              <w:t>l</w:t>
            </w:r>
            <w:r w:rsidRPr="00BE4E6E">
              <w:rPr>
                <w:rFonts w:cs="Arial"/>
                <w:szCs w:val="18"/>
                <w:lang w:val="en-GB"/>
              </w:rPr>
              <w:t>ength</w:t>
            </w:r>
            <w:r>
              <w:rPr>
                <w:rFonts w:cs="Arial"/>
                <w:szCs w:val="18"/>
                <w:lang w:val="en-GB"/>
              </w:rPr>
              <w:t xml:space="preserve"> (m)</w:t>
            </w:r>
          </w:p>
        </w:tc>
        <w:tc>
          <w:tcPr>
            <w:tcW w:w="832" w:type="pct"/>
            <w:shd w:val="clear" w:color="auto" w:fill="FFFFFF"/>
          </w:tcPr>
          <w:p w14:paraId="7383A5F1" w14:textId="77777777" w:rsidR="00813FC2" w:rsidRPr="00B57B36" w:rsidRDefault="005134AB" w:rsidP="00660184">
            <w:pPr>
              <w:pStyle w:val="CETBodytext"/>
              <w:ind w:right="-1"/>
              <w:rPr>
                <w:rFonts w:cs="Arial"/>
                <w:szCs w:val="18"/>
                <w:lang w:val="en-GB"/>
              </w:rPr>
            </w:pPr>
            <w:r>
              <w:rPr>
                <w:rFonts w:cs="Arial"/>
                <w:szCs w:val="18"/>
                <w:lang w:val="en-GB"/>
              </w:rPr>
              <w:t>2.0</w:t>
            </w:r>
          </w:p>
        </w:tc>
      </w:tr>
    </w:tbl>
    <w:p w14:paraId="56274461" w14:textId="63A331D3" w:rsidR="00813FC2" w:rsidRDefault="00813FC2" w:rsidP="00453E24">
      <w:pPr>
        <w:pStyle w:val="CETBodytext"/>
      </w:pPr>
    </w:p>
    <w:p w14:paraId="5D5C76CB" w14:textId="77777777" w:rsidR="00813FC2" w:rsidRPr="00B57B36" w:rsidRDefault="005134AB" w:rsidP="00813FC2">
      <w:pPr>
        <w:pStyle w:val="CETTabletitle"/>
      </w:pPr>
      <w:r w:rsidRPr="00B57B36">
        <w:lastRenderedPageBreak/>
        <w:t xml:space="preserve">Table </w:t>
      </w:r>
      <w:r>
        <w:t>3</w:t>
      </w:r>
      <w:r w:rsidRPr="00B57B36">
        <w:t xml:space="preserve">: </w:t>
      </w:r>
      <w:r>
        <w:t>Economic parameters.</w:t>
      </w:r>
    </w:p>
    <w:tbl>
      <w:tblPr>
        <w:tblW w:w="242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45"/>
        <w:gridCol w:w="708"/>
      </w:tblGrid>
      <w:tr w:rsidR="00AC7854" w14:paraId="5AB6B5D2" w14:textId="77777777" w:rsidTr="00660184">
        <w:tc>
          <w:tcPr>
            <w:tcW w:w="4168" w:type="pct"/>
            <w:tcBorders>
              <w:top w:val="single" w:sz="12" w:space="0" w:color="008000"/>
              <w:bottom w:val="single" w:sz="6" w:space="0" w:color="008000"/>
            </w:tcBorders>
            <w:shd w:val="clear" w:color="auto" w:fill="FFFFFF"/>
          </w:tcPr>
          <w:p w14:paraId="3F462635" w14:textId="77777777" w:rsidR="00813FC2" w:rsidRPr="00B57B36" w:rsidRDefault="005134AB" w:rsidP="00660184">
            <w:pPr>
              <w:pStyle w:val="CETBodytext"/>
              <w:jc w:val="center"/>
              <w:rPr>
                <w:lang w:val="en-GB"/>
              </w:rPr>
            </w:pPr>
            <w:r>
              <w:rPr>
                <w:lang w:val="en-GB"/>
              </w:rPr>
              <w:t>Economic parameter</w:t>
            </w:r>
          </w:p>
        </w:tc>
        <w:tc>
          <w:tcPr>
            <w:tcW w:w="832" w:type="pct"/>
            <w:tcBorders>
              <w:top w:val="single" w:sz="12" w:space="0" w:color="008000"/>
              <w:bottom w:val="single" w:sz="6" w:space="0" w:color="008000"/>
            </w:tcBorders>
            <w:shd w:val="clear" w:color="auto" w:fill="FFFFFF"/>
          </w:tcPr>
          <w:p w14:paraId="01349EA4" w14:textId="77777777" w:rsidR="00813FC2" w:rsidRPr="00B57B36" w:rsidRDefault="005134AB" w:rsidP="00660184">
            <w:pPr>
              <w:pStyle w:val="CETBodytext"/>
              <w:rPr>
                <w:lang w:val="en-GB"/>
              </w:rPr>
            </w:pPr>
            <w:r>
              <w:rPr>
                <w:lang w:val="en-GB"/>
              </w:rPr>
              <w:t>Value</w:t>
            </w:r>
          </w:p>
        </w:tc>
      </w:tr>
      <w:tr w:rsidR="00AC7854" w14:paraId="211400D0" w14:textId="77777777" w:rsidTr="00660184">
        <w:tc>
          <w:tcPr>
            <w:tcW w:w="4168" w:type="pct"/>
            <w:shd w:val="clear" w:color="auto" w:fill="FFFFFF"/>
          </w:tcPr>
          <w:p w14:paraId="2E6A14A1" w14:textId="77777777" w:rsidR="00813FC2" w:rsidRPr="00B57B36" w:rsidRDefault="005134AB" w:rsidP="00660184">
            <w:pPr>
              <w:pStyle w:val="CETBodytext"/>
              <w:rPr>
                <w:lang w:val="en-GB"/>
              </w:rPr>
            </w:pPr>
            <w:r w:rsidRPr="00BE2748">
              <w:rPr>
                <w:lang w:val="en-GB"/>
              </w:rPr>
              <w:t>Hydrogen cost</w:t>
            </w:r>
            <w:r>
              <w:rPr>
                <w:lang w:val="en-GB"/>
              </w:rPr>
              <w:t xml:space="preserve"> (€/kg)</w:t>
            </w:r>
          </w:p>
        </w:tc>
        <w:tc>
          <w:tcPr>
            <w:tcW w:w="832" w:type="pct"/>
            <w:shd w:val="clear" w:color="auto" w:fill="FFFFFF"/>
          </w:tcPr>
          <w:p w14:paraId="36A6338A" w14:textId="77777777" w:rsidR="00813FC2" w:rsidRPr="00B57B36" w:rsidRDefault="005134AB" w:rsidP="00660184">
            <w:pPr>
              <w:pStyle w:val="CETBodytext"/>
              <w:rPr>
                <w:lang w:val="en-GB"/>
              </w:rPr>
            </w:pPr>
            <w:r>
              <w:rPr>
                <w:lang w:val="en-GB"/>
              </w:rPr>
              <w:t>3</w:t>
            </w:r>
          </w:p>
        </w:tc>
      </w:tr>
      <w:tr w:rsidR="00AC7854" w14:paraId="3B27D824" w14:textId="77777777" w:rsidTr="00660184">
        <w:tc>
          <w:tcPr>
            <w:tcW w:w="4168" w:type="pct"/>
            <w:shd w:val="clear" w:color="auto" w:fill="FFFFFF"/>
          </w:tcPr>
          <w:p w14:paraId="176FF093" w14:textId="77777777" w:rsidR="00813FC2" w:rsidRPr="00B57B36" w:rsidRDefault="005134AB" w:rsidP="00660184">
            <w:pPr>
              <w:pStyle w:val="CETBodytext"/>
              <w:ind w:right="-1"/>
              <w:rPr>
                <w:rFonts w:cs="Arial"/>
                <w:szCs w:val="18"/>
                <w:lang w:val="en-GB"/>
              </w:rPr>
            </w:pPr>
            <w:r w:rsidRPr="00BE2748">
              <w:rPr>
                <w:rFonts w:cs="Arial"/>
                <w:szCs w:val="18"/>
                <w:lang w:val="en-GB"/>
              </w:rPr>
              <w:t>Catalyst cost</w:t>
            </w:r>
            <w:r>
              <w:rPr>
                <w:rFonts w:cs="Arial"/>
                <w:szCs w:val="18"/>
                <w:lang w:val="en-GB"/>
              </w:rPr>
              <w:t xml:space="preserve"> (€/kg)</w:t>
            </w:r>
          </w:p>
        </w:tc>
        <w:tc>
          <w:tcPr>
            <w:tcW w:w="832" w:type="pct"/>
            <w:shd w:val="clear" w:color="auto" w:fill="FFFFFF"/>
          </w:tcPr>
          <w:p w14:paraId="3C6CF60B" w14:textId="77777777" w:rsidR="00813FC2" w:rsidRPr="00B57B36" w:rsidRDefault="005134AB" w:rsidP="00660184">
            <w:pPr>
              <w:pStyle w:val="CETBodytext"/>
              <w:ind w:right="-1"/>
              <w:rPr>
                <w:rFonts w:cs="Arial"/>
                <w:szCs w:val="18"/>
                <w:lang w:val="en-GB"/>
              </w:rPr>
            </w:pPr>
            <w:r>
              <w:rPr>
                <w:rFonts w:cs="Arial"/>
                <w:szCs w:val="18"/>
                <w:lang w:val="en-GB"/>
              </w:rPr>
              <w:t>600</w:t>
            </w:r>
          </w:p>
        </w:tc>
      </w:tr>
      <w:tr w:rsidR="00AC7854" w14:paraId="07FDF160" w14:textId="77777777" w:rsidTr="00660184">
        <w:tc>
          <w:tcPr>
            <w:tcW w:w="4168" w:type="pct"/>
            <w:shd w:val="clear" w:color="auto" w:fill="FFFFFF"/>
          </w:tcPr>
          <w:p w14:paraId="029BB63F" w14:textId="77777777" w:rsidR="00813FC2" w:rsidRPr="00B57B36" w:rsidRDefault="005134AB" w:rsidP="00660184">
            <w:pPr>
              <w:pStyle w:val="CETBodytext"/>
              <w:ind w:right="-1"/>
              <w:rPr>
                <w:rFonts w:cs="Arial"/>
                <w:szCs w:val="18"/>
                <w:lang w:val="en-GB"/>
              </w:rPr>
            </w:pPr>
            <w:r w:rsidRPr="00BE2748">
              <w:rPr>
                <w:rFonts w:cs="Arial"/>
                <w:szCs w:val="18"/>
                <w:lang w:val="en-GB"/>
              </w:rPr>
              <w:t>Green diesel selling price</w:t>
            </w:r>
            <w:r>
              <w:rPr>
                <w:rFonts w:cs="Arial"/>
                <w:szCs w:val="18"/>
                <w:lang w:val="en-GB"/>
              </w:rPr>
              <w:t xml:space="preserve"> (€/kg)</w:t>
            </w:r>
          </w:p>
        </w:tc>
        <w:tc>
          <w:tcPr>
            <w:tcW w:w="832" w:type="pct"/>
            <w:shd w:val="clear" w:color="auto" w:fill="FFFFFF"/>
          </w:tcPr>
          <w:p w14:paraId="2AAB4835" w14:textId="77777777" w:rsidR="00813FC2" w:rsidRPr="00B57B36" w:rsidRDefault="005134AB" w:rsidP="00660184">
            <w:pPr>
              <w:pStyle w:val="CETBodytext"/>
              <w:ind w:right="-1"/>
              <w:rPr>
                <w:rFonts w:cs="Arial"/>
                <w:szCs w:val="18"/>
                <w:lang w:val="en-GB"/>
              </w:rPr>
            </w:pPr>
            <w:r>
              <w:rPr>
                <w:rFonts w:cs="Arial"/>
                <w:szCs w:val="18"/>
                <w:lang w:val="en-GB"/>
              </w:rPr>
              <w:t>1.50</w:t>
            </w:r>
          </w:p>
        </w:tc>
      </w:tr>
      <w:tr w:rsidR="00AC7854" w14:paraId="536B82D7" w14:textId="77777777" w:rsidTr="00660184">
        <w:tc>
          <w:tcPr>
            <w:tcW w:w="4168" w:type="pct"/>
            <w:shd w:val="clear" w:color="auto" w:fill="FFFFFF"/>
          </w:tcPr>
          <w:p w14:paraId="3421AB5E" w14:textId="77777777" w:rsidR="00813FC2" w:rsidRPr="00BE4E6E" w:rsidRDefault="005134AB" w:rsidP="00660184">
            <w:pPr>
              <w:pStyle w:val="CETBodytext"/>
              <w:ind w:right="-1"/>
              <w:rPr>
                <w:rFonts w:cs="Arial"/>
                <w:szCs w:val="18"/>
                <w:lang w:val="en-GB"/>
              </w:rPr>
            </w:pPr>
            <w:r w:rsidRPr="00EE58E7">
              <w:t>Plant lifetime</w:t>
            </w:r>
            <w:r>
              <w:t xml:space="preserve"> (y)</w:t>
            </w:r>
          </w:p>
        </w:tc>
        <w:tc>
          <w:tcPr>
            <w:tcW w:w="832" w:type="pct"/>
            <w:shd w:val="clear" w:color="auto" w:fill="FFFFFF"/>
          </w:tcPr>
          <w:p w14:paraId="0AB81788" w14:textId="77777777" w:rsidR="00813FC2" w:rsidRDefault="005134AB" w:rsidP="00660184">
            <w:pPr>
              <w:pStyle w:val="CETBodytext"/>
              <w:ind w:right="-1"/>
              <w:rPr>
                <w:rFonts w:cs="Arial"/>
                <w:szCs w:val="18"/>
                <w:lang w:val="en-GB"/>
              </w:rPr>
            </w:pPr>
            <w:r w:rsidRPr="00AF305F">
              <w:t>20</w:t>
            </w:r>
          </w:p>
        </w:tc>
      </w:tr>
      <w:tr w:rsidR="00AC7854" w14:paraId="78603E50" w14:textId="77777777" w:rsidTr="00660184">
        <w:tc>
          <w:tcPr>
            <w:tcW w:w="4168" w:type="pct"/>
            <w:shd w:val="clear" w:color="auto" w:fill="FFFFFF"/>
          </w:tcPr>
          <w:p w14:paraId="5E87420D" w14:textId="77777777" w:rsidR="00813FC2" w:rsidRPr="00BE4E6E" w:rsidRDefault="005134AB" w:rsidP="00660184">
            <w:pPr>
              <w:pStyle w:val="CETBodytext"/>
              <w:ind w:right="-1"/>
              <w:rPr>
                <w:rFonts w:cs="Arial"/>
                <w:szCs w:val="18"/>
                <w:lang w:val="en-GB"/>
              </w:rPr>
            </w:pPr>
            <w:r w:rsidRPr="00EE58E7">
              <w:t>Interest rate</w:t>
            </w:r>
            <w:r>
              <w:t xml:space="preserve"> (%)</w:t>
            </w:r>
          </w:p>
        </w:tc>
        <w:tc>
          <w:tcPr>
            <w:tcW w:w="832" w:type="pct"/>
            <w:shd w:val="clear" w:color="auto" w:fill="FFFFFF"/>
          </w:tcPr>
          <w:p w14:paraId="05FDE5A9" w14:textId="77777777" w:rsidR="00813FC2" w:rsidRDefault="005134AB" w:rsidP="00660184">
            <w:pPr>
              <w:pStyle w:val="CETBodytext"/>
              <w:ind w:right="-1"/>
              <w:rPr>
                <w:rFonts w:cs="Arial"/>
                <w:szCs w:val="18"/>
                <w:lang w:val="en-GB"/>
              </w:rPr>
            </w:pPr>
            <w:r w:rsidRPr="00AF305F">
              <w:t>5</w:t>
            </w:r>
          </w:p>
        </w:tc>
      </w:tr>
      <w:tr w:rsidR="00AC7854" w14:paraId="78247C64" w14:textId="77777777" w:rsidTr="00660184">
        <w:tc>
          <w:tcPr>
            <w:tcW w:w="4168" w:type="pct"/>
            <w:shd w:val="clear" w:color="auto" w:fill="FFFFFF"/>
          </w:tcPr>
          <w:p w14:paraId="1F436C90" w14:textId="77777777" w:rsidR="00813FC2" w:rsidRPr="00BE4E6E" w:rsidRDefault="005134AB" w:rsidP="00660184">
            <w:pPr>
              <w:pStyle w:val="CETBodytext"/>
              <w:ind w:right="-1"/>
              <w:rPr>
                <w:rFonts w:cs="Arial"/>
                <w:szCs w:val="18"/>
                <w:lang w:val="en-GB"/>
              </w:rPr>
            </w:pPr>
            <w:r w:rsidRPr="00EE58E7">
              <w:t>Base year</w:t>
            </w:r>
            <w:r>
              <w:t xml:space="preserve"> </w:t>
            </w:r>
          </w:p>
        </w:tc>
        <w:tc>
          <w:tcPr>
            <w:tcW w:w="832" w:type="pct"/>
            <w:shd w:val="clear" w:color="auto" w:fill="FFFFFF"/>
          </w:tcPr>
          <w:p w14:paraId="78A8A08F" w14:textId="77777777" w:rsidR="00813FC2" w:rsidRDefault="005134AB" w:rsidP="00660184">
            <w:pPr>
              <w:pStyle w:val="CETBodytext"/>
              <w:ind w:right="-1"/>
              <w:rPr>
                <w:rFonts w:cs="Arial"/>
                <w:szCs w:val="18"/>
                <w:lang w:val="en-GB"/>
              </w:rPr>
            </w:pPr>
            <w:r w:rsidRPr="00AF305F">
              <w:t>2022</w:t>
            </w:r>
          </w:p>
        </w:tc>
      </w:tr>
      <w:tr w:rsidR="00AC7854" w14:paraId="0B00EDF6" w14:textId="77777777" w:rsidTr="00660184">
        <w:tc>
          <w:tcPr>
            <w:tcW w:w="4168" w:type="pct"/>
            <w:shd w:val="clear" w:color="auto" w:fill="FFFFFF"/>
          </w:tcPr>
          <w:p w14:paraId="2AC4FEA4" w14:textId="77777777" w:rsidR="00813FC2" w:rsidRPr="00BE4E6E" w:rsidRDefault="005134AB" w:rsidP="00660184">
            <w:pPr>
              <w:pStyle w:val="CETBodytext"/>
              <w:ind w:right="-1"/>
              <w:rPr>
                <w:rFonts w:cs="Arial"/>
                <w:szCs w:val="18"/>
                <w:lang w:val="en-GB"/>
              </w:rPr>
            </w:pPr>
            <w:r w:rsidRPr="00EE58E7">
              <w:t>Plant start-up</w:t>
            </w:r>
            <w:r>
              <w:t xml:space="preserve"> (y)</w:t>
            </w:r>
          </w:p>
        </w:tc>
        <w:tc>
          <w:tcPr>
            <w:tcW w:w="832" w:type="pct"/>
            <w:shd w:val="clear" w:color="auto" w:fill="FFFFFF"/>
          </w:tcPr>
          <w:p w14:paraId="6269AC39" w14:textId="77777777" w:rsidR="00813FC2" w:rsidRDefault="005134AB" w:rsidP="00660184">
            <w:pPr>
              <w:pStyle w:val="CETBodytext"/>
              <w:ind w:right="-1"/>
              <w:rPr>
                <w:rFonts w:cs="Arial"/>
                <w:szCs w:val="18"/>
                <w:lang w:val="en-GB"/>
              </w:rPr>
            </w:pPr>
            <w:r w:rsidRPr="00AF305F">
              <w:t>3</w:t>
            </w:r>
          </w:p>
        </w:tc>
      </w:tr>
      <w:tr w:rsidR="00AC7854" w14:paraId="2E5F12A2" w14:textId="77777777" w:rsidTr="00660184">
        <w:tc>
          <w:tcPr>
            <w:tcW w:w="4168" w:type="pct"/>
            <w:shd w:val="clear" w:color="auto" w:fill="FFFFFF"/>
          </w:tcPr>
          <w:p w14:paraId="3DB5B562" w14:textId="77777777" w:rsidR="00813FC2" w:rsidRPr="00BE4E6E" w:rsidRDefault="005134AB" w:rsidP="00660184">
            <w:pPr>
              <w:pStyle w:val="CETBodytext"/>
              <w:ind w:right="-1"/>
              <w:rPr>
                <w:rFonts w:cs="Arial"/>
                <w:szCs w:val="18"/>
                <w:lang w:val="en-GB"/>
              </w:rPr>
            </w:pPr>
            <w:r w:rsidRPr="00EE58E7">
              <w:t>Annual working hours</w:t>
            </w:r>
            <w:r>
              <w:t xml:space="preserve"> (h/y)</w:t>
            </w:r>
          </w:p>
        </w:tc>
        <w:tc>
          <w:tcPr>
            <w:tcW w:w="832" w:type="pct"/>
            <w:shd w:val="clear" w:color="auto" w:fill="FFFFFF"/>
          </w:tcPr>
          <w:p w14:paraId="7EFC4139" w14:textId="77777777" w:rsidR="00813FC2" w:rsidRDefault="005134AB" w:rsidP="00660184">
            <w:pPr>
              <w:pStyle w:val="CETBodytext"/>
              <w:ind w:right="-1"/>
              <w:rPr>
                <w:rFonts w:cs="Arial"/>
                <w:szCs w:val="18"/>
                <w:lang w:val="en-GB"/>
              </w:rPr>
            </w:pPr>
            <w:r w:rsidRPr="00AF305F">
              <w:t>7920</w:t>
            </w:r>
          </w:p>
        </w:tc>
      </w:tr>
      <w:tr w:rsidR="00AC7854" w14:paraId="2BDF7B75" w14:textId="77777777" w:rsidTr="00660184">
        <w:tc>
          <w:tcPr>
            <w:tcW w:w="4168" w:type="pct"/>
            <w:shd w:val="clear" w:color="auto" w:fill="FFFFFF"/>
          </w:tcPr>
          <w:p w14:paraId="105A8C20" w14:textId="77777777" w:rsidR="00813FC2" w:rsidRPr="00B57B36" w:rsidRDefault="005134AB" w:rsidP="00660184">
            <w:pPr>
              <w:pStyle w:val="CETBodytext"/>
              <w:ind w:right="-1"/>
              <w:rPr>
                <w:rFonts w:cs="Arial"/>
                <w:szCs w:val="18"/>
                <w:lang w:val="en-GB"/>
              </w:rPr>
            </w:pPr>
            <w:r w:rsidRPr="00EE58E7">
              <w:t>Linear depreciation</w:t>
            </w:r>
            <w:r>
              <w:t xml:space="preserve"> (y)</w:t>
            </w:r>
          </w:p>
        </w:tc>
        <w:tc>
          <w:tcPr>
            <w:tcW w:w="832" w:type="pct"/>
            <w:shd w:val="clear" w:color="auto" w:fill="FFFFFF"/>
          </w:tcPr>
          <w:p w14:paraId="7CBE4EBC" w14:textId="77777777" w:rsidR="00813FC2" w:rsidRPr="00B57B36" w:rsidRDefault="005134AB" w:rsidP="00660184">
            <w:pPr>
              <w:pStyle w:val="CETBodytext"/>
              <w:ind w:right="-1"/>
              <w:rPr>
                <w:rFonts w:cs="Arial"/>
                <w:szCs w:val="18"/>
                <w:lang w:val="en-GB"/>
              </w:rPr>
            </w:pPr>
            <w:r w:rsidRPr="00AF305F">
              <w:t>10</w:t>
            </w:r>
          </w:p>
        </w:tc>
      </w:tr>
    </w:tbl>
    <w:p w14:paraId="0636B784" w14:textId="3A470E64" w:rsidR="00453E24" w:rsidRDefault="005134AB" w:rsidP="00453E24">
      <w:pPr>
        <w:pStyle w:val="CETheadingx"/>
      </w:pPr>
      <w:r w:rsidRPr="005322A5">
        <w:t>Feedstock profiles</w:t>
      </w:r>
    </w:p>
    <w:p w14:paraId="7C2B0064" w14:textId="0F8A6F05" w:rsidR="00453E24" w:rsidRDefault="005134AB" w:rsidP="00453E24">
      <w:pPr>
        <w:pStyle w:val="CETBodytext"/>
      </w:pPr>
      <w:r w:rsidRPr="005322A5">
        <w:t xml:space="preserve">The profile of the four vegetable oils is </w:t>
      </w:r>
      <w:r w:rsidRPr="00AC0FD3">
        <w:t xml:space="preserve">presented in </w:t>
      </w:r>
      <w:r w:rsidR="00BA1EF1" w:rsidRPr="00AC0FD3">
        <w:t>T</w:t>
      </w:r>
      <w:r w:rsidRPr="00AC0FD3">
        <w:t xml:space="preserve">able </w:t>
      </w:r>
      <w:r w:rsidR="00BA1EF1" w:rsidRPr="00AC0FD3">
        <w:t>1</w:t>
      </w:r>
      <w:r w:rsidRPr="00AC0FD3">
        <w:t xml:space="preserve">. </w:t>
      </w:r>
      <w:proofErr w:type="gramStart"/>
      <w:r w:rsidR="00AC0FD3" w:rsidRPr="00AC0FD3">
        <w:t>In particular, main</w:t>
      </w:r>
      <w:proofErr w:type="gramEnd"/>
      <w:r w:rsidR="00AC0FD3" w:rsidRPr="00AC0FD3">
        <w:t xml:space="preserve"> compounds were used to model the complex composition of the oils. All lipids were considered simple triglycerides, where only olein, </w:t>
      </w:r>
      <w:proofErr w:type="spellStart"/>
      <w:r w:rsidR="00AC0FD3" w:rsidRPr="00AC0FD3">
        <w:t>linolein</w:t>
      </w:r>
      <w:proofErr w:type="spellEnd"/>
      <w:r w:rsidR="00AC0FD3" w:rsidRPr="00AC0FD3">
        <w:t xml:space="preserve">, </w:t>
      </w:r>
      <w:proofErr w:type="spellStart"/>
      <w:r w:rsidR="00AC0FD3" w:rsidRPr="00AC0FD3">
        <w:t>linolenin</w:t>
      </w:r>
      <w:proofErr w:type="spellEnd"/>
      <w:r w:rsidR="00AC0FD3" w:rsidRPr="00AC0FD3">
        <w:t>, palmitic acid, stearic acid were the related fatty acids</w:t>
      </w:r>
      <w:r w:rsidRPr="00AC0FD3">
        <w:t>.</w:t>
      </w:r>
      <w:r w:rsidR="00AC0FD3">
        <w:t xml:space="preserve"> </w:t>
      </w:r>
    </w:p>
    <w:p w14:paraId="18BAFA6F" w14:textId="4B0BF879" w:rsidR="00453E24" w:rsidRPr="00B57B36" w:rsidRDefault="005134AB" w:rsidP="00453E24">
      <w:pPr>
        <w:pStyle w:val="CETheadingx"/>
      </w:pPr>
      <w:r>
        <w:t>Kinetics</w:t>
      </w:r>
      <w:r w:rsidR="00BE4E6E">
        <w:t xml:space="preserve"> and reactor design</w:t>
      </w:r>
    </w:p>
    <w:p w14:paraId="216CD96D" w14:textId="71F67B21" w:rsidR="00BE4E6E" w:rsidRDefault="005134AB" w:rsidP="00BE4E6E">
      <w:pPr>
        <w:pStyle w:val="CETBodytext"/>
        <w:rPr>
          <w:lang w:val="en-GB"/>
        </w:rPr>
      </w:pPr>
      <w:r w:rsidRPr="005322A5">
        <w:rPr>
          <w:lang w:val="en-GB"/>
        </w:rPr>
        <w:t xml:space="preserve">In the present study, </w:t>
      </w:r>
      <w:r w:rsidRPr="008D428A">
        <w:rPr>
          <w:lang w:val="en-GB"/>
        </w:rPr>
        <w:t xml:space="preserve">kinetics from </w:t>
      </w:r>
      <w:r w:rsidR="004A1D8E" w:rsidRPr="008D428A">
        <w:rPr>
          <w:lang w:val="en-GB"/>
        </w:rPr>
        <w:fldChar w:fldCharType="begin"/>
      </w:r>
      <w:r w:rsidR="004A1D8E" w:rsidRPr="008D428A">
        <w:rPr>
          <w:lang w:val="en-GB"/>
        </w:rPr>
        <w:instrText xml:space="preserve"> ADDIN ZOTERO_ITEM CSL_CITATION {"citationID":"94FrlyMw","properties":{"formattedCitation":"(Tirado and Ancheyta, 2020)","plainCitation":"(Tirado and Ancheyta, 2020)","noteIndex":0},"citationItems":[{"id":4383,"uris":["http://zotero.org/users/10649518/items/TN4PING4"],"itemData":{"id":4383,"type":"article-journal","abstract":"A dynamic trickle-bed reactor model was developed to predict the behavior of reactive species and products during the catalytic hydrotreating of vegetable oil. The prediction capability of the model was verified with experimental information obtained during the hydrotreating of a jatropha oil at temperature of 420 °C, hydrogen pressure of 80 bar, 1500 Nl/l of H2/oil ratio and WHSV of 1–12 h−1 using a NiW/SiO2–Al2O3 catalyst. The proposed model allows to predict the partial pressure and concentration profiles along the catalytic bed as a function of the time-on-stream. The dynamic simulation results agree with experimental data reported at steady-state conditions. A comparison of experimental data and calculated results provides a correlation coefficient of 0.988.","container-title":"Renewable Energy","issue":"C","language":"en","note":"publisher: Elsevier","page":"790-797","source":"ideas.repec.org","title":"Modeling of a bench-scale fixed-bed reactor for catalytic hydrotreating of vegetable oil","volume":"148","author":[{"family":"Tirado","given":"Alexis"},{"family":"Ancheyta","given":"Jorge"}],"issued":{"date-parts":[["2020"]]}}}],"schema":"https://github.com/citation-style-language/schema/raw/master/csl-citation.json"} </w:instrText>
      </w:r>
      <w:r w:rsidR="004A1D8E" w:rsidRPr="008D428A">
        <w:rPr>
          <w:lang w:val="en-GB"/>
        </w:rPr>
        <w:fldChar w:fldCharType="separate"/>
      </w:r>
      <w:r w:rsidR="004A1D8E" w:rsidRPr="008D428A">
        <w:rPr>
          <w:rFonts w:cs="Arial"/>
        </w:rPr>
        <w:t xml:space="preserve">Tirado and Ancheyta </w:t>
      </w:r>
      <w:r w:rsidR="008D428A" w:rsidRPr="008D428A">
        <w:rPr>
          <w:rFonts w:cs="Arial"/>
        </w:rPr>
        <w:t>(</w:t>
      </w:r>
      <w:r w:rsidR="004A1D8E" w:rsidRPr="008D428A">
        <w:rPr>
          <w:rFonts w:cs="Arial"/>
        </w:rPr>
        <w:t>2020)</w:t>
      </w:r>
      <w:r w:rsidR="004A1D8E" w:rsidRPr="008D428A">
        <w:rPr>
          <w:lang w:val="en-GB"/>
        </w:rPr>
        <w:fldChar w:fldCharType="end"/>
      </w:r>
      <w:r w:rsidR="004A1D8E">
        <w:rPr>
          <w:lang w:val="en-GB"/>
        </w:rPr>
        <w:t xml:space="preserve"> </w:t>
      </w:r>
      <w:r w:rsidRPr="005322A5">
        <w:rPr>
          <w:lang w:val="en-GB"/>
        </w:rPr>
        <w:t>was used to simulate a trickle bed reactor for the hydrotreatment of vegetable oils. The investigation group used kinetics parameters to develop a mathematical model that simulates the hydrotrea</w:t>
      </w:r>
      <w:r w:rsidRPr="005322A5">
        <w:rPr>
          <w:lang w:val="en-GB"/>
        </w:rPr>
        <w:t>tment of Jatropha oil over Ni-W / SiO</w:t>
      </w:r>
      <w:r w:rsidRPr="0043575D">
        <w:rPr>
          <w:vertAlign w:val="subscript"/>
          <w:lang w:val="en-GB"/>
        </w:rPr>
        <w:t>2</w:t>
      </w:r>
      <w:r w:rsidRPr="005322A5">
        <w:rPr>
          <w:lang w:val="en-GB"/>
        </w:rPr>
        <w:t>-Al</w:t>
      </w:r>
      <w:r w:rsidRPr="0043575D">
        <w:rPr>
          <w:vertAlign w:val="subscript"/>
          <w:lang w:val="en-GB"/>
        </w:rPr>
        <w:t>2</w:t>
      </w:r>
      <w:r w:rsidRPr="005322A5">
        <w:rPr>
          <w:lang w:val="en-GB"/>
        </w:rPr>
        <w:t>O</w:t>
      </w:r>
      <w:r w:rsidRPr="0043575D">
        <w:rPr>
          <w:vertAlign w:val="subscript"/>
          <w:lang w:val="en-GB"/>
        </w:rPr>
        <w:t>3</w:t>
      </w:r>
      <w:r w:rsidRPr="005322A5">
        <w:rPr>
          <w:lang w:val="en-GB"/>
        </w:rPr>
        <w:t xml:space="preserve"> catalyst on a bench scale reactor, at 420°C, 8 MPa, hydrogen to oil of 1500 </w:t>
      </w:r>
      <w:proofErr w:type="spellStart"/>
      <w:r w:rsidRPr="005322A5">
        <w:rPr>
          <w:lang w:val="en-GB"/>
        </w:rPr>
        <w:t>Nl</w:t>
      </w:r>
      <w:proofErr w:type="spellEnd"/>
      <w:r w:rsidRPr="005322A5">
        <w:rPr>
          <w:lang w:val="en-GB"/>
        </w:rPr>
        <w:t>/l and wight hourly space-velocity (WHSV) of 1-12 h</w:t>
      </w:r>
      <w:r w:rsidRPr="00AC0FD3">
        <w:rPr>
          <w:vertAlign w:val="superscript"/>
          <w:lang w:val="en-GB"/>
        </w:rPr>
        <w:t>-1</w:t>
      </w:r>
      <w:r w:rsidRPr="005322A5">
        <w:rPr>
          <w:lang w:val="en-GB"/>
        </w:rPr>
        <w:t>. The results of the model were compared with experimental data, getting an acce</w:t>
      </w:r>
      <w:r w:rsidRPr="005322A5">
        <w:rPr>
          <w:lang w:val="en-GB"/>
        </w:rPr>
        <w:t>ptable data fit</w:t>
      </w:r>
      <w:r w:rsidR="00E00181">
        <w:rPr>
          <w:lang w:val="en-GB"/>
        </w:rPr>
        <w:t xml:space="preserve"> </w:t>
      </w:r>
      <w:r w:rsidR="00E00181">
        <w:rPr>
          <w:lang w:val="en-GB"/>
        </w:rPr>
        <w:fldChar w:fldCharType="begin"/>
      </w:r>
      <w:r w:rsidR="004A1D8E">
        <w:rPr>
          <w:lang w:val="en-GB"/>
        </w:rPr>
        <w:instrText xml:space="preserve"> ADDIN ZOTERO_ITEM CSL_CITATION {"citationID":"vnArHqdn","properties":{"formattedCitation":"(Tirado and Ancheyta, 2020)","plainCitation":"(Tirado and Ancheyta, 2020)","noteIndex":0},"citationItems":[{"id":4383,"uris":["http://zotero.org/users/10649518/items/TN4PING4"],"itemData":{"id":4383,"type":"article-journal","abstract":"A dynamic trickle-bed reactor model was developed to predict the behavior of reactive species and products during the catalytic hydrotreating of vegetable oil. The prediction capability of the model was verified with experimental information obtained during the hydrotreating of a jatropha oil at temperature of 420 °C, hydrogen pressure of 80 bar, 1500 Nl/l of H2/oil ratio and WHSV of 1–12 h−1 using a NiW/SiO2–Al2O3 catalyst. The proposed model allows to predict the partial pressure and concentration profiles along the catalytic bed as a function of the time-on-stream. The dynamic simulation results agree with experimental data reported at steady-state conditions. A comparison of experimental data and calculated results provides a correlation coefficient of 0.988.","container-title":"Renewable Energy","issue":"C","language":"en","note":"publisher: Elsevier","page":"790-797","source":"ideas.repec.org","title":"Modeling of a bench-scale fixed-bed reactor for catalytic hydrotreating of vegetable oil","volume":"148","author":[{"family":"Tirado","given":"Alexis"},{"family":"Ancheyta","given":"Jorge"}],"issued":{"date-parts":[["2020"]]}}}],"schema":"https://github.com/citation-style-language/schema/raw/master/csl-citation.json"} </w:instrText>
      </w:r>
      <w:r w:rsidR="00E00181">
        <w:rPr>
          <w:lang w:val="en-GB"/>
        </w:rPr>
        <w:fldChar w:fldCharType="separate"/>
      </w:r>
      <w:r w:rsidR="00E00181" w:rsidRPr="00E00181">
        <w:rPr>
          <w:rFonts w:cs="Arial"/>
        </w:rPr>
        <w:t>(Tirado and Ancheyta, 2020)</w:t>
      </w:r>
      <w:r w:rsidR="00E00181">
        <w:rPr>
          <w:lang w:val="en-GB"/>
        </w:rPr>
        <w:fldChar w:fldCharType="end"/>
      </w:r>
      <w:r w:rsidR="004A1D8E">
        <w:rPr>
          <w:lang w:val="en-GB"/>
        </w:rPr>
        <w:t>.</w:t>
      </w:r>
      <w:r w:rsidR="00AC0FD3">
        <w:rPr>
          <w:lang w:val="en-GB"/>
        </w:rPr>
        <w:t xml:space="preserve"> </w:t>
      </w:r>
      <w:r w:rsidRPr="00BE4E6E">
        <w:rPr>
          <w:lang w:val="en-GB"/>
        </w:rPr>
        <w:t xml:space="preserve">A design of a co-current trickle bed reactor configurated with four catalytic beds and hydrogen </w:t>
      </w:r>
      <w:r w:rsidR="00F4218C">
        <w:rPr>
          <w:lang w:val="en-GB"/>
        </w:rPr>
        <w:t xml:space="preserve">(direct) </w:t>
      </w:r>
      <w:r w:rsidRPr="00BE4E6E">
        <w:rPr>
          <w:lang w:val="en-GB"/>
        </w:rPr>
        <w:t xml:space="preserve">quenching is proposed for the biorefinery. A biorefinery </w:t>
      </w:r>
      <w:r w:rsidRPr="00BE4E6E">
        <w:rPr>
          <w:lang w:val="en-GB"/>
        </w:rPr>
        <w:t>capacity is taken as a model of the design, where 45,000 kg/hr of vegetable oil is processed.</w:t>
      </w:r>
      <w:r>
        <w:rPr>
          <w:lang w:val="en-GB"/>
        </w:rPr>
        <w:t xml:space="preserve"> </w:t>
      </w:r>
      <w:r w:rsidRPr="00BE4E6E">
        <w:rPr>
          <w:lang w:val="en-GB"/>
        </w:rPr>
        <w:t xml:space="preserve">Due to </w:t>
      </w:r>
      <w:proofErr w:type="gramStart"/>
      <w:r w:rsidRPr="00BE4E6E">
        <w:rPr>
          <w:lang w:val="en-GB"/>
        </w:rPr>
        <w:t>a large number of</w:t>
      </w:r>
      <w:proofErr w:type="gramEnd"/>
      <w:r w:rsidRPr="00BE4E6E">
        <w:rPr>
          <w:lang w:val="en-GB"/>
        </w:rPr>
        <w:t xml:space="preserve"> freedom degrees present in the equipment design, parameters were initially set based on literature, while the rest have been calculated b</w:t>
      </w:r>
      <w:r w:rsidRPr="00BE4E6E">
        <w:rPr>
          <w:lang w:val="en-GB"/>
        </w:rPr>
        <w:t>y sensitivity analyses. The fixed variables of the design are</w:t>
      </w:r>
      <w:r>
        <w:rPr>
          <w:lang w:val="en-GB"/>
        </w:rPr>
        <w:t xml:space="preserve"> shown in Table 2.</w:t>
      </w:r>
    </w:p>
    <w:p w14:paraId="46626EB2" w14:textId="641D279C" w:rsidR="00BE4E6E" w:rsidRPr="00B57B36" w:rsidRDefault="005134AB" w:rsidP="00BE4E6E">
      <w:pPr>
        <w:pStyle w:val="CETheadingx"/>
      </w:pPr>
      <w:r>
        <w:t>Purification train design</w:t>
      </w:r>
    </w:p>
    <w:p w14:paraId="69919F7E" w14:textId="1844C974" w:rsidR="00BE2748" w:rsidRDefault="005134AB" w:rsidP="00453E24">
      <w:pPr>
        <w:pStyle w:val="CETBodytext"/>
        <w:rPr>
          <w:lang w:val="en-GB"/>
        </w:rPr>
      </w:pPr>
      <w:r w:rsidRPr="00BE4E6E">
        <w:rPr>
          <w:lang w:val="en-GB"/>
        </w:rPr>
        <w:t>The effluent from the reactor consists of a gas phase and a liquid phase, where the products are located and must be separated</w:t>
      </w:r>
      <w:r w:rsidR="00B97E2B">
        <w:rPr>
          <w:lang w:val="en-GB"/>
        </w:rPr>
        <w:t xml:space="preserve"> (Figure 1)</w:t>
      </w:r>
      <w:r w:rsidRPr="00BE4E6E">
        <w:rPr>
          <w:lang w:val="en-GB"/>
        </w:rPr>
        <w:t>. After cooli</w:t>
      </w:r>
      <w:r w:rsidRPr="00BE4E6E">
        <w:rPr>
          <w:lang w:val="en-GB"/>
        </w:rPr>
        <w:t xml:space="preserve">ng operation in the heat exchangers, the current passes through a partial condenser where three phases are separated: a gas phase, an organic phase that contains diesel products, fatty </w:t>
      </w:r>
      <w:proofErr w:type="gramStart"/>
      <w:r w:rsidRPr="00BE4E6E">
        <w:rPr>
          <w:lang w:val="en-GB"/>
        </w:rPr>
        <w:t>acids</w:t>
      </w:r>
      <w:proofErr w:type="gramEnd"/>
      <w:r w:rsidRPr="00BE4E6E">
        <w:rPr>
          <w:lang w:val="en-GB"/>
        </w:rPr>
        <w:t xml:space="preserve"> and triglycerides non-converted and a water liquid phase.</w:t>
      </w:r>
      <w:r w:rsidR="00B153E5">
        <w:rPr>
          <w:lang w:val="en-GB"/>
        </w:rPr>
        <w:t xml:space="preserve"> </w:t>
      </w:r>
      <w:r w:rsidRPr="00BE4E6E">
        <w:rPr>
          <w:lang w:val="en-GB"/>
        </w:rPr>
        <w:t>Hydroge</w:t>
      </w:r>
      <w:r w:rsidRPr="00BE4E6E">
        <w:rPr>
          <w:lang w:val="en-GB"/>
        </w:rPr>
        <w:t>n is present in excess in the stream; therefore, it must be recovered</w:t>
      </w:r>
      <w:r w:rsidR="00AF6FD3">
        <w:rPr>
          <w:lang w:val="en-GB"/>
        </w:rPr>
        <w:t xml:space="preserve"> by a first</w:t>
      </w:r>
      <w:r w:rsidR="00AF6FD3" w:rsidRPr="00AF6FD3">
        <w:rPr>
          <w:lang w:val="en-GB"/>
        </w:rPr>
        <w:t xml:space="preserve"> partial condenser work</w:t>
      </w:r>
      <w:r w:rsidR="00AF6FD3">
        <w:rPr>
          <w:lang w:val="en-GB"/>
        </w:rPr>
        <w:t>ing</w:t>
      </w:r>
      <w:r w:rsidR="00AF6FD3" w:rsidRPr="00AF6FD3">
        <w:rPr>
          <w:lang w:val="en-GB"/>
        </w:rPr>
        <w:t xml:space="preserve"> at 24 </w:t>
      </w:r>
      <w:proofErr w:type="gramStart"/>
      <w:r w:rsidR="00AF6FD3" w:rsidRPr="00AF6FD3">
        <w:rPr>
          <w:lang w:val="en-GB"/>
        </w:rPr>
        <w:t>bar</w:t>
      </w:r>
      <w:proofErr w:type="gramEnd"/>
      <w:r w:rsidR="00AF6FD3" w:rsidRPr="00AF6FD3">
        <w:rPr>
          <w:lang w:val="en-GB"/>
        </w:rPr>
        <w:t xml:space="preserve">, with a minimum hydrogen recovery </w:t>
      </w:r>
      <w:r w:rsidR="00AF6FD3">
        <w:rPr>
          <w:lang w:val="en-GB"/>
        </w:rPr>
        <w:t>equal to</w:t>
      </w:r>
      <w:r w:rsidR="00AF6FD3" w:rsidRPr="00AF6FD3">
        <w:rPr>
          <w:lang w:val="en-GB"/>
        </w:rPr>
        <w:t xml:space="preserve"> 99</w:t>
      </w:r>
      <w:r w:rsidR="00AF6FD3">
        <w:rPr>
          <w:lang w:val="en-GB"/>
        </w:rPr>
        <w:t>.</w:t>
      </w:r>
      <w:r w:rsidR="00AF6FD3" w:rsidRPr="00AF6FD3">
        <w:rPr>
          <w:lang w:val="en-GB"/>
        </w:rPr>
        <w:t>93%.</w:t>
      </w:r>
      <w:r w:rsidRPr="00BE4E6E">
        <w:rPr>
          <w:lang w:val="en-GB"/>
        </w:rPr>
        <w:t xml:space="preserve"> On the other hand, water must be eliminated to not send excess material flow into the </w:t>
      </w:r>
      <w:r w:rsidR="00AF6FD3" w:rsidRPr="00BE2748">
        <w:rPr>
          <w:lang w:val="en-GB"/>
        </w:rPr>
        <w:t xml:space="preserve">Pressure Swing Adsorption (PSA) </w:t>
      </w:r>
      <w:r w:rsidRPr="00BE4E6E">
        <w:rPr>
          <w:lang w:val="en-GB"/>
        </w:rPr>
        <w:t>unit, which can be separated by density from the organic liquid phase.</w:t>
      </w:r>
      <w:r w:rsidR="00B153E5">
        <w:rPr>
          <w:lang w:val="en-GB"/>
        </w:rPr>
        <w:t xml:space="preserve"> </w:t>
      </w:r>
      <w:r w:rsidRPr="00BE4E6E">
        <w:rPr>
          <w:lang w:val="en-GB"/>
        </w:rPr>
        <w:t>In a typical refinery, a distillation column can be used to separate the product components. Column feed composition is mainly made up of diesel hydrocarbo</w:t>
      </w:r>
      <w:r w:rsidRPr="00BE4E6E">
        <w:rPr>
          <w:lang w:val="en-GB"/>
        </w:rPr>
        <w:t>ns and, to a lesser extent, triglycerides, and fatty acids.</w:t>
      </w:r>
      <w:r w:rsidR="00B153E5">
        <w:rPr>
          <w:lang w:val="en-GB"/>
        </w:rPr>
        <w:t xml:space="preserve"> </w:t>
      </w:r>
      <w:r w:rsidRPr="00BE4E6E">
        <w:rPr>
          <w:lang w:val="en-GB"/>
        </w:rPr>
        <w:t>Next, the operating pressure of the reboiler and condenser are defined. To avoid excessive temperature operation in the reboiler, the column works under vacuum, with a pressure of 0.6 bar at the r</w:t>
      </w:r>
      <w:r w:rsidRPr="00BE4E6E">
        <w:rPr>
          <w:lang w:val="en-GB"/>
        </w:rPr>
        <w:t>eboiler and with a pressure drop in the column of 0.5 bar.</w:t>
      </w:r>
      <w:r w:rsidR="00B153E5">
        <w:rPr>
          <w:lang w:val="en-GB"/>
        </w:rPr>
        <w:t xml:space="preserve"> </w:t>
      </w:r>
      <w:r w:rsidRPr="00BE2748">
        <w:rPr>
          <w:lang w:val="en-GB"/>
        </w:rPr>
        <w:t xml:space="preserve">The </w:t>
      </w:r>
      <w:r w:rsidR="00AF6FD3">
        <w:rPr>
          <w:lang w:val="en-GB"/>
        </w:rPr>
        <w:t xml:space="preserve">PSA </w:t>
      </w:r>
      <w:r w:rsidRPr="00BE2748">
        <w:rPr>
          <w:lang w:val="en-GB"/>
        </w:rPr>
        <w:t>technology is based on the physical binding of gas molecules to adsorbent material. The respective force acting between the gas molecules and the adsorbent material depends on the gas compo</w:t>
      </w:r>
      <w:r w:rsidRPr="00BE2748">
        <w:rPr>
          <w:lang w:val="en-GB"/>
        </w:rPr>
        <w:t xml:space="preserve">nent, type of adsorbent material, partial pressure of the gas component and operating temperature. The separation effect is based on differences in binding forces to the adsorbent material. Highly volatile components with low polarities, such as hydrogen, </w:t>
      </w:r>
      <w:r w:rsidRPr="00BE2748">
        <w:rPr>
          <w:lang w:val="en-GB"/>
        </w:rPr>
        <w:t>are practically non-adsorbable as opposed to molecules such as N</w:t>
      </w:r>
      <w:r w:rsidRPr="00B97E2B">
        <w:rPr>
          <w:vertAlign w:val="subscript"/>
          <w:lang w:val="en-GB"/>
        </w:rPr>
        <w:t>2</w:t>
      </w:r>
      <w:r w:rsidRPr="00BE2748">
        <w:rPr>
          <w:lang w:val="en-GB"/>
        </w:rPr>
        <w:t>, CO, CO</w:t>
      </w:r>
      <w:r w:rsidRPr="00B97E2B">
        <w:rPr>
          <w:vertAlign w:val="subscript"/>
          <w:lang w:val="en-GB"/>
        </w:rPr>
        <w:t>2</w:t>
      </w:r>
      <w:r w:rsidRPr="00BE2748">
        <w:rPr>
          <w:lang w:val="en-GB"/>
        </w:rPr>
        <w:t xml:space="preserve">, hydrocarbons, and water vapor. Consequently, these impurities can be adsorbed from the hydrogen-containing streams and high-purity hydrogen is recovered. </w:t>
      </w:r>
      <w:r w:rsidR="00B153E5">
        <w:rPr>
          <w:lang w:val="en-GB"/>
        </w:rPr>
        <w:t xml:space="preserve"> </w:t>
      </w:r>
      <w:r w:rsidRPr="00BE2748">
        <w:rPr>
          <w:lang w:val="en-GB"/>
        </w:rPr>
        <w:t xml:space="preserve">For the PSA unit design, </w:t>
      </w:r>
      <w:r w:rsidRPr="00BE2748">
        <w:rPr>
          <w:lang w:val="en-GB"/>
        </w:rPr>
        <w:t>a Separation unit in Aspen Plus</w:t>
      </w:r>
      <w:r w:rsidRPr="00B97E2B">
        <w:rPr>
          <w:vertAlign w:val="superscript"/>
          <w:lang w:val="en-GB"/>
        </w:rPr>
        <w:t>®</w:t>
      </w:r>
      <w:r w:rsidRPr="00BE2748">
        <w:rPr>
          <w:lang w:val="en-GB"/>
        </w:rPr>
        <w:t xml:space="preserve"> is selected where references from the work of Giuliano et al are considered. The operation pressure of the PSA unit was fixed equal to the output pressure from the partial condenser separator to avoid compressing the feed g</w:t>
      </w:r>
      <w:r w:rsidRPr="00BE2748">
        <w:rPr>
          <w:lang w:val="en-GB"/>
        </w:rPr>
        <w:t xml:space="preserve">as. A purity of 99.99% is achieved while the recovery is 90% w/w of hydrogen. To size the unit, as far as the bed volume is concerned, a linear relation is used based on the gas flows that are treated in the </w:t>
      </w:r>
      <w:proofErr w:type="gramStart"/>
      <w:r w:rsidRPr="00BE2748">
        <w:rPr>
          <w:lang w:val="en-GB"/>
        </w:rPr>
        <w:t>aforementioned work</w:t>
      </w:r>
      <w:proofErr w:type="gramEnd"/>
      <w:r w:rsidRPr="00BE2748">
        <w:rPr>
          <w:lang w:val="en-GB"/>
        </w:rPr>
        <w:t>.</w:t>
      </w:r>
      <w:r w:rsidR="00544F8A">
        <w:rPr>
          <w:lang w:val="en-GB"/>
        </w:rPr>
        <w:t xml:space="preserve"> T</w:t>
      </w:r>
      <w:r w:rsidR="00544F8A" w:rsidRPr="00544F8A">
        <w:rPr>
          <w:lang w:val="en-GB"/>
        </w:rPr>
        <w:t xml:space="preserve">o design the </w:t>
      </w:r>
      <w:r w:rsidR="00544F8A">
        <w:rPr>
          <w:lang w:val="en-GB"/>
        </w:rPr>
        <w:t xml:space="preserve">distillation column by a </w:t>
      </w:r>
      <w:proofErr w:type="spellStart"/>
      <w:r w:rsidR="00544F8A">
        <w:rPr>
          <w:lang w:val="en-GB"/>
        </w:rPr>
        <w:t>RadFrac</w:t>
      </w:r>
      <w:proofErr w:type="spellEnd"/>
      <w:r w:rsidR="00544F8A" w:rsidRPr="00544F8A">
        <w:rPr>
          <w:lang w:val="en-GB"/>
        </w:rPr>
        <w:t xml:space="preserve"> unit</w:t>
      </w:r>
      <w:r w:rsidR="00544F8A">
        <w:rPr>
          <w:lang w:val="en-GB"/>
        </w:rPr>
        <w:t>, a</w:t>
      </w:r>
      <w:r w:rsidR="00544F8A" w:rsidRPr="00544F8A">
        <w:rPr>
          <w:lang w:val="en-GB"/>
        </w:rPr>
        <w:t xml:space="preserve"> recovery and purity rate equal to or greater than 99 % w/w </w:t>
      </w:r>
      <w:r w:rsidR="00544F8A">
        <w:rPr>
          <w:lang w:val="en-GB"/>
        </w:rPr>
        <w:t>wa</w:t>
      </w:r>
      <w:r w:rsidR="00544F8A" w:rsidRPr="00544F8A">
        <w:rPr>
          <w:lang w:val="en-GB"/>
        </w:rPr>
        <w:t xml:space="preserve">s established. The main hydrocarbons present </w:t>
      </w:r>
      <w:r w:rsidR="00544F8A">
        <w:rPr>
          <w:lang w:val="en-GB"/>
        </w:rPr>
        <w:t>wer</w:t>
      </w:r>
      <w:r w:rsidR="00544F8A" w:rsidRPr="00544F8A">
        <w:rPr>
          <w:lang w:val="en-GB"/>
        </w:rPr>
        <w:t xml:space="preserve">e N-Octadecane, N-Heptadecane, N-Hexadecane and N-Pentadecane. These hydrocarbons </w:t>
      </w:r>
      <w:r w:rsidR="00544F8A">
        <w:rPr>
          <w:lang w:val="en-GB"/>
        </w:rPr>
        <w:t>can</w:t>
      </w:r>
      <w:r w:rsidR="00544F8A" w:rsidRPr="00544F8A">
        <w:rPr>
          <w:lang w:val="en-GB"/>
        </w:rPr>
        <w:t xml:space="preserve"> be recovered in the distillate while the heavy components, triglycerides, and fatty acids, undergoes in the bottom zone.</w:t>
      </w:r>
      <w:r w:rsidR="00544F8A">
        <w:rPr>
          <w:lang w:val="en-GB"/>
        </w:rPr>
        <w:t xml:space="preserve"> </w:t>
      </w:r>
      <w:r w:rsidRPr="00BE2748">
        <w:rPr>
          <w:lang w:val="en-GB"/>
        </w:rPr>
        <w:t>Once the process flowsheet is completed, energy analysis is performed to minimize energy consumption and reduce operating costs.</w:t>
      </w:r>
    </w:p>
    <w:p w14:paraId="67530709" w14:textId="77777777" w:rsidR="00B153E5" w:rsidRPr="00B57B36" w:rsidRDefault="005134AB" w:rsidP="00B153E5">
      <w:pPr>
        <w:pStyle w:val="CETCaption"/>
      </w:pPr>
      <w:r>
        <w:rPr>
          <w:noProof/>
        </w:rPr>
        <w:lastRenderedPageBreak/>
        <w:drawing>
          <wp:inline distT="0" distB="0" distL="0" distR="0" wp14:anchorId="5652E327" wp14:editId="44E142DB">
            <wp:extent cx="4877435" cy="1359535"/>
            <wp:effectExtent l="0" t="0" r="0" b="0"/>
            <wp:docPr id="3" name="Immagine 3"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diagramma&#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77435" cy="1359535"/>
                    </a:xfrm>
                    <a:prstGeom prst="rect">
                      <a:avLst/>
                    </a:prstGeom>
                    <a:noFill/>
                  </pic:spPr>
                </pic:pic>
              </a:graphicData>
            </a:graphic>
          </wp:inline>
        </w:drawing>
      </w:r>
    </w:p>
    <w:p w14:paraId="7741C440" w14:textId="77777777" w:rsidR="00B153E5" w:rsidRPr="00BD077D" w:rsidRDefault="005134AB" w:rsidP="00B153E5">
      <w:pPr>
        <w:pStyle w:val="CETCaption"/>
      </w:pPr>
      <w:r w:rsidRPr="00BD077D">
        <w:rPr>
          <w:rStyle w:val="CETCaptionCarattere"/>
          <w:i/>
        </w:rPr>
        <w:t xml:space="preserve">Figure 1: </w:t>
      </w:r>
      <w:r w:rsidRPr="005322A5">
        <w:rPr>
          <w:rStyle w:val="CETCaptionCarattere"/>
          <w:i/>
        </w:rPr>
        <w:t xml:space="preserve">Design sequence of the </w:t>
      </w:r>
      <w:r w:rsidRPr="005322A5">
        <w:rPr>
          <w:rStyle w:val="CETCaptionCarattere"/>
          <w:i/>
        </w:rPr>
        <w:t>green diesel production process</w:t>
      </w:r>
    </w:p>
    <w:p w14:paraId="677EBFF0" w14:textId="38B97FD7" w:rsidR="00600535" w:rsidRPr="00B57B36" w:rsidRDefault="005134AB" w:rsidP="00600535">
      <w:pPr>
        <w:pStyle w:val="CETHeading1"/>
        <w:tabs>
          <w:tab w:val="clear" w:pos="360"/>
          <w:tab w:val="right" w:pos="7100"/>
        </w:tabs>
        <w:jc w:val="both"/>
        <w:rPr>
          <w:lang w:val="en-GB"/>
        </w:rPr>
      </w:pPr>
      <w:r w:rsidRPr="00BE2748">
        <w:rPr>
          <w:lang w:val="en-GB"/>
        </w:rPr>
        <w:t>Economic analysis</w:t>
      </w:r>
    </w:p>
    <w:p w14:paraId="3A785072" w14:textId="2525E7EF" w:rsidR="00BE2748" w:rsidRDefault="005134AB" w:rsidP="00BE2748">
      <w:pPr>
        <w:pStyle w:val="CETBodytext"/>
        <w:rPr>
          <w:lang w:val="en-GB"/>
        </w:rPr>
      </w:pPr>
      <w:r w:rsidRPr="00BE2748">
        <w:rPr>
          <w:lang w:val="en-GB"/>
        </w:rPr>
        <w:t>Cash flows are defined as the net passage of money within or outside a company, due to investments while depreciation is the reduction in the value of an asset. Depreciation is calculated with a linear mode</w:t>
      </w:r>
      <w:r w:rsidRPr="00BE2748">
        <w:rPr>
          <w:lang w:val="en-GB"/>
        </w:rPr>
        <w:t>l and is treated as a cost of production although it is not a current cash flow for the company. The net present value (NPV) method represents the comparison of the present worth of all cash inflows to the present worth of all cash outflows associated with</w:t>
      </w:r>
      <w:r w:rsidRPr="00BE2748">
        <w:rPr>
          <w:lang w:val="en-GB"/>
        </w:rPr>
        <w:t xml:space="preserve"> the investment project.</w:t>
      </w:r>
      <w:r w:rsidR="0052031F">
        <w:rPr>
          <w:lang w:val="en-GB"/>
        </w:rPr>
        <w:t xml:space="preserve"> </w:t>
      </w:r>
      <w:r w:rsidRPr="00BE2748">
        <w:rPr>
          <w:lang w:val="en-GB"/>
        </w:rPr>
        <w:t>Because some market information is missing to develop the present project, this presents some uncertain variables. To understand better the effects of the uncertain variables and determine a maximum market oil price, where upper th</w:t>
      </w:r>
      <w:r w:rsidRPr="00BE2748">
        <w:rPr>
          <w:lang w:val="en-GB"/>
        </w:rPr>
        <w:t>is limit the project would not be economically attractive, an impact analysis is performed in this study, based on the impact variation of one uncertain variable on the NPV</w:t>
      </w:r>
      <w:r>
        <w:rPr>
          <w:lang w:val="en-GB"/>
        </w:rPr>
        <w:t>.</w:t>
      </w:r>
    </w:p>
    <w:p w14:paraId="68D26B83" w14:textId="05BC603C" w:rsidR="00600535" w:rsidRPr="00B57B36" w:rsidRDefault="005134AB" w:rsidP="00600535">
      <w:pPr>
        <w:pStyle w:val="CETHeading1"/>
        <w:rPr>
          <w:lang w:val="en-GB"/>
        </w:rPr>
      </w:pPr>
      <w:r>
        <w:rPr>
          <w:lang w:val="en-GB"/>
        </w:rPr>
        <w:t>Results and discussion</w:t>
      </w:r>
    </w:p>
    <w:p w14:paraId="624C6B1C" w14:textId="37BF6CD1" w:rsidR="009C3E99" w:rsidRPr="00813FC2" w:rsidRDefault="005134AB" w:rsidP="009C3E99">
      <w:pPr>
        <w:pStyle w:val="CETheadingx"/>
      </w:pPr>
      <w:r w:rsidRPr="00813FC2">
        <w:t>Reactor optimization and performances</w:t>
      </w:r>
    </w:p>
    <w:p w14:paraId="243536A3" w14:textId="6B714362" w:rsidR="009C3E99" w:rsidRDefault="005134AB" w:rsidP="00600535">
      <w:pPr>
        <w:pStyle w:val="CETBodytext"/>
        <w:rPr>
          <w:lang w:val="en-GB"/>
        </w:rPr>
      </w:pPr>
      <w:r w:rsidRPr="00813FC2">
        <w:rPr>
          <w:lang w:val="en-GB"/>
        </w:rPr>
        <w:t>As the length increas</w:t>
      </w:r>
      <w:r w:rsidRPr="00813FC2">
        <w:rPr>
          <w:lang w:val="en-GB"/>
        </w:rPr>
        <w:t>es, catalyst loading increases, resulting in a higher conversion of triglycerides. Moreover, as more catalyst is present in the reactor, also increases the permanence time of reactants and the conversion of diesel fraction to lighter fractions increases, t</w:t>
      </w:r>
      <w:r w:rsidRPr="00813FC2">
        <w:rPr>
          <w:lang w:val="en-GB"/>
        </w:rPr>
        <w:t>hereby decreasing the parameter kg diesel/ kg catalyst. A meeting point between these two conditions can be found at 10.75 m. While processing the information of other oils, the same total reactor length was found. This can be explained because the kinetic</w:t>
      </w:r>
      <w:r w:rsidRPr="00813FC2">
        <w:rPr>
          <w:lang w:val="en-GB"/>
        </w:rPr>
        <w:t xml:space="preserve"> model is a lumped model, where temperature and space velocity are the main variables that control the model. From these results, it is selected to have a biorefinery where the reactor has fixed dimensions and only feeding conditions, hydrogen mass flow an</w:t>
      </w:r>
      <w:r w:rsidRPr="00813FC2">
        <w:rPr>
          <w:lang w:val="en-GB"/>
        </w:rPr>
        <w:t>d hydrogen inlet temperature change. The final configuration and catalyst parameters are presented in table 4.</w:t>
      </w:r>
      <w:r w:rsidR="00B153E5" w:rsidRPr="00813FC2">
        <w:rPr>
          <w:lang w:val="en-GB"/>
        </w:rPr>
        <w:t xml:space="preserve"> </w:t>
      </w:r>
      <w:r w:rsidRPr="00813FC2">
        <w:rPr>
          <w:lang w:val="en-GB"/>
        </w:rPr>
        <w:t>Results presented in table 5 show a molar conversion of triglycerides above 97% and overall mass yield into diesel fraction above 79%. The highes</w:t>
      </w:r>
      <w:r w:rsidRPr="00813FC2">
        <w:rPr>
          <w:lang w:val="en-GB"/>
        </w:rPr>
        <w:t>t requirement for hydrogen in treated oils follows the next order: Soybean</w:t>
      </w:r>
      <w:r w:rsidRPr="009C3E99">
        <w:rPr>
          <w:lang w:val="en-GB"/>
        </w:rPr>
        <w:t xml:space="preserve"> &gt; Sunflower &gt; Cardoon &gt; Palm. This is because the greater number of unsaturation present, the greater the exothermicity of the reaction. Thus, more hydrogen is required to saturate </w:t>
      </w:r>
      <w:r w:rsidRPr="009C3E99">
        <w:rPr>
          <w:lang w:val="en-GB"/>
        </w:rPr>
        <w:t>the double bonds and more used as a cooling agent in the quenching. The diesel product distribution consists of a range of C</w:t>
      </w:r>
      <w:r w:rsidRPr="009C3E99">
        <w:rPr>
          <w:vertAlign w:val="subscript"/>
          <w:lang w:val="en-GB"/>
        </w:rPr>
        <w:t>15</w:t>
      </w:r>
      <w:r w:rsidRPr="009C3E99">
        <w:rPr>
          <w:lang w:val="en-GB"/>
        </w:rPr>
        <w:t xml:space="preserve"> to C</w:t>
      </w:r>
      <w:r w:rsidRPr="009C3E99">
        <w:rPr>
          <w:vertAlign w:val="subscript"/>
          <w:lang w:val="en-GB"/>
        </w:rPr>
        <w:t>18</w:t>
      </w:r>
      <w:r w:rsidRPr="009C3E99">
        <w:rPr>
          <w:lang w:val="en-GB"/>
        </w:rPr>
        <w:t xml:space="preserve">. Decarboxylation and </w:t>
      </w:r>
      <w:proofErr w:type="spellStart"/>
      <w:r w:rsidRPr="009C3E99">
        <w:rPr>
          <w:lang w:val="en-GB"/>
        </w:rPr>
        <w:t>decarbonylation</w:t>
      </w:r>
      <w:proofErr w:type="spellEnd"/>
      <w:r w:rsidRPr="009C3E99">
        <w:rPr>
          <w:lang w:val="en-GB"/>
        </w:rPr>
        <w:t xml:space="preserve"> reactions predominate over hydrodeoxygenation reactions, where the ratio C17/C18 and </w:t>
      </w:r>
      <w:r w:rsidRPr="009C3E99">
        <w:rPr>
          <w:lang w:val="en-GB"/>
        </w:rPr>
        <w:t>C15/C16 are equal to 1.89 and 1.88 respectively.</w:t>
      </w:r>
    </w:p>
    <w:p w14:paraId="36F64E02" w14:textId="77777777" w:rsidR="00B153E5" w:rsidRPr="00813FC2" w:rsidRDefault="005134AB" w:rsidP="00B153E5">
      <w:pPr>
        <w:pStyle w:val="CETheadingx"/>
      </w:pPr>
      <w:r w:rsidRPr="00813FC2">
        <w:t>Green diesel purification and heat integration results</w:t>
      </w:r>
    </w:p>
    <w:p w14:paraId="548CEC35" w14:textId="077962B7" w:rsidR="0052031F" w:rsidRDefault="005134AB" w:rsidP="0052031F">
      <w:pPr>
        <w:pStyle w:val="CETBodytext"/>
        <w:rPr>
          <w:lang w:val="en-GB"/>
        </w:rPr>
      </w:pPr>
      <w:r w:rsidRPr="00813FC2">
        <w:rPr>
          <w:lang w:val="en-GB"/>
        </w:rPr>
        <w:t>The main results consist of energy performances of the distillation column recovering the green diesel of more than 99%. The reboiler duties obtained af</w:t>
      </w:r>
      <w:r w:rsidRPr="00813FC2">
        <w:rPr>
          <w:lang w:val="en-GB"/>
        </w:rPr>
        <w:t xml:space="preserve">ter optimization resulted in the range of 11.35 – 11.79 MW. Of those, 100 % of thermal energy was derived by off-gases burner, generating more than 35 </w:t>
      </w:r>
      <w:proofErr w:type="spellStart"/>
      <w:r w:rsidRPr="00813FC2">
        <w:rPr>
          <w:lang w:val="en-GB"/>
        </w:rPr>
        <w:t>MWt</w:t>
      </w:r>
      <w:proofErr w:type="spellEnd"/>
      <w:r w:rsidRPr="00813FC2">
        <w:rPr>
          <w:lang w:val="en-GB"/>
        </w:rPr>
        <w:t xml:space="preserve"> by HP steam generation. The condenser duties resulted in the</w:t>
      </w:r>
      <w:r>
        <w:rPr>
          <w:lang w:val="en-GB"/>
        </w:rPr>
        <w:t xml:space="preserve"> range 8.23 – 8.44 MW, together with the </w:t>
      </w:r>
      <w:r>
        <w:rPr>
          <w:lang w:val="en-GB"/>
        </w:rPr>
        <w:t xml:space="preserve">flue gases cooling making necessary </w:t>
      </w:r>
      <w:r w:rsidR="0052031F">
        <w:rPr>
          <w:lang w:val="en-GB"/>
        </w:rPr>
        <w:t>cooling water and refrigerant as utilities (range 40.10 – 45.36 MW). Electricity generated by gas turbines was</w:t>
      </w:r>
      <w:r w:rsidR="0052031F" w:rsidRPr="0052031F">
        <w:rPr>
          <w:lang w:val="en-GB"/>
        </w:rPr>
        <w:t xml:space="preserve"> </w:t>
      </w:r>
      <w:r w:rsidR="0052031F">
        <w:rPr>
          <w:lang w:val="en-GB"/>
        </w:rPr>
        <w:t>absorbed by compressors and other electric utilities.</w:t>
      </w:r>
    </w:p>
    <w:p w14:paraId="52D7C999" w14:textId="77777777" w:rsidR="00813FC2" w:rsidRPr="00B57B36" w:rsidRDefault="005134AB" w:rsidP="00813FC2">
      <w:pPr>
        <w:pStyle w:val="CETTabletitle"/>
      </w:pPr>
      <w:r w:rsidRPr="00B57B36">
        <w:t xml:space="preserve">Table </w:t>
      </w:r>
      <w:r>
        <w:t>4</w:t>
      </w:r>
      <w:r w:rsidRPr="00B57B36">
        <w:t xml:space="preserve">: </w:t>
      </w:r>
      <w:r>
        <w:t>Reactor design results.</w:t>
      </w:r>
    </w:p>
    <w:tbl>
      <w:tblPr>
        <w:tblW w:w="242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45"/>
        <w:gridCol w:w="708"/>
      </w:tblGrid>
      <w:tr w:rsidR="00AC7854" w14:paraId="2B1D43CB" w14:textId="77777777" w:rsidTr="00660184">
        <w:tc>
          <w:tcPr>
            <w:tcW w:w="4168" w:type="pct"/>
            <w:tcBorders>
              <w:top w:val="single" w:sz="12" w:space="0" w:color="008000"/>
              <w:bottom w:val="single" w:sz="6" w:space="0" w:color="008000"/>
            </w:tcBorders>
            <w:shd w:val="clear" w:color="auto" w:fill="FFFFFF"/>
          </w:tcPr>
          <w:p w14:paraId="3B5DDF87" w14:textId="77777777" w:rsidR="00813FC2" w:rsidRPr="00B57B36" w:rsidRDefault="005134AB" w:rsidP="00660184">
            <w:pPr>
              <w:pStyle w:val="CETBodytext"/>
              <w:jc w:val="center"/>
              <w:rPr>
                <w:lang w:val="en-GB"/>
              </w:rPr>
            </w:pPr>
            <w:r>
              <w:rPr>
                <w:lang w:val="en-GB"/>
              </w:rPr>
              <w:t>Design parameter</w:t>
            </w:r>
          </w:p>
        </w:tc>
        <w:tc>
          <w:tcPr>
            <w:tcW w:w="832" w:type="pct"/>
            <w:tcBorders>
              <w:top w:val="single" w:sz="12" w:space="0" w:color="008000"/>
              <w:bottom w:val="single" w:sz="6" w:space="0" w:color="008000"/>
            </w:tcBorders>
            <w:shd w:val="clear" w:color="auto" w:fill="FFFFFF"/>
          </w:tcPr>
          <w:p w14:paraId="1B551BEE" w14:textId="77777777" w:rsidR="00813FC2" w:rsidRPr="00B57B36" w:rsidRDefault="005134AB" w:rsidP="00660184">
            <w:pPr>
              <w:pStyle w:val="CETBodytext"/>
              <w:rPr>
                <w:lang w:val="en-GB"/>
              </w:rPr>
            </w:pPr>
            <w:r>
              <w:rPr>
                <w:lang w:val="en-GB"/>
              </w:rPr>
              <w:t>Value</w:t>
            </w:r>
          </w:p>
        </w:tc>
      </w:tr>
      <w:tr w:rsidR="00AC7854" w14:paraId="30962A22" w14:textId="77777777" w:rsidTr="00660184">
        <w:tc>
          <w:tcPr>
            <w:tcW w:w="4168" w:type="pct"/>
            <w:shd w:val="clear" w:color="auto" w:fill="FFFFFF"/>
          </w:tcPr>
          <w:p w14:paraId="1CBE7D6B" w14:textId="77777777" w:rsidR="00813FC2" w:rsidRPr="00B57B36" w:rsidRDefault="005134AB" w:rsidP="00660184">
            <w:pPr>
              <w:pStyle w:val="CETBodytext"/>
              <w:rPr>
                <w:lang w:val="en-GB"/>
              </w:rPr>
            </w:pPr>
            <w:r>
              <w:rPr>
                <w:lang w:val="en-GB"/>
              </w:rPr>
              <w:t>Length 2</w:t>
            </w:r>
            <w:r w:rsidRPr="00BE2748">
              <w:rPr>
                <w:vertAlign w:val="superscript"/>
                <w:lang w:val="en-GB"/>
              </w:rPr>
              <w:t>nd</w:t>
            </w:r>
            <w:r>
              <w:rPr>
                <w:lang w:val="en-GB"/>
              </w:rPr>
              <w:t xml:space="preserve"> loading (m)</w:t>
            </w:r>
          </w:p>
        </w:tc>
        <w:tc>
          <w:tcPr>
            <w:tcW w:w="832" w:type="pct"/>
            <w:shd w:val="clear" w:color="auto" w:fill="FFFFFF"/>
          </w:tcPr>
          <w:p w14:paraId="52DE2DF6" w14:textId="77777777" w:rsidR="00813FC2" w:rsidRPr="00B57B36" w:rsidRDefault="005134AB" w:rsidP="00660184">
            <w:pPr>
              <w:pStyle w:val="CETBodytext"/>
              <w:rPr>
                <w:lang w:val="en-GB"/>
              </w:rPr>
            </w:pPr>
            <w:r>
              <w:rPr>
                <w:lang w:val="en-GB"/>
              </w:rPr>
              <w:t>2.50</w:t>
            </w:r>
          </w:p>
        </w:tc>
      </w:tr>
      <w:tr w:rsidR="00AC7854" w14:paraId="52985ACB" w14:textId="77777777" w:rsidTr="00660184">
        <w:tc>
          <w:tcPr>
            <w:tcW w:w="4168" w:type="pct"/>
            <w:shd w:val="clear" w:color="auto" w:fill="FFFFFF"/>
          </w:tcPr>
          <w:p w14:paraId="0BDB262F" w14:textId="77777777" w:rsidR="00813FC2" w:rsidRPr="00B57B36" w:rsidRDefault="005134AB" w:rsidP="00660184">
            <w:pPr>
              <w:pStyle w:val="CETBodytext"/>
              <w:ind w:right="-1"/>
              <w:rPr>
                <w:rFonts w:cs="Arial"/>
                <w:szCs w:val="18"/>
                <w:lang w:val="en-GB"/>
              </w:rPr>
            </w:pPr>
            <w:r>
              <w:rPr>
                <w:lang w:val="en-GB"/>
              </w:rPr>
              <w:t>Length 3</w:t>
            </w:r>
            <w:r>
              <w:rPr>
                <w:vertAlign w:val="superscript"/>
                <w:lang w:val="en-GB"/>
              </w:rPr>
              <w:t>rd</w:t>
            </w:r>
            <w:r>
              <w:rPr>
                <w:lang w:val="en-GB"/>
              </w:rPr>
              <w:t xml:space="preserve"> loading (m)</w:t>
            </w:r>
          </w:p>
        </w:tc>
        <w:tc>
          <w:tcPr>
            <w:tcW w:w="832" w:type="pct"/>
            <w:shd w:val="clear" w:color="auto" w:fill="FFFFFF"/>
          </w:tcPr>
          <w:p w14:paraId="715485A7" w14:textId="77777777" w:rsidR="00813FC2" w:rsidRPr="00B57B36" w:rsidRDefault="005134AB" w:rsidP="00660184">
            <w:pPr>
              <w:pStyle w:val="CETBodytext"/>
              <w:ind w:right="-1"/>
              <w:rPr>
                <w:rFonts w:cs="Arial"/>
                <w:szCs w:val="18"/>
                <w:lang w:val="en-GB"/>
              </w:rPr>
            </w:pPr>
            <w:r>
              <w:rPr>
                <w:rFonts w:cs="Arial"/>
                <w:szCs w:val="18"/>
                <w:lang w:val="en-GB"/>
              </w:rPr>
              <w:t>3.00</w:t>
            </w:r>
          </w:p>
        </w:tc>
      </w:tr>
      <w:tr w:rsidR="00AC7854" w14:paraId="35C736A5" w14:textId="77777777" w:rsidTr="00660184">
        <w:tc>
          <w:tcPr>
            <w:tcW w:w="4168" w:type="pct"/>
            <w:shd w:val="clear" w:color="auto" w:fill="FFFFFF"/>
          </w:tcPr>
          <w:p w14:paraId="39DFF2CA" w14:textId="77777777" w:rsidR="00813FC2" w:rsidRPr="00B57B36" w:rsidRDefault="005134AB" w:rsidP="00660184">
            <w:pPr>
              <w:pStyle w:val="CETBodytext"/>
              <w:ind w:right="-1"/>
              <w:rPr>
                <w:rFonts w:cs="Arial"/>
                <w:szCs w:val="18"/>
                <w:lang w:val="en-GB"/>
              </w:rPr>
            </w:pPr>
            <w:r>
              <w:rPr>
                <w:lang w:val="en-GB"/>
              </w:rPr>
              <w:t>Length 4</w:t>
            </w:r>
            <w:r>
              <w:rPr>
                <w:vertAlign w:val="superscript"/>
                <w:lang w:val="en-GB"/>
              </w:rPr>
              <w:t>th</w:t>
            </w:r>
            <w:r>
              <w:rPr>
                <w:lang w:val="en-GB"/>
              </w:rPr>
              <w:t xml:space="preserve"> loading (m)</w:t>
            </w:r>
          </w:p>
        </w:tc>
        <w:tc>
          <w:tcPr>
            <w:tcW w:w="832" w:type="pct"/>
            <w:shd w:val="clear" w:color="auto" w:fill="FFFFFF"/>
          </w:tcPr>
          <w:p w14:paraId="5F720F70" w14:textId="77777777" w:rsidR="00813FC2" w:rsidRPr="00B57B36" w:rsidRDefault="005134AB" w:rsidP="00660184">
            <w:pPr>
              <w:pStyle w:val="CETBodytext"/>
              <w:ind w:right="-1"/>
              <w:rPr>
                <w:rFonts w:cs="Arial"/>
                <w:szCs w:val="18"/>
                <w:lang w:val="en-GB"/>
              </w:rPr>
            </w:pPr>
            <w:r>
              <w:rPr>
                <w:rFonts w:cs="Arial"/>
                <w:szCs w:val="18"/>
                <w:lang w:val="en-GB"/>
              </w:rPr>
              <w:t>3.25</w:t>
            </w:r>
          </w:p>
        </w:tc>
      </w:tr>
      <w:tr w:rsidR="00AC7854" w14:paraId="2FE998DC" w14:textId="77777777" w:rsidTr="00660184">
        <w:tc>
          <w:tcPr>
            <w:tcW w:w="4168" w:type="pct"/>
            <w:shd w:val="clear" w:color="auto" w:fill="FFFFFF"/>
          </w:tcPr>
          <w:p w14:paraId="3688348E" w14:textId="77777777" w:rsidR="00813FC2" w:rsidRPr="00BE4E6E" w:rsidRDefault="005134AB" w:rsidP="00660184">
            <w:pPr>
              <w:pStyle w:val="CETBodytext"/>
              <w:ind w:right="-1"/>
              <w:rPr>
                <w:rFonts w:cs="Arial"/>
                <w:szCs w:val="18"/>
                <w:lang w:val="en-GB"/>
              </w:rPr>
            </w:pPr>
            <w:r>
              <w:t>Catalysts loading (kg)</w:t>
            </w:r>
          </w:p>
        </w:tc>
        <w:tc>
          <w:tcPr>
            <w:tcW w:w="832" w:type="pct"/>
            <w:shd w:val="clear" w:color="auto" w:fill="FFFFFF"/>
          </w:tcPr>
          <w:p w14:paraId="2254F28C" w14:textId="77777777" w:rsidR="00813FC2" w:rsidRDefault="005134AB" w:rsidP="00660184">
            <w:pPr>
              <w:pStyle w:val="CETBodytext"/>
              <w:ind w:right="-1"/>
              <w:rPr>
                <w:rFonts w:cs="Arial"/>
                <w:szCs w:val="18"/>
                <w:lang w:val="en-GB"/>
              </w:rPr>
            </w:pPr>
            <w:r>
              <w:rPr>
                <w:rFonts w:cs="Arial"/>
                <w:szCs w:val="18"/>
                <w:lang w:val="en-GB"/>
              </w:rPr>
              <w:t>14’544</w:t>
            </w:r>
          </w:p>
        </w:tc>
      </w:tr>
      <w:tr w:rsidR="00AC7854" w14:paraId="72B896B2" w14:textId="77777777" w:rsidTr="00660184">
        <w:tc>
          <w:tcPr>
            <w:tcW w:w="4168" w:type="pct"/>
            <w:shd w:val="clear" w:color="auto" w:fill="FFFFFF"/>
          </w:tcPr>
          <w:p w14:paraId="2F9A0C03" w14:textId="77777777" w:rsidR="00813FC2" w:rsidRPr="00B57B36" w:rsidRDefault="005134AB" w:rsidP="00660184">
            <w:pPr>
              <w:pStyle w:val="CETBodytext"/>
              <w:ind w:right="-1"/>
              <w:rPr>
                <w:rFonts w:cs="Arial"/>
                <w:szCs w:val="18"/>
                <w:lang w:val="en-GB"/>
              </w:rPr>
            </w:pPr>
            <w:r>
              <w:t>WHSV (h</w:t>
            </w:r>
            <w:r w:rsidRPr="006B450C">
              <w:rPr>
                <w:vertAlign w:val="superscript"/>
              </w:rPr>
              <w:t>-1</w:t>
            </w:r>
            <w:r>
              <w:t>)</w:t>
            </w:r>
          </w:p>
        </w:tc>
        <w:tc>
          <w:tcPr>
            <w:tcW w:w="832" w:type="pct"/>
            <w:shd w:val="clear" w:color="auto" w:fill="FFFFFF"/>
          </w:tcPr>
          <w:p w14:paraId="43CB8BA2" w14:textId="77777777" w:rsidR="00813FC2" w:rsidRPr="00B57B36" w:rsidRDefault="005134AB" w:rsidP="00660184">
            <w:pPr>
              <w:pStyle w:val="CETBodytext"/>
              <w:ind w:right="-1"/>
              <w:rPr>
                <w:rFonts w:cs="Arial"/>
                <w:szCs w:val="18"/>
                <w:lang w:val="en-GB"/>
              </w:rPr>
            </w:pPr>
            <w:r>
              <w:t>3.09</w:t>
            </w:r>
          </w:p>
        </w:tc>
      </w:tr>
    </w:tbl>
    <w:p w14:paraId="606020BD" w14:textId="77777777" w:rsidR="00813FC2" w:rsidRPr="00B57B36" w:rsidRDefault="005134AB" w:rsidP="00813FC2">
      <w:pPr>
        <w:pStyle w:val="CETTabletitle"/>
      </w:pPr>
      <w:r w:rsidRPr="00B57B36">
        <w:lastRenderedPageBreak/>
        <w:t xml:space="preserve">Table </w:t>
      </w:r>
      <w:r>
        <w:t>5</w:t>
      </w:r>
      <w:r w:rsidRPr="00B57B36">
        <w:t xml:space="preserve">: </w:t>
      </w:r>
      <w:r>
        <w:t xml:space="preserve">Reaction </w:t>
      </w:r>
      <w:r>
        <w:t>results for different vegetable oils.</w:t>
      </w:r>
    </w:p>
    <w:tbl>
      <w:tblPr>
        <w:tblW w:w="3627"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06"/>
        <w:gridCol w:w="711"/>
        <w:gridCol w:w="801"/>
        <w:gridCol w:w="665"/>
        <w:gridCol w:w="691"/>
      </w:tblGrid>
      <w:tr w:rsidR="00AC7854" w14:paraId="495C23C5" w14:textId="77777777" w:rsidTr="00660184">
        <w:tc>
          <w:tcPr>
            <w:tcW w:w="2749" w:type="pct"/>
            <w:tcBorders>
              <w:top w:val="single" w:sz="12" w:space="0" w:color="008000"/>
              <w:bottom w:val="single" w:sz="6" w:space="0" w:color="008000"/>
            </w:tcBorders>
            <w:shd w:val="clear" w:color="auto" w:fill="FFFFFF"/>
          </w:tcPr>
          <w:p w14:paraId="62D4E5F9" w14:textId="77777777" w:rsidR="00813FC2" w:rsidRPr="00B57B36" w:rsidRDefault="005134AB" w:rsidP="00660184">
            <w:pPr>
              <w:pStyle w:val="CETBodytext"/>
              <w:jc w:val="center"/>
              <w:rPr>
                <w:lang w:val="en-GB"/>
              </w:rPr>
            </w:pPr>
            <w:r>
              <w:rPr>
                <w:lang w:val="en-GB"/>
              </w:rPr>
              <w:t>Process results</w:t>
            </w:r>
          </w:p>
        </w:tc>
        <w:tc>
          <w:tcPr>
            <w:tcW w:w="558" w:type="pct"/>
            <w:tcBorders>
              <w:top w:val="single" w:sz="12" w:space="0" w:color="008000"/>
              <w:bottom w:val="single" w:sz="6" w:space="0" w:color="008000"/>
            </w:tcBorders>
            <w:shd w:val="clear" w:color="auto" w:fill="FFFFFF"/>
          </w:tcPr>
          <w:p w14:paraId="1C877034" w14:textId="77777777" w:rsidR="00813FC2" w:rsidRPr="00B57B36" w:rsidRDefault="005134AB" w:rsidP="00660184">
            <w:pPr>
              <w:pStyle w:val="CETBodytext"/>
              <w:rPr>
                <w:lang w:val="en-GB"/>
              </w:rPr>
            </w:pPr>
            <w:r>
              <w:rPr>
                <w:lang w:val="en-GB"/>
              </w:rPr>
              <w:t>Soybean</w:t>
            </w:r>
          </w:p>
        </w:tc>
        <w:tc>
          <w:tcPr>
            <w:tcW w:w="628" w:type="pct"/>
            <w:tcBorders>
              <w:top w:val="single" w:sz="12" w:space="0" w:color="008000"/>
              <w:bottom w:val="single" w:sz="6" w:space="0" w:color="008000"/>
            </w:tcBorders>
            <w:shd w:val="clear" w:color="auto" w:fill="FFFFFF"/>
          </w:tcPr>
          <w:p w14:paraId="12E84034" w14:textId="77777777" w:rsidR="00813FC2" w:rsidRDefault="005134AB" w:rsidP="00660184">
            <w:pPr>
              <w:pStyle w:val="CETBodytext"/>
              <w:rPr>
                <w:lang w:val="en-GB"/>
              </w:rPr>
            </w:pPr>
            <w:r>
              <w:rPr>
                <w:lang w:val="en-GB"/>
              </w:rPr>
              <w:t>Sunflower</w:t>
            </w:r>
          </w:p>
        </w:tc>
        <w:tc>
          <w:tcPr>
            <w:tcW w:w="522" w:type="pct"/>
            <w:tcBorders>
              <w:top w:val="single" w:sz="12" w:space="0" w:color="008000"/>
              <w:bottom w:val="single" w:sz="6" w:space="0" w:color="008000"/>
            </w:tcBorders>
            <w:shd w:val="clear" w:color="auto" w:fill="FFFFFF"/>
          </w:tcPr>
          <w:p w14:paraId="72F3BF0A" w14:textId="77777777" w:rsidR="00813FC2" w:rsidRDefault="005134AB" w:rsidP="00660184">
            <w:pPr>
              <w:pStyle w:val="CETBodytext"/>
              <w:rPr>
                <w:lang w:val="en-GB"/>
              </w:rPr>
            </w:pPr>
            <w:r>
              <w:rPr>
                <w:lang w:val="en-GB"/>
              </w:rPr>
              <w:t>Palm</w:t>
            </w:r>
          </w:p>
        </w:tc>
        <w:tc>
          <w:tcPr>
            <w:tcW w:w="542" w:type="pct"/>
            <w:tcBorders>
              <w:top w:val="single" w:sz="12" w:space="0" w:color="008000"/>
              <w:bottom w:val="single" w:sz="6" w:space="0" w:color="008000"/>
            </w:tcBorders>
            <w:shd w:val="clear" w:color="auto" w:fill="FFFFFF"/>
          </w:tcPr>
          <w:p w14:paraId="0BF4CCA9" w14:textId="77777777" w:rsidR="00813FC2" w:rsidRDefault="005134AB" w:rsidP="00660184">
            <w:pPr>
              <w:pStyle w:val="CETBodytext"/>
              <w:rPr>
                <w:lang w:val="en-GB"/>
              </w:rPr>
            </w:pPr>
            <w:r>
              <w:rPr>
                <w:lang w:val="en-GB"/>
              </w:rPr>
              <w:t>Cardoon</w:t>
            </w:r>
          </w:p>
        </w:tc>
      </w:tr>
      <w:tr w:rsidR="00AC7854" w14:paraId="3A8E5BF8" w14:textId="77777777" w:rsidTr="00660184">
        <w:tc>
          <w:tcPr>
            <w:tcW w:w="2749" w:type="pct"/>
            <w:shd w:val="clear" w:color="auto" w:fill="FFFFFF"/>
          </w:tcPr>
          <w:p w14:paraId="6ED51521" w14:textId="77777777" w:rsidR="00813FC2" w:rsidRPr="009C3E99" w:rsidRDefault="005134AB" w:rsidP="00660184">
            <w:pPr>
              <w:pStyle w:val="CETBodytext"/>
              <w:rPr>
                <w:lang w:val="en-GB"/>
              </w:rPr>
            </w:pPr>
            <w:r w:rsidRPr="009C3E99">
              <w:rPr>
                <w:lang w:val="en-GB"/>
              </w:rPr>
              <w:t>Triglycerides conversion (%)</w:t>
            </w:r>
          </w:p>
        </w:tc>
        <w:tc>
          <w:tcPr>
            <w:tcW w:w="558" w:type="pct"/>
            <w:shd w:val="clear" w:color="auto" w:fill="FFFFFF"/>
          </w:tcPr>
          <w:p w14:paraId="7F9887A6" w14:textId="77777777" w:rsidR="00813FC2" w:rsidRPr="009C3E99" w:rsidRDefault="005134AB" w:rsidP="00660184">
            <w:pPr>
              <w:pStyle w:val="CETBodytext"/>
              <w:rPr>
                <w:lang w:val="en-GB"/>
              </w:rPr>
            </w:pPr>
            <w:r w:rsidRPr="009C3E99">
              <w:rPr>
                <w:lang w:val="en-GB"/>
              </w:rPr>
              <w:t>97.7</w:t>
            </w:r>
          </w:p>
        </w:tc>
        <w:tc>
          <w:tcPr>
            <w:tcW w:w="628" w:type="pct"/>
            <w:shd w:val="clear" w:color="auto" w:fill="FFFFFF"/>
          </w:tcPr>
          <w:p w14:paraId="1998E477" w14:textId="77777777" w:rsidR="00813FC2" w:rsidRPr="009C3E99" w:rsidRDefault="005134AB" w:rsidP="00660184">
            <w:pPr>
              <w:pStyle w:val="CETBodytext"/>
              <w:rPr>
                <w:lang w:val="en-GB"/>
              </w:rPr>
            </w:pPr>
            <w:r w:rsidRPr="009C3E99">
              <w:rPr>
                <w:lang w:val="en-GB"/>
              </w:rPr>
              <w:t>99.0</w:t>
            </w:r>
          </w:p>
        </w:tc>
        <w:tc>
          <w:tcPr>
            <w:tcW w:w="522" w:type="pct"/>
            <w:shd w:val="clear" w:color="auto" w:fill="FFFFFF"/>
          </w:tcPr>
          <w:p w14:paraId="19817822" w14:textId="77777777" w:rsidR="00813FC2" w:rsidRPr="009C3E99" w:rsidRDefault="005134AB" w:rsidP="00660184">
            <w:pPr>
              <w:pStyle w:val="CETBodytext"/>
              <w:rPr>
                <w:lang w:val="en-GB"/>
              </w:rPr>
            </w:pPr>
            <w:r w:rsidRPr="009C3E99">
              <w:rPr>
                <w:lang w:val="en-GB"/>
              </w:rPr>
              <w:t>98.7</w:t>
            </w:r>
          </w:p>
        </w:tc>
        <w:tc>
          <w:tcPr>
            <w:tcW w:w="542" w:type="pct"/>
            <w:shd w:val="clear" w:color="auto" w:fill="FFFFFF"/>
          </w:tcPr>
          <w:p w14:paraId="16EA6E18" w14:textId="77777777" w:rsidR="00813FC2" w:rsidRPr="009C3E99" w:rsidRDefault="005134AB" w:rsidP="00660184">
            <w:pPr>
              <w:pStyle w:val="CETBodytext"/>
              <w:rPr>
                <w:lang w:val="en-GB"/>
              </w:rPr>
            </w:pPr>
            <w:r w:rsidRPr="009C3E99">
              <w:rPr>
                <w:lang w:val="en-GB"/>
              </w:rPr>
              <w:t>98.8</w:t>
            </w:r>
          </w:p>
        </w:tc>
      </w:tr>
      <w:tr w:rsidR="00AC7854" w14:paraId="57D3106F" w14:textId="77777777" w:rsidTr="00660184">
        <w:tc>
          <w:tcPr>
            <w:tcW w:w="2749" w:type="pct"/>
            <w:shd w:val="clear" w:color="auto" w:fill="FFFFFF"/>
          </w:tcPr>
          <w:p w14:paraId="026B1D5A" w14:textId="77777777" w:rsidR="00813FC2" w:rsidRPr="009C3E99" w:rsidRDefault="005134AB" w:rsidP="00660184">
            <w:pPr>
              <w:pStyle w:val="CETBodytext"/>
              <w:ind w:right="-1"/>
              <w:rPr>
                <w:rFonts w:cs="Arial"/>
                <w:szCs w:val="18"/>
                <w:lang w:val="en-GB"/>
              </w:rPr>
            </w:pPr>
            <w:r w:rsidRPr="009C3E99">
              <w:rPr>
                <w:lang w:val="en-GB"/>
              </w:rPr>
              <w:t>Mass yield (%w/</w:t>
            </w:r>
            <w:proofErr w:type="spellStart"/>
            <w:r w:rsidRPr="009C3E99">
              <w:rPr>
                <w:lang w:val="en-GB"/>
              </w:rPr>
              <w:t>w</w:t>
            </w:r>
            <w:r w:rsidRPr="009C3E99">
              <w:rPr>
                <w:vertAlign w:val="subscript"/>
                <w:lang w:val="en-GB"/>
              </w:rPr>
              <w:t>OIL</w:t>
            </w:r>
            <w:proofErr w:type="spellEnd"/>
            <w:r w:rsidRPr="009C3E99">
              <w:rPr>
                <w:lang w:val="en-GB"/>
              </w:rPr>
              <w:t>)</w:t>
            </w:r>
          </w:p>
        </w:tc>
        <w:tc>
          <w:tcPr>
            <w:tcW w:w="558" w:type="pct"/>
            <w:shd w:val="clear" w:color="auto" w:fill="FFFFFF"/>
          </w:tcPr>
          <w:p w14:paraId="6251BA85" w14:textId="77777777" w:rsidR="00813FC2" w:rsidRPr="009C3E99" w:rsidRDefault="005134AB" w:rsidP="00660184">
            <w:pPr>
              <w:pStyle w:val="CETBodytext"/>
              <w:ind w:right="-1"/>
              <w:rPr>
                <w:rFonts w:cs="Arial"/>
                <w:szCs w:val="18"/>
                <w:lang w:val="en-GB"/>
              </w:rPr>
            </w:pPr>
            <w:r w:rsidRPr="009C3E99">
              <w:rPr>
                <w:rFonts w:cs="Arial"/>
                <w:szCs w:val="18"/>
                <w:lang w:val="en-GB"/>
              </w:rPr>
              <w:t>80.0</w:t>
            </w:r>
          </w:p>
        </w:tc>
        <w:tc>
          <w:tcPr>
            <w:tcW w:w="628" w:type="pct"/>
            <w:shd w:val="clear" w:color="auto" w:fill="FFFFFF"/>
          </w:tcPr>
          <w:p w14:paraId="746D5C54" w14:textId="77777777" w:rsidR="00813FC2" w:rsidRPr="009C3E99" w:rsidRDefault="005134AB" w:rsidP="00660184">
            <w:pPr>
              <w:pStyle w:val="CETBodytext"/>
              <w:ind w:right="-1"/>
              <w:rPr>
                <w:rFonts w:cs="Arial"/>
                <w:szCs w:val="18"/>
                <w:lang w:val="en-GB"/>
              </w:rPr>
            </w:pPr>
            <w:r w:rsidRPr="009C3E99">
              <w:rPr>
                <w:rFonts w:cs="Arial"/>
                <w:szCs w:val="18"/>
                <w:lang w:val="en-GB"/>
              </w:rPr>
              <w:t>81.1</w:t>
            </w:r>
          </w:p>
        </w:tc>
        <w:tc>
          <w:tcPr>
            <w:tcW w:w="522" w:type="pct"/>
            <w:shd w:val="clear" w:color="auto" w:fill="FFFFFF"/>
          </w:tcPr>
          <w:p w14:paraId="227BF575" w14:textId="77777777" w:rsidR="00813FC2" w:rsidRPr="009C3E99" w:rsidRDefault="005134AB" w:rsidP="00660184">
            <w:pPr>
              <w:pStyle w:val="CETBodytext"/>
              <w:ind w:right="-1"/>
              <w:rPr>
                <w:rFonts w:cs="Arial"/>
                <w:szCs w:val="18"/>
                <w:lang w:val="en-GB"/>
              </w:rPr>
            </w:pPr>
            <w:r w:rsidRPr="009C3E99">
              <w:rPr>
                <w:rFonts w:cs="Arial"/>
                <w:szCs w:val="18"/>
                <w:lang w:val="en-GB"/>
              </w:rPr>
              <w:t>79.9</w:t>
            </w:r>
          </w:p>
        </w:tc>
        <w:tc>
          <w:tcPr>
            <w:tcW w:w="542" w:type="pct"/>
            <w:shd w:val="clear" w:color="auto" w:fill="FFFFFF"/>
          </w:tcPr>
          <w:p w14:paraId="0884558F" w14:textId="77777777" w:rsidR="00813FC2" w:rsidRPr="009C3E99" w:rsidRDefault="005134AB" w:rsidP="00660184">
            <w:pPr>
              <w:pStyle w:val="CETBodytext"/>
              <w:ind w:right="-1"/>
              <w:rPr>
                <w:rFonts w:cs="Arial"/>
                <w:szCs w:val="18"/>
                <w:lang w:val="en-GB"/>
              </w:rPr>
            </w:pPr>
            <w:r w:rsidRPr="009C3E99">
              <w:rPr>
                <w:rFonts w:cs="Arial"/>
                <w:szCs w:val="18"/>
                <w:lang w:val="en-GB"/>
              </w:rPr>
              <w:t>80.7</w:t>
            </w:r>
          </w:p>
        </w:tc>
      </w:tr>
      <w:tr w:rsidR="00AC7854" w14:paraId="3835F184" w14:textId="77777777" w:rsidTr="00660184">
        <w:tc>
          <w:tcPr>
            <w:tcW w:w="2749" w:type="pct"/>
            <w:shd w:val="clear" w:color="auto" w:fill="FFFFFF"/>
          </w:tcPr>
          <w:p w14:paraId="572A6916" w14:textId="77777777" w:rsidR="00813FC2" w:rsidRPr="009C3E99" w:rsidRDefault="005134AB" w:rsidP="00660184">
            <w:pPr>
              <w:pStyle w:val="CETBodytext"/>
              <w:ind w:right="-1"/>
              <w:rPr>
                <w:rFonts w:cs="Arial"/>
                <w:szCs w:val="18"/>
                <w:lang w:val="en-GB"/>
              </w:rPr>
            </w:pPr>
            <w:r w:rsidRPr="009C3E99">
              <w:rPr>
                <w:lang w:val="en-GB"/>
              </w:rPr>
              <w:t>Diesel to catalysts ratio</w:t>
            </w:r>
          </w:p>
        </w:tc>
        <w:tc>
          <w:tcPr>
            <w:tcW w:w="558" w:type="pct"/>
            <w:shd w:val="clear" w:color="auto" w:fill="FFFFFF"/>
          </w:tcPr>
          <w:p w14:paraId="110E4703" w14:textId="77777777" w:rsidR="00813FC2" w:rsidRPr="009C3E99" w:rsidRDefault="005134AB" w:rsidP="00660184">
            <w:pPr>
              <w:pStyle w:val="CETBodytext"/>
              <w:ind w:right="-1"/>
              <w:rPr>
                <w:rFonts w:cs="Arial"/>
                <w:szCs w:val="18"/>
                <w:lang w:val="en-GB"/>
              </w:rPr>
            </w:pPr>
            <w:r w:rsidRPr="009C3E99">
              <w:rPr>
                <w:rFonts w:cs="Arial"/>
                <w:szCs w:val="18"/>
                <w:lang w:val="en-GB"/>
              </w:rPr>
              <w:t>2.48</w:t>
            </w:r>
          </w:p>
        </w:tc>
        <w:tc>
          <w:tcPr>
            <w:tcW w:w="628" w:type="pct"/>
            <w:shd w:val="clear" w:color="auto" w:fill="FFFFFF"/>
          </w:tcPr>
          <w:p w14:paraId="6BC705A5" w14:textId="77777777" w:rsidR="00813FC2" w:rsidRPr="009C3E99" w:rsidRDefault="005134AB" w:rsidP="00660184">
            <w:pPr>
              <w:pStyle w:val="CETBodytext"/>
              <w:ind w:right="-1"/>
              <w:rPr>
                <w:rFonts w:cs="Arial"/>
                <w:szCs w:val="18"/>
                <w:lang w:val="en-GB"/>
              </w:rPr>
            </w:pPr>
            <w:r w:rsidRPr="009C3E99">
              <w:rPr>
                <w:rFonts w:cs="Arial"/>
                <w:szCs w:val="18"/>
                <w:lang w:val="en-GB"/>
              </w:rPr>
              <w:t>2.51</w:t>
            </w:r>
          </w:p>
        </w:tc>
        <w:tc>
          <w:tcPr>
            <w:tcW w:w="522" w:type="pct"/>
            <w:shd w:val="clear" w:color="auto" w:fill="FFFFFF"/>
          </w:tcPr>
          <w:p w14:paraId="4D3076B0" w14:textId="77777777" w:rsidR="00813FC2" w:rsidRPr="009C3E99" w:rsidRDefault="005134AB" w:rsidP="00660184">
            <w:pPr>
              <w:pStyle w:val="CETBodytext"/>
              <w:ind w:right="-1"/>
              <w:rPr>
                <w:rFonts w:cs="Arial"/>
                <w:szCs w:val="18"/>
                <w:lang w:val="en-GB"/>
              </w:rPr>
            </w:pPr>
            <w:r w:rsidRPr="009C3E99">
              <w:rPr>
                <w:rFonts w:cs="Arial"/>
                <w:szCs w:val="18"/>
                <w:lang w:val="en-GB"/>
              </w:rPr>
              <w:t>2.47</w:t>
            </w:r>
          </w:p>
        </w:tc>
        <w:tc>
          <w:tcPr>
            <w:tcW w:w="542" w:type="pct"/>
            <w:shd w:val="clear" w:color="auto" w:fill="FFFFFF"/>
          </w:tcPr>
          <w:p w14:paraId="57461F91" w14:textId="77777777" w:rsidR="00813FC2" w:rsidRPr="009C3E99" w:rsidRDefault="005134AB" w:rsidP="00660184">
            <w:pPr>
              <w:pStyle w:val="CETBodytext"/>
              <w:ind w:right="-1"/>
              <w:rPr>
                <w:rFonts w:cs="Arial"/>
                <w:szCs w:val="18"/>
                <w:lang w:val="en-GB"/>
              </w:rPr>
            </w:pPr>
            <w:r w:rsidRPr="009C3E99">
              <w:rPr>
                <w:rFonts w:cs="Arial"/>
                <w:szCs w:val="18"/>
                <w:lang w:val="en-GB"/>
              </w:rPr>
              <w:t>2.50</w:t>
            </w:r>
          </w:p>
        </w:tc>
      </w:tr>
      <w:tr w:rsidR="00AC7854" w14:paraId="64E4C9BB" w14:textId="77777777" w:rsidTr="00660184">
        <w:tc>
          <w:tcPr>
            <w:tcW w:w="2749" w:type="pct"/>
            <w:shd w:val="clear" w:color="auto" w:fill="FFFFFF"/>
          </w:tcPr>
          <w:p w14:paraId="087F27C1" w14:textId="77777777" w:rsidR="00813FC2" w:rsidRPr="009C3E99" w:rsidRDefault="005134AB" w:rsidP="00660184">
            <w:pPr>
              <w:pStyle w:val="CETBodytext"/>
              <w:ind w:right="-1"/>
              <w:rPr>
                <w:rFonts w:cs="Arial"/>
                <w:szCs w:val="18"/>
                <w:lang w:val="en-GB"/>
              </w:rPr>
            </w:pPr>
            <w:r w:rsidRPr="009C3E99">
              <w:rPr>
                <w:lang w:val="en-GB"/>
              </w:rPr>
              <w:t>Hydrogen flow (</w:t>
            </w:r>
            <w:proofErr w:type="spellStart"/>
            <w:r w:rsidRPr="009C3E99">
              <w:rPr>
                <w:lang w:val="en-GB"/>
              </w:rPr>
              <w:t>kmol</w:t>
            </w:r>
            <w:proofErr w:type="spellEnd"/>
            <w:r w:rsidRPr="009C3E99">
              <w:rPr>
                <w:lang w:val="en-GB"/>
              </w:rPr>
              <w:t>/h)</w:t>
            </w:r>
          </w:p>
        </w:tc>
        <w:tc>
          <w:tcPr>
            <w:tcW w:w="558" w:type="pct"/>
            <w:shd w:val="clear" w:color="auto" w:fill="FFFFFF"/>
          </w:tcPr>
          <w:p w14:paraId="1124BF94" w14:textId="77777777" w:rsidR="00813FC2" w:rsidRPr="009C3E99" w:rsidRDefault="005134AB" w:rsidP="00660184">
            <w:pPr>
              <w:pStyle w:val="CETBodytext"/>
              <w:ind w:right="-1"/>
              <w:rPr>
                <w:rFonts w:cs="Arial"/>
                <w:szCs w:val="18"/>
                <w:lang w:val="en-GB"/>
              </w:rPr>
            </w:pPr>
            <w:r w:rsidRPr="009C3E99">
              <w:t>4’356</w:t>
            </w:r>
          </w:p>
        </w:tc>
        <w:tc>
          <w:tcPr>
            <w:tcW w:w="628" w:type="pct"/>
            <w:shd w:val="clear" w:color="auto" w:fill="FFFFFF"/>
          </w:tcPr>
          <w:p w14:paraId="49D6478A" w14:textId="77777777" w:rsidR="00813FC2" w:rsidRPr="009C3E99" w:rsidRDefault="005134AB" w:rsidP="00660184">
            <w:pPr>
              <w:pStyle w:val="CETBodytext"/>
              <w:ind w:right="-1"/>
            </w:pPr>
            <w:r w:rsidRPr="009C3E99">
              <w:t>4’241</w:t>
            </w:r>
          </w:p>
        </w:tc>
        <w:tc>
          <w:tcPr>
            <w:tcW w:w="522" w:type="pct"/>
            <w:shd w:val="clear" w:color="auto" w:fill="FFFFFF"/>
          </w:tcPr>
          <w:p w14:paraId="3C834A81" w14:textId="77777777" w:rsidR="00813FC2" w:rsidRPr="009C3E99" w:rsidRDefault="005134AB" w:rsidP="00660184">
            <w:pPr>
              <w:pStyle w:val="CETBodytext"/>
              <w:ind w:right="-1"/>
            </w:pPr>
            <w:r w:rsidRPr="009C3E99">
              <w:t>3’897</w:t>
            </w:r>
          </w:p>
        </w:tc>
        <w:tc>
          <w:tcPr>
            <w:tcW w:w="542" w:type="pct"/>
            <w:shd w:val="clear" w:color="auto" w:fill="FFFFFF"/>
          </w:tcPr>
          <w:p w14:paraId="13CE1ABF" w14:textId="77777777" w:rsidR="00813FC2" w:rsidRPr="009C3E99" w:rsidRDefault="005134AB" w:rsidP="00660184">
            <w:pPr>
              <w:pStyle w:val="CETBodytext"/>
              <w:ind w:right="-1"/>
            </w:pPr>
            <w:r w:rsidRPr="009C3E99">
              <w:t>4’012</w:t>
            </w:r>
          </w:p>
        </w:tc>
      </w:tr>
      <w:tr w:rsidR="00AC7854" w14:paraId="09339BF2" w14:textId="77777777" w:rsidTr="00660184">
        <w:tc>
          <w:tcPr>
            <w:tcW w:w="2749" w:type="pct"/>
            <w:shd w:val="clear" w:color="auto" w:fill="FFFFFF"/>
          </w:tcPr>
          <w:p w14:paraId="381BFB8D" w14:textId="77777777" w:rsidR="00813FC2" w:rsidRPr="009C3E99" w:rsidRDefault="005134AB" w:rsidP="00660184">
            <w:pPr>
              <w:pStyle w:val="CETBodytext"/>
              <w:ind w:right="-1"/>
              <w:rPr>
                <w:rFonts w:cs="Arial"/>
                <w:szCs w:val="18"/>
                <w:lang w:val="en-GB"/>
              </w:rPr>
            </w:pPr>
            <w:r w:rsidRPr="009C3E99">
              <w:t>Hydrogen consumption (</w:t>
            </w:r>
            <w:proofErr w:type="spellStart"/>
            <w:r w:rsidRPr="009C3E99">
              <w:t>kmol</w:t>
            </w:r>
            <w:proofErr w:type="spellEnd"/>
            <w:r w:rsidRPr="009C3E99">
              <w:t>/h)</w:t>
            </w:r>
          </w:p>
        </w:tc>
        <w:tc>
          <w:tcPr>
            <w:tcW w:w="558" w:type="pct"/>
            <w:shd w:val="clear" w:color="auto" w:fill="FFFFFF"/>
          </w:tcPr>
          <w:p w14:paraId="248E2A4A" w14:textId="77777777" w:rsidR="00813FC2" w:rsidRPr="009C3E99" w:rsidRDefault="005134AB" w:rsidP="00660184">
            <w:pPr>
              <w:pStyle w:val="CETBodytext"/>
              <w:ind w:right="-1"/>
              <w:rPr>
                <w:rFonts w:cs="Arial"/>
                <w:szCs w:val="18"/>
                <w:lang w:val="en-GB"/>
              </w:rPr>
            </w:pPr>
            <w:r w:rsidRPr="009C3E99">
              <w:rPr>
                <w:rFonts w:cs="Arial"/>
                <w:szCs w:val="18"/>
                <w:lang w:val="en-GB"/>
              </w:rPr>
              <w:t>578</w:t>
            </w:r>
          </w:p>
        </w:tc>
        <w:tc>
          <w:tcPr>
            <w:tcW w:w="628" w:type="pct"/>
            <w:shd w:val="clear" w:color="auto" w:fill="FFFFFF"/>
          </w:tcPr>
          <w:p w14:paraId="7CF91918" w14:textId="77777777" w:rsidR="00813FC2" w:rsidRPr="009C3E99" w:rsidRDefault="005134AB" w:rsidP="00660184">
            <w:pPr>
              <w:pStyle w:val="CETBodytext"/>
              <w:ind w:right="-1"/>
              <w:rPr>
                <w:rFonts w:cs="Arial"/>
                <w:szCs w:val="18"/>
                <w:lang w:val="en-GB"/>
              </w:rPr>
            </w:pPr>
            <w:r w:rsidRPr="009C3E99">
              <w:rPr>
                <w:rFonts w:cs="Arial"/>
                <w:szCs w:val="18"/>
                <w:lang w:val="en-GB"/>
              </w:rPr>
              <w:t>578</w:t>
            </w:r>
          </w:p>
        </w:tc>
        <w:tc>
          <w:tcPr>
            <w:tcW w:w="522" w:type="pct"/>
            <w:shd w:val="clear" w:color="auto" w:fill="FFFFFF"/>
          </w:tcPr>
          <w:p w14:paraId="7B44A11B" w14:textId="77777777" w:rsidR="00813FC2" w:rsidRPr="009C3E99" w:rsidRDefault="005134AB" w:rsidP="00660184">
            <w:pPr>
              <w:pStyle w:val="CETBodytext"/>
              <w:ind w:right="-1"/>
              <w:rPr>
                <w:rFonts w:cs="Arial"/>
                <w:szCs w:val="18"/>
                <w:lang w:val="en-GB"/>
              </w:rPr>
            </w:pPr>
            <w:r w:rsidRPr="009C3E99">
              <w:rPr>
                <w:rFonts w:cs="Arial"/>
                <w:szCs w:val="18"/>
                <w:lang w:val="en-GB"/>
              </w:rPr>
              <w:t>465</w:t>
            </w:r>
          </w:p>
        </w:tc>
        <w:tc>
          <w:tcPr>
            <w:tcW w:w="542" w:type="pct"/>
            <w:shd w:val="clear" w:color="auto" w:fill="FFFFFF"/>
          </w:tcPr>
          <w:p w14:paraId="12E57E86" w14:textId="77777777" w:rsidR="00813FC2" w:rsidRPr="009C3E99" w:rsidRDefault="005134AB" w:rsidP="00660184">
            <w:pPr>
              <w:pStyle w:val="CETBodytext"/>
              <w:ind w:right="-1"/>
              <w:rPr>
                <w:rFonts w:cs="Arial"/>
                <w:szCs w:val="18"/>
                <w:lang w:val="en-GB"/>
              </w:rPr>
            </w:pPr>
            <w:r w:rsidRPr="009C3E99">
              <w:rPr>
                <w:rFonts w:cs="Arial"/>
                <w:szCs w:val="18"/>
                <w:lang w:val="en-GB"/>
              </w:rPr>
              <w:t>552</w:t>
            </w:r>
          </w:p>
        </w:tc>
      </w:tr>
      <w:tr w:rsidR="00AC7854" w14:paraId="270E8693" w14:textId="77777777" w:rsidTr="00660184">
        <w:tc>
          <w:tcPr>
            <w:tcW w:w="2749" w:type="pct"/>
            <w:shd w:val="clear" w:color="auto" w:fill="FFFFFF"/>
          </w:tcPr>
          <w:p w14:paraId="1BF24E69" w14:textId="77777777" w:rsidR="00813FC2" w:rsidRPr="009C3E99" w:rsidRDefault="005134AB" w:rsidP="00660184">
            <w:pPr>
              <w:pStyle w:val="CETBodytext"/>
              <w:ind w:right="-1"/>
              <w:rPr>
                <w:rFonts w:cs="Arial"/>
                <w:szCs w:val="18"/>
                <w:lang w:val="en-GB"/>
              </w:rPr>
            </w:pPr>
            <w:r w:rsidRPr="009C3E99">
              <w:t>Hydrogen temperature (°C)</w:t>
            </w:r>
          </w:p>
        </w:tc>
        <w:tc>
          <w:tcPr>
            <w:tcW w:w="558" w:type="pct"/>
            <w:shd w:val="clear" w:color="auto" w:fill="FFFFFF"/>
          </w:tcPr>
          <w:p w14:paraId="39B6CE2A" w14:textId="77777777" w:rsidR="00813FC2" w:rsidRPr="009C3E99" w:rsidRDefault="005134AB" w:rsidP="00660184">
            <w:pPr>
              <w:pStyle w:val="CETBodytext"/>
              <w:ind w:right="-1"/>
              <w:rPr>
                <w:rFonts w:cs="Arial"/>
                <w:szCs w:val="18"/>
                <w:lang w:val="en-GB"/>
              </w:rPr>
            </w:pPr>
            <w:r w:rsidRPr="009C3E99">
              <w:t>165</w:t>
            </w:r>
          </w:p>
        </w:tc>
        <w:tc>
          <w:tcPr>
            <w:tcW w:w="628" w:type="pct"/>
            <w:shd w:val="clear" w:color="auto" w:fill="FFFFFF"/>
          </w:tcPr>
          <w:p w14:paraId="350FE7B1" w14:textId="77777777" w:rsidR="00813FC2" w:rsidRPr="009C3E99" w:rsidRDefault="005134AB" w:rsidP="00660184">
            <w:pPr>
              <w:pStyle w:val="CETBodytext"/>
              <w:ind w:right="-1"/>
            </w:pPr>
            <w:r w:rsidRPr="009C3E99">
              <w:t>160</w:t>
            </w:r>
          </w:p>
        </w:tc>
        <w:tc>
          <w:tcPr>
            <w:tcW w:w="522" w:type="pct"/>
            <w:shd w:val="clear" w:color="auto" w:fill="FFFFFF"/>
          </w:tcPr>
          <w:p w14:paraId="3E384140" w14:textId="77777777" w:rsidR="00813FC2" w:rsidRPr="009C3E99" w:rsidRDefault="005134AB" w:rsidP="00660184">
            <w:pPr>
              <w:pStyle w:val="CETBodytext"/>
              <w:ind w:right="-1"/>
            </w:pPr>
            <w:r w:rsidRPr="009C3E99">
              <w:t>245</w:t>
            </w:r>
          </w:p>
        </w:tc>
        <w:tc>
          <w:tcPr>
            <w:tcW w:w="542" w:type="pct"/>
            <w:shd w:val="clear" w:color="auto" w:fill="FFFFFF"/>
          </w:tcPr>
          <w:p w14:paraId="0F2C06D3" w14:textId="77777777" w:rsidR="00813FC2" w:rsidRPr="009C3E99" w:rsidRDefault="005134AB" w:rsidP="00660184">
            <w:pPr>
              <w:pStyle w:val="CETBodytext"/>
              <w:ind w:right="-1"/>
            </w:pPr>
            <w:r w:rsidRPr="009C3E99">
              <w:t>170</w:t>
            </w:r>
          </w:p>
        </w:tc>
      </w:tr>
      <w:tr w:rsidR="00AC7854" w14:paraId="6C08A2D8" w14:textId="77777777" w:rsidTr="00660184">
        <w:tc>
          <w:tcPr>
            <w:tcW w:w="2749" w:type="pct"/>
            <w:shd w:val="clear" w:color="auto" w:fill="FFFFFF"/>
          </w:tcPr>
          <w:p w14:paraId="734D7889" w14:textId="77777777" w:rsidR="00813FC2" w:rsidRPr="009C3E99" w:rsidRDefault="005134AB" w:rsidP="00660184">
            <w:pPr>
              <w:pStyle w:val="CETBodytext"/>
              <w:ind w:right="-1"/>
            </w:pPr>
            <w:r w:rsidRPr="009C3E99">
              <w:t>Global heat of reaction (kJ/</w:t>
            </w:r>
            <w:proofErr w:type="spellStart"/>
            <w:r w:rsidRPr="009C3E99">
              <w:t>kg</w:t>
            </w:r>
            <w:r w:rsidRPr="009C3E99">
              <w:rPr>
                <w:vertAlign w:val="subscript"/>
              </w:rPr>
              <w:t>OIL</w:t>
            </w:r>
            <w:proofErr w:type="spellEnd"/>
            <w:r w:rsidRPr="009C3E99">
              <w:t>)</w:t>
            </w:r>
          </w:p>
        </w:tc>
        <w:tc>
          <w:tcPr>
            <w:tcW w:w="558" w:type="pct"/>
            <w:shd w:val="clear" w:color="auto" w:fill="FFFFFF"/>
          </w:tcPr>
          <w:p w14:paraId="7E161661" w14:textId="77777777" w:rsidR="00813FC2" w:rsidRPr="009C3E99" w:rsidRDefault="005134AB" w:rsidP="00660184">
            <w:pPr>
              <w:pStyle w:val="CETBodytext"/>
              <w:ind w:right="-1"/>
            </w:pPr>
            <w:r w:rsidRPr="009C3E99">
              <w:t>-901</w:t>
            </w:r>
          </w:p>
        </w:tc>
        <w:tc>
          <w:tcPr>
            <w:tcW w:w="628" w:type="pct"/>
            <w:shd w:val="clear" w:color="auto" w:fill="FFFFFF"/>
          </w:tcPr>
          <w:p w14:paraId="306575C2" w14:textId="77777777" w:rsidR="00813FC2" w:rsidRPr="009C3E99" w:rsidRDefault="005134AB" w:rsidP="00660184">
            <w:pPr>
              <w:pStyle w:val="CETBodytext"/>
              <w:ind w:right="-1"/>
            </w:pPr>
            <w:r w:rsidRPr="009C3E99">
              <w:t>-891</w:t>
            </w:r>
          </w:p>
        </w:tc>
        <w:tc>
          <w:tcPr>
            <w:tcW w:w="522" w:type="pct"/>
            <w:shd w:val="clear" w:color="auto" w:fill="FFFFFF"/>
          </w:tcPr>
          <w:p w14:paraId="3F636A52" w14:textId="77777777" w:rsidR="00813FC2" w:rsidRPr="009C3E99" w:rsidRDefault="005134AB" w:rsidP="00660184">
            <w:pPr>
              <w:pStyle w:val="CETBodytext"/>
              <w:ind w:right="-1"/>
            </w:pPr>
            <w:r w:rsidRPr="009C3E99">
              <w:t>-740</w:t>
            </w:r>
          </w:p>
        </w:tc>
        <w:tc>
          <w:tcPr>
            <w:tcW w:w="542" w:type="pct"/>
            <w:shd w:val="clear" w:color="auto" w:fill="FFFFFF"/>
          </w:tcPr>
          <w:p w14:paraId="63F29345" w14:textId="77777777" w:rsidR="00813FC2" w:rsidRPr="009C3E99" w:rsidRDefault="005134AB" w:rsidP="00660184">
            <w:pPr>
              <w:pStyle w:val="CETBodytext"/>
              <w:ind w:right="-1"/>
            </w:pPr>
            <w:r w:rsidRPr="009C3E99">
              <w:t>-857</w:t>
            </w:r>
          </w:p>
        </w:tc>
      </w:tr>
    </w:tbl>
    <w:p w14:paraId="225C1E13" w14:textId="77777777" w:rsidR="00813FC2" w:rsidRDefault="00813FC2" w:rsidP="00813FC2">
      <w:pPr>
        <w:pStyle w:val="CETBodytext"/>
        <w:rPr>
          <w:lang w:val="en-GB"/>
        </w:rPr>
      </w:pPr>
    </w:p>
    <w:p w14:paraId="523FAB7E" w14:textId="3D1688B5" w:rsidR="009C3E99" w:rsidRPr="00462380" w:rsidRDefault="005134AB" w:rsidP="009C3E99">
      <w:pPr>
        <w:pStyle w:val="CETheadingx"/>
      </w:pPr>
      <w:r w:rsidRPr="00462380">
        <w:t>Maximum vegetable oil market prices</w:t>
      </w:r>
    </w:p>
    <w:p w14:paraId="3D574F58" w14:textId="2261BA77" w:rsidR="00ED7311" w:rsidRDefault="005134AB" w:rsidP="00600535">
      <w:pPr>
        <w:pStyle w:val="CETBodytext"/>
        <w:rPr>
          <w:lang w:val="en-GB"/>
        </w:rPr>
      </w:pPr>
      <w:r>
        <w:rPr>
          <w:lang w:val="en-GB"/>
        </w:rPr>
        <w:t>The economic analysis was performed by calculating CAPEX and OPEX fixing the net present value of the biorefinery equal to z</w:t>
      </w:r>
      <w:r>
        <w:rPr>
          <w:lang w:val="en-GB"/>
        </w:rPr>
        <w:t xml:space="preserve">ero. From that, the maximum vegetable oil market price can be sustainable to make economically convenient for the hydrogenation of oils was obtained (Figure 2). The impact of the oil composition was limited </w:t>
      </w:r>
      <w:r w:rsidR="00281447">
        <w:rPr>
          <w:lang w:val="en-GB"/>
        </w:rPr>
        <w:t xml:space="preserve">to the unsaturated bonds quantity and consequently the hydrogen rates/costs.  </w:t>
      </w:r>
    </w:p>
    <w:p w14:paraId="1FBB99AA" w14:textId="7E765F43" w:rsidR="00281447" w:rsidRDefault="005134AB" w:rsidP="00281447">
      <w:pPr>
        <w:pStyle w:val="CETBodytext"/>
        <w:rPr>
          <w:lang w:val="en-GB"/>
        </w:rPr>
      </w:pPr>
      <w:r>
        <w:rPr>
          <w:lang w:val="en-GB"/>
        </w:rPr>
        <w:t>The minimum one (the worst at 836 €/t) was found in the soybean oil, due to higher double bonds in the oil composition (higher hydrogen consumption). The best one was found in the cardoon oil (858 €/t) due to a high mass yield</w:t>
      </w:r>
      <w:r>
        <w:rPr>
          <w:lang w:val="en-GB"/>
        </w:rPr>
        <w:t xml:space="preserve"> (80.7 %) combined with a low hydrogen temperature (170 °C) and consequent lower thermal energy consumption (better heat integration). The major concentration of saturated bonds of the palm oil and its lower hydrogen requirement/costs was covered and passe</w:t>
      </w:r>
      <w:r>
        <w:rPr>
          <w:lang w:val="en-GB"/>
        </w:rPr>
        <w:t>d by the higher energy quantity to obtain the total hydrogen flow at 245 °C, due to the rector configuration (direct quench</w:t>
      </w:r>
      <w:r w:rsidR="00F4218C">
        <w:rPr>
          <w:lang w:val="en-GB"/>
        </w:rPr>
        <w:t xml:space="preserve"> reactor</w:t>
      </w:r>
      <w:r>
        <w:rPr>
          <w:lang w:val="en-GB"/>
        </w:rPr>
        <w:t>).</w:t>
      </w:r>
      <w:r w:rsidR="00462380">
        <w:rPr>
          <w:highlight w:val="yellow"/>
          <w:lang w:val="en-GB"/>
        </w:rPr>
        <w:t xml:space="preserve"> </w:t>
      </w:r>
    </w:p>
    <w:p w14:paraId="1E319902" w14:textId="77777777" w:rsidR="0052031F" w:rsidRDefault="0052031F" w:rsidP="00281447">
      <w:pPr>
        <w:pStyle w:val="CETBodytext"/>
        <w:rPr>
          <w:lang w:val="en-GB"/>
        </w:rPr>
      </w:pPr>
    </w:p>
    <w:p w14:paraId="2832C3A6" w14:textId="77777777" w:rsidR="0052031F" w:rsidRDefault="0052031F" w:rsidP="0052031F">
      <w:pPr>
        <w:pStyle w:val="CETBodytext"/>
        <w:rPr>
          <w:lang w:val="en-GB"/>
        </w:rPr>
      </w:pPr>
      <w:r>
        <w:rPr>
          <w:noProof/>
          <w:lang w:val="en-GB"/>
        </w:rPr>
        <w:drawing>
          <wp:inline distT="0" distB="0" distL="0" distR="0" wp14:anchorId="18322A3F" wp14:editId="578B6A08">
            <wp:extent cx="5429250" cy="3369086"/>
            <wp:effectExtent l="0" t="0" r="0" b="3175"/>
            <wp:docPr id="1" name="Immagine 1"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grafic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59181" cy="3387659"/>
                    </a:xfrm>
                    <a:prstGeom prst="rect">
                      <a:avLst/>
                    </a:prstGeom>
                    <a:noFill/>
                  </pic:spPr>
                </pic:pic>
              </a:graphicData>
            </a:graphic>
          </wp:inline>
        </w:drawing>
      </w:r>
    </w:p>
    <w:p w14:paraId="3E889112" w14:textId="77777777" w:rsidR="0052031F" w:rsidRPr="00BD077D" w:rsidRDefault="0052031F" w:rsidP="0052031F">
      <w:pPr>
        <w:pStyle w:val="CETCaption"/>
      </w:pPr>
      <w:r w:rsidRPr="00BD077D">
        <w:rPr>
          <w:rStyle w:val="CETCaptionCarattere"/>
          <w:i/>
        </w:rPr>
        <w:t xml:space="preserve">Figure </w:t>
      </w:r>
      <w:r>
        <w:rPr>
          <w:rStyle w:val="CETCaptionCarattere"/>
          <w:i/>
        </w:rPr>
        <w:t>2</w:t>
      </w:r>
      <w:r w:rsidRPr="00BD077D">
        <w:rPr>
          <w:rStyle w:val="CETCaptionCarattere"/>
          <w:i/>
        </w:rPr>
        <w:t xml:space="preserve">: </w:t>
      </w:r>
      <w:r>
        <w:rPr>
          <w:rStyle w:val="CETCaptionCarattere"/>
          <w:i/>
        </w:rPr>
        <w:t>Maximum Vegetable Oil Market Prices for the considered feedstocks</w:t>
      </w:r>
    </w:p>
    <w:p w14:paraId="6E405846" w14:textId="000C7053" w:rsidR="00BA1EF1" w:rsidRPr="00B57B36" w:rsidRDefault="005134AB" w:rsidP="00BA1EF1">
      <w:pPr>
        <w:pStyle w:val="CETHeading1"/>
        <w:rPr>
          <w:lang w:val="en-GB"/>
        </w:rPr>
      </w:pPr>
      <w:r>
        <w:rPr>
          <w:lang w:val="en-GB"/>
        </w:rPr>
        <w:t>Conclusions</w:t>
      </w:r>
    </w:p>
    <w:p w14:paraId="78386116" w14:textId="6FE2CC51" w:rsidR="0093026B" w:rsidRDefault="005134AB" w:rsidP="004A1D8E">
      <w:pPr>
        <w:pStyle w:val="CETBodytext"/>
        <w:rPr>
          <w:lang w:val="en-GB"/>
        </w:rPr>
      </w:pPr>
      <w:r w:rsidRPr="0093026B">
        <w:rPr>
          <w:lang w:val="en-GB"/>
        </w:rPr>
        <w:t>In the present work is perform</w:t>
      </w:r>
      <w:r w:rsidRPr="0093026B">
        <w:rPr>
          <w:lang w:val="en-GB"/>
        </w:rPr>
        <w:t xml:space="preserve">ed the design of the green diesel production process is by using the Aspen Plus simulator. Four types of </w:t>
      </w:r>
      <w:proofErr w:type="gramStart"/>
      <w:r w:rsidRPr="0093026B">
        <w:rPr>
          <w:lang w:val="en-GB"/>
        </w:rPr>
        <w:t>feedstock</w:t>
      </w:r>
      <w:proofErr w:type="gramEnd"/>
      <w:r w:rsidRPr="0093026B">
        <w:rPr>
          <w:lang w:val="en-GB"/>
        </w:rPr>
        <w:t xml:space="preserve"> were used as input in the model, four vegetable oils and one microbial oil. In the </w:t>
      </w:r>
      <w:proofErr w:type="spellStart"/>
      <w:r w:rsidRPr="0093026B">
        <w:rPr>
          <w:lang w:val="en-GB"/>
        </w:rPr>
        <w:t>hydroprocessing</w:t>
      </w:r>
      <w:proofErr w:type="spellEnd"/>
      <w:r w:rsidRPr="0093026B">
        <w:rPr>
          <w:lang w:val="en-GB"/>
        </w:rPr>
        <w:t xml:space="preserve"> unit, an adiabatic reactor composed of fou</w:t>
      </w:r>
      <w:r w:rsidRPr="0093026B">
        <w:rPr>
          <w:lang w:val="en-GB"/>
        </w:rPr>
        <w:t xml:space="preserve">r catalytic beds is designed with hydrogen quenching, where a kinetic model using a Ni-W/ SiO2-Al2O3 catalyst has been used and presents a model with a first-order power law. Decarboxylation and </w:t>
      </w:r>
      <w:proofErr w:type="spellStart"/>
      <w:r w:rsidRPr="0093026B">
        <w:rPr>
          <w:lang w:val="en-GB"/>
        </w:rPr>
        <w:t>decarbonylation</w:t>
      </w:r>
      <w:proofErr w:type="spellEnd"/>
      <w:r w:rsidRPr="0093026B">
        <w:rPr>
          <w:lang w:val="en-GB"/>
        </w:rPr>
        <w:t xml:space="preserve"> reactions govern the kinetics. Simulations in</w:t>
      </w:r>
      <w:r w:rsidRPr="0093026B">
        <w:rPr>
          <w:lang w:val="en-GB"/>
        </w:rPr>
        <w:t>dicate that the greater the number of unsaturation present in the oil, the greater the consumption of hydrogen, and the more difficult the thermal control will be in the reactor.</w:t>
      </w:r>
      <w:r>
        <w:rPr>
          <w:lang w:val="en-GB"/>
        </w:rPr>
        <w:t xml:space="preserve"> </w:t>
      </w:r>
      <w:r w:rsidRPr="0093026B">
        <w:rPr>
          <w:lang w:val="en-GB"/>
        </w:rPr>
        <w:t xml:space="preserve">Impact analysis reported that the net present value (NPV) </w:t>
      </w:r>
      <w:r w:rsidRPr="0093026B">
        <w:rPr>
          <w:lang w:val="en-GB"/>
        </w:rPr>
        <w:lastRenderedPageBreak/>
        <w:t>of the project is h</w:t>
      </w:r>
      <w:r w:rsidRPr="0093026B">
        <w:rPr>
          <w:lang w:val="en-GB"/>
        </w:rPr>
        <w:t xml:space="preserve">ighly sensitive to the green diesel selling price. Maximum </w:t>
      </w:r>
      <w:r>
        <w:rPr>
          <w:lang w:val="en-GB"/>
        </w:rPr>
        <w:t xml:space="preserve">vegetable </w:t>
      </w:r>
      <w:r w:rsidRPr="0093026B">
        <w:rPr>
          <w:lang w:val="en-GB"/>
        </w:rPr>
        <w:t>oil</w:t>
      </w:r>
      <w:r>
        <w:rPr>
          <w:lang w:val="en-GB"/>
        </w:rPr>
        <w:t xml:space="preserve"> market</w:t>
      </w:r>
      <w:r w:rsidRPr="0093026B">
        <w:rPr>
          <w:lang w:val="en-GB"/>
        </w:rPr>
        <w:t xml:space="preserve"> price </w:t>
      </w:r>
      <w:r>
        <w:rPr>
          <w:lang w:val="en-GB"/>
        </w:rPr>
        <w:t>wa</w:t>
      </w:r>
      <w:r w:rsidRPr="0093026B">
        <w:rPr>
          <w:lang w:val="en-GB"/>
        </w:rPr>
        <w:t>s determined for each oil, considering a base case scenario, where a range from 836 to 858 €/tonne is founded, corresponding to Soybean oil and Cardoon oil, respectivel</w:t>
      </w:r>
      <w:r w:rsidRPr="0093026B">
        <w:rPr>
          <w:lang w:val="en-GB"/>
        </w:rPr>
        <w:t>y. In this way, the analysis suggests that mass yield must be maximized into the green diesel fraction and oils with a low number of double bonds, must be selected as process feedstock.</w:t>
      </w:r>
      <w:r>
        <w:rPr>
          <w:lang w:val="en-GB"/>
        </w:rPr>
        <w:t xml:space="preserve"> Further analysis </w:t>
      </w:r>
      <w:proofErr w:type="gramStart"/>
      <w:r>
        <w:rPr>
          <w:lang w:val="en-GB"/>
        </w:rPr>
        <w:t>has to</w:t>
      </w:r>
      <w:proofErr w:type="gramEnd"/>
      <w:r>
        <w:rPr>
          <w:lang w:val="en-GB"/>
        </w:rPr>
        <w:t xml:space="preserve"> be deepened to compare the convenience of gree</w:t>
      </w:r>
      <w:r>
        <w:rPr>
          <w:lang w:val="en-GB"/>
        </w:rPr>
        <w:t>n diesel and jet-fuel production, by hydrodeoxygenation coupled with isomerization of vegetable oils.</w:t>
      </w:r>
    </w:p>
    <w:p w14:paraId="4F1327F8" w14:textId="77777777" w:rsidR="00600535" w:rsidRPr="00B57B36" w:rsidRDefault="005134AB" w:rsidP="00600535">
      <w:pPr>
        <w:pStyle w:val="CETReference"/>
      </w:pPr>
      <w:r w:rsidRPr="00B57B36">
        <w:t>References</w:t>
      </w:r>
    </w:p>
    <w:p w14:paraId="3EE98CC8" w14:textId="13B165D2" w:rsidR="00EA59D3" w:rsidRPr="00EA59D3" w:rsidRDefault="005134AB" w:rsidP="00EA59D3">
      <w:pPr>
        <w:pStyle w:val="Bibliografia"/>
        <w:rPr>
          <w:rFonts w:cs="Arial"/>
        </w:rPr>
      </w:pPr>
      <w:r>
        <w:fldChar w:fldCharType="begin"/>
      </w:r>
      <w:r>
        <w:instrText xml:space="preserve"> ADDIN ZOTERO_BIBL {"uncited":[],"omitted":[],"custom":[]} CSL_BIBLIOGRAPHY </w:instrText>
      </w:r>
      <w:r>
        <w:fldChar w:fldCharType="separate"/>
      </w:r>
      <w:r w:rsidRPr="00EA59D3">
        <w:rPr>
          <w:rFonts w:cs="Arial"/>
        </w:rPr>
        <w:t xml:space="preserve">Agarwal P., Al-Khattaf S.S., Klein M.T., 2019. </w:t>
      </w:r>
      <w:r w:rsidRPr="00EA59D3">
        <w:rPr>
          <w:rFonts w:cs="Arial"/>
        </w:rPr>
        <w:t>Molecular-Level Kinetic Modeling of Triglyceride Hydroprocessing. Energy &amp; fuels.</w:t>
      </w:r>
    </w:p>
    <w:p w14:paraId="20CAB205" w14:textId="13E37AEA" w:rsidR="00EA59D3" w:rsidRPr="00EA59D3" w:rsidRDefault="005134AB" w:rsidP="00EA59D3">
      <w:pPr>
        <w:pStyle w:val="Bibliografia"/>
        <w:rPr>
          <w:rFonts w:cs="Arial"/>
        </w:rPr>
      </w:pPr>
      <w:r w:rsidRPr="00EA59D3">
        <w:rPr>
          <w:rFonts w:cs="Arial"/>
        </w:rPr>
        <w:t>Ameen M., Azizan M.T., Yusup S., Ramli A., Yasir M., 2017. Catalytic hydrodeoxygenation of triglycerides: An approach to clean diesel fuel production. Renewable and Sustainab</w:t>
      </w:r>
      <w:r w:rsidRPr="00EA59D3">
        <w:rPr>
          <w:rFonts w:cs="Arial"/>
        </w:rPr>
        <w:t xml:space="preserve">le Energy Reviews 80, 1072–1088. </w:t>
      </w:r>
    </w:p>
    <w:p w14:paraId="1B1C29BC" w14:textId="7FD04CAC" w:rsidR="00EA59D3" w:rsidRPr="00EA59D3" w:rsidRDefault="005134AB" w:rsidP="00EA59D3">
      <w:pPr>
        <w:pStyle w:val="Bibliografia"/>
        <w:rPr>
          <w:rFonts w:cs="Arial"/>
          <w:lang w:val="it-IT"/>
        </w:rPr>
      </w:pPr>
      <w:r w:rsidRPr="00B153E5">
        <w:rPr>
          <w:rFonts w:cs="Arial"/>
          <w:lang w:val="en-US"/>
        </w:rPr>
        <w:t xml:space="preserve">Bagnato G., Sanna A., Paone E., Catizzone E., 2021. </w:t>
      </w:r>
      <w:r w:rsidRPr="00EA59D3">
        <w:rPr>
          <w:rFonts w:cs="Arial"/>
        </w:rPr>
        <w:t xml:space="preserve">Recent Catalytic Advances in Hydrotreatment Processes of Pyrolysis Bio-Oil. </w:t>
      </w:r>
      <w:r w:rsidRPr="00EA59D3">
        <w:rPr>
          <w:rFonts w:cs="Arial"/>
          <w:lang w:val="it-IT"/>
        </w:rPr>
        <w:t xml:space="preserve">Catalysts 11, 157. </w:t>
      </w:r>
    </w:p>
    <w:p w14:paraId="2279C274" w14:textId="3B818E62" w:rsidR="00EA59D3" w:rsidRPr="00EA59D3" w:rsidRDefault="005134AB" w:rsidP="00EA59D3">
      <w:pPr>
        <w:pStyle w:val="Bibliografia"/>
        <w:rPr>
          <w:rFonts w:cs="Arial"/>
          <w:lang w:val="it-IT"/>
        </w:rPr>
      </w:pPr>
      <w:r w:rsidRPr="00EA59D3">
        <w:rPr>
          <w:rFonts w:cs="Arial"/>
          <w:lang w:val="it-IT"/>
        </w:rPr>
        <w:t xml:space="preserve">Caporusso A., Giuliano A., Liuzzi F., De Bari I., 2022. </w:t>
      </w:r>
      <w:r w:rsidRPr="00EA59D3">
        <w:rPr>
          <w:rFonts w:cs="Arial"/>
        </w:rPr>
        <w:t>Techno-economic An</w:t>
      </w:r>
      <w:r w:rsidRPr="00EA59D3">
        <w:rPr>
          <w:rFonts w:cs="Arial"/>
        </w:rPr>
        <w:t xml:space="preserve">alysis of a Lignocellulosic Biorefinery Producing Microbial Oils by Oleaginous Yeasts. </w:t>
      </w:r>
      <w:r w:rsidRPr="00EA59D3">
        <w:rPr>
          <w:rFonts w:cs="Arial"/>
          <w:lang w:val="it-IT"/>
        </w:rPr>
        <w:t xml:space="preserve">Chemical Engineering Transactions 92, 637–642. </w:t>
      </w:r>
    </w:p>
    <w:p w14:paraId="3425959D" w14:textId="293EA043" w:rsidR="00EA59D3" w:rsidRPr="00EA59D3" w:rsidRDefault="005134AB" w:rsidP="00EA59D3">
      <w:pPr>
        <w:pStyle w:val="Bibliografia"/>
        <w:rPr>
          <w:rFonts w:cs="Arial"/>
        </w:rPr>
      </w:pPr>
      <w:r w:rsidRPr="00EA59D3">
        <w:rPr>
          <w:rFonts w:cs="Arial"/>
          <w:lang w:val="it-IT"/>
        </w:rPr>
        <w:t>De Bari I., Giuliano A., Petrone M.T., Stoppiello G., Fatta V., Giard</w:t>
      </w:r>
      <w:r w:rsidR="008D428A">
        <w:rPr>
          <w:rFonts w:cs="Arial"/>
          <w:lang w:val="it-IT"/>
        </w:rPr>
        <w:t>i</w:t>
      </w:r>
      <w:r w:rsidRPr="00EA59D3">
        <w:rPr>
          <w:rFonts w:cs="Arial"/>
          <w:lang w:val="it-IT"/>
        </w:rPr>
        <w:t xml:space="preserve"> C., Razza F., Novelli A., 2020. </w:t>
      </w:r>
      <w:r w:rsidRPr="00EA59D3">
        <w:rPr>
          <w:rFonts w:cs="Arial"/>
        </w:rPr>
        <w:t>From cardoon ligno</w:t>
      </w:r>
      <w:r w:rsidRPr="00EA59D3">
        <w:rPr>
          <w:rFonts w:cs="Arial"/>
        </w:rPr>
        <w:t xml:space="preserve">cellulosic biomass to bio-1,4 butanediol: An integrated biorefinery model. Processes 8, 1–18. </w:t>
      </w:r>
    </w:p>
    <w:p w14:paraId="353D0D2F" w14:textId="613C96BD" w:rsidR="00EA59D3" w:rsidRPr="00EA59D3" w:rsidRDefault="005134AB" w:rsidP="00EA59D3">
      <w:pPr>
        <w:pStyle w:val="Bibliografia"/>
        <w:rPr>
          <w:rFonts w:cs="Arial"/>
        </w:rPr>
      </w:pPr>
      <w:r w:rsidRPr="00B153E5">
        <w:rPr>
          <w:rFonts w:cs="Arial"/>
          <w:lang w:val="en-US"/>
        </w:rPr>
        <w:t xml:space="preserve">Giuliano A., Poletto M., Barletta D., 2015. </w:t>
      </w:r>
      <w:r w:rsidRPr="00EA59D3">
        <w:rPr>
          <w:rFonts w:cs="Arial"/>
        </w:rPr>
        <w:t xml:space="preserve">Process Design of a Multi-Product Lignocellulosic Biorefinery. Computer Aided Chemical Engineering 37, 1313–1318. </w:t>
      </w:r>
    </w:p>
    <w:p w14:paraId="022F89E9" w14:textId="6C6FCACA" w:rsidR="00EA59D3" w:rsidRPr="00EA59D3" w:rsidRDefault="005134AB" w:rsidP="00EA59D3">
      <w:pPr>
        <w:pStyle w:val="Bibliografia"/>
        <w:rPr>
          <w:rFonts w:cs="Arial"/>
          <w:lang w:val="it-IT"/>
        </w:rPr>
      </w:pPr>
      <w:r w:rsidRPr="00EA59D3">
        <w:rPr>
          <w:rFonts w:cs="Arial"/>
        </w:rPr>
        <w:t>Mi</w:t>
      </w:r>
      <w:r w:rsidRPr="00EA59D3">
        <w:rPr>
          <w:rFonts w:cs="Arial"/>
        </w:rPr>
        <w:t xml:space="preserve">ller P.E., 2012. Renewable Diesel Production from Canola and Camelina [WWW Document]. </w:t>
      </w:r>
      <w:r w:rsidRPr="00EA59D3">
        <w:rPr>
          <w:rFonts w:cs="Arial"/>
          <w:lang w:val="it-IT"/>
        </w:rPr>
        <w:t>ERA. https://doi.org/10.7939/R32B8VP46</w:t>
      </w:r>
    </w:p>
    <w:p w14:paraId="74CA6E35" w14:textId="4B7D8300" w:rsidR="00EA59D3" w:rsidRPr="00EA59D3" w:rsidRDefault="005134AB" w:rsidP="00EA59D3">
      <w:pPr>
        <w:pStyle w:val="Bibliografia"/>
        <w:rPr>
          <w:rFonts w:cs="Arial"/>
          <w:lang w:val="sv-SE"/>
        </w:rPr>
      </w:pPr>
      <w:r w:rsidRPr="00EA59D3">
        <w:rPr>
          <w:rFonts w:cs="Arial"/>
          <w:lang w:val="it-IT"/>
        </w:rPr>
        <w:t xml:space="preserve">Raccuia S.A., Melilli M.G., Piscioneri I., Sharma N., 2012. </w:t>
      </w:r>
      <w:r w:rsidR="008D428A" w:rsidRPr="00EA59D3">
        <w:rPr>
          <w:rFonts w:cs="Arial"/>
        </w:rPr>
        <w:t>Evaluation of fatty acids composition in grain oil of cardoon (cynara cardunculus l.)</w:t>
      </w:r>
      <w:r w:rsidRPr="00EA59D3">
        <w:rPr>
          <w:rFonts w:cs="Arial"/>
        </w:rPr>
        <w:t xml:space="preserve">. </w:t>
      </w:r>
      <w:r w:rsidRPr="00EA59D3">
        <w:rPr>
          <w:rFonts w:cs="Arial"/>
          <w:lang w:val="sv-SE"/>
        </w:rPr>
        <w:t>Acta Hortic. 463–468.</w:t>
      </w:r>
    </w:p>
    <w:p w14:paraId="14F2DACC" w14:textId="66989D4A" w:rsidR="00EA59D3" w:rsidRPr="00B153E5" w:rsidRDefault="005134AB" w:rsidP="00EA59D3">
      <w:pPr>
        <w:pStyle w:val="Bibliografia"/>
        <w:rPr>
          <w:rFonts w:cs="Arial"/>
          <w:lang w:val="en-US"/>
        </w:rPr>
      </w:pPr>
      <w:r w:rsidRPr="00EA59D3">
        <w:rPr>
          <w:rFonts w:cs="Arial"/>
          <w:lang w:val="sv-SE"/>
        </w:rPr>
        <w:t xml:space="preserve">Silva G.C.R., de Andrade M.H.C., 2021. </w:t>
      </w:r>
      <w:r w:rsidRPr="00EA59D3">
        <w:rPr>
          <w:rFonts w:cs="Arial"/>
        </w:rPr>
        <w:t xml:space="preserve">Simulation of deoxygenation of vegetable oils for diesel-like fuel production in continuous reactor. </w:t>
      </w:r>
      <w:r w:rsidRPr="00B153E5">
        <w:rPr>
          <w:rFonts w:cs="Arial"/>
          <w:lang w:val="en-US"/>
        </w:rPr>
        <w:t xml:space="preserve">Biomass Conv. Bioref. </w:t>
      </w:r>
    </w:p>
    <w:p w14:paraId="43C0921C" w14:textId="7475F8F2" w:rsidR="00EA59D3" w:rsidRPr="00EA59D3" w:rsidRDefault="005134AB" w:rsidP="00EA59D3">
      <w:pPr>
        <w:pStyle w:val="Bibliografia"/>
        <w:rPr>
          <w:rFonts w:cs="Arial"/>
        </w:rPr>
      </w:pPr>
      <w:r w:rsidRPr="00B153E5">
        <w:rPr>
          <w:rFonts w:cs="Arial"/>
          <w:lang w:val="en-US"/>
        </w:rPr>
        <w:t xml:space="preserve">Sofia D., Giuliano A., Barletta D., 2013. </w:t>
      </w:r>
      <w:r w:rsidRPr="00EA59D3">
        <w:rPr>
          <w:rFonts w:cs="Arial"/>
        </w:rPr>
        <w:t>Techno-econom</w:t>
      </w:r>
      <w:r w:rsidRPr="00EA59D3">
        <w:rPr>
          <w:rFonts w:cs="Arial"/>
        </w:rPr>
        <w:t xml:space="preserve">ic assessment of co-gasification of coal-petcoke and biomass in IGCC power plants. Chemical Engineering Transactions 32, 1231–1236. </w:t>
      </w:r>
    </w:p>
    <w:p w14:paraId="4DB21962" w14:textId="5B28CF44" w:rsidR="00EA59D3" w:rsidRPr="00EA59D3" w:rsidRDefault="005134AB" w:rsidP="00EA59D3">
      <w:pPr>
        <w:pStyle w:val="Bibliografia"/>
        <w:rPr>
          <w:rFonts w:cs="Arial"/>
        </w:rPr>
      </w:pPr>
      <w:r w:rsidRPr="00EA59D3">
        <w:rPr>
          <w:rFonts w:cs="Arial"/>
        </w:rPr>
        <w:t>Tirado A., Ancheyta J., 2020. Modeling of a bench-scale fixed-bed reactor for catalytic hydrotreating of vegetable oil. Ren</w:t>
      </w:r>
      <w:r w:rsidRPr="00EA59D3">
        <w:rPr>
          <w:rFonts w:cs="Arial"/>
        </w:rPr>
        <w:t>ewable Energy 148, 790–797.</w:t>
      </w:r>
    </w:p>
    <w:p w14:paraId="6EB0EFEC" w14:textId="2F216B36" w:rsidR="00600535" w:rsidRPr="006B4888" w:rsidRDefault="005134AB" w:rsidP="008D428A">
      <w:pPr>
        <w:pStyle w:val="CETReferencetext"/>
      </w:pPr>
      <w:r>
        <w:fldChar w:fldCharType="end"/>
      </w:r>
    </w:p>
    <w:sectPr w:rsidR="00600535" w:rsidRPr="006B4888" w:rsidSect="00EF06D9">
      <w:type w:val="continuous"/>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1D8D748">
      <w:start w:val="1"/>
      <w:numFmt w:val="bullet"/>
      <w:lvlText w:val=""/>
      <w:lvlJc w:val="left"/>
      <w:pPr>
        <w:ind w:left="720" w:hanging="360"/>
      </w:pPr>
      <w:rPr>
        <w:rFonts w:ascii="Symbol" w:hAnsi="Symbol" w:hint="default"/>
      </w:rPr>
    </w:lvl>
    <w:lvl w:ilvl="1" w:tplc="7194DABA" w:tentative="1">
      <w:start w:val="1"/>
      <w:numFmt w:val="bullet"/>
      <w:lvlText w:val="o"/>
      <w:lvlJc w:val="left"/>
      <w:pPr>
        <w:ind w:left="1440" w:hanging="360"/>
      </w:pPr>
      <w:rPr>
        <w:rFonts w:ascii="Courier New" w:hAnsi="Courier New" w:cs="Courier New" w:hint="default"/>
      </w:rPr>
    </w:lvl>
    <w:lvl w:ilvl="2" w:tplc="C1324F46" w:tentative="1">
      <w:start w:val="1"/>
      <w:numFmt w:val="bullet"/>
      <w:lvlText w:val=""/>
      <w:lvlJc w:val="left"/>
      <w:pPr>
        <w:ind w:left="2160" w:hanging="360"/>
      </w:pPr>
      <w:rPr>
        <w:rFonts w:ascii="Wingdings" w:hAnsi="Wingdings" w:hint="default"/>
      </w:rPr>
    </w:lvl>
    <w:lvl w:ilvl="3" w:tplc="9078AF06" w:tentative="1">
      <w:start w:val="1"/>
      <w:numFmt w:val="bullet"/>
      <w:lvlText w:val=""/>
      <w:lvlJc w:val="left"/>
      <w:pPr>
        <w:ind w:left="2880" w:hanging="360"/>
      </w:pPr>
      <w:rPr>
        <w:rFonts w:ascii="Symbol" w:hAnsi="Symbol" w:hint="default"/>
      </w:rPr>
    </w:lvl>
    <w:lvl w:ilvl="4" w:tplc="2820D044" w:tentative="1">
      <w:start w:val="1"/>
      <w:numFmt w:val="bullet"/>
      <w:lvlText w:val="o"/>
      <w:lvlJc w:val="left"/>
      <w:pPr>
        <w:ind w:left="3600" w:hanging="360"/>
      </w:pPr>
      <w:rPr>
        <w:rFonts w:ascii="Courier New" w:hAnsi="Courier New" w:cs="Courier New" w:hint="default"/>
      </w:rPr>
    </w:lvl>
    <w:lvl w:ilvl="5" w:tplc="53484F36" w:tentative="1">
      <w:start w:val="1"/>
      <w:numFmt w:val="bullet"/>
      <w:lvlText w:val=""/>
      <w:lvlJc w:val="left"/>
      <w:pPr>
        <w:ind w:left="4320" w:hanging="360"/>
      </w:pPr>
      <w:rPr>
        <w:rFonts w:ascii="Wingdings" w:hAnsi="Wingdings" w:hint="default"/>
      </w:rPr>
    </w:lvl>
    <w:lvl w:ilvl="6" w:tplc="38EABA9E" w:tentative="1">
      <w:start w:val="1"/>
      <w:numFmt w:val="bullet"/>
      <w:lvlText w:val=""/>
      <w:lvlJc w:val="left"/>
      <w:pPr>
        <w:ind w:left="5040" w:hanging="360"/>
      </w:pPr>
      <w:rPr>
        <w:rFonts w:ascii="Symbol" w:hAnsi="Symbol" w:hint="default"/>
      </w:rPr>
    </w:lvl>
    <w:lvl w:ilvl="7" w:tplc="D80CFA4C" w:tentative="1">
      <w:start w:val="1"/>
      <w:numFmt w:val="bullet"/>
      <w:lvlText w:val="o"/>
      <w:lvlJc w:val="left"/>
      <w:pPr>
        <w:ind w:left="5760" w:hanging="360"/>
      </w:pPr>
      <w:rPr>
        <w:rFonts w:ascii="Courier New" w:hAnsi="Courier New" w:cs="Courier New" w:hint="default"/>
      </w:rPr>
    </w:lvl>
    <w:lvl w:ilvl="8" w:tplc="C47A1E34"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4B8CBBB0">
      <w:start w:val="1"/>
      <w:numFmt w:val="bullet"/>
      <w:pStyle w:val="CETnumberingbullets"/>
      <w:lvlText w:val=""/>
      <w:lvlJc w:val="left"/>
      <w:pPr>
        <w:ind w:left="340" w:hanging="227"/>
      </w:pPr>
      <w:rPr>
        <w:rFonts w:ascii="Symbol" w:hAnsi="Symbol" w:hint="default"/>
      </w:rPr>
    </w:lvl>
    <w:lvl w:ilvl="1" w:tplc="FB9C4BDC" w:tentative="1">
      <w:start w:val="1"/>
      <w:numFmt w:val="bullet"/>
      <w:lvlText w:val="o"/>
      <w:lvlJc w:val="left"/>
      <w:pPr>
        <w:ind w:left="1440" w:hanging="360"/>
      </w:pPr>
      <w:rPr>
        <w:rFonts w:ascii="Courier New" w:hAnsi="Courier New" w:cs="Courier New" w:hint="default"/>
      </w:rPr>
    </w:lvl>
    <w:lvl w:ilvl="2" w:tplc="C6703728" w:tentative="1">
      <w:start w:val="1"/>
      <w:numFmt w:val="bullet"/>
      <w:lvlText w:val=""/>
      <w:lvlJc w:val="left"/>
      <w:pPr>
        <w:ind w:left="2160" w:hanging="360"/>
      </w:pPr>
      <w:rPr>
        <w:rFonts w:ascii="Wingdings" w:hAnsi="Wingdings" w:hint="default"/>
      </w:rPr>
    </w:lvl>
    <w:lvl w:ilvl="3" w:tplc="501E257A" w:tentative="1">
      <w:start w:val="1"/>
      <w:numFmt w:val="bullet"/>
      <w:lvlText w:val=""/>
      <w:lvlJc w:val="left"/>
      <w:pPr>
        <w:ind w:left="2880" w:hanging="360"/>
      </w:pPr>
      <w:rPr>
        <w:rFonts w:ascii="Symbol" w:hAnsi="Symbol" w:hint="default"/>
      </w:rPr>
    </w:lvl>
    <w:lvl w:ilvl="4" w:tplc="3C723932" w:tentative="1">
      <w:start w:val="1"/>
      <w:numFmt w:val="bullet"/>
      <w:lvlText w:val="o"/>
      <w:lvlJc w:val="left"/>
      <w:pPr>
        <w:ind w:left="3600" w:hanging="360"/>
      </w:pPr>
      <w:rPr>
        <w:rFonts w:ascii="Courier New" w:hAnsi="Courier New" w:cs="Courier New" w:hint="default"/>
      </w:rPr>
    </w:lvl>
    <w:lvl w:ilvl="5" w:tplc="7DC69890" w:tentative="1">
      <w:start w:val="1"/>
      <w:numFmt w:val="bullet"/>
      <w:lvlText w:val=""/>
      <w:lvlJc w:val="left"/>
      <w:pPr>
        <w:ind w:left="4320" w:hanging="360"/>
      </w:pPr>
      <w:rPr>
        <w:rFonts w:ascii="Wingdings" w:hAnsi="Wingdings" w:hint="default"/>
      </w:rPr>
    </w:lvl>
    <w:lvl w:ilvl="6" w:tplc="4600D906" w:tentative="1">
      <w:start w:val="1"/>
      <w:numFmt w:val="bullet"/>
      <w:lvlText w:val=""/>
      <w:lvlJc w:val="left"/>
      <w:pPr>
        <w:ind w:left="5040" w:hanging="360"/>
      </w:pPr>
      <w:rPr>
        <w:rFonts w:ascii="Symbol" w:hAnsi="Symbol" w:hint="default"/>
      </w:rPr>
    </w:lvl>
    <w:lvl w:ilvl="7" w:tplc="57D60C28" w:tentative="1">
      <w:start w:val="1"/>
      <w:numFmt w:val="bullet"/>
      <w:lvlText w:val="o"/>
      <w:lvlJc w:val="left"/>
      <w:pPr>
        <w:ind w:left="5760" w:hanging="360"/>
      </w:pPr>
      <w:rPr>
        <w:rFonts w:ascii="Courier New" w:hAnsi="Courier New" w:cs="Courier New" w:hint="default"/>
      </w:rPr>
    </w:lvl>
    <w:lvl w:ilvl="8" w:tplc="CD7C8B8C"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CF580BBA">
      <w:start w:val="1"/>
      <w:numFmt w:val="bullet"/>
      <w:lvlText w:val=""/>
      <w:lvlJc w:val="left"/>
      <w:pPr>
        <w:ind w:left="720" w:hanging="360"/>
      </w:pPr>
      <w:rPr>
        <w:rFonts w:ascii="Symbol" w:hAnsi="Symbol" w:hint="default"/>
      </w:rPr>
    </w:lvl>
    <w:lvl w:ilvl="1" w:tplc="299E0698" w:tentative="1">
      <w:start w:val="1"/>
      <w:numFmt w:val="bullet"/>
      <w:lvlText w:val="o"/>
      <w:lvlJc w:val="left"/>
      <w:pPr>
        <w:ind w:left="1440" w:hanging="360"/>
      </w:pPr>
      <w:rPr>
        <w:rFonts w:ascii="Courier New" w:hAnsi="Courier New" w:cs="Courier New" w:hint="default"/>
      </w:rPr>
    </w:lvl>
    <w:lvl w:ilvl="2" w:tplc="44109A5C" w:tentative="1">
      <w:start w:val="1"/>
      <w:numFmt w:val="bullet"/>
      <w:lvlText w:val=""/>
      <w:lvlJc w:val="left"/>
      <w:pPr>
        <w:ind w:left="2160" w:hanging="360"/>
      </w:pPr>
      <w:rPr>
        <w:rFonts w:ascii="Wingdings" w:hAnsi="Wingdings" w:hint="default"/>
      </w:rPr>
    </w:lvl>
    <w:lvl w:ilvl="3" w:tplc="3B3E356E" w:tentative="1">
      <w:start w:val="1"/>
      <w:numFmt w:val="bullet"/>
      <w:lvlText w:val=""/>
      <w:lvlJc w:val="left"/>
      <w:pPr>
        <w:ind w:left="2880" w:hanging="360"/>
      </w:pPr>
      <w:rPr>
        <w:rFonts w:ascii="Symbol" w:hAnsi="Symbol" w:hint="default"/>
      </w:rPr>
    </w:lvl>
    <w:lvl w:ilvl="4" w:tplc="4D423E7A" w:tentative="1">
      <w:start w:val="1"/>
      <w:numFmt w:val="bullet"/>
      <w:lvlText w:val="o"/>
      <w:lvlJc w:val="left"/>
      <w:pPr>
        <w:ind w:left="3600" w:hanging="360"/>
      </w:pPr>
      <w:rPr>
        <w:rFonts w:ascii="Courier New" w:hAnsi="Courier New" w:cs="Courier New" w:hint="default"/>
      </w:rPr>
    </w:lvl>
    <w:lvl w:ilvl="5" w:tplc="22C66462" w:tentative="1">
      <w:start w:val="1"/>
      <w:numFmt w:val="bullet"/>
      <w:lvlText w:val=""/>
      <w:lvlJc w:val="left"/>
      <w:pPr>
        <w:ind w:left="4320" w:hanging="360"/>
      </w:pPr>
      <w:rPr>
        <w:rFonts w:ascii="Wingdings" w:hAnsi="Wingdings" w:hint="default"/>
      </w:rPr>
    </w:lvl>
    <w:lvl w:ilvl="6" w:tplc="A05EA8AA" w:tentative="1">
      <w:start w:val="1"/>
      <w:numFmt w:val="bullet"/>
      <w:lvlText w:val=""/>
      <w:lvlJc w:val="left"/>
      <w:pPr>
        <w:ind w:left="5040" w:hanging="360"/>
      </w:pPr>
      <w:rPr>
        <w:rFonts w:ascii="Symbol" w:hAnsi="Symbol" w:hint="default"/>
      </w:rPr>
    </w:lvl>
    <w:lvl w:ilvl="7" w:tplc="F718DBCA" w:tentative="1">
      <w:start w:val="1"/>
      <w:numFmt w:val="bullet"/>
      <w:lvlText w:val="o"/>
      <w:lvlJc w:val="left"/>
      <w:pPr>
        <w:ind w:left="5760" w:hanging="360"/>
      </w:pPr>
      <w:rPr>
        <w:rFonts w:ascii="Courier New" w:hAnsi="Courier New" w:cs="Courier New" w:hint="default"/>
      </w:rPr>
    </w:lvl>
    <w:lvl w:ilvl="8" w:tplc="659A54D8"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207192">
      <w:start w:val="1"/>
      <w:numFmt w:val="decimal"/>
      <w:lvlText w:val="%1)"/>
      <w:lvlJc w:val="left"/>
      <w:pPr>
        <w:ind w:left="720" w:hanging="360"/>
      </w:pPr>
      <w:rPr>
        <w:rFonts w:hint="default"/>
      </w:rPr>
    </w:lvl>
    <w:lvl w:ilvl="1" w:tplc="57E8EE90" w:tentative="1">
      <w:start w:val="1"/>
      <w:numFmt w:val="lowerLetter"/>
      <w:lvlText w:val="%2."/>
      <w:lvlJc w:val="left"/>
      <w:pPr>
        <w:ind w:left="1440" w:hanging="360"/>
      </w:pPr>
    </w:lvl>
    <w:lvl w:ilvl="2" w:tplc="C97AD36E" w:tentative="1">
      <w:start w:val="1"/>
      <w:numFmt w:val="lowerRoman"/>
      <w:lvlText w:val="%3."/>
      <w:lvlJc w:val="right"/>
      <w:pPr>
        <w:ind w:left="2160" w:hanging="180"/>
      </w:pPr>
    </w:lvl>
    <w:lvl w:ilvl="3" w:tplc="BECC13BC" w:tentative="1">
      <w:start w:val="1"/>
      <w:numFmt w:val="decimal"/>
      <w:lvlText w:val="%4."/>
      <w:lvlJc w:val="left"/>
      <w:pPr>
        <w:ind w:left="2880" w:hanging="360"/>
      </w:pPr>
    </w:lvl>
    <w:lvl w:ilvl="4" w:tplc="5D90CF02" w:tentative="1">
      <w:start w:val="1"/>
      <w:numFmt w:val="lowerLetter"/>
      <w:lvlText w:val="%5."/>
      <w:lvlJc w:val="left"/>
      <w:pPr>
        <w:ind w:left="3600" w:hanging="360"/>
      </w:pPr>
    </w:lvl>
    <w:lvl w:ilvl="5" w:tplc="1DA6BCF2" w:tentative="1">
      <w:start w:val="1"/>
      <w:numFmt w:val="lowerRoman"/>
      <w:lvlText w:val="%6."/>
      <w:lvlJc w:val="right"/>
      <w:pPr>
        <w:ind w:left="4320" w:hanging="180"/>
      </w:pPr>
    </w:lvl>
    <w:lvl w:ilvl="6" w:tplc="050AD020" w:tentative="1">
      <w:start w:val="1"/>
      <w:numFmt w:val="decimal"/>
      <w:lvlText w:val="%7."/>
      <w:lvlJc w:val="left"/>
      <w:pPr>
        <w:ind w:left="5040" w:hanging="360"/>
      </w:pPr>
    </w:lvl>
    <w:lvl w:ilvl="7" w:tplc="16A61DD2" w:tentative="1">
      <w:start w:val="1"/>
      <w:numFmt w:val="lowerLetter"/>
      <w:lvlText w:val="%8."/>
      <w:lvlJc w:val="left"/>
      <w:pPr>
        <w:ind w:left="5760" w:hanging="360"/>
      </w:pPr>
    </w:lvl>
    <w:lvl w:ilvl="8" w:tplc="602CE750"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0ACA4FB4">
      <w:start w:val="1"/>
      <w:numFmt w:val="bullet"/>
      <w:lvlText w:val=""/>
      <w:lvlJc w:val="left"/>
      <w:pPr>
        <w:ind w:left="340" w:hanging="227"/>
      </w:pPr>
      <w:rPr>
        <w:rFonts w:ascii="Symbol" w:hAnsi="Symbol" w:hint="default"/>
      </w:rPr>
    </w:lvl>
    <w:lvl w:ilvl="1" w:tplc="08CAA11E" w:tentative="1">
      <w:start w:val="1"/>
      <w:numFmt w:val="bullet"/>
      <w:lvlText w:val="o"/>
      <w:lvlJc w:val="left"/>
      <w:pPr>
        <w:ind w:left="1440" w:hanging="360"/>
      </w:pPr>
      <w:rPr>
        <w:rFonts w:ascii="Courier New" w:hAnsi="Courier New" w:cs="Courier New" w:hint="default"/>
      </w:rPr>
    </w:lvl>
    <w:lvl w:ilvl="2" w:tplc="6D3E8542" w:tentative="1">
      <w:start w:val="1"/>
      <w:numFmt w:val="bullet"/>
      <w:lvlText w:val=""/>
      <w:lvlJc w:val="left"/>
      <w:pPr>
        <w:ind w:left="2160" w:hanging="360"/>
      </w:pPr>
      <w:rPr>
        <w:rFonts w:ascii="Wingdings" w:hAnsi="Wingdings" w:hint="default"/>
      </w:rPr>
    </w:lvl>
    <w:lvl w:ilvl="3" w:tplc="BF022DBC" w:tentative="1">
      <w:start w:val="1"/>
      <w:numFmt w:val="bullet"/>
      <w:lvlText w:val=""/>
      <w:lvlJc w:val="left"/>
      <w:pPr>
        <w:ind w:left="2880" w:hanging="360"/>
      </w:pPr>
      <w:rPr>
        <w:rFonts w:ascii="Symbol" w:hAnsi="Symbol" w:hint="default"/>
      </w:rPr>
    </w:lvl>
    <w:lvl w:ilvl="4" w:tplc="E1F2B842" w:tentative="1">
      <w:start w:val="1"/>
      <w:numFmt w:val="bullet"/>
      <w:lvlText w:val="o"/>
      <w:lvlJc w:val="left"/>
      <w:pPr>
        <w:ind w:left="3600" w:hanging="360"/>
      </w:pPr>
      <w:rPr>
        <w:rFonts w:ascii="Courier New" w:hAnsi="Courier New" w:cs="Courier New" w:hint="default"/>
      </w:rPr>
    </w:lvl>
    <w:lvl w:ilvl="5" w:tplc="5378A7D8" w:tentative="1">
      <w:start w:val="1"/>
      <w:numFmt w:val="bullet"/>
      <w:lvlText w:val=""/>
      <w:lvlJc w:val="left"/>
      <w:pPr>
        <w:ind w:left="4320" w:hanging="360"/>
      </w:pPr>
      <w:rPr>
        <w:rFonts w:ascii="Wingdings" w:hAnsi="Wingdings" w:hint="default"/>
      </w:rPr>
    </w:lvl>
    <w:lvl w:ilvl="6" w:tplc="7ED65B06" w:tentative="1">
      <w:start w:val="1"/>
      <w:numFmt w:val="bullet"/>
      <w:lvlText w:val=""/>
      <w:lvlJc w:val="left"/>
      <w:pPr>
        <w:ind w:left="5040" w:hanging="360"/>
      </w:pPr>
      <w:rPr>
        <w:rFonts w:ascii="Symbol" w:hAnsi="Symbol" w:hint="default"/>
      </w:rPr>
    </w:lvl>
    <w:lvl w:ilvl="7" w:tplc="6616CE04" w:tentative="1">
      <w:start w:val="1"/>
      <w:numFmt w:val="bullet"/>
      <w:lvlText w:val="o"/>
      <w:lvlJc w:val="left"/>
      <w:pPr>
        <w:ind w:left="5760" w:hanging="360"/>
      </w:pPr>
      <w:rPr>
        <w:rFonts w:ascii="Courier New" w:hAnsi="Courier New" w:cs="Courier New" w:hint="default"/>
      </w:rPr>
    </w:lvl>
    <w:lvl w:ilvl="8" w:tplc="1132FA62"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0E0891CA">
      <w:start w:val="1"/>
      <w:numFmt w:val="decimal"/>
      <w:lvlText w:val="%1)"/>
      <w:lvlJc w:val="left"/>
      <w:pPr>
        <w:ind w:left="340" w:hanging="227"/>
      </w:pPr>
      <w:rPr>
        <w:rFonts w:hint="default"/>
      </w:rPr>
    </w:lvl>
    <w:lvl w:ilvl="1" w:tplc="991C399C" w:tentative="1">
      <w:start w:val="1"/>
      <w:numFmt w:val="bullet"/>
      <w:lvlText w:val="o"/>
      <w:lvlJc w:val="left"/>
      <w:pPr>
        <w:ind w:left="1440" w:hanging="360"/>
      </w:pPr>
      <w:rPr>
        <w:rFonts w:ascii="Courier New" w:hAnsi="Courier New" w:cs="Courier New" w:hint="default"/>
      </w:rPr>
    </w:lvl>
    <w:lvl w:ilvl="2" w:tplc="93465F00" w:tentative="1">
      <w:start w:val="1"/>
      <w:numFmt w:val="bullet"/>
      <w:lvlText w:val=""/>
      <w:lvlJc w:val="left"/>
      <w:pPr>
        <w:ind w:left="2160" w:hanging="360"/>
      </w:pPr>
      <w:rPr>
        <w:rFonts w:ascii="Wingdings" w:hAnsi="Wingdings" w:hint="default"/>
      </w:rPr>
    </w:lvl>
    <w:lvl w:ilvl="3" w:tplc="1070F712" w:tentative="1">
      <w:start w:val="1"/>
      <w:numFmt w:val="bullet"/>
      <w:lvlText w:val=""/>
      <w:lvlJc w:val="left"/>
      <w:pPr>
        <w:ind w:left="2880" w:hanging="360"/>
      </w:pPr>
      <w:rPr>
        <w:rFonts w:ascii="Symbol" w:hAnsi="Symbol" w:hint="default"/>
      </w:rPr>
    </w:lvl>
    <w:lvl w:ilvl="4" w:tplc="37B44186" w:tentative="1">
      <w:start w:val="1"/>
      <w:numFmt w:val="bullet"/>
      <w:lvlText w:val="o"/>
      <w:lvlJc w:val="left"/>
      <w:pPr>
        <w:ind w:left="3600" w:hanging="360"/>
      </w:pPr>
      <w:rPr>
        <w:rFonts w:ascii="Courier New" w:hAnsi="Courier New" w:cs="Courier New" w:hint="default"/>
      </w:rPr>
    </w:lvl>
    <w:lvl w:ilvl="5" w:tplc="2D52175C" w:tentative="1">
      <w:start w:val="1"/>
      <w:numFmt w:val="bullet"/>
      <w:lvlText w:val=""/>
      <w:lvlJc w:val="left"/>
      <w:pPr>
        <w:ind w:left="4320" w:hanging="360"/>
      </w:pPr>
      <w:rPr>
        <w:rFonts w:ascii="Wingdings" w:hAnsi="Wingdings" w:hint="default"/>
      </w:rPr>
    </w:lvl>
    <w:lvl w:ilvl="6" w:tplc="93EC488E" w:tentative="1">
      <w:start w:val="1"/>
      <w:numFmt w:val="bullet"/>
      <w:lvlText w:val=""/>
      <w:lvlJc w:val="left"/>
      <w:pPr>
        <w:ind w:left="5040" w:hanging="360"/>
      </w:pPr>
      <w:rPr>
        <w:rFonts w:ascii="Symbol" w:hAnsi="Symbol" w:hint="default"/>
      </w:rPr>
    </w:lvl>
    <w:lvl w:ilvl="7" w:tplc="C0AE6D5C" w:tentative="1">
      <w:start w:val="1"/>
      <w:numFmt w:val="bullet"/>
      <w:lvlText w:val="o"/>
      <w:lvlJc w:val="left"/>
      <w:pPr>
        <w:ind w:left="5760" w:hanging="360"/>
      </w:pPr>
      <w:rPr>
        <w:rFonts w:ascii="Courier New" w:hAnsi="Courier New" w:cs="Courier New" w:hint="default"/>
      </w:rPr>
    </w:lvl>
    <w:lvl w:ilvl="8" w:tplc="F2880726"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BD168FAE">
      <w:start w:val="1"/>
      <w:numFmt w:val="decimal"/>
      <w:pStyle w:val="CETnumbering1"/>
      <w:lvlText w:val="%1."/>
      <w:lvlJc w:val="left"/>
      <w:pPr>
        <w:ind w:left="720" w:hanging="360"/>
      </w:pPr>
    </w:lvl>
    <w:lvl w:ilvl="1" w:tplc="69F2C706" w:tentative="1">
      <w:start w:val="1"/>
      <w:numFmt w:val="lowerLetter"/>
      <w:lvlText w:val="%2."/>
      <w:lvlJc w:val="left"/>
      <w:pPr>
        <w:ind w:left="1440" w:hanging="360"/>
      </w:pPr>
    </w:lvl>
    <w:lvl w:ilvl="2" w:tplc="D488F830" w:tentative="1">
      <w:start w:val="1"/>
      <w:numFmt w:val="lowerRoman"/>
      <w:lvlText w:val="%3."/>
      <w:lvlJc w:val="right"/>
      <w:pPr>
        <w:ind w:left="2160" w:hanging="180"/>
      </w:pPr>
    </w:lvl>
    <w:lvl w:ilvl="3" w:tplc="DC509F26" w:tentative="1">
      <w:start w:val="1"/>
      <w:numFmt w:val="decimal"/>
      <w:lvlText w:val="%4."/>
      <w:lvlJc w:val="left"/>
      <w:pPr>
        <w:ind w:left="2880" w:hanging="360"/>
      </w:pPr>
    </w:lvl>
    <w:lvl w:ilvl="4" w:tplc="0DD86AE4" w:tentative="1">
      <w:start w:val="1"/>
      <w:numFmt w:val="lowerLetter"/>
      <w:lvlText w:val="%5."/>
      <w:lvlJc w:val="left"/>
      <w:pPr>
        <w:ind w:left="3600" w:hanging="360"/>
      </w:pPr>
    </w:lvl>
    <w:lvl w:ilvl="5" w:tplc="18860C20" w:tentative="1">
      <w:start w:val="1"/>
      <w:numFmt w:val="lowerRoman"/>
      <w:lvlText w:val="%6."/>
      <w:lvlJc w:val="right"/>
      <w:pPr>
        <w:ind w:left="4320" w:hanging="180"/>
      </w:pPr>
    </w:lvl>
    <w:lvl w:ilvl="6" w:tplc="89D09654" w:tentative="1">
      <w:start w:val="1"/>
      <w:numFmt w:val="decimal"/>
      <w:lvlText w:val="%7."/>
      <w:lvlJc w:val="left"/>
      <w:pPr>
        <w:ind w:left="5040" w:hanging="360"/>
      </w:pPr>
    </w:lvl>
    <w:lvl w:ilvl="7" w:tplc="C23C05CE" w:tentative="1">
      <w:start w:val="1"/>
      <w:numFmt w:val="lowerLetter"/>
      <w:lvlText w:val="%8."/>
      <w:lvlJc w:val="left"/>
      <w:pPr>
        <w:ind w:left="5760" w:hanging="360"/>
      </w:pPr>
    </w:lvl>
    <w:lvl w:ilvl="8" w:tplc="2C9832C8"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34CAA572">
      <w:start w:val="1"/>
      <w:numFmt w:val="bullet"/>
      <w:lvlText w:val=""/>
      <w:lvlJc w:val="left"/>
      <w:pPr>
        <w:ind w:left="720" w:hanging="360"/>
      </w:pPr>
      <w:rPr>
        <w:rFonts w:ascii="Symbol" w:hAnsi="Symbol" w:hint="default"/>
      </w:rPr>
    </w:lvl>
    <w:lvl w:ilvl="1" w:tplc="9F10A0BA" w:tentative="1">
      <w:start w:val="1"/>
      <w:numFmt w:val="bullet"/>
      <w:lvlText w:val="o"/>
      <w:lvlJc w:val="left"/>
      <w:pPr>
        <w:ind w:left="1440" w:hanging="360"/>
      </w:pPr>
      <w:rPr>
        <w:rFonts w:ascii="Courier New" w:hAnsi="Courier New" w:cs="Courier New" w:hint="default"/>
      </w:rPr>
    </w:lvl>
    <w:lvl w:ilvl="2" w:tplc="733AF68E" w:tentative="1">
      <w:start w:val="1"/>
      <w:numFmt w:val="bullet"/>
      <w:lvlText w:val=""/>
      <w:lvlJc w:val="left"/>
      <w:pPr>
        <w:ind w:left="2160" w:hanging="360"/>
      </w:pPr>
      <w:rPr>
        <w:rFonts w:ascii="Wingdings" w:hAnsi="Wingdings" w:hint="default"/>
      </w:rPr>
    </w:lvl>
    <w:lvl w:ilvl="3" w:tplc="27D2170A" w:tentative="1">
      <w:start w:val="1"/>
      <w:numFmt w:val="bullet"/>
      <w:lvlText w:val=""/>
      <w:lvlJc w:val="left"/>
      <w:pPr>
        <w:ind w:left="2880" w:hanging="360"/>
      </w:pPr>
      <w:rPr>
        <w:rFonts w:ascii="Symbol" w:hAnsi="Symbol" w:hint="default"/>
      </w:rPr>
    </w:lvl>
    <w:lvl w:ilvl="4" w:tplc="25F69BF6" w:tentative="1">
      <w:start w:val="1"/>
      <w:numFmt w:val="bullet"/>
      <w:lvlText w:val="o"/>
      <w:lvlJc w:val="left"/>
      <w:pPr>
        <w:ind w:left="3600" w:hanging="360"/>
      </w:pPr>
      <w:rPr>
        <w:rFonts w:ascii="Courier New" w:hAnsi="Courier New" w:cs="Courier New" w:hint="default"/>
      </w:rPr>
    </w:lvl>
    <w:lvl w:ilvl="5" w:tplc="BCFEF2EA" w:tentative="1">
      <w:start w:val="1"/>
      <w:numFmt w:val="bullet"/>
      <w:lvlText w:val=""/>
      <w:lvlJc w:val="left"/>
      <w:pPr>
        <w:ind w:left="4320" w:hanging="360"/>
      </w:pPr>
      <w:rPr>
        <w:rFonts w:ascii="Wingdings" w:hAnsi="Wingdings" w:hint="default"/>
      </w:rPr>
    </w:lvl>
    <w:lvl w:ilvl="6" w:tplc="B42A3530" w:tentative="1">
      <w:start w:val="1"/>
      <w:numFmt w:val="bullet"/>
      <w:lvlText w:val=""/>
      <w:lvlJc w:val="left"/>
      <w:pPr>
        <w:ind w:left="5040" w:hanging="360"/>
      </w:pPr>
      <w:rPr>
        <w:rFonts w:ascii="Symbol" w:hAnsi="Symbol" w:hint="default"/>
      </w:rPr>
    </w:lvl>
    <w:lvl w:ilvl="7" w:tplc="C5029A40" w:tentative="1">
      <w:start w:val="1"/>
      <w:numFmt w:val="bullet"/>
      <w:lvlText w:val="o"/>
      <w:lvlJc w:val="left"/>
      <w:pPr>
        <w:ind w:left="5760" w:hanging="360"/>
      </w:pPr>
      <w:rPr>
        <w:rFonts w:ascii="Courier New" w:hAnsi="Courier New" w:cs="Courier New" w:hint="default"/>
      </w:rPr>
    </w:lvl>
    <w:lvl w:ilvl="8" w:tplc="F40C2908"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41689206">
      <w:start w:val="1"/>
      <w:numFmt w:val="lowerLetter"/>
      <w:pStyle w:val="CETnumberinga"/>
      <w:lvlText w:val="%1."/>
      <w:lvlJc w:val="left"/>
      <w:pPr>
        <w:ind w:left="340" w:hanging="227"/>
      </w:pPr>
      <w:rPr>
        <w:rFonts w:hint="default"/>
      </w:rPr>
    </w:lvl>
    <w:lvl w:ilvl="1" w:tplc="7F6486AC" w:tentative="1">
      <w:start w:val="1"/>
      <w:numFmt w:val="bullet"/>
      <w:lvlText w:val="o"/>
      <w:lvlJc w:val="left"/>
      <w:pPr>
        <w:ind w:left="1440" w:hanging="360"/>
      </w:pPr>
      <w:rPr>
        <w:rFonts w:ascii="Courier New" w:hAnsi="Courier New" w:cs="Courier New" w:hint="default"/>
      </w:rPr>
    </w:lvl>
    <w:lvl w:ilvl="2" w:tplc="FB523316" w:tentative="1">
      <w:start w:val="1"/>
      <w:numFmt w:val="bullet"/>
      <w:lvlText w:val=""/>
      <w:lvlJc w:val="left"/>
      <w:pPr>
        <w:ind w:left="2160" w:hanging="360"/>
      </w:pPr>
      <w:rPr>
        <w:rFonts w:ascii="Wingdings" w:hAnsi="Wingdings" w:hint="default"/>
      </w:rPr>
    </w:lvl>
    <w:lvl w:ilvl="3" w:tplc="18B40016" w:tentative="1">
      <w:start w:val="1"/>
      <w:numFmt w:val="bullet"/>
      <w:lvlText w:val=""/>
      <w:lvlJc w:val="left"/>
      <w:pPr>
        <w:ind w:left="2880" w:hanging="360"/>
      </w:pPr>
      <w:rPr>
        <w:rFonts w:ascii="Symbol" w:hAnsi="Symbol" w:hint="default"/>
      </w:rPr>
    </w:lvl>
    <w:lvl w:ilvl="4" w:tplc="83B2DB12" w:tentative="1">
      <w:start w:val="1"/>
      <w:numFmt w:val="bullet"/>
      <w:lvlText w:val="o"/>
      <w:lvlJc w:val="left"/>
      <w:pPr>
        <w:ind w:left="3600" w:hanging="360"/>
      </w:pPr>
      <w:rPr>
        <w:rFonts w:ascii="Courier New" w:hAnsi="Courier New" w:cs="Courier New" w:hint="default"/>
      </w:rPr>
    </w:lvl>
    <w:lvl w:ilvl="5" w:tplc="052CA5A6" w:tentative="1">
      <w:start w:val="1"/>
      <w:numFmt w:val="bullet"/>
      <w:lvlText w:val=""/>
      <w:lvlJc w:val="left"/>
      <w:pPr>
        <w:ind w:left="4320" w:hanging="360"/>
      </w:pPr>
      <w:rPr>
        <w:rFonts w:ascii="Wingdings" w:hAnsi="Wingdings" w:hint="default"/>
      </w:rPr>
    </w:lvl>
    <w:lvl w:ilvl="6" w:tplc="80F236D4" w:tentative="1">
      <w:start w:val="1"/>
      <w:numFmt w:val="bullet"/>
      <w:lvlText w:val=""/>
      <w:lvlJc w:val="left"/>
      <w:pPr>
        <w:ind w:left="5040" w:hanging="360"/>
      </w:pPr>
      <w:rPr>
        <w:rFonts w:ascii="Symbol" w:hAnsi="Symbol" w:hint="default"/>
      </w:rPr>
    </w:lvl>
    <w:lvl w:ilvl="7" w:tplc="B7D8548A" w:tentative="1">
      <w:start w:val="1"/>
      <w:numFmt w:val="bullet"/>
      <w:lvlText w:val="o"/>
      <w:lvlJc w:val="left"/>
      <w:pPr>
        <w:ind w:left="5760" w:hanging="360"/>
      </w:pPr>
      <w:rPr>
        <w:rFonts w:ascii="Courier New" w:hAnsi="Courier New" w:cs="Courier New" w:hint="default"/>
      </w:rPr>
    </w:lvl>
    <w:lvl w:ilvl="8" w:tplc="B2C81050" w:tentative="1">
      <w:start w:val="1"/>
      <w:numFmt w:val="bullet"/>
      <w:lvlText w:val=""/>
      <w:lvlJc w:val="left"/>
      <w:pPr>
        <w:ind w:left="6480" w:hanging="360"/>
      </w:pPr>
      <w:rPr>
        <w:rFonts w:ascii="Wingdings" w:hAnsi="Wingdings" w:hint="default"/>
      </w:rPr>
    </w:lvl>
  </w:abstractNum>
  <w:num w:numId="1" w16cid:durableId="2080318947">
    <w:abstractNumId w:val="10"/>
  </w:num>
  <w:num w:numId="2" w16cid:durableId="891648388">
    <w:abstractNumId w:val="8"/>
  </w:num>
  <w:num w:numId="3" w16cid:durableId="779253423">
    <w:abstractNumId w:val="3"/>
  </w:num>
  <w:num w:numId="4" w16cid:durableId="293221289">
    <w:abstractNumId w:val="2"/>
  </w:num>
  <w:num w:numId="5" w16cid:durableId="419370441">
    <w:abstractNumId w:val="1"/>
  </w:num>
  <w:num w:numId="6" w16cid:durableId="580409489">
    <w:abstractNumId w:val="0"/>
  </w:num>
  <w:num w:numId="7" w16cid:durableId="2019385290">
    <w:abstractNumId w:val="9"/>
  </w:num>
  <w:num w:numId="8" w16cid:durableId="1263874661">
    <w:abstractNumId w:val="7"/>
  </w:num>
  <w:num w:numId="9" w16cid:durableId="1490099464">
    <w:abstractNumId w:val="6"/>
  </w:num>
  <w:num w:numId="10" w16cid:durableId="1677881300">
    <w:abstractNumId w:val="5"/>
  </w:num>
  <w:num w:numId="11" w16cid:durableId="902760379">
    <w:abstractNumId w:val="4"/>
  </w:num>
  <w:num w:numId="12" w16cid:durableId="2014869038">
    <w:abstractNumId w:val="17"/>
  </w:num>
  <w:num w:numId="13" w16cid:durableId="750735799">
    <w:abstractNumId w:val="12"/>
  </w:num>
  <w:num w:numId="14" w16cid:durableId="1349022919">
    <w:abstractNumId w:val="18"/>
  </w:num>
  <w:num w:numId="15" w16cid:durableId="1305505111">
    <w:abstractNumId w:val="20"/>
  </w:num>
  <w:num w:numId="16" w16cid:durableId="1405252570">
    <w:abstractNumId w:val="19"/>
  </w:num>
  <w:num w:numId="17" w16cid:durableId="1297830327">
    <w:abstractNumId w:val="11"/>
  </w:num>
  <w:num w:numId="18" w16cid:durableId="369763451">
    <w:abstractNumId w:val="12"/>
    <w:lvlOverride w:ilvl="0">
      <w:startOverride w:val="1"/>
    </w:lvlOverride>
  </w:num>
  <w:num w:numId="19" w16cid:durableId="337078319">
    <w:abstractNumId w:val="16"/>
  </w:num>
  <w:num w:numId="20" w16cid:durableId="292565657">
    <w:abstractNumId w:val="15"/>
  </w:num>
  <w:num w:numId="21" w16cid:durableId="1897810886">
    <w:abstractNumId w:val="14"/>
  </w:num>
  <w:num w:numId="22" w16cid:durableId="1942375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4FAKk8yLctAAAA"/>
  </w:docVars>
  <w:rsids>
    <w:rsidRoot w:val="000E414A"/>
    <w:rsid w:val="00001DE2"/>
    <w:rsid w:val="000027C0"/>
    <w:rsid w:val="000052FB"/>
    <w:rsid w:val="000107A9"/>
    <w:rsid w:val="000117CB"/>
    <w:rsid w:val="0003148D"/>
    <w:rsid w:val="00031EEC"/>
    <w:rsid w:val="00051566"/>
    <w:rsid w:val="000562A9"/>
    <w:rsid w:val="00057892"/>
    <w:rsid w:val="00062A9A"/>
    <w:rsid w:val="00065058"/>
    <w:rsid w:val="00086C39"/>
    <w:rsid w:val="00093A49"/>
    <w:rsid w:val="000A03B2"/>
    <w:rsid w:val="000D0268"/>
    <w:rsid w:val="000D34BE"/>
    <w:rsid w:val="000E102F"/>
    <w:rsid w:val="000E36F1"/>
    <w:rsid w:val="000E3A73"/>
    <w:rsid w:val="000E414A"/>
    <w:rsid w:val="000F093C"/>
    <w:rsid w:val="000F787B"/>
    <w:rsid w:val="0012091F"/>
    <w:rsid w:val="00126BC2"/>
    <w:rsid w:val="001308B6"/>
    <w:rsid w:val="0013121F"/>
    <w:rsid w:val="00131FE6"/>
    <w:rsid w:val="0013263F"/>
    <w:rsid w:val="001331DF"/>
    <w:rsid w:val="00134DE4"/>
    <w:rsid w:val="0014034D"/>
    <w:rsid w:val="00144D16"/>
    <w:rsid w:val="00150E59"/>
    <w:rsid w:val="00152DE3"/>
    <w:rsid w:val="00164CF9"/>
    <w:rsid w:val="001667A6"/>
    <w:rsid w:val="00184AD6"/>
    <w:rsid w:val="001A4AF7"/>
    <w:rsid w:val="001B0349"/>
    <w:rsid w:val="001B1E93"/>
    <w:rsid w:val="001B65C1"/>
    <w:rsid w:val="001C684B"/>
    <w:rsid w:val="001D0CFB"/>
    <w:rsid w:val="001D21AF"/>
    <w:rsid w:val="001D53FC"/>
    <w:rsid w:val="001F42A5"/>
    <w:rsid w:val="001F7B9D"/>
    <w:rsid w:val="00201C93"/>
    <w:rsid w:val="002224B4"/>
    <w:rsid w:val="002447EF"/>
    <w:rsid w:val="00251550"/>
    <w:rsid w:val="00263B05"/>
    <w:rsid w:val="0027221A"/>
    <w:rsid w:val="00275B61"/>
    <w:rsid w:val="00280FAF"/>
    <w:rsid w:val="00281447"/>
    <w:rsid w:val="00282656"/>
    <w:rsid w:val="00293D18"/>
    <w:rsid w:val="00296B83"/>
    <w:rsid w:val="002B4015"/>
    <w:rsid w:val="002B78CE"/>
    <w:rsid w:val="002C2FB6"/>
    <w:rsid w:val="002E5FA7"/>
    <w:rsid w:val="002F3309"/>
    <w:rsid w:val="003008CE"/>
    <w:rsid w:val="003009B7"/>
    <w:rsid w:val="00300E56"/>
    <w:rsid w:val="0030152C"/>
    <w:rsid w:val="0030469C"/>
    <w:rsid w:val="00310F54"/>
    <w:rsid w:val="00311081"/>
    <w:rsid w:val="00321CA6"/>
    <w:rsid w:val="00323763"/>
    <w:rsid w:val="00323C5F"/>
    <w:rsid w:val="00334C09"/>
    <w:rsid w:val="003723D4"/>
    <w:rsid w:val="00381905"/>
    <w:rsid w:val="00384CC8"/>
    <w:rsid w:val="003871FD"/>
    <w:rsid w:val="003A1E30"/>
    <w:rsid w:val="003A2829"/>
    <w:rsid w:val="003A7D1C"/>
    <w:rsid w:val="003B304B"/>
    <w:rsid w:val="003B3146"/>
    <w:rsid w:val="003F015E"/>
    <w:rsid w:val="00400414"/>
    <w:rsid w:val="0041446B"/>
    <w:rsid w:val="0043575D"/>
    <w:rsid w:val="0044071E"/>
    <w:rsid w:val="0044329C"/>
    <w:rsid w:val="00453E24"/>
    <w:rsid w:val="00457456"/>
    <w:rsid w:val="004577FE"/>
    <w:rsid w:val="00457B9C"/>
    <w:rsid w:val="0046164A"/>
    <w:rsid w:val="00462380"/>
    <w:rsid w:val="004628D2"/>
    <w:rsid w:val="00462DCD"/>
    <w:rsid w:val="004648AD"/>
    <w:rsid w:val="004703A9"/>
    <w:rsid w:val="004760DE"/>
    <w:rsid w:val="004763D7"/>
    <w:rsid w:val="004A004E"/>
    <w:rsid w:val="004A1D8E"/>
    <w:rsid w:val="004A24CF"/>
    <w:rsid w:val="004C3D1D"/>
    <w:rsid w:val="004C3D84"/>
    <w:rsid w:val="004C7913"/>
    <w:rsid w:val="004E4DD6"/>
    <w:rsid w:val="004F5E36"/>
    <w:rsid w:val="00507B47"/>
    <w:rsid w:val="00507BEF"/>
    <w:rsid w:val="00507CC9"/>
    <w:rsid w:val="005119A5"/>
    <w:rsid w:val="005134AB"/>
    <w:rsid w:val="0052031F"/>
    <w:rsid w:val="005278B7"/>
    <w:rsid w:val="00532016"/>
    <w:rsid w:val="005322A5"/>
    <w:rsid w:val="005346C8"/>
    <w:rsid w:val="00543E7D"/>
    <w:rsid w:val="00544F8A"/>
    <w:rsid w:val="00547A68"/>
    <w:rsid w:val="005531C9"/>
    <w:rsid w:val="00570C43"/>
    <w:rsid w:val="005B2110"/>
    <w:rsid w:val="005B61E6"/>
    <w:rsid w:val="005C1D30"/>
    <w:rsid w:val="005C77E1"/>
    <w:rsid w:val="005D668A"/>
    <w:rsid w:val="005D6A2F"/>
    <w:rsid w:val="005E1A82"/>
    <w:rsid w:val="005E794C"/>
    <w:rsid w:val="005F0A28"/>
    <w:rsid w:val="005F0E5E"/>
    <w:rsid w:val="005F3D54"/>
    <w:rsid w:val="00600535"/>
    <w:rsid w:val="00610CD6"/>
    <w:rsid w:val="00620DEE"/>
    <w:rsid w:val="00621F92"/>
    <w:rsid w:val="0062280A"/>
    <w:rsid w:val="00625639"/>
    <w:rsid w:val="00631B33"/>
    <w:rsid w:val="0064184D"/>
    <w:rsid w:val="006422CC"/>
    <w:rsid w:val="00653C10"/>
    <w:rsid w:val="00660184"/>
    <w:rsid w:val="00660E3E"/>
    <w:rsid w:val="00662E74"/>
    <w:rsid w:val="00680C23"/>
    <w:rsid w:val="00693766"/>
    <w:rsid w:val="006A3281"/>
    <w:rsid w:val="006B450C"/>
    <w:rsid w:val="006B4888"/>
    <w:rsid w:val="006C2E45"/>
    <w:rsid w:val="006C359C"/>
    <w:rsid w:val="006C5579"/>
    <w:rsid w:val="006D6E8B"/>
    <w:rsid w:val="006E737D"/>
    <w:rsid w:val="00713973"/>
    <w:rsid w:val="00720A24"/>
    <w:rsid w:val="00732386"/>
    <w:rsid w:val="0073514D"/>
    <w:rsid w:val="007447F3"/>
    <w:rsid w:val="0075499F"/>
    <w:rsid w:val="007661C8"/>
    <w:rsid w:val="0077098D"/>
    <w:rsid w:val="007931FA"/>
    <w:rsid w:val="007A4861"/>
    <w:rsid w:val="007A7BBA"/>
    <w:rsid w:val="007B0C50"/>
    <w:rsid w:val="007B48F9"/>
    <w:rsid w:val="007C1A43"/>
    <w:rsid w:val="007D0951"/>
    <w:rsid w:val="0080013E"/>
    <w:rsid w:val="00801C96"/>
    <w:rsid w:val="00813288"/>
    <w:rsid w:val="00813FC2"/>
    <w:rsid w:val="008168FC"/>
    <w:rsid w:val="00830996"/>
    <w:rsid w:val="008345F1"/>
    <w:rsid w:val="00865B07"/>
    <w:rsid w:val="008667EA"/>
    <w:rsid w:val="0087637F"/>
    <w:rsid w:val="00892AD5"/>
    <w:rsid w:val="008A1512"/>
    <w:rsid w:val="008D32B9"/>
    <w:rsid w:val="008D428A"/>
    <w:rsid w:val="008D433B"/>
    <w:rsid w:val="008D4A16"/>
    <w:rsid w:val="008E566E"/>
    <w:rsid w:val="0090161A"/>
    <w:rsid w:val="00901EB6"/>
    <w:rsid w:val="00904C62"/>
    <w:rsid w:val="00922BA8"/>
    <w:rsid w:val="00924DAC"/>
    <w:rsid w:val="00927058"/>
    <w:rsid w:val="0093026B"/>
    <w:rsid w:val="00942750"/>
    <w:rsid w:val="009450CE"/>
    <w:rsid w:val="009459BB"/>
    <w:rsid w:val="00947179"/>
    <w:rsid w:val="0095164B"/>
    <w:rsid w:val="00954090"/>
    <w:rsid w:val="009573E7"/>
    <w:rsid w:val="00963E05"/>
    <w:rsid w:val="00964A45"/>
    <w:rsid w:val="00967843"/>
    <w:rsid w:val="00967D54"/>
    <w:rsid w:val="00971028"/>
    <w:rsid w:val="00971B39"/>
    <w:rsid w:val="00993B84"/>
    <w:rsid w:val="00996483"/>
    <w:rsid w:val="00996F5A"/>
    <w:rsid w:val="009B041A"/>
    <w:rsid w:val="009C37C3"/>
    <w:rsid w:val="009C3E99"/>
    <w:rsid w:val="009C7C86"/>
    <w:rsid w:val="009D2FF7"/>
    <w:rsid w:val="009E7884"/>
    <w:rsid w:val="009E788A"/>
    <w:rsid w:val="009F0E08"/>
    <w:rsid w:val="009F1339"/>
    <w:rsid w:val="00A1763D"/>
    <w:rsid w:val="00A17CEC"/>
    <w:rsid w:val="00A27EF0"/>
    <w:rsid w:val="00A42361"/>
    <w:rsid w:val="00A50B20"/>
    <w:rsid w:val="00A51390"/>
    <w:rsid w:val="00A60D13"/>
    <w:rsid w:val="00A7223D"/>
    <w:rsid w:val="00A72745"/>
    <w:rsid w:val="00A76EFC"/>
    <w:rsid w:val="00A87D50"/>
    <w:rsid w:val="00A91010"/>
    <w:rsid w:val="00A97F29"/>
    <w:rsid w:val="00AA702E"/>
    <w:rsid w:val="00AA7D26"/>
    <w:rsid w:val="00AB0964"/>
    <w:rsid w:val="00AB5011"/>
    <w:rsid w:val="00AC0FD3"/>
    <w:rsid w:val="00AC7368"/>
    <w:rsid w:val="00AC7854"/>
    <w:rsid w:val="00AD16B9"/>
    <w:rsid w:val="00AE377D"/>
    <w:rsid w:val="00AF0EBA"/>
    <w:rsid w:val="00AF305F"/>
    <w:rsid w:val="00AF6FD3"/>
    <w:rsid w:val="00B02C8A"/>
    <w:rsid w:val="00B153E5"/>
    <w:rsid w:val="00B17FBD"/>
    <w:rsid w:val="00B2392E"/>
    <w:rsid w:val="00B315A6"/>
    <w:rsid w:val="00B31813"/>
    <w:rsid w:val="00B33365"/>
    <w:rsid w:val="00B57B36"/>
    <w:rsid w:val="00B57E6F"/>
    <w:rsid w:val="00B8686D"/>
    <w:rsid w:val="00B93F69"/>
    <w:rsid w:val="00B97E2B"/>
    <w:rsid w:val="00BA1EF1"/>
    <w:rsid w:val="00BB1DDC"/>
    <w:rsid w:val="00BC30C9"/>
    <w:rsid w:val="00BD077D"/>
    <w:rsid w:val="00BE2748"/>
    <w:rsid w:val="00BE3E58"/>
    <w:rsid w:val="00BE4E6E"/>
    <w:rsid w:val="00C01616"/>
    <w:rsid w:val="00C0162B"/>
    <w:rsid w:val="00C068ED"/>
    <w:rsid w:val="00C22E0C"/>
    <w:rsid w:val="00C345B1"/>
    <w:rsid w:val="00C40142"/>
    <w:rsid w:val="00C42B73"/>
    <w:rsid w:val="00C52C3C"/>
    <w:rsid w:val="00C57182"/>
    <w:rsid w:val="00C57863"/>
    <w:rsid w:val="00C640AF"/>
    <w:rsid w:val="00C655FD"/>
    <w:rsid w:val="00C75407"/>
    <w:rsid w:val="00C870A8"/>
    <w:rsid w:val="00C94434"/>
    <w:rsid w:val="00CA0D75"/>
    <w:rsid w:val="00CA1C95"/>
    <w:rsid w:val="00CA5A9C"/>
    <w:rsid w:val="00CC4C20"/>
    <w:rsid w:val="00CD3517"/>
    <w:rsid w:val="00CD5FE2"/>
    <w:rsid w:val="00CE7C68"/>
    <w:rsid w:val="00D02B4C"/>
    <w:rsid w:val="00D040C4"/>
    <w:rsid w:val="00D20AD1"/>
    <w:rsid w:val="00D46B7E"/>
    <w:rsid w:val="00D57C84"/>
    <w:rsid w:val="00D6057D"/>
    <w:rsid w:val="00D71640"/>
    <w:rsid w:val="00D836C5"/>
    <w:rsid w:val="00D84576"/>
    <w:rsid w:val="00DA1399"/>
    <w:rsid w:val="00DA24C6"/>
    <w:rsid w:val="00DA4D7B"/>
    <w:rsid w:val="00DD271C"/>
    <w:rsid w:val="00DE264A"/>
    <w:rsid w:val="00DF5072"/>
    <w:rsid w:val="00E00181"/>
    <w:rsid w:val="00E02D18"/>
    <w:rsid w:val="00E041E7"/>
    <w:rsid w:val="00E23CA1"/>
    <w:rsid w:val="00E409A8"/>
    <w:rsid w:val="00E50C12"/>
    <w:rsid w:val="00E65B91"/>
    <w:rsid w:val="00E7209D"/>
    <w:rsid w:val="00E72EAD"/>
    <w:rsid w:val="00E77223"/>
    <w:rsid w:val="00E8528B"/>
    <w:rsid w:val="00E85B94"/>
    <w:rsid w:val="00E978D0"/>
    <w:rsid w:val="00EA4613"/>
    <w:rsid w:val="00EA59D3"/>
    <w:rsid w:val="00EA7F91"/>
    <w:rsid w:val="00EB1523"/>
    <w:rsid w:val="00EC0E49"/>
    <w:rsid w:val="00EC101F"/>
    <w:rsid w:val="00EC1D9F"/>
    <w:rsid w:val="00ED7311"/>
    <w:rsid w:val="00EE0131"/>
    <w:rsid w:val="00EE17B0"/>
    <w:rsid w:val="00EE58E7"/>
    <w:rsid w:val="00EF06D9"/>
    <w:rsid w:val="00F055A0"/>
    <w:rsid w:val="00F3049E"/>
    <w:rsid w:val="00F30C64"/>
    <w:rsid w:val="00F32BA2"/>
    <w:rsid w:val="00F32CDB"/>
    <w:rsid w:val="00F4218C"/>
    <w:rsid w:val="00F54F52"/>
    <w:rsid w:val="00F565FE"/>
    <w:rsid w:val="00F63A70"/>
    <w:rsid w:val="00F63D8C"/>
    <w:rsid w:val="00F7534E"/>
    <w:rsid w:val="00F93EDF"/>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DF8C-D810-4438-A9D5-60D8292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7570</Words>
  <Characters>43152</Characters>
  <Application>Microsoft Office Word</Application>
  <DocSecurity>0</DocSecurity>
  <Lines>359</Lines>
  <Paragraphs>101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Aristide Giuliano</cp:lastModifiedBy>
  <cp:revision>2</cp:revision>
  <cp:lastPrinted>2015-05-12T18:31:00Z</cp:lastPrinted>
  <dcterms:created xsi:type="dcterms:W3CDTF">2023-03-27T07:56:00Z</dcterms:created>
  <dcterms:modified xsi:type="dcterms:W3CDTF">2023-03-27T07:56:00Z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id="gmSio6OV"/&gt;&lt;style id="http://www.zotero.org/styles/computers-and-chemical-engineering" hasBibliography="1" bibliographyStyleHasBeenSet="1"/&gt;&lt;prefs&gt;&lt;pref name="fieldType" value="Field"/&gt;&lt;pref name</vt:lpwstr>
  </property>
  <property fmtid="{D5CDD505-2E9C-101B-9397-08002B2CF9AE}" pid="3" name="ZOTERO_PREF_2">
    <vt:lpwstr>="storeReferences" value="true"/&gt;&lt;/prefs&gt;&lt;/data&gt;</vt:lpwstr>
  </property>
</Properties>
</file>