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FFBC630" w:rsidR="00E978D0" w:rsidRPr="00B57B36" w:rsidRDefault="001555C8" w:rsidP="00E978D0">
      <w:pPr>
        <w:pStyle w:val="CETTitle"/>
      </w:pPr>
      <w:r>
        <w:t>Molecular Distillation: the development of a unit operation into Aspen Plus</w:t>
      </w:r>
      <w:r>
        <w:sym w:font="Symbol" w:char="F0E2"/>
      </w:r>
      <w:r>
        <w:t xml:space="preserve"> for centrifugal and falling film</w:t>
      </w:r>
    </w:p>
    <w:p w14:paraId="0488FED2" w14:textId="6A80D8D7" w:rsidR="00B57E6F" w:rsidRPr="00C051EF" w:rsidRDefault="001555C8" w:rsidP="00B57E6F">
      <w:pPr>
        <w:pStyle w:val="CETAuthors"/>
        <w:rPr>
          <w:lang w:val="pt-BR"/>
        </w:rPr>
      </w:pPr>
      <w:r w:rsidRPr="009C4E64">
        <w:rPr>
          <w:lang w:val="pt-BR"/>
        </w:rPr>
        <w:t>Ana E. L. Budin</w:t>
      </w:r>
      <w:r w:rsidRPr="009C4E64">
        <w:rPr>
          <w:vertAlign w:val="superscript"/>
          <w:lang w:val="pt-BR"/>
        </w:rPr>
        <w:t xml:space="preserve"> a,</w:t>
      </w:r>
      <w:r w:rsidRPr="009C4E64">
        <w:rPr>
          <w:lang w:val="pt-BR"/>
        </w:rPr>
        <w:t>*</w:t>
      </w:r>
      <w:r w:rsidR="00B57E6F" w:rsidRPr="009C4E64">
        <w:rPr>
          <w:lang w:val="pt-BR"/>
        </w:rPr>
        <w:t xml:space="preserve">, </w:t>
      </w:r>
      <w:r w:rsidRPr="009C4E64">
        <w:rPr>
          <w:lang w:val="pt-BR"/>
        </w:rPr>
        <w:t>Henderson I. Quintero</w:t>
      </w:r>
      <w:r w:rsidRPr="009C4E64">
        <w:rPr>
          <w:vertAlign w:val="superscript"/>
          <w:lang w:val="pt-BR"/>
        </w:rPr>
        <w:t>b</w:t>
      </w:r>
      <w:r w:rsidRPr="009C4E64">
        <w:rPr>
          <w:lang w:val="pt-BR"/>
        </w:rPr>
        <w:t>, Cesar B. Batistella</w:t>
      </w:r>
      <w:r w:rsidRPr="009C4E64">
        <w:rPr>
          <w:vertAlign w:val="superscript"/>
          <w:lang w:val="pt-BR"/>
        </w:rPr>
        <w:t>a</w:t>
      </w:r>
      <w:r w:rsidR="00B57E6F" w:rsidRPr="009C4E64">
        <w:rPr>
          <w:lang w:val="pt-BR"/>
        </w:rPr>
        <w:t xml:space="preserve">, </w:t>
      </w:r>
      <w:r w:rsidRPr="009C4E64">
        <w:rPr>
          <w:lang w:val="pt-BR"/>
        </w:rPr>
        <w:t xml:space="preserve">Maria R. </w:t>
      </w:r>
      <w:r w:rsidRPr="00127A69">
        <w:rPr>
          <w:color w:val="000000" w:themeColor="text1"/>
          <w:lang w:val="pt-BR"/>
        </w:rPr>
        <w:t>W</w:t>
      </w:r>
      <w:r w:rsidR="00CB3699" w:rsidRPr="0002079E">
        <w:rPr>
          <w:color w:val="000000" w:themeColor="text1"/>
          <w:lang w:val="pt-BR"/>
        </w:rPr>
        <w:t>olf</w:t>
      </w:r>
      <w:r w:rsidRPr="0002079E">
        <w:rPr>
          <w:color w:val="000000" w:themeColor="text1"/>
          <w:lang w:val="pt-BR"/>
        </w:rPr>
        <w:t xml:space="preserve"> </w:t>
      </w:r>
      <w:r w:rsidRPr="00C051EF">
        <w:rPr>
          <w:lang w:val="pt-BR"/>
        </w:rPr>
        <w:t>Maciel</w:t>
      </w:r>
      <w:r w:rsidRPr="00C051EF">
        <w:rPr>
          <w:vertAlign w:val="superscript"/>
          <w:lang w:val="pt-BR"/>
        </w:rPr>
        <w:t>a</w:t>
      </w:r>
      <w:r w:rsidRPr="00C051EF">
        <w:rPr>
          <w:lang w:val="pt-BR"/>
        </w:rPr>
        <w:t xml:space="preserve"> </w:t>
      </w:r>
    </w:p>
    <w:p w14:paraId="63163AEF" w14:textId="77777777" w:rsidR="001555C8" w:rsidRPr="00B57B36" w:rsidRDefault="001555C8" w:rsidP="001555C8">
      <w:pPr>
        <w:pStyle w:val="CETAddress"/>
      </w:pPr>
      <w:r w:rsidRPr="00B57B36">
        <w:rPr>
          <w:vertAlign w:val="superscript"/>
        </w:rPr>
        <w:t>a</w:t>
      </w:r>
      <w:r>
        <w:t xml:space="preserve">Laboratory of Separation Process Development (LDPS), School of Chemical Engineering, University of Campinas, Brazil. </w:t>
      </w:r>
    </w:p>
    <w:p w14:paraId="66DFCF3E" w14:textId="77777777" w:rsidR="001555C8" w:rsidRPr="00B57B36" w:rsidRDefault="001555C8" w:rsidP="001555C8">
      <w:pPr>
        <w:pStyle w:val="CETAddress"/>
      </w:pPr>
      <w:r w:rsidRPr="00B57B36">
        <w:rPr>
          <w:vertAlign w:val="superscript"/>
        </w:rPr>
        <w:t>b</w:t>
      </w:r>
      <w:r>
        <w:t>Research and Development Center, Ecopetrol, Bucaramanga, Colombia.</w:t>
      </w:r>
      <w:r w:rsidRPr="00B57B36">
        <w:t xml:space="preserve"> </w:t>
      </w:r>
    </w:p>
    <w:p w14:paraId="3160A13C" w14:textId="05E9E75F" w:rsidR="001555C8" w:rsidRPr="001555C8" w:rsidRDefault="001555C8" w:rsidP="00694788">
      <w:pPr>
        <w:pStyle w:val="CETemail"/>
      </w:pPr>
      <w:r>
        <w:t xml:space="preserve"> </w:t>
      </w:r>
      <w:hyperlink r:id="rId10" w:history="1">
        <w:r w:rsidR="00CB3699" w:rsidRPr="00127A69">
          <w:t>anaelisalista@gmail.com</w:t>
        </w:r>
      </w:hyperlink>
      <w:r w:rsidR="00CB3699">
        <w:t xml:space="preserve"> </w:t>
      </w:r>
    </w:p>
    <w:p w14:paraId="5E6C569D" w14:textId="227F6ACB" w:rsidR="001555C8" w:rsidRPr="00127A69" w:rsidRDefault="001555C8" w:rsidP="001555C8">
      <w:pPr>
        <w:rPr>
          <w:rStyle w:val="fontstyle01"/>
          <w:rFonts w:ascii="Arial" w:hAnsi="Arial"/>
          <w:color w:val="000000" w:themeColor="text1"/>
          <w:sz w:val="18"/>
          <w:szCs w:val="20"/>
        </w:rPr>
      </w:pPr>
      <w:r w:rsidRPr="00127A69">
        <w:rPr>
          <w:color w:val="000000" w:themeColor="text1"/>
        </w:rPr>
        <w:t xml:space="preserve">Molecular distillation is an important separation </w:t>
      </w:r>
      <w:r w:rsidRPr="0002079E">
        <w:rPr>
          <w:color w:val="000000" w:themeColor="text1"/>
        </w:rPr>
        <w:t>uni</w:t>
      </w:r>
      <w:r w:rsidR="00127A69" w:rsidRPr="0002079E">
        <w:rPr>
          <w:color w:val="000000" w:themeColor="text1"/>
        </w:rPr>
        <w:t>t</w:t>
      </w:r>
      <w:r w:rsidR="00DC4827" w:rsidRPr="0002079E">
        <w:rPr>
          <w:color w:val="000000" w:themeColor="text1"/>
        </w:rPr>
        <w:t>. I</w:t>
      </w:r>
      <w:r w:rsidR="00127A69" w:rsidRPr="0002079E">
        <w:rPr>
          <w:color w:val="000000" w:themeColor="text1"/>
        </w:rPr>
        <w:t>t</w:t>
      </w:r>
      <w:r w:rsidR="00CB3699" w:rsidRPr="0002079E">
        <w:rPr>
          <w:color w:val="000000" w:themeColor="text1"/>
        </w:rPr>
        <w:t xml:space="preserve"> </w:t>
      </w:r>
      <w:r w:rsidRPr="0002079E">
        <w:rPr>
          <w:color w:val="000000" w:themeColor="text1"/>
        </w:rPr>
        <w:t>operates</w:t>
      </w:r>
      <w:r w:rsidRPr="00DC4827">
        <w:rPr>
          <w:color w:val="FF0000"/>
        </w:rPr>
        <w:t xml:space="preserve"> </w:t>
      </w:r>
      <w:r w:rsidRPr="00127A69">
        <w:rPr>
          <w:color w:val="000000" w:themeColor="text1"/>
        </w:rPr>
        <w:t xml:space="preserve">under low pressure and low temperature, assuring no thermal degradation to the molecules. This is an essential alternative, especially for larger molecules. However, the </w:t>
      </w:r>
      <w:r w:rsidRPr="005958F5">
        <w:t>commercial simulat</w:t>
      </w:r>
      <w:r w:rsidR="00504FF7" w:rsidRPr="005958F5">
        <w:t>or</w:t>
      </w:r>
      <w:r w:rsidRPr="005958F5">
        <w:t xml:space="preserve"> Aspen </w:t>
      </w:r>
      <w:r w:rsidRPr="00127A69">
        <w:rPr>
          <w:color w:val="000000" w:themeColor="text1"/>
        </w:rPr>
        <w:t>Plus® does not contain th</w:t>
      </w:r>
      <w:r w:rsidR="00CB3699" w:rsidRPr="00127A69">
        <w:rPr>
          <w:color w:val="000000" w:themeColor="text1"/>
        </w:rPr>
        <w:t>e</w:t>
      </w:r>
      <w:r w:rsidRPr="00127A69">
        <w:rPr>
          <w:color w:val="000000" w:themeColor="text1"/>
        </w:rPr>
        <w:t xml:space="preserve"> tool to simulate</w:t>
      </w:r>
      <w:r w:rsidR="00CB3699" w:rsidRPr="00127A69">
        <w:rPr>
          <w:color w:val="000000" w:themeColor="text1"/>
        </w:rPr>
        <w:t xml:space="preserve"> this process</w:t>
      </w:r>
      <w:r w:rsidRPr="00127A69">
        <w:rPr>
          <w:color w:val="000000" w:themeColor="text1"/>
        </w:rPr>
        <w:t xml:space="preserve">. In this context, this paper aims to compare different </w:t>
      </w:r>
      <w:r w:rsidRPr="00694788">
        <w:rPr>
          <w:color w:val="000000" w:themeColor="text1"/>
        </w:rPr>
        <w:t>tools in the commercial simulator Aspen Plus® to emulate molecular distillation</w:t>
      </w:r>
      <w:r w:rsidR="00CB3699" w:rsidRPr="00694788">
        <w:rPr>
          <w:color w:val="000000" w:themeColor="text1"/>
        </w:rPr>
        <w:t xml:space="preserve"> for</w:t>
      </w:r>
      <w:r w:rsidRPr="00694788">
        <w:rPr>
          <w:color w:val="000000" w:themeColor="text1"/>
        </w:rPr>
        <w:t xml:space="preserve"> falling film and centrifugal </w:t>
      </w:r>
      <w:r w:rsidR="00694788" w:rsidRPr="00694788">
        <w:rPr>
          <w:color w:val="000000" w:themeColor="text1"/>
        </w:rPr>
        <w:t>equipment</w:t>
      </w:r>
      <w:r w:rsidRPr="00694788">
        <w:rPr>
          <w:color w:val="000000" w:themeColor="text1"/>
        </w:rPr>
        <w:t xml:space="preserve">. </w:t>
      </w:r>
      <w:r w:rsidRPr="00127A69">
        <w:rPr>
          <w:color w:val="000000" w:themeColor="text1"/>
        </w:rPr>
        <w:t>A Flash vessel and a rate-based column were used to represent the falling film and centrifugal molecular distillation</w:t>
      </w:r>
      <w:r w:rsidR="00CB3699" w:rsidRPr="00127A69">
        <w:rPr>
          <w:color w:val="000000" w:themeColor="text1"/>
        </w:rPr>
        <w:t>s</w:t>
      </w:r>
      <w:r w:rsidRPr="00127A69">
        <w:rPr>
          <w:color w:val="000000" w:themeColor="text1"/>
        </w:rPr>
        <w:t>, respectively. A Flash vessel was used to represent the centrifugal distillation due to its faster residence time. The rate-based column operates at non-equilibrium being suitable to emulate the falling film. The simulation results were compared to experimental data in the literature published by some of the authors of this paper. This study supports the idea of simulating the molecular distillation integrated with other units in the commercial simulator Aspen Plus</w:t>
      </w:r>
      <w:r w:rsidRPr="00694788">
        <w:rPr>
          <w:color w:val="000000" w:themeColor="text1"/>
        </w:rPr>
        <w:t>®. Th</w:t>
      </w:r>
      <w:r w:rsidR="001A01FF" w:rsidRPr="00694788">
        <w:rPr>
          <w:color w:val="000000" w:themeColor="text1"/>
        </w:rPr>
        <w:t>is</w:t>
      </w:r>
      <w:r w:rsidRPr="00694788">
        <w:rPr>
          <w:color w:val="000000" w:themeColor="text1"/>
        </w:rPr>
        <w:t xml:space="preserve"> paper contributes</w:t>
      </w:r>
      <w:r w:rsidR="00CB3699" w:rsidRPr="00694788">
        <w:rPr>
          <w:color w:val="000000" w:themeColor="text1"/>
        </w:rPr>
        <w:t xml:space="preserve">, then, to a way to carry out simulations of this </w:t>
      </w:r>
      <w:r w:rsidR="00127A69" w:rsidRPr="00694788">
        <w:rPr>
          <w:color w:val="000000" w:themeColor="text1"/>
        </w:rPr>
        <w:t>non-conventional</w:t>
      </w:r>
      <w:r w:rsidR="00CB3699" w:rsidRPr="00694788">
        <w:rPr>
          <w:color w:val="000000" w:themeColor="text1"/>
        </w:rPr>
        <w:t xml:space="preserve"> process</w:t>
      </w:r>
      <w:r w:rsidRPr="00694788">
        <w:rPr>
          <w:color w:val="000000" w:themeColor="text1"/>
        </w:rPr>
        <w:t xml:space="preserve"> </w:t>
      </w:r>
      <w:r w:rsidR="00CB3699" w:rsidRPr="00694788">
        <w:rPr>
          <w:color w:val="000000" w:themeColor="text1"/>
        </w:rPr>
        <w:t xml:space="preserve">and </w:t>
      </w:r>
      <w:r w:rsidRPr="00694788">
        <w:rPr>
          <w:color w:val="000000" w:themeColor="text1"/>
        </w:rPr>
        <w:t xml:space="preserve">to a cost-effective </w:t>
      </w:r>
      <w:r w:rsidRPr="00127A69">
        <w:rPr>
          <w:color w:val="000000" w:themeColor="text1"/>
        </w:rPr>
        <w:t>process design since the simulation is not fragmented allowing techn</w:t>
      </w:r>
      <w:r w:rsidR="00670B7F" w:rsidRPr="00127A69">
        <w:rPr>
          <w:color w:val="000000" w:themeColor="text1"/>
        </w:rPr>
        <w:t xml:space="preserve">ical </w:t>
      </w:r>
      <w:r w:rsidRPr="00127A69">
        <w:rPr>
          <w:color w:val="000000" w:themeColor="text1"/>
        </w:rPr>
        <w:t>economic analys</w:t>
      </w:r>
      <w:r w:rsidR="00670B7F" w:rsidRPr="00127A69">
        <w:rPr>
          <w:color w:val="000000" w:themeColor="text1"/>
        </w:rPr>
        <w:t>e</w:t>
      </w:r>
      <w:r w:rsidRPr="00127A69">
        <w:rPr>
          <w:color w:val="000000" w:themeColor="text1"/>
        </w:rPr>
        <w:t>s.</w:t>
      </w:r>
    </w:p>
    <w:p w14:paraId="34A23344" w14:textId="3AFFFA25" w:rsidR="0045344C" w:rsidRPr="00552122" w:rsidRDefault="00600535" w:rsidP="0045344C">
      <w:pPr>
        <w:pStyle w:val="CETHeading1"/>
        <w:rPr>
          <w:lang w:val="en-GB"/>
        </w:rPr>
      </w:pPr>
      <w:r w:rsidRPr="00B57B36">
        <w:rPr>
          <w:lang w:val="en-GB"/>
        </w:rPr>
        <w:t>Introduction</w:t>
      </w:r>
    </w:p>
    <w:p w14:paraId="4D6AA478" w14:textId="3667F62C" w:rsidR="006E2B34" w:rsidRPr="0090158F" w:rsidRDefault="0045344C" w:rsidP="0045344C">
      <w:pPr>
        <w:pStyle w:val="CETBodytext"/>
        <w:rPr>
          <w:color w:val="000000" w:themeColor="text1"/>
          <w:lang w:val="en-GB"/>
        </w:rPr>
      </w:pPr>
      <w:r w:rsidRPr="0090158F">
        <w:rPr>
          <w:color w:val="000000" w:themeColor="text1"/>
          <w:lang w:val="en-GB"/>
        </w:rPr>
        <w:t xml:space="preserve">Molecular distillation is </w:t>
      </w:r>
      <w:r w:rsidR="00A73039" w:rsidRPr="0090158F">
        <w:rPr>
          <w:color w:val="000000" w:themeColor="text1"/>
          <w:lang w:val="en-GB"/>
        </w:rPr>
        <w:t>a</w:t>
      </w:r>
      <w:r w:rsidRPr="0090158F">
        <w:rPr>
          <w:color w:val="000000" w:themeColor="text1"/>
          <w:lang w:val="en-GB"/>
        </w:rPr>
        <w:t xml:space="preserve"> </w:t>
      </w:r>
      <w:r w:rsidR="00A73039" w:rsidRPr="0090158F">
        <w:rPr>
          <w:color w:val="000000" w:themeColor="text1"/>
          <w:lang w:val="en-GB"/>
        </w:rPr>
        <w:t>special</w:t>
      </w:r>
      <w:r w:rsidRPr="0090158F">
        <w:rPr>
          <w:color w:val="000000" w:themeColor="text1"/>
          <w:lang w:val="en-GB"/>
        </w:rPr>
        <w:t xml:space="preserve"> type of vaporization where the mechanism happens at the molecular level. </w:t>
      </w:r>
      <w:r w:rsidR="00852985" w:rsidRPr="0090158F">
        <w:rPr>
          <w:color w:val="000000" w:themeColor="text1"/>
          <w:lang w:val="en-GB"/>
        </w:rPr>
        <w:t xml:space="preserve">In addition to the boiling temperature difference, the vaporization mechanism is driven by two factors: high vacuum pressure and the distillation gap. The “molecular” </w:t>
      </w:r>
      <w:r w:rsidR="00FB04A9" w:rsidRPr="0090158F">
        <w:rPr>
          <w:color w:val="000000" w:themeColor="text1"/>
          <w:lang w:val="en-GB"/>
        </w:rPr>
        <w:t xml:space="preserve">term </w:t>
      </w:r>
      <w:r w:rsidR="00852985" w:rsidRPr="0090158F">
        <w:rPr>
          <w:color w:val="000000" w:themeColor="text1"/>
          <w:lang w:val="en-GB"/>
        </w:rPr>
        <w:t xml:space="preserve">stands for the fact that the gap between the evaporator and </w:t>
      </w:r>
      <w:r w:rsidR="00E16BDC" w:rsidRPr="0090158F">
        <w:rPr>
          <w:color w:val="000000" w:themeColor="text1"/>
          <w:lang w:val="en-GB"/>
        </w:rPr>
        <w:t xml:space="preserve">the </w:t>
      </w:r>
      <w:r w:rsidR="00852985" w:rsidRPr="0090158F">
        <w:rPr>
          <w:color w:val="000000" w:themeColor="text1"/>
          <w:lang w:val="en-GB"/>
        </w:rPr>
        <w:t xml:space="preserve">condenser is </w:t>
      </w:r>
      <w:r w:rsidR="00E16BDC" w:rsidRPr="0090158F">
        <w:rPr>
          <w:color w:val="000000" w:themeColor="text1"/>
          <w:lang w:val="en-GB"/>
        </w:rPr>
        <w:t xml:space="preserve">in the order of </w:t>
      </w:r>
      <w:r w:rsidR="00852985" w:rsidRPr="0090158F">
        <w:rPr>
          <w:color w:val="000000" w:themeColor="text1"/>
          <w:lang w:val="en-GB"/>
        </w:rPr>
        <w:t xml:space="preserve">the mean free path of evaporated molecules. </w:t>
      </w:r>
      <w:r w:rsidR="00C83F92" w:rsidRPr="0090158F">
        <w:rPr>
          <w:color w:val="000000" w:themeColor="text1"/>
          <w:lang w:val="en-GB"/>
        </w:rPr>
        <w:t xml:space="preserve">A remarkable difference between molecular and conventional distillation is the non-equilibrium </w:t>
      </w:r>
      <w:r w:rsidR="00A73039" w:rsidRPr="0090158F">
        <w:rPr>
          <w:color w:val="000000" w:themeColor="text1"/>
          <w:lang w:val="en-GB"/>
        </w:rPr>
        <w:t>thermodynamics</w:t>
      </w:r>
      <w:r w:rsidR="00C83F92" w:rsidRPr="0090158F">
        <w:rPr>
          <w:color w:val="000000" w:themeColor="text1"/>
          <w:lang w:val="en-GB"/>
        </w:rPr>
        <w:t xml:space="preserve">. </w:t>
      </w:r>
      <w:r w:rsidR="005B3000" w:rsidRPr="0090158F">
        <w:rPr>
          <w:color w:val="000000" w:themeColor="text1"/>
          <w:lang w:val="en-GB"/>
        </w:rPr>
        <w:t>The specific gap distance guarantees the non-returning of the molecules when they achieve the condenser and a maximum evaporation rate, consequently</w:t>
      </w:r>
      <w:r w:rsidR="00C932B1" w:rsidRPr="0090158F">
        <w:rPr>
          <w:color w:val="000000" w:themeColor="text1"/>
          <w:lang w:val="en-GB"/>
        </w:rPr>
        <w:t xml:space="preserve"> (</w:t>
      </w:r>
      <w:r w:rsidR="00C932B1" w:rsidRPr="0090158F">
        <w:rPr>
          <w:color w:val="000000" w:themeColor="text1"/>
        </w:rPr>
        <w:t>Engy et. al, 2021)</w:t>
      </w:r>
      <w:r w:rsidR="005B3000" w:rsidRPr="0090158F">
        <w:rPr>
          <w:color w:val="000000" w:themeColor="text1"/>
          <w:lang w:val="en-GB"/>
        </w:rPr>
        <w:t>.</w:t>
      </w:r>
      <w:r w:rsidR="00461075" w:rsidRPr="0090158F">
        <w:rPr>
          <w:color w:val="000000" w:themeColor="text1"/>
          <w:lang w:val="en-GB"/>
        </w:rPr>
        <w:t xml:space="preserve"> </w:t>
      </w:r>
    </w:p>
    <w:p w14:paraId="00AE0695" w14:textId="2412275A" w:rsidR="00716391" w:rsidRPr="0090158F" w:rsidRDefault="00461075" w:rsidP="0045344C">
      <w:pPr>
        <w:pStyle w:val="CETBodytext"/>
        <w:rPr>
          <w:color w:val="000000" w:themeColor="text1"/>
          <w:lang w:val="en-GB"/>
        </w:rPr>
      </w:pPr>
      <w:r w:rsidRPr="0090158F">
        <w:rPr>
          <w:color w:val="000000" w:themeColor="text1"/>
          <w:lang w:val="en-GB"/>
        </w:rPr>
        <w:t xml:space="preserve">Conventional distillations are ruled by </w:t>
      </w:r>
      <w:r w:rsidR="008475C9" w:rsidRPr="0090158F">
        <w:rPr>
          <w:color w:val="000000" w:themeColor="text1"/>
          <w:lang w:val="en-GB"/>
        </w:rPr>
        <w:t xml:space="preserve">the </w:t>
      </w:r>
      <w:r w:rsidRPr="0090158F">
        <w:rPr>
          <w:color w:val="000000" w:themeColor="text1"/>
          <w:lang w:val="en-GB"/>
        </w:rPr>
        <w:t xml:space="preserve">equilibrium thermodynamic </w:t>
      </w:r>
      <w:r w:rsidR="00E16BDC" w:rsidRPr="0090158F">
        <w:rPr>
          <w:color w:val="000000" w:themeColor="text1"/>
          <w:lang w:val="en-GB"/>
        </w:rPr>
        <w:t xml:space="preserve">and </w:t>
      </w:r>
      <w:r w:rsidR="00E16BDC" w:rsidRPr="0002079E">
        <w:rPr>
          <w:color w:val="000000" w:themeColor="text1"/>
          <w:lang w:val="en-GB"/>
        </w:rPr>
        <w:t xml:space="preserve">it can </w:t>
      </w:r>
      <w:r w:rsidRPr="0002079E">
        <w:rPr>
          <w:color w:val="000000" w:themeColor="text1"/>
          <w:lang w:val="en-GB"/>
        </w:rPr>
        <w:t xml:space="preserve">demand </w:t>
      </w:r>
      <w:r w:rsidR="000E7307" w:rsidRPr="0002079E">
        <w:rPr>
          <w:color w:val="000000" w:themeColor="text1"/>
          <w:lang w:val="en-GB"/>
        </w:rPr>
        <w:t xml:space="preserve">operation at </w:t>
      </w:r>
      <w:r w:rsidRPr="0002079E">
        <w:rPr>
          <w:color w:val="000000" w:themeColor="text1"/>
          <w:lang w:val="en-GB"/>
        </w:rPr>
        <w:t>high</w:t>
      </w:r>
      <w:r w:rsidRPr="000E7307">
        <w:rPr>
          <w:color w:val="FF0000"/>
          <w:lang w:val="en-GB"/>
        </w:rPr>
        <w:t xml:space="preserve"> </w:t>
      </w:r>
      <w:r w:rsidRPr="0090158F">
        <w:rPr>
          <w:color w:val="000000" w:themeColor="text1"/>
          <w:lang w:val="en-GB"/>
        </w:rPr>
        <w:t>temperatures to achieve high yield and purification</w:t>
      </w:r>
      <w:r w:rsidR="00E16BDC" w:rsidRPr="0090158F">
        <w:rPr>
          <w:color w:val="000000" w:themeColor="text1"/>
          <w:lang w:val="en-GB"/>
        </w:rPr>
        <w:t xml:space="preserve"> in </w:t>
      </w:r>
      <w:r w:rsidR="008A383A" w:rsidRPr="0090158F">
        <w:rPr>
          <w:color w:val="000000" w:themeColor="text1"/>
          <w:lang w:val="en-GB"/>
        </w:rPr>
        <w:t>many</w:t>
      </w:r>
      <w:r w:rsidR="00E16BDC" w:rsidRPr="0090158F">
        <w:rPr>
          <w:color w:val="000000" w:themeColor="text1"/>
          <w:lang w:val="en-GB"/>
        </w:rPr>
        <w:t xml:space="preserve"> application cases</w:t>
      </w:r>
      <w:r w:rsidRPr="0090158F">
        <w:rPr>
          <w:color w:val="000000" w:themeColor="text1"/>
          <w:lang w:val="en-GB"/>
        </w:rPr>
        <w:t xml:space="preserve">. The higher the temperature the higher the chances of molecules degradation, especially for larger molecules. </w:t>
      </w:r>
      <w:r w:rsidR="008A383A" w:rsidRPr="0090158F">
        <w:rPr>
          <w:color w:val="000000" w:themeColor="text1"/>
          <w:lang w:val="en-GB"/>
        </w:rPr>
        <w:t xml:space="preserve">These kinds of molecules are normally found nowadays due to new process and product developments. </w:t>
      </w:r>
      <w:r w:rsidR="005945D4" w:rsidRPr="0090158F">
        <w:rPr>
          <w:color w:val="000000" w:themeColor="text1"/>
          <w:lang w:val="en-GB"/>
        </w:rPr>
        <w:t xml:space="preserve">Besides the high efficiency of vaporization, molecular distillation operates at </w:t>
      </w:r>
      <w:r w:rsidR="00A73039" w:rsidRPr="0090158F">
        <w:rPr>
          <w:color w:val="000000" w:themeColor="text1"/>
          <w:lang w:val="en-GB"/>
        </w:rPr>
        <w:t xml:space="preserve">a </w:t>
      </w:r>
      <w:r w:rsidRPr="0090158F">
        <w:rPr>
          <w:color w:val="000000" w:themeColor="text1"/>
          <w:lang w:val="en-GB"/>
        </w:rPr>
        <w:t xml:space="preserve">high vacuum </w:t>
      </w:r>
      <w:r w:rsidR="005945D4" w:rsidRPr="0090158F">
        <w:rPr>
          <w:color w:val="000000" w:themeColor="text1"/>
          <w:lang w:val="en-GB"/>
        </w:rPr>
        <w:t xml:space="preserve">which </w:t>
      </w:r>
      <w:r w:rsidRPr="0090158F">
        <w:rPr>
          <w:color w:val="000000" w:themeColor="text1"/>
          <w:lang w:val="en-GB"/>
        </w:rPr>
        <w:t>diminishes the boiling temperature</w:t>
      </w:r>
      <w:r w:rsidR="005945D4" w:rsidRPr="0090158F">
        <w:rPr>
          <w:color w:val="000000" w:themeColor="text1"/>
          <w:lang w:val="en-GB"/>
        </w:rPr>
        <w:t xml:space="preserve"> and molecular degradation chances considerably.</w:t>
      </w:r>
      <w:r w:rsidR="00AB3159" w:rsidRPr="0090158F">
        <w:rPr>
          <w:color w:val="000000" w:themeColor="text1"/>
          <w:lang w:val="en-GB"/>
        </w:rPr>
        <w:t xml:space="preserve"> Due </w:t>
      </w:r>
      <w:r w:rsidR="00A73039" w:rsidRPr="0090158F">
        <w:rPr>
          <w:color w:val="000000" w:themeColor="text1"/>
          <w:lang w:val="en-GB"/>
        </w:rPr>
        <w:t xml:space="preserve">to </w:t>
      </w:r>
      <w:r w:rsidR="00AB3159" w:rsidRPr="0090158F">
        <w:rPr>
          <w:color w:val="000000" w:themeColor="text1"/>
          <w:lang w:val="en-GB"/>
        </w:rPr>
        <w:t>its high efficiency</w:t>
      </w:r>
      <w:r w:rsidR="00716391" w:rsidRPr="0090158F">
        <w:rPr>
          <w:color w:val="000000" w:themeColor="text1"/>
          <w:lang w:val="en-GB"/>
        </w:rPr>
        <w:t>,</w:t>
      </w:r>
      <w:r w:rsidR="00AB3159" w:rsidRPr="0090158F">
        <w:rPr>
          <w:color w:val="000000" w:themeColor="text1"/>
          <w:lang w:val="en-GB"/>
        </w:rPr>
        <w:t xml:space="preserve"> </w:t>
      </w:r>
      <w:r w:rsidR="00716391" w:rsidRPr="0090158F">
        <w:rPr>
          <w:color w:val="000000" w:themeColor="text1"/>
          <w:lang w:val="en-GB"/>
        </w:rPr>
        <w:t>molecu</w:t>
      </w:r>
      <w:r w:rsidR="00AB3159" w:rsidRPr="0090158F">
        <w:rPr>
          <w:color w:val="000000" w:themeColor="text1"/>
          <w:lang w:val="en-GB"/>
        </w:rPr>
        <w:t>lar</w:t>
      </w:r>
      <w:r w:rsidR="00716391" w:rsidRPr="0090158F">
        <w:rPr>
          <w:color w:val="000000" w:themeColor="text1"/>
          <w:lang w:val="en-GB"/>
        </w:rPr>
        <w:t xml:space="preserve"> distillation has large</w:t>
      </w:r>
      <w:r w:rsidR="00AB3159" w:rsidRPr="0090158F">
        <w:rPr>
          <w:color w:val="000000" w:themeColor="text1"/>
          <w:lang w:val="en-GB"/>
        </w:rPr>
        <w:t xml:space="preserve"> applicability</w:t>
      </w:r>
      <w:r w:rsidR="00716391" w:rsidRPr="0090158F">
        <w:rPr>
          <w:color w:val="000000" w:themeColor="text1"/>
          <w:lang w:val="en-GB"/>
        </w:rPr>
        <w:t xml:space="preserve"> in the market</w:t>
      </w:r>
      <w:r w:rsidR="00C932B1" w:rsidRPr="0090158F">
        <w:rPr>
          <w:color w:val="000000" w:themeColor="text1"/>
          <w:lang w:val="en-GB"/>
        </w:rPr>
        <w:t xml:space="preserve"> (</w:t>
      </w:r>
      <w:r w:rsidR="00C932B1" w:rsidRPr="0090158F">
        <w:rPr>
          <w:color w:val="000000" w:themeColor="text1"/>
        </w:rPr>
        <w:t>Engy et. al, 2021)</w:t>
      </w:r>
      <w:r w:rsidR="00C932B1" w:rsidRPr="0090158F">
        <w:rPr>
          <w:color w:val="000000" w:themeColor="text1"/>
          <w:lang w:val="en-GB"/>
        </w:rPr>
        <w:t xml:space="preserve">. </w:t>
      </w:r>
      <w:r w:rsidR="00AB3159" w:rsidRPr="0090158F">
        <w:rPr>
          <w:color w:val="000000" w:themeColor="text1"/>
          <w:lang w:val="en-GB"/>
        </w:rPr>
        <w:t xml:space="preserve"> </w:t>
      </w:r>
    </w:p>
    <w:p w14:paraId="163F352A" w14:textId="4DE0611F" w:rsidR="00716391" w:rsidRPr="0090158F" w:rsidRDefault="00716391" w:rsidP="0045344C">
      <w:pPr>
        <w:pStyle w:val="CETBodytext"/>
        <w:rPr>
          <w:color w:val="000000" w:themeColor="text1"/>
          <w:lang w:val="en-GB"/>
        </w:rPr>
      </w:pPr>
      <w:r w:rsidRPr="0090158F">
        <w:rPr>
          <w:color w:val="000000" w:themeColor="text1"/>
          <w:lang w:val="en-GB"/>
        </w:rPr>
        <w:t xml:space="preserve">Two configurations can be found for molecular distillation: falling film and centrifugal. </w:t>
      </w:r>
      <w:r w:rsidR="00F37651" w:rsidRPr="0090158F">
        <w:rPr>
          <w:color w:val="000000" w:themeColor="text1"/>
          <w:lang w:val="en-GB"/>
        </w:rPr>
        <w:t xml:space="preserve">The mechanism principle described previously is the </w:t>
      </w:r>
      <w:r w:rsidR="005D0F7E" w:rsidRPr="0090158F">
        <w:rPr>
          <w:color w:val="000000" w:themeColor="text1"/>
          <w:lang w:val="en-GB"/>
        </w:rPr>
        <w:t>same</w:t>
      </w:r>
      <w:r w:rsidR="00420BFC" w:rsidRPr="0090158F">
        <w:rPr>
          <w:color w:val="000000" w:themeColor="text1"/>
          <w:lang w:val="en-GB"/>
        </w:rPr>
        <w:t xml:space="preserve"> for both</w:t>
      </w:r>
      <w:r w:rsidR="005D0F7E" w:rsidRPr="0090158F">
        <w:rPr>
          <w:color w:val="000000" w:themeColor="text1"/>
          <w:lang w:val="en-GB"/>
        </w:rPr>
        <w:t>,</w:t>
      </w:r>
      <w:r w:rsidR="00F37651" w:rsidRPr="0090158F">
        <w:rPr>
          <w:color w:val="000000" w:themeColor="text1"/>
          <w:lang w:val="en-GB"/>
        </w:rPr>
        <w:t xml:space="preserve"> but the geometry configuration is distinct for each one. </w:t>
      </w:r>
      <w:r w:rsidR="005D0F7E" w:rsidRPr="0090158F">
        <w:rPr>
          <w:color w:val="000000" w:themeColor="text1"/>
          <w:lang w:val="en-GB"/>
        </w:rPr>
        <w:t>Either falling film or centrifugal has a</w:t>
      </w:r>
      <w:r w:rsidR="00694788">
        <w:rPr>
          <w:color w:val="000000" w:themeColor="text1"/>
          <w:lang w:val="en-GB"/>
        </w:rPr>
        <w:t xml:space="preserve">n </w:t>
      </w:r>
      <w:r w:rsidR="005D0F7E" w:rsidRPr="0090158F">
        <w:rPr>
          <w:color w:val="000000" w:themeColor="text1"/>
          <w:lang w:val="en-GB"/>
        </w:rPr>
        <w:t>evaporator surrounded by a condenser or vice versa inside the device. The main point is how the fluid</w:t>
      </w:r>
      <w:r w:rsidR="00392C1E" w:rsidRPr="0090158F">
        <w:rPr>
          <w:color w:val="000000" w:themeColor="text1"/>
          <w:lang w:val="en-GB"/>
        </w:rPr>
        <w:t xml:space="preserve"> flows</w:t>
      </w:r>
      <w:r w:rsidR="005D0F7E" w:rsidRPr="0090158F">
        <w:rPr>
          <w:color w:val="000000" w:themeColor="text1"/>
          <w:lang w:val="en-GB"/>
        </w:rPr>
        <w:t xml:space="preserve">; the falling film and centrifugal molecular distillation </w:t>
      </w:r>
      <w:r w:rsidR="00A73039" w:rsidRPr="0090158F">
        <w:rPr>
          <w:color w:val="000000" w:themeColor="text1"/>
          <w:lang w:val="en-GB"/>
        </w:rPr>
        <w:t>are</w:t>
      </w:r>
      <w:r w:rsidR="005D0F7E" w:rsidRPr="0090158F">
        <w:rPr>
          <w:color w:val="000000" w:themeColor="text1"/>
          <w:lang w:val="en-GB"/>
        </w:rPr>
        <w:t xml:space="preserve"> ruled by gravitational and centrifugal force, respectively. </w:t>
      </w:r>
      <w:r w:rsidR="00392C1E" w:rsidRPr="0090158F">
        <w:rPr>
          <w:color w:val="000000" w:themeColor="text1"/>
          <w:lang w:val="en-GB"/>
        </w:rPr>
        <w:t xml:space="preserve">The falling film distillation is governed by gravitation force which drives the fluid to the evaporator surface in a thin laminar fluid layer. </w:t>
      </w:r>
      <w:r w:rsidR="00A73039" w:rsidRPr="0090158F">
        <w:rPr>
          <w:color w:val="000000" w:themeColor="text1"/>
          <w:lang w:val="en-GB"/>
        </w:rPr>
        <w:t>Centrifugal</w:t>
      </w:r>
      <w:r w:rsidR="005D0F7E" w:rsidRPr="0090158F">
        <w:rPr>
          <w:color w:val="000000" w:themeColor="text1"/>
          <w:lang w:val="en-GB"/>
        </w:rPr>
        <w:t xml:space="preserve"> </w:t>
      </w:r>
      <w:r w:rsidR="00420BFC" w:rsidRPr="0090158F">
        <w:rPr>
          <w:color w:val="000000" w:themeColor="text1"/>
          <w:lang w:val="en-GB"/>
        </w:rPr>
        <w:t>distillation usually has a conical surface where the feed stream is directed to the rotor channel which spreads the fluid evenly. Since in this case</w:t>
      </w:r>
      <w:r w:rsidR="00A73039" w:rsidRPr="0090158F">
        <w:rPr>
          <w:color w:val="000000" w:themeColor="text1"/>
          <w:lang w:val="en-GB"/>
        </w:rPr>
        <w:t>,</w:t>
      </w:r>
      <w:r w:rsidR="00420BFC" w:rsidRPr="0090158F">
        <w:rPr>
          <w:color w:val="000000" w:themeColor="text1"/>
          <w:lang w:val="en-GB"/>
        </w:rPr>
        <w:t xml:space="preserve"> the gravitation is negligible in comparison to the centrifugal force, the residence time is very </w:t>
      </w:r>
      <w:r w:rsidR="00A73039" w:rsidRPr="0090158F">
        <w:rPr>
          <w:color w:val="000000" w:themeColor="text1"/>
          <w:lang w:val="en-GB"/>
        </w:rPr>
        <w:t>short</w:t>
      </w:r>
      <w:r w:rsidR="00420BFC" w:rsidRPr="0090158F">
        <w:rPr>
          <w:color w:val="000000" w:themeColor="text1"/>
          <w:lang w:val="en-GB"/>
        </w:rPr>
        <w:t xml:space="preserve">. Centrifugal distillation is very </w:t>
      </w:r>
      <w:r w:rsidR="00420BFC" w:rsidRPr="0090158F">
        <w:rPr>
          <w:color w:val="000000" w:themeColor="text1"/>
          <w:lang w:val="en-GB"/>
        </w:rPr>
        <w:lastRenderedPageBreak/>
        <w:t>suitable to separate large molecules</w:t>
      </w:r>
      <w:r w:rsidR="000102B8" w:rsidRPr="0090158F">
        <w:rPr>
          <w:color w:val="000000" w:themeColor="text1"/>
          <w:lang w:val="en-GB"/>
        </w:rPr>
        <w:t xml:space="preserve"> due </w:t>
      </w:r>
      <w:r w:rsidR="00A73039" w:rsidRPr="0090158F">
        <w:rPr>
          <w:color w:val="000000" w:themeColor="text1"/>
          <w:lang w:val="en-GB"/>
        </w:rPr>
        <w:t xml:space="preserve">to </w:t>
      </w:r>
      <w:r w:rsidR="000102B8" w:rsidRPr="0090158F">
        <w:rPr>
          <w:color w:val="000000" w:themeColor="text1"/>
          <w:lang w:val="en-GB"/>
        </w:rPr>
        <w:t>its short residence time diminishing the risks of molecule degradation.</w:t>
      </w:r>
      <w:r w:rsidR="009C3E9B" w:rsidRPr="0090158F">
        <w:rPr>
          <w:color w:val="000000" w:themeColor="text1"/>
          <w:lang w:val="en-GB"/>
        </w:rPr>
        <w:t xml:space="preserve"> </w:t>
      </w:r>
      <w:r w:rsidR="004630FC" w:rsidRPr="0090158F">
        <w:rPr>
          <w:color w:val="000000" w:themeColor="text1"/>
          <w:lang w:val="en-GB"/>
        </w:rPr>
        <w:t xml:space="preserve">Both </w:t>
      </w:r>
      <w:r w:rsidR="00A73039" w:rsidRPr="0090158F">
        <w:rPr>
          <w:color w:val="000000" w:themeColor="text1"/>
          <w:lang w:val="en-GB"/>
        </w:rPr>
        <w:t>deliver</w:t>
      </w:r>
      <w:r w:rsidR="004630FC" w:rsidRPr="0090158F">
        <w:rPr>
          <w:color w:val="000000" w:themeColor="text1"/>
          <w:lang w:val="en-GB"/>
        </w:rPr>
        <w:t xml:space="preserve"> high yield and purification results being suitable to many case-study in the industry. </w:t>
      </w:r>
    </w:p>
    <w:p w14:paraId="4552EBB1" w14:textId="697DA999" w:rsidR="006A7F84" w:rsidRPr="0090158F" w:rsidRDefault="008475C9" w:rsidP="0045344C">
      <w:pPr>
        <w:pStyle w:val="CETBodytext"/>
        <w:rPr>
          <w:color w:val="000000" w:themeColor="text1"/>
          <w:lang w:val="en-GB"/>
        </w:rPr>
      </w:pPr>
      <w:r w:rsidRPr="0090158F">
        <w:rPr>
          <w:color w:val="000000" w:themeColor="text1"/>
          <w:lang w:val="en-GB"/>
        </w:rPr>
        <w:t xml:space="preserve">However, </w:t>
      </w:r>
      <w:r w:rsidR="00B90A2F" w:rsidRPr="0090158F">
        <w:rPr>
          <w:color w:val="000000" w:themeColor="text1"/>
          <w:lang w:val="en-GB"/>
        </w:rPr>
        <w:t>research today needs experimental trials to foresee outcomes, and this is not always feasible. The commercial software Aspen Plus is a well-known tool to predict chemical processes and does not contemplate molecular distillation as an operation unit.</w:t>
      </w:r>
      <w:r w:rsidR="00143AE3" w:rsidRPr="0090158F">
        <w:rPr>
          <w:color w:val="000000" w:themeColor="text1"/>
          <w:lang w:val="en-GB"/>
        </w:rPr>
        <w:t xml:space="preserve"> </w:t>
      </w:r>
    </w:p>
    <w:p w14:paraId="5734139E" w14:textId="5D09F2E9" w:rsidR="00856081" w:rsidRPr="00781A1A" w:rsidRDefault="006A7F84" w:rsidP="0045344C">
      <w:pPr>
        <w:pStyle w:val="CETBodytext"/>
        <w:rPr>
          <w:color w:val="000000" w:themeColor="text1"/>
          <w:lang w:val="en-GB"/>
        </w:rPr>
      </w:pPr>
      <w:proofErr w:type="spellStart"/>
      <w:r w:rsidRPr="0090158F">
        <w:rPr>
          <w:color w:val="000000" w:themeColor="text1"/>
          <w:lang w:val="en-GB"/>
        </w:rPr>
        <w:t>Batistella</w:t>
      </w:r>
      <w:proofErr w:type="spellEnd"/>
      <w:r w:rsidRPr="0090158F">
        <w:rPr>
          <w:color w:val="000000" w:themeColor="text1"/>
          <w:lang w:val="en-GB"/>
        </w:rPr>
        <w:t xml:space="preserve"> and </w:t>
      </w:r>
      <w:r w:rsidR="00131622">
        <w:rPr>
          <w:color w:val="000000" w:themeColor="text1"/>
          <w:lang w:val="en-GB"/>
        </w:rPr>
        <w:t xml:space="preserve">Wolf </w:t>
      </w:r>
      <w:proofErr w:type="spellStart"/>
      <w:r w:rsidRPr="0090158F">
        <w:rPr>
          <w:color w:val="000000" w:themeColor="text1"/>
          <w:lang w:val="en-GB"/>
        </w:rPr>
        <w:t>Maciel</w:t>
      </w:r>
      <w:proofErr w:type="spellEnd"/>
      <w:r w:rsidRPr="0090158F">
        <w:rPr>
          <w:color w:val="000000" w:themeColor="text1"/>
          <w:lang w:val="en-GB"/>
        </w:rPr>
        <w:t xml:space="preserve"> (1996) developed a program called DISMOL simulator to represent molecular distillation. Martinello (2003) also developed a code but in MATLAB software. Although they found reliable results compared to experimental trials, the simulators are not integrated </w:t>
      </w:r>
      <w:r w:rsidR="00A73039" w:rsidRPr="0090158F">
        <w:rPr>
          <w:color w:val="000000" w:themeColor="text1"/>
          <w:lang w:val="en-GB"/>
        </w:rPr>
        <w:t>into</w:t>
      </w:r>
      <w:r w:rsidRPr="0090158F">
        <w:rPr>
          <w:color w:val="000000" w:themeColor="text1"/>
          <w:lang w:val="en-GB"/>
        </w:rPr>
        <w:t xml:space="preserve"> other operation units.</w:t>
      </w:r>
      <w:r w:rsidR="0018788A" w:rsidRPr="0090158F">
        <w:rPr>
          <w:color w:val="000000" w:themeColor="text1"/>
          <w:lang w:val="en-GB"/>
        </w:rPr>
        <w:t xml:space="preserve"> </w:t>
      </w:r>
      <w:r w:rsidR="00856081" w:rsidRPr="0090158F">
        <w:rPr>
          <w:color w:val="000000" w:themeColor="text1"/>
          <w:lang w:val="en-GB"/>
        </w:rPr>
        <w:t>The practicality of using Aspen Plus</w:t>
      </w:r>
      <w:r w:rsidR="0090158F" w:rsidRPr="0090158F">
        <w:rPr>
          <w:color w:val="000000" w:themeColor="text1"/>
          <w:lang w:val="en-GB"/>
        </w:rPr>
        <w:sym w:font="Symbol" w:char="F0E2"/>
      </w:r>
      <w:r w:rsidR="00856081" w:rsidRPr="0090158F">
        <w:rPr>
          <w:color w:val="000000" w:themeColor="text1"/>
          <w:lang w:val="en-GB"/>
        </w:rPr>
        <w:t xml:space="preserve"> attracted many </w:t>
      </w:r>
      <w:r w:rsidR="00A73039" w:rsidRPr="0090158F">
        <w:rPr>
          <w:color w:val="000000" w:themeColor="text1"/>
          <w:lang w:val="en-GB"/>
        </w:rPr>
        <w:t>case studies</w:t>
      </w:r>
      <w:r w:rsidR="00856081" w:rsidRPr="0090158F">
        <w:rPr>
          <w:color w:val="000000" w:themeColor="text1"/>
          <w:lang w:val="en-GB"/>
        </w:rPr>
        <w:t xml:space="preserve"> to emulate molecular distillation through available tools</w:t>
      </w:r>
      <w:r w:rsidR="00A96481" w:rsidRPr="0090158F">
        <w:rPr>
          <w:color w:val="000000" w:themeColor="text1"/>
          <w:lang w:val="en-GB"/>
        </w:rPr>
        <w:t xml:space="preserve"> (Deng et. al, 2022)</w:t>
      </w:r>
      <w:r w:rsidR="00856081" w:rsidRPr="0090158F">
        <w:rPr>
          <w:color w:val="000000" w:themeColor="text1"/>
          <w:lang w:val="en-GB"/>
        </w:rPr>
        <w:t xml:space="preserve">. </w:t>
      </w:r>
      <w:r w:rsidR="00A96481" w:rsidRPr="0090158F">
        <w:rPr>
          <w:color w:val="000000" w:themeColor="text1"/>
          <w:lang w:val="en-GB"/>
        </w:rPr>
        <w:t xml:space="preserve">However, all emulation presented in the literature used an efficiency factor and required some experimental parameters (evaporator temperature </w:t>
      </w:r>
      <w:r w:rsidR="000E2FE4" w:rsidRPr="0090158F">
        <w:rPr>
          <w:color w:val="000000" w:themeColor="text1"/>
          <w:lang w:val="en-GB"/>
        </w:rPr>
        <w:t>e.</w:t>
      </w:r>
      <w:r w:rsidR="000E2FE4" w:rsidRPr="00781A1A">
        <w:rPr>
          <w:color w:val="000000" w:themeColor="text1"/>
          <w:lang w:val="en-GB"/>
        </w:rPr>
        <w:t>g.</w:t>
      </w:r>
      <w:r w:rsidR="00A96481" w:rsidRPr="00781A1A">
        <w:rPr>
          <w:color w:val="000000" w:themeColor="text1"/>
          <w:lang w:val="en-GB"/>
        </w:rPr>
        <w:t>) to run it</w:t>
      </w:r>
      <w:r w:rsidR="00222875" w:rsidRPr="00781A1A">
        <w:rPr>
          <w:color w:val="000000" w:themeColor="text1"/>
          <w:lang w:val="en-GB"/>
        </w:rPr>
        <w:t xml:space="preserve"> (Tehlah et al., 2017)</w:t>
      </w:r>
      <w:r w:rsidR="00A96481" w:rsidRPr="00781A1A">
        <w:rPr>
          <w:color w:val="000000" w:themeColor="text1"/>
          <w:lang w:val="en-GB"/>
        </w:rPr>
        <w:t xml:space="preserve">. </w:t>
      </w:r>
    </w:p>
    <w:p w14:paraId="4AD4A974" w14:textId="50CC379E" w:rsidR="00444A36" w:rsidRPr="00B93341" w:rsidRDefault="00A96481" w:rsidP="00B93341">
      <w:pPr>
        <w:pStyle w:val="CETBodytext"/>
        <w:rPr>
          <w:color w:val="000000" w:themeColor="text1"/>
          <w:lang w:val="en-GB"/>
        </w:rPr>
      </w:pPr>
      <w:r w:rsidRPr="0090158F">
        <w:rPr>
          <w:color w:val="000000" w:themeColor="text1"/>
          <w:lang w:val="en-GB"/>
        </w:rPr>
        <w:t xml:space="preserve">In this context, the goal of this paper is to emulate molecular distillation </w:t>
      </w:r>
      <w:r w:rsidR="00A73039" w:rsidRPr="0090158F">
        <w:rPr>
          <w:color w:val="000000" w:themeColor="text1"/>
          <w:lang w:val="en-GB"/>
        </w:rPr>
        <w:t>through</w:t>
      </w:r>
      <w:r w:rsidRPr="0090158F">
        <w:rPr>
          <w:color w:val="000000" w:themeColor="text1"/>
          <w:lang w:val="en-GB"/>
        </w:rPr>
        <w:t xml:space="preserve"> available tools in commercial software</w:t>
      </w:r>
      <w:r w:rsidR="003C2490" w:rsidRPr="0090158F">
        <w:rPr>
          <w:color w:val="000000" w:themeColor="text1"/>
          <w:lang w:val="en-GB"/>
        </w:rPr>
        <w:t xml:space="preserve"> but with no efficiency factors</w:t>
      </w:r>
      <w:r w:rsidRPr="0090158F">
        <w:rPr>
          <w:color w:val="000000" w:themeColor="text1"/>
          <w:lang w:val="en-GB"/>
        </w:rPr>
        <w:t>. The falling film and centrifugal distillation will be represented by the column rad-frac (rate-based mode) and the flash vessel, respectively.</w:t>
      </w:r>
      <w:r w:rsidR="003C2490" w:rsidRPr="0090158F">
        <w:rPr>
          <w:color w:val="000000" w:themeColor="text1"/>
          <w:lang w:val="en-GB"/>
        </w:rPr>
        <w:t xml:space="preserve"> </w:t>
      </w:r>
      <w:r w:rsidRPr="0090158F">
        <w:rPr>
          <w:color w:val="000000" w:themeColor="text1"/>
        </w:rPr>
        <w:t>The paper</w:t>
      </w:r>
      <w:r w:rsidR="008068BE" w:rsidRPr="0090158F">
        <w:rPr>
          <w:color w:val="000000" w:themeColor="text1"/>
        </w:rPr>
        <w:t xml:space="preserve"> also</w:t>
      </w:r>
      <w:r w:rsidRPr="0090158F">
        <w:rPr>
          <w:color w:val="000000" w:themeColor="text1"/>
        </w:rPr>
        <w:t xml:space="preserve"> contributes to a cost-effective process design since the simulation is not fragmented a</w:t>
      </w:r>
      <w:r w:rsidRPr="00781A1A">
        <w:rPr>
          <w:color w:val="000000" w:themeColor="text1"/>
        </w:rPr>
        <w:t>llowing</w:t>
      </w:r>
      <w:r w:rsidR="00950C54" w:rsidRPr="00781A1A">
        <w:rPr>
          <w:color w:val="000000" w:themeColor="text1"/>
        </w:rPr>
        <w:t xml:space="preserve"> technical economic analyses</w:t>
      </w:r>
      <w:r w:rsidRPr="00781A1A">
        <w:rPr>
          <w:color w:val="000000" w:themeColor="text1"/>
        </w:rPr>
        <w:t>.</w:t>
      </w:r>
    </w:p>
    <w:p w14:paraId="32EE13D3" w14:textId="6AD0906D" w:rsidR="00617401" w:rsidRDefault="00EB1F19" w:rsidP="00453E24">
      <w:pPr>
        <w:pStyle w:val="CETHeading1"/>
      </w:pPr>
      <w:r>
        <w:t>Molecular Distillation emulation into Aspen Plus</w:t>
      </w:r>
      <w:r w:rsidRPr="00866734">
        <w:rPr>
          <w:vertAlign w:val="superscript"/>
        </w:rPr>
        <w:sym w:font="Symbol" w:char="F0E2"/>
      </w:r>
    </w:p>
    <w:p w14:paraId="77C7B8B4" w14:textId="6DD1E37E" w:rsidR="0089247A" w:rsidRPr="005958F5" w:rsidRDefault="00617401" w:rsidP="00691BEA">
      <w:pPr>
        <w:pStyle w:val="CETBodytext"/>
      </w:pPr>
      <w:r w:rsidRPr="001F1E04">
        <w:rPr>
          <w:color w:val="000000" w:themeColor="text1"/>
        </w:rPr>
        <w:t xml:space="preserve">The </w:t>
      </w:r>
      <w:r w:rsidR="00FE457A" w:rsidRPr="001F1E04">
        <w:rPr>
          <w:color w:val="000000" w:themeColor="text1"/>
        </w:rPr>
        <w:t>validation of molecular distillation using Aspen Plus</w:t>
      </w:r>
      <w:r w:rsidR="0089247A" w:rsidRPr="001F1E04">
        <w:rPr>
          <w:color w:val="000000" w:themeColor="text1"/>
          <w:vertAlign w:val="superscript"/>
        </w:rPr>
        <w:sym w:font="Symbol" w:char="F0D2"/>
      </w:r>
      <w:r w:rsidR="00FE457A" w:rsidRPr="001F1E04">
        <w:rPr>
          <w:color w:val="000000" w:themeColor="text1"/>
        </w:rPr>
        <w:t xml:space="preserve"> tools was based on </w:t>
      </w:r>
      <w:proofErr w:type="spellStart"/>
      <w:r w:rsidR="00FE457A" w:rsidRPr="001F1E04">
        <w:rPr>
          <w:color w:val="000000" w:themeColor="text1"/>
        </w:rPr>
        <w:t>Batistella</w:t>
      </w:r>
      <w:proofErr w:type="spellEnd"/>
      <w:r w:rsidR="00FE457A" w:rsidRPr="001F1E04">
        <w:rPr>
          <w:color w:val="000000" w:themeColor="text1"/>
        </w:rPr>
        <w:t xml:space="preserve"> and </w:t>
      </w:r>
      <w:r w:rsidR="00131622">
        <w:rPr>
          <w:color w:val="000000" w:themeColor="text1"/>
        </w:rPr>
        <w:t xml:space="preserve">Wolf </w:t>
      </w:r>
      <w:proofErr w:type="spellStart"/>
      <w:r w:rsidR="00FE457A" w:rsidRPr="001F1E04">
        <w:rPr>
          <w:color w:val="000000" w:themeColor="text1"/>
        </w:rPr>
        <w:t>Maciel</w:t>
      </w:r>
      <w:proofErr w:type="spellEnd"/>
      <w:r w:rsidR="00FE457A" w:rsidRPr="001F1E04">
        <w:rPr>
          <w:color w:val="000000" w:themeColor="text1"/>
        </w:rPr>
        <w:t xml:space="preserve"> (1996) paper. They compared separation results for a binary mixture </w:t>
      </w:r>
      <w:r w:rsidR="00A73039" w:rsidRPr="001F1E04">
        <w:rPr>
          <w:color w:val="000000" w:themeColor="text1"/>
        </w:rPr>
        <w:t xml:space="preserve">of </w:t>
      </w:r>
      <w:r w:rsidR="009A5AC1" w:rsidRPr="001F1E04">
        <w:rPr>
          <w:color w:val="000000" w:themeColor="text1"/>
        </w:rPr>
        <w:t xml:space="preserve">dibutyl phthalate and dibutyl sebacate </w:t>
      </w:r>
      <w:r w:rsidR="00FE457A" w:rsidRPr="001F1E04">
        <w:rPr>
          <w:color w:val="000000" w:themeColor="text1"/>
        </w:rPr>
        <w:t>(DBP-DBS) through centrifugal and falling film molecular distillation</w:t>
      </w:r>
      <w:r w:rsidR="008068BE" w:rsidRPr="001F1E04">
        <w:rPr>
          <w:color w:val="000000" w:themeColor="text1"/>
        </w:rPr>
        <w:t>s</w:t>
      </w:r>
      <w:r w:rsidR="00FE457A" w:rsidRPr="001F1E04">
        <w:rPr>
          <w:color w:val="000000" w:themeColor="text1"/>
        </w:rPr>
        <w:t xml:space="preserve">. </w:t>
      </w:r>
      <w:r w:rsidR="0089247A" w:rsidRPr="001F1E04">
        <w:rPr>
          <w:color w:val="000000" w:themeColor="text1"/>
        </w:rPr>
        <w:t xml:space="preserve">The DBP-DBS binary mixture has </w:t>
      </w:r>
      <w:r w:rsidR="00A73039" w:rsidRPr="001F1E04">
        <w:rPr>
          <w:color w:val="000000" w:themeColor="text1"/>
        </w:rPr>
        <w:t xml:space="preserve">a </w:t>
      </w:r>
      <w:r w:rsidR="0089247A" w:rsidRPr="001F1E04">
        <w:rPr>
          <w:color w:val="000000" w:themeColor="text1"/>
        </w:rPr>
        <w:t xml:space="preserve">high boiling </w:t>
      </w:r>
      <w:r w:rsidR="002B07BB" w:rsidRPr="001F1E04">
        <w:rPr>
          <w:color w:val="000000" w:themeColor="text1"/>
        </w:rPr>
        <w:t>temperature,</w:t>
      </w:r>
      <w:r w:rsidR="0089247A" w:rsidRPr="001F1E04">
        <w:rPr>
          <w:color w:val="000000" w:themeColor="text1"/>
        </w:rPr>
        <w:t xml:space="preserve"> and </w:t>
      </w:r>
      <w:r w:rsidR="0065090B" w:rsidRPr="00781A1A">
        <w:rPr>
          <w:color w:val="000000" w:themeColor="text1"/>
        </w:rPr>
        <w:t>components</w:t>
      </w:r>
      <w:r w:rsidR="002B07BB" w:rsidRPr="00781A1A">
        <w:rPr>
          <w:color w:val="000000" w:themeColor="text1"/>
        </w:rPr>
        <w:t xml:space="preserve"> </w:t>
      </w:r>
      <w:r w:rsidR="00766CA9" w:rsidRPr="00781A1A">
        <w:rPr>
          <w:color w:val="000000" w:themeColor="text1"/>
        </w:rPr>
        <w:t xml:space="preserve">have </w:t>
      </w:r>
      <w:r w:rsidR="00506030" w:rsidRPr="00781A1A">
        <w:rPr>
          <w:color w:val="000000" w:themeColor="text1"/>
        </w:rPr>
        <w:t xml:space="preserve">very similar </w:t>
      </w:r>
      <w:r w:rsidR="00766CA9" w:rsidRPr="001F1E04">
        <w:rPr>
          <w:color w:val="000000" w:themeColor="text1"/>
        </w:rPr>
        <w:t>molecular structure</w:t>
      </w:r>
      <w:r w:rsidR="0065090B" w:rsidRPr="001F1E04">
        <w:rPr>
          <w:color w:val="000000" w:themeColor="text1"/>
        </w:rPr>
        <w:t>s</w:t>
      </w:r>
      <w:r w:rsidR="00766CA9" w:rsidRPr="001F1E04">
        <w:rPr>
          <w:color w:val="000000" w:themeColor="text1"/>
        </w:rPr>
        <w:t xml:space="preserve"> </w:t>
      </w:r>
      <w:r w:rsidR="0089247A" w:rsidRPr="001F1E04">
        <w:rPr>
          <w:color w:val="000000" w:themeColor="text1"/>
        </w:rPr>
        <w:t xml:space="preserve">(Table </w:t>
      </w:r>
      <w:r w:rsidR="009C4E64" w:rsidRPr="001F1E04">
        <w:rPr>
          <w:color w:val="000000" w:themeColor="text1"/>
        </w:rPr>
        <w:t>1</w:t>
      </w:r>
      <w:r w:rsidR="0089247A" w:rsidRPr="001F1E04">
        <w:rPr>
          <w:color w:val="000000" w:themeColor="text1"/>
        </w:rPr>
        <w:t>), which makes the mixture challenging to be separated without molecular degradation further favoring the process of separation by molecular distillation</w:t>
      </w:r>
      <w:r w:rsidR="0089247A" w:rsidRPr="005958F5">
        <w:t>.</w:t>
      </w:r>
      <w:r w:rsidR="005C1630" w:rsidRPr="005958F5">
        <w:t xml:space="preserve"> Either DBP or DBS </w:t>
      </w:r>
      <w:r w:rsidR="005958F5" w:rsidRPr="005958F5">
        <w:t>are</w:t>
      </w:r>
      <w:r w:rsidR="005C1630" w:rsidRPr="005958F5">
        <w:t xml:space="preserve"> available in the commercial software Aspen Plus</w:t>
      </w:r>
      <w:r w:rsidR="005C1630" w:rsidRPr="005958F5">
        <w:sym w:font="Symbol" w:char="F0E2"/>
      </w:r>
      <w:r w:rsidR="005958F5" w:rsidRPr="005958F5">
        <w:t xml:space="preserve"> data bank</w:t>
      </w:r>
      <w:r w:rsidR="005C1630" w:rsidRPr="005958F5">
        <w:t>.</w:t>
      </w:r>
    </w:p>
    <w:p w14:paraId="1FE392A7" w14:textId="77777777" w:rsidR="00A96A0C" w:rsidRPr="001F1E04" w:rsidRDefault="00A96A0C" w:rsidP="00A96A0C">
      <w:pPr>
        <w:pStyle w:val="CETTabletitle"/>
        <w:rPr>
          <w:color w:val="000000" w:themeColor="text1"/>
        </w:rPr>
      </w:pPr>
      <w:r w:rsidRPr="001F1E04">
        <w:rPr>
          <w:color w:val="000000" w:themeColor="text1"/>
        </w:rPr>
        <w:t>Table 1: Mixture DBP-DBS properties.</w:t>
      </w:r>
    </w:p>
    <w:tbl>
      <w:tblPr>
        <w:tblW w:w="864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379"/>
        <w:gridCol w:w="4575"/>
        <w:gridCol w:w="1276"/>
        <w:gridCol w:w="1417"/>
      </w:tblGrid>
      <w:tr w:rsidR="00A96A0C" w:rsidRPr="00B57B36" w14:paraId="38D1B3F9" w14:textId="77777777" w:rsidTr="00504FF7">
        <w:tc>
          <w:tcPr>
            <w:tcW w:w="1379" w:type="dxa"/>
            <w:tcBorders>
              <w:top w:val="single" w:sz="12" w:space="0" w:color="008000"/>
              <w:bottom w:val="single" w:sz="6" w:space="0" w:color="008000"/>
            </w:tcBorders>
            <w:shd w:val="clear" w:color="auto" w:fill="FFFFFF"/>
            <w:vAlign w:val="center"/>
          </w:tcPr>
          <w:p w14:paraId="787DDA52" w14:textId="77777777" w:rsidR="00A96A0C" w:rsidRPr="00B57B36" w:rsidRDefault="00A96A0C" w:rsidP="00ED3A3D">
            <w:pPr>
              <w:pStyle w:val="CETBodytext"/>
              <w:jc w:val="center"/>
              <w:rPr>
                <w:lang w:val="en-GB"/>
              </w:rPr>
            </w:pPr>
            <w:r>
              <w:rPr>
                <w:lang w:val="en-GB"/>
              </w:rPr>
              <w:t>Component</w:t>
            </w:r>
          </w:p>
        </w:tc>
        <w:tc>
          <w:tcPr>
            <w:tcW w:w="4575" w:type="dxa"/>
            <w:tcBorders>
              <w:top w:val="single" w:sz="12" w:space="0" w:color="008000"/>
              <w:bottom w:val="single" w:sz="6" w:space="0" w:color="008000"/>
            </w:tcBorders>
            <w:shd w:val="clear" w:color="auto" w:fill="FFFFFF"/>
            <w:vAlign w:val="center"/>
          </w:tcPr>
          <w:p w14:paraId="0F2D6AD6" w14:textId="77777777" w:rsidR="00A96A0C" w:rsidRPr="00B0145C" w:rsidRDefault="00A96A0C" w:rsidP="00ED3A3D">
            <w:pPr>
              <w:pStyle w:val="CETBodytext"/>
              <w:jc w:val="center"/>
              <w:rPr>
                <w:lang w:val="en-GB"/>
              </w:rPr>
            </w:pPr>
            <w:r>
              <w:rPr>
                <w:lang w:val="en-GB"/>
              </w:rPr>
              <w:t>Molecular Structure</w:t>
            </w:r>
          </w:p>
        </w:tc>
        <w:tc>
          <w:tcPr>
            <w:tcW w:w="1276" w:type="dxa"/>
            <w:tcBorders>
              <w:top w:val="single" w:sz="12" w:space="0" w:color="008000"/>
              <w:bottom w:val="single" w:sz="6" w:space="0" w:color="008000"/>
            </w:tcBorders>
            <w:shd w:val="clear" w:color="auto" w:fill="FFFFFF"/>
          </w:tcPr>
          <w:p w14:paraId="5C684EB6" w14:textId="77777777" w:rsidR="00A96A0C" w:rsidRDefault="00A96A0C" w:rsidP="00ED3A3D">
            <w:pPr>
              <w:pStyle w:val="CETBodytext"/>
              <w:jc w:val="center"/>
              <w:rPr>
                <w:lang w:val="en-GB"/>
              </w:rPr>
            </w:pPr>
            <w:r>
              <w:rPr>
                <w:lang w:val="en-GB"/>
              </w:rPr>
              <w:t xml:space="preserve">Molar Mass </w:t>
            </w:r>
          </w:p>
          <w:p w14:paraId="28A07416" w14:textId="77777777" w:rsidR="00A96A0C" w:rsidRDefault="00A96A0C" w:rsidP="00ED3A3D">
            <w:pPr>
              <w:pStyle w:val="CETBodytext"/>
              <w:jc w:val="center"/>
              <w:rPr>
                <w:lang w:val="en-GB"/>
              </w:rPr>
            </w:pPr>
            <w:r>
              <w:rPr>
                <w:lang w:val="en-GB"/>
              </w:rPr>
              <w:t>(g /</w:t>
            </w:r>
            <w:proofErr w:type="spellStart"/>
            <w:r>
              <w:rPr>
                <w:lang w:val="en-GB"/>
              </w:rPr>
              <w:t>gmol</w:t>
            </w:r>
            <w:proofErr w:type="spellEnd"/>
            <w:r>
              <w:rPr>
                <w:lang w:val="en-GB"/>
              </w:rPr>
              <w:t>)</w:t>
            </w:r>
          </w:p>
        </w:tc>
        <w:tc>
          <w:tcPr>
            <w:tcW w:w="1417" w:type="dxa"/>
            <w:tcBorders>
              <w:top w:val="single" w:sz="12" w:space="0" w:color="008000"/>
              <w:bottom w:val="single" w:sz="6" w:space="0" w:color="008000"/>
            </w:tcBorders>
            <w:shd w:val="clear" w:color="auto" w:fill="FFFFFF"/>
          </w:tcPr>
          <w:p w14:paraId="2E922CE9" w14:textId="56365081" w:rsidR="00A96A0C" w:rsidRDefault="006765F0" w:rsidP="00ED3A3D">
            <w:pPr>
              <w:pStyle w:val="CETBodytext"/>
              <w:jc w:val="center"/>
              <w:rPr>
                <w:lang w:val="en-GB"/>
              </w:rPr>
            </w:pPr>
            <w:r>
              <w:rPr>
                <w:lang w:val="en-GB"/>
              </w:rPr>
              <w:t xml:space="preserve">Normal </w:t>
            </w:r>
            <w:r w:rsidR="00A96A0C">
              <w:rPr>
                <w:lang w:val="en-GB"/>
              </w:rPr>
              <w:t>Boiling Temperature (</w:t>
            </w:r>
            <w:r w:rsidR="00A96A0C">
              <w:rPr>
                <w:lang w:val="en-GB"/>
              </w:rPr>
              <w:sym w:font="Symbol" w:char="F0B0"/>
            </w:r>
            <w:r w:rsidR="00A96A0C">
              <w:rPr>
                <w:lang w:val="en-GB"/>
              </w:rPr>
              <w:t>C)</w:t>
            </w:r>
          </w:p>
        </w:tc>
      </w:tr>
      <w:tr w:rsidR="00A96A0C" w:rsidRPr="00B57B36" w14:paraId="1678926E" w14:textId="77777777" w:rsidTr="00504FF7">
        <w:tc>
          <w:tcPr>
            <w:tcW w:w="1379" w:type="dxa"/>
            <w:shd w:val="clear" w:color="auto" w:fill="FFFFFF"/>
            <w:vAlign w:val="center"/>
          </w:tcPr>
          <w:p w14:paraId="5FF21C51" w14:textId="77777777" w:rsidR="00A96A0C" w:rsidRPr="00B57B36" w:rsidRDefault="00A96A0C" w:rsidP="00ED3A3D">
            <w:pPr>
              <w:pStyle w:val="CETBodytext"/>
              <w:jc w:val="center"/>
              <w:rPr>
                <w:lang w:val="en-GB"/>
              </w:rPr>
            </w:pPr>
            <w:r>
              <w:rPr>
                <w:lang w:val="en-GB"/>
              </w:rPr>
              <w:t>DBP</w:t>
            </w:r>
          </w:p>
        </w:tc>
        <w:tc>
          <w:tcPr>
            <w:tcW w:w="4575" w:type="dxa"/>
            <w:shd w:val="clear" w:color="auto" w:fill="FFFFFF"/>
          </w:tcPr>
          <w:p w14:paraId="6635267E" w14:textId="77777777" w:rsidR="00A96A0C" w:rsidRPr="00B57B36" w:rsidRDefault="00A96A0C" w:rsidP="00ED3A3D">
            <w:pPr>
              <w:pStyle w:val="CETBodytext"/>
              <w:jc w:val="center"/>
              <w:rPr>
                <w:lang w:val="en-GB"/>
              </w:rPr>
            </w:pPr>
            <w:r w:rsidRPr="00132DF6">
              <w:rPr>
                <w:noProof/>
                <w:color w:val="FF0000"/>
                <w:lang w:val="pt-BR" w:eastAsia="pt-BR"/>
              </w:rPr>
              <w:drawing>
                <wp:inline distT="0" distB="0" distL="0" distR="0" wp14:anchorId="479D9392" wp14:editId="033322C8">
                  <wp:extent cx="2057400" cy="1532106"/>
                  <wp:effectExtent l="0" t="0" r="0" b="5080"/>
                  <wp:docPr id="8" name="Picture 8"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 chart&#10;&#10;Description automatically generated"/>
                          <pic:cNvPicPr/>
                        </pic:nvPicPr>
                        <pic:blipFill>
                          <a:blip r:embed="rId11"/>
                          <a:stretch>
                            <a:fillRect/>
                          </a:stretch>
                        </pic:blipFill>
                        <pic:spPr>
                          <a:xfrm>
                            <a:off x="0" y="0"/>
                            <a:ext cx="2074425" cy="1544784"/>
                          </a:xfrm>
                          <a:prstGeom prst="rect">
                            <a:avLst/>
                          </a:prstGeom>
                        </pic:spPr>
                      </pic:pic>
                    </a:graphicData>
                  </a:graphic>
                </wp:inline>
              </w:drawing>
            </w:r>
          </w:p>
        </w:tc>
        <w:tc>
          <w:tcPr>
            <w:tcW w:w="1276" w:type="dxa"/>
            <w:shd w:val="clear" w:color="auto" w:fill="FFFFFF"/>
            <w:vAlign w:val="center"/>
          </w:tcPr>
          <w:p w14:paraId="20128C2A" w14:textId="77777777" w:rsidR="00A96A0C" w:rsidRPr="00132DF6" w:rsidRDefault="00A96A0C" w:rsidP="00ED3A3D">
            <w:pPr>
              <w:pStyle w:val="CETBodytext"/>
              <w:ind w:right="-1"/>
              <w:jc w:val="center"/>
              <w:rPr>
                <w:noProof/>
                <w:color w:val="FF0000"/>
              </w:rPr>
            </w:pPr>
            <w:r w:rsidRPr="00FC321F">
              <w:rPr>
                <w:rFonts w:cs="Arial"/>
                <w:szCs w:val="18"/>
                <w:lang w:val="en-GB"/>
              </w:rPr>
              <w:t>278.35</w:t>
            </w:r>
          </w:p>
        </w:tc>
        <w:tc>
          <w:tcPr>
            <w:tcW w:w="1417" w:type="dxa"/>
            <w:shd w:val="clear" w:color="auto" w:fill="FFFFFF"/>
            <w:vAlign w:val="center"/>
          </w:tcPr>
          <w:p w14:paraId="0297D950" w14:textId="77777777" w:rsidR="00A96A0C" w:rsidRPr="00FC321F" w:rsidRDefault="00A96A0C" w:rsidP="00ED3A3D">
            <w:pPr>
              <w:pStyle w:val="CETBodytext"/>
              <w:ind w:right="-1"/>
              <w:jc w:val="center"/>
              <w:rPr>
                <w:rFonts w:cs="Arial"/>
                <w:szCs w:val="18"/>
                <w:lang w:val="en-GB"/>
              </w:rPr>
            </w:pPr>
            <w:r>
              <w:rPr>
                <w:rFonts w:cs="Arial"/>
                <w:szCs w:val="18"/>
                <w:lang w:val="en-GB"/>
              </w:rPr>
              <w:t>340.00</w:t>
            </w:r>
          </w:p>
        </w:tc>
      </w:tr>
      <w:tr w:rsidR="00A96A0C" w:rsidRPr="00B57B36" w14:paraId="14060FEC" w14:textId="77777777" w:rsidTr="00504FF7">
        <w:tc>
          <w:tcPr>
            <w:tcW w:w="1379" w:type="dxa"/>
            <w:shd w:val="clear" w:color="auto" w:fill="FFFFFF"/>
            <w:vAlign w:val="center"/>
          </w:tcPr>
          <w:p w14:paraId="2A963A91" w14:textId="77777777" w:rsidR="00A96A0C" w:rsidRPr="00B57B36" w:rsidRDefault="00A96A0C" w:rsidP="00ED3A3D">
            <w:pPr>
              <w:pStyle w:val="CETBodytext"/>
              <w:jc w:val="center"/>
              <w:rPr>
                <w:lang w:val="en-GB"/>
              </w:rPr>
            </w:pPr>
            <w:r>
              <w:rPr>
                <w:lang w:val="en-GB"/>
              </w:rPr>
              <w:t>DBS</w:t>
            </w:r>
          </w:p>
        </w:tc>
        <w:tc>
          <w:tcPr>
            <w:tcW w:w="4575" w:type="dxa"/>
            <w:shd w:val="clear" w:color="auto" w:fill="FFFFFF"/>
          </w:tcPr>
          <w:p w14:paraId="6051846C" w14:textId="77777777" w:rsidR="00A96A0C" w:rsidRDefault="00A96A0C" w:rsidP="00ED3A3D">
            <w:pPr>
              <w:pStyle w:val="CETBodytext"/>
              <w:jc w:val="center"/>
              <w:rPr>
                <w:lang w:val="en-GB"/>
              </w:rPr>
            </w:pPr>
            <w:r w:rsidRPr="00820A4F">
              <w:rPr>
                <w:noProof/>
                <w:color w:val="FF0000"/>
                <w:lang w:val="pt-BR" w:eastAsia="pt-BR"/>
              </w:rPr>
              <w:drawing>
                <wp:inline distT="0" distB="0" distL="0" distR="0" wp14:anchorId="5BCA04DB" wp14:editId="70293A39">
                  <wp:extent cx="2966545" cy="722758"/>
                  <wp:effectExtent l="0" t="0" r="5715" b="127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12"/>
                          <a:stretch>
                            <a:fillRect/>
                          </a:stretch>
                        </pic:blipFill>
                        <pic:spPr>
                          <a:xfrm>
                            <a:off x="0" y="0"/>
                            <a:ext cx="3005072" cy="732145"/>
                          </a:xfrm>
                          <a:prstGeom prst="rect">
                            <a:avLst/>
                          </a:prstGeom>
                        </pic:spPr>
                      </pic:pic>
                    </a:graphicData>
                  </a:graphic>
                </wp:inline>
              </w:drawing>
            </w:r>
          </w:p>
        </w:tc>
        <w:tc>
          <w:tcPr>
            <w:tcW w:w="1276" w:type="dxa"/>
            <w:shd w:val="clear" w:color="auto" w:fill="FFFFFF"/>
            <w:vAlign w:val="center"/>
          </w:tcPr>
          <w:p w14:paraId="32520278" w14:textId="77777777" w:rsidR="00A96A0C" w:rsidRPr="00820A4F" w:rsidRDefault="00A96A0C" w:rsidP="00ED3A3D">
            <w:pPr>
              <w:pStyle w:val="CETBodytext"/>
              <w:ind w:right="-1"/>
              <w:jc w:val="center"/>
              <w:rPr>
                <w:noProof/>
                <w:color w:val="FF0000"/>
              </w:rPr>
            </w:pPr>
            <w:r w:rsidRPr="00FC321F">
              <w:rPr>
                <w:rFonts w:cs="Arial"/>
                <w:szCs w:val="18"/>
                <w:lang w:val="en-GB"/>
              </w:rPr>
              <w:t>314.14</w:t>
            </w:r>
          </w:p>
        </w:tc>
        <w:tc>
          <w:tcPr>
            <w:tcW w:w="1417" w:type="dxa"/>
            <w:shd w:val="clear" w:color="auto" w:fill="FFFFFF"/>
            <w:vAlign w:val="center"/>
          </w:tcPr>
          <w:p w14:paraId="0F358A44" w14:textId="77777777" w:rsidR="00A96A0C" w:rsidRPr="00FC321F" w:rsidRDefault="00A96A0C" w:rsidP="00ED3A3D">
            <w:pPr>
              <w:pStyle w:val="CETBodytext"/>
              <w:ind w:right="-1"/>
              <w:jc w:val="center"/>
              <w:rPr>
                <w:rFonts w:cs="Arial"/>
                <w:szCs w:val="18"/>
                <w:lang w:val="en-GB"/>
              </w:rPr>
            </w:pPr>
            <w:r>
              <w:rPr>
                <w:rFonts w:cs="Arial"/>
                <w:szCs w:val="18"/>
                <w:lang w:val="en-GB"/>
              </w:rPr>
              <w:t>344.00</w:t>
            </w:r>
          </w:p>
        </w:tc>
      </w:tr>
    </w:tbl>
    <w:p w14:paraId="0484E605" w14:textId="77777777" w:rsidR="00A96A0C" w:rsidRPr="001F1E04" w:rsidRDefault="00A96A0C" w:rsidP="00691BEA">
      <w:pPr>
        <w:pStyle w:val="CETBodytext"/>
        <w:rPr>
          <w:color w:val="000000" w:themeColor="text1"/>
        </w:rPr>
      </w:pPr>
    </w:p>
    <w:p w14:paraId="1CEC145B" w14:textId="23ECC507" w:rsidR="00A96A0C" w:rsidRPr="00A96A0C" w:rsidRDefault="009C4E64" w:rsidP="00453E24">
      <w:pPr>
        <w:pStyle w:val="CETBodytext"/>
        <w:rPr>
          <w:color w:val="FF0000"/>
        </w:rPr>
      </w:pPr>
      <w:r w:rsidRPr="001F1E04">
        <w:rPr>
          <w:color w:val="000000" w:themeColor="text1"/>
        </w:rPr>
        <w:t>The definition of the thermodynamic model was based on the algorithm of Carlson (1996) and through the help icon provided by the software Aspen Plus</w:t>
      </w:r>
      <w:r w:rsidRPr="001F1E04">
        <w:rPr>
          <w:color w:val="000000" w:themeColor="text1"/>
          <w:vertAlign w:val="superscript"/>
        </w:rPr>
        <w:sym w:font="Symbol" w:char="F0D2"/>
      </w:r>
      <w:r w:rsidRPr="001F1E04">
        <w:rPr>
          <w:color w:val="000000" w:themeColor="text1"/>
        </w:rPr>
        <w:t>.</w:t>
      </w:r>
      <w:r w:rsidR="00A73039" w:rsidRPr="001F1E04">
        <w:rPr>
          <w:color w:val="000000" w:themeColor="text1"/>
        </w:rPr>
        <w:t>Thermodynamic</w:t>
      </w:r>
      <w:r w:rsidR="00691BEA" w:rsidRPr="001F1E04">
        <w:rPr>
          <w:color w:val="000000" w:themeColor="text1"/>
        </w:rPr>
        <w:t xml:space="preserve"> </w:t>
      </w:r>
      <w:r w:rsidR="00A73039" w:rsidRPr="001F1E04">
        <w:rPr>
          <w:color w:val="000000" w:themeColor="text1"/>
        </w:rPr>
        <w:t>modeling</w:t>
      </w:r>
      <w:r w:rsidR="00691BEA" w:rsidRPr="001F1E04">
        <w:rPr>
          <w:color w:val="000000" w:themeColor="text1"/>
        </w:rPr>
        <w:t xml:space="preserve"> is a key component to </w:t>
      </w:r>
      <w:r w:rsidR="00A73039" w:rsidRPr="001F1E04">
        <w:rPr>
          <w:color w:val="000000" w:themeColor="text1"/>
        </w:rPr>
        <w:t>generating</w:t>
      </w:r>
      <w:r w:rsidR="00691BEA" w:rsidRPr="001F1E04">
        <w:rPr>
          <w:color w:val="000000" w:themeColor="text1"/>
        </w:rPr>
        <w:t xml:space="preserve"> information closer to the real condition. </w:t>
      </w:r>
      <w:r w:rsidR="00691BEA" w:rsidRPr="00ED6B7F">
        <w:t xml:space="preserve">The model options </w:t>
      </w:r>
      <w:r w:rsidR="00C27646" w:rsidRPr="00ED6B7F">
        <w:t xml:space="preserve">contemplating vapor and liquid phases </w:t>
      </w:r>
      <w:r w:rsidR="00766CA9" w:rsidRPr="00ED6B7F">
        <w:t>found</w:t>
      </w:r>
      <w:r w:rsidR="008429E2" w:rsidRPr="00ED6B7F">
        <w:t xml:space="preserve"> </w:t>
      </w:r>
      <w:r w:rsidR="00691BEA" w:rsidRPr="00ED6B7F">
        <w:t xml:space="preserve">were suitable either </w:t>
      </w:r>
      <w:r w:rsidR="00A73039" w:rsidRPr="00ED6B7F">
        <w:t>for</w:t>
      </w:r>
      <w:r w:rsidR="00691BEA" w:rsidRPr="00ED6B7F">
        <w:t xml:space="preserve"> the mixture or </w:t>
      </w:r>
      <w:r w:rsidR="00A73039" w:rsidRPr="00ED6B7F">
        <w:t>operating</w:t>
      </w:r>
      <w:r w:rsidR="00691BEA" w:rsidRPr="00ED6B7F">
        <w:t xml:space="preserve"> </w:t>
      </w:r>
      <w:r w:rsidR="00A73039" w:rsidRPr="00ED6B7F">
        <w:t>conditions</w:t>
      </w:r>
      <w:r w:rsidR="00450591" w:rsidRPr="00ED6B7F">
        <w:t xml:space="preserve">: </w:t>
      </w:r>
      <w:r w:rsidR="0023610F" w:rsidRPr="00ED6B7F">
        <w:t>Peng Robinson cubic equation of state with the Boston-Mathias alpha function (PR-BM); Lee-Kesler-</w:t>
      </w:r>
      <w:proofErr w:type="spellStart"/>
      <w:r w:rsidR="0023610F" w:rsidRPr="00ED6B7F">
        <w:t>Plocker</w:t>
      </w:r>
      <w:proofErr w:type="spellEnd"/>
      <w:r w:rsidR="0023610F" w:rsidRPr="00ED6B7F">
        <w:t xml:space="preserve"> equation of state (LK-Plock) and Redlich-Kwong-Soave cubic equation of state with Boston-Mathias alpha function (RKS-BM).</w:t>
      </w:r>
      <w:r w:rsidR="007A3920" w:rsidRPr="00ED6B7F">
        <w:t xml:space="preserve"> </w:t>
      </w:r>
      <w:r w:rsidR="008429E2" w:rsidRPr="00ED6B7F">
        <w:t xml:space="preserve">The </w:t>
      </w:r>
      <w:r w:rsidR="008429E2" w:rsidRPr="001F1E04">
        <w:rPr>
          <w:color w:val="000000" w:themeColor="text1"/>
        </w:rPr>
        <w:t xml:space="preserve">next step was to choose tools </w:t>
      </w:r>
      <w:r w:rsidR="00766CA9" w:rsidRPr="001F1E04">
        <w:rPr>
          <w:color w:val="000000" w:themeColor="text1"/>
        </w:rPr>
        <w:t>inside the software t</w:t>
      </w:r>
      <w:r w:rsidR="008429E2" w:rsidRPr="001F1E04">
        <w:rPr>
          <w:color w:val="000000" w:themeColor="text1"/>
        </w:rPr>
        <w:t>hat could represent this kind of evaporation.</w:t>
      </w:r>
    </w:p>
    <w:p w14:paraId="0636B784" w14:textId="7E9DA4D7" w:rsidR="00453E24" w:rsidRDefault="008535A7" w:rsidP="00453E24">
      <w:pPr>
        <w:pStyle w:val="CETheadingx"/>
      </w:pPr>
      <w:r>
        <w:t>Falling Film Molecular distillation: Column Rate-Based</w:t>
      </w:r>
    </w:p>
    <w:p w14:paraId="33EA9D2D" w14:textId="7F4684C5" w:rsidR="001310AE" w:rsidRPr="001F1E04" w:rsidRDefault="001310AE" w:rsidP="00453E24">
      <w:pPr>
        <w:pStyle w:val="CETBodytext"/>
        <w:rPr>
          <w:color w:val="000000" w:themeColor="text1"/>
        </w:rPr>
      </w:pPr>
      <w:r w:rsidRPr="001F1E04">
        <w:rPr>
          <w:color w:val="000000" w:themeColor="text1"/>
        </w:rPr>
        <w:t>Falling film molecular distillation is ruled by non-equilibrium thermodynamic and low-pressure operation. The distillation column Radfrac operating in rate-based mode includes the condition of non-equilibrium</w:t>
      </w:r>
      <w:r w:rsidR="00060329" w:rsidRPr="001F1E04">
        <w:rPr>
          <w:color w:val="000000" w:themeColor="text1"/>
        </w:rPr>
        <w:t xml:space="preserve"> (Figure 1)</w:t>
      </w:r>
      <w:r w:rsidRPr="001F1E04">
        <w:rPr>
          <w:color w:val="000000" w:themeColor="text1"/>
        </w:rPr>
        <w:t>.</w:t>
      </w:r>
      <w:r w:rsidR="00060329" w:rsidRPr="001F1E04">
        <w:rPr>
          <w:color w:val="000000" w:themeColor="text1"/>
        </w:rPr>
        <w:t xml:space="preserve"> The number of column stages set was 2, where the feeding was at stage 1 and the reboiler </w:t>
      </w:r>
      <w:r w:rsidR="00605A42" w:rsidRPr="001F1E04">
        <w:rPr>
          <w:color w:val="000000" w:themeColor="text1"/>
        </w:rPr>
        <w:t>is</w:t>
      </w:r>
      <w:r w:rsidR="00060329" w:rsidRPr="001F1E04">
        <w:rPr>
          <w:color w:val="000000" w:themeColor="text1"/>
        </w:rPr>
        <w:t xml:space="preserve"> stage 2. The </w:t>
      </w:r>
      <w:r w:rsidR="00060329" w:rsidRPr="001F1E04">
        <w:rPr>
          <w:color w:val="000000" w:themeColor="text1"/>
        </w:rPr>
        <w:lastRenderedPageBreak/>
        <w:t xml:space="preserve">column did not contemplate the coupled condenser, being then opted </w:t>
      </w:r>
      <w:r w:rsidR="00A73039" w:rsidRPr="001F1E04">
        <w:rPr>
          <w:color w:val="000000" w:themeColor="text1"/>
        </w:rPr>
        <w:t xml:space="preserve">for </w:t>
      </w:r>
      <w:r w:rsidR="00060329" w:rsidRPr="001F1E04">
        <w:rPr>
          <w:color w:val="000000" w:themeColor="text1"/>
        </w:rPr>
        <w:t xml:space="preserve">an external condenser to guarantee no reflux rate. </w:t>
      </w:r>
    </w:p>
    <w:p w14:paraId="75888907" w14:textId="37B4C51B" w:rsidR="00C06E71" w:rsidRPr="001F50E0" w:rsidRDefault="00C06E71" w:rsidP="00453E24">
      <w:pPr>
        <w:pStyle w:val="CETBodytext"/>
        <w:rPr>
          <w:color w:val="000000" w:themeColor="text1"/>
        </w:rPr>
      </w:pPr>
      <w:r w:rsidRPr="001F1E04">
        <w:rPr>
          <w:color w:val="000000" w:themeColor="text1"/>
        </w:rPr>
        <w:t>The operatin</w:t>
      </w:r>
      <w:r w:rsidR="00605A42" w:rsidRPr="001F1E04">
        <w:rPr>
          <w:color w:val="000000" w:themeColor="text1"/>
        </w:rPr>
        <w:t>g</w:t>
      </w:r>
      <w:r w:rsidRPr="001F1E04">
        <w:rPr>
          <w:color w:val="000000" w:themeColor="text1"/>
        </w:rPr>
        <w:t xml:space="preserve"> condition was set based on </w:t>
      </w:r>
      <w:proofErr w:type="spellStart"/>
      <w:r w:rsidRPr="001F1E04">
        <w:rPr>
          <w:color w:val="000000" w:themeColor="text1"/>
        </w:rPr>
        <w:t>Batistella</w:t>
      </w:r>
      <w:proofErr w:type="spellEnd"/>
      <w:r w:rsidRPr="001F1E04">
        <w:rPr>
          <w:color w:val="000000" w:themeColor="text1"/>
        </w:rPr>
        <w:t xml:space="preserve"> and </w:t>
      </w:r>
      <w:r w:rsidR="006765F0">
        <w:rPr>
          <w:color w:val="000000" w:themeColor="text1"/>
        </w:rPr>
        <w:t xml:space="preserve">Wolf </w:t>
      </w:r>
      <w:proofErr w:type="spellStart"/>
      <w:r w:rsidRPr="001F1E04">
        <w:rPr>
          <w:color w:val="000000" w:themeColor="text1"/>
        </w:rPr>
        <w:t>Maciel</w:t>
      </w:r>
      <w:proofErr w:type="spellEnd"/>
      <w:r w:rsidRPr="001F1E04">
        <w:rPr>
          <w:color w:val="000000" w:themeColor="text1"/>
        </w:rPr>
        <w:t xml:space="preserve"> (1996) paper: mol</w:t>
      </w:r>
      <w:r w:rsidR="00605A42" w:rsidRPr="001F1E04">
        <w:rPr>
          <w:color w:val="000000" w:themeColor="text1"/>
        </w:rPr>
        <w:t>e</w:t>
      </w:r>
      <w:r w:rsidRPr="001F1E04">
        <w:rPr>
          <w:color w:val="000000" w:themeColor="text1"/>
        </w:rPr>
        <w:t xml:space="preserve"> fraction 0.5; feed temperature 369 K at 1 bar; mass </w:t>
      </w:r>
      <w:r w:rsidR="00605A42" w:rsidRPr="001F1E04">
        <w:rPr>
          <w:color w:val="000000" w:themeColor="text1"/>
        </w:rPr>
        <w:t xml:space="preserve">flow </w:t>
      </w:r>
      <w:r w:rsidRPr="001F1E04">
        <w:rPr>
          <w:color w:val="000000" w:themeColor="text1"/>
        </w:rPr>
        <w:t xml:space="preserve">rate 50 Kg/h; column pressure 0.001 mmHg and </w:t>
      </w:r>
      <w:r w:rsidRPr="005958F5">
        <w:t>distillation</w:t>
      </w:r>
      <w:r w:rsidR="00504FF7" w:rsidRPr="005958F5">
        <w:t xml:space="preserve"> mass ratio</w:t>
      </w:r>
      <w:r w:rsidRPr="005958F5">
        <w:t xml:space="preserve"> </w:t>
      </w:r>
      <w:r w:rsidRPr="001F1E04">
        <w:rPr>
          <w:color w:val="000000" w:themeColor="text1"/>
        </w:rPr>
        <w:t xml:space="preserve">D/F = 0.212. </w:t>
      </w:r>
      <w:r w:rsidRPr="001F50E0">
        <w:rPr>
          <w:color w:val="000000" w:themeColor="text1"/>
        </w:rPr>
        <w:t xml:space="preserve">The condenser temperature was set at 20 </w:t>
      </w:r>
      <w:r w:rsidRPr="001F50E0">
        <w:rPr>
          <w:color w:val="000000" w:themeColor="text1"/>
        </w:rPr>
        <w:sym w:font="Symbol" w:char="F0B0"/>
      </w:r>
      <w:r w:rsidRPr="001F50E0">
        <w:rPr>
          <w:color w:val="000000" w:themeColor="text1"/>
        </w:rPr>
        <w:t>C.</w:t>
      </w:r>
    </w:p>
    <w:p w14:paraId="333F0BCE" w14:textId="2EA6AB7B" w:rsidR="0036624B" w:rsidRPr="009E7081" w:rsidRDefault="001F50E0" w:rsidP="0036624B">
      <w:pPr>
        <w:pStyle w:val="CETCaption"/>
        <w:rPr>
          <w:lang w:val="en-US"/>
        </w:rPr>
      </w:pPr>
      <w:r>
        <w:rPr>
          <w:noProof/>
          <w:lang w:val="pt-BR" w:eastAsia="pt-BR"/>
        </w:rPr>
        <w:drawing>
          <wp:inline distT="0" distB="0" distL="0" distR="0" wp14:anchorId="4B0D61AE" wp14:editId="5B691B70">
            <wp:extent cx="2813601" cy="1673773"/>
            <wp:effectExtent l="0" t="0" r="0" b="3175"/>
            <wp:docPr id="9" name="Picture 15" descr="Diagram&#10;&#10;Description automatically generated">
              <a:extLst xmlns:a="http://schemas.openxmlformats.org/drawingml/2006/main">
                <a:ext uri="{FF2B5EF4-FFF2-40B4-BE49-F238E27FC236}">
                  <a16:creationId xmlns:a16="http://schemas.microsoft.com/office/drawing/2014/main" id="{DD43B1A2-4BEA-5B40-B0BF-8255B11E6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5" descr="Diagram&#10;&#10;Description automatically generated">
                      <a:extLst>
                        <a:ext uri="{FF2B5EF4-FFF2-40B4-BE49-F238E27FC236}">
                          <a16:creationId xmlns:a16="http://schemas.microsoft.com/office/drawing/2014/main" id="{DD43B1A2-4BEA-5B40-B0BF-8255B11E6708}"/>
                        </a:ext>
                      </a:extLst>
                    </pic:cNvPr>
                    <pic:cNvPicPr>
                      <a:picLocks noChangeAspect="1"/>
                    </pic:cNvPicPr>
                  </pic:nvPicPr>
                  <pic:blipFill rotWithShape="1">
                    <a:blip r:embed="rId13"/>
                    <a:srcRect l="10138" t="15517" r="15990"/>
                    <a:stretch/>
                  </pic:blipFill>
                  <pic:spPr bwMode="auto">
                    <a:xfrm>
                      <a:off x="0" y="0"/>
                      <a:ext cx="2814520" cy="1674320"/>
                    </a:xfrm>
                    <a:prstGeom prst="rect">
                      <a:avLst/>
                    </a:prstGeom>
                    <a:ln>
                      <a:noFill/>
                    </a:ln>
                    <a:extLst>
                      <a:ext uri="{53640926-AAD7-44D8-BBD7-CCE9431645EC}">
                        <a14:shadowObscured xmlns:a14="http://schemas.microsoft.com/office/drawing/2010/main"/>
                      </a:ext>
                    </a:extLst>
                  </pic:spPr>
                </pic:pic>
              </a:graphicData>
            </a:graphic>
          </wp:inline>
        </w:drawing>
      </w:r>
    </w:p>
    <w:p w14:paraId="14B49F54" w14:textId="57A6DA4F" w:rsidR="0036624B" w:rsidRDefault="0036624B" w:rsidP="0036624B">
      <w:pPr>
        <w:pStyle w:val="CETCaption"/>
      </w:pPr>
      <w:r w:rsidRPr="00BD077D">
        <w:rPr>
          <w:rStyle w:val="CETCaptionCarattere"/>
          <w:i/>
        </w:rPr>
        <w:t xml:space="preserve">Figure 1: </w:t>
      </w:r>
      <w:r>
        <w:rPr>
          <w:rStyle w:val="CETCaptionCarattere"/>
          <w:i/>
        </w:rPr>
        <w:t>The falling film Molecular Distillation represented by the rate-based column in the commercial software Aspen Plus</w:t>
      </w:r>
      <w:r>
        <w:rPr>
          <w:rStyle w:val="CETCaptionCarattere"/>
          <w:i/>
        </w:rPr>
        <w:sym w:font="Symbol" w:char="F0E2"/>
      </w:r>
      <w:r>
        <w:rPr>
          <w:rStyle w:val="CETCaptionCarattere"/>
          <w:i/>
        </w:rPr>
        <w:t>.</w:t>
      </w:r>
      <w:r w:rsidRPr="00BD077D">
        <w:t xml:space="preserve"> </w:t>
      </w:r>
    </w:p>
    <w:p w14:paraId="2D266686" w14:textId="2EE7CD58" w:rsidR="00464B33" w:rsidRPr="00464B33" w:rsidRDefault="00C60C34" w:rsidP="00E26EBB">
      <w:pPr>
        <w:pStyle w:val="CETBodytext"/>
        <w:rPr>
          <w:color w:val="000000" w:themeColor="text1"/>
        </w:rPr>
      </w:pPr>
      <w:r w:rsidRPr="00464B33">
        <w:rPr>
          <w:color w:val="000000" w:themeColor="text1"/>
        </w:rPr>
        <w:t>DBP mol</w:t>
      </w:r>
      <w:r w:rsidR="00605A42" w:rsidRPr="00464B33">
        <w:rPr>
          <w:color w:val="000000" w:themeColor="text1"/>
        </w:rPr>
        <w:t>e</w:t>
      </w:r>
      <w:r w:rsidRPr="00464B33">
        <w:rPr>
          <w:color w:val="000000" w:themeColor="text1"/>
        </w:rPr>
        <w:t xml:space="preserve"> fraction i</w:t>
      </w:r>
      <w:r w:rsidR="0027726D" w:rsidRPr="00464B33">
        <w:rPr>
          <w:color w:val="000000" w:themeColor="text1"/>
        </w:rPr>
        <w:t>n</w:t>
      </w:r>
      <w:r w:rsidRPr="00464B33">
        <w:rPr>
          <w:color w:val="000000" w:themeColor="text1"/>
        </w:rPr>
        <w:t xml:space="preserve"> </w:t>
      </w:r>
      <w:r w:rsidR="0027726D" w:rsidRPr="00464B33">
        <w:rPr>
          <w:color w:val="000000" w:themeColor="text1"/>
        </w:rPr>
        <w:t xml:space="preserve">the distillate stream is very close to </w:t>
      </w:r>
      <w:r w:rsidR="0027726D" w:rsidRPr="006765F0">
        <w:rPr>
          <w:color w:val="000000" w:themeColor="text1"/>
        </w:rPr>
        <w:t xml:space="preserve">the </w:t>
      </w:r>
      <w:proofErr w:type="spellStart"/>
      <w:r w:rsidR="0027726D" w:rsidRPr="006765F0">
        <w:rPr>
          <w:color w:val="000000" w:themeColor="text1"/>
        </w:rPr>
        <w:t>Batistella</w:t>
      </w:r>
      <w:proofErr w:type="spellEnd"/>
      <w:r w:rsidR="0027726D" w:rsidRPr="006765F0">
        <w:rPr>
          <w:color w:val="000000" w:themeColor="text1"/>
        </w:rPr>
        <w:t xml:space="preserve"> and </w:t>
      </w:r>
      <w:r w:rsidR="005958F5" w:rsidRPr="006765F0">
        <w:rPr>
          <w:color w:val="000000" w:themeColor="text1"/>
        </w:rPr>
        <w:t xml:space="preserve">Wolf </w:t>
      </w:r>
      <w:proofErr w:type="spellStart"/>
      <w:r w:rsidR="0027726D" w:rsidRPr="006765F0">
        <w:rPr>
          <w:color w:val="000000" w:themeColor="text1"/>
        </w:rPr>
        <w:t>Maciel</w:t>
      </w:r>
      <w:proofErr w:type="spellEnd"/>
      <w:r w:rsidR="0027726D" w:rsidRPr="006765F0">
        <w:rPr>
          <w:color w:val="000000" w:themeColor="text1"/>
        </w:rPr>
        <w:t xml:space="preserve"> (1996</w:t>
      </w:r>
      <w:r w:rsidR="0027726D" w:rsidRPr="005958F5">
        <w:rPr>
          <w:color w:val="FF0000"/>
        </w:rPr>
        <w:t xml:space="preserve">) </w:t>
      </w:r>
      <w:r w:rsidR="0027726D" w:rsidRPr="00464B33">
        <w:rPr>
          <w:color w:val="000000" w:themeColor="text1"/>
        </w:rPr>
        <w:t>values</w:t>
      </w:r>
      <w:r w:rsidR="00E26EBB" w:rsidRPr="00464B33">
        <w:rPr>
          <w:color w:val="000000" w:themeColor="text1"/>
        </w:rPr>
        <w:t xml:space="preserve"> (Table 2)</w:t>
      </w:r>
      <w:r w:rsidR="0027726D" w:rsidRPr="00464B33">
        <w:rPr>
          <w:color w:val="000000" w:themeColor="text1"/>
        </w:rPr>
        <w:t>. However, the rate-based temperature is inferior to molecular distillation for all thermodynamic models.</w:t>
      </w:r>
      <w:r w:rsidR="00F77E0A" w:rsidRPr="00464B33">
        <w:rPr>
          <w:color w:val="000000" w:themeColor="text1"/>
        </w:rPr>
        <w:t xml:space="preserve"> Molecular distillation operates at the maximum evaporation condition being ruled by the vacuum</w:t>
      </w:r>
      <w:r w:rsidR="009B2D9E" w:rsidRPr="00464B33">
        <w:rPr>
          <w:color w:val="000000" w:themeColor="text1"/>
        </w:rPr>
        <w:t xml:space="preserve"> driver</w:t>
      </w:r>
      <w:r w:rsidR="00F77E0A" w:rsidRPr="00464B33">
        <w:rPr>
          <w:color w:val="000000" w:themeColor="text1"/>
        </w:rPr>
        <w:t xml:space="preserve"> and </w:t>
      </w:r>
      <w:r w:rsidR="00E26EBB" w:rsidRPr="00464B33">
        <w:rPr>
          <w:color w:val="000000" w:themeColor="text1"/>
        </w:rPr>
        <w:t xml:space="preserve">assumes </w:t>
      </w:r>
      <w:r w:rsidR="00F77E0A" w:rsidRPr="00464B33">
        <w:rPr>
          <w:color w:val="000000" w:themeColor="text1"/>
        </w:rPr>
        <w:t>no molecules returning.</w:t>
      </w:r>
      <w:r w:rsidR="00C34A5B" w:rsidRPr="00464B33">
        <w:rPr>
          <w:color w:val="000000" w:themeColor="text1"/>
        </w:rPr>
        <w:t xml:space="preserve"> </w:t>
      </w:r>
    </w:p>
    <w:p w14:paraId="3B3B781A" w14:textId="3B1C68C4" w:rsidR="0065216F" w:rsidRPr="00781A1A" w:rsidRDefault="008E3EA8" w:rsidP="00E26EBB">
      <w:pPr>
        <w:pStyle w:val="CETBodytext"/>
        <w:rPr>
          <w:color w:val="000000" w:themeColor="text1"/>
        </w:rPr>
      </w:pPr>
      <w:r w:rsidRPr="00781A1A">
        <w:rPr>
          <w:color w:val="000000" w:themeColor="text1"/>
        </w:rPr>
        <w:t>One would expect that the concept of non-equilibrium stages would lead to a column temperature very similar to molecular distillation, which did not happen and this can be explained by calculations and assumptions made in the rate-based model.</w:t>
      </w:r>
      <w:r w:rsidR="00E26EBB" w:rsidRPr="00781A1A">
        <w:rPr>
          <w:color w:val="000000" w:themeColor="text1"/>
        </w:rPr>
        <w:t xml:space="preserve"> Although t</w:t>
      </w:r>
      <w:r w:rsidR="00C34A5B" w:rsidRPr="00781A1A">
        <w:rPr>
          <w:color w:val="000000" w:themeColor="text1"/>
        </w:rPr>
        <w:t xml:space="preserve">his model assumes the thermodynamic equilibrium </w:t>
      </w:r>
      <w:r w:rsidR="00900C38" w:rsidRPr="00781A1A">
        <w:rPr>
          <w:color w:val="000000" w:themeColor="text1"/>
        </w:rPr>
        <w:t xml:space="preserve">at </w:t>
      </w:r>
      <w:r w:rsidR="00C34A5B" w:rsidRPr="00781A1A">
        <w:rPr>
          <w:color w:val="000000" w:themeColor="text1"/>
        </w:rPr>
        <w:t>the interface</w:t>
      </w:r>
      <w:r w:rsidR="00900C38" w:rsidRPr="00781A1A">
        <w:rPr>
          <w:color w:val="000000" w:themeColor="text1"/>
        </w:rPr>
        <w:t xml:space="preserve"> between the phases</w:t>
      </w:r>
      <w:r w:rsidR="00C34A5B" w:rsidRPr="00781A1A">
        <w:rPr>
          <w:color w:val="000000" w:themeColor="text1"/>
        </w:rPr>
        <w:t xml:space="preserve"> </w:t>
      </w:r>
      <w:r w:rsidR="00900C38" w:rsidRPr="00781A1A">
        <w:rPr>
          <w:color w:val="000000" w:themeColor="text1"/>
        </w:rPr>
        <w:t xml:space="preserve">(and, so, 100% efficiency) </w:t>
      </w:r>
      <w:r w:rsidR="00C34A5B" w:rsidRPr="00781A1A">
        <w:rPr>
          <w:color w:val="000000" w:themeColor="text1"/>
        </w:rPr>
        <w:t xml:space="preserve">and not in the whole </w:t>
      </w:r>
      <w:r w:rsidR="00900C38" w:rsidRPr="00781A1A">
        <w:rPr>
          <w:color w:val="000000" w:themeColor="text1"/>
        </w:rPr>
        <w:t xml:space="preserve">stage </w:t>
      </w:r>
      <w:r w:rsidR="00C34A5B" w:rsidRPr="00781A1A">
        <w:rPr>
          <w:color w:val="000000" w:themeColor="text1"/>
        </w:rPr>
        <w:t>as a conventional distillation column</w:t>
      </w:r>
      <w:r w:rsidR="00E26EBB" w:rsidRPr="00781A1A">
        <w:rPr>
          <w:color w:val="000000" w:themeColor="text1"/>
        </w:rPr>
        <w:t>, t</w:t>
      </w:r>
      <w:r w:rsidR="00C34A5B" w:rsidRPr="00781A1A">
        <w:rPr>
          <w:color w:val="000000" w:themeColor="text1"/>
        </w:rPr>
        <w:t xml:space="preserve">he rate-based concept </w:t>
      </w:r>
      <w:r w:rsidR="00900C38" w:rsidRPr="00781A1A">
        <w:rPr>
          <w:color w:val="000000" w:themeColor="text1"/>
        </w:rPr>
        <w:t xml:space="preserve">(or </w:t>
      </w:r>
      <w:r w:rsidR="00C34A5B" w:rsidRPr="00781A1A">
        <w:rPr>
          <w:color w:val="000000" w:themeColor="text1"/>
        </w:rPr>
        <w:t>non-equilibrium</w:t>
      </w:r>
      <w:r w:rsidR="00900C38" w:rsidRPr="00781A1A">
        <w:rPr>
          <w:color w:val="000000" w:themeColor="text1"/>
        </w:rPr>
        <w:t xml:space="preserve"> stages)</w:t>
      </w:r>
      <w:r w:rsidR="00C34A5B" w:rsidRPr="00781A1A">
        <w:rPr>
          <w:color w:val="000000" w:themeColor="text1"/>
        </w:rPr>
        <w:t xml:space="preserve"> </w:t>
      </w:r>
      <w:r w:rsidR="00464B33" w:rsidRPr="00781A1A">
        <w:rPr>
          <w:color w:val="000000" w:themeColor="text1"/>
        </w:rPr>
        <w:t>explains the temperature results in Table 2.</w:t>
      </w:r>
    </w:p>
    <w:p w14:paraId="4B1D2F12" w14:textId="08318E17" w:rsidR="00C80962" w:rsidRPr="00B57B36" w:rsidRDefault="00C80962" w:rsidP="00C80962">
      <w:pPr>
        <w:pStyle w:val="CETTabletitle"/>
      </w:pPr>
      <w:r w:rsidRPr="00B57B36">
        <w:t xml:space="preserve">Table </w:t>
      </w:r>
      <w:r>
        <w:t>2</w:t>
      </w:r>
      <w:r w:rsidRPr="00B57B36">
        <w:t xml:space="preserve">: </w:t>
      </w:r>
      <w:r w:rsidRPr="00781A1A">
        <w:rPr>
          <w:color w:val="000000" w:themeColor="text1"/>
        </w:rPr>
        <w:t xml:space="preserve">DBP </w:t>
      </w:r>
      <w:r w:rsidR="006A1339" w:rsidRPr="00781A1A">
        <w:rPr>
          <w:color w:val="000000" w:themeColor="text1"/>
        </w:rPr>
        <w:t>m</w:t>
      </w:r>
      <w:r w:rsidRPr="00781A1A">
        <w:rPr>
          <w:color w:val="000000" w:themeColor="text1"/>
        </w:rPr>
        <w:t>ol</w:t>
      </w:r>
      <w:r w:rsidR="00605A42" w:rsidRPr="00781A1A">
        <w:rPr>
          <w:color w:val="000000" w:themeColor="text1"/>
        </w:rPr>
        <w:t>e</w:t>
      </w:r>
      <w:r w:rsidRPr="00781A1A">
        <w:rPr>
          <w:color w:val="000000" w:themeColor="text1"/>
        </w:rPr>
        <w:t xml:space="preserve"> fraction </w:t>
      </w:r>
      <w:r w:rsidRPr="00E51414">
        <w:rPr>
          <w:color w:val="000000" w:themeColor="text1"/>
        </w:rPr>
        <w:t xml:space="preserve">in the </w:t>
      </w:r>
      <w:r>
        <w:t>distillate stream obtained by the Radfrac column (Rate-based).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993"/>
        <w:gridCol w:w="1134"/>
        <w:gridCol w:w="992"/>
        <w:gridCol w:w="884"/>
        <w:gridCol w:w="1134"/>
      </w:tblGrid>
      <w:tr w:rsidR="00781A1A" w:rsidRPr="00781A1A" w14:paraId="1C73628B" w14:textId="77777777" w:rsidTr="00EF4591">
        <w:tc>
          <w:tcPr>
            <w:tcW w:w="1701" w:type="dxa"/>
            <w:tcBorders>
              <w:top w:val="single" w:sz="12" w:space="0" w:color="008000"/>
              <w:bottom w:val="single" w:sz="6" w:space="0" w:color="008000"/>
            </w:tcBorders>
            <w:shd w:val="clear" w:color="auto" w:fill="FFFFFF"/>
          </w:tcPr>
          <w:p w14:paraId="39A39C62" w14:textId="77777777" w:rsidR="00006D8C" w:rsidRPr="00B57B36" w:rsidRDefault="00006D8C" w:rsidP="00006D8C">
            <w:pPr>
              <w:pStyle w:val="CETBodytext"/>
              <w:rPr>
                <w:lang w:val="en-GB"/>
              </w:rPr>
            </w:pPr>
            <w:r>
              <w:rPr>
                <w:lang w:val="en-GB"/>
              </w:rPr>
              <w:t>Thermodynamic Model</w:t>
            </w:r>
          </w:p>
        </w:tc>
        <w:tc>
          <w:tcPr>
            <w:tcW w:w="993" w:type="dxa"/>
            <w:tcBorders>
              <w:top w:val="single" w:sz="12" w:space="0" w:color="008000"/>
              <w:bottom w:val="single" w:sz="6" w:space="0" w:color="008000"/>
            </w:tcBorders>
            <w:shd w:val="clear" w:color="auto" w:fill="FFFFFF"/>
            <w:vAlign w:val="center"/>
          </w:tcPr>
          <w:p w14:paraId="338D3391" w14:textId="77777777" w:rsidR="00006D8C" w:rsidRDefault="00006D8C" w:rsidP="00006D8C">
            <w:pPr>
              <w:pStyle w:val="CETBodytext"/>
              <w:jc w:val="center"/>
              <w:rPr>
                <w:lang w:val="en-GB"/>
              </w:rPr>
            </w:pPr>
            <w:r>
              <w:rPr>
                <w:lang w:val="en-GB"/>
              </w:rPr>
              <w:t>T</w:t>
            </w:r>
            <w:r w:rsidRPr="00B0145C">
              <w:rPr>
                <w:vertAlign w:val="subscript"/>
                <w:lang w:val="en-GB"/>
              </w:rPr>
              <w:t>MD</w:t>
            </w:r>
            <w:r>
              <w:rPr>
                <w:lang w:val="en-GB"/>
              </w:rPr>
              <w:t xml:space="preserve"> (</w:t>
            </w:r>
            <w:r>
              <w:rPr>
                <w:lang w:val="en-GB"/>
              </w:rPr>
              <w:sym w:font="Symbol" w:char="F0B0"/>
            </w:r>
            <w:r>
              <w:rPr>
                <w:lang w:val="en-GB"/>
              </w:rPr>
              <w:t>C)</w:t>
            </w:r>
          </w:p>
          <w:p w14:paraId="54B32315" w14:textId="65C261CA" w:rsidR="00006D8C" w:rsidRPr="00B0145C" w:rsidRDefault="00006D8C" w:rsidP="00006D8C">
            <w:pPr>
              <w:pStyle w:val="CETBodytext"/>
              <w:jc w:val="center"/>
              <w:rPr>
                <w:lang w:val="en-GB"/>
              </w:rPr>
            </w:pPr>
            <w:r>
              <w:rPr>
                <w:rFonts w:cs="Arial"/>
                <w:szCs w:val="18"/>
                <w:vertAlign w:val="subscript"/>
                <w:lang w:val="en-GB"/>
              </w:rPr>
              <w:t>(</w:t>
            </w:r>
            <w:proofErr w:type="spellStart"/>
            <w:r>
              <w:rPr>
                <w:rFonts w:cs="Arial"/>
                <w:szCs w:val="18"/>
                <w:vertAlign w:val="subscript"/>
                <w:lang w:val="en-GB"/>
              </w:rPr>
              <w:t>Batistella</w:t>
            </w:r>
            <w:proofErr w:type="spellEnd"/>
            <w:r>
              <w:rPr>
                <w:rFonts w:cs="Arial"/>
                <w:szCs w:val="18"/>
                <w:vertAlign w:val="subscript"/>
                <w:lang w:val="en-GB"/>
              </w:rPr>
              <w:t xml:space="preserve"> and </w:t>
            </w:r>
            <w:r w:rsidR="00131622">
              <w:rPr>
                <w:rFonts w:cs="Arial"/>
                <w:szCs w:val="18"/>
                <w:vertAlign w:val="subscript"/>
                <w:lang w:val="en-GB"/>
              </w:rPr>
              <w:t xml:space="preserve">Wolf </w:t>
            </w:r>
            <w:proofErr w:type="spellStart"/>
            <w:r>
              <w:rPr>
                <w:rFonts w:cs="Arial"/>
                <w:szCs w:val="18"/>
                <w:vertAlign w:val="subscript"/>
                <w:lang w:val="en-GB"/>
              </w:rPr>
              <w:t>Maciel</w:t>
            </w:r>
            <w:proofErr w:type="spellEnd"/>
            <w:r>
              <w:rPr>
                <w:rFonts w:cs="Arial"/>
                <w:szCs w:val="18"/>
                <w:vertAlign w:val="subscript"/>
                <w:lang w:val="en-GB"/>
              </w:rPr>
              <w:t>, 1996)</w:t>
            </w:r>
          </w:p>
        </w:tc>
        <w:tc>
          <w:tcPr>
            <w:tcW w:w="1134" w:type="dxa"/>
            <w:tcBorders>
              <w:top w:val="single" w:sz="12" w:space="0" w:color="008000"/>
              <w:bottom w:val="single" w:sz="6" w:space="0" w:color="008000"/>
            </w:tcBorders>
            <w:shd w:val="clear" w:color="auto" w:fill="FFFFFF"/>
            <w:vAlign w:val="center"/>
          </w:tcPr>
          <w:p w14:paraId="7755C168" w14:textId="77777777" w:rsidR="00006D8C" w:rsidRPr="00B57B36" w:rsidRDefault="00006D8C" w:rsidP="00006D8C">
            <w:pPr>
              <w:pStyle w:val="CETBodytext"/>
              <w:jc w:val="center"/>
              <w:rPr>
                <w:lang w:val="en-GB"/>
              </w:rPr>
            </w:pPr>
            <w:r>
              <w:rPr>
                <w:lang w:val="en-GB"/>
              </w:rPr>
              <w:t>T</w:t>
            </w:r>
            <w:r>
              <w:rPr>
                <w:vertAlign w:val="subscript"/>
                <w:lang w:val="en-GB"/>
              </w:rPr>
              <w:t>Rate-Based</w:t>
            </w:r>
            <w:r>
              <w:rPr>
                <w:lang w:val="en-GB"/>
              </w:rPr>
              <w:t xml:space="preserve"> (</w:t>
            </w:r>
            <w:r>
              <w:rPr>
                <w:lang w:val="en-GB"/>
              </w:rPr>
              <w:sym w:font="Symbol" w:char="F0B0"/>
            </w:r>
            <w:r>
              <w:rPr>
                <w:lang w:val="en-GB"/>
              </w:rPr>
              <w:t>C)</w:t>
            </w:r>
          </w:p>
        </w:tc>
        <w:tc>
          <w:tcPr>
            <w:tcW w:w="992" w:type="dxa"/>
            <w:tcBorders>
              <w:top w:val="single" w:sz="12" w:space="0" w:color="008000"/>
              <w:bottom w:val="single" w:sz="6" w:space="0" w:color="008000"/>
            </w:tcBorders>
            <w:shd w:val="clear" w:color="auto" w:fill="FFFFFF"/>
            <w:vAlign w:val="center"/>
          </w:tcPr>
          <w:p w14:paraId="0DF572AB" w14:textId="77777777" w:rsidR="00006D8C" w:rsidRDefault="00006D8C" w:rsidP="00006D8C">
            <w:pPr>
              <w:pStyle w:val="CETBodytext"/>
              <w:ind w:right="-1"/>
              <w:jc w:val="center"/>
              <w:rPr>
                <w:rFonts w:cs="Arial"/>
                <w:szCs w:val="18"/>
                <w:vertAlign w:val="subscript"/>
                <w:lang w:val="en-GB"/>
              </w:rPr>
            </w:pPr>
            <w:r>
              <w:rPr>
                <w:rFonts w:cs="Arial"/>
                <w:szCs w:val="18"/>
                <w:lang w:val="en-GB"/>
              </w:rPr>
              <w:t>y</w:t>
            </w:r>
            <w:r w:rsidRPr="00B0145C">
              <w:rPr>
                <w:rFonts w:cs="Arial"/>
                <w:szCs w:val="18"/>
                <w:vertAlign w:val="subscript"/>
                <w:lang w:val="en-GB"/>
              </w:rPr>
              <w:t>MD</w:t>
            </w:r>
          </w:p>
          <w:p w14:paraId="2FE99863" w14:textId="07D35585" w:rsidR="00006D8C" w:rsidRPr="00B57B36" w:rsidRDefault="00006D8C" w:rsidP="00006D8C">
            <w:pPr>
              <w:pStyle w:val="CETBodytext"/>
              <w:ind w:right="-1"/>
              <w:jc w:val="center"/>
              <w:rPr>
                <w:rFonts w:cs="Arial"/>
                <w:szCs w:val="18"/>
                <w:lang w:val="en-GB"/>
              </w:rPr>
            </w:pPr>
            <w:r>
              <w:rPr>
                <w:rFonts w:cs="Arial"/>
                <w:szCs w:val="18"/>
                <w:vertAlign w:val="subscript"/>
                <w:lang w:val="en-GB"/>
              </w:rPr>
              <w:t xml:space="preserve"> (</w:t>
            </w:r>
            <w:proofErr w:type="spellStart"/>
            <w:r>
              <w:rPr>
                <w:rFonts w:cs="Arial"/>
                <w:szCs w:val="18"/>
                <w:vertAlign w:val="subscript"/>
                <w:lang w:val="en-GB"/>
              </w:rPr>
              <w:t>Batistella</w:t>
            </w:r>
            <w:proofErr w:type="spellEnd"/>
            <w:r>
              <w:rPr>
                <w:rFonts w:cs="Arial"/>
                <w:szCs w:val="18"/>
                <w:vertAlign w:val="subscript"/>
                <w:lang w:val="en-GB"/>
              </w:rPr>
              <w:t xml:space="preserve"> and </w:t>
            </w:r>
            <w:r w:rsidR="00131622">
              <w:rPr>
                <w:rFonts w:cs="Arial"/>
                <w:szCs w:val="18"/>
                <w:vertAlign w:val="subscript"/>
                <w:lang w:val="en-GB"/>
              </w:rPr>
              <w:t xml:space="preserve">Wolf </w:t>
            </w:r>
            <w:proofErr w:type="spellStart"/>
            <w:r>
              <w:rPr>
                <w:rFonts w:cs="Arial"/>
                <w:szCs w:val="18"/>
                <w:vertAlign w:val="subscript"/>
                <w:lang w:val="en-GB"/>
              </w:rPr>
              <w:t>Maciel</w:t>
            </w:r>
            <w:proofErr w:type="spellEnd"/>
            <w:r>
              <w:rPr>
                <w:rFonts w:cs="Arial"/>
                <w:szCs w:val="18"/>
                <w:vertAlign w:val="subscript"/>
                <w:lang w:val="en-GB"/>
              </w:rPr>
              <w:t>, 1996)</w:t>
            </w:r>
          </w:p>
        </w:tc>
        <w:tc>
          <w:tcPr>
            <w:tcW w:w="884" w:type="dxa"/>
            <w:tcBorders>
              <w:top w:val="single" w:sz="12" w:space="0" w:color="008000"/>
              <w:bottom w:val="single" w:sz="6" w:space="0" w:color="008000"/>
            </w:tcBorders>
            <w:shd w:val="clear" w:color="auto" w:fill="FFFFFF"/>
            <w:vAlign w:val="center"/>
          </w:tcPr>
          <w:p w14:paraId="2F87CD21" w14:textId="77777777" w:rsidR="00006D8C" w:rsidRPr="00B57B36" w:rsidRDefault="00006D8C" w:rsidP="00006D8C">
            <w:pPr>
              <w:pStyle w:val="CETBodytext"/>
              <w:ind w:right="-1"/>
              <w:jc w:val="center"/>
              <w:rPr>
                <w:rFonts w:cs="Arial"/>
                <w:szCs w:val="18"/>
                <w:lang w:val="en-GB"/>
              </w:rPr>
            </w:pPr>
            <w:r>
              <w:rPr>
                <w:rFonts w:cs="Arial"/>
                <w:szCs w:val="18"/>
                <w:lang w:val="en-GB"/>
              </w:rPr>
              <w:t>y</w:t>
            </w:r>
            <w:r w:rsidRPr="00B0145C">
              <w:rPr>
                <w:rFonts w:cs="Arial"/>
                <w:szCs w:val="18"/>
                <w:vertAlign w:val="subscript"/>
                <w:lang w:val="en-GB"/>
              </w:rPr>
              <w:t>Rate-Based</w:t>
            </w:r>
          </w:p>
        </w:tc>
        <w:tc>
          <w:tcPr>
            <w:tcW w:w="1134" w:type="dxa"/>
            <w:tcBorders>
              <w:top w:val="single" w:sz="12" w:space="0" w:color="008000"/>
              <w:bottom w:val="single" w:sz="6" w:space="0" w:color="008000"/>
            </w:tcBorders>
            <w:shd w:val="clear" w:color="auto" w:fill="FFFFFF"/>
            <w:vAlign w:val="center"/>
          </w:tcPr>
          <w:p w14:paraId="66E07FD1" w14:textId="77777777" w:rsidR="00006D8C" w:rsidRPr="00781A1A" w:rsidRDefault="00006D8C" w:rsidP="00006D8C">
            <w:pPr>
              <w:pStyle w:val="CETBodytext"/>
              <w:ind w:right="-1"/>
              <w:jc w:val="center"/>
              <w:rPr>
                <w:rFonts w:cs="Arial"/>
                <w:color w:val="000000" w:themeColor="text1"/>
                <w:szCs w:val="18"/>
                <w:vertAlign w:val="subscript"/>
                <w:lang w:val="en-GB"/>
              </w:rPr>
            </w:pPr>
            <w:r w:rsidRPr="00781A1A">
              <w:rPr>
                <w:rFonts w:cs="Arial"/>
                <w:color w:val="000000" w:themeColor="text1"/>
                <w:szCs w:val="18"/>
                <w:lang w:val="en-GB"/>
              </w:rPr>
              <w:t>y</w:t>
            </w:r>
            <w:r w:rsidRPr="00781A1A">
              <w:rPr>
                <w:rFonts w:cs="Arial"/>
                <w:color w:val="000000" w:themeColor="text1"/>
                <w:szCs w:val="18"/>
                <w:vertAlign w:val="subscript"/>
                <w:lang w:val="en-GB"/>
              </w:rPr>
              <w:t>MD Deviation (%)</w:t>
            </w:r>
          </w:p>
          <w:p w14:paraId="07D5498D" w14:textId="3201D420" w:rsidR="00006D8C" w:rsidRPr="00781A1A" w:rsidRDefault="00006D8C" w:rsidP="00006D8C">
            <w:pPr>
              <w:pStyle w:val="CETBodytext"/>
              <w:ind w:right="-1"/>
              <w:jc w:val="center"/>
              <w:rPr>
                <w:rFonts w:cs="Arial"/>
                <w:color w:val="000000" w:themeColor="text1"/>
                <w:szCs w:val="18"/>
                <w:lang w:val="en-GB"/>
              </w:rPr>
            </w:pPr>
            <w:r w:rsidRPr="00781A1A">
              <w:rPr>
                <w:rFonts w:cs="Arial"/>
                <w:color w:val="000000" w:themeColor="text1"/>
                <w:szCs w:val="18"/>
                <w:vertAlign w:val="subscript"/>
                <w:lang w:val="en-GB"/>
              </w:rPr>
              <w:t xml:space="preserve">(Reference </w:t>
            </w:r>
            <w:proofErr w:type="spellStart"/>
            <w:r w:rsidRPr="00781A1A">
              <w:rPr>
                <w:rFonts w:cs="Arial"/>
                <w:color w:val="000000" w:themeColor="text1"/>
                <w:szCs w:val="18"/>
                <w:vertAlign w:val="subscript"/>
                <w:lang w:val="en-GB"/>
              </w:rPr>
              <w:t>Batistella</w:t>
            </w:r>
            <w:proofErr w:type="spellEnd"/>
            <w:r w:rsidRPr="00781A1A">
              <w:rPr>
                <w:rFonts w:cs="Arial"/>
                <w:color w:val="000000" w:themeColor="text1"/>
                <w:szCs w:val="18"/>
                <w:vertAlign w:val="subscript"/>
                <w:lang w:val="en-GB"/>
              </w:rPr>
              <w:t xml:space="preserve"> and </w:t>
            </w:r>
            <w:r w:rsidR="00131622">
              <w:rPr>
                <w:rFonts w:cs="Arial"/>
                <w:color w:val="000000" w:themeColor="text1"/>
                <w:szCs w:val="18"/>
                <w:vertAlign w:val="subscript"/>
                <w:lang w:val="en-GB"/>
              </w:rPr>
              <w:t xml:space="preserve">Wolf </w:t>
            </w:r>
            <w:proofErr w:type="spellStart"/>
            <w:r w:rsidRPr="00781A1A">
              <w:rPr>
                <w:rFonts w:cs="Arial"/>
                <w:color w:val="000000" w:themeColor="text1"/>
                <w:szCs w:val="18"/>
                <w:vertAlign w:val="subscript"/>
                <w:lang w:val="en-GB"/>
              </w:rPr>
              <w:t>Maciel</w:t>
            </w:r>
            <w:proofErr w:type="spellEnd"/>
            <w:r w:rsidRPr="00781A1A">
              <w:rPr>
                <w:rFonts w:cs="Arial"/>
                <w:color w:val="000000" w:themeColor="text1"/>
                <w:szCs w:val="18"/>
                <w:vertAlign w:val="subscript"/>
                <w:lang w:val="en-GB"/>
              </w:rPr>
              <w:t>, 1996)</w:t>
            </w:r>
          </w:p>
        </w:tc>
      </w:tr>
      <w:tr w:rsidR="00006D8C" w:rsidRPr="00B57B36" w14:paraId="65CE7B03" w14:textId="77777777" w:rsidTr="00EF4591">
        <w:tc>
          <w:tcPr>
            <w:tcW w:w="1701" w:type="dxa"/>
            <w:shd w:val="clear" w:color="auto" w:fill="FFFFFF"/>
          </w:tcPr>
          <w:p w14:paraId="11982A71" w14:textId="77777777" w:rsidR="00006D8C" w:rsidRPr="00B57B36" w:rsidRDefault="00006D8C" w:rsidP="00006D8C">
            <w:pPr>
              <w:pStyle w:val="CETBodytext"/>
              <w:rPr>
                <w:lang w:val="en-GB"/>
              </w:rPr>
            </w:pPr>
            <w:r>
              <w:rPr>
                <w:lang w:val="en-GB"/>
              </w:rPr>
              <w:t>RKS-BM</w:t>
            </w:r>
          </w:p>
        </w:tc>
        <w:tc>
          <w:tcPr>
            <w:tcW w:w="993" w:type="dxa"/>
            <w:shd w:val="clear" w:color="auto" w:fill="FFFFFF"/>
          </w:tcPr>
          <w:p w14:paraId="15A0F085" w14:textId="77777777" w:rsidR="00006D8C" w:rsidRPr="00B57B36" w:rsidRDefault="00006D8C" w:rsidP="00006D8C">
            <w:pPr>
              <w:pStyle w:val="CETBodytext"/>
              <w:jc w:val="center"/>
              <w:rPr>
                <w:lang w:val="en-GB"/>
              </w:rPr>
            </w:pPr>
            <w:r>
              <w:rPr>
                <w:lang w:val="en-GB"/>
              </w:rPr>
              <w:t>95.88</w:t>
            </w:r>
          </w:p>
        </w:tc>
        <w:tc>
          <w:tcPr>
            <w:tcW w:w="1134" w:type="dxa"/>
            <w:shd w:val="clear" w:color="auto" w:fill="FFFFFF"/>
            <w:vAlign w:val="center"/>
          </w:tcPr>
          <w:p w14:paraId="5A37CC05" w14:textId="77777777" w:rsidR="00006D8C" w:rsidRPr="00B57B36" w:rsidRDefault="00006D8C" w:rsidP="00006D8C">
            <w:pPr>
              <w:pStyle w:val="CETBodytext"/>
              <w:jc w:val="center"/>
              <w:rPr>
                <w:lang w:val="en-GB"/>
              </w:rPr>
            </w:pPr>
            <w:r>
              <w:rPr>
                <w:lang w:val="en-GB"/>
              </w:rPr>
              <w:t>71.65</w:t>
            </w:r>
          </w:p>
        </w:tc>
        <w:tc>
          <w:tcPr>
            <w:tcW w:w="992" w:type="dxa"/>
            <w:shd w:val="clear" w:color="auto" w:fill="FFFFFF"/>
          </w:tcPr>
          <w:p w14:paraId="299AD461" w14:textId="77777777" w:rsidR="00006D8C" w:rsidRPr="00B57B36" w:rsidRDefault="00006D8C" w:rsidP="00006D8C">
            <w:pPr>
              <w:pStyle w:val="CETBodytext"/>
              <w:ind w:right="-1"/>
              <w:jc w:val="center"/>
              <w:rPr>
                <w:rFonts w:cs="Arial"/>
                <w:szCs w:val="18"/>
                <w:lang w:val="en-GB"/>
              </w:rPr>
            </w:pPr>
            <w:r>
              <w:rPr>
                <w:rFonts w:cs="Arial"/>
                <w:szCs w:val="18"/>
                <w:lang w:val="en-GB"/>
              </w:rPr>
              <w:t>0.775</w:t>
            </w:r>
          </w:p>
        </w:tc>
        <w:tc>
          <w:tcPr>
            <w:tcW w:w="884" w:type="dxa"/>
            <w:shd w:val="clear" w:color="auto" w:fill="FFFFFF"/>
          </w:tcPr>
          <w:p w14:paraId="33D24AAE" w14:textId="77777777" w:rsidR="00006D8C" w:rsidRPr="00B57B36" w:rsidRDefault="00006D8C" w:rsidP="00006D8C">
            <w:pPr>
              <w:pStyle w:val="CETBodytext"/>
              <w:ind w:right="-1"/>
              <w:jc w:val="center"/>
              <w:rPr>
                <w:rFonts w:cs="Arial"/>
                <w:szCs w:val="18"/>
                <w:lang w:val="en-GB"/>
              </w:rPr>
            </w:pPr>
            <w:r>
              <w:rPr>
                <w:rFonts w:cs="Arial"/>
                <w:szCs w:val="18"/>
                <w:lang w:val="en-GB"/>
              </w:rPr>
              <w:t>0.710</w:t>
            </w:r>
          </w:p>
        </w:tc>
        <w:tc>
          <w:tcPr>
            <w:tcW w:w="1134" w:type="dxa"/>
            <w:shd w:val="clear" w:color="auto" w:fill="FFFFFF"/>
          </w:tcPr>
          <w:p w14:paraId="2587CCF4" w14:textId="77777777" w:rsidR="00006D8C" w:rsidRPr="00B57B36" w:rsidRDefault="00006D8C" w:rsidP="00006D8C">
            <w:pPr>
              <w:pStyle w:val="CETBodytext"/>
              <w:ind w:right="-1"/>
              <w:jc w:val="center"/>
              <w:rPr>
                <w:rFonts w:cs="Arial"/>
                <w:szCs w:val="18"/>
                <w:lang w:val="en-GB"/>
              </w:rPr>
            </w:pPr>
            <w:r>
              <w:rPr>
                <w:rFonts w:cs="Arial"/>
                <w:szCs w:val="18"/>
                <w:lang w:val="en-GB"/>
              </w:rPr>
              <w:t>-2.20</w:t>
            </w:r>
          </w:p>
        </w:tc>
      </w:tr>
      <w:tr w:rsidR="00006D8C" w:rsidRPr="00B57B36" w14:paraId="0385B123" w14:textId="77777777" w:rsidTr="00EF4591">
        <w:tc>
          <w:tcPr>
            <w:tcW w:w="1701" w:type="dxa"/>
            <w:shd w:val="clear" w:color="auto" w:fill="FFFFFF"/>
          </w:tcPr>
          <w:p w14:paraId="3D522225" w14:textId="77777777" w:rsidR="00006D8C" w:rsidRPr="00B57B36" w:rsidRDefault="00006D8C" w:rsidP="00006D8C">
            <w:pPr>
              <w:pStyle w:val="CETBodytext"/>
              <w:rPr>
                <w:lang w:val="en-GB"/>
              </w:rPr>
            </w:pPr>
            <w:r>
              <w:rPr>
                <w:lang w:val="en-GB"/>
              </w:rPr>
              <w:t>LK-Plock</w:t>
            </w:r>
          </w:p>
        </w:tc>
        <w:tc>
          <w:tcPr>
            <w:tcW w:w="993" w:type="dxa"/>
            <w:shd w:val="clear" w:color="auto" w:fill="FFFFFF"/>
          </w:tcPr>
          <w:p w14:paraId="12F4A92E" w14:textId="77777777" w:rsidR="00006D8C" w:rsidRDefault="00006D8C" w:rsidP="00006D8C">
            <w:pPr>
              <w:pStyle w:val="CETBodytext"/>
              <w:jc w:val="center"/>
              <w:rPr>
                <w:lang w:val="en-GB"/>
              </w:rPr>
            </w:pPr>
            <w:r>
              <w:rPr>
                <w:lang w:val="en-GB"/>
              </w:rPr>
              <w:t>95.88</w:t>
            </w:r>
          </w:p>
        </w:tc>
        <w:tc>
          <w:tcPr>
            <w:tcW w:w="1134" w:type="dxa"/>
            <w:shd w:val="clear" w:color="auto" w:fill="FFFFFF"/>
            <w:vAlign w:val="center"/>
          </w:tcPr>
          <w:p w14:paraId="4F0B04FB" w14:textId="77777777" w:rsidR="00006D8C" w:rsidRDefault="00006D8C" w:rsidP="00006D8C">
            <w:pPr>
              <w:pStyle w:val="CETBodytext"/>
              <w:jc w:val="center"/>
              <w:rPr>
                <w:lang w:val="en-GB"/>
              </w:rPr>
            </w:pPr>
            <w:r>
              <w:rPr>
                <w:lang w:val="en-GB"/>
              </w:rPr>
              <w:t>66.64</w:t>
            </w:r>
          </w:p>
        </w:tc>
        <w:tc>
          <w:tcPr>
            <w:tcW w:w="992" w:type="dxa"/>
            <w:shd w:val="clear" w:color="auto" w:fill="FFFFFF"/>
          </w:tcPr>
          <w:p w14:paraId="74CADEA8" w14:textId="77777777" w:rsidR="00006D8C" w:rsidRPr="00B57B36" w:rsidRDefault="00006D8C" w:rsidP="00006D8C">
            <w:pPr>
              <w:pStyle w:val="CETBodytext"/>
              <w:ind w:right="-1"/>
              <w:jc w:val="center"/>
              <w:rPr>
                <w:rFonts w:cs="Arial"/>
                <w:szCs w:val="18"/>
                <w:lang w:val="en-GB"/>
              </w:rPr>
            </w:pPr>
            <w:r>
              <w:rPr>
                <w:rFonts w:cs="Arial"/>
                <w:szCs w:val="18"/>
                <w:lang w:val="en-GB"/>
              </w:rPr>
              <w:t>0.775</w:t>
            </w:r>
          </w:p>
        </w:tc>
        <w:tc>
          <w:tcPr>
            <w:tcW w:w="884" w:type="dxa"/>
            <w:shd w:val="clear" w:color="auto" w:fill="FFFFFF"/>
          </w:tcPr>
          <w:p w14:paraId="25CCCC31" w14:textId="77777777" w:rsidR="00006D8C" w:rsidRPr="00B57B36" w:rsidRDefault="00006D8C" w:rsidP="00006D8C">
            <w:pPr>
              <w:pStyle w:val="CETBodytext"/>
              <w:ind w:right="-1"/>
              <w:jc w:val="center"/>
              <w:rPr>
                <w:rFonts w:cs="Arial"/>
                <w:szCs w:val="18"/>
                <w:lang w:val="en-GB"/>
              </w:rPr>
            </w:pPr>
            <w:r>
              <w:rPr>
                <w:rFonts w:cs="Arial"/>
                <w:szCs w:val="18"/>
                <w:lang w:val="en-GB"/>
              </w:rPr>
              <w:t>0.686</w:t>
            </w:r>
          </w:p>
        </w:tc>
        <w:tc>
          <w:tcPr>
            <w:tcW w:w="1134" w:type="dxa"/>
            <w:shd w:val="clear" w:color="auto" w:fill="FFFFFF"/>
          </w:tcPr>
          <w:p w14:paraId="3CC242B3" w14:textId="77777777" w:rsidR="00006D8C" w:rsidRPr="00B57B36" w:rsidRDefault="00006D8C" w:rsidP="00006D8C">
            <w:pPr>
              <w:pStyle w:val="CETBodytext"/>
              <w:ind w:right="-1"/>
              <w:jc w:val="center"/>
              <w:rPr>
                <w:rFonts w:cs="Arial"/>
                <w:szCs w:val="18"/>
                <w:lang w:val="en-GB"/>
              </w:rPr>
            </w:pPr>
            <w:r>
              <w:rPr>
                <w:rFonts w:cs="Arial"/>
                <w:szCs w:val="18"/>
                <w:lang w:val="en-GB"/>
              </w:rPr>
              <w:t>-4.87</w:t>
            </w:r>
          </w:p>
        </w:tc>
      </w:tr>
      <w:tr w:rsidR="00006D8C" w:rsidRPr="00B57B36" w14:paraId="0ACBC9F5" w14:textId="77777777" w:rsidTr="00EF4591">
        <w:tc>
          <w:tcPr>
            <w:tcW w:w="1701" w:type="dxa"/>
            <w:shd w:val="clear" w:color="auto" w:fill="FFFFFF"/>
          </w:tcPr>
          <w:p w14:paraId="3AE9329A" w14:textId="77777777" w:rsidR="00006D8C" w:rsidRPr="00B57B36" w:rsidRDefault="00006D8C" w:rsidP="00006D8C">
            <w:pPr>
              <w:pStyle w:val="CETBodytext"/>
              <w:rPr>
                <w:lang w:val="en-GB"/>
              </w:rPr>
            </w:pPr>
            <w:r>
              <w:rPr>
                <w:lang w:val="en-GB"/>
              </w:rPr>
              <w:t>PR-BM</w:t>
            </w:r>
          </w:p>
        </w:tc>
        <w:tc>
          <w:tcPr>
            <w:tcW w:w="993" w:type="dxa"/>
            <w:shd w:val="clear" w:color="auto" w:fill="FFFFFF"/>
          </w:tcPr>
          <w:p w14:paraId="1F472234" w14:textId="77777777" w:rsidR="00006D8C" w:rsidRDefault="00006D8C" w:rsidP="00006D8C">
            <w:pPr>
              <w:pStyle w:val="CETBodytext"/>
              <w:jc w:val="center"/>
              <w:rPr>
                <w:lang w:val="en-GB"/>
              </w:rPr>
            </w:pPr>
            <w:r>
              <w:rPr>
                <w:lang w:val="en-GB"/>
              </w:rPr>
              <w:t>95.88</w:t>
            </w:r>
          </w:p>
        </w:tc>
        <w:tc>
          <w:tcPr>
            <w:tcW w:w="1134" w:type="dxa"/>
            <w:shd w:val="clear" w:color="auto" w:fill="FFFFFF"/>
            <w:vAlign w:val="center"/>
          </w:tcPr>
          <w:p w14:paraId="06F7D9B8" w14:textId="77777777" w:rsidR="00006D8C" w:rsidRDefault="00006D8C" w:rsidP="00006D8C">
            <w:pPr>
              <w:pStyle w:val="CETBodytext"/>
              <w:jc w:val="center"/>
              <w:rPr>
                <w:lang w:val="en-GB"/>
              </w:rPr>
            </w:pPr>
            <w:r>
              <w:rPr>
                <w:lang w:val="en-GB"/>
              </w:rPr>
              <w:t>63.57</w:t>
            </w:r>
          </w:p>
        </w:tc>
        <w:tc>
          <w:tcPr>
            <w:tcW w:w="992" w:type="dxa"/>
            <w:shd w:val="clear" w:color="auto" w:fill="FFFFFF"/>
          </w:tcPr>
          <w:p w14:paraId="6D681D7D" w14:textId="77777777" w:rsidR="00006D8C" w:rsidRPr="00B57B36" w:rsidRDefault="00006D8C" w:rsidP="00006D8C">
            <w:pPr>
              <w:pStyle w:val="CETBodytext"/>
              <w:ind w:right="-1"/>
              <w:jc w:val="center"/>
              <w:rPr>
                <w:rFonts w:cs="Arial"/>
                <w:szCs w:val="18"/>
                <w:lang w:val="en-GB"/>
              </w:rPr>
            </w:pPr>
            <w:r>
              <w:rPr>
                <w:rFonts w:cs="Arial"/>
                <w:szCs w:val="18"/>
                <w:lang w:val="en-GB"/>
              </w:rPr>
              <w:t>0.775</w:t>
            </w:r>
          </w:p>
        </w:tc>
        <w:tc>
          <w:tcPr>
            <w:tcW w:w="884" w:type="dxa"/>
            <w:shd w:val="clear" w:color="auto" w:fill="FFFFFF"/>
          </w:tcPr>
          <w:p w14:paraId="4E4046B6" w14:textId="77777777" w:rsidR="00006D8C" w:rsidRPr="00B57B36" w:rsidRDefault="00006D8C" w:rsidP="00006D8C">
            <w:pPr>
              <w:pStyle w:val="CETBodytext"/>
              <w:ind w:right="-1"/>
              <w:jc w:val="center"/>
              <w:rPr>
                <w:rFonts w:cs="Arial"/>
                <w:szCs w:val="18"/>
                <w:lang w:val="en-GB"/>
              </w:rPr>
            </w:pPr>
            <w:r>
              <w:rPr>
                <w:rFonts w:cs="Arial"/>
                <w:szCs w:val="18"/>
                <w:lang w:val="en-GB"/>
              </w:rPr>
              <w:t>0.665</w:t>
            </w:r>
          </w:p>
        </w:tc>
        <w:tc>
          <w:tcPr>
            <w:tcW w:w="1134" w:type="dxa"/>
            <w:shd w:val="clear" w:color="auto" w:fill="FFFFFF"/>
          </w:tcPr>
          <w:p w14:paraId="12E5892A" w14:textId="77777777" w:rsidR="00006D8C" w:rsidRPr="00B57B36" w:rsidRDefault="00006D8C" w:rsidP="00006D8C">
            <w:pPr>
              <w:pStyle w:val="CETBodytext"/>
              <w:ind w:right="-1"/>
              <w:jc w:val="center"/>
              <w:rPr>
                <w:rFonts w:cs="Arial"/>
                <w:szCs w:val="18"/>
                <w:lang w:val="en-GB"/>
              </w:rPr>
            </w:pPr>
            <w:r>
              <w:rPr>
                <w:rFonts w:cs="Arial"/>
                <w:szCs w:val="18"/>
                <w:lang w:val="en-GB"/>
              </w:rPr>
              <w:t>-7.34</w:t>
            </w:r>
          </w:p>
        </w:tc>
      </w:tr>
    </w:tbl>
    <w:p w14:paraId="2FFA2CF1" w14:textId="77777777" w:rsidR="0065216F" w:rsidRPr="00127A69" w:rsidRDefault="0065216F" w:rsidP="004049A6">
      <w:pPr>
        <w:pStyle w:val="CETBodytext"/>
      </w:pPr>
    </w:p>
    <w:p w14:paraId="129BF6B5" w14:textId="06C19FEC" w:rsidR="002D764C" w:rsidRDefault="00AC4BDA" w:rsidP="004049A6">
      <w:pPr>
        <w:pStyle w:val="CETBodytext"/>
      </w:pPr>
      <w:r w:rsidRPr="00287891">
        <w:t>The validation of the Aspen Plus</w:t>
      </w:r>
      <w:r w:rsidRPr="00287891">
        <w:sym w:font="Symbol" w:char="F0E2"/>
      </w:r>
      <w:r w:rsidRPr="00287891">
        <w:t xml:space="preserve"> approach was measured by the y deviation which compared the mole fraction values </w:t>
      </w:r>
      <w:proofErr w:type="gramStart"/>
      <w:r w:rsidRPr="00162997">
        <w:rPr>
          <w:color w:val="000000" w:themeColor="text1"/>
        </w:rPr>
        <w:t xml:space="preserve">taking </w:t>
      </w:r>
      <w:r w:rsidR="002D764C" w:rsidRPr="00162997">
        <w:rPr>
          <w:color w:val="000000" w:themeColor="text1"/>
        </w:rPr>
        <w:t xml:space="preserve">into </w:t>
      </w:r>
      <w:r w:rsidRPr="00162997">
        <w:rPr>
          <w:color w:val="000000" w:themeColor="text1"/>
        </w:rPr>
        <w:t>account</w:t>
      </w:r>
      <w:proofErr w:type="gramEnd"/>
      <w:r w:rsidRPr="00162997">
        <w:rPr>
          <w:color w:val="000000" w:themeColor="text1"/>
        </w:rPr>
        <w:t xml:space="preserve"> </w:t>
      </w:r>
      <w:r w:rsidRPr="00287891">
        <w:t xml:space="preserve">the </w:t>
      </w:r>
      <w:proofErr w:type="spellStart"/>
      <w:r w:rsidRPr="00287891">
        <w:t>y</w:t>
      </w:r>
      <w:r w:rsidRPr="00287891">
        <w:rPr>
          <w:vertAlign w:val="subscript"/>
        </w:rPr>
        <w:t>MD</w:t>
      </w:r>
      <w:proofErr w:type="spellEnd"/>
      <w:r w:rsidRPr="00287891">
        <w:t xml:space="preserve"> from </w:t>
      </w:r>
      <w:proofErr w:type="spellStart"/>
      <w:r w:rsidRPr="00287891">
        <w:t>Batistella</w:t>
      </w:r>
      <w:proofErr w:type="spellEnd"/>
      <w:r w:rsidRPr="00287891">
        <w:t xml:space="preserve"> and </w:t>
      </w:r>
      <w:r w:rsidR="008215B4">
        <w:t xml:space="preserve">Wolf </w:t>
      </w:r>
      <w:proofErr w:type="spellStart"/>
      <w:r w:rsidRPr="00287891">
        <w:t>Maciel</w:t>
      </w:r>
      <w:proofErr w:type="spellEnd"/>
      <w:r w:rsidRPr="00287891">
        <w:t xml:space="preserve"> (1996) as </w:t>
      </w:r>
      <w:r w:rsidR="00E63454" w:rsidRPr="00287891">
        <w:t xml:space="preserve">a </w:t>
      </w:r>
      <w:r w:rsidRPr="00162997">
        <w:rPr>
          <w:color w:val="000000" w:themeColor="text1"/>
        </w:rPr>
        <w:t xml:space="preserve">reference. </w:t>
      </w:r>
      <w:r w:rsidR="00071750" w:rsidRPr="00AC4BDA">
        <w:t xml:space="preserve">The physical limitations to </w:t>
      </w:r>
      <w:r w:rsidR="00A73039" w:rsidRPr="00694788">
        <w:rPr>
          <w:color w:val="000000" w:themeColor="text1"/>
        </w:rPr>
        <w:t>represent</w:t>
      </w:r>
      <w:r w:rsidR="00FC3735" w:rsidRPr="00694788">
        <w:rPr>
          <w:color w:val="000000" w:themeColor="text1"/>
        </w:rPr>
        <w:t xml:space="preserve"> </w:t>
      </w:r>
      <w:r w:rsidR="00071750" w:rsidRPr="00694788">
        <w:rPr>
          <w:color w:val="000000" w:themeColor="text1"/>
        </w:rPr>
        <w:t>the molecular distillation using the rate-based</w:t>
      </w:r>
      <w:r w:rsidRPr="00694788">
        <w:rPr>
          <w:color w:val="000000" w:themeColor="text1"/>
        </w:rPr>
        <w:t xml:space="preserve"> </w:t>
      </w:r>
      <w:r w:rsidR="002D764C" w:rsidRPr="00694788">
        <w:rPr>
          <w:color w:val="000000" w:themeColor="text1"/>
        </w:rPr>
        <w:t xml:space="preserve">column </w:t>
      </w:r>
      <w:r w:rsidRPr="00694788">
        <w:rPr>
          <w:color w:val="000000" w:themeColor="text1"/>
        </w:rPr>
        <w:t xml:space="preserve">did not show significant deviation at the mole fraction </w:t>
      </w:r>
      <w:r w:rsidR="00162997" w:rsidRPr="00694788">
        <w:rPr>
          <w:color w:val="000000" w:themeColor="text1"/>
        </w:rPr>
        <w:t xml:space="preserve">being suitable </w:t>
      </w:r>
      <w:r w:rsidR="00162997" w:rsidRPr="00781A1A">
        <w:rPr>
          <w:color w:val="000000" w:themeColor="text1"/>
        </w:rPr>
        <w:t>to emulate and integrate molecular distillation using Aspen Plus</w:t>
      </w:r>
      <w:r w:rsidR="00162997" w:rsidRPr="00781A1A">
        <w:rPr>
          <w:color w:val="000000" w:themeColor="text1"/>
        </w:rPr>
        <w:sym w:font="Symbol" w:char="F0E2"/>
      </w:r>
      <w:r w:rsidR="00162997" w:rsidRPr="00781A1A">
        <w:rPr>
          <w:color w:val="000000" w:themeColor="text1"/>
        </w:rPr>
        <w:t>.</w:t>
      </w:r>
    </w:p>
    <w:p w14:paraId="1BF50F67" w14:textId="77777777" w:rsidR="00162997" w:rsidRDefault="00AC4BDA" w:rsidP="006278B7">
      <w:pPr>
        <w:pStyle w:val="CETBodytext"/>
      </w:pPr>
      <w:r w:rsidRPr="00AC4BDA">
        <w:t xml:space="preserve">(Table 2). </w:t>
      </w:r>
      <w:r w:rsidRPr="00287891">
        <w:t xml:space="preserve">The thermodynamic model RKS-BM had a lower deviation and a superior temperature compared to other models using the column rate-based, being the most suitable method. </w:t>
      </w:r>
    </w:p>
    <w:p w14:paraId="50DFC2BF" w14:textId="3BE04CBE" w:rsidR="0036624B" w:rsidRPr="00A96A0C" w:rsidRDefault="004761B0" w:rsidP="00453E24">
      <w:pPr>
        <w:pStyle w:val="CETBodytext"/>
      </w:pPr>
      <w:r w:rsidRPr="00071750">
        <w:t xml:space="preserve">The purpose of this paper </w:t>
      </w:r>
      <w:r>
        <w:t xml:space="preserve">is to support the idea of simulating the molecular distillation integrated with other units and not </w:t>
      </w:r>
      <w:r w:rsidR="00A73039">
        <w:t>designing</w:t>
      </w:r>
      <w:r>
        <w:t xml:space="preserve"> </w:t>
      </w:r>
      <w:r w:rsidR="00A12B99">
        <w:t>a</w:t>
      </w:r>
      <w:r>
        <w:t xml:space="preserve"> molecular </w:t>
      </w:r>
      <w:r w:rsidR="00A73039">
        <w:t>distillation</w:t>
      </w:r>
      <w:r>
        <w:t xml:space="preserve">. </w:t>
      </w:r>
      <w:r w:rsidR="00552122" w:rsidRPr="005958F5">
        <w:t xml:space="preserve">For this </w:t>
      </w:r>
      <w:r w:rsidR="005958F5" w:rsidRPr="005958F5">
        <w:t>last situation</w:t>
      </w:r>
      <w:r w:rsidR="00552122" w:rsidRPr="005958F5">
        <w:t>, a specific software contemplating the model equations for molecular distillatio</w:t>
      </w:r>
      <w:r w:rsidR="005958F5" w:rsidRPr="005958F5">
        <w:t>n</w:t>
      </w:r>
      <w:r w:rsidR="00552122" w:rsidRPr="005958F5">
        <w:t xml:space="preserve"> </w:t>
      </w:r>
      <w:r w:rsidR="005958F5" w:rsidRPr="005958F5">
        <w:t>might</w:t>
      </w:r>
      <w:r w:rsidR="00552122" w:rsidRPr="005958F5">
        <w:t xml:space="preserve"> be </w:t>
      </w:r>
      <w:r w:rsidR="005958F5" w:rsidRPr="005958F5">
        <w:t xml:space="preserve">used as the one developed </w:t>
      </w:r>
      <w:r w:rsidR="005958F5" w:rsidRPr="006765F0">
        <w:rPr>
          <w:color w:val="000000" w:themeColor="text1"/>
        </w:rPr>
        <w:t xml:space="preserve">by </w:t>
      </w:r>
      <w:proofErr w:type="spellStart"/>
      <w:r w:rsidR="005958F5" w:rsidRPr="006765F0">
        <w:rPr>
          <w:color w:val="000000" w:themeColor="text1"/>
        </w:rPr>
        <w:t>Batistella</w:t>
      </w:r>
      <w:proofErr w:type="spellEnd"/>
      <w:r w:rsidR="005958F5" w:rsidRPr="006765F0">
        <w:rPr>
          <w:color w:val="000000" w:themeColor="text1"/>
        </w:rPr>
        <w:t xml:space="preserve"> and Wolf </w:t>
      </w:r>
      <w:proofErr w:type="spellStart"/>
      <w:r w:rsidR="005958F5" w:rsidRPr="006765F0">
        <w:rPr>
          <w:color w:val="000000" w:themeColor="text1"/>
        </w:rPr>
        <w:t>Maciel</w:t>
      </w:r>
      <w:proofErr w:type="spellEnd"/>
      <w:r w:rsidR="005958F5" w:rsidRPr="006765F0">
        <w:rPr>
          <w:color w:val="000000" w:themeColor="text1"/>
        </w:rPr>
        <w:t xml:space="preserve"> (1996).  </w:t>
      </w:r>
      <w:r w:rsidR="00552122" w:rsidRPr="006765F0">
        <w:rPr>
          <w:color w:val="000000" w:themeColor="text1"/>
        </w:rPr>
        <w:t xml:space="preserve"> </w:t>
      </w:r>
      <w:r w:rsidR="0002240E" w:rsidRPr="0002240E">
        <w:t>The rate-based column to represent</w:t>
      </w:r>
      <w:r w:rsidR="0002240E">
        <w:t xml:space="preserve"> </w:t>
      </w:r>
      <w:r w:rsidR="0002240E" w:rsidRPr="0002240E">
        <w:t xml:space="preserve">falling film distillation was suitable for the DBS-DBP mixture and for other complex mixtures found in the literature using the same methodology </w:t>
      </w:r>
      <w:r w:rsidR="0002240E" w:rsidRPr="00781A1A">
        <w:rPr>
          <w:color w:val="000000" w:themeColor="text1"/>
        </w:rPr>
        <w:t>(Duran et al., 2010). This last paper is from our research group working with</w:t>
      </w:r>
      <w:r w:rsidR="00162997" w:rsidRPr="00781A1A">
        <w:rPr>
          <w:color w:val="000000" w:themeColor="text1"/>
        </w:rPr>
        <w:t xml:space="preserve"> </w:t>
      </w:r>
      <w:r w:rsidR="00F157E6" w:rsidRPr="00781A1A">
        <w:rPr>
          <w:color w:val="000000" w:themeColor="text1"/>
        </w:rPr>
        <w:t>fractionation of green coffee.</w:t>
      </w:r>
    </w:p>
    <w:p w14:paraId="1D096966" w14:textId="472BCC41" w:rsidR="0036624B" w:rsidRDefault="008535A7" w:rsidP="00453E24">
      <w:pPr>
        <w:pStyle w:val="CETheadingx"/>
      </w:pPr>
      <w:r>
        <w:t>Centrifugal Molecular Distillation: Flash</w:t>
      </w:r>
      <w:r w:rsidR="00C932B1">
        <w:t xml:space="preserve"> Vessel</w:t>
      </w:r>
    </w:p>
    <w:p w14:paraId="3C08F3B2" w14:textId="54DCFA2D" w:rsidR="000534CB" w:rsidRPr="002A0C9B" w:rsidRDefault="00FA0021" w:rsidP="00453E24">
      <w:pPr>
        <w:pStyle w:val="CETBodytext"/>
        <w:rPr>
          <w:color w:val="000000" w:themeColor="text1"/>
        </w:rPr>
      </w:pPr>
      <w:r>
        <w:t>Centrifugal</w:t>
      </w:r>
      <w:r w:rsidRPr="001310AE">
        <w:t xml:space="preserve"> molecular distillation is </w:t>
      </w:r>
      <w:r>
        <w:t xml:space="preserve">characterized by low residence time and pressure operation. The flash </w:t>
      </w:r>
      <w:r w:rsidR="00C932B1">
        <w:t xml:space="preserve">vessel </w:t>
      </w:r>
      <w:r>
        <w:t xml:space="preserve">has </w:t>
      </w:r>
      <w:r w:rsidR="00A73039">
        <w:t xml:space="preserve">a </w:t>
      </w:r>
      <w:r>
        <w:t xml:space="preserve">fast residence time and the </w:t>
      </w:r>
      <w:r w:rsidRPr="00F0407A">
        <w:rPr>
          <w:color w:val="000000" w:themeColor="text1"/>
        </w:rPr>
        <w:t xml:space="preserve">thermodynamic </w:t>
      </w:r>
      <w:r w:rsidR="00425DE2" w:rsidRPr="00F0407A">
        <w:rPr>
          <w:color w:val="000000" w:themeColor="text1"/>
        </w:rPr>
        <w:t xml:space="preserve">equilibrium </w:t>
      </w:r>
      <w:r w:rsidRPr="00F0407A">
        <w:rPr>
          <w:color w:val="000000" w:themeColor="text1"/>
        </w:rPr>
        <w:t xml:space="preserve">would </w:t>
      </w:r>
      <w:r>
        <w:t xml:space="preserve">be minimized by the vacuum operation </w:t>
      </w:r>
      <w:r>
        <w:lastRenderedPageBreak/>
        <w:t>being proper to represent centrifugal molecular distillation (Figure 2)</w:t>
      </w:r>
      <w:r w:rsidR="000534CB">
        <w:t xml:space="preserve">. </w:t>
      </w:r>
      <w:r w:rsidR="00716A09" w:rsidRPr="002A0C9B">
        <w:rPr>
          <w:color w:val="000000" w:themeColor="text1"/>
        </w:rPr>
        <w:t xml:space="preserve">As in </w:t>
      </w:r>
      <w:proofErr w:type="spellStart"/>
      <w:r w:rsidR="00716A09" w:rsidRPr="002A0C9B">
        <w:rPr>
          <w:color w:val="000000" w:themeColor="text1"/>
        </w:rPr>
        <w:t>Radfrac</w:t>
      </w:r>
      <w:proofErr w:type="spellEnd"/>
      <w:r w:rsidR="00716A09" w:rsidRPr="002A0C9B">
        <w:rPr>
          <w:color w:val="000000" w:themeColor="text1"/>
        </w:rPr>
        <w:t xml:space="preserve"> column, an external condenser </w:t>
      </w:r>
      <w:r w:rsidR="00716A09" w:rsidRPr="00694788">
        <w:rPr>
          <w:color w:val="000000" w:themeColor="text1"/>
        </w:rPr>
        <w:t xml:space="preserve">was attached </w:t>
      </w:r>
      <w:r w:rsidR="00E43401" w:rsidRPr="00694788">
        <w:rPr>
          <w:color w:val="000000" w:themeColor="text1"/>
        </w:rPr>
        <w:t xml:space="preserve">here </w:t>
      </w:r>
      <w:r w:rsidR="00716A09" w:rsidRPr="00694788">
        <w:rPr>
          <w:color w:val="000000" w:themeColor="text1"/>
        </w:rPr>
        <w:t xml:space="preserve">to simulate </w:t>
      </w:r>
      <w:r w:rsidR="00716A09" w:rsidRPr="002A0C9B">
        <w:rPr>
          <w:color w:val="000000" w:themeColor="text1"/>
        </w:rPr>
        <w:t>the condensation conditions and to obtain a liquid distilled stream.</w:t>
      </w:r>
    </w:p>
    <w:p w14:paraId="04F5688D" w14:textId="77777777" w:rsidR="0036624B" w:rsidRDefault="0036624B" w:rsidP="0036624B">
      <w:pPr>
        <w:pStyle w:val="CETCaption"/>
      </w:pPr>
      <w:r>
        <w:rPr>
          <w:noProof/>
          <w:lang w:val="pt-BR" w:eastAsia="pt-BR"/>
        </w:rPr>
        <w:drawing>
          <wp:inline distT="0" distB="0" distL="0" distR="0" wp14:anchorId="25D0972B" wp14:editId="4E440DE2">
            <wp:extent cx="3006499" cy="1213945"/>
            <wp:effectExtent l="0" t="0" r="3810" b="5715"/>
            <wp:docPr id="7" name="Picture 6" descr="Diagram&#10;&#10;Description automatically generated">
              <a:extLst xmlns:a="http://schemas.openxmlformats.org/drawingml/2006/main">
                <a:ext uri="{FF2B5EF4-FFF2-40B4-BE49-F238E27FC236}">
                  <a16:creationId xmlns:a16="http://schemas.microsoft.com/office/drawing/2014/main" id="{26A2BE15-C6E8-2344-A697-5DDFE9BEB5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10;&#10;Description automatically generated">
                      <a:extLst>
                        <a:ext uri="{FF2B5EF4-FFF2-40B4-BE49-F238E27FC236}">
                          <a16:creationId xmlns:a16="http://schemas.microsoft.com/office/drawing/2014/main" id="{26A2BE15-C6E8-2344-A697-5DDFE9BEB524}"/>
                        </a:ext>
                      </a:extLst>
                    </pic:cNvPr>
                    <pic:cNvPicPr>
                      <a:picLocks noChangeAspect="1"/>
                    </pic:cNvPicPr>
                  </pic:nvPicPr>
                  <pic:blipFill rotWithShape="1">
                    <a:blip r:embed="rId14"/>
                    <a:srcRect l="2769" t="14012" r="15693" b="17834"/>
                    <a:stretch/>
                  </pic:blipFill>
                  <pic:spPr>
                    <a:xfrm>
                      <a:off x="0" y="0"/>
                      <a:ext cx="3031124" cy="1223888"/>
                    </a:xfrm>
                    <a:prstGeom prst="rect">
                      <a:avLst/>
                    </a:prstGeom>
                  </pic:spPr>
                </pic:pic>
              </a:graphicData>
            </a:graphic>
          </wp:inline>
        </w:drawing>
      </w:r>
    </w:p>
    <w:p w14:paraId="641842C4" w14:textId="5791B9C1" w:rsidR="000E08A9" w:rsidRDefault="0036624B" w:rsidP="0036624B">
      <w:pPr>
        <w:pStyle w:val="CETCaption"/>
        <w:rPr>
          <w:rStyle w:val="CETCaptionCarattere"/>
          <w:i/>
        </w:rPr>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The centrifugal Molecular Distillation represented by the flash vessel in the commercial software Aspen Plus</w:t>
      </w:r>
      <w:r>
        <w:rPr>
          <w:rStyle w:val="CETCaptionCarattere"/>
          <w:i/>
        </w:rPr>
        <w:sym w:font="Symbol" w:char="F0E2"/>
      </w:r>
      <w:r>
        <w:rPr>
          <w:rStyle w:val="CETCaptionCarattere"/>
          <w:i/>
        </w:rPr>
        <w:t>.</w:t>
      </w:r>
    </w:p>
    <w:p w14:paraId="37F86DAB" w14:textId="056F7B98" w:rsidR="002F6B5C" w:rsidRPr="00694788" w:rsidRDefault="00332D5B" w:rsidP="00926325">
      <w:pPr>
        <w:pStyle w:val="CETBodytext"/>
        <w:rPr>
          <w:color w:val="000000" w:themeColor="text1"/>
        </w:rPr>
      </w:pPr>
      <w:r w:rsidRPr="00332D5B">
        <w:t xml:space="preserve">The same operation conditions from </w:t>
      </w:r>
      <w:proofErr w:type="spellStart"/>
      <w:r w:rsidRPr="00332D5B">
        <w:t>Batistella</w:t>
      </w:r>
      <w:proofErr w:type="spellEnd"/>
      <w:r w:rsidRPr="00332D5B">
        <w:t xml:space="preserve"> and </w:t>
      </w:r>
      <w:r w:rsidR="006765F0">
        <w:t xml:space="preserve">Wolf </w:t>
      </w:r>
      <w:proofErr w:type="spellStart"/>
      <w:r w:rsidRPr="00332D5B">
        <w:t>Maciel</w:t>
      </w:r>
      <w:proofErr w:type="spellEnd"/>
      <w:r w:rsidRPr="00332D5B">
        <w:t xml:space="preserve"> (1996) were adopted at the flash</w:t>
      </w:r>
      <w:r w:rsidR="00C932B1">
        <w:t xml:space="preserve"> </w:t>
      </w:r>
      <w:r w:rsidR="00C932B1" w:rsidRPr="00332D5B">
        <w:t>vessel</w:t>
      </w:r>
      <w:r w:rsidRPr="00332D5B">
        <w:t>.</w:t>
      </w:r>
      <w:r>
        <w:t xml:space="preserve"> In this case, the D/F was not a specific parameter inserted as </w:t>
      </w:r>
      <w:r w:rsidRPr="00694788">
        <w:rPr>
          <w:color w:val="000000" w:themeColor="text1"/>
        </w:rPr>
        <w:t>in the rate-based</w:t>
      </w:r>
      <w:r w:rsidR="008B305D" w:rsidRPr="00694788">
        <w:rPr>
          <w:color w:val="000000" w:themeColor="text1"/>
        </w:rPr>
        <w:t xml:space="preserve"> column </w:t>
      </w:r>
      <w:r w:rsidRPr="00694788">
        <w:rPr>
          <w:color w:val="000000" w:themeColor="text1"/>
        </w:rPr>
        <w:t>and should be monitored. The distillation mass ratio (D/F) was dependent on the flash</w:t>
      </w:r>
      <w:r w:rsidR="00C932B1" w:rsidRPr="00694788">
        <w:rPr>
          <w:color w:val="000000" w:themeColor="text1"/>
        </w:rPr>
        <w:t xml:space="preserve"> vessel</w:t>
      </w:r>
      <w:r w:rsidRPr="00694788">
        <w:rPr>
          <w:color w:val="000000" w:themeColor="text1"/>
        </w:rPr>
        <w:t xml:space="preserve"> temperature. The final T</w:t>
      </w:r>
      <w:r w:rsidRPr="00694788">
        <w:rPr>
          <w:color w:val="000000" w:themeColor="text1"/>
          <w:vertAlign w:val="subscript"/>
        </w:rPr>
        <w:t>flash</w:t>
      </w:r>
      <w:r w:rsidRPr="00694788">
        <w:rPr>
          <w:color w:val="000000" w:themeColor="text1"/>
        </w:rPr>
        <w:t xml:space="preserve"> was set when the D/F was in according to the experimental data</w:t>
      </w:r>
      <w:r w:rsidR="00694E4C" w:rsidRPr="00694788">
        <w:rPr>
          <w:color w:val="000000" w:themeColor="text1"/>
        </w:rPr>
        <w:t xml:space="preserve"> but since there is no efficiency factor to calculate, this is an additional information not being mandatory to represent the molecular distillation.</w:t>
      </w:r>
    </w:p>
    <w:p w14:paraId="01FBC330" w14:textId="0B577BFE" w:rsidR="002420CF" w:rsidRPr="00694788" w:rsidRDefault="004D501B" w:rsidP="00926325">
      <w:pPr>
        <w:pStyle w:val="CETBodytext"/>
        <w:rPr>
          <w:color w:val="000000" w:themeColor="text1"/>
        </w:rPr>
      </w:pPr>
      <w:r w:rsidRPr="00694788">
        <w:rPr>
          <w:color w:val="000000" w:themeColor="text1"/>
        </w:rPr>
        <w:t xml:space="preserve">The thermodynamic model RKS-BM had also </w:t>
      </w:r>
      <w:r w:rsidR="00A73039" w:rsidRPr="00694788">
        <w:rPr>
          <w:color w:val="000000" w:themeColor="text1"/>
        </w:rPr>
        <w:t>a</w:t>
      </w:r>
      <w:r w:rsidRPr="00694788">
        <w:rPr>
          <w:color w:val="000000" w:themeColor="text1"/>
        </w:rPr>
        <w:t xml:space="preserve"> lower deviation and a superior temperature compared to other models (Table 3)</w:t>
      </w:r>
      <w:r w:rsidR="00172F3D" w:rsidRPr="00694788">
        <w:rPr>
          <w:color w:val="000000" w:themeColor="text1"/>
        </w:rPr>
        <w:t xml:space="preserve"> during the flash vessel simulations</w:t>
      </w:r>
      <w:r w:rsidRPr="00694788">
        <w:rPr>
          <w:color w:val="000000" w:themeColor="text1"/>
        </w:rPr>
        <w:t xml:space="preserve">. The thermodynamic </w:t>
      </w:r>
      <w:r w:rsidR="001802E4" w:rsidRPr="00694788">
        <w:rPr>
          <w:color w:val="000000" w:themeColor="text1"/>
        </w:rPr>
        <w:t xml:space="preserve">equilibrium </w:t>
      </w:r>
      <w:r w:rsidRPr="00694788">
        <w:rPr>
          <w:color w:val="000000" w:themeColor="text1"/>
        </w:rPr>
        <w:t>and its 100% efficiency contributed to an inferior temperature</w:t>
      </w:r>
      <w:r w:rsidR="004F573D" w:rsidRPr="00694788">
        <w:rPr>
          <w:color w:val="000000" w:themeColor="text1"/>
        </w:rPr>
        <w:t xml:space="preserve"> compared to the molecular distillation results.</w:t>
      </w:r>
    </w:p>
    <w:p w14:paraId="1875ED50" w14:textId="27C9653D" w:rsidR="00C05D5C" w:rsidRPr="00083C53" w:rsidRDefault="003C34BD" w:rsidP="00926325">
      <w:pPr>
        <w:pStyle w:val="CETBodytext"/>
        <w:rPr>
          <w:color w:val="000000" w:themeColor="text1"/>
        </w:rPr>
      </w:pPr>
      <w:r w:rsidRPr="00694788">
        <w:rPr>
          <w:color w:val="000000" w:themeColor="text1"/>
        </w:rPr>
        <w:t>The flash deviation was even lower than rate-based</w:t>
      </w:r>
      <w:r w:rsidR="002B0071" w:rsidRPr="00694788">
        <w:rPr>
          <w:color w:val="000000" w:themeColor="text1"/>
        </w:rPr>
        <w:t xml:space="preserve"> column</w:t>
      </w:r>
      <w:r w:rsidRPr="00694788">
        <w:rPr>
          <w:color w:val="000000" w:themeColor="text1"/>
        </w:rPr>
        <w:t xml:space="preserve"> (Table</w:t>
      </w:r>
      <w:r w:rsidR="001068ED" w:rsidRPr="00694788">
        <w:rPr>
          <w:color w:val="000000" w:themeColor="text1"/>
        </w:rPr>
        <w:t>s 2 and</w:t>
      </w:r>
      <w:r w:rsidRPr="00694788">
        <w:rPr>
          <w:color w:val="000000" w:themeColor="text1"/>
        </w:rPr>
        <w:t xml:space="preserve"> 3). During the simulations</w:t>
      </w:r>
      <w:r w:rsidR="00A73039" w:rsidRPr="00694788">
        <w:rPr>
          <w:color w:val="000000" w:themeColor="text1"/>
        </w:rPr>
        <w:t>,</w:t>
      </w:r>
      <w:r w:rsidRPr="00694788">
        <w:rPr>
          <w:color w:val="000000" w:themeColor="text1"/>
        </w:rPr>
        <w:t xml:space="preserve"> the rate-based</w:t>
      </w:r>
      <w:r w:rsidR="008B305D" w:rsidRPr="00694788">
        <w:rPr>
          <w:color w:val="000000" w:themeColor="text1"/>
        </w:rPr>
        <w:t xml:space="preserve"> column</w:t>
      </w:r>
      <w:r w:rsidRPr="00694788">
        <w:rPr>
          <w:color w:val="000000" w:themeColor="text1"/>
        </w:rPr>
        <w:t xml:space="preserve"> needed some geometry specifications</w:t>
      </w:r>
      <w:r w:rsidR="004F573D" w:rsidRPr="00694788">
        <w:rPr>
          <w:color w:val="000000" w:themeColor="text1"/>
        </w:rPr>
        <w:t xml:space="preserve"> (e</w:t>
      </w:r>
      <w:r w:rsidR="00DE77D3" w:rsidRPr="00694788">
        <w:rPr>
          <w:color w:val="000000" w:themeColor="text1"/>
        </w:rPr>
        <w:t>.</w:t>
      </w:r>
      <w:r w:rsidR="004F573D" w:rsidRPr="00694788">
        <w:rPr>
          <w:color w:val="000000" w:themeColor="text1"/>
        </w:rPr>
        <w:t>g.,</w:t>
      </w:r>
      <w:r w:rsidR="00DE77D3" w:rsidRPr="00694788">
        <w:rPr>
          <w:color w:val="000000" w:themeColor="text1"/>
        </w:rPr>
        <w:t xml:space="preserve"> </w:t>
      </w:r>
      <w:r w:rsidR="004F573D" w:rsidRPr="00694788">
        <w:rPr>
          <w:color w:val="000000" w:themeColor="text1"/>
        </w:rPr>
        <w:t>hole diameter</w:t>
      </w:r>
      <w:r w:rsidR="00DE77D3" w:rsidRPr="00694788">
        <w:rPr>
          <w:color w:val="000000" w:themeColor="text1"/>
        </w:rPr>
        <w:t xml:space="preserve"> and </w:t>
      </w:r>
      <w:r w:rsidR="004F573D" w:rsidRPr="00694788">
        <w:rPr>
          <w:color w:val="000000" w:themeColor="text1"/>
        </w:rPr>
        <w:t>slide downcomer width)</w:t>
      </w:r>
      <w:r w:rsidRPr="00694788">
        <w:rPr>
          <w:color w:val="000000" w:themeColor="text1"/>
        </w:rPr>
        <w:t xml:space="preserve"> to be set and they could have interfered </w:t>
      </w:r>
      <w:r w:rsidR="00A73039" w:rsidRPr="00694788">
        <w:rPr>
          <w:color w:val="000000" w:themeColor="text1"/>
        </w:rPr>
        <w:t>with</w:t>
      </w:r>
      <w:r w:rsidRPr="00694788">
        <w:rPr>
          <w:color w:val="000000" w:themeColor="text1"/>
        </w:rPr>
        <w:t xml:space="preserve"> the </w:t>
      </w:r>
      <w:proofErr w:type="gramStart"/>
      <w:r w:rsidRPr="00694788">
        <w:rPr>
          <w:color w:val="000000" w:themeColor="text1"/>
        </w:rPr>
        <w:t>final results</w:t>
      </w:r>
      <w:proofErr w:type="gramEnd"/>
      <w:r w:rsidRPr="00694788">
        <w:rPr>
          <w:color w:val="000000" w:themeColor="text1"/>
        </w:rPr>
        <w:t xml:space="preserve">. </w:t>
      </w:r>
      <w:r w:rsidR="0054741C" w:rsidRPr="00694788">
        <w:rPr>
          <w:color w:val="000000" w:themeColor="text1"/>
        </w:rPr>
        <w:t xml:space="preserve">Either the column rate-based or the flash vessel represented the molecular distillation </w:t>
      </w:r>
      <w:r w:rsidR="00694E4C" w:rsidRPr="001F0EEC">
        <w:t xml:space="preserve">with no efficiency </w:t>
      </w:r>
      <w:r w:rsidR="00694E4C" w:rsidRPr="00C83EA0">
        <w:t>factor</w:t>
      </w:r>
      <w:r w:rsidR="006144A9" w:rsidRPr="00C83EA0">
        <w:t xml:space="preserve"> </w:t>
      </w:r>
      <w:r w:rsidR="00C83EA0" w:rsidRPr="00C83EA0">
        <w:t>regarding</w:t>
      </w:r>
      <w:r w:rsidR="006144A9" w:rsidRPr="00C83EA0">
        <w:t xml:space="preserve"> the </w:t>
      </w:r>
      <w:r w:rsidR="00C83EA0" w:rsidRPr="00C83EA0">
        <w:t xml:space="preserve">operating </w:t>
      </w:r>
      <w:r w:rsidR="006144A9" w:rsidRPr="00C83EA0">
        <w:t>temperature</w:t>
      </w:r>
      <w:r w:rsidR="00694E4C" w:rsidRPr="00C83EA0">
        <w:t>.</w:t>
      </w:r>
      <w:r w:rsidR="006144A9" w:rsidRPr="00C83EA0">
        <w:t xml:space="preserve"> </w:t>
      </w:r>
      <w:r w:rsidR="006144A9">
        <w:t>T</w:t>
      </w:r>
      <w:r w:rsidR="006144A9" w:rsidRPr="001F0EEC">
        <w:t xml:space="preserve">his is an important approach specially when there are no experimental results available. </w:t>
      </w:r>
      <w:r w:rsidR="006144A9" w:rsidRPr="00DB2103">
        <w:t xml:space="preserve">However, the analyses of the variables D/F and </w:t>
      </w:r>
      <w:r w:rsidR="00DB2103" w:rsidRPr="00DB2103">
        <w:t xml:space="preserve">distillation </w:t>
      </w:r>
      <w:r w:rsidR="006144A9" w:rsidRPr="00DB2103">
        <w:t xml:space="preserve">mass fraction are mandatory to achieve a feasible process, being used as reference here to validate the comparison between the experimental and </w:t>
      </w:r>
      <w:r w:rsidR="00DB2103" w:rsidRPr="00DB2103">
        <w:t xml:space="preserve">emulation </w:t>
      </w:r>
      <w:r w:rsidR="006144A9" w:rsidRPr="00DB2103">
        <w:t xml:space="preserve">results.  </w:t>
      </w:r>
      <w:r w:rsidR="00694E4C" w:rsidRPr="00DB2103">
        <w:t xml:space="preserve"> </w:t>
      </w:r>
    </w:p>
    <w:p w14:paraId="2607F4B7" w14:textId="0774561D" w:rsidR="00C80962" w:rsidRPr="00B57B36" w:rsidRDefault="00C80962" w:rsidP="00C80962">
      <w:pPr>
        <w:pStyle w:val="CETTabletitle"/>
      </w:pPr>
      <w:r w:rsidRPr="00B57B36">
        <w:t xml:space="preserve">Table </w:t>
      </w:r>
      <w:r w:rsidR="004D501B">
        <w:t>3</w:t>
      </w:r>
      <w:r w:rsidRPr="00B57B36">
        <w:t xml:space="preserve">: </w:t>
      </w:r>
      <w:r>
        <w:t xml:space="preserve">DBP </w:t>
      </w:r>
      <w:r w:rsidRPr="00172F3D">
        <w:rPr>
          <w:color w:val="000000" w:themeColor="text1"/>
        </w:rPr>
        <w:t>Mol</w:t>
      </w:r>
      <w:r w:rsidR="008D64AC" w:rsidRPr="00172F3D">
        <w:rPr>
          <w:color w:val="000000" w:themeColor="text1"/>
        </w:rPr>
        <w:t>e</w:t>
      </w:r>
      <w:r w:rsidRPr="00172F3D">
        <w:rPr>
          <w:color w:val="000000" w:themeColor="text1"/>
        </w:rPr>
        <w:t xml:space="preserve"> fraction in the </w:t>
      </w:r>
      <w:r>
        <w:t>distillate stream obtained by the Flash vessel.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993"/>
        <w:gridCol w:w="1134"/>
        <w:gridCol w:w="1134"/>
        <w:gridCol w:w="742"/>
        <w:gridCol w:w="1134"/>
      </w:tblGrid>
      <w:tr w:rsidR="00F12BBD" w:rsidRPr="00F12BBD" w14:paraId="114AC55E" w14:textId="77777777" w:rsidTr="008E5BD6">
        <w:tc>
          <w:tcPr>
            <w:tcW w:w="1701" w:type="dxa"/>
            <w:tcBorders>
              <w:top w:val="single" w:sz="12" w:space="0" w:color="008000"/>
              <w:bottom w:val="single" w:sz="6" w:space="0" w:color="008000"/>
            </w:tcBorders>
            <w:shd w:val="clear" w:color="auto" w:fill="FFFFFF"/>
          </w:tcPr>
          <w:p w14:paraId="1A43C8E7" w14:textId="77777777" w:rsidR="00C80962" w:rsidRPr="00B57B36" w:rsidRDefault="00C80962" w:rsidP="001608A2">
            <w:pPr>
              <w:pStyle w:val="CETBodytext"/>
              <w:rPr>
                <w:lang w:val="en-GB"/>
              </w:rPr>
            </w:pPr>
            <w:r>
              <w:rPr>
                <w:lang w:val="en-GB"/>
              </w:rPr>
              <w:t>Thermodynamic Model</w:t>
            </w:r>
          </w:p>
        </w:tc>
        <w:tc>
          <w:tcPr>
            <w:tcW w:w="993" w:type="dxa"/>
            <w:tcBorders>
              <w:top w:val="single" w:sz="12" w:space="0" w:color="008000"/>
              <w:bottom w:val="single" w:sz="6" w:space="0" w:color="008000"/>
            </w:tcBorders>
            <w:shd w:val="clear" w:color="auto" w:fill="FFFFFF"/>
            <w:vAlign w:val="center"/>
          </w:tcPr>
          <w:p w14:paraId="58F29A64" w14:textId="77777777" w:rsidR="00C80962" w:rsidRDefault="00C80962" w:rsidP="001608A2">
            <w:pPr>
              <w:pStyle w:val="CETBodytext"/>
              <w:jc w:val="center"/>
              <w:rPr>
                <w:lang w:val="en-GB"/>
              </w:rPr>
            </w:pPr>
            <w:r>
              <w:rPr>
                <w:lang w:val="en-GB"/>
              </w:rPr>
              <w:t>T</w:t>
            </w:r>
            <w:r w:rsidRPr="00B0145C">
              <w:rPr>
                <w:vertAlign w:val="subscript"/>
                <w:lang w:val="en-GB"/>
              </w:rPr>
              <w:t>MD</w:t>
            </w:r>
            <w:r>
              <w:rPr>
                <w:lang w:val="en-GB"/>
              </w:rPr>
              <w:t xml:space="preserve"> (</w:t>
            </w:r>
            <w:r>
              <w:rPr>
                <w:lang w:val="en-GB"/>
              </w:rPr>
              <w:sym w:font="Symbol" w:char="F0B0"/>
            </w:r>
            <w:r>
              <w:rPr>
                <w:lang w:val="en-GB"/>
              </w:rPr>
              <w:t>C)</w:t>
            </w:r>
          </w:p>
          <w:p w14:paraId="357F1724" w14:textId="1626ACDF" w:rsidR="008E5BD6" w:rsidRPr="00B0145C" w:rsidRDefault="008E5BD6" w:rsidP="001608A2">
            <w:pPr>
              <w:pStyle w:val="CETBodytext"/>
              <w:jc w:val="center"/>
              <w:rPr>
                <w:lang w:val="en-GB"/>
              </w:rPr>
            </w:pPr>
            <w:r>
              <w:rPr>
                <w:rFonts w:cs="Arial"/>
                <w:szCs w:val="18"/>
                <w:vertAlign w:val="subscript"/>
                <w:lang w:val="en-GB"/>
              </w:rPr>
              <w:t>(</w:t>
            </w:r>
            <w:proofErr w:type="spellStart"/>
            <w:r>
              <w:rPr>
                <w:rFonts w:cs="Arial"/>
                <w:szCs w:val="18"/>
                <w:vertAlign w:val="subscript"/>
                <w:lang w:val="en-GB"/>
              </w:rPr>
              <w:t>Batistella</w:t>
            </w:r>
            <w:proofErr w:type="spellEnd"/>
            <w:r>
              <w:rPr>
                <w:rFonts w:cs="Arial"/>
                <w:szCs w:val="18"/>
                <w:vertAlign w:val="subscript"/>
                <w:lang w:val="en-GB"/>
              </w:rPr>
              <w:t xml:space="preserve"> and </w:t>
            </w:r>
            <w:r w:rsidR="006765F0">
              <w:rPr>
                <w:rFonts w:cs="Arial"/>
                <w:szCs w:val="18"/>
                <w:vertAlign w:val="subscript"/>
                <w:lang w:val="en-GB"/>
              </w:rPr>
              <w:t xml:space="preserve">Wolf </w:t>
            </w:r>
            <w:proofErr w:type="spellStart"/>
            <w:r>
              <w:rPr>
                <w:rFonts w:cs="Arial"/>
                <w:szCs w:val="18"/>
                <w:vertAlign w:val="subscript"/>
                <w:lang w:val="en-GB"/>
              </w:rPr>
              <w:t>Maciel</w:t>
            </w:r>
            <w:proofErr w:type="spellEnd"/>
            <w:r>
              <w:rPr>
                <w:rFonts w:cs="Arial"/>
                <w:szCs w:val="18"/>
                <w:vertAlign w:val="subscript"/>
                <w:lang w:val="en-GB"/>
              </w:rPr>
              <w:t>, 1996)</w:t>
            </w:r>
          </w:p>
        </w:tc>
        <w:tc>
          <w:tcPr>
            <w:tcW w:w="1134" w:type="dxa"/>
            <w:tcBorders>
              <w:top w:val="single" w:sz="12" w:space="0" w:color="008000"/>
              <w:bottom w:val="single" w:sz="6" w:space="0" w:color="008000"/>
            </w:tcBorders>
            <w:shd w:val="clear" w:color="auto" w:fill="FFFFFF"/>
            <w:vAlign w:val="center"/>
          </w:tcPr>
          <w:p w14:paraId="67A79605" w14:textId="77777777" w:rsidR="00C80962" w:rsidRPr="00B57B36" w:rsidRDefault="00C80962" w:rsidP="001608A2">
            <w:pPr>
              <w:pStyle w:val="CETBodytext"/>
              <w:jc w:val="center"/>
              <w:rPr>
                <w:lang w:val="en-GB"/>
              </w:rPr>
            </w:pPr>
            <w:r>
              <w:rPr>
                <w:lang w:val="en-GB"/>
              </w:rPr>
              <w:t>T</w:t>
            </w:r>
            <w:r>
              <w:rPr>
                <w:vertAlign w:val="subscript"/>
                <w:lang w:val="en-GB"/>
              </w:rPr>
              <w:t>Flash</w:t>
            </w:r>
            <w:r>
              <w:rPr>
                <w:lang w:val="en-GB"/>
              </w:rPr>
              <w:t>(</w:t>
            </w:r>
            <w:r>
              <w:rPr>
                <w:lang w:val="en-GB"/>
              </w:rPr>
              <w:sym w:font="Symbol" w:char="F0B0"/>
            </w:r>
            <w:r>
              <w:rPr>
                <w:lang w:val="en-GB"/>
              </w:rPr>
              <w:t>C)</w:t>
            </w:r>
          </w:p>
        </w:tc>
        <w:tc>
          <w:tcPr>
            <w:tcW w:w="1134" w:type="dxa"/>
            <w:tcBorders>
              <w:top w:val="single" w:sz="12" w:space="0" w:color="008000"/>
              <w:bottom w:val="single" w:sz="6" w:space="0" w:color="008000"/>
            </w:tcBorders>
            <w:shd w:val="clear" w:color="auto" w:fill="FFFFFF"/>
            <w:vAlign w:val="center"/>
          </w:tcPr>
          <w:p w14:paraId="41256D37" w14:textId="77777777" w:rsidR="00C80962" w:rsidRDefault="00C80962" w:rsidP="001608A2">
            <w:pPr>
              <w:pStyle w:val="CETBodytext"/>
              <w:ind w:right="-1"/>
              <w:jc w:val="center"/>
              <w:rPr>
                <w:rFonts w:cs="Arial"/>
                <w:szCs w:val="18"/>
                <w:vertAlign w:val="subscript"/>
                <w:lang w:val="en-GB"/>
              </w:rPr>
            </w:pPr>
            <w:r>
              <w:rPr>
                <w:rFonts w:cs="Arial"/>
                <w:szCs w:val="18"/>
                <w:lang w:val="en-GB"/>
              </w:rPr>
              <w:t>y</w:t>
            </w:r>
            <w:r w:rsidRPr="00B0145C">
              <w:rPr>
                <w:rFonts w:cs="Arial"/>
                <w:szCs w:val="18"/>
                <w:vertAlign w:val="subscript"/>
                <w:lang w:val="en-GB"/>
              </w:rPr>
              <w:t>MD</w:t>
            </w:r>
            <w:r w:rsidR="008E5BD6">
              <w:rPr>
                <w:rFonts w:cs="Arial"/>
                <w:szCs w:val="18"/>
                <w:vertAlign w:val="subscript"/>
                <w:lang w:val="en-GB"/>
              </w:rPr>
              <w:t xml:space="preserve"> </w:t>
            </w:r>
          </w:p>
          <w:p w14:paraId="233324C5" w14:textId="58CC434E" w:rsidR="008E5BD6" w:rsidRPr="00B57B36" w:rsidRDefault="008E5BD6" w:rsidP="001608A2">
            <w:pPr>
              <w:pStyle w:val="CETBodytext"/>
              <w:ind w:right="-1"/>
              <w:jc w:val="center"/>
              <w:rPr>
                <w:rFonts w:cs="Arial"/>
                <w:szCs w:val="18"/>
                <w:lang w:val="en-GB"/>
              </w:rPr>
            </w:pPr>
            <w:r>
              <w:rPr>
                <w:rFonts w:cs="Arial"/>
                <w:szCs w:val="18"/>
                <w:vertAlign w:val="subscript"/>
                <w:lang w:val="en-GB"/>
              </w:rPr>
              <w:t>(</w:t>
            </w:r>
            <w:proofErr w:type="spellStart"/>
            <w:r>
              <w:rPr>
                <w:rFonts w:cs="Arial"/>
                <w:szCs w:val="18"/>
                <w:vertAlign w:val="subscript"/>
                <w:lang w:val="en-GB"/>
              </w:rPr>
              <w:t>Batistella</w:t>
            </w:r>
            <w:proofErr w:type="spellEnd"/>
            <w:r>
              <w:rPr>
                <w:rFonts w:cs="Arial"/>
                <w:szCs w:val="18"/>
                <w:vertAlign w:val="subscript"/>
                <w:lang w:val="en-GB"/>
              </w:rPr>
              <w:t xml:space="preserve"> and </w:t>
            </w:r>
            <w:r w:rsidR="006765F0">
              <w:rPr>
                <w:rFonts w:cs="Arial"/>
                <w:szCs w:val="18"/>
                <w:vertAlign w:val="subscript"/>
                <w:lang w:val="en-GB"/>
              </w:rPr>
              <w:t xml:space="preserve">Wolf </w:t>
            </w:r>
            <w:proofErr w:type="spellStart"/>
            <w:r>
              <w:rPr>
                <w:rFonts w:cs="Arial"/>
                <w:szCs w:val="18"/>
                <w:vertAlign w:val="subscript"/>
                <w:lang w:val="en-GB"/>
              </w:rPr>
              <w:t>Maciel</w:t>
            </w:r>
            <w:proofErr w:type="spellEnd"/>
            <w:r>
              <w:rPr>
                <w:rFonts w:cs="Arial"/>
                <w:szCs w:val="18"/>
                <w:vertAlign w:val="subscript"/>
                <w:lang w:val="en-GB"/>
              </w:rPr>
              <w:t>, 1996)</w:t>
            </w:r>
          </w:p>
        </w:tc>
        <w:tc>
          <w:tcPr>
            <w:tcW w:w="742" w:type="dxa"/>
            <w:tcBorders>
              <w:top w:val="single" w:sz="12" w:space="0" w:color="008000"/>
              <w:bottom w:val="single" w:sz="6" w:space="0" w:color="008000"/>
            </w:tcBorders>
            <w:shd w:val="clear" w:color="auto" w:fill="FFFFFF"/>
            <w:vAlign w:val="center"/>
          </w:tcPr>
          <w:p w14:paraId="7C166311" w14:textId="77777777" w:rsidR="00C80962" w:rsidRPr="00B57B36" w:rsidRDefault="00C80962" w:rsidP="001608A2">
            <w:pPr>
              <w:pStyle w:val="CETBodytext"/>
              <w:ind w:right="-1"/>
              <w:jc w:val="center"/>
              <w:rPr>
                <w:rFonts w:cs="Arial"/>
                <w:szCs w:val="18"/>
                <w:lang w:val="en-GB"/>
              </w:rPr>
            </w:pPr>
            <w:r>
              <w:rPr>
                <w:rFonts w:cs="Arial"/>
                <w:szCs w:val="18"/>
                <w:lang w:val="en-GB"/>
              </w:rPr>
              <w:t>y</w:t>
            </w:r>
            <w:r>
              <w:rPr>
                <w:rFonts w:cs="Arial"/>
                <w:szCs w:val="18"/>
                <w:vertAlign w:val="subscript"/>
                <w:lang w:val="en-GB"/>
              </w:rPr>
              <w:t>Flash</w:t>
            </w:r>
          </w:p>
        </w:tc>
        <w:tc>
          <w:tcPr>
            <w:tcW w:w="1134" w:type="dxa"/>
            <w:tcBorders>
              <w:top w:val="single" w:sz="12" w:space="0" w:color="008000"/>
              <w:bottom w:val="single" w:sz="6" w:space="0" w:color="008000"/>
            </w:tcBorders>
            <w:shd w:val="clear" w:color="auto" w:fill="FFFFFF"/>
            <w:vAlign w:val="center"/>
          </w:tcPr>
          <w:p w14:paraId="2FF0C267" w14:textId="77777777" w:rsidR="00006D8C" w:rsidRPr="00F12BBD" w:rsidRDefault="00006D8C" w:rsidP="00006D8C">
            <w:pPr>
              <w:pStyle w:val="CETBodytext"/>
              <w:ind w:right="-1"/>
              <w:jc w:val="center"/>
              <w:rPr>
                <w:rFonts w:cs="Arial"/>
                <w:color w:val="000000" w:themeColor="text1"/>
                <w:szCs w:val="18"/>
                <w:vertAlign w:val="subscript"/>
                <w:lang w:val="en-GB"/>
              </w:rPr>
            </w:pPr>
            <w:r w:rsidRPr="00F12BBD">
              <w:rPr>
                <w:rFonts w:cs="Arial"/>
                <w:color w:val="000000" w:themeColor="text1"/>
                <w:szCs w:val="18"/>
                <w:lang w:val="en-GB"/>
              </w:rPr>
              <w:t>y</w:t>
            </w:r>
            <w:r w:rsidRPr="00F12BBD">
              <w:rPr>
                <w:rFonts w:cs="Arial"/>
                <w:color w:val="000000" w:themeColor="text1"/>
                <w:szCs w:val="18"/>
                <w:vertAlign w:val="subscript"/>
                <w:lang w:val="en-GB"/>
              </w:rPr>
              <w:t>MD Deviation (%)</w:t>
            </w:r>
          </w:p>
          <w:p w14:paraId="01E38AA6" w14:textId="13627D6C" w:rsidR="00C80962" w:rsidRPr="00F12BBD" w:rsidRDefault="00006D8C" w:rsidP="00006D8C">
            <w:pPr>
              <w:pStyle w:val="CETBodytext"/>
              <w:ind w:right="-1"/>
              <w:jc w:val="center"/>
              <w:rPr>
                <w:rFonts w:cs="Arial"/>
                <w:color w:val="000000" w:themeColor="text1"/>
                <w:szCs w:val="18"/>
                <w:lang w:val="en-GB"/>
              </w:rPr>
            </w:pPr>
            <w:r w:rsidRPr="00F12BBD">
              <w:rPr>
                <w:rFonts w:cs="Arial"/>
                <w:color w:val="000000" w:themeColor="text1"/>
                <w:szCs w:val="18"/>
                <w:vertAlign w:val="subscript"/>
                <w:lang w:val="en-GB"/>
              </w:rPr>
              <w:t xml:space="preserve">(Reference </w:t>
            </w:r>
            <w:proofErr w:type="spellStart"/>
            <w:r w:rsidRPr="00F12BBD">
              <w:rPr>
                <w:rFonts w:cs="Arial"/>
                <w:color w:val="000000" w:themeColor="text1"/>
                <w:szCs w:val="18"/>
                <w:vertAlign w:val="subscript"/>
                <w:lang w:val="en-GB"/>
              </w:rPr>
              <w:t>Batistella</w:t>
            </w:r>
            <w:proofErr w:type="spellEnd"/>
            <w:r w:rsidRPr="00F12BBD">
              <w:rPr>
                <w:rFonts w:cs="Arial"/>
                <w:color w:val="000000" w:themeColor="text1"/>
                <w:szCs w:val="18"/>
                <w:vertAlign w:val="subscript"/>
                <w:lang w:val="en-GB"/>
              </w:rPr>
              <w:t xml:space="preserve"> and </w:t>
            </w:r>
            <w:r w:rsidR="006765F0">
              <w:rPr>
                <w:rFonts w:cs="Arial"/>
                <w:color w:val="000000" w:themeColor="text1"/>
                <w:szCs w:val="18"/>
                <w:vertAlign w:val="subscript"/>
                <w:lang w:val="en-GB"/>
              </w:rPr>
              <w:t xml:space="preserve">Wolf </w:t>
            </w:r>
            <w:proofErr w:type="spellStart"/>
            <w:r w:rsidRPr="00F12BBD">
              <w:rPr>
                <w:rFonts w:cs="Arial"/>
                <w:color w:val="000000" w:themeColor="text1"/>
                <w:szCs w:val="18"/>
                <w:vertAlign w:val="subscript"/>
                <w:lang w:val="en-GB"/>
              </w:rPr>
              <w:t>Maciel</w:t>
            </w:r>
            <w:proofErr w:type="spellEnd"/>
            <w:r w:rsidRPr="00F12BBD">
              <w:rPr>
                <w:rFonts w:cs="Arial"/>
                <w:color w:val="000000" w:themeColor="text1"/>
                <w:szCs w:val="18"/>
                <w:vertAlign w:val="subscript"/>
                <w:lang w:val="en-GB"/>
              </w:rPr>
              <w:t>, 1996)</w:t>
            </w:r>
          </w:p>
        </w:tc>
      </w:tr>
      <w:tr w:rsidR="00C80962" w:rsidRPr="00B57B36" w14:paraId="6B155EE0" w14:textId="77777777" w:rsidTr="008E5BD6">
        <w:tc>
          <w:tcPr>
            <w:tcW w:w="1701" w:type="dxa"/>
            <w:shd w:val="clear" w:color="auto" w:fill="FFFFFF"/>
          </w:tcPr>
          <w:p w14:paraId="7C82706D" w14:textId="77777777" w:rsidR="00C80962" w:rsidRPr="00B57B36" w:rsidRDefault="00C80962" w:rsidP="001608A2">
            <w:pPr>
              <w:pStyle w:val="CETBodytext"/>
              <w:rPr>
                <w:lang w:val="en-GB"/>
              </w:rPr>
            </w:pPr>
            <w:r>
              <w:rPr>
                <w:lang w:val="en-GB"/>
              </w:rPr>
              <w:t>RKS-BM</w:t>
            </w:r>
          </w:p>
        </w:tc>
        <w:tc>
          <w:tcPr>
            <w:tcW w:w="993" w:type="dxa"/>
            <w:shd w:val="clear" w:color="auto" w:fill="FFFFFF"/>
          </w:tcPr>
          <w:p w14:paraId="33200F2B" w14:textId="77777777" w:rsidR="00C80962" w:rsidRPr="00B57B36" w:rsidRDefault="00C80962" w:rsidP="001608A2">
            <w:pPr>
              <w:pStyle w:val="CETBodytext"/>
              <w:jc w:val="center"/>
              <w:rPr>
                <w:lang w:val="en-GB"/>
              </w:rPr>
            </w:pPr>
            <w:r>
              <w:rPr>
                <w:lang w:val="en-GB"/>
              </w:rPr>
              <w:t>95.88</w:t>
            </w:r>
          </w:p>
        </w:tc>
        <w:tc>
          <w:tcPr>
            <w:tcW w:w="1134" w:type="dxa"/>
            <w:shd w:val="clear" w:color="auto" w:fill="FFFFFF"/>
            <w:vAlign w:val="center"/>
          </w:tcPr>
          <w:p w14:paraId="6FF2AAFA" w14:textId="77777777" w:rsidR="00C80962" w:rsidRPr="00B57B36" w:rsidRDefault="00C80962" w:rsidP="001608A2">
            <w:pPr>
              <w:pStyle w:val="CETBodytext"/>
              <w:jc w:val="center"/>
              <w:rPr>
                <w:lang w:val="en-GB"/>
              </w:rPr>
            </w:pPr>
            <w:r>
              <w:rPr>
                <w:lang w:val="en-GB"/>
              </w:rPr>
              <w:t>71.32</w:t>
            </w:r>
          </w:p>
        </w:tc>
        <w:tc>
          <w:tcPr>
            <w:tcW w:w="1134" w:type="dxa"/>
            <w:shd w:val="clear" w:color="auto" w:fill="FFFFFF"/>
          </w:tcPr>
          <w:p w14:paraId="4B96282A" w14:textId="77777777" w:rsidR="00C80962" w:rsidRPr="00B57B36" w:rsidRDefault="00C80962" w:rsidP="001608A2">
            <w:pPr>
              <w:pStyle w:val="CETBodytext"/>
              <w:ind w:right="-1"/>
              <w:jc w:val="center"/>
              <w:rPr>
                <w:rFonts w:cs="Arial"/>
                <w:szCs w:val="18"/>
                <w:lang w:val="en-GB"/>
              </w:rPr>
            </w:pPr>
            <w:r>
              <w:rPr>
                <w:rFonts w:cs="Arial"/>
                <w:szCs w:val="18"/>
                <w:lang w:val="en-GB"/>
              </w:rPr>
              <w:t>0.760</w:t>
            </w:r>
          </w:p>
        </w:tc>
        <w:tc>
          <w:tcPr>
            <w:tcW w:w="742" w:type="dxa"/>
            <w:shd w:val="clear" w:color="auto" w:fill="FFFFFF"/>
          </w:tcPr>
          <w:p w14:paraId="5A8FAA19" w14:textId="77777777" w:rsidR="00C80962" w:rsidRPr="00B57B36" w:rsidRDefault="00C80962" w:rsidP="001608A2">
            <w:pPr>
              <w:pStyle w:val="CETBodytext"/>
              <w:ind w:right="-1"/>
              <w:jc w:val="center"/>
              <w:rPr>
                <w:rFonts w:cs="Arial"/>
                <w:szCs w:val="18"/>
                <w:lang w:val="en-GB"/>
              </w:rPr>
            </w:pPr>
            <w:r>
              <w:rPr>
                <w:rFonts w:cs="Arial"/>
                <w:szCs w:val="18"/>
                <w:lang w:val="en-GB"/>
              </w:rPr>
              <w:t>0.764</w:t>
            </w:r>
          </w:p>
        </w:tc>
        <w:tc>
          <w:tcPr>
            <w:tcW w:w="1134" w:type="dxa"/>
            <w:shd w:val="clear" w:color="auto" w:fill="FFFFFF"/>
            <w:vAlign w:val="center"/>
          </w:tcPr>
          <w:p w14:paraId="547D6EED" w14:textId="77777777" w:rsidR="00C80962" w:rsidRPr="00B57B36" w:rsidRDefault="00C80962" w:rsidP="001608A2">
            <w:pPr>
              <w:pStyle w:val="CETBodytext"/>
              <w:ind w:right="-1"/>
              <w:jc w:val="center"/>
              <w:rPr>
                <w:rFonts w:cs="Arial"/>
                <w:szCs w:val="18"/>
                <w:lang w:val="en-GB"/>
              </w:rPr>
            </w:pPr>
            <w:r>
              <w:rPr>
                <w:rFonts w:cs="Arial"/>
                <w:szCs w:val="18"/>
                <w:lang w:val="en-GB"/>
              </w:rPr>
              <w:t>0.50</w:t>
            </w:r>
          </w:p>
        </w:tc>
      </w:tr>
      <w:tr w:rsidR="00C80962" w:rsidRPr="00B57B36" w14:paraId="6E87BEF0" w14:textId="77777777" w:rsidTr="008E5BD6">
        <w:tc>
          <w:tcPr>
            <w:tcW w:w="1701" w:type="dxa"/>
            <w:shd w:val="clear" w:color="auto" w:fill="FFFFFF"/>
          </w:tcPr>
          <w:p w14:paraId="2DE59CFB" w14:textId="77777777" w:rsidR="00C80962" w:rsidRPr="00B57B36" w:rsidRDefault="00C80962" w:rsidP="001608A2">
            <w:pPr>
              <w:pStyle w:val="CETBodytext"/>
              <w:rPr>
                <w:lang w:val="en-GB"/>
              </w:rPr>
            </w:pPr>
            <w:r>
              <w:rPr>
                <w:lang w:val="en-GB"/>
              </w:rPr>
              <w:t>LK-Plock</w:t>
            </w:r>
          </w:p>
        </w:tc>
        <w:tc>
          <w:tcPr>
            <w:tcW w:w="993" w:type="dxa"/>
            <w:shd w:val="clear" w:color="auto" w:fill="FFFFFF"/>
          </w:tcPr>
          <w:p w14:paraId="5CC40859" w14:textId="77777777" w:rsidR="00C80962" w:rsidRDefault="00C80962" w:rsidP="001608A2">
            <w:pPr>
              <w:pStyle w:val="CETBodytext"/>
              <w:jc w:val="center"/>
              <w:rPr>
                <w:lang w:val="en-GB"/>
              </w:rPr>
            </w:pPr>
            <w:r>
              <w:rPr>
                <w:lang w:val="en-GB"/>
              </w:rPr>
              <w:t>95.88</w:t>
            </w:r>
          </w:p>
        </w:tc>
        <w:tc>
          <w:tcPr>
            <w:tcW w:w="1134" w:type="dxa"/>
            <w:shd w:val="clear" w:color="auto" w:fill="FFFFFF"/>
            <w:vAlign w:val="center"/>
          </w:tcPr>
          <w:p w14:paraId="67811CE4" w14:textId="77777777" w:rsidR="00C80962" w:rsidRDefault="00C80962" w:rsidP="001608A2">
            <w:pPr>
              <w:pStyle w:val="CETBodytext"/>
              <w:jc w:val="center"/>
              <w:rPr>
                <w:lang w:val="en-GB"/>
              </w:rPr>
            </w:pPr>
            <w:r>
              <w:rPr>
                <w:lang w:val="en-GB"/>
              </w:rPr>
              <w:t>66.39</w:t>
            </w:r>
          </w:p>
        </w:tc>
        <w:tc>
          <w:tcPr>
            <w:tcW w:w="1134" w:type="dxa"/>
            <w:shd w:val="clear" w:color="auto" w:fill="FFFFFF"/>
          </w:tcPr>
          <w:p w14:paraId="5F3E3982" w14:textId="77777777" w:rsidR="00C80962" w:rsidRPr="00B57B36" w:rsidRDefault="00C80962" w:rsidP="001608A2">
            <w:pPr>
              <w:pStyle w:val="CETBodytext"/>
              <w:ind w:right="-1"/>
              <w:jc w:val="center"/>
              <w:rPr>
                <w:rFonts w:cs="Arial"/>
                <w:szCs w:val="18"/>
                <w:lang w:val="en-GB"/>
              </w:rPr>
            </w:pPr>
            <w:r>
              <w:rPr>
                <w:rFonts w:cs="Arial"/>
                <w:szCs w:val="18"/>
                <w:lang w:val="en-GB"/>
              </w:rPr>
              <w:t>0.760</w:t>
            </w:r>
          </w:p>
        </w:tc>
        <w:tc>
          <w:tcPr>
            <w:tcW w:w="742" w:type="dxa"/>
            <w:shd w:val="clear" w:color="auto" w:fill="FFFFFF"/>
          </w:tcPr>
          <w:p w14:paraId="71311288" w14:textId="77777777" w:rsidR="00C80962" w:rsidRPr="00B57B36" w:rsidRDefault="00C80962" w:rsidP="001608A2">
            <w:pPr>
              <w:pStyle w:val="CETBodytext"/>
              <w:ind w:right="-1"/>
              <w:jc w:val="center"/>
              <w:rPr>
                <w:rFonts w:cs="Arial"/>
                <w:szCs w:val="18"/>
                <w:lang w:val="en-GB"/>
              </w:rPr>
            </w:pPr>
            <w:r>
              <w:rPr>
                <w:rFonts w:cs="Arial"/>
                <w:szCs w:val="18"/>
                <w:lang w:val="en-GB"/>
              </w:rPr>
              <w:t>0.745</w:t>
            </w:r>
          </w:p>
        </w:tc>
        <w:tc>
          <w:tcPr>
            <w:tcW w:w="1134" w:type="dxa"/>
            <w:shd w:val="clear" w:color="auto" w:fill="FFFFFF"/>
            <w:vAlign w:val="center"/>
          </w:tcPr>
          <w:p w14:paraId="02A0D13D" w14:textId="77777777" w:rsidR="00C80962" w:rsidRPr="00B57B36" w:rsidRDefault="00C80962" w:rsidP="001608A2">
            <w:pPr>
              <w:pStyle w:val="CETBodytext"/>
              <w:ind w:right="-1"/>
              <w:jc w:val="center"/>
              <w:rPr>
                <w:rFonts w:cs="Arial"/>
                <w:szCs w:val="18"/>
                <w:lang w:val="en-GB"/>
              </w:rPr>
            </w:pPr>
            <w:r>
              <w:rPr>
                <w:rFonts w:cs="Arial"/>
                <w:szCs w:val="18"/>
                <w:lang w:val="en-GB"/>
              </w:rPr>
              <w:t>-1.92</w:t>
            </w:r>
          </w:p>
        </w:tc>
      </w:tr>
      <w:tr w:rsidR="00C80962" w:rsidRPr="00B57B36" w14:paraId="4E13C13D" w14:textId="77777777" w:rsidTr="008E5BD6">
        <w:tc>
          <w:tcPr>
            <w:tcW w:w="1701" w:type="dxa"/>
            <w:shd w:val="clear" w:color="auto" w:fill="FFFFFF"/>
          </w:tcPr>
          <w:p w14:paraId="68B4FCB7" w14:textId="77777777" w:rsidR="00C80962" w:rsidRPr="00B57B36" w:rsidRDefault="00C80962" w:rsidP="001608A2">
            <w:pPr>
              <w:pStyle w:val="CETBodytext"/>
              <w:rPr>
                <w:lang w:val="en-GB"/>
              </w:rPr>
            </w:pPr>
            <w:r>
              <w:rPr>
                <w:lang w:val="en-GB"/>
              </w:rPr>
              <w:t>PR-BM</w:t>
            </w:r>
          </w:p>
        </w:tc>
        <w:tc>
          <w:tcPr>
            <w:tcW w:w="993" w:type="dxa"/>
            <w:shd w:val="clear" w:color="auto" w:fill="FFFFFF"/>
          </w:tcPr>
          <w:p w14:paraId="024FEF3F" w14:textId="77777777" w:rsidR="00C80962" w:rsidRDefault="00C80962" w:rsidP="001608A2">
            <w:pPr>
              <w:pStyle w:val="CETBodytext"/>
              <w:jc w:val="center"/>
              <w:rPr>
                <w:lang w:val="en-GB"/>
              </w:rPr>
            </w:pPr>
            <w:r>
              <w:rPr>
                <w:lang w:val="en-GB"/>
              </w:rPr>
              <w:t>95.88</w:t>
            </w:r>
          </w:p>
        </w:tc>
        <w:tc>
          <w:tcPr>
            <w:tcW w:w="1134" w:type="dxa"/>
            <w:shd w:val="clear" w:color="auto" w:fill="FFFFFF"/>
            <w:vAlign w:val="center"/>
          </w:tcPr>
          <w:p w14:paraId="4F99F38A" w14:textId="77777777" w:rsidR="00C80962" w:rsidRDefault="00C80962" w:rsidP="001608A2">
            <w:pPr>
              <w:pStyle w:val="CETBodytext"/>
              <w:jc w:val="center"/>
              <w:rPr>
                <w:lang w:val="en-GB"/>
              </w:rPr>
            </w:pPr>
            <w:r>
              <w:rPr>
                <w:lang w:val="en-GB"/>
              </w:rPr>
              <w:t>63.35</w:t>
            </w:r>
          </w:p>
        </w:tc>
        <w:tc>
          <w:tcPr>
            <w:tcW w:w="1134" w:type="dxa"/>
            <w:shd w:val="clear" w:color="auto" w:fill="FFFFFF"/>
          </w:tcPr>
          <w:p w14:paraId="6020E30E" w14:textId="77777777" w:rsidR="00C80962" w:rsidRPr="00B57B36" w:rsidRDefault="00C80962" w:rsidP="001608A2">
            <w:pPr>
              <w:pStyle w:val="CETBodytext"/>
              <w:ind w:right="-1"/>
              <w:jc w:val="center"/>
              <w:rPr>
                <w:rFonts w:cs="Arial"/>
                <w:szCs w:val="18"/>
                <w:lang w:val="en-GB"/>
              </w:rPr>
            </w:pPr>
            <w:r>
              <w:rPr>
                <w:rFonts w:cs="Arial"/>
                <w:szCs w:val="18"/>
                <w:lang w:val="en-GB"/>
              </w:rPr>
              <w:t>0.760</w:t>
            </w:r>
          </w:p>
        </w:tc>
        <w:tc>
          <w:tcPr>
            <w:tcW w:w="742" w:type="dxa"/>
            <w:shd w:val="clear" w:color="auto" w:fill="FFFFFF"/>
          </w:tcPr>
          <w:p w14:paraId="68B36C78" w14:textId="77777777" w:rsidR="00C80962" w:rsidRPr="00B57B36" w:rsidRDefault="00C80962" w:rsidP="001608A2">
            <w:pPr>
              <w:pStyle w:val="CETBodytext"/>
              <w:ind w:right="-1"/>
              <w:jc w:val="center"/>
              <w:rPr>
                <w:rFonts w:cs="Arial"/>
                <w:szCs w:val="18"/>
                <w:lang w:val="en-GB"/>
              </w:rPr>
            </w:pPr>
            <w:r>
              <w:rPr>
                <w:rFonts w:cs="Arial"/>
                <w:szCs w:val="18"/>
                <w:lang w:val="en-GB"/>
              </w:rPr>
              <w:t>0.728</w:t>
            </w:r>
          </w:p>
        </w:tc>
        <w:tc>
          <w:tcPr>
            <w:tcW w:w="1134" w:type="dxa"/>
            <w:shd w:val="clear" w:color="auto" w:fill="FFFFFF"/>
            <w:vAlign w:val="center"/>
          </w:tcPr>
          <w:p w14:paraId="4655365F" w14:textId="77777777" w:rsidR="00C80962" w:rsidRPr="00B57B36" w:rsidRDefault="00C80962" w:rsidP="001608A2">
            <w:pPr>
              <w:pStyle w:val="CETBodytext"/>
              <w:ind w:right="-1"/>
              <w:jc w:val="center"/>
              <w:rPr>
                <w:rFonts w:cs="Arial"/>
                <w:szCs w:val="18"/>
                <w:lang w:val="en-GB"/>
              </w:rPr>
            </w:pPr>
            <w:r>
              <w:rPr>
                <w:rFonts w:cs="Arial"/>
                <w:szCs w:val="18"/>
                <w:lang w:val="en-GB"/>
              </w:rPr>
              <w:t>-4.22</w:t>
            </w:r>
          </w:p>
        </w:tc>
      </w:tr>
    </w:tbl>
    <w:p w14:paraId="677EBFF0" w14:textId="1E98E554" w:rsidR="00600535" w:rsidRDefault="00C80962" w:rsidP="00083C53">
      <w:pPr>
        <w:pStyle w:val="CETHeading1"/>
      </w:pPr>
      <w:r>
        <w:t>Approach validation into other processes</w:t>
      </w:r>
    </w:p>
    <w:p w14:paraId="33B4D58B" w14:textId="092C3C3B" w:rsidR="00414B86" w:rsidRPr="00414B86" w:rsidRDefault="00414B86" w:rsidP="00414B86">
      <w:pPr>
        <w:pStyle w:val="CETBodytext"/>
      </w:pPr>
      <w:r w:rsidRPr="00414B86">
        <w:t>Either the column rate-based or the flash vessel represented the molecular distillation with low deviation. Then, the same approach was applied to other mixtures and compared with the literature.</w:t>
      </w:r>
    </w:p>
    <w:p w14:paraId="668BE6F5" w14:textId="71B05C00" w:rsidR="009700E5" w:rsidRDefault="00C80962" w:rsidP="00600535">
      <w:pPr>
        <w:pStyle w:val="CETheadingx"/>
      </w:pPr>
      <w:r>
        <w:t xml:space="preserve">Glycerin and Propylene glycol </w:t>
      </w:r>
    </w:p>
    <w:p w14:paraId="32D91F8C" w14:textId="6E0B7E28" w:rsidR="000C1271" w:rsidRPr="00694788" w:rsidRDefault="00296553" w:rsidP="00414B86">
      <w:pPr>
        <w:pStyle w:val="CETBodytext"/>
        <w:rPr>
          <w:color w:val="000000" w:themeColor="text1"/>
        </w:rPr>
      </w:pPr>
      <w:r>
        <w:t>P</w:t>
      </w:r>
      <w:r w:rsidR="00893870" w:rsidRPr="00893870">
        <w:t xml:space="preserve">ropylene glycol and </w:t>
      </w:r>
      <w:r w:rsidR="00893870" w:rsidRPr="00006D8C">
        <w:t>glycerin separation using</w:t>
      </w:r>
      <w:r w:rsidR="00893870">
        <w:t xml:space="preserve"> falling film </w:t>
      </w:r>
      <w:r w:rsidR="00893870" w:rsidRPr="00545F74">
        <w:t xml:space="preserve">distillation </w:t>
      </w:r>
      <w:r w:rsidR="00A73039" w:rsidRPr="00545F74">
        <w:t>w</w:t>
      </w:r>
      <w:r w:rsidR="00006D8C" w:rsidRPr="00545F74">
        <w:t xml:space="preserve">as </w:t>
      </w:r>
      <w:r w:rsidR="00893870" w:rsidRPr="00545F74">
        <w:t xml:space="preserve">studied by </w:t>
      </w:r>
      <w:proofErr w:type="spellStart"/>
      <w:r w:rsidR="00893870" w:rsidRPr="00545F74">
        <w:t>Martinello</w:t>
      </w:r>
      <w:proofErr w:type="spellEnd"/>
      <w:r w:rsidR="00893870" w:rsidRPr="00545F74">
        <w:t xml:space="preserve"> et al. (2003)</w:t>
      </w:r>
      <w:r w:rsidR="00C02610" w:rsidRPr="00545F74">
        <w:t xml:space="preserve"> and used as a reference </w:t>
      </w:r>
      <w:r w:rsidR="00893870" w:rsidRPr="00545F74">
        <w:t>during the simulations</w:t>
      </w:r>
      <w:r w:rsidR="00C02610" w:rsidRPr="00545F74">
        <w:t xml:space="preserve"> in </w:t>
      </w:r>
      <w:r w:rsidR="00C02610" w:rsidRPr="00694788">
        <w:rPr>
          <w:color w:val="000000" w:themeColor="text1"/>
        </w:rPr>
        <w:t>this paper.</w:t>
      </w:r>
      <w:r w:rsidR="00006D8C" w:rsidRPr="00694788">
        <w:rPr>
          <w:color w:val="000000" w:themeColor="text1"/>
        </w:rPr>
        <w:t xml:space="preserve"> Lista et al</w:t>
      </w:r>
      <w:r w:rsidR="00FB0213" w:rsidRPr="00694788">
        <w:rPr>
          <w:color w:val="000000" w:themeColor="text1"/>
        </w:rPr>
        <w:t>.</w:t>
      </w:r>
      <w:r w:rsidR="00006D8C" w:rsidRPr="00694788">
        <w:rPr>
          <w:color w:val="000000" w:themeColor="text1"/>
        </w:rPr>
        <w:t xml:space="preserve"> (2022) emulated molecular distillation through the flash vessel using an efficiency factor for this same binary mixture.</w:t>
      </w:r>
      <w:r w:rsidR="00A96A0C" w:rsidRPr="00694788">
        <w:rPr>
          <w:color w:val="000000" w:themeColor="text1"/>
        </w:rPr>
        <w:t xml:space="preserve"> </w:t>
      </w:r>
      <w:r w:rsidRPr="00694788">
        <w:rPr>
          <w:color w:val="000000" w:themeColor="text1"/>
        </w:rPr>
        <w:t>T</w:t>
      </w:r>
      <w:r w:rsidR="00CE4ED5" w:rsidRPr="00694788">
        <w:rPr>
          <w:color w:val="000000" w:themeColor="text1"/>
        </w:rPr>
        <w:t>he rate-based</w:t>
      </w:r>
      <w:r w:rsidR="00545F74" w:rsidRPr="00694788">
        <w:rPr>
          <w:color w:val="000000" w:themeColor="text1"/>
        </w:rPr>
        <w:t xml:space="preserve"> column</w:t>
      </w:r>
      <w:r w:rsidR="00CE4ED5" w:rsidRPr="00694788">
        <w:rPr>
          <w:color w:val="000000" w:themeColor="text1"/>
        </w:rPr>
        <w:t xml:space="preserve"> was applied to represent the falling film molecular distillation since the methodology was validated in </w:t>
      </w:r>
      <w:r w:rsidRPr="00694788">
        <w:rPr>
          <w:color w:val="000000" w:themeColor="text1"/>
        </w:rPr>
        <w:t xml:space="preserve">the </w:t>
      </w:r>
      <w:r w:rsidR="00CE4ED5" w:rsidRPr="00694788">
        <w:rPr>
          <w:color w:val="000000" w:themeColor="text1"/>
        </w:rPr>
        <w:t>previous section (Figure 1).</w:t>
      </w:r>
      <w:r w:rsidR="000C1271" w:rsidRPr="00694788">
        <w:rPr>
          <w:color w:val="000000" w:themeColor="text1"/>
        </w:rPr>
        <w:t xml:space="preserve"> </w:t>
      </w:r>
      <w:r w:rsidR="00330B4A" w:rsidRPr="00DB2103">
        <w:t xml:space="preserve">Either </w:t>
      </w:r>
      <w:r w:rsidR="00DB2103" w:rsidRPr="00DB2103">
        <w:t>g</w:t>
      </w:r>
      <w:r w:rsidR="00330B4A" w:rsidRPr="00DB2103">
        <w:t xml:space="preserve">lycerin or propylene glycol </w:t>
      </w:r>
      <w:r w:rsidR="00DB2103" w:rsidRPr="00DB2103">
        <w:t>are</w:t>
      </w:r>
      <w:r w:rsidR="00330B4A" w:rsidRPr="00DB2103">
        <w:t xml:space="preserve"> available in the commercial software Aspen Plus</w:t>
      </w:r>
      <w:r w:rsidR="00330B4A" w:rsidRPr="00DB2103">
        <w:sym w:font="Symbol" w:char="F0E2"/>
      </w:r>
      <w:r w:rsidR="00DB2103" w:rsidRPr="00DB2103">
        <w:t xml:space="preserve"> data bank</w:t>
      </w:r>
      <w:r w:rsidR="00330B4A" w:rsidRPr="00DB2103">
        <w:t>.</w:t>
      </w:r>
    </w:p>
    <w:p w14:paraId="338B1211" w14:textId="030D4C80" w:rsidR="001F50E0" w:rsidRPr="00121B74" w:rsidRDefault="001F50E0" w:rsidP="001F50E0">
      <w:pPr>
        <w:pStyle w:val="CETBodytext"/>
      </w:pPr>
      <w:r w:rsidRPr="00694788">
        <w:rPr>
          <w:color w:val="000000" w:themeColor="text1"/>
        </w:rPr>
        <w:t xml:space="preserve">Using this tool, low deviation values (lesser than </w:t>
      </w:r>
      <w:r w:rsidR="00C81D9F" w:rsidRPr="00694788">
        <w:rPr>
          <w:color w:val="000000" w:themeColor="text1"/>
        </w:rPr>
        <w:t>4</w:t>
      </w:r>
      <w:r w:rsidRPr="00694788">
        <w:rPr>
          <w:color w:val="000000" w:themeColor="text1"/>
        </w:rPr>
        <w:t xml:space="preserve">.0%) compared to experimental results in the literature were obtained and </w:t>
      </w:r>
      <w:r w:rsidR="00C81D9F" w:rsidRPr="00694788">
        <w:rPr>
          <w:color w:val="000000" w:themeColor="text1"/>
        </w:rPr>
        <w:t>LK-Plock</w:t>
      </w:r>
      <w:r w:rsidRPr="00694788">
        <w:rPr>
          <w:color w:val="000000" w:themeColor="text1"/>
        </w:rPr>
        <w:t xml:space="preserve"> was the most suitable thermodynamic model (Table 4). There is a significant difference between the temperature (Table 4) and such behavior was found at Lista et al</w:t>
      </w:r>
      <w:r w:rsidR="00FB0213" w:rsidRPr="00694788">
        <w:rPr>
          <w:color w:val="000000" w:themeColor="text1"/>
        </w:rPr>
        <w:t>.</w:t>
      </w:r>
      <w:r w:rsidRPr="00694788">
        <w:rPr>
          <w:color w:val="000000" w:themeColor="text1"/>
        </w:rPr>
        <w:t xml:space="preserve"> (2022) and Perez (2012) studies</w:t>
      </w:r>
      <w:r w:rsidR="00FB0213" w:rsidRPr="00694788">
        <w:rPr>
          <w:color w:val="000000" w:themeColor="text1"/>
        </w:rPr>
        <w:t xml:space="preserve"> (from </w:t>
      </w:r>
      <w:r w:rsidR="00694788">
        <w:rPr>
          <w:color w:val="000000" w:themeColor="text1"/>
        </w:rPr>
        <w:t>the same</w:t>
      </w:r>
      <w:r w:rsidR="00FB0213" w:rsidRPr="00694788">
        <w:rPr>
          <w:color w:val="000000" w:themeColor="text1"/>
        </w:rPr>
        <w:t xml:space="preserve"> research group).</w:t>
      </w:r>
      <w:r w:rsidR="00121B74">
        <w:rPr>
          <w:color w:val="000000" w:themeColor="text1"/>
        </w:rPr>
        <w:t xml:space="preserve"> </w:t>
      </w:r>
      <w:proofErr w:type="spellStart"/>
      <w:r w:rsidR="00121B74">
        <w:t>Martinello</w:t>
      </w:r>
      <w:proofErr w:type="spellEnd"/>
      <w:r w:rsidR="00121B74">
        <w:t xml:space="preserve"> et. al. (2003) developed a code at MATLAB software to represent the falling film molecular distillation and found a 0.72% </w:t>
      </w:r>
      <w:proofErr w:type="spellStart"/>
      <w:r w:rsidR="00121B74">
        <w:t>y</w:t>
      </w:r>
      <w:r w:rsidR="00121B74" w:rsidRPr="002A3E17">
        <w:rPr>
          <w:vertAlign w:val="subscript"/>
        </w:rPr>
        <w:t>MD</w:t>
      </w:r>
      <w:proofErr w:type="spellEnd"/>
      <w:r w:rsidR="00121B74">
        <w:rPr>
          <w:vertAlign w:val="subscript"/>
        </w:rPr>
        <w:t xml:space="preserve"> </w:t>
      </w:r>
      <w:r w:rsidR="00121B74">
        <w:t xml:space="preserve">deviation. Although it is a lower value compared to </w:t>
      </w:r>
      <w:r w:rsidR="00121B74">
        <w:lastRenderedPageBreak/>
        <w:t>this work, the simplicity of using the column rate-based saves time and makes it possible to integrate into other available tools inside the software Aspen Plus</w:t>
      </w:r>
      <w:r w:rsidR="00121B74">
        <w:sym w:font="Symbol" w:char="F0D2"/>
      </w:r>
      <w:r w:rsidR="00121B74">
        <w:t xml:space="preserve">. </w:t>
      </w:r>
    </w:p>
    <w:p w14:paraId="7E536FB8" w14:textId="03BBC9CB" w:rsidR="00D467C3" w:rsidRDefault="00D467C3" w:rsidP="00D467C3">
      <w:pPr>
        <w:pStyle w:val="CETTabletitle"/>
      </w:pPr>
      <w:r w:rsidRPr="00B57B36">
        <w:t xml:space="preserve">Table </w:t>
      </w:r>
      <w:r w:rsidR="00C02610">
        <w:t>4</w:t>
      </w:r>
      <w:r w:rsidRPr="00B57B36">
        <w:t xml:space="preserve">: </w:t>
      </w:r>
      <w:r>
        <w:t>Propylene glycol M</w:t>
      </w:r>
      <w:r w:rsidR="00DA07C6">
        <w:t>ass</w:t>
      </w:r>
      <w:r>
        <w:t xml:space="preserve"> fraction in the distillate stream obtained by the Radfrac column (Rate-based)</w:t>
      </w:r>
      <w:r w:rsidR="00DA07C6">
        <w:t xml:space="preserve"> at 1 ml/min</w:t>
      </w:r>
      <w:r w:rsidR="00F0407A">
        <w:t xml:space="preserve">, </w:t>
      </w:r>
      <w:r w:rsidR="00110A34">
        <w:t>5</w:t>
      </w:r>
      <w:r w:rsidR="00DA07C6">
        <w:t xml:space="preserve">0 </w:t>
      </w:r>
      <w:r w:rsidR="00DA07C6">
        <w:sym w:font="Symbol" w:char="F0B0"/>
      </w:r>
      <w:r w:rsidR="00DA07C6">
        <w:t>C</w:t>
      </w:r>
      <w:r w:rsidR="00F0407A">
        <w:t xml:space="preserve"> and 10</w:t>
      </w:r>
      <w:r w:rsidR="00F0407A" w:rsidRPr="00F0407A">
        <w:rPr>
          <w:vertAlign w:val="superscript"/>
        </w:rPr>
        <w:t>-5</w:t>
      </w:r>
      <w:r w:rsidR="00F0407A">
        <w:t xml:space="preserve"> bar</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560"/>
        <w:gridCol w:w="992"/>
        <w:gridCol w:w="1276"/>
        <w:gridCol w:w="850"/>
        <w:gridCol w:w="1418"/>
      </w:tblGrid>
      <w:tr w:rsidR="00C81D9F" w:rsidRPr="00B57B36" w14:paraId="17DC27FE" w14:textId="77777777" w:rsidTr="00B019FD">
        <w:tc>
          <w:tcPr>
            <w:tcW w:w="1701" w:type="dxa"/>
            <w:tcBorders>
              <w:top w:val="single" w:sz="12" w:space="0" w:color="008000"/>
              <w:bottom w:val="single" w:sz="6" w:space="0" w:color="008000"/>
            </w:tcBorders>
            <w:shd w:val="clear" w:color="auto" w:fill="FFFFFF"/>
          </w:tcPr>
          <w:p w14:paraId="46C2DCC1" w14:textId="77777777" w:rsidR="00C81D9F" w:rsidRPr="00B57B36" w:rsidRDefault="00C81D9F" w:rsidP="00B019FD">
            <w:pPr>
              <w:pStyle w:val="CETBodytext"/>
              <w:rPr>
                <w:lang w:val="en-GB"/>
              </w:rPr>
            </w:pPr>
            <w:r>
              <w:rPr>
                <w:lang w:val="en-GB"/>
              </w:rPr>
              <w:t>Thermodynamic Model</w:t>
            </w:r>
          </w:p>
        </w:tc>
        <w:tc>
          <w:tcPr>
            <w:tcW w:w="1560" w:type="dxa"/>
            <w:tcBorders>
              <w:top w:val="single" w:sz="12" w:space="0" w:color="008000"/>
              <w:bottom w:val="single" w:sz="6" w:space="0" w:color="008000"/>
            </w:tcBorders>
            <w:shd w:val="clear" w:color="auto" w:fill="FFFFFF"/>
            <w:vAlign w:val="center"/>
          </w:tcPr>
          <w:p w14:paraId="3C9BBBFE" w14:textId="77777777" w:rsidR="00C81D9F" w:rsidRDefault="00C81D9F" w:rsidP="00B019FD">
            <w:pPr>
              <w:pStyle w:val="CETBodytext"/>
              <w:jc w:val="center"/>
              <w:rPr>
                <w:rFonts w:cs="Arial"/>
                <w:szCs w:val="18"/>
                <w:vertAlign w:val="subscript"/>
                <w:lang w:val="en-GB"/>
              </w:rPr>
            </w:pPr>
            <w:r>
              <w:rPr>
                <w:lang w:val="en-GB"/>
              </w:rPr>
              <w:t>T</w:t>
            </w:r>
            <w:r w:rsidRPr="00B0145C">
              <w:rPr>
                <w:vertAlign w:val="subscript"/>
                <w:lang w:val="en-GB"/>
              </w:rPr>
              <w:t>MD</w:t>
            </w:r>
            <w:r>
              <w:rPr>
                <w:lang w:val="en-GB"/>
              </w:rPr>
              <w:t xml:space="preserve"> (</w:t>
            </w:r>
            <w:r>
              <w:rPr>
                <w:lang w:val="en-GB"/>
              </w:rPr>
              <w:sym w:font="Symbol" w:char="F0B0"/>
            </w:r>
            <w:r>
              <w:rPr>
                <w:lang w:val="en-GB"/>
              </w:rPr>
              <w:t>C)</w:t>
            </w:r>
            <w:r w:rsidRPr="00414B86">
              <w:rPr>
                <w:rFonts w:cs="Arial"/>
                <w:szCs w:val="18"/>
                <w:vertAlign w:val="subscript"/>
                <w:lang w:val="en-GB"/>
              </w:rPr>
              <w:t xml:space="preserve"> </w:t>
            </w:r>
          </w:p>
          <w:p w14:paraId="3D87DDFC" w14:textId="77777777" w:rsidR="00C81D9F" w:rsidRPr="00B0145C" w:rsidRDefault="00C81D9F" w:rsidP="00B019FD">
            <w:pPr>
              <w:pStyle w:val="CETBodytext"/>
              <w:jc w:val="center"/>
              <w:rPr>
                <w:lang w:val="en-GB"/>
              </w:rPr>
            </w:pPr>
            <w:r w:rsidRPr="00414B86">
              <w:rPr>
                <w:rFonts w:cs="Arial"/>
                <w:szCs w:val="18"/>
                <w:vertAlign w:val="subscript"/>
                <w:lang w:val="en-GB"/>
              </w:rPr>
              <w:t>(</w:t>
            </w:r>
            <w:proofErr w:type="spellStart"/>
            <w:r w:rsidRPr="00414B86">
              <w:rPr>
                <w:rFonts w:cs="Arial"/>
                <w:szCs w:val="18"/>
                <w:vertAlign w:val="subscript"/>
                <w:lang w:val="en-GB"/>
              </w:rPr>
              <w:t>Martinello</w:t>
            </w:r>
            <w:proofErr w:type="spellEnd"/>
            <w:r w:rsidRPr="00414B86">
              <w:rPr>
                <w:rFonts w:cs="Arial"/>
                <w:szCs w:val="18"/>
                <w:vertAlign w:val="subscript"/>
                <w:lang w:val="en-GB"/>
              </w:rPr>
              <w:t xml:space="preserve"> et al., 2003)</w:t>
            </w:r>
          </w:p>
        </w:tc>
        <w:tc>
          <w:tcPr>
            <w:tcW w:w="992" w:type="dxa"/>
            <w:tcBorders>
              <w:top w:val="single" w:sz="12" w:space="0" w:color="008000"/>
              <w:bottom w:val="single" w:sz="6" w:space="0" w:color="008000"/>
            </w:tcBorders>
            <w:shd w:val="clear" w:color="auto" w:fill="FFFFFF"/>
            <w:vAlign w:val="center"/>
          </w:tcPr>
          <w:p w14:paraId="205BD6CE" w14:textId="77777777" w:rsidR="00C81D9F" w:rsidRPr="00B57B36" w:rsidRDefault="00C81D9F" w:rsidP="00B019FD">
            <w:pPr>
              <w:pStyle w:val="CETBodytext"/>
              <w:jc w:val="center"/>
              <w:rPr>
                <w:lang w:val="en-GB"/>
              </w:rPr>
            </w:pPr>
            <w:proofErr w:type="spellStart"/>
            <w:r>
              <w:rPr>
                <w:lang w:val="en-GB"/>
              </w:rPr>
              <w:t>T</w:t>
            </w:r>
            <w:r>
              <w:rPr>
                <w:vertAlign w:val="subscript"/>
                <w:lang w:val="en-GB"/>
              </w:rPr>
              <w:t>Rate</w:t>
            </w:r>
            <w:proofErr w:type="spellEnd"/>
            <w:r>
              <w:rPr>
                <w:vertAlign w:val="subscript"/>
                <w:lang w:val="en-GB"/>
              </w:rPr>
              <w:t>-Based</w:t>
            </w:r>
            <w:r>
              <w:rPr>
                <w:lang w:val="en-GB"/>
              </w:rPr>
              <w:t xml:space="preserve"> (</w:t>
            </w:r>
            <w:r>
              <w:rPr>
                <w:lang w:val="en-GB"/>
              </w:rPr>
              <w:sym w:font="Symbol" w:char="F0B0"/>
            </w:r>
            <w:r>
              <w:rPr>
                <w:lang w:val="en-GB"/>
              </w:rPr>
              <w:t>C)</w:t>
            </w:r>
          </w:p>
        </w:tc>
        <w:tc>
          <w:tcPr>
            <w:tcW w:w="1276" w:type="dxa"/>
            <w:tcBorders>
              <w:top w:val="single" w:sz="12" w:space="0" w:color="008000"/>
              <w:bottom w:val="single" w:sz="6" w:space="0" w:color="008000"/>
            </w:tcBorders>
            <w:shd w:val="clear" w:color="auto" w:fill="FFFFFF"/>
            <w:vAlign w:val="center"/>
          </w:tcPr>
          <w:p w14:paraId="7E4C5088" w14:textId="77777777" w:rsidR="00C81D9F" w:rsidRPr="00414B86" w:rsidRDefault="00C81D9F" w:rsidP="00B019FD">
            <w:pPr>
              <w:pStyle w:val="CETBodytext"/>
              <w:ind w:right="-1"/>
              <w:jc w:val="center"/>
              <w:rPr>
                <w:rFonts w:cs="Arial"/>
                <w:szCs w:val="18"/>
                <w:vertAlign w:val="subscript"/>
                <w:lang w:val="en-GB"/>
              </w:rPr>
            </w:pPr>
            <w:proofErr w:type="spellStart"/>
            <w:r w:rsidRPr="00414B86">
              <w:rPr>
                <w:rFonts w:cs="Arial"/>
                <w:szCs w:val="18"/>
                <w:lang w:val="en-GB"/>
              </w:rPr>
              <w:t>y</w:t>
            </w:r>
            <w:r w:rsidRPr="00414B86">
              <w:rPr>
                <w:rFonts w:cs="Arial"/>
                <w:szCs w:val="18"/>
                <w:vertAlign w:val="subscript"/>
                <w:lang w:val="en-GB"/>
              </w:rPr>
              <w:t>MD</w:t>
            </w:r>
            <w:proofErr w:type="spellEnd"/>
          </w:p>
          <w:p w14:paraId="50BA7E58" w14:textId="77777777" w:rsidR="00C81D9F" w:rsidRPr="00414B86" w:rsidRDefault="00C81D9F" w:rsidP="00B019FD">
            <w:pPr>
              <w:pStyle w:val="CETBodytext"/>
              <w:ind w:right="-1"/>
              <w:jc w:val="center"/>
              <w:rPr>
                <w:rFonts w:cs="Arial"/>
                <w:szCs w:val="18"/>
                <w:lang w:val="en-GB"/>
              </w:rPr>
            </w:pPr>
            <w:r w:rsidRPr="00414B86">
              <w:rPr>
                <w:rFonts w:cs="Arial"/>
                <w:szCs w:val="18"/>
                <w:vertAlign w:val="subscript"/>
                <w:lang w:val="en-GB"/>
              </w:rPr>
              <w:t>(</w:t>
            </w:r>
            <w:proofErr w:type="spellStart"/>
            <w:r w:rsidRPr="00414B86">
              <w:rPr>
                <w:rFonts w:cs="Arial"/>
                <w:szCs w:val="18"/>
                <w:vertAlign w:val="subscript"/>
                <w:lang w:val="en-GB"/>
              </w:rPr>
              <w:t>Martinello</w:t>
            </w:r>
            <w:proofErr w:type="spellEnd"/>
            <w:r w:rsidRPr="00414B86">
              <w:rPr>
                <w:rFonts w:cs="Arial"/>
                <w:szCs w:val="18"/>
                <w:vertAlign w:val="subscript"/>
                <w:lang w:val="en-GB"/>
              </w:rPr>
              <w:t xml:space="preserve"> et al., 2003)</w:t>
            </w:r>
          </w:p>
        </w:tc>
        <w:tc>
          <w:tcPr>
            <w:tcW w:w="850" w:type="dxa"/>
            <w:tcBorders>
              <w:top w:val="single" w:sz="12" w:space="0" w:color="008000"/>
              <w:bottom w:val="single" w:sz="6" w:space="0" w:color="008000"/>
            </w:tcBorders>
            <w:shd w:val="clear" w:color="auto" w:fill="FFFFFF"/>
            <w:vAlign w:val="center"/>
          </w:tcPr>
          <w:p w14:paraId="1D8DE970" w14:textId="77777777" w:rsidR="00C81D9F" w:rsidRPr="00414B86" w:rsidRDefault="00C81D9F" w:rsidP="00B019FD">
            <w:pPr>
              <w:pStyle w:val="CETBodytext"/>
              <w:ind w:right="-1"/>
              <w:jc w:val="center"/>
              <w:rPr>
                <w:rFonts w:cs="Arial"/>
                <w:szCs w:val="18"/>
                <w:lang w:val="en-GB"/>
              </w:rPr>
            </w:pPr>
            <w:proofErr w:type="spellStart"/>
            <w:r w:rsidRPr="00414B86">
              <w:rPr>
                <w:rFonts w:cs="Arial"/>
                <w:szCs w:val="18"/>
                <w:lang w:val="en-GB"/>
              </w:rPr>
              <w:t>y</w:t>
            </w:r>
            <w:r w:rsidRPr="00414B86">
              <w:rPr>
                <w:rFonts w:cs="Arial"/>
                <w:szCs w:val="18"/>
                <w:vertAlign w:val="subscript"/>
                <w:lang w:val="en-GB"/>
              </w:rPr>
              <w:t>Rate</w:t>
            </w:r>
            <w:proofErr w:type="spellEnd"/>
            <w:r w:rsidRPr="00414B86">
              <w:rPr>
                <w:rFonts w:cs="Arial"/>
                <w:szCs w:val="18"/>
                <w:vertAlign w:val="subscript"/>
                <w:lang w:val="en-GB"/>
              </w:rPr>
              <w:t>-Based</w:t>
            </w:r>
          </w:p>
        </w:tc>
        <w:tc>
          <w:tcPr>
            <w:tcW w:w="1418" w:type="dxa"/>
            <w:tcBorders>
              <w:top w:val="single" w:sz="12" w:space="0" w:color="008000"/>
              <w:bottom w:val="single" w:sz="6" w:space="0" w:color="008000"/>
            </w:tcBorders>
            <w:shd w:val="clear" w:color="auto" w:fill="FFFFFF"/>
            <w:vAlign w:val="center"/>
          </w:tcPr>
          <w:p w14:paraId="68411DA4" w14:textId="77777777" w:rsidR="00C81D9F" w:rsidRPr="00414B86" w:rsidRDefault="00C81D9F" w:rsidP="00B019FD">
            <w:pPr>
              <w:pStyle w:val="CETBodytext"/>
              <w:ind w:right="-1"/>
              <w:jc w:val="center"/>
              <w:rPr>
                <w:rFonts w:cs="Arial"/>
                <w:szCs w:val="18"/>
                <w:vertAlign w:val="subscript"/>
                <w:lang w:val="en-GB"/>
              </w:rPr>
            </w:pPr>
            <w:proofErr w:type="spellStart"/>
            <w:r w:rsidRPr="00414B86">
              <w:rPr>
                <w:rFonts w:cs="Arial"/>
                <w:szCs w:val="18"/>
                <w:lang w:val="en-GB"/>
              </w:rPr>
              <w:t>y</w:t>
            </w:r>
            <w:r w:rsidRPr="00414B86">
              <w:rPr>
                <w:rFonts w:cs="Arial"/>
                <w:szCs w:val="18"/>
                <w:vertAlign w:val="subscript"/>
                <w:lang w:val="en-GB"/>
              </w:rPr>
              <w:t>MD</w:t>
            </w:r>
            <w:proofErr w:type="spellEnd"/>
            <w:r>
              <w:rPr>
                <w:rFonts w:cs="Arial"/>
                <w:szCs w:val="18"/>
                <w:vertAlign w:val="subscript"/>
                <w:lang w:val="en-GB"/>
              </w:rPr>
              <w:t xml:space="preserve"> Deviation (%)</w:t>
            </w:r>
          </w:p>
          <w:p w14:paraId="251B0003" w14:textId="77777777" w:rsidR="00C81D9F" w:rsidRDefault="00C81D9F" w:rsidP="00B019FD">
            <w:pPr>
              <w:pStyle w:val="CETBodytext"/>
              <w:ind w:right="-1"/>
              <w:jc w:val="center"/>
              <w:rPr>
                <w:rFonts w:cs="Arial"/>
                <w:szCs w:val="18"/>
                <w:lang w:val="en-GB"/>
              </w:rPr>
            </w:pPr>
            <w:r w:rsidRPr="002A0C9B">
              <w:rPr>
                <w:rFonts w:cs="Arial"/>
                <w:color w:val="000000" w:themeColor="text1"/>
                <w:szCs w:val="18"/>
                <w:vertAlign w:val="subscript"/>
                <w:lang w:val="en-GB"/>
              </w:rPr>
              <w:t xml:space="preserve">(Reference </w:t>
            </w:r>
            <w:proofErr w:type="spellStart"/>
            <w:r w:rsidRPr="002A0C9B">
              <w:rPr>
                <w:rFonts w:cs="Arial"/>
                <w:color w:val="000000" w:themeColor="text1"/>
                <w:szCs w:val="18"/>
                <w:vertAlign w:val="subscript"/>
                <w:lang w:val="en-GB"/>
              </w:rPr>
              <w:t>Martinello</w:t>
            </w:r>
            <w:proofErr w:type="spellEnd"/>
            <w:r w:rsidRPr="002A0C9B">
              <w:rPr>
                <w:rFonts w:cs="Arial"/>
                <w:color w:val="000000" w:themeColor="text1"/>
                <w:szCs w:val="18"/>
                <w:vertAlign w:val="subscript"/>
                <w:lang w:val="en-GB"/>
              </w:rPr>
              <w:t xml:space="preserve"> et al., 2003)</w:t>
            </w:r>
          </w:p>
        </w:tc>
      </w:tr>
      <w:tr w:rsidR="00C81D9F" w:rsidRPr="00B57B36" w14:paraId="528FEBD7" w14:textId="77777777" w:rsidTr="00B019FD">
        <w:tc>
          <w:tcPr>
            <w:tcW w:w="1701" w:type="dxa"/>
            <w:shd w:val="clear" w:color="auto" w:fill="FFFFFF"/>
          </w:tcPr>
          <w:p w14:paraId="73F6F7E3" w14:textId="77777777" w:rsidR="00C81D9F" w:rsidRPr="00B57B36" w:rsidRDefault="00C81D9F" w:rsidP="00B019FD">
            <w:pPr>
              <w:pStyle w:val="CETBodytext"/>
              <w:rPr>
                <w:lang w:val="en-GB"/>
              </w:rPr>
            </w:pPr>
            <w:r>
              <w:rPr>
                <w:lang w:val="en-GB"/>
              </w:rPr>
              <w:t>RKS-BM</w:t>
            </w:r>
          </w:p>
        </w:tc>
        <w:tc>
          <w:tcPr>
            <w:tcW w:w="1560" w:type="dxa"/>
            <w:shd w:val="clear" w:color="auto" w:fill="FFFFFF"/>
          </w:tcPr>
          <w:p w14:paraId="6490BDA4" w14:textId="77777777" w:rsidR="00C81D9F" w:rsidRPr="00B57B36" w:rsidRDefault="00C81D9F" w:rsidP="00B019FD">
            <w:pPr>
              <w:pStyle w:val="CETBodytext"/>
              <w:jc w:val="center"/>
              <w:rPr>
                <w:lang w:val="en-GB"/>
              </w:rPr>
            </w:pPr>
            <w:r>
              <w:rPr>
                <w:lang w:val="en-GB"/>
              </w:rPr>
              <w:t>60.00</w:t>
            </w:r>
          </w:p>
        </w:tc>
        <w:tc>
          <w:tcPr>
            <w:tcW w:w="992" w:type="dxa"/>
            <w:shd w:val="clear" w:color="auto" w:fill="FFFFFF"/>
            <w:vAlign w:val="center"/>
          </w:tcPr>
          <w:p w14:paraId="1FC83849" w14:textId="77777777" w:rsidR="00C81D9F" w:rsidRPr="00B57B36" w:rsidRDefault="00C81D9F" w:rsidP="00B019FD">
            <w:pPr>
              <w:pStyle w:val="CETBodytext"/>
              <w:jc w:val="center"/>
              <w:rPr>
                <w:lang w:val="en-GB"/>
              </w:rPr>
            </w:pPr>
            <w:r>
              <w:rPr>
                <w:lang w:val="en-GB"/>
              </w:rPr>
              <w:t>24.75</w:t>
            </w:r>
          </w:p>
        </w:tc>
        <w:tc>
          <w:tcPr>
            <w:tcW w:w="1276" w:type="dxa"/>
            <w:shd w:val="clear" w:color="auto" w:fill="FFFFFF"/>
          </w:tcPr>
          <w:p w14:paraId="5F241E16" w14:textId="77777777" w:rsidR="00C81D9F" w:rsidRPr="00B57B36" w:rsidRDefault="00C81D9F" w:rsidP="00B019FD">
            <w:pPr>
              <w:pStyle w:val="CETBodytext"/>
              <w:ind w:right="-1"/>
              <w:jc w:val="center"/>
              <w:rPr>
                <w:rFonts w:cs="Arial"/>
                <w:szCs w:val="18"/>
                <w:lang w:val="en-GB"/>
              </w:rPr>
            </w:pPr>
            <w:r>
              <w:rPr>
                <w:rFonts w:cs="Arial"/>
                <w:szCs w:val="18"/>
                <w:lang w:val="en-GB"/>
              </w:rPr>
              <w:t>0.9112</w:t>
            </w:r>
          </w:p>
        </w:tc>
        <w:tc>
          <w:tcPr>
            <w:tcW w:w="850" w:type="dxa"/>
            <w:shd w:val="clear" w:color="auto" w:fill="FFFFFF"/>
          </w:tcPr>
          <w:p w14:paraId="07A31C78" w14:textId="77777777" w:rsidR="00C81D9F" w:rsidRPr="00B57B36" w:rsidRDefault="00C81D9F" w:rsidP="00B019FD">
            <w:pPr>
              <w:pStyle w:val="CETBodytext"/>
              <w:ind w:right="-1"/>
              <w:jc w:val="center"/>
              <w:rPr>
                <w:rFonts w:cs="Arial"/>
                <w:szCs w:val="18"/>
                <w:lang w:val="en-GB"/>
              </w:rPr>
            </w:pPr>
            <w:r>
              <w:rPr>
                <w:rFonts w:cs="Arial"/>
                <w:szCs w:val="18"/>
                <w:lang w:val="en-GB"/>
              </w:rPr>
              <w:t>0.9214</w:t>
            </w:r>
          </w:p>
        </w:tc>
        <w:tc>
          <w:tcPr>
            <w:tcW w:w="1418" w:type="dxa"/>
            <w:shd w:val="clear" w:color="auto" w:fill="FFFFFF"/>
            <w:vAlign w:val="center"/>
          </w:tcPr>
          <w:p w14:paraId="1787DF58" w14:textId="77777777" w:rsidR="00C81D9F" w:rsidRPr="00B57B36" w:rsidRDefault="00C81D9F" w:rsidP="00B019FD">
            <w:pPr>
              <w:pStyle w:val="CETBodytext"/>
              <w:ind w:right="-1"/>
              <w:jc w:val="center"/>
              <w:rPr>
                <w:rFonts w:cs="Arial"/>
                <w:szCs w:val="18"/>
                <w:lang w:val="en-GB"/>
              </w:rPr>
            </w:pPr>
            <w:r>
              <w:rPr>
                <w:rFonts w:cs="Arial"/>
                <w:szCs w:val="18"/>
                <w:lang w:val="en-GB"/>
              </w:rPr>
              <w:t>1.12</w:t>
            </w:r>
          </w:p>
        </w:tc>
      </w:tr>
      <w:tr w:rsidR="00C81D9F" w:rsidRPr="00B57B36" w14:paraId="25E4D398" w14:textId="77777777" w:rsidTr="00B019FD">
        <w:tc>
          <w:tcPr>
            <w:tcW w:w="1701" w:type="dxa"/>
            <w:shd w:val="clear" w:color="auto" w:fill="FFFFFF"/>
          </w:tcPr>
          <w:p w14:paraId="76576BC5" w14:textId="77777777" w:rsidR="00C81D9F" w:rsidRPr="00B57B36" w:rsidRDefault="00C81D9F" w:rsidP="00B019FD">
            <w:pPr>
              <w:pStyle w:val="CETBodytext"/>
              <w:rPr>
                <w:lang w:val="en-GB"/>
              </w:rPr>
            </w:pPr>
            <w:r>
              <w:rPr>
                <w:lang w:val="en-GB"/>
              </w:rPr>
              <w:t>LK-Plock</w:t>
            </w:r>
          </w:p>
        </w:tc>
        <w:tc>
          <w:tcPr>
            <w:tcW w:w="1560" w:type="dxa"/>
            <w:shd w:val="clear" w:color="auto" w:fill="FFFFFF"/>
          </w:tcPr>
          <w:p w14:paraId="12CE6E83" w14:textId="77777777" w:rsidR="00C81D9F" w:rsidRDefault="00C81D9F" w:rsidP="00B019FD">
            <w:pPr>
              <w:pStyle w:val="CETBodytext"/>
              <w:jc w:val="center"/>
              <w:rPr>
                <w:lang w:val="en-GB"/>
              </w:rPr>
            </w:pPr>
            <w:r>
              <w:rPr>
                <w:lang w:val="en-GB"/>
              </w:rPr>
              <w:t>60.00</w:t>
            </w:r>
          </w:p>
        </w:tc>
        <w:tc>
          <w:tcPr>
            <w:tcW w:w="992" w:type="dxa"/>
            <w:shd w:val="clear" w:color="auto" w:fill="FFFFFF"/>
            <w:vAlign w:val="center"/>
          </w:tcPr>
          <w:p w14:paraId="14725A81" w14:textId="77777777" w:rsidR="00C81D9F" w:rsidRDefault="00C81D9F" w:rsidP="00B019FD">
            <w:pPr>
              <w:pStyle w:val="CETBodytext"/>
              <w:jc w:val="center"/>
              <w:rPr>
                <w:lang w:val="en-GB"/>
              </w:rPr>
            </w:pPr>
            <w:r>
              <w:rPr>
                <w:lang w:val="en-GB"/>
              </w:rPr>
              <w:t>31.90</w:t>
            </w:r>
          </w:p>
        </w:tc>
        <w:tc>
          <w:tcPr>
            <w:tcW w:w="1276" w:type="dxa"/>
            <w:shd w:val="clear" w:color="auto" w:fill="FFFFFF"/>
          </w:tcPr>
          <w:p w14:paraId="0206C236" w14:textId="77777777" w:rsidR="00C81D9F" w:rsidRPr="00B57B36" w:rsidRDefault="00C81D9F" w:rsidP="00B019FD">
            <w:pPr>
              <w:pStyle w:val="CETBodytext"/>
              <w:ind w:right="-1"/>
              <w:jc w:val="center"/>
              <w:rPr>
                <w:rFonts w:cs="Arial"/>
                <w:szCs w:val="18"/>
                <w:lang w:val="en-GB"/>
              </w:rPr>
            </w:pPr>
            <w:r>
              <w:rPr>
                <w:rFonts w:cs="Arial"/>
                <w:szCs w:val="18"/>
                <w:lang w:val="en-GB"/>
              </w:rPr>
              <w:t>0.9112</w:t>
            </w:r>
          </w:p>
        </w:tc>
        <w:tc>
          <w:tcPr>
            <w:tcW w:w="850" w:type="dxa"/>
            <w:shd w:val="clear" w:color="auto" w:fill="FFFFFF"/>
          </w:tcPr>
          <w:p w14:paraId="58553FB2" w14:textId="77777777" w:rsidR="00C81D9F" w:rsidRPr="00B57B36" w:rsidRDefault="00C81D9F" w:rsidP="00B019FD">
            <w:pPr>
              <w:pStyle w:val="CETBodytext"/>
              <w:ind w:right="-1"/>
              <w:jc w:val="center"/>
              <w:rPr>
                <w:rFonts w:cs="Arial"/>
                <w:szCs w:val="18"/>
                <w:lang w:val="en-GB"/>
              </w:rPr>
            </w:pPr>
            <w:r>
              <w:rPr>
                <w:rFonts w:cs="Arial"/>
                <w:szCs w:val="18"/>
                <w:lang w:val="en-GB"/>
              </w:rPr>
              <w:t>0.9041</w:t>
            </w:r>
          </w:p>
        </w:tc>
        <w:tc>
          <w:tcPr>
            <w:tcW w:w="1418" w:type="dxa"/>
            <w:shd w:val="clear" w:color="auto" w:fill="FFFFFF"/>
            <w:vAlign w:val="center"/>
          </w:tcPr>
          <w:p w14:paraId="597984B4" w14:textId="77777777" w:rsidR="00C81D9F" w:rsidRPr="00B57B36" w:rsidRDefault="00C81D9F" w:rsidP="00B019FD">
            <w:pPr>
              <w:pStyle w:val="CETBodytext"/>
              <w:ind w:right="-1"/>
              <w:jc w:val="center"/>
              <w:rPr>
                <w:rFonts w:cs="Arial"/>
                <w:szCs w:val="18"/>
                <w:lang w:val="en-GB"/>
              </w:rPr>
            </w:pPr>
            <w:r>
              <w:rPr>
                <w:rFonts w:cs="Arial"/>
                <w:szCs w:val="18"/>
                <w:lang w:val="en-GB"/>
              </w:rPr>
              <w:t>-0.78</w:t>
            </w:r>
          </w:p>
        </w:tc>
      </w:tr>
      <w:tr w:rsidR="00C81D9F" w:rsidRPr="00B57B36" w14:paraId="00CD0E6F" w14:textId="77777777" w:rsidTr="00B019FD">
        <w:tc>
          <w:tcPr>
            <w:tcW w:w="1701" w:type="dxa"/>
            <w:shd w:val="clear" w:color="auto" w:fill="FFFFFF"/>
          </w:tcPr>
          <w:p w14:paraId="56963EC4" w14:textId="77777777" w:rsidR="00C81D9F" w:rsidRDefault="00C81D9F" w:rsidP="00B019FD">
            <w:pPr>
              <w:pStyle w:val="CETBodytext"/>
              <w:rPr>
                <w:lang w:val="en-GB"/>
              </w:rPr>
            </w:pPr>
            <w:r>
              <w:rPr>
                <w:lang w:val="en-GB"/>
              </w:rPr>
              <w:t>PR-BM</w:t>
            </w:r>
          </w:p>
        </w:tc>
        <w:tc>
          <w:tcPr>
            <w:tcW w:w="1560" w:type="dxa"/>
            <w:shd w:val="clear" w:color="auto" w:fill="FFFFFF"/>
          </w:tcPr>
          <w:p w14:paraId="5CF2C928" w14:textId="77777777" w:rsidR="00C81D9F" w:rsidRDefault="00C81D9F" w:rsidP="00B019FD">
            <w:pPr>
              <w:pStyle w:val="CETBodytext"/>
              <w:jc w:val="center"/>
              <w:rPr>
                <w:lang w:val="en-GB"/>
              </w:rPr>
            </w:pPr>
            <w:r>
              <w:rPr>
                <w:lang w:val="en-GB"/>
              </w:rPr>
              <w:t>60.00</w:t>
            </w:r>
          </w:p>
        </w:tc>
        <w:tc>
          <w:tcPr>
            <w:tcW w:w="992" w:type="dxa"/>
            <w:shd w:val="clear" w:color="auto" w:fill="FFFFFF"/>
            <w:vAlign w:val="center"/>
          </w:tcPr>
          <w:p w14:paraId="691BE935" w14:textId="77777777" w:rsidR="00C81D9F" w:rsidRDefault="00C81D9F" w:rsidP="00B019FD">
            <w:pPr>
              <w:pStyle w:val="CETBodytext"/>
              <w:jc w:val="center"/>
              <w:rPr>
                <w:lang w:val="en-GB"/>
              </w:rPr>
            </w:pPr>
            <w:r>
              <w:rPr>
                <w:lang w:val="en-GB"/>
              </w:rPr>
              <w:t>17.92</w:t>
            </w:r>
          </w:p>
        </w:tc>
        <w:tc>
          <w:tcPr>
            <w:tcW w:w="1276" w:type="dxa"/>
            <w:shd w:val="clear" w:color="auto" w:fill="FFFFFF"/>
          </w:tcPr>
          <w:p w14:paraId="6ECE82BF" w14:textId="77777777" w:rsidR="00C81D9F" w:rsidRDefault="00C81D9F" w:rsidP="00B019FD">
            <w:pPr>
              <w:pStyle w:val="CETBodytext"/>
              <w:ind w:right="-1"/>
              <w:jc w:val="center"/>
              <w:rPr>
                <w:rFonts w:cs="Arial"/>
                <w:szCs w:val="18"/>
                <w:lang w:val="en-GB"/>
              </w:rPr>
            </w:pPr>
            <w:r>
              <w:rPr>
                <w:rFonts w:cs="Arial"/>
                <w:szCs w:val="18"/>
                <w:lang w:val="en-GB"/>
              </w:rPr>
              <w:t>0.9112</w:t>
            </w:r>
          </w:p>
        </w:tc>
        <w:tc>
          <w:tcPr>
            <w:tcW w:w="850" w:type="dxa"/>
            <w:shd w:val="clear" w:color="auto" w:fill="FFFFFF"/>
          </w:tcPr>
          <w:p w14:paraId="037ADA31" w14:textId="77777777" w:rsidR="00C81D9F" w:rsidRDefault="00C81D9F" w:rsidP="00B019FD">
            <w:pPr>
              <w:pStyle w:val="CETBodytext"/>
              <w:ind w:right="-1"/>
              <w:jc w:val="center"/>
              <w:rPr>
                <w:rFonts w:cs="Arial"/>
                <w:szCs w:val="18"/>
                <w:lang w:val="en-GB"/>
              </w:rPr>
            </w:pPr>
            <w:r>
              <w:rPr>
                <w:rFonts w:cs="Arial"/>
                <w:szCs w:val="18"/>
                <w:lang w:val="en-GB"/>
              </w:rPr>
              <w:t>0.9414</w:t>
            </w:r>
          </w:p>
        </w:tc>
        <w:tc>
          <w:tcPr>
            <w:tcW w:w="1418" w:type="dxa"/>
            <w:shd w:val="clear" w:color="auto" w:fill="FFFFFF"/>
            <w:vAlign w:val="center"/>
          </w:tcPr>
          <w:p w14:paraId="1B114692" w14:textId="77777777" w:rsidR="00C81D9F" w:rsidRPr="00B57B36" w:rsidRDefault="00C81D9F" w:rsidP="00B019FD">
            <w:pPr>
              <w:pStyle w:val="CETBodytext"/>
              <w:ind w:right="-1"/>
              <w:jc w:val="center"/>
              <w:rPr>
                <w:rFonts w:cs="Arial"/>
                <w:szCs w:val="18"/>
                <w:lang w:val="en-GB"/>
              </w:rPr>
            </w:pPr>
            <w:r>
              <w:rPr>
                <w:rFonts w:cs="Arial"/>
                <w:szCs w:val="18"/>
                <w:lang w:val="en-GB"/>
              </w:rPr>
              <w:t>3.32</w:t>
            </w:r>
          </w:p>
        </w:tc>
      </w:tr>
    </w:tbl>
    <w:p w14:paraId="0430237F" w14:textId="77777777" w:rsidR="009E7081" w:rsidRPr="004221BF" w:rsidRDefault="009E7081" w:rsidP="00600535">
      <w:pPr>
        <w:pStyle w:val="CETBodytext"/>
        <w:rPr>
          <w:lang w:val="pt-BR"/>
        </w:rPr>
      </w:pPr>
    </w:p>
    <w:p w14:paraId="61C9E417" w14:textId="5CDDA144" w:rsidR="00DA07C6" w:rsidRPr="005C1796" w:rsidRDefault="005C1796" w:rsidP="005C1796">
      <w:pPr>
        <w:pStyle w:val="CETheadingx"/>
      </w:pPr>
      <w:proofErr w:type="spellStart"/>
      <w:r>
        <w:t>Biolubricant</w:t>
      </w:r>
      <w:proofErr w:type="spellEnd"/>
    </w:p>
    <w:p w14:paraId="173C54C7" w14:textId="755DCC1A" w:rsidR="00C02610" w:rsidRPr="00413186" w:rsidRDefault="005C1796" w:rsidP="00C02610">
      <w:pPr>
        <w:pStyle w:val="CETBodytext"/>
        <w:rPr>
          <w:color w:val="FF0000"/>
        </w:rPr>
      </w:pPr>
      <w:r>
        <w:t>The authors of this paper</w:t>
      </w:r>
      <w:r w:rsidRPr="005C1796">
        <w:t xml:space="preserve"> studied the </w:t>
      </w:r>
      <w:proofErr w:type="spellStart"/>
      <w:r w:rsidRPr="005C1796">
        <w:t>biolubricant</w:t>
      </w:r>
      <w:proofErr w:type="spellEnd"/>
      <w:r w:rsidRPr="005C1796">
        <w:t xml:space="preserve"> separation using </w:t>
      </w:r>
      <w:r>
        <w:t xml:space="preserve">the </w:t>
      </w:r>
      <w:r w:rsidRPr="005C1796">
        <w:t xml:space="preserve">falling film molecular </w:t>
      </w:r>
      <w:r w:rsidR="00C02610" w:rsidRPr="005C1796">
        <w:t>distillation</w:t>
      </w:r>
      <w:r w:rsidRPr="005C1796">
        <w:t>. Perez (2012)</w:t>
      </w:r>
      <w:r>
        <w:t xml:space="preserve"> run some laboratory trials and Lista et. al (2022) emulated molecular distillation through the flash </w:t>
      </w:r>
      <w:r w:rsidR="00C932B1" w:rsidRPr="00332D5B">
        <w:t xml:space="preserve">vessel </w:t>
      </w:r>
      <w:r>
        <w:t>using an efficiency factor.</w:t>
      </w:r>
      <w:r w:rsidR="00083C53">
        <w:t xml:space="preserve"> </w:t>
      </w:r>
      <w:r w:rsidR="00C02610">
        <w:t>T</w:t>
      </w:r>
      <w:r>
        <w:t xml:space="preserve">he same operating conditions from </w:t>
      </w:r>
      <w:r w:rsidR="00AE6CA7">
        <w:t>Perez (2012) but using the column rate-based</w:t>
      </w:r>
      <w:r w:rsidR="00C02610">
        <w:t xml:space="preserve"> </w:t>
      </w:r>
      <w:r w:rsidR="00A73039">
        <w:t>were</w:t>
      </w:r>
      <w:r w:rsidR="00C02610">
        <w:t xml:space="preserve"> adopted</w:t>
      </w:r>
      <w:r w:rsidR="00AE6CA7">
        <w:t>. The simulation contemplated three components</w:t>
      </w:r>
      <w:r w:rsidR="00C02610">
        <w:t>: Isoamyl ricinoleate (0.8516), Monoricinoleine (0.1411)</w:t>
      </w:r>
      <w:r w:rsidR="00A73039">
        <w:t>,</w:t>
      </w:r>
      <w:r w:rsidR="00C02610">
        <w:t xml:space="preserve"> and Glycerol (0.0073) at </w:t>
      </w:r>
      <w:r w:rsidR="00A73039">
        <w:t>a respective</w:t>
      </w:r>
      <w:r w:rsidR="00C02610">
        <w:t xml:space="preserve"> mass fraction</w:t>
      </w:r>
      <w:r w:rsidR="008642FE">
        <w:t xml:space="preserve"> (Table 5). </w:t>
      </w:r>
      <w:r w:rsidR="00330B4A" w:rsidRPr="00413186">
        <w:t xml:space="preserve">The isoamyl </w:t>
      </w:r>
      <w:proofErr w:type="spellStart"/>
      <w:r w:rsidR="00330B4A" w:rsidRPr="00413186">
        <w:t>ricinoleate</w:t>
      </w:r>
      <w:proofErr w:type="spellEnd"/>
      <w:r w:rsidR="00330B4A" w:rsidRPr="00413186">
        <w:t xml:space="preserve"> and </w:t>
      </w:r>
      <w:proofErr w:type="spellStart"/>
      <w:r w:rsidR="00330B4A" w:rsidRPr="00413186">
        <w:t>monoricinolein</w:t>
      </w:r>
      <w:proofErr w:type="spellEnd"/>
      <w:r w:rsidR="00330B4A" w:rsidRPr="00413186">
        <w:t xml:space="preserve"> molecules </w:t>
      </w:r>
      <w:r w:rsidR="00DB2103" w:rsidRPr="00413186">
        <w:t>are</w:t>
      </w:r>
      <w:r w:rsidR="00330B4A" w:rsidRPr="00413186">
        <w:t xml:space="preserve"> not available in the Aspen Plus</w:t>
      </w:r>
      <w:r w:rsidR="00330B4A" w:rsidRPr="00413186">
        <w:sym w:font="Symbol" w:char="F0E2"/>
      </w:r>
      <w:r w:rsidR="00DB2103" w:rsidRPr="00413186">
        <w:t xml:space="preserve"> data bank. </w:t>
      </w:r>
      <w:r w:rsidR="00413186" w:rsidRPr="00413186">
        <w:t xml:space="preserve">Therefore, it </w:t>
      </w:r>
      <w:r w:rsidR="00413186">
        <w:t>was</w:t>
      </w:r>
      <w:r w:rsidR="00413186" w:rsidRPr="00413186">
        <w:t xml:space="preserve"> necessary to create them in the data bank. These were carried out by inserting to the simulator data bank</w:t>
      </w:r>
      <w:r w:rsidR="00DB2103" w:rsidRPr="00413186">
        <w:t xml:space="preserve"> </w:t>
      </w:r>
      <w:r w:rsidR="00330B4A" w:rsidRPr="00413186">
        <w:t>their molecular structure and</w:t>
      </w:r>
      <w:r w:rsidR="00413186">
        <w:t xml:space="preserve"> </w:t>
      </w:r>
      <w:r w:rsidR="00413186" w:rsidRPr="00413186">
        <w:t xml:space="preserve">normal </w:t>
      </w:r>
      <w:r w:rsidR="00330B4A" w:rsidRPr="00413186">
        <w:t>boiling temperature.</w:t>
      </w:r>
      <w:r w:rsidR="00DB2103" w:rsidRPr="00413186">
        <w:t xml:space="preserve"> </w:t>
      </w:r>
      <w:r w:rsidR="008642FE">
        <w:t xml:space="preserve">The </w:t>
      </w:r>
      <w:r w:rsidR="00C02610">
        <w:t xml:space="preserve">feed temperature </w:t>
      </w:r>
      <w:r w:rsidR="00A73039">
        <w:t xml:space="preserve">was </w:t>
      </w:r>
      <w:r w:rsidR="008642FE">
        <w:t xml:space="preserve">160 </w:t>
      </w:r>
      <w:r w:rsidR="008642FE">
        <w:sym w:font="Symbol" w:char="F0B0"/>
      </w:r>
      <w:r w:rsidR="008642FE">
        <w:t>C</w:t>
      </w:r>
      <w:r w:rsidR="00C02610">
        <w:t xml:space="preserve"> at 1 bar; </w:t>
      </w:r>
      <w:r w:rsidR="008642FE">
        <w:t xml:space="preserve">volume </w:t>
      </w:r>
      <w:r w:rsidR="00C02610">
        <w:t xml:space="preserve">rate </w:t>
      </w:r>
      <w:r w:rsidR="008642FE">
        <w:t>0,01 l/min</w:t>
      </w:r>
      <w:r w:rsidR="00C02610">
        <w:t xml:space="preserve">; column pressure 0.001 mmHg and distillation rate D/F = 0.7371. The condenser temperature was set at 20 </w:t>
      </w:r>
      <w:r w:rsidR="00C02610" w:rsidRPr="00FB5F5A">
        <w:sym w:font="Symbol" w:char="F0B0"/>
      </w:r>
      <w:r w:rsidR="00C02610" w:rsidRPr="00C06E71">
        <w:t>C.</w:t>
      </w:r>
      <w:r w:rsidR="00330B4A">
        <w:t xml:space="preserve"> </w:t>
      </w:r>
    </w:p>
    <w:p w14:paraId="130A8CE0" w14:textId="0E3B0070" w:rsidR="009700E5" w:rsidRPr="00FC321F" w:rsidRDefault="009700E5" w:rsidP="009700E5">
      <w:pPr>
        <w:pStyle w:val="CETTabletitle"/>
      </w:pPr>
      <w:r w:rsidRPr="00B57B36">
        <w:t xml:space="preserve">Table </w:t>
      </w:r>
      <w:r w:rsidR="00AE6CA7">
        <w:t>5</w:t>
      </w:r>
      <w:r w:rsidRPr="00B57B36">
        <w:t xml:space="preserve">: </w:t>
      </w:r>
      <w:r>
        <w:t xml:space="preserve">Mixture </w:t>
      </w:r>
      <w:proofErr w:type="spellStart"/>
      <w:r w:rsidR="00230AC0">
        <w:t>Biolubricant</w:t>
      </w:r>
      <w:proofErr w:type="spellEnd"/>
      <w:r>
        <w:t xml:space="preserve"> proprieties.</w:t>
      </w:r>
    </w:p>
    <w:tbl>
      <w:tblPr>
        <w:tblW w:w="836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379"/>
        <w:gridCol w:w="4858"/>
        <w:gridCol w:w="851"/>
        <w:gridCol w:w="1276"/>
      </w:tblGrid>
      <w:tr w:rsidR="009700E5" w:rsidRPr="00B57B36" w14:paraId="61C61A0D" w14:textId="77777777" w:rsidTr="005C1630">
        <w:tc>
          <w:tcPr>
            <w:tcW w:w="1379" w:type="dxa"/>
            <w:tcBorders>
              <w:top w:val="single" w:sz="12" w:space="0" w:color="008000"/>
              <w:bottom w:val="single" w:sz="6" w:space="0" w:color="008000"/>
            </w:tcBorders>
            <w:shd w:val="clear" w:color="auto" w:fill="FFFFFF"/>
            <w:vAlign w:val="center"/>
          </w:tcPr>
          <w:p w14:paraId="16CB17DD" w14:textId="77777777" w:rsidR="009700E5" w:rsidRPr="00B57B36" w:rsidRDefault="009700E5" w:rsidP="001608A2">
            <w:pPr>
              <w:pStyle w:val="CETBodytext"/>
              <w:jc w:val="center"/>
              <w:rPr>
                <w:lang w:val="en-GB"/>
              </w:rPr>
            </w:pPr>
            <w:r>
              <w:rPr>
                <w:lang w:val="en-GB"/>
              </w:rPr>
              <w:t>Component</w:t>
            </w:r>
          </w:p>
        </w:tc>
        <w:tc>
          <w:tcPr>
            <w:tcW w:w="4858" w:type="dxa"/>
            <w:tcBorders>
              <w:top w:val="single" w:sz="12" w:space="0" w:color="008000"/>
              <w:bottom w:val="single" w:sz="6" w:space="0" w:color="008000"/>
            </w:tcBorders>
            <w:shd w:val="clear" w:color="auto" w:fill="FFFFFF"/>
            <w:vAlign w:val="center"/>
          </w:tcPr>
          <w:p w14:paraId="085F2C64" w14:textId="77777777" w:rsidR="009700E5" w:rsidRPr="00B0145C" w:rsidRDefault="009700E5" w:rsidP="001608A2">
            <w:pPr>
              <w:pStyle w:val="CETBodytext"/>
              <w:jc w:val="center"/>
              <w:rPr>
                <w:lang w:val="en-GB"/>
              </w:rPr>
            </w:pPr>
            <w:r>
              <w:rPr>
                <w:lang w:val="en-GB"/>
              </w:rPr>
              <w:t>Molecular Structure</w:t>
            </w:r>
          </w:p>
        </w:tc>
        <w:tc>
          <w:tcPr>
            <w:tcW w:w="851" w:type="dxa"/>
            <w:tcBorders>
              <w:top w:val="single" w:sz="12" w:space="0" w:color="008000"/>
              <w:bottom w:val="single" w:sz="6" w:space="0" w:color="008000"/>
            </w:tcBorders>
            <w:shd w:val="clear" w:color="auto" w:fill="FFFFFF"/>
          </w:tcPr>
          <w:p w14:paraId="4636A729" w14:textId="77777777" w:rsidR="009700E5" w:rsidRPr="008215B4" w:rsidRDefault="009700E5" w:rsidP="001608A2">
            <w:pPr>
              <w:pStyle w:val="CETBodytext"/>
              <w:jc w:val="center"/>
              <w:rPr>
                <w:color w:val="000000" w:themeColor="text1"/>
                <w:lang w:val="en-GB"/>
              </w:rPr>
            </w:pPr>
            <w:r w:rsidRPr="008215B4">
              <w:rPr>
                <w:color w:val="000000" w:themeColor="text1"/>
                <w:lang w:val="en-GB"/>
              </w:rPr>
              <w:t xml:space="preserve">Molar Mass </w:t>
            </w:r>
          </w:p>
          <w:p w14:paraId="39B79787" w14:textId="2B67FF96" w:rsidR="009700E5" w:rsidRPr="008215B4" w:rsidRDefault="009700E5" w:rsidP="001608A2">
            <w:pPr>
              <w:pStyle w:val="CETBodytext"/>
              <w:jc w:val="center"/>
              <w:rPr>
                <w:color w:val="000000" w:themeColor="text1"/>
                <w:lang w:val="en-GB"/>
              </w:rPr>
            </w:pPr>
            <w:r w:rsidRPr="008215B4">
              <w:rPr>
                <w:color w:val="000000" w:themeColor="text1"/>
                <w:lang w:val="en-GB"/>
              </w:rPr>
              <w:t>(g/gmol)</w:t>
            </w:r>
          </w:p>
        </w:tc>
        <w:tc>
          <w:tcPr>
            <w:tcW w:w="1276" w:type="dxa"/>
            <w:tcBorders>
              <w:top w:val="single" w:sz="12" w:space="0" w:color="008000"/>
              <w:bottom w:val="single" w:sz="6" w:space="0" w:color="008000"/>
            </w:tcBorders>
            <w:shd w:val="clear" w:color="auto" w:fill="FFFFFF"/>
          </w:tcPr>
          <w:p w14:paraId="533CE265" w14:textId="4E79A1FA" w:rsidR="009700E5" w:rsidRPr="008215B4" w:rsidRDefault="00413186" w:rsidP="001608A2">
            <w:pPr>
              <w:pStyle w:val="CETBodytext"/>
              <w:jc w:val="center"/>
              <w:rPr>
                <w:color w:val="000000" w:themeColor="text1"/>
                <w:lang w:val="en-GB"/>
              </w:rPr>
            </w:pPr>
            <w:r w:rsidRPr="008215B4">
              <w:rPr>
                <w:color w:val="000000" w:themeColor="text1"/>
                <w:lang w:val="en-GB"/>
              </w:rPr>
              <w:t xml:space="preserve">Normal </w:t>
            </w:r>
            <w:r w:rsidR="009700E5" w:rsidRPr="008215B4">
              <w:rPr>
                <w:color w:val="000000" w:themeColor="text1"/>
                <w:lang w:val="en-GB"/>
              </w:rPr>
              <w:t>Boiling Temperature (</w:t>
            </w:r>
            <w:r w:rsidR="009700E5" w:rsidRPr="008215B4">
              <w:rPr>
                <w:color w:val="000000" w:themeColor="text1"/>
                <w:lang w:val="en-GB"/>
              </w:rPr>
              <w:sym w:font="Symbol" w:char="F0B0"/>
            </w:r>
            <w:r w:rsidR="009700E5" w:rsidRPr="008215B4">
              <w:rPr>
                <w:color w:val="000000" w:themeColor="text1"/>
                <w:lang w:val="en-GB"/>
              </w:rPr>
              <w:t>C)</w:t>
            </w:r>
          </w:p>
        </w:tc>
      </w:tr>
      <w:tr w:rsidR="009700E5" w:rsidRPr="00B57B36" w14:paraId="7D80F983" w14:textId="77777777" w:rsidTr="005C1630">
        <w:tc>
          <w:tcPr>
            <w:tcW w:w="1379" w:type="dxa"/>
            <w:shd w:val="clear" w:color="auto" w:fill="FFFFFF"/>
            <w:vAlign w:val="center"/>
          </w:tcPr>
          <w:p w14:paraId="07E24B01" w14:textId="3F58CC79" w:rsidR="009700E5" w:rsidRPr="00B57B36" w:rsidRDefault="00230AC0" w:rsidP="001608A2">
            <w:pPr>
              <w:pStyle w:val="CETBodytext"/>
              <w:jc w:val="center"/>
              <w:rPr>
                <w:lang w:val="en-GB"/>
              </w:rPr>
            </w:pPr>
            <w:r>
              <w:rPr>
                <w:lang w:val="en-GB"/>
              </w:rPr>
              <w:t>Isoamyl ricinoleate</w:t>
            </w:r>
          </w:p>
        </w:tc>
        <w:tc>
          <w:tcPr>
            <w:tcW w:w="4858" w:type="dxa"/>
            <w:shd w:val="clear" w:color="auto" w:fill="FFFFFF"/>
          </w:tcPr>
          <w:p w14:paraId="0F641685" w14:textId="53407E02" w:rsidR="009700E5" w:rsidRPr="00B57B36" w:rsidRDefault="00230AC0" w:rsidP="001608A2">
            <w:pPr>
              <w:pStyle w:val="CETBodytext"/>
              <w:jc w:val="center"/>
              <w:rPr>
                <w:lang w:val="en-GB"/>
              </w:rPr>
            </w:pPr>
            <w:r>
              <w:rPr>
                <w:noProof/>
                <w:color w:val="FF0000"/>
                <w:lang w:val="pt-BR" w:eastAsia="pt-BR"/>
              </w:rPr>
              <w:drawing>
                <wp:inline distT="0" distB="0" distL="0" distR="0" wp14:anchorId="6C2EF315" wp14:editId="452ABE48">
                  <wp:extent cx="2593427" cy="1141362"/>
                  <wp:effectExtent l="0" t="0" r="0" b="190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soamyl_ricinoleate_300.png"/>
                          <pic:cNvPicPr/>
                        </pic:nvPicPr>
                        <pic:blipFill rotWithShape="1">
                          <a:blip r:embed="rId15">
                            <a:extLst>
                              <a:ext uri="{28A0092B-C50C-407E-A947-70E740481C1C}">
                                <a14:useLocalDpi xmlns:a14="http://schemas.microsoft.com/office/drawing/2010/main" val="0"/>
                              </a:ext>
                            </a:extLst>
                          </a:blip>
                          <a:srcRect t="28006" b="27984"/>
                          <a:stretch/>
                        </pic:blipFill>
                        <pic:spPr bwMode="auto">
                          <a:xfrm>
                            <a:off x="0" y="0"/>
                            <a:ext cx="2627334" cy="1156284"/>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shd w:val="clear" w:color="auto" w:fill="FFFFFF"/>
            <w:vAlign w:val="center"/>
          </w:tcPr>
          <w:p w14:paraId="0DC0A5CA" w14:textId="736F1FB4" w:rsidR="009700E5" w:rsidRPr="00230AC0" w:rsidRDefault="00230AC0" w:rsidP="00230AC0">
            <w:pPr>
              <w:pStyle w:val="CETBodytext"/>
              <w:jc w:val="center"/>
              <w:rPr>
                <w:lang w:val="en-GB"/>
              </w:rPr>
            </w:pPr>
            <w:r w:rsidRPr="00230AC0">
              <w:rPr>
                <w:lang w:val="en-GB"/>
              </w:rPr>
              <w:t>368.59</w:t>
            </w:r>
          </w:p>
        </w:tc>
        <w:tc>
          <w:tcPr>
            <w:tcW w:w="1276" w:type="dxa"/>
            <w:shd w:val="clear" w:color="auto" w:fill="FFFFFF"/>
            <w:vAlign w:val="center"/>
          </w:tcPr>
          <w:p w14:paraId="32A4F613" w14:textId="73DA332A" w:rsidR="009700E5" w:rsidRPr="00230AC0" w:rsidRDefault="00230AC0" w:rsidP="00230AC0">
            <w:pPr>
              <w:pStyle w:val="CETBodytext"/>
              <w:jc w:val="center"/>
              <w:rPr>
                <w:lang w:val="en-GB"/>
              </w:rPr>
            </w:pPr>
            <w:r>
              <w:rPr>
                <w:lang w:val="en-GB"/>
              </w:rPr>
              <w:t>460.00</w:t>
            </w:r>
          </w:p>
        </w:tc>
      </w:tr>
      <w:tr w:rsidR="009700E5" w:rsidRPr="00B57B36" w14:paraId="4972F7E8" w14:textId="77777777" w:rsidTr="005C1630">
        <w:tc>
          <w:tcPr>
            <w:tcW w:w="1379" w:type="dxa"/>
            <w:shd w:val="clear" w:color="auto" w:fill="FFFFFF"/>
            <w:vAlign w:val="center"/>
          </w:tcPr>
          <w:p w14:paraId="57F102C9" w14:textId="501575A2" w:rsidR="009700E5" w:rsidRPr="00B57B36" w:rsidRDefault="00230AC0" w:rsidP="001608A2">
            <w:pPr>
              <w:pStyle w:val="CETBodytext"/>
              <w:jc w:val="center"/>
              <w:rPr>
                <w:lang w:val="en-GB"/>
              </w:rPr>
            </w:pPr>
            <w:r>
              <w:rPr>
                <w:lang w:val="en-GB"/>
              </w:rPr>
              <w:t>Monoricinoleine</w:t>
            </w:r>
          </w:p>
        </w:tc>
        <w:tc>
          <w:tcPr>
            <w:tcW w:w="4858" w:type="dxa"/>
            <w:shd w:val="clear" w:color="auto" w:fill="FFFFFF"/>
          </w:tcPr>
          <w:p w14:paraId="5404BDF2" w14:textId="717066F5" w:rsidR="009700E5" w:rsidRDefault="00230AC0" w:rsidP="001608A2">
            <w:pPr>
              <w:pStyle w:val="CETBodytext"/>
              <w:jc w:val="center"/>
              <w:rPr>
                <w:lang w:val="en-GB"/>
              </w:rPr>
            </w:pPr>
            <w:r>
              <w:rPr>
                <w:noProof/>
                <w:color w:val="FF0000"/>
                <w:lang w:val="pt-BR" w:eastAsia="pt-BR"/>
              </w:rPr>
              <w:drawing>
                <wp:inline distT="0" distB="0" distL="0" distR="0" wp14:anchorId="002AC67D" wp14:editId="116D9D4E">
                  <wp:extent cx="2648607" cy="509441"/>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3-Dihydroxypropyl_12-hydroxy-9-octadecenoate_400.png"/>
                          <pic:cNvPicPr/>
                        </pic:nvPicPr>
                        <pic:blipFill rotWithShape="1">
                          <a:blip r:embed="rId16">
                            <a:extLst>
                              <a:ext uri="{28A0092B-C50C-407E-A947-70E740481C1C}">
                                <a14:useLocalDpi xmlns:a14="http://schemas.microsoft.com/office/drawing/2010/main" val="0"/>
                              </a:ext>
                            </a:extLst>
                          </a:blip>
                          <a:srcRect l="4668" t="41174" b="40490"/>
                          <a:stretch/>
                        </pic:blipFill>
                        <pic:spPr bwMode="auto">
                          <a:xfrm>
                            <a:off x="0" y="0"/>
                            <a:ext cx="2666248" cy="512834"/>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shd w:val="clear" w:color="auto" w:fill="FFFFFF"/>
            <w:vAlign w:val="center"/>
          </w:tcPr>
          <w:p w14:paraId="54F7E074" w14:textId="1B8A19BF" w:rsidR="009700E5" w:rsidRPr="00230AC0" w:rsidRDefault="00230AC0" w:rsidP="00230AC0">
            <w:pPr>
              <w:pStyle w:val="CETBodytext"/>
              <w:jc w:val="center"/>
              <w:rPr>
                <w:lang w:val="en-GB"/>
              </w:rPr>
            </w:pPr>
            <w:r w:rsidRPr="00230AC0">
              <w:rPr>
                <w:lang w:val="en-GB"/>
              </w:rPr>
              <w:t>372.54</w:t>
            </w:r>
          </w:p>
        </w:tc>
        <w:tc>
          <w:tcPr>
            <w:tcW w:w="1276" w:type="dxa"/>
            <w:shd w:val="clear" w:color="auto" w:fill="FFFFFF"/>
            <w:vAlign w:val="center"/>
          </w:tcPr>
          <w:p w14:paraId="446A9F6D" w14:textId="58868083" w:rsidR="009700E5" w:rsidRPr="00230AC0" w:rsidRDefault="00230AC0" w:rsidP="00230AC0">
            <w:pPr>
              <w:pStyle w:val="CETBodytext"/>
              <w:jc w:val="center"/>
              <w:rPr>
                <w:lang w:val="en-GB"/>
              </w:rPr>
            </w:pPr>
            <w:r>
              <w:rPr>
                <w:lang w:val="en-GB"/>
              </w:rPr>
              <w:t>520.50</w:t>
            </w:r>
          </w:p>
        </w:tc>
      </w:tr>
      <w:tr w:rsidR="00D467C3" w:rsidRPr="00B57B36" w14:paraId="599479CE" w14:textId="77777777" w:rsidTr="005C1630">
        <w:tc>
          <w:tcPr>
            <w:tcW w:w="1379" w:type="dxa"/>
            <w:shd w:val="clear" w:color="auto" w:fill="FFFFFF"/>
            <w:vAlign w:val="center"/>
          </w:tcPr>
          <w:p w14:paraId="0F46D6FD" w14:textId="5486A37C" w:rsidR="00D467C3" w:rsidRDefault="00D467C3" w:rsidP="00D467C3">
            <w:pPr>
              <w:pStyle w:val="CETBodytext"/>
              <w:jc w:val="center"/>
              <w:rPr>
                <w:lang w:val="en-GB"/>
              </w:rPr>
            </w:pPr>
            <w:r>
              <w:rPr>
                <w:lang w:val="en-GB"/>
              </w:rPr>
              <w:t>Glycerin</w:t>
            </w:r>
          </w:p>
        </w:tc>
        <w:tc>
          <w:tcPr>
            <w:tcW w:w="4858" w:type="dxa"/>
            <w:shd w:val="clear" w:color="auto" w:fill="FFFFFF"/>
          </w:tcPr>
          <w:p w14:paraId="2BB2662D" w14:textId="2271E634" w:rsidR="00D467C3" w:rsidRDefault="00D467C3" w:rsidP="00D467C3">
            <w:pPr>
              <w:pStyle w:val="CETBodytext"/>
              <w:jc w:val="center"/>
              <w:rPr>
                <w:noProof/>
                <w:color w:val="FF0000"/>
                <w:lang w:eastAsia="pt-BR"/>
              </w:rPr>
            </w:pPr>
            <w:r>
              <w:rPr>
                <w:noProof/>
                <w:lang w:val="pt-BR" w:eastAsia="pt-BR"/>
              </w:rPr>
              <w:drawing>
                <wp:inline distT="0" distB="0" distL="0" distR="0" wp14:anchorId="0699271F" wp14:editId="3C7E8CA8">
                  <wp:extent cx="1714500" cy="685800"/>
                  <wp:effectExtent l="0" t="0" r="0" b="0"/>
                  <wp:docPr id="1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14500" cy="685800"/>
                          </a:xfrm>
                          <a:prstGeom prst="rect">
                            <a:avLst/>
                          </a:prstGeom>
                        </pic:spPr>
                      </pic:pic>
                    </a:graphicData>
                  </a:graphic>
                </wp:inline>
              </w:drawing>
            </w:r>
          </w:p>
        </w:tc>
        <w:tc>
          <w:tcPr>
            <w:tcW w:w="851" w:type="dxa"/>
            <w:shd w:val="clear" w:color="auto" w:fill="FFFFFF"/>
            <w:vAlign w:val="center"/>
          </w:tcPr>
          <w:p w14:paraId="7606A403" w14:textId="6679689C" w:rsidR="00D467C3" w:rsidRPr="00230AC0" w:rsidRDefault="00D467C3" w:rsidP="00D467C3">
            <w:pPr>
              <w:pStyle w:val="CETBodytext"/>
              <w:jc w:val="center"/>
              <w:rPr>
                <w:lang w:val="en-GB"/>
              </w:rPr>
            </w:pPr>
            <w:r w:rsidRPr="009700E5">
              <w:rPr>
                <w:lang w:val="en-GB"/>
              </w:rPr>
              <w:t>92.09</w:t>
            </w:r>
          </w:p>
        </w:tc>
        <w:tc>
          <w:tcPr>
            <w:tcW w:w="1276" w:type="dxa"/>
            <w:shd w:val="clear" w:color="auto" w:fill="FFFFFF"/>
            <w:vAlign w:val="center"/>
          </w:tcPr>
          <w:p w14:paraId="77CEF4DB" w14:textId="5AAF2307" w:rsidR="00D467C3" w:rsidRDefault="00D467C3" w:rsidP="00D467C3">
            <w:pPr>
              <w:pStyle w:val="CETBodytext"/>
              <w:jc w:val="center"/>
              <w:rPr>
                <w:lang w:val="en-GB"/>
              </w:rPr>
            </w:pPr>
            <w:r>
              <w:rPr>
                <w:rFonts w:cs="Arial"/>
                <w:szCs w:val="18"/>
                <w:lang w:val="en-GB"/>
              </w:rPr>
              <w:t>290.00</w:t>
            </w:r>
          </w:p>
        </w:tc>
      </w:tr>
    </w:tbl>
    <w:p w14:paraId="5A9D5AEB" w14:textId="77777777" w:rsidR="009700E5" w:rsidRPr="00B57B36" w:rsidRDefault="009700E5" w:rsidP="009700E5">
      <w:pPr>
        <w:pStyle w:val="CETBodytext"/>
        <w:rPr>
          <w:lang w:val="en-GB"/>
        </w:rPr>
      </w:pPr>
    </w:p>
    <w:p w14:paraId="392F0A21" w14:textId="77933A09" w:rsidR="00083C53" w:rsidRDefault="00444A36" w:rsidP="00083C53">
      <w:pPr>
        <w:pStyle w:val="CETnumberingbullets"/>
        <w:numPr>
          <w:ilvl w:val="0"/>
          <w:numId w:val="0"/>
        </w:numPr>
        <w:jc w:val="both"/>
        <w:rPr>
          <w:color w:val="000000" w:themeColor="text1"/>
        </w:rPr>
      </w:pPr>
      <w:r w:rsidRPr="00694788">
        <w:rPr>
          <w:color w:val="000000" w:themeColor="text1"/>
        </w:rPr>
        <w:t xml:space="preserve">The </w:t>
      </w:r>
      <w:proofErr w:type="spellStart"/>
      <w:r w:rsidRPr="00694788">
        <w:rPr>
          <w:color w:val="000000" w:themeColor="text1"/>
        </w:rPr>
        <w:t>biolubricant</w:t>
      </w:r>
      <w:proofErr w:type="spellEnd"/>
      <w:r w:rsidRPr="00694788">
        <w:rPr>
          <w:color w:val="000000" w:themeColor="text1"/>
        </w:rPr>
        <w:t xml:space="preserve"> separation using this tool had </w:t>
      </w:r>
      <w:r w:rsidR="005C1630" w:rsidRPr="00413186">
        <w:t>low</w:t>
      </w:r>
      <w:r w:rsidRPr="00413186">
        <w:t xml:space="preserve"> deviation</w:t>
      </w:r>
      <w:r w:rsidR="005C1630" w:rsidRPr="00413186">
        <w:t xml:space="preserve"> values</w:t>
      </w:r>
      <w:r w:rsidRPr="00413186">
        <w:t xml:space="preserve"> </w:t>
      </w:r>
      <w:r w:rsidRPr="00694788">
        <w:rPr>
          <w:color w:val="000000" w:themeColor="text1"/>
        </w:rPr>
        <w:t xml:space="preserve">compared to </w:t>
      </w:r>
      <w:r w:rsidR="00A73039" w:rsidRPr="00694788">
        <w:rPr>
          <w:color w:val="000000" w:themeColor="text1"/>
        </w:rPr>
        <w:t xml:space="preserve">the </w:t>
      </w:r>
      <w:r w:rsidRPr="00694788">
        <w:rPr>
          <w:color w:val="000000" w:themeColor="text1"/>
        </w:rPr>
        <w:t xml:space="preserve">experimental mass fraction obtained by Perez (2012). The rate-based </w:t>
      </w:r>
      <w:r w:rsidR="00B37A54" w:rsidRPr="00694788">
        <w:rPr>
          <w:color w:val="000000" w:themeColor="text1"/>
        </w:rPr>
        <w:t xml:space="preserve">column </w:t>
      </w:r>
      <w:r w:rsidRPr="00694788">
        <w:rPr>
          <w:color w:val="000000" w:themeColor="text1"/>
        </w:rPr>
        <w:t>temperature was inferior to the molecular distillation like other mixtures studied in this paper.</w:t>
      </w:r>
      <w:r w:rsidR="00DA54B5" w:rsidRPr="00694788">
        <w:rPr>
          <w:color w:val="000000" w:themeColor="text1"/>
        </w:rPr>
        <w:t xml:space="preserve"> </w:t>
      </w:r>
      <w:r w:rsidR="00CF6D95" w:rsidRPr="00694788">
        <w:rPr>
          <w:color w:val="000000" w:themeColor="text1"/>
        </w:rPr>
        <w:t xml:space="preserve">BK-10 was the most suitable thermodynamic </w:t>
      </w:r>
      <w:proofErr w:type="gramStart"/>
      <w:r w:rsidR="00CF6D95" w:rsidRPr="00694788">
        <w:rPr>
          <w:color w:val="000000" w:themeColor="text1"/>
        </w:rPr>
        <w:t>model</w:t>
      </w:r>
      <w:proofErr w:type="gramEnd"/>
      <w:r w:rsidR="00CF6D95" w:rsidRPr="00694788">
        <w:rPr>
          <w:color w:val="000000" w:themeColor="text1"/>
        </w:rPr>
        <w:t xml:space="preserve"> and its temperature was closer to the real one (Table 6).</w:t>
      </w:r>
      <w:r w:rsidR="00B93341" w:rsidRPr="00694788">
        <w:rPr>
          <w:color w:val="000000" w:themeColor="text1"/>
        </w:rPr>
        <w:t xml:space="preserve"> </w:t>
      </w:r>
    </w:p>
    <w:p w14:paraId="41C865E1" w14:textId="77777777" w:rsidR="00121B74" w:rsidRPr="00083C53" w:rsidRDefault="00121B74" w:rsidP="00121B74">
      <w:pPr>
        <w:pStyle w:val="CETnumberingbullets"/>
        <w:numPr>
          <w:ilvl w:val="0"/>
          <w:numId w:val="0"/>
        </w:numPr>
        <w:jc w:val="both"/>
        <w:rPr>
          <w:color w:val="000000" w:themeColor="text1"/>
        </w:rPr>
      </w:pPr>
      <w:r w:rsidRPr="00694788">
        <w:rPr>
          <w:color w:val="000000" w:themeColor="text1"/>
        </w:rPr>
        <w:t xml:space="preserve">The practicality of using the rate-based column to represent the falling film molecular distillation was suitable for all three mixtures analysed in this paper: DBP-DBS, Propylene </w:t>
      </w:r>
      <w:proofErr w:type="gramStart"/>
      <w:r w:rsidRPr="00694788">
        <w:rPr>
          <w:color w:val="000000" w:themeColor="text1"/>
        </w:rPr>
        <w:t>glycol</w:t>
      </w:r>
      <w:proofErr w:type="gramEnd"/>
      <w:r w:rsidRPr="00694788">
        <w:rPr>
          <w:color w:val="000000" w:themeColor="text1"/>
        </w:rPr>
        <w:t xml:space="preserve">-Glycerine, and </w:t>
      </w:r>
      <w:proofErr w:type="spellStart"/>
      <w:r w:rsidRPr="00694788">
        <w:rPr>
          <w:color w:val="000000" w:themeColor="text1"/>
        </w:rPr>
        <w:t>Biolubricant</w:t>
      </w:r>
      <w:proofErr w:type="spellEnd"/>
      <w:r w:rsidRPr="00694788">
        <w:rPr>
          <w:color w:val="000000" w:themeColor="text1"/>
        </w:rPr>
        <w:t xml:space="preserve">. The straight simulation with no effective factor is more advantageous since there is no need for a previous molecular distillation temperature to simulate. </w:t>
      </w:r>
    </w:p>
    <w:p w14:paraId="3065A190" w14:textId="77777777" w:rsidR="00121B74" w:rsidRPr="00083C53" w:rsidRDefault="00121B74" w:rsidP="00083C53">
      <w:pPr>
        <w:pStyle w:val="CETnumberingbullets"/>
        <w:numPr>
          <w:ilvl w:val="0"/>
          <w:numId w:val="0"/>
        </w:numPr>
        <w:jc w:val="both"/>
        <w:rPr>
          <w:color w:val="000000" w:themeColor="text1"/>
        </w:rPr>
      </w:pPr>
    </w:p>
    <w:p w14:paraId="6E736BD7" w14:textId="7647BD1D" w:rsidR="00D467C3" w:rsidRPr="00B57B36" w:rsidRDefault="00D467C3" w:rsidP="00D467C3">
      <w:pPr>
        <w:pStyle w:val="CETTabletitle"/>
      </w:pPr>
      <w:r w:rsidRPr="00B57B36">
        <w:lastRenderedPageBreak/>
        <w:t xml:space="preserve">Table </w:t>
      </w:r>
      <w:r w:rsidR="00AE6CA7">
        <w:t>6</w:t>
      </w:r>
      <w:r w:rsidRPr="00B57B36">
        <w:t xml:space="preserve">: </w:t>
      </w:r>
      <w:r>
        <w:t xml:space="preserve">Isoamyl </w:t>
      </w:r>
      <w:proofErr w:type="spellStart"/>
      <w:r w:rsidRPr="008B3FB5">
        <w:rPr>
          <w:color w:val="000000" w:themeColor="text1"/>
        </w:rPr>
        <w:t>ricinoleate</w:t>
      </w:r>
      <w:proofErr w:type="spellEnd"/>
      <w:r w:rsidRPr="008B3FB5">
        <w:rPr>
          <w:color w:val="000000" w:themeColor="text1"/>
        </w:rPr>
        <w:t xml:space="preserve"> </w:t>
      </w:r>
      <w:r w:rsidR="00EF0358" w:rsidRPr="008B3FB5">
        <w:rPr>
          <w:color w:val="000000" w:themeColor="text1"/>
        </w:rPr>
        <w:t>m</w:t>
      </w:r>
      <w:r w:rsidR="00497BE8" w:rsidRPr="008B3FB5">
        <w:rPr>
          <w:color w:val="000000" w:themeColor="text1"/>
        </w:rPr>
        <w:t>ass</w:t>
      </w:r>
      <w:r w:rsidRPr="008B3FB5">
        <w:rPr>
          <w:color w:val="000000" w:themeColor="text1"/>
        </w:rPr>
        <w:t xml:space="preserve"> fraction in </w:t>
      </w:r>
      <w:r>
        <w:t>the distillate stream obtained by the Radfrac column (Rate-based).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993"/>
        <w:gridCol w:w="1134"/>
        <w:gridCol w:w="742"/>
        <w:gridCol w:w="1134"/>
        <w:gridCol w:w="1242"/>
      </w:tblGrid>
      <w:tr w:rsidR="00D467C3" w:rsidRPr="00B57B36" w14:paraId="3A4F05A1" w14:textId="77777777" w:rsidTr="005C1630">
        <w:tc>
          <w:tcPr>
            <w:tcW w:w="1701" w:type="dxa"/>
            <w:tcBorders>
              <w:top w:val="single" w:sz="12" w:space="0" w:color="008000"/>
              <w:bottom w:val="single" w:sz="6" w:space="0" w:color="008000"/>
            </w:tcBorders>
            <w:shd w:val="clear" w:color="auto" w:fill="FFFFFF"/>
          </w:tcPr>
          <w:p w14:paraId="5CFCFA16" w14:textId="77777777" w:rsidR="00D467C3" w:rsidRPr="00B57B36" w:rsidRDefault="00D467C3" w:rsidP="001608A2">
            <w:pPr>
              <w:pStyle w:val="CETBodytext"/>
              <w:rPr>
                <w:lang w:val="en-GB"/>
              </w:rPr>
            </w:pPr>
            <w:r>
              <w:rPr>
                <w:lang w:val="en-GB"/>
              </w:rPr>
              <w:t>Thermodynamic Model</w:t>
            </w:r>
          </w:p>
        </w:tc>
        <w:tc>
          <w:tcPr>
            <w:tcW w:w="993" w:type="dxa"/>
            <w:tcBorders>
              <w:top w:val="single" w:sz="12" w:space="0" w:color="008000"/>
              <w:bottom w:val="single" w:sz="6" w:space="0" w:color="008000"/>
            </w:tcBorders>
            <w:shd w:val="clear" w:color="auto" w:fill="FFFFFF"/>
            <w:vAlign w:val="center"/>
          </w:tcPr>
          <w:p w14:paraId="08AA636F" w14:textId="4D6630E0" w:rsidR="00444A36" w:rsidRPr="0028260D" w:rsidRDefault="00D467C3" w:rsidP="0028260D">
            <w:pPr>
              <w:pStyle w:val="CETBodytext"/>
              <w:jc w:val="center"/>
              <w:rPr>
                <w:lang w:val="en-GB"/>
              </w:rPr>
            </w:pPr>
            <w:r>
              <w:rPr>
                <w:lang w:val="en-GB"/>
              </w:rPr>
              <w:t>T</w:t>
            </w:r>
            <w:r w:rsidRPr="00B0145C">
              <w:rPr>
                <w:vertAlign w:val="subscript"/>
                <w:lang w:val="en-GB"/>
              </w:rPr>
              <w:t>M</w:t>
            </w:r>
            <w:r w:rsidR="0028260D">
              <w:rPr>
                <w:vertAlign w:val="subscript"/>
                <w:lang w:val="en-GB"/>
              </w:rPr>
              <w:t xml:space="preserve">D </w:t>
            </w:r>
            <w:r>
              <w:rPr>
                <w:lang w:val="en-GB"/>
              </w:rPr>
              <w:t>(</w:t>
            </w:r>
            <w:r>
              <w:rPr>
                <w:lang w:val="en-GB"/>
              </w:rPr>
              <w:sym w:font="Symbol" w:char="F0B0"/>
            </w:r>
            <w:r>
              <w:rPr>
                <w:lang w:val="en-GB"/>
              </w:rPr>
              <w:t>C)</w:t>
            </w:r>
            <w:r w:rsidR="00444A36">
              <w:rPr>
                <w:rFonts w:cs="Arial"/>
                <w:szCs w:val="18"/>
                <w:vertAlign w:val="subscript"/>
                <w:lang w:val="en-GB"/>
              </w:rPr>
              <w:t xml:space="preserve"> </w:t>
            </w:r>
          </w:p>
          <w:p w14:paraId="7012F5E1" w14:textId="1D0FF804" w:rsidR="00D467C3" w:rsidRPr="00B0145C" w:rsidRDefault="00444A36" w:rsidP="001608A2">
            <w:pPr>
              <w:pStyle w:val="CETBodytext"/>
              <w:jc w:val="center"/>
              <w:rPr>
                <w:lang w:val="en-GB"/>
              </w:rPr>
            </w:pPr>
            <w:r>
              <w:rPr>
                <w:rFonts w:cs="Arial"/>
                <w:szCs w:val="18"/>
                <w:vertAlign w:val="subscript"/>
                <w:lang w:val="en-GB"/>
              </w:rPr>
              <w:t>(Perez, 2012)</w:t>
            </w:r>
          </w:p>
        </w:tc>
        <w:tc>
          <w:tcPr>
            <w:tcW w:w="1134" w:type="dxa"/>
            <w:tcBorders>
              <w:top w:val="single" w:sz="12" w:space="0" w:color="008000"/>
              <w:bottom w:val="single" w:sz="6" w:space="0" w:color="008000"/>
            </w:tcBorders>
            <w:shd w:val="clear" w:color="auto" w:fill="FFFFFF"/>
            <w:vAlign w:val="center"/>
          </w:tcPr>
          <w:p w14:paraId="226FBB6A" w14:textId="01BBDE83" w:rsidR="00D467C3" w:rsidRPr="00B57B36" w:rsidRDefault="00D467C3" w:rsidP="0028260D">
            <w:pPr>
              <w:pStyle w:val="CETBodytext"/>
              <w:jc w:val="center"/>
              <w:rPr>
                <w:lang w:val="en-GB"/>
              </w:rPr>
            </w:pPr>
            <w:r>
              <w:rPr>
                <w:lang w:val="en-GB"/>
              </w:rPr>
              <w:t>T</w:t>
            </w:r>
            <w:r>
              <w:rPr>
                <w:vertAlign w:val="subscript"/>
                <w:lang w:val="en-GB"/>
              </w:rPr>
              <w:t>Rate-Based</w:t>
            </w:r>
            <w:r w:rsidR="0028260D">
              <w:rPr>
                <w:lang w:val="en-GB"/>
              </w:rPr>
              <w:t xml:space="preserve"> </w:t>
            </w:r>
            <w:r>
              <w:rPr>
                <w:lang w:val="en-GB"/>
              </w:rPr>
              <w:t>(</w:t>
            </w:r>
            <w:r>
              <w:rPr>
                <w:lang w:val="en-GB"/>
              </w:rPr>
              <w:sym w:font="Symbol" w:char="F0B0"/>
            </w:r>
            <w:r>
              <w:rPr>
                <w:lang w:val="en-GB"/>
              </w:rPr>
              <w:t>C)</w:t>
            </w:r>
          </w:p>
        </w:tc>
        <w:tc>
          <w:tcPr>
            <w:tcW w:w="742" w:type="dxa"/>
            <w:tcBorders>
              <w:top w:val="single" w:sz="12" w:space="0" w:color="008000"/>
              <w:bottom w:val="single" w:sz="6" w:space="0" w:color="008000"/>
            </w:tcBorders>
            <w:shd w:val="clear" w:color="auto" w:fill="FFFFFF"/>
            <w:vAlign w:val="center"/>
          </w:tcPr>
          <w:p w14:paraId="1F961210" w14:textId="77777777" w:rsidR="00DA7ECA" w:rsidRDefault="00D467C3" w:rsidP="001608A2">
            <w:pPr>
              <w:pStyle w:val="CETBodytext"/>
              <w:ind w:right="-1"/>
              <w:jc w:val="center"/>
              <w:rPr>
                <w:rFonts w:cs="Arial"/>
                <w:szCs w:val="18"/>
                <w:vertAlign w:val="subscript"/>
                <w:lang w:val="en-GB"/>
              </w:rPr>
            </w:pPr>
            <w:r>
              <w:rPr>
                <w:rFonts w:cs="Arial"/>
                <w:szCs w:val="18"/>
                <w:lang w:val="en-GB"/>
              </w:rPr>
              <w:t>y</w:t>
            </w:r>
            <w:r w:rsidRPr="00B0145C">
              <w:rPr>
                <w:rFonts w:cs="Arial"/>
                <w:szCs w:val="18"/>
                <w:vertAlign w:val="subscript"/>
                <w:lang w:val="en-GB"/>
              </w:rPr>
              <w:t>MD</w:t>
            </w:r>
            <w:r w:rsidR="00DA7ECA">
              <w:rPr>
                <w:rFonts w:cs="Arial"/>
                <w:szCs w:val="18"/>
                <w:vertAlign w:val="subscript"/>
                <w:lang w:val="en-GB"/>
              </w:rPr>
              <w:t xml:space="preserve"> </w:t>
            </w:r>
          </w:p>
          <w:p w14:paraId="3375A2F5" w14:textId="067A5EDE" w:rsidR="00D467C3" w:rsidRPr="00B57B36" w:rsidRDefault="00DA7ECA" w:rsidP="001608A2">
            <w:pPr>
              <w:pStyle w:val="CETBodytext"/>
              <w:ind w:right="-1"/>
              <w:jc w:val="center"/>
              <w:rPr>
                <w:rFonts w:cs="Arial"/>
                <w:szCs w:val="18"/>
                <w:lang w:val="en-GB"/>
              </w:rPr>
            </w:pPr>
            <w:r>
              <w:rPr>
                <w:rFonts w:cs="Arial"/>
                <w:szCs w:val="18"/>
                <w:vertAlign w:val="subscript"/>
                <w:lang w:val="en-GB"/>
              </w:rPr>
              <w:t>(Perez, 2012)</w:t>
            </w:r>
          </w:p>
        </w:tc>
        <w:tc>
          <w:tcPr>
            <w:tcW w:w="1134" w:type="dxa"/>
            <w:tcBorders>
              <w:top w:val="single" w:sz="12" w:space="0" w:color="008000"/>
              <w:bottom w:val="single" w:sz="6" w:space="0" w:color="008000"/>
            </w:tcBorders>
            <w:shd w:val="clear" w:color="auto" w:fill="FFFFFF"/>
            <w:vAlign w:val="center"/>
          </w:tcPr>
          <w:p w14:paraId="42F9557D" w14:textId="77777777" w:rsidR="00D467C3" w:rsidRPr="00B57B36" w:rsidRDefault="00D467C3" w:rsidP="001608A2">
            <w:pPr>
              <w:pStyle w:val="CETBodytext"/>
              <w:ind w:right="-1"/>
              <w:jc w:val="center"/>
              <w:rPr>
                <w:rFonts w:cs="Arial"/>
                <w:szCs w:val="18"/>
                <w:lang w:val="en-GB"/>
              </w:rPr>
            </w:pPr>
            <w:r>
              <w:rPr>
                <w:rFonts w:cs="Arial"/>
                <w:szCs w:val="18"/>
                <w:lang w:val="en-GB"/>
              </w:rPr>
              <w:t>y</w:t>
            </w:r>
            <w:r w:rsidRPr="00B0145C">
              <w:rPr>
                <w:rFonts w:cs="Arial"/>
                <w:szCs w:val="18"/>
                <w:vertAlign w:val="subscript"/>
                <w:lang w:val="en-GB"/>
              </w:rPr>
              <w:t>Rate-Based</w:t>
            </w:r>
          </w:p>
        </w:tc>
        <w:tc>
          <w:tcPr>
            <w:tcW w:w="1242" w:type="dxa"/>
            <w:tcBorders>
              <w:top w:val="single" w:sz="12" w:space="0" w:color="008000"/>
              <w:bottom w:val="single" w:sz="6" w:space="0" w:color="008000"/>
            </w:tcBorders>
            <w:shd w:val="clear" w:color="auto" w:fill="FFFFFF"/>
            <w:vAlign w:val="center"/>
          </w:tcPr>
          <w:p w14:paraId="34BC71F9" w14:textId="77777777" w:rsidR="008B3FB5" w:rsidRPr="00414B86" w:rsidRDefault="008B3FB5" w:rsidP="008B3FB5">
            <w:pPr>
              <w:pStyle w:val="CETBodytext"/>
              <w:ind w:right="-1"/>
              <w:jc w:val="center"/>
              <w:rPr>
                <w:rFonts w:cs="Arial"/>
                <w:szCs w:val="18"/>
                <w:vertAlign w:val="subscript"/>
                <w:lang w:val="en-GB"/>
              </w:rPr>
            </w:pPr>
            <w:r w:rsidRPr="00414B86">
              <w:rPr>
                <w:rFonts w:cs="Arial"/>
                <w:szCs w:val="18"/>
                <w:lang w:val="en-GB"/>
              </w:rPr>
              <w:t>y</w:t>
            </w:r>
            <w:r w:rsidRPr="00414B86">
              <w:rPr>
                <w:rFonts w:cs="Arial"/>
                <w:szCs w:val="18"/>
                <w:vertAlign w:val="subscript"/>
                <w:lang w:val="en-GB"/>
              </w:rPr>
              <w:t>MD</w:t>
            </w:r>
            <w:r>
              <w:rPr>
                <w:rFonts w:cs="Arial"/>
                <w:szCs w:val="18"/>
                <w:vertAlign w:val="subscript"/>
                <w:lang w:val="en-GB"/>
              </w:rPr>
              <w:t xml:space="preserve"> Deviation (%)</w:t>
            </w:r>
          </w:p>
          <w:p w14:paraId="725176FF" w14:textId="3AEE12EB" w:rsidR="00D467C3" w:rsidRDefault="008B3FB5" w:rsidP="008B3FB5">
            <w:pPr>
              <w:pStyle w:val="CETBodytext"/>
              <w:ind w:right="-1"/>
              <w:jc w:val="center"/>
              <w:rPr>
                <w:rFonts w:cs="Arial"/>
                <w:szCs w:val="18"/>
                <w:lang w:val="en-GB"/>
              </w:rPr>
            </w:pPr>
            <w:r w:rsidRPr="00F12BBD">
              <w:rPr>
                <w:rFonts w:cs="Arial"/>
                <w:color w:val="000000" w:themeColor="text1"/>
                <w:szCs w:val="18"/>
                <w:vertAlign w:val="subscript"/>
                <w:lang w:val="en-GB"/>
              </w:rPr>
              <w:t>(Reference Perez, 2012)</w:t>
            </w:r>
          </w:p>
        </w:tc>
      </w:tr>
      <w:tr w:rsidR="00D467C3" w:rsidRPr="00B57B36" w14:paraId="5EEFFC86" w14:textId="77777777" w:rsidTr="005C1630">
        <w:tc>
          <w:tcPr>
            <w:tcW w:w="1701" w:type="dxa"/>
            <w:shd w:val="clear" w:color="auto" w:fill="FFFFFF"/>
          </w:tcPr>
          <w:p w14:paraId="0497C809" w14:textId="77777777" w:rsidR="00D467C3" w:rsidRPr="00B57B36" w:rsidRDefault="00D467C3" w:rsidP="001608A2">
            <w:pPr>
              <w:pStyle w:val="CETBodytext"/>
              <w:rPr>
                <w:lang w:val="en-GB"/>
              </w:rPr>
            </w:pPr>
            <w:r>
              <w:rPr>
                <w:lang w:val="en-GB"/>
              </w:rPr>
              <w:t>RKS-BM</w:t>
            </w:r>
          </w:p>
        </w:tc>
        <w:tc>
          <w:tcPr>
            <w:tcW w:w="993" w:type="dxa"/>
            <w:shd w:val="clear" w:color="auto" w:fill="FFFFFF"/>
          </w:tcPr>
          <w:p w14:paraId="4DE1ACE1" w14:textId="3CFFB29E" w:rsidR="00D467C3" w:rsidRPr="00B57B36" w:rsidRDefault="00DA7ECA" w:rsidP="001608A2">
            <w:pPr>
              <w:pStyle w:val="CETBodytext"/>
              <w:jc w:val="center"/>
              <w:rPr>
                <w:lang w:val="en-GB"/>
              </w:rPr>
            </w:pPr>
            <w:r>
              <w:rPr>
                <w:lang w:val="en-GB"/>
              </w:rPr>
              <w:t>160.00</w:t>
            </w:r>
          </w:p>
        </w:tc>
        <w:tc>
          <w:tcPr>
            <w:tcW w:w="1134" w:type="dxa"/>
            <w:shd w:val="clear" w:color="auto" w:fill="FFFFFF"/>
            <w:vAlign w:val="center"/>
          </w:tcPr>
          <w:p w14:paraId="65B202A3" w14:textId="20F203C9" w:rsidR="00D467C3" w:rsidRPr="00B57B36" w:rsidRDefault="00DA7ECA" w:rsidP="001608A2">
            <w:pPr>
              <w:pStyle w:val="CETBodytext"/>
              <w:jc w:val="center"/>
              <w:rPr>
                <w:lang w:val="en-GB"/>
              </w:rPr>
            </w:pPr>
            <w:r>
              <w:rPr>
                <w:lang w:val="en-GB"/>
              </w:rPr>
              <w:t>115.13</w:t>
            </w:r>
          </w:p>
        </w:tc>
        <w:tc>
          <w:tcPr>
            <w:tcW w:w="742" w:type="dxa"/>
            <w:shd w:val="clear" w:color="auto" w:fill="FFFFFF"/>
          </w:tcPr>
          <w:p w14:paraId="791C0B51" w14:textId="68C02052" w:rsidR="00D467C3" w:rsidRPr="00B57B36" w:rsidRDefault="00DA7ECA" w:rsidP="001608A2">
            <w:pPr>
              <w:pStyle w:val="CETBodytext"/>
              <w:ind w:right="-1"/>
              <w:jc w:val="center"/>
              <w:rPr>
                <w:rFonts w:cs="Arial"/>
                <w:szCs w:val="18"/>
                <w:lang w:val="en-GB"/>
              </w:rPr>
            </w:pPr>
            <w:r>
              <w:rPr>
                <w:rFonts w:cs="Arial"/>
                <w:szCs w:val="18"/>
                <w:lang w:val="en-GB"/>
              </w:rPr>
              <w:t>0.9774</w:t>
            </w:r>
          </w:p>
        </w:tc>
        <w:tc>
          <w:tcPr>
            <w:tcW w:w="1134" w:type="dxa"/>
            <w:shd w:val="clear" w:color="auto" w:fill="FFFFFF"/>
          </w:tcPr>
          <w:p w14:paraId="43EB160A" w14:textId="74832365" w:rsidR="00D467C3" w:rsidRPr="00B57B36" w:rsidRDefault="00DA7ECA" w:rsidP="001608A2">
            <w:pPr>
              <w:pStyle w:val="CETBodytext"/>
              <w:ind w:right="-1"/>
              <w:jc w:val="center"/>
              <w:rPr>
                <w:rFonts w:cs="Arial"/>
                <w:szCs w:val="18"/>
                <w:lang w:val="en-GB"/>
              </w:rPr>
            </w:pPr>
            <w:r>
              <w:rPr>
                <w:rFonts w:cs="Arial"/>
                <w:szCs w:val="18"/>
                <w:lang w:val="en-GB"/>
              </w:rPr>
              <w:t>0.9587</w:t>
            </w:r>
          </w:p>
        </w:tc>
        <w:tc>
          <w:tcPr>
            <w:tcW w:w="1242" w:type="dxa"/>
            <w:shd w:val="clear" w:color="auto" w:fill="FFFFFF"/>
          </w:tcPr>
          <w:p w14:paraId="2CB961F7" w14:textId="0B9B1CD9" w:rsidR="00D467C3" w:rsidRPr="00B57B36" w:rsidRDefault="00DA7ECA" w:rsidP="001608A2">
            <w:pPr>
              <w:pStyle w:val="CETBodytext"/>
              <w:ind w:right="-1"/>
              <w:jc w:val="center"/>
              <w:rPr>
                <w:rFonts w:cs="Arial"/>
                <w:szCs w:val="18"/>
                <w:lang w:val="en-GB"/>
              </w:rPr>
            </w:pPr>
            <w:r>
              <w:rPr>
                <w:rFonts w:cs="Arial"/>
                <w:szCs w:val="18"/>
                <w:lang w:val="en-GB"/>
              </w:rPr>
              <w:t>-1.92</w:t>
            </w:r>
          </w:p>
        </w:tc>
      </w:tr>
      <w:tr w:rsidR="00D467C3" w:rsidRPr="00B57B36" w14:paraId="53478B38" w14:textId="77777777" w:rsidTr="005C1630">
        <w:tc>
          <w:tcPr>
            <w:tcW w:w="1701" w:type="dxa"/>
            <w:shd w:val="clear" w:color="auto" w:fill="FFFFFF"/>
          </w:tcPr>
          <w:p w14:paraId="37B77892" w14:textId="77777777" w:rsidR="00D467C3" w:rsidRPr="00B57B36" w:rsidRDefault="00D467C3" w:rsidP="001608A2">
            <w:pPr>
              <w:pStyle w:val="CETBodytext"/>
              <w:rPr>
                <w:lang w:val="en-GB"/>
              </w:rPr>
            </w:pPr>
            <w:r>
              <w:rPr>
                <w:lang w:val="en-GB"/>
              </w:rPr>
              <w:t>LK-Plock</w:t>
            </w:r>
          </w:p>
        </w:tc>
        <w:tc>
          <w:tcPr>
            <w:tcW w:w="993" w:type="dxa"/>
            <w:shd w:val="clear" w:color="auto" w:fill="FFFFFF"/>
          </w:tcPr>
          <w:p w14:paraId="1499555B" w14:textId="701CE2EB" w:rsidR="00D467C3" w:rsidRDefault="00DA7ECA" w:rsidP="001608A2">
            <w:pPr>
              <w:pStyle w:val="CETBodytext"/>
              <w:jc w:val="center"/>
              <w:rPr>
                <w:lang w:val="en-GB"/>
              </w:rPr>
            </w:pPr>
            <w:r>
              <w:rPr>
                <w:lang w:val="en-GB"/>
              </w:rPr>
              <w:t>160.00</w:t>
            </w:r>
          </w:p>
        </w:tc>
        <w:tc>
          <w:tcPr>
            <w:tcW w:w="1134" w:type="dxa"/>
            <w:shd w:val="clear" w:color="auto" w:fill="FFFFFF"/>
            <w:vAlign w:val="center"/>
          </w:tcPr>
          <w:p w14:paraId="596C2F24" w14:textId="33D29385" w:rsidR="00D467C3" w:rsidRDefault="00DA7ECA" w:rsidP="001608A2">
            <w:pPr>
              <w:pStyle w:val="CETBodytext"/>
              <w:jc w:val="center"/>
              <w:rPr>
                <w:lang w:val="en-GB"/>
              </w:rPr>
            </w:pPr>
            <w:r>
              <w:rPr>
                <w:lang w:val="en-GB"/>
              </w:rPr>
              <w:t>109.86</w:t>
            </w:r>
          </w:p>
        </w:tc>
        <w:tc>
          <w:tcPr>
            <w:tcW w:w="742" w:type="dxa"/>
            <w:shd w:val="clear" w:color="auto" w:fill="FFFFFF"/>
          </w:tcPr>
          <w:p w14:paraId="265962EE" w14:textId="20E94C7E" w:rsidR="00D467C3" w:rsidRPr="00B57B36" w:rsidRDefault="00DA7ECA" w:rsidP="001608A2">
            <w:pPr>
              <w:pStyle w:val="CETBodytext"/>
              <w:ind w:right="-1"/>
              <w:jc w:val="center"/>
              <w:rPr>
                <w:rFonts w:cs="Arial"/>
                <w:szCs w:val="18"/>
                <w:lang w:val="en-GB"/>
              </w:rPr>
            </w:pPr>
            <w:r>
              <w:rPr>
                <w:rFonts w:cs="Arial"/>
                <w:szCs w:val="18"/>
                <w:lang w:val="en-GB"/>
              </w:rPr>
              <w:t>0.9774</w:t>
            </w:r>
          </w:p>
        </w:tc>
        <w:tc>
          <w:tcPr>
            <w:tcW w:w="1134" w:type="dxa"/>
            <w:shd w:val="clear" w:color="auto" w:fill="FFFFFF"/>
          </w:tcPr>
          <w:p w14:paraId="4E34F8AF" w14:textId="01057495" w:rsidR="00D467C3" w:rsidRPr="00B57B36" w:rsidRDefault="00DA7ECA" w:rsidP="001608A2">
            <w:pPr>
              <w:pStyle w:val="CETBodytext"/>
              <w:ind w:right="-1"/>
              <w:jc w:val="center"/>
              <w:rPr>
                <w:rFonts w:cs="Arial"/>
                <w:szCs w:val="18"/>
                <w:lang w:val="en-GB"/>
              </w:rPr>
            </w:pPr>
            <w:r>
              <w:rPr>
                <w:rFonts w:cs="Arial"/>
                <w:szCs w:val="18"/>
                <w:lang w:val="en-GB"/>
              </w:rPr>
              <w:t>0.9578</w:t>
            </w:r>
          </w:p>
        </w:tc>
        <w:tc>
          <w:tcPr>
            <w:tcW w:w="1242" w:type="dxa"/>
            <w:shd w:val="clear" w:color="auto" w:fill="FFFFFF"/>
          </w:tcPr>
          <w:p w14:paraId="61354290" w14:textId="2CFB03ED" w:rsidR="00D467C3" w:rsidRPr="00B57B36" w:rsidRDefault="00DA7ECA" w:rsidP="001608A2">
            <w:pPr>
              <w:pStyle w:val="CETBodytext"/>
              <w:ind w:right="-1"/>
              <w:jc w:val="center"/>
              <w:rPr>
                <w:rFonts w:cs="Arial"/>
                <w:szCs w:val="18"/>
                <w:lang w:val="en-GB"/>
              </w:rPr>
            </w:pPr>
            <w:r>
              <w:rPr>
                <w:rFonts w:cs="Arial"/>
                <w:szCs w:val="18"/>
                <w:lang w:val="en-GB"/>
              </w:rPr>
              <w:t>-2.01</w:t>
            </w:r>
          </w:p>
        </w:tc>
      </w:tr>
      <w:tr w:rsidR="00D467C3" w:rsidRPr="00B57B36" w14:paraId="20146C27" w14:textId="77777777" w:rsidTr="005C1630">
        <w:tc>
          <w:tcPr>
            <w:tcW w:w="1701" w:type="dxa"/>
            <w:shd w:val="clear" w:color="auto" w:fill="FFFFFF"/>
          </w:tcPr>
          <w:p w14:paraId="7AB4B550" w14:textId="77777777" w:rsidR="00D467C3" w:rsidRPr="00B57B36" w:rsidRDefault="00D467C3" w:rsidP="001608A2">
            <w:pPr>
              <w:pStyle w:val="CETBodytext"/>
              <w:rPr>
                <w:lang w:val="en-GB"/>
              </w:rPr>
            </w:pPr>
            <w:r>
              <w:rPr>
                <w:lang w:val="en-GB"/>
              </w:rPr>
              <w:t>PR-BM</w:t>
            </w:r>
          </w:p>
        </w:tc>
        <w:tc>
          <w:tcPr>
            <w:tcW w:w="993" w:type="dxa"/>
            <w:shd w:val="clear" w:color="auto" w:fill="FFFFFF"/>
          </w:tcPr>
          <w:p w14:paraId="019CB354" w14:textId="4EC7EF16" w:rsidR="00D467C3" w:rsidRDefault="00DA7ECA" w:rsidP="001608A2">
            <w:pPr>
              <w:pStyle w:val="CETBodytext"/>
              <w:jc w:val="center"/>
              <w:rPr>
                <w:lang w:val="en-GB"/>
              </w:rPr>
            </w:pPr>
            <w:r>
              <w:rPr>
                <w:lang w:val="en-GB"/>
              </w:rPr>
              <w:t>160.00</w:t>
            </w:r>
          </w:p>
        </w:tc>
        <w:tc>
          <w:tcPr>
            <w:tcW w:w="1134" w:type="dxa"/>
            <w:shd w:val="clear" w:color="auto" w:fill="FFFFFF"/>
            <w:vAlign w:val="center"/>
          </w:tcPr>
          <w:p w14:paraId="73985B54" w14:textId="07B50E98" w:rsidR="00D467C3" w:rsidRDefault="00DA7ECA" w:rsidP="001608A2">
            <w:pPr>
              <w:pStyle w:val="CETBodytext"/>
              <w:jc w:val="center"/>
              <w:rPr>
                <w:lang w:val="en-GB"/>
              </w:rPr>
            </w:pPr>
            <w:r>
              <w:rPr>
                <w:lang w:val="en-GB"/>
              </w:rPr>
              <w:t>107.95</w:t>
            </w:r>
          </w:p>
        </w:tc>
        <w:tc>
          <w:tcPr>
            <w:tcW w:w="742" w:type="dxa"/>
            <w:shd w:val="clear" w:color="auto" w:fill="FFFFFF"/>
          </w:tcPr>
          <w:p w14:paraId="36F4A01A" w14:textId="46ACBCC8" w:rsidR="00D467C3" w:rsidRPr="00B57B36" w:rsidRDefault="00DA7ECA" w:rsidP="001608A2">
            <w:pPr>
              <w:pStyle w:val="CETBodytext"/>
              <w:ind w:right="-1"/>
              <w:jc w:val="center"/>
              <w:rPr>
                <w:rFonts w:cs="Arial"/>
                <w:szCs w:val="18"/>
                <w:lang w:val="en-GB"/>
              </w:rPr>
            </w:pPr>
            <w:r>
              <w:rPr>
                <w:rFonts w:cs="Arial"/>
                <w:szCs w:val="18"/>
                <w:lang w:val="en-GB"/>
              </w:rPr>
              <w:t>0.9774</w:t>
            </w:r>
          </w:p>
        </w:tc>
        <w:tc>
          <w:tcPr>
            <w:tcW w:w="1134" w:type="dxa"/>
            <w:shd w:val="clear" w:color="auto" w:fill="FFFFFF"/>
          </w:tcPr>
          <w:p w14:paraId="61AECAC1" w14:textId="6471743A" w:rsidR="00D467C3" w:rsidRPr="00B57B36" w:rsidRDefault="00DA7ECA" w:rsidP="001608A2">
            <w:pPr>
              <w:pStyle w:val="CETBodytext"/>
              <w:ind w:right="-1"/>
              <w:jc w:val="center"/>
              <w:rPr>
                <w:rFonts w:cs="Arial"/>
                <w:szCs w:val="18"/>
                <w:lang w:val="en-GB"/>
              </w:rPr>
            </w:pPr>
            <w:r>
              <w:rPr>
                <w:rFonts w:cs="Arial"/>
                <w:szCs w:val="18"/>
                <w:lang w:val="en-GB"/>
              </w:rPr>
              <w:t>0.9584</w:t>
            </w:r>
          </w:p>
        </w:tc>
        <w:tc>
          <w:tcPr>
            <w:tcW w:w="1242" w:type="dxa"/>
            <w:shd w:val="clear" w:color="auto" w:fill="FFFFFF"/>
          </w:tcPr>
          <w:p w14:paraId="09A528A1" w14:textId="02C18B3D" w:rsidR="00D467C3" w:rsidRPr="00B57B36" w:rsidRDefault="00DA7ECA" w:rsidP="001608A2">
            <w:pPr>
              <w:pStyle w:val="CETBodytext"/>
              <w:ind w:right="-1"/>
              <w:jc w:val="center"/>
              <w:rPr>
                <w:rFonts w:cs="Arial"/>
                <w:szCs w:val="18"/>
                <w:lang w:val="en-GB"/>
              </w:rPr>
            </w:pPr>
            <w:r>
              <w:rPr>
                <w:rFonts w:cs="Arial"/>
                <w:szCs w:val="18"/>
                <w:lang w:val="en-GB"/>
              </w:rPr>
              <w:t>-1.94</w:t>
            </w:r>
          </w:p>
        </w:tc>
      </w:tr>
      <w:tr w:rsidR="00D467C3" w:rsidRPr="00B57B36" w14:paraId="23B6D90F" w14:textId="77777777" w:rsidTr="005C1630">
        <w:tc>
          <w:tcPr>
            <w:tcW w:w="1701" w:type="dxa"/>
            <w:shd w:val="clear" w:color="auto" w:fill="FFFFFF"/>
          </w:tcPr>
          <w:p w14:paraId="4A85C878" w14:textId="4EDE9FB9" w:rsidR="00D467C3" w:rsidRPr="00B57B36" w:rsidRDefault="00D467C3" w:rsidP="001608A2">
            <w:pPr>
              <w:pStyle w:val="CETBodytext"/>
              <w:ind w:right="-1"/>
              <w:rPr>
                <w:rFonts w:cs="Arial"/>
                <w:szCs w:val="18"/>
                <w:lang w:val="en-GB"/>
              </w:rPr>
            </w:pPr>
            <w:r>
              <w:rPr>
                <w:rFonts w:cs="Arial"/>
                <w:szCs w:val="18"/>
                <w:lang w:val="en-GB"/>
              </w:rPr>
              <w:t>BK-10</w:t>
            </w:r>
          </w:p>
        </w:tc>
        <w:tc>
          <w:tcPr>
            <w:tcW w:w="993" w:type="dxa"/>
            <w:shd w:val="clear" w:color="auto" w:fill="FFFFFF"/>
          </w:tcPr>
          <w:p w14:paraId="09687532" w14:textId="06BCD25F" w:rsidR="00D467C3" w:rsidRPr="00B57B36" w:rsidRDefault="00DA7ECA" w:rsidP="001608A2">
            <w:pPr>
              <w:pStyle w:val="CETBodytext"/>
              <w:ind w:right="-1"/>
              <w:jc w:val="center"/>
              <w:rPr>
                <w:rFonts w:cs="Arial"/>
                <w:szCs w:val="18"/>
                <w:lang w:val="en-GB"/>
              </w:rPr>
            </w:pPr>
            <w:r>
              <w:rPr>
                <w:rFonts w:cs="Arial"/>
                <w:szCs w:val="18"/>
                <w:lang w:val="en-GB"/>
              </w:rPr>
              <w:t>160.00</w:t>
            </w:r>
          </w:p>
        </w:tc>
        <w:tc>
          <w:tcPr>
            <w:tcW w:w="1134" w:type="dxa"/>
            <w:shd w:val="clear" w:color="auto" w:fill="FFFFFF"/>
            <w:vAlign w:val="center"/>
          </w:tcPr>
          <w:p w14:paraId="0764AB3A" w14:textId="47758A13" w:rsidR="00D467C3" w:rsidRPr="00B57B36" w:rsidRDefault="00DA7ECA" w:rsidP="001608A2">
            <w:pPr>
              <w:pStyle w:val="CETBodytext"/>
              <w:ind w:right="-1"/>
              <w:jc w:val="center"/>
              <w:rPr>
                <w:rFonts w:cs="Arial"/>
                <w:szCs w:val="18"/>
                <w:lang w:val="en-GB"/>
              </w:rPr>
            </w:pPr>
            <w:r>
              <w:rPr>
                <w:rFonts w:cs="Arial"/>
                <w:szCs w:val="18"/>
                <w:lang w:val="en-GB"/>
              </w:rPr>
              <w:t>137.87</w:t>
            </w:r>
          </w:p>
        </w:tc>
        <w:tc>
          <w:tcPr>
            <w:tcW w:w="742" w:type="dxa"/>
            <w:shd w:val="clear" w:color="auto" w:fill="FFFFFF"/>
          </w:tcPr>
          <w:p w14:paraId="3C097C0E" w14:textId="63941448" w:rsidR="00D467C3" w:rsidRPr="00B57B36" w:rsidRDefault="00DA7ECA" w:rsidP="001608A2">
            <w:pPr>
              <w:pStyle w:val="CETBodytext"/>
              <w:ind w:right="-1"/>
              <w:jc w:val="center"/>
              <w:rPr>
                <w:rFonts w:cs="Arial"/>
                <w:szCs w:val="18"/>
                <w:lang w:val="en-GB"/>
              </w:rPr>
            </w:pPr>
            <w:r>
              <w:rPr>
                <w:rFonts w:cs="Arial"/>
                <w:szCs w:val="18"/>
                <w:lang w:val="en-GB"/>
              </w:rPr>
              <w:t>0.9774</w:t>
            </w:r>
          </w:p>
        </w:tc>
        <w:tc>
          <w:tcPr>
            <w:tcW w:w="1134" w:type="dxa"/>
            <w:shd w:val="clear" w:color="auto" w:fill="FFFFFF"/>
          </w:tcPr>
          <w:p w14:paraId="52E8F077" w14:textId="7815C516" w:rsidR="00D467C3" w:rsidRPr="00B57B36" w:rsidRDefault="00DA7ECA" w:rsidP="001608A2">
            <w:pPr>
              <w:pStyle w:val="CETBodytext"/>
              <w:ind w:right="-1"/>
              <w:jc w:val="center"/>
              <w:rPr>
                <w:rFonts w:cs="Arial"/>
                <w:szCs w:val="18"/>
                <w:lang w:val="en-GB"/>
              </w:rPr>
            </w:pPr>
            <w:r>
              <w:rPr>
                <w:rFonts w:cs="Arial"/>
                <w:szCs w:val="18"/>
                <w:lang w:val="en-GB"/>
              </w:rPr>
              <w:t>0.9695</w:t>
            </w:r>
          </w:p>
        </w:tc>
        <w:tc>
          <w:tcPr>
            <w:tcW w:w="1242" w:type="dxa"/>
            <w:shd w:val="clear" w:color="auto" w:fill="FFFFFF"/>
          </w:tcPr>
          <w:p w14:paraId="4D5DD4BB" w14:textId="37477698" w:rsidR="00D467C3" w:rsidRPr="00B57B36" w:rsidRDefault="00DA7ECA" w:rsidP="001608A2">
            <w:pPr>
              <w:pStyle w:val="CETBodytext"/>
              <w:ind w:right="-1"/>
              <w:jc w:val="center"/>
              <w:rPr>
                <w:rFonts w:cs="Arial"/>
                <w:szCs w:val="18"/>
                <w:lang w:val="en-GB"/>
              </w:rPr>
            </w:pPr>
            <w:r>
              <w:rPr>
                <w:rFonts w:cs="Arial"/>
                <w:szCs w:val="18"/>
                <w:lang w:val="en-GB"/>
              </w:rPr>
              <w:t>-0.81</w:t>
            </w:r>
          </w:p>
        </w:tc>
      </w:tr>
    </w:tbl>
    <w:p w14:paraId="68D26B83" w14:textId="2EAB87AB" w:rsidR="00600535" w:rsidRPr="00B57B36" w:rsidRDefault="00600535" w:rsidP="00121B74">
      <w:pPr>
        <w:pStyle w:val="CETHeading1"/>
        <w:tabs>
          <w:tab w:val="num" w:pos="360"/>
        </w:tabs>
      </w:pPr>
      <w:r w:rsidRPr="00B57B36">
        <w:t>Conclusions</w:t>
      </w:r>
    </w:p>
    <w:p w14:paraId="02377D32" w14:textId="6E36DE8E" w:rsidR="00A17C8E" w:rsidRPr="004E39CB" w:rsidRDefault="00E63A20" w:rsidP="00A17C8E">
      <w:pPr>
        <w:pStyle w:val="CETBodytext"/>
        <w:rPr>
          <w:color w:val="FF0000"/>
        </w:rPr>
      </w:pPr>
      <w:r w:rsidRPr="00694788">
        <w:rPr>
          <w:color w:val="000000" w:themeColor="text1"/>
        </w:rPr>
        <w:t>Some available tools in the software Aspen Plus to represent falling film and centrifugal molecular distillation were analyzed</w:t>
      </w:r>
      <w:r w:rsidR="00B846EE" w:rsidRPr="00694788">
        <w:rPr>
          <w:color w:val="000000" w:themeColor="text1"/>
        </w:rPr>
        <w:t xml:space="preserve">, considering some adaptations in the existing </w:t>
      </w:r>
      <w:r w:rsidR="009679DC" w:rsidRPr="00694788">
        <w:rPr>
          <w:color w:val="000000" w:themeColor="text1"/>
        </w:rPr>
        <w:t>blocks</w:t>
      </w:r>
      <w:r w:rsidR="00B846EE" w:rsidRPr="00694788">
        <w:rPr>
          <w:color w:val="000000" w:themeColor="text1"/>
        </w:rPr>
        <w:t xml:space="preserve"> of the software to better represent the molecular distillation</w:t>
      </w:r>
      <w:r w:rsidRPr="00694788">
        <w:rPr>
          <w:color w:val="000000" w:themeColor="text1"/>
        </w:rPr>
        <w:t>: the rate-based</w:t>
      </w:r>
      <w:r w:rsidR="00B846EE" w:rsidRPr="00694788">
        <w:rPr>
          <w:color w:val="000000" w:themeColor="text1"/>
        </w:rPr>
        <w:t xml:space="preserve"> column</w:t>
      </w:r>
      <w:r w:rsidRPr="00694788">
        <w:rPr>
          <w:color w:val="000000" w:themeColor="text1"/>
        </w:rPr>
        <w:t xml:space="preserve"> and the flash vessel, respectively. </w:t>
      </w:r>
      <w:r w:rsidR="00B329D0" w:rsidRPr="00694788">
        <w:rPr>
          <w:color w:val="000000" w:themeColor="text1"/>
        </w:rPr>
        <w:t xml:space="preserve">Either flash vessel or rate-based </w:t>
      </w:r>
      <w:r w:rsidR="009679DC" w:rsidRPr="00694788">
        <w:rPr>
          <w:color w:val="000000" w:themeColor="text1"/>
        </w:rPr>
        <w:t xml:space="preserve">column </w:t>
      </w:r>
      <w:r w:rsidR="00B329D0" w:rsidRPr="00694788">
        <w:rPr>
          <w:color w:val="000000" w:themeColor="text1"/>
        </w:rPr>
        <w:t>operated with inferior temperatures compared to real experimental data. Although there are some physical limitations</w:t>
      </w:r>
      <w:r w:rsidR="008B3FB5" w:rsidRPr="00694788">
        <w:rPr>
          <w:color w:val="000000" w:themeColor="text1"/>
        </w:rPr>
        <w:t xml:space="preserve"> (</w:t>
      </w:r>
      <w:proofErr w:type="gramStart"/>
      <w:r w:rsidR="008B3FB5" w:rsidRPr="00694788">
        <w:rPr>
          <w:color w:val="000000" w:themeColor="text1"/>
        </w:rPr>
        <w:t>e.g.</w:t>
      </w:r>
      <w:proofErr w:type="gramEnd"/>
      <w:r w:rsidR="008B3FB5" w:rsidRPr="00694788">
        <w:rPr>
          <w:color w:val="000000" w:themeColor="text1"/>
        </w:rPr>
        <w:t xml:space="preserve"> geometry specifications; </w:t>
      </w:r>
      <w:r w:rsidR="00F12BBD" w:rsidRPr="00694788">
        <w:rPr>
          <w:color w:val="000000" w:themeColor="text1"/>
        </w:rPr>
        <w:t xml:space="preserve">evaporator temperature) </w:t>
      </w:r>
      <w:r w:rsidR="00B329D0" w:rsidRPr="00694788">
        <w:rPr>
          <w:color w:val="000000" w:themeColor="text1"/>
        </w:rPr>
        <w:t xml:space="preserve">to </w:t>
      </w:r>
      <w:r w:rsidR="00A73039" w:rsidRPr="00694788">
        <w:rPr>
          <w:color w:val="000000" w:themeColor="text1"/>
        </w:rPr>
        <w:t>represent</w:t>
      </w:r>
      <w:r w:rsidR="00694788" w:rsidRPr="00694788">
        <w:rPr>
          <w:color w:val="000000" w:themeColor="text1"/>
        </w:rPr>
        <w:t xml:space="preserve"> </w:t>
      </w:r>
      <w:r w:rsidR="00B329D0" w:rsidRPr="00694788">
        <w:rPr>
          <w:color w:val="000000" w:themeColor="text1"/>
        </w:rPr>
        <w:t>molecular distillation th</w:t>
      </w:r>
      <w:r w:rsidR="00E646CC" w:rsidRPr="00694788">
        <w:rPr>
          <w:color w:val="000000" w:themeColor="text1"/>
        </w:rPr>
        <w:t>r</w:t>
      </w:r>
      <w:r w:rsidR="00B329D0" w:rsidRPr="00694788">
        <w:rPr>
          <w:color w:val="000000" w:themeColor="text1"/>
        </w:rPr>
        <w:t xml:space="preserve">ough these tools, the mass fraction deviation in the distillate stream values </w:t>
      </w:r>
      <w:r w:rsidR="00A73039" w:rsidRPr="00694788">
        <w:rPr>
          <w:color w:val="000000" w:themeColor="text1"/>
        </w:rPr>
        <w:t>was</w:t>
      </w:r>
      <w:r w:rsidR="00B329D0" w:rsidRPr="00694788">
        <w:rPr>
          <w:color w:val="000000" w:themeColor="text1"/>
        </w:rPr>
        <w:t xml:space="preserve"> inferior to 5.0%. </w:t>
      </w:r>
      <w:r w:rsidR="008C2465" w:rsidRPr="008C266A">
        <w:t xml:space="preserve">The choice of a proper thermodynamic model showed its relevance to minimize the deviation values. </w:t>
      </w:r>
      <w:r w:rsidR="004E39CB" w:rsidRPr="008C266A">
        <w:t>The most suitable model d</w:t>
      </w:r>
      <w:r w:rsidR="008C2465" w:rsidRPr="008C266A">
        <w:t>epend</w:t>
      </w:r>
      <w:r w:rsidR="004E39CB" w:rsidRPr="008C266A">
        <w:t>ed</w:t>
      </w:r>
      <w:r w:rsidR="008C2465" w:rsidRPr="008C266A">
        <w:t xml:space="preserve"> upon the mixture binary</w:t>
      </w:r>
      <w:r w:rsidR="004E39CB" w:rsidRPr="008C266A">
        <w:t>.</w:t>
      </w:r>
      <w:r w:rsidR="007D023C" w:rsidRPr="008C266A">
        <w:t xml:space="preserve"> </w:t>
      </w:r>
      <w:r w:rsidR="00B329D0" w:rsidRPr="00694788">
        <w:rPr>
          <w:color w:val="000000" w:themeColor="text1"/>
        </w:rPr>
        <w:t xml:space="preserve">The most contribution is to represent the molecular distillation by </w:t>
      </w:r>
      <w:r w:rsidR="008642FE" w:rsidRPr="00694788">
        <w:rPr>
          <w:color w:val="000000" w:themeColor="text1"/>
        </w:rPr>
        <w:t>available tools in the Aspen Plus</w:t>
      </w:r>
      <w:r w:rsidR="008642FE" w:rsidRPr="00694788">
        <w:rPr>
          <w:color w:val="000000" w:themeColor="text1"/>
          <w:vertAlign w:val="superscript"/>
        </w:rPr>
        <w:sym w:font="Symbol" w:char="F0D2"/>
      </w:r>
      <w:r w:rsidR="008642FE" w:rsidRPr="00694788">
        <w:rPr>
          <w:color w:val="000000" w:themeColor="text1"/>
        </w:rPr>
        <w:t xml:space="preserve"> </w:t>
      </w:r>
      <w:r w:rsidR="00B329D0" w:rsidRPr="00694788">
        <w:rPr>
          <w:color w:val="000000" w:themeColor="text1"/>
        </w:rPr>
        <w:t xml:space="preserve">and be integrated </w:t>
      </w:r>
      <w:r w:rsidR="00A73039" w:rsidRPr="00694788">
        <w:rPr>
          <w:color w:val="000000" w:themeColor="text1"/>
        </w:rPr>
        <w:t>into</w:t>
      </w:r>
      <w:r w:rsidR="00B329D0" w:rsidRPr="00694788">
        <w:rPr>
          <w:color w:val="000000" w:themeColor="text1"/>
        </w:rPr>
        <w:t xml:space="preserve"> a whole process. </w:t>
      </w:r>
      <w:r w:rsidR="00E646CC" w:rsidRPr="00694788">
        <w:rPr>
          <w:color w:val="000000" w:themeColor="text1"/>
        </w:rPr>
        <w:t>A general</w:t>
      </w:r>
      <w:r w:rsidR="00B329D0" w:rsidRPr="00694788">
        <w:rPr>
          <w:color w:val="000000" w:themeColor="text1"/>
        </w:rPr>
        <w:t xml:space="preserve"> process overview possibilities a cost-benefit </w:t>
      </w:r>
      <w:r w:rsidR="00A73039" w:rsidRPr="00694788">
        <w:rPr>
          <w:color w:val="000000" w:themeColor="text1"/>
        </w:rPr>
        <w:t>analysis</w:t>
      </w:r>
      <w:r w:rsidR="00B329D0" w:rsidRPr="00694788">
        <w:rPr>
          <w:color w:val="000000" w:themeColor="text1"/>
        </w:rPr>
        <w:t xml:space="preserve"> before detailed design for each device.</w:t>
      </w:r>
    </w:p>
    <w:p w14:paraId="07A6D20F" w14:textId="4798CAC0" w:rsidR="00A17C8E" w:rsidRPr="00280FAF" w:rsidRDefault="00280FAF" w:rsidP="00A96A0C">
      <w:pPr>
        <w:pStyle w:val="CETAcknowledgementstitle"/>
        <w:sectPr w:rsidR="00A17C8E"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42FAA691" w14:textId="2E739045" w:rsidR="00280FAF" w:rsidRPr="00280FAF" w:rsidRDefault="00280FAF" w:rsidP="00280FAF">
      <w:pPr>
        <w:pStyle w:val="CETBodytext"/>
        <w:jc w:val="left"/>
        <w:rPr>
          <w:rFonts w:eastAsia="SimSun"/>
        </w:rPr>
      </w:pPr>
      <w:r w:rsidRPr="00280FAF">
        <w:rPr>
          <w:rFonts w:eastAsia="SimSun"/>
        </w:rPr>
        <w:t>T</w:t>
      </w:r>
      <w:r w:rsidR="00A17C8E">
        <w:rPr>
          <w:rFonts w:eastAsia="SimSun"/>
          <w:vertAlign w:val="subscript"/>
        </w:rPr>
        <w:t>MD</w:t>
      </w:r>
      <w:r w:rsidRPr="00280FAF">
        <w:rPr>
          <w:rFonts w:eastAsia="SimSun"/>
        </w:rPr>
        <w:t xml:space="preserve"> – </w:t>
      </w:r>
      <w:r w:rsidR="00A17C8E">
        <w:rPr>
          <w:rFonts w:eastAsia="SimSun"/>
        </w:rPr>
        <w:t>Evaporator temperature using molecular distillation,</w:t>
      </w:r>
      <w:r w:rsidRPr="00280FAF">
        <w:rPr>
          <w:rFonts w:eastAsia="SimSun"/>
        </w:rPr>
        <w:t xml:space="preserve"> </w:t>
      </w:r>
      <w:r w:rsidR="00A17C8E">
        <w:rPr>
          <w:rFonts w:eastAsia="SimSun"/>
        </w:rPr>
        <w:sym w:font="Symbol" w:char="F0B0"/>
      </w:r>
      <w:r w:rsidR="00A17C8E">
        <w:rPr>
          <w:rFonts w:eastAsia="SimSun"/>
        </w:rPr>
        <w:t>C</w:t>
      </w:r>
    </w:p>
    <w:p w14:paraId="2DEAD903" w14:textId="291597F4" w:rsidR="00A17C8E" w:rsidRDefault="00A17C8E" w:rsidP="00A17C8E">
      <w:pPr>
        <w:pStyle w:val="CETBodytext"/>
        <w:jc w:val="left"/>
        <w:rPr>
          <w:rFonts w:eastAsia="SimSun"/>
        </w:rPr>
      </w:pPr>
      <w:r w:rsidRPr="00280FAF">
        <w:rPr>
          <w:rFonts w:eastAsia="SimSun"/>
        </w:rPr>
        <w:t>T</w:t>
      </w:r>
      <w:r>
        <w:rPr>
          <w:rFonts w:eastAsia="SimSun"/>
          <w:vertAlign w:val="subscript"/>
        </w:rPr>
        <w:t>FLASH</w:t>
      </w:r>
      <w:r w:rsidRPr="00280FAF">
        <w:rPr>
          <w:rFonts w:eastAsia="SimSun"/>
        </w:rPr>
        <w:t xml:space="preserve"> – </w:t>
      </w:r>
      <w:r>
        <w:rPr>
          <w:rFonts w:eastAsia="SimSun"/>
        </w:rPr>
        <w:t>Flash temperature,</w:t>
      </w:r>
      <w:r w:rsidRPr="00280FAF">
        <w:rPr>
          <w:rFonts w:eastAsia="SimSun"/>
        </w:rPr>
        <w:t xml:space="preserve"> </w:t>
      </w:r>
      <w:r>
        <w:rPr>
          <w:rFonts w:eastAsia="SimSun"/>
        </w:rPr>
        <w:sym w:font="Symbol" w:char="F0B0"/>
      </w:r>
      <w:r>
        <w:rPr>
          <w:rFonts w:eastAsia="SimSun"/>
        </w:rPr>
        <w:t>C</w:t>
      </w:r>
    </w:p>
    <w:p w14:paraId="2AC20DF0" w14:textId="16A526C1" w:rsidR="00A17C8E" w:rsidRDefault="00A17C8E" w:rsidP="00A17C8E">
      <w:pPr>
        <w:pStyle w:val="CETBodytext"/>
        <w:jc w:val="left"/>
        <w:rPr>
          <w:rFonts w:eastAsia="SimSun"/>
        </w:rPr>
      </w:pPr>
      <w:r w:rsidRPr="00280FAF">
        <w:rPr>
          <w:rFonts w:eastAsia="SimSun"/>
        </w:rPr>
        <w:t>T</w:t>
      </w:r>
      <w:r>
        <w:rPr>
          <w:rFonts w:eastAsia="SimSun"/>
          <w:vertAlign w:val="subscript"/>
        </w:rPr>
        <w:t xml:space="preserve">RATE-BASED </w:t>
      </w:r>
      <w:r w:rsidRPr="00280FAF">
        <w:rPr>
          <w:rFonts w:eastAsia="SimSun"/>
        </w:rPr>
        <w:t xml:space="preserve">– </w:t>
      </w:r>
      <w:r>
        <w:rPr>
          <w:rFonts w:eastAsia="SimSun"/>
        </w:rPr>
        <w:t>Rad-frac column at mode rate-based temperature,</w:t>
      </w:r>
      <w:r w:rsidRPr="00280FAF">
        <w:rPr>
          <w:rFonts w:eastAsia="SimSun"/>
        </w:rPr>
        <w:t xml:space="preserve"> </w:t>
      </w:r>
      <w:r>
        <w:rPr>
          <w:rFonts w:eastAsia="SimSun"/>
        </w:rPr>
        <w:sym w:font="Symbol" w:char="F0B0"/>
      </w:r>
      <w:r>
        <w:rPr>
          <w:rFonts w:eastAsia="SimSun"/>
        </w:rPr>
        <w:t>C</w:t>
      </w:r>
    </w:p>
    <w:p w14:paraId="55D6AED2" w14:textId="3375F9B8" w:rsidR="00504FF7" w:rsidRPr="008C266A" w:rsidRDefault="00504FF7" w:rsidP="00504FF7">
      <w:pPr>
        <w:pStyle w:val="CETBodytext"/>
        <w:jc w:val="left"/>
        <w:rPr>
          <w:rFonts w:eastAsia="SimSun"/>
        </w:rPr>
      </w:pPr>
      <w:r w:rsidRPr="008C266A">
        <w:rPr>
          <w:rFonts w:eastAsia="SimSun"/>
        </w:rPr>
        <w:t xml:space="preserve">y </w:t>
      </w:r>
      <w:r w:rsidRPr="008C266A">
        <w:rPr>
          <w:rFonts w:eastAsia="SimSun"/>
          <w:vertAlign w:val="subscript"/>
        </w:rPr>
        <w:t>MD</w:t>
      </w:r>
      <w:r w:rsidRPr="008C266A">
        <w:rPr>
          <w:rFonts w:eastAsia="SimSun"/>
        </w:rPr>
        <w:t xml:space="preserve"> – Mass fraction using molecular distillation </w:t>
      </w:r>
    </w:p>
    <w:p w14:paraId="27FD9817" w14:textId="041F3030" w:rsidR="00504FF7" w:rsidRPr="008C266A" w:rsidRDefault="00504FF7" w:rsidP="00504FF7">
      <w:pPr>
        <w:pStyle w:val="CETBodytext"/>
        <w:jc w:val="left"/>
        <w:rPr>
          <w:rFonts w:eastAsia="SimSun"/>
        </w:rPr>
      </w:pPr>
      <w:r w:rsidRPr="008C266A">
        <w:rPr>
          <w:rFonts w:eastAsia="SimSun"/>
        </w:rPr>
        <w:t xml:space="preserve">y </w:t>
      </w:r>
      <w:r w:rsidRPr="008C266A">
        <w:rPr>
          <w:rFonts w:eastAsia="SimSun"/>
          <w:vertAlign w:val="subscript"/>
        </w:rPr>
        <w:t>FLASH</w:t>
      </w:r>
      <w:r w:rsidRPr="008C266A">
        <w:rPr>
          <w:rFonts w:eastAsia="SimSun"/>
        </w:rPr>
        <w:t xml:space="preserve"> – Mass fraction using flash in </w:t>
      </w:r>
      <w:r w:rsidRPr="008C266A">
        <w:t>the commercial simulator Aspen Plus®</w:t>
      </w:r>
    </w:p>
    <w:p w14:paraId="4C618FCE" w14:textId="1DFDE35B" w:rsidR="00504FF7" w:rsidRPr="008C266A" w:rsidRDefault="00504FF7" w:rsidP="00A17C8E">
      <w:pPr>
        <w:pStyle w:val="CETBodytext"/>
        <w:jc w:val="left"/>
        <w:rPr>
          <w:rFonts w:eastAsia="SimSun"/>
        </w:rPr>
      </w:pPr>
      <w:r w:rsidRPr="008C266A">
        <w:rPr>
          <w:rFonts w:eastAsia="SimSun"/>
        </w:rPr>
        <w:t xml:space="preserve">y </w:t>
      </w:r>
      <w:r w:rsidRPr="008C266A">
        <w:rPr>
          <w:rFonts w:eastAsia="SimSun"/>
          <w:vertAlign w:val="subscript"/>
        </w:rPr>
        <w:t xml:space="preserve">RATE-BASED </w:t>
      </w:r>
      <w:r w:rsidRPr="008C266A">
        <w:rPr>
          <w:rFonts w:eastAsia="SimSun"/>
        </w:rPr>
        <w:t xml:space="preserve">– Mass fraction using the column rate-based in </w:t>
      </w:r>
      <w:r w:rsidRPr="008C266A">
        <w:t>the commercial simulator Aspen Plus®</w:t>
      </w:r>
    </w:p>
    <w:p w14:paraId="459D05E6" w14:textId="77777777" w:rsidR="00600535" w:rsidRPr="00B57B36" w:rsidRDefault="00600535" w:rsidP="00600535">
      <w:pPr>
        <w:pStyle w:val="CETAcknowledgementstitle"/>
      </w:pPr>
      <w:r w:rsidRPr="00B57B36">
        <w:t>Acknowledgments</w:t>
      </w:r>
    </w:p>
    <w:p w14:paraId="33F8138F" w14:textId="75EA6B91" w:rsidR="00600535" w:rsidRPr="008B3FB5" w:rsidRDefault="00BC1A66" w:rsidP="00600535">
      <w:pPr>
        <w:pStyle w:val="CETBodytext"/>
      </w:pPr>
      <w:r w:rsidRPr="00BC1A66">
        <w:t>The authors would like to grant #</w:t>
      </w:r>
      <w:r>
        <w:t>2015/20630-4 São Paulo Research Foundation (FAPESP)</w:t>
      </w:r>
      <w:r w:rsidR="0070652E">
        <w:t xml:space="preserve"> and </w:t>
      </w:r>
      <w:r w:rsidR="006E5180">
        <w:t xml:space="preserve">to </w:t>
      </w:r>
      <w:r w:rsidR="006E5180" w:rsidRPr="008B3FB5">
        <w:t xml:space="preserve">grant </w:t>
      </w:r>
      <w:proofErr w:type="gramStart"/>
      <w:r w:rsidR="006E5180" w:rsidRPr="008B3FB5">
        <w:t>#  313952</w:t>
      </w:r>
      <w:proofErr w:type="gramEnd"/>
      <w:r w:rsidR="006E5180" w:rsidRPr="008B3FB5">
        <w:t xml:space="preserve">/2020-5 </w:t>
      </w:r>
      <w:proofErr w:type="spellStart"/>
      <w:r w:rsidR="0070652E" w:rsidRPr="008B3FB5">
        <w:t>CNPq</w:t>
      </w:r>
      <w:proofErr w:type="spellEnd"/>
      <w:r w:rsidR="0070652E" w:rsidRPr="008B3FB5">
        <w:t>.</w:t>
      </w:r>
    </w:p>
    <w:p w14:paraId="098EE560" w14:textId="20E83DF0" w:rsidR="00B11E0E" w:rsidRPr="00C051EF" w:rsidRDefault="00600535" w:rsidP="000E2FE4">
      <w:pPr>
        <w:pStyle w:val="CETReference"/>
        <w:rPr>
          <w:lang w:val="en-US"/>
        </w:rPr>
      </w:pPr>
      <w:r w:rsidRPr="00C051EF">
        <w:rPr>
          <w:lang w:val="en-US"/>
        </w:rPr>
        <w:t>References</w:t>
      </w:r>
    </w:p>
    <w:p w14:paraId="3932F933" w14:textId="49F7C6A1" w:rsidR="00C367DB" w:rsidRDefault="00C367DB" w:rsidP="00C367DB">
      <w:pPr>
        <w:pStyle w:val="CETReferencetext"/>
      </w:pPr>
      <w:proofErr w:type="spellStart"/>
      <w:r w:rsidRPr="00C367DB">
        <w:t>Batistella</w:t>
      </w:r>
      <w:proofErr w:type="spellEnd"/>
      <w:r w:rsidRPr="00C367DB">
        <w:t>, C. B., Maciel, M.R.W</w:t>
      </w:r>
      <w:r w:rsidR="00B11E0E">
        <w:t>.</w:t>
      </w:r>
      <w:r w:rsidRPr="00C367DB">
        <w:t xml:space="preserve">, 1996, Modeling, Simulation and Analysis of Molecular </w:t>
      </w:r>
      <w:proofErr w:type="spellStart"/>
      <w:r w:rsidRPr="00C367DB">
        <w:t>Distillators</w:t>
      </w:r>
      <w:proofErr w:type="spellEnd"/>
      <w:r w:rsidRPr="00C367DB">
        <w:t xml:space="preserve">: Centrifugal and Falling Film, </w:t>
      </w:r>
      <w:proofErr w:type="spellStart"/>
      <w:r w:rsidRPr="00C367DB">
        <w:t>Comput</w:t>
      </w:r>
      <w:proofErr w:type="spellEnd"/>
      <w:r w:rsidRPr="00C367DB">
        <w:t xml:space="preserve">. Chem. Eng, 20, S19–S24. </w:t>
      </w:r>
    </w:p>
    <w:p w14:paraId="7EBEE2A5" w14:textId="0A79B717" w:rsidR="001969CA" w:rsidRPr="001969CA" w:rsidRDefault="001969CA" w:rsidP="001969CA">
      <w:pPr>
        <w:pStyle w:val="CETReferencetext"/>
        <w:rPr>
          <w:lang w:val="en-US"/>
        </w:rPr>
      </w:pPr>
      <w:r w:rsidRPr="00B347FC">
        <w:rPr>
          <w:lang w:val="en-US"/>
        </w:rPr>
        <w:t xml:space="preserve">Durán, M.A.; </w:t>
      </w:r>
      <w:proofErr w:type="spellStart"/>
      <w:r w:rsidRPr="00B347FC">
        <w:rPr>
          <w:lang w:val="en-US"/>
        </w:rPr>
        <w:t>Maciel</w:t>
      </w:r>
      <w:proofErr w:type="spellEnd"/>
      <w:r w:rsidRPr="00B347FC">
        <w:rPr>
          <w:lang w:val="en-US"/>
        </w:rPr>
        <w:t xml:space="preserve">, Filho, R.; </w:t>
      </w:r>
      <w:proofErr w:type="spellStart"/>
      <w:r w:rsidRPr="00B347FC">
        <w:rPr>
          <w:lang w:val="en-US"/>
        </w:rPr>
        <w:t>Maciel</w:t>
      </w:r>
      <w:proofErr w:type="spellEnd"/>
      <w:r w:rsidRPr="00B347FC">
        <w:rPr>
          <w:lang w:val="en-US"/>
        </w:rPr>
        <w:t>, M. R. W., 2010 – Rate-Based Modeli</w:t>
      </w:r>
      <w:r>
        <w:rPr>
          <w:lang w:val="en-US"/>
        </w:rPr>
        <w:t>ng Approach and Simulation for Molecular Distillation of Green Coffee Oil. 20</w:t>
      </w:r>
      <w:r w:rsidRPr="00B347FC">
        <w:rPr>
          <w:vertAlign w:val="superscript"/>
          <w:lang w:val="en-US"/>
        </w:rPr>
        <w:t>th</w:t>
      </w:r>
      <w:r>
        <w:rPr>
          <w:lang w:val="en-US"/>
        </w:rPr>
        <w:t xml:space="preserve"> European Symposium on Computer Aided Process Engineering – ESCAPE20.</w:t>
      </w:r>
    </w:p>
    <w:p w14:paraId="1EA62A74" w14:textId="289BA0FA" w:rsidR="00B11E0E" w:rsidRPr="00B11E0E" w:rsidRDefault="00B11E0E" w:rsidP="00B11E0E">
      <w:pPr>
        <w:pStyle w:val="CETReferencetext"/>
      </w:pPr>
      <w:r w:rsidRPr="00B11E0E">
        <w:t xml:space="preserve">Deng </w:t>
      </w:r>
      <w:r w:rsidRPr="000E2FE4">
        <w:t>W</w:t>
      </w:r>
      <w:r w:rsidRPr="00B11E0E">
        <w:t>.</w:t>
      </w:r>
      <w:r w:rsidRPr="000E2FE4">
        <w:t>, D</w:t>
      </w:r>
      <w:r w:rsidRPr="00B11E0E">
        <w:t>eng Y.</w:t>
      </w:r>
      <w:r w:rsidRPr="000E2FE4">
        <w:t>, Z</w:t>
      </w:r>
      <w:r w:rsidRPr="00B11E0E">
        <w:t>hao W.</w:t>
      </w:r>
      <w:r w:rsidRPr="000E2FE4">
        <w:t xml:space="preserve">, </w:t>
      </w:r>
      <w:r w:rsidRPr="00B11E0E">
        <w:t>Zhang R.</w:t>
      </w:r>
      <w:r w:rsidRPr="000E2FE4">
        <w:t>,</w:t>
      </w:r>
      <w:r w:rsidRPr="00B11E0E">
        <w:t xml:space="preserve"> Jiang, Y., 2022, Experimental and computer simulation of a molecular distillation process for the dehydration of tetramethylammonium hydroxide solution, Sep. </w:t>
      </w:r>
      <w:proofErr w:type="spellStart"/>
      <w:r w:rsidRPr="00B11E0E">
        <w:t>Purif</w:t>
      </w:r>
      <w:proofErr w:type="spellEnd"/>
      <w:r w:rsidRPr="00B11E0E">
        <w:t xml:space="preserve">. </w:t>
      </w:r>
      <w:proofErr w:type="spellStart"/>
      <w:r w:rsidRPr="00B11E0E">
        <w:t>Technol</w:t>
      </w:r>
      <w:proofErr w:type="spellEnd"/>
      <w:r w:rsidRPr="00B11E0E">
        <w:t>, 288, 120701.</w:t>
      </w:r>
      <w:r>
        <w:t xml:space="preserve"> </w:t>
      </w:r>
    </w:p>
    <w:p w14:paraId="362DC7C1" w14:textId="1BF72D31" w:rsidR="00A17C8E" w:rsidRPr="00A17C8E" w:rsidRDefault="00C367DB" w:rsidP="00A17C8E">
      <w:pPr>
        <w:pStyle w:val="CETReferencetext"/>
      </w:pPr>
      <w:proofErr w:type="spellStart"/>
      <w:r w:rsidRPr="00C367DB">
        <w:t>Engy</w:t>
      </w:r>
      <w:proofErr w:type="spellEnd"/>
      <w:r w:rsidRPr="00C367DB">
        <w:t xml:space="preserve"> A., </w:t>
      </w:r>
      <w:proofErr w:type="spellStart"/>
      <w:r w:rsidRPr="00C367DB">
        <w:t>Mahrous</w:t>
      </w:r>
      <w:proofErr w:type="spellEnd"/>
      <w:r w:rsidRPr="00C367DB">
        <w:t xml:space="preserve"> M.A., Farag., 2021, Trends and Applications of Molecular Distillation in Pharmaceutical and Food Industries, Separation &amp; Purification Reviews. DOI: 0.1080/15422119.2021.1924205</w:t>
      </w:r>
      <w:r w:rsidR="00A17C8E">
        <w:t>.</w:t>
      </w:r>
    </w:p>
    <w:p w14:paraId="196765FE" w14:textId="6445AC38" w:rsidR="00C367DB" w:rsidRPr="00C367DB" w:rsidRDefault="00A17C8E" w:rsidP="00A17C8E">
      <w:pPr>
        <w:pStyle w:val="CETReferencetext"/>
      </w:pPr>
      <w:r w:rsidRPr="00A17C8E">
        <w:t xml:space="preserve">Lista A.E., Quintero H.I., </w:t>
      </w:r>
      <w:proofErr w:type="spellStart"/>
      <w:r w:rsidRPr="00A17C8E">
        <w:t>Batistella</w:t>
      </w:r>
      <w:proofErr w:type="spellEnd"/>
      <w:r w:rsidRPr="00A17C8E">
        <w:t xml:space="preserve"> C.B., Wolf </w:t>
      </w:r>
      <w:proofErr w:type="spellStart"/>
      <w:r w:rsidRPr="00A17C8E">
        <w:t>Maciel</w:t>
      </w:r>
      <w:proofErr w:type="spellEnd"/>
      <w:r w:rsidRPr="00A17C8E">
        <w:t xml:space="preserve"> M.R., 2022, </w:t>
      </w:r>
      <w:proofErr w:type="spellStart"/>
      <w:r w:rsidRPr="00A17C8E">
        <w:t>Biolubricant</w:t>
      </w:r>
      <w:proofErr w:type="spellEnd"/>
      <w:r w:rsidRPr="00A17C8E">
        <w:t xml:space="preserve"> Production: from the Acknowledgment of Experimental Plant Using Molecular Distillation as Downstream Process, the Development of a Unit Operation </w:t>
      </w:r>
      <w:proofErr w:type="gramStart"/>
      <w:r w:rsidRPr="00A17C8E">
        <w:t>Into</w:t>
      </w:r>
      <w:proofErr w:type="gramEnd"/>
      <w:r w:rsidRPr="00A17C8E">
        <w:t xml:space="preserve"> Aspen Plus®, Chemical Engineering Transactions, 92, 541-546 DOI:10.3303/CET2292091</w:t>
      </w:r>
      <w:r>
        <w:t>.</w:t>
      </w:r>
    </w:p>
    <w:p w14:paraId="1BBD4EC3" w14:textId="31211420" w:rsidR="00C367DB" w:rsidRDefault="00C367DB" w:rsidP="007A3920">
      <w:pPr>
        <w:pStyle w:val="CETReferencetext"/>
      </w:pPr>
      <w:r w:rsidRPr="007A3920">
        <w:t xml:space="preserve">Martinello, M. A., Bonino, F., </w:t>
      </w:r>
      <w:proofErr w:type="spellStart"/>
      <w:r w:rsidRPr="007A3920">
        <w:t>Gatica</w:t>
      </w:r>
      <w:proofErr w:type="spellEnd"/>
      <w:r w:rsidRPr="007A3920">
        <w:t xml:space="preserve">, E. A., </w:t>
      </w:r>
      <w:proofErr w:type="spellStart"/>
      <w:r w:rsidRPr="007A3920">
        <w:t>Pramparo</w:t>
      </w:r>
      <w:proofErr w:type="spellEnd"/>
      <w:r w:rsidRPr="007A3920">
        <w:t xml:space="preserve">, M. C., 2003, </w:t>
      </w:r>
      <w:r w:rsidR="003F43B9" w:rsidRPr="007A3920">
        <w:t>Modeling and Analysis of falling film molecular distillation (in Spanish)</w:t>
      </w:r>
      <w:r w:rsidRPr="007A3920">
        <w:t xml:space="preserve">, </w:t>
      </w:r>
      <w:proofErr w:type="spellStart"/>
      <w:r w:rsidRPr="007A3920">
        <w:t>Mecánica</w:t>
      </w:r>
      <w:proofErr w:type="spellEnd"/>
      <w:r w:rsidRPr="007A3920">
        <w:t xml:space="preserve"> </w:t>
      </w:r>
      <w:proofErr w:type="spellStart"/>
      <w:r w:rsidRPr="007A3920">
        <w:t>Computacional</w:t>
      </w:r>
      <w:proofErr w:type="spellEnd"/>
      <w:r w:rsidRPr="007A3920">
        <w:t xml:space="preserve"> Vol. XXII. </w:t>
      </w:r>
    </w:p>
    <w:p w14:paraId="48835E90" w14:textId="77777777" w:rsidR="00C367DB" w:rsidRPr="00C367DB" w:rsidRDefault="00C367DB" w:rsidP="00C367DB">
      <w:pPr>
        <w:pStyle w:val="CETReferencetext"/>
      </w:pPr>
      <w:r w:rsidRPr="00C367DB">
        <w:t xml:space="preserve">Perez H.I.Q., 2012, Development and evaluation of methodologies for purification of </w:t>
      </w:r>
      <w:proofErr w:type="spellStart"/>
      <w:r w:rsidRPr="00C367DB">
        <w:t>biolubricants</w:t>
      </w:r>
      <w:proofErr w:type="spellEnd"/>
      <w:r w:rsidRPr="00C367DB">
        <w:t xml:space="preserve"> using distillation molecular (in Portuguese), PhD Thesis, Laboratory of Separation Process Development, School of Chemical Engineering, State University of Campinas, São Paulo, Brazil. </w:t>
      </w:r>
    </w:p>
    <w:p w14:paraId="19C4FC68" w14:textId="21899098" w:rsidR="004628D2" w:rsidRPr="00B11E0E" w:rsidRDefault="00C367DB" w:rsidP="00274226">
      <w:pPr>
        <w:pStyle w:val="CETReferencetext"/>
      </w:pPr>
      <w:r w:rsidRPr="00C367DB">
        <w:t xml:space="preserve">Tehlah N., </w:t>
      </w:r>
      <w:proofErr w:type="spellStart"/>
      <w:r w:rsidRPr="00C367DB">
        <w:t>Kaewpradit</w:t>
      </w:r>
      <w:proofErr w:type="spellEnd"/>
      <w:r w:rsidRPr="00C367DB">
        <w:t>, P., Mujtaba I.M., 2017, Development of Molecular Distillation Based Simulation and Optimization of Refined Palm Oil Process Based on Response Surface Methodology, Processes, 5, 40.</w:t>
      </w:r>
      <w:r w:rsidR="00274226">
        <w:t xml:space="preserve"> </w:t>
      </w:r>
    </w:p>
    <w:sectPr w:rsidR="004628D2" w:rsidRPr="00B11E0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2E93" w14:textId="77777777" w:rsidR="001F53CB" w:rsidRDefault="001F53CB" w:rsidP="004F5E36">
      <w:r>
        <w:separator/>
      </w:r>
    </w:p>
  </w:endnote>
  <w:endnote w:type="continuationSeparator" w:id="0">
    <w:p w14:paraId="0FC5FC42" w14:textId="77777777" w:rsidR="001F53CB" w:rsidRDefault="001F53C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DC1B" w14:textId="77777777" w:rsidR="001F53CB" w:rsidRDefault="001F53CB" w:rsidP="004F5E36">
      <w:r>
        <w:separator/>
      </w:r>
    </w:p>
  </w:footnote>
  <w:footnote w:type="continuationSeparator" w:id="0">
    <w:p w14:paraId="168F0390" w14:textId="77777777" w:rsidR="001F53CB" w:rsidRDefault="001F53C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1C20E1"/>
    <w:multiLevelType w:val="hybridMultilevel"/>
    <w:tmpl w:val="156AED40"/>
    <w:lvl w:ilvl="0" w:tplc="AA645F5E">
      <w:start w:val="2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76DA1"/>
    <w:multiLevelType w:val="hybridMultilevel"/>
    <w:tmpl w:val="DCC29B26"/>
    <w:lvl w:ilvl="0" w:tplc="98FA392C">
      <w:numFmt w:val="bullet"/>
      <w:lvlText w:val="-"/>
      <w:lvlJc w:val="left"/>
      <w:pPr>
        <w:ind w:left="473" w:hanging="360"/>
      </w:pPr>
      <w:rPr>
        <w:rFonts w:ascii="Arial" w:eastAsia="Times New Roman" w:hAnsi="Arial" w:cs="Aria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21917398">
    <w:abstractNumId w:val="12"/>
  </w:num>
  <w:num w:numId="2" w16cid:durableId="1696153114">
    <w:abstractNumId w:val="8"/>
  </w:num>
  <w:num w:numId="3" w16cid:durableId="1352221597">
    <w:abstractNumId w:val="3"/>
  </w:num>
  <w:num w:numId="4" w16cid:durableId="549922872">
    <w:abstractNumId w:val="2"/>
  </w:num>
  <w:num w:numId="5" w16cid:durableId="965163605">
    <w:abstractNumId w:val="1"/>
  </w:num>
  <w:num w:numId="6" w16cid:durableId="2031644309">
    <w:abstractNumId w:val="0"/>
  </w:num>
  <w:num w:numId="7" w16cid:durableId="1687444484">
    <w:abstractNumId w:val="9"/>
  </w:num>
  <w:num w:numId="8" w16cid:durableId="1486315891">
    <w:abstractNumId w:val="7"/>
  </w:num>
  <w:num w:numId="9" w16cid:durableId="1915818929">
    <w:abstractNumId w:val="6"/>
  </w:num>
  <w:num w:numId="10" w16cid:durableId="1231771966">
    <w:abstractNumId w:val="5"/>
  </w:num>
  <w:num w:numId="11" w16cid:durableId="642778606">
    <w:abstractNumId w:val="4"/>
  </w:num>
  <w:num w:numId="12" w16cid:durableId="61560403">
    <w:abstractNumId w:val="19"/>
  </w:num>
  <w:num w:numId="13" w16cid:durableId="874539562">
    <w:abstractNumId w:val="14"/>
  </w:num>
  <w:num w:numId="14" w16cid:durableId="819423509">
    <w:abstractNumId w:val="20"/>
  </w:num>
  <w:num w:numId="15" w16cid:durableId="341128484">
    <w:abstractNumId w:val="22"/>
  </w:num>
  <w:num w:numId="16" w16cid:durableId="1249193536">
    <w:abstractNumId w:val="21"/>
  </w:num>
  <w:num w:numId="17" w16cid:durableId="671179927">
    <w:abstractNumId w:val="13"/>
  </w:num>
  <w:num w:numId="18" w16cid:durableId="1507524825">
    <w:abstractNumId w:val="14"/>
    <w:lvlOverride w:ilvl="0">
      <w:startOverride w:val="1"/>
    </w:lvlOverride>
  </w:num>
  <w:num w:numId="19" w16cid:durableId="453406898">
    <w:abstractNumId w:val="18"/>
  </w:num>
  <w:num w:numId="20" w16cid:durableId="503597239">
    <w:abstractNumId w:val="17"/>
  </w:num>
  <w:num w:numId="21" w16cid:durableId="1840578903">
    <w:abstractNumId w:val="16"/>
  </w:num>
  <w:num w:numId="22" w16cid:durableId="1451631029">
    <w:abstractNumId w:val="15"/>
  </w:num>
  <w:num w:numId="23" w16cid:durableId="907616002">
    <w:abstractNumId w:val="12"/>
  </w:num>
  <w:num w:numId="24" w16cid:durableId="1240090504">
    <w:abstractNumId w:val="10"/>
  </w:num>
  <w:num w:numId="25" w16cid:durableId="458299867">
    <w:abstractNumId w:val="11"/>
  </w:num>
  <w:num w:numId="26" w16cid:durableId="51777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D8C"/>
    <w:rsid w:val="000102B8"/>
    <w:rsid w:val="000117CB"/>
    <w:rsid w:val="0002079E"/>
    <w:rsid w:val="0002240E"/>
    <w:rsid w:val="000226C5"/>
    <w:rsid w:val="000313CA"/>
    <w:rsid w:val="0003148D"/>
    <w:rsid w:val="00031EEC"/>
    <w:rsid w:val="00051566"/>
    <w:rsid w:val="000534CB"/>
    <w:rsid w:val="000562A9"/>
    <w:rsid w:val="00060329"/>
    <w:rsid w:val="00062A9A"/>
    <w:rsid w:val="00064B7A"/>
    <w:rsid w:val="00065058"/>
    <w:rsid w:val="00071750"/>
    <w:rsid w:val="00083C53"/>
    <w:rsid w:val="00086C39"/>
    <w:rsid w:val="000A03B2"/>
    <w:rsid w:val="000B3466"/>
    <w:rsid w:val="000B3903"/>
    <w:rsid w:val="000C1271"/>
    <w:rsid w:val="000C1A0F"/>
    <w:rsid w:val="000D0268"/>
    <w:rsid w:val="000D34BE"/>
    <w:rsid w:val="000E08A9"/>
    <w:rsid w:val="000E102F"/>
    <w:rsid w:val="000E2FE4"/>
    <w:rsid w:val="000E36F1"/>
    <w:rsid w:val="000E3A73"/>
    <w:rsid w:val="000E414A"/>
    <w:rsid w:val="000E51B3"/>
    <w:rsid w:val="000E7307"/>
    <w:rsid w:val="000F093C"/>
    <w:rsid w:val="000F5529"/>
    <w:rsid w:val="000F787B"/>
    <w:rsid w:val="001068ED"/>
    <w:rsid w:val="00110A34"/>
    <w:rsid w:val="00115B2E"/>
    <w:rsid w:val="001166BD"/>
    <w:rsid w:val="0012091F"/>
    <w:rsid w:val="00121B74"/>
    <w:rsid w:val="00126BC2"/>
    <w:rsid w:val="00127A69"/>
    <w:rsid w:val="001308B6"/>
    <w:rsid w:val="001310AE"/>
    <w:rsid w:val="0013121F"/>
    <w:rsid w:val="00131622"/>
    <w:rsid w:val="00131FE6"/>
    <w:rsid w:val="001323B9"/>
    <w:rsid w:val="0013263F"/>
    <w:rsid w:val="001331DF"/>
    <w:rsid w:val="00134DE4"/>
    <w:rsid w:val="0014034D"/>
    <w:rsid w:val="00143AE3"/>
    <w:rsid w:val="00144D16"/>
    <w:rsid w:val="0014682A"/>
    <w:rsid w:val="00146F7A"/>
    <w:rsid w:val="00150E59"/>
    <w:rsid w:val="00152DE3"/>
    <w:rsid w:val="001555C8"/>
    <w:rsid w:val="00156C5A"/>
    <w:rsid w:val="00162997"/>
    <w:rsid w:val="00164CF9"/>
    <w:rsid w:val="001667A6"/>
    <w:rsid w:val="00172F3D"/>
    <w:rsid w:val="001802E4"/>
    <w:rsid w:val="00180750"/>
    <w:rsid w:val="00184AD6"/>
    <w:rsid w:val="0018788A"/>
    <w:rsid w:val="001969CA"/>
    <w:rsid w:val="001A01FF"/>
    <w:rsid w:val="001A4AF7"/>
    <w:rsid w:val="001B0349"/>
    <w:rsid w:val="001B1E93"/>
    <w:rsid w:val="001B65C1"/>
    <w:rsid w:val="001C684B"/>
    <w:rsid w:val="001D0CFB"/>
    <w:rsid w:val="001D21AF"/>
    <w:rsid w:val="001D53FC"/>
    <w:rsid w:val="001F0EEC"/>
    <w:rsid w:val="001F1E04"/>
    <w:rsid w:val="001F42A5"/>
    <w:rsid w:val="001F50E0"/>
    <w:rsid w:val="001F53CB"/>
    <w:rsid w:val="001F7B9D"/>
    <w:rsid w:val="00201C93"/>
    <w:rsid w:val="0021004F"/>
    <w:rsid w:val="002224B4"/>
    <w:rsid w:val="00222875"/>
    <w:rsid w:val="00230AC0"/>
    <w:rsid w:val="0023610F"/>
    <w:rsid w:val="002420CF"/>
    <w:rsid w:val="002447EF"/>
    <w:rsid w:val="00251550"/>
    <w:rsid w:val="002523FC"/>
    <w:rsid w:val="00263B05"/>
    <w:rsid w:val="0027221A"/>
    <w:rsid w:val="002741FA"/>
    <w:rsid w:val="00274226"/>
    <w:rsid w:val="00275B61"/>
    <w:rsid w:val="0027726D"/>
    <w:rsid w:val="00280FAF"/>
    <w:rsid w:val="0028260D"/>
    <w:rsid w:val="00282656"/>
    <w:rsid w:val="00287891"/>
    <w:rsid w:val="00296553"/>
    <w:rsid w:val="00296B83"/>
    <w:rsid w:val="002A0C9B"/>
    <w:rsid w:val="002A3E17"/>
    <w:rsid w:val="002B0071"/>
    <w:rsid w:val="002B07BB"/>
    <w:rsid w:val="002B4015"/>
    <w:rsid w:val="002B7085"/>
    <w:rsid w:val="002B78CE"/>
    <w:rsid w:val="002C2FB6"/>
    <w:rsid w:val="002D764C"/>
    <w:rsid w:val="002E5FA7"/>
    <w:rsid w:val="002F1DEF"/>
    <w:rsid w:val="002F3309"/>
    <w:rsid w:val="002F6B5C"/>
    <w:rsid w:val="003008CE"/>
    <w:rsid w:val="003009B7"/>
    <w:rsid w:val="00300E56"/>
    <w:rsid w:val="0030152C"/>
    <w:rsid w:val="0030469C"/>
    <w:rsid w:val="00321CA6"/>
    <w:rsid w:val="00323763"/>
    <w:rsid w:val="00323C5F"/>
    <w:rsid w:val="00330B4A"/>
    <w:rsid w:val="00332D5B"/>
    <w:rsid w:val="00334C09"/>
    <w:rsid w:val="0036624B"/>
    <w:rsid w:val="003723D4"/>
    <w:rsid w:val="00381905"/>
    <w:rsid w:val="00384CC8"/>
    <w:rsid w:val="00385F2C"/>
    <w:rsid w:val="003871FD"/>
    <w:rsid w:val="00392C1E"/>
    <w:rsid w:val="003A1E30"/>
    <w:rsid w:val="003A2829"/>
    <w:rsid w:val="003A7D1C"/>
    <w:rsid w:val="003B304B"/>
    <w:rsid w:val="003B3146"/>
    <w:rsid w:val="003C2490"/>
    <w:rsid w:val="003C34BD"/>
    <w:rsid w:val="003F015E"/>
    <w:rsid w:val="003F1C51"/>
    <w:rsid w:val="003F43B9"/>
    <w:rsid w:val="00400414"/>
    <w:rsid w:val="00402378"/>
    <w:rsid w:val="004049A6"/>
    <w:rsid w:val="00413186"/>
    <w:rsid w:val="0041446B"/>
    <w:rsid w:val="00414B86"/>
    <w:rsid w:val="00417103"/>
    <w:rsid w:val="0042072D"/>
    <w:rsid w:val="00420BFC"/>
    <w:rsid w:val="004221BF"/>
    <w:rsid w:val="00425DE2"/>
    <w:rsid w:val="00426E4A"/>
    <w:rsid w:val="0044071E"/>
    <w:rsid w:val="0044329C"/>
    <w:rsid w:val="00444A36"/>
    <w:rsid w:val="00450591"/>
    <w:rsid w:val="00450C25"/>
    <w:rsid w:val="0045344C"/>
    <w:rsid w:val="00453E24"/>
    <w:rsid w:val="00457456"/>
    <w:rsid w:val="004577FE"/>
    <w:rsid w:val="00457B9C"/>
    <w:rsid w:val="00461075"/>
    <w:rsid w:val="0046164A"/>
    <w:rsid w:val="004628D2"/>
    <w:rsid w:val="00462DCD"/>
    <w:rsid w:val="004630FC"/>
    <w:rsid w:val="004648AD"/>
    <w:rsid w:val="00464B33"/>
    <w:rsid w:val="004703A9"/>
    <w:rsid w:val="004712E0"/>
    <w:rsid w:val="00473398"/>
    <w:rsid w:val="004760DE"/>
    <w:rsid w:val="004761B0"/>
    <w:rsid w:val="004763D7"/>
    <w:rsid w:val="00481443"/>
    <w:rsid w:val="004825D1"/>
    <w:rsid w:val="00497BE8"/>
    <w:rsid w:val="004A004E"/>
    <w:rsid w:val="004A00FB"/>
    <w:rsid w:val="004A24CF"/>
    <w:rsid w:val="004C3D1D"/>
    <w:rsid w:val="004C3D84"/>
    <w:rsid w:val="004C7913"/>
    <w:rsid w:val="004D501B"/>
    <w:rsid w:val="004E39CB"/>
    <w:rsid w:val="004E4DD6"/>
    <w:rsid w:val="004F573D"/>
    <w:rsid w:val="004F5E36"/>
    <w:rsid w:val="00504FF7"/>
    <w:rsid w:val="00506030"/>
    <w:rsid w:val="0050763D"/>
    <w:rsid w:val="00507B47"/>
    <w:rsid w:val="00507BEF"/>
    <w:rsid w:val="00507CC9"/>
    <w:rsid w:val="005119A5"/>
    <w:rsid w:val="0051261F"/>
    <w:rsid w:val="005147ED"/>
    <w:rsid w:val="005278B7"/>
    <w:rsid w:val="00532016"/>
    <w:rsid w:val="005346C8"/>
    <w:rsid w:val="00535AC4"/>
    <w:rsid w:val="00540B32"/>
    <w:rsid w:val="00543E7D"/>
    <w:rsid w:val="00545F74"/>
    <w:rsid w:val="0054741C"/>
    <w:rsid w:val="00547A68"/>
    <w:rsid w:val="00552122"/>
    <w:rsid w:val="005531C9"/>
    <w:rsid w:val="00566DC4"/>
    <w:rsid w:val="00570C43"/>
    <w:rsid w:val="0057346C"/>
    <w:rsid w:val="005945D4"/>
    <w:rsid w:val="005958F5"/>
    <w:rsid w:val="005B1639"/>
    <w:rsid w:val="005B2110"/>
    <w:rsid w:val="005B3000"/>
    <w:rsid w:val="005B61E6"/>
    <w:rsid w:val="005C1630"/>
    <w:rsid w:val="005C1796"/>
    <w:rsid w:val="005C77E1"/>
    <w:rsid w:val="005D0F7E"/>
    <w:rsid w:val="005D668A"/>
    <w:rsid w:val="005D6A2F"/>
    <w:rsid w:val="005E1A82"/>
    <w:rsid w:val="005E794C"/>
    <w:rsid w:val="005F0A28"/>
    <w:rsid w:val="005F0E5E"/>
    <w:rsid w:val="00600535"/>
    <w:rsid w:val="006034F0"/>
    <w:rsid w:val="00605A42"/>
    <w:rsid w:val="00610CD6"/>
    <w:rsid w:val="006144A9"/>
    <w:rsid w:val="00617401"/>
    <w:rsid w:val="00620DEE"/>
    <w:rsid w:val="00621F92"/>
    <w:rsid w:val="0062280A"/>
    <w:rsid w:val="00625639"/>
    <w:rsid w:val="006278B7"/>
    <w:rsid w:val="00631B33"/>
    <w:rsid w:val="0064184D"/>
    <w:rsid w:val="006422CC"/>
    <w:rsid w:val="0065090B"/>
    <w:rsid w:val="0065216F"/>
    <w:rsid w:val="00660E3E"/>
    <w:rsid w:val="00661F21"/>
    <w:rsid w:val="00662E74"/>
    <w:rsid w:val="00670B7F"/>
    <w:rsid w:val="006765F0"/>
    <w:rsid w:val="00680C23"/>
    <w:rsid w:val="00691BEA"/>
    <w:rsid w:val="00691F2A"/>
    <w:rsid w:val="00693766"/>
    <w:rsid w:val="00694788"/>
    <w:rsid w:val="00694E4C"/>
    <w:rsid w:val="006A1339"/>
    <w:rsid w:val="006A3281"/>
    <w:rsid w:val="006A7F84"/>
    <w:rsid w:val="006B4888"/>
    <w:rsid w:val="006C2912"/>
    <w:rsid w:val="006C2E45"/>
    <w:rsid w:val="006C359C"/>
    <w:rsid w:val="006C5579"/>
    <w:rsid w:val="006C568C"/>
    <w:rsid w:val="006D30E3"/>
    <w:rsid w:val="006D6E8B"/>
    <w:rsid w:val="006E2B34"/>
    <w:rsid w:val="006E5180"/>
    <w:rsid w:val="006E737D"/>
    <w:rsid w:val="0070652E"/>
    <w:rsid w:val="00713973"/>
    <w:rsid w:val="00716391"/>
    <w:rsid w:val="00716A09"/>
    <w:rsid w:val="0072049F"/>
    <w:rsid w:val="00720A24"/>
    <w:rsid w:val="00732386"/>
    <w:rsid w:val="0073514D"/>
    <w:rsid w:val="007447F3"/>
    <w:rsid w:val="0075499F"/>
    <w:rsid w:val="007661C8"/>
    <w:rsid w:val="00766CA9"/>
    <w:rsid w:val="0077098D"/>
    <w:rsid w:val="00775FE6"/>
    <w:rsid w:val="00781A1A"/>
    <w:rsid w:val="00784F43"/>
    <w:rsid w:val="00787577"/>
    <w:rsid w:val="007931FA"/>
    <w:rsid w:val="007A3920"/>
    <w:rsid w:val="007A4861"/>
    <w:rsid w:val="007A7BBA"/>
    <w:rsid w:val="007B0C50"/>
    <w:rsid w:val="007B1059"/>
    <w:rsid w:val="007B48F9"/>
    <w:rsid w:val="007C0A69"/>
    <w:rsid w:val="007C1A43"/>
    <w:rsid w:val="007C3E5F"/>
    <w:rsid w:val="007D023C"/>
    <w:rsid w:val="007D0951"/>
    <w:rsid w:val="007F2EAC"/>
    <w:rsid w:val="007F5AA4"/>
    <w:rsid w:val="0080013E"/>
    <w:rsid w:val="008068BE"/>
    <w:rsid w:val="00807014"/>
    <w:rsid w:val="00813288"/>
    <w:rsid w:val="008168FC"/>
    <w:rsid w:val="008215B4"/>
    <w:rsid w:val="00830996"/>
    <w:rsid w:val="008345F1"/>
    <w:rsid w:val="008429E2"/>
    <w:rsid w:val="008475C9"/>
    <w:rsid w:val="00852985"/>
    <w:rsid w:val="008535A7"/>
    <w:rsid w:val="00856081"/>
    <w:rsid w:val="008642FE"/>
    <w:rsid w:val="00865B07"/>
    <w:rsid w:val="00866734"/>
    <w:rsid w:val="008667EA"/>
    <w:rsid w:val="008717F6"/>
    <w:rsid w:val="0087637F"/>
    <w:rsid w:val="0089247A"/>
    <w:rsid w:val="00892AD5"/>
    <w:rsid w:val="00893299"/>
    <w:rsid w:val="00893870"/>
    <w:rsid w:val="008A1512"/>
    <w:rsid w:val="008A2CFF"/>
    <w:rsid w:val="008A383A"/>
    <w:rsid w:val="008B305D"/>
    <w:rsid w:val="008B3FB5"/>
    <w:rsid w:val="008C2465"/>
    <w:rsid w:val="008C266A"/>
    <w:rsid w:val="008C52C0"/>
    <w:rsid w:val="008D092C"/>
    <w:rsid w:val="008D32B9"/>
    <w:rsid w:val="008D433B"/>
    <w:rsid w:val="008D4A16"/>
    <w:rsid w:val="008D64AC"/>
    <w:rsid w:val="008E3EA8"/>
    <w:rsid w:val="008E4D59"/>
    <w:rsid w:val="008E566E"/>
    <w:rsid w:val="008E5BD6"/>
    <w:rsid w:val="00900C38"/>
    <w:rsid w:val="0090158F"/>
    <w:rsid w:val="0090161A"/>
    <w:rsid w:val="00901EB6"/>
    <w:rsid w:val="00904C62"/>
    <w:rsid w:val="00912357"/>
    <w:rsid w:val="00922BA8"/>
    <w:rsid w:val="00924DAC"/>
    <w:rsid w:val="00926325"/>
    <w:rsid w:val="00927058"/>
    <w:rsid w:val="00942750"/>
    <w:rsid w:val="009450CE"/>
    <w:rsid w:val="009459BB"/>
    <w:rsid w:val="00947179"/>
    <w:rsid w:val="00950C54"/>
    <w:rsid w:val="0095164B"/>
    <w:rsid w:val="00954090"/>
    <w:rsid w:val="009573E7"/>
    <w:rsid w:val="00963E05"/>
    <w:rsid w:val="0096499E"/>
    <w:rsid w:val="00964A45"/>
    <w:rsid w:val="00967843"/>
    <w:rsid w:val="009679DC"/>
    <w:rsid w:val="00967D54"/>
    <w:rsid w:val="009700E5"/>
    <w:rsid w:val="00971028"/>
    <w:rsid w:val="00993B84"/>
    <w:rsid w:val="00996483"/>
    <w:rsid w:val="00996F5A"/>
    <w:rsid w:val="009A5AC1"/>
    <w:rsid w:val="009B041A"/>
    <w:rsid w:val="009B2D9E"/>
    <w:rsid w:val="009C37C3"/>
    <w:rsid w:val="009C39AC"/>
    <w:rsid w:val="009C3E9B"/>
    <w:rsid w:val="009C4E64"/>
    <w:rsid w:val="009C7C86"/>
    <w:rsid w:val="009D2FF7"/>
    <w:rsid w:val="009E7081"/>
    <w:rsid w:val="009E7884"/>
    <w:rsid w:val="009E788A"/>
    <w:rsid w:val="009F0E08"/>
    <w:rsid w:val="009F165B"/>
    <w:rsid w:val="00A017A2"/>
    <w:rsid w:val="00A12B99"/>
    <w:rsid w:val="00A1763D"/>
    <w:rsid w:val="00A17C8E"/>
    <w:rsid w:val="00A17CEC"/>
    <w:rsid w:val="00A27EF0"/>
    <w:rsid w:val="00A330D9"/>
    <w:rsid w:val="00A374C7"/>
    <w:rsid w:val="00A42361"/>
    <w:rsid w:val="00A50B20"/>
    <w:rsid w:val="00A51390"/>
    <w:rsid w:val="00A57C43"/>
    <w:rsid w:val="00A60D13"/>
    <w:rsid w:val="00A7223D"/>
    <w:rsid w:val="00A72745"/>
    <w:rsid w:val="00A73039"/>
    <w:rsid w:val="00A76EFC"/>
    <w:rsid w:val="00A82AF0"/>
    <w:rsid w:val="00A87D50"/>
    <w:rsid w:val="00A91010"/>
    <w:rsid w:val="00A96481"/>
    <w:rsid w:val="00A96A0C"/>
    <w:rsid w:val="00A97F29"/>
    <w:rsid w:val="00AA474B"/>
    <w:rsid w:val="00AA702E"/>
    <w:rsid w:val="00AA7D26"/>
    <w:rsid w:val="00AB0964"/>
    <w:rsid w:val="00AB3159"/>
    <w:rsid w:val="00AB3B43"/>
    <w:rsid w:val="00AB5011"/>
    <w:rsid w:val="00AC4BDA"/>
    <w:rsid w:val="00AC5213"/>
    <w:rsid w:val="00AC7368"/>
    <w:rsid w:val="00AD16B9"/>
    <w:rsid w:val="00AE2539"/>
    <w:rsid w:val="00AE377D"/>
    <w:rsid w:val="00AE6CA7"/>
    <w:rsid w:val="00AF0EBA"/>
    <w:rsid w:val="00B0145C"/>
    <w:rsid w:val="00B0275E"/>
    <w:rsid w:val="00B02C8A"/>
    <w:rsid w:val="00B04CE9"/>
    <w:rsid w:val="00B11E0E"/>
    <w:rsid w:val="00B128D0"/>
    <w:rsid w:val="00B17FBD"/>
    <w:rsid w:val="00B315A6"/>
    <w:rsid w:val="00B31813"/>
    <w:rsid w:val="00B329D0"/>
    <w:rsid w:val="00B33365"/>
    <w:rsid w:val="00B33EB9"/>
    <w:rsid w:val="00B347FC"/>
    <w:rsid w:val="00B37A54"/>
    <w:rsid w:val="00B44697"/>
    <w:rsid w:val="00B57B36"/>
    <w:rsid w:val="00B57E6F"/>
    <w:rsid w:val="00B65D18"/>
    <w:rsid w:val="00B75534"/>
    <w:rsid w:val="00B846EE"/>
    <w:rsid w:val="00B8686D"/>
    <w:rsid w:val="00B90A2F"/>
    <w:rsid w:val="00B93341"/>
    <w:rsid w:val="00B9335E"/>
    <w:rsid w:val="00B93F69"/>
    <w:rsid w:val="00BA3C0B"/>
    <w:rsid w:val="00BB1DDC"/>
    <w:rsid w:val="00BB2FE4"/>
    <w:rsid w:val="00BC1A66"/>
    <w:rsid w:val="00BC30C9"/>
    <w:rsid w:val="00BD077D"/>
    <w:rsid w:val="00BE0279"/>
    <w:rsid w:val="00BE3E58"/>
    <w:rsid w:val="00BF1475"/>
    <w:rsid w:val="00C01616"/>
    <w:rsid w:val="00C0162B"/>
    <w:rsid w:val="00C02610"/>
    <w:rsid w:val="00C051EF"/>
    <w:rsid w:val="00C05D5C"/>
    <w:rsid w:val="00C068ED"/>
    <w:rsid w:val="00C06E71"/>
    <w:rsid w:val="00C22E0C"/>
    <w:rsid w:val="00C27646"/>
    <w:rsid w:val="00C345B1"/>
    <w:rsid w:val="00C34A5B"/>
    <w:rsid w:val="00C367DB"/>
    <w:rsid w:val="00C378D6"/>
    <w:rsid w:val="00C40142"/>
    <w:rsid w:val="00C45D4A"/>
    <w:rsid w:val="00C52C3C"/>
    <w:rsid w:val="00C57182"/>
    <w:rsid w:val="00C57863"/>
    <w:rsid w:val="00C60C34"/>
    <w:rsid w:val="00C640AF"/>
    <w:rsid w:val="00C64A8D"/>
    <w:rsid w:val="00C64CE4"/>
    <w:rsid w:val="00C655FD"/>
    <w:rsid w:val="00C75407"/>
    <w:rsid w:val="00C80962"/>
    <w:rsid w:val="00C81D9F"/>
    <w:rsid w:val="00C83EA0"/>
    <w:rsid w:val="00C83F92"/>
    <w:rsid w:val="00C84817"/>
    <w:rsid w:val="00C870A8"/>
    <w:rsid w:val="00C92E63"/>
    <w:rsid w:val="00C932B1"/>
    <w:rsid w:val="00C94434"/>
    <w:rsid w:val="00CA0D75"/>
    <w:rsid w:val="00CA1C95"/>
    <w:rsid w:val="00CA5A9C"/>
    <w:rsid w:val="00CB3699"/>
    <w:rsid w:val="00CC4C20"/>
    <w:rsid w:val="00CD3517"/>
    <w:rsid w:val="00CD5FE2"/>
    <w:rsid w:val="00CE4ED5"/>
    <w:rsid w:val="00CE7C68"/>
    <w:rsid w:val="00CF6D95"/>
    <w:rsid w:val="00D02B4C"/>
    <w:rsid w:val="00D040C4"/>
    <w:rsid w:val="00D12B35"/>
    <w:rsid w:val="00D20AD1"/>
    <w:rsid w:val="00D342A5"/>
    <w:rsid w:val="00D467C3"/>
    <w:rsid w:val="00D46B7E"/>
    <w:rsid w:val="00D57C84"/>
    <w:rsid w:val="00D6057D"/>
    <w:rsid w:val="00D61D58"/>
    <w:rsid w:val="00D71640"/>
    <w:rsid w:val="00D826F3"/>
    <w:rsid w:val="00D82C95"/>
    <w:rsid w:val="00D836C5"/>
    <w:rsid w:val="00D84576"/>
    <w:rsid w:val="00DA07C6"/>
    <w:rsid w:val="00DA1399"/>
    <w:rsid w:val="00DA24C6"/>
    <w:rsid w:val="00DA4D7B"/>
    <w:rsid w:val="00DA54B5"/>
    <w:rsid w:val="00DA7ECA"/>
    <w:rsid w:val="00DB03CB"/>
    <w:rsid w:val="00DB2103"/>
    <w:rsid w:val="00DB3442"/>
    <w:rsid w:val="00DC4827"/>
    <w:rsid w:val="00DC510D"/>
    <w:rsid w:val="00DD271C"/>
    <w:rsid w:val="00DD6B53"/>
    <w:rsid w:val="00DE264A"/>
    <w:rsid w:val="00DE77D3"/>
    <w:rsid w:val="00DF5072"/>
    <w:rsid w:val="00DF66C8"/>
    <w:rsid w:val="00E02D18"/>
    <w:rsid w:val="00E041E7"/>
    <w:rsid w:val="00E16BDC"/>
    <w:rsid w:val="00E23CA1"/>
    <w:rsid w:val="00E26EBB"/>
    <w:rsid w:val="00E343F7"/>
    <w:rsid w:val="00E37C5D"/>
    <w:rsid w:val="00E409A8"/>
    <w:rsid w:val="00E43401"/>
    <w:rsid w:val="00E50C12"/>
    <w:rsid w:val="00E51414"/>
    <w:rsid w:val="00E63454"/>
    <w:rsid w:val="00E63A20"/>
    <w:rsid w:val="00E646CC"/>
    <w:rsid w:val="00E65B91"/>
    <w:rsid w:val="00E7209D"/>
    <w:rsid w:val="00E72EAD"/>
    <w:rsid w:val="00E77223"/>
    <w:rsid w:val="00E829E4"/>
    <w:rsid w:val="00E8528B"/>
    <w:rsid w:val="00E85B94"/>
    <w:rsid w:val="00E978D0"/>
    <w:rsid w:val="00EA037E"/>
    <w:rsid w:val="00EA4613"/>
    <w:rsid w:val="00EA7F91"/>
    <w:rsid w:val="00EB1523"/>
    <w:rsid w:val="00EB1F19"/>
    <w:rsid w:val="00EB5707"/>
    <w:rsid w:val="00EC0E49"/>
    <w:rsid w:val="00EC101F"/>
    <w:rsid w:val="00EC1D9F"/>
    <w:rsid w:val="00ED6B7F"/>
    <w:rsid w:val="00EE0131"/>
    <w:rsid w:val="00EE17B0"/>
    <w:rsid w:val="00EE21DD"/>
    <w:rsid w:val="00EE5F15"/>
    <w:rsid w:val="00EF0358"/>
    <w:rsid w:val="00EF06D9"/>
    <w:rsid w:val="00EF3B37"/>
    <w:rsid w:val="00EF4591"/>
    <w:rsid w:val="00F0407A"/>
    <w:rsid w:val="00F12BBD"/>
    <w:rsid w:val="00F157E6"/>
    <w:rsid w:val="00F20B0C"/>
    <w:rsid w:val="00F3049E"/>
    <w:rsid w:val="00F30C64"/>
    <w:rsid w:val="00F32BA2"/>
    <w:rsid w:val="00F32CDB"/>
    <w:rsid w:val="00F37651"/>
    <w:rsid w:val="00F55046"/>
    <w:rsid w:val="00F565FE"/>
    <w:rsid w:val="00F63A70"/>
    <w:rsid w:val="00F63D8C"/>
    <w:rsid w:val="00F7534E"/>
    <w:rsid w:val="00F77E0A"/>
    <w:rsid w:val="00F93EDF"/>
    <w:rsid w:val="00F95518"/>
    <w:rsid w:val="00FA0021"/>
    <w:rsid w:val="00FA1802"/>
    <w:rsid w:val="00FA21D0"/>
    <w:rsid w:val="00FA5F5F"/>
    <w:rsid w:val="00FB0213"/>
    <w:rsid w:val="00FB04A9"/>
    <w:rsid w:val="00FB169A"/>
    <w:rsid w:val="00FB51F7"/>
    <w:rsid w:val="00FB730C"/>
    <w:rsid w:val="00FC2695"/>
    <w:rsid w:val="00FC321F"/>
    <w:rsid w:val="00FC3735"/>
    <w:rsid w:val="00FC3E03"/>
    <w:rsid w:val="00FC3FC1"/>
    <w:rsid w:val="00FD7864"/>
    <w:rsid w:val="00FE0018"/>
    <w:rsid w:val="00FE0F98"/>
    <w:rsid w:val="00FE457A"/>
    <w:rsid w:val="00FF2F5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E68D42AB-C17C-A543-B9C9-C569AF60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fontstyle01">
    <w:name w:val="fontstyle01"/>
    <w:basedOn w:val="DefaultParagraphFont"/>
    <w:rsid w:val="001555C8"/>
    <w:rPr>
      <w:rFonts w:ascii="Times New Roman" w:hAnsi="Times New Roman" w:cs="Times New Roman" w:hint="default"/>
      <w:b w:val="0"/>
      <w:bCs w:val="0"/>
      <w:i w:val="0"/>
      <w:iCs w:val="0"/>
      <w:color w:val="000000"/>
      <w:sz w:val="24"/>
      <w:szCs w:val="24"/>
    </w:rPr>
  </w:style>
  <w:style w:type="paragraph" w:customStyle="1" w:styleId="Default">
    <w:name w:val="Default"/>
    <w:rsid w:val="00C367DB"/>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anaelisalist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95224E-2DAC-2746-A320-E32193A4F861}">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93084-83A8-4764-8F9E-3BB21708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3169</Words>
  <Characters>18064</Characters>
  <Application>Microsoft Office Word</Application>
  <DocSecurity>0</DocSecurity>
  <Lines>150</Lines>
  <Paragraphs>42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Ana Elisa Lista</cp:lastModifiedBy>
  <cp:revision>9</cp:revision>
  <cp:lastPrinted>2015-05-12T18:31:00Z</cp:lastPrinted>
  <dcterms:created xsi:type="dcterms:W3CDTF">2023-04-04T20:01:00Z</dcterms:created>
  <dcterms:modified xsi:type="dcterms:W3CDTF">2023-04-04T20:26:00Z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_documentId">
    <vt:lpwstr>documentId_8153</vt:lpwstr>
  </property>
  <property fmtid="{D5CDD505-2E9C-101B-9397-08002B2CF9AE}" pid="5" name="grammarly_documentContext">
    <vt:lpwstr>{"goals":[],"domain":"general","emotions":[],"dialect":"american"}</vt:lpwstr>
  </property>
</Properties>
</file>