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9E6637" w14:paraId="2A131A54" w14:textId="77777777" w:rsidTr="006F6030">
        <w:trPr>
          <w:trHeight w:val="852"/>
          <w:jc w:val="center"/>
        </w:trPr>
        <w:tc>
          <w:tcPr>
            <w:tcW w:w="6940" w:type="dxa"/>
            <w:vMerge w:val="restart"/>
            <w:tcBorders>
              <w:right w:val="single" w:sz="4" w:space="0" w:color="auto"/>
            </w:tcBorders>
          </w:tcPr>
          <w:p w14:paraId="38C3D2BA" w14:textId="77777777" w:rsidR="000A03B2" w:rsidRPr="009E6637" w:rsidRDefault="000A03B2" w:rsidP="00DE264A">
            <w:pPr>
              <w:tabs>
                <w:tab w:val="left" w:pos="-108"/>
              </w:tabs>
              <w:ind w:left="-108"/>
              <w:jc w:val="left"/>
              <w:rPr>
                <w:rFonts w:cs="Arial"/>
                <w:b/>
                <w:bCs/>
                <w:i/>
                <w:iCs/>
                <w:color w:val="000066"/>
                <w:sz w:val="12"/>
                <w:szCs w:val="12"/>
                <w:lang w:eastAsia="it-IT"/>
              </w:rPr>
            </w:pPr>
            <w:r w:rsidRPr="009E6637">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9E6637">
              <w:rPr>
                <w:rFonts w:ascii="AdvP6960" w:hAnsi="AdvP6960" w:cs="AdvP6960"/>
                <w:color w:val="241F20"/>
                <w:szCs w:val="18"/>
                <w:lang w:eastAsia="it-IT"/>
              </w:rPr>
              <w:t xml:space="preserve"> </w:t>
            </w:r>
            <w:r w:rsidRPr="009E6637">
              <w:rPr>
                <w:rFonts w:cs="Arial"/>
                <w:b/>
                <w:bCs/>
                <w:i/>
                <w:iCs/>
                <w:color w:val="000066"/>
                <w:sz w:val="24"/>
                <w:szCs w:val="24"/>
                <w:lang w:eastAsia="it-IT"/>
              </w:rPr>
              <w:t>CHEMICAL ENGINEERING</w:t>
            </w:r>
            <w:r w:rsidRPr="009E6637">
              <w:rPr>
                <w:rFonts w:cs="Arial"/>
                <w:b/>
                <w:bCs/>
                <w:i/>
                <w:iCs/>
                <w:color w:val="0033FF"/>
                <w:sz w:val="24"/>
                <w:szCs w:val="24"/>
                <w:lang w:eastAsia="it-IT"/>
              </w:rPr>
              <w:t xml:space="preserve"> </w:t>
            </w:r>
            <w:r w:rsidRPr="009E6637">
              <w:rPr>
                <w:rFonts w:cs="Arial"/>
                <w:b/>
                <w:bCs/>
                <w:i/>
                <w:iCs/>
                <w:color w:val="666666"/>
                <w:sz w:val="24"/>
                <w:szCs w:val="24"/>
                <w:lang w:eastAsia="it-IT"/>
              </w:rPr>
              <w:t>TRANSACTIONS</w:t>
            </w:r>
            <w:r w:rsidRPr="009E6637">
              <w:rPr>
                <w:color w:val="333333"/>
                <w:sz w:val="24"/>
                <w:szCs w:val="24"/>
                <w:lang w:eastAsia="it-IT"/>
              </w:rPr>
              <w:t xml:space="preserve"> </w:t>
            </w:r>
            <w:r w:rsidRPr="009E6637">
              <w:rPr>
                <w:rFonts w:cs="Arial"/>
                <w:b/>
                <w:bCs/>
                <w:i/>
                <w:iCs/>
                <w:color w:val="000066"/>
                <w:sz w:val="27"/>
                <w:szCs w:val="27"/>
                <w:lang w:eastAsia="it-IT"/>
              </w:rPr>
              <w:br/>
            </w:r>
          </w:p>
          <w:p w14:paraId="4B780582" w14:textId="530285EB" w:rsidR="000A03B2" w:rsidRPr="009E6637" w:rsidRDefault="00A76EFC" w:rsidP="001D21AF">
            <w:pPr>
              <w:tabs>
                <w:tab w:val="left" w:pos="-108"/>
              </w:tabs>
              <w:ind w:left="-108"/>
              <w:rPr>
                <w:rFonts w:cs="Arial"/>
                <w:b/>
                <w:bCs/>
                <w:i/>
                <w:iCs/>
                <w:color w:val="000066"/>
                <w:sz w:val="22"/>
                <w:szCs w:val="22"/>
                <w:lang w:eastAsia="it-IT"/>
              </w:rPr>
            </w:pPr>
            <w:r w:rsidRPr="009E6637">
              <w:rPr>
                <w:rFonts w:cs="Arial"/>
                <w:b/>
                <w:bCs/>
                <w:i/>
                <w:iCs/>
                <w:color w:val="000066"/>
                <w:sz w:val="22"/>
                <w:szCs w:val="22"/>
                <w:lang w:eastAsia="it-IT"/>
              </w:rPr>
              <w:t xml:space="preserve">VOL. </w:t>
            </w:r>
            <w:r w:rsidR="0030152C" w:rsidRPr="009E6637">
              <w:rPr>
                <w:rFonts w:cs="Arial"/>
                <w:b/>
                <w:bCs/>
                <w:i/>
                <w:iCs/>
                <w:color w:val="000066"/>
                <w:sz w:val="22"/>
                <w:szCs w:val="22"/>
                <w:lang w:eastAsia="it-IT"/>
              </w:rPr>
              <w:t xml:space="preserve">   </w:t>
            </w:r>
            <w:r w:rsidR="007B48F9" w:rsidRPr="009E6637">
              <w:rPr>
                <w:rFonts w:cs="Arial"/>
                <w:b/>
                <w:bCs/>
                <w:i/>
                <w:iCs/>
                <w:color w:val="000066"/>
                <w:sz w:val="22"/>
                <w:szCs w:val="22"/>
                <w:lang w:eastAsia="it-IT"/>
              </w:rPr>
              <w:t>,</w:t>
            </w:r>
            <w:r w:rsidR="00FA5F5F" w:rsidRPr="009E6637">
              <w:rPr>
                <w:rFonts w:cs="Arial"/>
                <w:b/>
                <w:bCs/>
                <w:i/>
                <w:iCs/>
                <w:color w:val="000066"/>
                <w:sz w:val="22"/>
                <w:szCs w:val="22"/>
                <w:lang w:eastAsia="it-IT"/>
              </w:rPr>
              <w:t xml:space="preserve"> </w:t>
            </w:r>
            <w:r w:rsidR="0030152C" w:rsidRPr="009E6637">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9E6637" w:rsidRDefault="000A03B2" w:rsidP="00CD5FE2">
            <w:pPr>
              <w:spacing w:line="140" w:lineRule="atLeast"/>
              <w:jc w:val="right"/>
              <w:rPr>
                <w:rFonts w:cs="Arial"/>
                <w:sz w:val="14"/>
                <w:szCs w:val="14"/>
              </w:rPr>
            </w:pPr>
            <w:r w:rsidRPr="009E6637">
              <w:rPr>
                <w:rFonts w:cs="Arial"/>
                <w:sz w:val="14"/>
                <w:szCs w:val="14"/>
              </w:rPr>
              <w:t>A publication of</w:t>
            </w:r>
          </w:p>
          <w:p w14:paraId="599E5441" w14:textId="77777777" w:rsidR="000A03B2" w:rsidRPr="009E6637" w:rsidRDefault="000A03B2" w:rsidP="00CD5FE2">
            <w:pPr>
              <w:jc w:val="right"/>
            </w:pPr>
            <w:r w:rsidRPr="009E6637">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9E6637" w14:paraId="380FA3CD" w14:textId="77777777" w:rsidTr="006F6030">
        <w:trPr>
          <w:trHeight w:val="567"/>
          <w:jc w:val="center"/>
        </w:trPr>
        <w:tc>
          <w:tcPr>
            <w:tcW w:w="6940" w:type="dxa"/>
            <w:vMerge/>
            <w:tcBorders>
              <w:right w:val="single" w:sz="4" w:space="0" w:color="auto"/>
            </w:tcBorders>
          </w:tcPr>
          <w:p w14:paraId="39E5E4C1" w14:textId="77777777" w:rsidR="000A03B2" w:rsidRPr="009E6637"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9E6637" w:rsidRDefault="000A03B2" w:rsidP="00CD5FE2">
            <w:pPr>
              <w:spacing w:line="140" w:lineRule="atLeast"/>
              <w:jc w:val="right"/>
              <w:rPr>
                <w:rFonts w:cs="Arial"/>
                <w:sz w:val="14"/>
                <w:szCs w:val="14"/>
              </w:rPr>
            </w:pPr>
            <w:r w:rsidRPr="009E6637">
              <w:rPr>
                <w:rFonts w:cs="Arial"/>
                <w:sz w:val="14"/>
                <w:szCs w:val="14"/>
              </w:rPr>
              <w:t>The Italian Association</w:t>
            </w:r>
          </w:p>
          <w:p w14:paraId="7522B1D2" w14:textId="77777777" w:rsidR="000A03B2" w:rsidRPr="009E6637" w:rsidRDefault="000A03B2" w:rsidP="00CD5FE2">
            <w:pPr>
              <w:spacing w:line="140" w:lineRule="atLeast"/>
              <w:jc w:val="right"/>
              <w:rPr>
                <w:rFonts w:cs="Arial"/>
                <w:sz w:val="14"/>
                <w:szCs w:val="14"/>
              </w:rPr>
            </w:pPr>
            <w:r w:rsidRPr="009E6637">
              <w:rPr>
                <w:rFonts w:cs="Arial"/>
                <w:sz w:val="14"/>
                <w:szCs w:val="14"/>
              </w:rPr>
              <w:t>of Chemical Engineering</w:t>
            </w:r>
          </w:p>
          <w:p w14:paraId="4F0CC5DE" w14:textId="47FDB2FC" w:rsidR="000A03B2" w:rsidRPr="009E6637" w:rsidRDefault="000D0268" w:rsidP="00CD5FE2">
            <w:pPr>
              <w:spacing w:line="140" w:lineRule="atLeast"/>
              <w:jc w:val="right"/>
              <w:rPr>
                <w:rFonts w:cs="Arial"/>
                <w:sz w:val="13"/>
                <w:szCs w:val="13"/>
              </w:rPr>
            </w:pPr>
            <w:r w:rsidRPr="009E6637">
              <w:rPr>
                <w:rFonts w:cs="Arial"/>
                <w:sz w:val="13"/>
                <w:szCs w:val="13"/>
              </w:rPr>
              <w:t>Online at www.cetjournal.it</w:t>
            </w:r>
          </w:p>
        </w:tc>
      </w:tr>
      <w:tr w:rsidR="000A03B2" w:rsidRPr="009E6637" w14:paraId="2D1B7169" w14:textId="77777777" w:rsidTr="006F6030">
        <w:trPr>
          <w:trHeight w:val="68"/>
          <w:jc w:val="center"/>
        </w:trPr>
        <w:tc>
          <w:tcPr>
            <w:tcW w:w="8782" w:type="dxa"/>
            <w:gridSpan w:val="2"/>
          </w:tcPr>
          <w:p w14:paraId="1D8DD3C9" w14:textId="72C518CF" w:rsidR="00AA7D26" w:rsidRPr="009E6637" w:rsidRDefault="00AA7D26" w:rsidP="00AA7D26">
            <w:pPr>
              <w:ind w:left="-107"/>
              <w:outlineLvl w:val="2"/>
              <w:rPr>
                <w:rFonts w:ascii="Tahoma" w:hAnsi="Tahoma" w:cs="Tahoma"/>
                <w:bCs/>
                <w:color w:val="000000"/>
                <w:sz w:val="14"/>
                <w:szCs w:val="14"/>
                <w:lang w:eastAsia="it-IT"/>
              </w:rPr>
            </w:pPr>
            <w:r w:rsidRPr="009E6637">
              <w:rPr>
                <w:rFonts w:ascii="Tahoma" w:hAnsi="Tahoma" w:cs="Tahoma"/>
                <w:iCs/>
                <w:color w:val="333333"/>
                <w:sz w:val="14"/>
                <w:szCs w:val="14"/>
                <w:lang w:eastAsia="it-IT"/>
              </w:rPr>
              <w:t>Guest Editor:</w:t>
            </w:r>
            <w:r w:rsidRPr="009E6637">
              <w:rPr>
                <w:rFonts w:ascii="Tahoma" w:hAnsi="Tahoma" w:cs="Tahoma"/>
                <w:color w:val="000000"/>
                <w:sz w:val="14"/>
                <w:szCs w:val="14"/>
                <w:shd w:val="clear" w:color="auto" w:fill="FFFFFF"/>
              </w:rPr>
              <w:t xml:space="preserve"> </w:t>
            </w:r>
            <w:proofErr w:type="spellStart"/>
            <w:r w:rsidRPr="009E6637">
              <w:rPr>
                <w:rFonts w:ascii="Tahoma" w:hAnsi="Tahoma" w:cs="Tahoma"/>
                <w:sz w:val="14"/>
                <w:szCs w:val="14"/>
              </w:rPr>
              <w:t>Sauro</w:t>
            </w:r>
            <w:proofErr w:type="spellEnd"/>
            <w:r w:rsidRPr="009E6637">
              <w:rPr>
                <w:rFonts w:ascii="Tahoma" w:hAnsi="Tahoma" w:cs="Tahoma"/>
                <w:sz w:val="14"/>
                <w:szCs w:val="14"/>
              </w:rPr>
              <w:t xml:space="preserve"> </w:t>
            </w:r>
            <w:proofErr w:type="spellStart"/>
            <w:r w:rsidRPr="009E6637">
              <w:rPr>
                <w:rFonts w:ascii="Tahoma" w:hAnsi="Tahoma" w:cs="Tahoma"/>
                <w:sz w:val="14"/>
                <w:szCs w:val="14"/>
              </w:rPr>
              <w:t>Pierucci</w:t>
            </w:r>
            <w:proofErr w:type="spellEnd"/>
          </w:p>
          <w:p w14:paraId="1B0F1814" w14:textId="650290B9" w:rsidR="000A03B2" w:rsidRPr="009E6637" w:rsidRDefault="00AA7D26" w:rsidP="00AA7D26">
            <w:pPr>
              <w:tabs>
                <w:tab w:val="left" w:pos="-108"/>
              </w:tabs>
              <w:spacing w:line="140" w:lineRule="atLeast"/>
              <w:ind w:left="-107"/>
              <w:jc w:val="left"/>
            </w:pPr>
            <w:r w:rsidRPr="009E6637">
              <w:rPr>
                <w:rFonts w:ascii="Tahoma" w:hAnsi="Tahoma" w:cs="Tahoma"/>
                <w:iCs/>
                <w:color w:val="333333"/>
                <w:sz w:val="14"/>
                <w:szCs w:val="14"/>
                <w:lang w:eastAsia="it-IT"/>
              </w:rPr>
              <w:t xml:space="preserve">Copyright © 2023, AIDIC </w:t>
            </w:r>
            <w:proofErr w:type="spellStart"/>
            <w:r w:rsidRPr="009E6637">
              <w:rPr>
                <w:rFonts w:ascii="Tahoma" w:hAnsi="Tahoma" w:cs="Tahoma"/>
                <w:iCs/>
                <w:color w:val="333333"/>
                <w:sz w:val="14"/>
                <w:szCs w:val="14"/>
                <w:lang w:eastAsia="it-IT"/>
              </w:rPr>
              <w:t>Servizi</w:t>
            </w:r>
            <w:proofErr w:type="spellEnd"/>
            <w:r w:rsidRPr="009E6637">
              <w:rPr>
                <w:rFonts w:ascii="Tahoma" w:hAnsi="Tahoma" w:cs="Tahoma"/>
                <w:iCs/>
                <w:color w:val="333333"/>
                <w:sz w:val="14"/>
                <w:szCs w:val="14"/>
                <w:lang w:eastAsia="it-IT"/>
              </w:rPr>
              <w:t xml:space="preserve"> </w:t>
            </w:r>
            <w:proofErr w:type="spellStart"/>
            <w:r w:rsidRPr="009E6637">
              <w:rPr>
                <w:rFonts w:ascii="Tahoma" w:hAnsi="Tahoma" w:cs="Tahoma"/>
                <w:iCs/>
                <w:color w:val="333333"/>
                <w:sz w:val="14"/>
                <w:szCs w:val="14"/>
                <w:lang w:eastAsia="it-IT"/>
              </w:rPr>
              <w:t>S.r.l</w:t>
            </w:r>
            <w:proofErr w:type="spellEnd"/>
            <w:r w:rsidRPr="009E6637">
              <w:rPr>
                <w:rFonts w:ascii="Tahoma" w:hAnsi="Tahoma" w:cs="Tahoma"/>
                <w:iCs/>
                <w:color w:val="333333"/>
                <w:sz w:val="14"/>
                <w:szCs w:val="14"/>
                <w:lang w:eastAsia="it-IT"/>
              </w:rPr>
              <w:t>.</w:t>
            </w:r>
            <w:r w:rsidRPr="009E6637">
              <w:rPr>
                <w:rFonts w:ascii="Tahoma" w:hAnsi="Tahoma" w:cs="Tahoma"/>
                <w:iCs/>
                <w:color w:val="333333"/>
                <w:sz w:val="14"/>
                <w:szCs w:val="14"/>
                <w:lang w:eastAsia="it-IT"/>
              </w:rPr>
              <w:br/>
            </w:r>
            <w:r w:rsidRPr="009E6637">
              <w:rPr>
                <w:rFonts w:ascii="Tahoma" w:hAnsi="Tahoma" w:cs="Tahoma"/>
                <w:b/>
                <w:iCs/>
                <w:color w:val="000000"/>
                <w:sz w:val="14"/>
                <w:szCs w:val="14"/>
                <w:lang w:eastAsia="it-IT"/>
              </w:rPr>
              <w:t>ISBN</w:t>
            </w:r>
            <w:r w:rsidRPr="009E6637">
              <w:rPr>
                <w:rFonts w:ascii="Tahoma" w:hAnsi="Tahoma" w:cs="Tahoma"/>
                <w:iCs/>
                <w:color w:val="000000"/>
                <w:sz w:val="14"/>
                <w:szCs w:val="14"/>
                <w:lang w:eastAsia="it-IT"/>
              </w:rPr>
              <w:t xml:space="preserve"> </w:t>
            </w:r>
            <w:r w:rsidRPr="009E6637">
              <w:rPr>
                <w:rFonts w:ascii="Tahoma" w:hAnsi="Tahoma" w:cs="Tahoma"/>
                <w:sz w:val="14"/>
                <w:szCs w:val="14"/>
              </w:rPr>
              <w:t>978-88-95608-98-3</w:t>
            </w:r>
            <w:r w:rsidRPr="009E6637">
              <w:rPr>
                <w:rFonts w:ascii="Tahoma" w:hAnsi="Tahoma" w:cs="Tahoma"/>
                <w:iCs/>
                <w:color w:val="333333"/>
                <w:sz w:val="14"/>
                <w:szCs w:val="14"/>
                <w:lang w:eastAsia="it-IT"/>
              </w:rPr>
              <w:t xml:space="preserve">; </w:t>
            </w:r>
            <w:r w:rsidRPr="009E6637">
              <w:rPr>
                <w:rFonts w:ascii="Tahoma" w:hAnsi="Tahoma" w:cs="Tahoma"/>
                <w:b/>
                <w:iCs/>
                <w:color w:val="333333"/>
                <w:sz w:val="14"/>
                <w:szCs w:val="14"/>
                <w:lang w:eastAsia="it-IT"/>
              </w:rPr>
              <w:t>ISSN</w:t>
            </w:r>
            <w:r w:rsidRPr="009E6637">
              <w:rPr>
                <w:rFonts w:ascii="Tahoma" w:hAnsi="Tahoma" w:cs="Tahoma"/>
                <w:iCs/>
                <w:color w:val="333333"/>
                <w:sz w:val="14"/>
                <w:szCs w:val="14"/>
                <w:lang w:eastAsia="it-IT"/>
              </w:rPr>
              <w:t xml:space="preserve"> 2283-9216</w:t>
            </w:r>
          </w:p>
        </w:tc>
      </w:tr>
    </w:tbl>
    <w:p w14:paraId="420D9943" w14:textId="35E06755" w:rsidR="006F6030" w:rsidRPr="009E6637" w:rsidRDefault="006F6030" w:rsidP="006F6030">
      <w:pPr>
        <w:pStyle w:val="CETTitle"/>
      </w:pPr>
      <w:r w:rsidRPr="009E6637">
        <w:t xml:space="preserve">Learning </w:t>
      </w:r>
      <w:r w:rsidR="009F63F7" w:rsidRPr="009E6637">
        <w:t xml:space="preserve">Safety </w:t>
      </w:r>
      <w:r w:rsidRPr="009E6637">
        <w:t xml:space="preserve">of </w:t>
      </w:r>
      <w:r w:rsidR="009F63F7" w:rsidRPr="009E6637">
        <w:t xml:space="preserve">Dusts </w:t>
      </w:r>
      <w:r w:rsidRPr="009E6637">
        <w:t xml:space="preserve">and </w:t>
      </w:r>
      <w:r w:rsidR="009F63F7" w:rsidRPr="009E6637">
        <w:t xml:space="preserve">Liquids </w:t>
      </w:r>
      <w:r w:rsidRPr="009E6637">
        <w:t xml:space="preserve">by a </w:t>
      </w:r>
      <w:r w:rsidR="009F63F7" w:rsidRPr="009E6637">
        <w:t xml:space="preserve">Combined Experimental Lessons </w:t>
      </w:r>
      <w:r w:rsidRPr="009E6637">
        <w:t xml:space="preserve">and </w:t>
      </w:r>
      <w:r w:rsidR="009F63F7" w:rsidRPr="009E6637">
        <w:t xml:space="preserve">Lectures Approach </w:t>
      </w:r>
    </w:p>
    <w:p w14:paraId="65E8391D" w14:textId="23973952" w:rsidR="00C2370C" w:rsidRPr="009E6637" w:rsidRDefault="00C2370C" w:rsidP="00C2370C">
      <w:pPr>
        <w:pStyle w:val="CETAuthors"/>
        <w:rPr>
          <w:noProof w:val="0"/>
        </w:rPr>
      </w:pPr>
      <w:r w:rsidRPr="009E6637">
        <w:rPr>
          <w:noProof w:val="0"/>
        </w:rPr>
        <w:t xml:space="preserve">Gianluca </w:t>
      </w:r>
      <w:proofErr w:type="spellStart"/>
      <w:r w:rsidRPr="009E6637">
        <w:rPr>
          <w:noProof w:val="0"/>
        </w:rPr>
        <w:t>Landi</w:t>
      </w:r>
      <w:r w:rsidRPr="009E6637">
        <w:rPr>
          <w:noProof w:val="0"/>
          <w:vertAlign w:val="superscript"/>
        </w:rPr>
        <w:t>a</w:t>
      </w:r>
      <w:proofErr w:type="spellEnd"/>
      <w:r w:rsidRPr="009E6637">
        <w:rPr>
          <w:noProof w:val="0"/>
        </w:rPr>
        <w:t xml:space="preserve">, Maria </w:t>
      </w:r>
      <w:proofErr w:type="spellStart"/>
      <w:r w:rsidRPr="009E6637">
        <w:rPr>
          <w:noProof w:val="0"/>
        </w:rPr>
        <w:t>Portarapillo</w:t>
      </w:r>
      <w:r w:rsidRPr="009E6637">
        <w:rPr>
          <w:noProof w:val="0"/>
          <w:vertAlign w:val="superscript"/>
        </w:rPr>
        <w:t>b</w:t>
      </w:r>
      <w:proofErr w:type="spellEnd"/>
      <w:r w:rsidRPr="009E6637">
        <w:rPr>
          <w:noProof w:val="0"/>
          <w:vertAlign w:val="superscript"/>
        </w:rPr>
        <w:t>,*</w:t>
      </w:r>
      <w:r w:rsidRPr="009E6637">
        <w:rPr>
          <w:noProof w:val="0"/>
        </w:rPr>
        <w:t xml:space="preserve">, Roberto </w:t>
      </w:r>
      <w:proofErr w:type="spellStart"/>
      <w:r w:rsidRPr="009E6637">
        <w:rPr>
          <w:noProof w:val="0"/>
        </w:rPr>
        <w:t>Sanchirico</w:t>
      </w:r>
      <w:r w:rsidRPr="009E6637">
        <w:rPr>
          <w:noProof w:val="0"/>
          <w:vertAlign w:val="superscript"/>
        </w:rPr>
        <w:t>a</w:t>
      </w:r>
      <w:proofErr w:type="spellEnd"/>
      <w:r w:rsidRPr="009E6637">
        <w:rPr>
          <w:noProof w:val="0"/>
        </w:rPr>
        <w:t xml:space="preserve">, </w:t>
      </w:r>
      <w:r w:rsidR="006B5134" w:rsidRPr="009E6637">
        <w:rPr>
          <w:noProof w:val="0"/>
        </w:rPr>
        <w:t xml:space="preserve">Andrea </w:t>
      </w:r>
      <w:proofErr w:type="spellStart"/>
      <w:r w:rsidR="006B5134" w:rsidRPr="009E6637">
        <w:rPr>
          <w:noProof w:val="0"/>
        </w:rPr>
        <w:t>Bizzarro</w:t>
      </w:r>
      <w:r w:rsidR="006B5134" w:rsidRPr="009E6637">
        <w:rPr>
          <w:noProof w:val="0"/>
          <w:vertAlign w:val="superscript"/>
        </w:rPr>
        <w:t>a</w:t>
      </w:r>
      <w:proofErr w:type="spellEnd"/>
      <w:r w:rsidR="006B5134" w:rsidRPr="009E6637">
        <w:rPr>
          <w:noProof w:val="0"/>
        </w:rPr>
        <w:t xml:space="preserve">, </w:t>
      </w:r>
      <w:proofErr w:type="spellStart"/>
      <w:r w:rsidR="00C37FAF" w:rsidRPr="009E6637">
        <w:rPr>
          <w:noProof w:val="0"/>
        </w:rPr>
        <w:t>Amodio</w:t>
      </w:r>
      <w:proofErr w:type="spellEnd"/>
      <w:r w:rsidR="00C37FAF" w:rsidRPr="009E6637">
        <w:rPr>
          <w:noProof w:val="0"/>
        </w:rPr>
        <w:t xml:space="preserve"> </w:t>
      </w:r>
      <w:proofErr w:type="spellStart"/>
      <w:r w:rsidR="00C37FAF" w:rsidRPr="009E6637">
        <w:rPr>
          <w:noProof w:val="0"/>
        </w:rPr>
        <w:t>Piscitelli</w:t>
      </w:r>
      <w:r w:rsidR="00C37FAF" w:rsidRPr="009E6637">
        <w:rPr>
          <w:noProof w:val="0"/>
          <w:vertAlign w:val="superscript"/>
        </w:rPr>
        <w:t>b</w:t>
      </w:r>
      <w:proofErr w:type="spellEnd"/>
      <w:r w:rsidR="00C37FAF" w:rsidRPr="009E6637">
        <w:rPr>
          <w:noProof w:val="0"/>
        </w:rPr>
        <w:t xml:space="preserve">, </w:t>
      </w:r>
      <w:r w:rsidRPr="009E6637">
        <w:rPr>
          <w:noProof w:val="0"/>
        </w:rPr>
        <w:t xml:space="preserve">Almerinda Di </w:t>
      </w:r>
      <w:proofErr w:type="spellStart"/>
      <w:r w:rsidRPr="009E6637">
        <w:rPr>
          <w:noProof w:val="0"/>
        </w:rPr>
        <w:t>Benedetto</w:t>
      </w:r>
      <w:r w:rsidRPr="009E6637">
        <w:rPr>
          <w:noProof w:val="0"/>
          <w:vertAlign w:val="superscript"/>
        </w:rPr>
        <w:t>b</w:t>
      </w:r>
      <w:proofErr w:type="spellEnd"/>
    </w:p>
    <w:p w14:paraId="6759A720" w14:textId="70F70056" w:rsidR="00F966E5" w:rsidRPr="009E6637" w:rsidRDefault="00F966E5" w:rsidP="00F966E5">
      <w:pPr>
        <w:pStyle w:val="CETAddress"/>
        <w:rPr>
          <w:noProof w:val="0"/>
        </w:rPr>
      </w:pPr>
      <w:proofErr w:type="spellStart"/>
      <w:r w:rsidRPr="009E6637">
        <w:rPr>
          <w:noProof w:val="0"/>
          <w:vertAlign w:val="superscript"/>
        </w:rPr>
        <w:t>a</w:t>
      </w:r>
      <w:r w:rsidRPr="009E6637">
        <w:rPr>
          <w:noProof w:val="0"/>
        </w:rPr>
        <w:t>Istituto</w:t>
      </w:r>
      <w:proofErr w:type="spellEnd"/>
      <w:r w:rsidRPr="009E6637">
        <w:rPr>
          <w:noProof w:val="0"/>
        </w:rPr>
        <w:t xml:space="preserve"> di </w:t>
      </w:r>
      <w:proofErr w:type="spellStart"/>
      <w:r w:rsidRPr="009E6637">
        <w:rPr>
          <w:noProof w:val="0"/>
        </w:rPr>
        <w:t>Scienze</w:t>
      </w:r>
      <w:proofErr w:type="spellEnd"/>
      <w:r w:rsidRPr="009E6637">
        <w:rPr>
          <w:noProof w:val="0"/>
        </w:rPr>
        <w:t xml:space="preserve"> e </w:t>
      </w:r>
      <w:proofErr w:type="spellStart"/>
      <w:r w:rsidRPr="009E6637">
        <w:rPr>
          <w:noProof w:val="0"/>
        </w:rPr>
        <w:t>Tecnologie</w:t>
      </w:r>
      <w:proofErr w:type="spellEnd"/>
      <w:r w:rsidRPr="009E6637">
        <w:rPr>
          <w:noProof w:val="0"/>
        </w:rPr>
        <w:t xml:space="preserve"> per </w:t>
      </w:r>
      <w:proofErr w:type="spellStart"/>
      <w:r w:rsidRPr="009E6637">
        <w:rPr>
          <w:noProof w:val="0"/>
        </w:rPr>
        <w:t>l'Energia</w:t>
      </w:r>
      <w:proofErr w:type="spellEnd"/>
      <w:r w:rsidRPr="009E6637">
        <w:rPr>
          <w:noProof w:val="0"/>
        </w:rPr>
        <w:t xml:space="preserve"> e la </w:t>
      </w:r>
      <w:proofErr w:type="spellStart"/>
      <w:r w:rsidRPr="009E6637">
        <w:rPr>
          <w:noProof w:val="0"/>
        </w:rPr>
        <w:t>Mobilità</w:t>
      </w:r>
      <w:proofErr w:type="spellEnd"/>
      <w:r w:rsidRPr="009E6637">
        <w:rPr>
          <w:noProof w:val="0"/>
        </w:rPr>
        <w:t xml:space="preserve"> </w:t>
      </w:r>
      <w:proofErr w:type="spellStart"/>
      <w:r w:rsidRPr="009E6637">
        <w:rPr>
          <w:noProof w:val="0"/>
        </w:rPr>
        <w:t>Sostenibili</w:t>
      </w:r>
      <w:proofErr w:type="spellEnd"/>
      <w:r w:rsidRPr="009E6637">
        <w:rPr>
          <w:noProof w:val="0"/>
        </w:rPr>
        <w:t xml:space="preserve"> (</w:t>
      </w:r>
      <w:r w:rsidR="00CE45C4" w:rsidRPr="009E6637">
        <w:rPr>
          <w:noProof w:val="0"/>
        </w:rPr>
        <w:t>CNR-STEMS</w:t>
      </w:r>
      <w:r w:rsidRPr="009E6637">
        <w:rPr>
          <w:noProof w:val="0"/>
        </w:rPr>
        <w:t xml:space="preserve">), </w:t>
      </w:r>
      <w:proofErr w:type="spellStart"/>
      <w:r w:rsidRPr="009E6637">
        <w:rPr>
          <w:noProof w:val="0"/>
        </w:rPr>
        <w:t>P.le</w:t>
      </w:r>
      <w:proofErr w:type="spellEnd"/>
      <w:r w:rsidRPr="009E6637">
        <w:rPr>
          <w:noProof w:val="0"/>
        </w:rPr>
        <w:t xml:space="preserve"> V. </w:t>
      </w:r>
      <w:proofErr w:type="spellStart"/>
      <w:r w:rsidRPr="009E6637">
        <w:rPr>
          <w:noProof w:val="0"/>
        </w:rPr>
        <w:t>Tecchio</w:t>
      </w:r>
      <w:proofErr w:type="spellEnd"/>
      <w:r w:rsidRPr="009E6637">
        <w:rPr>
          <w:noProof w:val="0"/>
        </w:rPr>
        <w:t xml:space="preserve"> 80, 80125, Napoli, IT</w:t>
      </w:r>
    </w:p>
    <w:p w14:paraId="0A232114" w14:textId="703515DB" w:rsidR="00511105" w:rsidRPr="009E6637" w:rsidRDefault="00511105" w:rsidP="00511105">
      <w:pPr>
        <w:pStyle w:val="CETAddress"/>
        <w:rPr>
          <w:noProof w:val="0"/>
        </w:rPr>
      </w:pPr>
      <w:proofErr w:type="spellStart"/>
      <w:r w:rsidRPr="009E6637">
        <w:rPr>
          <w:noProof w:val="0"/>
          <w:vertAlign w:val="superscript"/>
        </w:rPr>
        <w:t>b</w:t>
      </w:r>
      <w:r w:rsidRPr="009E6637">
        <w:rPr>
          <w:noProof w:val="0"/>
        </w:rPr>
        <w:t>Department</w:t>
      </w:r>
      <w:proofErr w:type="spellEnd"/>
      <w:r w:rsidRPr="009E6637">
        <w:rPr>
          <w:noProof w:val="0"/>
        </w:rPr>
        <w:t xml:space="preserve"> of Chemical, Materials and Production Engineering, University of Naples Federico II, </w:t>
      </w:r>
      <w:proofErr w:type="spellStart"/>
      <w:r w:rsidRPr="009E6637">
        <w:rPr>
          <w:noProof w:val="0"/>
        </w:rPr>
        <w:t>P.le</w:t>
      </w:r>
      <w:proofErr w:type="spellEnd"/>
      <w:r w:rsidRPr="009E6637">
        <w:rPr>
          <w:noProof w:val="0"/>
        </w:rPr>
        <w:t xml:space="preserve"> V. </w:t>
      </w:r>
      <w:proofErr w:type="spellStart"/>
      <w:r w:rsidRPr="009E6637">
        <w:rPr>
          <w:noProof w:val="0"/>
        </w:rPr>
        <w:t>Tecchio</w:t>
      </w:r>
      <w:proofErr w:type="spellEnd"/>
      <w:r w:rsidRPr="009E6637">
        <w:rPr>
          <w:noProof w:val="0"/>
        </w:rPr>
        <w:t xml:space="preserve"> 80, 80125, Naples, Italy</w:t>
      </w:r>
    </w:p>
    <w:p w14:paraId="73F1267A" w14:textId="0F43C7AF" w:rsidR="00B57E6F" w:rsidRPr="009E6637" w:rsidRDefault="009C12F8" w:rsidP="00B57E6F">
      <w:pPr>
        <w:pStyle w:val="CETemail"/>
        <w:rPr>
          <w:noProof w:val="0"/>
        </w:rPr>
      </w:pPr>
      <w:r w:rsidRPr="009E6637">
        <w:rPr>
          <w:noProof w:val="0"/>
        </w:rPr>
        <w:t>maria.portarapillo@unina.it</w:t>
      </w:r>
    </w:p>
    <w:p w14:paraId="169CAFDF" w14:textId="2BDF1ECE" w:rsidR="005373D3" w:rsidRPr="009E6637" w:rsidRDefault="005373D3" w:rsidP="005373D3">
      <w:pPr>
        <w:pStyle w:val="CETBodytext"/>
        <w:rPr>
          <w:lang w:val="en-GB"/>
        </w:rPr>
      </w:pPr>
      <w:r w:rsidRPr="009E6637">
        <w:rPr>
          <w:lang w:val="en-GB"/>
        </w:rPr>
        <w:t>This paper presents in detail a novel course introduced in the academic year 2021/2022 in the Master's degree program in Chemical Engineering at the University of Naples Federico II. The course, called</w:t>
      </w:r>
      <w:r w:rsidRPr="009E6637">
        <w:rPr>
          <w:i/>
          <w:lang w:val="en-GB"/>
        </w:rPr>
        <w:t xml:space="preserve"> Safety of Dusts and Liquids and Lab Activities,</w:t>
      </w:r>
      <w:r w:rsidRPr="009E6637">
        <w:rPr>
          <w:lang w:val="en-GB"/>
        </w:rPr>
        <w:t xml:space="preserve"> aims to educate students on the industrial safety issues of combustible dusts and flammable liquids. The course was structured with lectures, classroom exercises and laboratory activities aimed at </w:t>
      </w:r>
      <w:r w:rsidR="003922F3" w:rsidRPr="009E6637">
        <w:rPr>
          <w:lang w:val="en-GB"/>
        </w:rPr>
        <w:t>characterizing</w:t>
      </w:r>
      <w:r w:rsidRPr="009E6637">
        <w:rPr>
          <w:lang w:val="en-GB"/>
        </w:rPr>
        <w:t xml:space="preserve"> the ignition sensitivity and explosion severity of certain gaseous fuels, liquids and dusts. Each laboratory activity was preceded by a video tutorial, designed and prepared by the lecturers, in order to introduce the students to the activities and prepare them for all the procedures to be performed. Students</w:t>
      </w:r>
      <w:r w:rsidR="003922F3" w:rsidRPr="009E6637">
        <w:rPr>
          <w:lang w:val="en-GB"/>
        </w:rPr>
        <w:t>’</w:t>
      </w:r>
      <w:r w:rsidRPr="009E6637">
        <w:rPr>
          <w:lang w:val="en-GB"/>
        </w:rPr>
        <w:t xml:space="preserve"> satisfaction was assessed through the compilation of several anonymous surveys. Results showed a high level of student satisfaction with the course topics and laboratory activities and they will also be used to introduce some improvements for next year</w:t>
      </w:r>
      <w:r w:rsidR="0014501B" w:rsidRPr="009E6637">
        <w:rPr>
          <w:lang w:val="en-GB"/>
        </w:rPr>
        <w:t>.</w:t>
      </w:r>
    </w:p>
    <w:p w14:paraId="476B2F2E" w14:textId="77777777" w:rsidR="00600535" w:rsidRPr="009E6637" w:rsidRDefault="00600535" w:rsidP="00600535">
      <w:pPr>
        <w:pStyle w:val="CETHeading1"/>
        <w:rPr>
          <w:lang w:val="en-GB"/>
        </w:rPr>
      </w:pPr>
      <w:r w:rsidRPr="009E6637">
        <w:rPr>
          <w:lang w:val="en-GB"/>
        </w:rPr>
        <w:t>Introduction</w:t>
      </w:r>
    </w:p>
    <w:p w14:paraId="76B68BBC" w14:textId="7CE77504" w:rsidR="0072437B" w:rsidRPr="009E6637" w:rsidRDefault="0072437B" w:rsidP="00FE0AA9">
      <w:pPr>
        <w:pStyle w:val="CETBodytextItalic"/>
      </w:pPr>
      <w:r w:rsidRPr="009E6637">
        <w:t xml:space="preserve">«It is important that students be introduced to the concept of inherently safer design and that they realize that safety in plant operation must be considered right at the start of the design study. Process safety must be taught in a rigorous, stimulating way by staff of appropriate experience. […] By virtue of the nature of processes which give rise to major hazards, it is the chemical engineer who often fills the position of responsible person in the design or operation of plant» </w:t>
      </w:r>
      <w:r w:rsidR="00FE0AA9" w:rsidRPr="009E6637">
        <w:fldChar w:fldCharType="begin" w:fldLock="1"/>
      </w:r>
      <w:r w:rsidR="009F235F" w:rsidRPr="009E6637">
        <w:instrText>ADDIN CSL_CITATION {"citationItems":[{"id":"ITEM-1","itemData":{"author":[{"dropping-particle":"","family":"Harvey","given":"B.H.","non-dropping-particle":"","parse-names":false,"suffix":""}],"id":"ITEM-1","issued":{"date-parts":[["1984"]]},"publisher-place":"HM Stationery Office, London, UK","title":"Third Report of the Advisory Committee on Major Hazards","type":"report"},"uris":["http://www.mendeley.com/documents/?uuid=eb4b5d14-fefe-4a2f-8bab-64fd67557f31"]}],"mendeley":{"formattedCitation":"(Harvey, 1984)","plainTextFormattedCitation":"(Harvey, 1984)","previouslyFormattedCitation":"(Harvey, 1984)"},"properties":{"noteIndex":0},"schema":"https://github.com/citation-style-language/schema/raw/master/csl-citation.json"}</w:instrText>
      </w:r>
      <w:r w:rsidR="00FE0AA9" w:rsidRPr="009E6637">
        <w:fldChar w:fldCharType="separate"/>
      </w:r>
      <w:r w:rsidR="00FE0AA9" w:rsidRPr="009E6637">
        <w:rPr>
          <w:i w:val="0"/>
          <w:noProof/>
        </w:rPr>
        <w:t>(Harvey, 1984)</w:t>
      </w:r>
      <w:r w:rsidR="00FE0AA9" w:rsidRPr="009E6637">
        <w:fldChar w:fldCharType="end"/>
      </w:r>
      <w:r w:rsidR="00FE0AA9" w:rsidRPr="009E6637">
        <w:t>.</w:t>
      </w:r>
    </w:p>
    <w:p w14:paraId="48E1EDA8" w14:textId="77777777" w:rsidR="0012641A" w:rsidRPr="009E6637" w:rsidRDefault="005B5E89" w:rsidP="0012641A">
      <w:pPr>
        <w:pStyle w:val="CETBodytext"/>
        <w:rPr>
          <w:lang w:val="en-GB"/>
        </w:rPr>
      </w:pPr>
      <w:r w:rsidRPr="009E6637">
        <w:rPr>
          <w:lang w:val="en-GB"/>
        </w:rPr>
        <w:t xml:space="preserve">These few lines can be seen as the motivation for the will of the Chemical Engineering program of the University of Naples Federico II to introduce various courses on industrial safety in chemical processes over the last decades. The main objective of the courses is to improve the awareness and understanding of the processes related to industrial safety, trying to make all the concepts and activities as attractive as possible for the students. Other chemical engineering faculties have also used this approach and received positive feedback </w:t>
      </w:r>
      <w:r w:rsidR="009F235F" w:rsidRPr="009E6637">
        <w:rPr>
          <w:lang w:val="en-GB"/>
        </w:rPr>
        <w:fldChar w:fldCharType="begin" w:fldLock="1"/>
      </w:r>
      <w:r w:rsidR="008832B4" w:rsidRPr="009E6637">
        <w:rPr>
          <w:lang w:val="en-GB"/>
        </w:rPr>
        <w:instrText>ADDIN CSL_CITATION {"citationItems":[{"id":"ITEM-1","itemData":{"DOI":"10.1016/j.ece.2010.05.001","ISSN":"17497728","abstract":"The paper describes the development of a course on Risk Assessment aiming to enhance awareness and comprehension of the procedures; it was also intended to make the subject attractive and enjoyable to the students. Extra care was undertaken to employ multimedia tools and videos during the teaching of the course. Additionally, the course is graded on a combination of section-by-section in-class exercises (80%) and a peer-assessed group project (20%). The course is an elective, taught in the fourth year of the Chemical Engineering curriculum at the Aristotle University of Thessaloniki. In this work, the syllabus of the course, the teaching tools and the grading procedure are explained in detail. Moreover, a summary of students' feedback and comments (also provided) indicates that in many respects the aims have been achieved. © 2010 The Institution of Chemical Engineers.","author":[{"dropping-particle":"","family":"Assael","given":"Marc J.","non-dropping-particle":"","parse-names":false,"suffix":""},{"dropping-particle":"","family":"Kakosimos","given":"Konstantinos E.","non-dropping-particle":"","parse-names":false,"suffix":""}],"container-title":"Education for Chemical Engineers","id":"ITEM-1","issue":"3","issued":{"date-parts":[["2010"]]},"page":"e45-e53","publisher":"Institution of Chemical Engineers","title":"Can a course on the calculation of the effects of fires, explosions and toxic gas dispersions, be topical, enjoyable and meaningful?","type":"article-journal","volume":"5"},"uris":["http://www.mendeley.com/documents/?uuid=4398083e-4354-4187-8877-1ab1956c1ac0"]},{"id":"ITEM-2","itemData":{"DOI":"10.1016/j.jlp.2018.03.017","ISSN":"09504230","abstract":"The essential contribution of education to safety and loss prevention is emphasized in this paper. It provides a review of the chemical engineering undergraduate and graduate French curriculum “Process safety”. First, the specific situation of the French chemical engineering departments is situated in the Bologna Accord. Then the three main ways to teach occupational health, safety and loss prevention in chemical engineering cursus are discussed. The principle of a layered approach is reported with the corresponding levels of outcomes, competences and safe work practice expectations. The content of the undergraduate safety mandatory program of the French University Institutes of Technology (IUT) is indicated for the concerned chemical engineering departments. Finally, some selected detailed lists of the different safety mandatory and elective courses concerning the corresponding French Master degrees (topics – time allocation and European Credit Transfer and accumulation System ECTS) in two Chemical Engineering Schools ENSIC Nancy and ENSIACET Toulouse are commented.","author":[{"dropping-particle":"","family":"Perrin","given":"Laurent","non-dropping-particle":"","parse-names":false,"suffix":""},{"dropping-particle":"","family":"Gabas","given":"Nadine","non-dropping-particle":"","parse-names":false,"suffix":""},{"dropping-particle":"","family":"Corriou","given":"Jean Pierre","non-dropping-particle":"","parse-names":false,"suffix":""},{"dropping-particle":"","family":"Laurent","given":"André","non-dropping-particle":"","parse-names":false,"suffix":""}],"container-title":"Journal of Loss Prevention in the Process Industries","id":"ITEM-2","issued":{"date-parts":[["2018"]]},"page":"190-195","publisher":"Elsevier Ltd","title":"Promoting safety teaching: An essential requirement for the chemical engineering education in the French universities","type":"article-journal","volume":"54"},"uris":["http://www.mendeley.com/documents/?uuid=2c8110ff-ae05-4e8a-8f10-0c5445d825ba"]}],"mendeley":{"formattedCitation":"(Assael and Kakosimos, 2010; Perrin et al., 2018)","plainTextFormattedCitation":"(Assael and Kakosimos, 2010; Perrin et al., 2018)","previouslyFormattedCitation":"(Assael and Kakosimos, 2010; Perrin et al., 2018)"},"properties":{"noteIndex":0},"schema":"https://github.com/citation-style-language/schema/raw/master/csl-citation.json"}</w:instrText>
      </w:r>
      <w:r w:rsidR="009F235F" w:rsidRPr="009E6637">
        <w:rPr>
          <w:lang w:val="en-GB"/>
        </w:rPr>
        <w:fldChar w:fldCharType="separate"/>
      </w:r>
      <w:r w:rsidR="009F235F" w:rsidRPr="009E6637">
        <w:rPr>
          <w:noProof/>
          <w:lang w:val="en-GB"/>
        </w:rPr>
        <w:t>(Assael and Kakosimos, 2010; Perrin et al., 2018)</w:t>
      </w:r>
      <w:r w:rsidR="009F235F" w:rsidRPr="009E6637">
        <w:rPr>
          <w:lang w:val="en-GB"/>
        </w:rPr>
        <w:fldChar w:fldCharType="end"/>
      </w:r>
      <w:r w:rsidR="0072437B" w:rsidRPr="009E6637">
        <w:rPr>
          <w:lang w:val="en-GB"/>
        </w:rPr>
        <w:t>.</w:t>
      </w:r>
      <w:r w:rsidR="00382296" w:rsidRPr="009E6637">
        <w:rPr>
          <w:lang w:val="en-GB"/>
        </w:rPr>
        <w:t xml:space="preserve"> </w:t>
      </w:r>
      <w:r w:rsidR="0012641A" w:rsidRPr="009E6637">
        <w:rPr>
          <w:lang w:val="en-GB"/>
        </w:rPr>
        <w:t xml:space="preserve">The first activated compulsory course on industrial safety is called </w:t>
      </w:r>
      <w:r w:rsidR="0012641A" w:rsidRPr="009E6637">
        <w:rPr>
          <w:i/>
          <w:iCs/>
          <w:lang w:val="en-GB"/>
        </w:rPr>
        <w:t>Safety of Chemical Processes</w:t>
      </w:r>
      <w:r w:rsidR="0012641A" w:rsidRPr="009E6637">
        <w:rPr>
          <w:lang w:val="en-GB"/>
        </w:rPr>
        <w:t xml:space="preserve"> (Master's Degree in Chemical Engineering) and covers basic topics such as references to Italian legislation regarding accident-prone sites, thermal stability of substances and thermal explosions, fires and chemical/mechanical explosions (homogeneous and heterogeneous), toxicology and industrial hygiene, and fire and explosion prevention/protection procedures.</w:t>
      </w:r>
    </w:p>
    <w:p w14:paraId="62709E38" w14:textId="130C024D" w:rsidR="0072437B" w:rsidRPr="009E6637" w:rsidRDefault="0012641A" w:rsidP="0012641A">
      <w:pPr>
        <w:pStyle w:val="CETBodytext"/>
        <w:rPr>
          <w:lang w:val="en-GB"/>
        </w:rPr>
      </w:pPr>
      <w:r w:rsidRPr="009E6637">
        <w:rPr>
          <w:lang w:val="en-GB"/>
        </w:rPr>
        <w:t xml:space="preserve">From the academic year 2020-2021, this program was complemented by another compulsory course called </w:t>
      </w:r>
      <w:r w:rsidRPr="009E6637">
        <w:rPr>
          <w:i/>
          <w:iCs/>
          <w:lang w:val="en-GB"/>
        </w:rPr>
        <w:t>Chemical Process Development and Risk Analysis</w:t>
      </w:r>
      <w:r w:rsidRPr="009E6637">
        <w:rPr>
          <w:lang w:val="en-GB"/>
        </w:rPr>
        <w:t xml:space="preserve"> (Master's degree in Chemical Engineering). The main objective is to enable students to perform critical analysis of industrial chemical processes with respect to risk analysis issues, make process decisions to optimize performance with respect to industrial safety, and perform risk analysis of industrial chemical processes and use risk analysis software available in the literature. </w:t>
      </w:r>
      <w:r w:rsidR="00B06D8A" w:rsidRPr="009E6637">
        <w:rPr>
          <w:lang w:val="en-GB"/>
        </w:rPr>
        <w:t>In both courses, students learn the basic knowledge of industrial safety. However, this knowledge is expanded and applied in the second course through the use of simulation software and the development of a group project in which students are asked to perform a full quantitative risk analysis</w:t>
      </w:r>
      <w:r w:rsidR="00F802CF" w:rsidRPr="009E6637">
        <w:rPr>
          <w:lang w:val="en-GB"/>
        </w:rPr>
        <w:t xml:space="preserve"> </w:t>
      </w:r>
      <w:r w:rsidR="00F802CF" w:rsidRPr="009E6637">
        <w:rPr>
          <w:lang w:val="en-GB"/>
        </w:rPr>
        <w:fldChar w:fldCharType="begin" w:fldLock="1"/>
      </w:r>
      <w:r w:rsidR="00F802CF" w:rsidRPr="009E6637">
        <w:rPr>
          <w:lang w:val="en-GB"/>
        </w:rPr>
        <w:instrText>ADDIN CSL_CITATION {"citationItems":[{"id":"ITEM-1","itemData":{"author":[{"dropping-particle":"","family":"Department of Chemical Materials and Production Engineering","given":"","non-dropping-particle":"","parse-names":false,"suffix":""}],"id":"ITEM-1","issued":{"date-parts":[["2022"]]},"title":"http:/www.ingchim.unina.it","type":"webpage"},"uris":["http://www.mendeley.com/documents/?uuid=eeb51411-b987-4b14-adbf-2e2f0be9ea88"]}],"mendeley":{"formattedCitation":"(Department of Chemical Materials and Production Engineering, 2022)","plainTextFormattedCitation":"(Department of Chemical Materials and Production Engineering, 2022)","previouslyFormattedCitation":"(Department of Chemical Materials and Production Engineering, 2022)"},"properties":{"noteIndex":0},"schema":"https://github.com/citation-style-language/schema/raw/master/csl-citation.json"}</w:instrText>
      </w:r>
      <w:r w:rsidR="00F802CF" w:rsidRPr="009E6637">
        <w:rPr>
          <w:lang w:val="en-GB"/>
        </w:rPr>
        <w:fldChar w:fldCharType="separate"/>
      </w:r>
      <w:r w:rsidR="00F802CF" w:rsidRPr="009E6637">
        <w:rPr>
          <w:noProof/>
          <w:lang w:val="en-GB"/>
        </w:rPr>
        <w:t xml:space="preserve">(Department of Chemical Materials and </w:t>
      </w:r>
      <w:r w:rsidR="00F802CF" w:rsidRPr="009E6637">
        <w:rPr>
          <w:noProof/>
          <w:lang w:val="en-GB"/>
        </w:rPr>
        <w:lastRenderedPageBreak/>
        <w:t>Production Engineering, 2022)</w:t>
      </w:r>
      <w:r w:rsidR="00F802CF" w:rsidRPr="009E6637">
        <w:rPr>
          <w:lang w:val="en-GB"/>
        </w:rPr>
        <w:fldChar w:fldCharType="end"/>
      </w:r>
      <w:r w:rsidR="0072437B" w:rsidRPr="009E6637">
        <w:rPr>
          <w:lang w:val="en-GB"/>
        </w:rPr>
        <w:t>.</w:t>
      </w:r>
      <w:r w:rsidR="008743CE" w:rsidRPr="009E6637">
        <w:rPr>
          <w:lang w:val="en-GB"/>
        </w:rPr>
        <w:t xml:space="preserve"> </w:t>
      </w:r>
      <w:r w:rsidR="00152115" w:rsidRPr="009E6637">
        <w:rPr>
          <w:lang w:val="en-GB"/>
        </w:rPr>
        <w:t xml:space="preserve">In both courses, fire and explosion phenomena of combustible dusts are only marginally studied. Until 2006, dusts were defined as materials with a particle size of 420 μm or less (meaning fine enough to fall through a US standard No. 40 sieve). In the new standard, combustible dusts are defined as "flammable solid particles that present a fire or deflagration hazard when suspended in air or other oxidizing medium over a range of concentrations, regardless of particle size or shape" </w:t>
      </w:r>
      <w:r w:rsidR="00F802CF" w:rsidRPr="009E6637">
        <w:rPr>
          <w:lang w:val="en-GB"/>
        </w:rPr>
        <w:fldChar w:fldCharType="begin" w:fldLock="1"/>
      </w:r>
      <w:r w:rsidR="00F802CF" w:rsidRPr="009E6637">
        <w:rPr>
          <w:lang w:val="en-GB"/>
        </w:rPr>
        <w:instrText>ADDIN CSL_CITATION {"citationItems":[{"id":"ITEM-1","itemData":{"author":[{"dropping-particle":"","family":"Colonna","given":"G","non-dropping-particle":"","parse-names":false,"suffix":""}],"id":"ITEM-1","issued":{"date-parts":[["2013"]]},"title":"Fire and Life Safety Inspection Manual","type":"article-journal","volume":"50"},"uris":["http://www.mendeley.com/documents/?uuid=b62ba7c2-69c9-4612-949b-3f0aeba24222"]}],"mendeley":{"formattedCitation":"(Colonna, 2013)","plainTextFormattedCitation":"(Colonna, 2013)","previouslyFormattedCitation":"(Colonna, 2013)"},"properties":{"noteIndex":0},"schema":"https://github.com/citation-style-language/schema/raw/master/csl-citation.json"}</w:instrText>
      </w:r>
      <w:r w:rsidR="00F802CF" w:rsidRPr="009E6637">
        <w:rPr>
          <w:lang w:val="en-GB"/>
        </w:rPr>
        <w:fldChar w:fldCharType="separate"/>
      </w:r>
      <w:r w:rsidR="00F802CF" w:rsidRPr="009E6637">
        <w:rPr>
          <w:noProof/>
          <w:lang w:val="en-GB"/>
        </w:rPr>
        <w:t>(Colonna, 2013)</w:t>
      </w:r>
      <w:r w:rsidR="00F802CF" w:rsidRPr="009E6637">
        <w:rPr>
          <w:lang w:val="en-GB"/>
        </w:rPr>
        <w:fldChar w:fldCharType="end"/>
      </w:r>
      <w:r w:rsidR="0072437B" w:rsidRPr="009E6637">
        <w:rPr>
          <w:lang w:val="en-GB"/>
        </w:rPr>
        <w:t xml:space="preserve">. </w:t>
      </w:r>
      <w:r w:rsidR="00152115" w:rsidRPr="009E6637">
        <w:rPr>
          <w:lang w:val="en-GB"/>
        </w:rPr>
        <w:t xml:space="preserve">Despite the knowledge about dust explosions that has grown over the years, hundreds of accidents occur every year due to the improper handling of combustible dusts and the lack or ineffectiveness of safety measures. </w:t>
      </w:r>
      <w:r w:rsidR="00F802CF" w:rsidRPr="009E6637">
        <w:rPr>
          <w:lang w:val="en-GB"/>
        </w:rPr>
        <w:fldChar w:fldCharType="begin" w:fldLock="1"/>
      </w:r>
      <w:r w:rsidR="00900423" w:rsidRPr="009E6637">
        <w:rPr>
          <w:lang w:val="en-GB"/>
        </w:rPr>
        <w:instrText>ADDIN CSL_CITATION {"citationItems":[{"id":"ITEM-1","itemData":{"URL":"www.dustsafetyscience.com","author":[{"dropping-particle":"","family":"Cloney","given":"C.","non-dropping-particle":"","parse-names":false,"suffix":""}],"container-title":"DustEx Research Ltd","id":"ITEM-1","issued":{"date-parts":[["2021"]]},"title":"2020 Combustible Dust Incident Report - Version #1","type":"webpage"},"uris":["http://www.mendeley.com/documents/?uuid=70ce5911-ad87-4d0d-a372-8bf8acc114a0"]}],"mendeley":{"formattedCitation":"(Cloney, 2021)","plainTextFormattedCitation":"(Cloney, 2021)","previouslyFormattedCitation":"(Cloney, 2021)"},"properties":{"noteIndex":0},"schema":"https://github.com/citation-style-language/schema/raw/master/csl-citation.json"}</w:instrText>
      </w:r>
      <w:r w:rsidR="00F802CF" w:rsidRPr="009E6637">
        <w:rPr>
          <w:lang w:val="en-GB"/>
        </w:rPr>
        <w:fldChar w:fldCharType="separate"/>
      </w:r>
      <w:r w:rsidR="00F802CF" w:rsidRPr="009E6637">
        <w:rPr>
          <w:noProof/>
          <w:lang w:val="en-GB"/>
        </w:rPr>
        <w:t>(Cloney, 2021)</w:t>
      </w:r>
      <w:r w:rsidR="00F802CF" w:rsidRPr="009E6637">
        <w:rPr>
          <w:lang w:val="en-GB"/>
        </w:rPr>
        <w:fldChar w:fldCharType="end"/>
      </w:r>
      <w:r w:rsidR="0072437B" w:rsidRPr="009E6637">
        <w:rPr>
          <w:lang w:val="en-GB"/>
        </w:rPr>
        <w:t xml:space="preserve">. </w:t>
      </w:r>
      <w:r w:rsidR="001B05C3" w:rsidRPr="009E6637">
        <w:rPr>
          <w:lang w:val="en-GB"/>
        </w:rPr>
        <w:t>To fill this gap in the preparation of Neapolitan chemical engineering students, a new program has been designed and activated in the academic year 2021-2022</w:t>
      </w:r>
      <w:r w:rsidR="0072437B" w:rsidRPr="009E6637">
        <w:rPr>
          <w:lang w:val="en-GB"/>
        </w:rPr>
        <w:t>.</w:t>
      </w:r>
    </w:p>
    <w:p w14:paraId="6B4C63E5" w14:textId="4FFD16BD" w:rsidR="00600535" w:rsidRPr="009E6637" w:rsidRDefault="00323D56" w:rsidP="00FA5F5F">
      <w:pPr>
        <w:pStyle w:val="CETheadingx"/>
        <w:rPr>
          <w:lang w:val="en-GB"/>
        </w:rPr>
      </w:pPr>
      <w:r w:rsidRPr="009E6637">
        <w:rPr>
          <w:lang w:val="en-GB"/>
        </w:rPr>
        <w:t>Course description</w:t>
      </w:r>
    </w:p>
    <w:p w14:paraId="5535EBAA" w14:textId="1B88F220" w:rsidR="00ED56C0" w:rsidRPr="009E6637" w:rsidRDefault="0001519A" w:rsidP="0001519A">
      <w:pPr>
        <w:pStyle w:val="CETBodytext"/>
        <w:rPr>
          <w:lang w:val="en-GB"/>
        </w:rPr>
      </w:pPr>
      <w:r w:rsidRPr="009E6637">
        <w:rPr>
          <w:i/>
          <w:iCs/>
          <w:lang w:val="en-GB"/>
        </w:rPr>
        <w:t>Safety of Dusts and Liquids and Laboratory Activities</w:t>
      </w:r>
      <w:r w:rsidRPr="009E6637">
        <w:rPr>
          <w:lang w:val="en-GB"/>
        </w:rPr>
        <w:t xml:space="preserve"> is an elective course of the Master's Degree in Chemical Engineering at the University of Naples Federico II. This course is part of a package of electives that can be chosen by students to obtain a complete preparation in the field of industrial safety. The other courses are in particular: </w:t>
      </w:r>
      <w:r w:rsidRPr="009E6637">
        <w:rPr>
          <w:i/>
          <w:iCs/>
          <w:lang w:val="en-GB"/>
        </w:rPr>
        <w:t>Explosion Risks in the Workplace: Prevention and Protective Measures</w:t>
      </w:r>
      <w:r w:rsidRPr="009E6637">
        <w:rPr>
          <w:lang w:val="en-GB"/>
        </w:rPr>
        <w:t xml:space="preserve">, </w:t>
      </w:r>
      <w:r w:rsidRPr="009E6637">
        <w:rPr>
          <w:i/>
          <w:iCs/>
          <w:lang w:val="en-GB"/>
        </w:rPr>
        <w:t>Structural Safety and Fire Protection of Buildings for Industrial Processes</w:t>
      </w:r>
      <w:r w:rsidRPr="009E6637">
        <w:rPr>
          <w:lang w:val="en-GB"/>
        </w:rPr>
        <w:t xml:space="preserve">, </w:t>
      </w:r>
      <w:r w:rsidRPr="009E6637">
        <w:rPr>
          <w:i/>
          <w:iCs/>
          <w:lang w:val="en-GB"/>
        </w:rPr>
        <w:t>Toxicology and Industrial Hygiene</w:t>
      </w:r>
      <w:r w:rsidRPr="009E6637">
        <w:rPr>
          <w:lang w:val="en-GB"/>
        </w:rPr>
        <w:t>. All courses related to industrial safety are summarized in Table 1</w:t>
      </w:r>
      <w:r w:rsidR="00ED56C0" w:rsidRPr="009E6637">
        <w:rPr>
          <w:lang w:val="en-GB"/>
        </w:rPr>
        <w:t>.</w:t>
      </w:r>
    </w:p>
    <w:p w14:paraId="09C09FFA" w14:textId="77777777" w:rsidR="000C055F" w:rsidRPr="009E6637" w:rsidRDefault="000C055F" w:rsidP="00C052AA">
      <w:pPr>
        <w:pStyle w:val="CETTabletitle"/>
      </w:pPr>
      <w:r w:rsidRPr="009E6637">
        <w:t>Table 1: Courses about industrial safety contents of the Chemical Engineering course, Master's degree, University of Naples Federico II.</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001"/>
        <w:gridCol w:w="471"/>
        <w:gridCol w:w="1315"/>
      </w:tblGrid>
      <w:tr w:rsidR="005D2AAB" w:rsidRPr="009E6637" w14:paraId="55378EA5" w14:textId="77777777" w:rsidTr="006F7F9B">
        <w:tc>
          <w:tcPr>
            <w:tcW w:w="3984" w:type="pct"/>
            <w:tcBorders>
              <w:top w:val="single" w:sz="12" w:space="0" w:color="008000"/>
              <w:bottom w:val="single" w:sz="6" w:space="0" w:color="008000"/>
            </w:tcBorders>
            <w:shd w:val="clear" w:color="auto" w:fill="FFFFFF"/>
          </w:tcPr>
          <w:p w14:paraId="54033DFF" w14:textId="54C1520C" w:rsidR="005D2AAB" w:rsidRPr="009E6637" w:rsidRDefault="005D2AAB" w:rsidP="005D2AAB">
            <w:pPr>
              <w:pStyle w:val="CETBodytext"/>
              <w:rPr>
                <w:lang w:val="en-GB"/>
              </w:rPr>
            </w:pPr>
            <w:r w:rsidRPr="009E6637">
              <w:rPr>
                <w:lang w:val="en-GB"/>
              </w:rPr>
              <w:t>Courses</w:t>
            </w:r>
          </w:p>
        </w:tc>
        <w:tc>
          <w:tcPr>
            <w:tcW w:w="268" w:type="pct"/>
            <w:tcBorders>
              <w:top w:val="single" w:sz="12" w:space="0" w:color="008000"/>
              <w:bottom w:val="single" w:sz="6" w:space="0" w:color="008000"/>
            </w:tcBorders>
            <w:shd w:val="clear" w:color="auto" w:fill="FFFFFF"/>
          </w:tcPr>
          <w:p w14:paraId="1B6E39C7" w14:textId="0FD12108" w:rsidR="005D2AAB" w:rsidRPr="009E6637" w:rsidRDefault="005D2AAB" w:rsidP="005D2AAB">
            <w:pPr>
              <w:pStyle w:val="CETBodytext"/>
              <w:rPr>
                <w:lang w:val="en-GB"/>
              </w:rPr>
            </w:pPr>
            <w:r w:rsidRPr="009E6637">
              <w:rPr>
                <w:lang w:val="en-GB"/>
              </w:rPr>
              <w:t>Year</w:t>
            </w:r>
          </w:p>
        </w:tc>
        <w:tc>
          <w:tcPr>
            <w:tcW w:w="748" w:type="pct"/>
            <w:tcBorders>
              <w:top w:val="single" w:sz="12" w:space="0" w:color="008000"/>
              <w:bottom w:val="single" w:sz="6" w:space="0" w:color="008000"/>
            </w:tcBorders>
            <w:shd w:val="clear" w:color="auto" w:fill="FFFFFF"/>
          </w:tcPr>
          <w:p w14:paraId="6EAB4E79" w14:textId="6D15CCB4" w:rsidR="005D2AAB" w:rsidRPr="009E6637" w:rsidRDefault="005D2AAB" w:rsidP="005D2AAB">
            <w:pPr>
              <w:pStyle w:val="CETBodytext"/>
              <w:rPr>
                <w:lang w:val="en-GB"/>
              </w:rPr>
            </w:pPr>
            <w:r w:rsidRPr="009E6637">
              <w:rPr>
                <w:lang w:val="en-GB"/>
              </w:rPr>
              <w:t>Compulsory?</w:t>
            </w:r>
          </w:p>
        </w:tc>
      </w:tr>
      <w:tr w:rsidR="006F7F9B" w:rsidRPr="009E6637" w14:paraId="69FB26B6" w14:textId="77777777" w:rsidTr="006F7F9B">
        <w:tc>
          <w:tcPr>
            <w:tcW w:w="3984" w:type="pct"/>
            <w:shd w:val="clear" w:color="auto" w:fill="FFFFFF"/>
            <w:vAlign w:val="center"/>
          </w:tcPr>
          <w:p w14:paraId="4F683877" w14:textId="221A69C8" w:rsidR="006F7F9B" w:rsidRPr="009E6637" w:rsidRDefault="006F7F9B" w:rsidP="006F7F9B">
            <w:pPr>
              <w:pStyle w:val="CETBodytext"/>
              <w:rPr>
                <w:i/>
                <w:iCs/>
                <w:lang w:val="en-GB"/>
              </w:rPr>
            </w:pPr>
            <w:r w:rsidRPr="009E6637">
              <w:rPr>
                <w:i/>
                <w:iCs/>
                <w:lang w:val="en-GB"/>
              </w:rPr>
              <w:t>Safety of Chemical Processes</w:t>
            </w:r>
          </w:p>
        </w:tc>
        <w:tc>
          <w:tcPr>
            <w:tcW w:w="268" w:type="pct"/>
            <w:shd w:val="clear" w:color="auto" w:fill="FFFFFF"/>
            <w:vAlign w:val="center"/>
          </w:tcPr>
          <w:p w14:paraId="6C4B15FA" w14:textId="6A58D63A" w:rsidR="006F7F9B" w:rsidRPr="009E6637" w:rsidRDefault="006F7F9B" w:rsidP="006F7F9B">
            <w:pPr>
              <w:pStyle w:val="CETBodytext"/>
              <w:rPr>
                <w:lang w:val="en-GB"/>
              </w:rPr>
            </w:pPr>
            <w:r w:rsidRPr="009E6637">
              <w:rPr>
                <w:lang w:val="en-GB"/>
              </w:rPr>
              <w:t>I</w:t>
            </w:r>
          </w:p>
        </w:tc>
        <w:tc>
          <w:tcPr>
            <w:tcW w:w="748" w:type="pct"/>
            <w:shd w:val="clear" w:color="auto" w:fill="FFFFFF"/>
            <w:vAlign w:val="center"/>
          </w:tcPr>
          <w:p w14:paraId="1797157A" w14:textId="6D1F4E3A" w:rsidR="006F7F9B" w:rsidRPr="009E6637" w:rsidRDefault="006F7F9B" w:rsidP="006F7F9B">
            <w:pPr>
              <w:pStyle w:val="CETBodytext"/>
              <w:rPr>
                <w:lang w:val="en-GB"/>
              </w:rPr>
            </w:pPr>
            <w:r w:rsidRPr="009E6637">
              <w:rPr>
                <w:lang w:val="en-GB"/>
              </w:rPr>
              <w:t>Yes</w:t>
            </w:r>
          </w:p>
        </w:tc>
      </w:tr>
      <w:tr w:rsidR="006F7F9B" w:rsidRPr="009E6637" w14:paraId="13DA2F7E" w14:textId="77777777" w:rsidTr="006F7F9B">
        <w:tc>
          <w:tcPr>
            <w:tcW w:w="3984" w:type="pct"/>
            <w:shd w:val="clear" w:color="auto" w:fill="FFFFFF"/>
            <w:vAlign w:val="center"/>
          </w:tcPr>
          <w:p w14:paraId="67782D19" w14:textId="6508FB22" w:rsidR="006F7F9B" w:rsidRPr="009E6637" w:rsidRDefault="006F7F9B" w:rsidP="006F7F9B">
            <w:pPr>
              <w:pStyle w:val="CETBodytext"/>
              <w:rPr>
                <w:i/>
                <w:iCs/>
                <w:lang w:val="en-GB"/>
              </w:rPr>
            </w:pPr>
            <w:r w:rsidRPr="009E6637">
              <w:rPr>
                <w:i/>
                <w:iCs/>
                <w:lang w:val="en-GB"/>
              </w:rPr>
              <w:t>Development and Risk Analysis of Chemical Processes</w:t>
            </w:r>
          </w:p>
        </w:tc>
        <w:tc>
          <w:tcPr>
            <w:tcW w:w="268" w:type="pct"/>
            <w:shd w:val="clear" w:color="auto" w:fill="FFFFFF"/>
            <w:vAlign w:val="center"/>
          </w:tcPr>
          <w:p w14:paraId="0866FF69" w14:textId="24972F21" w:rsidR="006F7F9B" w:rsidRPr="009E6637" w:rsidRDefault="006F7F9B" w:rsidP="006F7F9B">
            <w:pPr>
              <w:pStyle w:val="CETBodytext"/>
              <w:rPr>
                <w:lang w:val="en-GB"/>
              </w:rPr>
            </w:pPr>
            <w:r w:rsidRPr="009E6637">
              <w:rPr>
                <w:lang w:val="en-GB"/>
              </w:rPr>
              <w:t>I</w:t>
            </w:r>
          </w:p>
        </w:tc>
        <w:tc>
          <w:tcPr>
            <w:tcW w:w="748" w:type="pct"/>
            <w:shd w:val="clear" w:color="auto" w:fill="FFFFFF"/>
            <w:vAlign w:val="center"/>
          </w:tcPr>
          <w:p w14:paraId="72612520" w14:textId="56F7CE6B" w:rsidR="006F7F9B" w:rsidRPr="009E6637" w:rsidRDefault="006F7F9B" w:rsidP="006F7F9B">
            <w:pPr>
              <w:pStyle w:val="CETBodytext"/>
              <w:rPr>
                <w:lang w:val="en-GB"/>
              </w:rPr>
            </w:pPr>
            <w:r w:rsidRPr="009E6637">
              <w:rPr>
                <w:lang w:val="en-GB"/>
              </w:rPr>
              <w:t>Yes</w:t>
            </w:r>
          </w:p>
        </w:tc>
      </w:tr>
      <w:tr w:rsidR="006F7F9B" w:rsidRPr="009E6637" w14:paraId="4138125C" w14:textId="77777777" w:rsidTr="006F7F9B">
        <w:tc>
          <w:tcPr>
            <w:tcW w:w="3984" w:type="pct"/>
            <w:shd w:val="clear" w:color="auto" w:fill="FFFFFF"/>
            <w:vAlign w:val="center"/>
          </w:tcPr>
          <w:p w14:paraId="52474C6F" w14:textId="7BB6B902" w:rsidR="006F7F9B" w:rsidRPr="009E6637" w:rsidRDefault="006F7F9B" w:rsidP="006F7F9B">
            <w:pPr>
              <w:pStyle w:val="CETBodytext"/>
              <w:rPr>
                <w:i/>
                <w:iCs/>
                <w:lang w:val="en-GB"/>
              </w:rPr>
            </w:pPr>
            <w:r w:rsidRPr="009E6637">
              <w:rPr>
                <w:i/>
                <w:iCs/>
                <w:lang w:val="en-GB"/>
              </w:rPr>
              <w:t>Safety of Dusts and Liquids and Lab Activities</w:t>
            </w:r>
          </w:p>
        </w:tc>
        <w:tc>
          <w:tcPr>
            <w:tcW w:w="268" w:type="pct"/>
            <w:shd w:val="clear" w:color="auto" w:fill="FFFFFF"/>
            <w:vAlign w:val="center"/>
          </w:tcPr>
          <w:p w14:paraId="144C0CDA" w14:textId="2BE46F46" w:rsidR="006F7F9B" w:rsidRPr="009E6637" w:rsidRDefault="006F7F9B" w:rsidP="006F7F9B">
            <w:pPr>
              <w:pStyle w:val="CETBodytext"/>
              <w:rPr>
                <w:lang w:val="en-GB"/>
              </w:rPr>
            </w:pPr>
            <w:r w:rsidRPr="009E6637">
              <w:rPr>
                <w:lang w:val="en-GB"/>
              </w:rPr>
              <w:t>I</w:t>
            </w:r>
          </w:p>
        </w:tc>
        <w:tc>
          <w:tcPr>
            <w:tcW w:w="748" w:type="pct"/>
            <w:shd w:val="clear" w:color="auto" w:fill="FFFFFF"/>
            <w:vAlign w:val="center"/>
          </w:tcPr>
          <w:p w14:paraId="4495C875" w14:textId="758D997B" w:rsidR="006F7F9B" w:rsidRPr="009E6637" w:rsidRDefault="006F7F9B" w:rsidP="006F7F9B">
            <w:pPr>
              <w:pStyle w:val="CETBodytext"/>
              <w:rPr>
                <w:lang w:val="en-GB"/>
              </w:rPr>
            </w:pPr>
            <w:r w:rsidRPr="009E6637">
              <w:rPr>
                <w:lang w:val="en-GB"/>
              </w:rPr>
              <w:t>No</w:t>
            </w:r>
          </w:p>
        </w:tc>
      </w:tr>
      <w:tr w:rsidR="006F7F9B" w:rsidRPr="009E6637" w14:paraId="10104561" w14:textId="77777777" w:rsidTr="006F7F9B">
        <w:tc>
          <w:tcPr>
            <w:tcW w:w="3984" w:type="pct"/>
            <w:shd w:val="clear" w:color="auto" w:fill="FFFFFF"/>
            <w:vAlign w:val="center"/>
          </w:tcPr>
          <w:p w14:paraId="20F94464" w14:textId="544607B5" w:rsidR="006F7F9B" w:rsidRPr="009E6637" w:rsidRDefault="006F7F9B" w:rsidP="006F7F9B">
            <w:pPr>
              <w:pStyle w:val="CETBodytext"/>
              <w:rPr>
                <w:i/>
                <w:iCs/>
                <w:lang w:val="en-GB"/>
              </w:rPr>
            </w:pPr>
            <w:r w:rsidRPr="009E6637">
              <w:rPr>
                <w:i/>
                <w:iCs/>
                <w:lang w:val="en-GB"/>
              </w:rPr>
              <w:t>Explosion risks of in workplaces: prevention and protection measures</w:t>
            </w:r>
          </w:p>
        </w:tc>
        <w:tc>
          <w:tcPr>
            <w:tcW w:w="268" w:type="pct"/>
            <w:shd w:val="clear" w:color="auto" w:fill="FFFFFF"/>
            <w:vAlign w:val="center"/>
          </w:tcPr>
          <w:p w14:paraId="15C175CA" w14:textId="1DA286B1" w:rsidR="006F7F9B" w:rsidRPr="009E6637" w:rsidRDefault="006F7F9B" w:rsidP="006F7F9B">
            <w:pPr>
              <w:pStyle w:val="CETBodytext"/>
              <w:rPr>
                <w:lang w:val="en-GB"/>
              </w:rPr>
            </w:pPr>
            <w:r w:rsidRPr="009E6637">
              <w:rPr>
                <w:lang w:val="en-GB"/>
              </w:rPr>
              <w:t>II</w:t>
            </w:r>
          </w:p>
        </w:tc>
        <w:tc>
          <w:tcPr>
            <w:tcW w:w="748" w:type="pct"/>
            <w:shd w:val="clear" w:color="auto" w:fill="FFFFFF"/>
            <w:vAlign w:val="center"/>
          </w:tcPr>
          <w:p w14:paraId="39D08878" w14:textId="7F160944" w:rsidR="006F7F9B" w:rsidRPr="009E6637" w:rsidRDefault="006F7F9B" w:rsidP="006F7F9B">
            <w:pPr>
              <w:pStyle w:val="CETBodytext"/>
              <w:rPr>
                <w:lang w:val="en-GB"/>
              </w:rPr>
            </w:pPr>
            <w:r w:rsidRPr="009E6637">
              <w:rPr>
                <w:lang w:val="en-GB"/>
              </w:rPr>
              <w:t>No</w:t>
            </w:r>
          </w:p>
        </w:tc>
      </w:tr>
      <w:tr w:rsidR="006F7F9B" w:rsidRPr="009E6637" w14:paraId="12D88A9B" w14:textId="77777777" w:rsidTr="006F7F9B">
        <w:tc>
          <w:tcPr>
            <w:tcW w:w="3984" w:type="pct"/>
            <w:shd w:val="clear" w:color="auto" w:fill="FFFFFF"/>
            <w:vAlign w:val="center"/>
          </w:tcPr>
          <w:p w14:paraId="2CA214C3" w14:textId="0B6E7529" w:rsidR="006F7F9B" w:rsidRPr="009E6637" w:rsidRDefault="006F7F9B" w:rsidP="006F7F9B">
            <w:pPr>
              <w:pStyle w:val="CETBodytext"/>
              <w:rPr>
                <w:i/>
                <w:iCs/>
                <w:lang w:val="en-GB"/>
              </w:rPr>
            </w:pPr>
            <w:r w:rsidRPr="009E6637">
              <w:rPr>
                <w:i/>
                <w:iCs/>
                <w:lang w:val="en-GB"/>
              </w:rPr>
              <w:t>Structural safety and fire protection of buildings for industrial processes</w:t>
            </w:r>
          </w:p>
        </w:tc>
        <w:tc>
          <w:tcPr>
            <w:tcW w:w="268" w:type="pct"/>
            <w:shd w:val="clear" w:color="auto" w:fill="FFFFFF"/>
            <w:vAlign w:val="center"/>
          </w:tcPr>
          <w:p w14:paraId="61033A81" w14:textId="27915853" w:rsidR="006F7F9B" w:rsidRPr="009E6637" w:rsidRDefault="006F7F9B" w:rsidP="006F7F9B">
            <w:pPr>
              <w:pStyle w:val="CETBodytext"/>
              <w:rPr>
                <w:lang w:val="en-GB"/>
              </w:rPr>
            </w:pPr>
            <w:r w:rsidRPr="009E6637">
              <w:rPr>
                <w:lang w:val="en-GB"/>
              </w:rPr>
              <w:t>II</w:t>
            </w:r>
          </w:p>
        </w:tc>
        <w:tc>
          <w:tcPr>
            <w:tcW w:w="748" w:type="pct"/>
            <w:shd w:val="clear" w:color="auto" w:fill="FFFFFF"/>
            <w:vAlign w:val="center"/>
          </w:tcPr>
          <w:p w14:paraId="53E85382" w14:textId="0DF624FF" w:rsidR="006F7F9B" w:rsidRPr="009E6637" w:rsidRDefault="006F7F9B" w:rsidP="006F7F9B">
            <w:pPr>
              <w:pStyle w:val="CETBodytext"/>
              <w:rPr>
                <w:lang w:val="en-GB"/>
              </w:rPr>
            </w:pPr>
            <w:r w:rsidRPr="009E6637">
              <w:rPr>
                <w:lang w:val="en-GB"/>
              </w:rPr>
              <w:t>No</w:t>
            </w:r>
          </w:p>
        </w:tc>
      </w:tr>
      <w:tr w:rsidR="006F7F9B" w:rsidRPr="009E6637" w14:paraId="21193D1D" w14:textId="77777777" w:rsidTr="006F7F9B">
        <w:tc>
          <w:tcPr>
            <w:tcW w:w="3984" w:type="pct"/>
            <w:shd w:val="clear" w:color="auto" w:fill="FFFFFF"/>
            <w:vAlign w:val="center"/>
          </w:tcPr>
          <w:p w14:paraId="63090B40" w14:textId="36F610FF" w:rsidR="006F7F9B" w:rsidRPr="009E6637" w:rsidRDefault="006F7F9B" w:rsidP="006F7F9B">
            <w:pPr>
              <w:pStyle w:val="CETBodytext"/>
              <w:ind w:right="-1"/>
              <w:rPr>
                <w:rFonts w:cs="Arial"/>
                <w:i/>
                <w:iCs/>
                <w:szCs w:val="18"/>
                <w:lang w:val="en-GB"/>
              </w:rPr>
            </w:pPr>
            <w:r w:rsidRPr="009E6637">
              <w:rPr>
                <w:i/>
                <w:iCs/>
                <w:lang w:val="en-GB"/>
              </w:rPr>
              <w:t>Toxicology and industrial hygiene</w:t>
            </w:r>
          </w:p>
        </w:tc>
        <w:tc>
          <w:tcPr>
            <w:tcW w:w="268" w:type="pct"/>
            <w:shd w:val="clear" w:color="auto" w:fill="FFFFFF"/>
            <w:vAlign w:val="center"/>
          </w:tcPr>
          <w:p w14:paraId="6D018F1B" w14:textId="18F6CF9F" w:rsidR="006F7F9B" w:rsidRPr="009E6637" w:rsidRDefault="006F7F9B" w:rsidP="006F7F9B">
            <w:pPr>
              <w:pStyle w:val="CETBodytext"/>
              <w:ind w:right="-1"/>
              <w:rPr>
                <w:rFonts w:cs="Arial"/>
                <w:szCs w:val="18"/>
                <w:lang w:val="en-GB"/>
              </w:rPr>
            </w:pPr>
            <w:r w:rsidRPr="009E6637">
              <w:rPr>
                <w:lang w:val="en-GB"/>
              </w:rPr>
              <w:t>I</w:t>
            </w:r>
          </w:p>
        </w:tc>
        <w:tc>
          <w:tcPr>
            <w:tcW w:w="748" w:type="pct"/>
            <w:shd w:val="clear" w:color="auto" w:fill="FFFFFF"/>
            <w:vAlign w:val="center"/>
          </w:tcPr>
          <w:p w14:paraId="6FDBFE7C" w14:textId="4F87B717" w:rsidR="006F7F9B" w:rsidRPr="009E6637" w:rsidRDefault="006F7F9B" w:rsidP="006F7F9B">
            <w:pPr>
              <w:pStyle w:val="CETBodytext"/>
              <w:ind w:right="-1"/>
              <w:rPr>
                <w:rFonts w:cs="Arial"/>
                <w:szCs w:val="18"/>
                <w:lang w:val="en-GB"/>
              </w:rPr>
            </w:pPr>
            <w:r w:rsidRPr="009E6637">
              <w:rPr>
                <w:lang w:val="en-GB"/>
              </w:rPr>
              <w:t>No</w:t>
            </w:r>
          </w:p>
        </w:tc>
      </w:tr>
    </w:tbl>
    <w:p w14:paraId="2020D1C5" w14:textId="77777777" w:rsidR="00AA3A74" w:rsidRPr="009E6637" w:rsidRDefault="00AA3A74" w:rsidP="00AA3A74">
      <w:pPr>
        <w:pStyle w:val="CETBodytext"/>
        <w:rPr>
          <w:lang w:val="en-GB"/>
        </w:rPr>
      </w:pPr>
    </w:p>
    <w:p w14:paraId="2AE53528" w14:textId="78BBAFB8" w:rsidR="00AA3A74" w:rsidRPr="009E6637" w:rsidRDefault="001C038B" w:rsidP="00AA3A74">
      <w:pPr>
        <w:pStyle w:val="CETBodytext"/>
        <w:rPr>
          <w:lang w:val="en-GB"/>
        </w:rPr>
      </w:pPr>
      <w:r w:rsidRPr="001C038B">
        <w:rPr>
          <w:lang w:val="en-GB"/>
        </w:rPr>
        <w:t xml:space="preserve">From a review of the existing literature, e.g. </w:t>
      </w:r>
      <w:r>
        <w:rPr>
          <w:lang w:val="en-GB"/>
        </w:rPr>
        <w:t>a</w:t>
      </w:r>
      <w:r w:rsidRPr="001C038B">
        <w:rPr>
          <w:lang w:val="en-GB"/>
        </w:rPr>
        <w:t xml:space="preserve"> recent special issue </w:t>
      </w:r>
      <w:r>
        <w:rPr>
          <w:lang w:val="en-GB"/>
        </w:rPr>
        <w:t xml:space="preserve">about process safety </w:t>
      </w:r>
      <w:r>
        <w:rPr>
          <w:lang w:val="en-GB"/>
        </w:rPr>
        <w:fldChar w:fldCharType="begin" w:fldLock="1"/>
      </w:r>
      <w:r w:rsidR="00722415">
        <w:rPr>
          <w:lang w:val="en-GB"/>
        </w:rPr>
        <w:instrText>ADDIN CSL_CITATION {"citationItems":[{"id":"ITEM-1","itemData":{"author":[{"dropping-particle":"","family":"Meyer","given":"Theirry","non-dropping-particle":"","parse-names":false,"suffix":""},{"dropping-particle":"","family":"Reniers","given":"Genserik","non-dropping-particle":"","parse-names":false,"suffix":""}],"container-title":"Education for Chemical Engineers","id":"ITEM-1","issued":{"date-parts":[["2021"]]},"title":"Special Issue on Process Safety in Chemical Engineering Education and Training","type":"article-journal"},"uris":["http://www.mendeley.com/documents/?uuid=50adbc89-141c-472c-bfc7-d83dc884dbe3"]}],"mendeley":{"formattedCitation":"(Meyer and Reniers, 2021)","plainTextFormattedCitation":"(Meyer and Reniers, 2021)","previouslyFormattedCitation":"(Meyer and Reniers, 2021)"},"properties":{"noteIndex":0},"schema":"https://github.com/citation-style-language/schema/raw/master/csl-citation.json"}</w:instrText>
      </w:r>
      <w:r>
        <w:rPr>
          <w:lang w:val="en-GB"/>
        </w:rPr>
        <w:fldChar w:fldCharType="separate"/>
      </w:r>
      <w:r w:rsidRPr="001C038B">
        <w:rPr>
          <w:noProof/>
          <w:lang w:val="en-GB"/>
        </w:rPr>
        <w:t>(Meyer and Reniers, 2021)</w:t>
      </w:r>
      <w:r>
        <w:rPr>
          <w:lang w:val="en-GB"/>
        </w:rPr>
        <w:fldChar w:fldCharType="end"/>
      </w:r>
      <w:r w:rsidRPr="001C038B">
        <w:rPr>
          <w:lang w:val="en-GB"/>
        </w:rPr>
        <w:t xml:space="preserve">, it could be seen that in contrast to fundamental chemistry and physics courses, the approach to industrial safety is often based on lectures and numerical exercises with available software. </w:t>
      </w:r>
      <w:r w:rsidR="001A6920">
        <w:rPr>
          <w:lang w:val="en-GB"/>
        </w:rPr>
        <w:t>Conversely, our</w:t>
      </w:r>
      <w:r w:rsidR="00E7150F" w:rsidRPr="009E6637">
        <w:rPr>
          <w:lang w:val="en-GB"/>
        </w:rPr>
        <w:t xml:space="preserve"> course consists of theoretical and practical lessons and laboratory experiences conducted to teach students how to program an experimental activity to test the flammability/explosive properties of combustible dusts and liquid substances. Each experiment is preceded by a video tutorial that introduces the students to the activities while making them easier and more effective. The effectiveness of the video tutorials has already been confirmed by other authors, thanks to the attractive visual description of the experimental procedures </w:t>
      </w:r>
      <w:r w:rsidR="00900423" w:rsidRPr="009E6637">
        <w:rPr>
          <w:lang w:val="en-GB"/>
        </w:rPr>
        <w:fldChar w:fldCharType="begin" w:fldLock="1"/>
      </w:r>
      <w:r w:rsidR="00507337" w:rsidRPr="009E6637">
        <w:rPr>
          <w:lang w:val="en-GB"/>
        </w:rPr>
        <w:instrText>ADDIN CSL_CITATION {"citationItems":[{"id":"ITEM-1","itemData":{"DOI":"10.1016/j.ece.2016.11.001","ISSN":"17497728","abstract":"A multi-disciplinary pilot-scale setup was assembled with the purpose of studying coupled mass transport and chemical reaction phenomena during coke combustion in a fluidized bed. Such experimental work has been integrated in the program of a laboratory course (4th year) of the Integrated Master in Chemical Engineering at FEUP (Faculty of Engineering—University of Porto). This way students deal with a systematic multi-variable study of a complex system involving an heterogeneous (solid–gas) non-catalytic reaction. In addition to describing the setup and the theory behind the involved phenomena, this paper lists the main pedagogical objectives, and exemplifies the experimental procedures and mathematical treatments involved in the student work. Considering the successful results reported in the literature in what concerns the student's engagement and improvements in the learning process while using technological pedagogic support, a video on the procedure of this lab experiment has been produced and made available to students. A two-part inquiry was made at the end of the class term, assessing the students’ feedback on general aspects of the work (part 1) and on the demonstrative video (part 2). It was concluded that most students consider this work highly relevant for the better understanding of the involved concepts. Also, all the students who watched the video (87%) considered this kind of pedagogical support quite relevant, with 67% of these students voting 5 in a scale of 1 (non-relevant) to 5 (very relevant).","author":[{"dropping-particle":"","family":"Silva","given":"Joel M.","non-dropping-particle":"","parse-names":false,"suffix":""},{"dropping-particle":"","family":"Matos","given":"Luís C.","non-dropping-particle":"","parse-names":false,"suffix":""},{"dropping-particle":"","family":"Magalhães","given":"Fernão D.","non-dropping-particle":"","parse-names":false,"suffix":""},{"dropping-particle":"","family":"Alves","given":"Manuel A.","non-dropping-particle":"","parse-names":false,"suffix":""},{"dropping-particle":"","family":"Madeira","given":"Luis M.","non-dropping-particle":"","parse-names":false,"suffix":""}],"container-title":"Education for Chemical Engineers","id":"ITEM-1","issued":{"date-parts":[["2017"]]},"page":"13-22","publisher":"Institution of Chemical Engineers","title":"Coke combustion in fluidized bed: A multi-disciplinary lab experiment","type":"article-journal","volume":"19"},"uris":["http://www.mendeley.com/documents/?uuid=c8faad4f-ea2e-491f-8a13-9595feacf1f0"]},{"id":"ITEM-2","itemData":{"DOI":"10.1111/jcal.12082","ISSN":"13652729","abstract":"The effectiveness of a video tutorial versus a paper-based tutorial for software training has yet to be established. Mixed outcomes from the empirical studies to date suggest that for a video tutorial to outperform its paper-based counterpart, the former should be crafted so that it addresses the strengths of both designs. This was attempted in the present study. Two consecutive experiments were conducted to examine the effect of tutorial type (video vs. paper based) on task relevance, self-efficacy, mood, flow and task performance. Participants were students from junior high school. Both studies reported significant, positive contributions of the tutorials to task relevance, self-efficacy, mood and flow. Both studies also found significant and substantial effects on task performance. A learning gain of about 30% was achieved in both studies. A retention task, completed only in Study 2, further revealed that the learning effect was stable. More importantly, performance on this task also indicated a significant interaction with tutorial type, favouring the video. The success of the video tutorial is ascribed to its design, which attended to and even incorporated key qualities of paper-based tutorials, while also capitalizing on the strengths of video.","author":[{"dropping-particle":"","family":"Meij","given":"J.","non-dropping-particle":"van der","parse-names":false,"suffix":""},{"dropping-particle":"","family":"Meij","given":"H.","non-dropping-particle":"van der","parse-names":false,"suffix":""}],"container-title":"Journal of Computer Assisted Learning","id":"ITEM-2","issue":"2","issued":{"date-parts":[["2015"]]},"page":"116-132","title":"A test of the design of a video tutorial for software training","type":"article-journal","volume":"31"},"uris":["http://www.mendeley.com/documents/?uuid=b473c1bb-9765-47b0-9148-1f02926097f6"]}],"mendeley":{"formattedCitation":"(Silva et al., 2017; van der Meij and van der Meij, 2015)","plainTextFormattedCitation":"(Silva et al., 2017; van der Meij and van der Meij, 2015)","previouslyFormattedCitation":"(Silva et al., 2017; van der Meij and van der Meij, 2015)"},"properties":{"noteIndex":0},"schema":"https://github.com/citation-style-language/schema/raw/master/csl-citation.json"}</w:instrText>
      </w:r>
      <w:r w:rsidR="00900423" w:rsidRPr="009E6637">
        <w:rPr>
          <w:lang w:val="en-GB"/>
        </w:rPr>
        <w:fldChar w:fldCharType="separate"/>
      </w:r>
      <w:r w:rsidR="00900423" w:rsidRPr="009E6637">
        <w:rPr>
          <w:noProof/>
          <w:lang w:val="en-GB"/>
        </w:rPr>
        <w:t>(Silva et al., 2017; van der Meij and van der Meij, 2015)</w:t>
      </w:r>
      <w:r w:rsidR="00900423" w:rsidRPr="009E6637">
        <w:rPr>
          <w:lang w:val="en-GB"/>
        </w:rPr>
        <w:fldChar w:fldCharType="end"/>
      </w:r>
      <w:r w:rsidR="00AA3A74" w:rsidRPr="009E6637">
        <w:rPr>
          <w:lang w:val="en-GB"/>
        </w:rPr>
        <w:t xml:space="preserve">. </w:t>
      </w:r>
      <w:r w:rsidR="00164E4D" w:rsidRPr="009E6637">
        <w:rPr>
          <w:lang w:val="en-GB"/>
        </w:rPr>
        <w:t>The aim of this paper is to show the effectiveness of the organization of the course on student preparation and satisfaction. For this purpose, anonymous surveys were conducted.</w:t>
      </w:r>
      <w:r w:rsidR="00AA3A74" w:rsidRPr="009E6637">
        <w:rPr>
          <w:lang w:val="en-GB"/>
        </w:rPr>
        <w:t xml:space="preserve"> </w:t>
      </w:r>
    </w:p>
    <w:p w14:paraId="6A7673DA" w14:textId="559FD1E6" w:rsidR="00100A05" w:rsidRDefault="00100A05" w:rsidP="00100A05">
      <w:pPr>
        <w:pStyle w:val="CETHeading1"/>
        <w:rPr>
          <w:lang w:val="en-GB"/>
        </w:rPr>
      </w:pPr>
      <w:r w:rsidRPr="009E6637">
        <w:rPr>
          <w:lang w:val="en-GB"/>
        </w:rPr>
        <w:t>Methods</w:t>
      </w:r>
    </w:p>
    <w:p w14:paraId="6F4443A3" w14:textId="695D045D" w:rsidR="000772B6" w:rsidRPr="000772B6" w:rsidRDefault="0043307A" w:rsidP="000772B6">
      <w:pPr>
        <w:pStyle w:val="CETBodytext"/>
        <w:rPr>
          <w:lang w:val="en-GB"/>
        </w:rPr>
      </w:pPr>
      <w:r w:rsidRPr="0043307A">
        <w:rPr>
          <w:lang w:val="en-GB"/>
        </w:rPr>
        <w:t>This section presents the main features of the course. As explained in the previous section, unlike the approaches to asset safety courses described in the literature, this course will take an approach more typical of chemistry and physics courses, based on lectures, software exercises, the creation of video tutorials and non-virtual laboratory experiences.</w:t>
      </w:r>
    </w:p>
    <w:p w14:paraId="6D69AC6D" w14:textId="13A6F486" w:rsidR="00DD035B" w:rsidRPr="009E6637" w:rsidRDefault="00BD5C00" w:rsidP="00DD035B">
      <w:pPr>
        <w:pStyle w:val="CETheadingx"/>
        <w:rPr>
          <w:lang w:val="en-GB"/>
        </w:rPr>
      </w:pPr>
      <w:r w:rsidRPr="009E6637">
        <w:rPr>
          <w:lang w:val="en-GB"/>
        </w:rPr>
        <w:t>Lectures</w:t>
      </w:r>
    </w:p>
    <w:p w14:paraId="213892C0" w14:textId="77777777" w:rsidR="00464FD7" w:rsidRPr="009E6637" w:rsidRDefault="00464FD7" w:rsidP="00464FD7">
      <w:pPr>
        <w:pStyle w:val="CETBodytext"/>
        <w:rPr>
          <w:lang w:val="en-GB"/>
        </w:rPr>
      </w:pPr>
      <w:r w:rsidRPr="009E6637">
        <w:rPr>
          <w:lang w:val="en-GB"/>
        </w:rPr>
        <w:t>The course was organised in different sections that are summarized as in the following:</w:t>
      </w:r>
    </w:p>
    <w:p w14:paraId="12628D92" w14:textId="77777777" w:rsidR="00464FD7" w:rsidRPr="009E6637" w:rsidRDefault="00464FD7" w:rsidP="00464FD7">
      <w:pPr>
        <w:pStyle w:val="CETListbullets"/>
        <w:numPr>
          <w:ilvl w:val="0"/>
          <w:numId w:val="28"/>
        </w:numPr>
      </w:pPr>
      <w:r w:rsidRPr="009E6637">
        <w:t>Hints of flammability and explosibility of gaseous fuels</w:t>
      </w:r>
    </w:p>
    <w:p w14:paraId="69DDC7E5" w14:textId="77777777" w:rsidR="00464FD7" w:rsidRPr="009E6637" w:rsidRDefault="00464FD7" w:rsidP="00464FD7">
      <w:pPr>
        <w:pStyle w:val="CETListbullets"/>
        <w:numPr>
          <w:ilvl w:val="0"/>
          <w:numId w:val="28"/>
        </w:numPr>
      </w:pPr>
      <w:r w:rsidRPr="009E6637">
        <w:t>Hints of flammability of liquid fuels</w:t>
      </w:r>
    </w:p>
    <w:p w14:paraId="7C4A7C52" w14:textId="77777777" w:rsidR="00464FD7" w:rsidRPr="009E6637" w:rsidRDefault="00464FD7" w:rsidP="00464FD7">
      <w:pPr>
        <w:pStyle w:val="CETListbullets"/>
        <w:numPr>
          <w:ilvl w:val="0"/>
          <w:numId w:val="28"/>
        </w:numPr>
      </w:pPr>
      <w:r w:rsidRPr="009E6637">
        <w:t>Flammability and explosibility of combustible dusts</w:t>
      </w:r>
    </w:p>
    <w:p w14:paraId="509057B7" w14:textId="77777777" w:rsidR="00464FD7" w:rsidRPr="009E6637" w:rsidRDefault="00464FD7" w:rsidP="00464FD7">
      <w:pPr>
        <w:pStyle w:val="CETListbullets"/>
        <w:numPr>
          <w:ilvl w:val="0"/>
          <w:numId w:val="28"/>
        </w:numPr>
      </w:pPr>
      <w:r w:rsidRPr="009E6637">
        <w:t>Flame propagation of combustible dusts</w:t>
      </w:r>
    </w:p>
    <w:p w14:paraId="4C81E01F" w14:textId="77777777" w:rsidR="00464FD7" w:rsidRPr="009E6637" w:rsidRDefault="00464FD7" w:rsidP="00464FD7">
      <w:pPr>
        <w:pStyle w:val="CETListbullets"/>
        <w:numPr>
          <w:ilvl w:val="0"/>
          <w:numId w:val="28"/>
        </w:numPr>
      </w:pPr>
      <w:r w:rsidRPr="009E6637">
        <w:t>Flammability and explosibility of hybrid mixtures</w:t>
      </w:r>
    </w:p>
    <w:p w14:paraId="4DF2B123" w14:textId="77777777" w:rsidR="00464FD7" w:rsidRPr="009E6637" w:rsidRDefault="00464FD7" w:rsidP="00464FD7">
      <w:pPr>
        <w:pStyle w:val="CETListbullets"/>
        <w:numPr>
          <w:ilvl w:val="0"/>
          <w:numId w:val="28"/>
        </w:numPr>
      </w:pPr>
      <w:r w:rsidRPr="009E6637">
        <w:t>Prevention and mitigation safety measures</w:t>
      </w:r>
    </w:p>
    <w:p w14:paraId="1CEF6202" w14:textId="3DEC42E3" w:rsidR="00464FD7" w:rsidRPr="009E6637" w:rsidRDefault="00464FD7" w:rsidP="00464FD7">
      <w:pPr>
        <w:pStyle w:val="CETListbullets"/>
        <w:ind w:left="0" w:firstLine="0"/>
      </w:pPr>
      <w:r w:rsidRPr="009E6637">
        <w:t xml:space="preserve">As regards the first two sections, the concepts were only recalled and mentioned as they had already been dealt with in other compulsory courses of the degree course in Chemical Engineering (such as, </w:t>
      </w:r>
      <w:r w:rsidRPr="009E6637">
        <w:rPr>
          <w:i/>
        </w:rPr>
        <w:t>Safety of Chemical Processes</w:t>
      </w:r>
      <w:r w:rsidRPr="009E6637">
        <w:t xml:space="preserve"> and </w:t>
      </w:r>
      <w:r w:rsidRPr="009E6637">
        <w:rPr>
          <w:i/>
        </w:rPr>
        <w:t>Development and Risk Analysis of Chemical Processes</w:t>
      </w:r>
      <w:r w:rsidRPr="009E6637">
        <w:t xml:space="preserve">). The topics relative to combustible dusts and their flammable/explosive behaviour were discussed in depth. Particularly, great attention was paid </w:t>
      </w:r>
      <w:r w:rsidRPr="009E6637">
        <w:lastRenderedPageBreak/>
        <w:t>to the description of the key factors capable of influencing the flame propagation of dust-air clouds</w:t>
      </w:r>
      <w:r w:rsidR="00507337" w:rsidRPr="009E6637">
        <w:t xml:space="preserve"> </w:t>
      </w:r>
      <w:r w:rsidR="00507337" w:rsidRPr="009E6637">
        <w:fldChar w:fldCharType="begin" w:fldLock="1"/>
      </w:r>
      <w:r w:rsidR="008A21E7" w:rsidRPr="009E6637">
        <w:instrText>ADDIN CSL_CITATION {"citationItems":[{"id":"ITEM-1","itemData":{"author":[{"dropping-particle":"","family":"Bartknecht","given":"W.","non-dropping-particle":"","parse-names":false,"suffix":""}],"id":"ITEM-1","issued":{"date-parts":[["1989"]]},"number-of-pages":"280","publisher":"Springer Verlag","title":"Dust explosions: Course, prevention, protection","type":"book"},"uris":["http://www.mendeley.com/documents/?uuid=e4d359d5-bcfb-4ab1-8c22-a0c06bdb8cab"]},{"id":"ITEM-2","itemData":{"DOI":"10.1021/op3003322","ISBN":"0130181765","ISSN":"10836160","author":[{"dropping-particle":"","family":"Crowl","given":"D. A.","non-dropping-particle":"","parse-names":false,"suffix":""},{"dropping-particle":"","family":"Louvar","given":"J. F.","non-dropping-particle":"","parse-names":false,"suffix":""}],"container-title":"PRENTICE HALL INTERNATIONAL SERIES IN THE PHYSICAL AND CHEMICAL ENGINEERING SCIENCES","id":"ITEM-2","issued":{"date-parts":[["2002"]]},"title":"Chemical and Process Safety","type":"book"},"uris":["http://www.mendeley.com/documents/?uuid=56ecb1d9-4ade-46be-9939-9124953b5610"]},{"id":"ITEM-3","itemData":{"author":[{"dropping-particle":"","family":"Eckhoff","given":"R.K.","non-dropping-particle":"","parse-names":false,"suffix":""}],"id":"ITEM-3","issued":{"date-parts":[["2003"]]},"publisher":"Gulf Professional Publishing","publisher-place":"Boston","title":"Dust Explosion in the Process Industries","type":"book"},"uris":["http://www.mendeley.com/documents/?uuid=303e40f6-68e8-46d9-9e14-d5bba5a53f92"]}],"mendeley":{"formattedCitation":"(Bartknecht, 1989; Crowl and Louvar, 2002; Eckhoff, 2003)","plainTextFormattedCitation":"(Bartknecht, 1989; Crowl and Louvar, 2002; Eckhoff, 2003)","previouslyFormattedCitation":"(Bartknecht, 1989; Crowl and Louvar, 2002; Eckhoff, 2003)"},"properties":{"noteIndex":0},"schema":"https://github.com/citation-style-language/schema/raw/master/csl-citation.json"}</w:instrText>
      </w:r>
      <w:r w:rsidR="00507337" w:rsidRPr="009E6637">
        <w:fldChar w:fldCharType="separate"/>
      </w:r>
      <w:r w:rsidR="00507337" w:rsidRPr="009E6637">
        <w:rPr>
          <w:noProof/>
        </w:rPr>
        <w:t>(Bartknecht, 1989; Crowl and Louvar, 2002; Eckhoff, 2003)</w:t>
      </w:r>
      <w:r w:rsidR="00507337" w:rsidRPr="009E6637">
        <w:fldChar w:fldCharType="end"/>
      </w:r>
      <w:r w:rsidRPr="009E6637">
        <w:t>, the equipment used for the evaluation of the safety parameters</w:t>
      </w:r>
      <w:r w:rsidR="008A21E7" w:rsidRPr="009E6637">
        <w:t xml:space="preserve"> </w:t>
      </w:r>
      <w:r w:rsidR="008A21E7" w:rsidRPr="009E6637">
        <w:fldChar w:fldCharType="begin" w:fldLock="1"/>
      </w:r>
      <w:r w:rsidR="0043483B" w:rsidRPr="009E6637">
        <w:instrText>ADDIN CSL_CITATION {"citationItems":[{"id":"ITEM-1","itemData":{"author":[{"dropping-particle":"","family":"ASTM E2019-03","given":"","non-dropping-particle":"","parse-names":false,"suffix":""}],"container-title":"ASTM International, West Conshohocken, PA","id":"ITEM-1","issued":{"date-parts":[["2013"]]},"page":"1-9","title":"Standard Test Method for Minimum Ignition Energy of a Dust Cloud in Air","type":"article-journal"},"uris":["http://www.mendeley.com/documents/?uuid=0b29b82d-73d9-43a4-87d8-3507a7080e27"]},{"id":"ITEM-2","itemData":{"DOI":"10.1520/E1226-19","author":[{"dropping-particle":"","family":"ASTM E1226-19","given":"","non-dropping-particle":"","parse-names":false,"suffix":""}],"container-title":"ASTM International, West Conshohocken, PA","id":"ITEM-2","issued":{"date-parts":[["2019"]]},"page":"1-15","title":"Standard Test Method for Explosibility of Dust Clouds","type":"article-journal"},"uris":["http://www.mendeley.com/documents/?uuid=0b4a36fd-4b78-4333-9892-c579583cf720"]},{"id":"ITEM-3","itemData":{"DOI":"10.1520/D3278-21.Copyright","author":[{"dropping-particle":"","family":"ASTM D3278−21","given":"","non-dropping-particle":"","parse-names":false,"suffix":""}],"id":"ITEM-3","issue":"Reapproved","issued":{"date-parts":[["2011"]]},"page":"1-8","title":"Standard Test Methods for Flash Point of Liquids by Small Scale Closed-Cup","type":"article","volume":"96"},"uris":["http://www.mendeley.com/documents/?uuid=b22129d3-9278-4bf1-bf2d-14e0f484ff33"]}],"mendeley":{"formattedCitation":"(ASTM D3278−21, 2011; ASTM E1226-19, 2019; ASTM E2019-03, 2013)","plainTextFormattedCitation":"(ASTM D3278−21, 2011; ASTM E1226-19, 2019; ASTM E2019-03, 2013)","previouslyFormattedCitation":"(ASTM D3278−21, 2011; ASTM E1226-19, 2019; ASTM E2019-03, 2013)"},"properties":{"noteIndex":0},"schema":"https://github.com/citation-style-language/schema/raw/master/csl-citation.json"}</w:instrText>
      </w:r>
      <w:r w:rsidR="008A21E7" w:rsidRPr="009E6637">
        <w:fldChar w:fldCharType="separate"/>
      </w:r>
      <w:r w:rsidR="0043483B" w:rsidRPr="009E6637">
        <w:rPr>
          <w:noProof/>
        </w:rPr>
        <w:t>(ASTM D3278−21, 2011; ASTM E1226-19, 2019; ASTM E2019-03, 2013)</w:t>
      </w:r>
      <w:r w:rsidR="008A21E7" w:rsidRPr="009E6637">
        <w:fldChar w:fldCharType="end"/>
      </w:r>
      <w:r w:rsidRPr="009E6637">
        <w:t xml:space="preserve"> and the different possible flame propagation modes in the case of a solid fuel </w:t>
      </w:r>
      <w:r w:rsidR="008A21E7" w:rsidRPr="009E6637">
        <w:fldChar w:fldCharType="begin" w:fldLock="1"/>
      </w:r>
      <w:r w:rsidR="008A21E7" w:rsidRPr="009E6637">
        <w:instrText>ADDIN CSL_CITATION {"citationItems":[{"id":"ITEM-1","itemData":{"DOI":"10.1016/j.jlp.2007.04.001","ISBN":"0950-4230","ISSN":"09504230","abstract":"The guidelines for protection and mitigation against hazard coming from dust explosion require the knowledge and then the evaluation either experimentally or theoretically of the thermo-kinetic parameters (i.e. KSt, Pmax). We developed a numerical tool for the evaluation of the thermo-kinetic parameters of dust explosion. This model is based on the simulations of the combustion reaction by means of a detailed reaction mechanism assuming that the pyrolysis/devolatilization step is very fast and then gas combustion is controlling dust explosion. The model allows then the determination of the most conservative values of KSt, Sl, Pmax. In the present paper we calculated the deflagration index and the laminar burning velocity for dusts utilized in various process industries (i.e. cornstarch, polyethylene, cellulose) as function of dust concentration. The obtained data were successfully compared with the available experimental results. © 2007 Elsevier Ltd. All rights reserved.","author":[{"dropping-particle":"","family":"Benedetto","given":"A.","non-dropping-particle":"Di","parse-names":false,"suffix":""},{"dropping-particle":"","family":"Russo","given":"P.","non-dropping-particle":"","parse-names":false,"suffix":""}],"container-title":"Journal of Loss Prevention in the Process Industries","id":"ITEM-1","issue":"4-6","issued":{"date-parts":[["2007"]]},"page":"303-309","title":"Thermo-kinetic modelling of dust explosions","type":"article-journal","volume":"20"},"uris":["http://www.mendeley.com/documents/?uuid=7c05bfef-29f7-46c9-81df-e4aa736a4ae0"]}],"mendeley":{"formattedCitation":"(Di Benedetto and Russo, 2007)","plainTextFormattedCitation":"(Di Benedetto and Russo, 2007)","previouslyFormattedCitation":"(Di Benedetto and Russo, 2007)"},"properties":{"noteIndex":0},"schema":"https://github.com/citation-style-language/schema/raw/master/csl-citation.json"}</w:instrText>
      </w:r>
      <w:r w:rsidR="008A21E7" w:rsidRPr="009E6637">
        <w:fldChar w:fldCharType="separate"/>
      </w:r>
      <w:r w:rsidR="008A21E7" w:rsidRPr="009E6637">
        <w:rPr>
          <w:noProof/>
        </w:rPr>
        <w:t>(Di Benedetto and Russo, 2007)</w:t>
      </w:r>
      <w:r w:rsidR="008A21E7" w:rsidRPr="009E6637">
        <w:fldChar w:fldCharType="end"/>
      </w:r>
      <w:r w:rsidRPr="009E6637">
        <w:t xml:space="preserve">. Moreover, the effect of the presence of flammable gases on the explosive behavior of combustible dusts (hybrid mixtures) was presented and discussed, highlighting the effect of the gas on the main safety parameters. </w:t>
      </w:r>
      <w:r w:rsidR="00EE7321" w:rsidRPr="009E6637">
        <w:t xml:space="preserve">The theoretical lessons were interspersed with practical lessons in which software such as GASEQ </w:t>
      </w:r>
      <w:r w:rsidR="008A21E7" w:rsidRPr="009E6637">
        <w:fldChar w:fldCharType="begin" w:fldLock="1"/>
      </w:r>
      <w:r w:rsidR="008A21E7" w:rsidRPr="009E6637">
        <w:instrText>ADDIN CSL_CITATION {"citationItems":[{"id":"ITEM-1","itemData":{"author":[{"dropping-particle":"","family":"Morley","given":"C.","non-dropping-particle":"","parse-names":false,"suffix":""}],"id":"ITEM-1","issued":{"date-parts":[["2005"]]},"title":"GASEQ, a chemical equilibrium program for windows","type":"article"},"uris":["http://www.mendeley.com/documents/?uuid=49ca983e-5590-4975-bc2d-669d50c22460"]}],"mendeley":{"formattedCitation":"(Morley, 2005)","plainTextFormattedCitation":"(Morley, 2005)","previouslyFormattedCitation":"(Morley, 2005)"},"properties":{"noteIndex":0},"schema":"https://github.com/citation-style-language/schema/raw/master/csl-citation.json"}</w:instrText>
      </w:r>
      <w:r w:rsidR="008A21E7" w:rsidRPr="009E6637">
        <w:fldChar w:fldCharType="separate"/>
      </w:r>
      <w:r w:rsidR="008A21E7" w:rsidRPr="009E6637">
        <w:rPr>
          <w:noProof/>
        </w:rPr>
        <w:t>(Morley, 2005)</w:t>
      </w:r>
      <w:r w:rsidR="008A21E7" w:rsidRPr="009E6637">
        <w:fldChar w:fldCharType="end"/>
      </w:r>
      <w:r w:rsidRPr="009E6637">
        <w:t xml:space="preserve"> and Ansys </w:t>
      </w:r>
      <w:proofErr w:type="spellStart"/>
      <w:r w:rsidRPr="009E6637">
        <w:t>Chemkin</w:t>
      </w:r>
      <w:proofErr w:type="spellEnd"/>
      <w:r w:rsidRPr="009E6637">
        <w:t xml:space="preserve"> </w:t>
      </w:r>
      <w:r w:rsidR="008A21E7" w:rsidRPr="009E6637">
        <w:fldChar w:fldCharType="begin" w:fldLock="1"/>
      </w:r>
      <w:r w:rsidR="002816A9" w:rsidRPr="009E6637">
        <w:instrText>ADDIN CSL_CITATION {"citationItems":[{"id":"ITEM-1","itemData":{"author":[{"dropping-particle":"","family":"Ansys","given":"","non-dropping-particle":"","parse-names":false,"suffix":""}],"container-title":"Chemkin® Software","id":"ITEM-1","issued":{"date-parts":[["2016"]]},"title":"Chemkin Theory Manual 17.0","type":"article"},"uris":["http://www.mendeley.com/documents/?uuid=87edfcef-455c-3a1a-8b17-dae1d7d5dfba"]}],"mendeley":{"formattedCitation":"(Ansys, 2016)","plainTextFormattedCitation":"(Ansys, 2016)","previouslyFormattedCitation":"(Ansys, 2016)"},"properties":{"noteIndex":0},"schema":"https://github.com/citation-style-language/schema/raw/master/csl-citation.json"}</w:instrText>
      </w:r>
      <w:r w:rsidR="008A21E7" w:rsidRPr="009E6637">
        <w:fldChar w:fldCharType="separate"/>
      </w:r>
      <w:r w:rsidR="008A21E7" w:rsidRPr="009E6637">
        <w:rPr>
          <w:noProof/>
        </w:rPr>
        <w:t>(Ansys, 2016)</w:t>
      </w:r>
      <w:r w:rsidR="008A21E7" w:rsidRPr="009E6637">
        <w:fldChar w:fldCharType="end"/>
      </w:r>
      <w:r w:rsidR="00EE7321" w:rsidRPr="009E6637">
        <w:t xml:space="preserve"> </w:t>
      </w:r>
      <w:r w:rsidRPr="009E6637">
        <w:t>were used</w:t>
      </w:r>
      <w:r w:rsidR="00EE7321" w:rsidRPr="009E6637">
        <w:t xml:space="preserve"> for the calculation of adiabatic flame temperatures and laminar flame speeds</w:t>
      </w:r>
      <w:r w:rsidRPr="009E6637">
        <w:t xml:space="preserve">. The </w:t>
      </w:r>
      <w:r w:rsidR="008A21E7" w:rsidRPr="009E6637">
        <w:t>software</w:t>
      </w:r>
      <w:r w:rsidRPr="009E6637">
        <w:t xml:space="preserve"> were used by the students themselves during a case study (flame propagation of a methane-air mixture). At the end of the course, the main prevention and protection measures have been presented.</w:t>
      </w:r>
    </w:p>
    <w:p w14:paraId="4D4497E0" w14:textId="7AA8E080" w:rsidR="000C055F" w:rsidRPr="009E6637" w:rsidRDefault="00FB209D" w:rsidP="00FB209D">
      <w:pPr>
        <w:pStyle w:val="CETheadingx"/>
        <w:rPr>
          <w:lang w:val="en-GB"/>
        </w:rPr>
      </w:pPr>
      <w:r w:rsidRPr="009E6637">
        <w:rPr>
          <w:lang w:val="en-GB"/>
        </w:rPr>
        <w:t>Video tutorials</w:t>
      </w:r>
    </w:p>
    <w:p w14:paraId="3F40D965" w14:textId="4D33FC09" w:rsidR="00661CD5" w:rsidRPr="009E6637" w:rsidRDefault="008E51F8" w:rsidP="00661CD5">
      <w:pPr>
        <w:pStyle w:val="CETBodytext"/>
        <w:rPr>
          <w:lang w:val="en-GB"/>
        </w:rPr>
      </w:pPr>
      <w:r w:rsidRPr="009E6637">
        <w:rPr>
          <w:lang w:val="en-GB"/>
        </w:rPr>
        <w:t>Video tutorials were developed and created to assist students with each lab activity, from operating the gas valves and gas cylinders, to standard software interface procedures, performing the characterization tests and housekeeping procedures, to safely closing the lab. In creating the videos, every single procedure required to carry out the experiment was filmed and all parts were integrated into a single structure. Each video was created with a written description of the activities rather than a voice recording.</w:t>
      </w:r>
      <w:r w:rsidR="00C356D0" w:rsidRPr="009E6637">
        <w:rPr>
          <w:lang w:val="en-GB"/>
        </w:rPr>
        <w:t xml:space="preserve"> Figure 1 shows the different phases of the explosion, as shown in the </w:t>
      </w:r>
      <w:r w:rsidR="00B9150B" w:rsidRPr="009E6637">
        <w:rPr>
          <w:lang w:val="en-GB"/>
        </w:rPr>
        <w:t>first</w:t>
      </w:r>
      <w:r w:rsidR="00C356D0" w:rsidRPr="009E6637">
        <w:rPr>
          <w:lang w:val="en-GB"/>
        </w:rPr>
        <w:t xml:space="preserve"> video tutorial.</w:t>
      </w:r>
    </w:p>
    <w:p w14:paraId="5E58C314" w14:textId="77777777" w:rsidR="00B871F1" w:rsidRPr="009E6637" w:rsidRDefault="00B871F1" w:rsidP="00661CD5">
      <w:pPr>
        <w:pStyle w:val="CETBodytext"/>
        <w:rPr>
          <w:lang w:val="en-GB"/>
        </w:rPr>
      </w:pPr>
    </w:p>
    <w:p w14:paraId="71776123" w14:textId="5577C816" w:rsidR="00B871F1" w:rsidRPr="009E6637" w:rsidRDefault="00F94BEF" w:rsidP="00B871F1">
      <w:pPr>
        <w:jc w:val="left"/>
      </w:pPr>
      <w:r w:rsidRPr="009E6637">
        <w:rPr>
          <w:noProof/>
        </w:rPr>
        <w:drawing>
          <wp:inline distT="0" distB="0" distL="0" distR="0" wp14:anchorId="6F43C97C" wp14:editId="60522750">
            <wp:extent cx="5579745" cy="1612265"/>
            <wp:effectExtent l="19050" t="19050" r="20955" b="260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79745" cy="1612265"/>
                    </a:xfrm>
                    <a:prstGeom prst="rect">
                      <a:avLst/>
                    </a:prstGeom>
                    <a:ln>
                      <a:solidFill>
                        <a:schemeClr val="tx1"/>
                      </a:solidFill>
                    </a:ln>
                  </pic:spPr>
                </pic:pic>
              </a:graphicData>
            </a:graphic>
          </wp:inline>
        </w:drawing>
      </w:r>
    </w:p>
    <w:p w14:paraId="0BD678C6" w14:textId="55E97C92" w:rsidR="00B871F1" w:rsidRPr="009E6637" w:rsidRDefault="00B871F1" w:rsidP="00B871F1">
      <w:pPr>
        <w:pStyle w:val="CETCaption"/>
        <w:rPr>
          <w:bCs/>
        </w:rPr>
      </w:pPr>
      <w:bookmarkStart w:id="0" w:name="_1fob9te" w:colFirst="0" w:colLast="0"/>
      <w:bookmarkEnd w:id="0"/>
      <w:r w:rsidRPr="009E6637">
        <w:rPr>
          <w:bCs/>
        </w:rPr>
        <w:t>Figure 1: Screen from the video tutorial for the 1</w:t>
      </w:r>
      <w:r w:rsidRPr="009E6637">
        <w:rPr>
          <w:bCs/>
          <w:vertAlign w:val="superscript"/>
        </w:rPr>
        <w:t>st</w:t>
      </w:r>
      <w:r w:rsidRPr="009E6637">
        <w:rPr>
          <w:bCs/>
        </w:rPr>
        <w:t xml:space="preserve"> lab experience.</w:t>
      </w:r>
    </w:p>
    <w:p w14:paraId="7F5E499F" w14:textId="6FAAAF5E" w:rsidR="00BD5C00" w:rsidRPr="009E6637" w:rsidRDefault="006006F0" w:rsidP="00BD5C00">
      <w:pPr>
        <w:pStyle w:val="CETheadingx"/>
        <w:rPr>
          <w:lang w:val="en-GB"/>
        </w:rPr>
      </w:pPr>
      <w:r w:rsidRPr="009E6637">
        <w:rPr>
          <w:lang w:val="en-GB"/>
        </w:rPr>
        <w:t>L</w:t>
      </w:r>
      <w:r w:rsidR="00BD5C00" w:rsidRPr="009E6637">
        <w:rPr>
          <w:lang w:val="en-GB"/>
        </w:rPr>
        <w:t>ab experiences</w:t>
      </w:r>
    </w:p>
    <w:p w14:paraId="292F693B" w14:textId="727093F3" w:rsidR="00A00A1B" w:rsidRPr="009E6637" w:rsidRDefault="00293C97" w:rsidP="00A00A1B">
      <w:pPr>
        <w:pStyle w:val="CETBodytext"/>
        <w:rPr>
          <w:lang w:val="en-GB"/>
        </w:rPr>
      </w:pPr>
      <w:r w:rsidRPr="009E6637">
        <w:rPr>
          <w:lang w:val="en-GB"/>
        </w:rPr>
        <w:t>During the laboratory activities, the students had the opportunity to apply the knowledge learned in the lectures and video tutorials in the dust laboratory of the Department of Chemical, Material and Production Engineering (</w:t>
      </w:r>
      <w:proofErr w:type="spellStart"/>
      <w:r w:rsidRPr="009E6637">
        <w:rPr>
          <w:lang w:val="en-GB"/>
        </w:rPr>
        <w:t>DICMaPI</w:t>
      </w:r>
      <w:proofErr w:type="spellEnd"/>
      <w:r w:rsidRPr="009E6637">
        <w:rPr>
          <w:lang w:val="en-GB"/>
        </w:rPr>
        <w:t xml:space="preserve">) of the University of Naples Federico II. </w:t>
      </w:r>
      <w:r w:rsidR="00EA2819" w:rsidRPr="009E6637">
        <w:rPr>
          <w:lang w:val="en-GB"/>
        </w:rPr>
        <w:t xml:space="preserve">The students were provided with all the necessary PPE for entering the laboratory, such as gowns and nitrile gloves, and were also trained in worker safety by attending general and specific risk courses. </w:t>
      </w:r>
      <w:r w:rsidRPr="009E6637">
        <w:rPr>
          <w:lang w:val="en-GB"/>
        </w:rPr>
        <w:t xml:space="preserve">The laboratory, designed by the </w:t>
      </w:r>
      <w:proofErr w:type="spellStart"/>
      <w:r w:rsidRPr="009E6637">
        <w:rPr>
          <w:lang w:val="en-GB"/>
        </w:rPr>
        <w:t>SaRAH</w:t>
      </w:r>
      <w:proofErr w:type="spellEnd"/>
      <w:r w:rsidRPr="009E6637">
        <w:rPr>
          <w:lang w:val="en-GB"/>
        </w:rPr>
        <w:t xml:space="preserve"> (Safety, Risk Assessment and Hydrogen) research group, is </w:t>
      </w:r>
      <w:r w:rsidR="00DE00CB" w:rsidRPr="009E6637">
        <w:rPr>
          <w:lang w:val="en-GB"/>
        </w:rPr>
        <w:t>provided</w:t>
      </w:r>
      <w:r w:rsidRPr="009E6637">
        <w:rPr>
          <w:lang w:val="en-GB"/>
        </w:rPr>
        <w:t xml:space="preserve"> </w:t>
      </w:r>
      <w:r w:rsidR="00DE00CB" w:rsidRPr="009E6637">
        <w:rPr>
          <w:lang w:val="en-GB"/>
        </w:rPr>
        <w:t>of</w:t>
      </w:r>
      <w:r w:rsidRPr="009E6637">
        <w:rPr>
          <w:lang w:val="en-GB"/>
        </w:rPr>
        <w:t xml:space="preserve"> all the necessary equipment for the characterization of combustible dusts. A summary of all laboratory activities is given in Table 2</w:t>
      </w:r>
      <w:r w:rsidR="004F02A4" w:rsidRPr="009E6637">
        <w:rPr>
          <w:lang w:val="en-GB"/>
        </w:rPr>
        <w:t>.</w:t>
      </w:r>
      <w:r w:rsidR="009757CA" w:rsidRPr="009E6637">
        <w:rPr>
          <w:lang w:val="en-GB"/>
        </w:rPr>
        <w:t xml:space="preserve"> Briefly, </w:t>
      </w:r>
      <w:r w:rsidR="002159FA" w:rsidRPr="009E6637">
        <w:rPr>
          <w:lang w:val="en-GB"/>
        </w:rPr>
        <w:t xml:space="preserve">students carried out tests for the evaluation of the maximum explosion pressure </w:t>
      </w:r>
      <w:r w:rsidR="002159FA" w:rsidRPr="009E6637">
        <w:rPr>
          <w:i/>
          <w:lang w:val="en-GB"/>
        </w:rPr>
        <w:t>P</w:t>
      </w:r>
      <w:r w:rsidR="002159FA" w:rsidRPr="009E6637">
        <w:rPr>
          <w:i/>
          <w:vertAlign w:val="subscript"/>
          <w:lang w:val="en-GB"/>
        </w:rPr>
        <w:t>max</w:t>
      </w:r>
      <w:r w:rsidR="00B40384" w:rsidRPr="009E6637">
        <w:rPr>
          <w:lang w:val="en-GB"/>
        </w:rPr>
        <w:t xml:space="preserve">, </w:t>
      </w:r>
      <w:r w:rsidR="002159FA" w:rsidRPr="009E6637">
        <w:rPr>
          <w:lang w:val="en-GB"/>
        </w:rPr>
        <w:t xml:space="preserve">the deflagration index of a stochiometric methane-air mixture </w:t>
      </w:r>
      <w:r w:rsidR="00B40384" w:rsidRPr="009E6637">
        <w:rPr>
          <w:lang w:val="en-GB"/>
        </w:rPr>
        <w:t>(</w:t>
      </w:r>
      <w:r w:rsidR="00B40384" w:rsidRPr="009E6637">
        <w:rPr>
          <w:i/>
          <w:lang w:val="en-GB"/>
        </w:rPr>
        <w:t>K</w:t>
      </w:r>
      <w:r w:rsidR="00B40384" w:rsidRPr="009E6637">
        <w:rPr>
          <w:i/>
          <w:vertAlign w:val="subscript"/>
          <w:lang w:val="en-GB"/>
        </w:rPr>
        <w:t>G</w:t>
      </w:r>
      <w:r w:rsidR="00B40384" w:rsidRPr="009E6637">
        <w:rPr>
          <w:lang w:val="en-GB"/>
        </w:rPr>
        <w:t xml:space="preserve">) and of niacin-air mixture </w:t>
      </w:r>
      <w:r w:rsidR="00147E7F" w:rsidRPr="009E6637">
        <w:rPr>
          <w:lang w:val="en-GB"/>
        </w:rPr>
        <w:t>(</w:t>
      </w:r>
      <w:r w:rsidR="00147E7F" w:rsidRPr="009E6637">
        <w:rPr>
          <w:i/>
          <w:lang w:val="en-GB"/>
        </w:rPr>
        <w:t>K</w:t>
      </w:r>
      <w:r w:rsidR="00147E7F" w:rsidRPr="009E6637">
        <w:rPr>
          <w:i/>
          <w:vertAlign w:val="subscript"/>
          <w:lang w:val="en-GB"/>
        </w:rPr>
        <w:t>St</w:t>
      </w:r>
      <w:r w:rsidR="00147E7F" w:rsidRPr="009E6637">
        <w:rPr>
          <w:lang w:val="en-GB"/>
        </w:rPr>
        <w:t xml:space="preserve">). These tests were both performed </w:t>
      </w:r>
      <w:r w:rsidR="003D45FC" w:rsidRPr="009E6637">
        <w:rPr>
          <w:lang w:val="en-GB"/>
        </w:rPr>
        <w:t xml:space="preserve">using the </w:t>
      </w:r>
      <w:proofErr w:type="spellStart"/>
      <w:r w:rsidR="003D45FC" w:rsidRPr="009E6637">
        <w:rPr>
          <w:lang w:val="en-GB"/>
        </w:rPr>
        <w:t>Siwek</w:t>
      </w:r>
      <w:proofErr w:type="spellEnd"/>
      <w:r w:rsidR="003D45FC" w:rsidRPr="009E6637">
        <w:rPr>
          <w:lang w:val="en-GB"/>
        </w:rPr>
        <w:t xml:space="preserve"> 20 L sphere and following standard procedures </w:t>
      </w:r>
      <w:r w:rsidR="00413D20" w:rsidRPr="009E6637">
        <w:rPr>
          <w:lang w:val="en-GB"/>
        </w:rPr>
        <w:fldChar w:fldCharType="begin" w:fldLock="1"/>
      </w:r>
      <w:r w:rsidR="00E2175F" w:rsidRPr="009E6637">
        <w:rPr>
          <w:lang w:val="en-GB"/>
        </w:rPr>
        <w:instrText>ADDIN CSL_CITATION {"citationItems":[{"id":"ITEM-1","itemData":{"DOI":"10.1520/E1226-19","author":[{"dropping-particle":"","family":"ASTM E1226-19","given":"","non-dropping-particle":"","parse-names":false,"suffix":""}],"container-title":"ASTM International, West Conshohocken, PA","id":"ITEM-1","issued":{"date-parts":[["2019"]]},"page":"1-15","title":"Standard Test Method for Explosibility of Dust Clouds","type":"article-journal"},"uris":["http://www.mendeley.com/documents/?uuid=0b4a36fd-4b78-4333-9892-c579583cf720"]}],"mendeley":{"formattedCitation":"(ASTM E1226-19, 2019)","plainTextFormattedCitation":"(ASTM E1226-19, 2019)","previouslyFormattedCitation":"(ASTM E1226-19, 2019)"},"properties":{"noteIndex":0},"schema":"https://github.com/citation-style-language/schema/raw/master/csl-citation.json"}</w:instrText>
      </w:r>
      <w:r w:rsidR="00413D20" w:rsidRPr="009E6637">
        <w:rPr>
          <w:lang w:val="en-GB"/>
        </w:rPr>
        <w:fldChar w:fldCharType="separate"/>
      </w:r>
      <w:r w:rsidR="00413D20" w:rsidRPr="009E6637">
        <w:rPr>
          <w:noProof/>
          <w:lang w:val="en-GB"/>
        </w:rPr>
        <w:t>(ASTM E1226-19, 2019)</w:t>
      </w:r>
      <w:r w:rsidR="00413D20" w:rsidRPr="009E6637">
        <w:rPr>
          <w:lang w:val="en-GB"/>
        </w:rPr>
        <w:fldChar w:fldCharType="end"/>
      </w:r>
      <w:r w:rsidR="003D45FC" w:rsidRPr="009E6637">
        <w:rPr>
          <w:lang w:val="en-GB"/>
        </w:rPr>
        <w:t xml:space="preserve">. </w:t>
      </w:r>
      <w:r w:rsidR="00E2175F" w:rsidRPr="009E6637">
        <w:rPr>
          <w:lang w:val="en-GB"/>
        </w:rPr>
        <w:t xml:space="preserve">Then, students assessed the flash point of propylene glycol butyl ether, a solvent used in a wide array of industrial, commercial and consumer applications. The equipment used during these experiments is a </w:t>
      </w:r>
      <w:proofErr w:type="spellStart"/>
      <w:r w:rsidR="00E2175F" w:rsidRPr="009E6637">
        <w:rPr>
          <w:lang w:val="en-GB"/>
        </w:rPr>
        <w:t>Setaflash</w:t>
      </w:r>
      <w:proofErr w:type="spellEnd"/>
      <w:r w:rsidR="00E2175F" w:rsidRPr="009E6637">
        <w:rPr>
          <w:lang w:val="en-GB"/>
        </w:rPr>
        <w:t xml:space="preserve"> Series 3 Flash Point tester </w:t>
      </w:r>
      <w:r w:rsidR="00E2175F" w:rsidRPr="009E6637">
        <w:rPr>
          <w:lang w:val="en-GB"/>
        </w:rPr>
        <w:fldChar w:fldCharType="begin" w:fldLock="1"/>
      </w:r>
      <w:r w:rsidR="009A2BFD" w:rsidRPr="009E6637">
        <w:rPr>
          <w:lang w:val="en-GB"/>
        </w:rPr>
        <w:instrText>ADDIN CSL_CITATION {"citationItems":[{"id":"ITEM-1","itemData":{"DOI":"10.1520/D3278-21.Copyright","author":[{"dropping-particle":"","family":"ASTM D3278−21","given":"","non-dropping-particle":"","parse-names":false,"suffix":""}],"id":"ITEM-1","issue":"Reapproved","issued":{"date-parts":[["2011"]]},"page":"1-8","title":"Standard Test Methods for Flash Point of Liquids by Small Scale Closed-Cup","type":"article","volume":"96"},"uris":["http://www.mendeley.com/documents/?uuid=b22129d3-9278-4bf1-bf2d-14e0f484ff33"]}],"mendeley":{"formattedCitation":"(ASTM D3278−21, 2011)","plainTextFormattedCitation":"(ASTM D3278−21, 2011)","previouslyFormattedCitation":"(ASTM D3278−21, 2011)"},"properties":{"noteIndex":0},"schema":"https://github.com/citation-style-language/schema/raw/master/csl-citation.json"}</w:instrText>
      </w:r>
      <w:r w:rsidR="00E2175F" w:rsidRPr="009E6637">
        <w:rPr>
          <w:lang w:val="en-GB"/>
        </w:rPr>
        <w:fldChar w:fldCharType="separate"/>
      </w:r>
      <w:r w:rsidR="00382086" w:rsidRPr="009E6637">
        <w:rPr>
          <w:noProof/>
          <w:lang w:val="en-GB"/>
        </w:rPr>
        <w:t>(ASTM D3278−21, 2011)</w:t>
      </w:r>
      <w:r w:rsidR="00E2175F" w:rsidRPr="009E6637">
        <w:rPr>
          <w:lang w:val="en-GB"/>
        </w:rPr>
        <w:fldChar w:fldCharType="end"/>
      </w:r>
      <w:r w:rsidR="00E2175F" w:rsidRPr="009E6637">
        <w:rPr>
          <w:lang w:val="en-GB"/>
        </w:rPr>
        <w:t>.</w:t>
      </w:r>
      <w:r w:rsidR="009A2BFD" w:rsidRPr="009E6637">
        <w:rPr>
          <w:lang w:val="en-GB"/>
        </w:rPr>
        <w:t xml:space="preserve"> Finally, students measured the minimum ignition energy of the niacin-air mixture at 120 ms and 1 mH. The equipment used during these experiments is a 1.2 L MIKE3 tube apparatus </w:t>
      </w:r>
      <w:r w:rsidR="009A2BFD" w:rsidRPr="009E6637">
        <w:rPr>
          <w:lang w:val="en-GB"/>
        </w:rPr>
        <w:fldChar w:fldCharType="begin" w:fldLock="1"/>
      </w:r>
      <w:r w:rsidR="001C038B">
        <w:rPr>
          <w:lang w:val="en-GB"/>
        </w:rPr>
        <w:instrText>ADDIN CSL_CITATION {"citationItems":[{"id":"ITEM-1","itemData":{"author":[{"dropping-particle":"","family":"ASTM E2019-03","given":"","non-dropping-particle":"","parse-names":false,"suffix":""}],"container-title":"ASTM International, West Conshohocken, PA","id":"ITEM-1","issued":{"date-parts":[["2013"]]},"page":"1-9","title":"Standard Test Method for Minimum Ignition Energy of a Dust Cloud in Air","type":"article-journal"},"uris":["http://www.mendeley.com/documents/?uuid=0b29b82d-73d9-43a4-87d8-3507a7080e27"]}],"mendeley":{"formattedCitation":"(ASTM E2019-03, 2013)","plainTextFormattedCitation":"(ASTM E2019-03, 2013)","previouslyFormattedCitation":"(ASTM E2019-03, 2013)"},"properties":{"noteIndex":0},"schema":"https://github.com/citation-style-language/schema/raw/master/csl-citation.json"}</w:instrText>
      </w:r>
      <w:r w:rsidR="009A2BFD" w:rsidRPr="009E6637">
        <w:rPr>
          <w:lang w:val="en-GB"/>
        </w:rPr>
        <w:fldChar w:fldCharType="separate"/>
      </w:r>
      <w:r w:rsidR="009A2BFD" w:rsidRPr="009E6637">
        <w:rPr>
          <w:noProof/>
          <w:lang w:val="en-GB"/>
        </w:rPr>
        <w:t>(ASTM E2019-03, 2013)</w:t>
      </w:r>
      <w:r w:rsidR="009A2BFD" w:rsidRPr="009E6637">
        <w:rPr>
          <w:lang w:val="en-GB"/>
        </w:rPr>
        <w:fldChar w:fldCharType="end"/>
      </w:r>
      <w:r w:rsidR="009A2BFD" w:rsidRPr="009E6637">
        <w:rPr>
          <w:lang w:val="en-GB"/>
        </w:rPr>
        <w:t>.</w:t>
      </w:r>
    </w:p>
    <w:p w14:paraId="01929429" w14:textId="4CFFE425" w:rsidR="00BD5C00" w:rsidRPr="009E6637" w:rsidRDefault="00BD5C00" w:rsidP="00BD5C00">
      <w:pPr>
        <w:pStyle w:val="CETTabletitle"/>
        <w:rPr>
          <w:color w:val="000000"/>
        </w:rPr>
      </w:pPr>
      <w:r w:rsidRPr="009E6637">
        <w:t xml:space="preserve">Table 2: </w:t>
      </w:r>
      <w:r w:rsidRPr="009E6637">
        <w:rPr>
          <w:color w:val="000000"/>
        </w:rPr>
        <w:t>Summary of the experimental activities carried out during the course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1418"/>
        <w:gridCol w:w="1417"/>
        <w:gridCol w:w="1560"/>
        <w:gridCol w:w="2124"/>
      </w:tblGrid>
      <w:tr w:rsidR="007E23D3" w:rsidRPr="009E6637" w14:paraId="5FBD7FB7" w14:textId="77777777" w:rsidTr="00DC098C">
        <w:tc>
          <w:tcPr>
            <w:tcW w:w="2268" w:type="dxa"/>
            <w:tcBorders>
              <w:top w:val="single" w:sz="12" w:space="0" w:color="008000"/>
              <w:bottom w:val="single" w:sz="6" w:space="0" w:color="008000"/>
            </w:tcBorders>
            <w:shd w:val="clear" w:color="auto" w:fill="FFFFFF"/>
            <w:vAlign w:val="center"/>
          </w:tcPr>
          <w:p w14:paraId="26110734" w14:textId="4ABB0BA6" w:rsidR="007E23D3" w:rsidRPr="009E6637" w:rsidRDefault="007E23D3" w:rsidP="0043483B">
            <w:pPr>
              <w:pStyle w:val="CETBodytext"/>
              <w:jc w:val="center"/>
              <w:rPr>
                <w:lang w:val="en-GB"/>
              </w:rPr>
            </w:pPr>
            <w:r w:rsidRPr="009E6637">
              <w:rPr>
                <w:lang w:val="en-GB"/>
              </w:rPr>
              <w:t>Lab experience</w:t>
            </w:r>
          </w:p>
        </w:tc>
        <w:tc>
          <w:tcPr>
            <w:tcW w:w="1418" w:type="dxa"/>
            <w:tcBorders>
              <w:top w:val="single" w:sz="12" w:space="0" w:color="008000"/>
              <w:bottom w:val="single" w:sz="6" w:space="0" w:color="008000"/>
            </w:tcBorders>
            <w:shd w:val="clear" w:color="auto" w:fill="FFFFFF"/>
            <w:vAlign w:val="center"/>
          </w:tcPr>
          <w:p w14:paraId="771EE955" w14:textId="04BAB8A0" w:rsidR="007E23D3" w:rsidRPr="009E6637" w:rsidRDefault="007E23D3" w:rsidP="0043483B">
            <w:pPr>
              <w:pStyle w:val="CETBodytext"/>
              <w:jc w:val="center"/>
              <w:rPr>
                <w:lang w:val="en-GB"/>
              </w:rPr>
            </w:pPr>
            <w:r w:rsidRPr="009E6637">
              <w:rPr>
                <w:lang w:val="en-GB"/>
              </w:rPr>
              <w:t>Used equipment</w:t>
            </w:r>
          </w:p>
        </w:tc>
        <w:tc>
          <w:tcPr>
            <w:tcW w:w="1417" w:type="dxa"/>
            <w:tcBorders>
              <w:top w:val="single" w:sz="12" w:space="0" w:color="008000"/>
              <w:bottom w:val="single" w:sz="6" w:space="0" w:color="008000"/>
            </w:tcBorders>
            <w:shd w:val="clear" w:color="auto" w:fill="FFFFFF"/>
            <w:vAlign w:val="center"/>
          </w:tcPr>
          <w:p w14:paraId="69DDF9BB" w14:textId="0A497306" w:rsidR="007E23D3" w:rsidRPr="009E6637" w:rsidRDefault="007E23D3" w:rsidP="0043483B">
            <w:pPr>
              <w:pStyle w:val="CETBodytext"/>
              <w:jc w:val="center"/>
              <w:rPr>
                <w:lang w:val="en-GB"/>
              </w:rPr>
            </w:pPr>
            <w:r w:rsidRPr="009E6637">
              <w:rPr>
                <w:lang w:val="en-GB"/>
              </w:rPr>
              <w:t>Evaluated parameter(s)</w:t>
            </w:r>
          </w:p>
        </w:tc>
        <w:tc>
          <w:tcPr>
            <w:tcW w:w="1560" w:type="dxa"/>
            <w:tcBorders>
              <w:top w:val="single" w:sz="12" w:space="0" w:color="008000"/>
              <w:bottom w:val="single" w:sz="6" w:space="0" w:color="008000"/>
            </w:tcBorders>
            <w:shd w:val="clear" w:color="auto" w:fill="FFFFFF"/>
            <w:vAlign w:val="center"/>
          </w:tcPr>
          <w:p w14:paraId="764E1F51" w14:textId="7B47D304" w:rsidR="007E23D3" w:rsidRPr="009E6637" w:rsidRDefault="007E23D3" w:rsidP="0043483B">
            <w:pPr>
              <w:pStyle w:val="CETBodytext"/>
              <w:jc w:val="center"/>
              <w:rPr>
                <w:lang w:val="en-GB"/>
              </w:rPr>
            </w:pPr>
            <w:r w:rsidRPr="009E6637">
              <w:rPr>
                <w:lang w:val="en-GB"/>
              </w:rPr>
              <w:t>Investigated sample</w:t>
            </w:r>
          </w:p>
        </w:tc>
        <w:tc>
          <w:tcPr>
            <w:tcW w:w="2124" w:type="dxa"/>
            <w:tcBorders>
              <w:top w:val="single" w:sz="12" w:space="0" w:color="008000"/>
              <w:bottom w:val="single" w:sz="6" w:space="0" w:color="008000"/>
            </w:tcBorders>
            <w:shd w:val="clear" w:color="auto" w:fill="FFFFFF"/>
            <w:vAlign w:val="center"/>
          </w:tcPr>
          <w:p w14:paraId="2E1466EE" w14:textId="1F8AB3EA" w:rsidR="007E23D3" w:rsidRPr="009E6637" w:rsidRDefault="007E23D3" w:rsidP="0043483B">
            <w:pPr>
              <w:pStyle w:val="CETBodytext"/>
              <w:jc w:val="center"/>
              <w:rPr>
                <w:lang w:val="en-GB"/>
              </w:rPr>
            </w:pPr>
            <w:r w:rsidRPr="009E6637">
              <w:rPr>
                <w:lang w:val="en-GB"/>
              </w:rPr>
              <w:t>Applied standard</w:t>
            </w:r>
          </w:p>
        </w:tc>
      </w:tr>
      <w:tr w:rsidR="007E23D3" w:rsidRPr="009E6637" w14:paraId="4C45170D" w14:textId="77777777" w:rsidTr="00DC098C">
        <w:tc>
          <w:tcPr>
            <w:tcW w:w="2268" w:type="dxa"/>
            <w:shd w:val="clear" w:color="auto" w:fill="FFFFFF"/>
            <w:vAlign w:val="center"/>
          </w:tcPr>
          <w:p w14:paraId="03D985B9" w14:textId="5D274872" w:rsidR="007E23D3" w:rsidRPr="009E6637" w:rsidRDefault="007E23D3" w:rsidP="0043483B">
            <w:pPr>
              <w:pStyle w:val="CETBodytext"/>
              <w:numPr>
                <w:ilvl w:val="0"/>
                <w:numId w:val="37"/>
              </w:numPr>
              <w:jc w:val="center"/>
              <w:rPr>
                <w:lang w:val="en-GB"/>
              </w:rPr>
            </w:pPr>
            <w:r w:rsidRPr="009E6637">
              <w:rPr>
                <w:lang w:val="en-GB"/>
              </w:rPr>
              <w:t>Measurement of the deflagration index K</w:t>
            </w:r>
            <w:r w:rsidRPr="009E6637">
              <w:rPr>
                <w:vertAlign w:val="subscript"/>
                <w:lang w:val="en-GB"/>
              </w:rPr>
              <w:t>G</w:t>
            </w:r>
          </w:p>
        </w:tc>
        <w:tc>
          <w:tcPr>
            <w:tcW w:w="1418" w:type="dxa"/>
            <w:shd w:val="clear" w:color="auto" w:fill="FFFFFF"/>
            <w:vAlign w:val="center"/>
          </w:tcPr>
          <w:p w14:paraId="2BB01F57" w14:textId="0921F05F" w:rsidR="007E23D3" w:rsidRPr="009E6637" w:rsidRDefault="007E23D3" w:rsidP="0043483B">
            <w:pPr>
              <w:pStyle w:val="CETBodytext"/>
              <w:jc w:val="center"/>
              <w:rPr>
                <w:lang w:val="en-GB"/>
              </w:rPr>
            </w:pPr>
            <w:r w:rsidRPr="009E6637">
              <w:rPr>
                <w:lang w:val="en-GB"/>
              </w:rPr>
              <w:t>20 L sphere</w:t>
            </w:r>
          </w:p>
        </w:tc>
        <w:tc>
          <w:tcPr>
            <w:tcW w:w="1417" w:type="dxa"/>
            <w:shd w:val="clear" w:color="auto" w:fill="FFFFFF"/>
            <w:vAlign w:val="center"/>
          </w:tcPr>
          <w:p w14:paraId="6ADEDB98" w14:textId="2B44B30C" w:rsidR="007E23D3" w:rsidRPr="009E6637" w:rsidRDefault="007E23D3" w:rsidP="0043483B">
            <w:pPr>
              <w:pStyle w:val="CETBodytext"/>
              <w:jc w:val="center"/>
              <w:rPr>
                <w:lang w:val="en-GB"/>
              </w:rPr>
            </w:pPr>
            <w:r w:rsidRPr="009E6637">
              <w:rPr>
                <w:lang w:val="en-GB"/>
              </w:rPr>
              <w:t>K</w:t>
            </w:r>
            <w:r w:rsidRPr="009E6637">
              <w:rPr>
                <w:vertAlign w:val="subscript"/>
                <w:lang w:val="en-GB"/>
              </w:rPr>
              <w:t>G</w:t>
            </w:r>
          </w:p>
        </w:tc>
        <w:tc>
          <w:tcPr>
            <w:tcW w:w="1560" w:type="dxa"/>
            <w:shd w:val="clear" w:color="auto" w:fill="FFFFFF"/>
            <w:vAlign w:val="center"/>
          </w:tcPr>
          <w:p w14:paraId="4AEBAF72" w14:textId="3179F00E" w:rsidR="007E23D3" w:rsidRPr="009E6637" w:rsidRDefault="007E23D3" w:rsidP="0043483B">
            <w:pPr>
              <w:pStyle w:val="CETBodytext"/>
              <w:jc w:val="center"/>
              <w:rPr>
                <w:lang w:val="en-GB"/>
              </w:rPr>
            </w:pPr>
            <w:r w:rsidRPr="009E6637">
              <w:rPr>
                <w:lang w:val="en-GB"/>
              </w:rPr>
              <w:t>Stochiometric CH</w:t>
            </w:r>
            <w:r w:rsidRPr="009E6637">
              <w:rPr>
                <w:vertAlign w:val="subscript"/>
                <w:lang w:val="en-GB"/>
              </w:rPr>
              <w:t>4</w:t>
            </w:r>
            <w:r w:rsidRPr="009E6637">
              <w:rPr>
                <w:lang w:val="en-GB"/>
              </w:rPr>
              <w:t>-air mixture</w:t>
            </w:r>
          </w:p>
        </w:tc>
        <w:tc>
          <w:tcPr>
            <w:tcW w:w="2124" w:type="dxa"/>
            <w:shd w:val="clear" w:color="auto" w:fill="FFFFFF"/>
            <w:vAlign w:val="center"/>
          </w:tcPr>
          <w:p w14:paraId="4EB68CD1" w14:textId="5A2F8D7E" w:rsidR="007E23D3" w:rsidRPr="009E6637" w:rsidRDefault="007E23D3" w:rsidP="0043483B">
            <w:pPr>
              <w:pStyle w:val="CETBodytext"/>
              <w:jc w:val="center"/>
              <w:rPr>
                <w:lang w:val="en-GB"/>
              </w:rPr>
            </w:pPr>
            <w:r w:rsidRPr="009E6637">
              <w:rPr>
                <w:lang w:val="en-GB"/>
              </w:rPr>
              <w:fldChar w:fldCharType="begin" w:fldLock="1"/>
            </w:r>
            <w:r w:rsidR="00892037" w:rsidRPr="009E6637">
              <w:rPr>
                <w:lang w:val="en-GB"/>
              </w:rPr>
              <w:instrText>ADDIN CSL_CITATION {"citationItems":[{"id":"ITEM-1","itemData":{"DOI":"10.1520/E1226-19","author":[{"dropping-particle":"","family":"ASTM E1226-19","given":"","non-dropping-particle":"","parse-names":false,"suffix":""}],"container-title":"ASTM International, West Conshohocken, PA","id":"ITEM-1","issued":{"date-parts":[["2019"]]},"page":"1-15","title":"Standard Test Method for Explosibility of Dust Clouds","type":"article-journal"},"uris":["http://www.mendeley.com/documents/?uuid=0b4a36fd-4b78-4333-9892-c579583cf720"]}],"mendeley":{"formattedCitation":"(ASTM E1226-19, 2019)","plainTextFormattedCitation":"(ASTM E1226-19, 2019)","previouslyFormattedCitation":"(ASTM E1226-19, 2019)"},"properties":{"noteIndex":0},"schema":"https://github.com/citation-style-language/schema/raw/master/csl-citation.json"}</w:instrText>
            </w:r>
            <w:r w:rsidRPr="009E6637">
              <w:rPr>
                <w:lang w:val="en-GB"/>
              </w:rPr>
              <w:fldChar w:fldCharType="separate"/>
            </w:r>
            <w:r w:rsidRPr="009E6637">
              <w:rPr>
                <w:noProof/>
                <w:lang w:val="en-GB"/>
              </w:rPr>
              <w:t>(ASTM E1226-19, 2019)</w:t>
            </w:r>
            <w:r w:rsidRPr="009E6637">
              <w:rPr>
                <w:lang w:val="en-GB"/>
              </w:rPr>
              <w:fldChar w:fldCharType="end"/>
            </w:r>
          </w:p>
        </w:tc>
      </w:tr>
      <w:tr w:rsidR="007E23D3" w:rsidRPr="009E6637" w14:paraId="2D7B20FD" w14:textId="77777777" w:rsidTr="00DC098C">
        <w:tc>
          <w:tcPr>
            <w:tcW w:w="2268" w:type="dxa"/>
            <w:shd w:val="clear" w:color="auto" w:fill="FFFFFF"/>
            <w:vAlign w:val="center"/>
          </w:tcPr>
          <w:p w14:paraId="1192217F" w14:textId="2DF8F641" w:rsidR="007E23D3" w:rsidRPr="009E6637" w:rsidRDefault="00360659" w:rsidP="0043483B">
            <w:pPr>
              <w:pStyle w:val="CETBodytext"/>
              <w:numPr>
                <w:ilvl w:val="0"/>
                <w:numId w:val="37"/>
              </w:numPr>
              <w:jc w:val="center"/>
              <w:rPr>
                <w:lang w:val="en-GB"/>
              </w:rPr>
            </w:pPr>
            <w:r w:rsidRPr="009E6637">
              <w:rPr>
                <w:lang w:val="en-GB"/>
              </w:rPr>
              <w:t>Measurement of the deflagration index K</w:t>
            </w:r>
            <w:r w:rsidRPr="009E6637">
              <w:rPr>
                <w:vertAlign w:val="subscript"/>
                <w:lang w:val="en-GB"/>
              </w:rPr>
              <w:t>St</w:t>
            </w:r>
          </w:p>
        </w:tc>
        <w:tc>
          <w:tcPr>
            <w:tcW w:w="1418" w:type="dxa"/>
            <w:shd w:val="clear" w:color="auto" w:fill="FFFFFF"/>
            <w:vAlign w:val="center"/>
          </w:tcPr>
          <w:p w14:paraId="74B6CF03" w14:textId="46E3AB2E" w:rsidR="007E23D3" w:rsidRPr="009E6637" w:rsidRDefault="00360659" w:rsidP="0043483B">
            <w:pPr>
              <w:pStyle w:val="CETBodytext"/>
              <w:jc w:val="center"/>
              <w:rPr>
                <w:lang w:val="en-GB"/>
              </w:rPr>
            </w:pPr>
            <w:r w:rsidRPr="009E6637">
              <w:rPr>
                <w:lang w:val="en-GB"/>
              </w:rPr>
              <w:t>20 L sphere</w:t>
            </w:r>
          </w:p>
        </w:tc>
        <w:tc>
          <w:tcPr>
            <w:tcW w:w="1417" w:type="dxa"/>
            <w:shd w:val="clear" w:color="auto" w:fill="FFFFFF"/>
            <w:vAlign w:val="center"/>
          </w:tcPr>
          <w:p w14:paraId="7AE08847" w14:textId="1374256B" w:rsidR="007E23D3" w:rsidRPr="009E6637" w:rsidRDefault="00360659" w:rsidP="0043483B">
            <w:pPr>
              <w:pStyle w:val="CETBodytext"/>
              <w:jc w:val="center"/>
              <w:rPr>
                <w:lang w:val="en-GB"/>
              </w:rPr>
            </w:pPr>
            <w:r w:rsidRPr="009E6637">
              <w:rPr>
                <w:lang w:val="en-GB"/>
              </w:rPr>
              <w:t>K</w:t>
            </w:r>
            <w:r w:rsidRPr="009E6637">
              <w:rPr>
                <w:vertAlign w:val="subscript"/>
                <w:lang w:val="en-GB"/>
              </w:rPr>
              <w:t>St</w:t>
            </w:r>
          </w:p>
        </w:tc>
        <w:tc>
          <w:tcPr>
            <w:tcW w:w="1560" w:type="dxa"/>
            <w:shd w:val="clear" w:color="auto" w:fill="FFFFFF"/>
            <w:vAlign w:val="center"/>
          </w:tcPr>
          <w:p w14:paraId="2E1BBB76" w14:textId="3FA4C2E1" w:rsidR="007E23D3" w:rsidRPr="009E6637" w:rsidRDefault="00360659" w:rsidP="0043483B">
            <w:pPr>
              <w:pStyle w:val="CETBodytext"/>
              <w:jc w:val="center"/>
              <w:rPr>
                <w:lang w:val="en-GB"/>
              </w:rPr>
            </w:pPr>
            <w:r w:rsidRPr="009E6637">
              <w:rPr>
                <w:lang w:val="en-GB"/>
              </w:rPr>
              <w:t>Niacin-air mixture</w:t>
            </w:r>
          </w:p>
        </w:tc>
        <w:tc>
          <w:tcPr>
            <w:tcW w:w="2124" w:type="dxa"/>
            <w:shd w:val="clear" w:color="auto" w:fill="FFFFFF"/>
            <w:vAlign w:val="center"/>
          </w:tcPr>
          <w:p w14:paraId="78F36BCA" w14:textId="101B9785" w:rsidR="007E23D3" w:rsidRPr="009E6637" w:rsidRDefault="00360659" w:rsidP="0043483B">
            <w:pPr>
              <w:pStyle w:val="CETBodytext"/>
              <w:jc w:val="center"/>
              <w:rPr>
                <w:lang w:val="en-GB"/>
              </w:rPr>
            </w:pPr>
            <w:r w:rsidRPr="009E6637">
              <w:rPr>
                <w:lang w:val="en-GB"/>
              </w:rPr>
              <w:fldChar w:fldCharType="begin" w:fldLock="1"/>
            </w:r>
            <w:r w:rsidR="00892037" w:rsidRPr="009E6637">
              <w:rPr>
                <w:lang w:val="en-GB"/>
              </w:rPr>
              <w:instrText>ADDIN CSL_CITATION {"citationItems":[{"id":"ITEM-1","itemData":{"DOI":"10.1520/E1226-19","author":[{"dropping-particle":"","family":"ASTM E1226-19","given":"","non-dropping-particle":"","parse-names":false,"suffix":""}],"container-title":"ASTM International, West Conshohocken, PA","id":"ITEM-1","issued":{"date-parts":[["2019"]]},"page":"1-15","title":"Standard Test Method for Explosibility of Dust Clouds","type":"article-journal"},"uris":["http://www.mendeley.com/documents/?uuid=0b4a36fd-4b78-4333-9892-c579583cf720"]}],"mendeley":{"formattedCitation":"(ASTM E1226-19, 2019)","plainTextFormattedCitation":"(ASTM E1226-19, 2019)","previouslyFormattedCitation":"(ASTM E1226-19, 2019)"},"properties":{"noteIndex":0},"schema":"https://github.com/citation-style-language/schema/raw/master/csl-citation.json"}</w:instrText>
            </w:r>
            <w:r w:rsidRPr="009E6637">
              <w:rPr>
                <w:lang w:val="en-GB"/>
              </w:rPr>
              <w:fldChar w:fldCharType="separate"/>
            </w:r>
            <w:r w:rsidRPr="009E6637">
              <w:rPr>
                <w:noProof/>
                <w:lang w:val="en-GB"/>
              </w:rPr>
              <w:t>(ASTM E1226-19, 2019)</w:t>
            </w:r>
            <w:r w:rsidRPr="009E6637">
              <w:rPr>
                <w:lang w:val="en-GB"/>
              </w:rPr>
              <w:fldChar w:fldCharType="end"/>
            </w:r>
          </w:p>
        </w:tc>
      </w:tr>
      <w:tr w:rsidR="007E23D3" w:rsidRPr="009E6637" w14:paraId="007975A8" w14:textId="77777777" w:rsidTr="00DC098C">
        <w:tc>
          <w:tcPr>
            <w:tcW w:w="2268" w:type="dxa"/>
            <w:shd w:val="clear" w:color="auto" w:fill="FFFFFF"/>
            <w:vAlign w:val="center"/>
          </w:tcPr>
          <w:p w14:paraId="67AD6672" w14:textId="5114B884" w:rsidR="007E23D3" w:rsidRPr="009E6637" w:rsidRDefault="00360659" w:rsidP="0043483B">
            <w:pPr>
              <w:pStyle w:val="CETBodytext"/>
              <w:numPr>
                <w:ilvl w:val="0"/>
                <w:numId w:val="37"/>
              </w:numPr>
              <w:jc w:val="center"/>
              <w:rPr>
                <w:lang w:val="en-GB"/>
              </w:rPr>
            </w:pPr>
            <w:r w:rsidRPr="009E6637">
              <w:rPr>
                <w:lang w:val="en-GB"/>
              </w:rPr>
              <w:lastRenderedPageBreak/>
              <w:t>Measurement of the flash point FP</w:t>
            </w:r>
          </w:p>
        </w:tc>
        <w:tc>
          <w:tcPr>
            <w:tcW w:w="1418" w:type="dxa"/>
            <w:shd w:val="clear" w:color="auto" w:fill="FFFFFF"/>
            <w:vAlign w:val="center"/>
          </w:tcPr>
          <w:p w14:paraId="0B35F500" w14:textId="7F8A8360" w:rsidR="007E23D3" w:rsidRPr="009E6637" w:rsidRDefault="00360659" w:rsidP="0043483B">
            <w:pPr>
              <w:pStyle w:val="CETBodytext"/>
              <w:jc w:val="center"/>
              <w:rPr>
                <w:lang w:val="en-GB"/>
              </w:rPr>
            </w:pPr>
            <w:proofErr w:type="spellStart"/>
            <w:r w:rsidRPr="009E6637">
              <w:rPr>
                <w:lang w:val="en-GB"/>
              </w:rPr>
              <w:t>Setaflash</w:t>
            </w:r>
            <w:proofErr w:type="spellEnd"/>
            <w:r w:rsidRPr="009E6637">
              <w:rPr>
                <w:lang w:val="en-GB"/>
              </w:rPr>
              <w:t xml:space="preserve"> Series 3 Flash Point tester</w:t>
            </w:r>
          </w:p>
        </w:tc>
        <w:tc>
          <w:tcPr>
            <w:tcW w:w="1417" w:type="dxa"/>
            <w:shd w:val="clear" w:color="auto" w:fill="FFFFFF"/>
            <w:vAlign w:val="center"/>
          </w:tcPr>
          <w:p w14:paraId="298C2335" w14:textId="256982D4" w:rsidR="007E23D3" w:rsidRPr="009E6637" w:rsidRDefault="00360659" w:rsidP="0043483B">
            <w:pPr>
              <w:pStyle w:val="CETBodytext"/>
              <w:jc w:val="center"/>
              <w:rPr>
                <w:lang w:val="en-GB"/>
              </w:rPr>
            </w:pPr>
            <w:r w:rsidRPr="009E6637">
              <w:rPr>
                <w:lang w:val="en-GB"/>
              </w:rPr>
              <w:t>FP</w:t>
            </w:r>
          </w:p>
        </w:tc>
        <w:tc>
          <w:tcPr>
            <w:tcW w:w="1560" w:type="dxa"/>
            <w:shd w:val="clear" w:color="auto" w:fill="FFFFFF"/>
            <w:vAlign w:val="center"/>
          </w:tcPr>
          <w:p w14:paraId="024009C5" w14:textId="394428A1" w:rsidR="007E23D3" w:rsidRPr="009E6637" w:rsidRDefault="00360659" w:rsidP="0043483B">
            <w:pPr>
              <w:pStyle w:val="CETBodytext"/>
              <w:jc w:val="center"/>
              <w:rPr>
                <w:lang w:val="en-GB"/>
              </w:rPr>
            </w:pPr>
            <w:r w:rsidRPr="009E6637">
              <w:rPr>
                <w:lang w:val="en-GB"/>
              </w:rPr>
              <w:t>Propylene glycol butyl ether</w:t>
            </w:r>
          </w:p>
        </w:tc>
        <w:tc>
          <w:tcPr>
            <w:tcW w:w="2124" w:type="dxa"/>
            <w:shd w:val="clear" w:color="auto" w:fill="FFFFFF"/>
            <w:vAlign w:val="center"/>
          </w:tcPr>
          <w:p w14:paraId="6DC382AF" w14:textId="37379E95" w:rsidR="007E23D3" w:rsidRPr="009E6637" w:rsidRDefault="00892037" w:rsidP="00DC098C">
            <w:pPr>
              <w:pStyle w:val="CETBodytext"/>
              <w:jc w:val="center"/>
              <w:rPr>
                <w:lang w:val="en-GB"/>
              </w:rPr>
            </w:pPr>
            <w:r w:rsidRPr="009E6637">
              <w:rPr>
                <w:lang w:val="en-GB"/>
              </w:rPr>
              <w:fldChar w:fldCharType="begin" w:fldLock="1"/>
            </w:r>
            <w:r w:rsidR="0043483B" w:rsidRPr="009E6637">
              <w:rPr>
                <w:lang w:val="en-GB"/>
              </w:rPr>
              <w:instrText>ADDIN CSL_CITATION {"citationItems":[{"id":"ITEM-1","itemData":{"DOI":"10.1520/D3278-21.Copyright","author":[{"dropping-particle":"","family":"ASTM D3278−21","given":"","non-dropping-particle":"","parse-names":false,"suffix":""}],"id":"ITEM-1","issue":"Reapproved","issued":{"date-parts":[["2011"]]},"page":"1-8","title":"Standard Test Methods for Flash Point of Liquids by Small Scale Closed-Cup","type":"article","volume":"96"},"uris":["http://www.mendeley.com/documents/?uuid=b22129d3-9278-4bf1-bf2d-14e0f484ff33"]}],"mendeley":{"formattedCitation":"(ASTM D3278−21, 2011)","plainTextFormattedCitation":"(ASTM D3278−21, 2011)","previouslyFormattedCitation":"(ASTM D3278−21, 2011)"},"properties":{"noteIndex":0},"schema":"https://github.com/citation-style-language/schema/raw/master/csl-citation.json"}</w:instrText>
            </w:r>
            <w:r w:rsidRPr="009E6637">
              <w:rPr>
                <w:lang w:val="en-GB"/>
              </w:rPr>
              <w:fldChar w:fldCharType="separate"/>
            </w:r>
            <w:r w:rsidR="0043483B" w:rsidRPr="009E6637">
              <w:rPr>
                <w:noProof/>
                <w:lang w:val="en-GB"/>
              </w:rPr>
              <w:t>(ASTM D3278−21, 2011)</w:t>
            </w:r>
            <w:r w:rsidRPr="009E6637">
              <w:rPr>
                <w:lang w:val="en-GB"/>
              </w:rPr>
              <w:fldChar w:fldCharType="end"/>
            </w:r>
          </w:p>
        </w:tc>
      </w:tr>
      <w:tr w:rsidR="007E23D3" w:rsidRPr="009E6637" w14:paraId="3A9EAEFA" w14:textId="77777777" w:rsidTr="00DC098C">
        <w:tc>
          <w:tcPr>
            <w:tcW w:w="2268" w:type="dxa"/>
            <w:shd w:val="clear" w:color="auto" w:fill="FFFFFF"/>
            <w:vAlign w:val="center"/>
          </w:tcPr>
          <w:p w14:paraId="1B06AB47" w14:textId="5DB1719A" w:rsidR="007E23D3" w:rsidRPr="009E6637" w:rsidRDefault="0043483B" w:rsidP="0043483B">
            <w:pPr>
              <w:pStyle w:val="CETBodytext"/>
              <w:numPr>
                <w:ilvl w:val="0"/>
                <w:numId w:val="37"/>
              </w:numPr>
              <w:ind w:right="-1"/>
              <w:jc w:val="center"/>
              <w:rPr>
                <w:rFonts w:cs="Arial"/>
                <w:szCs w:val="18"/>
                <w:lang w:val="en-GB"/>
              </w:rPr>
            </w:pPr>
            <w:r w:rsidRPr="009E6637">
              <w:rPr>
                <w:lang w:val="en-GB"/>
              </w:rPr>
              <w:t>Measurement of the minimum ignition energy MIE</w:t>
            </w:r>
          </w:p>
        </w:tc>
        <w:tc>
          <w:tcPr>
            <w:tcW w:w="1418" w:type="dxa"/>
            <w:shd w:val="clear" w:color="auto" w:fill="FFFFFF"/>
            <w:vAlign w:val="center"/>
          </w:tcPr>
          <w:p w14:paraId="5EBBC1F4" w14:textId="51883145" w:rsidR="0043483B" w:rsidRPr="009E6637" w:rsidRDefault="0043483B" w:rsidP="0043483B">
            <w:pPr>
              <w:pStyle w:val="CETBodytext"/>
              <w:ind w:right="-1"/>
              <w:jc w:val="center"/>
              <w:rPr>
                <w:lang w:val="en-GB"/>
              </w:rPr>
            </w:pPr>
            <w:r w:rsidRPr="009E6637">
              <w:rPr>
                <w:lang w:val="en-GB"/>
              </w:rPr>
              <w:t>MIKE3</w:t>
            </w:r>
          </w:p>
          <w:p w14:paraId="5D6F8793" w14:textId="3AD028D8" w:rsidR="007E23D3" w:rsidRPr="009E6637" w:rsidRDefault="0043483B" w:rsidP="0043483B">
            <w:pPr>
              <w:pStyle w:val="CETBodytext"/>
              <w:ind w:right="-1"/>
              <w:jc w:val="center"/>
              <w:rPr>
                <w:lang w:val="en-GB"/>
              </w:rPr>
            </w:pPr>
            <w:r w:rsidRPr="009E6637">
              <w:rPr>
                <w:lang w:val="en-GB"/>
              </w:rPr>
              <w:t>apparatus</w:t>
            </w:r>
          </w:p>
        </w:tc>
        <w:tc>
          <w:tcPr>
            <w:tcW w:w="1417" w:type="dxa"/>
            <w:shd w:val="clear" w:color="auto" w:fill="FFFFFF"/>
            <w:vAlign w:val="center"/>
          </w:tcPr>
          <w:p w14:paraId="6C4E406A" w14:textId="5BC1999A" w:rsidR="007E23D3" w:rsidRPr="009E6637" w:rsidRDefault="0043483B" w:rsidP="0043483B">
            <w:pPr>
              <w:pStyle w:val="CETBodytext"/>
              <w:ind w:right="-1"/>
              <w:jc w:val="center"/>
              <w:rPr>
                <w:lang w:val="en-GB"/>
              </w:rPr>
            </w:pPr>
            <w:r w:rsidRPr="009E6637">
              <w:rPr>
                <w:lang w:val="en-GB"/>
              </w:rPr>
              <w:t>MIE</w:t>
            </w:r>
          </w:p>
        </w:tc>
        <w:tc>
          <w:tcPr>
            <w:tcW w:w="1560" w:type="dxa"/>
            <w:shd w:val="clear" w:color="auto" w:fill="FFFFFF"/>
            <w:vAlign w:val="center"/>
          </w:tcPr>
          <w:p w14:paraId="69E57C7C" w14:textId="693C835B" w:rsidR="007E23D3" w:rsidRPr="009E6637" w:rsidRDefault="0043483B" w:rsidP="0043483B">
            <w:pPr>
              <w:pStyle w:val="CETBodytext"/>
              <w:ind w:right="-1"/>
              <w:jc w:val="center"/>
              <w:rPr>
                <w:rFonts w:cs="Arial"/>
                <w:szCs w:val="18"/>
                <w:lang w:val="en-GB"/>
              </w:rPr>
            </w:pPr>
            <w:r w:rsidRPr="009E6637">
              <w:rPr>
                <w:lang w:val="en-GB"/>
              </w:rPr>
              <w:t>Niacin-air mixture</w:t>
            </w:r>
          </w:p>
        </w:tc>
        <w:tc>
          <w:tcPr>
            <w:tcW w:w="2124" w:type="dxa"/>
            <w:shd w:val="clear" w:color="auto" w:fill="FFFFFF"/>
            <w:vAlign w:val="center"/>
          </w:tcPr>
          <w:p w14:paraId="23E59C02" w14:textId="474AA452" w:rsidR="007E23D3" w:rsidRPr="009E6637" w:rsidRDefault="0043483B" w:rsidP="0043483B">
            <w:pPr>
              <w:pStyle w:val="CETBodytext"/>
              <w:ind w:right="-1"/>
              <w:jc w:val="center"/>
              <w:rPr>
                <w:rFonts w:cs="Arial"/>
                <w:szCs w:val="18"/>
                <w:lang w:val="en-GB"/>
              </w:rPr>
            </w:pPr>
            <w:r w:rsidRPr="009E6637">
              <w:rPr>
                <w:rFonts w:cs="Arial"/>
                <w:szCs w:val="18"/>
                <w:lang w:val="en-GB"/>
              </w:rPr>
              <w:fldChar w:fldCharType="begin" w:fldLock="1"/>
            </w:r>
            <w:r w:rsidR="003252A0" w:rsidRPr="009E6637">
              <w:rPr>
                <w:rFonts w:cs="Arial"/>
                <w:szCs w:val="18"/>
                <w:lang w:val="en-GB"/>
              </w:rPr>
              <w:instrText>ADDIN CSL_CITATION {"citationItems":[{"id":"ITEM-1","itemData":{"author":[{"dropping-particle":"","family":"ASTM E2019-03","given":"","non-dropping-particle":"","parse-names":false,"suffix":""}],"container-title":"ASTM International, West Conshohocken, PA","id":"ITEM-1","issued":{"date-parts":[["2013"]]},"page":"1-9","title":"Standard Test Method for Minimum Ignition Energy of a Dust Cloud in Air","type":"article-journal"},"uris":["http://www.mendeley.com/documents/?uuid=0b29b82d-73d9-43a4-87d8-3507a7080e27"]}],"mendeley":{"formattedCitation":"(ASTM E2019-03, 2013)","plainTextFormattedCitation":"(ASTM E2019-03, 2013)","previouslyFormattedCitation":"(ASTM E2019-03, 2013)"},"properties":{"noteIndex":0},"schema":"https://github.com/citation-style-language/schema/raw/master/csl-citation.json"}</w:instrText>
            </w:r>
            <w:r w:rsidRPr="009E6637">
              <w:rPr>
                <w:rFonts w:cs="Arial"/>
                <w:szCs w:val="18"/>
                <w:lang w:val="en-GB"/>
              </w:rPr>
              <w:fldChar w:fldCharType="separate"/>
            </w:r>
            <w:r w:rsidRPr="009E6637">
              <w:rPr>
                <w:rFonts w:cs="Arial"/>
                <w:noProof/>
                <w:szCs w:val="18"/>
                <w:lang w:val="en-GB"/>
              </w:rPr>
              <w:t>(ASTM E2019-03, 2013)</w:t>
            </w:r>
            <w:r w:rsidRPr="009E6637">
              <w:rPr>
                <w:rFonts w:cs="Arial"/>
                <w:szCs w:val="18"/>
                <w:lang w:val="en-GB"/>
              </w:rPr>
              <w:fldChar w:fldCharType="end"/>
            </w:r>
          </w:p>
        </w:tc>
      </w:tr>
    </w:tbl>
    <w:p w14:paraId="019345A5" w14:textId="77777777" w:rsidR="00EB326C" w:rsidRPr="009E6637" w:rsidRDefault="00EB326C" w:rsidP="00EB326C">
      <w:pPr>
        <w:pStyle w:val="CETheadingx"/>
        <w:rPr>
          <w:lang w:val="en-GB"/>
        </w:rPr>
      </w:pPr>
      <w:r w:rsidRPr="009E6637">
        <w:rPr>
          <w:lang w:val="en-GB"/>
        </w:rPr>
        <w:t>Final test</w:t>
      </w:r>
    </w:p>
    <w:p w14:paraId="36EB6681" w14:textId="6911BFAD" w:rsidR="000C7B05" w:rsidRPr="009E6637" w:rsidRDefault="003252A0" w:rsidP="00AB2C48">
      <w:pPr>
        <w:pStyle w:val="CETBodytext"/>
        <w:rPr>
          <w:lang w:val="en-GB"/>
        </w:rPr>
      </w:pPr>
      <w:r w:rsidRPr="009E6637">
        <w:rPr>
          <w:lang w:val="en-GB"/>
        </w:rPr>
        <w:t xml:space="preserve">In order to assess the students' preparation for the topics covered in the course, the typical oral exam was accompanied by the development of an analytical group work based on an assigned scientific article </w:t>
      </w:r>
      <w:r w:rsidRPr="009E6637">
        <w:rPr>
          <w:lang w:val="en-GB"/>
        </w:rPr>
        <w:fldChar w:fldCharType="begin" w:fldLock="1"/>
      </w:r>
      <w:r w:rsidR="00413D20" w:rsidRPr="009E6637">
        <w:rPr>
          <w:lang w:val="en-GB"/>
        </w:rPr>
        <w:instrText>ADDIN CSL_CITATION {"citationItems":[{"id":"ITEM-1","itemData":{"DOI":"10.1016/j.jlp.2021.104640","ISSN":"09504230","abstract":"Knowledge of the explosion limiting concentration of explosible materials is necessary for the design of explosion protection measures. Currently employed methods of testing the minimum explosible concentration (MEC) of a dust cloud or the lower explosion limit (LEL) of a hybrid mixture are based on arbitrary assumptions and possess technical limitations that often lead to values of MEC/LEL, which are unrealistically low or poorly reproducible. This contribution presents an improved method for the experimental determination of the MEC of a combustible dust cloud or the LEL of a flammable gas or a hybrid mixture. The new set-up operates under laminar conditions and allows a uniform suspension of dust particles in an open top acrylic glass tube. Dust concentration is measured with the help of infrared sensors installed a few centimeters above and below the ignition source. In order to evaluate the dependence of MEC on flow front velocity, MEC of lycopodium was determined at four flow velocities. The results show that the flow field intensity does not significantly influence the MEC of lycopodium for the flow ranges tested in this work. Moreover, LEL of hybrid mixtures of lycopodium and methane was also tested at flow velocities of 4.7 cm/s, 5.8 cm/s, 7 cm/s and 11 cm/s and compared with the values obtained from other sources. The results suggest that the requirement of high energy pyrotechnical igniter may be relinquished, provided that a truly homogeneous suspension of dust particles could be achieved. Moreover, the effect of relative amount of dust and gas, on the course of ignition and flame propagation in hybrid mixtures at their LEL, was studied by the help of high speed videos. For hybrid mixtures of carbonaceous dusts (like lycopodium) at their LEL, ignition occurs in the gas phase, however, flame propagation is only possible through a two-way interaction of dust and gas during the course of combustion.","author":[{"dropping-particle":"","family":"Abbas","given":"Zaheer","non-dropping-particle":"","parse-names":false,"suffix":""},{"dropping-particle":"","family":"Gabel","given":"Dieter","non-dropping-particle":"","parse-names":false,"suffix":""},{"dropping-particle":"","family":"Krietsch","given":"Arne","non-dropping-particle":"","parse-names":false,"suffix":""},{"dropping-particle":"","family":"Krause","given":"Ulrich","non-dropping-particle":"","parse-names":false,"suffix":""}],"container-title":"Journal of Loss Prevention in the Process Industries","id":"ITEM-1","issue":"September 2021","issued":{"date-parts":[["2022"]]},"page":"104640","publisher":"Elsevier Ltd","title":"Quasi-static dispersion of dusts for the determination of lower explosion limits of hybrid mixtures","type":"article-journal","volume":"74"},"uris":["http://www.mendeley.com/documents/?uuid=f046cf6c-11ba-4bff-9e8c-c23f2a1699ed"]},{"id":"ITEM-2","itemData":{"DOI":"10.1016/j.jlp.2021.104655","ISSN":"09504230","abstract":"Coating of nanoscale flow aids is widely used in pharmaceutical applications to increase the flowability of cohesive powders. For combustible pharmaceutical active ingredients and excipients, it is unclear whether increased flowability affects the dust explosion hazard. In this work, acetaminophen (APAP) and microcrystalline cellulose (MCC) were studied with and without a coating of silica nanoparticles. A full set of explosion parameters for the pure materials and their flow-improved mixtures was determined in accordance with ASTM standards. The results show that parameters including minimum ignition temperature, minimum explosible concentration, and maximum explosion pressure were independent of powder flow properties, while the presence of flow aids led to significantly lower minimum ignition energy values for both APAP and MCC, and a slightly higher maximum rate of pressure rise for APAP. The connection between dust flowability and the dust explosion hazard is discussed with respect to these experimental results.","author":[{"dropping-particle":"","family":"Bu","given":"Yajie","non-dropping-particle":"","parse-names":false,"suffix":""},{"dropping-particle":"","family":"Addo","given":"Albert","non-dropping-particle":"","parse-names":false,"suffix":""},{"dropping-particle":"","family":"Amyotte","given":"Paul","non-dropping-particle":"","parse-names":false,"suffix":""},{"dropping-particle":"","family":"Yuan","given":"Chunmiao","non-dropping-particle":"","parse-names":false,"suffix":""},{"dropping-particle":"","family":"Li","given":"Chang","non-dropping-particle":"","parse-names":false,"suffix":""},{"dropping-particle":"","family":"Hou","given":"Xiaochen","non-dropping-particle":"","parse-names":false,"suffix":""}],"container-title":"Journal of Loss Prevention in the Process Industries","id":"ITEM-2","issue":"September 2021","issued":{"date-parts":[["2022"]]},"page":"104655","publisher":"Elsevier Ltd","title":"Insight into the dust explosion hazard of pharmaceutical powders in the presence of flow aids","type":"article-journal","volume":"74"},"uris":["http://www.mendeley.com/documents/?uuid=604be067-836a-4922-9f12-a8e450b4af14"]},{"id":"ITEM-3","itemData":{"DOI":"10.1016/j.energy.2021.122246","ISSN":"03605442","abstract":"Methane/coal dust explosions pose a serious threat to the safety of coal mining. Since the flow field in the tunnel is unsteady, the effect of turbulence on flame propagation is essential for the disaster risk assessment and safety protection. In this study, the effect of turbulence intensity (u′) on flame propagation characteristics and extinction limits of methane/coal dust explosions is investigated. The turbulence parameters of the flow field and the turbulence-flame interaction are estimated by Particle Image Velocimetry. Luminous flame (raw image) and reaction front (OH radical image) of methane/coal dust mixture are captured. The results reveal that the flame propagation velocity increases by 78–200%, when the u′ increases from 1.86 to 2.66 m/s. The acceleration of flame propagation velocity is due to the increase of the release of volatile matter and the flame folded regions caused by the turbulence. When the characteristic time of the turbulence disturbance becomes shorter than that of the chemical reactions, the heat sink effect of turbulence will dominate the combustion process. In this case, the extinction limits of CH4/coal flames increase with the u′. When the u′ increases from 1.86 to 2.66 m/s, the extinction limits of CH4/coal flames increase by 14–60%.","author":[{"dropping-particle":"","family":"Jiang","given":"Haipeng","non-dropping-particle":"","parse-names":false,"suffix":""},{"dropping-particle":"","family":"Bi","given":"Mingshu","non-dropping-particle":"","parse-names":false,"suffix":""},{"dropping-particle":"","family":"Gao","given":"Zehua","non-dropping-particle":"","parse-names":false,"suffix":""},{"dropping-particle":"","family":"Zhang","given":"Zongling","non-dropping-particle":"","parse-names":false,"suffix":""},{"dropping-particle":"","family":"Gao","given":"Wei","non-dropping-particle":"","parse-names":false,"suffix":""}],"container-title":"Energy","id":"ITEM-3","issued":{"date-parts":[["2022"]]},"page":"122246","publisher":"Elsevier Ltd","title":"Effect of turbulence intensity on flame propagation and extinction limits of methane/coal dust explosions","type":"article-journal","volume":"239"},"uris":["http://www.mendeley.com/documents/?uuid=4ea7afb0-3a93-467f-acb6-c315db39cf0e"]},{"id":"ITEM-4","itemData":{"DOI":"10.1021/acsomega.1c03803","ISSN":"24701343","abstract":"To study the influence of different volatile contents on the explosion characteristics of coal dust, the volatile content in coal dust was controlled under different final temperatures of pyrolysis. The maximum explosion pressure, maximum pressure rising rate, and explosion index were used to characterize the pressure behavior, the pressure ratio to characterize the explosibility, and the minimum ignition temperature of the coal dust cloud to characterize the sensitive characteristics. A 20 L of nearly spherical coal dust explosion parameter measuring device and a dust cloud minimum ignition temperature measuring device were used to study the influence of the explosion characteristics of dust with different volatile contents prepared under different pyrolysis temperature conditions. The results showed that the volatile matter content in lignite dust has little effect on the maximum explosion pressure, with an average change rate of 5.435%. When the volatile content was reduced from 45.4 to 2.45%, the maximum explosion pressure rise rate dropped by 65.976%. The explosion index of the experimental sample was in the range of 0-1.6, with weak explosion characteristics; the lower the volatile content, the weaker the explosion intensity. When the volatile content was only 2.45%, the pressure ratio was still greater than 2, that is, the dust was still explosive. When the volatile content in lignite was reduced from 45.4 to 18.21%, the lowest ignition temperature of the dust cloud was consistently 490 °C. At this stage, the contents of H2, CO, CH4, CO2, and other precipitated dases were low. When the volatile content was reduced from 18.21 to 2.45%, the precipitated volatile gas increased rapidly, the remaining precipitated gas content decreased, and the dust could not be easily ignited. The experimental results lay the foundation for studying the influence mechanism of volatile matter in coal dust on the explosion characteristics.","author":[{"dropping-particle":"","family":"Sha","given":"Di","non-dropping-particle":"","parse-names":false,"suffix":""},{"dropping-particle":"","family":"Li","given":"Yucheng","non-dropping-particle":"","parse-names":false,"suffix":""},{"dropping-particle":"","family":"Zhou","given":"Xihua","non-dropping-particle":"","parse-names":false,"suffix":""},{"dropping-particle":"","family":"Zhang","given":"Jing","non-dropping-particle":"","parse-names":false,"suffix":""},{"dropping-particle":"","family":"Zhang","given":"Huan","non-dropping-particle":"","parse-names":false,"suffix":""},{"dropping-particle":"","family":"Yu","given":"Jiaqi","non-dropping-particle":"","parse-names":false,"suffix":""}],"container-title":"ACS Omega","id":"ITEM-4","issue":"41","issued":{"date-parts":[["2021"]]},"page":"27150-27157","title":"Influence of Volatile Content on the Explosion Characteristics of Coal Dust","type":"article-journal","volume":"6"},"uris":["http://www.mendeley.com/documents/?uuid=205fc56a-460a-49e1-9ef9-991c9a8a288b"]},{"id":"ITEM-5","itemData":{"DOI":"10.1016/j.fuel.2021.122159","ISSN":"00162361","abstract":"In order to analyze the suppression effects and mechanisms of ABC powder on ethylene gas (C2H4)/polyethylene (PE) hybrid explosion, to explore the suppression characteristics of gas-solid two-phase explosion, the 20-L apparatus are used for the test of the explosion overpressure. The results show that when the volume fraction of C2H4 is 3%, the concentration of ABC powder required to completely inhibit the explosion of 300 g/m3 PE dust increases from 200 g/m3 to 1200 g/m3. When increasing the volume fraction of ethylene to 5% and 7%, the explosion overpressure reduction in the mixture is 40.68% and 28.59%. The results of thermal analysis show that the addition of ABC powder improves the thermal stability of PE particle. Through the physical effects of heat absorption, oxygen insulation, and thermal transmission weakened and the chemical effect of eliminating explosive radicals, ABC powder reduces the rate of explosive chain reaction and heat release rate, thus producing an effective inhibition effect. But C2H4 will induce the explosion process of the mixture from two-phase combustion to homogeneous combustion to promote the explosion, and its effect is opposite to that of ABC powder pyrolysis in the system, which makes the explosion of mixed system more difficult to be suppressed.","author":[{"dropping-particle":"","family":"Wei","given":"Lijun","non-dropping-particle":"","parse-names":false,"suffix":""},{"dropping-particle":"","family":"Su","given":"Mingqing","non-dropping-particle":"","parse-names":false,"suffix":""},{"dropping-particle":"","family":"Wang","given":"Kai","non-dropping-particle":"","parse-names":false,"suffix":""},{"dropping-particle":"","family":"Chen","given":"Sining","non-dropping-particle":"","parse-names":false,"suffix":""},{"dropping-particle":"","family":"Ju","given":"Yang","non-dropping-particle":"","parse-names":false,"suffix":""},{"dropping-particle":"","family":"Zhao","given":"Suijun","non-dropping-particle":"","parse-names":false,"suffix":""},{"dropping-particle":"","family":"Kong","given":"Xiangbei","non-dropping-particle":"","parse-names":false,"suffix":""},{"dropping-particle":"","family":"Chu","given":"Yun","non-dropping-particle":"","parse-names":false,"suffix":""},{"dropping-particle":"","family":"Wang","given":"Lixun","non-dropping-particle":"","parse-names":false,"suffix":""}],"container-title":"Fuel","id":"ITEM-5","issue":"PA","issued":{"date-parts":[["2022"]]},"page":"122159","publisher":"Elsevier Ltd","title":"Suppression effects of ABC powder on explosion characteristics of hybrid C2H4/polyethylene dust","type":"article-journal","volume":"310"},"uris":["http://www.mendeley.com/documents/?uuid=d6a554b2-1437-447a-b7b7-6ac54e42f5c0"]}],"mendeley":{"formattedCitation":"(Abbas et al., 2022; Bu et al., 2022; Jiang et al., 2022; Sha et al., 2021; Wei et al., 2022)","plainTextFormattedCitation":"(Abbas et al., 2022; Bu et al., 2022; Jiang et al., 2022; Sha et al., 2021; Wei et al., 2022)","previouslyFormattedCitation":"(Abbas et al., 2022; Bu et al., 2022; Jiang et al., 2022; Sha et al., 2021; Wei et al., 2022)"},"properties":{"noteIndex":0},"schema":"https://github.com/citation-style-language/schema/raw/master/csl-citation.json"}</w:instrText>
      </w:r>
      <w:r w:rsidRPr="009E6637">
        <w:rPr>
          <w:lang w:val="en-GB"/>
        </w:rPr>
        <w:fldChar w:fldCharType="separate"/>
      </w:r>
      <w:r w:rsidRPr="009E6637">
        <w:rPr>
          <w:noProof/>
          <w:lang w:val="en-GB"/>
        </w:rPr>
        <w:t>(Abbas et al., 2022; Bu et al., 2022; Jiang et al., 2022; Sha et al., 2021; Wei et al., 2022)</w:t>
      </w:r>
      <w:r w:rsidRPr="009E6637">
        <w:rPr>
          <w:lang w:val="en-GB"/>
        </w:rPr>
        <w:fldChar w:fldCharType="end"/>
      </w:r>
      <w:r w:rsidRPr="009E6637">
        <w:rPr>
          <w:lang w:val="en-GB"/>
        </w:rPr>
        <w:t xml:space="preserve">. In particular, students were asked to derive the information on the dust/hybrid mixture required for the development of the report from the assigned article, to define the prevention and/or mitigation measures to be taken under the hypothesis that the </w:t>
      </w:r>
      <w:r w:rsidR="008172F9" w:rsidRPr="009E6637">
        <w:rPr>
          <w:lang w:val="en-GB"/>
        </w:rPr>
        <w:t>dust</w:t>
      </w:r>
      <w:r w:rsidRPr="009E6637">
        <w:rPr>
          <w:lang w:val="en-GB"/>
        </w:rPr>
        <w:t>/hybrid mixture is stored in a container, to determine the flammability/explosion parameters required for planning such measures, and to plan the experimental campaign according to the knowledge of the determined parameters. The content of the paper is then discussed in the examination and forms the starting point for the oral examination</w:t>
      </w:r>
      <w:r w:rsidR="000C7B05" w:rsidRPr="009E6637">
        <w:rPr>
          <w:lang w:val="en-GB"/>
        </w:rPr>
        <w:t>.</w:t>
      </w:r>
    </w:p>
    <w:p w14:paraId="1892C5B2" w14:textId="0A980C8F" w:rsidR="00F93503" w:rsidRPr="009E6637" w:rsidRDefault="00F93503" w:rsidP="00F93503">
      <w:pPr>
        <w:pStyle w:val="CETHeading1"/>
        <w:rPr>
          <w:lang w:val="en-GB"/>
        </w:rPr>
      </w:pPr>
      <w:r w:rsidRPr="009E6637">
        <w:rPr>
          <w:lang w:val="en-GB"/>
        </w:rPr>
        <w:t>Results</w:t>
      </w:r>
    </w:p>
    <w:p w14:paraId="01158A53" w14:textId="53511530" w:rsidR="00E16CE6" w:rsidRPr="009E6637" w:rsidRDefault="00E16CE6" w:rsidP="00E16CE6">
      <w:pPr>
        <w:pStyle w:val="CETheadingx"/>
        <w:rPr>
          <w:lang w:val="en-GB"/>
        </w:rPr>
      </w:pPr>
      <w:r w:rsidRPr="009E6637">
        <w:rPr>
          <w:lang w:val="en-GB"/>
        </w:rPr>
        <w:t xml:space="preserve">Students’ </w:t>
      </w:r>
      <w:r w:rsidR="005A246A" w:rsidRPr="009E6637">
        <w:rPr>
          <w:lang w:val="en-GB"/>
        </w:rPr>
        <w:t>feedback</w:t>
      </w:r>
    </w:p>
    <w:p w14:paraId="1A44C2C1" w14:textId="6BEC2228" w:rsidR="00591998" w:rsidRPr="00554A2E" w:rsidRDefault="008D4F02" w:rsidP="00591998">
      <w:pPr>
        <w:pStyle w:val="CETBodytext"/>
        <w:rPr>
          <w:lang w:val="en-GB"/>
        </w:rPr>
      </w:pPr>
      <w:r w:rsidRPr="008D4F02">
        <w:rPr>
          <w:lang w:val="en-GB"/>
        </w:rPr>
        <w:t xml:space="preserve">The students who attended the course showed great interest in the lectures and most students actively participated in the laboratory experiments. In particular, the students appreciated the opportunity to immediately apply the concepts learned in the lectures in the laboratory and to touch materials, equipment and software for the characterisation of flammable and explosive substances. In general, the creation of the video tutorials was highly appreciated as a training tool and to increase the students' awareness as laboratory operators. To evaluate the effectiveness of the course and the soundness of the topics covered, anonymous surveys were offered to the course participants. These surveys were used to collect students' opinions, comments and suggestions on the video tutorials, lab activities and the final exam. Students could choose between five satisfaction levels (strongly agree, agree, neutral, disagree and strongly disagree). The survey that students had to complete after watching each video tutorial and before the following lab exercise (not reported) resulted in positive feedback. The overall percentage of students who were satisfied after watching the video tutorials was very high, ranging from 90 to 100%. As reported for all lab experiments, at least 50% of the students would have liked a verbal description of the activities already during the video tutorial. From the results, it can be concluded that the video tutorials are effective, as more than 60 % of the students do not need to watch them more than three times. </w:t>
      </w:r>
      <w:r w:rsidRPr="00554A2E">
        <w:rPr>
          <w:lang w:val="en-GB"/>
        </w:rPr>
        <w:t xml:space="preserve">The survey that students are asked to complete after each </w:t>
      </w:r>
      <w:r w:rsidR="00315723" w:rsidRPr="00554A2E">
        <w:rPr>
          <w:lang w:val="en-GB"/>
        </w:rPr>
        <w:t xml:space="preserve">experience </w:t>
      </w:r>
      <w:r w:rsidRPr="00554A2E">
        <w:rPr>
          <w:lang w:val="en-GB"/>
        </w:rPr>
        <w:t xml:space="preserve">is shown in Table </w:t>
      </w:r>
      <w:r w:rsidR="00EB0D18" w:rsidRPr="00554A2E">
        <w:rPr>
          <w:lang w:val="en-GB"/>
        </w:rPr>
        <w:t xml:space="preserve">3, </w:t>
      </w:r>
      <w:r w:rsidR="002141BF" w:rsidRPr="00554A2E">
        <w:rPr>
          <w:lang w:val="en-GB"/>
        </w:rPr>
        <w:t>and it</w:t>
      </w:r>
      <w:r w:rsidR="00EB0D18" w:rsidRPr="00554A2E">
        <w:rPr>
          <w:lang w:val="en-GB"/>
        </w:rPr>
        <w:t xml:space="preserve"> was useful </w:t>
      </w:r>
      <w:r w:rsidRPr="00554A2E">
        <w:rPr>
          <w:lang w:val="en-GB"/>
        </w:rPr>
        <w:t xml:space="preserve">to evaluate the video tutorial, the </w:t>
      </w:r>
      <w:r w:rsidR="00315723" w:rsidRPr="00554A2E">
        <w:rPr>
          <w:lang w:val="en-GB"/>
        </w:rPr>
        <w:t xml:space="preserve">experience </w:t>
      </w:r>
      <w:r w:rsidRPr="00554A2E">
        <w:rPr>
          <w:lang w:val="en-GB"/>
        </w:rPr>
        <w:t xml:space="preserve">and their pairing. </w:t>
      </w:r>
      <w:r w:rsidR="008250C3" w:rsidRPr="00554A2E">
        <w:rPr>
          <w:lang w:val="en-GB"/>
        </w:rPr>
        <w:t>R</w:t>
      </w:r>
      <w:r w:rsidRPr="00554A2E">
        <w:rPr>
          <w:lang w:val="en-GB"/>
        </w:rPr>
        <w:t>esults are shown in Figure 2. As with the previous survey, the overall percentage of students who were satisfied with the post-</w:t>
      </w:r>
      <w:r w:rsidR="00315723" w:rsidRPr="00554A2E">
        <w:rPr>
          <w:lang w:val="en-GB"/>
        </w:rPr>
        <w:t>lab</w:t>
      </w:r>
      <w:r w:rsidRPr="00554A2E">
        <w:rPr>
          <w:lang w:val="en-GB"/>
        </w:rPr>
        <w:t xml:space="preserve"> activities and video tutorials was very high. The responses to question Q-3 indicate that most students would not have done the </w:t>
      </w:r>
      <w:r w:rsidR="00315723" w:rsidRPr="00554A2E">
        <w:rPr>
          <w:lang w:val="en-GB"/>
        </w:rPr>
        <w:t xml:space="preserve">experience </w:t>
      </w:r>
      <w:r w:rsidRPr="00554A2E">
        <w:rPr>
          <w:lang w:val="en-GB"/>
        </w:rPr>
        <w:t xml:space="preserve">in the same way without the video tutorial. Surprisingly, in the answers to question Q-5 regarding the vocal description in the video tutorials, a larger number of students felt that a vocal description was not necessary, thanks to the explanations they received during the </w:t>
      </w:r>
      <w:r w:rsidR="00315723" w:rsidRPr="00554A2E">
        <w:rPr>
          <w:lang w:val="en-GB"/>
        </w:rPr>
        <w:t xml:space="preserve">experience </w:t>
      </w:r>
      <w:r w:rsidRPr="00554A2E">
        <w:rPr>
          <w:lang w:val="en-GB"/>
        </w:rPr>
        <w:t>itself</w:t>
      </w:r>
      <w:r w:rsidR="00591998" w:rsidRPr="00554A2E">
        <w:rPr>
          <w:lang w:val="en-GB"/>
        </w:rPr>
        <w:t>.</w:t>
      </w:r>
    </w:p>
    <w:p w14:paraId="24290CFB" w14:textId="77777777" w:rsidR="00455828" w:rsidRPr="009E6637" w:rsidRDefault="00455828" w:rsidP="00455828">
      <w:pPr>
        <w:pStyle w:val="CETTabletitle"/>
      </w:pPr>
      <w:r w:rsidRPr="00554A2E">
        <w:t xml:space="preserve">Table 3: </w:t>
      </w:r>
      <w:r w:rsidRPr="00554A2E">
        <w:rPr>
          <w:color w:val="000000"/>
        </w:rPr>
        <w:t>Survey to be completed after each laboratory experience to know student feedback on</w:t>
      </w:r>
      <w:r w:rsidRPr="009E6637">
        <w:rPr>
          <w:color w:val="000000"/>
        </w:rPr>
        <w:t xml:space="preserve"> utility of the video tutorials and quality of lab experiences.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787"/>
      </w:tblGrid>
      <w:tr w:rsidR="00455828" w:rsidRPr="009E6637" w14:paraId="1C212D06" w14:textId="77777777" w:rsidTr="00473B33">
        <w:tc>
          <w:tcPr>
            <w:tcW w:w="5000" w:type="pct"/>
            <w:tcBorders>
              <w:top w:val="single" w:sz="12" w:space="0" w:color="008000"/>
              <w:bottom w:val="single" w:sz="6" w:space="0" w:color="008000"/>
            </w:tcBorders>
            <w:shd w:val="clear" w:color="auto" w:fill="FFFFFF"/>
            <w:vAlign w:val="center"/>
          </w:tcPr>
          <w:p w14:paraId="55E3B846" w14:textId="4F6B2CCB" w:rsidR="00455828" w:rsidRPr="009E6637" w:rsidRDefault="009C7E59" w:rsidP="009C7E59">
            <w:pPr>
              <w:pStyle w:val="CETBodytext"/>
              <w:jc w:val="left"/>
              <w:rPr>
                <w:lang w:val="en-GB"/>
              </w:rPr>
            </w:pPr>
            <w:r w:rsidRPr="009E6637">
              <w:rPr>
                <w:lang w:val="en-GB"/>
              </w:rPr>
              <w:t>Survey questions</w:t>
            </w:r>
          </w:p>
        </w:tc>
      </w:tr>
      <w:tr w:rsidR="009C7E59" w:rsidRPr="009E6637" w14:paraId="7FE33159" w14:textId="77777777" w:rsidTr="009C7E59">
        <w:tc>
          <w:tcPr>
            <w:tcW w:w="5000" w:type="pct"/>
            <w:shd w:val="clear" w:color="auto" w:fill="FFFFFF"/>
          </w:tcPr>
          <w:p w14:paraId="70B58CB0" w14:textId="0CD00124" w:rsidR="009C7E59" w:rsidRPr="009E6637" w:rsidRDefault="009C7E59" w:rsidP="009C7E59">
            <w:pPr>
              <w:pStyle w:val="CETBodytext"/>
              <w:numPr>
                <w:ilvl w:val="0"/>
                <w:numId w:val="38"/>
              </w:numPr>
              <w:jc w:val="left"/>
              <w:rPr>
                <w:lang w:val="en-GB"/>
              </w:rPr>
            </w:pPr>
            <w:r w:rsidRPr="009E6637">
              <w:rPr>
                <w:lang w:val="en-GB"/>
              </w:rPr>
              <w:t>The video tutorial was useful for tackling the lab activity.</w:t>
            </w:r>
          </w:p>
        </w:tc>
      </w:tr>
      <w:tr w:rsidR="00455828" w:rsidRPr="009E6637" w14:paraId="0DE8A8D5" w14:textId="77777777" w:rsidTr="00473B33">
        <w:tc>
          <w:tcPr>
            <w:tcW w:w="5000" w:type="pct"/>
            <w:shd w:val="clear" w:color="auto" w:fill="FFFFFF"/>
          </w:tcPr>
          <w:p w14:paraId="49E91573" w14:textId="77777777" w:rsidR="00455828" w:rsidRPr="009E6637" w:rsidRDefault="00455828" w:rsidP="009C7E59">
            <w:pPr>
              <w:pStyle w:val="CETBodytext"/>
              <w:numPr>
                <w:ilvl w:val="0"/>
                <w:numId w:val="39"/>
              </w:numPr>
              <w:rPr>
                <w:lang w:val="en-GB"/>
              </w:rPr>
            </w:pPr>
            <w:r w:rsidRPr="009E6637">
              <w:rPr>
                <w:lang w:val="en-GB"/>
              </w:rPr>
              <w:t>The laboratory experience was in line with what is shown in the video tutorial.</w:t>
            </w:r>
          </w:p>
        </w:tc>
      </w:tr>
      <w:tr w:rsidR="00455828" w:rsidRPr="009E6637" w14:paraId="26F01345" w14:textId="77777777" w:rsidTr="00473B33">
        <w:tc>
          <w:tcPr>
            <w:tcW w:w="5000" w:type="pct"/>
            <w:shd w:val="clear" w:color="auto" w:fill="FFFFFF"/>
          </w:tcPr>
          <w:p w14:paraId="66640A68" w14:textId="77777777" w:rsidR="00455828" w:rsidRPr="009E6637" w:rsidRDefault="00455828" w:rsidP="009C7E59">
            <w:pPr>
              <w:pStyle w:val="CETBodytext"/>
              <w:numPr>
                <w:ilvl w:val="0"/>
                <w:numId w:val="39"/>
              </w:numPr>
              <w:rPr>
                <w:lang w:val="en-GB"/>
              </w:rPr>
            </w:pPr>
            <w:r w:rsidRPr="009E6637">
              <w:rPr>
                <w:lang w:val="en-GB"/>
              </w:rPr>
              <w:t>You would have gone through the lab experience the same way without video tutorials.</w:t>
            </w:r>
          </w:p>
        </w:tc>
      </w:tr>
      <w:tr w:rsidR="00455828" w:rsidRPr="009E6637" w14:paraId="1032EC1F" w14:textId="77777777" w:rsidTr="00473B33">
        <w:tc>
          <w:tcPr>
            <w:tcW w:w="5000" w:type="pct"/>
            <w:shd w:val="clear" w:color="auto" w:fill="FFFFFF"/>
            <w:vAlign w:val="center"/>
          </w:tcPr>
          <w:p w14:paraId="30CBA984" w14:textId="77777777" w:rsidR="00455828" w:rsidRPr="009E6637" w:rsidRDefault="00455828" w:rsidP="009C7E59">
            <w:pPr>
              <w:pStyle w:val="CETBodytext"/>
              <w:numPr>
                <w:ilvl w:val="0"/>
                <w:numId w:val="39"/>
              </w:numPr>
              <w:rPr>
                <w:lang w:val="en-GB"/>
              </w:rPr>
            </w:pPr>
            <w:r w:rsidRPr="009E6637">
              <w:rPr>
                <w:lang w:val="en-GB"/>
              </w:rPr>
              <w:t>In light of the lab experience, the video tutorial clearly showed the lab activity.</w:t>
            </w:r>
          </w:p>
        </w:tc>
      </w:tr>
      <w:tr w:rsidR="00455828" w:rsidRPr="009E6637" w14:paraId="20688D86" w14:textId="77777777" w:rsidTr="00473B33">
        <w:tc>
          <w:tcPr>
            <w:tcW w:w="5000" w:type="pct"/>
            <w:shd w:val="clear" w:color="auto" w:fill="FFFFFF"/>
            <w:vAlign w:val="center"/>
          </w:tcPr>
          <w:p w14:paraId="21FA7509" w14:textId="77777777" w:rsidR="00455828" w:rsidRPr="009E6637" w:rsidRDefault="00455828" w:rsidP="009C7E59">
            <w:pPr>
              <w:pStyle w:val="CETBodytext"/>
              <w:numPr>
                <w:ilvl w:val="0"/>
                <w:numId w:val="39"/>
              </w:numPr>
              <w:rPr>
                <w:lang w:val="en-GB"/>
              </w:rPr>
            </w:pPr>
            <w:r w:rsidRPr="009E6637">
              <w:rPr>
                <w:lang w:val="en-GB"/>
              </w:rPr>
              <w:t>In light of the lab experience, you would have preferred a vocal description of the activities in the video tutorial.</w:t>
            </w:r>
          </w:p>
        </w:tc>
      </w:tr>
      <w:tr w:rsidR="00455828" w:rsidRPr="009E6637" w14:paraId="22DFB029" w14:textId="77777777" w:rsidTr="00473B33">
        <w:tc>
          <w:tcPr>
            <w:tcW w:w="5000" w:type="pct"/>
            <w:shd w:val="clear" w:color="auto" w:fill="FFFFFF"/>
            <w:vAlign w:val="center"/>
          </w:tcPr>
          <w:p w14:paraId="17368D84" w14:textId="77777777" w:rsidR="00455828" w:rsidRPr="009E6637" w:rsidRDefault="00455828" w:rsidP="009C7E59">
            <w:pPr>
              <w:pStyle w:val="CETBodytext"/>
              <w:numPr>
                <w:ilvl w:val="0"/>
                <w:numId w:val="39"/>
              </w:numPr>
              <w:rPr>
                <w:lang w:val="en-GB"/>
              </w:rPr>
            </w:pPr>
            <w:r w:rsidRPr="009E6637">
              <w:rPr>
                <w:lang w:val="en-GB"/>
              </w:rPr>
              <w:t>In light of the lab experience, you believe that the duration of the video tutorial is appropriate.</w:t>
            </w:r>
          </w:p>
        </w:tc>
      </w:tr>
      <w:tr w:rsidR="00455828" w:rsidRPr="009E6637" w14:paraId="431F8389" w14:textId="77777777" w:rsidTr="00473B33">
        <w:tc>
          <w:tcPr>
            <w:tcW w:w="5000" w:type="pct"/>
            <w:shd w:val="clear" w:color="auto" w:fill="FFFFFF"/>
          </w:tcPr>
          <w:p w14:paraId="3A073F98" w14:textId="77777777" w:rsidR="00455828" w:rsidRPr="009E6637" w:rsidRDefault="00455828" w:rsidP="009C7E59">
            <w:pPr>
              <w:pStyle w:val="CETBodytext"/>
              <w:numPr>
                <w:ilvl w:val="0"/>
                <w:numId w:val="39"/>
              </w:numPr>
              <w:rPr>
                <w:lang w:val="en-GB"/>
              </w:rPr>
            </w:pPr>
            <w:r w:rsidRPr="009E6637">
              <w:rPr>
                <w:lang w:val="en-GB"/>
              </w:rPr>
              <w:t>In light of the lab experience, you believe that you have viewed the video tutorial enough times.</w:t>
            </w:r>
          </w:p>
        </w:tc>
      </w:tr>
      <w:tr w:rsidR="009C7E59" w:rsidRPr="009E6637" w14:paraId="40A2A960" w14:textId="77777777" w:rsidTr="009C7E59">
        <w:tc>
          <w:tcPr>
            <w:tcW w:w="5000" w:type="pct"/>
            <w:shd w:val="clear" w:color="auto" w:fill="FFFFFF"/>
          </w:tcPr>
          <w:p w14:paraId="545E4C51" w14:textId="691A2E3B" w:rsidR="009C7E59" w:rsidRPr="009E6637" w:rsidRDefault="009C7E59" w:rsidP="009C7E59">
            <w:pPr>
              <w:pStyle w:val="CETBodytext"/>
              <w:numPr>
                <w:ilvl w:val="0"/>
                <w:numId w:val="39"/>
              </w:numPr>
              <w:jc w:val="left"/>
              <w:rPr>
                <w:lang w:val="en-GB"/>
              </w:rPr>
            </w:pPr>
            <w:r w:rsidRPr="009E6637">
              <w:rPr>
                <w:lang w:val="en-GB"/>
              </w:rPr>
              <w:t>You believe that the lab experience has been useful for consolidating notions faced during classroom lessons.</w:t>
            </w:r>
          </w:p>
        </w:tc>
      </w:tr>
    </w:tbl>
    <w:p w14:paraId="22623938" w14:textId="77777777" w:rsidR="00455828" w:rsidRPr="009E6637" w:rsidRDefault="00455828" w:rsidP="00964117">
      <w:pPr>
        <w:pStyle w:val="CETBodytext"/>
        <w:rPr>
          <w:lang w:val="en-GB"/>
        </w:rPr>
      </w:pPr>
    </w:p>
    <w:p w14:paraId="2BA788E0" w14:textId="77777777" w:rsidR="0026394A" w:rsidRPr="009E6637" w:rsidRDefault="0026394A" w:rsidP="00EC3C30">
      <w:pPr>
        <w:keepNext/>
        <w:jc w:val="left"/>
      </w:pPr>
      <w:r w:rsidRPr="009E6637">
        <w:rPr>
          <w:i/>
          <w:noProof/>
        </w:rPr>
        <w:lastRenderedPageBreak/>
        <w:drawing>
          <wp:inline distT="0" distB="0" distL="0" distR="0" wp14:anchorId="4C66DAEB" wp14:editId="296FDAC9">
            <wp:extent cx="5657850" cy="3660179"/>
            <wp:effectExtent l="0" t="0" r="0" b="0"/>
            <wp:docPr id="12" name="image12.png"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descr="Chart, bar chart&#10;&#10;Description automatically generated"/>
                    <pic:cNvPicPr preferRelativeResize="0"/>
                  </pic:nvPicPr>
                  <pic:blipFill rotWithShape="1">
                    <a:blip r:embed="rId11"/>
                    <a:srcRect t="3896"/>
                    <a:stretch/>
                  </pic:blipFill>
                  <pic:spPr bwMode="auto">
                    <a:xfrm>
                      <a:off x="0" y="0"/>
                      <a:ext cx="5683775" cy="3676950"/>
                    </a:xfrm>
                    <a:prstGeom prst="rect">
                      <a:avLst/>
                    </a:prstGeom>
                    <a:ln>
                      <a:noFill/>
                    </a:ln>
                    <a:extLst>
                      <a:ext uri="{53640926-AAD7-44D8-BBD7-CCE9431645EC}">
                        <a14:shadowObscured xmlns:a14="http://schemas.microsoft.com/office/drawing/2010/main"/>
                      </a:ext>
                    </a:extLst>
                  </pic:spPr>
                </pic:pic>
              </a:graphicData>
            </a:graphic>
          </wp:inline>
        </w:drawing>
      </w:r>
    </w:p>
    <w:p w14:paraId="553AD0BE" w14:textId="200AADE4" w:rsidR="0026394A" w:rsidRPr="009E6637" w:rsidRDefault="0026394A" w:rsidP="00EC3C30">
      <w:pPr>
        <w:pStyle w:val="CETCaption"/>
      </w:pPr>
      <w:bookmarkStart w:id="1" w:name="_44sinio" w:colFirst="0" w:colLast="0"/>
      <w:bookmarkEnd w:id="1"/>
      <w:r w:rsidRPr="009E6637">
        <w:rPr>
          <w:bCs/>
        </w:rPr>
        <w:t xml:space="preserve">Figure </w:t>
      </w:r>
      <w:r w:rsidR="00F94B3B" w:rsidRPr="009E6637">
        <w:rPr>
          <w:bCs/>
        </w:rPr>
        <w:t>2</w:t>
      </w:r>
      <w:r w:rsidR="00EC3C30" w:rsidRPr="009E6637">
        <w:rPr>
          <w:bCs/>
        </w:rPr>
        <w:t>:</w:t>
      </w:r>
      <w:r w:rsidR="00034999" w:rsidRPr="009E6637">
        <w:rPr>
          <w:bCs/>
        </w:rPr>
        <w:t xml:space="preserve"> </w:t>
      </w:r>
      <w:r w:rsidRPr="009E6637">
        <w:t>Feedback of the anonymous students’ surveys completed after each laboratory experience</w:t>
      </w:r>
    </w:p>
    <w:p w14:paraId="0F414D4A" w14:textId="3E0E5366" w:rsidR="00763DA8" w:rsidRPr="009E6637" w:rsidRDefault="00763DA8" w:rsidP="00763DA8">
      <w:pPr>
        <w:pStyle w:val="CETheadingx"/>
        <w:rPr>
          <w:lang w:val="en-GB"/>
        </w:rPr>
      </w:pPr>
      <w:r w:rsidRPr="009E6637">
        <w:rPr>
          <w:lang w:val="en-GB"/>
        </w:rPr>
        <w:t>Final tests</w:t>
      </w:r>
      <w:r w:rsidR="007A12BA" w:rsidRPr="009E6637">
        <w:rPr>
          <w:lang w:val="en-GB"/>
        </w:rPr>
        <w:t xml:space="preserve"> and Students’ evaluation</w:t>
      </w:r>
    </w:p>
    <w:p w14:paraId="275DC948" w14:textId="310AB3FA" w:rsidR="00DD5315" w:rsidRPr="009E6637" w:rsidRDefault="00FE5371" w:rsidP="00DD5315">
      <w:pPr>
        <w:pStyle w:val="CETBodytext"/>
        <w:rPr>
          <w:lang w:val="en-GB"/>
        </w:rPr>
      </w:pPr>
      <w:r w:rsidRPr="009E6637">
        <w:rPr>
          <w:lang w:val="en-GB"/>
        </w:rPr>
        <w:t xml:space="preserve">The final tests were held on several dates at the request of the students. Figure </w:t>
      </w:r>
      <w:r w:rsidR="00F94B3B" w:rsidRPr="009E6637">
        <w:rPr>
          <w:lang w:val="en-GB"/>
        </w:rPr>
        <w:t>3</w:t>
      </w:r>
      <w:r w:rsidRPr="009E6637">
        <w:rPr>
          <w:lang w:val="en-GB"/>
        </w:rPr>
        <w:t xml:space="preserve"> shows the marks obtained in the final tests. The exam marks vary between 18 and 30; 30L stands for 30 cum laude. Most exam marks are above 27, indicating that students thoroughly understood the course topics, elaborated on them and were able to present them correctly. The nature of the course, with lectures and laboratory experiences, has certainly contributed to the students' mastery of the course topics. In addition, the method of examination, i.e. the presentation of the essay, enables students to see the examination itself in a positive light</w:t>
      </w:r>
      <w:r w:rsidR="00273676" w:rsidRPr="009E6637">
        <w:rPr>
          <w:lang w:val="en-GB"/>
        </w:rPr>
        <w:t>.</w:t>
      </w:r>
      <w:r w:rsidRPr="009E6637">
        <w:rPr>
          <w:lang w:val="en-GB"/>
        </w:rPr>
        <w:t xml:space="preserve"> </w:t>
      </w:r>
      <w:r w:rsidR="00273676" w:rsidRPr="009E6637">
        <w:rPr>
          <w:lang w:val="en-GB"/>
        </w:rPr>
        <w:t>D</w:t>
      </w:r>
      <w:r w:rsidRPr="009E6637">
        <w:rPr>
          <w:lang w:val="en-GB"/>
        </w:rPr>
        <w:t>uring the discussion of the essay</w:t>
      </w:r>
      <w:r w:rsidR="00273676" w:rsidRPr="009E6637">
        <w:rPr>
          <w:lang w:val="en-GB"/>
        </w:rPr>
        <w:t>,</w:t>
      </w:r>
      <w:r w:rsidRPr="009E6637">
        <w:rPr>
          <w:lang w:val="en-GB"/>
        </w:rPr>
        <w:t xml:space="preserve"> they can present different topics and thus demonstrate their knowledge of the topics</w:t>
      </w:r>
      <w:r w:rsidR="00273676" w:rsidRPr="009E6637">
        <w:rPr>
          <w:lang w:val="en-GB"/>
        </w:rPr>
        <w:t>. Consequently,</w:t>
      </w:r>
      <w:r w:rsidRPr="009E6637">
        <w:rPr>
          <w:lang w:val="en-GB"/>
        </w:rPr>
        <w:t xml:space="preserve"> they feel that the examination is positive and can thus face the subsequent questions more calmly.</w:t>
      </w:r>
    </w:p>
    <w:p w14:paraId="53FF8C26" w14:textId="056E7939" w:rsidR="00DD5315" w:rsidRPr="009E6637" w:rsidRDefault="00035B47" w:rsidP="00DD5315">
      <w:pPr>
        <w:pStyle w:val="CETBodytext"/>
        <w:rPr>
          <w:lang w:val="en-GB"/>
        </w:rPr>
      </w:pPr>
      <w:r>
        <w:rPr>
          <w:noProof/>
          <w:lang w:val="en-GB"/>
        </w:rPr>
        <w:drawing>
          <wp:inline distT="0" distB="0" distL="0" distR="0" wp14:anchorId="7A2D21DF" wp14:editId="1F2C1B62">
            <wp:extent cx="3549282" cy="2527300"/>
            <wp:effectExtent l="0" t="0" r="0" b="635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rotWithShape="1">
                    <a:blip r:embed="rId12"/>
                    <a:srcRect t="8621"/>
                    <a:stretch/>
                  </pic:blipFill>
                  <pic:spPr bwMode="auto">
                    <a:xfrm>
                      <a:off x="0" y="0"/>
                      <a:ext cx="3560852" cy="2535538"/>
                    </a:xfrm>
                    <a:prstGeom prst="rect">
                      <a:avLst/>
                    </a:prstGeom>
                    <a:ln>
                      <a:noFill/>
                    </a:ln>
                    <a:extLst>
                      <a:ext uri="{53640926-AAD7-44D8-BBD7-CCE9431645EC}">
                        <a14:shadowObscured xmlns:a14="http://schemas.microsoft.com/office/drawing/2010/main"/>
                      </a:ext>
                    </a:extLst>
                  </pic:spPr>
                </pic:pic>
              </a:graphicData>
            </a:graphic>
          </wp:inline>
        </w:drawing>
      </w:r>
    </w:p>
    <w:p w14:paraId="0DB0621A" w14:textId="6836E770" w:rsidR="00DD5315" w:rsidRPr="009E6637" w:rsidRDefault="00DD5315" w:rsidP="00EC3C30">
      <w:pPr>
        <w:pStyle w:val="CETCaption"/>
        <w:rPr>
          <w:b/>
        </w:rPr>
      </w:pPr>
      <w:bookmarkStart w:id="2" w:name="_3j2qqm3" w:colFirst="0" w:colLast="0"/>
      <w:bookmarkEnd w:id="2"/>
      <w:r w:rsidRPr="009E6637">
        <w:rPr>
          <w:bCs/>
        </w:rPr>
        <w:t xml:space="preserve">Figure </w:t>
      </w:r>
      <w:r w:rsidR="00F94B3B" w:rsidRPr="009E6637">
        <w:rPr>
          <w:bCs/>
        </w:rPr>
        <w:t>3</w:t>
      </w:r>
      <w:r w:rsidR="00EC3C30" w:rsidRPr="009E6637">
        <w:rPr>
          <w:bCs/>
        </w:rPr>
        <w:t xml:space="preserve">: </w:t>
      </w:r>
      <w:r w:rsidRPr="009E6637">
        <w:t>Amount and distribution of exam grades.</w:t>
      </w:r>
    </w:p>
    <w:p w14:paraId="35DFD469" w14:textId="77777777" w:rsidR="00FE0AA9" w:rsidRPr="009E6637" w:rsidRDefault="00FE0AA9" w:rsidP="00FE0AA9">
      <w:pPr>
        <w:pStyle w:val="CETHeading1"/>
        <w:rPr>
          <w:lang w:val="en-GB"/>
        </w:rPr>
      </w:pPr>
      <w:r w:rsidRPr="009E6637">
        <w:rPr>
          <w:lang w:val="en-GB"/>
        </w:rPr>
        <w:lastRenderedPageBreak/>
        <w:t>Conclusions</w:t>
      </w:r>
    </w:p>
    <w:p w14:paraId="67602726" w14:textId="5D1B4E67" w:rsidR="008743CE" w:rsidRPr="009E6637" w:rsidRDefault="008172F9" w:rsidP="008743CE">
      <w:pPr>
        <w:pStyle w:val="CETBodytext"/>
        <w:rPr>
          <w:lang w:val="en-GB"/>
        </w:rPr>
      </w:pPr>
      <w:r w:rsidRPr="009E6637">
        <w:rPr>
          <w:lang w:val="en-GB"/>
        </w:rPr>
        <w:t>This article presents in detail the new course "Safety of dusts and liquids and laboratory activities", which will be introduced in the Master's program in Chemical Engineering at the University of Naples Federico II in the academic year 2021/2022. This article focuses in particular on the design and organization of the course. Unlike other courses in the program dealing with industrial safety, this course includes a section of laboratory activities organized by the lecturers with the aim of applying and fully understanding the concepts covered in the lectures. The preparation of video tutorials was highly appreciated by the students: the overall percentage of students who were satisfied after watching the video tutorials was very high, ranging from 90 to 100%. Satisfaction with the laboratory activities was also comparable. In addition, the final exam, which consists of an essay discussion and an oral interview, was assessed and satisfaction is above 80%. This high level of satisfaction is reflected in the final grades obtained by the students. The results obtained will certainly be used by the lecturers to introduce innovations and improvements for the next academic year.</w:t>
      </w:r>
    </w:p>
    <w:p w14:paraId="4938FBB0" w14:textId="21FCF7B6" w:rsidR="00F94B3B" w:rsidRPr="009E6637" w:rsidRDefault="00F94B3B" w:rsidP="00F94B3B">
      <w:pPr>
        <w:pStyle w:val="CETAcknowledgementstitle"/>
      </w:pPr>
      <w:r w:rsidRPr="009E6637">
        <w:t>Acknowledgement</w:t>
      </w:r>
    </w:p>
    <w:p w14:paraId="2A1C5BBE" w14:textId="77777777" w:rsidR="00F94B3B" w:rsidRPr="009E6637" w:rsidRDefault="00F94B3B" w:rsidP="00F94B3B">
      <w:pPr>
        <w:pStyle w:val="CETBodytext"/>
        <w:rPr>
          <w:lang w:val="en-GB"/>
        </w:rPr>
      </w:pPr>
      <w:r w:rsidRPr="009E6637">
        <w:rPr>
          <w:lang w:val="en-GB"/>
        </w:rPr>
        <w:t xml:space="preserve">The authors wish to thank all the students of the </w:t>
      </w:r>
      <w:r w:rsidRPr="009E6637">
        <w:rPr>
          <w:i/>
          <w:lang w:val="en-GB"/>
        </w:rPr>
        <w:t>Safety of Dusts and Liquids and Lab Activities</w:t>
      </w:r>
      <w:r w:rsidRPr="009E6637">
        <w:rPr>
          <w:lang w:val="en-GB"/>
        </w:rPr>
        <w:t xml:space="preserve"> course of the academic year 2021-2022 for their fruitful and significant contribution to the activities reported in this paper.</w:t>
      </w:r>
    </w:p>
    <w:p w14:paraId="00BA3D4F" w14:textId="1D00B834" w:rsidR="00C52C3C" w:rsidRDefault="008832B4" w:rsidP="00F94B3B">
      <w:pPr>
        <w:pStyle w:val="CETReference"/>
      </w:pPr>
      <w:r w:rsidRPr="009E6637">
        <w:t>Reference</w:t>
      </w:r>
    </w:p>
    <w:p w14:paraId="4812BC09" w14:textId="7AC0DA3C" w:rsidR="00C40A53" w:rsidRDefault="00C40A53" w:rsidP="00C40A53">
      <w:pPr>
        <w:pStyle w:val="CETReferencetext"/>
      </w:pPr>
      <w:r>
        <w:t xml:space="preserve">Abbas Z., Gabel D., </w:t>
      </w:r>
      <w:proofErr w:type="spellStart"/>
      <w:r>
        <w:t>Krietsch</w:t>
      </w:r>
      <w:proofErr w:type="spellEnd"/>
      <w:r>
        <w:t xml:space="preserve"> A., Krause U., 2022, Quasi-static dispersion of dusts for the determination of lower explosion limits of hybrid mixtures, J. Loss Prev. Process Ind., 74, 104640. </w:t>
      </w:r>
    </w:p>
    <w:p w14:paraId="11C48448" w14:textId="4BCF37C1" w:rsidR="00C40A53" w:rsidRDefault="00C40A53" w:rsidP="00C40A53">
      <w:pPr>
        <w:pStyle w:val="CETReferencetext"/>
      </w:pPr>
      <w:r>
        <w:t>Ansys, 2016</w:t>
      </w:r>
      <w:r w:rsidR="00C06F02">
        <w:t>,</w:t>
      </w:r>
      <w:r>
        <w:t xml:space="preserve"> </w:t>
      </w:r>
      <w:proofErr w:type="spellStart"/>
      <w:r>
        <w:t>Chemkin</w:t>
      </w:r>
      <w:proofErr w:type="spellEnd"/>
      <w:r>
        <w:t xml:space="preserve"> Theory Manual 17.0</w:t>
      </w:r>
      <w:r w:rsidR="00C06F02">
        <w:t>,</w:t>
      </w:r>
      <w:r>
        <w:t xml:space="preserve"> </w:t>
      </w:r>
      <w:proofErr w:type="spellStart"/>
      <w:r>
        <w:t>Chemkin</w:t>
      </w:r>
      <w:proofErr w:type="spellEnd"/>
      <w:r>
        <w:t xml:space="preserve">® </w:t>
      </w:r>
      <w:proofErr w:type="spellStart"/>
      <w:r>
        <w:t>Softw</w:t>
      </w:r>
      <w:proofErr w:type="spellEnd"/>
      <w:r>
        <w:t>.</w:t>
      </w:r>
    </w:p>
    <w:p w14:paraId="3B137DEC" w14:textId="1E82BD18" w:rsidR="00C40A53" w:rsidRDefault="00C40A53" w:rsidP="00C40A53">
      <w:pPr>
        <w:pStyle w:val="CETReferencetext"/>
      </w:pPr>
      <w:proofErr w:type="spellStart"/>
      <w:r>
        <w:t>Assael</w:t>
      </w:r>
      <w:proofErr w:type="spellEnd"/>
      <w:r>
        <w:t xml:space="preserve"> M.J., </w:t>
      </w:r>
      <w:proofErr w:type="spellStart"/>
      <w:r>
        <w:t>Kakosimos</w:t>
      </w:r>
      <w:proofErr w:type="spellEnd"/>
      <w:r>
        <w:t xml:space="preserve"> K.E., 2010</w:t>
      </w:r>
      <w:r w:rsidR="00C06F02">
        <w:t>,</w:t>
      </w:r>
      <w:r>
        <w:t xml:space="preserve"> Can a course on the calculation of the effects of fires, explosions and toxic gas dispersions, be topical, enjoyable and meaningful?</w:t>
      </w:r>
      <w:r w:rsidR="00C06F02">
        <w:t>,</w:t>
      </w:r>
      <w:r>
        <w:t xml:space="preserve"> Educ. Chem. Eng. 5, e45–e53. </w:t>
      </w:r>
    </w:p>
    <w:p w14:paraId="75D29050" w14:textId="3CE43673" w:rsidR="00C40A53" w:rsidRDefault="00C40A53" w:rsidP="00C40A53">
      <w:pPr>
        <w:pStyle w:val="CETReferencetext"/>
      </w:pPr>
      <w:r>
        <w:t>ASTM D3278−21, 2011</w:t>
      </w:r>
      <w:r w:rsidR="00C06F02">
        <w:t>,</w:t>
      </w:r>
      <w:r>
        <w:t xml:space="preserve"> Standard Test Methods for Flash Point of Liquids by Small Scale Closed-Cup</w:t>
      </w:r>
      <w:r w:rsidR="00A737F1">
        <w:t>, 1–15.</w:t>
      </w:r>
    </w:p>
    <w:p w14:paraId="29F73524" w14:textId="1A09B9D7" w:rsidR="00C40A53" w:rsidRDefault="00C40A53" w:rsidP="00C40A53">
      <w:pPr>
        <w:pStyle w:val="CETReferencetext"/>
      </w:pPr>
      <w:r>
        <w:t>ASTM E1226-19, 2019</w:t>
      </w:r>
      <w:r w:rsidR="00C06F02">
        <w:t>,</w:t>
      </w:r>
      <w:r>
        <w:t xml:space="preserve"> Standard Test Method for Explosibility of Dust Clouds</w:t>
      </w:r>
      <w:r w:rsidR="00C06F02">
        <w:t>,</w:t>
      </w:r>
      <w:r>
        <w:t xml:space="preserve"> 1–15</w:t>
      </w:r>
      <w:r w:rsidR="00C06F02">
        <w:t>.</w:t>
      </w:r>
    </w:p>
    <w:p w14:paraId="0BBE6519" w14:textId="022B1B57" w:rsidR="00C40A53" w:rsidRDefault="00C40A53" w:rsidP="00C40A53">
      <w:pPr>
        <w:pStyle w:val="CETReferencetext"/>
      </w:pPr>
      <w:r>
        <w:t>ASTM E2019-03, 2013</w:t>
      </w:r>
      <w:r w:rsidR="00A737F1">
        <w:t>,</w:t>
      </w:r>
      <w:r>
        <w:t xml:space="preserve"> Standard Test Method for Minimum Ignition Energy of a Dust Cloud in Air</w:t>
      </w:r>
      <w:r w:rsidR="00A737F1">
        <w:t>,</w:t>
      </w:r>
      <w:r>
        <w:t xml:space="preserve"> 1–9.</w:t>
      </w:r>
    </w:p>
    <w:p w14:paraId="22391A58" w14:textId="189D00D0" w:rsidR="00C40A53" w:rsidRDefault="00C40A53" w:rsidP="00C40A53">
      <w:pPr>
        <w:pStyle w:val="CETReferencetext"/>
      </w:pPr>
      <w:r>
        <w:t>Bartknecht W., 1989</w:t>
      </w:r>
      <w:r w:rsidR="00A737F1">
        <w:t>,</w:t>
      </w:r>
      <w:r>
        <w:t xml:space="preserve"> Dust explosions: Course, prevention, protection. Springer Verlag.</w:t>
      </w:r>
    </w:p>
    <w:p w14:paraId="03B46688" w14:textId="5AE9F211" w:rsidR="00C40A53" w:rsidRDefault="00C40A53" w:rsidP="00C40A53">
      <w:pPr>
        <w:pStyle w:val="CETReferencetext"/>
      </w:pPr>
      <w:r>
        <w:t xml:space="preserve">Bu Y., Addo A., </w:t>
      </w:r>
      <w:proofErr w:type="spellStart"/>
      <w:r>
        <w:t>Amyotte</w:t>
      </w:r>
      <w:proofErr w:type="spellEnd"/>
      <w:r>
        <w:t xml:space="preserve"> P., Yuan C., Li C., Hou X., 2022</w:t>
      </w:r>
      <w:r w:rsidR="00A737F1">
        <w:t>,</w:t>
      </w:r>
      <w:r>
        <w:t xml:space="preserve"> Insight into the dust explosion hazard of pharmaceutical powders in the presence of flow aids</w:t>
      </w:r>
      <w:r w:rsidR="00A737F1">
        <w:t>,</w:t>
      </w:r>
      <w:r>
        <w:t xml:space="preserve"> J. Loss Prev. Process Ind. 74, 104655. </w:t>
      </w:r>
    </w:p>
    <w:p w14:paraId="3ACE2A9A" w14:textId="3CB725FB" w:rsidR="00C40A53" w:rsidRDefault="00C40A53" w:rsidP="00C40A53">
      <w:pPr>
        <w:pStyle w:val="CETReferencetext"/>
      </w:pPr>
      <w:proofErr w:type="spellStart"/>
      <w:r>
        <w:t>Cloney</w:t>
      </w:r>
      <w:proofErr w:type="spellEnd"/>
      <w:r>
        <w:t xml:space="preserve"> C., 2021</w:t>
      </w:r>
      <w:r w:rsidR="003C640D">
        <w:t>,</w:t>
      </w:r>
      <w:r>
        <w:t xml:space="preserve"> 2020 Combustible Dust Incident Report - Version #</w:t>
      </w:r>
      <w:r w:rsidR="003C640D">
        <w:t>1,</w:t>
      </w:r>
      <w:r>
        <w:t xml:space="preserve"> </w:t>
      </w:r>
      <w:proofErr w:type="spellStart"/>
      <w:r>
        <w:t>DustEx</w:t>
      </w:r>
      <w:proofErr w:type="spellEnd"/>
      <w:r>
        <w:t xml:space="preserve"> Res. Ltd. </w:t>
      </w:r>
    </w:p>
    <w:p w14:paraId="12451C75" w14:textId="6C5A9F78" w:rsidR="00C40A53" w:rsidRDefault="00C40A53" w:rsidP="00C40A53">
      <w:pPr>
        <w:pStyle w:val="CETReferencetext"/>
      </w:pPr>
      <w:r>
        <w:t>Colonna G., 2013</w:t>
      </w:r>
      <w:r w:rsidR="003C640D">
        <w:t>,</w:t>
      </w:r>
      <w:r>
        <w:t xml:space="preserve"> Fire and Life Safety Inspection Manual 50.</w:t>
      </w:r>
    </w:p>
    <w:p w14:paraId="00616510" w14:textId="7642AFA4" w:rsidR="00C40A53" w:rsidRDefault="00C40A53" w:rsidP="00C40A53">
      <w:pPr>
        <w:pStyle w:val="CETReferencetext"/>
      </w:pPr>
      <w:proofErr w:type="spellStart"/>
      <w:r>
        <w:t>Crowl</w:t>
      </w:r>
      <w:proofErr w:type="spellEnd"/>
      <w:r>
        <w:t xml:space="preserve"> D.A., </w:t>
      </w:r>
      <w:proofErr w:type="spellStart"/>
      <w:r>
        <w:t>Louvar</w:t>
      </w:r>
      <w:proofErr w:type="spellEnd"/>
      <w:r>
        <w:t xml:space="preserve"> J.F., 2002</w:t>
      </w:r>
      <w:r w:rsidR="003C640D">
        <w:t>,</w:t>
      </w:r>
      <w:r>
        <w:t xml:space="preserve"> Chemical and Process Safety, PRENTICE HALL INTERNATIONAL SERIES IN THE PHYSICAL AND CHEMICAL ENGINEERING SCIENCES. </w:t>
      </w:r>
    </w:p>
    <w:p w14:paraId="336EBEE6" w14:textId="1900E80C" w:rsidR="00C40A53" w:rsidRDefault="00C40A53" w:rsidP="00C40A53">
      <w:pPr>
        <w:pStyle w:val="CETReferencetext"/>
      </w:pPr>
      <w:r>
        <w:t>Department of Chemical Materials and Production Engineering, 2022</w:t>
      </w:r>
      <w:r w:rsidR="003C640D">
        <w:t>,</w:t>
      </w:r>
      <w:r>
        <w:t xml:space="preserve"> http:/www.ingchim.unina.it</w:t>
      </w:r>
      <w:r w:rsidR="003C640D">
        <w:t xml:space="preserve">, last visit </w:t>
      </w:r>
      <w:r w:rsidR="000D6102">
        <w:t>20/12/2022.</w:t>
      </w:r>
    </w:p>
    <w:p w14:paraId="3A9E5E37" w14:textId="66997FA5" w:rsidR="00C40A53" w:rsidRDefault="00C40A53" w:rsidP="00C40A53">
      <w:pPr>
        <w:pStyle w:val="CETReferencetext"/>
      </w:pPr>
      <w:r>
        <w:t>Di Benedetto A., Russo P., 2007</w:t>
      </w:r>
      <w:r w:rsidR="000D6102">
        <w:t>,</w:t>
      </w:r>
      <w:r>
        <w:t xml:space="preserve"> Thermo-kinetic modelling of dust explosions</w:t>
      </w:r>
      <w:r w:rsidR="000D6102">
        <w:t>,</w:t>
      </w:r>
      <w:r>
        <w:t xml:space="preserve"> J. Loss Prev. Process Ind</w:t>
      </w:r>
      <w:r w:rsidR="000D6102">
        <w:t>,</w:t>
      </w:r>
      <w:r>
        <w:t xml:space="preserve"> 20, 303–309. </w:t>
      </w:r>
    </w:p>
    <w:p w14:paraId="689131FB" w14:textId="49831E1F" w:rsidR="00C40A53" w:rsidRDefault="00C40A53" w:rsidP="00C40A53">
      <w:pPr>
        <w:pStyle w:val="CETReferencetext"/>
      </w:pPr>
      <w:proofErr w:type="spellStart"/>
      <w:r>
        <w:t>Eckhoff</w:t>
      </w:r>
      <w:proofErr w:type="spellEnd"/>
      <w:r>
        <w:t xml:space="preserve"> R.K., 2003</w:t>
      </w:r>
      <w:r w:rsidR="000D6102">
        <w:t>,</w:t>
      </w:r>
      <w:r>
        <w:t xml:space="preserve"> Dust Explosion in the Process Industries</w:t>
      </w:r>
      <w:r w:rsidR="000D6102">
        <w:t>,</w:t>
      </w:r>
      <w:r>
        <w:t xml:space="preserve"> Gulf Professional Publishing, Boston.</w:t>
      </w:r>
    </w:p>
    <w:p w14:paraId="25374765" w14:textId="71F6BA66" w:rsidR="00C40A53" w:rsidRDefault="00C40A53" w:rsidP="00C40A53">
      <w:pPr>
        <w:pStyle w:val="CETReferencetext"/>
      </w:pPr>
      <w:r>
        <w:t>Harvey B.H., 1984</w:t>
      </w:r>
      <w:r w:rsidR="000D6102">
        <w:t>,</w:t>
      </w:r>
      <w:r>
        <w:t xml:space="preserve"> Third Report of the Advisory Committee on Major Hazards</w:t>
      </w:r>
      <w:r w:rsidR="000D6102">
        <w:t>,</w:t>
      </w:r>
      <w:r>
        <w:t xml:space="preserve"> HM Stationery Office, London, UK.</w:t>
      </w:r>
    </w:p>
    <w:p w14:paraId="54BAC608" w14:textId="5350B1CA" w:rsidR="00C40A53" w:rsidRDefault="00C40A53" w:rsidP="00C40A53">
      <w:pPr>
        <w:pStyle w:val="CETReferencetext"/>
      </w:pPr>
      <w:r>
        <w:t>Jiang H., Bi M., Gao Z., Zhang Z., Gao W., 2022</w:t>
      </w:r>
      <w:r w:rsidR="008D521B">
        <w:t>,</w:t>
      </w:r>
      <w:r>
        <w:t xml:space="preserve"> Effect of turbulence intensity on flame propagation and extinction limits of methane/coal dust explosions</w:t>
      </w:r>
      <w:r w:rsidR="008D521B">
        <w:t>,</w:t>
      </w:r>
      <w:r>
        <w:t xml:space="preserve"> Energy</w:t>
      </w:r>
      <w:r w:rsidR="008D521B">
        <w:t>,</w:t>
      </w:r>
      <w:r>
        <w:t xml:space="preserve"> 239, 122246. </w:t>
      </w:r>
    </w:p>
    <w:p w14:paraId="1C4C00AB" w14:textId="77FA1BCC" w:rsidR="00C40A53" w:rsidRDefault="00C40A53" w:rsidP="00C40A53">
      <w:pPr>
        <w:pStyle w:val="CETReferencetext"/>
      </w:pPr>
      <w:r>
        <w:t xml:space="preserve">Meyer T., </w:t>
      </w:r>
      <w:proofErr w:type="spellStart"/>
      <w:r>
        <w:t>Reniers</w:t>
      </w:r>
      <w:proofErr w:type="spellEnd"/>
      <w:r>
        <w:t xml:space="preserve"> G.</w:t>
      </w:r>
      <w:r w:rsidR="00737524">
        <w:t xml:space="preserve"> (Ed</w:t>
      </w:r>
      <w:r w:rsidR="006A483C">
        <w:t>s</w:t>
      </w:r>
      <w:r w:rsidR="00737524">
        <w:t>)</w:t>
      </w:r>
      <w:r>
        <w:t>, 2021. Special Issue on Process Safety in Chemical Engineering Education and Training. Educ. Chem. Eng.</w:t>
      </w:r>
    </w:p>
    <w:p w14:paraId="2AC258D8" w14:textId="5E2C7F74" w:rsidR="00C40A53" w:rsidRDefault="00C40A53" w:rsidP="00C40A53">
      <w:pPr>
        <w:pStyle w:val="CETReferencetext"/>
      </w:pPr>
      <w:r>
        <w:t>Morley C., 2005</w:t>
      </w:r>
      <w:r w:rsidR="00737524">
        <w:t>,</w:t>
      </w:r>
      <w:r>
        <w:t xml:space="preserve"> GASEQ, a chemical equilibrium program for windows.</w:t>
      </w:r>
    </w:p>
    <w:p w14:paraId="7CD71D33" w14:textId="21243795" w:rsidR="00C40A53" w:rsidRDefault="00C40A53" w:rsidP="00C40A53">
      <w:pPr>
        <w:pStyle w:val="CETReferencetext"/>
      </w:pPr>
      <w:r>
        <w:t xml:space="preserve">Perrin L., </w:t>
      </w:r>
      <w:proofErr w:type="spellStart"/>
      <w:r>
        <w:t>Gabas</w:t>
      </w:r>
      <w:proofErr w:type="spellEnd"/>
      <w:r>
        <w:t xml:space="preserve"> N., </w:t>
      </w:r>
      <w:proofErr w:type="spellStart"/>
      <w:r>
        <w:t>Corriou</w:t>
      </w:r>
      <w:proofErr w:type="spellEnd"/>
      <w:r>
        <w:t xml:space="preserve"> J.P., Laurent A., 2018</w:t>
      </w:r>
      <w:r w:rsidR="00737524">
        <w:t>,</w:t>
      </w:r>
      <w:r>
        <w:t xml:space="preserve"> Promoting safety teaching: An essential requirement for the chemical engineering education in the French universities</w:t>
      </w:r>
      <w:r w:rsidR="00737524">
        <w:t>,</w:t>
      </w:r>
      <w:r>
        <w:t xml:space="preserve"> J. Loss Prev. Process Ind. 54, 190–195. </w:t>
      </w:r>
    </w:p>
    <w:p w14:paraId="63881959" w14:textId="060B16A6" w:rsidR="00C40A53" w:rsidRDefault="00C40A53" w:rsidP="00C40A53">
      <w:pPr>
        <w:pStyle w:val="CETReferencetext"/>
      </w:pPr>
      <w:r>
        <w:t>Sha D., Li Y., Zhou X., Zhang J., Zhang H., Yu J., 2021</w:t>
      </w:r>
      <w:r w:rsidR="00737524">
        <w:t>,</w:t>
      </w:r>
      <w:r>
        <w:t xml:space="preserve"> Influence of Volatile Content on the Explosion Characteristics of Coal Dust</w:t>
      </w:r>
      <w:r w:rsidR="00737524">
        <w:t>,</w:t>
      </w:r>
      <w:r>
        <w:t xml:space="preserve"> ACS Omega 6, 27150–27157.</w:t>
      </w:r>
    </w:p>
    <w:p w14:paraId="774153DB" w14:textId="1C7BB5D6" w:rsidR="00C40A53" w:rsidRDefault="00C40A53" w:rsidP="00C40A53">
      <w:pPr>
        <w:pStyle w:val="CETReferencetext"/>
      </w:pPr>
      <w:r>
        <w:t xml:space="preserve">Silva J.M., Matos L.C., </w:t>
      </w:r>
      <w:proofErr w:type="spellStart"/>
      <w:r>
        <w:t>Magalhães</w:t>
      </w:r>
      <w:proofErr w:type="spellEnd"/>
      <w:r>
        <w:t xml:space="preserve"> F.D., Alves M.A., Madeira L.M., 2017</w:t>
      </w:r>
      <w:r w:rsidR="00737524">
        <w:t>,</w:t>
      </w:r>
      <w:r>
        <w:t xml:space="preserve"> Coke combustion in fluidized bed: A multi-disciplinary lab experiment</w:t>
      </w:r>
      <w:r w:rsidR="00737524">
        <w:t>,</w:t>
      </w:r>
      <w:r>
        <w:t xml:space="preserve"> Educ. Chem. Eng.</w:t>
      </w:r>
      <w:r w:rsidR="00737524">
        <w:t>,</w:t>
      </w:r>
      <w:r>
        <w:t xml:space="preserve"> 19, 13–22. </w:t>
      </w:r>
    </w:p>
    <w:p w14:paraId="203AE150" w14:textId="7D57926B" w:rsidR="00C40A53" w:rsidRDefault="00C40A53" w:rsidP="00C40A53">
      <w:pPr>
        <w:pStyle w:val="CETReferencetext"/>
      </w:pPr>
      <w:r>
        <w:t xml:space="preserve">van der </w:t>
      </w:r>
      <w:proofErr w:type="spellStart"/>
      <w:r>
        <w:t>Meij</w:t>
      </w:r>
      <w:proofErr w:type="spellEnd"/>
      <w:r>
        <w:t xml:space="preserve"> J., van der </w:t>
      </w:r>
      <w:proofErr w:type="spellStart"/>
      <w:r>
        <w:t>Meij</w:t>
      </w:r>
      <w:proofErr w:type="spellEnd"/>
      <w:r>
        <w:t xml:space="preserve"> H., 2015</w:t>
      </w:r>
      <w:r w:rsidR="00737524">
        <w:t>,</w:t>
      </w:r>
      <w:r>
        <w:t xml:space="preserve"> A test of the design of a video tutorial for software training</w:t>
      </w:r>
      <w:r w:rsidR="00737524">
        <w:t>,</w:t>
      </w:r>
      <w:r>
        <w:t xml:space="preserve"> J. </w:t>
      </w:r>
      <w:proofErr w:type="spellStart"/>
      <w:r>
        <w:t>Comput</w:t>
      </w:r>
      <w:proofErr w:type="spellEnd"/>
      <w:r>
        <w:t>. Assist. Learn.</w:t>
      </w:r>
      <w:r w:rsidR="00737524">
        <w:t>,</w:t>
      </w:r>
      <w:r>
        <w:t xml:space="preserve"> 31, 116–132. </w:t>
      </w:r>
    </w:p>
    <w:p w14:paraId="0DE26B25" w14:textId="09CCB776" w:rsidR="00C40A53" w:rsidRDefault="00C40A53" w:rsidP="00C40A53">
      <w:pPr>
        <w:pStyle w:val="CETReferencetext"/>
      </w:pPr>
      <w:r>
        <w:t>Wei L., Su M., Wang K., Chen S., Ju Y., Zhao S., Kong X., Chu Y., Wang L., 2022</w:t>
      </w:r>
      <w:r w:rsidR="00737524">
        <w:t>,</w:t>
      </w:r>
      <w:r>
        <w:t xml:space="preserve"> Suppression effects of ABC powder on explosion characteristics of hybrid C2H4/polyethylene dust</w:t>
      </w:r>
      <w:r w:rsidR="00737524">
        <w:t>,</w:t>
      </w:r>
      <w:r>
        <w:t xml:space="preserve"> Fuel</w:t>
      </w:r>
      <w:r w:rsidR="00737524">
        <w:t>,</w:t>
      </w:r>
      <w:r>
        <w:t xml:space="preserve"> 310, 122159. </w:t>
      </w:r>
    </w:p>
    <w:p w14:paraId="3FA767E6" w14:textId="77777777" w:rsidR="00C40A53" w:rsidRPr="009E6637" w:rsidRDefault="00C40A53" w:rsidP="00F94B3B">
      <w:pPr>
        <w:pStyle w:val="CETReference"/>
      </w:pPr>
    </w:p>
    <w:sectPr w:rsidR="00C40A53" w:rsidRPr="009E6637"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7543E" w14:textId="77777777" w:rsidR="007370C2" w:rsidRDefault="007370C2" w:rsidP="004F5E36">
      <w:r>
        <w:separator/>
      </w:r>
    </w:p>
  </w:endnote>
  <w:endnote w:type="continuationSeparator" w:id="0">
    <w:p w14:paraId="03006C1F" w14:textId="77777777" w:rsidR="007370C2" w:rsidRDefault="007370C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C00F2" w14:textId="77777777" w:rsidR="007370C2" w:rsidRDefault="007370C2" w:rsidP="004F5E36">
      <w:r>
        <w:separator/>
      </w:r>
    </w:p>
  </w:footnote>
  <w:footnote w:type="continuationSeparator" w:id="0">
    <w:p w14:paraId="3325723D" w14:textId="77777777" w:rsidR="007370C2" w:rsidRDefault="007370C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42538B5"/>
    <w:multiLevelType w:val="multilevel"/>
    <w:tmpl w:val="6D606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D267172"/>
    <w:multiLevelType w:val="multilevel"/>
    <w:tmpl w:val="C874865A"/>
    <w:lvl w:ilvl="0">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7A472F"/>
    <w:multiLevelType w:val="hybridMultilevel"/>
    <w:tmpl w:val="9C9ED618"/>
    <w:lvl w:ilvl="0" w:tplc="FFFFFFF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26072045"/>
    <w:multiLevelType w:val="hybridMultilevel"/>
    <w:tmpl w:val="488A3FD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2AE24E35"/>
    <w:multiLevelType w:val="hybridMultilevel"/>
    <w:tmpl w:val="13A2A5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22B5DC3"/>
    <w:multiLevelType w:val="hybridMultilevel"/>
    <w:tmpl w:val="A56E055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0A5940"/>
    <w:multiLevelType w:val="hybridMultilevel"/>
    <w:tmpl w:val="3FF641D2"/>
    <w:lvl w:ilvl="0" w:tplc="0E16AE04">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E1D1635"/>
    <w:multiLevelType w:val="multilevel"/>
    <w:tmpl w:val="231C52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C9B1EE3"/>
    <w:multiLevelType w:val="multilevel"/>
    <w:tmpl w:val="34D43A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E6B31EC"/>
    <w:multiLevelType w:val="multilevel"/>
    <w:tmpl w:val="B4C0B1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29B577C"/>
    <w:multiLevelType w:val="multilevel"/>
    <w:tmpl w:val="F720493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BE11966"/>
    <w:multiLevelType w:val="hybridMultilevel"/>
    <w:tmpl w:val="3E1868E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5C97490F"/>
    <w:multiLevelType w:val="hybridMultilevel"/>
    <w:tmpl w:val="F294AEE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5CC650AA"/>
    <w:multiLevelType w:val="hybridMultilevel"/>
    <w:tmpl w:val="1194D1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E1771D7"/>
    <w:multiLevelType w:val="multilevel"/>
    <w:tmpl w:val="0F4C334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CA07FAA"/>
    <w:multiLevelType w:val="multilevel"/>
    <w:tmpl w:val="D57EE2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3415420"/>
    <w:multiLevelType w:val="hybridMultilevel"/>
    <w:tmpl w:val="2362DF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64883392">
    <w:abstractNumId w:val="13"/>
  </w:num>
  <w:num w:numId="2" w16cid:durableId="941108019">
    <w:abstractNumId w:val="8"/>
  </w:num>
  <w:num w:numId="3" w16cid:durableId="2071731399">
    <w:abstractNumId w:val="3"/>
  </w:num>
  <w:num w:numId="4" w16cid:durableId="1845776421">
    <w:abstractNumId w:val="2"/>
  </w:num>
  <w:num w:numId="5" w16cid:durableId="909848624">
    <w:abstractNumId w:val="1"/>
  </w:num>
  <w:num w:numId="6" w16cid:durableId="1200510570">
    <w:abstractNumId w:val="0"/>
  </w:num>
  <w:num w:numId="7" w16cid:durableId="397703610">
    <w:abstractNumId w:val="9"/>
  </w:num>
  <w:num w:numId="8" w16cid:durableId="198203211">
    <w:abstractNumId w:val="7"/>
  </w:num>
  <w:num w:numId="9" w16cid:durableId="662393645">
    <w:abstractNumId w:val="6"/>
  </w:num>
  <w:num w:numId="10" w16cid:durableId="2099168">
    <w:abstractNumId w:val="5"/>
  </w:num>
  <w:num w:numId="11" w16cid:durableId="666245423">
    <w:abstractNumId w:val="4"/>
  </w:num>
  <w:num w:numId="12" w16cid:durableId="563293568">
    <w:abstractNumId w:val="28"/>
  </w:num>
  <w:num w:numId="13" w16cid:durableId="2042364168">
    <w:abstractNumId w:val="18"/>
  </w:num>
  <w:num w:numId="14" w16cid:durableId="1980453606">
    <w:abstractNumId w:val="29"/>
  </w:num>
  <w:num w:numId="15" w16cid:durableId="1882209093">
    <w:abstractNumId w:val="35"/>
  </w:num>
  <w:num w:numId="16" w16cid:durableId="766853163">
    <w:abstractNumId w:val="34"/>
  </w:num>
  <w:num w:numId="17" w16cid:durableId="1341079298">
    <w:abstractNumId w:val="17"/>
  </w:num>
  <w:num w:numId="18" w16cid:durableId="153037900">
    <w:abstractNumId w:val="18"/>
    <w:lvlOverride w:ilvl="0">
      <w:startOverride w:val="1"/>
    </w:lvlOverride>
  </w:num>
  <w:num w:numId="19" w16cid:durableId="2035036846">
    <w:abstractNumId w:val="26"/>
  </w:num>
  <w:num w:numId="20" w16cid:durableId="1477721907">
    <w:abstractNumId w:val="25"/>
  </w:num>
  <w:num w:numId="21" w16cid:durableId="109708491">
    <w:abstractNumId w:val="21"/>
  </w:num>
  <w:num w:numId="22" w16cid:durableId="1499688860">
    <w:abstractNumId w:val="20"/>
  </w:num>
  <w:num w:numId="23" w16cid:durableId="671105523">
    <w:abstractNumId w:val="22"/>
  </w:num>
  <w:num w:numId="24" w16cid:durableId="1404914201">
    <w:abstractNumId w:val="10"/>
  </w:num>
  <w:num w:numId="25" w16cid:durableId="253362409">
    <w:abstractNumId w:val="15"/>
  </w:num>
  <w:num w:numId="26" w16cid:durableId="1230311457">
    <w:abstractNumId w:val="37"/>
  </w:num>
  <w:num w:numId="27" w16cid:durableId="729689406">
    <w:abstractNumId w:val="36"/>
  </w:num>
  <w:num w:numId="28" w16cid:durableId="2085369886">
    <w:abstractNumId w:val="14"/>
  </w:num>
  <w:num w:numId="29" w16cid:durableId="151919884">
    <w:abstractNumId w:val="24"/>
  </w:num>
  <w:num w:numId="30" w16cid:durableId="638455322">
    <w:abstractNumId w:val="16"/>
  </w:num>
  <w:num w:numId="31" w16cid:durableId="1412772993">
    <w:abstractNumId w:val="23"/>
  </w:num>
  <w:num w:numId="32" w16cid:durableId="514538743">
    <w:abstractNumId w:val="11"/>
  </w:num>
  <w:num w:numId="33" w16cid:durableId="1393190823">
    <w:abstractNumId w:val="33"/>
  </w:num>
  <w:num w:numId="34" w16cid:durableId="1049766456">
    <w:abstractNumId w:val="31"/>
  </w:num>
  <w:num w:numId="35" w16cid:durableId="264654251">
    <w:abstractNumId w:val="27"/>
  </w:num>
  <w:num w:numId="36" w16cid:durableId="1432580656">
    <w:abstractNumId w:val="32"/>
  </w:num>
  <w:num w:numId="37" w16cid:durableId="336730574">
    <w:abstractNumId w:val="12"/>
  </w:num>
  <w:num w:numId="38" w16cid:durableId="438260857">
    <w:abstractNumId w:val="30"/>
  </w:num>
  <w:num w:numId="39" w16cid:durableId="4921385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519A"/>
    <w:rsid w:val="0003148D"/>
    <w:rsid w:val="00031EEC"/>
    <w:rsid w:val="00034999"/>
    <w:rsid w:val="00035B47"/>
    <w:rsid w:val="00051566"/>
    <w:rsid w:val="000562A9"/>
    <w:rsid w:val="00057D00"/>
    <w:rsid w:val="00062A9A"/>
    <w:rsid w:val="00065058"/>
    <w:rsid w:val="000772B6"/>
    <w:rsid w:val="00081A60"/>
    <w:rsid w:val="00086C39"/>
    <w:rsid w:val="000A03B2"/>
    <w:rsid w:val="000C055F"/>
    <w:rsid w:val="000C7B05"/>
    <w:rsid w:val="000D0268"/>
    <w:rsid w:val="000D34BE"/>
    <w:rsid w:val="000D6102"/>
    <w:rsid w:val="000E102F"/>
    <w:rsid w:val="000E36F1"/>
    <w:rsid w:val="000E3A73"/>
    <w:rsid w:val="000E414A"/>
    <w:rsid w:val="000F093C"/>
    <w:rsid w:val="000F3DDF"/>
    <w:rsid w:val="000F787B"/>
    <w:rsid w:val="00100A05"/>
    <w:rsid w:val="0012091F"/>
    <w:rsid w:val="0012641A"/>
    <w:rsid w:val="00126BC2"/>
    <w:rsid w:val="001308B6"/>
    <w:rsid w:val="0013121F"/>
    <w:rsid w:val="00131FE6"/>
    <w:rsid w:val="00132006"/>
    <w:rsid w:val="0013263F"/>
    <w:rsid w:val="001331DF"/>
    <w:rsid w:val="00134DE4"/>
    <w:rsid w:val="0014034D"/>
    <w:rsid w:val="00144D16"/>
    <w:rsid w:val="0014501B"/>
    <w:rsid w:val="00147E7F"/>
    <w:rsid w:val="00150E59"/>
    <w:rsid w:val="00152115"/>
    <w:rsid w:val="00152DE3"/>
    <w:rsid w:val="00164CF9"/>
    <w:rsid w:val="00164E4D"/>
    <w:rsid w:val="001667A6"/>
    <w:rsid w:val="00184AD6"/>
    <w:rsid w:val="001A2218"/>
    <w:rsid w:val="001A4AF7"/>
    <w:rsid w:val="001A6920"/>
    <w:rsid w:val="001A7412"/>
    <w:rsid w:val="001B0349"/>
    <w:rsid w:val="001B05C3"/>
    <w:rsid w:val="001B1E93"/>
    <w:rsid w:val="001B39D0"/>
    <w:rsid w:val="001B65C1"/>
    <w:rsid w:val="001C038B"/>
    <w:rsid w:val="001C684B"/>
    <w:rsid w:val="001C6B27"/>
    <w:rsid w:val="001D0CFB"/>
    <w:rsid w:val="001D21AF"/>
    <w:rsid w:val="001D53FC"/>
    <w:rsid w:val="001F42A5"/>
    <w:rsid w:val="001F7B9D"/>
    <w:rsid w:val="00201C93"/>
    <w:rsid w:val="002141BF"/>
    <w:rsid w:val="002159FA"/>
    <w:rsid w:val="002224B4"/>
    <w:rsid w:val="002447EF"/>
    <w:rsid w:val="00251550"/>
    <w:rsid w:val="0026394A"/>
    <w:rsid w:val="00263B05"/>
    <w:rsid w:val="0027221A"/>
    <w:rsid w:val="00273676"/>
    <w:rsid w:val="00275B61"/>
    <w:rsid w:val="00280FAF"/>
    <w:rsid w:val="002816A9"/>
    <w:rsid w:val="00282656"/>
    <w:rsid w:val="00293C97"/>
    <w:rsid w:val="00296B83"/>
    <w:rsid w:val="002B4015"/>
    <w:rsid w:val="002B78CE"/>
    <w:rsid w:val="002C2FB6"/>
    <w:rsid w:val="002D5C79"/>
    <w:rsid w:val="002E5FA7"/>
    <w:rsid w:val="002F3309"/>
    <w:rsid w:val="003008CE"/>
    <w:rsid w:val="003009B7"/>
    <w:rsid w:val="00300E56"/>
    <w:rsid w:val="0030152C"/>
    <w:rsid w:val="0030469C"/>
    <w:rsid w:val="00315723"/>
    <w:rsid w:val="00321C0A"/>
    <w:rsid w:val="00321CA6"/>
    <w:rsid w:val="00323763"/>
    <w:rsid w:val="00323C5F"/>
    <w:rsid w:val="00323D56"/>
    <w:rsid w:val="003252A0"/>
    <w:rsid w:val="00334C09"/>
    <w:rsid w:val="0035269E"/>
    <w:rsid w:val="00360659"/>
    <w:rsid w:val="0037051A"/>
    <w:rsid w:val="003723D4"/>
    <w:rsid w:val="00381905"/>
    <w:rsid w:val="00382086"/>
    <w:rsid w:val="00382296"/>
    <w:rsid w:val="00384CC8"/>
    <w:rsid w:val="003871FD"/>
    <w:rsid w:val="003922F3"/>
    <w:rsid w:val="003A1E30"/>
    <w:rsid w:val="003A2829"/>
    <w:rsid w:val="003A7D1C"/>
    <w:rsid w:val="003B304B"/>
    <w:rsid w:val="003B3146"/>
    <w:rsid w:val="003C640D"/>
    <w:rsid w:val="003D45FC"/>
    <w:rsid w:val="003E499C"/>
    <w:rsid w:val="003F015E"/>
    <w:rsid w:val="00400414"/>
    <w:rsid w:val="00413D20"/>
    <w:rsid w:val="0041446B"/>
    <w:rsid w:val="00427448"/>
    <w:rsid w:val="0043307A"/>
    <w:rsid w:val="0043483B"/>
    <w:rsid w:val="0044071E"/>
    <w:rsid w:val="0044329C"/>
    <w:rsid w:val="00453E24"/>
    <w:rsid w:val="00455828"/>
    <w:rsid w:val="00457456"/>
    <w:rsid w:val="004577FE"/>
    <w:rsid w:val="00457B9C"/>
    <w:rsid w:val="0046164A"/>
    <w:rsid w:val="004628D2"/>
    <w:rsid w:val="00462DCD"/>
    <w:rsid w:val="004648AD"/>
    <w:rsid w:val="00464FD7"/>
    <w:rsid w:val="004703A9"/>
    <w:rsid w:val="004760DE"/>
    <w:rsid w:val="004763D7"/>
    <w:rsid w:val="00476A5D"/>
    <w:rsid w:val="004A004E"/>
    <w:rsid w:val="004A24CF"/>
    <w:rsid w:val="004C3D1D"/>
    <w:rsid w:val="004C3D84"/>
    <w:rsid w:val="004C7913"/>
    <w:rsid w:val="004E4DD6"/>
    <w:rsid w:val="004F02A4"/>
    <w:rsid w:val="004F5E36"/>
    <w:rsid w:val="004F63A9"/>
    <w:rsid w:val="00507337"/>
    <w:rsid w:val="00507B47"/>
    <w:rsid w:val="00507BEF"/>
    <w:rsid w:val="00507CC9"/>
    <w:rsid w:val="00511105"/>
    <w:rsid w:val="005119A5"/>
    <w:rsid w:val="00511C77"/>
    <w:rsid w:val="005278B7"/>
    <w:rsid w:val="00532016"/>
    <w:rsid w:val="005346C8"/>
    <w:rsid w:val="005373D3"/>
    <w:rsid w:val="00543E7D"/>
    <w:rsid w:val="00547A68"/>
    <w:rsid w:val="00547AB7"/>
    <w:rsid w:val="00552721"/>
    <w:rsid w:val="005531C9"/>
    <w:rsid w:val="00554A2E"/>
    <w:rsid w:val="00557118"/>
    <w:rsid w:val="005630A2"/>
    <w:rsid w:val="00570C43"/>
    <w:rsid w:val="00591998"/>
    <w:rsid w:val="005A246A"/>
    <w:rsid w:val="005B2110"/>
    <w:rsid w:val="005B5484"/>
    <w:rsid w:val="005B5E89"/>
    <w:rsid w:val="005B61E6"/>
    <w:rsid w:val="005C77E1"/>
    <w:rsid w:val="005D2AAB"/>
    <w:rsid w:val="005D668A"/>
    <w:rsid w:val="005D6A2F"/>
    <w:rsid w:val="005E1A82"/>
    <w:rsid w:val="005E794C"/>
    <w:rsid w:val="005F0A28"/>
    <w:rsid w:val="005F0E5E"/>
    <w:rsid w:val="00600535"/>
    <w:rsid w:val="006006F0"/>
    <w:rsid w:val="00610CD6"/>
    <w:rsid w:val="006131C9"/>
    <w:rsid w:val="00620DEE"/>
    <w:rsid w:val="00621F92"/>
    <w:rsid w:val="0062280A"/>
    <w:rsid w:val="00625639"/>
    <w:rsid w:val="00631B33"/>
    <w:rsid w:val="0064184D"/>
    <w:rsid w:val="006422CC"/>
    <w:rsid w:val="006546BC"/>
    <w:rsid w:val="00660E3E"/>
    <w:rsid w:val="00661CD5"/>
    <w:rsid w:val="00662E74"/>
    <w:rsid w:val="00680C23"/>
    <w:rsid w:val="00693766"/>
    <w:rsid w:val="006A3281"/>
    <w:rsid w:val="006A483C"/>
    <w:rsid w:val="006A6751"/>
    <w:rsid w:val="006B4888"/>
    <w:rsid w:val="006B5134"/>
    <w:rsid w:val="006C2E45"/>
    <w:rsid w:val="006C359C"/>
    <w:rsid w:val="006C5579"/>
    <w:rsid w:val="006D6E8B"/>
    <w:rsid w:val="006E737D"/>
    <w:rsid w:val="006F6030"/>
    <w:rsid w:val="006F7F9B"/>
    <w:rsid w:val="00713973"/>
    <w:rsid w:val="00720A24"/>
    <w:rsid w:val="00722415"/>
    <w:rsid w:val="0072437B"/>
    <w:rsid w:val="00732386"/>
    <w:rsid w:val="0073514D"/>
    <w:rsid w:val="007370C2"/>
    <w:rsid w:val="00737524"/>
    <w:rsid w:val="007447F3"/>
    <w:rsid w:val="00750FB5"/>
    <w:rsid w:val="0075499F"/>
    <w:rsid w:val="00763DA8"/>
    <w:rsid w:val="007661C8"/>
    <w:rsid w:val="0077098D"/>
    <w:rsid w:val="007931FA"/>
    <w:rsid w:val="007A12BA"/>
    <w:rsid w:val="007A4861"/>
    <w:rsid w:val="007A7BBA"/>
    <w:rsid w:val="007B0C50"/>
    <w:rsid w:val="007B48F9"/>
    <w:rsid w:val="007C1A43"/>
    <w:rsid w:val="007D0951"/>
    <w:rsid w:val="007E23D3"/>
    <w:rsid w:val="0080013E"/>
    <w:rsid w:val="00813288"/>
    <w:rsid w:val="008168FC"/>
    <w:rsid w:val="008172F9"/>
    <w:rsid w:val="008250C3"/>
    <w:rsid w:val="00830996"/>
    <w:rsid w:val="00832BF2"/>
    <w:rsid w:val="008345F1"/>
    <w:rsid w:val="008552CE"/>
    <w:rsid w:val="00865B07"/>
    <w:rsid w:val="008667EA"/>
    <w:rsid w:val="008743CE"/>
    <w:rsid w:val="0087637F"/>
    <w:rsid w:val="008832B4"/>
    <w:rsid w:val="00892037"/>
    <w:rsid w:val="00892AD5"/>
    <w:rsid w:val="00894154"/>
    <w:rsid w:val="008A1512"/>
    <w:rsid w:val="008A21E7"/>
    <w:rsid w:val="008D32B9"/>
    <w:rsid w:val="008D433B"/>
    <w:rsid w:val="008D4A16"/>
    <w:rsid w:val="008D4F02"/>
    <w:rsid w:val="008D521B"/>
    <w:rsid w:val="008E51F8"/>
    <w:rsid w:val="008E566E"/>
    <w:rsid w:val="008E6F0E"/>
    <w:rsid w:val="00900423"/>
    <w:rsid w:val="0090161A"/>
    <w:rsid w:val="00901EB6"/>
    <w:rsid w:val="00904C62"/>
    <w:rsid w:val="00922BA8"/>
    <w:rsid w:val="00924DAC"/>
    <w:rsid w:val="00926230"/>
    <w:rsid w:val="00927058"/>
    <w:rsid w:val="00942750"/>
    <w:rsid w:val="009450CE"/>
    <w:rsid w:val="009459BB"/>
    <w:rsid w:val="00947179"/>
    <w:rsid w:val="0095164B"/>
    <w:rsid w:val="00954090"/>
    <w:rsid w:val="009573E7"/>
    <w:rsid w:val="00963E05"/>
    <w:rsid w:val="00964117"/>
    <w:rsid w:val="00964A45"/>
    <w:rsid w:val="00967843"/>
    <w:rsid w:val="00967D54"/>
    <w:rsid w:val="00971028"/>
    <w:rsid w:val="009757CA"/>
    <w:rsid w:val="00993B84"/>
    <w:rsid w:val="00996483"/>
    <w:rsid w:val="00996F5A"/>
    <w:rsid w:val="009A2BFD"/>
    <w:rsid w:val="009B041A"/>
    <w:rsid w:val="009C12F8"/>
    <w:rsid w:val="009C37C3"/>
    <w:rsid w:val="009C7C86"/>
    <w:rsid w:val="009C7E59"/>
    <w:rsid w:val="009D2FF7"/>
    <w:rsid w:val="009D6ADC"/>
    <w:rsid w:val="009E6637"/>
    <w:rsid w:val="009E7884"/>
    <w:rsid w:val="009E788A"/>
    <w:rsid w:val="009F0E08"/>
    <w:rsid w:val="009F1339"/>
    <w:rsid w:val="009F235F"/>
    <w:rsid w:val="009F63F7"/>
    <w:rsid w:val="00A00A1B"/>
    <w:rsid w:val="00A1763D"/>
    <w:rsid w:val="00A17CEC"/>
    <w:rsid w:val="00A20289"/>
    <w:rsid w:val="00A27EF0"/>
    <w:rsid w:val="00A331D5"/>
    <w:rsid w:val="00A42361"/>
    <w:rsid w:val="00A50B20"/>
    <w:rsid w:val="00A51390"/>
    <w:rsid w:val="00A60D13"/>
    <w:rsid w:val="00A67FF7"/>
    <w:rsid w:val="00A7223D"/>
    <w:rsid w:val="00A72745"/>
    <w:rsid w:val="00A737F1"/>
    <w:rsid w:val="00A76EFC"/>
    <w:rsid w:val="00A87D50"/>
    <w:rsid w:val="00A91010"/>
    <w:rsid w:val="00A97F29"/>
    <w:rsid w:val="00AA2105"/>
    <w:rsid w:val="00AA3A74"/>
    <w:rsid w:val="00AA517B"/>
    <w:rsid w:val="00AA702E"/>
    <w:rsid w:val="00AA7D26"/>
    <w:rsid w:val="00AB0964"/>
    <w:rsid w:val="00AB2C48"/>
    <w:rsid w:val="00AB5011"/>
    <w:rsid w:val="00AC7368"/>
    <w:rsid w:val="00AD16B9"/>
    <w:rsid w:val="00AE377D"/>
    <w:rsid w:val="00AF0EBA"/>
    <w:rsid w:val="00B0046F"/>
    <w:rsid w:val="00B02C8A"/>
    <w:rsid w:val="00B06D8A"/>
    <w:rsid w:val="00B17FBD"/>
    <w:rsid w:val="00B23BC9"/>
    <w:rsid w:val="00B272CD"/>
    <w:rsid w:val="00B315A6"/>
    <w:rsid w:val="00B31813"/>
    <w:rsid w:val="00B33365"/>
    <w:rsid w:val="00B40384"/>
    <w:rsid w:val="00B57B36"/>
    <w:rsid w:val="00B57E6F"/>
    <w:rsid w:val="00B8686D"/>
    <w:rsid w:val="00B871F1"/>
    <w:rsid w:val="00B9150B"/>
    <w:rsid w:val="00B921F0"/>
    <w:rsid w:val="00B93F69"/>
    <w:rsid w:val="00BA050A"/>
    <w:rsid w:val="00BB1DDC"/>
    <w:rsid w:val="00BC30C9"/>
    <w:rsid w:val="00BD077D"/>
    <w:rsid w:val="00BD5C00"/>
    <w:rsid w:val="00BE3E58"/>
    <w:rsid w:val="00C01616"/>
    <w:rsid w:val="00C0162B"/>
    <w:rsid w:val="00C052AA"/>
    <w:rsid w:val="00C068ED"/>
    <w:rsid w:val="00C06F02"/>
    <w:rsid w:val="00C22E0C"/>
    <w:rsid w:val="00C2370C"/>
    <w:rsid w:val="00C345B1"/>
    <w:rsid w:val="00C356D0"/>
    <w:rsid w:val="00C37FAF"/>
    <w:rsid w:val="00C40142"/>
    <w:rsid w:val="00C40A53"/>
    <w:rsid w:val="00C42B73"/>
    <w:rsid w:val="00C52C3C"/>
    <w:rsid w:val="00C57182"/>
    <w:rsid w:val="00C57863"/>
    <w:rsid w:val="00C640AF"/>
    <w:rsid w:val="00C655FD"/>
    <w:rsid w:val="00C65E2D"/>
    <w:rsid w:val="00C75407"/>
    <w:rsid w:val="00C82F20"/>
    <w:rsid w:val="00C870A8"/>
    <w:rsid w:val="00C94434"/>
    <w:rsid w:val="00CA0D75"/>
    <w:rsid w:val="00CA1C95"/>
    <w:rsid w:val="00CA5A9C"/>
    <w:rsid w:val="00CB01ED"/>
    <w:rsid w:val="00CC4C20"/>
    <w:rsid w:val="00CD3517"/>
    <w:rsid w:val="00CD5FE2"/>
    <w:rsid w:val="00CE45C4"/>
    <w:rsid w:val="00CE7C68"/>
    <w:rsid w:val="00D02B4C"/>
    <w:rsid w:val="00D03486"/>
    <w:rsid w:val="00D040C4"/>
    <w:rsid w:val="00D15378"/>
    <w:rsid w:val="00D20AD1"/>
    <w:rsid w:val="00D41EA2"/>
    <w:rsid w:val="00D43DC9"/>
    <w:rsid w:val="00D46B7E"/>
    <w:rsid w:val="00D57C84"/>
    <w:rsid w:val="00D6057D"/>
    <w:rsid w:val="00D71640"/>
    <w:rsid w:val="00D836C5"/>
    <w:rsid w:val="00D84576"/>
    <w:rsid w:val="00DA1399"/>
    <w:rsid w:val="00DA24C6"/>
    <w:rsid w:val="00DA4D7B"/>
    <w:rsid w:val="00DC098C"/>
    <w:rsid w:val="00DC3129"/>
    <w:rsid w:val="00DD035B"/>
    <w:rsid w:val="00DD271C"/>
    <w:rsid w:val="00DD5315"/>
    <w:rsid w:val="00DE00CB"/>
    <w:rsid w:val="00DE264A"/>
    <w:rsid w:val="00DF4E7C"/>
    <w:rsid w:val="00DF5072"/>
    <w:rsid w:val="00E02D18"/>
    <w:rsid w:val="00E041E7"/>
    <w:rsid w:val="00E16CE6"/>
    <w:rsid w:val="00E2175F"/>
    <w:rsid w:val="00E23CA1"/>
    <w:rsid w:val="00E409A8"/>
    <w:rsid w:val="00E50C12"/>
    <w:rsid w:val="00E65B91"/>
    <w:rsid w:val="00E7150F"/>
    <w:rsid w:val="00E7209D"/>
    <w:rsid w:val="00E72EAD"/>
    <w:rsid w:val="00E77223"/>
    <w:rsid w:val="00E8528B"/>
    <w:rsid w:val="00E85B94"/>
    <w:rsid w:val="00E978D0"/>
    <w:rsid w:val="00EA2819"/>
    <w:rsid w:val="00EA4613"/>
    <w:rsid w:val="00EA7F91"/>
    <w:rsid w:val="00EB0D18"/>
    <w:rsid w:val="00EB1523"/>
    <w:rsid w:val="00EB326C"/>
    <w:rsid w:val="00EC0E49"/>
    <w:rsid w:val="00EC101F"/>
    <w:rsid w:val="00EC1D9F"/>
    <w:rsid w:val="00EC3C30"/>
    <w:rsid w:val="00ED56C0"/>
    <w:rsid w:val="00EE0131"/>
    <w:rsid w:val="00EE17B0"/>
    <w:rsid w:val="00EE7321"/>
    <w:rsid w:val="00EF06D9"/>
    <w:rsid w:val="00F0246F"/>
    <w:rsid w:val="00F1510A"/>
    <w:rsid w:val="00F3049E"/>
    <w:rsid w:val="00F30C64"/>
    <w:rsid w:val="00F32BA2"/>
    <w:rsid w:val="00F32CDB"/>
    <w:rsid w:val="00F565FE"/>
    <w:rsid w:val="00F63A70"/>
    <w:rsid w:val="00F63D8C"/>
    <w:rsid w:val="00F71643"/>
    <w:rsid w:val="00F7534E"/>
    <w:rsid w:val="00F80151"/>
    <w:rsid w:val="00F802CF"/>
    <w:rsid w:val="00F93503"/>
    <w:rsid w:val="00F93EDF"/>
    <w:rsid w:val="00F94B3B"/>
    <w:rsid w:val="00F94BEF"/>
    <w:rsid w:val="00F966E5"/>
    <w:rsid w:val="00FA1802"/>
    <w:rsid w:val="00FA21D0"/>
    <w:rsid w:val="00FA5F5F"/>
    <w:rsid w:val="00FB209D"/>
    <w:rsid w:val="00FB730C"/>
    <w:rsid w:val="00FC2695"/>
    <w:rsid w:val="00FC3E03"/>
    <w:rsid w:val="00FC3FC1"/>
    <w:rsid w:val="00FD7EDE"/>
    <w:rsid w:val="00FE0AA9"/>
    <w:rsid w:val="00FE537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Menzionenonrisolta">
    <w:name w:val="Unresolved Mention"/>
    <w:basedOn w:val="Carpredefinitoparagrafo"/>
    <w:uiPriority w:val="99"/>
    <w:semiHidden/>
    <w:unhideWhenUsed/>
    <w:rsid w:val="00D41EA2"/>
    <w:rPr>
      <w:color w:val="605E5C"/>
      <w:shd w:val="clear" w:color="auto" w:fill="E1DFDD"/>
    </w:rPr>
  </w:style>
  <w:style w:type="paragraph" w:styleId="Revisione">
    <w:name w:val="Revision"/>
    <w:hidden/>
    <w:uiPriority w:val="99"/>
    <w:semiHidden/>
    <w:rsid w:val="009757CA"/>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ADF8C-D810-4438-A9D5-60D82925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9267</Words>
  <Characters>52826</Characters>
  <Application>Microsoft Office Word</Application>
  <DocSecurity>0</DocSecurity>
  <Lines>440</Lines>
  <Paragraphs>123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61970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MARIA PORTARAPILLO</cp:lastModifiedBy>
  <cp:revision>177</cp:revision>
  <cp:lastPrinted>2015-05-12T18:31:00Z</cp:lastPrinted>
  <dcterms:created xsi:type="dcterms:W3CDTF">2022-09-21T08:52:00Z</dcterms:created>
  <dcterms:modified xsi:type="dcterms:W3CDTF">2023-03-09T14:08:00Z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http://www.zotero.org/styles/acs-sustainable-chemistry-and-engineering</vt:lpwstr>
  </property>
  <property fmtid="{D5CDD505-2E9C-101B-9397-08002B2CF9AE}" pid="5" name="Mendeley Recent Style Name 0_1">
    <vt:lpwstr>ACS Sustainable Chemistry &amp; Engineering</vt:lpwstr>
  </property>
  <property fmtid="{D5CDD505-2E9C-101B-9397-08002B2CF9AE}" pid="6" name="Mendeley Recent Style Id 1_1">
    <vt:lpwstr>http://www.zotero.org/styles/american-medical-association</vt:lpwstr>
  </property>
  <property fmtid="{D5CDD505-2E9C-101B-9397-08002B2CF9AE}" pid="7" name="Mendeley Recent Style Name 1_1">
    <vt:lpwstr>American Medical Association 11th edition</vt:lpwstr>
  </property>
  <property fmtid="{D5CDD505-2E9C-101B-9397-08002B2CF9AE}" pid="8" name="Mendeley Recent Style Id 2_1">
    <vt:lpwstr>http://www.zotero.org/styles/american-political-science-association</vt:lpwstr>
  </property>
  <property fmtid="{D5CDD505-2E9C-101B-9397-08002B2CF9AE}" pid="9" name="Mendeley Recent Style Name 2_1">
    <vt:lpwstr>American Political Science Association</vt:lpwstr>
  </property>
  <property fmtid="{D5CDD505-2E9C-101B-9397-08002B2CF9AE}" pid="10" name="Mendeley Recent Style Id 3_1">
    <vt:lpwstr>http://www.zotero.org/styles/chemical-engineering-journal</vt:lpwstr>
  </property>
  <property fmtid="{D5CDD505-2E9C-101B-9397-08002B2CF9AE}" pid="11" name="Mendeley Recent Style Name 3_1">
    <vt:lpwstr>Chemical Engineering Journal</vt:lpwstr>
  </property>
  <property fmtid="{D5CDD505-2E9C-101B-9397-08002B2CF9AE}" pid="12" name="Mendeley Recent Style Id 4_1">
    <vt:lpwstr>http://www.zotero.org/styles/fuel</vt:lpwstr>
  </property>
  <property fmtid="{D5CDD505-2E9C-101B-9397-08002B2CF9AE}" pid="13" name="Mendeley Recent Style Name 4_1">
    <vt:lpwstr>Fuel</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http://www.zotero.org/styles/journal-of-hazardous-materials</vt:lpwstr>
  </property>
  <property fmtid="{D5CDD505-2E9C-101B-9397-08002B2CF9AE}" pid="17" name="Mendeley Recent Style Name 6_1">
    <vt:lpwstr>Journal of Hazardous Materials</vt:lpwstr>
  </property>
  <property fmtid="{D5CDD505-2E9C-101B-9397-08002B2CF9AE}" pid="18" name="Mendeley Recent Style Id 7_1">
    <vt:lpwstr>http://www.zotero.org/styles/journal-of-loss-prevention-in-the-process-industries</vt:lpwstr>
  </property>
  <property fmtid="{D5CDD505-2E9C-101B-9397-08002B2CF9AE}" pid="19" name="Mendeley Recent Style Name 7_1">
    <vt:lpwstr>Journal of Loss Prevention in the Process Industries</vt:lpwstr>
  </property>
  <property fmtid="{D5CDD505-2E9C-101B-9397-08002B2CF9AE}" pid="20" name="Mendeley Recent Style Id 8_1">
    <vt:lpwstr>http://www.zotero.org/styles/nature-communications</vt:lpwstr>
  </property>
  <property fmtid="{D5CDD505-2E9C-101B-9397-08002B2CF9AE}" pid="21" name="Mendeley Recent Style Name 8_1">
    <vt:lpwstr>Nature Communications</vt:lpwstr>
  </property>
  <property fmtid="{D5CDD505-2E9C-101B-9397-08002B2CF9AE}" pid="22" name="Mendeley Recent Style Id 9_1">
    <vt:lpwstr>http://www.zotero.org/styles/process-safety-and-environmental-protection</vt:lpwstr>
  </property>
  <property fmtid="{D5CDD505-2E9C-101B-9397-08002B2CF9AE}" pid="23" name="Mendeley Recent Style Name 9_1">
    <vt:lpwstr>Process Safety and Environmental Protection</vt:lpwstr>
  </property>
  <property fmtid="{D5CDD505-2E9C-101B-9397-08002B2CF9AE}" pid="24" name="Mendeley Document_1">
    <vt:lpwstr>True</vt:lpwstr>
  </property>
  <property fmtid="{D5CDD505-2E9C-101B-9397-08002B2CF9AE}" pid="25" name="Mendeley Unique User Id_1">
    <vt:lpwstr>84c5ea2a-39bd-3cdc-921e-401e2b251f0b</vt:lpwstr>
  </property>
  <property fmtid="{D5CDD505-2E9C-101B-9397-08002B2CF9AE}" pid="26" name="Mendeley Citation Style_1">
    <vt:lpwstr>http://www.zotero.org/styles/journal-of-loss-prevention-in-the-process-industries</vt:lpwstr>
  </property>
</Properties>
</file>