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2249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2249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22498">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44E9AE7" w:rsidR="00E978D0" w:rsidRPr="00B57B36" w:rsidRDefault="00C22498" w:rsidP="00E978D0">
      <w:pPr>
        <w:pStyle w:val="CETTitle"/>
      </w:pPr>
      <w:r w:rsidRPr="00C22498">
        <w:t>SIMULATION AND OPTIMIZATION OF BIOJET FUEL PRODUCTION THROUGH SINGLE-STEP ROUTE AND RESIDUAL RAW MATERIAL</w:t>
      </w:r>
    </w:p>
    <w:p w14:paraId="0488FED2" w14:textId="19CD5B34" w:rsidR="00B57E6F" w:rsidRPr="00666CEF" w:rsidRDefault="00C22498" w:rsidP="00B57E6F">
      <w:pPr>
        <w:pStyle w:val="CETAuthors"/>
        <w:rPr>
          <w:lang w:val="pt-BR"/>
        </w:rPr>
      </w:pPr>
      <w:r w:rsidRPr="00666CEF">
        <w:rPr>
          <w:lang w:val="pt-BR"/>
        </w:rPr>
        <w:t>Isadora Z. Ambrosio</w:t>
      </w:r>
      <w:bookmarkStart w:id="0" w:name="_GoBack"/>
      <w:bookmarkEnd w:id="0"/>
      <w:r w:rsidR="00B57E6F" w:rsidRPr="00666CEF">
        <w:rPr>
          <w:lang w:val="pt-BR"/>
        </w:rPr>
        <w:t xml:space="preserve">, </w:t>
      </w:r>
      <w:r w:rsidRPr="00666CEF">
        <w:rPr>
          <w:lang w:val="pt-BR"/>
        </w:rPr>
        <w:t>Bruna</w:t>
      </w:r>
      <w:r w:rsidR="00B57E6F" w:rsidRPr="00666CEF">
        <w:rPr>
          <w:lang w:val="pt-BR"/>
        </w:rPr>
        <w:t xml:space="preserve"> </w:t>
      </w:r>
      <w:r w:rsidRPr="00666CEF">
        <w:rPr>
          <w:lang w:val="pt-BR"/>
        </w:rPr>
        <w:t>R</w:t>
      </w:r>
      <w:r w:rsidR="00B57E6F" w:rsidRPr="00666CEF">
        <w:rPr>
          <w:lang w:val="pt-BR"/>
        </w:rPr>
        <w:t xml:space="preserve">. </w:t>
      </w:r>
      <w:r w:rsidRPr="00666CEF">
        <w:rPr>
          <w:lang w:val="pt-BR"/>
        </w:rPr>
        <w:t>Margarida</w:t>
      </w:r>
      <w:r w:rsidR="00B57E6F" w:rsidRPr="00666CEF">
        <w:rPr>
          <w:lang w:val="pt-BR"/>
        </w:rPr>
        <w:t xml:space="preserve">, </w:t>
      </w:r>
      <w:r w:rsidRPr="00666CEF">
        <w:rPr>
          <w:lang w:val="pt-BR"/>
        </w:rPr>
        <w:t>Luiz F</w:t>
      </w:r>
      <w:r w:rsidR="00245901" w:rsidRPr="00666CEF">
        <w:rPr>
          <w:lang w:val="pt-BR"/>
        </w:rPr>
        <w:t>.</w:t>
      </w:r>
      <w:r w:rsidRPr="00666CEF">
        <w:rPr>
          <w:lang w:val="pt-BR"/>
        </w:rPr>
        <w:t xml:space="preserve"> L. L</w:t>
      </w:r>
      <w:r w:rsidR="00245901" w:rsidRPr="00666CEF">
        <w:rPr>
          <w:lang w:val="pt-BR"/>
        </w:rPr>
        <w:t>uz</w:t>
      </w:r>
      <w:r w:rsidRPr="00666CEF">
        <w:rPr>
          <w:lang w:val="pt-BR"/>
        </w:rPr>
        <w:t xml:space="preserve"> Junior</w:t>
      </w:r>
      <w:r w:rsidR="00B57E6F" w:rsidRPr="00666CEF">
        <w:rPr>
          <w:lang w:val="pt-BR"/>
        </w:rPr>
        <w:t xml:space="preserve"> </w:t>
      </w:r>
    </w:p>
    <w:p w14:paraId="65BAF89C" w14:textId="1F0C6649" w:rsidR="00677D3B" w:rsidRDefault="00677D3B" w:rsidP="00677D3B">
      <w:pPr>
        <w:pStyle w:val="CETAddress"/>
      </w:pPr>
      <w:r>
        <w:t>Chemical Engineering Department, Federal University of Paraná, Curitiba, PO Box 19011, 81531-980, Brazil</w:t>
      </w:r>
    </w:p>
    <w:p w14:paraId="73F1267A" w14:textId="7E37878E" w:rsidR="00B57E6F" w:rsidRPr="00B57B36" w:rsidRDefault="00BA53BB" w:rsidP="00B57E6F">
      <w:pPr>
        <w:pStyle w:val="CETemail"/>
      </w:pPr>
      <w:r>
        <w:t>isadorazambrosio</w:t>
      </w:r>
      <w:r w:rsidR="00B57E6F" w:rsidRPr="00B57B36">
        <w:t>@</w:t>
      </w:r>
      <w:r>
        <w:t>gmail.com</w:t>
      </w:r>
      <w:r w:rsidR="00B57E6F" w:rsidRPr="00B57B36">
        <w:t xml:space="preserve"> </w:t>
      </w:r>
    </w:p>
    <w:p w14:paraId="37A61FCE" w14:textId="42DF7182" w:rsidR="00DA24C6" w:rsidRDefault="00F37D19" w:rsidP="00AE795E">
      <w:pPr>
        <w:pStyle w:val="CETBodytext"/>
      </w:pPr>
      <w:bookmarkStart w:id="1" w:name="_Hlk125398657"/>
      <w:r w:rsidRPr="00F37D19">
        <w:t xml:space="preserve">The use of biokerosene stands out for </w:t>
      </w:r>
      <w:r w:rsidRPr="0023468E">
        <w:t>its</w:t>
      </w:r>
      <w:r w:rsidRPr="00F37D19">
        <w:t xml:space="preserve"> potential to reduce environmental impacts on aviation</w:t>
      </w:r>
      <w:r w:rsidR="0023468E">
        <w:t>’s use</w:t>
      </w:r>
      <w:r w:rsidRPr="00F37D19">
        <w:t xml:space="preserve">. One of the most promising and advanced routes for industrial use is the </w:t>
      </w:r>
      <w:proofErr w:type="spellStart"/>
      <w:r w:rsidRPr="00F37D19">
        <w:t>hydroprocessing</w:t>
      </w:r>
      <w:proofErr w:type="spellEnd"/>
      <w:r w:rsidRPr="00F37D19">
        <w:t xml:space="preserve"> of fatty acid esters (HEFA), </w:t>
      </w:r>
      <w:r w:rsidR="00987234" w:rsidRPr="007C29B8">
        <w:t>and, although the bio</w:t>
      </w:r>
      <w:r w:rsidR="005865E1">
        <w:t>k</w:t>
      </w:r>
      <w:r w:rsidR="00987234" w:rsidRPr="007C29B8">
        <w:t xml:space="preserve">erosene production is still more expensive than the conventional kerosene, many studies are focusing </w:t>
      </w:r>
      <w:r w:rsidR="00F80E22" w:rsidRPr="007C29B8">
        <w:t>on</w:t>
      </w:r>
      <w:r w:rsidR="00987234" w:rsidRPr="007C29B8">
        <w:t xml:space="preserve"> process improvement and the development of catalysts with higher efficiencies.</w:t>
      </w:r>
      <w:r w:rsidRPr="00F37D19">
        <w:t xml:space="preserve"> One possible approach to cost reduction of this route is the use of residual raw materials and one reactor, which can replace commonly used vegetable oils and reduce hydrogen consumption.</w:t>
      </w:r>
      <w:r w:rsidR="00CD23C6">
        <w:t xml:space="preserve"> </w:t>
      </w:r>
      <w:r w:rsidR="00CD23C6" w:rsidRPr="00CD23C6">
        <w:t xml:space="preserve">In order to </w:t>
      </w:r>
      <w:r w:rsidR="00CD23C6">
        <w:t>find</w:t>
      </w:r>
      <w:r w:rsidR="00CD23C6" w:rsidRPr="00CD23C6">
        <w:t xml:space="preserve"> better yields at lower costs,</w:t>
      </w:r>
      <w:r w:rsidR="00CD23C6">
        <w:t xml:space="preserve"> this work aims to simulate</w:t>
      </w:r>
      <w:r w:rsidRPr="00F37D19">
        <w:t xml:space="preserve">, optimize and verify the economic viability of the production of </w:t>
      </w:r>
      <w:proofErr w:type="spellStart"/>
      <w:r w:rsidRPr="00F37D19">
        <w:t>biojet</w:t>
      </w:r>
      <w:proofErr w:type="spellEnd"/>
      <w:r w:rsidRPr="00F37D19">
        <w:t xml:space="preserve"> fuel by HEFA route through a single-step process with reduction in hydrogen consumption, </w:t>
      </w:r>
      <w:r w:rsidR="00DB59A9">
        <w:t xml:space="preserve">and </w:t>
      </w:r>
      <w:r w:rsidRPr="00F37D19">
        <w:t xml:space="preserve">using soybean acid oil as a residual raw material. The base simulation was developed using the Aspen Plus V10 software®, with literature data. Subsequently, different </w:t>
      </w:r>
      <w:r w:rsidR="0016559D">
        <w:t xml:space="preserve">reactor </w:t>
      </w:r>
      <w:r w:rsidRPr="00F37D19">
        <w:t>conditions were tested, varying the hydrogen/oil ratio, pressure and temperature in the reactor to determine the optimal operating conditions to produce a high-quality biofuel. In addition, an energy integration analysis was carried out to reduce energy and utilities consumption</w:t>
      </w:r>
      <w:r>
        <w:t xml:space="preserve">, as well as </w:t>
      </w:r>
      <w:r w:rsidR="001B205A" w:rsidRPr="00B57B36">
        <w:t>CO</w:t>
      </w:r>
      <w:r w:rsidR="001B205A" w:rsidRPr="00B57B36">
        <w:rPr>
          <w:vertAlign w:val="subscript"/>
        </w:rPr>
        <w:t>2</w:t>
      </w:r>
      <w:r>
        <w:t xml:space="preserve"> emission analysis to verify </w:t>
      </w:r>
      <w:r w:rsidR="00CD23C6">
        <w:t xml:space="preserve">environmental </w:t>
      </w:r>
      <w:r>
        <w:t xml:space="preserve">impacts for this route compared to </w:t>
      </w:r>
      <w:r>
        <w:rPr>
          <w:lang w:val="en"/>
        </w:rPr>
        <w:t>fossil aviation kerosene</w:t>
      </w:r>
      <w:r w:rsidRPr="00F37D19">
        <w:t>. Finally, a preliminary economic analysis was performed, and an estimate of the investment required for the installation of a manufacturing unit was calculated.</w:t>
      </w:r>
    </w:p>
    <w:p w14:paraId="476B2F2E" w14:textId="1A71AE2C" w:rsidR="00600535" w:rsidRPr="00B57B36" w:rsidRDefault="00600535" w:rsidP="00600535">
      <w:pPr>
        <w:pStyle w:val="CETHeading1"/>
        <w:rPr>
          <w:lang w:val="en-GB"/>
        </w:rPr>
      </w:pPr>
      <w:bookmarkStart w:id="2" w:name="_Hlk125399420"/>
      <w:bookmarkEnd w:id="1"/>
      <w:r w:rsidRPr="00B57B36">
        <w:rPr>
          <w:lang w:val="en-GB"/>
        </w:rPr>
        <w:t>Introduction</w:t>
      </w:r>
    </w:p>
    <w:p w14:paraId="787C24B2" w14:textId="6348DADB" w:rsidR="001B205A" w:rsidRDefault="001B205A" w:rsidP="00AE795E">
      <w:pPr>
        <w:pStyle w:val="CETBodytext"/>
      </w:pPr>
      <w:r>
        <w:t>The aviation sector is becoming increasingly accessible for the transportation of products and people. According to Wei e</w:t>
      </w:r>
      <w:r w:rsidR="003F5AD3">
        <w:t>t</w:t>
      </w:r>
      <w:r>
        <w:t xml:space="preserve"> </w:t>
      </w:r>
      <w:r w:rsidR="003F5AD3">
        <w:t>a</w:t>
      </w:r>
      <w:r>
        <w:t>l. (2019), forecasts indicate that the number of air transport users will double in the next 20 years, indicating that the use of aviation fuel will grow accordingly. Therefore, the impact of the</w:t>
      </w:r>
      <w:r w:rsidR="00880289">
        <w:t xml:space="preserve"> aviation</w:t>
      </w:r>
      <w:r>
        <w:t xml:space="preserve"> industry on atmospheric emissions also increases, which indicates the importance of studies involving </w:t>
      </w:r>
      <w:r w:rsidR="00E31E7C">
        <w:t>bio-aviation fuel (BAF)</w:t>
      </w:r>
      <w:r w:rsidR="0010470C">
        <w:t>, since its use could make the carbon cycle more sustainable</w:t>
      </w:r>
      <w:r>
        <w:t>.</w:t>
      </w:r>
      <w:r w:rsidR="001077C3">
        <w:t xml:space="preserve"> When applied in the</w:t>
      </w:r>
      <w:r w:rsidR="0010470C">
        <w:t xml:space="preserve"> aviation sector, </w:t>
      </w:r>
      <w:r w:rsidR="0010470C" w:rsidRPr="00B15224">
        <w:t>biofuel</w:t>
      </w:r>
      <w:r w:rsidR="00983DA6" w:rsidRPr="00B15224">
        <w:t>s</w:t>
      </w:r>
      <w:r w:rsidR="0010470C" w:rsidRPr="00B15224">
        <w:t xml:space="preserve"> ha</w:t>
      </w:r>
      <w:r w:rsidR="00B15224" w:rsidRPr="00B15224">
        <w:t>ve</w:t>
      </w:r>
      <w:r w:rsidR="0010470C">
        <w:t xml:space="preserve"> the potential to reduce carbon dioxide emissions by up to 80</w:t>
      </w:r>
      <w:r w:rsidR="008D4D57">
        <w:t xml:space="preserve"> </w:t>
      </w:r>
      <w:r w:rsidR="0010470C">
        <w:t>% throughout its life cycle (IATA, 2017).</w:t>
      </w:r>
      <w:r w:rsidR="00CC2A53">
        <w:t xml:space="preserve"> </w:t>
      </w:r>
    </w:p>
    <w:p w14:paraId="1546DBD5" w14:textId="18C0FC33" w:rsidR="00682885" w:rsidRDefault="008C64D4" w:rsidP="00AE795E">
      <w:pPr>
        <w:pStyle w:val="CETBodytext"/>
      </w:pPr>
      <w:r>
        <w:t>O</w:t>
      </w:r>
      <w:r w:rsidR="001B205A">
        <w:t xml:space="preserve">ne of the most promising </w:t>
      </w:r>
      <w:r>
        <w:t xml:space="preserve">production routes </w:t>
      </w:r>
      <w:r w:rsidR="001B205A">
        <w:t xml:space="preserve">is the </w:t>
      </w:r>
      <w:proofErr w:type="spellStart"/>
      <w:r w:rsidR="001B205A">
        <w:t>hydroprocessing</w:t>
      </w:r>
      <w:proofErr w:type="spellEnd"/>
      <w:r w:rsidR="001B205A">
        <w:t xml:space="preserve"> of fatty acid esters (HEFA), due to the potential of </w:t>
      </w:r>
      <w:r w:rsidR="0022673D">
        <w:t xml:space="preserve">a quality </w:t>
      </w:r>
      <w:r w:rsidR="001B205A">
        <w:t>biofuel production</w:t>
      </w:r>
      <w:r w:rsidR="001077C3">
        <w:t>.</w:t>
      </w:r>
      <w:r w:rsidR="001B205A">
        <w:t xml:space="preserve"> </w:t>
      </w:r>
      <w:r w:rsidR="00E26EB8" w:rsidRPr="00E26EB8">
        <w:t xml:space="preserve">Different triglyceride feedstock can be used to produce </w:t>
      </w:r>
      <w:proofErr w:type="spellStart"/>
      <w:r w:rsidR="00E26EB8" w:rsidRPr="00E26EB8">
        <w:t>biojet</w:t>
      </w:r>
      <w:proofErr w:type="spellEnd"/>
      <w:r w:rsidR="00E26EB8" w:rsidRPr="00E26EB8">
        <w:t xml:space="preserve"> fuel by this route, such as vegetable oil, waste oil and animal fats</w:t>
      </w:r>
      <w:r w:rsidR="00E26EB8">
        <w:t xml:space="preserve"> (Gutiérrez-Antonio</w:t>
      </w:r>
      <w:r w:rsidR="00E26EB8" w:rsidDel="00E26EB8">
        <w:t xml:space="preserve"> </w:t>
      </w:r>
      <w:r w:rsidR="00E26EB8">
        <w:t>et al., 2018).</w:t>
      </w:r>
      <w:r w:rsidR="00F80E22">
        <w:t xml:space="preserve"> </w:t>
      </w:r>
      <w:r w:rsidR="0022673D">
        <w:t>However,</w:t>
      </w:r>
      <w:r w:rsidR="001B205A">
        <w:t xml:space="preserve"> the HEFA route still brings the challenge of producing biokerosene with a competitive price, compared to fossil kerosene</w:t>
      </w:r>
      <w:r w:rsidR="00E31E7C">
        <w:t xml:space="preserve"> or aviation turbine fuel (ATF)</w:t>
      </w:r>
      <w:r w:rsidR="001B205A">
        <w:t xml:space="preserve">. The route involves high operating costs, the need of two reactors to promote the </w:t>
      </w:r>
      <w:proofErr w:type="spellStart"/>
      <w:r w:rsidR="00D224E0" w:rsidRPr="00AE795E">
        <w:t>hydroprocessing</w:t>
      </w:r>
      <w:proofErr w:type="spellEnd"/>
      <w:r w:rsidR="001B205A">
        <w:t xml:space="preserve"> of fatty acids</w:t>
      </w:r>
      <w:r w:rsidR="0022673D">
        <w:t xml:space="preserve">, </w:t>
      </w:r>
      <w:r w:rsidR="001B205A">
        <w:t>in addition to high consumption of hydrogen gas.</w:t>
      </w:r>
      <w:r w:rsidR="0022673D">
        <w:t xml:space="preserve"> </w:t>
      </w:r>
      <w:r w:rsidR="001B205A">
        <w:t>Therefore, studies on the route aim to reduce costs and make it economically viable</w:t>
      </w:r>
      <w:r w:rsidR="00172223">
        <w:t xml:space="preserve"> </w:t>
      </w:r>
      <w:r w:rsidR="00172223" w:rsidRPr="00172223">
        <w:t>by changing catalyst types and reaction conditions</w:t>
      </w:r>
      <w:r w:rsidR="00F80E22">
        <w:t>,</w:t>
      </w:r>
      <w:r w:rsidR="00172223" w:rsidRPr="00172223">
        <w:t xml:space="preserve"> for example</w:t>
      </w:r>
      <w:r w:rsidR="00A17C86">
        <w:t xml:space="preserve">, with some works showing promising results. </w:t>
      </w:r>
      <w:r w:rsidR="001B205A">
        <w:t>Zhao et al. (2015)</w:t>
      </w:r>
      <w:r w:rsidR="00A17C86">
        <w:t xml:space="preserve"> </w:t>
      </w:r>
      <w:r w:rsidR="001B205A">
        <w:t>and Choi et al</w:t>
      </w:r>
      <w:r w:rsidR="00F80E22">
        <w:t>.</w:t>
      </w:r>
      <w:r w:rsidR="001B205A">
        <w:t xml:space="preserve"> (2015)</w:t>
      </w:r>
      <w:r w:rsidR="00A17C86">
        <w:t xml:space="preserve"> converted</w:t>
      </w:r>
      <w:r w:rsidR="001B205A">
        <w:t xml:space="preserve"> fatty acids into hydrocarbons without the use of </w:t>
      </w:r>
      <w:r w:rsidR="00172223">
        <w:t xml:space="preserve">hydrogen </w:t>
      </w:r>
      <w:r w:rsidR="00A17C86">
        <w:t>using sunflower oil and stearic acid</w:t>
      </w:r>
      <w:r w:rsidR="00F57A2F">
        <w:t xml:space="preserve">. </w:t>
      </w:r>
      <w:proofErr w:type="spellStart"/>
      <w:r w:rsidR="00682885">
        <w:t>Scaldaferri</w:t>
      </w:r>
      <w:proofErr w:type="spellEnd"/>
      <w:r w:rsidR="00682885">
        <w:t xml:space="preserve"> </w:t>
      </w:r>
      <w:r w:rsidR="008B4241">
        <w:t xml:space="preserve">and </w:t>
      </w:r>
      <w:proofErr w:type="spellStart"/>
      <w:r w:rsidR="008B4241">
        <w:t>Pasa</w:t>
      </w:r>
      <w:proofErr w:type="spellEnd"/>
      <w:r w:rsidR="00682885">
        <w:t xml:space="preserve"> (2019) also produced</w:t>
      </w:r>
      <w:r w:rsidR="001014B7">
        <w:t xml:space="preserve"> </w:t>
      </w:r>
      <w:proofErr w:type="spellStart"/>
      <w:r w:rsidR="001014B7">
        <w:t>biojet</w:t>
      </w:r>
      <w:proofErr w:type="spellEnd"/>
      <w:r w:rsidR="001014B7">
        <w:t xml:space="preserve"> fuel without </w:t>
      </w:r>
      <w:r w:rsidR="001B2B31">
        <w:t>H</w:t>
      </w:r>
      <w:r w:rsidR="001B2B31">
        <w:rPr>
          <w:vertAlign w:val="subscript"/>
        </w:rPr>
        <w:t>2</w:t>
      </w:r>
      <w:r w:rsidR="00F80E22">
        <w:t xml:space="preserve">, </w:t>
      </w:r>
      <w:r w:rsidR="00682885">
        <w:t xml:space="preserve">using an unusual </w:t>
      </w:r>
      <w:r w:rsidR="00475E1D">
        <w:t>niobium phosphate catalyst in one-step</w:t>
      </w:r>
      <w:r w:rsidR="0054499E">
        <w:t xml:space="preserve"> process</w:t>
      </w:r>
      <w:r w:rsidR="00682885">
        <w:t xml:space="preserve">. </w:t>
      </w:r>
      <w:r w:rsidR="001B205A">
        <w:t>Zhang and Zhao (2015)</w:t>
      </w:r>
      <w:r w:rsidR="00A17C86">
        <w:t xml:space="preserve"> </w:t>
      </w:r>
      <w:r w:rsidR="001B205A">
        <w:t xml:space="preserve">proposed the use of limonene as a second raw material to provide hydrogen for the </w:t>
      </w:r>
      <w:proofErr w:type="spellStart"/>
      <w:r w:rsidR="001B205A">
        <w:t>hydroprocessing</w:t>
      </w:r>
      <w:proofErr w:type="spellEnd"/>
      <w:r w:rsidR="001B205A">
        <w:t xml:space="preserve"> of palm oil. Verma et al. (2011)</w:t>
      </w:r>
      <w:r w:rsidR="00A17C86">
        <w:t xml:space="preserve"> proposed</w:t>
      </w:r>
      <w:r w:rsidR="001B205A">
        <w:t xml:space="preserve"> a single-step process using a sulfide catalyst (Ni-Mo with ZSM-5 zeolite support), using algae and jatropha oil.</w:t>
      </w:r>
      <w:r w:rsidR="005179EB">
        <w:t xml:space="preserve"> </w:t>
      </w:r>
    </w:p>
    <w:p w14:paraId="1AED3853" w14:textId="3CF6A372" w:rsidR="00600535" w:rsidRDefault="001B205A" w:rsidP="00AE795E">
      <w:pPr>
        <w:pStyle w:val="CETBodytext"/>
      </w:pPr>
      <w:r>
        <w:lastRenderedPageBreak/>
        <w:t xml:space="preserve">Regardless of which strategy is used, the studies still present challenges to be overcome, especially with the quality of the biokerosene and costs involving </w:t>
      </w:r>
      <w:r w:rsidR="00EA7388">
        <w:t>large-scale production</w:t>
      </w:r>
      <w:r>
        <w:t>.</w:t>
      </w:r>
      <w:r w:rsidR="00B87FC5">
        <w:t xml:space="preserve"> </w:t>
      </w:r>
      <w:r w:rsidR="005D1906" w:rsidRPr="00CD23C6">
        <w:t xml:space="preserve">In order to </w:t>
      </w:r>
      <w:r w:rsidR="005D1906">
        <w:t>find</w:t>
      </w:r>
      <w:r w:rsidR="005D1906" w:rsidRPr="00CD23C6">
        <w:t xml:space="preserve"> better yields at lower costs,</w:t>
      </w:r>
      <w:r w:rsidR="00F177EF">
        <w:t xml:space="preserve"> t</w:t>
      </w:r>
      <w:r>
        <w:t>his work aims to simulate the production of aviation biokerosene from HEFA route</w:t>
      </w:r>
      <w:r w:rsidR="00AB638D">
        <w:t xml:space="preserve"> reducing </w:t>
      </w:r>
      <w:r>
        <w:t xml:space="preserve">the number of steps, hydrogen consumption and </w:t>
      </w:r>
      <w:r w:rsidR="00456370">
        <w:t>using</w:t>
      </w:r>
      <w:r>
        <w:t xml:space="preserve"> soybean acid oil, a residual raw material. The objective is to evaluate the possibility of large-scale </w:t>
      </w:r>
      <w:proofErr w:type="spellStart"/>
      <w:r>
        <w:t>biojet</w:t>
      </w:r>
      <w:proofErr w:type="spellEnd"/>
      <w:r>
        <w:t xml:space="preserve"> production adopting these reducing costs strategies</w:t>
      </w:r>
      <w:r w:rsidR="00B87FC5">
        <w:t xml:space="preserve"> with optimized reactor conditions</w:t>
      </w:r>
      <w:r>
        <w:t xml:space="preserve">, </w:t>
      </w:r>
      <w:r w:rsidR="00CA7F43">
        <w:t>evaluating</w:t>
      </w:r>
      <w:r w:rsidR="00734F49">
        <w:t xml:space="preserve"> its economic viability, besides the energy and environmental impacts involved.</w:t>
      </w:r>
    </w:p>
    <w:p w14:paraId="5741900F" w14:textId="237B0D05" w:rsidR="00453E24" w:rsidRDefault="00AE795E" w:rsidP="00453E24">
      <w:pPr>
        <w:pStyle w:val="CETHeading1"/>
      </w:pPr>
      <w:r>
        <w:t>Methodology</w:t>
      </w:r>
    </w:p>
    <w:p w14:paraId="1CAAB831" w14:textId="3E97ECD8" w:rsidR="00AE795E" w:rsidRDefault="00AE795E" w:rsidP="00AE795E">
      <w:pPr>
        <w:pStyle w:val="CETBodytext"/>
      </w:pPr>
      <w:r w:rsidRPr="00AE795E">
        <w:t xml:space="preserve">The process was simulated </w:t>
      </w:r>
      <w:r w:rsidR="00D224E0">
        <w:t>with</w:t>
      </w:r>
      <w:r w:rsidRPr="00AE795E">
        <w:t xml:space="preserve"> the software Aspen Plus V10®</w:t>
      </w:r>
      <w:r w:rsidR="00A91547">
        <w:t>, using conversion and kinet</w:t>
      </w:r>
      <w:r w:rsidR="00287B8C">
        <w:t>ic</w:t>
      </w:r>
      <w:r w:rsidR="00A91547">
        <w:t xml:space="preserve">s data obtained </w:t>
      </w:r>
      <w:r w:rsidR="00456370">
        <w:t xml:space="preserve">in the </w:t>
      </w:r>
      <w:r w:rsidR="00A91547">
        <w:t>literature</w:t>
      </w:r>
      <w:r w:rsidRPr="00AE795E">
        <w:t>.</w:t>
      </w:r>
      <w:r w:rsidR="00F2378C">
        <w:t xml:space="preserve"> </w:t>
      </w:r>
      <w:r w:rsidRPr="00AE795E">
        <w:t>The flow</w:t>
      </w:r>
      <w:r w:rsidR="00450BE8">
        <w:t>sheet</w:t>
      </w:r>
      <w:r w:rsidRPr="00AE795E">
        <w:t xml:space="preserve"> was </w:t>
      </w:r>
      <w:r w:rsidR="00450BE8">
        <w:t>designed</w:t>
      </w:r>
      <w:r w:rsidRPr="00AE795E">
        <w:t xml:space="preserve"> considering two stages for biokerosene production: the hydrolysis of soybean acid oil</w:t>
      </w:r>
      <w:r w:rsidR="00456370">
        <w:t xml:space="preserve"> (R-01)</w:t>
      </w:r>
      <w:r w:rsidRPr="00AE795E">
        <w:t xml:space="preserve"> and the </w:t>
      </w:r>
      <w:proofErr w:type="spellStart"/>
      <w:r w:rsidRPr="00AE795E">
        <w:t>hydroprocessing</w:t>
      </w:r>
      <w:proofErr w:type="spellEnd"/>
      <w:r w:rsidRPr="00AE795E">
        <w:t xml:space="preserve"> of fatty acids</w:t>
      </w:r>
      <w:r w:rsidR="00456370">
        <w:t xml:space="preserve"> (R-02)</w:t>
      </w:r>
      <w:r w:rsidR="0012243D">
        <w:t xml:space="preserve">. The </w:t>
      </w:r>
      <w:proofErr w:type="spellStart"/>
      <w:r w:rsidR="0012243D">
        <w:t>hydroprocessing</w:t>
      </w:r>
      <w:proofErr w:type="spellEnd"/>
      <w:r w:rsidR="0012243D">
        <w:t xml:space="preserve"> was</w:t>
      </w:r>
      <w:r w:rsidRPr="00AE795E">
        <w:t xml:space="preserve"> carried out in only one reactor</w:t>
      </w:r>
      <w:r w:rsidR="0012243D">
        <w:t xml:space="preserve"> for the hydrodeoxygenation, hydrocracking and </w:t>
      </w:r>
      <w:proofErr w:type="spellStart"/>
      <w:r w:rsidR="0012243D">
        <w:t>hydroisomerization</w:t>
      </w:r>
      <w:proofErr w:type="spellEnd"/>
      <w:r w:rsidR="0012243D">
        <w:t xml:space="preserve"> reactions, originally carried in two reactors in the traditional route</w:t>
      </w:r>
      <w:r w:rsidRPr="00AE795E">
        <w:t xml:space="preserve">. Hydrolysis </w:t>
      </w:r>
      <w:r w:rsidR="00456370">
        <w:t xml:space="preserve">aims </w:t>
      </w:r>
      <w:r w:rsidRPr="00AE795E">
        <w:t xml:space="preserve">to transform the triglycerides present in the initial raw material into fatty acids, to facilitate their further treatment and reduce the amount of hydrogen </w:t>
      </w:r>
      <w:r w:rsidR="001718B9" w:rsidRPr="00AE795E">
        <w:t>needed. The</w:t>
      </w:r>
      <w:r w:rsidRPr="00AE795E">
        <w:t xml:space="preserve"> developed flow</w:t>
      </w:r>
      <w:r w:rsidR="009877FD">
        <w:t>sheet</w:t>
      </w:r>
      <w:r w:rsidRPr="00AE795E">
        <w:t xml:space="preserve"> can be seen in </w:t>
      </w:r>
      <w:r w:rsidR="00F2378C">
        <w:t>Figure 1</w:t>
      </w:r>
      <w:r w:rsidRPr="00AE795E">
        <w:t>.</w:t>
      </w:r>
    </w:p>
    <w:p w14:paraId="627871C8" w14:textId="6CD48E83" w:rsidR="00CC2A53" w:rsidRDefault="00CC2A53" w:rsidP="00AE795E">
      <w:pPr>
        <w:pStyle w:val="CETBodytext"/>
      </w:pPr>
      <w:r>
        <w:rPr>
          <w:noProof/>
          <w:szCs w:val="24"/>
          <w:lang w:eastAsia="pt-BR"/>
        </w:rPr>
        <w:drawing>
          <wp:inline distT="0" distB="0" distL="0" distR="0" wp14:anchorId="16700A19" wp14:editId="44AE0252">
            <wp:extent cx="5554980" cy="2078355"/>
            <wp:effectExtent l="0" t="0" r="7620" b="0"/>
            <wp:docPr id="1" name="Imagem 0" descr="ic.png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a ic.png"/>
                    <pic:cNvPicPr/>
                  </pic:nvPicPr>
                  <pic:blipFill>
                    <a:blip r:embed="rId13" cstate="print"/>
                    <a:stretch>
                      <a:fillRect/>
                    </a:stretch>
                  </pic:blipFill>
                  <pic:spPr>
                    <a:xfrm>
                      <a:off x="0" y="0"/>
                      <a:ext cx="5554980" cy="2078355"/>
                    </a:xfrm>
                    <a:prstGeom prst="rect">
                      <a:avLst/>
                    </a:prstGeom>
                  </pic:spPr>
                </pic:pic>
              </a:graphicData>
            </a:graphic>
          </wp:inline>
        </w:drawing>
      </w:r>
    </w:p>
    <w:p w14:paraId="4F5F446F" w14:textId="2C0286C9" w:rsidR="00CC2A53" w:rsidRPr="00D66293" w:rsidRDefault="00D66293" w:rsidP="00D66293">
      <w:pPr>
        <w:pStyle w:val="CETCaption"/>
      </w:pPr>
      <w:r w:rsidRPr="00D66293">
        <w:rPr>
          <w:rStyle w:val="CETCaptionCarattere"/>
          <w:i/>
        </w:rPr>
        <w:t xml:space="preserve">Figure 1: </w:t>
      </w:r>
      <w:proofErr w:type="spellStart"/>
      <w:r w:rsidRPr="00D66293">
        <w:rPr>
          <w:rStyle w:val="CETCaptionCarattere"/>
          <w:i/>
        </w:rPr>
        <w:t>Biojet</w:t>
      </w:r>
      <w:proofErr w:type="spellEnd"/>
      <w:r w:rsidRPr="00D66293">
        <w:rPr>
          <w:rStyle w:val="CETCaptionCarattere"/>
          <w:i/>
        </w:rPr>
        <w:t xml:space="preserve"> production unit by single-step route</w:t>
      </w:r>
      <w:r w:rsidRPr="00D66293">
        <w:t xml:space="preserve"> </w:t>
      </w:r>
    </w:p>
    <w:p w14:paraId="154E1136" w14:textId="37456F8C" w:rsidR="00E32BCD" w:rsidRDefault="00AE795E" w:rsidP="008427E8">
      <w:pPr>
        <w:pStyle w:val="CETBodytext"/>
      </w:pPr>
      <w:r w:rsidRPr="00AE795E">
        <w:t xml:space="preserve">The thermodynamic model adopted throughout the simulation was the PSRK (Predictive Soave-Redlich-Kwong) </w:t>
      </w:r>
      <w:r w:rsidR="00CC2A53">
        <w:t>since</w:t>
      </w:r>
      <w:r w:rsidRPr="00AE795E">
        <w:t xml:space="preserve"> it is suitable for mixtures of polar compounds, </w:t>
      </w:r>
      <w:r w:rsidR="00456370">
        <w:t xml:space="preserve">nonpolar </w:t>
      </w:r>
      <w:r w:rsidRPr="00AE795E">
        <w:t xml:space="preserve">and light gases, using high temperatures and pressures. </w:t>
      </w:r>
      <w:r w:rsidR="00E32BCD">
        <w:t>With the simulation developed, preliminary tests were made using a 2</w:t>
      </w:r>
      <w:r w:rsidR="00D66293">
        <w:rPr>
          <w:vertAlign w:val="superscript"/>
        </w:rPr>
        <w:t>3</w:t>
      </w:r>
      <w:r w:rsidR="00E32BCD">
        <w:t xml:space="preserve"> factorial planning to evaluate the reaction behavior in the </w:t>
      </w:r>
      <w:proofErr w:type="spellStart"/>
      <w:r w:rsidR="00E32BCD">
        <w:t>hydroprocessing</w:t>
      </w:r>
      <w:proofErr w:type="spellEnd"/>
      <w:r w:rsidR="00E32BCD">
        <w:t xml:space="preserve"> reactor and to </w:t>
      </w:r>
      <w:r w:rsidR="00FE0BCB">
        <w:t>search</w:t>
      </w:r>
      <w:r w:rsidR="00E32BCD">
        <w:t xml:space="preserve"> optimal operating conditions varying temperature, pressure, and hydrogen/oil ratio. </w:t>
      </w:r>
      <w:r w:rsidR="008127E9">
        <w:t>Also,</w:t>
      </w:r>
      <w:r w:rsidR="00595D16">
        <w:t xml:space="preserve"> </w:t>
      </w:r>
      <w:r w:rsidR="00E32BCD" w:rsidRPr="00E32BCD">
        <w:t xml:space="preserve">an energy analysis was made using the tools of Aspen Plus V10® and Aspen Energy Analyzer V10® for application of cost-effective energy integration exchangers in </w:t>
      </w:r>
      <w:r w:rsidR="008127E9">
        <w:t>simulation</w:t>
      </w:r>
      <w:r w:rsidR="00E32BCD" w:rsidRPr="00E32BCD">
        <w:t xml:space="preserve">. </w:t>
      </w:r>
      <w:r w:rsidR="008127E9">
        <w:t>An</w:t>
      </w:r>
      <w:r w:rsidR="00E32BCD" w:rsidRPr="00E32BCD">
        <w:t xml:space="preserve"> economic analysis was developed based on parameters of operating costs, initial capital, costs with raw materials, equipment, utilities</w:t>
      </w:r>
      <w:r w:rsidR="00287B8C">
        <w:t>,</w:t>
      </w:r>
      <w:r w:rsidR="00E32BCD" w:rsidRPr="00E32BCD">
        <w:t xml:space="preserve"> and payback period.</w:t>
      </w:r>
      <w:r w:rsidR="00E04997">
        <w:t xml:space="preserve"> Finally, a</w:t>
      </w:r>
      <w:r w:rsidR="003F5AD3">
        <w:t>n</w:t>
      </w:r>
      <w:r w:rsidR="00456370">
        <w:t xml:space="preserve"> environmental </w:t>
      </w:r>
      <w:r w:rsidR="00E04997">
        <w:t xml:space="preserve">analysis was developed </w:t>
      </w:r>
      <w:r w:rsidR="008127E9">
        <w:t xml:space="preserve">by greenhouse mass balance in a </w:t>
      </w:r>
      <w:r w:rsidR="00D8329C">
        <w:t>c</w:t>
      </w:r>
      <w:r w:rsidR="008127E9" w:rsidRPr="00582278">
        <w:t>radle</w:t>
      </w:r>
      <w:r w:rsidR="00582278">
        <w:t>-</w:t>
      </w:r>
      <w:r w:rsidR="008127E9" w:rsidRPr="00582278">
        <w:t>to</w:t>
      </w:r>
      <w:r w:rsidR="00582278">
        <w:t>-</w:t>
      </w:r>
      <w:r w:rsidR="008127E9" w:rsidRPr="00582278">
        <w:t>gate</w:t>
      </w:r>
      <w:r w:rsidR="008127E9">
        <w:rPr>
          <w:i/>
          <w:iCs/>
        </w:rPr>
        <w:t xml:space="preserve"> </w:t>
      </w:r>
      <w:r w:rsidR="008127E9">
        <w:t xml:space="preserve">cycle, considering </w:t>
      </w:r>
      <w:r w:rsidR="00595D16" w:rsidRPr="00595D16">
        <w:t xml:space="preserve">extraction and processing of natural resources, intermediate </w:t>
      </w:r>
      <w:r w:rsidR="00E12ABF" w:rsidRPr="00595D16">
        <w:t>products,</w:t>
      </w:r>
      <w:r w:rsidR="00595D16" w:rsidRPr="00595D16">
        <w:t xml:space="preserve"> and the manufacture of the main product</w:t>
      </w:r>
      <w:r w:rsidR="008127E9">
        <w:t>, using</w:t>
      </w:r>
      <w:r w:rsidR="00D8329C">
        <w:t xml:space="preserve"> CO</w:t>
      </w:r>
      <w:r w:rsidR="00D8329C">
        <w:rPr>
          <w:vertAlign w:val="subscript"/>
        </w:rPr>
        <w:t>2</w:t>
      </w:r>
      <w:r w:rsidR="00D8329C">
        <w:t xml:space="preserve"> emission data from</w:t>
      </w:r>
      <w:r w:rsidR="008127E9">
        <w:t xml:space="preserve"> </w:t>
      </w:r>
      <w:r w:rsidR="00287B8C">
        <w:t xml:space="preserve">the </w:t>
      </w:r>
      <w:r w:rsidR="008127E9">
        <w:t>literature</w:t>
      </w:r>
      <w:r w:rsidR="00D8329C">
        <w:t>.</w:t>
      </w:r>
      <w:r w:rsidR="00E04997">
        <w:t xml:space="preserve"> </w:t>
      </w:r>
    </w:p>
    <w:p w14:paraId="38A55653" w14:textId="592A71C0" w:rsidR="00E32BCD" w:rsidRDefault="00E32BCD" w:rsidP="00E32BCD">
      <w:pPr>
        <w:pStyle w:val="CETHeading1"/>
      </w:pPr>
      <w:r>
        <w:t xml:space="preserve">Results and </w:t>
      </w:r>
      <w:r w:rsidR="00520587">
        <w:t>D</w:t>
      </w:r>
      <w:r>
        <w:t>iscussion</w:t>
      </w:r>
    </w:p>
    <w:p w14:paraId="0A9B4264" w14:textId="32AF6FE9" w:rsidR="00E32BCD" w:rsidRDefault="00E32BCD" w:rsidP="00E32BCD">
      <w:pPr>
        <w:pStyle w:val="CETheadingx"/>
      </w:pPr>
      <w:r>
        <w:t>Parametric Analysis</w:t>
      </w:r>
    </w:p>
    <w:p w14:paraId="0F650AE6" w14:textId="447B61C5" w:rsidR="00E32BCD" w:rsidRDefault="00E32BCD" w:rsidP="00E32BCD">
      <w:pPr>
        <w:pStyle w:val="CETBodytext"/>
      </w:pPr>
      <w:r w:rsidRPr="00E32BCD">
        <w:t xml:space="preserve">From the </w:t>
      </w:r>
      <w:proofErr w:type="gramStart"/>
      <w:r w:rsidRPr="00E32BCD">
        <w:t>2</w:t>
      </w:r>
      <w:r w:rsidR="000502BD">
        <w:rPr>
          <w:vertAlign w:val="superscript"/>
        </w:rPr>
        <w:t>3</w:t>
      </w:r>
      <w:r w:rsidR="001718B9">
        <w:t xml:space="preserve"> </w:t>
      </w:r>
      <w:r w:rsidRPr="00E32BCD">
        <w:t>factorial</w:t>
      </w:r>
      <w:proofErr w:type="gramEnd"/>
      <w:r w:rsidRPr="00E32BCD">
        <w:t xml:space="preserve"> planning in R-02 reactor, it was possible to compare the composition of the final product for each operating condition, focusing on selectivity, yield</w:t>
      </w:r>
      <w:r w:rsidR="00287B8C">
        <w:t>,</w:t>
      </w:r>
      <w:r w:rsidRPr="00E32BCD">
        <w:t xml:space="preserve"> and isomers and linear hydrocarbons</w:t>
      </w:r>
      <w:r w:rsidR="00450BE8">
        <w:t xml:space="preserve"> ratio</w:t>
      </w:r>
      <w:r w:rsidRPr="00E32BCD">
        <w:t xml:space="preserve"> (</w:t>
      </w:r>
      <w:proofErr w:type="spellStart"/>
      <w:r w:rsidRPr="00E32BCD">
        <w:t>i</w:t>
      </w:r>
      <w:proofErr w:type="spellEnd"/>
      <w:r w:rsidRPr="00E32BCD">
        <w:t xml:space="preserve">/n). </w:t>
      </w:r>
      <w:r w:rsidR="008427E8">
        <w:t xml:space="preserve">The evaluated conditions </w:t>
      </w:r>
      <w:r w:rsidR="0016559D">
        <w:t>and r</w:t>
      </w:r>
      <w:r w:rsidRPr="00E32BCD">
        <w:t xml:space="preserve">esults are shown in </w:t>
      </w:r>
      <w:r w:rsidR="008427E8">
        <w:t>Table</w:t>
      </w:r>
      <w:r w:rsidRPr="00E32BCD">
        <w:t xml:space="preserve"> </w:t>
      </w:r>
      <w:r w:rsidR="0016559D">
        <w:t>1</w:t>
      </w:r>
      <w:r w:rsidRPr="00E32BCD">
        <w:t>.</w:t>
      </w:r>
    </w:p>
    <w:p w14:paraId="4C628B8C" w14:textId="20D53469" w:rsidR="009D24C6" w:rsidRDefault="009D24C6" w:rsidP="00E32BCD">
      <w:pPr>
        <w:pStyle w:val="CETBodytext"/>
        <w:rPr>
          <w:szCs w:val="24"/>
          <w:lang w:val="en"/>
        </w:rPr>
      </w:pPr>
      <w:r>
        <w:t xml:space="preserve">Parametric conditions tested were based on work published by Cheng et al (2014) and Zhang et al. (2017). </w:t>
      </w:r>
      <w:r>
        <w:rPr>
          <w:szCs w:val="24"/>
          <w:lang w:val="en"/>
        </w:rPr>
        <w:t xml:space="preserve">For </w:t>
      </w:r>
      <w:r w:rsidRPr="00D87137">
        <w:rPr>
          <w:szCs w:val="24"/>
          <w:lang w:val="en"/>
        </w:rPr>
        <w:t>all experimental conditions, the simulation presented good biokerosene yield values. An important parameter to be analyzed to define the quality of biokerosene is the</w:t>
      </w:r>
      <w:r>
        <w:rPr>
          <w:szCs w:val="24"/>
          <w:lang w:val="en"/>
        </w:rPr>
        <w:t xml:space="preserve"> </w:t>
      </w:r>
      <w:r w:rsidRPr="00E32BCD">
        <w:t>isomers and linear hydrocarbons</w:t>
      </w:r>
      <w:r>
        <w:t xml:space="preserve"> ratio (</w:t>
      </w:r>
      <w:proofErr w:type="spellStart"/>
      <w:r>
        <w:t>i</w:t>
      </w:r>
      <w:proofErr w:type="spellEnd"/>
      <w:r>
        <w:t>/n)</w:t>
      </w:r>
      <w:r w:rsidRPr="00D87137">
        <w:rPr>
          <w:szCs w:val="24"/>
          <w:lang w:val="en"/>
        </w:rPr>
        <w:t>. The literature shows that a</w:t>
      </w:r>
      <w:r>
        <w:rPr>
          <w:szCs w:val="24"/>
          <w:lang w:val="en"/>
        </w:rPr>
        <w:t xml:space="preserve"> high</w:t>
      </w:r>
      <w:r w:rsidRPr="00D87137">
        <w:rPr>
          <w:szCs w:val="24"/>
          <w:lang w:val="en"/>
        </w:rPr>
        <w:t xml:space="preserve"> quality biokerosene presents values of </w:t>
      </w:r>
      <w:proofErr w:type="spellStart"/>
      <w:r w:rsidRPr="00D87137">
        <w:rPr>
          <w:szCs w:val="24"/>
          <w:lang w:val="en"/>
        </w:rPr>
        <w:t>i</w:t>
      </w:r>
      <w:proofErr w:type="spellEnd"/>
      <w:r w:rsidRPr="00D87137">
        <w:rPr>
          <w:szCs w:val="24"/>
          <w:lang w:val="en"/>
        </w:rPr>
        <w:t>/n&gt;4.5, for better</w:t>
      </w:r>
      <w:r>
        <w:rPr>
          <w:szCs w:val="24"/>
          <w:lang w:val="en"/>
        </w:rPr>
        <w:t xml:space="preserve"> combustion quality and freezing properties</w:t>
      </w:r>
      <w:r>
        <w:rPr>
          <w:lang w:val="en"/>
        </w:rPr>
        <w:t xml:space="preserve"> </w:t>
      </w:r>
      <w:r w:rsidRPr="003533F9">
        <w:rPr>
          <w:szCs w:val="24"/>
          <w:lang w:val="en"/>
        </w:rPr>
        <w:t>(S</w:t>
      </w:r>
      <w:r>
        <w:rPr>
          <w:szCs w:val="24"/>
          <w:lang w:val="en"/>
        </w:rPr>
        <w:t>ousa</w:t>
      </w:r>
      <w:r w:rsidRPr="003533F9">
        <w:rPr>
          <w:szCs w:val="24"/>
          <w:lang w:val="en"/>
        </w:rPr>
        <w:t>, 2018).</w:t>
      </w:r>
      <w:r w:rsidR="00D103BB" w:rsidRPr="00D103BB">
        <w:rPr>
          <w:szCs w:val="24"/>
          <w:lang w:val="en"/>
        </w:rPr>
        <w:t xml:space="preserve"> </w:t>
      </w:r>
      <w:r w:rsidR="00D103BB" w:rsidRPr="00D87137">
        <w:rPr>
          <w:szCs w:val="24"/>
          <w:lang w:val="en"/>
        </w:rPr>
        <w:t>It is also possible to observe that good values of this parameter were obtained for the analyzed conditions.</w:t>
      </w:r>
      <w:r w:rsidR="00D103BB">
        <w:rPr>
          <w:szCs w:val="24"/>
          <w:lang w:val="en"/>
        </w:rPr>
        <w:t xml:space="preserve"> </w:t>
      </w:r>
      <w:r w:rsidR="00D103BB" w:rsidRPr="00D87137">
        <w:rPr>
          <w:szCs w:val="24"/>
          <w:lang w:val="en"/>
        </w:rPr>
        <w:t xml:space="preserve">The lowest </w:t>
      </w:r>
      <w:proofErr w:type="spellStart"/>
      <w:r w:rsidR="00D103BB" w:rsidRPr="00D87137">
        <w:rPr>
          <w:szCs w:val="24"/>
          <w:lang w:val="en"/>
        </w:rPr>
        <w:t>i</w:t>
      </w:r>
      <w:proofErr w:type="spellEnd"/>
      <w:r w:rsidR="00D103BB" w:rsidRPr="00D87137">
        <w:rPr>
          <w:szCs w:val="24"/>
          <w:lang w:val="en"/>
        </w:rPr>
        <w:t xml:space="preserve">/n values are observed for the simulations performed at higher temperatures, </w:t>
      </w:r>
      <w:r w:rsidR="00D103BB" w:rsidRPr="00D87137">
        <w:rPr>
          <w:szCs w:val="24"/>
          <w:lang w:val="en"/>
        </w:rPr>
        <w:lastRenderedPageBreak/>
        <w:t xml:space="preserve">presenting </w:t>
      </w:r>
      <w:r w:rsidR="00D103BB">
        <w:rPr>
          <w:szCs w:val="24"/>
          <w:lang w:val="en"/>
        </w:rPr>
        <w:t>low</w:t>
      </w:r>
      <w:r w:rsidR="00D103BB" w:rsidRPr="00D87137">
        <w:rPr>
          <w:szCs w:val="24"/>
          <w:lang w:val="en"/>
        </w:rPr>
        <w:t xml:space="preserve"> variation with change</w:t>
      </w:r>
      <w:r w:rsidR="00D103BB">
        <w:rPr>
          <w:szCs w:val="24"/>
          <w:lang w:val="en"/>
        </w:rPr>
        <w:t>s</w:t>
      </w:r>
      <w:r w:rsidR="00D103BB" w:rsidRPr="00D87137">
        <w:rPr>
          <w:szCs w:val="24"/>
          <w:lang w:val="en"/>
        </w:rPr>
        <w:t xml:space="preserve"> in pressure and amount of hydrogen. For simulations at</w:t>
      </w:r>
      <w:r w:rsidR="00D103BB">
        <w:rPr>
          <w:szCs w:val="24"/>
          <w:lang w:val="en"/>
        </w:rPr>
        <w:t xml:space="preserve"> the</w:t>
      </w:r>
      <w:r w:rsidR="00D103BB" w:rsidRPr="00D87137">
        <w:rPr>
          <w:szCs w:val="24"/>
          <w:lang w:val="en"/>
        </w:rPr>
        <w:t xml:space="preserve"> </w:t>
      </w:r>
      <w:r w:rsidR="00D103BB">
        <w:rPr>
          <w:lang w:val="en"/>
        </w:rPr>
        <w:t>lowest temperatures, there was</w:t>
      </w:r>
      <w:r w:rsidR="00D103BB" w:rsidRPr="00D87137">
        <w:rPr>
          <w:szCs w:val="24"/>
          <w:lang w:val="en"/>
        </w:rPr>
        <w:t xml:space="preserve"> an increase in </w:t>
      </w:r>
      <w:proofErr w:type="spellStart"/>
      <w:r w:rsidR="00D103BB" w:rsidRPr="00D87137">
        <w:rPr>
          <w:szCs w:val="24"/>
          <w:lang w:val="en"/>
        </w:rPr>
        <w:t>i</w:t>
      </w:r>
      <w:proofErr w:type="spellEnd"/>
      <w:r w:rsidR="00D103BB" w:rsidRPr="00D87137">
        <w:rPr>
          <w:szCs w:val="24"/>
          <w:lang w:val="en"/>
        </w:rPr>
        <w:t>/n ratio</w:t>
      </w:r>
      <w:r w:rsidR="00D103BB">
        <w:rPr>
          <w:szCs w:val="24"/>
          <w:lang w:val="en"/>
        </w:rPr>
        <w:t xml:space="preserve"> for all pressures and hydrogen/oil ratios applied.</w:t>
      </w:r>
    </w:p>
    <w:p w14:paraId="3D3E4C43" w14:textId="5E8A07DA" w:rsidR="00A30FC6" w:rsidRPr="00B57B36" w:rsidRDefault="00A30FC6" w:rsidP="0036473A">
      <w:pPr>
        <w:pStyle w:val="CETTabletitle"/>
        <w:spacing w:before="120" w:after="0"/>
      </w:pPr>
      <w:r w:rsidRPr="00B57B36">
        <w:t xml:space="preserve">Table 1: </w:t>
      </w:r>
      <w:r>
        <w:t>Results of parametric analysis</w:t>
      </w:r>
    </w:p>
    <w:tbl>
      <w:tblPr>
        <w:tblW w:w="864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1276"/>
        <w:gridCol w:w="992"/>
        <w:gridCol w:w="1134"/>
        <w:gridCol w:w="992"/>
        <w:gridCol w:w="993"/>
        <w:gridCol w:w="992"/>
        <w:gridCol w:w="850"/>
        <w:gridCol w:w="709"/>
      </w:tblGrid>
      <w:tr w:rsidR="00D8329C" w:rsidRPr="00B57B36" w14:paraId="52195415" w14:textId="1C51A707" w:rsidTr="007C29B8">
        <w:tc>
          <w:tcPr>
            <w:tcW w:w="709" w:type="dxa"/>
            <w:tcBorders>
              <w:top w:val="single" w:sz="12" w:space="0" w:color="008000"/>
              <w:bottom w:val="single" w:sz="6" w:space="0" w:color="008000"/>
            </w:tcBorders>
            <w:shd w:val="clear" w:color="auto" w:fill="FFFFFF"/>
          </w:tcPr>
          <w:p w14:paraId="73434BF5" w14:textId="692E2911" w:rsidR="006E75DA" w:rsidRDefault="006E75DA" w:rsidP="00516303">
            <w:pPr>
              <w:pStyle w:val="CETBodytext"/>
              <w:rPr>
                <w:lang w:val="en-GB"/>
              </w:rPr>
            </w:pPr>
            <w:r>
              <w:rPr>
                <w:lang w:val="en-GB"/>
              </w:rPr>
              <w:t>Test</w:t>
            </w:r>
          </w:p>
        </w:tc>
        <w:tc>
          <w:tcPr>
            <w:tcW w:w="1276" w:type="dxa"/>
            <w:tcBorders>
              <w:top w:val="single" w:sz="12" w:space="0" w:color="008000"/>
              <w:bottom w:val="single" w:sz="6" w:space="0" w:color="008000"/>
            </w:tcBorders>
            <w:shd w:val="clear" w:color="auto" w:fill="FFFFFF"/>
          </w:tcPr>
          <w:p w14:paraId="7B0921AB" w14:textId="1E31B040" w:rsidR="006E75DA" w:rsidRPr="00B57B36" w:rsidRDefault="006E75DA" w:rsidP="00516303">
            <w:pPr>
              <w:pStyle w:val="CETBodytext"/>
              <w:rPr>
                <w:lang w:val="en-GB"/>
              </w:rPr>
            </w:pPr>
            <w:r>
              <w:rPr>
                <w:lang w:val="en-GB"/>
              </w:rPr>
              <w:t xml:space="preserve">Temperature (ºC) </w:t>
            </w:r>
            <w:r w:rsidRPr="00B57B36">
              <w:rPr>
                <w:lang w:val="en-GB"/>
              </w:rPr>
              <w:t xml:space="preserve"> </w:t>
            </w:r>
          </w:p>
        </w:tc>
        <w:tc>
          <w:tcPr>
            <w:tcW w:w="992" w:type="dxa"/>
            <w:tcBorders>
              <w:top w:val="single" w:sz="12" w:space="0" w:color="008000"/>
              <w:bottom w:val="single" w:sz="6" w:space="0" w:color="008000"/>
            </w:tcBorders>
            <w:shd w:val="clear" w:color="auto" w:fill="FFFFFF"/>
          </w:tcPr>
          <w:p w14:paraId="285D8785" w14:textId="73CB9AD8" w:rsidR="006E75DA" w:rsidRPr="00B57B36" w:rsidRDefault="006E75DA" w:rsidP="00516303">
            <w:pPr>
              <w:pStyle w:val="CETBodytext"/>
              <w:rPr>
                <w:lang w:val="en-GB"/>
              </w:rPr>
            </w:pPr>
            <w:r>
              <w:rPr>
                <w:lang w:val="en-GB"/>
              </w:rPr>
              <w:t>Pressure (bar)</w:t>
            </w:r>
          </w:p>
        </w:tc>
        <w:tc>
          <w:tcPr>
            <w:tcW w:w="1134" w:type="dxa"/>
            <w:tcBorders>
              <w:top w:val="single" w:sz="12" w:space="0" w:color="008000"/>
              <w:bottom w:val="single" w:sz="6" w:space="0" w:color="008000"/>
            </w:tcBorders>
            <w:shd w:val="clear" w:color="auto" w:fill="FFFFFF"/>
          </w:tcPr>
          <w:p w14:paraId="2724D076" w14:textId="5C64F492" w:rsidR="006E75DA" w:rsidRPr="00B57B36" w:rsidRDefault="006E75DA" w:rsidP="00516303">
            <w:pPr>
              <w:pStyle w:val="CETBodytext"/>
              <w:rPr>
                <w:lang w:val="en-GB"/>
              </w:rPr>
            </w:pPr>
            <w:r>
              <w:rPr>
                <w:lang w:val="en-GB"/>
              </w:rPr>
              <w:t>Hydrogen/oil ratio</w:t>
            </w:r>
          </w:p>
        </w:tc>
        <w:tc>
          <w:tcPr>
            <w:tcW w:w="992" w:type="dxa"/>
            <w:tcBorders>
              <w:top w:val="single" w:sz="12" w:space="0" w:color="008000"/>
              <w:bottom w:val="single" w:sz="6" w:space="0" w:color="008000"/>
            </w:tcBorders>
            <w:shd w:val="clear" w:color="auto" w:fill="FFFFFF"/>
          </w:tcPr>
          <w:p w14:paraId="4A5DFBDC" w14:textId="60BEE5B1" w:rsidR="006E75DA" w:rsidRPr="00B57B36" w:rsidRDefault="006E75DA" w:rsidP="00516303">
            <w:pPr>
              <w:pStyle w:val="CETBodytext"/>
              <w:ind w:right="-1"/>
              <w:rPr>
                <w:rFonts w:cs="Arial"/>
                <w:szCs w:val="18"/>
                <w:lang w:val="en-GB"/>
              </w:rPr>
            </w:pPr>
            <w:r>
              <w:rPr>
                <w:lang w:val="en-GB"/>
              </w:rPr>
              <w:t>Linear Selectivity (%)</w:t>
            </w:r>
          </w:p>
        </w:tc>
        <w:tc>
          <w:tcPr>
            <w:tcW w:w="993" w:type="dxa"/>
            <w:tcBorders>
              <w:top w:val="single" w:sz="12" w:space="0" w:color="008000"/>
              <w:bottom w:val="single" w:sz="6" w:space="0" w:color="008000"/>
            </w:tcBorders>
            <w:shd w:val="clear" w:color="auto" w:fill="FFFFFF"/>
          </w:tcPr>
          <w:p w14:paraId="0664D9E8" w14:textId="579BDB21" w:rsidR="006E75DA" w:rsidRPr="00B57B36" w:rsidRDefault="00A41EA4" w:rsidP="00516303">
            <w:pPr>
              <w:pStyle w:val="CETBodytext"/>
              <w:ind w:right="-1"/>
              <w:rPr>
                <w:rFonts w:cs="Arial"/>
                <w:szCs w:val="18"/>
                <w:lang w:val="en-GB"/>
              </w:rPr>
            </w:pPr>
            <w:r>
              <w:rPr>
                <w:lang w:val="en-GB"/>
              </w:rPr>
              <w:t>Isomer Selectivity</w:t>
            </w:r>
            <w:r w:rsidR="006E75DA">
              <w:rPr>
                <w:lang w:val="en-GB"/>
              </w:rPr>
              <w:t xml:space="preserve"> (%)</w:t>
            </w:r>
          </w:p>
        </w:tc>
        <w:tc>
          <w:tcPr>
            <w:tcW w:w="992" w:type="dxa"/>
            <w:tcBorders>
              <w:top w:val="single" w:sz="12" w:space="0" w:color="008000"/>
              <w:bottom w:val="single" w:sz="6" w:space="0" w:color="008000"/>
            </w:tcBorders>
            <w:shd w:val="clear" w:color="auto" w:fill="FFFFFF"/>
          </w:tcPr>
          <w:p w14:paraId="1293FB38" w14:textId="1B54FB69" w:rsidR="006E75DA" w:rsidRPr="00B57B36" w:rsidRDefault="006E75DA" w:rsidP="00516303">
            <w:pPr>
              <w:pStyle w:val="CETBodytext"/>
              <w:ind w:right="-1"/>
              <w:rPr>
                <w:rFonts w:cs="Arial"/>
                <w:szCs w:val="18"/>
                <w:lang w:val="en-GB"/>
              </w:rPr>
            </w:pPr>
            <w:r>
              <w:rPr>
                <w:lang w:val="en-GB"/>
              </w:rPr>
              <w:t>Aromatics Selectivity (%)</w:t>
            </w:r>
          </w:p>
        </w:tc>
        <w:tc>
          <w:tcPr>
            <w:tcW w:w="850" w:type="dxa"/>
            <w:tcBorders>
              <w:top w:val="single" w:sz="12" w:space="0" w:color="008000"/>
              <w:bottom w:val="single" w:sz="6" w:space="0" w:color="008000"/>
            </w:tcBorders>
            <w:shd w:val="clear" w:color="auto" w:fill="FFFFFF"/>
          </w:tcPr>
          <w:p w14:paraId="3254DA7A" w14:textId="588B23E1" w:rsidR="006E75DA" w:rsidRDefault="006E75DA" w:rsidP="00516303">
            <w:pPr>
              <w:pStyle w:val="CETBodytext"/>
              <w:ind w:right="-1"/>
              <w:rPr>
                <w:rFonts w:cs="Arial"/>
                <w:szCs w:val="18"/>
                <w:lang w:val="en-GB"/>
              </w:rPr>
            </w:pPr>
            <w:proofErr w:type="spellStart"/>
            <w:r>
              <w:rPr>
                <w:rFonts w:cs="Arial"/>
                <w:szCs w:val="18"/>
                <w:lang w:val="en-GB"/>
              </w:rPr>
              <w:t>i</w:t>
            </w:r>
            <w:proofErr w:type="spellEnd"/>
            <w:r>
              <w:rPr>
                <w:rFonts w:cs="Arial"/>
                <w:szCs w:val="18"/>
                <w:lang w:val="en-GB"/>
              </w:rPr>
              <w:t xml:space="preserve">/n </w:t>
            </w:r>
          </w:p>
        </w:tc>
        <w:tc>
          <w:tcPr>
            <w:tcW w:w="709" w:type="dxa"/>
            <w:tcBorders>
              <w:top w:val="single" w:sz="12" w:space="0" w:color="008000"/>
              <w:bottom w:val="single" w:sz="6" w:space="0" w:color="008000"/>
            </w:tcBorders>
            <w:shd w:val="clear" w:color="auto" w:fill="FFFFFF"/>
          </w:tcPr>
          <w:p w14:paraId="038166AD" w14:textId="720AACB2" w:rsidR="006E75DA" w:rsidRDefault="006E75DA" w:rsidP="00516303">
            <w:pPr>
              <w:pStyle w:val="CETBodytext"/>
              <w:ind w:right="-1"/>
              <w:rPr>
                <w:rFonts w:cs="Arial"/>
                <w:szCs w:val="18"/>
                <w:lang w:val="en-GB"/>
              </w:rPr>
            </w:pPr>
            <w:r>
              <w:rPr>
                <w:rFonts w:cs="Arial"/>
                <w:szCs w:val="18"/>
                <w:lang w:val="en-GB"/>
              </w:rPr>
              <w:t>Yield</w:t>
            </w:r>
          </w:p>
        </w:tc>
      </w:tr>
      <w:tr w:rsidR="00D8329C" w:rsidRPr="00B57B36" w14:paraId="76486E17" w14:textId="164CB7FE" w:rsidTr="007C29B8">
        <w:tc>
          <w:tcPr>
            <w:tcW w:w="709" w:type="dxa"/>
            <w:shd w:val="clear" w:color="auto" w:fill="FFFFFF"/>
          </w:tcPr>
          <w:p w14:paraId="7E021DC3" w14:textId="3C2308B9" w:rsidR="006E75DA" w:rsidRDefault="006E75DA" w:rsidP="00516303">
            <w:pPr>
              <w:pStyle w:val="CETBodytext"/>
              <w:rPr>
                <w:lang w:val="en-GB"/>
              </w:rPr>
            </w:pPr>
            <w:r>
              <w:rPr>
                <w:lang w:val="en-GB"/>
              </w:rPr>
              <w:t>000</w:t>
            </w:r>
          </w:p>
        </w:tc>
        <w:tc>
          <w:tcPr>
            <w:tcW w:w="1276" w:type="dxa"/>
            <w:shd w:val="clear" w:color="auto" w:fill="FFFFFF"/>
          </w:tcPr>
          <w:p w14:paraId="30BB8112" w14:textId="58C3ACFC" w:rsidR="006E75DA" w:rsidRPr="00582278" w:rsidRDefault="006E75DA" w:rsidP="00516303">
            <w:pPr>
              <w:pStyle w:val="CETBodytext"/>
              <w:rPr>
                <w:sz w:val="20"/>
                <w:szCs w:val="22"/>
              </w:rPr>
            </w:pPr>
            <w:r>
              <w:rPr>
                <w:lang w:val="en-GB"/>
              </w:rPr>
              <w:t xml:space="preserve">390 </w:t>
            </w:r>
          </w:p>
        </w:tc>
        <w:tc>
          <w:tcPr>
            <w:tcW w:w="992" w:type="dxa"/>
            <w:shd w:val="clear" w:color="auto" w:fill="FFFFFF"/>
          </w:tcPr>
          <w:p w14:paraId="24536868" w14:textId="5726B39C" w:rsidR="006E75DA" w:rsidRPr="00B57B36" w:rsidRDefault="006E75DA" w:rsidP="00516303">
            <w:pPr>
              <w:pStyle w:val="CETBodytext"/>
              <w:rPr>
                <w:lang w:val="en-GB"/>
              </w:rPr>
            </w:pPr>
            <w:r>
              <w:rPr>
                <w:lang w:val="en-GB"/>
              </w:rPr>
              <w:t xml:space="preserve">40 </w:t>
            </w:r>
          </w:p>
        </w:tc>
        <w:tc>
          <w:tcPr>
            <w:tcW w:w="1134" w:type="dxa"/>
            <w:shd w:val="clear" w:color="auto" w:fill="FFFFFF"/>
          </w:tcPr>
          <w:p w14:paraId="2ED92198" w14:textId="3E46E2D8" w:rsidR="006E75DA" w:rsidRPr="00B57B36" w:rsidRDefault="006E75DA" w:rsidP="00516303">
            <w:pPr>
              <w:pStyle w:val="CETBodytext"/>
              <w:rPr>
                <w:lang w:val="en-GB"/>
              </w:rPr>
            </w:pPr>
            <w:r>
              <w:rPr>
                <w:lang w:val="en-GB"/>
              </w:rPr>
              <w:t>1000</w:t>
            </w:r>
          </w:p>
        </w:tc>
        <w:tc>
          <w:tcPr>
            <w:tcW w:w="992" w:type="dxa"/>
            <w:shd w:val="clear" w:color="auto" w:fill="FFFFFF"/>
          </w:tcPr>
          <w:p w14:paraId="5AEA8674" w14:textId="21F94B22" w:rsidR="006E75DA" w:rsidRPr="00B57B36" w:rsidRDefault="0080233E" w:rsidP="00516303">
            <w:pPr>
              <w:pStyle w:val="CETBodytext"/>
              <w:ind w:right="-1"/>
              <w:rPr>
                <w:rFonts w:cs="Arial"/>
                <w:szCs w:val="18"/>
                <w:lang w:val="en-GB"/>
              </w:rPr>
            </w:pPr>
            <w:r>
              <w:rPr>
                <w:rFonts w:cs="Arial"/>
                <w:szCs w:val="18"/>
                <w:lang w:val="en-GB"/>
              </w:rPr>
              <w:t>13.5</w:t>
            </w:r>
          </w:p>
        </w:tc>
        <w:tc>
          <w:tcPr>
            <w:tcW w:w="993" w:type="dxa"/>
            <w:shd w:val="clear" w:color="auto" w:fill="FFFFFF"/>
          </w:tcPr>
          <w:p w14:paraId="6A27611C" w14:textId="57352E15" w:rsidR="006E75DA" w:rsidRPr="00B57B36" w:rsidRDefault="0080233E" w:rsidP="00516303">
            <w:pPr>
              <w:pStyle w:val="CETBodytext"/>
              <w:ind w:right="-1"/>
              <w:rPr>
                <w:rFonts w:cs="Arial"/>
                <w:szCs w:val="18"/>
                <w:lang w:val="en-GB"/>
              </w:rPr>
            </w:pPr>
            <w:r>
              <w:rPr>
                <w:rFonts w:cs="Arial"/>
                <w:szCs w:val="18"/>
                <w:lang w:val="en-GB"/>
              </w:rPr>
              <w:t>73.98</w:t>
            </w:r>
          </w:p>
        </w:tc>
        <w:tc>
          <w:tcPr>
            <w:tcW w:w="992" w:type="dxa"/>
            <w:shd w:val="clear" w:color="auto" w:fill="FFFFFF"/>
          </w:tcPr>
          <w:p w14:paraId="7234FFDB" w14:textId="65C75D48" w:rsidR="006E75DA" w:rsidRPr="00B57B36" w:rsidRDefault="0080233E" w:rsidP="00516303">
            <w:pPr>
              <w:pStyle w:val="CETBodytext"/>
              <w:ind w:right="-1"/>
              <w:rPr>
                <w:rFonts w:cs="Arial"/>
                <w:szCs w:val="18"/>
                <w:lang w:val="en-GB"/>
              </w:rPr>
            </w:pPr>
            <w:r>
              <w:rPr>
                <w:rFonts w:cs="Arial"/>
                <w:szCs w:val="18"/>
                <w:lang w:val="en-GB"/>
              </w:rPr>
              <w:t>-</w:t>
            </w:r>
          </w:p>
        </w:tc>
        <w:tc>
          <w:tcPr>
            <w:tcW w:w="850" w:type="dxa"/>
            <w:shd w:val="clear" w:color="auto" w:fill="FFFFFF"/>
          </w:tcPr>
          <w:p w14:paraId="60F47D9D" w14:textId="00E25220" w:rsidR="006E75DA" w:rsidRPr="00B57B36" w:rsidRDefault="0080233E" w:rsidP="00516303">
            <w:pPr>
              <w:pStyle w:val="CETBodytext"/>
              <w:ind w:right="-1"/>
              <w:rPr>
                <w:rFonts w:cs="Arial"/>
                <w:szCs w:val="18"/>
                <w:lang w:val="en-GB"/>
              </w:rPr>
            </w:pPr>
            <w:r>
              <w:rPr>
                <w:rFonts w:cs="Arial"/>
                <w:szCs w:val="18"/>
                <w:lang w:val="en-GB"/>
              </w:rPr>
              <w:t>5.48</w:t>
            </w:r>
          </w:p>
        </w:tc>
        <w:tc>
          <w:tcPr>
            <w:tcW w:w="709" w:type="dxa"/>
            <w:shd w:val="clear" w:color="auto" w:fill="FFFFFF"/>
          </w:tcPr>
          <w:p w14:paraId="183B4725" w14:textId="729892E7" w:rsidR="006E75DA" w:rsidRPr="00B57B36" w:rsidRDefault="0080233E" w:rsidP="00516303">
            <w:pPr>
              <w:pStyle w:val="CETBodytext"/>
              <w:ind w:right="-1"/>
              <w:rPr>
                <w:rFonts w:cs="Arial"/>
                <w:szCs w:val="18"/>
                <w:lang w:val="en-GB"/>
              </w:rPr>
            </w:pPr>
            <w:r>
              <w:rPr>
                <w:rFonts w:cs="Arial"/>
                <w:szCs w:val="18"/>
                <w:lang w:val="en-GB"/>
              </w:rPr>
              <w:t>68.16</w:t>
            </w:r>
          </w:p>
        </w:tc>
      </w:tr>
      <w:tr w:rsidR="00D8329C" w:rsidRPr="00B57B36" w14:paraId="724A6EB9" w14:textId="35250EF0" w:rsidTr="007C29B8">
        <w:tc>
          <w:tcPr>
            <w:tcW w:w="709" w:type="dxa"/>
            <w:shd w:val="clear" w:color="auto" w:fill="FFFFFF"/>
          </w:tcPr>
          <w:p w14:paraId="3832E935" w14:textId="6FAA14EA" w:rsidR="006E75DA" w:rsidRDefault="006E75DA" w:rsidP="006E75DA">
            <w:pPr>
              <w:pStyle w:val="CETBodytext"/>
              <w:ind w:right="-1"/>
              <w:rPr>
                <w:rFonts w:cs="Arial"/>
                <w:szCs w:val="18"/>
                <w:lang w:val="en-GB"/>
              </w:rPr>
            </w:pPr>
            <w:r>
              <w:rPr>
                <w:rFonts w:cs="Arial"/>
                <w:szCs w:val="18"/>
                <w:lang w:val="en-GB"/>
              </w:rPr>
              <w:t xml:space="preserve">+++ </w:t>
            </w:r>
          </w:p>
          <w:p w14:paraId="14297857" w14:textId="6AF14147" w:rsidR="006E75DA" w:rsidRDefault="006E75DA" w:rsidP="006E75DA">
            <w:pPr>
              <w:pStyle w:val="CETBodytext"/>
              <w:ind w:right="-1"/>
              <w:rPr>
                <w:rFonts w:cs="Arial"/>
                <w:szCs w:val="18"/>
                <w:lang w:val="en-GB"/>
              </w:rPr>
            </w:pPr>
            <w:r>
              <w:rPr>
                <w:rFonts w:cs="Arial"/>
                <w:szCs w:val="18"/>
                <w:lang w:val="en-GB"/>
              </w:rPr>
              <w:t xml:space="preserve">++- </w:t>
            </w:r>
          </w:p>
          <w:p w14:paraId="15FA4C2B" w14:textId="44622CC4" w:rsidR="006E75DA" w:rsidRDefault="006E75DA" w:rsidP="006E75DA">
            <w:pPr>
              <w:pStyle w:val="CETBodytext"/>
              <w:ind w:right="-1"/>
              <w:rPr>
                <w:rFonts w:cs="Arial"/>
                <w:szCs w:val="18"/>
                <w:lang w:val="en-GB"/>
              </w:rPr>
            </w:pPr>
            <w:r>
              <w:rPr>
                <w:rFonts w:cs="Arial"/>
                <w:szCs w:val="18"/>
                <w:lang w:val="en-GB"/>
              </w:rPr>
              <w:t xml:space="preserve">+-+ </w:t>
            </w:r>
          </w:p>
          <w:p w14:paraId="3E48C7B1" w14:textId="055C2B4E" w:rsidR="006E75DA" w:rsidRDefault="006E75DA" w:rsidP="006E75DA">
            <w:pPr>
              <w:pStyle w:val="CETBodytext"/>
              <w:ind w:right="-1"/>
              <w:rPr>
                <w:rFonts w:cs="Arial"/>
                <w:szCs w:val="18"/>
                <w:lang w:val="en-GB"/>
              </w:rPr>
            </w:pPr>
            <w:r>
              <w:rPr>
                <w:rFonts w:cs="Arial"/>
                <w:szCs w:val="18"/>
                <w:lang w:val="en-GB"/>
              </w:rPr>
              <w:t xml:space="preserve">+--  </w:t>
            </w:r>
          </w:p>
          <w:p w14:paraId="0921A260" w14:textId="3BF6097B" w:rsidR="006E75DA" w:rsidRDefault="006E75DA" w:rsidP="006E75DA">
            <w:pPr>
              <w:pStyle w:val="CETBodytext"/>
              <w:ind w:right="-1"/>
              <w:rPr>
                <w:rFonts w:cs="Arial"/>
                <w:szCs w:val="18"/>
                <w:lang w:val="en-GB"/>
              </w:rPr>
            </w:pPr>
            <w:r>
              <w:rPr>
                <w:rFonts w:cs="Arial"/>
                <w:szCs w:val="18"/>
                <w:lang w:val="en-GB"/>
              </w:rPr>
              <w:t xml:space="preserve">-++ </w:t>
            </w:r>
          </w:p>
          <w:p w14:paraId="6A5F04E1" w14:textId="68D68BB9" w:rsidR="006E75DA" w:rsidRDefault="006E75DA" w:rsidP="006E75DA">
            <w:pPr>
              <w:pStyle w:val="CETBodytext"/>
              <w:ind w:right="-1"/>
              <w:rPr>
                <w:rFonts w:cs="Arial"/>
                <w:szCs w:val="18"/>
                <w:lang w:val="en-GB"/>
              </w:rPr>
            </w:pPr>
            <w:r>
              <w:rPr>
                <w:rFonts w:cs="Arial"/>
                <w:szCs w:val="18"/>
                <w:lang w:val="en-GB"/>
              </w:rPr>
              <w:t xml:space="preserve">-+- </w:t>
            </w:r>
          </w:p>
          <w:p w14:paraId="5A4B1AEE" w14:textId="09BB2276" w:rsidR="006E75DA" w:rsidRDefault="006E75DA" w:rsidP="006E75DA">
            <w:pPr>
              <w:pStyle w:val="CETBodytext"/>
              <w:ind w:right="-1"/>
              <w:rPr>
                <w:rFonts w:cs="Arial"/>
                <w:szCs w:val="18"/>
                <w:lang w:val="en-GB"/>
              </w:rPr>
            </w:pPr>
            <w:r>
              <w:rPr>
                <w:rFonts w:cs="Arial"/>
                <w:szCs w:val="18"/>
                <w:lang w:val="en-GB"/>
              </w:rPr>
              <w:t xml:space="preserve">--+ </w:t>
            </w:r>
          </w:p>
          <w:p w14:paraId="5F9C755D" w14:textId="1F392A5A" w:rsidR="006E75DA" w:rsidRDefault="006E75DA" w:rsidP="006E75DA">
            <w:pPr>
              <w:pStyle w:val="CETBodytext"/>
              <w:ind w:right="-1"/>
              <w:rPr>
                <w:rFonts w:cs="Arial"/>
                <w:szCs w:val="18"/>
                <w:lang w:val="en-GB"/>
              </w:rPr>
            </w:pPr>
            <w:r>
              <w:rPr>
                <w:rFonts w:cs="Arial"/>
                <w:szCs w:val="18"/>
                <w:lang w:val="en-GB"/>
              </w:rPr>
              <w:t xml:space="preserve">--- </w:t>
            </w:r>
          </w:p>
        </w:tc>
        <w:tc>
          <w:tcPr>
            <w:tcW w:w="1276" w:type="dxa"/>
            <w:shd w:val="clear" w:color="auto" w:fill="FFFFFF"/>
          </w:tcPr>
          <w:p w14:paraId="4BE08FBC" w14:textId="396E0930" w:rsidR="006E75DA" w:rsidRDefault="006E75DA" w:rsidP="00516303">
            <w:pPr>
              <w:pStyle w:val="CETBodytext"/>
              <w:ind w:right="-1"/>
              <w:rPr>
                <w:rFonts w:cs="Arial"/>
                <w:szCs w:val="18"/>
                <w:lang w:val="en-GB"/>
              </w:rPr>
            </w:pPr>
            <w:r>
              <w:rPr>
                <w:rFonts w:cs="Arial"/>
                <w:szCs w:val="18"/>
                <w:lang w:val="en-GB"/>
              </w:rPr>
              <w:t>500</w:t>
            </w:r>
          </w:p>
          <w:p w14:paraId="7C1E8445" w14:textId="61C93C15" w:rsidR="006E75DA" w:rsidRDefault="006E75DA" w:rsidP="00516303">
            <w:pPr>
              <w:pStyle w:val="CETBodytext"/>
              <w:ind w:right="-1"/>
              <w:rPr>
                <w:rFonts w:cs="Arial"/>
                <w:szCs w:val="18"/>
                <w:lang w:val="en-GB"/>
              </w:rPr>
            </w:pPr>
            <w:r>
              <w:rPr>
                <w:rFonts w:cs="Arial"/>
                <w:szCs w:val="18"/>
                <w:lang w:val="en-GB"/>
              </w:rPr>
              <w:t>500</w:t>
            </w:r>
          </w:p>
          <w:p w14:paraId="5B8DF910" w14:textId="1E805E54" w:rsidR="006E75DA" w:rsidRDefault="006E75DA" w:rsidP="00516303">
            <w:pPr>
              <w:pStyle w:val="CETBodytext"/>
              <w:ind w:right="-1"/>
              <w:rPr>
                <w:rFonts w:cs="Arial"/>
                <w:szCs w:val="18"/>
                <w:lang w:val="en-GB"/>
              </w:rPr>
            </w:pPr>
            <w:r>
              <w:rPr>
                <w:rFonts w:cs="Arial"/>
                <w:szCs w:val="18"/>
                <w:lang w:val="en-GB"/>
              </w:rPr>
              <w:t>500</w:t>
            </w:r>
          </w:p>
          <w:p w14:paraId="73577373" w14:textId="19C71037" w:rsidR="006E75DA" w:rsidRDefault="006E75DA" w:rsidP="00516303">
            <w:pPr>
              <w:pStyle w:val="CETBodytext"/>
              <w:ind w:right="-1"/>
              <w:rPr>
                <w:rFonts w:cs="Arial"/>
                <w:szCs w:val="18"/>
                <w:lang w:val="en-GB"/>
              </w:rPr>
            </w:pPr>
            <w:r>
              <w:rPr>
                <w:rFonts w:cs="Arial"/>
                <w:szCs w:val="18"/>
                <w:lang w:val="en-GB"/>
              </w:rPr>
              <w:t>500</w:t>
            </w:r>
          </w:p>
          <w:p w14:paraId="5417842C" w14:textId="4A1291E7" w:rsidR="006E75DA" w:rsidRDefault="006E75DA" w:rsidP="00516303">
            <w:pPr>
              <w:pStyle w:val="CETBodytext"/>
              <w:ind w:right="-1"/>
              <w:rPr>
                <w:rFonts w:cs="Arial"/>
                <w:szCs w:val="18"/>
                <w:lang w:val="en-GB"/>
              </w:rPr>
            </w:pPr>
            <w:r>
              <w:rPr>
                <w:rFonts w:cs="Arial"/>
                <w:szCs w:val="18"/>
                <w:lang w:val="en-GB"/>
              </w:rPr>
              <w:t>3</w:t>
            </w:r>
            <w:r w:rsidR="00BD6AD1">
              <w:rPr>
                <w:rFonts w:cs="Arial"/>
                <w:szCs w:val="18"/>
                <w:lang w:val="en-GB"/>
              </w:rPr>
              <w:t>00</w:t>
            </w:r>
          </w:p>
          <w:p w14:paraId="51EACB14" w14:textId="2899AC82" w:rsidR="006E75DA" w:rsidRDefault="006E75DA" w:rsidP="00516303">
            <w:pPr>
              <w:pStyle w:val="CETBodytext"/>
              <w:ind w:right="-1"/>
              <w:rPr>
                <w:rFonts w:cs="Arial"/>
                <w:szCs w:val="18"/>
                <w:lang w:val="en-GB"/>
              </w:rPr>
            </w:pPr>
            <w:r>
              <w:rPr>
                <w:rFonts w:cs="Arial"/>
                <w:szCs w:val="18"/>
                <w:lang w:val="en-GB"/>
              </w:rPr>
              <w:t>3</w:t>
            </w:r>
            <w:r w:rsidR="00BD6AD1">
              <w:rPr>
                <w:rFonts w:cs="Arial"/>
                <w:szCs w:val="18"/>
                <w:lang w:val="en-GB"/>
              </w:rPr>
              <w:t>00</w:t>
            </w:r>
          </w:p>
          <w:p w14:paraId="183BB557" w14:textId="4DF151BA" w:rsidR="006E75DA" w:rsidRDefault="006E75DA" w:rsidP="00516303">
            <w:pPr>
              <w:pStyle w:val="CETBodytext"/>
              <w:ind w:right="-1"/>
              <w:rPr>
                <w:rFonts w:cs="Arial"/>
                <w:szCs w:val="18"/>
                <w:lang w:val="en-GB"/>
              </w:rPr>
            </w:pPr>
            <w:r>
              <w:rPr>
                <w:rFonts w:cs="Arial"/>
                <w:szCs w:val="18"/>
                <w:lang w:val="en-GB"/>
              </w:rPr>
              <w:t>3</w:t>
            </w:r>
            <w:r w:rsidR="00BD6AD1">
              <w:rPr>
                <w:rFonts w:cs="Arial"/>
                <w:szCs w:val="18"/>
                <w:lang w:val="en-GB"/>
              </w:rPr>
              <w:t>00</w:t>
            </w:r>
          </w:p>
          <w:p w14:paraId="53B45A2C" w14:textId="3C30CCDC" w:rsidR="006E75DA" w:rsidRPr="00B57B36" w:rsidRDefault="006E75DA" w:rsidP="00516303">
            <w:pPr>
              <w:pStyle w:val="CETBodytext"/>
              <w:ind w:right="-1"/>
              <w:rPr>
                <w:rFonts w:cs="Arial"/>
                <w:szCs w:val="18"/>
                <w:lang w:val="en-GB"/>
              </w:rPr>
            </w:pPr>
            <w:r>
              <w:rPr>
                <w:rFonts w:cs="Arial"/>
                <w:szCs w:val="18"/>
                <w:lang w:val="en-GB"/>
              </w:rPr>
              <w:t>3</w:t>
            </w:r>
            <w:r w:rsidR="00BD6AD1">
              <w:rPr>
                <w:rFonts w:cs="Arial"/>
                <w:szCs w:val="18"/>
                <w:lang w:val="en-GB"/>
              </w:rPr>
              <w:t>00</w:t>
            </w:r>
          </w:p>
        </w:tc>
        <w:tc>
          <w:tcPr>
            <w:tcW w:w="992" w:type="dxa"/>
            <w:shd w:val="clear" w:color="auto" w:fill="FFFFFF"/>
          </w:tcPr>
          <w:p w14:paraId="7ADFDA28" w14:textId="77777777" w:rsidR="006E75DA" w:rsidRDefault="006E75DA" w:rsidP="00516303">
            <w:pPr>
              <w:pStyle w:val="CETBodytext"/>
              <w:ind w:right="-1"/>
              <w:rPr>
                <w:rFonts w:cs="Arial"/>
                <w:szCs w:val="18"/>
                <w:lang w:val="en-GB"/>
              </w:rPr>
            </w:pPr>
            <w:r>
              <w:rPr>
                <w:rFonts w:cs="Arial"/>
                <w:szCs w:val="18"/>
                <w:lang w:val="en-GB"/>
              </w:rPr>
              <w:t>50</w:t>
            </w:r>
          </w:p>
          <w:p w14:paraId="57FDF307" w14:textId="77777777" w:rsidR="006E75DA" w:rsidRDefault="006E75DA" w:rsidP="00582278">
            <w:pPr>
              <w:pStyle w:val="CETBodytext"/>
              <w:rPr>
                <w:rFonts w:cs="Arial"/>
                <w:szCs w:val="18"/>
                <w:lang w:val="en-GB"/>
              </w:rPr>
            </w:pPr>
            <w:r>
              <w:rPr>
                <w:rFonts w:cs="Arial"/>
                <w:szCs w:val="18"/>
                <w:lang w:val="en-GB"/>
              </w:rPr>
              <w:t>50</w:t>
            </w:r>
          </w:p>
          <w:p w14:paraId="72B040CE" w14:textId="77777777" w:rsidR="006E75DA" w:rsidRDefault="006E75DA" w:rsidP="00582278">
            <w:pPr>
              <w:pStyle w:val="CETBodytext"/>
              <w:rPr>
                <w:rFonts w:cs="Arial"/>
                <w:szCs w:val="18"/>
                <w:lang w:val="en-GB"/>
              </w:rPr>
            </w:pPr>
            <w:r>
              <w:rPr>
                <w:rFonts w:cs="Arial"/>
                <w:szCs w:val="18"/>
                <w:lang w:val="en-GB"/>
              </w:rPr>
              <w:t>30</w:t>
            </w:r>
          </w:p>
          <w:p w14:paraId="274408AC" w14:textId="77777777" w:rsidR="006E75DA" w:rsidRDefault="006E75DA" w:rsidP="00582278">
            <w:pPr>
              <w:pStyle w:val="CETBodytext"/>
              <w:rPr>
                <w:rFonts w:cs="Arial"/>
                <w:szCs w:val="18"/>
                <w:lang w:val="en-GB"/>
              </w:rPr>
            </w:pPr>
            <w:r>
              <w:rPr>
                <w:rFonts w:cs="Arial"/>
                <w:szCs w:val="18"/>
                <w:lang w:val="en-GB"/>
              </w:rPr>
              <w:t>30</w:t>
            </w:r>
          </w:p>
          <w:p w14:paraId="7D096CA7" w14:textId="77777777" w:rsidR="006E75DA" w:rsidRDefault="006E75DA" w:rsidP="00582278">
            <w:pPr>
              <w:pStyle w:val="CETBodytext"/>
              <w:rPr>
                <w:rFonts w:cs="Arial"/>
                <w:szCs w:val="18"/>
                <w:lang w:val="en-GB"/>
              </w:rPr>
            </w:pPr>
            <w:r>
              <w:rPr>
                <w:rFonts w:cs="Arial"/>
                <w:szCs w:val="18"/>
                <w:lang w:val="en-GB"/>
              </w:rPr>
              <w:t>50</w:t>
            </w:r>
          </w:p>
          <w:p w14:paraId="0B84BB04" w14:textId="77777777" w:rsidR="006E75DA" w:rsidRDefault="006E75DA" w:rsidP="00582278">
            <w:pPr>
              <w:pStyle w:val="CETBodytext"/>
              <w:rPr>
                <w:rFonts w:cs="Arial"/>
                <w:szCs w:val="18"/>
                <w:lang w:val="en-GB"/>
              </w:rPr>
            </w:pPr>
            <w:r>
              <w:rPr>
                <w:rFonts w:cs="Arial"/>
                <w:szCs w:val="18"/>
                <w:lang w:val="en-GB"/>
              </w:rPr>
              <w:t>50</w:t>
            </w:r>
          </w:p>
          <w:p w14:paraId="42D6AC34" w14:textId="66339995" w:rsidR="006E75DA" w:rsidRDefault="00BD6AD1" w:rsidP="00582278">
            <w:pPr>
              <w:pStyle w:val="CETBodytext"/>
              <w:rPr>
                <w:rFonts w:cs="Arial"/>
                <w:szCs w:val="18"/>
                <w:lang w:val="en-GB"/>
              </w:rPr>
            </w:pPr>
            <w:r>
              <w:rPr>
                <w:rFonts w:cs="Arial"/>
                <w:szCs w:val="18"/>
                <w:lang w:val="en-GB"/>
              </w:rPr>
              <w:t>30</w:t>
            </w:r>
          </w:p>
          <w:p w14:paraId="48F42087" w14:textId="2DD76D7D" w:rsidR="006E75DA" w:rsidRPr="00582278" w:rsidRDefault="00BD6AD1" w:rsidP="00582278">
            <w:pPr>
              <w:pStyle w:val="CETBodytext"/>
              <w:rPr>
                <w:rFonts w:cs="Arial"/>
                <w:szCs w:val="18"/>
                <w:lang w:val="en-GB"/>
              </w:rPr>
            </w:pPr>
            <w:r>
              <w:rPr>
                <w:rFonts w:cs="Arial"/>
                <w:szCs w:val="18"/>
                <w:lang w:val="en-GB"/>
              </w:rPr>
              <w:t>3</w:t>
            </w:r>
            <w:r w:rsidR="006E75DA">
              <w:rPr>
                <w:rFonts w:cs="Arial"/>
                <w:szCs w:val="18"/>
                <w:lang w:val="en-GB"/>
              </w:rPr>
              <w:t>0</w:t>
            </w:r>
          </w:p>
        </w:tc>
        <w:tc>
          <w:tcPr>
            <w:tcW w:w="1134" w:type="dxa"/>
            <w:shd w:val="clear" w:color="auto" w:fill="FFFFFF"/>
          </w:tcPr>
          <w:p w14:paraId="3357FB19" w14:textId="77777777" w:rsidR="006E75DA" w:rsidRDefault="006E75DA" w:rsidP="00516303">
            <w:pPr>
              <w:pStyle w:val="CETBodytext"/>
              <w:ind w:right="-1"/>
              <w:rPr>
                <w:rFonts w:cs="Arial"/>
                <w:szCs w:val="18"/>
                <w:lang w:val="en-GB"/>
              </w:rPr>
            </w:pPr>
            <w:r>
              <w:rPr>
                <w:rFonts w:cs="Arial"/>
                <w:szCs w:val="18"/>
                <w:lang w:val="en-GB"/>
              </w:rPr>
              <w:t>1500</w:t>
            </w:r>
          </w:p>
          <w:p w14:paraId="12E21AC9" w14:textId="77777777" w:rsidR="00BD6AD1" w:rsidRDefault="006E75DA" w:rsidP="00582278">
            <w:pPr>
              <w:pStyle w:val="CETBodytext"/>
              <w:rPr>
                <w:rFonts w:cs="Arial"/>
                <w:szCs w:val="18"/>
                <w:lang w:val="en-GB"/>
              </w:rPr>
            </w:pPr>
            <w:r>
              <w:rPr>
                <w:rFonts w:cs="Arial"/>
                <w:szCs w:val="18"/>
                <w:lang w:val="en-GB"/>
              </w:rPr>
              <w:t>500</w:t>
            </w:r>
          </w:p>
          <w:p w14:paraId="68EF7B87" w14:textId="02F1D76D" w:rsidR="006E75DA" w:rsidRDefault="006E75DA" w:rsidP="00582278">
            <w:pPr>
              <w:pStyle w:val="CETBodytext"/>
              <w:rPr>
                <w:rFonts w:cs="Arial"/>
                <w:szCs w:val="18"/>
                <w:lang w:val="en-GB"/>
              </w:rPr>
            </w:pPr>
            <w:r>
              <w:rPr>
                <w:rFonts w:cs="Arial"/>
                <w:szCs w:val="18"/>
                <w:lang w:val="en-GB"/>
              </w:rPr>
              <w:t>1500</w:t>
            </w:r>
          </w:p>
          <w:p w14:paraId="79DDDE11" w14:textId="77777777" w:rsidR="006E75DA" w:rsidRDefault="006E75DA" w:rsidP="00582278">
            <w:pPr>
              <w:pStyle w:val="CETBodytext"/>
              <w:rPr>
                <w:rFonts w:cs="Arial"/>
                <w:szCs w:val="18"/>
                <w:lang w:val="en-GB"/>
              </w:rPr>
            </w:pPr>
            <w:r>
              <w:rPr>
                <w:rFonts w:cs="Arial"/>
                <w:szCs w:val="18"/>
                <w:lang w:val="en-GB"/>
              </w:rPr>
              <w:t>500</w:t>
            </w:r>
          </w:p>
          <w:p w14:paraId="599F59AF" w14:textId="77777777" w:rsidR="006E75DA" w:rsidRDefault="006E75DA" w:rsidP="00582278">
            <w:pPr>
              <w:pStyle w:val="CETBodytext"/>
              <w:rPr>
                <w:rFonts w:cs="Arial"/>
                <w:szCs w:val="18"/>
                <w:lang w:val="en-GB"/>
              </w:rPr>
            </w:pPr>
            <w:r>
              <w:rPr>
                <w:rFonts w:cs="Arial"/>
                <w:szCs w:val="18"/>
                <w:lang w:val="en-GB"/>
              </w:rPr>
              <w:t>1500</w:t>
            </w:r>
          </w:p>
          <w:p w14:paraId="7558B5E0" w14:textId="77777777" w:rsidR="006E75DA" w:rsidRDefault="006E75DA" w:rsidP="00582278">
            <w:pPr>
              <w:pStyle w:val="CETBodytext"/>
              <w:rPr>
                <w:rFonts w:cs="Arial"/>
                <w:szCs w:val="18"/>
                <w:lang w:val="en-GB"/>
              </w:rPr>
            </w:pPr>
            <w:r>
              <w:rPr>
                <w:rFonts w:cs="Arial"/>
                <w:szCs w:val="18"/>
                <w:lang w:val="en-GB"/>
              </w:rPr>
              <w:t>500</w:t>
            </w:r>
          </w:p>
          <w:p w14:paraId="420D139F" w14:textId="77777777" w:rsidR="006E75DA" w:rsidRDefault="006E75DA" w:rsidP="00582278">
            <w:pPr>
              <w:pStyle w:val="CETBodytext"/>
              <w:rPr>
                <w:rFonts w:cs="Arial"/>
                <w:szCs w:val="18"/>
                <w:lang w:val="en-GB"/>
              </w:rPr>
            </w:pPr>
            <w:r>
              <w:rPr>
                <w:rFonts w:cs="Arial"/>
                <w:szCs w:val="18"/>
                <w:lang w:val="en-GB"/>
              </w:rPr>
              <w:t>1500</w:t>
            </w:r>
          </w:p>
          <w:p w14:paraId="5890AD03" w14:textId="2CBE5DD2" w:rsidR="006E75DA" w:rsidRPr="00582278" w:rsidRDefault="006E75DA" w:rsidP="00582278">
            <w:pPr>
              <w:pStyle w:val="CETBodytext"/>
              <w:rPr>
                <w:rFonts w:cs="Arial"/>
                <w:szCs w:val="18"/>
                <w:lang w:val="en-GB"/>
              </w:rPr>
            </w:pPr>
            <w:r>
              <w:rPr>
                <w:rFonts w:cs="Arial"/>
                <w:szCs w:val="18"/>
                <w:lang w:val="en-GB"/>
              </w:rPr>
              <w:t>500</w:t>
            </w:r>
          </w:p>
        </w:tc>
        <w:tc>
          <w:tcPr>
            <w:tcW w:w="992" w:type="dxa"/>
            <w:shd w:val="clear" w:color="auto" w:fill="FFFFFF"/>
          </w:tcPr>
          <w:p w14:paraId="567C63BC" w14:textId="77777777" w:rsidR="006E75DA" w:rsidRDefault="0080233E" w:rsidP="00516303">
            <w:pPr>
              <w:pStyle w:val="CETBodytext"/>
              <w:ind w:right="-1"/>
              <w:rPr>
                <w:rFonts w:cs="Arial"/>
                <w:szCs w:val="18"/>
                <w:lang w:val="en-GB"/>
              </w:rPr>
            </w:pPr>
            <w:r>
              <w:rPr>
                <w:rFonts w:cs="Arial"/>
                <w:szCs w:val="18"/>
                <w:lang w:val="en-GB"/>
              </w:rPr>
              <w:t>15.44</w:t>
            </w:r>
          </w:p>
          <w:p w14:paraId="462A43DE" w14:textId="77777777" w:rsidR="0080233E" w:rsidRDefault="0080233E" w:rsidP="0080233E">
            <w:pPr>
              <w:pStyle w:val="CETBodytext"/>
              <w:rPr>
                <w:rFonts w:cs="Arial"/>
                <w:szCs w:val="18"/>
                <w:lang w:val="en-GB"/>
              </w:rPr>
            </w:pPr>
            <w:r>
              <w:rPr>
                <w:rFonts w:cs="Arial"/>
                <w:szCs w:val="18"/>
                <w:lang w:val="en-GB"/>
              </w:rPr>
              <w:t>15.42</w:t>
            </w:r>
          </w:p>
          <w:p w14:paraId="13C2534F" w14:textId="77777777" w:rsidR="0080233E" w:rsidRDefault="0080233E" w:rsidP="0080233E">
            <w:pPr>
              <w:pStyle w:val="CETBodytext"/>
              <w:rPr>
                <w:rFonts w:cs="Arial"/>
                <w:szCs w:val="18"/>
                <w:lang w:val="en-GB"/>
              </w:rPr>
            </w:pPr>
            <w:r>
              <w:rPr>
                <w:rFonts w:cs="Arial"/>
                <w:szCs w:val="18"/>
                <w:lang w:val="en-GB"/>
              </w:rPr>
              <w:t>8.49</w:t>
            </w:r>
          </w:p>
          <w:p w14:paraId="12FC9AB2" w14:textId="77777777" w:rsidR="0080233E" w:rsidRDefault="0080233E" w:rsidP="0080233E">
            <w:pPr>
              <w:pStyle w:val="CETBodytext"/>
              <w:rPr>
                <w:rFonts w:cs="Arial"/>
                <w:szCs w:val="18"/>
                <w:lang w:val="en-GB"/>
              </w:rPr>
            </w:pPr>
            <w:r>
              <w:rPr>
                <w:rFonts w:cs="Arial"/>
                <w:szCs w:val="18"/>
                <w:lang w:val="en-GB"/>
              </w:rPr>
              <w:t>8.35</w:t>
            </w:r>
          </w:p>
          <w:p w14:paraId="5986DA26" w14:textId="77777777" w:rsidR="0080233E" w:rsidRDefault="0080233E" w:rsidP="0080233E">
            <w:pPr>
              <w:pStyle w:val="CETBodytext"/>
              <w:rPr>
                <w:rFonts w:cs="Arial"/>
                <w:szCs w:val="18"/>
                <w:lang w:val="en-GB"/>
              </w:rPr>
            </w:pPr>
            <w:r>
              <w:rPr>
                <w:rFonts w:cs="Arial"/>
                <w:szCs w:val="18"/>
                <w:lang w:val="en-GB"/>
              </w:rPr>
              <w:t>11.10</w:t>
            </w:r>
          </w:p>
          <w:p w14:paraId="39E0C6E7" w14:textId="77777777" w:rsidR="0080233E" w:rsidRDefault="0080233E" w:rsidP="0080233E">
            <w:pPr>
              <w:pStyle w:val="CETBodytext"/>
              <w:rPr>
                <w:rFonts w:cs="Arial"/>
                <w:szCs w:val="18"/>
                <w:lang w:val="en-GB"/>
              </w:rPr>
            </w:pPr>
            <w:r>
              <w:rPr>
                <w:rFonts w:cs="Arial"/>
                <w:szCs w:val="18"/>
                <w:lang w:val="en-GB"/>
              </w:rPr>
              <w:t>11.10</w:t>
            </w:r>
          </w:p>
          <w:p w14:paraId="35B7C0DB" w14:textId="77777777" w:rsidR="0080233E" w:rsidRDefault="0080233E" w:rsidP="0080233E">
            <w:pPr>
              <w:pStyle w:val="CETBodytext"/>
              <w:rPr>
                <w:rFonts w:cs="Arial"/>
                <w:szCs w:val="18"/>
                <w:lang w:val="en-GB"/>
              </w:rPr>
            </w:pPr>
            <w:r>
              <w:rPr>
                <w:rFonts w:cs="Arial"/>
                <w:szCs w:val="18"/>
                <w:lang w:val="en-GB"/>
              </w:rPr>
              <w:t>11.15</w:t>
            </w:r>
          </w:p>
          <w:p w14:paraId="414A415A" w14:textId="1AE022E6" w:rsidR="0080233E" w:rsidRPr="0080233E" w:rsidRDefault="0080233E" w:rsidP="0080233E">
            <w:pPr>
              <w:pStyle w:val="CETBodytext"/>
              <w:rPr>
                <w:rFonts w:cs="Arial"/>
                <w:szCs w:val="18"/>
                <w:lang w:val="en-GB"/>
              </w:rPr>
            </w:pPr>
            <w:r>
              <w:rPr>
                <w:rFonts w:cs="Arial"/>
                <w:szCs w:val="18"/>
                <w:lang w:val="en-GB"/>
              </w:rPr>
              <w:t>11.15</w:t>
            </w:r>
          </w:p>
        </w:tc>
        <w:tc>
          <w:tcPr>
            <w:tcW w:w="993" w:type="dxa"/>
            <w:shd w:val="clear" w:color="auto" w:fill="FFFFFF"/>
          </w:tcPr>
          <w:p w14:paraId="454E7CE5" w14:textId="77777777" w:rsidR="006E75DA" w:rsidRDefault="0080233E" w:rsidP="00516303">
            <w:pPr>
              <w:pStyle w:val="CETBodytext"/>
              <w:ind w:right="-1"/>
              <w:rPr>
                <w:rFonts w:cs="Arial"/>
                <w:szCs w:val="18"/>
                <w:lang w:val="en-GB"/>
              </w:rPr>
            </w:pPr>
            <w:r>
              <w:rPr>
                <w:rFonts w:cs="Arial"/>
                <w:szCs w:val="18"/>
                <w:lang w:val="en-GB"/>
              </w:rPr>
              <w:t>70.14</w:t>
            </w:r>
          </w:p>
          <w:p w14:paraId="058F6DA3" w14:textId="77777777" w:rsidR="0080233E" w:rsidRDefault="0080233E" w:rsidP="0080233E">
            <w:pPr>
              <w:pStyle w:val="CETBodytext"/>
              <w:rPr>
                <w:rFonts w:cs="Arial"/>
                <w:szCs w:val="18"/>
                <w:lang w:val="en-GB"/>
              </w:rPr>
            </w:pPr>
            <w:r>
              <w:rPr>
                <w:rFonts w:cs="Arial"/>
                <w:szCs w:val="18"/>
                <w:lang w:val="en-GB"/>
              </w:rPr>
              <w:t>70.08</w:t>
            </w:r>
          </w:p>
          <w:p w14:paraId="2DD44307" w14:textId="77777777" w:rsidR="0080233E" w:rsidRDefault="0080233E" w:rsidP="0080233E">
            <w:pPr>
              <w:pStyle w:val="CETBodytext"/>
              <w:rPr>
                <w:rFonts w:cs="Arial"/>
                <w:szCs w:val="18"/>
                <w:lang w:val="en-GB"/>
              </w:rPr>
            </w:pPr>
            <w:r>
              <w:rPr>
                <w:rFonts w:cs="Arial"/>
                <w:szCs w:val="18"/>
                <w:lang w:val="en-GB"/>
              </w:rPr>
              <w:t>38.42</w:t>
            </w:r>
          </w:p>
          <w:p w14:paraId="6B7B888A" w14:textId="77777777" w:rsidR="0080233E" w:rsidRDefault="0080233E" w:rsidP="0080233E">
            <w:pPr>
              <w:pStyle w:val="CETBodytext"/>
              <w:rPr>
                <w:rFonts w:cs="Arial"/>
                <w:szCs w:val="18"/>
                <w:lang w:val="en-GB"/>
              </w:rPr>
            </w:pPr>
            <w:r>
              <w:rPr>
                <w:rFonts w:cs="Arial"/>
                <w:szCs w:val="18"/>
                <w:lang w:val="en-GB"/>
              </w:rPr>
              <w:t>37.77</w:t>
            </w:r>
          </w:p>
          <w:p w14:paraId="2283B4BC" w14:textId="77777777" w:rsidR="0080233E" w:rsidRDefault="0080233E" w:rsidP="0080233E">
            <w:pPr>
              <w:pStyle w:val="CETBodytext"/>
              <w:rPr>
                <w:rFonts w:cs="Arial"/>
                <w:szCs w:val="18"/>
                <w:lang w:val="en-GB"/>
              </w:rPr>
            </w:pPr>
            <w:r>
              <w:rPr>
                <w:rFonts w:cs="Arial"/>
                <w:szCs w:val="18"/>
                <w:lang w:val="en-GB"/>
              </w:rPr>
              <w:t>76.38</w:t>
            </w:r>
          </w:p>
          <w:p w14:paraId="07935ED6" w14:textId="77777777" w:rsidR="0080233E" w:rsidRDefault="0080233E" w:rsidP="0080233E">
            <w:pPr>
              <w:pStyle w:val="CETBodytext"/>
              <w:rPr>
                <w:rFonts w:cs="Arial"/>
                <w:szCs w:val="18"/>
                <w:lang w:val="en-GB"/>
              </w:rPr>
            </w:pPr>
            <w:r>
              <w:rPr>
                <w:rFonts w:cs="Arial"/>
                <w:szCs w:val="18"/>
                <w:lang w:val="en-GB"/>
              </w:rPr>
              <w:t>76.38</w:t>
            </w:r>
          </w:p>
          <w:p w14:paraId="7AD24693" w14:textId="77777777" w:rsidR="0080233E" w:rsidRDefault="0080233E" w:rsidP="0080233E">
            <w:pPr>
              <w:pStyle w:val="CETBodytext"/>
              <w:rPr>
                <w:rFonts w:cs="Arial"/>
                <w:szCs w:val="18"/>
                <w:lang w:val="en-GB"/>
              </w:rPr>
            </w:pPr>
            <w:r>
              <w:rPr>
                <w:rFonts w:cs="Arial"/>
                <w:szCs w:val="18"/>
                <w:lang w:val="en-GB"/>
              </w:rPr>
              <w:t>76.33</w:t>
            </w:r>
          </w:p>
          <w:p w14:paraId="43BF7C0E" w14:textId="36CCB1A2" w:rsidR="0080233E" w:rsidRPr="0080233E" w:rsidRDefault="0080233E" w:rsidP="0080233E">
            <w:pPr>
              <w:pStyle w:val="CETBodytext"/>
              <w:rPr>
                <w:rFonts w:cs="Arial"/>
                <w:szCs w:val="18"/>
                <w:lang w:val="en-GB"/>
              </w:rPr>
            </w:pPr>
            <w:r>
              <w:rPr>
                <w:rFonts w:cs="Arial"/>
                <w:szCs w:val="18"/>
                <w:lang w:val="en-GB"/>
              </w:rPr>
              <w:t>76.33</w:t>
            </w:r>
          </w:p>
        </w:tc>
        <w:tc>
          <w:tcPr>
            <w:tcW w:w="992" w:type="dxa"/>
            <w:shd w:val="clear" w:color="auto" w:fill="FFFFFF"/>
          </w:tcPr>
          <w:p w14:paraId="51E79698" w14:textId="77777777" w:rsidR="006E75DA" w:rsidRDefault="0080233E" w:rsidP="00516303">
            <w:pPr>
              <w:pStyle w:val="CETBodytext"/>
              <w:ind w:right="-1"/>
              <w:rPr>
                <w:rFonts w:cs="Arial"/>
                <w:szCs w:val="18"/>
                <w:lang w:val="en-GB"/>
              </w:rPr>
            </w:pPr>
            <w:r>
              <w:rPr>
                <w:rFonts w:cs="Arial"/>
                <w:szCs w:val="18"/>
                <w:lang w:val="en-GB"/>
              </w:rPr>
              <w:t>1.85</w:t>
            </w:r>
          </w:p>
          <w:p w14:paraId="4DCCBC46" w14:textId="77777777" w:rsidR="0080233E" w:rsidRDefault="0080233E" w:rsidP="0080233E">
            <w:pPr>
              <w:pStyle w:val="CETBodytext"/>
              <w:rPr>
                <w:rFonts w:cs="Arial"/>
                <w:szCs w:val="18"/>
                <w:lang w:val="en-GB"/>
              </w:rPr>
            </w:pPr>
            <w:r>
              <w:rPr>
                <w:rFonts w:cs="Arial"/>
                <w:szCs w:val="18"/>
                <w:lang w:val="en-GB"/>
              </w:rPr>
              <w:t>1.92</w:t>
            </w:r>
          </w:p>
          <w:p w14:paraId="3100CB91" w14:textId="77777777" w:rsidR="0080233E" w:rsidRDefault="0080233E" w:rsidP="0080233E">
            <w:pPr>
              <w:pStyle w:val="CETBodytext"/>
              <w:rPr>
                <w:rFonts w:cs="Arial"/>
                <w:szCs w:val="18"/>
                <w:lang w:val="en-GB"/>
              </w:rPr>
            </w:pPr>
            <w:r>
              <w:rPr>
                <w:rFonts w:cs="Arial"/>
                <w:szCs w:val="18"/>
                <w:lang w:val="en-GB"/>
              </w:rPr>
              <w:t>39.97</w:t>
            </w:r>
          </w:p>
          <w:p w14:paraId="6353FD02" w14:textId="77777777" w:rsidR="0080233E" w:rsidRDefault="0080233E" w:rsidP="0080233E">
            <w:pPr>
              <w:pStyle w:val="CETBodytext"/>
              <w:rPr>
                <w:rFonts w:cs="Arial"/>
                <w:szCs w:val="18"/>
                <w:lang w:val="en-GB"/>
              </w:rPr>
            </w:pPr>
            <w:r>
              <w:rPr>
                <w:rFonts w:cs="Arial"/>
                <w:szCs w:val="18"/>
                <w:lang w:val="en-GB"/>
              </w:rPr>
              <w:t>40.74</w:t>
            </w:r>
          </w:p>
          <w:p w14:paraId="23AE1AC5" w14:textId="77777777" w:rsidR="0080233E" w:rsidRDefault="0080233E" w:rsidP="0080233E">
            <w:pPr>
              <w:pStyle w:val="CETBodytext"/>
              <w:rPr>
                <w:rFonts w:cs="Arial"/>
                <w:szCs w:val="18"/>
                <w:lang w:val="en-GB"/>
              </w:rPr>
            </w:pPr>
            <w:r>
              <w:rPr>
                <w:rFonts w:cs="Arial"/>
                <w:szCs w:val="18"/>
                <w:lang w:val="en-GB"/>
              </w:rPr>
              <w:t>-</w:t>
            </w:r>
          </w:p>
          <w:p w14:paraId="2AC1EAA2" w14:textId="77777777" w:rsidR="0080233E" w:rsidRDefault="0080233E" w:rsidP="0080233E">
            <w:pPr>
              <w:pStyle w:val="CETBodytext"/>
              <w:rPr>
                <w:rFonts w:cs="Arial"/>
                <w:szCs w:val="18"/>
                <w:lang w:val="en-GB"/>
              </w:rPr>
            </w:pPr>
            <w:r>
              <w:rPr>
                <w:rFonts w:cs="Arial"/>
                <w:szCs w:val="18"/>
                <w:lang w:val="en-GB"/>
              </w:rPr>
              <w:t>-</w:t>
            </w:r>
          </w:p>
          <w:p w14:paraId="405EC17E" w14:textId="77777777" w:rsidR="0080233E" w:rsidRDefault="0080233E" w:rsidP="0080233E">
            <w:pPr>
              <w:pStyle w:val="CETBodytext"/>
              <w:rPr>
                <w:rFonts w:cs="Arial"/>
                <w:szCs w:val="18"/>
                <w:lang w:val="en-GB"/>
              </w:rPr>
            </w:pPr>
            <w:r>
              <w:rPr>
                <w:rFonts w:cs="Arial"/>
                <w:szCs w:val="18"/>
                <w:lang w:val="en-GB"/>
              </w:rPr>
              <w:t>-</w:t>
            </w:r>
          </w:p>
          <w:p w14:paraId="58B9FDCC" w14:textId="0E31DD56" w:rsidR="0080233E" w:rsidRPr="0080233E" w:rsidRDefault="0080233E" w:rsidP="0080233E">
            <w:pPr>
              <w:pStyle w:val="CETBodytext"/>
              <w:rPr>
                <w:rFonts w:cs="Arial"/>
                <w:szCs w:val="18"/>
                <w:lang w:val="en-GB"/>
              </w:rPr>
            </w:pPr>
            <w:r>
              <w:rPr>
                <w:rFonts w:cs="Arial"/>
                <w:szCs w:val="18"/>
                <w:lang w:val="en-GB"/>
              </w:rPr>
              <w:t>-</w:t>
            </w:r>
          </w:p>
        </w:tc>
        <w:tc>
          <w:tcPr>
            <w:tcW w:w="850" w:type="dxa"/>
            <w:shd w:val="clear" w:color="auto" w:fill="FFFFFF"/>
          </w:tcPr>
          <w:p w14:paraId="6056CEB6" w14:textId="77777777" w:rsidR="006E75DA" w:rsidRDefault="0080233E" w:rsidP="00516303">
            <w:pPr>
              <w:pStyle w:val="CETBodytext"/>
              <w:ind w:right="-1"/>
              <w:rPr>
                <w:rFonts w:cs="Arial"/>
                <w:szCs w:val="18"/>
                <w:lang w:val="en-GB"/>
              </w:rPr>
            </w:pPr>
            <w:r>
              <w:rPr>
                <w:rFonts w:cs="Arial"/>
                <w:szCs w:val="18"/>
                <w:lang w:val="en-GB"/>
              </w:rPr>
              <w:t>4.54</w:t>
            </w:r>
          </w:p>
          <w:p w14:paraId="526967C1" w14:textId="77777777" w:rsidR="0080233E" w:rsidRDefault="0080233E" w:rsidP="0080233E">
            <w:pPr>
              <w:pStyle w:val="CETBodytext"/>
              <w:rPr>
                <w:rFonts w:cs="Arial"/>
                <w:szCs w:val="18"/>
                <w:lang w:val="en-GB"/>
              </w:rPr>
            </w:pPr>
            <w:r>
              <w:rPr>
                <w:rFonts w:cs="Arial"/>
                <w:szCs w:val="18"/>
                <w:lang w:val="en-GB"/>
              </w:rPr>
              <w:t>4.54</w:t>
            </w:r>
          </w:p>
          <w:p w14:paraId="33E030BA" w14:textId="77777777" w:rsidR="0080233E" w:rsidRDefault="0080233E" w:rsidP="0080233E">
            <w:pPr>
              <w:pStyle w:val="CETBodytext"/>
              <w:rPr>
                <w:rFonts w:cs="Arial"/>
                <w:szCs w:val="18"/>
                <w:lang w:val="en-GB"/>
              </w:rPr>
            </w:pPr>
            <w:r>
              <w:rPr>
                <w:rFonts w:cs="Arial"/>
                <w:szCs w:val="18"/>
                <w:lang w:val="en-GB"/>
              </w:rPr>
              <w:t>4.52</w:t>
            </w:r>
          </w:p>
          <w:p w14:paraId="59C45F0D" w14:textId="77777777" w:rsidR="0080233E" w:rsidRDefault="0080233E" w:rsidP="0080233E">
            <w:pPr>
              <w:pStyle w:val="CETBodytext"/>
              <w:rPr>
                <w:rFonts w:cs="Arial"/>
                <w:szCs w:val="18"/>
                <w:lang w:val="en-GB"/>
              </w:rPr>
            </w:pPr>
            <w:r>
              <w:rPr>
                <w:rFonts w:cs="Arial"/>
                <w:szCs w:val="18"/>
                <w:lang w:val="en-GB"/>
              </w:rPr>
              <w:t>4.52</w:t>
            </w:r>
          </w:p>
          <w:p w14:paraId="4E286C06" w14:textId="77777777" w:rsidR="0080233E" w:rsidRDefault="0080233E" w:rsidP="0080233E">
            <w:pPr>
              <w:pStyle w:val="CETBodytext"/>
              <w:rPr>
                <w:rFonts w:cs="Arial"/>
                <w:szCs w:val="18"/>
                <w:lang w:val="en-GB"/>
              </w:rPr>
            </w:pPr>
            <w:r>
              <w:rPr>
                <w:rFonts w:cs="Arial"/>
                <w:szCs w:val="18"/>
                <w:lang w:val="en-GB"/>
              </w:rPr>
              <w:t>6.88</w:t>
            </w:r>
          </w:p>
          <w:p w14:paraId="157672C2" w14:textId="77777777" w:rsidR="0080233E" w:rsidRDefault="0080233E" w:rsidP="0080233E">
            <w:pPr>
              <w:pStyle w:val="CETBodytext"/>
              <w:rPr>
                <w:rFonts w:cs="Arial"/>
                <w:szCs w:val="18"/>
                <w:lang w:val="en-GB"/>
              </w:rPr>
            </w:pPr>
            <w:r>
              <w:rPr>
                <w:rFonts w:cs="Arial"/>
                <w:szCs w:val="18"/>
                <w:lang w:val="en-GB"/>
              </w:rPr>
              <w:t>6.88</w:t>
            </w:r>
          </w:p>
          <w:p w14:paraId="503D0FB5" w14:textId="77777777" w:rsidR="0080233E" w:rsidRDefault="0080233E" w:rsidP="0080233E">
            <w:pPr>
              <w:pStyle w:val="CETBodytext"/>
              <w:rPr>
                <w:rFonts w:cs="Arial"/>
                <w:szCs w:val="18"/>
                <w:lang w:val="en-GB"/>
              </w:rPr>
            </w:pPr>
            <w:r>
              <w:rPr>
                <w:rFonts w:cs="Arial"/>
                <w:szCs w:val="18"/>
                <w:lang w:val="en-GB"/>
              </w:rPr>
              <w:t>6.84</w:t>
            </w:r>
          </w:p>
          <w:p w14:paraId="4179E152" w14:textId="3F0B37C5" w:rsidR="0080233E" w:rsidRPr="0080233E" w:rsidRDefault="0080233E" w:rsidP="0080233E">
            <w:pPr>
              <w:pStyle w:val="CETBodytext"/>
              <w:rPr>
                <w:rFonts w:cs="Arial"/>
                <w:szCs w:val="18"/>
                <w:lang w:val="en-GB"/>
              </w:rPr>
            </w:pPr>
            <w:r>
              <w:rPr>
                <w:rFonts w:cs="Arial"/>
                <w:szCs w:val="18"/>
                <w:lang w:val="en-GB"/>
              </w:rPr>
              <w:t>6.84</w:t>
            </w:r>
          </w:p>
        </w:tc>
        <w:tc>
          <w:tcPr>
            <w:tcW w:w="709" w:type="dxa"/>
            <w:shd w:val="clear" w:color="auto" w:fill="FFFFFF"/>
          </w:tcPr>
          <w:p w14:paraId="5C9ED443" w14:textId="77777777" w:rsidR="006E75DA" w:rsidRDefault="0080233E" w:rsidP="00516303">
            <w:pPr>
              <w:pStyle w:val="CETBodytext"/>
              <w:ind w:right="-1"/>
              <w:rPr>
                <w:rFonts w:cs="Arial"/>
                <w:szCs w:val="18"/>
                <w:lang w:val="en-GB"/>
              </w:rPr>
            </w:pPr>
            <w:r>
              <w:rPr>
                <w:rFonts w:cs="Arial"/>
                <w:szCs w:val="18"/>
                <w:lang w:val="en-GB"/>
              </w:rPr>
              <w:t>69.55</w:t>
            </w:r>
          </w:p>
          <w:p w14:paraId="6FF019A7" w14:textId="77777777" w:rsidR="0080233E" w:rsidRDefault="0080233E" w:rsidP="0080233E">
            <w:pPr>
              <w:pStyle w:val="CETBodytext"/>
              <w:rPr>
                <w:rFonts w:cs="Arial"/>
                <w:szCs w:val="18"/>
                <w:lang w:val="en-GB"/>
              </w:rPr>
            </w:pPr>
            <w:r>
              <w:rPr>
                <w:rFonts w:cs="Arial"/>
                <w:szCs w:val="18"/>
                <w:lang w:val="en-GB"/>
              </w:rPr>
              <w:t>69.20</w:t>
            </w:r>
          </w:p>
          <w:p w14:paraId="15A80F7B" w14:textId="77777777" w:rsidR="0080233E" w:rsidRDefault="0080233E" w:rsidP="0080233E">
            <w:pPr>
              <w:pStyle w:val="CETBodytext"/>
              <w:rPr>
                <w:rFonts w:cs="Arial"/>
                <w:szCs w:val="18"/>
                <w:lang w:val="en-GB"/>
              </w:rPr>
            </w:pPr>
            <w:r>
              <w:rPr>
                <w:rFonts w:cs="Arial"/>
                <w:szCs w:val="18"/>
                <w:lang w:val="en-GB"/>
              </w:rPr>
              <w:t>77.85</w:t>
            </w:r>
          </w:p>
          <w:p w14:paraId="6B548A64" w14:textId="77777777" w:rsidR="0080233E" w:rsidRDefault="0080233E" w:rsidP="0080233E">
            <w:pPr>
              <w:pStyle w:val="CETBodytext"/>
              <w:rPr>
                <w:rFonts w:cs="Arial"/>
                <w:szCs w:val="18"/>
                <w:lang w:val="en-GB"/>
              </w:rPr>
            </w:pPr>
            <w:r>
              <w:rPr>
                <w:rFonts w:cs="Arial"/>
                <w:szCs w:val="18"/>
                <w:lang w:val="en-GB"/>
              </w:rPr>
              <w:t>83.16</w:t>
            </w:r>
          </w:p>
          <w:p w14:paraId="39C7A6ED" w14:textId="77777777" w:rsidR="0080233E" w:rsidRDefault="0080233E" w:rsidP="0080233E">
            <w:pPr>
              <w:pStyle w:val="CETBodytext"/>
              <w:rPr>
                <w:rFonts w:cs="Arial"/>
                <w:szCs w:val="18"/>
                <w:lang w:val="en-GB"/>
              </w:rPr>
            </w:pPr>
            <w:r>
              <w:rPr>
                <w:rFonts w:cs="Arial"/>
                <w:szCs w:val="18"/>
                <w:lang w:val="en-GB"/>
              </w:rPr>
              <w:t>77.38</w:t>
            </w:r>
          </w:p>
          <w:p w14:paraId="48806E9F" w14:textId="77777777" w:rsidR="0080233E" w:rsidRDefault="0080233E" w:rsidP="0080233E">
            <w:pPr>
              <w:pStyle w:val="CETBodytext"/>
              <w:rPr>
                <w:rFonts w:cs="Arial"/>
                <w:szCs w:val="18"/>
                <w:lang w:val="en-GB"/>
              </w:rPr>
            </w:pPr>
            <w:r>
              <w:rPr>
                <w:rFonts w:cs="Arial"/>
                <w:szCs w:val="18"/>
                <w:lang w:val="en-GB"/>
              </w:rPr>
              <w:t>86.25</w:t>
            </w:r>
          </w:p>
          <w:p w14:paraId="05BF436B" w14:textId="77777777" w:rsidR="0080233E" w:rsidRDefault="0080233E" w:rsidP="0080233E">
            <w:pPr>
              <w:pStyle w:val="CETBodytext"/>
              <w:rPr>
                <w:rFonts w:cs="Arial"/>
                <w:szCs w:val="18"/>
                <w:lang w:val="en-GB"/>
              </w:rPr>
            </w:pPr>
            <w:r>
              <w:rPr>
                <w:rFonts w:cs="Arial"/>
                <w:szCs w:val="18"/>
                <w:lang w:val="en-GB"/>
              </w:rPr>
              <w:t>77.38</w:t>
            </w:r>
          </w:p>
          <w:p w14:paraId="69BAE560" w14:textId="56640BA0" w:rsidR="0080233E" w:rsidRPr="0080233E" w:rsidRDefault="0080233E" w:rsidP="0080233E">
            <w:pPr>
              <w:pStyle w:val="CETBodytext"/>
              <w:rPr>
                <w:rFonts w:cs="Arial"/>
                <w:szCs w:val="18"/>
                <w:lang w:val="en-GB"/>
              </w:rPr>
            </w:pPr>
            <w:r>
              <w:rPr>
                <w:rFonts w:cs="Arial"/>
                <w:szCs w:val="18"/>
                <w:lang w:val="en-GB"/>
              </w:rPr>
              <w:t>73.49</w:t>
            </w:r>
          </w:p>
        </w:tc>
      </w:tr>
    </w:tbl>
    <w:p w14:paraId="5320376C" w14:textId="77777777" w:rsidR="009A7194" w:rsidRDefault="009A7194" w:rsidP="00E32BCD"/>
    <w:p w14:paraId="0BD7E869" w14:textId="743B9CE3" w:rsidR="00E32BCD" w:rsidRPr="00063482" w:rsidRDefault="00767B79" w:rsidP="00E32BCD">
      <w:pPr>
        <w:rPr>
          <w:szCs w:val="24"/>
          <w:lang w:val="en-US"/>
        </w:rPr>
      </w:pPr>
      <w:r>
        <w:rPr>
          <w:szCs w:val="24"/>
          <w:lang w:val="en"/>
        </w:rPr>
        <w:t>Besides, i</w:t>
      </w:r>
      <w:r w:rsidR="00E32BCD">
        <w:rPr>
          <w:szCs w:val="24"/>
          <w:lang w:val="en"/>
        </w:rPr>
        <w:t>t</w:t>
      </w:r>
      <w:r w:rsidR="00E32BCD" w:rsidRPr="00D87137">
        <w:rPr>
          <w:szCs w:val="24"/>
          <w:lang w:val="en"/>
        </w:rPr>
        <w:t xml:space="preserve"> is possible to analyze the influence of temperature and pressure on the number of aromatics, in which</w:t>
      </w:r>
      <w:r>
        <w:rPr>
          <w:szCs w:val="24"/>
          <w:lang w:val="en"/>
        </w:rPr>
        <w:t xml:space="preserve"> the</w:t>
      </w:r>
      <w:r w:rsidR="00E32BCD" w:rsidRPr="00D87137">
        <w:rPr>
          <w:szCs w:val="24"/>
          <w:lang w:val="en"/>
        </w:rPr>
        <w:t xml:space="preserve"> </w:t>
      </w:r>
      <w:r w:rsidR="00E32BCD" w:rsidRPr="009C6EF9">
        <w:rPr>
          <w:szCs w:val="24"/>
          <w:lang w:val="en"/>
        </w:rPr>
        <w:t>highest</w:t>
      </w:r>
      <w:r w:rsidR="00E32BCD">
        <w:rPr>
          <w:szCs w:val="24"/>
          <w:lang w:val="en"/>
        </w:rPr>
        <w:t xml:space="preserve"> </w:t>
      </w:r>
      <w:r w:rsidR="00E32BCD" w:rsidRPr="00D87137">
        <w:rPr>
          <w:szCs w:val="24"/>
          <w:lang w:val="en"/>
        </w:rPr>
        <w:t>temperatur</w:t>
      </w:r>
      <w:r w:rsidR="00E32BCD">
        <w:rPr>
          <w:szCs w:val="24"/>
          <w:lang w:val="en"/>
        </w:rPr>
        <w:t>e</w:t>
      </w:r>
      <w:r w:rsidR="00E32BCD" w:rsidRPr="00D87137">
        <w:rPr>
          <w:szCs w:val="24"/>
          <w:lang w:val="en"/>
        </w:rPr>
        <w:t xml:space="preserve"> impl</w:t>
      </w:r>
      <w:r w:rsidR="00BD1B23">
        <w:rPr>
          <w:szCs w:val="24"/>
          <w:lang w:val="en"/>
        </w:rPr>
        <w:t>y</w:t>
      </w:r>
      <w:r w:rsidR="00E32BCD">
        <w:rPr>
          <w:szCs w:val="24"/>
          <w:lang w:val="en"/>
        </w:rPr>
        <w:t>in</w:t>
      </w:r>
      <w:r w:rsidR="001C7A94">
        <w:rPr>
          <w:szCs w:val="24"/>
          <w:lang w:val="en"/>
        </w:rPr>
        <w:t>g</w:t>
      </w:r>
      <w:r w:rsidR="00E32BCD">
        <w:rPr>
          <w:lang w:val="en"/>
        </w:rPr>
        <w:t xml:space="preserve"> larger amounts</w:t>
      </w:r>
      <w:r w:rsidR="00E32BCD" w:rsidRPr="00D87137">
        <w:rPr>
          <w:szCs w:val="24"/>
          <w:lang w:val="en"/>
        </w:rPr>
        <w:t xml:space="preserve"> of aromatics, being </w:t>
      </w:r>
      <w:r w:rsidR="00E32BCD">
        <w:rPr>
          <w:szCs w:val="24"/>
          <w:lang w:val="en"/>
        </w:rPr>
        <w:t xml:space="preserve">unfavorable to </w:t>
      </w:r>
      <w:r w:rsidR="00E32BCD">
        <w:rPr>
          <w:lang w:val="en"/>
        </w:rPr>
        <w:t xml:space="preserve">combustion </w:t>
      </w:r>
      <w:r w:rsidR="00E32BCD" w:rsidRPr="00D87137">
        <w:rPr>
          <w:szCs w:val="24"/>
          <w:lang w:val="en"/>
        </w:rPr>
        <w:t>characteristics.</w:t>
      </w:r>
      <w:r w:rsidR="008427E8">
        <w:rPr>
          <w:szCs w:val="24"/>
          <w:lang w:val="en"/>
        </w:rPr>
        <w:t xml:space="preserve"> </w:t>
      </w:r>
      <w:r w:rsidR="00E32BCD" w:rsidRPr="00D87137">
        <w:rPr>
          <w:szCs w:val="24"/>
          <w:lang w:val="en"/>
        </w:rPr>
        <w:t xml:space="preserve">The increase in pressure contributes to </w:t>
      </w:r>
      <w:r w:rsidR="00E32BCD">
        <w:rPr>
          <w:szCs w:val="24"/>
          <w:lang w:val="en"/>
        </w:rPr>
        <w:t>reduce</w:t>
      </w:r>
      <w:r w:rsidR="00E32BCD" w:rsidRPr="00D87137">
        <w:rPr>
          <w:szCs w:val="24"/>
          <w:lang w:val="en"/>
        </w:rPr>
        <w:t xml:space="preserve"> the number of aromatics</w:t>
      </w:r>
      <w:r w:rsidR="00BD1B23">
        <w:rPr>
          <w:szCs w:val="24"/>
          <w:lang w:val="en"/>
        </w:rPr>
        <w:t>,</w:t>
      </w:r>
      <w:r w:rsidR="00E32BCD" w:rsidRPr="00D87137">
        <w:rPr>
          <w:szCs w:val="24"/>
          <w:lang w:val="en"/>
        </w:rPr>
        <w:t xml:space="preserve"> and the use of temperatures lower than 500</w:t>
      </w:r>
      <w:r w:rsidR="008D4D57">
        <w:rPr>
          <w:szCs w:val="24"/>
          <w:lang w:val="en"/>
        </w:rPr>
        <w:t xml:space="preserve"> </w:t>
      </w:r>
      <w:r w:rsidR="00E32BCD" w:rsidRPr="00D87137">
        <w:rPr>
          <w:szCs w:val="24"/>
          <w:lang w:val="en"/>
        </w:rPr>
        <w:t xml:space="preserve">ºC favors the formation of a </w:t>
      </w:r>
      <w:r w:rsidR="00E32BCD">
        <w:rPr>
          <w:szCs w:val="24"/>
          <w:lang w:val="en"/>
        </w:rPr>
        <w:t xml:space="preserve">higher quality </w:t>
      </w:r>
      <w:r w:rsidR="00E32BCD" w:rsidRPr="00D87137">
        <w:rPr>
          <w:szCs w:val="24"/>
          <w:lang w:val="en"/>
        </w:rPr>
        <w:t xml:space="preserve">biokerosene, besides </w:t>
      </w:r>
      <w:r w:rsidR="00BD1B23">
        <w:rPr>
          <w:szCs w:val="24"/>
          <w:lang w:val="en"/>
        </w:rPr>
        <w:t xml:space="preserve">allowing </w:t>
      </w:r>
      <w:r w:rsidR="00E32BCD" w:rsidRPr="00D87137">
        <w:rPr>
          <w:szCs w:val="24"/>
          <w:lang w:val="en"/>
        </w:rPr>
        <w:t>greater energy savings.</w:t>
      </w:r>
      <w:r w:rsidR="008427E8">
        <w:rPr>
          <w:szCs w:val="24"/>
          <w:lang w:val="en"/>
        </w:rPr>
        <w:t xml:space="preserve"> </w:t>
      </w:r>
      <w:r w:rsidR="00E32BCD" w:rsidRPr="00D87137">
        <w:rPr>
          <w:szCs w:val="24"/>
          <w:lang w:val="en"/>
        </w:rPr>
        <w:t xml:space="preserve">For process yield, </w:t>
      </w:r>
      <w:r w:rsidR="00E32BCD">
        <w:rPr>
          <w:szCs w:val="24"/>
          <w:lang w:val="en"/>
        </w:rPr>
        <w:t xml:space="preserve">higher values were obtained for the simulation </w:t>
      </w:r>
      <w:r w:rsidR="00E32BCD">
        <w:rPr>
          <w:lang w:val="en"/>
        </w:rPr>
        <w:t xml:space="preserve">with temperature of </w:t>
      </w:r>
      <w:r w:rsidR="00E32BCD">
        <w:rPr>
          <w:szCs w:val="24"/>
          <w:lang w:val="en"/>
        </w:rPr>
        <w:t>500</w:t>
      </w:r>
      <w:r w:rsidR="008D4D57">
        <w:rPr>
          <w:szCs w:val="24"/>
          <w:lang w:val="en"/>
        </w:rPr>
        <w:t xml:space="preserve"> </w:t>
      </w:r>
      <w:r w:rsidR="00E32BCD">
        <w:rPr>
          <w:szCs w:val="24"/>
          <w:lang w:val="en"/>
        </w:rPr>
        <w:t xml:space="preserve">ºC, pressure of 30 bar and 500 hydrogen/oil </w:t>
      </w:r>
      <w:r w:rsidR="00BD1B23">
        <w:rPr>
          <w:szCs w:val="24"/>
          <w:lang w:val="en"/>
        </w:rPr>
        <w:t xml:space="preserve">molar </w:t>
      </w:r>
      <w:r w:rsidR="00E32BCD">
        <w:rPr>
          <w:szCs w:val="24"/>
          <w:lang w:val="en"/>
        </w:rPr>
        <w:t>ratio, and for the</w:t>
      </w:r>
      <w:r w:rsidR="00E32BCD">
        <w:rPr>
          <w:lang w:val="en"/>
        </w:rPr>
        <w:t xml:space="preserve"> simulation</w:t>
      </w:r>
      <w:r w:rsidR="00E32BCD">
        <w:rPr>
          <w:szCs w:val="24"/>
          <w:lang w:val="en"/>
        </w:rPr>
        <w:t xml:space="preserve"> using</w:t>
      </w:r>
      <w:r w:rsidR="00E32BCD">
        <w:rPr>
          <w:lang w:val="en"/>
        </w:rPr>
        <w:t xml:space="preserve"> temperature</w:t>
      </w:r>
      <w:r w:rsidR="00E32BCD">
        <w:rPr>
          <w:szCs w:val="24"/>
          <w:lang w:val="en"/>
        </w:rPr>
        <w:t xml:space="preserve"> of 300</w:t>
      </w:r>
      <w:r w:rsidR="008D4D57">
        <w:rPr>
          <w:szCs w:val="24"/>
          <w:lang w:val="en"/>
        </w:rPr>
        <w:t xml:space="preserve"> </w:t>
      </w:r>
      <w:r w:rsidR="00E32BCD">
        <w:rPr>
          <w:szCs w:val="24"/>
          <w:lang w:val="en"/>
        </w:rPr>
        <w:t xml:space="preserve">ºC, pressure of 50 bar and 500 molar </w:t>
      </w:r>
      <w:proofErr w:type="gramStart"/>
      <w:r w:rsidR="00E32BCD">
        <w:rPr>
          <w:szCs w:val="24"/>
          <w:lang w:val="en"/>
        </w:rPr>
        <w:t>ratio</w:t>
      </w:r>
      <w:proofErr w:type="gramEnd"/>
      <w:r w:rsidR="00E32BCD">
        <w:rPr>
          <w:szCs w:val="24"/>
          <w:lang w:val="en"/>
        </w:rPr>
        <w:t>.</w:t>
      </w:r>
      <w:r w:rsidR="00E32BCD">
        <w:rPr>
          <w:lang w:val="en"/>
        </w:rPr>
        <w:t xml:space="preserve"> </w:t>
      </w:r>
      <w:r w:rsidR="00E32BCD" w:rsidRPr="009C6EF9">
        <w:rPr>
          <w:szCs w:val="24"/>
          <w:lang w:val="en"/>
        </w:rPr>
        <w:t>However</w:t>
      </w:r>
      <w:r w:rsidR="00E32BCD" w:rsidRPr="00D87137">
        <w:rPr>
          <w:szCs w:val="24"/>
          <w:lang w:val="en"/>
        </w:rPr>
        <w:t xml:space="preserve">, as the experiment with higher temperature is discarded by the number of aromatics formed, the most advantageous </w:t>
      </w:r>
      <w:r w:rsidR="00E32BCD">
        <w:rPr>
          <w:szCs w:val="24"/>
          <w:lang w:val="en"/>
        </w:rPr>
        <w:t>process conditions</w:t>
      </w:r>
      <w:r w:rsidR="00E32BCD" w:rsidRPr="00D87137">
        <w:rPr>
          <w:szCs w:val="24"/>
          <w:lang w:val="en"/>
        </w:rPr>
        <w:t xml:space="preserve"> in terms of yield and process economy is </w:t>
      </w:r>
      <w:r w:rsidR="00E32BCD">
        <w:rPr>
          <w:szCs w:val="24"/>
          <w:lang w:val="en"/>
        </w:rPr>
        <w:t>the one with higher</w:t>
      </w:r>
      <w:r w:rsidR="00E32BCD">
        <w:rPr>
          <w:lang w:val="en"/>
        </w:rPr>
        <w:t xml:space="preserve"> </w:t>
      </w:r>
      <w:r w:rsidR="00E32BCD" w:rsidRPr="00D87137">
        <w:rPr>
          <w:szCs w:val="24"/>
          <w:lang w:val="en"/>
        </w:rPr>
        <w:t>pressure.</w:t>
      </w:r>
      <w:r w:rsidR="00E32BCD">
        <w:rPr>
          <w:szCs w:val="24"/>
          <w:lang w:val="en"/>
        </w:rPr>
        <w:t xml:space="preserve"> Therefore, the best operating point is 300</w:t>
      </w:r>
      <w:r w:rsidR="008D4D57">
        <w:rPr>
          <w:szCs w:val="24"/>
          <w:lang w:val="en"/>
        </w:rPr>
        <w:t xml:space="preserve"> </w:t>
      </w:r>
      <w:r w:rsidR="00E32BCD">
        <w:rPr>
          <w:szCs w:val="24"/>
          <w:lang w:val="en"/>
        </w:rPr>
        <w:t xml:space="preserve">ºC, 50 bar and 500 hydrogen/oil </w:t>
      </w:r>
      <w:r w:rsidR="00BD1B23">
        <w:rPr>
          <w:szCs w:val="24"/>
          <w:lang w:val="en"/>
        </w:rPr>
        <w:t xml:space="preserve">molar </w:t>
      </w:r>
      <w:r w:rsidR="00E32BCD">
        <w:rPr>
          <w:szCs w:val="24"/>
          <w:lang w:val="en"/>
        </w:rPr>
        <w:t>ratio.</w:t>
      </w:r>
    </w:p>
    <w:p w14:paraId="364603D8" w14:textId="3A78D1B9" w:rsidR="00E32BCD" w:rsidRDefault="00E32BCD" w:rsidP="00E32BCD">
      <w:pPr>
        <w:pStyle w:val="CETheadingx"/>
      </w:pPr>
      <w:r>
        <w:t>Energy Analysis</w:t>
      </w:r>
    </w:p>
    <w:p w14:paraId="48127961" w14:textId="429DF51C" w:rsidR="00E32BCD" w:rsidRDefault="00E32BCD" w:rsidP="00E32BCD">
      <w:pPr>
        <w:pStyle w:val="CETBodytext"/>
      </w:pPr>
      <w:r w:rsidRPr="00E32BCD">
        <w:t xml:space="preserve">For </w:t>
      </w:r>
      <w:r w:rsidR="0061483B">
        <w:t xml:space="preserve">the </w:t>
      </w:r>
      <w:r w:rsidRPr="00E32BCD">
        <w:t>energy analysis, using Aspen Energy Analyzer V10®, the simulator pointed to 89.4</w:t>
      </w:r>
      <w:r w:rsidR="008D4D57">
        <w:t xml:space="preserve"> </w:t>
      </w:r>
      <w:r w:rsidRPr="00E32BCD">
        <w:t xml:space="preserve">% of possible energy savings with the use of energy integration exchangers. Therefore, some exchanger scenarios were simulated to analyze which combination would present the greatest energy savings. In addition to the exchangers proposed by the simulator, an energy integration exchanger was used to heat the inlet oil </w:t>
      </w:r>
      <w:r w:rsidR="0061483B">
        <w:t>stream</w:t>
      </w:r>
      <w:r w:rsidR="0061483B" w:rsidRPr="00E32BCD">
        <w:t xml:space="preserve"> </w:t>
      </w:r>
      <w:r w:rsidRPr="00E32BCD">
        <w:t xml:space="preserve">in the R-02 reactor with the outlet </w:t>
      </w:r>
      <w:r w:rsidR="0061483B">
        <w:t>stream</w:t>
      </w:r>
      <w:r w:rsidR="0061483B" w:rsidRPr="00E32BCD">
        <w:t xml:space="preserve"> </w:t>
      </w:r>
      <w:r w:rsidRPr="00E32BCD">
        <w:t xml:space="preserve">of the reactor itself, since the outlet </w:t>
      </w:r>
      <w:r w:rsidR="0061483B">
        <w:t>stream</w:t>
      </w:r>
      <w:r w:rsidR="0061483B" w:rsidRPr="00E32BCD">
        <w:t xml:space="preserve"> </w:t>
      </w:r>
      <w:r w:rsidRPr="00E32BCD">
        <w:t xml:space="preserve">leaves the equipment at high temperatures and the input </w:t>
      </w:r>
      <w:r w:rsidR="0061483B">
        <w:t>stream</w:t>
      </w:r>
      <w:r w:rsidR="0061483B" w:rsidRPr="00E32BCD">
        <w:t xml:space="preserve"> </w:t>
      </w:r>
      <w:r w:rsidRPr="00E32BCD">
        <w:t xml:space="preserve">needs to be heated before entering the equipment. The information about the tested scenarios is presented in </w:t>
      </w:r>
      <w:r w:rsidR="0016559D">
        <w:t>Table 2</w:t>
      </w:r>
      <w:r w:rsidRPr="00E32BCD">
        <w:t>.</w:t>
      </w:r>
    </w:p>
    <w:p w14:paraId="62685C5A" w14:textId="657727C0" w:rsidR="003F3991" w:rsidRPr="00B57B36" w:rsidRDefault="003F3991" w:rsidP="0036473A">
      <w:pPr>
        <w:pStyle w:val="CETTabletitle"/>
        <w:spacing w:before="120" w:after="0"/>
      </w:pPr>
      <w:r w:rsidRPr="00B57B36">
        <w:t xml:space="preserve">Table </w:t>
      </w:r>
      <w:r w:rsidR="0016559D">
        <w:t>2</w:t>
      </w:r>
      <w:r w:rsidRPr="00B57B36">
        <w:t xml:space="preserve">: </w:t>
      </w:r>
      <w:r>
        <w:t>Scenarios of energy integration exchangers proposed by simulator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567"/>
        <w:gridCol w:w="567"/>
        <w:gridCol w:w="567"/>
        <w:gridCol w:w="567"/>
        <w:gridCol w:w="425"/>
      </w:tblGrid>
      <w:tr w:rsidR="00D02EAC" w:rsidRPr="00B57B36" w14:paraId="2083552F" w14:textId="44BB6E2B" w:rsidTr="004C5ADC">
        <w:tc>
          <w:tcPr>
            <w:tcW w:w="2127" w:type="dxa"/>
            <w:tcBorders>
              <w:top w:val="single" w:sz="12" w:space="0" w:color="008000"/>
              <w:bottom w:val="single" w:sz="6" w:space="0" w:color="008000"/>
            </w:tcBorders>
            <w:shd w:val="clear" w:color="auto" w:fill="FFFFFF"/>
          </w:tcPr>
          <w:p w14:paraId="7AD941D6" w14:textId="7A32A1FE" w:rsidR="00D02EAC" w:rsidRPr="00B57B36" w:rsidRDefault="00D02EAC" w:rsidP="00516303">
            <w:pPr>
              <w:pStyle w:val="CETBodytext"/>
              <w:rPr>
                <w:lang w:val="en-GB"/>
              </w:rPr>
            </w:pPr>
            <w:r>
              <w:rPr>
                <w:lang w:val="en-GB"/>
              </w:rPr>
              <w:t>Scenario</w:t>
            </w:r>
            <w:r w:rsidRPr="00B57B36">
              <w:rPr>
                <w:lang w:val="en-GB"/>
              </w:rPr>
              <w:t xml:space="preserve"> </w:t>
            </w:r>
          </w:p>
        </w:tc>
        <w:tc>
          <w:tcPr>
            <w:tcW w:w="567" w:type="dxa"/>
            <w:tcBorders>
              <w:top w:val="single" w:sz="12" w:space="0" w:color="008000"/>
              <w:bottom w:val="single" w:sz="6" w:space="0" w:color="008000"/>
            </w:tcBorders>
            <w:shd w:val="clear" w:color="auto" w:fill="FFFFFF"/>
          </w:tcPr>
          <w:p w14:paraId="7BBFA8CC" w14:textId="565798BE" w:rsidR="00D02EAC" w:rsidRPr="00B57B36" w:rsidRDefault="00D02EAC" w:rsidP="00516303">
            <w:pPr>
              <w:pStyle w:val="CETBodytext"/>
              <w:rPr>
                <w:lang w:val="en-GB"/>
              </w:rPr>
            </w:pPr>
            <w:r>
              <w:rPr>
                <w:lang w:val="en-GB"/>
              </w:rPr>
              <w:t>1</w:t>
            </w:r>
          </w:p>
        </w:tc>
        <w:tc>
          <w:tcPr>
            <w:tcW w:w="567" w:type="dxa"/>
            <w:tcBorders>
              <w:top w:val="single" w:sz="12" w:space="0" w:color="008000"/>
              <w:bottom w:val="single" w:sz="6" w:space="0" w:color="008000"/>
            </w:tcBorders>
            <w:shd w:val="clear" w:color="auto" w:fill="FFFFFF"/>
          </w:tcPr>
          <w:p w14:paraId="02BB9645" w14:textId="7D7A027E" w:rsidR="00D02EAC" w:rsidRPr="00B57B36" w:rsidRDefault="00D02EAC" w:rsidP="00516303">
            <w:pPr>
              <w:pStyle w:val="CETBodytext"/>
              <w:rPr>
                <w:lang w:val="en-GB"/>
              </w:rPr>
            </w:pPr>
            <w:r>
              <w:rPr>
                <w:lang w:val="en-GB"/>
              </w:rPr>
              <w:t>2</w:t>
            </w:r>
          </w:p>
        </w:tc>
        <w:tc>
          <w:tcPr>
            <w:tcW w:w="567" w:type="dxa"/>
            <w:tcBorders>
              <w:top w:val="single" w:sz="12" w:space="0" w:color="008000"/>
              <w:bottom w:val="single" w:sz="6" w:space="0" w:color="008000"/>
            </w:tcBorders>
            <w:shd w:val="clear" w:color="auto" w:fill="FFFFFF"/>
          </w:tcPr>
          <w:p w14:paraId="718087CA" w14:textId="4CBE8B57" w:rsidR="00D02EAC" w:rsidRPr="00B57B36" w:rsidRDefault="00D02EAC" w:rsidP="00516303">
            <w:pPr>
              <w:pStyle w:val="CETBodytext"/>
              <w:ind w:right="-1"/>
              <w:rPr>
                <w:rFonts w:cs="Arial"/>
                <w:szCs w:val="18"/>
                <w:lang w:val="en-GB"/>
              </w:rPr>
            </w:pPr>
            <w:r>
              <w:rPr>
                <w:rFonts w:cs="Arial"/>
                <w:szCs w:val="18"/>
                <w:lang w:val="en-GB"/>
              </w:rPr>
              <w:t>3</w:t>
            </w:r>
          </w:p>
        </w:tc>
        <w:tc>
          <w:tcPr>
            <w:tcW w:w="567" w:type="dxa"/>
            <w:tcBorders>
              <w:top w:val="single" w:sz="12" w:space="0" w:color="008000"/>
              <w:bottom w:val="single" w:sz="6" w:space="0" w:color="008000"/>
            </w:tcBorders>
            <w:shd w:val="clear" w:color="auto" w:fill="FFFFFF"/>
          </w:tcPr>
          <w:p w14:paraId="6AE64F76" w14:textId="44F47447" w:rsidR="00D02EAC" w:rsidRPr="00B57B36" w:rsidRDefault="00D02EAC" w:rsidP="00516303">
            <w:pPr>
              <w:pStyle w:val="CETBodytext"/>
              <w:ind w:right="-1"/>
              <w:rPr>
                <w:rFonts w:cs="Arial"/>
                <w:szCs w:val="18"/>
                <w:lang w:val="en-GB"/>
              </w:rPr>
            </w:pPr>
            <w:r>
              <w:rPr>
                <w:rFonts w:cs="Arial"/>
                <w:szCs w:val="18"/>
                <w:lang w:val="en-GB"/>
              </w:rPr>
              <w:t>4</w:t>
            </w:r>
          </w:p>
        </w:tc>
        <w:tc>
          <w:tcPr>
            <w:tcW w:w="425" w:type="dxa"/>
            <w:tcBorders>
              <w:top w:val="single" w:sz="12" w:space="0" w:color="008000"/>
              <w:bottom w:val="single" w:sz="6" w:space="0" w:color="008000"/>
            </w:tcBorders>
            <w:shd w:val="clear" w:color="auto" w:fill="FFFFFF"/>
          </w:tcPr>
          <w:p w14:paraId="657E3A57" w14:textId="21954302" w:rsidR="00D02EAC" w:rsidRDefault="00D02EAC" w:rsidP="00516303">
            <w:pPr>
              <w:pStyle w:val="CETBodytext"/>
              <w:ind w:right="-1"/>
              <w:rPr>
                <w:rFonts w:cs="Arial"/>
                <w:szCs w:val="18"/>
                <w:lang w:val="en-GB"/>
              </w:rPr>
            </w:pPr>
            <w:r>
              <w:rPr>
                <w:rFonts w:cs="Arial"/>
                <w:szCs w:val="18"/>
                <w:lang w:val="en-GB"/>
              </w:rPr>
              <w:t>5</w:t>
            </w:r>
          </w:p>
        </w:tc>
      </w:tr>
      <w:tr w:rsidR="00D02EAC" w:rsidRPr="00B57B36" w14:paraId="7A256FD7" w14:textId="369109D3" w:rsidTr="004C5ADC">
        <w:trPr>
          <w:trHeight w:val="295"/>
        </w:trPr>
        <w:tc>
          <w:tcPr>
            <w:tcW w:w="2127" w:type="dxa"/>
            <w:shd w:val="clear" w:color="auto" w:fill="FFFFFF"/>
          </w:tcPr>
          <w:p w14:paraId="4FADF67B" w14:textId="77777777" w:rsidR="00D02EAC" w:rsidRDefault="004C5ADC" w:rsidP="004A6190">
            <w:pPr>
              <w:pStyle w:val="CETBodytext"/>
              <w:rPr>
                <w:lang w:val="en-GB"/>
              </w:rPr>
            </w:pPr>
            <w:r>
              <w:rPr>
                <w:lang w:val="en-GB"/>
              </w:rPr>
              <w:t>N</w:t>
            </w:r>
            <w:r w:rsidR="00D02EAC">
              <w:rPr>
                <w:lang w:val="en-GB"/>
              </w:rPr>
              <w:t>umber of Exchangers</w:t>
            </w:r>
          </w:p>
          <w:p w14:paraId="6967B487" w14:textId="380D6568" w:rsidR="004C5ADC" w:rsidRPr="00B57B36" w:rsidRDefault="004C5ADC" w:rsidP="004A6190">
            <w:pPr>
              <w:pStyle w:val="CETBodytext"/>
              <w:rPr>
                <w:lang w:val="en-GB"/>
              </w:rPr>
            </w:pPr>
            <w:r>
              <w:rPr>
                <w:lang w:val="en-GB"/>
              </w:rPr>
              <w:t>Energy Savings (%)</w:t>
            </w:r>
          </w:p>
        </w:tc>
        <w:tc>
          <w:tcPr>
            <w:tcW w:w="567" w:type="dxa"/>
            <w:shd w:val="clear" w:color="auto" w:fill="FFFFFF"/>
          </w:tcPr>
          <w:p w14:paraId="2E4565E7" w14:textId="77777777" w:rsidR="00D02EAC" w:rsidRDefault="004A6190" w:rsidP="00516303">
            <w:pPr>
              <w:pStyle w:val="CETBodytext"/>
              <w:rPr>
                <w:lang w:val="en-GB"/>
              </w:rPr>
            </w:pPr>
            <w:r>
              <w:rPr>
                <w:lang w:val="en-GB"/>
              </w:rPr>
              <w:t>4</w:t>
            </w:r>
          </w:p>
          <w:p w14:paraId="4A8591AF" w14:textId="3A49F331" w:rsidR="004A6190" w:rsidRPr="004A6190" w:rsidRDefault="004C5ADC" w:rsidP="004C5ADC">
            <w:pPr>
              <w:pStyle w:val="CETBodytext"/>
              <w:rPr>
                <w:lang w:val="en-GB"/>
              </w:rPr>
            </w:pPr>
            <w:r>
              <w:rPr>
                <w:lang w:val="en-GB"/>
              </w:rPr>
              <w:t>81.4</w:t>
            </w:r>
          </w:p>
        </w:tc>
        <w:tc>
          <w:tcPr>
            <w:tcW w:w="567" w:type="dxa"/>
            <w:shd w:val="clear" w:color="auto" w:fill="FFFFFF"/>
          </w:tcPr>
          <w:p w14:paraId="6C16BB0F" w14:textId="77777777" w:rsidR="00D02EAC" w:rsidRDefault="004A6190" w:rsidP="00516303">
            <w:pPr>
              <w:pStyle w:val="CETBodytext"/>
              <w:rPr>
                <w:lang w:val="en-GB"/>
              </w:rPr>
            </w:pPr>
            <w:r>
              <w:rPr>
                <w:lang w:val="en-GB"/>
              </w:rPr>
              <w:t>2</w:t>
            </w:r>
          </w:p>
          <w:p w14:paraId="0132BCF8" w14:textId="7158B0F5" w:rsidR="004A6190" w:rsidRPr="004A6190" w:rsidRDefault="004C5ADC" w:rsidP="004C5ADC">
            <w:pPr>
              <w:pStyle w:val="CETBodytext"/>
              <w:rPr>
                <w:lang w:val="en-GB"/>
              </w:rPr>
            </w:pPr>
            <w:r>
              <w:rPr>
                <w:lang w:val="en-GB"/>
              </w:rPr>
              <w:t>85.7</w:t>
            </w:r>
          </w:p>
        </w:tc>
        <w:tc>
          <w:tcPr>
            <w:tcW w:w="567" w:type="dxa"/>
            <w:shd w:val="clear" w:color="auto" w:fill="FFFFFF"/>
          </w:tcPr>
          <w:p w14:paraId="2380DB1C" w14:textId="77777777" w:rsidR="00D02EAC" w:rsidRDefault="004A6190" w:rsidP="00516303">
            <w:pPr>
              <w:pStyle w:val="CETBodytext"/>
              <w:ind w:right="-1"/>
              <w:rPr>
                <w:rFonts w:cs="Arial"/>
                <w:szCs w:val="18"/>
                <w:lang w:val="en-GB"/>
              </w:rPr>
            </w:pPr>
            <w:r>
              <w:rPr>
                <w:rFonts w:cs="Arial"/>
                <w:szCs w:val="18"/>
                <w:lang w:val="en-GB"/>
              </w:rPr>
              <w:t>3</w:t>
            </w:r>
          </w:p>
          <w:p w14:paraId="12883A22" w14:textId="04C0FE07" w:rsidR="004A6190" w:rsidRPr="004A6190" w:rsidRDefault="004C5ADC" w:rsidP="004C5ADC">
            <w:pPr>
              <w:pStyle w:val="CETBodytext"/>
              <w:rPr>
                <w:rFonts w:cs="Arial"/>
                <w:szCs w:val="18"/>
                <w:lang w:val="en-GB"/>
              </w:rPr>
            </w:pPr>
            <w:r>
              <w:rPr>
                <w:rFonts w:cs="Arial"/>
                <w:szCs w:val="18"/>
                <w:lang w:val="en-GB"/>
              </w:rPr>
              <w:t>79.1</w:t>
            </w:r>
          </w:p>
        </w:tc>
        <w:tc>
          <w:tcPr>
            <w:tcW w:w="567" w:type="dxa"/>
            <w:shd w:val="clear" w:color="auto" w:fill="FFFFFF"/>
          </w:tcPr>
          <w:p w14:paraId="397019C9" w14:textId="77777777" w:rsidR="00D02EAC" w:rsidRDefault="004A6190" w:rsidP="00516303">
            <w:pPr>
              <w:pStyle w:val="CETBodytext"/>
              <w:ind w:right="-1"/>
              <w:rPr>
                <w:rFonts w:cs="Arial"/>
                <w:szCs w:val="18"/>
                <w:lang w:val="en-GB"/>
              </w:rPr>
            </w:pPr>
            <w:r>
              <w:rPr>
                <w:rFonts w:cs="Arial"/>
                <w:szCs w:val="18"/>
                <w:lang w:val="en-GB"/>
              </w:rPr>
              <w:t>4</w:t>
            </w:r>
          </w:p>
          <w:p w14:paraId="0F2ADB22" w14:textId="3115B0F3" w:rsidR="004A6190" w:rsidRPr="004A6190" w:rsidRDefault="004C5ADC" w:rsidP="004A6190">
            <w:pPr>
              <w:pStyle w:val="CETBodytext"/>
              <w:rPr>
                <w:rFonts w:cs="Arial"/>
                <w:szCs w:val="18"/>
                <w:lang w:val="en-GB"/>
              </w:rPr>
            </w:pPr>
            <w:r>
              <w:rPr>
                <w:rFonts w:cs="Arial"/>
                <w:szCs w:val="18"/>
                <w:lang w:val="en-GB"/>
              </w:rPr>
              <w:t>78.1</w:t>
            </w:r>
          </w:p>
        </w:tc>
        <w:tc>
          <w:tcPr>
            <w:tcW w:w="425" w:type="dxa"/>
            <w:shd w:val="clear" w:color="auto" w:fill="FFFFFF"/>
          </w:tcPr>
          <w:p w14:paraId="4D94004A" w14:textId="77777777" w:rsidR="00D02EAC" w:rsidRDefault="004A6190" w:rsidP="00516303">
            <w:pPr>
              <w:pStyle w:val="CETBodytext"/>
              <w:ind w:right="-1"/>
              <w:rPr>
                <w:rFonts w:cs="Arial"/>
                <w:szCs w:val="18"/>
                <w:lang w:val="en-GB"/>
              </w:rPr>
            </w:pPr>
            <w:r>
              <w:rPr>
                <w:rFonts w:cs="Arial"/>
                <w:szCs w:val="18"/>
                <w:lang w:val="en-GB"/>
              </w:rPr>
              <w:t>3</w:t>
            </w:r>
          </w:p>
          <w:p w14:paraId="7532C4E8" w14:textId="5D955704" w:rsidR="004A6190" w:rsidRPr="004A6190" w:rsidRDefault="004C5ADC" w:rsidP="004A6190">
            <w:pPr>
              <w:pStyle w:val="CETBodytext"/>
              <w:rPr>
                <w:rFonts w:cs="Arial"/>
                <w:szCs w:val="18"/>
                <w:lang w:val="en-GB"/>
              </w:rPr>
            </w:pPr>
            <w:r>
              <w:rPr>
                <w:rFonts w:cs="Arial"/>
                <w:szCs w:val="18"/>
                <w:lang w:val="en-GB"/>
              </w:rPr>
              <w:t>75</w:t>
            </w:r>
          </w:p>
        </w:tc>
      </w:tr>
    </w:tbl>
    <w:p w14:paraId="7A99AE12" w14:textId="77777777" w:rsidR="009A7194" w:rsidRDefault="009A7194" w:rsidP="00D52BAB">
      <w:pPr>
        <w:rPr>
          <w:lang w:val="en"/>
        </w:rPr>
      </w:pPr>
    </w:p>
    <w:p w14:paraId="3219D0C2" w14:textId="51E934C1" w:rsidR="00E32BCD" w:rsidRDefault="00E32BCD" w:rsidP="00D52BAB">
      <w:pPr>
        <w:rPr>
          <w:lang w:val="en"/>
        </w:rPr>
      </w:pPr>
      <w:r w:rsidRPr="00833B90">
        <w:rPr>
          <w:lang w:val="en"/>
        </w:rPr>
        <w:t>Scenario 2 was chosen for presenting the highest energy savings</w:t>
      </w:r>
      <w:r>
        <w:rPr>
          <w:lang w:val="en"/>
        </w:rPr>
        <w:t>, with the</w:t>
      </w:r>
      <w:r w:rsidRPr="00833B90">
        <w:rPr>
          <w:lang w:val="en"/>
        </w:rPr>
        <w:t xml:space="preserve"> use of two energy integration exchangers to heat the </w:t>
      </w:r>
      <w:r>
        <w:rPr>
          <w:lang w:val="en"/>
        </w:rPr>
        <w:t xml:space="preserve">inlet </w:t>
      </w:r>
      <w:r w:rsidRPr="00833B90">
        <w:rPr>
          <w:lang w:val="en"/>
        </w:rPr>
        <w:t xml:space="preserve">hydrogen </w:t>
      </w:r>
      <w:r w:rsidR="0061483B">
        <w:rPr>
          <w:lang w:val="en"/>
        </w:rPr>
        <w:t xml:space="preserve">stream </w:t>
      </w:r>
      <w:r w:rsidRPr="00833B90">
        <w:rPr>
          <w:lang w:val="en"/>
        </w:rPr>
        <w:t xml:space="preserve">in reactor R-02 and the </w:t>
      </w:r>
      <w:r>
        <w:rPr>
          <w:lang w:val="en"/>
        </w:rPr>
        <w:t xml:space="preserve">inlet </w:t>
      </w:r>
      <w:r w:rsidRPr="00833B90">
        <w:rPr>
          <w:lang w:val="en"/>
        </w:rPr>
        <w:t xml:space="preserve">water </w:t>
      </w:r>
      <w:r w:rsidR="0061483B">
        <w:rPr>
          <w:lang w:val="en"/>
        </w:rPr>
        <w:t>stream</w:t>
      </w:r>
      <w:r w:rsidR="0061483B" w:rsidRPr="00833B90">
        <w:rPr>
          <w:lang w:val="en"/>
        </w:rPr>
        <w:t xml:space="preserve"> </w:t>
      </w:r>
      <w:r w:rsidRPr="00833B90">
        <w:rPr>
          <w:lang w:val="en"/>
        </w:rPr>
        <w:t xml:space="preserve">in reactor R-01, with the respective output </w:t>
      </w:r>
      <w:r w:rsidR="0061483B">
        <w:rPr>
          <w:lang w:val="en"/>
        </w:rPr>
        <w:t>streams</w:t>
      </w:r>
      <w:r w:rsidR="0061483B" w:rsidRPr="00833B90">
        <w:rPr>
          <w:lang w:val="en"/>
        </w:rPr>
        <w:t xml:space="preserve"> </w:t>
      </w:r>
      <w:r w:rsidRPr="00833B90">
        <w:rPr>
          <w:lang w:val="en"/>
        </w:rPr>
        <w:t>of each reactor. With this scenario, there was an 86</w:t>
      </w:r>
      <w:r w:rsidR="008D4D57">
        <w:rPr>
          <w:lang w:val="en"/>
        </w:rPr>
        <w:t xml:space="preserve"> </w:t>
      </w:r>
      <w:r w:rsidRPr="00833B90">
        <w:rPr>
          <w:lang w:val="en"/>
        </w:rPr>
        <w:t xml:space="preserve">% energy savings, close to the savings stipulated by the </w:t>
      </w:r>
      <w:r>
        <w:rPr>
          <w:lang w:val="en"/>
        </w:rPr>
        <w:t>software.</w:t>
      </w:r>
    </w:p>
    <w:p w14:paraId="442DA3C2" w14:textId="38CE2328" w:rsidR="00E32BCD" w:rsidRDefault="00E32BCD" w:rsidP="00E32BCD">
      <w:pPr>
        <w:pStyle w:val="CETheadingx"/>
      </w:pPr>
      <w:r>
        <w:t>Economic Analysis</w:t>
      </w:r>
    </w:p>
    <w:p w14:paraId="572797E9" w14:textId="1E1B3FB2" w:rsidR="00E32BCD" w:rsidRDefault="00E32BCD" w:rsidP="00E32BCD">
      <w:pPr>
        <w:pStyle w:val="CETBodytext"/>
      </w:pPr>
      <w:r w:rsidRPr="00E32BCD">
        <w:t xml:space="preserve">After the inclusion of energy integration exchangers, it was possible to develop the economic analysis using the prices of raw materials and products presented in the literature. </w:t>
      </w:r>
      <w:r w:rsidR="0016559D">
        <w:t>Table 3</w:t>
      </w:r>
      <w:r w:rsidRPr="00E32BCD">
        <w:t xml:space="preserve"> shows all the values used in the simulation.</w:t>
      </w:r>
    </w:p>
    <w:p w14:paraId="5A7638A9" w14:textId="148A169B" w:rsidR="003F3991" w:rsidRPr="00B57B36" w:rsidRDefault="003F3991" w:rsidP="0036473A">
      <w:pPr>
        <w:pStyle w:val="CETTabletitle"/>
        <w:spacing w:before="120" w:after="0"/>
      </w:pPr>
      <w:r w:rsidRPr="00B57B36">
        <w:t xml:space="preserve">Table </w:t>
      </w:r>
      <w:r w:rsidR="0016559D">
        <w:t>3</w:t>
      </w:r>
      <w:r w:rsidRPr="00B57B36">
        <w:t xml:space="preserve">: </w:t>
      </w:r>
      <w:r w:rsidR="009C21B3">
        <w:t>Raw material and product prices used in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1276"/>
      </w:tblGrid>
      <w:tr w:rsidR="009C21B3" w:rsidRPr="00B57B36" w14:paraId="24020A83" w14:textId="77777777" w:rsidTr="001D332A">
        <w:tc>
          <w:tcPr>
            <w:tcW w:w="3119" w:type="dxa"/>
            <w:tcBorders>
              <w:top w:val="single" w:sz="12" w:space="0" w:color="008000"/>
              <w:bottom w:val="single" w:sz="6" w:space="0" w:color="008000"/>
            </w:tcBorders>
            <w:shd w:val="clear" w:color="auto" w:fill="FFFFFF"/>
          </w:tcPr>
          <w:p w14:paraId="496374B3" w14:textId="30A255D4" w:rsidR="009C21B3" w:rsidRPr="00B57B36" w:rsidRDefault="009C21B3" w:rsidP="00516303">
            <w:pPr>
              <w:pStyle w:val="CETBodytext"/>
              <w:rPr>
                <w:lang w:val="en-GB"/>
              </w:rPr>
            </w:pPr>
            <w:r>
              <w:rPr>
                <w:lang w:val="en-GB"/>
              </w:rPr>
              <w:t>Component</w:t>
            </w:r>
          </w:p>
        </w:tc>
        <w:tc>
          <w:tcPr>
            <w:tcW w:w="1276" w:type="dxa"/>
            <w:tcBorders>
              <w:top w:val="single" w:sz="12" w:space="0" w:color="008000"/>
              <w:bottom w:val="single" w:sz="6" w:space="0" w:color="008000"/>
            </w:tcBorders>
            <w:shd w:val="clear" w:color="auto" w:fill="FFFFFF"/>
          </w:tcPr>
          <w:p w14:paraId="0780E447" w14:textId="67B4B21E" w:rsidR="009C21B3" w:rsidRPr="00B57B36" w:rsidRDefault="009C21B3" w:rsidP="00516303">
            <w:pPr>
              <w:pStyle w:val="CETBodytext"/>
              <w:rPr>
                <w:lang w:val="en-GB"/>
              </w:rPr>
            </w:pPr>
            <w:r>
              <w:rPr>
                <w:lang w:val="en-GB"/>
              </w:rPr>
              <w:t>Price</w:t>
            </w:r>
            <w:r w:rsidR="00AE064B">
              <w:rPr>
                <w:lang w:val="en-GB"/>
              </w:rPr>
              <w:t xml:space="preserve"> (USD/kg)</w:t>
            </w:r>
          </w:p>
        </w:tc>
      </w:tr>
      <w:tr w:rsidR="009C21B3" w:rsidRPr="00B57B36" w14:paraId="18F134C8" w14:textId="77777777" w:rsidTr="001D332A">
        <w:tc>
          <w:tcPr>
            <w:tcW w:w="3119" w:type="dxa"/>
            <w:shd w:val="clear" w:color="auto" w:fill="FFFFFF"/>
          </w:tcPr>
          <w:p w14:paraId="5900D53F" w14:textId="77777777" w:rsidR="009C21B3" w:rsidRDefault="009C21B3" w:rsidP="00516303">
            <w:pPr>
              <w:pStyle w:val="CETBodytext"/>
              <w:rPr>
                <w:lang w:val="en-GB"/>
              </w:rPr>
            </w:pPr>
            <w:r>
              <w:rPr>
                <w:lang w:val="en-GB"/>
              </w:rPr>
              <w:t>Biokerosene</w:t>
            </w:r>
          </w:p>
          <w:p w14:paraId="1D2C005E" w14:textId="35EC3F4A" w:rsidR="009C21B3" w:rsidRDefault="009C21B3" w:rsidP="00516303">
            <w:pPr>
              <w:pStyle w:val="CETBodytext"/>
              <w:rPr>
                <w:lang w:val="en-GB"/>
              </w:rPr>
            </w:pPr>
            <w:r>
              <w:rPr>
                <w:lang w:val="en-GB"/>
              </w:rPr>
              <w:t xml:space="preserve">Crude </w:t>
            </w:r>
            <w:proofErr w:type="spellStart"/>
            <w:r>
              <w:rPr>
                <w:lang w:val="en-GB"/>
              </w:rPr>
              <w:t>Glycerin</w:t>
            </w:r>
            <w:proofErr w:type="spellEnd"/>
            <w:r w:rsidR="001D332A">
              <w:rPr>
                <w:lang w:val="en-GB"/>
              </w:rPr>
              <w:t xml:space="preserve"> (</w:t>
            </w:r>
            <w:proofErr w:type="spellStart"/>
            <w:r w:rsidR="001D332A">
              <w:rPr>
                <w:lang w:val="en-GB"/>
              </w:rPr>
              <w:t>Landress</w:t>
            </w:r>
            <w:proofErr w:type="spellEnd"/>
            <w:r w:rsidR="001D332A">
              <w:rPr>
                <w:lang w:val="en-GB"/>
              </w:rPr>
              <w:t>, 2019)</w:t>
            </w:r>
          </w:p>
          <w:p w14:paraId="1CFF501D" w14:textId="36839389" w:rsidR="009C21B3" w:rsidRDefault="009C21B3" w:rsidP="00516303">
            <w:pPr>
              <w:pStyle w:val="CETBodytext"/>
              <w:rPr>
                <w:lang w:val="en-GB"/>
              </w:rPr>
            </w:pPr>
            <w:r>
              <w:rPr>
                <w:lang w:val="en-GB"/>
              </w:rPr>
              <w:t>Hydrogen</w:t>
            </w:r>
            <w:r w:rsidR="001D332A">
              <w:rPr>
                <w:lang w:val="en-GB"/>
              </w:rPr>
              <w:t xml:space="preserve"> (</w:t>
            </w:r>
            <w:proofErr w:type="spellStart"/>
            <w:r w:rsidR="001D332A">
              <w:rPr>
                <w:lang w:val="en-GB"/>
              </w:rPr>
              <w:t>Dagdougui</w:t>
            </w:r>
            <w:proofErr w:type="spellEnd"/>
            <w:r w:rsidR="001D332A">
              <w:rPr>
                <w:lang w:val="en-GB"/>
              </w:rPr>
              <w:t xml:space="preserve"> et. Al., 2018)</w:t>
            </w:r>
          </w:p>
          <w:p w14:paraId="25483483" w14:textId="4C7D7B1C" w:rsidR="009C21B3" w:rsidRDefault="009C21B3" w:rsidP="00516303">
            <w:pPr>
              <w:pStyle w:val="CETBodytext"/>
              <w:rPr>
                <w:lang w:val="en-GB"/>
              </w:rPr>
            </w:pPr>
            <w:r>
              <w:rPr>
                <w:lang w:val="en-GB"/>
              </w:rPr>
              <w:t>Soybean Oil</w:t>
            </w:r>
            <w:r w:rsidR="001D332A">
              <w:rPr>
                <w:lang w:val="en-GB"/>
              </w:rPr>
              <w:t xml:space="preserve"> (Markets Insider, 2021)</w:t>
            </w:r>
          </w:p>
          <w:p w14:paraId="7D5A0B4B" w14:textId="0EE9501F" w:rsidR="009C21B3" w:rsidRPr="00B57B36" w:rsidRDefault="009C21B3" w:rsidP="00516303">
            <w:pPr>
              <w:pStyle w:val="CETBodytext"/>
              <w:rPr>
                <w:lang w:val="en-GB"/>
              </w:rPr>
            </w:pPr>
            <w:r>
              <w:rPr>
                <w:lang w:val="en-GB"/>
              </w:rPr>
              <w:t xml:space="preserve">Soybean Acil Oil </w:t>
            </w:r>
          </w:p>
        </w:tc>
        <w:tc>
          <w:tcPr>
            <w:tcW w:w="1276" w:type="dxa"/>
            <w:shd w:val="clear" w:color="auto" w:fill="FFFFFF"/>
          </w:tcPr>
          <w:p w14:paraId="1B95B6AB" w14:textId="77777777" w:rsidR="00AE064B" w:rsidRDefault="00AE064B" w:rsidP="00AE064B">
            <w:pPr>
              <w:pStyle w:val="CETBodytext"/>
              <w:rPr>
                <w:lang w:val="en-GB"/>
              </w:rPr>
            </w:pPr>
            <w:r>
              <w:rPr>
                <w:lang w:val="en-GB"/>
              </w:rPr>
              <w:t>0.93</w:t>
            </w:r>
          </w:p>
          <w:p w14:paraId="0AD8C0BE" w14:textId="77777777" w:rsidR="00AE064B" w:rsidRDefault="00AE064B" w:rsidP="00AE064B">
            <w:pPr>
              <w:pStyle w:val="CETBodytext"/>
              <w:rPr>
                <w:lang w:val="en-GB"/>
              </w:rPr>
            </w:pPr>
            <w:r>
              <w:rPr>
                <w:lang w:val="en-GB"/>
              </w:rPr>
              <w:t>0.21</w:t>
            </w:r>
          </w:p>
          <w:p w14:paraId="7EE6D487" w14:textId="6EB40C3B" w:rsidR="00AE064B" w:rsidRDefault="00AE064B" w:rsidP="00AE064B">
            <w:pPr>
              <w:pStyle w:val="CETBodytext"/>
              <w:rPr>
                <w:lang w:val="en-GB"/>
              </w:rPr>
            </w:pPr>
            <w:r>
              <w:rPr>
                <w:lang w:val="en-GB"/>
              </w:rPr>
              <w:t>1.25</w:t>
            </w:r>
            <w:r w:rsidR="00A545A6">
              <w:rPr>
                <w:lang w:val="en-GB"/>
              </w:rPr>
              <w:t xml:space="preserve"> to </w:t>
            </w:r>
            <w:r>
              <w:rPr>
                <w:lang w:val="en-GB"/>
              </w:rPr>
              <w:t>3.5</w:t>
            </w:r>
          </w:p>
          <w:p w14:paraId="20AE7164" w14:textId="77777777" w:rsidR="00AE064B" w:rsidRDefault="00AE064B" w:rsidP="00AE064B">
            <w:pPr>
              <w:pStyle w:val="CETBodytext"/>
              <w:rPr>
                <w:lang w:val="en-GB"/>
              </w:rPr>
            </w:pPr>
            <w:r>
              <w:rPr>
                <w:lang w:val="en-GB"/>
              </w:rPr>
              <w:t>0.62</w:t>
            </w:r>
          </w:p>
          <w:p w14:paraId="027035EF" w14:textId="7A520923" w:rsidR="00AE064B" w:rsidRPr="00AE064B" w:rsidRDefault="00AE064B" w:rsidP="00AE064B">
            <w:pPr>
              <w:pStyle w:val="CETBodytext"/>
              <w:rPr>
                <w:lang w:val="en-GB"/>
              </w:rPr>
            </w:pPr>
            <w:r>
              <w:rPr>
                <w:lang w:val="en-GB"/>
              </w:rPr>
              <w:t>0.31</w:t>
            </w:r>
          </w:p>
        </w:tc>
      </w:tr>
    </w:tbl>
    <w:p w14:paraId="481437A7" w14:textId="55941538" w:rsidR="00E32BCD" w:rsidRDefault="00E32BCD" w:rsidP="00E32BCD">
      <w:pPr>
        <w:pStyle w:val="CETBodytext"/>
        <w:rPr>
          <w:lang w:val="en"/>
        </w:rPr>
      </w:pPr>
      <w:r>
        <w:rPr>
          <w:lang w:val="en"/>
        </w:rPr>
        <w:lastRenderedPageBreak/>
        <w:t>For utilities prices, the values already defined in the software were used. In addition, some considerations have been made. For the acid oil</w:t>
      </w:r>
      <w:r w:rsidR="0061483B">
        <w:rPr>
          <w:lang w:val="en"/>
        </w:rPr>
        <w:t>,</w:t>
      </w:r>
      <w:r>
        <w:rPr>
          <w:lang w:val="en"/>
        </w:rPr>
        <w:t xml:space="preserve"> the consideration </w:t>
      </w:r>
      <w:r w:rsidR="0061483B">
        <w:rPr>
          <w:lang w:val="en"/>
        </w:rPr>
        <w:t xml:space="preserve">made was </w:t>
      </w:r>
      <w:r>
        <w:rPr>
          <w:lang w:val="en"/>
        </w:rPr>
        <w:t xml:space="preserve">that its price </w:t>
      </w:r>
      <w:r w:rsidR="0061483B">
        <w:rPr>
          <w:lang w:val="en"/>
        </w:rPr>
        <w:t>wa</w:t>
      </w:r>
      <w:r>
        <w:rPr>
          <w:lang w:val="en"/>
        </w:rPr>
        <w:t>s about half the price of soybean oil, information collected in the work of Soares (2014). For biokerosene, considering that in literature several prices are found depending on the production capacity of the plant, an intermediate value was used, of US</w:t>
      </w:r>
      <w:r w:rsidR="00347BAB">
        <w:rPr>
          <w:lang w:val="en"/>
        </w:rPr>
        <w:t>D</w:t>
      </w:r>
      <w:r w:rsidR="00AC1A9F">
        <w:rPr>
          <w:lang w:val="en"/>
        </w:rPr>
        <w:t xml:space="preserve"> </w:t>
      </w:r>
      <w:r>
        <w:rPr>
          <w:lang w:val="en"/>
        </w:rPr>
        <w:t>0.93/kg.</w:t>
      </w:r>
    </w:p>
    <w:p w14:paraId="5074C167" w14:textId="38D8F777" w:rsidR="00AD3177" w:rsidRPr="00063482" w:rsidRDefault="00AD3177" w:rsidP="00AD3177">
      <w:pPr>
        <w:rPr>
          <w:lang w:val="en-US"/>
        </w:rPr>
      </w:pPr>
      <w:r>
        <w:rPr>
          <w:lang w:val="en"/>
        </w:rPr>
        <w:t>Using the price of biokerosene as US</w:t>
      </w:r>
      <w:r w:rsidR="00347BAB">
        <w:rPr>
          <w:lang w:val="en"/>
        </w:rPr>
        <w:t xml:space="preserve">D </w:t>
      </w:r>
      <w:r>
        <w:rPr>
          <w:lang w:val="en"/>
        </w:rPr>
        <w:t xml:space="preserve">0.93/kg and the price of hydrogen as </w:t>
      </w:r>
      <w:r w:rsidR="00347BAB">
        <w:rPr>
          <w:lang w:val="en"/>
        </w:rPr>
        <w:t xml:space="preserve">USD </w:t>
      </w:r>
      <w:r>
        <w:rPr>
          <w:lang w:val="en"/>
        </w:rPr>
        <w:t xml:space="preserve">1.25/kg, we have, for an annual production of 120 million liters of biokerosene using 27000 L/h of soybean acid oil, </w:t>
      </w:r>
      <w:r w:rsidRPr="00126C09">
        <w:t xml:space="preserve">a return time on investment of 3.55 years, a value considered promising for plant implementation. </w:t>
      </w:r>
      <w:r>
        <w:rPr>
          <w:lang w:val="en"/>
        </w:rPr>
        <w:t xml:space="preserve">The costs obtained can be observed in </w:t>
      </w:r>
      <w:r w:rsidR="0016559D">
        <w:rPr>
          <w:lang w:val="en"/>
        </w:rPr>
        <w:t>Table 4</w:t>
      </w:r>
      <w:r>
        <w:rPr>
          <w:lang w:val="en"/>
        </w:rPr>
        <w:t>.</w:t>
      </w:r>
    </w:p>
    <w:p w14:paraId="0C93B025" w14:textId="2CFEE40E" w:rsidR="009C21B3" w:rsidRPr="00B57B36" w:rsidRDefault="009C21B3" w:rsidP="0036473A">
      <w:pPr>
        <w:pStyle w:val="CETTabletitle"/>
        <w:spacing w:before="120" w:after="0"/>
      </w:pPr>
      <w:r w:rsidRPr="00B57B36">
        <w:t xml:space="preserve">Table </w:t>
      </w:r>
      <w:r w:rsidR="0016559D">
        <w:t>4</w:t>
      </w:r>
      <w:r w:rsidRPr="00B57B36">
        <w:t xml:space="preserve">: </w:t>
      </w:r>
      <w:r w:rsidR="00B44D83">
        <w:t>Economic analysis of the simulated unit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86"/>
        <w:gridCol w:w="847"/>
        <w:gridCol w:w="20"/>
      </w:tblGrid>
      <w:tr w:rsidR="007C25D9" w:rsidRPr="00B57B36" w14:paraId="2DE469AC" w14:textId="77777777" w:rsidTr="001D332A">
        <w:tc>
          <w:tcPr>
            <w:tcW w:w="3686" w:type="dxa"/>
            <w:tcBorders>
              <w:top w:val="single" w:sz="12" w:space="0" w:color="008000"/>
              <w:bottom w:val="single" w:sz="6" w:space="0" w:color="008000"/>
            </w:tcBorders>
            <w:shd w:val="clear" w:color="auto" w:fill="FFFFFF"/>
          </w:tcPr>
          <w:p w14:paraId="1BF27E61" w14:textId="497FB757" w:rsidR="007C25D9" w:rsidRPr="00B57B36" w:rsidRDefault="00B44D83" w:rsidP="00516303">
            <w:pPr>
              <w:pStyle w:val="CETBodytext"/>
              <w:rPr>
                <w:lang w:val="en-GB"/>
              </w:rPr>
            </w:pPr>
            <w:r>
              <w:rPr>
                <w:lang w:val="en-GB"/>
              </w:rPr>
              <w:t>Property</w:t>
            </w:r>
          </w:p>
        </w:tc>
        <w:tc>
          <w:tcPr>
            <w:tcW w:w="847" w:type="dxa"/>
            <w:tcBorders>
              <w:top w:val="single" w:sz="12" w:space="0" w:color="008000"/>
              <w:bottom w:val="single" w:sz="6" w:space="0" w:color="008000"/>
            </w:tcBorders>
            <w:shd w:val="clear" w:color="auto" w:fill="FFFFFF"/>
          </w:tcPr>
          <w:p w14:paraId="40E71931" w14:textId="53A1ACB2" w:rsidR="007C25D9" w:rsidRPr="00B57B36" w:rsidRDefault="00B44D83" w:rsidP="00516303">
            <w:pPr>
              <w:pStyle w:val="CETBodytext"/>
              <w:rPr>
                <w:lang w:val="en-GB"/>
              </w:rPr>
            </w:pPr>
            <w:r>
              <w:rPr>
                <w:lang w:val="en-GB"/>
              </w:rPr>
              <w:t>Value</w:t>
            </w:r>
          </w:p>
        </w:tc>
        <w:tc>
          <w:tcPr>
            <w:tcW w:w="20" w:type="dxa"/>
            <w:tcBorders>
              <w:top w:val="single" w:sz="12" w:space="0" w:color="008000"/>
              <w:bottom w:val="single" w:sz="6" w:space="0" w:color="008000"/>
            </w:tcBorders>
            <w:shd w:val="clear" w:color="auto" w:fill="FFFFFF"/>
          </w:tcPr>
          <w:p w14:paraId="2C43E0C2" w14:textId="77777777" w:rsidR="007C25D9" w:rsidRPr="00B57B36" w:rsidRDefault="007C25D9" w:rsidP="00516303">
            <w:pPr>
              <w:pStyle w:val="CETBodytext"/>
              <w:ind w:right="-1"/>
              <w:rPr>
                <w:rFonts w:cs="Arial"/>
                <w:szCs w:val="18"/>
                <w:lang w:val="en-GB"/>
              </w:rPr>
            </w:pPr>
          </w:p>
        </w:tc>
      </w:tr>
      <w:tr w:rsidR="007C25D9" w:rsidRPr="00B57B36" w14:paraId="6BDB17A9" w14:textId="77777777" w:rsidTr="001D332A">
        <w:tc>
          <w:tcPr>
            <w:tcW w:w="3686" w:type="dxa"/>
            <w:shd w:val="clear" w:color="auto" w:fill="FFFFFF"/>
          </w:tcPr>
          <w:p w14:paraId="21A85ADD" w14:textId="7C9D2563" w:rsidR="007C25D9" w:rsidRDefault="007C25D9" w:rsidP="00516303">
            <w:pPr>
              <w:pStyle w:val="CETBodytext"/>
              <w:rPr>
                <w:lang w:val="en-GB"/>
              </w:rPr>
            </w:pPr>
            <w:r w:rsidRPr="007C25D9">
              <w:rPr>
                <w:lang w:val="en-GB"/>
              </w:rPr>
              <w:t xml:space="preserve">Total capital cost </w:t>
            </w:r>
            <w:r w:rsidR="001D332A">
              <w:rPr>
                <w:lang w:val="en-GB"/>
              </w:rPr>
              <w:t>(</w:t>
            </w:r>
            <w:r w:rsidRPr="007C25D9">
              <w:rPr>
                <w:lang w:val="en-GB"/>
              </w:rPr>
              <w:t>US</w:t>
            </w:r>
            <w:r w:rsidR="001D332A">
              <w:rPr>
                <w:lang w:val="en-GB"/>
              </w:rPr>
              <w:t xml:space="preserve">D </w:t>
            </w:r>
            <w:r w:rsidRPr="007C25D9">
              <w:rPr>
                <w:lang w:val="en-GB"/>
              </w:rPr>
              <w:t>million</w:t>
            </w:r>
            <w:r w:rsidR="001D332A">
              <w:rPr>
                <w:lang w:val="en-GB"/>
              </w:rPr>
              <w:t>)</w:t>
            </w:r>
          </w:p>
          <w:p w14:paraId="2EB6AE3F" w14:textId="272E51E3" w:rsidR="007C25D9" w:rsidRPr="00B57B36" w:rsidRDefault="007C25D9" w:rsidP="00516303">
            <w:pPr>
              <w:pStyle w:val="CETBodytext"/>
              <w:rPr>
                <w:lang w:val="en-GB"/>
              </w:rPr>
            </w:pPr>
            <w:r w:rsidRPr="007C25D9">
              <w:rPr>
                <w:lang w:val="en-GB"/>
              </w:rPr>
              <w:t xml:space="preserve">Total operating cost </w:t>
            </w:r>
            <w:r w:rsidR="001D332A">
              <w:rPr>
                <w:lang w:val="en-GB"/>
              </w:rPr>
              <w:t>(</w:t>
            </w:r>
            <w:r w:rsidRPr="007C25D9">
              <w:rPr>
                <w:lang w:val="en-GB"/>
              </w:rPr>
              <w:t>US</w:t>
            </w:r>
            <w:r w:rsidR="001D332A">
              <w:rPr>
                <w:lang w:val="en-GB"/>
              </w:rPr>
              <w:t xml:space="preserve">D </w:t>
            </w:r>
            <w:r w:rsidRPr="007C25D9">
              <w:rPr>
                <w:lang w:val="en-GB"/>
              </w:rPr>
              <w:t>million/year</w:t>
            </w:r>
            <w:r w:rsidR="001D332A">
              <w:rPr>
                <w:lang w:val="en-GB"/>
              </w:rPr>
              <w:t>)</w:t>
            </w:r>
          </w:p>
        </w:tc>
        <w:tc>
          <w:tcPr>
            <w:tcW w:w="847" w:type="dxa"/>
            <w:shd w:val="clear" w:color="auto" w:fill="FFFFFF"/>
          </w:tcPr>
          <w:p w14:paraId="286A2565" w14:textId="34201470" w:rsidR="001D332A" w:rsidRDefault="001D332A" w:rsidP="001D332A">
            <w:pPr>
              <w:pStyle w:val="CETBodytext"/>
              <w:rPr>
                <w:lang w:val="en-GB"/>
              </w:rPr>
            </w:pPr>
            <w:r>
              <w:rPr>
                <w:lang w:val="en-GB"/>
              </w:rPr>
              <w:t>10.17</w:t>
            </w:r>
          </w:p>
          <w:p w14:paraId="31477AA8" w14:textId="4DBCCDF3" w:rsidR="001D332A" w:rsidRPr="001D332A" w:rsidRDefault="001D332A" w:rsidP="001D332A">
            <w:pPr>
              <w:pStyle w:val="CETBodytext"/>
              <w:rPr>
                <w:lang w:val="en-GB"/>
              </w:rPr>
            </w:pPr>
            <w:r>
              <w:rPr>
                <w:lang w:val="en-GB"/>
              </w:rPr>
              <w:t>55.64</w:t>
            </w:r>
          </w:p>
        </w:tc>
        <w:tc>
          <w:tcPr>
            <w:tcW w:w="20" w:type="dxa"/>
            <w:shd w:val="clear" w:color="auto" w:fill="FFFFFF"/>
          </w:tcPr>
          <w:p w14:paraId="19806FC6" w14:textId="77777777" w:rsidR="007C25D9" w:rsidRPr="00B57B36" w:rsidRDefault="007C25D9" w:rsidP="00516303">
            <w:pPr>
              <w:pStyle w:val="CETBodytext"/>
              <w:ind w:right="-1"/>
              <w:rPr>
                <w:rFonts w:cs="Arial"/>
                <w:szCs w:val="18"/>
                <w:lang w:val="en-GB"/>
              </w:rPr>
            </w:pPr>
          </w:p>
        </w:tc>
      </w:tr>
      <w:tr w:rsidR="007C25D9" w:rsidRPr="00B57B36" w14:paraId="06C5D8D0" w14:textId="77777777" w:rsidTr="001D332A">
        <w:tc>
          <w:tcPr>
            <w:tcW w:w="3686" w:type="dxa"/>
            <w:shd w:val="clear" w:color="auto" w:fill="FFFFFF"/>
          </w:tcPr>
          <w:p w14:paraId="530D4DEB" w14:textId="69027B18" w:rsidR="007C25D9" w:rsidRDefault="007C25D9" w:rsidP="00516303">
            <w:pPr>
              <w:pStyle w:val="CETBodytext"/>
              <w:ind w:right="-1"/>
              <w:rPr>
                <w:rFonts w:cs="Arial"/>
                <w:szCs w:val="18"/>
                <w:lang w:val="en-GB"/>
              </w:rPr>
            </w:pPr>
            <w:r w:rsidRPr="007C25D9">
              <w:rPr>
                <w:rFonts w:cs="Arial"/>
                <w:szCs w:val="18"/>
                <w:lang w:val="en-GB"/>
              </w:rPr>
              <w:t xml:space="preserve">Total raw materials cost </w:t>
            </w:r>
            <w:r w:rsidR="001D332A">
              <w:rPr>
                <w:rFonts w:cs="Arial"/>
                <w:szCs w:val="18"/>
                <w:lang w:val="en-GB"/>
              </w:rPr>
              <w:t>(</w:t>
            </w:r>
            <w:proofErr w:type="spellStart"/>
            <w:r w:rsidRPr="007C25D9">
              <w:rPr>
                <w:rFonts w:cs="Arial"/>
                <w:szCs w:val="18"/>
                <w:lang w:val="en-GB"/>
              </w:rPr>
              <w:t>US</w:t>
            </w:r>
            <w:r w:rsidR="001D332A">
              <w:rPr>
                <w:rFonts w:cs="Arial"/>
                <w:szCs w:val="18"/>
                <w:lang w:val="en-GB"/>
              </w:rPr>
              <w:t>D</w:t>
            </w:r>
            <w:r w:rsidRPr="007C25D9">
              <w:rPr>
                <w:rFonts w:cs="Arial"/>
                <w:szCs w:val="18"/>
                <w:lang w:val="en-GB"/>
              </w:rPr>
              <w:t>million</w:t>
            </w:r>
            <w:proofErr w:type="spellEnd"/>
            <w:r w:rsidRPr="007C25D9">
              <w:rPr>
                <w:rFonts w:cs="Arial"/>
                <w:szCs w:val="18"/>
                <w:lang w:val="en-GB"/>
              </w:rPr>
              <w:t>/year</w:t>
            </w:r>
            <w:r w:rsidR="001D332A">
              <w:rPr>
                <w:rFonts w:cs="Arial"/>
                <w:szCs w:val="18"/>
                <w:lang w:val="en-GB"/>
              </w:rPr>
              <w:t>)</w:t>
            </w:r>
          </w:p>
          <w:p w14:paraId="112A6089" w14:textId="5588B6EE" w:rsidR="007C25D9" w:rsidRDefault="007C25D9" w:rsidP="00516303">
            <w:pPr>
              <w:pStyle w:val="CETBodytext"/>
              <w:ind w:right="-1"/>
              <w:rPr>
                <w:rFonts w:cs="Arial"/>
                <w:szCs w:val="18"/>
                <w:lang w:val="en-GB"/>
              </w:rPr>
            </w:pPr>
            <w:r w:rsidRPr="007C25D9">
              <w:rPr>
                <w:rFonts w:cs="Arial"/>
                <w:szCs w:val="18"/>
                <w:lang w:val="en-GB"/>
              </w:rPr>
              <w:t xml:space="preserve">Total product sales </w:t>
            </w:r>
            <w:r w:rsidR="001D332A">
              <w:rPr>
                <w:rFonts w:cs="Arial"/>
                <w:szCs w:val="18"/>
                <w:lang w:val="en-GB"/>
              </w:rPr>
              <w:t>(</w:t>
            </w:r>
            <w:proofErr w:type="spellStart"/>
            <w:r w:rsidRPr="007C25D9">
              <w:rPr>
                <w:rFonts w:cs="Arial"/>
                <w:szCs w:val="18"/>
                <w:lang w:val="en-GB"/>
              </w:rPr>
              <w:t>US</w:t>
            </w:r>
            <w:r w:rsidR="001D332A">
              <w:rPr>
                <w:rFonts w:cs="Arial"/>
                <w:szCs w:val="18"/>
                <w:lang w:val="en-GB"/>
              </w:rPr>
              <w:t>D</w:t>
            </w:r>
            <w:r w:rsidRPr="007C25D9">
              <w:rPr>
                <w:rFonts w:cs="Arial"/>
                <w:szCs w:val="18"/>
                <w:lang w:val="en-GB"/>
              </w:rPr>
              <w:t>million</w:t>
            </w:r>
            <w:proofErr w:type="spellEnd"/>
            <w:r w:rsidRPr="007C25D9">
              <w:rPr>
                <w:rFonts w:cs="Arial"/>
                <w:szCs w:val="18"/>
                <w:lang w:val="en-GB"/>
              </w:rPr>
              <w:t>/year</w:t>
            </w:r>
            <w:r w:rsidR="001D332A">
              <w:rPr>
                <w:rFonts w:cs="Arial"/>
                <w:szCs w:val="18"/>
                <w:lang w:val="en-GB"/>
              </w:rPr>
              <w:t>)</w:t>
            </w:r>
          </w:p>
          <w:p w14:paraId="10E64066" w14:textId="244C571E" w:rsidR="007C25D9" w:rsidRDefault="007C25D9" w:rsidP="00516303">
            <w:pPr>
              <w:pStyle w:val="CETBodytext"/>
              <w:ind w:right="-1"/>
              <w:rPr>
                <w:rFonts w:cs="Arial"/>
                <w:szCs w:val="18"/>
                <w:lang w:val="en-GB"/>
              </w:rPr>
            </w:pPr>
            <w:r w:rsidRPr="007C25D9">
              <w:rPr>
                <w:rFonts w:cs="Arial"/>
                <w:szCs w:val="18"/>
                <w:lang w:val="en-GB"/>
              </w:rPr>
              <w:t xml:space="preserve">Total utilities cost </w:t>
            </w:r>
            <w:r w:rsidR="001D332A">
              <w:rPr>
                <w:rFonts w:cs="Arial"/>
                <w:szCs w:val="18"/>
                <w:lang w:val="en-GB"/>
              </w:rPr>
              <w:t>(</w:t>
            </w:r>
            <w:r w:rsidRPr="007C25D9">
              <w:rPr>
                <w:rFonts w:cs="Arial"/>
                <w:szCs w:val="18"/>
                <w:lang w:val="en-GB"/>
              </w:rPr>
              <w:t>US</w:t>
            </w:r>
            <w:r w:rsidR="001D332A">
              <w:rPr>
                <w:rFonts w:cs="Arial"/>
                <w:szCs w:val="18"/>
                <w:lang w:val="en-GB"/>
              </w:rPr>
              <w:t>D</w:t>
            </w:r>
            <w:r w:rsidRPr="007C25D9">
              <w:rPr>
                <w:rFonts w:cs="Arial"/>
                <w:szCs w:val="18"/>
                <w:lang w:val="en-GB"/>
              </w:rPr>
              <w:t>/year</w:t>
            </w:r>
            <w:r w:rsidR="001D332A">
              <w:rPr>
                <w:rFonts w:cs="Arial"/>
                <w:szCs w:val="18"/>
                <w:lang w:val="en-GB"/>
              </w:rPr>
              <w:t>)</w:t>
            </w:r>
          </w:p>
          <w:p w14:paraId="0F83EC0C" w14:textId="77777777" w:rsidR="007C25D9" w:rsidRDefault="00877CDA" w:rsidP="00516303">
            <w:pPr>
              <w:pStyle w:val="CETBodytext"/>
              <w:ind w:right="-1"/>
              <w:rPr>
                <w:rFonts w:cs="Arial"/>
                <w:szCs w:val="18"/>
                <w:lang w:val="en-GB"/>
              </w:rPr>
            </w:pPr>
            <w:r>
              <w:rPr>
                <w:rFonts w:cs="Arial"/>
                <w:szCs w:val="18"/>
                <w:lang w:val="en-GB"/>
              </w:rPr>
              <w:t>Return Time (Years)</w:t>
            </w:r>
          </w:p>
          <w:p w14:paraId="488C35B6" w14:textId="7BD275AE" w:rsidR="00877CDA" w:rsidRDefault="00877CDA" w:rsidP="00516303">
            <w:pPr>
              <w:pStyle w:val="CETBodytext"/>
              <w:ind w:right="-1"/>
              <w:rPr>
                <w:rFonts w:cs="Arial"/>
                <w:szCs w:val="18"/>
                <w:lang w:val="en-GB"/>
              </w:rPr>
            </w:pPr>
            <w:r w:rsidRPr="00877CDA">
              <w:rPr>
                <w:rFonts w:cs="Arial"/>
                <w:szCs w:val="18"/>
                <w:lang w:val="en-GB"/>
              </w:rPr>
              <w:t xml:space="preserve">Equipment cost </w:t>
            </w:r>
            <w:r w:rsidR="001D332A">
              <w:rPr>
                <w:rFonts w:cs="Arial"/>
                <w:szCs w:val="18"/>
                <w:lang w:val="en-GB"/>
              </w:rPr>
              <w:t>(</w:t>
            </w:r>
            <w:r w:rsidRPr="00877CDA">
              <w:rPr>
                <w:rFonts w:cs="Arial"/>
                <w:szCs w:val="18"/>
                <w:lang w:val="en-GB"/>
              </w:rPr>
              <w:t>US</w:t>
            </w:r>
            <w:r w:rsidR="001D332A">
              <w:rPr>
                <w:rFonts w:cs="Arial"/>
                <w:szCs w:val="18"/>
                <w:lang w:val="en-GB"/>
              </w:rPr>
              <w:t>D</w:t>
            </w:r>
            <w:r w:rsidRPr="00877CDA">
              <w:rPr>
                <w:rFonts w:cs="Arial"/>
                <w:szCs w:val="18"/>
                <w:lang w:val="en-GB"/>
              </w:rPr>
              <w:t xml:space="preserve"> million</w:t>
            </w:r>
            <w:r w:rsidR="001D332A">
              <w:rPr>
                <w:rFonts w:cs="Arial"/>
                <w:szCs w:val="18"/>
                <w:lang w:val="en-GB"/>
              </w:rPr>
              <w:t>)</w:t>
            </w:r>
          </w:p>
          <w:p w14:paraId="4F278DED" w14:textId="6065A450" w:rsidR="00877CDA" w:rsidRPr="00B57B36" w:rsidRDefault="00877CDA" w:rsidP="00516303">
            <w:pPr>
              <w:pStyle w:val="CETBodytext"/>
              <w:ind w:right="-1"/>
              <w:rPr>
                <w:rFonts w:cs="Arial"/>
                <w:szCs w:val="18"/>
                <w:lang w:val="en-GB"/>
              </w:rPr>
            </w:pPr>
            <w:r w:rsidRPr="00877CDA">
              <w:rPr>
                <w:rFonts w:cs="Arial"/>
                <w:szCs w:val="18"/>
                <w:lang w:val="en-GB"/>
              </w:rPr>
              <w:t xml:space="preserve">Total installation cost </w:t>
            </w:r>
            <w:r w:rsidR="001D332A">
              <w:rPr>
                <w:rFonts w:cs="Arial"/>
                <w:szCs w:val="18"/>
                <w:lang w:val="en-GB"/>
              </w:rPr>
              <w:t>(</w:t>
            </w:r>
            <w:r w:rsidRPr="00877CDA">
              <w:rPr>
                <w:rFonts w:cs="Arial"/>
                <w:szCs w:val="18"/>
                <w:lang w:val="en-GB"/>
              </w:rPr>
              <w:t>US</w:t>
            </w:r>
            <w:r w:rsidR="001D332A">
              <w:rPr>
                <w:rFonts w:cs="Arial"/>
                <w:szCs w:val="18"/>
                <w:lang w:val="en-GB"/>
              </w:rPr>
              <w:t>D</w:t>
            </w:r>
            <w:r w:rsidRPr="00877CDA">
              <w:rPr>
                <w:rFonts w:cs="Arial"/>
                <w:szCs w:val="18"/>
                <w:lang w:val="en-GB"/>
              </w:rPr>
              <w:t xml:space="preserve"> million</w:t>
            </w:r>
            <w:r w:rsidR="001D332A">
              <w:rPr>
                <w:rFonts w:cs="Arial"/>
                <w:szCs w:val="18"/>
                <w:lang w:val="en-GB"/>
              </w:rPr>
              <w:t>)</w:t>
            </w:r>
          </w:p>
        </w:tc>
        <w:tc>
          <w:tcPr>
            <w:tcW w:w="847" w:type="dxa"/>
            <w:shd w:val="clear" w:color="auto" w:fill="FFFFFF"/>
          </w:tcPr>
          <w:p w14:paraId="768A3FCA" w14:textId="2CD88BBC" w:rsidR="007C25D9" w:rsidRDefault="001D332A" w:rsidP="00516303">
            <w:pPr>
              <w:pStyle w:val="CETBodytext"/>
              <w:ind w:right="-1"/>
              <w:rPr>
                <w:rFonts w:cs="Arial"/>
                <w:szCs w:val="18"/>
                <w:lang w:val="en-GB"/>
              </w:rPr>
            </w:pPr>
            <w:r>
              <w:rPr>
                <w:rFonts w:cs="Arial"/>
                <w:szCs w:val="18"/>
                <w:lang w:val="en-GB"/>
              </w:rPr>
              <w:t>49.51</w:t>
            </w:r>
          </w:p>
          <w:p w14:paraId="2B84D8EA" w14:textId="5698E2E2" w:rsidR="001D332A" w:rsidRDefault="001D332A" w:rsidP="001D332A">
            <w:pPr>
              <w:pStyle w:val="CETBodytext"/>
              <w:rPr>
                <w:rFonts w:cs="Arial"/>
                <w:szCs w:val="18"/>
                <w:lang w:val="en-GB"/>
              </w:rPr>
            </w:pPr>
            <w:r>
              <w:rPr>
                <w:rFonts w:cs="Arial"/>
                <w:szCs w:val="18"/>
                <w:lang w:val="en-GB"/>
              </w:rPr>
              <w:t>76.86</w:t>
            </w:r>
          </w:p>
          <w:p w14:paraId="3EFD58C8" w14:textId="4244CAAC" w:rsidR="001D332A" w:rsidRDefault="001D332A" w:rsidP="001D332A">
            <w:pPr>
              <w:pStyle w:val="CETBodytext"/>
              <w:rPr>
                <w:rFonts w:cs="Arial"/>
                <w:szCs w:val="18"/>
                <w:lang w:val="en-GB"/>
              </w:rPr>
            </w:pPr>
            <w:r>
              <w:rPr>
                <w:rFonts w:cs="Arial"/>
                <w:szCs w:val="18"/>
                <w:lang w:val="en-GB"/>
              </w:rPr>
              <w:t>412,42</w:t>
            </w:r>
          </w:p>
          <w:p w14:paraId="13AD7204" w14:textId="77777777" w:rsidR="001D332A" w:rsidRDefault="001D332A" w:rsidP="001D332A">
            <w:pPr>
              <w:pStyle w:val="CETBodytext"/>
              <w:rPr>
                <w:rFonts w:cs="Arial"/>
                <w:szCs w:val="18"/>
                <w:lang w:val="en-GB"/>
              </w:rPr>
            </w:pPr>
            <w:r>
              <w:rPr>
                <w:rFonts w:cs="Arial"/>
                <w:szCs w:val="18"/>
                <w:lang w:val="en-GB"/>
              </w:rPr>
              <w:t>3.55</w:t>
            </w:r>
          </w:p>
          <w:p w14:paraId="53723DE5" w14:textId="642008C4" w:rsidR="001D332A" w:rsidRDefault="001D332A" w:rsidP="001D332A">
            <w:pPr>
              <w:pStyle w:val="CETBodytext"/>
              <w:rPr>
                <w:rFonts w:cs="Arial"/>
                <w:szCs w:val="18"/>
                <w:lang w:val="en-GB"/>
              </w:rPr>
            </w:pPr>
            <w:r>
              <w:rPr>
                <w:rFonts w:cs="Arial"/>
                <w:szCs w:val="18"/>
                <w:lang w:val="en-GB"/>
              </w:rPr>
              <w:t>1.71</w:t>
            </w:r>
          </w:p>
          <w:p w14:paraId="3B7CADB7" w14:textId="3BFD30B4" w:rsidR="001D332A" w:rsidRPr="001D332A" w:rsidRDefault="001D332A" w:rsidP="001D332A">
            <w:pPr>
              <w:pStyle w:val="CETBodytext"/>
              <w:rPr>
                <w:rFonts w:cs="Arial"/>
                <w:szCs w:val="18"/>
                <w:lang w:val="en-GB"/>
              </w:rPr>
            </w:pPr>
            <w:r>
              <w:rPr>
                <w:rFonts w:cs="Arial"/>
                <w:szCs w:val="18"/>
                <w:lang w:val="en-GB"/>
              </w:rPr>
              <w:t>4.37</w:t>
            </w:r>
          </w:p>
        </w:tc>
        <w:tc>
          <w:tcPr>
            <w:tcW w:w="20" w:type="dxa"/>
            <w:shd w:val="clear" w:color="auto" w:fill="FFFFFF"/>
          </w:tcPr>
          <w:p w14:paraId="46C3FE13" w14:textId="77777777" w:rsidR="007C25D9" w:rsidRPr="00B57B36" w:rsidRDefault="007C25D9" w:rsidP="00516303">
            <w:pPr>
              <w:pStyle w:val="CETBodytext"/>
              <w:ind w:right="-1"/>
              <w:rPr>
                <w:rFonts w:cs="Arial"/>
                <w:szCs w:val="18"/>
                <w:lang w:val="en-GB"/>
              </w:rPr>
            </w:pPr>
          </w:p>
        </w:tc>
      </w:tr>
    </w:tbl>
    <w:p w14:paraId="57355C7A" w14:textId="77777777" w:rsidR="00414CFF" w:rsidRDefault="00414CFF" w:rsidP="00AD3177">
      <w:pPr>
        <w:pStyle w:val="CETBodytext"/>
        <w:rPr>
          <w:lang w:val="en"/>
        </w:rPr>
      </w:pPr>
    </w:p>
    <w:p w14:paraId="6C865993" w14:textId="10EC6041" w:rsidR="00AD3177" w:rsidRDefault="00AD3177" w:rsidP="00AD3177">
      <w:pPr>
        <w:pStyle w:val="CETBodytext"/>
        <w:rPr>
          <w:lang w:val="en"/>
        </w:rPr>
      </w:pPr>
      <w:r>
        <w:rPr>
          <w:lang w:val="en"/>
        </w:rPr>
        <w:t xml:space="preserve">As the price of hydrogen varied, an analysis was made considering what would be the maximum selling price of hydrogen for the plant to remain profitable with the sale of biokerosene at </w:t>
      </w:r>
      <w:r w:rsidR="00347BAB">
        <w:rPr>
          <w:lang w:val="en"/>
        </w:rPr>
        <w:t xml:space="preserve">USD </w:t>
      </w:r>
      <w:r>
        <w:rPr>
          <w:lang w:val="en"/>
        </w:rPr>
        <w:t>0.93/kg. By analysis, it was observed that production will only be profitable if the s</w:t>
      </w:r>
      <w:r w:rsidR="00764083">
        <w:rPr>
          <w:lang w:val="en"/>
        </w:rPr>
        <w:t>elling</w:t>
      </w:r>
      <w:r>
        <w:rPr>
          <w:lang w:val="en"/>
        </w:rPr>
        <w:t xml:space="preserve"> price of hydrogen is less than </w:t>
      </w:r>
      <w:r w:rsidR="00347BAB">
        <w:rPr>
          <w:lang w:val="en"/>
        </w:rPr>
        <w:t xml:space="preserve">USD </w:t>
      </w:r>
      <w:r>
        <w:rPr>
          <w:lang w:val="en"/>
        </w:rPr>
        <w:t>2/kg. The minimum s</w:t>
      </w:r>
      <w:r w:rsidR="00764083">
        <w:rPr>
          <w:lang w:val="en"/>
        </w:rPr>
        <w:t>elling</w:t>
      </w:r>
      <w:r>
        <w:rPr>
          <w:lang w:val="en"/>
        </w:rPr>
        <w:t xml:space="preserve"> price of biokerosene for the plant would be </w:t>
      </w:r>
      <w:r w:rsidR="00347BAB">
        <w:rPr>
          <w:lang w:val="en"/>
        </w:rPr>
        <w:t xml:space="preserve">USD </w:t>
      </w:r>
      <w:r>
        <w:rPr>
          <w:lang w:val="en"/>
        </w:rPr>
        <w:t>0.67/kg, considering that the plant did not make any profit from the process</w:t>
      </w:r>
      <w:r w:rsidR="00940295">
        <w:rPr>
          <w:lang w:val="en"/>
        </w:rPr>
        <w:t xml:space="preserve"> and the hydrogen price was USD 1.25/kg</w:t>
      </w:r>
      <w:r w:rsidRPr="00FB0559">
        <w:t xml:space="preserve">. </w:t>
      </w:r>
      <w:r>
        <w:rPr>
          <w:lang w:val="en"/>
        </w:rPr>
        <w:t xml:space="preserve">As it is of interest </w:t>
      </w:r>
      <w:r w:rsidRPr="00596D82">
        <w:rPr>
          <w:lang w:val="en"/>
        </w:rPr>
        <w:t xml:space="preserve">to keep profit, </w:t>
      </w:r>
      <w:r>
        <w:rPr>
          <w:lang w:val="en"/>
        </w:rPr>
        <w:t xml:space="preserve">if we kept the selling price at </w:t>
      </w:r>
      <w:r w:rsidR="00347BAB">
        <w:rPr>
          <w:lang w:val="en"/>
        </w:rPr>
        <w:t xml:space="preserve">USD </w:t>
      </w:r>
      <w:r>
        <w:rPr>
          <w:lang w:val="en"/>
        </w:rPr>
        <w:t>0.93/kg, the price of biokerosene would be</w:t>
      </w:r>
      <w:r w:rsidR="00E1021F">
        <w:rPr>
          <w:lang w:val="en"/>
        </w:rPr>
        <w:t xml:space="preserve"> </w:t>
      </w:r>
      <w:r w:rsidR="00E1021F" w:rsidRPr="00E1021F">
        <w:rPr>
          <w:lang w:val="en"/>
        </w:rPr>
        <w:t xml:space="preserve">close to </w:t>
      </w:r>
      <w:r w:rsidR="00E1021F">
        <w:rPr>
          <w:lang w:val="en"/>
        </w:rPr>
        <w:t>current</w:t>
      </w:r>
      <w:r w:rsidR="00E1021F" w:rsidRPr="00E1021F">
        <w:rPr>
          <w:lang w:val="en"/>
        </w:rPr>
        <w:t xml:space="preserve"> conventional kerosene</w:t>
      </w:r>
      <w:r w:rsidR="00E1021F">
        <w:rPr>
          <w:lang w:val="en"/>
        </w:rPr>
        <w:t xml:space="preserve"> price</w:t>
      </w:r>
      <w:r w:rsidR="00E1021F" w:rsidRPr="00E1021F">
        <w:rPr>
          <w:lang w:val="en"/>
        </w:rPr>
        <w:t xml:space="preserve">, which showed a considerable price increase last year, </w:t>
      </w:r>
      <w:r w:rsidR="00E1021F">
        <w:rPr>
          <w:lang w:val="en"/>
        </w:rPr>
        <w:t>being approximately</w:t>
      </w:r>
      <w:r w:rsidR="00E1021F" w:rsidRPr="00E1021F">
        <w:rPr>
          <w:lang w:val="en"/>
        </w:rPr>
        <w:t xml:space="preserve"> </w:t>
      </w:r>
      <w:r w:rsidR="00E1021F">
        <w:rPr>
          <w:lang w:val="en"/>
        </w:rPr>
        <w:t xml:space="preserve">USD </w:t>
      </w:r>
      <w:r w:rsidR="00E1021F" w:rsidRPr="00E1021F">
        <w:rPr>
          <w:lang w:val="en"/>
        </w:rPr>
        <w:t>0.9/kg (</w:t>
      </w:r>
      <w:r w:rsidR="00E1021F">
        <w:rPr>
          <w:lang w:val="en"/>
        </w:rPr>
        <w:t xml:space="preserve">IATA, </w:t>
      </w:r>
      <w:r w:rsidR="00E1021F" w:rsidRPr="00E1021F">
        <w:rPr>
          <w:lang w:val="en"/>
        </w:rPr>
        <w:t>2023)</w:t>
      </w:r>
      <w:r w:rsidR="00E1021F">
        <w:rPr>
          <w:lang w:val="en"/>
        </w:rPr>
        <w:t>. Also</w:t>
      </w:r>
      <w:r w:rsidRPr="003533F9">
        <w:rPr>
          <w:lang w:val="en"/>
        </w:rPr>
        <w:t xml:space="preserve">, the plant presented lower sales values than some found in the literature, such as the value stipulated by </w:t>
      </w:r>
      <w:proofErr w:type="spellStart"/>
      <w:r w:rsidRPr="003533F9">
        <w:rPr>
          <w:lang w:val="en"/>
        </w:rPr>
        <w:t>Pearlson</w:t>
      </w:r>
      <w:proofErr w:type="spellEnd"/>
      <w:r w:rsidRPr="003533F9">
        <w:rPr>
          <w:lang w:val="en"/>
        </w:rPr>
        <w:t xml:space="preserve"> (2013), of</w:t>
      </w:r>
      <w:r>
        <w:rPr>
          <w:lang w:val="en"/>
        </w:rPr>
        <w:t xml:space="preserve"> </w:t>
      </w:r>
      <w:r w:rsidR="00347BAB">
        <w:rPr>
          <w:lang w:val="en"/>
        </w:rPr>
        <w:t xml:space="preserve">USD </w:t>
      </w:r>
      <w:r>
        <w:rPr>
          <w:lang w:val="en"/>
        </w:rPr>
        <w:t>1.37/kg for the same annual production</w:t>
      </w:r>
      <w:r w:rsidR="00314D7B">
        <w:rPr>
          <w:lang w:val="en"/>
        </w:rPr>
        <w:t xml:space="preserve"> and Martinez-Hernandez et al. (2019), that estimated approximately USD 1.64/kg, considering a higher hydrogen price of USD 2/kg and an annual production of 11.9 million liters. A near minimum selling price was obtained by Klein et al (2018), using a different strategy of cost reduction involving on-site H</w:t>
      </w:r>
      <w:r w:rsidR="00314D7B">
        <w:rPr>
          <w:vertAlign w:val="subscript"/>
          <w:lang w:val="en"/>
        </w:rPr>
        <w:t>2</w:t>
      </w:r>
      <w:r w:rsidR="00314D7B">
        <w:rPr>
          <w:lang w:val="en"/>
        </w:rPr>
        <w:t xml:space="preserve"> production in integrated biorefineries, of USD 0.87/kg for a 228 million liters production.</w:t>
      </w:r>
      <w:r w:rsidR="007C29B8">
        <w:rPr>
          <w:lang w:val="en"/>
        </w:rPr>
        <w:t xml:space="preserve"> </w:t>
      </w:r>
      <w:r>
        <w:rPr>
          <w:lang w:val="en"/>
        </w:rPr>
        <w:t>It is also possible</w:t>
      </w:r>
      <w:r w:rsidR="008A548A">
        <w:rPr>
          <w:lang w:val="en"/>
        </w:rPr>
        <w:t xml:space="preserve"> to observe</w:t>
      </w:r>
      <w:r>
        <w:rPr>
          <w:lang w:val="en"/>
        </w:rPr>
        <w:t xml:space="preserve"> </w:t>
      </w:r>
      <w:r>
        <w:rPr>
          <w:highlight w:val="yellow"/>
          <w:lang w:val="en"/>
        </w:rPr>
        <w:fldChar w:fldCharType="begin"/>
      </w:r>
      <w:r>
        <w:rPr>
          <w:lang w:val="en"/>
        </w:rPr>
        <w:instrText xml:space="preserve"> REF _Ref80191064 \h </w:instrText>
      </w:r>
      <w:r>
        <w:rPr>
          <w:highlight w:val="yellow"/>
          <w:lang w:val="en"/>
        </w:rPr>
      </w:r>
      <w:r>
        <w:rPr>
          <w:highlight w:val="yellow"/>
          <w:lang w:val="en"/>
        </w:rPr>
        <w:fldChar w:fldCharType="separate"/>
      </w:r>
      <w:r>
        <w:rPr>
          <w:lang w:val="en"/>
        </w:rPr>
        <w:t xml:space="preserve">that the </w:t>
      </w:r>
      <w:r>
        <w:rPr>
          <w:highlight w:val="yellow"/>
          <w:lang w:val="en"/>
        </w:rPr>
        <w:fldChar w:fldCharType="end"/>
      </w:r>
      <w:r>
        <w:rPr>
          <w:lang w:val="en"/>
        </w:rPr>
        <w:t xml:space="preserve">material that represents most </w:t>
      </w:r>
      <w:r w:rsidR="008A548A">
        <w:rPr>
          <w:lang w:val="en"/>
        </w:rPr>
        <w:t xml:space="preserve">part </w:t>
      </w:r>
      <w:r>
        <w:rPr>
          <w:lang w:val="en"/>
        </w:rPr>
        <w:t xml:space="preserve">of the </w:t>
      </w:r>
      <w:r w:rsidR="008A548A">
        <w:rPr>
          <w:lang w:val="en"/>
        </w:rPr>
        <w:t>raw materials costs</w:t>
      </w:r>
      <w:r>
        <w:rPr>
          <w:lang w:val="en"/>
        </w:rPr>
        <w:t xml:space="preserve"> of this </w:t>
      </w:r>
      <w:r w:rsidR="008A548A">
        <w:rPr>
          <w:lang w:val="en"/>
        </w:rPr>
        <w:t xml:space="preserve">simulation </w:t>
      </w:r>
      <w:r>
        <w:rPr>
          <w:lang w:val="en"/>
        </w:rPr>
        <w:t xml:space="preserve">is the soybean acid oil, despite being a residual raw material. The cost of hydrogen has become lower than </w:t>
      </w:r>
      <w:r w:rsidRPr="00277F8A">
        <w:rPr>
          <w:lang w:val="en"/>
        </w:rPr>
        <w:t>the</w:t>
      </w:r>
      <w:r>
        <w:rPr>
          <w:lang w:val="en"/>
        </w:rPr>
        <w:t xml:space="preserve"> acid oil cost due to the recycling of hydrogen in the process, being an </w:t>
      </w:r>
      <w:r w:rsidR="00745ECF">
        <w:rPr>
          <w:lang w:val="en"/>
        </w:rPr>
        <w:t xml:space="preserve">essential </w:t>
      </w:r>
      <w:r>
        <w:rPr>
          <w:lang w:val="en"/>
        </w:rPr>
        <w:t>strategy for reducing costs.</w:t>
      </w:r>
      <w:r w:rsidR="00C47492">
        <w:rPr>
          <w:lang w:val="en"/>
        </w:rPr>
        <w:t xml:space="preserve"> The cost per hour for soybean acid oil</w:t>
      </w:r>
      <w:r w:rsidR="00B77A8A">
        <w:rPr>
          <w:lang w:val="en"/>
        </w:rPr>
        <w:t xml:space="preserve"> and </w:t>
      </w:r>
      <w:r w:rsidR="00C47492">
        <w:rPr>
          <w:lang w:val="en"/>
        </w:rPr>
        <w:t xml:space="preserve">hydrogen were </w:t>
      </w:r>
      <w:r w:rsidR="001D332A" w:rsidRPr="001D332A">
        <w:rPr>
          <w:lang w:val="en"/>
        </w:rPr>
        <w:t>3096.932 USD/h</w:t>
      </w:r>
      <w:r w:rsidR="00B77A8A">
        <w:rPr>
          <w:lang w:val="en"/>
        </w:rPr>
        <w:t xml:space="preserve"> and </w:t>
      </w:r>
      <w:r w:rsidR="001D332A" w:rsidRPr="001D332A">
        <w:rPr>
          <w:lang w:val="en"/>
        </w:rPr>
        <w:t>2519.376 USD/h</w:t>
      </w:r>
      <w:r w:rsidR="00B77A8A">
        <w:rPr>
          <w:lang w:val="en"/>
        </w:rPr>
        <w:t xml:space="preserve">, </w:t>
      </w:r>
      <w:r w:rsidR="006363FC">
        <w:rPr>
          <w:lang w:val="en"/>
        </w:rPr>
        <w:t xml:space="preserve">representing approximately 55 % and 45 % of raw materials costs, </w:t>
      </w:r>
      <w:r w:rsidR="00C47492" w:rsidRPr="001D332A">
        <w:rPr>
          <w:lang w:val="en"/>
        </w:rPr>
        <w:t>respectively</w:t>
      </w:r>
      <w:r w:rsidR="00C47492">
        <w:rPr>
          <w:lang w:val="en"/>
        </w:rPr>
        <w:t xml:space="preserve">. </w:t>
      </w:r>
    </w:p>
    <w:p w14:paraId="515AF64B" w14:textId="36F80EED" w:rsidR="00520587" w:rsidRDefault="006363FC" w:rsidP="00520587">
      <w:pPr>
        <w:pStyle w:val="CETHeading1"/>
        <w:rPr>
          <w:lang w:val="en"/>
        </w:rPr>
      </w:pPr>
      <w:r>
        <w:t xml:space="preserve">Environmental </w:t>
      </w:r>
      <w:r w:rsidR="00520587">
        <w:t>Analysis</w:t>
      </w:r>
    </w:p>
    <w:p w14:paraId="4792C2AB" w14:textId="1BB8EDF0" w:rsidR="006F5082" w:rsidRDefault="00874F95" w:rsidP="006F5082">
      <w:pPr>
        <w:pStyle w:val="CETBodytext"/>
        <w:rPr>
          <w:lang w:val="en"/>
        </w:rPr>
      </w:pPr>
      <w:r>
        <w:rPr>
          <w:lang w:val="en"/>
        </w:rPr>
        <w:t>T</w:t>
      </w:r>
      <w:r w:rsidR="006F5082" w:rsidRPr="006F5082">
        <w:rPr>
          <w:lang w:val="en"/>
        </w:rPr>
        <w:t xml:space="preserve">he emission of greenhouse gases generated for the plant configuration before and after the addition of energy integration exchangers </w:t>
      </w:r>
      <w:r>
        <w:rPr>
          <w:lang w:val="en"/>
        </w:rPr>
        <w:t xml:space="preserve">by the energy analysis </w:t>
      </w:r>
      <w:r w:rsidR="00745ECF">
        <w:rPr>
          <w:lang w:val="en"/>
        </w:rPr>
        <w:t xml:space="preserve">was </w:t>
      </w:r>
      <w:r w:rsidR="006F5082" w:rsidRPr="006F5082">
        <w:rPr>
          <w:lang w:val="en"/>
        </w:rPr>
        <w:t xml:space="preserve">compared. According to the results presented in </w:t>
      </w:r>
      <w:r w:rsidR="006F5082">
        <w:rPr>
          <w:lang w:val="en"/>
        </w:rPr>
        <w:t>simulation</w:t>
      </w:r>
      <w:r w:rsidR="006F5082" w:rsidRPr="006F5082">
        <w:rPr>
          <w:lang w:val="en"/>
        </w:rPr>
        <w:t>, a reduction of 57.3</w:t>
      </w:r>
      <w:r w:rsidR="008D4D57">
        <w:rPr>
          <w:lang w:val="en"/>
        </w:rPr>
        <w:t xml:space="preserve"> </w:t>
      </w:r>
      <w:r w:rsidR="006F5082" w:rsidRPr="006F5082">
        <w:rPr>
          <w:lang w:val="en"/>
        </w:rPr>
        <w:t xml:space="preserve">% in </w:t>
      </w:r>
      <w:r w:rsidR="0033676F">
        <w:rPr>
          <w:lang w:val="en"/>
        </w:rPr>
        <w:t>CO</w:t>
      </w:r>
      <w:r w:rsidR="0033676F">
        <w:rPr>
          <w:vertAlign w:val="subscript"/>
          <w:lang w:val="en"/>
        </w:rPr>
        <w:t>2</w:t>
      </w:r>
      <w:r w:rsidR="0033676F">
        <w:rPr>
          <w:lang w:val="en"/>
        </w:rPr>
        <w:t>e</w:t>
      </w:r>
      <w:r w:rsidR="006F5082" w:rsidRPr="006F5082">
        <w:rPr>
          <w:lang w:val="en"/>
        </w:rPr>
        <w:t xml:space="preserve"> </w:t>
      </w:r>
      <w:r w:rsidR="006363FC">
        <w:rPr>
          <w:lang w:val="en"/>
        </w:rPr>
        <w:t>(</w:t>
      </w:r>
      <w:r w:rsidR="006363FC" w:rsidRPr="006363FC">
        <w:rPr>
          <w:lang w:val="en"/>
        </w:rPr>
        <w:t>carbon dioxide equivalent</w:t>
      </w:r>
      <w:r w:rsidR="006363FC">
        <w:rPr>
          <w:lang w:val="en"/>
        </w:rPr>
        <w:t>)</w:t>
      </w:r>
      <w:r w:rsidR="006363FC" w:rsidRPr="006363FC">
        <w:rPr>
          <w:lang w:val="en"/>
        </w:rPr>
        <w:t xml:space="preserve"> </w:t>
      </w:r>
      <w:r w:rsidR="006F5082" w:rsidRPr="006F5082">
        <w:rPr>
          <w:lang w:val="en"/>
        </w:rPr>
        <w:t>emissions is observed with the use of energy integrations.</w:t>
      </w:r>
      <w:r w:rsidR="005B43D6">
        <w:rPr>
          <w:lang w:val="en"/>
        </w:rPr>
        <w:t xml:space="preserve"> </w:t>
      </w:r>
      <w:r w:rsidR="006F5082" w:rsidRPr="006F5082">
        <w:rPr>
          <w:lang w:val="en"/>
        </w:rPr>
        <w:t>The result is expected, considering that the use of integration exchangers</w:t>
      </w:r>
      <w:r w:rsidR="00745ECF">
        <w:rPr>
          <w:lang w:val="en"/>
        </w:rPr>
        <w:t xml:space="preserve"> </w:t>
      </w:r>
      <w:r w:rsidR="00041D15">
        <w:rPr>
          <w:lang w:val="en"/>
        </w:rPr>
        <w:t>e</w:t>
      </w:r>
      <w:r w:rsidR="00745ECF" w:rsidRPr="00745ECF">
        <w:rPr>
          <w:lang w:val="en"/>
        </w:rPr>
        <w:t xml:space="preserve">nables energy transfer between streams </w:t>
      </w:r>
      <w:r w:rsidR="006F5082" w:rsidRPr="006F5082">
        <w:rPr>
          <w:lang w:val="en"/>
        </w:rPr>
        <w:t xml:space="preserve">without the need </w:t>
      </w:r>
      <w:r w:rsidR="009E50CF">
        <w:rPr>
          <w:lang w:val="en"/>
        </w:rPr>
        <w:t xml:space="preserve">of </w:t>
      </w:r>
      <w:r w:rsidR="006F5082" w:rsidRPr="006F5082">
        <w:rPr>
          <w:lang w:val="en"/>
        </w:rPr>
        <w:t xml:space="preserve">an external source of heating, generating an internal reuse power. </w:t>
      </w:r>
      <w:r w:rsidR="00A86219">
        <w:rPr>
          <w:lang w:val="en"/>
        </w:rPr>
        <w:t>Despite the reduct</w:t>
      </w:r>
      <w:r w:rsidR="00764083">
        <w:rPr>
          <w:lang w:val="en"/>
        </w:rPr>
        <w:t>i</w:t>
      </w:r>
      <w:r w:rsidR="00A86219">
        <w:rPr>
          <w:lang w:val="en"/>
        </w:rPr>
        <w:t>on,</w:t>
      </w:r>
      <w:r w:rsidR="005B43D6">
        <w:rPr>
          <w:lang w:val="en"/>
        </w:rPr>
        <w:t xml:space="preserve"> the CO</w:t>
      </w:r>
      <w:r w:rsidR="005B43D6">
        <w:rPr>
          <w:vertAlign w:val="subscript"/>
          <w:lang w:val="en"/>
        </w:rPr>
        <w:t>2</w:t>
      </w:r>
      <w:r w:rsidR="005B43D6">
        <w:rPr>
          <w:lang w:val="en"/>
        </w:rPr>
        <w:t xml:space="preserve"> generat</w:t>
      </w:r>
      <w:r w:rsidR="00A86219">
        <w:rPr>
          <w:lang w:val="en"/>
        </w:rPr>
        <w:t>ed in simulation</w:t>
      </w:r>
      <w:r w:rsidR="005B43D6">
        <w:rPr>
          <w:lang w:val="en"/>
        </w:rPr>
        <w:t xml:space="preserve"> is mainly composed by the use of utilities, heated by combustion of a fuel that, in this case, was considered biogas. By</w:t>
      </w:r>
      <w:r w:rsidR="009E50CF">
        <w:rPr>
          <w:lang w:val="en"/>
        </w:rPr>
        <w:t xml:space="preserve"> the greenhouse gases balance generated on the </w:t>
      </w:r>
      <w:r w:rsidR="00A86219">
        <w:rPr>
          <w:lang w:val="en"/>
        </w:rPr>
        <w:t>c</w:t>
      </w:r>
      <w:r w:rsidR="009E50CF">
        <w:rPr>
          <w:lang w:val="en"/>
        </w:rPr>
        <w:t xml:space="preserve">radle-to-gate cycle, </w:t>
      </w:r>
      <w:r w:rsidR="006F5082" w:rsidRPr="006F5082">
        <w:rPr>
          <w:lang w:val="en"/>
        </w:rPr>
        <w:t>it is possible to evaluate the total emissions generated throughout the biofuel generation cycle</w:t>
      </w:r>
      <w:r w:rsidR="009E50CF">
        <w:rPr>
          <w:lang w:val="en"/>
        </w:rPr>
        <w:t xml:space="preserve">, considering the production and transport of </w:t>
      </w:r>
      <w:r w:rsidR="005B43D6">
        <w:rPr>
          <w:lang w:val="en"/>
        </w:rPr>
        <w:t xml:space="preserve">main </w:t>
      </w:r>
      <w:r w:rsidR="009E50CF">
        <w:rPr>
          <w:lang w:val="en"/>
        </w:rPr>
        <w:t>raw materials (soybean, hydrogen</w:t>
      </w:r>
      <w:r w:rsidR="00601B48">
        <w:rPr>
          <w:lang w:val="en"/>
        </w:rPr>
        <w:t>,</w:t>
      </w:r>
      <w:r w:rsidR="009E50CF">
        <w:rPr>
          <w:lang w:val="en"/>
        </w:rPr>
        <w:t xml:space="preserve"> and biogas)</w:t>
      </w:r>
      <w:r w:rsidR="006F5082" w:rsidRPr="006F5082">
        <w:rPr>
          <w:lang w:val="en"/>
        </w:rPr>
        <w:t>. The result</w:t>
      </w:r>
      <w:r w:rsidR="00601B48">
        <w:rPr>
          <w:lang w:val="en"/>
        </w:rPr>
        <w:t>s</w:t>
      </w:r>
      <w:r w:rsidR="006F5082" w:rsidRPr="006F5082">
        <w:rPr>
          <w:lang w:val="en"/>
        </w:rPr>
        <w:t xml:space="preserve"> obtained </w:t>
      </w:r>
      <w:r w:rsidR="00601B48">
        <w:rPr>
          <w:lang w:val="en"/>
        </w:rPr>
        <w:t>are</w:t>
      </w:r>
      <w:r w:rsidR="006F5082" w:rsidRPr="006F5082">
        <w:rPr>
          <w:lang w:val="en"/>
        </w:rPr>
        <w:t xml:space="preserve"> shown in </w:t>
      </w:r>
      <w:r w:rsidR="0016559D">
        <w:rPr>
          <w:lang w:val="en"/>
        </w:rPr>
        <w:t>Table 5</w:t>
      </w:r>
      <w:r w:rsidR="006F5082" w:rsidRPr="006F5082">
        <w:rPr>
          <w:lang w:val="en"/>
        </w:rPr>
        <w:t>.</w:t>
      </w:r>
    </w:p>
    <w:p w14:paraId="001462BE" w14:textId="77777777" w:rsidR="009A7194" w:rsidRDefault="009A7194" w:rsidP="009A7194">
      <w:pPr>
        <w:pStyle w:val="CETBodytext"/>
        <w:rPr>
          <w:lang w:val="en"/>
        </w:rPr>
      </w:pPr>
      <w:r w:rsidRPr="006F5082">
        <w:rPr>
          <w:lang w:val="en"/>
        </w:rPr>
        <w:t>According to Marzullo (2007), the absorption of CO</w:t>
      </w:r>
      <w:r>
        <w:rPr>
          <w:vertAlign w:val="subscript"/>
          <w:lang w:val="en"/>
        </w:rPr>
        <w:t>2</w:t>
      </w:r>
      <w:r w:rsidRPr="006F5082">
        <w:rPr>
          <w:lang w:val="en"/>
        </w:rPr>
        <w:t xml:space="preserve"> per hectare of soybeans during the photosynthesis process is around 8.433 t CO</w:t>
      </w:r>
      <w:r>
        <w:rPr>
          <w:vertAlign w:val="subscript"/>
          <w:lang w:val="en"/>
        </w:rPr>
        <w:t>2</w:t>
      </w:r>
      <w:r w:rsidRPr="006F5082">
        <w:rPr>
          <w:lang w:val="en"/>
        </w:rPr>
        <w:t xml:space="preserve">/ha. </w:t>
      </w:r>
      <w:r>
        <w:rPr>
          <w:lang w:val="en"/>
        </w:rPr>
        <w:t>Dividing</w:t>
      </w:r>
      <w:r w:rsidRPr="006F5082">
        <w:rPr>
          <w:lang w:val="en"/>
        </w:rPr>
        <w:t xml:space="preserve"> the total emission value by this factor, we see that the necessary </w:t>
      </w:r>
      <w:proofErr w:type="gramStart"/>
      <w:r w:rsidRPr="006F5082">
        <w:rPr>
          <w:lang w:val="en"/>
        </w:rPr>
        <w:t>amount</w:t>
      </w:r>
      <w:proofErr w:type="gramEnd"/>
      <w:r w:rsidRPr="006F5082">
        <w:rPr>
          <w:lang w:val="en"/>
        </w:rPr>
        <w:t xml:space="preserve"> of hectares to absorb all the CO2 emitted in the production cycle of 1 ton of biokerosene is 0.123 ha/t </w:t>
      </w:r>
      <w:r>
        <w:rPr>
          <w:lang w:val="en"/>
        </w:rPr>
        <w:t>BAF</w:t>
      </w:r>
      <w:r w:rsidRPr="006F5082">
        <w:rPr>
          <w:lang w:val="en"/>
        </w:rPr>
        <w:t>.</w:t>
      </w:r>
      <w:r>
        <w:rPr>
          <w:lang w:val="en"/>
        </w:rPr>
        <w:t xml:space="preserve"> </w:t>
      </w:r>
      <w:r w:rsidRPr="006F5082">
        <w:rPr>
          <w:lang w:val="en"/>
        </w:rPr>
        <w:t xml:space="preserve">When comparing the emissions related to the biokerosene cycle generated </w:t>
      </w:r>
      <w:r>
        <w:rPr>
          <w:lang w:val="en"/>
        </w:rPr>
        <w:t>with</w:t>
      </w:r>
      <w:r w:rsidRPr="006F5082">
        <w:rPr>
          <w:lang w:val="en"/>
        </w:rPr>
        <w:t xml:space="preserve"> other raw materials, in a study defined by Roitman (2018), we see that the value obtained for the cycle using </w:t>
      </w:r>
      <w:r>
        <w:rPr>
          <w:lang w:val="en"/>
        </w:rPr>
        <w:t>acid soybean oil</w:t>
      </w:r>
      <w:r w:rsidRPr="006F5082">
        <w:rPr>
          <w:lang w:val="en"/>
        </w:rPr>
        <w:t xml:space="preserve"> is slightly lower than that of the HEFA route using used cooking oil, and considerably </w:t>
      </w:r>
      <w:r>
        <w:rPr>
          <w:lang w:val="en"/>
        </w:rPr>
        <w:t>lower</w:t>
      </w:r>
      <w:r w:rsidRPr="006F5082">
        <w:rPr>
          <w:lang w:val="en"/>
        </w:rPr>
        <w:t xml:space="preserve"> than the HEFA route cycle using camelina oil and the conventional fossil kerosene cycle. To compare the results, the values presented in the work by Roitman (2018) were converted from g </w:t>
      </w:r>
      <w:r>
        <w:rPr>
          <w:lang w:val="en"/>
        </w:rPr>
        <w:t>CO</w:t>
      </w:r>
      <w:r>
        <w:rPr>
          <w:vertAlign w:val="subscript"/>
          <w:lang w:val="en"/>
        </w:rPr>
        <w:t>2</w:t>
      </w:r>
      <w:r>
        <w:rPr>
          <w:lang w:val="en"/>
        </w:rPr>
        <w:t>e</w:t>
      </w:r>
      <w:r w:rsidRPr="006F5082">
        <w:rPr>
          <w:lang w:val="en"/>
        </w:rPr>
        <w:t xml:space="preserve">/MJ </w:t>
      </w:r>
      <w:r>
        <w:rPr>
          <w:lang w:val="en"/>
        </w:rPr>
        <w:t>BAF</w:t>
      </w:r>
      <w:r w:rsidRPr="006F5082">
        <w:rPr>
          <w:lang w:val="en"/>
        </w:rPr>
        <w:t xml:space="preserve"> to t </w:t>
      </w:r>
      <w:r>
        <w:rPr>
          <w:lang w:val="en"/>
        </w:rPr>
        <w:t>CO</w:t>
      </w:r>
      <w:r>
        <w:rPr>
          <w:vertAlign w:val="subscript"/>
          <w:lang w:val="en"/>
        </w:rPr>
        <w:t>2</w:t>
      </w:r>
      <w:r>
        <w:rPr>
          <w:lang w:val="en"/>
        </w:rPr>
        <w:t>e</w:t>
      </w:r>
      <w:r w:rsidRPr="006F5082">
        <w:rPr>
          <w:lang w:val="en"/>
        </w:rPr>
        <w:t xml:space="preserve">/t </w:t>
      </w:r>
      <w:r>
        <w:rPr>
          <w:lang w:val="en"/>
        </w:rPr>
        <w:t>BAF</w:t>
      </w:r>
      <w:r w:rsidRPr="006F5082">
        <w:rPr>
          <w:lang w:val="en"/>
        </w:rPr>
        <w:t xml:space="preserve">, using the minimum value of lower calorific value </w:t>
      </w:r>
      <w:r w:rsidRPr="006F5082">
        <w:rPr>
          <w:lang w:val="en"/>
        </w:rPr>
        <w:lastRenderedPageBreak/>
        <w:t>defined by the ASTM D1655 standard (P</w:t>
      </w:r>
      <w:r>
        <w:rPr>
          <w:lang w:val="en"/>
        </w:rPr>
        <w:t>eres</w:t>
      </w:r>
      <w:r w:rsidRPr="006F5082">
        <w:rPr>
          <w:lang w:val="en"/>
        </w:rPr>
        <w:t xml:space="preserve"> </w:t>
      </w:r>
      <w:r>
        <w:rPr>
          <w:lang w:val="en"/>
        </w:rPr>
        <w:t>et al</w:t>
      </w:r>
      <w:r w:rsidRPr="006F5082">
        <w:rPr>
          <w:lang w:val="en"/>
        </w:rPr>
        <w:t xml:space="preserve">., 2018), of 42.8 MJ/kg </w:t>
      </w:r>
      <w:r>
        <w:rPr>
          <w:lang w:val="en"/>
        </w:rPr>
        <w:t>ATF</w:t>
      </w:r>
      <w:r w:rsidRPr="006F5082">
        <w:rPr>
          <w:lang w:val="en"/>
        </w:rPr>
        <w:t xml:space="preserve">. The compared values are shown in </w:t>
      </w:r>
      <w:r>
        <w:rPr>
          <w:lang w:val="en"/>
        </w:rPr>
        <w:t>Table 6</w:t>
      </w:r>
      <w:r w:rsidRPr="006F5082">
        <w:rPr>
          <w:lang w:val="en"/>
        </w:rPr>
        <w:t>.</w:t>
      </w:r>
    </w:p>
    <w:p w14:paraId="0CE1FE43" w14:textId="0078AE75" w:rsidR="00C9761D" w:rsidRPr="00B57B36" w:rsidRDefault="00C9761D" w:rsidP="0036473A">
      <w:pPr>
        <w:pStyle w:val="CETTabletitle"/>
        <w:spacing w:before="120" w:after="0"/>
      </w:pPr>
      <w:r w:rsidRPr="00B57B36">
        <w:t xml:space="preserve">Table </w:t>
      </w:r>
      <w:r w:rsidR="0016559D">
        <w:t>5</w:t>
      </w:r>
      <w:r w:rsidRPr="00B57B36">
        <w:t xml:space="preserve">: </w:t>
      </w:r>
      <w:r w:rsidR="0080751B">
        <w:t>Total Carbon Emissions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27"/>
        <w:gridCol w:w="2268"/>
      </w:tblGrid>
      <w:tr w:rsidR="00C9761D" w:rsidRPr="00B57B36" w14:paraId="0DF8A364" w14:textId="77777777" w:rsidTr="000E229B">
        <w:tc>
          <w:tcPr>
            <w:tcW w:w="2127" w:type="dxa"/>
            <w:tcBorders>
              <w:top w:val="single" w:sz="12" w:space="0" w:color="008000"/>
              <w:bottom w:val="single" w:sz="6" w:space="0" w:color="008000"/>
            </w:tcBorders>
            <w:shd w:val="clear" w:color="auto" w:fill="FFFFFF"/>
          </w:tcPr>
          <w:p w14:paraId="54E41559" w14:textId="38BFE9CE" w:rsidR="00C9761D" w:rsidRPr="00B57B36" w:rsidRDefault="0080751B" w:rsidP="00516303">
            <w:pPr>
              <w:pStyle w:val="CETBodytext"/>
              <w:rPr>
                <w:lang w:val="en-GB"/>
              </w:rPr>
            </w:pPr>
            <w:r>
              <w:rPr>
                <w:lang w:val="en-GB"/>
              </w:rPr>
              <w:t>System</w:t>
            </w:r>
          </w:p>
        </w:tc>
        <w:tc>
          <w:tcPr>
            <w:tcW w:w="2268" w:type="dxa"/>
            <w:tcBorders>
              <w:top w:val="single" w:sz="12" w:space="0" w:color="008000"/>
              <w:bottom w:val="single" w:sz="6" w:space="0" w:color="008000"/>
            </w:tcBorders>
            <w:shd w:val="clear" w:color="auto" w:fill="FFFFFF"/>
          </w:tcPr>
          <w:p w14:paraId="4D13DC56" w14:textId="02D26601" w:rsidR="00C9761D" w:rsidRPr="00B57B36" w:rsidRDefault="0080751B" w:rsidP="00516303">
            <w:pPr>
              <w:pStyle w:val="CETBodytext"/>
              <w:rPr>
                <w:lang w:val="en-GB"/>
              </w:rPr>
            </w:pPr>
            <w:r>
              <w:rPr>
                <w:lang w:val="en-GB"/>
              </w:rPr>
              <w:t>Emission</w:t>
            </w:r>
            <w:r w:rsidR="001D332A">
              <w:rPr>
                <w:lang w:val="en-GB"/>
              </w:rPr>
              <w:t xml:space="preserve"> (t </w:t>
            </w:r>
            <w:r w:rsidR="0033676F">
              <w:rPr>
                <w:lang w:val="en"/>
              </w:rPr>
              <w:t>CO</w:t>
            </w:r>
            <w:r w:rsidR="0033676F">
              <w:rPr>
                <w:vertAlign w:val="subscript"/>
                <w:lang w:val="en"/>
              </w:rPr>
              <w:t>2</w:t>
            </w:r>
            <w:r w:rsidR="0033676F">
              <w:rPr>
                <w:lang w:val="en"/>
              </w:rPr>
              <w:t>e</w:t>
            </w:r>
            <w:r w:rsidR="001D332A">
              <w:rPr>
                <w:lang w:val="en-GB"/>
              </w:rPr>
              <w:t>/t</w:t>
            </w:r>
            <w:r w:rsidR="0033676F">
              <w:rPr>
                <w:lang w:val="en-GB"/>
              </w:rPr>
              <w:t xml:space="preserve"> </w:t>
            </w:r>
            <w:r w:rsidR="00E31E7C">
              <w:rPr>
                <w:lang w:val="en-GB"/>
              </w:rPr>
              <w:t>BAF)</w:t>
            </w:r>
          </w:p>
        </w:tc>
      </w:tr>
      <w:tr w:rsidR="00C9761D" w:rsidRPr="00B57B36" w14:paraId="2BA60C8F" w14:textId="77777777" w:rsidTr="000E229B">
        <w:tc>
          <w:tcPr>
            <w:tcW w:w="2127" w:type="dxa"/>
            <w:shd w:val="clear" w:color="auto" w:fill="FFFFFF"/>
          </w:tcPr>
          <w:p w14:paraId="16A0E622" w14:textId="299EC515" w:rsidR="00C9761D" w:rsidRDefault="00C9761D" w:rsidP="00516303">
            <w:pPr>
              <w:pStyle w:val="CETBodytext"/>
              <w:rPr>
                <w:lang w:val="en-GB"/>
              </w:rPr>
            </w:pPr>
            <w:r>
              <w:rPr>
                <w:lang w:val="en-GB"/>
              </w:rPr>
              <w:t xml:space="preserve">Soybean </w:t>
            </w:r>
            <w:r w:rsidR="0080751B">
              <w:rPr>
                <w:lang w:val="en-GB"/>
              </w:rPr>
              <w:t>Cultivation</w:t>
            </w:r>
          </w:p>
          <w:p w14:paraId="35A95FAC" w14:textId="014505D3" w:rsidR="00C9761D" w:rsidRDefault="0080751B" w:rsidP="00516303">
            <w:pPr>
              <w:pStyle w:val="CETBodytext"/>
              <w:rPr>
                <w:lang w:val="en-GB"/>
              </w:rPr>
            </w:pPr>
            <w:r>
              <w:rPr>
                <w:lang w:val="en-GB"/>
              </w:rPr>
              <w:t>Soybean Transport</w:t>
            </w:r>
          </w:p>
          <w:p w14:paraId="5FEFC924" w14:textId="77777777" w:rsidR="00C9761D" w:rsidRDefault="0080751B" w:rsidP="00516303">
            <w:pPr>
              <w:pStyle w:val="CETBodytext"/>
              <w:rPr>
                <w:lang w:val="en-GB"/>
              </w:rPr>
            </w:pPr>
            <w:r>
              <w:rPr>
                <w:lang w:val="en-GB"/>
              </w:rPr>
              <w:t>Soybean Refining</w:t>
            </w:r>
          </w:p>
          <w:p w14:paraId="46E4B95B" w14:textId="77777777" w:rsidR="0080751B" w:rsidRDefault="0080751B" w:rsidP="00516303">
            <w:pPr>
              <w:pStyle w:val="CETBodytext"/>
              <w:rPr>
                <w:lang w:val="en-GB"/>
              </w:rPr>
            </w:pPr>
            <w:r>
              <w:rPr>
                <w:lang w:val="en-GB"/>
              </w:rPr>
              <w:t>Soybean Acidification</w:t>
            </w:r>
          </w:p>
          <w:p w14:paraId="09CEFEF5" w14:textId="77777777" w:rsidR="0080751B" w:rsidRDefault="0080751B" w:rsidP="00516303">
            <w:pPr>
              <w:pStyle w:val="CETBodytext"/>
              <w:rPr>
                <w:lang w:val="en-GB"/>
              </w:rPr>
            </w:pPr>
            <w:r>
              <w:rPr>
                <w:lang w:val="en-GB"/>
              </w:rPr>
              <w:t>Biokerosene Production</w:t>
            </w:r>
          </w:p>
          <w:p w14:paraId="66BB17F1" w14:textId="77777777" w:rsidR="0080751B" w:rsidRDefault="0080751B" w:rsidP="00516303">
            <w:pPr>
              <w:pStyle w:val="CETBodytext"/>
              <w:rPr>
                <w:lang w:val="en-GB"/>
              </w:rPr>
            </w:pPr>
            <w:r>
              <w:rPr>
                <w:lang w:val="en-GB"/>
              </w:rPr>
              <w:t>Hydrogen Transport</w:t>
            </w:r>
          </w:p>
          <w:p w14:paraId="15AFE841" w14:textId="77777777" w:rsidR="0080751B" w:rsidRDefault="0080751B" w:rsidP="00516303">
            <w:pPr>
              <w:pStyle w:val="CETBodytext"/>
              <w:rPr>
                <w:lang w:val="en-GB"/>
              </w:rPr>
            </w:pPr>
            <w:r>
              <w:rPr>
                <w:lang w:val="en-GB"/>
              </w:rPr>
              <w:t>Hydrogen Production</w:t>
            </w:r>
          </w:p>
          <w:p w14:paraId="0793B288" w14:textId="77777777" w:rsidR="0080751B" w:rsidRDefault="0080751B" w:rsidP="00516303">
            <w:pPr>
              <w:pStyle w:val="CETBodytext"/>
              <w:rPr>
                <w:lang w:val="en-GB"/>
              </w:rPr>
            </w:pPr>
            <w:r>
              <w:rPr>
                <w:lang w:val="en-GB"/>
              </w:rPr>
              <w:t>Biogas Transport</w:t>
            </w:r>
          </w:p>
          <w:p w14:paraId="2A0C38F0" w14:textId="77777777" w:rsidR="0080751B" w:rsidRDefault="0080751B" w:rsidP="00516303">
            <w:pPr>
              <w:pStyle w:val="CETBodytext"/>
              <w:rPr>
                <w:lang w:val="en-GB"/>
              </w:rPr>
            </w:pPr>
            <w:r>
              <w:rPr>
                <w:lang w:val="en-GB"/>
              </w:rPr>
              <w:t>Biogas Production</w:t>
            </w:r>
          </w:p>
          <w:p w14:paraId="3DC8219A" w14:textId="48F985BD" w:rsidR="00D1283F" w:rsidRPr="00D1283F" w:rsidRDefault="00D1283F" w:rsidP="00D1283F">
            <w:pPr>
              <w:pStyle w:val="CETBodytext"/>
              <w:rPr>
                <w:lang w:val="en-GB"/>
              </w:rPr>
            </w:pPr>
            <w:r>
              <w:rPr>
                <w:lang w:val="en-GB"/>
              </w:rPr>
              <w:t>Total</w:t>
            </w:r>
          </w:p>
        </w:tc>
        <w:tc>
          <w:tcPr>
            <w:tcW w:w="2268" w:type="dxa"/>
            <w:shd w:val="clear" w:color="auto" w:fill="FFFFFF"/>
          </w:tcPr>
          <w:p w14:paraId="747CF68E" w14:textId="5C9FDC86" w:rsidR="00C9761D" w:rsidRDefault="001D332A" w:rsidP="00516303">
            <w:pPr>
              <w:pStyle w:val="CETBodytext"/>
              <w:rPr>
                <w:lang w:val="en-GB"/>
              </w:rPr>
            </w:pPr>
            <w:r>
              <w:rPr>
                <w:lang w:val="en-GB"/>
              </w:rPr>
              <w:t>0.16</w:t>
            </w:r>
          </w:p>
          <w:p w14:paraId="523AF53A" w14:textId="77777777" w:rsidR="001D332A" w:rsidRDefault="001D332A" w:rsidP="001D332A">
            <w:pPr>
              <w:pStyle w:val="CETBodytext"/>
              <w:rPr>
                <w:lang w:val="en-GB"/>
              </w:rPr>
            </w:pPr>
            <w:r>
              <w:rPr>
                <w:lang w:val="en-GB"/>
              </w:rPr>
              <w:t>4.29e-05</w:t>
            </w:r>
          </w:p>
          <w:p w14:paraId="66153241" w14:textId="7BDBE84E" w:rsidR="001D332A" w:rsidRDefault="001D332A" w:rsidP="001D332A">
            <w:pPr>
              <w:pStyle w:val="CETBodytext"/>
              <w:rPr>
                <w:lang w:val="en-GB"/>
              </w:rPr>
            </w:pPr>
            <w:r>
              <w:rPr>
                <w:lang w:val="en-GB"/>
              </w:rPr>
              <w:t>0.01</w:t>
            </w:r>
          </w:p>
          <w:p w14:paraId="6BF12C60" w14:textId="3E6BF132" w:rsidR="001D332A" w:rsidRDefault="00A86219" w:rsidP="001D332A">
            <w:pPr>
              <w:pStyle w:val="CETBodytext"/>
              <w:rPr>
                <w:lang w:val="en-GB"/>
              </w:rPr>
            </w:pPr>
            <w:r>
              <w:rPr>
                <w:lang w:val="en-GB"/>
              </w:rPr>
              <w:t>1.65e-03</w:t>
            </w:r>
          </w:p>
          <w:p w14:paraId="1F67A1DB" w14:textId="4E10E48E" w:rsidR="001D332A" w:rsidRDefault="001D332A" w:rsidP="001D332A">
            <w:pPr>
              <w:pStyle w:val="CETBodytext"/>
              <w:rPr>
                <w:lang w:val="en-GB"/>
              </w:rPr>
            </w:pPr>
            <w:r>
              <w:rPr>
                <w:lang w:val="en-GB"/>
              </w:rPr>
              <w:t>0.12</w:t>
            </w:r>
          </w:p>
          <w:p w14:paraId="5479865A" w14:textId="77777777" w:rsidR="001D332A" w:rsidRDefault="001D332A" w:rsidP="001D332A">
            <w:pPr>
              <w:pStyle w:val="CETBodytext"/>
              <w:rPr>
                <w:lang w:val="en-GB"/>
              </w:rPr>
            </w:pPr>
            <w:r>
              <w:rPr>
                <w:lang w:val="en-GB"/>
              </w:rPr>
              <w:t>6.18e-05</w:t>
            </w:r>
          </w:p>
          <w:p w14:paraId="435BB1F0" w14:textId="791CE9CF" w:rsidR="001D332A" w:rsidRDefault="001D332A" w:rsidP="001D332A">
            <w:pPr>
              <w:pStyle w:val="CETBodytext"/>
              <w:rPr>
                <w:lang w:val="en-GB"/>
              </w:rPr>
            </w:pPr>
            <w:r>
              <w:rPr>
                <w:lang w:val="en-GB"/>
              </w:rPr>
              <w:t>0.72</w:t>
            </w:r>
          </w:p>
          <w:p w14:paraId="456D4E43" w14:textId="77777777" w:rsidR="001D332A" w:rsidRDefault="001D332A" w:rsidP="001D332A">
            <w:pPr>
              <w:pStyle w:val="CETBodytext"/>
              <w:rPr>
                <w:lang w:val="en-GB"/>
              </w:rPr>
            </w:pPr>
            <w:r>
              <w:rPr>
                <w:lang w:val="en-GB"/>
              </w:rPr>
              <w:t>4.85e-06</w:t>
            </w:r>
          </w:p>
          <w:p w14:paraId="29AB4883" w14:textId="65429C50" w:rsidR="001D332A" w:rsidRDefault="001D332A" w:rsidP="001D332A">
            <w:pPr>
              <w:pStyle w:val="CETBodytext"/>
              <w:rPr>
                <w:lang w:val="en-GB"/>
              </w:rPr>
            </w:pPr>
            <w:r>
              <w:rPr>
                <w:lang w:val="en-GB"/>
              </w:rPr>
              <w:t>0.02</w:t>
            </w:r>
          </w:p>
          <w:p w14:paraId="41BDDBCD" w14:textId="4A8B26FD" w:rsidR="00D1283F" w:rsidRPr="001D332A" w:rsidRDefault="00D1283F" w:rsidP="001D332A">
            <w:pPr>
              <w:pStyle w:val="CETBodytext"/>
              <w:rPr>
                <w:lang w:val="en-GB"/>
              </w:rPr>
            </w:pPr>
            <w:r>
              <w:rPr>
                <w:lang w:val="en-GB"/>
              </w:rPr>
              <w:t>1.04</w:t>
            </w:r>
          </w:p>
        </w:tc>
      </w:tr>
    </w:tbl>
    <w:p w14:paraId="13442FFE" w14:textId="405A3862" w:rsidR="00C822CE" w:rsidRPr="00B57B36" w:rsidRDefault="00C822CE" w:rsidP="0036473A">
      <w:pPr>
        <w:pStyle w:val="CETTabletitle"/>
        <w:spacing w:before="120" w:after="0"/>
      </w:pPr>
      <w:r w:rsidRPr="00B57B36">
        <w:t xml:space="preserve">Table </w:t>
      </w:r>
      <w:r w:rsidR="0016559D">
        <w:t>6</w:t>
      </w:r>
      <w:r w:rsidRPr="00B57B36">
        <w:t xml:space="preserve">: </w:t>
      </w:r>
      <w:r>
        <w:t>Total Carbon Emissions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701"/>
        <w:gridCol w:w="2268"/>
      </w:tblGrid>
      <w:tr w:rsidR="00C822CE" w:rsidRPr="00B57B36" w14:paraId="2285E060" w14:textId="77777777" w:rsidTr="000E229B">
        <w:tc>
          <w:tcPr>
            <w:tcW w:w="1701" w:type="dxa"/>
            <w:tcBorders>
              <w:top w:val="single" w:sz="12" w:space="0" w:color="008000"/>
              <w:bottom w:val="single" w:sz="6" w:space="0" w:color="008000"/>
            </w:tcBorders>
            <w:shd w:val="clear" w:color="auto" w:fill="FFFFFF"/>
          </w:tcPr>
          <w:p w14:paraId="77E5EB13" w14:textId="57EF96C8" w:rsidR="00C822CE" w:rsidRPr="00B57B36" w:rsidRDefault="00C822CE" w:rsidP="00516303">
            <w:pPr>
              <w:pStyle w:val="CETBodytext"/>
              <w:rPr>
                <w:lang w:val="en-GB"/>
              </w:rPr>
            </w:pPr>
            <w:r>
              <w:rPr>
                <w:lang w:val="en-GB"/>
              </w:rPr>
              <w:t>Route</w:t>
            </w:r>
            <w:r w:rsidRPr="00B57B36">
              <w:rPr>
                <w:lang w:val="en-GB"/>
              </w:rPr>
              <w:t xml:space="preserve"> </w:t>
            </w:r>
          </w:p>
        </w:tc>
        <w:tc>
          <w:tcPr>
            <w:tcW w:w="1701" w:type="dxa"/>
            <w:tcBorders>
              <w:top w:val="single" w:sz="12" w:space="0" w:color="008000"/>
              <w:bottom w:val="single" w:sz="6" w:space="0" w:color="008000"/>
            </w:tcBorders>
            <w:shd w:val="clear" w:color="auto" w:fill="FFFFFF"/>
          </w:tcPr>
          <w:p w14:paraId="4A7838C7" w14:textId="589CEF36" w:rsidR="00C822CE" w:rsidRPr="00B57B36" w:rsidRDefault="00C822CE" w:rsidP="00516303">
            <w:pPr>
              <w:pStyle w:val="CETBodytext"/>
              <w:rPr>
                <w:lang w:val="en-GB"/>
              </w:rPr>
            </w:pPr>
            <w:r>
              <w:rPr>
                <w:lang w:val="en-GB"/>
              </w:rPr>
              <w:t>Raw Material</w:t>
            </w:r>
          </w:p>
        </w:tc>
        <w:tc>
          <w:tcPr>
            <w:tcW w:w="2268" w:type="dxa"/>
            <w:tcBorders>
              <w:top w:val="single" w:sz="12" w:space="0" w:color="008000"/>
              <w:bottom w:val="single" w:sz="6" w:space="0" w:color="008000"/>
            </w:tcBorders>
            <w:shd w:val="clear" w:color="auto" w:fill="FFFFFF"/>
          </w:tcPr>
          <w:p w14:paraId="01271452" w14:textId="334A63F5" w:rsidR="00C822CE" w:rsidRPr="00B57B36" w:rsidRDefault="00C822CE" w:rsidP="00516303">
            <w:pPr>
              <w:pStyle w:val="CETBodytext"/>
              <w:rPr>
                <w:lang w:val="en-GB"/>
              </w:rPr>
            </w:pPr>
            <w:r>
              <w:rPr>
                <w:lang w:val="en-GB"/>
              </w:rPr>
              <w:t xml:space="preserve">Emission </w:t>
            </w:r>
            <w:r w:rsidRPr="00C822CE">
              <w:rPr>
                <w:lang w:val="en-GB"/>
              </w:rPr>
              <w:t>(t</w:t>
            </w:r>
            <w:r w:rsidR="00F553AF">
              <w:rPr>
                <w:lang w:val="en"/>
              </w:rPr>
              <w:t>CO</w:t>
            </w:r>
            <w:r w:rsidR="00F553AF">
              <w:rPr>
                <w:vertAlign w:val="subscript"/>
                <w:lang w:val="en"/>
              </w:rPr>
              <w:t>2</w:t>
            </w:r>
            <w:r w:rsidR="00F553AF">
              <w:rPr>
                <w:lang w:val="en"/>
              </w:rPr>
              <w:t>e</w:t>
            </w:r>
            <w:r w:rsidRPr="00C822CE">
              <w:rPr>
                <w:lang w:val="en-GB"/>
              </w:rPr>
              <w:t xml:space="preserve">/t </w:t>
            </w:r>
            <w:r w:rsidR="00E31E7C">
              <w:rPr>
                <w:lang w:val="en-GB"/>
              </w:rPr>
              <w:t>BAF</w:t>
            </w:r>
            <w:r w:rsidRPr="00C822CE">
              <w:rPr>
                <w:lang w:val="en-GB"/>
              </w:rPr>
              <w:t>)</w:t>
            </w:r>
          </w:p>
        </w:tc>
      </w:tr>
      <w:tr w:rsidR="00C822CE" w:rsidRPr="00B57B36" w14:paraId="1EBA9FE6" w14:textId="77777777" w:rsidTr="000E229B">
        <w:trPr>
          <w:trHeight w:val="125"/>
        </w:trPr>
        <w:tc>
          <w:tcPr>
            <w:tcW w:w="1701" w:type="dxa"/>
            <w:shd w:val="clear" w:color="auto" w:fill="FFFFFF"/>
          </w:tcPr>
          <w:p w14:paraId="1BE9C617" w14:textId="2932A33C" w:rsidR="00E41C61" w:rsidRDefault="00E41C61" w:rsidP="00516303">
            <w:pPr>
              <w:pStyle w:val="CETBodytext"/>
              <w:rPr>
                <w:lang w:val="pt-BR"/>
              </w:rPr>
            </w:pPr>
            <w:r>
              <w:rPr>
                <w:lang w:val="pt-BR"/>
              </w:rPr>
              <w:t>HEFA (BAF)</w:t>
            </w:r>
          </w:p>
          <w:p w14:paraId="04FD7D8C" w14:textId="20FCC3A1" w:rsidR="00C822CE" w:rsidRPr="00666CEF" w:rsidRDefault="000E229B" w:rsidP="00516303">
            <w:pPr>
              <w:pStyle w:val="CETBodytext"/>
              <w:rPr>
                <w:lang w:val="pt-BR"/>
              </w:rPr>
            </w:pPr>
            <w:r w:rsidRPr="00666CEF">
              <w:rPr>
                <w:lang w:val="pt-BR"/>
              </w:rPr>
              <w:t>HEFA (</w:t>
            </w:r>
            <w:r w:rsidR="00E31E7C">
              <w:rPr>
                <w:lang w:val="pt-BR"/>
              </w:rPr>
              <w:t>BAF</w:t>
            </w:r>
            <w:r w:rsidRPr="00666CEF">
              <w:rPr>
                <w:lang w:val="pt-BR"/>
              </w:rPr>
              <w:t>)</w:t>
            </w:r>
          </w:p>
          <w:p w14:paraId="0BC61FF5" w14:textId="635B2EAB" w:rsidR="00C822CE" w:rsidRPr="00666CEF" w:rsidRDefault="000E229B" w:rsidP="00516303">
            <w:pPr>
              <w:pStyle w:val="CETBodytext"/>
              <w:rPr>
                <w:lang w:val="pt-BR"/>
              </w:rPr>
            </w:pPr>
            <w:r w:rsidRPr="00666CEF">
              <w:rPr>
                <w:lang w:val="pt-BR"/>
              </w:rPr>
              <w:t>HEFA (</w:t>
            </w:r>
            <w:r w:rsidR="00E31E7C">
              <w:rPr>
                <w:lang w:val="pt-BR"/>
              </w:rPr>
              <w:t>BAF</w:t>
            </w:r>
            <w:r w:rsidRPr="00666CEF">
              <w:rPr>
                <w:lang w:val="pt-BR"/>
              </w:rPr>
              <w:t>)</w:t>
            </w:r>
          </w:p>
          <w:p w14:paraId="4AC4A10B" w14:textId="3C1A37FA" w:rsidR="00C822CE" w:rsidRPr="00666CEF" w:rsidRDefault="000E229B" w:rsidP="00516303">
            <w:pPr>
              <w:pStyle w:val="CETBodytext"/>
              <w:rPr>
                <w:lang w:val="pt-BR"/>
              </w:rPr>
            </w:pPr>
            <w:r w:rsidRPr="00666CEF">
              <w:rPr>
                <w:lang w:val="pt-BR"/>
              </w:rPr>
              <w:t>Refine (</w:t>
            </w:r>
            <w:r w:rsidR="00E31E7C">
              <w:rPr>
                <w:lang w:val="pt-BR"/>
              </w:rPr>
              <w:t>ATF</w:t>
            </w:r>
            <w:r w:rsidRPr="00666CEF">
              <w:rPr>
                <w:lang w:val="pt-BR"/>
              </w:rPr>
              <w:t>)</w:t>
            </w:r>
          </w:p>
        </w:tc>
        <w:tc>
          <w:tcPr>
            <w:tcW w:w="1701" w:type="dxa"/>
            <w:shd w:val="clear" w:color="auto" w:fill="FFFFFF"/>
          </w:tcPr>
          <w:p w14:paraId="145EE03B" w14:textId="2AB58D50" w:rsidR="00E41C61" w:rsidRDefault="00E41C61" w:rsidP="00516303">
            <w:pPr>
              <w:pStyle w:val="CETBodytext"/>
              <w:rPr>
                <w:lang w:val="en-GB"/>
              </w:rPr>
            </w:pPr>
            <w:r>
              <w:rPr>
                <w:lang w:val="en-GB"/>
              </w:rPr>
              <w:t>Soybean acid oil</w:t>
            </w:r>
          </w:p>
          <w:p w14:paraId="3DD91CEE" w14:textId="72612895" w:rsidR="00C822CE" w:rsidRDefault="000E229B" w:rsidP="00516303">
            <w:pPr>
              <w:pStyle w:val="CETBodytext"/>
              <w:rPr>
                <w:lang w:val="en-GB"/>
              </w:rPr>
            </w:pPr>
            <w:r>
              <w:rPr>
                <w:lang w:val="en-GB"/>
              </w:rPr>
              <w:t>Used cooking oil</w:t>
            </w:r>
          </w:p>
          <w:p w14:paraId="7A075B89" w14:textId="77777777" w:rsidR="000E229B" w:rsidRDefault="000E229B" w:rsidP="00516303">
            <w:pPr>
              <w:pStyle w:val="CETBodytext"/>
              <w:rPr>
                <w:lang w:val="en-GB"/>
              </w:rPr>
            </w:pPr>
            <w:r>
              <w:rPr>
                <w:lang w:val="en-GB"/>
              </w:rPr>
              <w:t>Camelina oil</w:t>
            </w:r>
          </w:p>
          <w:p w14:paraId="7462EED2" w14:textId="68A3F67F" w:rsidR="000E229B" w:rsidRPr="00B57B36" w:rsidRDefault="000E229B" w:rsidP="00516303">
            <w:pPr>
              <w:pStyle w:val="CETBodytext"/>
              <w:rPr>
                <w:lang w:val="en-GB"/>
              </w:rPr>
            </w:pPr>
            <w:r>
              <w:rPr>
                <w:lang w:val="en-GB"/>
              </w:rPr>
              <w:t>Petroleum</w:t>
            </w:r>
          </w:p>
        </w:tc>
        <w:tc>
          <w:tcPr>
            <w:tcW w:w="2268" w:type="dxa"/>
            <w:shd w:val="clear" w:color="auto" w:fill="FFFFFF"/>
          </w:tcPr>
          <w:p w14:paraId="4FB5AECC" w14:textId="7C4DC7E2" w:rsidR="00E41C61" w:rsidRDefault="00E41C61" w:rsidP="00516303">
            <w:pPr>
              <w:pStyle w:val="CETBodytext"/>
              <w:rPr>
                <w:lang w:val="en-GB"/>
              </w:rPr>
            </w:pPr>
            <w:r>
              <w:rPr>
                <w:lang w:val="en-GB"/>
              </w:rPr>
              <w:t>1.04</w:t>
            </w:r>
          </w:p>
          <w:p w14:paraId="23325433" w14:textId="2DFEAE92" w:rsidR="00C822CE" w:rsidRDefault="000E229B" w:rsidP="00516303">
            <w:pPr>
              <w:pStyle w:val="CETBodytext"/>
              <w:rPr>
                <w:lang w:val="en-GB"/>
              </w:rPr>
            </w:pPr>
            <w:r>
              <w:rPr>
                <w:lang w:val="en-GB"/>
              </w:rPr>
              <w:t>1.1</w:t>
            </w:r>
            <w:r w:rsidR="00E41C61">
              <w:rPr>
                <w:lang w:val="en-GB"/>
              </w:rPr>
              <w:t>6</w:t>
            </w:r>
          </w:p>
          <w:p w14:paraId="74DD9562" w14:textId="1E7BE57E" w:rsidR="000E229B" w:rsidRDefault="000E229B" w:rsidP="000E229B">
            <w:pPr>
              <w:pStyle w:val="CETBodytext"/>
              <w:rPr>
                <w:lang w:val="en-GB"/>
              </w:rPr>
            </w:pPr>
            <w:r>
              <w:rPr>
                <w:lang w:val="en-GB"/>
              </w:rPr>
              <w:t>2.01</w:t>
            </w:r>
          </w:p>
          <w:p w14:paraId="1270E79A" w14:textId="121FCD12" w:rsidR="000E229B" w:rsidRPr="000E229B" w:rsidRDefault="000E229B" w:rsidP="000E229B">
            <w:pPr>
              <w:pStyle w:val="CETBodytext"/>
              <w:rPr>
                <w:lang w:val="en-GB"/>
              </w:rPr>
            </w:pPr>
            <w:r>
              <w:rPr>
                <w:lang w:val="en-GB"/>
              </w:rPr>
              <w:t>3.7</w:t>
            </w:r>
            <w:r w:rsidR="00E41C61">
              <w:rPr>
                <w:lang w:val="en-GB"/>
              </w:rPr>
              <w:t>7</w:t>
            </w:r>
          </w:p>
        </w:tc>
      </w:tr>
    </w:tbl>
    <w:p w14:paraId="18B55465" w14:textId="77777777" w:rsidR="00414CFF" w:rsidRDefault="00414CFF" w:rsidP="006F5082">
      <w:pPr>
        <w:pStyle w:val="CETBodytext"/>
        <w:rPr>
          <w:lang w:val="en"/>
        </w:rPr>
      </w:pPr>
    </w:p>
    <w:p w14:paraId="07B87DDA" w14:textId="168E9D4E" w:rsidR="006F5082" w:rsidRDefault="006F5082" w:rsidP="006F5082">
      <w:pPr>
        <w:pStyle w:val="CETBodytext"/>
        <w:rPr>
          <w:lang w:val="en"/>
        </w:rPr>
      </w:pPr>
      <w:r w:rsidRPr="006F5082">
        <w:rPr>
          <w:lang w:val="en"/>
        </w:rPr>
        <w:t>It is possible to observe that</w:t>
      </w:r>
      <w:r w:rsidR="00F14B80">
        <w:rPr>
          <w:lang w:val="en"/>
        </w:rPr>
        <w:t xml:space="preserve"> </w:t>
      </w:r>
      <w:r w:rsidRPr="006F5082">
        <w:rPr>
          <w:lang w:val="en"/>
        </w:rPr>
        <w:t xml:space="preserve">the use of </w:t>
      </w:r>
      <w:r w:rsidR="005A59E4">
        <w:rPr>
          <w:lang w:val="en"/>
        </w:rPr>
        <w:t>acid soybean oil</w:t>
      </w:r>
      <w:r w:rsidRPr="006F5082">
        <w:rPr>
          <w:lang w:val="en"/>
        </w:rPr>
        <w:t xml:space="preserve"> </w:t>
      </w:r>
      <w:r w:rsidR="00F14B80">
        <w:rPr>
          <w:lang w:val="en"/>
        </w:rPr>
        <w:t>is</w:t>
      </w:r>
      <w:r w:rsidRPr="006F5082">
        <w:rPr>
          <w:lang w:val="en"/>
        </w:rPr>
        <w:t xml:space="preserve"> advantageous in </w:t>
      </w:r>
      <w:r w:rsidR="00F14B80">
        <w:rPr>
          <w:lang w:val="en"/>
        </w:rPr>
        <w:t>environmental</w:t>
      </w:r>
      <w:r w:rsidR="00F14B80" w:rsidRPr="006F5082">
        <w:rPr>
          <w:lang w:val="en"/>
        </w:rPr>
        <w:t xml:space="preserve"> </w:t>
      </w:r>
      <w:r w:rsidRPr="006F5082">
        <w:rPr>
          <w:lang w:val="en"/>
        </w:rPr>
        <w:t>terms</w:t>
      </w:r>
      <w:r w:rsidR="005A59E4">
        <w:rPr>
          <w:lang w:val="en"/>
        </w:rPr>
        <w:t>,</w:t>
      </w:r>
      <w:r w:rsidRPr="006F5082">
        <w:rPr>
          <w:lang w:val="en"/>
        </w:rPr>
        <w:t xml:space="preserve"> </w:t>
      </w:r>
      <w:r w:rsidR="005A59E4">
        <w:rPr>
          <w:lang w:val="en"/>
        </w:rPr>
        <w:t xml:space="preserve">since </w:t>
      </w:r>
      <w:r w:rsidR="00356963" w:rsidRPr="006F5082">
        <w:rPr>
          <w:lang w:val="en"/>
        </w:rPr>
        <w:t>it</w:t>
      </w:r>
      <w:r w:rsidR="00356963">
        <w:rPr>
          <w:lang w:val="en"/>
        </w:rPr>
        <w:t>s</w:t>
      </w:r>
      <w:r w:rsidR="00F14B80">
        <w:rPr>
          <w:lang w:val="en"/>
        </w:rPr>
        <w:t xml:space="preserve"> emission is lower when compared to the used cooking oil route.</w:t>
      </w:r>
      <w:r w:rsidRPr="006F5082">
        <w:rPr>
          <w:lang w:val="en"/>
        </w:rPr>
        <w:t xml:space="preserve"> Despite the value obtained being lower than that analyzed by Roitman (2018), it cannot be concluded that the emission of the cycle is effectively lower, considering that the considerations </w:t>
      </w:r>
      <w:r w:rsidR="00594619">
        <w:rPr>
          <w:lang w:val="en"/>
        </w:rPr>
        <w:t>by different</w:t>
      </w:r>
      <w:r w:rsidRPr="006F5082">
        <w:rPr>
          <w:lang w:val="en"/>
        </w:rPr>
        <w:t xml:space="preserve"> authors may have been different in some points of analysis of the subsystems. Despite this, the values generated by the present work are consistent with the average values found in the literature</w:t>
      </w:r>
      <w:r w:rsidR="00E006BC">
        <w:rPr>
          <w:lang w:val="en"/>
        </w:rPr>
        <w:t>.</w:t>
      </w:r>
      <w:r w:rsidR="00414CFF">
        <w:rPr>
          <w:lang w:val="en"/>
        </w:rPr>
        <w:t xml:space="preserve"> </w:t>
      </w:r>
      <w:r w:rsidRPr="006F5082">
        <w:rPr>
          <w:lang w:val="en"/>
        </w:rPr>
        <w:t>Comparing with the emissions generated by fossil aviation kerosene, the environmental gains with the use of biofuel are remarkable. With the value obtained, there is a reduction of 72</w:t>
      </w:r>
      <w:r w:rsidR="00F553AF">
        <w:rPr>
          <w:lang w:val="en"/>
        </w:rPr>
        <w:t xml:space="preserve"> </w:t>
      </w:r>
      <w:r w:rsidRPr="006F5082">
        <w:rPr>
          <w:lang w:val="en"/>
        </w:rPr>
        <w:t xml:space="preserve">% in the value of emissions compared to conventional kerosene. </w:t>
      </w:r>
      <w:r w:rsidR="00594619">
        <w:rPr>
          <w:lang w:val="en"/>
        </w:rPr>
        <w:t>Observing</w:t>
      </w:r>
      <w:r w:rsidRPr="006F5082">
        <w:rPr>
          <w:lang w:val="en"/>
        </w:rPr>
        <w:t xml:space="preserve"> the value estimated by </w:t>
      </w:r>
      <w:r w:rsidR="00594619">
        <w:t>IATA (2017)</w:t>
      </w:r>
      <w:r w:rsidRPr="006F5082">
        <w:rPr>
          <w:lang w:val="en"/>
        </w:rPr>
        <w:t>, of 80</w:t>
      </w:r>
      <w:r w:rsidR="00F553AF">
        <w:rPr>
          <w:lang w:val="en"/>
        </w:rPr>
        <w:t xml:space="preserve"> </w:t>
      </w:r>
      <w:r w:rsidRPr="006F5082">
        <w:rPr>
          <w:lang w:val="en"/>
        </w:rPr>
        <w:t>%, the value is reasonably close. Other studies also indicate that the expected reduction would be around 61 to 63</w:t>
      </w:r>
      <w:r w:rsidR="00F553AF">
        <w:rPr>
          <w:lang w:val="en"/>
        </w:rPr>
        <w:t xml:space="preserve"> </w:t>
      </w:r>
      <w:r w:rsidRPr="006F5082">
        <w:rPr>
          <w:lang w:val="en"/>
        </w:rPr>
        <w:t>%, according to Zemanek et al. (2020), being at an intermediate value to that presented by these references.</w:t>
      </w:r>
      <w:r w:rsidR="00594619">
        <w:rPr>
          <w:lang w:val="en"/>
        </w:rPr>
        <w:t xml:space="preserve"> Looking</w:t>
      </w:r>
      <w:r w:rsidRPr="006F5082">
        <w:rPr>
          <w:lang w:val="en"/>
        </w:rPr>
        <w:t xml:space="preserve"> at the impact of each system on the cycle, we see that most of the emissions refer to the production of hydrogen gas, biokerosene itself and soybean cultivation for this study.</w:t>
      </w:r>
    </w:p>
    <w:p w14:paraId="398ACD63" w14:textId="3CEE0213" w:rsidR="00AD3177" w:rsidRDefault="00AD3177" w:rsidP="00AD3177">
      <w:pPr>
        <w:pStyle w:val="CETHeading1"/>
      </w:pPr>
      <w:r>
        <w:t>Conclusions</w:t>
      </w:r>
    </w:p>
    <w:p w14:paraId="62521576" w14:textId="363746BE" w:rsidR="00245901" w:rsidRDefault="00AD3177" w:rsidP="00AD3177">
      <w:pPr>
        <w:pStyle w:val="CETBodytext"/>
      </w:pPr>
      <w:r>
        <w:t>Considering the potential for applying the HEFA route for production of aviation biokerosene, it is possible to observe that large-scale production is promising from soybean acid oil. The biokerosene presented adequate characteristics under the R-02 reactor conditions of 300</w:t>
      </w:r>
      <w:r w:rsidR="00F553AF">
        <w:t xml:space="preserve"> </w:t>
      </w:r>
      <w:r>
        <w:t xml:space="preserve">ºC, 50 bar and 500 </w:t>
      </w:r>
      <w:r w:rsidR="00745ECF">
        <w:t>hydrogen/oil molar</w:t>
      </w:r>
      <w:r>
        <w:t xml:space="preserve"> ratio, with low aromatic </w:t>
      </w:r>
      <w:r w:rsidR="00745ECF">
        <w:t xml:space="preserve">content </w:t>
      </w:r>
      <w:r>
        <w:t xml:space="preserve">and </w:t>
      </w:r>
      <w:proofErr w:type="spellStart"/>
      <w:r>
        <w:t>i</w:t>
      </w:r>
      <w:proofErr w:type="spellEnd"/>
      <w:r>
        <w:t>/n ratio of 6.8. For those conditions, the yield was approximately 86</w:t>
      </w:r>
      <w:r w:rsidR="00E106CC">
        <w:t>.</w:t>
      </w:r>
      <w:r>
        <w:t>3</w:t>
      </w:r>
      <w:r w:rsidR="00F553AF">
        <w:t xml:space="preserve"> </w:t>
      </w:r>
      <w:r>
        <w:t>%. In addition, the energy analysis and application of energy integration exchangers also reduced about 86</w:t>
      </w:r>
      <w:r w:rsidR="00F553AF">
        <w:t xml:space="preserve"> </w:t>
      </w:r>
      <w:r>
        <w:t xml:space="preserve">% of the energy initially used in simulation, showing some cost reduction related to these resources. </w:t>
      </w:r>
      <w:r w:rsidR="00F14B80">
        <w:t xml:space="preserve">For a profitable simulation, the </w:t>
      </w:r>
      <w:proofErr w:type="spellStart"/>
      <w:r w:rsidR="00F14B80">
        <w:t>biojet</w:t>
      </w:r>
      <w:proofErr w:type="spellEnd"/>
      <w:r w:rsidR="00F14B80">
        <w:t xml:space="preserve"> fuel price </w:t>
      </w:r>
      <w:r w:rsidR="00297DD1">
        <w:t>obtained</w:t>
      </w:r>
      <w:r w:rsidR="00F14B80">
        <w:t xml:space="preserve"> was closed to the current conventional jet fuel price, </w:t>
      </w:r>
      <w:r w:rsidR="00F14B80" w:rsidRPr="00E1021F">
        <w:rPr>
          <w:lang w:val="en"/>
        </w:rPr>
        <w:t xml:space="preserve">which </w:t>
      </w:r>
      <w:r w:rsidR="00F14B80">
        <w:rPr>
          <w:lang w:val="en"/>
        </w:rPr>
        <w:t>had</w:t>
      </w:r>
      <w:r w:rsidR="00F14B80" w:rsidRPr="00E1021F">
        <w:rPr>
          <w:lang w:val="en"/>
        </w:rPr>
        <w:t xml:space="preserve"> a considerable price increase in the last year</w:t>
      </w:r>
      <w:r w:rsidR="00F14B80">
        <w:t xml:space="preserve">, showing that the application of the residual raw material and only one reactor for </w:t>
      </w:r>
      <w:proofErr w:type="spellStart"/>
      <w:r w:rsidR="00F14B80">
        <w:t>hydroprocessing</w:t>
      </w:r>
      <w:proofErr w:type="spellEnd"/>
      <w:r w:rsidR="00F14B80">
        <w:t xml:space="preserve"> can be useful alternatives to make the </w:t>
      </w:r>
      <w:proofErr w:type="spellStart"/>
      <w:r w:rsidR="00F14B80">
        <w:t>biojet</w:t>
      </w:r>
      <w:proofErr w:type="spellEnd"/>
      <w:r w:rsidR="00F14B80">
        <w:t xml:space="preserve"> fuel production competitive to fossil kerosene. </w:t>
      </w:r>
      <w:r>
        <w:t>The soybean acid oil, not very explored in the aviation sector, is an interesting alternative for reducing expenses, even though it represents the major cost related to raw materials in the process,</w:t>
      </w:r>
      <w:r w:rsidR="00496264">
        <w:t xml:space="preserve"> representing 55% of raw materials costs per hour</w:t>
      </w:r>
      <w:r w:rsidR="00356963">
        <w:t xml:space="preserve">. </w:t>
      </w:r>
      <w:r>
        <w:t xml:space="preserve">Hydrogen, despite being a raw material with the highest added value, </w:t>
      </w:r>
      <w:r w:rsidR="00403D12">
        <w:t>had its impact</w:t>
      </w:r>
      <w:r w:rsidR="00403D12" w:rsidRPr="00403D12">
        <w:t xml:space="preserve"> reduced by using recycling in the process, but </w:t>
      </w:r>
      <w:r w:rsidR="00403D12">
        <w:t>it</w:t>
      </w:r>
      <w:r w:rsidR="00403D12" w:rsidRPr="00403D12">
        <w:t xml:space="preserve"> still </w:t>
      </w:r>
      <w:r w:rsidR="00403D12">
        <w:t>represents 45% of</w:t>
      </w:r>
      <w:r w:rsidR="00403D12" w:rsidRPr="00403D12">
        <w:t xml:space="preserve"> operating costs, which makes </w:t>
      </w:r>
      <w:r w:rsidR="00403D12">
        <w:t xml:space="preserve">the </w:t>
      </w:r>
      <w:r w:rsidR="00403D12" w:rsidRPr="00403D12">
        <w:t xml:space="preserve">acid oil with the highest participation in these </w:t>
      </w:r>
      <w:r w:rsidR="00403D12">
        <w:t xml:space="preserve">costs. </w:t>
      </w:r>
      <w:r>
        <w:t xml:space="preserve">Therefore, the application of </w:t>
      </w:r>
      <w:r w:rsidR="000551DC">
        <w:t>a</w:t>
      </w:r>
      <w:r>
        <w:t xml:space="preserve"> single-step route</w:t>
      </w:r>
      <w:r w:rsidR="000551DC">
        <w:t>,</w:t>
      </w:r>
      <w:r>
        <w:t xml:space="preserve"> and the</w:t>
      </w:r>
      <w:r w:rsidR="000551DC">
        <w:t xml:space="preserve"> hydrogen</w:t>
      </w:r>
      <w:r>
        <w:t xml:space="preserve"> recycle can be interesting alternatives that reduce gas-related expenditures. Furthermore, for an annual production of 120 million liters of biokerosene, the payback period was about 3.55 years, which is considered a reasonable time for an industrial plant. </w:t>
      </w:r>
      <w:r w:rsidR="00BB1397">
        <w:t>Also</w:t>
      </w:r>
      <w:r w:rsidR="00BB1397" w:rsidRPr="00BB1397">
        <w:t xml:space="preserve">, the environmental study of emissions developed showed an emission factor of 1.04 t </w:t>
      </w:r>
      <w:r w:rsidR="00F553AF">
        <w:rPr>
          <w:lang w:val="en"/>
        </w:rPr>
        <w:t>CO</w:t>
      </w:r>
      <w:r w:rsidR="00F553AF">
        <w:rPr>
          <w:vertAlign w:val="subscript"/>
          <w:lang w:val="en"/>
        </w:rPr>
        <w:t>2</w:t>
      </w:r>
      <w:r w:rsidR="00F553AF">
        <w:rPr>
          <w:lang w:val="en"/>
        </w:rPr>
        <w:t>e</w:t>
      </w:r>
      <w:r w:rsidR="00BB1397" w:rsidRPr="00BB1397">
        <w:t xml:space="preserve">/t </w:t>
      </w:r>
      <w:r w:rsidR="00E31E7C">
        <w:t>BAF</w:t>
      </w:r>
      <w:r w:rsidR="00E31E7C" w:rsidRPr="00BB1397">
        <w:t xml:space="preserve"> </w:t>
      </w:r>
      <w:r w:rsidR="00BB1397" w:rsidRPr="00BB1397">
        <w:t>and a reduction in greenhouse gas emissions of 72</w:t>
      </w:r>
      <w:r w:rsidR="00F553AF">
        <w:t xml:space="preserve"> </w:t>
      </w:r>
      <w:r w:rsidR="00BB1397" w:rsidRPr="00BB1397">
        <w:t>% when compared to the fossil kerosene cycle</w:t>
      </w:r>
      <w:r w:rsidR="000551DC">
        <w:t>. This</w:t>
      </w:r>
      <w:r w:rsidR="00BB1397" w:rsidRPr="00BB1397">
        <w:t xml:space="preserve"> shows us that studies involving alternatives</w:t>
      </w:r>
      <w:r w:rsidR="000551DC">
        <w:t xml:space="preserve"> in</w:t>
      </w:r>
      <w:r w:rsidR="00BB1397" w:rsidRPr="00BB1397">
        <w:t xml:space="preserve"> obtaining biofuels are essential to accelerate the process of energy transition to renewable energies and reduce the impacts generated by the aviation sector.</w:t>
      </w:r>
    </w:p>
    <w:p w14:paraId="196CDBFD" w14:textId="014CC1FD" w:rsidR="00D61C44" w:rsidRDefault="00D61C44" w:rsidP="00D61C44">
      <w:pPr>
        <w:pStyle w:val="CETAcknowledgementstitle"/>
      </w:pPr>
      <w:r>
        <w:lastRenderedPageBreak/>
        <w:t>Acknowledgments</w:t>
      </w:r>
    </w:p>
    <w:p w14:paraId="1EAB815B" w14:textId="334E8888" w:rsidR="007C29B8" w:rsidRPr="00297DD1" w:rsidRDefault="00D61C44" w:rsidP="00297DD1">
      <w:pPr>
        <w:pStyle w:val="CETBodytext"/>
      </w:pPr>
      <w:r w:rsidRPr="00297DD1">
        <w:t xml:space="preserve">To </w:t>
      </w:r>
      <w:r w:rsidR="000917D7">
        <w:t>Human Resources Program of</w:t>
      </w:r>
      <w:r w:rsidRPr="00297DD1">
        <w:t xml:space="preserve"> ANP (PRH-ANP)</w:t>
      </w:r>
      <w:r w:rsidR="000917D7">
        <w:t>,</w:t>
      </w:r>
      <w:r w:rsidRPr="00297DD1">
        <w:t xml:space="preserve"> </w:t>
      </w:r>
      <w:proofErr w:type="spellStart"/>
      <w:r w:rsidRPr="00297DD1">
        <w:t>Agência</w:t>
      </w:r>
      <w:proofErr w:type="spellEnd"/>
      <w:r w:rsidRPr="00297DD1">
        <w:t xml:space="preserve"> Nacional do </w:t>
      </w:r>
      <w:proofErr w:type="spellStart"/>
      <w:r w:rsidRPr="00297DD1">
        <w:t>Petróleo</w:t>
      </w:r>
      <w:proofErr w:type="spellEnd"/>
      <w:r w:rsidRPr="00297DD1">
        <w:t xml:space="preserve"> (ANP)</w:t>
      </w:r>
      <w:r w:rsidR="00547961" w:rsidRPr="00297DD1">
        <w:t>, Separation Engineering Laboratory</w:t>
      </w:r>
      <w:r w:rsidRPr="00297DD1">
        <w:t xml:space="preserve"> </w:t>
      </w:r>
      <w:r w:rsidR="000917D7">
        <w:t xml:space="preserve">(LES-UFPR) </w:t>
      </w:r>
      <w:r w:rsidRPr="00297DD1">
        <w:t xml:space="preserve">and Federal University of Paraná (UFPR) for the </w:t>
      </w:r>
      <w:r w:rsidR="00547961" w:rsidRPr="00297DD1">
        <w:t xml:space="preserve">structure and </w:t>
      </w:r>
      <w:r w:rsidRPr="00297DD1">
        <w:t>financial support to conclude this research</w:t>
      </w:r>
      <w:r w:rsidR="00547961" w:rsidRPr="00297DD1">
        <w:t>.</w:t>
      </w:r>
    </w:p>
    <w:p w14:paraId="593ED357" w14:textId="5CC8CE9F" w:rsidR="00245901" w:rsidRPr="00B57B36" w:rsidRDefault="00245901" w:rsidP="00245901">
      <w:pPr>
        <w:pStyle w:val="CETReference"/>
      </w:pPr>
      <w:r w:rsidRPr="00B57B36">
        <w:t>References</w:t>
      </w:r>
    </w:p>
    <w:p w14:paraId="4F661ACE" w14:textId="5268DBCC" w:rsidR="00245901" w:rsidRPr="00A2261C" w:rsidRDefault="00475E1D" w:rsidP="00245901">
      <w:pPr>
        <w:pStyle w:val="CETReferencetext"/>
      </w:pPr>
      <w:r w:rsidRPr="00A2261C">
        <w:t>Cheng</w:t>
      </w:r>
      <w:r w:rsidR="00245901" w:rsidRPr="00A2261C">
        <w:t xml:space="preserve"> J.</w:t>
      </w:r>
      <w:r w:rsidR="003E50BF" w:rsidRPr="00A2261C">
        <w:t>,</w:t>
      </w:r>
      <w:r w:rsidR="00245901" w:rsidRPr="00A2261C">
        <w:t xml:space="preserve"> </w:t>
      </w:r>
      <w:r w:rsidRPr="00A2261C">
        <w:t>li</w:t>
      </w:r>
      <w:r w:rsidR="003E50BF" w:rsidRPr="00A2261C">
        <w:t xml:space="preserve"> </w:t>
      </w:r>
      <w:r w:rsidR="00245901" w:rsidRPr="00A2261C">
        <w:t>T.</w:t>
      </w:r>
      <w:r w:rsidR="003E50BF" w:rsidRPr="00A2261C">
        <w:t>,</w:t>
      </w:r>
      <w:r w:rsidR="00245901" w:rsidRPr="00A2261C">
        <w:t xml:space="preserve"> </w:t>
      </w:r>
      <w:r w:rsidRPr="00A2261C">
        <w:t>Huang</w:t>
      </w:r>
      <w:r w:rsidR="00245901" w:rsidRPr="00A2261C">
        <w:t xml:space="preserve"> R.</w:t>
      </w:r>
      <w:r w:rsidR="003E50BF" w:rsidRPr="00A2261C">
        <w:t>,</w:t>
      </w:r>
      <w:r w:rsidR="00245901" w:rsidRPr="00A2261C">
        <w:t xml:space="preserve"> </w:t>
      </w:r>
      <w:r w:rsidRPr="00A2261C">
        <w:t>Zhou</w:t>
      </w:r>
      <w:r w:rsidR="00245901" w:rsidRPr="00A2261C">
        <w:t xml:space="preserve"> J.</w:t>
      </w:r>
      <w:r w:rsidR="003E50BF" w:rsidRPr="00A2261C">
        <w:t>,</w:t>
      </w:r>
      <w:r w:rsidR="00245901" w:rsidRPr="00A2261C">
        <w:t xml:space="preserve"> C</w:t>
      </w:r>
      <w:r w:rsidRPr="00A2261C">
        <w:t>en</w:t>
      </w:r>
      <w:r w:rsidR="00245901" w:rsidRPr="00A2261C">
        <w:t>, K</w:t>
      </w:r>
      <w:r w:rsidR="003E50BF" w:rsidRPr="00A2261C">
        <w:t>,</w:t>
      </w:r>
      <w:r w:rsidR="00245901" w:rsidRPr="00A2261C">
        <w:t xml:space="preserve"> </w:t>
      </w:r>
      <w:r w:rsidR="003E50BF" w:rsidRPr="00A2261C">
        <w:t xml:space="preserve">2014, </w:t>
      </w:r>
      <w:r w:rsidR="00245901" w:rsidRPr="00A2261C">
        <w:t>Optimizing catalysis conditions to decrease aromatic hydrocarbons and increase alkanes for improving jet biofuel quality</w:t>
      </w:r>
      <w:r w:rsidR="003E50BF" w:rsidRPr="00A2261C">
        <w:t xml:space="preserve">, </w:t>
      </w:r>
      <w:r w:rsidR="00245901" w:rsidRPr="00A2261C">
        <w:t>Bioresource Technology</w:t>
      </w:r>
      <w:r w:rsidR="003E50BF" w:rsidRPr="00A2261C">
        <w:t>,</w:t>
      </w:r>
      <w:r w:rsidR="00245901" w:rsidRPr="00A2261C">
        <w:t xml:space="preserve"> 58, 378–382</w:t>
      </w:r>
      <w:r w:rsidR="003E50BF" w:rsidRPr="00A2261C">
        <w:t xml:space="preserve">. </w:t>
      </w:r>
    </w:p>
    <w:p w14:paraId="75560B2D" w14:textId="3111575C" w:rsidR="00245901" w:rsidRPr="00A2261C" w:rsidRDefault="00245901" w:rsidP="00245901">
      <w:pPr>
        <w:pStyle w:val="CETReferencetext"/>
      </w:pPr>
      <w:r w:rsidRPr="00A2261C">
        <w:t>C</w:t>
      </w:r>
      <w:r w:rsidR="00475E1D" w:rsidRPr="00A2261C">
        <w:t>hoi</w:t>
      </w:r>
      <w:r w:rsidRPr="00A2261C">
        <w:t xml:space="preserve"> I.H.</w:t>
      </w:r>
      <w:r w:rsidR="003E50BF" w:rsidRPr="00A2261C">
        <w:t>,</w:t>
      </w:r>
      <w:r w:rsidRPr="00A2261C">
        <w:t xml:space="preserve"> H</w:t>
      </w:r>
      <w:r w:rsidR="00475E1D" w:rsidRPr="00A2261C">
        <w:t>wang</w:t>
      </w:r>
      <w:r w:rsidRPr="00A2261C">
        <w:t xml:space="preserve"> K.R., H</w:t>
      </w:r>
      <w:r w:rsidR="00475E1D" w:rsidRPr="00A2261C">
        <w:t>an</w:t>
      </w:r>
      <w:r w:rsidR="003E50BF" w:rsidRPr="00A2261C">
        <w:t xml:space="preserve"> </w:t>
      </w:r>
      <w:r w:rsidRPr="00A2261C">
        <w:t>J.S., L</w:t>
      </w:r>
      <w:r w:rsidR="00475E1D" w:rsidRPr="00A2261C">
        <w:t>ee</w:t>
      </w:r>
      <w:r w:rsidR="003E50BF" w:rsidRPr="00A2261C">
        <w:t xml:space="preserve"> </w:t>
      </w:r>
      <w:r w:rsidRPr="00A2261C">
        <w:t>K.H., Y</w:t>
      </w:r>
      <w:r w:rsidR="00475E1D" w:rsidRPr="00A2261C">
        <w:t>un</w:t>
      </w:r>
      <w:r w:rsidR="003E50BF" w:rsidRPr="00A2261C">
        <w:t xml:space="preserve"> </w:t>
      </w:r>
      <w:r w:rsidRPr="00A2261C">
        <w:t>J.S., L</w:t>
      </w:r>
      <w:r w:rsidR="00475E1D" w:rsidRPr="00A2261C">
        <w:t>ee</w:t>
      </w:r>
      <w:r w:rsidR="003E50BF" w:rsidRPr="00A2261C">
        <w:t xml:space="preserve"> </w:t>
      </w:r>
      <w:r w:rsidRPr="00A2261C">
        <w:t>J.S.</w:t>
      </w:r>
      <w:r w:rsidR="003E50BF" w:rsidRPr="00A2261C">
        <w:t xml:space="preserve">, 2015, </w:t>
      </w:r>
      <w:r w:rsidRPr="00A2261C">
        <w:t>The direct production of jet-fuel from non-edible oil in a single-step process</w:t>
      </w:r>
      <w:r w:rsidR="003E50BF" w:rsidRPr="00A2261C">
        <w:t>,</w:t>
      </w:r>
      <w:r w:rsidRPr="00A2261C">
        <w:t xml:space="preserve"> Fuel</w:t>
      </w:r>
      <w:r w:rsidR="003E50BF" w:rsidRPr="00A2261C">
        <w:t>,</w:t>
      </w:r>
      <w:r w:rsidRPr="00A2261C">
        <w:t xml:space="preserve"> 158, 98–104</w:t>
      </w:r>
      <w:r w:rsidR="003E50BF" w:rsidRPr="00A2261C">
        <w:t>.</w:t>
      </w:r>
    </w:p>
    <w:p w14:paraId="5A51A59C" w14:textId="2BBEDE16" w:rsidR="00245901" w:rsidRDefault="00475E1D" w:rsidP="00245901">
      <w:pPr>
        <w:pStyle w:val="CETReferencetext"/>
      </w:pPr>
      <w:proofErr w:type="spellStart"/>
      <w:r w:rsidRPr="00A2261C">
        <w:t>Dagdougui</w:t>
      </w:r>
      <w:proofErr w:type="spellEnd"/>
      <w:r w:rsidR="003E50BF" w:rsidRPr="00A2261C">
        <w:t xml:space="preserve"> </w:t>
      </w:r>
      <w:r w:rsidR="00245901" w:rsidRPr="00A2261C">
        <w:t>H.</w:t>
      </w:r>
      <w:r w:rsidR="003E50BF" w:rsidRPr="00A2261C">
        <w:t>,</w:t>
      </w:r>
      <w:r w:rsidR="00245901" w:rsidRPr="00A2261C">
        <w:t xml:space="preserve"> </w:t>
      </w:r>
      <w:proofErr w:type="spellStart"/>
      <w:r w:rsidRPr="00A2261C">
        <w:t>Sacile</w:t>
      </w:r>
      <w:proofErr w:type="spellEnd"/>
      <w:r w:rsidR="003E50BF" w:rsidRPr="00A2261C">
        <w:t xml:space="preserve"> </w:t>
      </w:r>
      <w:r w:rsidR="00245901" w:rsidRPr="00A2261C">
        <w:t>R.</w:t>
      </w:r>
      <w:r w:rsidR="003E50BF" w:rsidRPr="00A2261C">
        <w:t>,</w:t>
      </w:r>
      <w:r w:rsidR="00245901" w:rsidRPr="00A2261C">
        <w:t xml:space="preserve"> B</w:t>
      </w:r>
      <w:r w:rsidRPr="00A2261C">
        <w:t>ersani</w:t>
      </w:r>
      <w:r w:rsidR="00245901" w:rsidRPr="00A2261C">
        <w:t xml:space="preserve"> C.</w:t>
      </w:r>
      <w:r w:rsidR="003E50BF" w:rsidRPr="00A2261C">
        <w:t>,</w:t>
      </w:r>
      <w:r w:rsidR="00245901" w:rsidRPr="00A2261C">
        <w:t xml:space="preserve"> </w:t>
      </w:r>
      <w:proofErr w:type="spellStart"/>
      <w:r w:rsidRPr="00A2261C">
        <w:t>Ouammi</w:t>
      </w:r>
      <w:proofErr w:type="spellEnd"/>
      <w:r w:rsidR="00245901" w:rsidRPr="00A2261C">
        <w:t xml:space="preserve"> A.</w:t>
      </w:r>
      <w:r w:rsidR="003E50BF" w:rsidRPr="00A2261C">
        <w:t>, 2018,</w:t>
      </w:r>
      <w:r w:rsidR="00245901" w:rsidRPr="00A2261C">
        <w:t xml:space="preserve"> Hydrogen Production and Current Technologies</w:t>
      </w:r>
      <w:r w:rsidR="003E50BF" w:rsidRPr="00A2261C">
        <w:t>, 2018,</w:t>
      </w:r>
      <w:r w:rsidR="00245901" w:rsidRPr="00A2261C">
        <w:t xml:space="preserve"> Hydrogen Infrastructure </w:t>
      </w:r>
      <w:proofErr w:type="gramStart"/>
      <w:r w:rsidR="00245901" w:rsidRPr="00A2261C">
        <w:t>For</w:t>
      </w:r>
      <w:proofErr w:type="gramEnd"/>
      <w:r w:rsidR="00245901" w:rsidRPr="00A2261C">
        <w:t xml:space="preserve"> Energy Applications,</w:t>
      </w:r>
      <w:r w:rsidR="003E50BF" w:rsidRPr="00A2261C">
        <w:t xml:space="preserve"> 2, </w:t>
      </w:r>
      <w:r w:rsidR="00245901" w:rsidRPr="00A2261C">
        <w:t>7-21</w:t>
      </w:r>
      <w:r w:rsidR="003E50BF" w:rsidRPr="00A2261C">
        <w:t>.</w:t>
      </w:r>
      <w:r w:rsidR="00245901" w:rsidRPr="00A2261C">
        <w:t xml:space="preserve"> </w:t>
      </w:r>
    </w:p>
    <w:p w14:paraId="545AAF5C" w14:textId="09D13432" w:rsidR="003673D6" w:rsidRDefault="003673D6" w:rsidP="003673D6">
      <w:pPr>
        <w:pStyle w:val="CETReferencetext"/>
      </w:pPr>
      <w:r>
        <w:t>Gutiérrez-Antonio C., Gómez-Castro F. I., Hernández S., 2018, Sustainable Production of Renewable Aviation Fuel through Intensification Strategies, Chemical Engineering Transactions, 69, 319-324.</w:t>
      </w:r>
    </w:p>
    <w:p w14:paraId="39CC2740" w14:textId="1BBF0200" w:rsidR="00625B5F" w:rsidRPr="00A2261C" w:rsidRDefault="00625B5F" w:rsidP="003673D6">
      <w:pPr>
        <w:pStyle w:val="CETReferencetext"/>
      </w:pPr>
      <w:r w:rsidRPr="00625B5F">
        <w:t xml:space="preserve">Martinez-Hernandez E., Ramírez-Verduzco L. F., </w:t>
      </w:r>
      <w:proofErr w:type="spellStart"/>
      <w:r w:rsidRPr="00625B5F">
        <w:t>Amezcua-Allieri</w:t>
      </w:r>
      <w:proofErr w:type="spellEnd"/>
      <w:r w:rsidRPr="00625B5F">
        <w:t xml:space="preserve"> M. A., Aburto J.</w:t>
      </w:r>
      <w:r>
        <w:t xml:space="preserve">, </w:t>
      </w:r>
      <w:r w:rsidRPr="00625B5F">
        <w:t>2019</w:t>
      </w:r>
      <w:r>
        <w:t>,</w:t>
      </w:r>
      <w:r w:rsidRPr="00625B5F">
        <w:t xml:space="preserve"> Process simulation and techno-economic analysis of bio-jet fuel and green diesel production – minimum selling prices</w:t>
      </w:r>
      <w:r>
        <w:t>,</w:t>
      </w:r>
      <w:r w:rsidRPr="00625B5F">
        <w:t xml:space="preserve"> Chemical Engineering Research and Design</w:t>
      </w:r>
      <w:r>
        <w:t>, 146, 60-70.</w:t>
      </w:r>
    </w:p>
    <w:p w14:paraId="24412D38" w14:textId="1A6C0307" w:rsidR="00245901" w:rsidRPr="00A2261C" w:rsidRDefault="00245901" w:rsidP="00245901">
      <w:pPr>
        <w:pStyle w:val="CETReferencetext"/>
      </w:pPr>
      <w:r w:rsidRPr="00A2261C">
        <w:t>IATA</w:t>
      </w:r>
      <w:r w:rsidR="003E50BF" w:rsidRPr="00A2261C">
        <w:t>, 2017,</w:t>
      </w:r>
      <w:r w:rsidRPr="00A2261C">
        <w:t xml:space="preserve"> Annual Review</w:t>
      </w:r>
      <w:r w:rsidR="007D207B" w:rsidRPr="00A2261C">
        <w:t>,</w:t>
      </w:r>
      <w:r w:rsidRPr="00A2261C">
        <w:t xml:space="preserve"> </w:t>
      </w:r>
      <w:r w:rsidR="007D207B" w:rsidRPr="00A2261C">
        <w:t>&lt;</w:t>
      </w:r>
      <w:r w:rsidRPr="00A2261C">
        <w:t>www.iata.org/en/publications/annual-review</w:t>
      </w:r>
      <w:r w:rsidR="007D207B" w:rsidRPr="00A2261C">
        <w:t xml:space="preserve">&gt; accessed </w:t>
      </w:r>
      <w:r w:rsidR="00E1021F">
        <w:t>08.12</w:t>
      </w:r>
      <w:r w:rsidR="007D207B" w:rsidRPr="00A2261C">
        <w:t>.2022.</w:t>
      </w:r>
    </w:p>
    <w:p w14:paraId="09888282" w14:textId="0C58A941" w:rsidR="00245901" w:rsidRDefault="00245901" w:rsidP="00245901">
      <w:pPr>
        <w:pStyle w:val="CETReferencetext"/>
      </w:pPr>
      <w:r w:rsidRPr="00A2261C">
        <w:t>IATA</w:t>
      </w:r>
      <w:r w:rsidR="007D207B" w:rsidRPr="00A2261C">
        <w:t xml:space="preserve">, </w:t>
      </w:r>
      <w:r w:rsidR="00E1021F" w:rsidRPr="00A2261C">
        <w:t>202</w:t>
      </w:r>
      <w:r w:rsidR="00E1021F">
        <w:t>3</w:t>
      </w:r>
      <w:r w:rsidR="007D207B" w:rsidRPr="00A2261C">
        <w:t>,</w:t>
      </w:r>
      <w:r w:rsidRPr="00A2261C">
        <w:t xml:space="preserve"> Jet Fuel Price Monitor</w:t>
      </w:r>
      <w:r w:rsidR="007D207B" w:rsidRPr="00A2261C">
        <w:t>, &lt;</w:t>
      </w:r>
      <w:r w:rsidRPr="00A2261C">
        <w:t>www.iata.org/en/publications/economics/fuel-monitor/</w:t>
      </w:r>
      <w:r w:rsidR="007D207B" w:rsidRPr="00A2261C">
        <w:t xml:space="preserve">&gt; accessed </w:t>
      </w:r>
      <w:r w:rsidR="00E1021F">
        <w:t>02.12.2023</w:t>
      </w:r>
      <w:r w:rsidRPr="00A2261C">
        <w:t>.</w:t>
      </w:r>
    </w:p>
    <w:p w14:paraId="1C2E1997" w14:textId="36F8FB45" w:rsidR="00625B5F" w:rsidRPr="00A2261C" w:rsidRDefault="00625B5F" w:rsidP="00245901">
      <w:pPr>
        <w:pStyle w:val="CETReferencetext"/>
      </w:pPr>
      <w:r w:rsidRPr="00625B5F">
        <w:t xml:space="preserve">Klein B. C., Chagas M. F., Junqueira T. L., Rezende M. C. A. F., Cardoso T. de F., </w:t>
      </w:r>
      <w:proofErr w:type="spellStart"/>
      <w:r w:rsidRPr="00625B5F">
        <w:t>Cavalett</w:t>
      </w:r>
      <w:proofErr w:type="spellEnd"/>
      <w:r w:rsidRPr="00625B5F">
        <w:t xml:space="preserve"> O., Bonomi A</w:t>
      </w:r>
      <w:r>
        <w:t>, 2018,</w:t>
      </w:r>
      <w:r w:rsidRPr="00625B5F">
        <w:t xml:space="preserve"> Techno-economic and environmental assessment of renewable jet fuel production in integrated Brazilian sugarcane biorefineries</w:t>
      </w:r>
      <w:r>
        <w:t>,</w:t>
      </w:r>
      <w:r w:rsidRPr="00625B5F">
        <w:t xml:space="preserve"> Applied Energy, 209, 290–305.</w:t>
      </w:r>
    </w:p>
    <w:p w14:paraId="7EBD9418" w14:textId="4061DABC" w:rsidR="00245901" w:rsidRPr="00A2261C" w:rsidRDefault="00475E1D" w:rsidP="00245901">
      <w:pPr>
        <w:pStyle w:val="CETReferencetext"/>
      </w:pPr>
      <w:r w:rsidRPr="00A2261C">
        <w:t>Landress</w:t>
      </w:r>
      <w:r w:rsidR="007D207B" w:rsidRPr="00A2261C">
        <w:t xml:space="preserve"> </w:t>
      </w:r>
      <w:r w:rsidR="00245901" w:rsidRPr="00A2261C">
        <w:t>L.</w:t>
      </w:r>
      <w:r w:rsidR="007D207B" w:rsidRPr="00A2261C">
        <w:t>,</w:t>
      </w:r>
      <w:r w:rsidR="00245901" w:rsidRPr="00A2261C">
        <w:t xml:space="preserve"> US crude glycerine prices could dip as spring nears - ICIS Explore</w:t>
      </w:r>
      <w:r w:rsidR="007D207B" w:rsidRPr="00A2261C">
        <w:t>,</w:t>
      </w:r>
      <w:r w:rsidR="00245901" w:rsidRPr="00A2261C">
        <w:t xml:space="preserve"> &lt;https://www.icis.com/explore/resources/news/2018/02/14/10193613/us-crude-glycerine -prices-could-dip-as-spring-nears/&gt; </w:t>
      </w:r>
      <w:r w:rsidR="007D207B" w:rsidRPr="00A2261C">
        <w:t xml:space="preserve">accessed </w:t>
      </w:r>
      <w:r w:rsidR="00E1021F">
        <w:t>07.24</w:t>
      </w:r>
      <w:r w:rsidR="007D207B" w:rsidRPr="00A2261C">
        <w:t>.2021.</w:t>
      </w:r>
      <w:r w:rsidR="00245901" w:rsidRPr="00A2261C">
        <w:t xml:space="preserve"> </w:t>
      </w:r>
    </w:p>
    <w:p w14:paraId="4B046591" w14:textId="05113A03" w:rsidR="00245901" w:rsidRPr="00A2261C" w:rsidRDefault="00776A8D" w:rsidP="00245901">
      <w:pPr>
        <w:pStyle w:val="CETReferencetext"/>
      </w:pPr>
      <w:r w:rsidRPr="00A2261C">
        <w:t>Markets Insider</w:t>
      </w:r>
      <w:r w:rsidR="00DE085E" w:rsidRPr="00A2261C">
        <w:t xml:space="preserve">, 2019, </w:t>
      </w:r>
      <w:r w:rsidR="00245901" w:rsidRPr="00A2261C">
        <w:t>Soybean Oil P</w:t>
      </w:r>
      <w:r w:rsidR="00DE085E" w:rsidRPr="00A2261C">
        <w:t>rice</w:t>
      </w:r>
      <w:r w:rsidR="00245901" w:rsidRPr="00A2261C">
        <w:t xml:space="preserve"> Today</w:t>
      </w:r>
      <w:r w:rsidR="00DE085E" w:rsidRPr="00A2261C">
        <w:t xml:space="preserve">, </w:t>
      </w:r>
      <w:r w:rsidR="00245901" w:rsidRPr="00A2261C">
        <w:t>&lt;</w:t>
      </w:r>
      <w:proofErr w:type="spellStart"/>
      <w:proofErr w:type="gramStart"/>
      <w:r w:rsidR="00245901" w:rsidRPr="00A2261C">
        <w:t>markets.business</w:t>
      </w:r>
      <w:proofErr w:type="spellEnd"/>
      <w:proofErr w:type="gramEnd"/>
      <w:r w:rsidR="00245901" w:rsidRPr="00A2261C">
        <w:t xml:space="preserve"> insider.com/commodities/soybean-oil-price&gt; </w:t>
      </w:r>
      <w:r w:rsidR="00DE085E" w:rsidRPr="00A2261C">
        <w:t xml:space="preserve">accessed </w:t>
      </w:r>
      <w:r w:rsidR="00E1021F">
        <w:t>07.24</w:t>
      </w:r>
      <w:r w:rsidR="00DE085E" w:rsidRPr="00A2261C">
        <w:t>.2021.</w:t>
      </w:r>
    </w:p>
    <w:p w14:paraId="053AEFF0" w14:textId="78BAE659" w:rsidR="00F434CB" w:rsidRPr="00A2261C" w:rsidRDefault="00F434CB" w:rsidP="00245901">
      <w:pPr>
        <w:pStyle w:val="CETReferencetext"/>
      </w:pPr>
      <w:r w:rsidRPr="00A2261C">
        <w:t>Marzullo R.C.M., 2007, Eco-efficiency analysis of vegetable oils derived from soy and palm, aiming at biodiesel production, Chemical Engineering Department, University of São Paulo, São Paulo (In Portuguese).</w:t>
      </w:r>
    </w:p>
    <w:p w14:paraId="235AC7AC" w14:textId="23D81ECC" w:rsidR="00DE085E" w:rsidRPr="00A2261C" w:rsidRDefault="00475E1D" w:rsidP="00245901">
      <w:pPr>
        <w:pStyle w:val="CETReferencetext"/>
      </w:pPr>
      <w:proofErr w:type="spellStart"/>
      <w:r w:rsidRPr="00A2261C">
        <w:t>Pearlson</w:t>
      </w:r>
      <w:proofErr w:type="spellEnd"/>
      <w:r w:rsidR="00DE085E" w:rsidRPr="00A2261C">
        <w:t xml:space="preserve"> </w:t>
      </w:r>
      <w:r w:rsidR="00245901" w:rsidRPr="00A2261C">
        <w:t>M</w:t>
      </w:r>
      <w:r w:rsidR="00DE085E" w:rsidRPr="00A2261C">
        <w:t>.,</w:t>
      </w:r>
      <w:r w:rsidR="00245901" w:rsidRPr="00A2261C">
        <w:t xml:space="preserve"> </w:t>
      </w:r>
      <w:r w:rsidRPr="00A2261C">
        <w:t>Wollersheim</w:t>
      </w:r>
      <w:r w:rsidR="00DE085E" w:rsidRPr="00A2261C">
        <w:t xml:space="preserve"> </w:t>
      </w:r>
      <w:r w:rsidR="00245901" w:rsidRPr="00A2261C">
        <w:t>C.</w:t>
      </w:r>
      <w:r w:rsidR="00DE085E" w:rsidRPr="00A2261C">
        <w:t>,</w:t>
      </w:r>
      <w:r w:rsidR="00245901" w:rsidRPr="00A2261C">
        <w:t xml:space="preserve"> </w:t>
      </w:r>
      <w:r w:rsidRPr="00A2261C">
        <w:t>Hileman</w:t>
      </w:r>
      <w:r w:rsidR="00DE085E" w:rsidRPr="00A2261C">
        <w:t xml:space="preserve"> </w:t>
      </w:r>
      <w:r w:rsidR="00245901" w:rsidRPr="00A2261C">
        <w:t>J.</w:t>
      </w:r>
      <w:r w:rsidR="00DE085E" w:rsidRPr="00A2261C">
        <w:t>, 2013,</w:t>
      </w:r>
      <w:r w:rsidR="00245901" w:rsidRPr="00A2261C">
        <w:t xml:space="preserve"> A techno-economic review of </w:t>
      </w:r>
      <w:proofErr w:type="spellStart"/>
      <w:r w:rsidR="00245901" w:rsidRPr="00A2261C">
        <w:t>hydroprocessed</w:t>
      </w:r>
      <w:proofErr w:type="spellEnd"/>
      <w:r w:rsidR="00245901" w:rsidRPr="00A2261C">
        <w:t xml:space="preserve"> Renewable esters and fatty acids for jet fuel production</w:t>
      </w:r>
      <w:r w:rsidR="00DE085E" w:rsidRPr="00A2261C">
        <w:t>,</w:t>
      </w:r>
      <w:r w:rsidR="00245901" w:rsidRPr="00A2261C">
        <w:t xml:space="preserve"> Biofuels, Bioproducts And Biorefining</w:t>
      </w:r>
      <w:r w:rsidR="00DE085E" w:rsidRPr="00A2261C">
        <w:t xml:space="preserve">, </w:t>
      </w:r>
      <w:r w:rsidR="00245901" w:rsidRPr="00A2261C">
        <w:t>7,</w:t>
      </w:r>
      <w:r w:rsidR="00DE085E" w:rsidRPr="00A2261C">
        <w:t xml:space="preserve"> </w:t>
      </w:r>
      <w:r w:rsidR="00245901" w:rsidRPr="00A2261C">
        <w:t>89-96</w:t>
      </w:r>
      <w:r w:rsidR="00E62106" w:rsidRPr="00A2261C">
        <w:t>.</w:t>
      </w:r>
    </w:p>
    <w:p w14:paraId="3CAAD729" w14:textId="1B623383" w:rsidR="00245901" w:rsidRPr="00A2261C" w:rsidRDefault="00475E1D" w:rsidP="00245901">
      <w:pPr>
        <w:pStyle w:val="CETReferencetext"/>
      </w:pPr>
      <w:r w:rsidRPr="00A2261C">
        <w:t>Peres</w:t>
      </w:r>
      <w:r w:rsidR="00245901" w:rsidRPr="00A2261C">
        <w:t xml:space="preserve"> S</w:t>
      </w:r>
      <w:r w:rsidR="00E62106" w:rsidRPr="00A2261C">
        <w:t>.,</w:t>
      </w:r>
      <w:r w:rsidR="00245901" w:rsidRPr="00A2261C">
        <w:t xml:space="preserve"> </w:t>
      </w:r>
      <w:r w:rsidRPr="00A2261C">
        <w:t>Drummond</w:t>
      </w:r>
      <w:r w:rsidR="00E62106" w:rsidRPr="00A2261C">
        <w:t xml:space="preserve"> </w:t>
      </w:r>
      <w:r w:rsidR="00245901" w:rsidRPr="00A2261C">
        <w:t>A.R.F.</w:t>
      </w:r>
      <w:r w:rsidR="00E62106" w:rsidRPr="00A2261C">
        <w:t>,</w:t>
      </w:r>
      <w:r w:rsidR="00245901" w:rsidRPr="00A2261C">
        <w:t xml:space="preserve"> </w:t>
      </w:r>
      <w:r w:rsidRPr="00A2261C">
        <w:t>Laurel</w:t>
      </w:r>
      <w:r w:rsidR="00E62106" w:rsidRPr="00A2261C">
        <w:t xml:space="preserve"> </w:t>
      </w:r>
      <w:r w:rsidR="00245901" w:rsidRPr="00A2261C">
        <w:t>E.C.M</w:t>
      </w:r>
      <w:r w:rsidR="00E62106" w:rsidRPr="00A2261C">
        <w:t>,</w:t>
      </w:r>
      <w:r w:rsidR="00245901" w:rsidRPr="00A2261C">
        <w:t xml:space="preserve"> S</w:t>
      </w:r>
      <w:r w:rsidRPr="00A2261C">
        <w:t>traw</w:t>
      </w:r>
      <w:r w:rsidR="00E62106" w:rsidRPr="00A2261C">
        <w:t xml:space="preserve"> </w:t>
      </w:r>
      <w:r w:rsidR="00245901" w:rsidRPr="00A2261C">
        <w:t>M.L.A.P.F</w:t>
      </w:r>
      <w:r w:rsidR="00E62106" w:rsidRPr="00A2261C">
        <w:t>, 20</w:t>
      </w:r>
      <w:r w:rsidR="004D1EDA" w:rsidRPr="00A2261C">
        <w:t>18</w:t>
      </w:r>
      <w:r w:rsidR="00E62106" w:rsidRPr="00A2261C">
        <w:t>,</w:t>
      </w:r>
      <w:r w:rsidR="00245901" w:rsidRPr="00A2261C">
        <w:t xml:space="preserve"> Use of biodiesel industry co-products for the aviation biokerosene production</w:t>
      </w:r>
      <w:r w:rsidR="00E62106" w:rsidRPr="00A2261C">
        <w:t>,</w:t>
      </w:r>
      <w:r w:rsidR="00245901" w:rsidRPr="00A2261C">
        <w:t xml:space="preserve"> Brazilian Journal of Development,</w:t>
      </w:r>
      <w:r w:rsidR="00E62106" w:rsidRPr="00A2261C">
        <w:t xml:space="preserve"> 7</w:t>
      </w:r>
      <w:r w:rsidR="00245901" w:rsidRPr="00A2261C">
        <w:t>,</w:t>
      </w:r>
      <w:r w:rsidR="00E62106" w:rsidRPr="00A2261C">
        <w:t xml:space="preserve"> </w:t>
      </w:r>
      <w:r w:rsidR="00245901" w:rsidRPr="00A2261C">
        <w:t>36898-36907</w:t>
      </w:r>
      <w:r w:rsidR="00E62106" w:rsidRPr="00A2261C">
        <w:t>.</w:t>
      </w:r>
    </w:p>
    <w:p w14:paraId="65A5B945" w14:textId="298FEAD4" w:rsidR="00F434CB" w:rsidRPr="00A2261C" w:rsidRDefault="00F434CB" w:rsidP="00245901">
      <w:pPr>
        <w:pStyle w:val="CETReferencetext"/>
      </w:pPr>
      <w:r w:rsidRPr="00A2261C">
        <w:t>Roitman, T, 2018, Perspectives and proposals for the insertion of aviation biokerosene in air transportation of passengers in Brazil, Energy Planning Department, Federal University of Rio de Janeiro, Rio de Janeiro (In Portuguese)</w:t>
      </w:r>
    </w:p>
    <w:p w14:paraId="6C56AD59" w14:textId="393516BB" w:rsidR="00245901" w:rsidRPr="00A2261C" w:rsidRDefault="00475E1D" w:rsidP="00245901">
      <w:pPr>
        <w:pStyle w:val="CETReferencetext"/>
      </w:pPr>
      <w:proofErr w:type="spellStart"/>
      <w:r w:rsidRPr="00A2261C">
        <w:t>Scaldaferri</w:t>
      </w:r>
      <w:proofErr w:type="spellEnd"/>
      <w:r w:rsidR="00E62106" w:rsidRPr="00A2261C">
        <w:t xml:space="preserve"> </w:t>
      </w:r>
      <w:r w:rsidR="00245901" w:rsidRPr="00A2261C">
        <w:t>C. A.</w:t>
      </w:r>
      <w:r w:rsidR="008B4241" w:rsidRPr="00A2261C">
        <w:t xml:space="preserve">, </w:t>
      </w:r>
      <w:r w:rsidR="00245901" w:rsidRPr="00A2261C">
        <w:t>P</w:t>
      </w:r>
      <w:r w:rsidR="008B4241" w:rsidRPr="00A2261C">
        <w:t>asa</w:t>
      </w:r>
      <w:r w:rsidR="00E62106" w:rsidRPr="00A2261C">
        <w:t xml:space="preserve"> </w:t>
      </w:r>
      <w:r w:rsidR="00245901" w:rsidRPr="00A2261C">
        <w:t>V.M.D.</w:t>
      </w:r>
      <w:r w:rsidR="00E62106" w:rsidRPr="00A2261C">
        <w:t>, 2019,</w:t>
      </w:r>
      <w:r w:rsidR="00245901" w:rsidRPr="00A2261C">
        <w:t xml:space="preserve"> Hydrogen-free process to convert lipids into bio-jet fuel and green diesel over niobium phosphate catalyst in one-step</w:t>
      </w:r>
      <w:r w:rsidR="00E62106" w:rsidRPr="00A2261C">
        <w:t>,</w:t>
      </w:r>
      <w:r w:rsidR="00245901" w:rsidRPr="00A2261C">
        <w:t xml:space="preserve"> Chem. Eng. J.</w:t>
      </w:r>
      <w:r w:rsidR="00E62106" w:rsidRPr="00A2261C">
        <w:t>,</w:t>
      </w:r>
      <w:r w:rsidR="00245901" w:rsidRPr="00A2261C">
        <w:t xml:space="preserve"> 370, 98–109</w:t>
      </w:r>
      <w:r w:rsidR="00E62106" w:rsidRPr="00A2261C">
        <w:t>.</w:t>
      </w:r>
    </w:p>
    <w:p w14:paraId="7CADBE85" w14:textId="5CB4C82A" w:rsidR="00245901" w:rsidRPr="00A2261C" w:rsidRDefault="00390725" w:rsidP="00245901">
      <w:pPr>
        <w:pStyle w:val="CETReferencetext"/>
      </w:pPr>
      <w:r w:rsidRPr="00A2261C">
        <w:t>Soares</w:t>
      </w:r>
      <w:r w:rsidR="00245901" w:rsidRPr="00A2261C">
        <w:t xml:space="preserve"> D.</w:t>
      </w:r>
      <w:r w:rsidR="00E62106" w:rsidRPr="00A2261C">
        <w:t>, 2014,</w:t>
      </w:r>
      <w:r w:rsidR="00245901" w:rsidRPr="00A2261C">
        <w:t xml:space="preserve"> Development of the enzymatic ethyl esterification process of fatty acids in a fixed bed reactor</w:t>
      </w:r>
      <w:r w:rsidR="00E62106" w:rsidRPr="00A2261C">
        <w:t>,</w:t>
      </w:r>
      <w:r w:rsidR="005956C6" w:rsidRPr="00A2261C">
        <w:t xml:space="preserve"> </w:t>
      </w:r>
      <w:r w:rsidR="00245901" w:rsidRPr="00A2261C">
        <w:t xml:space="preserve">Federal University of Paraná, </w:t>
      </w:r>
      <w:r w:rsidR="005956C6" w:rsidRPr="00A2261C">
        <w:t>Curitiba</w:t>
      </w:r>
      <w:r w:rsidR="00245901" w:rsidRPr="00A2261C">
        <w:t xml:space="preserve">. </w:t>
      </w:r>
    </w:p>
    <w:p w14:paraId="424FA457" w14:textId="11325390" w:rsidR="00245901" w:rsidRPr="00A2261C" w:rsidRDefault="005956C6" w:rsidP="00245901">
      <w:pPr>
        <w:pStyle w:val="CETReferencetext"/>
      </w:pPr>
      <w:r w:rsidRPr="00A2261C">
        <w:t xml:space="preserve">Sousa </w:t>
      </w:r>
      <w:r w:rsidR="00245901" w:rsidRPr="00A2261C">
        <w:t>P.F.</w:t>
      </w:r>
      <w:r w:rsidRPr="00A2261C">
        <w:t>, Silva</w:t>
      </w:r>
      <w:r w:rsidR="00245901" w:rsidRPr="00A2261C">
        <w:t xml:space="preserve"> L.N.</w:t>
      </w:r>
      <w:r w:rsidRPr="00A2261C">
        <w:t>,</w:t>
      </w:r>
      <w:r w:rsidR="00245901" w:rsidRPr="00A2261C">
        <w:t xml:space="preserve"> </w:t>
      </w:r>
      <w:r w:rsidRPr="00A2261C">
        <w:t xml:space="preserve">Rezende </w:t>
      </w:r>
      <w:r w:rsidR="00245901" w:rsidRPr="00A2261C">
        <w:t>D.B.</w:t>
      </w:r>
      <w:r w:rsidRPr="00A2261C">
        <w:t>, Oliveira</w:t>
      </w:r>
      <w:r w:rsidR="00245901" w:rsidRPr="00A2261C">
        <w:t xml:space="preserve"> L.C. A.</w:t>
      </w:r>
      <w:r w:rsidRPr="00A2261C">
        <w:t>,</w:t>
      </w:r>
      <w:r w:rsidR="00245901" w:rsidRPr="00A2261C">
        <w:t xml:space="preserve"> P</w:t>
      </w:r>
      <w:r w:rsidRPr="00A2261C">
        <w:t xml:space="preserve">asa </w:t>
      </w:r>
      <w:r w:rsidR="00245901" w:rsidRPr="00A2261C">
        <w:t>V.M.D</w:t>
      </w:r>
      <w:r w:rsidRPr="00A2261C">
        <w:t>, 2018,</w:t>
      </w:r>
      <w:r w:rsidR="00245901" w:rsidRPr="00A2261C">
        <w:t xml:space="preserve"> Simultaneous deoxygenation, cracking and isomerization of palm kernel oil and palm olein over beta zeolite to produce </w:t>
      </w:r>
      <w:proofErr w:type="spellStart"/>
      <w:r w:rsidR="00245901" w:rsidRPr="00A2261C">
        <w:t>biogasoline</w:t>
      </w:r>
      <w:proofErr w:type="spellEnd"/>
      <w:r w:rsidR="00245901" w:rsidRPr="00A2261C">
        <w:t xml:space="preserve">, green diesel and </w:t>
      </w:r>
      <w:proofErr w:type="spellStart"/>
      <w:r w:rsidR="00245901" w:rsidRPr="00A2261C">
        <w:t>biojet</w:t>
      </w:r>
      <w:proofErr w:type="spellEnd"/>
      <w:r w:rsidR="00245901" w:rsidRPr="00A2261C">
        <w:t>-fuel</w:t>
      </w:r>
      <w:r w:rsidRPr="00A2261C">
        <w:t xml:space="preserve">, </w:t>
      </w:r>
      <w:r w:rsidR="00245901" w:rsidRPr="00A2261C">
        <w:t>Fuel, 223, 149-156</w:t>
      </w:r>
      <w:r w:rsidRPr="00A2261C">
        <w:t>.</w:t>
      </w:r>
    </w:p>
    <w:p w14:paraId="3C8A9B2B" w14:textId="563D2303" w:rsidR="00245901" w:rsidRPr="00A2261C" w:rsidRDefault="00245901" w:rsidP="00245901">
      <w:pPr>
        <w:pStyle w:val="CETReferencetext"/>
      </w:pPr>
      <w:r w:rsidRPr="00A2261C">
        <w:t>V</w:t>
      </w:r>
      <w:r w:rsidR="008811BD" w:rsidRPr="00A2261C">
        <w:t>erma</w:t>
      </w:r>
      <w:r w:rsidRPr="00A2261C">
        <w:t xml:space="preserve"> D., </w:t>
      </w:r>
      <w:r w:rsidR="008811BD" w:rsidRPr="00A2261C">
        <w:t>Kumar</w:t>
      </w:r>
      <w:r w:rsidRPr="00A2261C">
        <w:t xml:space="preserve"> R., </w:t>
      </w:r>
      <w:r w:rsidR="008811BD" w:rsidRPr="00A2261C">
        <w:t>Rana</w:t>
      </w:r>
      <w:r w:rsidRPr="00A2261C">
        <w:t xml:space="preserve"> B. S</w:t>
      </w:r>
      <w:r w:rsidR="008811BD" w:rsidRPr="00A2261C">
        <w:t>, Sinha</w:t>
      </w:r>
      <w:r w:rsidRPr="00A2261C">
        <w:t xml:space="preserve"> A. K</w:t>
      </w:r>
      <w:r w:rsidR="008811BD" w:rsidRPr="00A2261C">
        <w:t>, 2011,</w:t>
      </w:r>
      <w:r w:rsidRPr="00A2261C">
        <w:t xml:space="preserve"> Aviation fuel production from lipids by a single-step route using hierarchical mesoporous zeolites</w:t>
      </w:r>
      <w:r w:rsidR="008811BD" w:rsidRPr="00A2261C">
        <w:t>,</w:t>
      </w:r>
      <w:r w:rsidRPr="00A2261C">
        <w:t xml:space="preserve"> Energy environ. Sci.</w:t>
      </w:r>
      <w:r w:rsidR="008811BD" w:rsidRPr="00A2261C">
        <w:t>,</w:t>
      </w:r>
      <w:r w:rsidRPr="00A2261C">
        <w:t xml:space="preserve"> 4,</w:t>
      </w:r>
      <w:r w:rsidR="008811BD" w:rsidRPr="00A2261C">
        <w:t xml:space="preserve"> </w:t>
      </w:r>
      <w:r w:rsidRPr="00A2261C">
        <w:t>1667–1671</w:t>
      </w:r>
      <w:r w:rsidR="008811BD" w:rsidRPr="00A2261C">
        <w:t>.</w:t>
      </w:r>
    </w:p>
    <w:p w14:paraId="69D59AD5" w14:textId="57E9B1A3" w:rsidR="00245901" w:rsidRPr="00A2261C" w:rsidRDefault="00245901" w:rsidP="00245901">
      <w:pPr>
        <w:pStyle w:val="CETReferencetext"/>
      </w:pPr>
      <w:r w:rsidRPr="00A2261C">
        <w:t>W</w:t>
      </w:r>
      <w:r w:rsidR="00291BE0" w:rsidRPr="00A2261C">
        <w:t>ei</w:t>
      </w:r>
      <w:r w:rsidRPr="00A2261C">
        <w:t xml:space="preserve"> H., </w:t>
      </w:r>
      <w:r w:rsidR="00291BE0" w:rsidRPr="00A2261C">
        <w:t>Liu</w:t>
      </w:r>
      <w:r w:rsidRPr="00A2261C">
        <w:t xml:space="preserve"> W., </w:t>
      </w:r>
      <w:r w:rsidR="00291BE0" w:rsidRPr="00A2261C">
        <w:t>Chen</w:t>
      </w:r>
      <w:r w:rsidRPr="00A2261C">
        <w:t xml:space="preserve"> X., Y</w:t>
      </w:r>
      <w:r w:rsidR="00291BE0" w:rsidRPr="00A2261C">
        <w:t>ang</w:t>
      </w:r>
      <w:r w:rsidRPr="00A2261C">
        <w:t xml:space="preserve"> Q., L</w:t>
      </w:r>
      <w:r w:rsidR="00291BE0" w:rsidRPr="00A2261C">
        <w:t>i</w:t>
      </w:r>
      <w:r w:rsidRPr="00A2261C">
        <w:t xml:space="preserve"> J., C</w:t>
      </w:r>
      <w:r w:rsidR="00291BE0" w:rsidRPr="00A2261C">
        <w:t>hen</w:t>
      </w:r>
      <w:r w:rsidRPr="00A2261C">
        <w:t xml:space="preserve"> H</w:t>
      </w:r>
      <w:r w:rsidR="00291BE0" w:rsidRPr="00A2261C">
        <w:t>, 2019,</w:t>
      </w:r>
      <w:r w:rsidRPr="00A2261C">
        <w:t xml:space="preserve"> Renewable bio-jet fuel production for aviation: A review</w:t>
      </w:r>
      <w:r w:rsidR="00291BE0" w:rsidRPr="00A2261C">
        <w:t>,</w:t>
      </w:r>
      <w:r w:rsidRPr="00A2261C">
        <w:t xml:space="preserve"> Fuel</w:t>
      </w:r>
      <w:r w:rsidR="00291BE0" w:rsidRPr="00A2261C">
        <w:t>,</w:t>
      </w:r>
      <w:r w:rsidRPr="00A2261C">
        <w:t xml:space="preserve"> 254</w:t>
      </w:r>
      <w:r w:rsidR="00291BE0" w:rsidRPr="00A2261C">
        <w:t>, 115599.</w:t>
      </w:r>
    </w:p>
    <w:p w14:paraId="624A20E4" w14:textId="70007103" w:rsidR="004D1EDA" w:rsidRPr="00A2261C" w:rsidRDefault="004D1EDA" w:rsidP="00245901">
      <w:pPr>
        <w:pStyle w:val="CETReferencetext"/>
      </w:pPr>
      <w:r w:rsidRPr="00A2261C">
        <w:t>Zemanek D., Champagne P., Mabee W, 2020, Review of life</w:t>
      </w:r>
      <w:r w:rsidRPr="00A2261C">
        <w:rPr>
          <w:rFonts w:ascii="Cambria Math" w:hAnsi="Cambria Math" w:cs="Cambria Math"/>
        </w:rPr>
        <w:t>‐</w:t>
      </w:r>
      <w:r w:rsidRPr="00A2261C">
        <w:t>cycle greenhouse</w:t>
      </w:r>
      <w:r w:rsidRPr="00A2261C">
        <w:rPr>
          <w:rFonts w:ascii="Cambria Math" w:hAnsi="Cambria Math" w:cs="Cambria Math"/>
        </w:rPr>
        <w:t>‐</w:t>
      </w:r>
      <w:r w:rsidRPr="00A2261C">
        <w:t xml:space="preserve">gas emissions assessments of </w:t>
      </w:r>
      <w:proofErr w:type="spellStart"/>
      <w:r w:rsidRPr="00A2261C">
        <w:t>hydroprocessed</w:t>
      </w:r>
      <w:proofErr w:type="spellEnd"/>
      <w:r w:rsidRPr="00A2261C">
        <w:t xml:space="preserve"> renewable fuel (HEFA) from oilseeds, Biofuels, Bioproducts and Biorefining, 2125.</w:t>
      </w:r>
    </w:p>
    <w:p w14:paraId="268207C4" w14:textId="2B723861" w:rsidR="00245901" w:rsidRPr="00A2261C" w:rsidRDefault="00245901" w:rsidP="00245901">
      <w:pPr>
        <w:pStyle w:val="CETReferencetext"/>
      </w:pPr>
      <w:r w:rsidRPr="00A2261C">
        <w:t>Z</w:t>
      </w:r>
      <w:r w:rsidR="00291BE0" w:rsidRPr="00A2261C">
        <w:t>hang</w:t>
      </w:r>
      <w:r w:rsidRPr="00A2261C">
        <w:t xml:space="preserve"> J.</w:t>
      </w:r>
      <w:r w:rsidR="00291BE0" w:rsidRPr="00A2261C">
        <w:t xml:space="preserve">, </w:t>
      </w:r>
      <w:r w:rsidRPr="00A2261C">
        <w:t>Z</w:t>
      </w:r>
      <w:r w:rsidR="00291BE0" w:rsidRPr="00A2261C">
        <w:t>hao</w:t>
      </w:r>
      <w:r w:rsidRPr="00A2261C">
        <w:t xml:space="preserve"> C.</w:t>
      </w:r>
      <w:r w:rsidR="00291BE0" w:rsidRPr="00A2261C">
        <w:t>, 2015,</w:t>
      </w:r>
      <w:r w:rsidRPr="00A2261C">
        <w:t xml:space="preserve"> A new approach for bio-jet fuel generation from palm oil and limonene in the absence of hydrogen</w:t>
      </w:r>
      <w:r w:rsidR="00291BE0" w:rsidRPr="00A2261C">
        <w:t>,</w:t>
      </w:r>
      <w:r w:rsidRPr="00A2261C">
        <w:t xml:space="preserve"> Chem. </w:t>
      </w:r>
      <w:proofErr w:type="spellStart"/>
      <w:r w:rsidRPr="00A2261C">
        <w:t>Commun</w:t>
      </w:r>
      <w:proofErr w:type="spellEnd"/>
      <w:r w:rsidR="00291BE0" w:rsidRPr="00A2261C">
        <w:t xml:space="preserve">, </w:t>
      </w:r>
      <w:r w:rsidRPr="00A2261C">
        <w:t>51, 17249–17252</w:t>
      </w:r>
      <w:r w:rsidR="00291BE0" w:rsidRPr="00A2261C">
        <w:t>.</w:t>
      </w:r>
    </w:p>
    <w:p w14:paraId="305A5FF9" w14:textId="0B007AE7" w:rsidR="00245901" w:rsidRPr="00A2261C" w:rsidRDefault="00245901" w:rsidP="00245901">
      <w:pPr>
        <w:pStyle w:val="CETReferencetext"/>
      </w:pPr>
      <w:r w:rsidRPr="00A2261C">
        <w:t>Z</w:t>
      </w:r>
      <w:r w:rsidR="004B7822" w:rsidRPr="00A2261C">
        <w:t>hang</w:t>
      </w:r>
      <w:r w:rsidRPr="00A2261C">
        <w:t xml:space="preserve"> X</w:t>
      </w:r>
      <w:r w:rsidR="00A2261C" w:rsidRPr="00A2261C">
        <w:t>.</w:t>
      </w:r>
      <w:r w:rsidR="004B7822" w:rsidRPr="00A2261C">
        <w:t xml:space="preserve">, </w:t>
      </w:r>
      <w:r w:rsidRPr="00A2261C">
        <w:t>C</w:t>
      </w:r>
      <w:r w:rsidR="004B7822" w:rsidRPr="00A2261C">
        <w:t>hen</w:t>
      </w:r>
      <w:r w:rsidRPr="00A2261C">
        <w:t xml:space="preserve"> Y</w:t>
      </w:r>
      <w:r w:rsidR="004B7822" w:rsidRPr="00A2261C">
        <w:t>.</w:t>
      </w:r>
      <w:r w:rsidRPr="00A2261C">
        <w:t>B</w:t>
      </w:r>
      <w:r w:rsidR="004B7822" w:rsidRPr="00A2261C">
        <w:t>.,</w:t>
      </w:r>
      <w:r w:rsidRPr="00A2261C">
        <w:t xml:space="preserve"> L</w:t>
      </w:r>
      <w:r w:rsidR="004B7822" w:rsidRPr="00A2261C">
        <w:t>i</w:t>
      </w:r>
      <w:r w:rsidRPr="00A2261C">
        <w:t xml:space="preserve"> X</w:t>
      </w:r>
      <w:r w:rsidR="004B7822" w:rsidRPr="00A2261C">
        <w:t>.,</w:t>
      </w:r>
      <w:r w:rsidRPr="00A2261C">
        <w:t xml:space="preserve"> </w:t>
      </w:r>
      <w:proofErr w:type="spellStart"/>
      <w:r w:rsidRPr="00A2261C">
        <w:t>S</w:t>
      </w:r>
      <w:r w:rsidR="004B7822" w:rsidRPr="00A2261C">
        <w:t>ouliyathai</w:t>
      </w:r>
      <w:proofErr w:type="spellEnd"/>
      <w:r w:rsidRPr="00A2261C">
        <w:t xml:space="preserve"> D</w:t>
      </w:r>
      <w:r w:rsidR="004B7822" w:rsidRPr="00A2261C">
        <w:t>.,</w:t>
      </w:r>
      <w:r w:rsidRPr="00A2261C">
        <w:t xml:space="preserve"> Z</w:t>
      </w:r>
      <w:r w:rsidR="004B7822" w:rsidRPr="00A2261C">
        <w:t>hang</w:t>
      </w:r>
      <w:r w:rsidRPr="00A2261C">
        <w:t xml:space="preserve"> S</w:t>
      </w:r>
      <w:r w:rsidR="004B7822" w:rsidRPr="00A2261C">
        <w:t>.</w:t>
      </w:r>
      <w:r w:rsidRPr="00A2261C">
        <w:t>P</w:t>
      </w:r>
      <w:r w:rsidR="004B7822" w:rsidRPr="00A2261C">
        <w:t>.,</w:t>
      </w:r>
      <w:r w:rsidRPr="00A2261C">
        <w:t xml:space="preserve"> W</w:t>
      </w:r>
      <w:r w:rsidR="004B7822" w:rsidRPr="00A2261C">
        <w:t>ang</w:t>
      </w:r>
      <w:r w:rsidRPr="00A2261C">
        <w:t xml:space="preserve"> Q</w:t>
      </w:r>
      <w:r w:rsidR="004B7822" w:rsidRPr="00A2261C">
        <w:t>.,</w:t>
      </w:r>
      <w:r w:rsidRPr="00A2261C">
        <w:t xml:space="preserve"> L</w:t>
      </w:r>
      <w:r w:rsidR="004B7822" w:rsidRPr="00A2261C">
        <w:t>iu</w:t>
      </w:r>
      <w:r w:rsidRPr="00A2261C">
        <w:t xml:space="preserve"> Q</w:t>
      </w:r>
      <w:r w:rsidR="004B7822" w:rsidRPr="00A2261C">
        <w:t>.,</w:t>
      </w:r>
      <w:r w:rsidRPr="00A2261C">
        <w:t xml:space="preserve"> D</w:t>
      </w:r>
      <w:r w:rsidR="004B7822" w:rsidRPr="00A2261C">
        <w:t>u</w:t>
      </w:r>
      <w:r w:rsidRPr="00A2261C">
        <w:t xml:space="preserve"> J</w:t>
      </w:r>
      <w:r w:rsidR="004B7822" w:rsidRPr="00A2261C">
        <w:t>.</w:t>
      </w:r>
      <w:r w:rsidRPr="00A2261C">
        <w:t>C</w:t>
      </w:r>
      <w:r w:rsidR="004B7822" w:rsidRPr="00A2261C">
        <w:t>.,</w:t>
      </w:r>
      <w:r w:rsidRPr="00A2261C">
        <w:t xml:space="preserve"> Z</w:t>
      </w:r>
      <w:r w:rsidR="004B7822" w:rsidRPr="00A2261C">
        <w:t>hang</w:t>
      </w:r>
      <w:r w:rsidRPr="00A2261C">
        <w:t xml:space="preserve"> A</w:t>
      </w:r>
      <w:r w:rsidR="004B7822" w:rsidRPr="00A2261C">
        <w:t>.</w:t>
      </w:r>
      <w:r w:rsidRPr="00A2261C">
        <w:t>M.</w:t>
      </w:r>
      <w:r w:rsidR="004B7822" w:rsidRPr="00A2261C">
        <w:t>, 2017,</w:t>
      </w:r>
      <w:r w:rsidRPr="00A2261C">
        <w:t xml:space="preserve"> One-step preparation of biological aviation kerosene by catalytic hydrogenation of waste lard over Pt/SAPO-11</w:t>
      </w:r>
      <w:r w:rsidR="004B7822" w:rsidRPr="00A2261C">
        <w:t>,</w:t>
      </w:r>
      <w:r w:rsidRPr="00A2261C">
        <w:t xml:space="preserve"> </w:t>
      </w:r>
      <w:proofErr w:type="spellStart"/>
      <w:r w:rsidRPr="00A2261C">
        <w:t>Iop</w:t>
      </w:r>
      <w:proofErr w:type="spellEnd"/>
      <w:r w:rsidRPr="00A2261C">
        <w:t xml:space="preserve"> Conference Series: Earth and Environmental Science,</w:t>
      </w:r>
      <w:r w:rsidR="004B7822" w:rsidRPr="00A2261C">
        <w:t xml:space="preserve"> </w:t>
      </w:r>
      <w:r w:rsidRPr="00A2261C">
        <w:t>93, 012003</w:t>
      </w:r>
      <w:r w:rsidR="004B7822" w:rsidRPr="00A2261C">
        <w:t>.</w:t>
      </w:r>
    </w:p>
    <w:p w14:paraId="769BFCD1" w14:textId="4CDA30D3" w:rsidR="00245901" w:rsidRPr="00A2261C" w:rsidRDefault="00245901" w:rsidP="00245901">
      <w:pPr>
        <w:pStyle w:val="CETReferencetext"/>
      </w:pPr>
      <w:r w:rsidRPr="00A2261C">
        <w:t>Z</w:t>
      </w:r>
      <w:r w:rsidR="003069B6" w:rsidRPr="00A2261C">
        <w:t>hao</w:t>
      </w:r>
      <w:r w:rsidRPr="00A2261C">
        <w:t xml:space="preserve"> X., </w:t>
      </w:r>
      <w:r w:rsidR="003069B6" w:rsidRPr="00A2261C">
        <w:t>Wei</w:t>
      </w:r>
      <w:r w:rsidRPr="00A2261C">
        <w:t xml:space="preserve"> L., J</w:t>
      </w:r>
      <w:r w:rsidR="003069B6" w:rsidRPr="00A2261C">
        <w:t>ulson</w:t>
      </w:r>
      <w:r w:rsidRPr="00A2261C">
        <w:t xml:space="preserve"> J., </w:t>
      </w:r>
      <w:r w:rsidR="003069B6" w:rsidRPr="00A2261C">
        <w:t>Qiao</w:t>
      </w:r>
      <w:r w:rsidRPr="00A2261C">
        <w:t xml:space="preserve"> Q., D</w:t>
      </w:r>
      <w:r w:rsidR="003069B6" w:rsidRPr="00A2261C">
        <w:t>ubey</w:t>
      </w:r>
      <w:r w:rsidRPr="00A2261C">
        <w:t xml:space="preserve"> A., A</w:t>
      </w:r>
      <w:r w:rsidR="003069B6" w:rsidRPr="00A2261C">
        <w:t>nderson</w:t>
      </w:r>
      <w:r w:rsidR="00CC2A53" w:rsidRPr="00A2261C">
        <w:t xml:space="preserve"> </w:t>
      </w:r>
      <w:r w:rsidRPr="00A2261C">
        <w:t>G.,</w:t>
      </w:r>
      <w:r w:rsidR="003069B6" w:rsidRPr="00A2261C">
        <w:t xml:space="preserve"> 2015, </w:t>
      </w:r>
      <w:r w:rsidRPr="00A2261C">
        <w:t>Catalytic cracking of non-edible sunflower oil over ZSM-5 for hydrocarbon bio-jet</w:t>
      </w:r>
      <w:r w:rsidR="00CC2A53" w:rsidRPr="00A2261C">
        <w:t xml:space="preserve"> </w:t>
      </w:r>
      <w:r w:rsidRPr="00A2261C">
        <w:t>fuel, New Biotechnology</w:t>
      </w:r>
      <w:r w:rsidR="000577D2" w:rsidRPr="00A2261C">
        <w:t>, 1, 4.</w:t>
      </w:r>
      <w:bookmarkEnd w:id="2"/>
    </w:p>
    <w:sectPr w:rsidR="00245901" w:rsidRPr="00A2261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09EF0" w14:textId="77777777" w:rsidR="00DB3C61" w:rsidRDefault="00DB3C61" w:rsidP="004F5E36">
      <w:r>
        <w:separator/>
      </w:r>
    </w:p>
  </w:endnote>
  <w:endnote w:type="continuationSeparator" w:id="0">
    <w:p w14:paraId="0CCD4E4C" w14:textId="77777777" w:rsidR="00DB3C61" w:rsidRDefault="00DB3C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2AC48" w14:textId="77777777" w:rsidR="00DB3C61" w:rsidRDefault="00DB3C61" w:rsidP="004F5E36">
      <w:r>
        <w:separator/>
      </w:r>
    </w:p>
  </w:footnote>
  <w:footnote w:type="continuationSeparator" w:id="0">
    <w:p w14:paraId="7C84ECEE" w14:textId="77777777" w:rsidR="00DB3C61" w:rsidRDefault="00DB3C6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1BD9"/>
    <w:rsid w:val="000237C8"/>
    <w:rsid w:val="0003148D"/>
    <w:rsid w:val="00031EEC"/>
    <w:rsid w:val="00034A80"/>
    <w:rsid w:val="00041D15"/>
    <w:rsid w:val="00043252"/>
    <w:rsid w:val="000502BD"/>
    <w:rsid w:val="00051566"/>
    <w:rsid w:val="00052C07"/>
    <w:rsid w:val="000551DC"/>
    <w:rsid w:val="000562A9"/>
    <w:rsid w:val="000577D2"/>
    <w:rsid w:val="00062A9A"/>
    <w:rsid w:val="00065058"/>
    <w:rsid w:val="00084BEF"/>
    <w:rsid w:val="00086C39"/>
    <w:rsid w:val="00086DF3"/>
    <w:rsid w:val="000917D7"/>
    <w:rsid w:val="000A03B2"/>
    <w:rsid w:val="000B49FE"/>
    <w:rsid w:val="000D0268"/>
    <w:rsid w:val="000D34BE"/>
    <w:rsid w:val="000D4F44"/>
    <w:rsid w:val="000E102F"/>
    <w:rsid w:val="000E229B"/>
    <w:rsid w:val="000E36F1"/>
    <w:rsid w:val="000E3A73"/>
    <w:rsid w:val="000E414A"/>
    <w:rsid w:val="000F093C"/>
    <w:rsid w:val="000F787B"/>
    <w:rsid w:val="001014B7"/>
    <w:rsid w:val="0010470C"/>
    <w:rsid w:val="00106FB2"/>
    <w:rsid w:val="001077C3"/>
    <w:rsid w:val="0012091F"/>
    <w:rsid w:val="0012243D"/>
    <w:rsid w:val="00124C13"/>
    <w:rsid w:val="00126BC2"/>
    <w:rsid w:val="001308B6"/>
    <w:rsid w:val="0013121F"/>
    <w:rsid w:val="00131A3E"/>
    <w:rsid w:val="00131FE6"/>
    <w:rsid w:val="0013263F"/>
    <w:rsid w:val="001328F9"/>
    <w:rsid w:val="001331DF"/>
    <w:rsid w:val="00134DE4"/>
    <w:rsid w:val="0014034D"/>
    <w:rsid w:val="00144D16"/>
    <w:rsid w:val="00150E59"/>
    <w:rsid w:val="0015200E"/>
    <w:rsid w:val="00152DE3"/>
    <w:rsid w:val="00164CF9"/>
    <w:rsid w:val="0016559D"/>
    <w:rsid w:val="001667A6"/>
    <w:rsid w:val="00170BCE"/>
    <w:rsid w:val="001718B9"/>
    <w:rsid w:val="00172223"/>
    <w:rsid w:val="00175600"/>
    <w:rsid w:val="00184AD6"/>
    <w:rsid w:val="001949B3"/>
    <w:rsid w:val="001965B2"/>
    <w:rsid w:val="001A4AF7"/>
    <w:rsid w:val="001B0349"/>
    <w:rsid w:val="001B1E93"/>
    <w:rsid w:val="001B205A"/>
    <w:rsid w:val="001B2B31"/>
    <w:rsid w:val="001B65C1"/>
    <w:rsid w:val="001C684B"/>
    <w:rsid w:val="001C7A94"/>
    <w:rsid w:val="001D0CFB"/>
    <w:rsid w:val="001D21AF"/>
    <w:rsid w:val="001D332A"/>
    <w:rsid w:val="001D53FC"/>
    <w:rsid w:val="001F38C6"/>
    <w:rsid w:val="001F42A5"/>
    <w:rsid w:val="001F7B9D"/>
    <w:rsid w:val="00201C93"/>
    <w:rsid w:val="002067F4"/>
    <w:rsid w:val="002224B4"/>
    <w:rsid w:val="0022673D"/>
    <w:rsid w:val="00227589"/>
    <w:rsid w:val="0023468E"/>
    <w:rsid w:val="002447EF"/>
    <w:rsid w:val="00245901"/>
    <w:rsid w:val="00250D27"/>
    <w:rsid w:val="00251550"/>
    <w:rsid w:val="002530B5"/>
    <w:rsid w:val="00263B05"/>
    <w:rsid w:val="0027221A"/>
    <w:rsid w:val="00275B61"/>
    <w:rsid w:val="00280FAF"/>
    <w:rsid w:val="00282656"/>
    <w:rsid w:val="002848C7"/>
    <w:rsid w:val="00287B8C"/>
    <w:rsid w:val="00291BE0"/>
    <w:rsid w:val="00296B83"/>
    <w:rsid w:val="00297DD1"/>
    <w:rsid w:val="002A071F"/>
    <w:rsid w:val="002B4015"/>
    <w:rsid w:val="002B78CE"/>
    <w:rsid w:val="002C2FB6"/>
    <w:rsid w:val="002D1397"/>
    <w:rsid w:val="002D5971"/>
    <w:rsid w:val="002E42D5"/>
    <w:rsid w:val="002E5FA7"/>
    <w:rsid w:val="002F3309"/>
    <w:rsid w:val="003008CE"/>
    <w:rsid w:val="003009B7"/>
    <w:rsid w:val="00300E56"/>
    <w:rsid w:val="0030152C"/>
    <w:rsid w:val="0030469C"/>
    <w:rsid w:val="003069B6"/>
    <w:rsid w:val="00314D7B"/>
    <w:rsid w:val="00321CA6"/>
    <w:rsid w:val="00323763"/>
    <w:rsid w:val="00323C5F"/>
    <w:rsid w:val="003248EA"/>
    <w:rsid w:val="00326097"/>
    <w:rsid w:val="00334C09"/>
    <w:rsid w:val="0033676F"/>
    <w:rsid w:val="00347BAB"/>
    <w:rsid w:val="00356963"/>
    <w:rsid w:val="0036473A"/>
    <w:rsid w:val="003673D6"/>
    <w:rsid w:val="00367FB3"/>
    <w:rsid w:val="003723D4"/>
    <w:rsid w:val="00373704"/>
    <w:rsid w:val="00381905"/>
    <w:rsid w:val="00384CC8"/>
    <w:rsid w:val="003871FD"/>
    <w:rsid w:val="00390725"/>
    <w:rsid w:val="00393240"/>
    <w:rsid w:val="00393A95"/>
    <w:rsid w:val="00394CD0"/>
    <w:rsid w:val="003A1E30"/>
    <w:rsid w:val="003A2829"/>
    <w:rsid w:val="003A7D1C"/>
    <w:rsid w:val="003B25D3"/>
    <w:rsid w:val="003B284D"/>
    <w:rsid w:val="003B304B"/>
    <w:rsid w:val="003B3146"/>
    <w:rsid w:val="003E50BF"/>
    <w:rsid w:val="003F015E"/>
    <w:rsid w:val="003F3991"/>
    <w:rsid w:val="003F5AD3"/>
    <w:rsid w:val="00400414"/>
    <w:rsid w:val="00400659"/>
    <w:rsid w:val="00403D12"/>
    <w:rsid w:val="0041446B"/>
    <w:rsid w:val="00414CFF"/>
    <w:rsid w:val="0042458E"/>
    <w:rsid w:val="0044071E"/>
    <w:rsid w:val="00443168"/>
    <w:rsid w:val="0044329C"/>
    <w:rsid w:val="00443DE8"/>
    <w:rsid w:val="00444EEB"/>
    <w:rsid w:val="00450BE8"/>
    <w:rsid w:val="00453E24"/>
    <w:rsid w:val="00456370"/>
    <w:rsid w:val="00457456"/>
    <w:rsid w:val="004577FE"/>
    <w:rsid w:val="00457B9C"/>
    <w:rsid w:val="0046164A"/>
    <w:rsid w:val="004628D2"/>
    <w:rsid w:val="00462DCD"/>
    <w:rsid w:val="004648AD"/>
    <w:rsid w:val="00467A4E"/>
    <w:rsid w:val="004703A9"/>
    <w:rsid w:val="00474E5C"/>
    <w:rsid w:val="00475E1D"/>
    <w:rsid w:val="004760DE"/>
    <w:rsid w:val="004763D7"/>
    <w:rsid w:val="00496264"/>
    <w:rsid w:val="004A004E"/>
    <w:rsid w:val="004A24CF"/>
    <w:rsid w:val="004A6190"/>
    <w:rsid w:val="004B7822"/>
    <w:rsid w:val="004B78A5"/>
    <w:rsid w:val="004C3D1D"/>
    <w:rsid w:val="004C3D84"/>
    <w:rsid w:val="004C5ADC"/>
    <w:rsid w:val="004C7913"/>
    <w:rsid w:val="004D1EDA"/>
    <w:rsid w:val="004E4DD6"/>
    <w:rsid w:val="004E58B1"/>
    <w:rsid w:val="004F5E36"/>
    <w:rsid w:val="00507B47"/>
    <w:rsid w:val="00507BEF"/>
    <w:rsid w:val="00507CC9"/>
    <w:rsid w:val="005119A5"/>
    <w:rsid w:val="00516303"/>
    <w:rsid w:val="005179EB"/>
    <w:rsid w:val="00520587"/>
    <w:rsid w:val="00522822"/>
    <w:rsid w:val="005278B7"/>
    <w:rsid w:val="00532016"/>
    <w:rsid w:val="005343D4"/>
    <w:rsid w:val="005346C8"/>
    <w:rsid w:val="00543E7D"/>
    <w:rsid w:val="0054499E"/>
    <w:rsid w:val="00547961"/>
    <w:rsid w:val="00547A68"/>
    <w:rsid w:val="005531C9"/>
    <w:rsid w:val="005578B4"/>
    <w:rsid w:val="00570C43"/>
    <w:rsid w:val="00570CCC"/>
    <w:rsid w:val="00582278"/>
    <w:rsid w:val="005865E1"/>
    <w:rsid w:val="00594619"/>
    <w:rsid w:val="005956C6"/>
    <w:rsid w:val="00595D16"/>
    <w:rsid w:val="005A59E4"/>
    <w:rsid w:val="005B2110"/>
    <w:rsid w:val="005B43D6"/>
    <w:rsid w:val="005B61E6"/>
    <w:rsid w:val="005C77E1"/>
    <w:rsid w:val="005D1906"/>
    <w:rsid w:val="005D51C4"/>
    <w:rsid w:val="005D668A"/>
    <w:rsid w:val="005D6A2F"/>
    <w:rsid w:val="005E1A82"/>
    <w:rsid w:val="005E2DF7"/>
    <w:rsid w:val="005E4415"/>
    <w:rsid w:val="005E794C"/>
    <w:rsid w:val="005F0A28"/>
    <w:rsid w:val="005F0E5E"/>
    <w:rsid w:val="005F65AD"/>
    <w:rsid w:val="00600535"/>
    <w:rsid w:val="00601B48"/>
    <w:rsid w:val="00610CD6"/>
    <w:rsid w:val="00614122"/>
    <w:rsid w:val="0061483B"/>
    <w:rsid w:val="00620DEE"/>
    <w:rsid w:val="00621F92"/>
    <w:rsid w:val="0062280A"/>
    <w:rsid w:val="00625639"/>
    <w:rsid w:val="00625B5F"/>
    <w:rsid w:val="00630F26"/>
    <w:rsid w:val="00631B33"/>
    <w:rsid w:val="0063422E"/>
    <w:rsid w:val="006363FC"/>
    <w:rsid w:val="0064184D"/>
    <w:rsid w:val="006422CC"/>
    <w:rsid w:val="006432C0"/>
    <w:rsid w:val="00660E3E"/>
    <w:rsid w:val="00662E74"/>
    <w:rsid w:val="00666CEF"/>
    <w:rsid w:val="006765FF"/>
    <w:rsid w:val="00677D3B"/>
    <w:rsid w:val="00680C23"/>
    <w:rsid w:val="00682885"/>
    <w:rsid w:val="00693766"/>
    <w:rsid w:val="006A3281"/>
    <w:rsid w:val="006A7CB5"/>
    <w:rsid w:val="006B4888"/>
    <w:rsid w:val="006C2E45"/>
    <w:rsid w:val="006C359C"/>
    <w:rsid w:val="006C5579"/>
    <w:rsid w:val="006D1031"/>
    <w:rsid w:val="006D6E8B"/>
    <w:rsid w:val="006E737D"/>
    <w:rsid w:val="006E75DA"/>
    <w:rsid w:val="006F5082"/>
    <w:rsid w:val="006F6031"/>
    <w:rsid w:val="00713973"/>
    <w:rsid w:val="00720A24"/>
    <w:rsid w:val="007228F3"/>
    <w:rsid w:val="00732386"/>
    <w:rsid w:val="00734F49"/>
    <w:rsid w:val="0073514D"/>
    <w:rsid w:val="007447F3"/>
    <w:rsid w:val="00745ECF"/>
    <w:rsid w:val="0075499F"/>
    <w:rsid w:val="00764083"/>
    <w:rsid w:val="007661C8"/>
    <w:rsid w:val="00767B79"/>
    <w:rsid w:val="0077098D"/>
    <w:rsid w:val="00776A8D"/>
    <w:rsid w:val="007931FA"/>
    <w:rsid w:val="007A4861"/>
    <w:rsid w:val="007A7BBA"/>
    <w:rsid w:val="007B0C50"/>
    <w:rsid w:val="007B0C9D"/>
    <w:rsid w:val="007B48F9"/>
    <w:rsid w:val="007C1A43"/>
    <w:rsid w:val="007C25D9"/>
    <w:rsid w:val="007C29B8"/>
    <w:rsid w:val="007C2FF7"/>
    <w:rsid w:val="007D0951"/>
    <w:rsid w:val="007D207B"/>
    <w:rsid w:val="007D5582"/>
    <w:rsid w:val="007F278E"/>
    <w:rsid w:val="0080013E"/>
    <w:rsid w:val="0080233E"/>
    <w:rsid w:val="0080751B"/>
    <w:rsid w:val="008127E9"/>
    <w:rsid w:val="00813288"/>
    <w:rsid w:val="008168FC"/>
    <w:rsid w:val="0082608D"/>
    <w:rsid w:val="00830996"/>
    <w:rsid w:val="008345F1"/>
    <w:rsid w:val="008427E8"/>
    <w:rsid w:val="00850DD9"/>
    <w:rsid w:val="00860959"/>
    <w:rsid w:val="00865B07"/>
    <w:rsid w:val="008667EA"/>
    <w:rsid w:val="00874A0B"/>
    <w:rsid w:val="00874F95"/>
    <w:rsid w:val="0087637F"/>
    <w:rsid w:val="00877CDA"/>
    <w:rsid w:val="00880289"/>
    <w:rsid w:val="008811BD"/>
    <w:rsid w:val="00892AD5"/>
    <w:rsid w:val="008A1512"/>
    <w:rsid w:val="008A548A"/>
    <w:rsid w:val="008B4241"/>
    <w:rsid w:val="008C64D4"/>
    <w:rsid w:val="008D3089"/>
    <w:rsid w:val="008D32B9"/>
    <w:rsid w:val="008D424B"/>
    <w:rsid w:val="008D433B"/>
    <w:rsid w:val="008D4A16"/>
    <w:rsid w:val="008D4D57"/>
    <w:rsid w:val="008E566E"/>
    <w:rsid w:val="008E63FE"/>
    <w:rsid w:val="008F26BE"/>
    <w:rsid w:val="0090161A"/>
    <w:rsid w:val="00901EB6"/>
    <w:rsid w:val="00904C62"/>
    <w:rsid w:val="0091503A"/>
    <w:rsid w:val="0091582D"/>
    <w:rsid w:val="00922BA8"/>
    <w:rsid w:val="00924DAC"/>
    <w:rsid w:val="00926C4A"/>
    <w:rsid w:val="00927058"/>
    <w:rsid w:val="00940295"/>
    <w:rsid w:val="00942750"/>
    <w:rsid w:val="009450CE"/>
    <w:rsid w:val="009459BB"/>
    <w:rsid w:val="00947179"/>
    <w:rsid w:val="0095164B"/>
    <w:rsid w:val="00954090"/>
    <w:rsid w:val="009573E7"/>
    <w:rsid w:val="00963E05"/>
    <w:rsid w:val="00964A45"/>
    <w:rsid w:val="00967843"/>
    <w:rsid w:val="00967D54"/>
    <w:rsid w:val="00970950"/>
    <w:rsid w:val="00971028"/>
    <w:rsid w:val="00973DEC"/>
    <w:rsid w:val="00980BD3"/>
    <w:rsid w:val="00981FA0"/>
    <w:rsid w:val="00983DA6"/>
    <w:rsid w:val="0098600B"/>
    <w:rsid w:val="00987234"/>
    <w:rsid w:val="009877FD"/>
    <w:rsid w:val="00993B84"/>
    <w:rsid w:val="00996483"/>
    <w:rsid w:val="00996F5A"/>
    <w:rsid w:val="0099773E"/>
    <w:rsid w:val="009A7194"/>
    <w:rsid w:val="009B041A"/>
    <w:rsid w:val="009C21B3"/>
    <w:rsid w:val="009C37C3"/>
    <w:rsid w:val="009C7C86"/>
    <w:rsid w:val="009D1EAE"/>
    <w:rsid w:val="009D24C6"/>
    <w:rsid w:val="009D2FF7"/>
    <w:rsid w:val="009E50CF"/>
    <w:rsid w:val="009E7884"/>
    <w:rsid w:val="009E788A"/>
    <w:rsid w:val="009F0E08"/>
    <w:rsid w:val="009F1339"/>
    <w:rsid w:val="00A02039"/>
    <w:rsid w:val="00A1763D"/>
    <w:rsid w:val="00A17C86"/>
    <w:rsid w:val="00A17CEC"/>
    <w:rsid w:val="00A2261C"/>
    <w:rsid w:val="00A27EF0"/>
    <w:rsid w:val="00A30FC6"/>
    <w:rsid w:val="00A4110A"/>
    <w:rsid w:val="00A41EA4"/>
    <w:rsid w:val="00A42361"/>
    <w:rsid w:val="00A50B20"/>
    <w:rsid w:val="00A51390"/>
    <w:rsid w:val="00A545A6"/>
    <w:rsid w:val="00A5530E"/>
    <w:rsid w:val="00A60D13"/>
    <w:rsid w:val="00A7223D"/>
    <w:rsid w:val="00A72745"/>
    <w:rsid w:val="00A76EFC"/>
    <w:rsid w:val="00A81057"/>
    <w:rsid w:val="00A86219"/>
    <w:rsid w:val="00A87D50"/>
    <w:rsid w:val="00A91010"/>
    <w:rsid w:val="00A91547"/>
    <w:rsid w:val="00A97F29"/>
    <w:rsid w:val="00AA702E"/>
    <w:rsid w:val="00AA7D26"/>
    <w:rsid w:val="00AB0964"/>
    <w:rsid w:val="00AB5011"/>
    <w:rsid w:val="00AB638D"/>
    <w:rsid w:val="00AB6F48"/>
    <w:rsid w:val="00AC1A9F"/>
    <w:rsid w:val="00AC7368"/>
    <w:rsid w:val="00AD12F1"/>
    <w:rsid w:val="00AD16B9"/>
    <w:rsid w:val="00AD3177"/>
    <w:rsid w:val="00AE064B"/>
    <w:rsid w:val="00AE377D"/>
    <w:rsid w:val="00AE795E"/>
    <w:rsid w:val="00AF0EBA"/>
    <w:rsid w:val="00B02C8A"/>
    <w:rsid w:val="00B05E94"/>
    <w:rsid w:val="00B15224"/>
    <w:rsid w:val="00B17FBD"/>
    <w:rsid w:val="00B21148"/>
    <w:rsid w:val="00B315A6"/>
    <w:rsid w:val="00B31813"/>
    <w:rsid w:val="00B33365"/>
    <w:rsid w:val="00B362AA"/>
    <w:rsid w:val="00B44D83"/>
    <w:rsid w:val="00B57B36"/>
    <w:rsid w:val="00B57E6F"/>
    <w:rsid w:val="00B77A8A"/>
    <w:rsid w:val="00B86140"/>
    <w:rsid w:val="00B8686D"/>
    <w:rsid w:val="00B87FC5"/>
    <w:rsid w:val="00B93F69"/>
    <w:rsid w:val="00BA53BB"/>
    <w:rsid w:val="00BB1397"/>
    <w:rsid w:val="00BB1DDC"/>
    <w:rsid w:val="00BC2A72"/>
    <w:rsid w:val="00BC30C9"/>
    <w:rsid w:val="00BD077D"/>
    <w:rsid w:val="00BD1B23"/>
    <w:rsid w:val="00BD2B9A"/>
    <w:rsid w:val="00BD6AD1"/>
    <w:rsid w:val="00BE3E58"/>
    <w:rsid w:val="00C01616"/>
    <w:rsid w:val="00C0162B"/>
    <w:rsid w:val="00C03C0D"/>
    <w:rsid w:val="00C068ED"/>
    <w:rsid w:val="00C10AE5"/>
    <w:rsid w:val="00C22498"/>
    <w:rsid w:val="00C22E0C"/>
    <w:rsid w:val="00C345B1"/>
    <w:rsid w:val="00C40142"/>
    <w:rsid w:val="00C42B73"/>
    <w:rsid w:val="00C47492"/>
    <w:rsid w:val="00C52C3C"/>
    <w:rsid w:val="00C5535E"/>
    <w:rsid w:val="00C57182"/>
    <w:rsid w:val="00C57863"/>
    <w:rsid w:val="00C640AF"/>
    <w:rsid w:val="00C655FD"/>
    <w:rsid w:val="00C75142"/>
    <w:rsid w:val="00C75407"/>
    <w:rsid w:val="00C822CE"/>
    <w:rsid w:val="00C870A8"/>
    <w:rsid w:val="00C94434"/>
    <w:rsid w:val="00C9761D"/>
    <w:rsid w:val="00CA0D75"/>
    <w:rsid w:val="00CA1C95"/>
    <w:rsid w:val="00CA5A9C"/>
    <w:rsid w:val="00CA7F43"/>
    <w:rsid w:val="00CB71FA"/>
    <w:rsid w:val="00CC2A53"/>
    <w:rsid w:val="00CC4C20"/>
    <w:rsid w:val="00CD23C6"/>
    <w:rsid w:val="00CD3517"/>
    <w:rsid w:val="00CD5FE2"/>
    <w:rsid w:val="00CE45B4"/>
    <w:rsid w:val="00CE770C"/>
    <w:rsid w:val="00CE7C68"/>
    <w:rsid w:val="00D01D0F"/>
    <w:rsid w:val="00D02B4C"/>
    <w:rsid w:val="00D02EAC"/>
    <w:rsid w:val="00D040C4"/>
    <w:rsid w:val="00D103BB"/>
    <w:rsid w:val="00D1283F"/>
    <w:rsid w:val="00D128CC"/>
    <w:rsid w:val="00D20AD1"/>
    <w:rsid w:val="00D224E0"/>
    <w:rsid w:val="00D34842"/>
    <w:rsid w:val="00D46B7E"/>
    <w:rsid w:val="00D52BAB"/>
    <w:rsid w:val="00D5392C"/>
    <w:rsid w:val="00D579E5"/>
    <w:rsid w:val="00D57C84"/>
    <w:rsid w:val="00D6057D"/>
    <w:rsid w:val="00D61C44"/>
    <w:rsid w:val="00D66293"/>
    <w:rsid w:val="00D71640"/>
    <w:rsid w:val="00D8329C"/>
    <w:rsid w:val="00D836C5"/>
    <w:rsid w:val="00D83C81"/>
    <w:rsid w:val="00D84576"/>
    <w:rsid w:val="00D91989"/>
    <w:rsid w:val="00DA1399"/>
    <w:rsid w:val="00DA24C6"/>
    <w:rsid w:val="00DA4D7B"/>
    <w:rsid w:val="00DB2918"/>
    <w:rsid w:val="00DB3C61"/>
    <w:rsid w:val="00DB59A9"/>
    <w:rsid w:val="00DD271C"/>
    <w:rsid w:val="00DE085E"/>
    <w:rsid w:val="00DE264A"/>
    <w:rsid w:val="00DF5072"/>
    <w:rsid w:val="00E006BC"/>
    <w:rsid w:val="00E00A7A"/>
    <w:rsid w:val="00E02D18"/>
    <w:rsid w:val="00E041E7"/>
    <w:rsid w:val="00E04997"/>
    <w:rsid w:val="00E1021F"/>
    <w:rsid w:val="00E106CC"/>
    <w:rsid w:val="00E12ABF"/>
    <w:rsid w:val="00E23CA1"/>
    <w:rsid w:val="00E26EB8"/>
    <w:rsid w:val="00E31E7C"/>
    <w:rsid w:val="00E32BCD"/>
    <w:rsid w:val="00E33E10"/>
    <w:rsid w:val="00E409A8"/>
    <w:rsid w:val="00E41C61"/>
    <w:rsid w:val="00E50C12"/>
    <w:rsid w:val="00E62106"/>
    <w:rsid w:val="00E65B91"/>
    <w:rsid w:val="00E7209D"/>
    <w:rsid w:val="00E72EAD"/>
    <w:rsid w:val="00E77223"/>
    <w:rsid w:val="00E8528B"/>
    <w:rsid w:val="00E85B94"/>
    <w:rsid w:val="00E978D0"/>
    <w:rsid w:val="00EA4613"/>
    <w:rsid w:val="00EA6255"/>
    <w:rsid w:val="00EA7388"/>
    <w:rsid w:val="00EA7F91"/>
    <w:rsid w:val="00EB1523"/>
    <w:rsid w:val="00EC0E49"/>
    <w:rsid w:val="00EC101F"/>
    <w:rsid w:val="00EC1D9F"/>
    <w:rsid w:val="00EE0131"/>
    <w:rsid w:val="00EE17B0"/>
    <w:rsid w:val="00EF06D9"/>
    <w:rsid w:val="00F112D2"/>
    <w:rsid w:val="00F14B80"/>
    <w:rsid w:val="00F177EF"/>
    <w:rsid w:val="00F2378C"/>
    <w:rsid w:val="00F3049E"/>
    <w:rsid w:val="00F30C64"/>
    <w:rsid w:val="00F32BA2"/>
    <w:rsid w:val="00F32CDB"/>
    <w:rsid w:val="00F37D19"/>
    <w:rsid w:val="00F424AC"/>
    <w:rsid w:val="00F434CB"/>
    <w:rsid w:val="00F439E2"/>
    <w:rsid w:val="00F553AF"/>
    <w:rsid w:val="00F565FE"/>
    <w:rsid w:val="00F57A2F"/>
    <w:rsid w:val="00F63A70"/>
    <w:rsid w:val="00F63D8C"/>
    <w:rsid w:val="00F7534E"/>
    <w:rsid w:val="00F80E22"/>
    <w:rsid w:val="00F93EDF"/>
    <w:rsid w:val="00F958E8"/>
    <w:rsid w:val="00FA1802"/>
    <w:rsid w:val="00FA21D0"/>
    <w:rsid w:val="00FA5F5F"/>
    <w:rsid w:val="00FB730C"/>
    <w:rsid w:val="00FC2695"/>
    <w:rsid w:val="00FC38DB"/>
    <w:rsid w:val="00FC3E03"/>
    <w:rsid w:val="00FC3FC1"/>
    <w:rsid w:val="00FE0BCB"/>
    <w:rsid w:val="00FF63A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1690DE30-CA8B-40A2-885B-3CE47CD8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paragraph" w:customStyle="1" w:styleId="Ttulopr-textual">
    <w:name w:val="Título pré-textual"/>
    <w:basedOn w:val="Normal"/>
    <w:next w:val="Normal"/>
    <w:qFormat/>
    <w:rsid w:val="00E32BCD"/>
    <w:pPr>
      <w:tabs>
        <w:tab w:val="clear" w:pos="7100"/>
      </w:tabs>
      <w:spacing w:line="360" w:lineRule="auto"/>
      <w:jc w:val="left"/>
    </w:pPr>
    <w:rPr>
      <w:rFonts w:eastAsia="Calibri"/>
      <w:b/>
      <w:caps/>
      <w:sz w:val="24"/>
      <w:szCs w:val="22"/>
      <w:lang w:val="pt-BR"/>
    </w:rPr>
  </w:style>
  <w:style w:type="character" w:styleId="MenoPendente">
    <w:name w:val="Unresolved Mention"/>
    <w:basedOn w:val="Fontepargpadro"/>
    <w:uiPriority w:val="99"/>
    <w:semiHidden/>
    <w:unhideWhenUsed/>
    <w:rsid w:val="007D207B"/>
    <w:rPr>
      <w:color w:val="605E5C"/>
      <w:shd w:val="clear" w:color="auto" w:fill="E1DFDD"/>
    </w:rPr>
  </w:style>
  <w:style w:type="paragraph" w:styleId="Reviso">
    <w:name w:val="Revision"/>
    <w:hidden/>
    <w:uiPriority w:val="99"/>
    <w:semiHidden/>
    <w:rsid w:val="00FF63AF"/>
    <w:pPr>
      <w:spacing w:after="0" w:line="240" w:lineRule="auto"/>
    </w:pPr>
    <w:rPr>
      <w:rFonts w:ascii="Arial" w:eastAsia="Times New Roman" w:hAnsi="Arial" w:cs="Times New Roman"/>
      <w:sz w:val="18"/>
      <w:szCs w:val="20"/>
      <w:lang w:val="en-GB"/>
    </w:rPr>
  </w:style>
  <w:style w:type="character" w:styleId="HiperlinkVisitado">
    <w:name w:val="FollowedHyperlink"/>
    <w:basedOn w:val="Fontepargpadro"/>
    <w:uiPriority w:val="99"/>
    <w:semiHidden/>
    <w:unhideWhenUsed/>
    <w:rsid w:val="005228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089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5644">
      <w:bodyDiv w:val="1"/>
      <w:marLeft w:val="0"/>
      <w:marRight w:val="0"/>
      <w:marTop w:val="0"/>
      <w:marBottom w:val="0"/>
      <w:divBdr>
        <w:top w:val="none" w:sz="0" w:space="0" w:color="auto"/>
        <w:left w:val="none" w:sz="0" w:space="0" w:color="auto"/>
        <w:bottom w:val="none" w:sz="0" w:space="0" w:color="auto"/>
        <w:right w:val="none" w:sz="0" w:space="0" w:color="auto"/>
      </w:divBdr>
    </w:div>
    <w:div w:id="1261911951">
      <w:bodyDiv w:val="1"/>
      <w:marLeft w:val="0"/>
      <w:marRight w:val="0"/>
      <w:marTop w:val="0"/>
      <w:marBottom w:val="0"/>
      <w:divBdr>
        <w:top w:val="none" w:sz="0" w:space="0" w:color="auto"/>
        <w:left w:val="none" w:sz="0" w:space="0" w:color="auto"/>
        <w:bottom w:val="none" w:sz="0" w:space="0" w:color="auto"/>
        <w:right w:val="none" w:sz="0" w:space="0" w:color="auto"/>
      </w:divBdr>
    </w:div>
    <w:div w:id="132758774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162731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8971B39D0AD949B68060F93C713B87" ma:contentTypeVersion="15" ma:contentTypeDescription="Crie um novo documento." ma:contentTypeScope="" ma:versionID="3941a10f22e98b570dd44d867ca710ec">
  <xsd:schema xmlns:xsd="http://www.w3.org/2001/XMLSchema" xmlns:xs="http://www.w3.org/2001/XMLSchema" xmlns:p="http://schemas.microsoft.com/office/2006/metadata/properties" xmlns:ns3="d521b0d7-bacc-41f9-bcf1-80fc368a9fbf" xmlns:ns4="11bc2d12-f0da-42b6-9770-6c30f8244659" targetNamespace="http://schemas.microsoft.com/office/2006/metadata/properties" ma:root="true" ma:fieldsID="bd0bf206fcb59c0cbe5d984ce0c91a2f" ns3:_="" ns4:_="">
    <xsd:import namespace="d521b0d7-bacc-41f9-bcf1-80fc368a9fbf"/>
    <xsd:import namespace="11bc2d12-f0da-42b6-9770-6c30f82446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1b0d7-bacc-41f9-bcf1-80fc368a9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c2d12-f0da-42b6-9770-6c30f8244659"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SharingHintHash" ma:index="14"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521b0d7-bacc-41f9-bcf1-80fc368a9f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CA22-6A6E-4B41-BC36-71209D78DEA6}">
  <ds:schemaRefs>
    <ds:schemaRef ds:uri="http://schemas.microsoft.com/sharepoint/v3/contenttype/forms"/>
  </ds:schemaRefs>
</ds:datastoreItem>
</file>

<file path=customXml/itemProps2.xml><?xml version="1.0" encoding="utf-8"?>
<ds:datastoreItem xmlns:ds="http://schemas.openxmlformats.org/officeDocument/2006/customXml" ds:itemID="{5E173E34-A4D4-4242-9D0A-3A7F9455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1b0d7-bacc-41f9-bcf1-80fc368a9fbf"/>
    <ds:schemaRef ds:uri="11bc2d12-f0da-42b6-9770-6c30f8244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A1B03-F22F-47FB-8CA0-06D5DAFC2DB5}">
  <ds:schemaRefs>
    <ds:schemaRef ds:uri="d521b0d7-bacc-41f9-bcf1-80fc368a9fbf"/>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11bc2d12-f0da-42b6-9770-6c30f8244659"/>
    <ds:schemaRef ds:uri="http://purl.org/dc/terms/"/>
  </ds:schemaRefs>
</ds:datastoreItem>
</file>

<file path=customXml/itemProps4.xml><?xml version="1.0" encoding="utf-8"?>
<ds:datastoreItem xmlns:ds="http://schemas.openxmlformats.org/officeDocument/2006/customXml" ds:itemID="{50493265-AC99-40BD-B350-E73A0318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3909</Words>
  <Characters>21110</Characters>
  <Application>Microsoft Office Word</Application>
  <DocSecurity>0</DocSecurity>
  <Lines>175</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Luiz Fernando de Lima Luz Junior</cp:lastModifiedBy>
  <cp:revision>3</cp:revision>
  <cp:lastPrinted>2015-05-12T18:31:00Z</cp:lastPrinted>
  <dcterms:created xsi:type="dcterms:W3CDTF">2023-03-15T21:06:00Z</dcterms:created>
  <dcterms:modified xsi:type="dcterms:W3CDTF">2023-03-16T12:12:00Z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0x010100A68971B39D0AD949B68060F93C713B87</vt:lpwstr>
  </property>
</Properties>
</file>