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871CD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8C4CCC" w14:paraId="380FA3CD" w14:textId="77777777" w:rsidTr="00871CD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871CDE" w:rsidRDefault="000D0268" w:rsidP="00CD5FE2">
            <w:pPr>
              <w:spacing w:line="140" w:lineRule="atLeast"/>
              <w:jc w:val="right"/>
              <w:rPr>
                <w:rFonts w:cs="Arial"/>
                <w:sz w:val="13"/>
                <w:szCs w:val="13"/>
                <w:lang w:val="nb-NO"/>
              </w:rPr>
            </w:pPr>
            <w:r w:rsidRPr="00871CDE">
              <w:rPr>
                <w:rFonts w:cs="Arial"/>
                <w:sz w:val="13"/>
                <w:szCs w:val="13"/>
                <w:lang w:val="nb-NO"/>
              </w:rPr>
              <w:t>Online at www.cetjournal.it</w:t>
            </w:r>
          </w:p>
        </w:tc>
      </w:tr>
      <w:tr w:rsidR="000A03B2" w:rsidRPr="00B57B36" w14:paraId="2D1B7169" w14:textId="77777777" w:rsidTr="00871CDE">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7F702192" w14:textId="5B55F1CF" w:rsidR="00871CDE" w:rsidRPr="003C5307" w:rsidRDefault="00871CDE" w:rsidP="00871CDE">
      <w:pPr>
        <w:pStyle w:val="CETTitle"/>
      </w:pPr>
      <w:r w:rsidRPr="003C5307">
        <w:t xml:space="preserve">Risk of </w:t>
      </w:r>
      <w:r w:rsidR="00871EA3">
        <w:t>S</w:t>
      </w:r>
      <w:r w:rsidRPr="003C5307">
        <w:t xml:space="preserve">ubsea </w:t>
      </w:r>
      <w:r w:rsidR="00871EA3">
        <w:t>B</w:t>
      </w:r>
      <w:r w:rsidRPr="003C5307">
        <w:t>lowouts in Marine CCS</w:t>
      </w:r>
    </w:p>
    <w:p w14:paraId="0BC4E237" w14:textId="77777777" w:rsidR="00871CDE" w:rsidRPr="00BC3448" w:rsidRDefault="00871CDE" w:rsidP="00871CDE">
      <w:pPr>
        <w:pStyle w:val="CETAuthors"/>
        <w:jc w:val="left"/>
        <w:rPr>
          <w:lang w:val="it-IT"/>
        </w:rPr>
      </w:pPr>
      <w:r w:rsidRPr="00BC3448">
        <w:rPr>
          <w:lang w:val="it-IT"/>
        </w:rPr>
        <w:t>Federica Tamburini, Sarah Bonvicini*, Valerio Cozzani</w:t>
      </w:r>
    </w:p>
    <w:p w14:paraId="1B271B58" w14:textId="77777777" w:rsidR="00871CDE" w:rsidRPr="00BC3448" w:rsidRDefault="00871CDE" w:rsidP="00871CDE">
      <w:pPr>
        <w:pStyle w:val="CETAddress"/>
        <w:rPr>
          <w:lang w:val="it-IT"/>
        </w:rPr>
      </w:pPr>
      <w:r w:rsidRPr="00BC3448">
        <w:rPr>
          <w:lang w:val="it-IT"/>
        </w:rPr>
        <w:t>LISES - Dipartimento di Ingegneria Civile, Chimica, Ambientale e dei Materiali, Alma Mater Studiorum - Università di Bologna, via Terracini 28, 40131 Bologna (Italy)</w:t>
      </w:r>
    </w:p>
    <w:p w14:paraId="4650BDC2" w14:textId="77777777" w:rsidR="00871CDE" w:rsidRPr="003C5307" w:rsidRDefault="00000000" w:rsidP="00871CDE">
      <w:pPr>
        <w:pStyle w:val="CETemail"/>
      </w:pPr>
      <w:hyperlink r:id="rId10" w:history="1">
        <w:r w:rsidR="00871CDE" w:rsidRPr="003C5307">
          <w:rPr>
            <w:rStyle w:val="Collegamentoipertestuale"/>
            <w:color w:val="auto"/>
            <w:u w:val="none"/>
          </w:rPr>
          <w:t>sarah.bonvicini@unibo.it</w:t>
        </w:r>
      </w:hyperlink>
    </w:p>
    <w:p w14:paraId="228C9D8F" w14:textId="77777777" w:rsidR="00871CDE" w:rsidRPr="003C5307" w:rsidRDefault="00871CDE" w:rsidP="00871CDE">
      <w:pPr>
        <w:pStyle w:val="CETBodytext"/>
        <w:rPr>
          <w:lang w:val="en-GB"/>
        </w:rPr>
      </w:pPr>
      <w:r w:rsidRPr="003C5307">
        <w:rPr>
          <w:lang w:val="en-GB"/>
        </w:rPr>
        <w:t xml:space="preserve">In the foreseeable future, Carbon dioxide Capture and Sequestration (CCS) technique represents a promising method </w:t>
      </w:r>
      <w:r>
        <w:rPr>
          <w:lang w:val="en-GB"/>
        </w:rPr>
        <w:t>to contribute to the fulfilling o</w:t>
      </w:r>
      <w:r w:rsidRPr="003C5307">
        <w:rPr>
          <w:lang w:val="en-GB"/>
        </w:rPr>
        <w:t>f</w:t>
      </w:r>
      <w:r>
        <w:rPr>
          <w:lang w:val="en-GB"/>
        </w:rPr>
        <w:t xml:space="preserve"> the ambitious </w:t>
      </w:r>
      <w:r w:rsidRPr="003C5307">
        <w:rPr>
          <w:lang w:val="en-GB"/>
        </w:rPr>
        <w:t xml:space="preserve">objectives of </w:t>
      </w:r>
      <w:r>
        <w:rPr>
          <w:lang w:val="en-GB"/>
        </w:rPr>
        <w:t>c</w:t>
      </w:r>
      <w:r w:rsidRPr="003C5307">
        <w:rPr>
          <w:lang w:val="en-GB"/>
        </w:rPr>
        <w:t>arbon dioxide (CO</w:t>
      </w:r>
      <w:r w:rsidRPr="003C5307">
        <w:rPr>
          <w:vertAlign w:val="subscript"/>
          <w:lang w:val="en-GB"/>
        </w:rPr>
        <w:t>2</w:t>
      </w:r>
      <w:r w:rsidRPr="003C5307">
        <w:rPr>
          <w:lang w:val="en-GB"/>
        </w:rPr>
        <w:t>) emission</w:t>
      </w:r>
      <w:r>
        <w:rPr>
          <w:lang w:val="en-GB"/>
        </w:rPr>
        <w:t xml:space="preserve"> reduction</w:t>
      </w:r>
      <w:r w:rsidRPr="003C5307">
        <w:rPr>
          <w:lang w:val="en-GB"/>
        </w:rPr>
        <w:t xml:space="preserve"> </w:t>
      </w:r>
      <w:r>
        <w:rPr>
          <w:lang w:val="en-GB"/>
        </w:rPr>
        <w:t>posed</w:t>
      </w:r>
      <w:r w:rsidRPr="003C5307">
        <w:rPr>
          <w:lang w:val="en-GB"/>
        </w:rPr>
        <w:t xml:space="preserve"> by the European Commission (EU). The permanent storage of CO</w:t>
      </w:r>
      <w:r w:rsidRPr="003C5307">
        <w:rPr>
          <w:vertAlign w:val="subscript"/>
          <w:lang w:val="en-GB"/>
        </w:rPr>
        <w:t>2</w:t>
      </w:r>
      <w:r w:rsidRPr="003C5307">
        <w:rPr>
          <w:lang w:val="en-GB"/>
        </w:rPr>
        <w:t xml:space="preserve"> is a step in the CCS chain that is of great concern due to the possibility of major accidents that could harm both humans and the environment. In the Adriatic Sea, the p</w:t>
      </w:r>
      <w:r>
        <w:rPr>
          <w:lang w:val="en-GB"/>
        </w:rPr>
        <w:t>erspective</w:t>
      </w:r>
      <w:r w:rsidRPr="003C5307">
        <w:rPr>
          <w:lang w:val="en-GB"/>
        </w:rPr>
        <w:t xml:space="preserve"> of reusing depleted natural gas fields to stock CO</w:t>
      </w:r>
      <w:r w:rsidRPr="003C5307">
        <w:rPr>
          <w:vertAlign w:val="subscript"/>
          <w:lang w:val="en-GB"/>
        </w:rPr>
        <w:t>2</w:t>
      </w:r>
      <w:r w:rsidRPr="003C5307">
        <w:rPr>
          <w:lang w:val="en-GB"/>
        </w:rPr>
        <w:t xml:space="preserve"> has become more and more appealing since it </w:t>
      </w:r>
      <w:r>
        <w:rPr>
          <w:lang w:val="en-GB"/>
        </w:rPr>
        <w:t>provides a competitive option to reduce emissions in the short term</w:t>
      </w:r>
      <w:r w:rsidRPr="003C5307">
        <w:rPr>
          <w:lang w:val="en-GB"/>
        </w:rPr>
        <w:t>. With that comes the need to estimate the risk of potential CO</w:t>
      </w:r>
      <w:r w:rsidRPr="003C5307">
        <w:rPr>
          <w:vertAlign w:val="subscript"/>
          <w:lang w:val="en-GB"/>
        </w:rPr>
        <w:t>2</w:t>
      </w:r>
      <w:r w:rsidRPr="003C5307">
        <w:rPr>
          <w:lang w:val="en-GB"/>
        </w:rPr>
        <w:t xml:space="preserve"> leakage events, particularly of blowout scenarios, which are one of the </w:t>
      </w:r>
      <w:r>
        <w:rPr>
          <w:lang w:val="en-GB"/>
        </w:rPr>
        <w:t xml:space="preserve">main hazards in </w:t>
      </w:r>
      <w:r w:rsidRPr="003C5307">
        <w:rPr>
          <w:lang w:val="en-GB"/>
        </w:rPr>
        <w:t>CO</w:t>
      </w:r>
      <w:r w:rsidRPr="003C5307">
        <w:rPr>
          <w:vertAlign w:val="subscript"/>
          <w:lang w:val="en-GB"/>
        </w:rPr>
        <w:t>2</w:t>
      </w:r>
      <w:r w:rsidRPr="003C5307">
        <w:rPr>
          <w:lang w:val="en-GB"/>
        </w:rPr>
        <w:t xml:space="preserve"> </w:t>
      </w:r>
      <w:r>
        <w:rPr>
          <w:lang w:val="en-GB"/>
        </w:rPr>
        <w:t xml:space="preserve">injection due to the potential </w:t>
      </w:r>
      <w:r w:rsidRPr="003C5307">
        <w:rPr>
          <w:lang w:val="en-GB"/>
        </w:rPr>
        <w:t>extended duration and high flow rate</w:t>
      </w:r>
      <w:r>
        <w:rPr>
          <w:lang w:val="en-GB"/>
        </w:rPr>
        <w:t xml:space="preserve"> of the release</w:t>
      </w:r>
      <w:r w:rsidRPr="003C5307">
        <w:rPr>
          <w:lang w:val="en-GB"/>
        </w:rPr>
        <w:t xml:space="preserve">. </w:t>
      </w:r>
      <w:r>
        <w:rPr>
          <w:lang w:val="en-GB"/>
        </w:rPr>
        <w:t>Thus, in the present study</w:t>
      </w:r>
      <w:r w:rsidRPr="003C5307">
        <w:rPr>
          <w:lang w:val="en-GB"/>
        </w:rPr>
        <w:t xml:space="preserve"> an </w:t>
      </w:r>
      <w:r>
        <w:rPr>
          <w:lang w:val="en-GB"/>
        </w:rPr>
        <w:t>assessment</w:t>
      </w:r>
      <w:r w:rsidRPr="003C5307">
        <w:rPr>
          <w:lang w:val="en-GB"/>
        </w:rPr>
        <w:t xml:space="preserve"> of the effects </w:t>
      </w:r>
      <w:r>
        <w:rPr>
          <w:lang w:val="en-GB"/>
        </w:rPr>
        <w:t>of</w:t>
      </w:r>
      <w:r w:rsidRPr="003C5307">
        <w:rPr>
          <w:lang w:val="en-GB"/>
        </w:rPr>
        <w:t xml:space="preserve"> CO</w:t>
      </w:r>
      <w:r w:rsidRPr="003C5307">
        <w:rPr>
          <w:vertAlign w:val="subscript"/>
          <w:lang w:val="en-GB"/>
        </w:rPr>
        <w:t>2</w:t>
      </w:r>
      <w:r w:rsidRPr="003C5307">
        <w:rPr>
          <w:lang w:val="en-GB"/>
        </w:rPr>
        <w:t xml:space="preserve"> blowouts in shallow water has been performed, </w:t>
      </w:r>
      <w:r>
        <w:rPr>
          <w:lang w:val="en-GB"/>
        </w:rPr>
        <w:t>identifying a</w:t>
      </w:r>
      <w:r w:rsidRPr="003C5307">
        <w:rPr>
          <w:lang w:val="en-GB"/>
        </w:rPr>
        <w:t xml:space="preserve"> set of models and tools available for the analysis of the consequences of subsea gaseous leakages and applying them to specific case studies. The aim of the current investigation is to highlight the </w:t>
      </w:r>
      <w:r>
        <w:rPr>
          <w:lang w:val="en-GB"/>
        </w:rPr>
        <w:t>specific aspects of the r</w:t>
      </w:r>
      <w:r w:rsidRPr="003C5307">
        <w:rPr>
          <w:lang w:val="en-GB"/>
        </w:rPr>
        <w:t xml:space="preserve">isk </w:t>
      </w:r>
      <w:r>
        <w:rPr>
          <w:lang w:val="en-GB"/>
        </w:rPr>
        <w:t xml:space="preserve">profile of </w:t>
      </w:r>
      <w:r w:rsidRPr="003C5307">
        <w:rPr>
          <w:lang w:val="en-GB"/>
        </w:rPr>
        <w:t>CO</w:t>
      </w:r>
      <w:r w:rsidRPr="003C5307">
        <w:rPr>
          <w:vertAlign w:val="subscript"/>
          <w:lang w:val="en-GB"/>
        </w:rPr>
        <w:t>2</w:t>
      </w:r>
      <w:r w:rsidRPr="003C5307">
        <w:rPr>
          <w:lang w:val="en-GB"/>
        </w:rPr>
        <w:t xml:space="preserve"> </w:t>
      </w:r>
      <w:r>
        <w:rPr>
          <w:lang w:val="en-GB"/>
        </w:rPr>
        <w:t xml:space="preserve">blowouts with respect to those of natural gas, considering </w:t>
      </w:r>
      <w:r w:rsidRPr="003C5307">
        <w:rPr>
          <w:lang w:val="en-GB"/>
        </w:rPr>
        <w:t xml:space="preserve">that the risk of gas blowouts is not new and has previously been </w:t>
      </w:r>
      <w:r>
        <w:rPr>
          <w:lang w:val="en-GB"/>
        </w:rPr>
        <w:t>effectively controlled and managed</w:t>
      </w:r>
      <w:r w:rsidRPr="003C5307">
        <w:rPr>
          <w:lang w:val="en-GB"/>
        </w:rPr>
        <w:t xml:space="preserve"> in areas where </w:t>
      </w:r>
      <w:r>
        <w:rPr>
          <w:lang w:val="en-GB"/>
        </w:rPr>
        <w:t>natural gas reservoirs were exploited</w:t>
      </w:r>
      <w:r w:rsidRPr="003C5307">
        <w:rPr>
          <w:lang w:val="en-GB"/>
        </w:rPr>
        <w:t>.</w:t>
      </w:r>
    </w:p>
    <w:p w14:paraId="078547E0" w14:textId="77777777" w:rsidR="00871CDE" w:rsidRPr="003C5307" w:rsidRDefault="00871CDE" w:rsidP="00871CDE">
      <w:pPr>
        <w:pStyle w:val="CETHeading1"/>
        <w:rPr>
          <w:lang w:val="en-GB"/>
        </w:rPr>
      </w:pPr>
      <w:r w:rsidRPr="003C5307">
        <w:rPr>
          <w:lang w:val="en-GB"/>
        </w:rPr>
        <w:t>Introduction</w:t>
      </w:r>
    </w:p>
    <w:p w14:paraId="1F231672" w14:textId="4F19A1DD" w:rsidR="00871CDE" w:rsidRPr="003C5307" w:rsidRDefault="00871CDE" w:rsidP="00871CDE">
      <w:pPr>
        <w:pStyle w:val="CETBodytext"/>
        <w:rPr>
          <w:lang w:val="en-GB"/>
        </w:rPr>
      </w:pPr>
      <w:r w:rsidRPr="003C5307">
        <w:rPr>
          <w:lang w:val="en-GB"/>
        </w:rPr>
        <w:t>In recent years, the Carbon dioxide Capture and Sequestration (CCS) technology has been recognised as a p</w:t>
      </w:r>
      <w:r>
        <w:rPr>
          <w:lang w:val="en-GB"/>
        </w:rPr>
        <w:t xml:space="preserve">ossible contributor to the </w:t>
      </w:r>
      <w:r w:rsidRPr="003C5307">
        <w:rPr>
          <w:lang w:val="en-GB"/>
        </w:rPr>
        <w:t>emissions mitigation</w:t>
      </w:r>
      <w:r>
        <w:rPr>
          <w:lang w:val="en-GB"/>
        </w:rPr>
        <w:t>, at least in the mid-short term</w:t>
      </w:r>
      <w:r w:rsidR="007A7DF3">
        <w:rPr>
          <w:lang w:val="en-GB"/>
        </w:rPr>
        <w:t xml:space="preserve"> (IEA, 2021)</w:t>
      </w:r>
      <w:r>
        <w:rPr>
          <w:lang w:val="en-GB"/>
        </w:rPr>
        <w:t>. The exploitation of CCS aims at</w:t>
      </w:r>
      <w:r w:rsidRPr="003C5307">
        <w:rPr>
          <w:lang w:val="en-GB"/>
        </w:rPr>
        <w:t xml:space="preserve"> achieving the objectives of curbing carbon dioxide (CO</w:t>
      </w:r>
      <w:r w:rsidRPr="003C5307">
        <w:rPr>
          <w:vertAlign w:val="subscript"/>
          <w:lang w:val="en-GB"/>
        </w:rPr>
        <w:t>2</w:t>
      </w:r>
      <w:r w:rsidRPr="003C5307">
        <w:rPr>
          <w:lang w:val="en-GB"/>
        </w:rPr>
        <w:t xml:space="preserve">) emissions </w:t>
      </w:r>
      <w:r>
        <w:rPr>
          <w:lang w:val="en-GB"/>
        </w:rPr>
        <w:t xml:space="preserve">by the capture and storage of hard to abate emissions </w:t>
      </w:r>
      <w:r w:rsidRPr="003C5307">
        <w:rPr>
          <w:lang w:val="en-GB"/>
        </w:rPr>
        <w:t xml:space="preserve">(IEA, 2020). A step of the CCS chain that is highly concerning is the storage stage, which can take place either onshore or offshore (Chadwick and Eiken, 2013). Abandoned oil and gas reservoirs, deep saline formations and unmineable coal seams are </w:t>
      </w:r>
      <w:r>
        <w:rPr>
          <w:lang w:val="en-GB"/>
        </w:rPr>
        <w:t>proposed as</w:t>
      </w:r>
      <w:r w:rsidRPr="003C5307">
        <w:rPr>
          <w:lang w:val="en-GB"/>
        </w:rPr>
        <w:t xml:space="preserve"> onshore geological sequestration sites (IPCC, 2005). </w:t>
      </w:r>
      <w:r>
        <w:rPr>
          <w:lang w:val="en-GB"/>
        </w:rPr>
        <w:t>Proposed o</w:t>
      </w:r>
      <w:r w:rsidRPr="003C5307">
        <w:rPr>
          <w:lang w:val="en-GB"/>
        </w:rPr>
        <w:t>ffshore storage, instead, include</w:t>
      </w:r>
      <w:r>
        <w:rPr>
          <w:lang w:val="en-GB"/>
        </w:rPr>
        <w:t>s</w:t>
      </w:r>
      <w:r w:rsidRPr="003C5307">
        <w:rPr>
          <w:lang w:val="en-GB"/>
        </w:rPr>
        <w:t xml:space="preserve"> saline aquifers and depleted oil and gas reservoirs. In Europe, more </w:t>
      </w:r>
      <w:r>
        <w:rPr>
          <w:lang w:val="en-GB"/>
        </w:rPr>
        <w:t xml:space="preserve">specifically </w:t>
      </w:r>
      <w:r w:rsidRPr="003C5307">
        <w:rPr>
          <w:lang w:val="en-GB"/>
        </w:rPr>
        <w:t>in the North Sea region, CO</w:t>
      </w:r>
      <w:r w:rsidRPr="003C5307">
        <w:rPr>
          <w:vertAlign w:val="subscript"/>
          <w:lang w:val="en-GB"/>
        </w:rPr>
        <w:t>2</w:t>
      </w:r>
      <w:r w:rsidRPr="003C5307">
        <w:rPr>
          <w:lang w:val="en-GB"/>
        </w:rPr>
        <w:t xml:space="preserve"> sequestration involves saline aquifers, while in the Adriatic Sea, </w:t>
      </w:r>
      <w:r>
        <w:rPr>
          <w:lang w:val="en-GB"/>
        </w:rPr>
        <w:t xml:space="preserve">the possible storage of </w:t>
      </w:r>
      <w:r w:rsidRPr="003C5307">
        <w:rPr>
          <w:lang w:val="en-GB"/>
        </w:rPr>
        <w:t>CO</w:t>
      </w:r>
      <w:r w:rsidRPr="003C5307">
        <w:rPr>
          <w:vertAlign w:val="subscript"/>
          <w:lang w:val="en-GB"/>
        </w:rPr>
        <w:t>2</w:t>
      </w:r>
      <w:r w:rsidRPr="003C5307">
        <w:rPr>
          <w:lang w:val="en-GB"/>
        </w:rPr>
        <w:t xml:space="preserve"> in exhausted natural gas fields is </w:t>
      </w:r>
      <w:r>
        <w:rPr>
          <w:lang w:val="en-GB"/>
        </w:rPr>
        <w:t>proposed</w:t>
      </w:r>
      <w:r w:rsidRPr="003C5307">
        <w:rPr>
          <w:lang w:val="en-GB"/>
        </w:rPr>
        <w:t xml:space="preserve">, since reusing existing infrastructures will allow costs to be highly competitive (ENI, 2020). </w:t>
      </w:r>
      <w:r>
        <w:rPr>
          <w:lang w:val="en-GB"/>
        </w:rPr>
        <w:t>However, the exploitation of offshore CCS requires</w:t>
      </w:r>
      <w:r w:rsidRPr="003C5307">
        <w:rPr>
          <w:lang w:val="en-GB"/>
        </w:rPr>
        <w:t xml:space="preserve"> to estimate the extent of the risk of </w:t>
      </w:r>
      <w:r>
        <w:rPr>
          <w:lang w:val="en-GB"/>
        </w:rPr>
        <w:t>potential</w:t>
      </w:r>
      <w:r w:rsidRPr="003C5307">
        <w:rPr>
          <w:lang w:val="en-GB"/>
        </w:rPr>
        <w:t xml:space="preserve"> blowout scenarios, which </w:t>
      </w:r>
      <w:r>
        <w:rPr>
          <w:lang w:val="en-GB"/>
        </w:rPr>
        <w:t>are characterized</w:t>
      </w:r>
      <w:r w:rsidRPr="003C5307">
        <w:rPr>
          <w:lang w:val="en-GB"/>
        </w:rPr>
        <w:t xml:space="preserve"> by high flow rates and very long durations (Dissanayake et al., 2018). Since there is previous evidence of CH</w:t>
      </w:r>
      <w:r w:rsidRPr="003C5307">
        <w:rPr>
          <w:vertAlign w:val="subscript"/>
          <w:lang w:val="en-GB"/>
        </w:rPr>
        <w:t>4</w:t>
      </w:r>
      <w:r w:rsidRPr="003C5307">
        <w:rPr>
          <w:lang w:val="en-GB"/>
        </w:rPr>
        <w:t xml:space="preserve"> blowouts occurred from injection wells, the occurrence of CO</w:t>
      </w:r>
      <w:r w:rsidRPr="003C5307">
        <w:rPr>
          <w:vertAlign w:val="subscript"/>
          <w:lang w:val="en-GB"/>
        </w:rPr>
        <w:t>2</w:t>
      </w:r>
      <w:r w:rsidRPr="003C5307">
        <w:rPr>
          <w:lang w:val="en-GB"/>
        </w:rPr>
        <w:t xml:space="preserve"> blowouts, in the case of marine CCS involving depleted gas reservoirs, is deemed possible as well (Gasda et al., 2004). Keeping in mind that risk depends on the likelihood and the severity of the consequences of </w:t>
      </w:r>
      <w:r>
        <w:rPr>
          <w:lang w:val="en-GB"/>
        </w:rPr>
        <w:t xml:space="preserve">the unwanted </w:t>
      </w:r>
      <w:r w:rsidRPr="003C5307">
        <w:rPr>
          <w:lang w:val="en-GB"/>
        </w:rPr>
        <w:t>events, evaluating the risk of CO</w:t>
      </w:r>
      <w:r w:rsidRPr="003C5307">
        <w:rPr>
          <w:vertAlign w:val="subscript"/>
          <w:lang w:val="en-GB"/>
        </w:rPr>
        <w:t>2</w:t>
      </w:r>
      <w:r w:rsidRPr="003C5307">
        <w:rPr>
          <w:lang w:val="en-GB"/>
        </w:rPr>
        <w:t xml:space="preserve"> blowouts implies estimating their occurrence frequencies and damage effects. </w:t>
      </w:r>
      <w:r>
        <w:rPr>
          <w:lang w:val="en-GB"/>
        </w:rPr>
        <w:t>On the one hand, c</w:t>
      </w:r>
      <w:r w:rsidRPr="003C5307">
        <w:rPr>
          <w:lang w:val="en-GB"/>
        </w:rPr>
        <w:t>onsidering that there is no information about CO</w:t>
      </w:r>
      <w:r w:rsidRPr="003C5307">
        <w:rPr>
          <w:vertAlign w:val="subscript"/>
          <w:lang w:val="en-GB"/>
        </w:rPr>
        <w:t>2</w:t>
      </w:r>
      <w:r w:rsidRPr="003C5307">
        <w:rPr>
          <w:lang w:val="en-GB"/>
        </w:rPr>
        <w:t xml:space="preserve"> incidental release occurrences in the literature, it is reasonable to assume - as advised in technical reports - that the frequency of CO</w:t>
      </w:r>
      <w:r w:rsidRPr="003C5307">
        <w:rPr>
          <w:vertAlign w:val="subscript"/>
          <w:lang w:val="en-GB"/>
        </w:rPr>
        <w:t>2</w:t>
      </w:r>
      <w:r w:rsidRPr="003C5307">
        <w:rPr>
          <w:lang w:val="en-GB"/>
        </w:rPr>
        <w:t xml:space="preserve"> blowouts </w:t>
      </w:r>
      <w:r>
        <w:rPr>
          <w:lang w:val="en-GB"/>
        </w:rPr>
        <w:t>should be similar to that of</w:t>
      </w:r>
      <w:r w:rsidRPr="003C5307">
        <w:rPr>
          <w:lang w:val="en-GB"/>
        </w:rPr>
        <w:t xml:space="preserve"> CH</w:t>
      </w:r>
      <w:r w:rsidRPr="003C5307">
        <w:rPr>
          <w:vertAlign w:val="subscript"/>
          <w:lang w:val="en-GB"/>
        </w:rPr>
        <w:t>4</w:t>
      </w:r>
      <w:r w:rsidRPr="003C5307">
        <w:rPr>
          <w:lang w:val="en-GB"/>
        </w:rPr>
        <w:t xml:space="preserve"> blowouts, </w:t>
      </w:r>
      <w:r>
        <w:rPr>
          <w:lang w:val="en-GB"/>
        </w:rPr>
        <w:t xml:space="preserve">that may be </w:t>
      </w:r>
      <w:r w:rsidRPr="003C5307">
        <w:rPr>
          <w:lang w:val="en-GB"/>
        </w:rPr>
        <w:t xml:space="preserve">estimated </w:t>
      </w:r>
      <w:r>
        <w:rPr>
          <w:lang w:val="en-GB"/>
        </w:rPr>
        <w:t xml:space="preserve">e.g., </w:t>
      </w:r>
      <w:r w:rsidRPr="003C5307">
        <w:rPr>
          <w:lang w:val="en-GB"/>
        </w:rPr>
        <w:t>by an analysis of previous accidents (Beyer et al., 2016). On the other hand, it is impossible to compare the effects of the two substances directly</w:t>
      </w:r>
      <w:r>
        <w:rPr>
          <w:lang w:val="en-GB"/>
        </w:rPr>
        <w:t>,</w:t>
      </w:r>
      <w:r w:rsidRPr="003C5307">
        <w:rPr>
          <w:lang w:val="en-GB"/>
        </w:rPr>
        <w:t xml:space="preserve"> due to the differences in their chemic</w:t>
      </w:r>
      <w:r>
        <w:rPr>
          <w:lang w:val="en-GB"/>
        </w:rPr>
        <w:t xml:space="preserve">al and </w:t>
      </w:r>
      <w:r w:rsidRPr="003C5307">
        <w:rPr>
          <w:lang w:val="en-GB"/>
        </w:rPr>
        <w:t>physical properties</w:t>
      </w:r>
      <w:r>
        <w:rPr>
          <w:lang w:val="en-GB"/>
        </w:rPr>
        <w:t>, and of the inherent</w:t>
      </w:r>
      <w:r w:rsidRPr="003C5307">
        <w:rPr>
          <w:lang w:val="en-GB"/>
        </w:rPr>
        <w:t xml:space="preserve"> dangerous characteristics. In fact, as CO</w:t>
      </w:r>
      <w:r w:rsidRPr="003C5307">
        <w:rPr>
          <w:vertAlign w:val="subscript"/>
          <w:lang w:val="en-GB"/>
        </w:rPr>
        <w:t>2</w:t>
      </w:r>
      <w:r w:rsidRPr="003C5307">
        <w:rPr>
          <w:lang w:val="en-GB"/>
        </w:rPr>
        <w:t xml:space="preserve"> dissolves well in water, the solubility of CH</w:t>
      </w:r>
      <w:r w:rsidRPr="003C5307">
        <w:rPr>
          <w:vertAlign w:val="subscript"/>
          <w:lang w:val="en-GB"/>
        </w:rPr>
        <w:t>4</w:t>
      </w:r>
      <w:r w:rsidRPr="003C5307">
        <w:rPr>
          <w:lang w:val="en-GB"/>
        </w:rPr>
        <w:t xml:space="preserve">, in the same media, is negligible (Olsen and Skjetne, 2020). Hence, it is possible that </w:t>
      </w:r>
      <w:r>
        <w:rPr>
          <w:lang w:val="en-GB"/>
        </w:rPr>
        <w:t>CO</w:t>
      </w:r>
      <w:r w:rsidRPr="00BC078B">
        <w:rPr>
          <w:vertAlign w:val="subscript"/>
          <w:lang w:val="en-GB"/>
        </w:rPr>
        <w:t>2</w:t>
      </w:r>
      <w:r w:rsidRPr="003C5307">
        <w:rPr>
          <w:lang w:val="en-GB"/>
        </w:rPr>
        <w:t xml:space="preserve"> </w:t>
      </w:r>
      <w:r>
        <w:rPr>
          <w:lang w:val="en-GB"/>
        </w:rPr>
        <w:t xml:space="preserve">is released </w:t>
      </w:r>
      <w:r w:rsidRPr="003C5307">
        <w:rPr>
          <w:lang w:val="en-GB"/>
        </w:rPr>
        <w:t xml:space="preserve">at the sea surface depending on the </w:t>
      </w:r>
      <w:r>
        <w:rPr>
          <w:lang w:val="en-GB"/>
        </w:rPr>
        <w:t>mass transfer process a</w:t>
      </w:r>
      <w:r w:rsidRPr="003C5307">
        <w:rPr>
          <w:lang w:val="en-GB"/>
        </w:rPr>
        <w:t xml:space="preserve">nd the depth of the </w:t>
      </w:r>
      <w:r>
        <w:rPr>
          <w:lang w:val="en-GB"/>
        </w:rPr>
        <w:t>release</w:t>
      </w:r>
      <w:r w:rsidRPr="003C5307">
        <w:rPr>
          <w:lang w:val="en-GB"/>
        </w:rPr>
        <w:t xml:space="preserve"> (Huser et al., 2017). In </w:t>
      </w:r>
      <w:r w:rsidRPr="003C5307">
        <w:rPr>
          <w:lang w:val="en-GB"/>
        </w:rPr>
        <w:lastRenderedPageBreak/>
        <w:t>such situations, CO</w:t>
      </w:r>
      <w:r w:rsidRPr="003C5307">
        <w:rPr>
          <w:vertAlign w:val="subscript"/>
          <w:lang w:val="en-GB"/>
        </w:rPr>
        <w:t>2</w:t>
      </w:r>
      <w:r w:rsidRPr="003C5307">
        <w:rPr>
          <w:lang w:val="en-GB"/>
        </w:rPr>
        <w:t xml:space="preserve"> disperses in air as a heavy cloud while CH</w:t>
      </w:r>
      <w:r w:rsidRPr="003C5307">
        <w:rPr>
          <w:vertAlign w:val="subscript"/>
          <w:lang w:val="en-GB"/>
        </w:rPr>
        <w:t>4</w:t>
      </w:r>
      <w:r w:rsidRPr="003C5307">
        <w:rPr>
          <w:lang w:val="en-GB"/>
        </w:rPr>
        <w:t xml:space="preserve"> behaves as a light gas</w:t>
      </w:r>
      <w:r w:rsidR="00DB5761">
        <w:rPr>
          <w:lang w:val="en-GB"/>
        </w:rPr>
        <w:t xml:space="preserve"> (Matheson, 2014)</w:t>
      </w:r>
      <w:r w:rsidRPr="003C5307">
        <w:rPr>
          <w:lang w:val="en-GB"/>
        </w:rPr>
        <w:t>. Additionally, CO</w:t>
      </w:r>
      <w:r w:rsidRPr="003C5307">
        <w:rPr>
          <w:vertAlign w:val="subscript"/>
          <w:lang w:val="en-GB"/>
        </w:rPr>
        <w:t>2</w:t>
      </w:r>
      <w:r w:rsidRPr="003C5307">
        <w:rPr>
          <w:lang w:val="en-GB"/>
        </w:rPr>
        <w:t xml:space="preserve"> is a mildly toxic substance while CH</w:t>
      </w:r>
      <w:r w:rsidRPr="003C5307">
        <w:rPr>
          <w:vertAlign w:val="subscript"/>
          <w:lang w:val="en-GB"/>
        </w:rPr>
        <w:t>4</w:t>
      </w:r>
      <w:r w:rsidRPr="003C5307">
        <w:rPr>
          <w:lang w:val="en-GB"/>
        </w:rPr>
        <w:t xml:space="preserve"> is flammable</w:t>
      </w:r>
      <w:r w:rsidR="00DB5761">
        <w:rPr>
          <w:lang w:val="en-GB"/>
        </w:rPr>
        <w:t xml:space="preserve"> (Airgas, 2001)</w:t>
      </w:r>
      <w:r w:rsidRPr="003C5307">
        <w:rPr>
          <w:lang w:val="en-GB"/>
        </w:rPr>
        <w:t xml:space="preserve">. Because of these differences, the </w:t>
      </w:r>
      <w:r>
        <w:rPr>
          <w:lang w:val="en-GB"/>
        </w:rPr>
        <w:t>assessment</w:t>
      </w:r>
      <w:r w:rsidRPr="003C5307">
        <w:rPr>
          <w:lang w:val="en-GB"/>
        </w:rPr>
        <w:t xml:space="preserve"> of the effects of CO</w:t>
      </w:r>
      <w:r w:rsidRPr="003C5307">
        <w:rPr>
          <w:vertAlign w:val="subscript"/>
          <w:lang w:val="en-GB"/>
        </w:rPr>
        <w:t>2</w:t>
      </w:r>
      <w:r w:rsidRPr="003C5307">
        <w:rPr>
          <w:lang w:val="en-GB"/>
        </w:rPr>
        <w:t xml:space="preserve"> once mixed with air needs to be carried out through a s</w:t>
      </w:r>
      <w:r>
        <w:rPr>
          <w:lang w:val="en-GB"/>
        </w:rPr>
        <w:t>pecific modelling approach</w:t>
      </w:r>
      <w:r w:rsidRPr="003C5307">
        <w:rPr>
          <w:lang w:val="en-GB"/>
        </w:rPr>
        <w:t xml:space="preserve">. Moreover, in </w:t>
      </w:r>
      <w:r>
        <w:rPr>
          <w:lang w:val="en-GB"/>
        </w:rPr>
        <w:t xml:space="preserve">the </w:t>
      </w:r>
      <w:r w:rsidRPr="003C5307">
        <w:rPr>
          <w:lang w:val="en-GB"/>
        </w:rPr>
        <w:t>case of a CO</w:t>
      </w:r>
      <w:r w:rsidRPr="003C5307">
        <w:rPr>
          <w:vertAlign w:val="subscript"/>
          <w:lang w:val="en-GB"/>
        </w:rPr>
        <w:t>2</w:t>
      </w:r>
      <w:r w:rsidRPr="003C5307">
        <w:rPr>
          <w:lang w:val="en-GB"/>
        </w:rPr>
        <w:t xml:space="preserve"> blowout, the subsea plume of CO</w:t>
      </w:r>
      <w:r w:rsidRPr="003C5307">
        <w:rPr>
          <w:vertAlign w:val="subscript"/>
          <w:lang w:val="en-GB"/>
        </w:rPr>
        <w:t>2</w:t>
      </w:r>
      <w:r w:rsidRPr="003C5307">
        <w:rPr>
          <w:lang w:val="en-GB"/>
        </w:rPr>
        <w:t xml:space="preserve">-enriched seawater causes the acidification of the marine environment, potentially causing </w:t>
      </w:r>
      <w:r>
        <w:rPr>
          <w:lang w:val="en-GB"/>
        </w:rPr>
        <w:t xml:space="preserve">a </w:t>
      </w:r>
      <w:r w:rsidRPr="003C5307">
        <w:rPr>
          <w:lang w:val="en-GB"/>
        </w:rPr>
        <w:t xml:space="preserve">harm to the marine organisms </w:t>
      </w:r>
      <w:r>
        <w:rPr>
          <w:lang w:val="en-GB"/>
        </w:rPr>
        <w:t>in</w:t>
      </w:r>
      <w:r w:rsidRPr="003C5307">
        <w:rPr>
          <w:lang w:val="en-GB"/>
        </w:rPr>
        <w:t xml:space="preserve"> the water column and </w:t>
      </w:r>
      <w:r>
        <w:rPr>
          <w:lang w:val="en-GB"/>
        </w:rPr>
        <w:t xml:space="preserve">on </w:t>
      </w:r>
      <w:r w:rsidRPr="003C5307">
        <w:rPr>
          <w:lang w:val="en-GB"/>
        </w:rPr>
        <w:t xml:space="preserve">the seafloor (Blackford and Gilbert, 2007). Therefore, in addition to the </w:t>
      </w:r>
      <w:r>
        <w:rPr>
          <w:lang w:val="en-GB"/>
        </w:rPr>
        <w:t>effects of</w:t>
      </w:r>
      <w:r w:rsidRPr="003C5307">
        <w:rPr>
          <w:lang w:val="en-GB"/>
        </w:rPr>
        <w:t xml:space="preserve"> atmospheric dispersion</w:t>
      </w:r>
      <w:r>
        <w:rPr>
          <w:lang w:val="en-GB"/>
        </w:rPr>
        <w:t xml:space="preserve">, </w:t>
      </w:r>
      <w:r w:rsidRPr="003C5307">
        <w:rPr>
          <w:lang w:val="en-GB"/>
        </w:rPr>
        <w:t>estimating the dispersion of the undersea CO</w:t>
      </w:r>
      <w:r w:rsidRPr="003C5307">
        <w:rPr>
          <w:vertAlign w:val="subscript"/>
          <w:lang w:val="en-GB"/>
        </w:rPr>
        <w:t>2</w:t>
      </w:r>
      <w:r w:rsidRPr="003C5307">
        <w:rPr>
          <w:lang w:val="en-GB"/>
        </w:rPr>
        <w:t xml:space="preserve"> plume is important</w:t>
      </w:r>
      <w:r>
        <w:rPr>
          <w:lang w:val="en-GB"/>
        </w:rPr>
        <w:t xml:space="preserve"> for the assessment of the consequence of subsea releases</w:t>
      </w:r>
      <w:r w:rsidRPr="003C5307">
        <w:rPr>
          <w:lang w:val="en-GB"/>
        </w:rPr>
        <w:t xml:space="preserve">. </w:t>
      </w:r>
      <w:r>
        <w:rPr>
          <w:lang w:val="en-GB"/>
        </w:rPr>
        <w:t>S</w:t>
      </w:r>
      <w:r w:rsidRPr="003C5307">
        <w:rPr>
          <w:lang w:val="en-GB"/>
        </w:rPr>
        <w:t xml:space="preserve">everal </w:t>
      </w:r>
      <w:r>
        <w:rPr>
          <w:lang w:val="en-GB"/>
        </w:rPr>
        <w:t xml:space="preserve">models are proposed in the literature to </w:t>
      </w:r>
      <w:r w:rsidRPr="003C5307">
        <w:rPr>
          <w:lang w:val="en-GB"/>
        </w:rPr>
        <w:t>evaluat</w:t>
      </w:r>
      <w:r>
        <w:rPr>
          <w:lang w:val="en-GB"/>
        </w:rPr>
        <w:t>e</w:t>
      </w:r>
      <w:r w:rsidRPr="003C5307">
        <w:rPr>
          <w:lang w:val="en-GB"/>
        </w:rPr>
        <w:t xml:space="preserve"> the effects arising from marine blowouts</w:t>
      </w:r>
      <w:r>
        <w:rPr>
          <w:lang w:val="en-GB"/>
        </w:rPr>
        <w:t>:</w:t>
      </w:r>
      <w:r w:rsidRPr="003C5307">
        <w:rPr>
          <w:lang w:val="en-GB"/>
        </w:rPr>
        <w:t xml:space="preserve"> source term models, water column dispersion models and atmospheric dispersion models of the degassing flowrate</w:t>
      </w:r>
      <w:r w:rsidR="006D7264">
        <w:rPr>
          <w:lang w:val="en-GB"/>
        </w:rPr>
        <w:t xml:space="preserve"> </w:t>
      </w:r>
      <w:r w:rsidR="006D7264" w:rsidRPr="003C5307">
        <w:rPr>
          <w:rFonts w:cstheme="minorHAnsi"/>
          <w:lang w:val="en-GB"/>
        </w:rPr>
        <w:t>(</w:t>
      </w:r>
      <w:r w:rsidR="006D7264">
        <w:rPr>
          <w:rFonts w:cstheme="minorHAnsi"/>
          <w:lang w:val="en-GB"/>
        </w:rPr>
        <w:t xml:space="preserve">Pan and </w:t>
      </w:r>
      <w:r w:rsidR="006D7264" w:rsidRPr="003C5307">
        <w:rPr>
          <w:rFonts w:cstheme="minorHAnsi"/>
          <w:lang w:val="en-GB"/>
        </w:rPr>
        <w:t>Oldenburg, 20</w:t>
      </w:r>
      <w:r w:rsidR="006D7264">
        <w:rPr>
          <w:rFonts w:cstheme="minorHAnsi"/>
          <w:lang w:val="en-GB"/>
        </w:rPr>
        <w:t>14)</w:t>
      </w:r>
      <w:r w:rsidRPr="003C5307">
        <w:rPr>
          <w:lang w:val="en-GB"/>
        </w:rPr>
        <w:t xml:space="preserve">. In the present </w:t>
      </w:r>
      <w:r>
        <w:rPr>
          <w:lang w:val="en-GB"/>
        </w:rPr>
        <w:t>study</w:t>
      </w:r>
      <w:r w:rsidRPr="003C5307">
        <w:rPr>
          <w:lang w:val="en-GB"/>
        </w:rPr>
        <w:t>, the estimation of the effects of CO</w:t>
      </w:r>
      <w:r w:rsidRPr="003C5307">
        <w:rPr>
          <w:vertAlign w:val="subscript"/>
          <w:lang w:val="en-GB"/>
        </w:rPr>
        <w:t>2</w:t>
      </w:r>
      <w:r w:rsidRPr="003C5307">
        <w:rPr>
          <w:lang w:val="en-GB"/>
        </w:rPr>
        <w:t xml:space="preserve"> blowouts occurring in shallow waters by means of integral models and tools for the analysis of the consequences of subsea gaseous leakages is presented. The investigation has the aim of analysing which is the </w:t>
      </w:r>
      <w:r>
        <w:rPr>
          <w:lang w:val="en-GB"/>
        </w:rPr>
        <w:t xml:space="preserve">potential </w:t>
      </w:r>
      <w:r w:rsidRPr="003C5307">
        <w:rPr>
          <w:lang w:val="en-GB"/>
        </w:rPr>
        <w:t xml:space="preserve">impact of </w:t>
      </w:r>
      <w:r>
        <w:rPr>
          <w:lang w:val="en-GB"/>
        </w:rPr>
        <w:t xml:space="preserve">releases on </w:t>
      </w:r>
      <w:r w:rsidRPr="003C5307">
        <w:rPr>
          <w:lang w:val="en-GB"/>
        </w:rPr>
        <w:t>specific targets, i.e., humans and animals living on the sea surface.</w:t>
      </w:r>
    </w:p>
    <w:p w14:paraId="2020E47D" w14:textId="77777777" w:rsidR="00871CDE" w:rsidRPr="003C5307" w:rsidRDefault="00871CDE" w:rsidP="00871CDE">
      <w:pPr>
        <w:pStyle w:val="CETBodytext"/>
        <w:rPr>
          <w:lang w:val="en-GB"/>
        </w:rPr>
      </w:pPr>
      <w:r>
        <w:rPr>
          <w:lang w:val="en-GB"/>
        </w:rPr>
        <w:t>In the following, t</w:t>
      </w:r>
      <w:r w:rsidRPr="003C5307">
        <w:rPr>
          <w:lang w:val="en-GB"/>
        </w:rPr>
        <w:t xml:space="preserve">he modelling </w:t>
      </w:r>
      <w:r>
        <w:rPr>
          <w:lang w:val="en-GB"/>
        </w:rPr>
        <w:t>approach</w:t>
      </w:r>
      <w:r w:rsidRPr="003C5307">
        <w:rPr>
          <w:lang w:val="en-GB"/>
        </w:rPr>
        <w:t xml:space="preserve"> </w:t>
      </w:r>
      <w:r>
        <w:rPr>
          <w:lang w:val="en-GB"/>
        </w:rPr>
        <w:t>developed</w:t>
      </w:r>
      <w:r w:rsidRPr="003C5307">
        <w:rPr>
          <w:lang w:val="en-GB"/>
        </w:rPr>
        <w:t xml:space="preserve"> is provided in Section 2 along with the integral models and simulation tools for subsea accidental leaking incidents. Section 3 present</w:t>
      </w:r>
      <w:r>
        <w:rPr>
          <w:lang w:val="en-GB"/>
        </w:rPr>
        <w:t>s</w:t>
      </w:r>
      <w:r w:rsidRPr="003C5307">
        <w:rPr>
          <w:lang w:val="en-GB"/>
        </w:rPr>
        <w:t xml:space="preserve"> </w:t>
      </w:r>
      <w:r>
        <w:rPr>
          <w:lang w:val="en-GB"/>
        </w:rPr>
        <w:t xml:space="preserve">some </w:t>
      </w:r>
      <w:r w:rsidRPr="003C5307">
        <w:rPr>
          <w:lang w:val="en-GB"/>
        </w:rPr>
        <w:t xml:space="preserve">case studies </w:t>
      </w:r>
      <w:r>
        <w:rPr>
          <w:lang w:val="en-GB"/>
        </w:rPr>
        <w:t>used to benchmark the models</w:t>
      </w:r>
      <w:r w:rsidRPr="003C5307">
        <w:rPr>
          <w:lang w:val="en-GB"/>
        </w:rPr>
        <w:t>.</w:t>
      </w:r>
      <w:r>
        <w:rPr>
          <w:lang w:val="en-GB"/>
        </w:rPr>
        <w:t xml:space="preserve"> </w:t>
      </w:r>
      <w:r w:rsidRPr="003C5307">
        <w:rPr>
          <w:lang w:val="en-GB"/>
        </w:rPr>
        <w:t xml:space="preserve">The </w:t>
      </w:r>
      <w:r>
        <w:rPr>
          <w:lang w:val="en-GB"/>
        </w:rPr>
        <w:t xml:space="preserve">results are presented and </w:t>
      </w:r>
      <w:r w:rsidRPr="003C5307">
        <w:rPr>
          <w:lang w:val="en-GB"/>
        </w:rPr>
        <w:t>discussed in Section 4</w:t>
      </w:r>
      <w:r>
        <w:rPr>
          <w:lang w:val="en-GB"/>
        </w:rPr>
        <w:t xml:space="preserve">. </w:t>
      </w:r>
      <w:r w:rsidRPr="003C5307">
        <w:rPr>
          <w:lang w:val="en-GB"/>
        </w:rPr>
        <w:t>Finally, the study is concluded in Section </w:t>
      </w:r>
      <w:bookmarkStart w:id="0" w:name="bs0135"/>
      <w:r w:rsidRPr="003C5307">
        <w:rPr>
          <w:lang w:val="en-GB"/>
        </w:rPr>
        <w:fldChar w:fldCharType="begin"/>
      </w:r>
      <w:r w:rsidRPr="003C5307">
        <w:rPr>
          <w:lang w:val="en-GB"/>
        </w:rPr>
        <w:instrText xml:space="preserve"> HYPERLINK "https://www.sciencedirect.com/science/article/pii/S0306261916300885" \l "s0135" </w:instrText>
      </w:r>
      <w:r w:rsidRPr="003C5307">
        <w:rPr>
          <w:lang w:val="en-GB"/>
        </w:rPr>
      </w:r>
      <w:r w:rsidRPr="003C5307">
        <w:rPr>
          <w:lang w:val="en-GB"/>
        </w:rPr>
        <w:fldChar w:fldCharType="separate"/>
      </w:r>
      <w:r w:rsidRPr="003C5307">
        <w:rPr>
          <w:rStyle w:val="Collegamentoipertestuale"/>
          <w:rFonts w:cs="Calibri"/>
          <w:color w:val="auto"/>
          <w:u w:val="none"/>
          <w:lang w:val="en-GB"/>
        </w:rPr>
        <w:t>5</w:t>
      </w:r>
      <w:r w:rsidRPr="003C5307">
        <w:rPr>
          <w:lang w:val="en-GB"/>
        </w:rPr>
        <w:fldChar w:fldCharType="end"/>
      </w:r>
      <w:bookmarkEnd w:id="0"/>
      <w:r w:rsidRPr="003C5307">
        <w:rPr>
          <w:lang w:val="en-GB"/>
        </w:rPr>
        <w:t>.</w:t>
      </w:r>
    </w:p>
    <w:p w14:paraId="28EA576B" w14:textId="77777777" w:rsidR="00871CDE" w:rsidRPr="003C5307" w:rsidRDefault="00871CDE" w:rsidP="00871CDE">
      <w:pPr>
        <w:pStyle w:val="CETHeading1"/>
        <w:rPr>
          <w:lang w:val="en-GB"/>
        </w:rPr>
      </w:pPr>
      <w:r w:rsidRPr="003C5307">
        <w:rPr>
          <w:lang w:val="en-GB"/>
        </w:rPr>
        <w:t>Modelling approach</w:t>
      </w:r>
    </w:p>
    <w:p w14:paraId="41286CB4" w14:textId="77777777" w:rsidR="00871CDE" w:rsidRPr="003C5307" w:rsidRDefault="00871CDE" w:rsidP="00871CDE">
      <w:pPr>
        <w:pStyle w:val="CETBodytext"/>
        <w:rPr>
          <w:lang w:val="en-GB"/>
        </w:rPr>
      </w:pPr>
      <w:r w:rsidRPr="003C5307">
        <w:rPr>
          <w:lang w:val="en-GB"/>
        </w:rPr>
        <w:t>A generic gaseous blowout scenario entails the release of a jet at high speed. The jet experiences a vertical ascent, which is aided by momentum and buoyancy contributions, while interfacial drag forces slow it down. During the rise to the sea surface, seawater entrains in the jet and horizontally currents contribute to the spreading of the plume, causing turbulent mixing. Additionally, the released bubbles and the surrounding water create an interphase mass transfer that, occasionally, results in enriched seawater in the compound of interest (Cloete et al., 2009). In the context of the present study, all the processes mentioned affect CO</w:t>
      </w:r>
      <w:r w:rsidRPr="003C5307">
        <w:rPr>
          <w:vertAlign w:val="subscript"/>
          <w:lang w:val="en-GB"/>
        </w:rPr>
        <w:t>2</w:t>
      </w:r>
      <w:r w:rsidRPr="003C5307">
        <w:rPr>
          <w:lang w:val="en-GB"/>
        </w:rPr>
        <w:t xml:space="preserve"> seawater transportation. In fact, the water column provides positive buoyancy, viscous resistance, turbulent seawater entrainment, and surface tension leading to bubble formation. Moreover, seawater has a large capacity to absorb CO</w:t>
      </w:r>
      <w:r w:rsidRPr="003C5307">
        <w:rPr>
          <w:vertAlign w:val="subscript"/>
          <w:lang w:val="en-GB"/>
        </w:rPr>
        <w:t>2</w:t>
      </w:r>
      <w:r w:rsidRPr="003C5307">
        <w:rPr>
          <w:lang w:val="en-GB"/>
        </w:rPr>
        <w:t xml:space="preserve"> (Olsen and Skjetne, 2020). This process implies seawater acidification and, consequently, density modification which can affects ships or vessels buoyancy (IPCC, 2005). Depending on the depth of the release and all the phenomena cited, a gaseous release of CO</w:t>
      </w:r>
      <w:r w:rsidRPr="003C5307">
        <w:rPr>
          <w:vertAlign w:val="subscript"/>
          <w:lang w:val="en-GB"/>
        </w:rPr>
        <w:t>2</w:t>
      </w:r>
      <w:r w:rsidRPr="003C5307">
        <w:rPr>
          <w:lang w:val="en-GB"/>
        </w:rPr>
        <w:t xml:space="preserve"> can be totally dissolved in the water column or not. In the second case, CO</w:t>
      </w:r>
      <w:r w:rsidRPr="003C5307">
        <w:rPr>
          <w:vertAlign w:val="subscript"/>
          <w:lang w:val="en-GB"/>
        </w:rPr>
        <w:t>2</w:t>
      </w:r>
      <w:r w:rsidRPr="003C5307">
        <w:rPr>
          <w:lang w:val="en-GB"/>
        </w:rPr>
        <w:t xml:space="preserve"> degassed at the free sea surface and disperses into the atmosphere as a heavy gas, so it tends to suffer gravity slumping towards the free sea surface and then gravity spreading.</w:t>
      </w:r>
    </w:p>
    <w:p w14:paraId="46DEFE25" w14:textId="77777777" w:rsidR="00871CDE" w:rsidRPr="003C5307" w:rsidRDefault="00871CDE" w:rsidP="00871CDE">
      <w:pPr>
        <w:pStyle w:val="CETBodytext"/>
        <w:rPr>
          <w:lang w:val="en-GB"/>
        </w:rPr>
      </w:pPr>
    </w:p>
    <w:p w14:paraId="73C8B997" w14:textId="77777777" w:rsidR="00871CDE" w:rsidRPr="003C5307" w:rsidRDefault="00871CDE" w:rsidP="00871CDE">
      <w:pPr>
        <w:pStyle w:val="CETBodytext"/>
        <w:jc w:val="left"/>
        <w:rPr>
          <w:lang w:val="en-GB"/>
        </w:rPr>
      </w:pPr>
      <w:r w:rsidRPr="003C5307">
        <w:rPr>
          <w:noProof/>
          <w:lang w:val="en-GB"/>
        </w:rPr>
        <w:drawing>
          <wp:inline distT="0" distB="0" distL="0" distR="0" wp14:anchorId="1022E645" wp14:editId="25E88E94">
            <wp:extent cx="5579745" cy="2825750"/>
            <wp:effectExtent l="0" t="0" r="190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1"/>
                    <a:stretch>
                      <a:fillRect/>
                    </a:stretch>
                  </pic:blipFill>
                  <pic:spPr>
                    <a:xfrm>
                      <a:off x="0" y="0"/>
                      <a:ext cx="5579745" cy="2825750"/>
                    </a:xfrm>
                    <a:prstGeom prst="rect">
                      <a:avLst/>
                    </a:prstGeom>
                  </pic:spPr>
                </pic:pic>
              </a:graphicData>
            </a:graphic>
          </wp:inline>
        </w:drawing>
      </w:r>
    </w:p>
    <w:p w14:paraId="7684C220" w14:textId="3C97C1D1" w:rsidR="00871CDE" w:rsidRPr="003C5307" w:rsidRDefault="00871CDE" w:rsidP="00871CDE">
      <w:pPr>
        <w:pStyle w:val="CETCaption"/>
      </w:pPr>
      <w:r w:rsidRPr="003C5307">
        <w:t xml:space="preserve">Figure </w:t>
      </w:r>
      <w:r w:rsidRPr="003C5307">
        <w:fldChar w:fldCharType="begin"/>
      </w:r>
      <w:r w:rsidRPr="003C5307">
        <w:instrText xml:space="preserve"> SEQ Figure \* ARABIC </w:instrText>
      </w:r>
      <w:r w:rsidRPr="003C5307">
        <w:fldChar w:fldCharType="separate"/>
      </w:r>
      <w:r w:rsidR="00223611">
        <w:rPr>
          <w:noProof/>
        </w:rPr>
        <w:t>1</w:t>
      </w:r>
      <w:r w:rsidRPr="003C5307">
        <w:fldChar w:fldCharType="end"/>
      </w:r>
      <w:r w:rsidRPr="003C5307">
        <w:t>: Methodology schematization.</w:t>
      </w:r>
    </w:p>
    <w:p w14:paraId="5E183198" w14:textId="77777777" w:rsidR="00871CDE" w:rsidRDefault="00871CDE" w:rsidP="00871CDE">
      <w:pPr>
        <w:pStyle w:val="CETBodytext"/>
        <w:rPr>
          <w:lang w:val="en-GB"/>
        </w:rPr>
      </w:pPr>
      <w:r w:rsidRPr="003C5307">
        <w:rPr>
          <w:lang w:val="en-GB"/>
        </w:rPr>
        <w:t>In order to understand CO</w:t>
      </w:r>
      <w:r w:rsidRPr="003C5307">
        <w:rPr>
          <w:vertAlign w:val="subscript"/>
          <w:lang w:val="en-GB"/>
        </w:rPr>
        <w:t>2</w:t>
      </w:r>
      <w:r w:rsidRPr="003C5307">
        <w:rPr>
          <w:lang w:val="en-GB"/>
        </w:rPr>
        <w:t xml:space="preserve"> transport processes both in the water column and in the atmosphere following major well blowouts, </w:t>
      </w:r>
      <w:r>
        <w:rPr>
          <w:lang w:val="en-GB"/>
        </w:rPr>
        <w:t xml:space="preserve">specific </w:t>
      </w:r>
      <w:r w:rsidRPr="003C5307">
        <w:rPr>
          <w:lang w:val="en-GB"/>
        </w:rPr>
        <w:t xml:space="preserve">software </w:t>
      </w:r>
      <w:r>
        <w:rPr>
          <w:lang w:val="en-GB"/>
        </w:rPr>
        <w:t>tools were applied to model the sequence of phenomena occurring</w:t>
      </w:r>
      <w:r w:rsidRPr="003C5307">
        <w:rPr>
          <w:lang w:val="en-GB"/>
        </w:rPr>
        <w:t xml:space="preserve">. Figure 1 </w:t>
      </w:r>
      <w:r>
        <w:rPr>
          <w:lang w:val="en-GB"/>
        </w:rPr>
        <w:lastRenderedPageBreak/>
        <w:t xml:space="preserve">shows </w:t>
      </w:r>
      <w:r w:rsidRPr="003C5307">
        <w:rPr>
          <w:lang w:val="en-GB"/>
        </w:rPr>
        <w:t>the schematization of the m</w:t>
      </w:r>
      <w:r>
        <w:rPr>
          <w:lang w:val="en-GB"/>
        </w:rPr>
        <w:t>odelling approach</w:t>
      </w:r>
      <w:r w:rsidRPr="003C5307">
        <w:rPr>
          <w:lang w:val="en-GB"/>
        </w:rPr>
        <w:t xml:space="preserve"> applied.</w:t>
      </w:r>
      <w:r>
        <w:rPr>
          <w:lang w:val="en-GB"/>
        </w:rPr>
        <w:t xml:space="preserve"> As shown in the figure, t</w:t>
      </w:r>
      <w:r w:rsidRPr="003C5307">
        <w:rPr>
          <w:lang w:val="en-GB"/>
        </w:rPr>
        <w:t xml:space="preserve">he first </w:t>
      </w:r>
      <w:r>
        <w:rPr>
          <w:lang w:val="en-GB"/>
        </w:rPr>
        <w:t>tool applied i</w:t>
      </w:r>
      <w:r w:rsidRPr="003C5307">
        <w:rPr>
          <w:lang w:val="en-GB"/>
        </w:rPr>
        <w:t xml:space="preserve">s the Texas A&amp;M Oilspill Calculator (TAMOC). TAMOC is a modelling suite capable of predicting the nearfield dynamics of oil and gas released from subsea incidental events (Socolofsky et al., 2015). </w:t>
      </w:r>
      <w:r>
        <w:rPr>
          <w:lang w:val="en-GB"/>
        </w:rPr>
        <w:t>The</w:t>
      </w:r>
      <w:r w:rsidRPr="003C5307">
        <w:rPr>
          <w:lang w:val="en-GB"/>
        </w:rPr>
        <w:t xml:space="preserve"> software contains general modules for handling ambient seawater data, equations of state, and bubbles and droplets dynamics in the water column</w:t>
      </w:r>
      <w:r>
        <w:rPr>
          <w:lang w:val="en-GB"/>
        </w:rPr>
        <w:t>, providing steady-state simulations</w:t>
      </w:r>
      <w:r w:rsidRPr="003C5307">
        <w:rPr>
          <w:lang w:val="en-GB"/>
        </w:rPr>
        <w:t xml:space="preserve"> (Gros et al., 2018). For </w:t>
      </w:r>
      <w:r>
        <w:rPr>
          <w:lang w:val="en-GB"/>
        </w:rPr>
        <w:t xml:space="preserve">the </w:t>
      </w:r>
      <w:r w:rsidRPr="003C5307">
        <w:rPr>
          <w:lang w:val="en-GB"/>
        </w:rPr>
        <w:t xml:space="preserve">purpose of modelling well blowouts, TAMOC Bent Plume Model (BPM) module </w:t>
      </w:r>
      <w:r>
        <w:rPr>
          <w:lang w:val="en-GB"/>
        </w:rPr>
        <w:t xml:space="preserve">was applied since </w:t>
      </w:r>
      <w:r w:rsidRPr="003C5307">
        <w:rPr>
          <w:lang w:val="en-GB"/>
        </w:rPr>
        <w:t>it can handle large-scale releases, which are typical of blowout scenarios</w:t>
      </w:r>
      <w:r>
        <w:rPr>
          <w:lang w:val="en-GB"/>
        </w:rPr>
        <w:t>. The software considers the effect of</w:t>
      </w:r>
      <w:r w:rsidRPr="003C5307">
        <w:rPr>
          <w:lang w:val="en-GB"/>
        </w:rPr>
        <w:t xml:space="preserve"> water </w:t>
      </w:r>
      <w:r>
        <w:rPr>
          <w:lang w:val="en-GB"/>
        </w:rPr>
        <w:t>tides</w:t>
      </w:r>
      <w:r w:rsidRPr="003C5307">
        <w:rPr>
          <w:lang w:val="en-GB"/>
        </w:rPr>
        <w:t>, which imply the deflection of the plume trajectory in the downwind direction and the eventual upwards transfer of gas</w:t>
      </w:r>
      <w:r>
        <w:rPr>
          <w:lang w:val="en-GB"/>
        </w:rPr>
        <w:t>eous</w:t>
      </w:r>
      <w:r w:rsidRPr="003C5307">
        <w:rPr>
          <w:lang w:val="en-GB"/>
        </w:rPr>
        <w:t xml:space="preserve"> bubbles escaping from the upstream edge of the plume (Dissanayake et al., 2018). The size of the orifice from which the substance of interest </w:t>
      </w:r>
      <w:r>
        <w:rPr>
          <w:lang w:val="en-GB"/>
        </w:rPr>
        <w:t>is released</w:t>
      </w:r>
      <w:r w:rsidRPr="003C5307">
        <w:rPr>
          <w:lang w:val="en-GB"/>
        </w:rPr>
        <w:t xml:space="preserve">, the leakage flowrate, the outflow temperature and pressure, the depth of the water column, information on the seawater profile data, and the background cross current speed in the water column are all inputs to </w:t>
      </w:r>
      <w:r>
        <w:rPr>
          <w:lang w:val="en-GB"/>
        </w:rPr>
        <w:t xml:space="preserve">the </w:t>
      </w:r>
      <w:r w:rsidRPr="003C5307">
        <w:rPr>
          <w:lang w:val="en-GB"/>
        </w:rPr>
        <w:t>TAMOC</w:t>
      </w:r>
      <w:r>
        <w:rPr>
          <w:lang w:val="en-GB"/>
        </w:rPr>
        <w:t xml:space="preserve"> software</w:t>
      </w:r>
      <w:r w:rsidRPr="003C5307">
        <w:rPr>
          <w:lang w:val="en-GB"/>
        </w:rPr>
        <w:t xml:space="preserve">. As an integral model, TAMOC does not simulate the behaviour of individual bubbles but the one of several bubble size classes. For this reason, it provides additional modules for calculating the initial bubble sizes and subsequent distributions (Wang et al., 2018). The estimates carried out with the Bent Plume Model </w:t>
      </w:r>
      <w:r>
        <w:rPr>
          <w:lang w:val="en-GB"/>
        </w:rPr>
        <w:t>provided</w:t>
      </w:r>
      <w:r w:rsidRPr="003C5307">
        <w:rPr>
          <w:lang w:val="en-GB"/>
        </w:rPr>
        <w:t xml:space="preserve"> the specific outputs used as </w:t>
      </w:r>
      <w:r>
        <w:rPr>
          <w:lang w:val="en-GB"/>
        </w:rPr>
        <w:t xml:space="preserve">an </w:t>
      </w:r>
      <w:r w:rsidRPr="003C5307">
        <w:rPr>
          <w:lang w:val="en-GB"/>
        </w:rPr>
        <w:t>input</w:t>
      </w:r>
      <w:r>
        <w:rPr>
          <w:lang w:val="en-GB"/>
        </w:rPr>
        <w:t xml:space="preserve"> to</w:t>
      </w:r>
      <w:r w:rsidRPr="003C5307">
        <w:rPr>
          <w:lang w:val="en-GB"/>
        </w:rPr>
        <w:t xml:space="preserve"> the simulation of the degassed CO</w:t>
      </w:r>
      <w:r w:rsidRPr="003C5307">
        <w:rPr>
          <w:vertAlign w:val="subscript"/>
          <w:lang w:val="en-GB"/>
        </w:rPr>
        <w:t>2</w:t>
      </w:r>
      <w:r w:rsidRPr="003C5307">
        <w:rPr>
          <w:lang w:val="en-GB"/>
        </w:rPr>
        <w:t>.</w:t>
      </w:r>
    </w:p>
    <w:p w14:paraId="61338AAE" w14:textId="77777777" w:rsidR="00871CDE" w:rsidRPr="003C5307" w:rsidRDefault="00871CDE" w:rsidP="00871CDE">
      <w:pPr>
        <w:pStyle w:val="CETBodytext"/>
        <w:rPr>
          <w:lang w:val="en-GB"/>
        </w:rPr>
      </w:pPr>
      <w:r w:rsidRPr="003C5307">
        <w:rPr>
          <w:lang w:val="en-GB"/>
        </w:rPr>
        <w:t xml:space="preserve">The software </w:t>
      </w:r>
      <w:r>
        <w:rPr>
          <w:lang w:val="en-GB"/>
        </w:rPr>
        <w:t>used</w:t>
      </w:r>
      <w:r w:rsidRPr="003C5307">
        <w:rPr>
          <w:lang w:val="en-GB"/>
        </w:rPr>
        <w:t xml:space="preserve"> to run atmospheric dispersion simulations and to assess the consequences of blowout scenarios</w:t>
      </w:r>
      <w:r>
        <w:rPr>
          <w:lang w:val="en-GB"/>
        </w:rPr>
        <w:t xml:space="preserve"> </w:t>
      </w:r>
      <w:r w:rsidRPr="003C5307">
        <w:rPr>
          <w:lang w:val="en-GB"/>
        </w:rPr>
        <w:t xml:space="preserve">on humans and animal targets is PHAST by DNV-GL. </w:t>
      </w:r>
      <w:r>
        <w:rPr>
          <w:lang w:val="en-GB"/>
        </w:rPr>
        <w:t>This software tool is widely</w:t>
      </w:r>
      <w:r w:rsidRPr="003C5307">
        <w:rPr>
          <w:lang w:val="en-GB"/>
        </w:rPr>
        <w:t xml:space="preserve"> adopted for estimating the consequences of major accidents</w:t>
      </w:r>
      <w:r>
        <w:rPr>
          <w:lang w:val="en-GB"/>
        </w:rPr>
        <w:t>. T</w:t>
      </w:r>
      <w:r w:rsidRPr="003C5307">
        <w:rPr>
          <w:lang w:val="en-GB"/>
        </w:rPr>
        <w:t>he integral model implemented in the code to model air dispersion is the Unified Dispersion Model (UDM)</w:t>
      </w:r>
      <w:r>
        <w:rPr>
          <w:lang w:val="en-GB"/>
        </w:rPr>
        <w:t>, which applies</w:t>
      </w:r>
      <w:r w:rsidRPr="003C5307">
        <w:rPr>
          <w:lang w:val="en-GB"/>
        </w:rPr>
        <w:t xml:space="preserve"> the steady-state plume mode (Witlox et al., 2012). Inputs to PHAST include meteorological parameters in addition to the free surface plume extent and degassed flow rate.</w:t>
      </w:r>
    </w:p>
    <w:p w14:paraId="115C15B9" w14:textId="77777777" w:rsidR="00871CDE" w:rsidRPr="003C5307" w:rsidRDefault="00871CDE" w:rsidP="00871CDE">
      <w:pPr>
        <w:pStyle w:val="CETHeading1"/>
        <w:rPr>
          <w:lang w:val="en-GB"/>
        </w:rPr>
      </w:pPr>
      <w:r w:rsidRPr="003C5307">
        <w:rPr>
          <w:lang w:val="en-GB"/>
        </w:rPr>
        <w:t xml:space="preserve">Case studies </w:t>
      </w:r>
    </w:p>
    <w:p w14:paraId="14BA0BE3" w14:textId="77777777" w:rsidR="00871CDE" w:rsidRDefault="00871CDE" w:rsidP="00871CDE">
      <w:pPr>
        <w:pStyle w:val="CETBodytext"/>
        <w:rPr>
          <w:rFonts w:cstheme="minorHAnsi"/>
          <w:lang w:val="en-GB"/>
        </w:rPr>
      </w:pPr>
      <w:r w:rsidRPr="003C5307">
        <w:rPr>
          <w:rFonts w:cstheme="minorHAnsi"/>
          <w:lang w:val="en-GB"/>
        </w:rPr>
        <w:t>In the present section a collection of case studies has been defined and analysed with the aim of highlighting the potential application of the identified modelling tools to plausible CO</w:t>
      </w:r>
      <w:r w:rsidRPr="003C5307">
        <w:rPr>
          <w:rFonts w:cstheme="minorHAnsi"/>
          <w:vertAlign w:val="subscript"/>
          <w:lang w:val="en-GB"/>
        </w:rPr>
        <w:t>2</w:t>
      </w:r>
      <w:r w:rsidRPr="003C5307">
        <w:rPr>
          <w:rFonts w:cstheme="minorHAnsi"/>
          <w:lang w:val="en-GB"/>
        </w:rPr>
        <w:t xml:space="preserve"> gaseous well blowout scenarios occurring from depleted natural gas fields displaced in the Adriatic Sea. In detail,</w:t>
      </w:r>
      <w:r>
        <w:rPr>
          <w:rFonts w:cstheme="minorHAnsi"/>
          <w:lang w:val="en-GB"/>
        </w:rPr>
        <w:t xml:space="preserve"> four</w:t>
      </w:r>
      <w:r w:rsidRPr="003C5307">
        <w:rPr>
          <w:rFonts w:cstheme="minorHAnsi"/>
          <w:lang w:val="en-GB"/>
        </w:rPr>
        <w:t xml:space="preserve"> case studies have been considered. </w:t>
      </w:r>
      <w:r>
        <w:rPr>
          <w:rFonts w:cstheme="minorHAnsi"/>
          <w:lang w:val="en-GB"/>
        </w:rPr>
        <w:t>In each case-study</w:t>
      </w:r>
      <w:r w:rsidRPr="003C5307">
        <w:rPr>
          <w:rFonts w:cstheme="minorHAnsi"/>
          <w:lang w:val="en-GB"/>
        </w:rPr>
        <w:t xml:space="preserve">, a seawater column depth value ranging from 10 m to 60 m has been assigned while a single value </w:t>
      </w:r>
      <w:r w:rsidRPr="003C5307">
        <w:rPr>
          <w:lang w:val="en-GB"/>
        </w:rPr>
        <w:t>of the outflow rate, equal to 200 kg/s, has been assumed for all the cases. Th</w:t>
      </w:r>
      <w:r>
        <w:rPr>
          <w:lang w:val="en-GB"/>
        </w:rPr>
        <w:t>e latter</w:t>
      </w:r>
      <w:r w:rsidRPr="003C5307">
        <w:rPr>
          <w:lang w:val="en-GB"/>
        </w:rPr>
        <w:t xml:space="preserve"> parameter has been selected based on literature data, and it represents a typical value of a sever</w:t>
      </w:r>
      <w:r>
        <w:rPr>
          <w:lang w:val="en-GB"/>
        </w:rPr>
        <w:t>e</w:t>
      </w:r>
      <w:r w:rsidRPr="003C5307">
        <w:rPr>
          <w:lang w:val="en-GB"/>
        </w:rPr>
        <w:t xml:space="preserve"> blowout (Blackford et al., 2009). The </w:t>
      </w:r>
      <w:r>
        <w:rPr>
          <w:lang w:val="en-GB"/>
        </w:rPr>
        <w:t xml:space="preserve">choice </w:t>
      </w:r>
      <w:r w:rsidRPr="003C5307">
        <w:rPr>
          <w:lang w:val="en-GB"/>
        </w:rPr>
        <w:t>of the temperature and pressure outflow values, selected equal to 10 °C and 40 bara, respectively, has been made using the same logic. To complete the definition of the source term, the size of the hole from which the substance escapes from</w:t>
      </w:r>
      <w:r w:rsidRPr="003C5307">
        <w:rPr>
          <w:rFonts w:cstheme="minorHAnsi"/>
          <w:lang w:val="en-GB"/>
        </w:rPr>
        <w:t xml:space="preserve"> the seafloor has been chosen equal to 15 cm, checking not to relapse into chocked flow conditions. Moreover, TAMOC Bent Plume Model requires the initial mean diameter (d</w:t>
      </w:r>
      <w:r w:rsidRPr="003C5307">
        <w:rPr>
          <w:rFonts w:cstheme="minorHAnsi"/>
          <w:vertAlign w:val="subscript"/>
          <w:lang w:val="en-GB"/>
        </w:rPr>
        <w:t>50</w:t>
      </w:r>
      <w:r w:rsidRPr="003C5307">
        <w:rPr>
          <w:rFonts w:cstheme="minorHAnsi"/>
          <w:lang w:val="en-GB"/>
        </w:rPr>
        <w:t xml:space="preserve">) and the sizes probability distribution of the bubbles released as inputs. </w:t>
      </w:r>
      <w:r>
        <w:rPr>
          <w:rFonts w:cstheme="minorHAnsi"/>
          <w:lang w:val="en-GB"/>
        </w:rPr>
        <w:t>To</w:t>
      </w:r>
      <w:r w:rsidRPr="003C5307">
        <w:rPr>
          <w:rFonts w:cstheme="minorHAnsi"/>
          <w:lang w:val="en-GB"/>
        </w:rPr>
        <w:t xml:space="preserve"> this regard, d</w:t>
      </w:r>
      <w:r w:rsidRPr="003C5307">
        <w:rPr>
          <w:rFonts w:cstheme="minorHAnsi"/>
          <w:vertAlign w:val="subscript"/>
          <w:lang w:val="en-GB"/>
        </w:rPr>
        <w:t>50</w:t>
      </w:r>
      <w:r w:rsidRPr="003C5307">
        <w:rPr>
          <w:rFonts w:cstheme="minorHAnsi"/>
          <w:lang w:val="en-GB"/>
        </w:rPr>
        <w:t xml:space="preserve"> has been set equal to 0.5 mm and the Rosin-Rammler distribution has been assumed to determine the diameter distributions of the bubbles in the water column (Oldenburg and Pan, 2020). Furthermore, ambient data are demanded to satisfy the input requirements for the simulations. As such, spring seawater temperature and salinity profiles of the north Adriatic Sea have been extracted from (Artegiani et al., 1997)</w:t>
      </w:r>
      <w:r w:rsidRPr="003C5307">
        <w:rPr>
          <w:rFonts w:cstheme="minorHAnsi"/>
          <w:lang w:val="en-GB"/>
        </w:rPr>
        <w:fldChar w:fldCharType="begin" w:fldLock="1"/>
      </w:r>
      <w:r w:rsidRPr="003C5307">
        <w:rPr>
          <w:rFonts w:cstheme="minorHAnsi"/>
          <w:lang w:val="en-GB"/>
        </w:rPr>
        <w:instrText>ADDIN CSL_CITATION {"citationItems":[{"id":"ITEM-1","itemData":{"DOI":"10.1175/1520-0485(1997)027&lt;1492:TASGCP&gt;2.0.CO;2","ISSN":"00223670","abstract":"A comprehensive historical hydrographic dataset for the overall Adriatic Sea basin is analyzed in order to define the open ocean seasonal climatology of the basin. The authors also define the regional climatological seasons computing the average monthly values of heat fluxes and heat storage from a variety of atmospheric datasets. The long term mean surface heat balance corresponds to a heat loss of 19-22 W m-2. Thus, in steady state, the Adriatic should import about the same amount of heat from the northern Ionian Sea through the Otranto Channel. The freshwater balance of the Adriatic Sea is defined by computing the average monthly values of evaporation, precipitation, and river runoff, obtaining an annual average gain of 1.14 m. The distribution of heat marks the difference between eastern and western Adriatic areas, showing the winter heat losses in different parts of the basin. Climatological water masses are defined for three regions of the Adriatic: (i) the northern Adriatic where seasonal variations in temperature penetrate to the bottom; deep water (NAdDW) with σ1 &gt; 29.2 kg m-3 is produced and salinity is greatly affected by river discharges; (ii) the middle Adriatic where a pool of modified NAdDW is stored during the summer season after being renewed in winter and modified Levantine Intermediate Water (MLIW) intrudes from the southern regions between spring and autumn; and (iii) the southern Adriatic where homogeneous water properties are found below 150 m (the local maximum depth of the seasonal thermocline) and a different deep water mass (SAdDW) is found with σ1 &gt; 29.1 kg m-3, T ≈ 13.5°C, and S ≈ 38.6 psu. Due to river runoff waters, the surface layers of all three regions are freshened during the spring-summer seasons. The vertical distributions of dissolved oxygen vary quantitatively in the three regions showing a springsummer subsurface maximum due to the balance between phytoplankton growth in the euphotic zone and low vertical mixing in the water column. This behavior can be reconciled with open ocean conditions except for the northernmost part of the Adriatic where well-mixed oxygen conditions prevail throughout the year. Large interannual anomalies of both temperature and salinity are found at the geographical center of the basin in surface and deep waters (100 m).","author":[{"dropping-particle":"","family":"Artegiani","given":"A.","non-dropping-particle":"","parse-names":false,"suffix":""},{"dropping-particle":"","family":"Bregant","given":"D.","non-dropping-particle":"","parse-names":false,"suffix":""},{"dropping-particle":"","family":"Paschini","given":"E.","non-dropping-particle":"","parse-names":false,"suffix":""},{"dropping-particle":"","family":"Pinardi","given":"N.","non-dropping-particle":"","parse-names":false,"suffix":""},{"dropping-particle":"","family":"Raicich","given":"F.","non-dropping-particle":"","parse-names":false,"suffix":""},{"dropping-particle":"","family":"Russo","given":"A.","non-dropping-particle":"","parse-names":false,"suffix":""}],"container-title":"Journal of Physical Oceanography","id":"ITEM-1","issue":"8","issued":{"date-parts":[["1997"]]},"page":"1492-1514","title":"The adriatic sea general circulation. Part I: Air-sea interactions and water mass structure","type":"article-journal","volume":"27"},"uris":["http://www.mendeley.com/documents/?uuid=3a574190-58c2-4d2d-b485-49063f5417a4"]}],"mendeley":{"formattedCitation":"[53]","plainTextFormattedCitation":"[53]","previouslyFormattedCitation":"[53]"},"properties":{"noteIndex":0},"schema":"https://github.com/citation-style-language/schema/raw/master/csl-citation.json"}</w:instrText>
      </w:r>
      <w:r w:rsidR="00000000">
        <w:rPr>
          <w:rFonts w:cstheme="minorHAnsi"/>
          <w:lang w:val="en-GB"/>
        </w:rPr>
        <w:fldChar w:fldCharType="separate"/>
      </w:r>
      <w:r w:rsidRPr="003C5307">
        <w:rPr>
          <w:rFonts w:cstheme="minorHAnsi"/>
          <w:lang w:val="en-GB"/>
        </w:rPr>
        <w:fldChar w:fldCharType="end"/>
      </w:r>
      <w:r w:rsidRPr="003C5307">
        <w:rPr>
          <w:rFonts w:cstheme="minorHAnsi"/>
          <w:lang w:val="en-GB"/>
        </w:rPr>
        <w:t xml:space="preserve">. Regarding the atmospheric dispersion, each case study shares the same meteorological data, which includes an air temperature of 10 °C and an ambient relative humidity of 70 %. Table 1 summarizes the input parameters adopted in the simulations. </w:t>
      </w:r>
    </w:p>
    <w:p w14:paraId="4066C75A" w14:textId="249655F5" w:rsidR="00871CDE" w:rsidRDefault="00871CDE" w:rsidP="00871CDE">
      <w:pPr>
        <w:pStyle w:val="CETTabletitle"/>
      </w:pPr>
      <w:r>
        <w:t xml:space="preserve">Table </w:t>
      </w:r>
      <w:r>
        <w:fldChar w:fldCharType="begin"/>
      </w:r>
      <w:r>
        <w:instrText xml:space="preserve"> SEQ Table \* ARABIC </w:instrText>
      </w:r>
      <w:r>
        <w:fldChar w:fldCharType="separate"/>
      </w:r>
      <w:r w:rsidR="00223611">
        <w:rPr>
          <w:noProof/>
        </w:rPr>
        <w:t>1</w:t>
      </w:r>
      <w:r>
        <w:fldChar w:fldCharType="end"/>
      </w:r>
      <w:r>
        <w:t>: Details of the case studies.</w:t>
      </w:r>
    </w:p>
    <w:tbl>
      <w:tblPr>
        <w:tblW w:w="3872"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402"/>
        <w:gridCol w:w="3403"/>
      </w:tblGrid>
      <w:tr w:rsidR="00871CDE" w:rsidRPr="00773A83" w14:paraId="3E06B2B7" w14:textId="77777777" w:rsidTr="00D677BA">
        <w:tc>
          <w:tcPr>
            <w:tcW w:w="2500" w:type="pct"/>
            <w:tcBorders>
              <w:top w:val="single" w:sz="12" w:space="0" w:color="008000"/>
              <w:bottom w:val="single" w:sz="6" w:space="0" w:color="008000"/>
            </w:tcBorders>
            <w:shd w:val="clear" w:color="auto" w:fill="FFFFFF"/>
          </w:tcPr>
          <w:p w14:paraId="41FA90E7" w14:textId="77777777" w:rsidR="00871CDE" w:rsidRPr="00773A83" w:rsidRDefault="00871CDE" w:rsidP="00D677BA">
            <w:pPr>
              <w:pStyle w:val="CETBodytext"/>
              <w:rPr>
                <w:lang w:val="en-GB"/>
              </w:rPr>
            </w:pPr>
            <w:r>
              <w:rPr>
                <w:lang w:val="en-GB"/>
              </w:rPr>
              <w:t>Parameter</w:t>
            </w:r>
          </w:p>
        </w:tc>
        <w:tc>
          <w:tcPr>
            <w:tcW w:w="2500" w:type="pct"/>
            <w:tcBorders>
              <w:top w:val="single" w:sz="12" w:space="0" w:color="008000"/>
              <w:bottom w:val="single" w:sz="6" w:space="0" w:color="008000"/>
            </w:tcBorders>
            <w:shd w:val="clear" w:color="auto" w:fill="FFFFFF"/>
          </w:tcPr>
          <w:p w14:paraId="4495B327" w14:textId="77777777" w:rsidR="00871CDE" w:rsidRPr="00773A83" w:rsidRDefault="00871CDE" w:rsidP="00D677BA">
            <w:pPr>
              <w:pStyle w:val="CETBodytext"/>
              <w:rPr>
                <w:lang w:val="en-GB"/>
              </w:rPr>
            </w:pPr>
            <w:r>
              <w:rPr>
                <w:lang w:val="en-GB"/>
              </w:rPr>
              <w:t>Value</w:t>
            </w:r>
          </w:p>
        </w:tc>
      </w:tr>
      <w:tr w:rsidR="00871CDE" w:rsidRPr="00773A83" w14:paraId="4C74179B" w14:textId="77777777" w:rsidTr="00D677BA">
        <w:tc>
          <w:tcPr>
            <w:tcW w:w="2500" w:type="pct"/>
            <w:shd w:val="clear" w:color="auto" w:fill="FFFFFF"/>
          </w:tcPr>
          <w:p w14:paraId="2202DE44" w14:textId="77777777" w:rsidR="00871CDE" w:rsidRPr="00773A83" w:rsidRDefault="00871CDE" w:rsidP="00D677BA">
            <w:pPr>
              <w:pStyle w:val="CETBodytext"/>
              <w:rPr>
                <w:lang w:val="en-GB"/>
              </w:rPr>
            </w:pPr>
            <w:r>
              <w:rPr>
                <w:lang w:val="en-GB"/>
              </w:rPr>
              <w:t>Mass outflow rate</w:t>
            </w:r>
          </w:p>
        </w:tc>
        <w:tc>
          <w:tcPr>
            <w:tcW w:w="2500" w:type="pct"/>
            <w:shd w:val="clear" w:color="auto" w:fill="FFFFFF"/>
          </w:tcPr>
          <w:p w14:paraId="63158AA0" w14:textId="77777777" w:rsidR="00871CDE" w:rsidRPr="00773A83" w:rsidRDefault="00871CDE" w:rsidP="00D677BA">
            <w:pPr>
              <w:pStyle w:val="CETBodytext"/>
              <w:rPr>
                <w:lang w:val="en-GB"/>
              </w:rPr>
            </w:pPr>
            <w:r>
              <w:rPr>
                <w:lang w:val="en-GB"/>
              </w:rPr>
              <w:t>200 kg/s</w:t>
            </w:r>
          </w:p>
        </w:tc>
      </w:tr>
      <w:tr w:rsidR="00871CDE" w:rsidRPr="00773A83" w14:paraId="0407AC78" w14:textId="77777777" w:rsidTr="00D677BA">
        <w:tc>
          <w:tcPr>
            <w:tcW w:w="2500" w:type="pct"/>
            <w:shd w:val="clear" w:color="auto" w:fill="FFFFFF"/>
          </w:tcPr>
          <w:p w14:paraId="1CBA7C56" w14:textId="77777777" w:rsidR="00871CDE" w:rsidRPr="00773A83" w:rsidRDefault="00871CDE" w:rsidP="00D677BA">
            <w:pPr>
              <w:pStyle w:val="CETBodytext"/>
              <w:ind w:right="-1"/>
              <w:rPr>
                <w:rFonts w:cs="Arial"/>
                <w:szCs w:val="18"/>
                <w:lang w:val="en-GB"/>
              </w:rPr>
            </w:pPr>
            <w:r>
              <w:rPr>
                <w:rFonts w:cs="Arial"/>
                <w:szCs w:val="18"/>
                <w:lang w:val="en-GB"/>
              </w:rPr>
              <w:t>Outflow temperature</w:t>
            </w:r>
          </w:p>
        </w:tc>
        <w:tc>
          <w:tcPr>
            <w:tcW w:w="2500" w:type="pct"/>
            <w:shd w:val="clear" w:color="auto" w:fill="FFFFFF"/>
          </w:tcPr>
          <w:p w14:paraId="3940BFB7" w14:textId="77777777" w:rsidR="00871CDE" w:rsidRPr="00773A83" w:rsidRDefault="00871CDE" w:rsidP="00D677BA">
            <w:pPr>
              <w:pStyle w:val="CETBodytext"/>
              <w:ind w:right="-1"/>
              <w:rPr>
                <w:rFonts w:cs="Arial"/>
                <w:szCs w:val="18"/>
                <w:lang w:val="en-GB"/>
              </w:rPr>
            </w:pPr>
            <w:r>
              <w:rPr>
                <w:rFonts w:cs="Arial"/>
                <w:szCs w:val="18"/>
                <w:lang w:val="en-GB"/>
              </w:rPr>
              <w:t>10 °C</w:t>
            </w:r>
          </w:p>
        </w:tc>
      </w:tr>
      <w:tr w:rsidR="00871CDE" w:rsidRPr="00773A83" w14:paraId="57B6C2B7" w14:textId="77777777" w:rsidTr="00D677BA">
        <w:tc>
          <w:tcPr>
            <w:tcW w:w="2500" w:type="pct"/>
            <w:shd w:val="clear" w:color="auto" w:fill="FFFFFF"/>
          </w:tcPr>
          <w:p w14:paraId="35703B08" w14:textId="77777777" w:rsidR="00871CDE" w:rsidRDefault="00871CDE" w:rsidP="00D677BA">
            <w:pPr>
              <w:pStyle w:val="CETBodytext"/>
              <w:ind w:right="-1"/>
              <w:rPr>
                <w:rFonts w:cs="Arial"/>
                <w:szCs w:val="18"/>
                <w:lang w:val="en-GB"/>
              </w:rPr>
            </w:pPr>
            <w:r>
              <w:rPr>
                <w:rFonts w:cs="Arial"/>
                <w:szCs w:val="18"/>
                <w:lang w:val="en-GB"/>
              </w:rPr>
              <w:t>Outflow pressure</w:t>
            </w:r>
          </w:p>
        </w:tc>
        <w:tc>
          <w:tcPr>
            <w:tcW w:w="2500" w:type="pct"/>
            <w:shd w:val="clear" w:color="auto" w:fill="FFFFFF"/>
          </w:tcPr>
          <w:p w14:paraId="2D9567AA" w14:textId="77777777" w:rsidR="00871CDE" w:rsidRDefault="00871CDE" w:rsidP="00D677BA">
            <w:pPr>
              <w:pStyle w:val="CETBodytext"/>
              <w:ind w:right="-1"/>
              <w:rPr>
                <w:rFonts w:cs="Arial"/>
                <w:szCs w:val="18"/>
                <w:lang w:val="en-GB"/>
              </w:rPr>
            </w:pPr>
            <w:r>
              <w:rPr>
                <w:rFonts w:cs="Arial"/>
                <w:szCs w:val="18"/>
                <w:lang w:val="en-GB"/>
              </w:rPr>
              <w:t>40 bara</w:t>
            </w:r>
          </w:p>
        </w:tc>
      </w:tr>
      <w:tr w:rsidR="00871CDE" w:rsidRPr="00773A83" w14:paraId="4B26B7BD" w14:textId="77777777" w:rsidTr="00D677BA">
        <w:tc>
          <w:tcPr>
            <w:tcW w:w="2500" w:type="pct"/>
            <w:shd w:val="clear" w:color="auto" w:fill="FFFFFF"/>
          </w:tcPr>
          <w:p w14:paraId="1958DE25" w14:textId="77777777" w:rsidR="00871CDE" w:rsidRDefault="00871CDE" w:rsidP="00D677BA">
            <w:pPr>
              <w:pStyle w:val="CETBodytext"/>
              <w:ind w:right="-1"/>
              <w:rPr>
                <w:rFonts w:cs="Arial"/>
                <w:szCs w:val="18"/>
                <w:lang w:val="en-GB"/>
              </w:rPr>
            </w:pPr>
            <w:r>
              <w:rPr>
                <w:rFonts w:cs="Arial"/>
                <w:szCs w:val="18"/>
                <w:lang w:val="en-GB"/>
              </w:rPr>
              <w:t>Hole size</w:t>
            </w:r>
          </w:p>
        </w:tc>
        <w:tc>
          <w:tcPr>
            <w:tcW w:w="2500" w:type="pct"/>
            <w:shd w:val="clear" w:color="auto" w:fill="FFFFFF"/>
          </w:tcPr>
          <w:p w14:paraId="014EE7FE" w14:textId="77777777" w:rsidR="00871CDE" w:rsidRDefault="00871CDE" w:rsidP="00D677BA">
            <w:pPr>
              <w:pStyle w:val="CETBodytext"/>
              <w:ind w:right="-1"/>
              <w:rPr>
                <w:rFonts w:cs="Arial"/>
                <w:szCs w:val="18"/>
                <w:lang w:val="en-GB"/>
              </w:rPr>
            </w:pPr>
            <w:r>
              <w:rPr>
                <w:rFonts w:cs="Arial"/>
                <w:szCs w:val="18"/>
                <w:lang w:val="en-GB"/>
              </w:rPr>
              <w:t>150 mm</w:t>
            </w:r>
          </w:p>
        </w:tc>
      </w:tr>
      <w:tr w:rsidR="00871CDE" w:rsidRPr="00773A83" w14:paraId="1C3209E6" w14:textId="77777777" w:rsidTr="00D677BA">
        <w:tc>
          <w:tcPr>
            <w:tcW w:w="2500" w:type="pct"/>
            <w:shd w:val="clear" w:color="auto" w:fill="FFFFFF"/>
          </w:tcPr>
          <w:p w14:paraId="2763BDE8" w14:textId="77777777" w:rsidR="00871CDE" w:rsidRPr="005D19B6" w:rsidRDefault="00871CDE" w:rsidP="00D677BA">
            <w:pPr>
              <w:pStyle w:val="CETBodytext"/>
              <w:ind w:right="-1"/>
              <w:rPr>
                <w:rFonts w:cs="Arial"/>
                <w:szCs w:val="18"/>
                <w:lang w:val="en-GB"/>
              </w:rPr>
            </w:pPr>
            <w:r>
              <w:rPr>
                <w:rFonts w:cs="Arial"/>
                <w:szCs w:val="18"/>
                <w:lang w:val="en-GB"/>
              </w:rPr>
              <w:t>Mean bubble diameter (</w:t>
            </w:r>
            <w:r w:rsidRPr="003C5307">
              <w:rPr>
                <w:rFonts w:cstheme="minorHAnsi"/>
                <w:lang w:val="en-GB"/>
              </w:rPr>
              <w:t>d</w:t>
            </w:r>
            <w:r w:rsidRPr="003C5307">
              <w:rPr>
                <w:rFonts w:cstheme="minorHAnsi"/>
                <w:vertAlign w:val="subscript"/>
                <w:lang w:val="en-GB"/>
              </w:rPr>
              <w:t>50</w:t>
            </w:r>
            <w:r>
              <w:rPr>
                <w:rFonts w:cstheme="minorHAnsi"/>
                <w:lang w:val="en-GB"/>
              </w:rPr>
              <w:t>)</w:t>
            </w:r>
          </w:p>
        </w:tc>
        <w:tc>
          <w:tcPr>
            <w:tcW w:w="2500" w:type="pct"/>
            <w:shd w:val="clear" w:color="auto" w:fill="FFFFFF"/>
          </w:tcPr>
          <w:p w14:paraId="38792FF8" w14:textId="77777777" w:rsidR="00871CDE" w:rsidRDefault="00871CDE" w:rsidP="00D677BA">
            <w:pPr>
              <w:pStyle w:val="CETBodytext"/>
              <w:ind w:right="-1"/>
              <w:rPr>
                <w:rFonts w:cs="Arial"/>
                <w:szCs w:val="18"/>
                <w:lang w:val="en-GB"/>
              </w:rPr>
            </w:pPr>
            <w:r>
              <w:rPr>
                <w:rFonts w:cs="Arial"/>
                <w:szCs w:val="18"/>
                <w:lang w:val="en-GB"/>
              </w:rPr>
              <w:t>0.5 mm</w:t>
            </w:r>
          </w:p>
        </w:tc>
      </w:tr>
      <w:tr w:rsidR="00871CDE" w:rsidRPr="00773A83" w14:paraId="6230E2FC" w14:textId="77777777" w:rsidTr="00D677BA">
        <w:tc>
          <w:tcPr>
            <w:tcW w:w="2500" w:type="pct"/>
            <w:shd w:val="clear" w:color="auto" w:fill="FFFFFF"/>
          </w:tcPr>
          <w:p w14:paraId="46B27700" w14:textId="77777777" w:rsidR="00871CDE" w:rsidRDefault="00871CDE" w:rsidP="00D677BA">
            <w:pPr>
              <w:pStyle w:val="CETBodytext"/>
              <w:ind w:right="-1"/>
              <w:rPr>
                <w:rFonts w:cs="Arial"/>
                <w:szCs w:val="18"/>
                <w:lang w:val="en-GB"/>
              </w:rPr>
            </w:pPr>
            <w:r>
              <w:rPr>
                <w:rFonts w:cs="Arial"/>
                <w:szCs w:val="18"/>
                <w:lang w:val="en-GB"/>
              </w:rPr>
              <w:t>Water column depth</w:t>
            </w:r>
          </w:p>
        </w:tc>
        <w:tc>
          <w:tcPr>
            <w:tcW w:w="2500" w:type="pct"/>
            <w:shd w:val="clear" w:color="auto" w:fill="FFFFFF"/>
          </w:tcPr>
          <w:p w14:paraId="478C088D" w14:textId="77777777" w:rsidR="00871CDE" w:rsidRDefault="00871CDE" w:rsidP="00D677BA">
            <w:pPr>
              <w:pStyle w:val="CETBodytext"/>
              <w:ind w:right="-1"/>
              <w:rPr>
                <w:rFonts w:cs="Arial"/>
                <w:szCs w:val="18"/>
                <w:lang w:val="en-GB"/>
              </w:rPr>
            </w:pPr>
            <w:r>
              <w:rPr>
                <w:rFonts w:cs="Arial"/>
                <w:szCs w:val="18"/>
                <w:lang w:val="en-GB"/>
              </w:rPr>
              <w:t>10, 20, 40, 60 m</w:t>
            </w:r>
          </w:p>
        </w:tc>
      </w:tr>
      <w:tr w:rsidR="00871CDE" w:rsidRPr="00773A83" w14:paraId="5569DAB5" w14:textId="77777777" w:rsidTr="00D677BA">
        <w:tc>
          <w:tcPr>
            <w:tcW w:w="2500" w:type="pct"/>
            <w:shd w:val="clear" w:color="auto" w:fill="FFFFFF"/>
          </w:tcPr>
          <w:p w14:paraId="0880CE9E" w14:textId="77777777" w:rsidR="00871CDE" w:rsidRDefault="00871CDE" w:rsidP="00D677BA">
            <w:pPr>
              <w:pStyle w:val="CETBodytext"/>
              <w:ind w:right="-1"/>
              <w:rPr>
                <w:rFonts w:cs="Arial"/>
                <w:szCs w:val="18"/>
                <w:lang w:val="en-GB"/>
              </w:rPr>
            </w:pPr>
            <w:r>
              <w:rPr>
                <w:rFonts w:cs="Arial"/>
                <w:szCs w:val="18"/>
                <w:lang w:val="en-GB"/>
              </w:rPr>
              <w:t>Air temperature</w:t>
            </w:r>
          </w:p>
        </w:tc>
        <w:tc>
          <w:tcPr>
            <w:tcW w:w="2500" w:type="pct"/>
            <w:shd w:val="clear" w:color="auto" w:fill="FFFFFF"/>
          </w:tcPr>
          <w:p w14:paraId="50833A8C" w14:textId="77777777" w:rsidR="00871CDE" w:rsidRDefault="00871CDE" w:rsidP="00D677BA">
            <w:pPr>
              <w:pStyle w:val="CETBodytext"/>
              <w:ind w:right="-1"/>
              <w:rPr>
                <w:rFonts w:cs="Arial"/>
                <w:szCs w:val="18"/>
                <w:lang w:val="en-GB"/>
              </w:rPr>
            </w:pPr>
            <w:r>
              <w:rPr>
                <w:rFonts w:cs="Arial"/>
                <w:szCs w:val="18"/>
                <w:lang w:val="en-GB"/>
              </w:rPr>
              <w:t>10 °C</w:t>
            </w:r>
          </w:p>
        </w:tc>
      </w:tr>
      <w:tr w:rsidR="00871CDE" w:rsidRPr="00773A83" w14:paraId="375174A8" w14:textId="77777777" w:rsidTr="00D677BA">
        <w:tc>
          <w:tcPr>
            <w:tcW w:w="2500" w:type="pct"/>
            <w:shd w:val="clear" w:color="auto" w:fill="FFFFFF"/>
          </w:tcPr>
          <w:p w14:paraId="58F84764" w14:textId="77777777" w:rsidR="00871CDE" w:rsidRDefault="00871CDE" w:rsidP="00D677BA">
            <w:pPr>
              <w:pStyle w:val="CETBodytext"/>
              <w:ind w:right="-1"/>
              <w:rPr>
                <w:rFonts w:cs="Arial"/>
                <w:szCs w:val="18"/>
                <w:lang w:val="en-GB"/>
              </w:rPr>
            </w:pPr>
            <w:r>
              <w:rPr>
                <w:rFonts w:cs="Arial"/>
                <w:szCs w:val="18"/>
                <w:lang w:val="en-GB"/>
              </w:rPr>
              <w:t>Humidity</w:t>
            </w:r>
          </w:p>
        </w:tc>
        <w:tc>
          <w:tcPr>
            <w:tcW w:w="2500" w:type="pct"/>
            <w:shd w:val="clear" w:color="auto" w:fill="FFFFFF"/>
          </w:tcPr>
          <w:p w14:paraId="47D7A7E9" w14:textId="77777777" w:rsidR="00871CDE" w:rsidRDefault="00871CDE" w:rsidP="00D677BA">
            <w:pPr>
              <w:pStyle w:val="CETBodytext"/>
              <w:ind w:right="-1"/>
              <w:rPr>
                <w:rFonts w:cs="Arial"/>
                <w:szCs w:val="18"/>
                <w:lang w:val="en-GB"/>
              </w:rPr>
            </w:pPr>
            <w:r>
              <w:rPr>
                <w:rFonts w:cs="Arial"/>
                <w:szCs w:val="18"/>
                <w:lang w:val="en-GB"/>
              </w:rPr>
              <w:t>70 %</w:t>
            </w:r>
          </w:p>
        </w:tc>
      </w:tr>
    </w:tbl>
    <w:p w14:paraId="4AF510CB" w14:textId="77777777" w:rsidR="00871CDE" w:rsidRPr="003C5307" w:rsidRDefault="00871CDE" w:rsidP="00871CDE">
      <w:pPr>
        <w:pStyle w:val="CETHeading1"/>
        <w:rPr>
          <w:lang w:val="en-GB"/>
        </w:rPr>
      </w:pPr>
      <w:r w:rsidRPr="003C5307">
        <w:rPr>
          <w:lang w:val="en-GB"/>
        </w:rPr>
        <w:t>Results and discussion</w:t>
      </w:r>
    </w:p>
    <w:p w14:paraId="36922BB1" w14:textId="77777777" w:rsidR="00871CDE" w:rsidRPr="003C5307" w:rsidRDefault="00871CDE" w:rsidP="00871CDE">
      <w:pPr>
        <w:pStyle w:val="CETBodytext"/>
        <w:rPr>
          <w:lang w:val="en-GB"/>
        </w:rPr>
      </w:pPr>
      <w:r w:rsidRPr="003C5307">
        <w:rPr>
          <w:lang w:val="en-GB"/>
        </w:rPr>
        <w:t xml:space="preserve">Figure 2 </w:t>
      </w:r>
      <w:r>
        <w:rPr>
          <w:lang w:val="en-GB"/>
        </w:rPr>
        <w:t xml:space="preserve">reports </w:t>
      </w:r>
      <w:r w:rsidRPr="003C5307">
        <w:rPr>
          <w:lang w:val="en-GB"/>
        </w:rPr>
        <w:t>the TAMOC outcomes concern</w:t>
      </w:r>
      <w:r>
        <w:rPr>
          <w:lang w:val="en-GB"/>
        </w:rPr>
        <w:t>ing</w:t>
      </w:r>
      <w:r w:rsidRPr="003C5307">
        <w:rPr>
          <w:lang w:val="en-GB"/>
        </w:rPr>
        <w:t xml:space="preserve"> the marine dispersion of CO</w:t>
      </w:r>
      <w:r w:rsidRPr="003C5307">
        <w:rPr>
          <w:vertAlign w:val="subscript"/>
          <w:lang w:val="en-GB"/>
        </w:rPr>
        <w:t>2</w:t>
      </w:r>
      <w:r w:rsidRPr="003C5307">
        <w:rPr>
          <w:lang w:val="en-GB"/>
        </w:rPr>
        <w:t xml:space="preserve"> bubbles</w:t>
      </w:r>
      <w:r>
        <w:rPr>
          <w:lang w:val="en-GB"/>
        </w:rPr>
        <w:t>, reporting the</w:t>
      </w:r>
      <w:r w:rsidRPr="003C5307">
        <w:rPr>
          <w:lang w:val="en-GB"/>
        </w:rPr>
        <w:t xml:space="preserve"> CO</w:t>
      </w:r>
      <w:r w:rsidRPr="003C5307">
        <w:rPr>
          <w:vertAlign w:val="subscript"/>
          <w:lang w:val="en-GB"/>
        </w:rPr>
        <w:t>2</w:t>
      </w:r>
      <w:r w:rsidRPr="003C5307">
        <w:rPr>
          <w:lang w:val="en-GB"/>
        </w:rPr>
        <w:t xml:space="preserve"> flow rate dissolved in the water column for </w:t>
      </w:r>
      <w:r>
        <w:rPr>
          <w:lang w:val="en-GB"/>
        </w:rPr>
        <w:t>the different release depths assumed for the case studies</w:t>
      </w:r>
      <w:r w:rsidRPr="003C5307">
        <w:rPr>
          <w:lang w:val="en-GB"/>
        </w:rPr>
        <w:t>. As shown</w:t>
      </w:r>
      <w:r>
        <w:rPr>
          <w:lang w:val="en-GB"/>
        </w:rPr>
        <w:t xml:space="preserve"> </w:t>
      </w:r>
      <w:r>
        <w:rPr>
          <w:lang w:val="en-GB"/>
        </w:rPr>
        <w:lastRenderedPageBreak/>
        <w:t xml:space="preserve">in the figure, </w:t>
      </w:r>
      <w:r w:rsidRPr="003C5307">
        <w:rPr>
          <w:lang w:val="en-GB"/>
        </w:rPr>
        <w:t>the CO</w:t>
      </w:r>
      <w:r w:rsidRPr="003C5307">
        <w:rPr>
          <w:vertAlign w:val="subscript"/>
          <w:lang w:val="en-GB"/>
        </w:rPr>
        <w:t>2</w:t>
      </w:r>
      <w:r w:rsidRPr="003C5307">
        <w:rPr>
          <w:lang w:val="en-GB"/>
        </w:rPr>
        <w:t xml:space="preserve"> leakage flow rate is strongly attenuated for water column heights greater than 30 m. Almost all the leaked CO</w:t>
      </w:r>
      <w:r w:rsidRPr="003C5307">
        <w:rPr>
          <w:vertAlign w:val="subscript"/>
          <w:lang w:val="en-GB"/>
        </w:rPr>
        <w:t>2</w:t>
      </w:r>
      <w:r w:rsidRPr="003C5307">
        <w:rPr>
          <w:lang w:val="en-GB"/>
        </w:rPr>
        <w:t xml:space="preserve"> dissolves in the water column for the 60 m-deep case</w:t>
      </w:r>
      <w:r>
        <w:rPr>
          <w:lang w:val="en-GB"/>
        </w:rPr>
        <w:t>. Differently,</w:t>
      </w:r>
      <w:r w:rsidRPr="003C5307">
        <w:rPr>
          <w:lang w:val="en-GB"/>
        </w:rPr>
        <w:t xml:space="preserve"> </w:t>
      </w:r>
      <w:r>
        <w:rPr>
          <w:lang w:val="en-GB"/>
        </w:rPr>
        <w:t xml:space="preserve">when the release occurs at a depth of 10 m, </w:t>
      </w:r>
      <w:r w:rsidRPr="003C5307">
        <w:rPr>
          <w:lang w:val="en-GB"/>
        </w:rPr>
        <w:t>nearly all the leaked CO</w:t>
      </w:r>
      <w:r w:rsidRPr="003C5307">
        <w:rPr>
          <w:vertAlign w:val="subscript"/>
          <w:lang w:val="en-GB"/>
        </w:rPr>
        <w:t>2</w:t>
      </w:r>
      <w:r w:rsidRPr="003C5307">
        <w:rPr>
          <w:lang w:val="en-GB"/>
        </w:rPr>
        <w:t xml:space="preserve"> is emitted to the atmosphere.</w:t>
      </w:r>
      <w:r>
        <w:rPr>
          <w:lang w:val="en-GB"/>
        </w:rPr>
        <w:t xml:space="preserve"> </w:t>
      </w:r>
      <w:r w:rsidRPr="003C5307">
        <w:rPr>
          <w:lang w:val="en-GB"/>
        </w:rPr>
        <w:t>The factors that influence the behaviour of CO</w:t>
      </w:r>
      <w:r w:rsidRPr="003C5307">
        <w:rPr>
          <w:vertAlign w:val="subscript"/>
          <w:lang w:val="en-GB"/>
        </w:rPr>
        <w:t>2</w:t>
      </w:r>
      <w:r w:rsidRPr="003C5307">
        <w:rPr>
          <w:lang w:val="en-GB"/>
        </w:rPr>
        <w:t xml:space="preserve"> along the water column are the solubility and the dimension of the gaseous bubbles. In detail, the high solubility of CO</w:t>
      </w:r>
      <w:r w:rsidRPr="003C5307">
        <w:rPr>
          <w:vertAlign w:val="subscript"/>
          <w:lang w:val="en-GB"/>
        </w:rPr>
        <w:t>2</w:t>
      </w:r>
      <w:r w:rsidRPr="003C5307">
        <w:rPr>
          <w:lang w:val="en-GB"/>
        </w:rPr>
        <w:t xml:space="preserve"> in water together with the small dimension of the bubbles formed enhance </w:t>
      </w:r>
      <w:r>
        <w:rPr>
          <w:lang w:val="en-GB"/>
        </w:rPr>
        <w:t xml:space="preserve">the </w:t>
      </w:r>
      <w:r w:rsidRPr="003C5307">
        <w:rPr>
          <w:lang w:val="en-GB"/>
        </w:rPr>
        <w:t xml:space="preserve">dissolution process. </w:t>
      </w:r>
      <w:r>
        <w:rPr>
          <w:lang w:val="en-GB"/>
        </w:rPr>
        <w:t>In p</w:t>
      </w:r>
      <w:r w:rsidRPr="003C5307">
        <w:rPr>
          <w:lang w:val="en-GB"/>
        </w:rPr>
        <w:t>articular, small bubble size crates a high surface area to volume ratio improving fast dissolution (Olsen and Skjetne, 2016). Moreover, smaller bubble sizes imply higher time for dissolution due to slower rise velocities, so impacting on the dissolution rate. Since CO</w:t>
      </w:r>
      <w:r w:rsidRPr="003C5307">
        <w:rPr>
          <w:vertAlign w:val="subscript"/>
          <w:lang w:val="en-GB"/>
        </w:rPr>
        <w:t>2</w:t>
      </w:r>
      <w:r w:rsidRPr="003C5307">
        <w:rPr>
          <w:lang w:val="en-GB"/>
        </w:rPr>
        <w:t xml:space="preserve"> dissolves either partially or totally in the water column, it might be interesting to discuss the trend of the dissolved CO</w:t>
      </w:r>
      <w:r w:rsidRPr="003C5307">
        <w:rPr>
          <w:vertAlign w:val="subscript"/>
          <w:lang w:val="en-GB"/>
        </w:rPr>
        <w:t>2</w:t>
      </w:r>
      <w:r w:rsidRPr="003C5307">
        <w:rPr>
          <w:lang w:val="en-GB"/>
        </w:rPr>
        <w:t xml:space="preserve"> concentration along the water column. Figure 3 shows the tendency analysed for</w:t>
      </w:r>
      <w:r>
        <w:rPr>
          <w:lang w:val="en-GB"/>
        </w:rPr>
        <w:t xml:space="preserve"> the</w:t>
      </w:r>
      <w:r w:rsidRPr="003C5307">
        <w:rPr>
          <w:lang w:val="en-GB"/>
        </w:rPr>
        <w:t xml:space="preserve"> 10, 20, 40, and 60 m-deep spill events. As depicted, for the 10 and 20 m-deep scenarios, the concentration of CO</w:t>
      </w:r>
      <w:r w:rsidRPr="003C5307">
        <w:rPr>
          <w:vertAlign w:val="subscript"/>
          <w:lang w:val="en-GB"/>
        </w:rPr>
        <w:t>2</w:t>
      </w:r>
      <w:r w:rsidRPr="003C5307">
        <w:rPr>
          <w:lang w:val="en-GB"/>
        </w:rPr>
        <w:t xml:space="preserve"> dissolved in the seawater increases with the water column depth. On the contrary, for the other case studies, the concentration of the dissolved CO</w:t>
      </w:r>
      <w:r w:rsidRPr="003C5307">
        <w:rPr>
          <w:vertAlign w:val="subscript"/>
          <w:lang w:val="en-GB"/>
        </w:rPr>
        <w:t>2</w:t>
      </w:r>
      <w:r w:rsidRPr="003C5307">
        <w:rPr>
          <w:lang w:val="en-GB"/>
        </w:rPr>
        <w:t xml:space="preserve"> increases up to a water column depth of approximately 35 m, then decreases.</w:t>
      </w:r>
    </w:p>
    <w:p w14:paraId="20A2E704" w14:textId="77777777" w:rsidR="00871CDE" w:rsidRPr="003C5307" w:rsidRDefault="00871CDE" w:rsidP="00871CDE">
      <w:pPr>
        <w:pStyle w:val="CETBodytext"/>
        <w:rPr>
          <w:rFonts w:cstheme="minorHAnsi"/>
          <w:lang w:val="en-GB"/>
        </w:rPr>
      </w:pPr>
    </w:p>
    <w:p w14:paraId="24854365" w14:textId="77777777" w:rsidR="00871CDE" w:rsidRPr="003C5307" w:rsidRDefault="00871CDE" w:rsidP="00871CDE">
      <w:pPr>
        <w:jc w:val="left"/>
        <w:rPr>
          <w:rFonts w:cstheme="minorHAnsi"/>
        </w:rPr>
      </w:pPr>
      <w:r w:rsidRPr="00AE1AC2">
        <w:rPr>
          <w:noProof/>
        </w:rPr>
        <w:drawing>
          <wp:inline distT="0" distB="0" distL="0" distR="0" wp14:anchorId="65B28F5E" wp14:editId="0E32ED8E">
            <wp:extent cx="3897786" cy="2700000"/>
            <wp:effectExtent l="0" t="0" r="762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7786" cy="2700000"/>
                    </a:xfrm>
                    <a:prstGeom prst="rect">
                      <a:avLst/>
                    </a:prstGeom>
                    <a:noFill/>
                    <a:ln>
                      <a:noFill/>
                    </a:ln>
                  </pic:spPr>
                </pic:pic>
              </a:graphicData>
            </a:graphic>
          </wp:inline>
        </w:drawing>
      </w:r>
    </w:p>
    <w:p w14:paraId="27774359" w14:textId="43D1A0C1" w:rsidR="00871CDE" w:rsidRPr="003C5307" w:rsidRDefault="00871CDE" w:rsidP="00871CDE">
      <w:pPr>
        <w:pStyle w:val="CETCaption"/>
      </w:pPr>
      <w:r w:rsidRPr="003C5307">
        <w:t>Figure 2: Flow rate of CO</w:t>
      </w:r>
      <w:r w:rsidRPr="003C5307">
        <w:rPr>
          <w:vertAlign w:val="subscript"/>
        </w:rPr>
        <w:t>2</w:t>
      </w:r>
      <w:r w:rsidRPr="003C5307">
        <w:t xml:space="preserve"> dissolved in the water column as a function of water column height</w:t>
      </w:r>
      <w:r w:rsidR="007C5B28">
        <w:t>; d</w:t>
      </w:r>
      <w:r w:rsidR="00945B6E">
        <w:t>ashed lines correspond to the different water column depth</w:t>
      </w:r>
      <w:r w:rsidR="007C5B28">
        <w:t>s</w:t>
      </w:r>
      <w:r w:rsidR="00945B6E">
        <w:t xml:space="preserve"> considered in the case</w:t>
      </w:r>
      <w:r w:rsidR="007C5B28">
        <w:t xml:space="preserve"> </w:t>
      </w:r>
      <w:r w:rsidR="00945B6E">
        <w:t>studies (see Table 1).</w:t>
      </w:r>
    </w:p>
    <w:p w14:paraId="255F7604" w14:textId="77777777" w:rsidR="00871CDE" w:rsidRPr="003C5307" w:rsidRDefault="00871CDE" w:rsidP="00871CDE">
      <w:pPr>
        <w:rPr>
          <w:rFonts w:cstheme="minorHAnsi"/>
        </w:rPr>
      </w:pPr>
    </w:p>
    <w:p w14:paraId="5A3F3245" w14:textId="77777777" w:rsidR="00871CDE" w:rsidRPr="003C5307" w:rsidRDefault="00871CDE" w:rsidP="00871CDE">
      <w:pPr>
        <w:pStyle w:val="CETBodytext"/>
        <w:jc w:val="left"/>
        <w:rPr>
          <w:lang w:val="en-GB"/>
        </w:rPr>
      </w:pPr>
      <w:r w:rsidRPr="003C5307">
        <w:rPr>
          <w:noProof/>
          <w:lang w:val="en-GB"/>
        </w:rPr>
        <w:drawing>
          <wp:inline distT="0" distB="0" distL="0" distR="0" wp14:anchorId="52D02359" wp14:editId="15E8E11B">
            <wp:extent cx="4170778" cy="2700000"/>
            <wp:effectExtent l="0" t="0" r="127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0778" cy="2700000"/>
                    </a:xfrm>
                    <a:prstGeom prst="rect">
                      <a:avLst/>
                    </a:prstGeom>
                    <a:noFill/>
                    <a:ln>
                      <a:noFill/>
                    </a:ln>
                  </pic:spPr>
                </pic:pic>
              </a:graphicData>
            </a:graphic>
          </wp:inline>
        </w:drawing>
      </w:r>
    </w:p>
    <w:p w14:paraId="45787175" w14:textId="77777777" w:rsidR="00871CDE" w:rsidRPr="003C5307" w:rsidRDefault="00871CDE" w:rsidP="00871CDE">
      <w:pPr>
        <w:pStyle w:val="CETCaption"/>
        <w:rPr>
          <w:rFonts w:cstheme="minorHAnsi"/>
        </w:rPr>
      </w:pPr>
      <w:r w:rsidRPr="003C5307">
        <w:t>Figure 3: Concentration of dissolved CO</w:t>
      </w:r>
      <w:r w:rsidRPr="003C5307">
        <w:rPr>
          <w:vertAlign w:val="subscript"/>
        </w:rPr>
        <w:t>2</w:t>
      </w:r>
      <w:r w:rsidRPr="003C5307">
        <w:t xml:space="preserve"> in the water column as a function of water column height.</w:t>
      </w:r>
    </w:p>
    <w:p w14:paraId="38A58107" w14:textId="301A0D00" w:rsidR="00871CDE" w:rsidRDefault="00871CDE" w:rsidP="00871CDE">
      <w:pPr>
        <w:pStyle w:val="CETBodytext"/>
        <w:rPr>
          <w:lang w:val="en-GB"/>
        </w:rPr>
      </w:pPr>
      <w:r>
        <w:rPr>
          <w:lang w:val="en-GB"/>
        </w:rPr>
        <w:lastRenderedPageBreak/>
        <w:t>When</w:t>
      </w:r>
      <w:r w:rsidRPr="003C5307">
        <w:rPr>
          <w:lang w:val="en-GB"/>
        </w:rPr>
        <w:t xml:space="preserve"> atmospheric dispersion</w:t>
      </w:r>
      <w:r>
        <w:rPr>
          <w:lang w:val="en-GB"/>
        </w:rPr>
        <w:t xml:space="preserve"> is considered</w:t>
      </w:r>
      <w:r w:rsidRPr="003C5307">
        <w:rPr>
          <w:lang w:val="en-GB"/>
        </w:rPr>
        <w:t>, Figure 4</w:t>
      </w:r>
      <w:r>
        <w:rPr>
          <w:lang w:val="en-GB"/>
        </w:rPr>
        <w:t xml:space="preserve"> reports the results obtained from the </w:t>
      </w:r>
      <w:r w:rsidRPr="003C5307">
        <w:rPr>
          <w:lang w:val="en-GB"/>
        </w:rPr>
        <w:t xml:space="preserve">PHAST </w:t>
      </w:r>
      <w:r>
        <w:rPr>
          <w:lang w:val="en-GB"/>
        </w:rPr>
        <w:t>software. The figure reports the</w:t>
      </w:r>
      <w:r w:rsidRPr="003C5307">
        <w:rPr>
          <w:lang w:val="en-GB"/>
        </w:rPr>
        <w:t xml:space="preserve"> damage distances corresponding to specific CO</w:t>
      </w:r>
      <w:r w:rsidRPr="003C5307">
        <w:rPr>
          <w:vertAlign w:val="subscript"/>
          <w:lang w:val="en-GB"/>
        </w:rPr>
        <w:t>2</w:t>
      </w:r>
      <w:r w:rsidRPr="003C5307">
        <w:rPr>
          <w:lang w:val="en-GB"/>
        </w:rPr>
        <w:t xml:space="preserve"> damage threshold</w:t>
      </w:r>
      <w:r>
        <w:rPr>
          <w:lang w:val="en-GB"/>
        </w:rPr>
        <w:t>s</w:t>
      </w:r>
      <w:r w:rsidRPr="003C5307">
        <w:rPr>
          <w:lang w:val="en-GB"/>
        </w:rPr>
        <w:t xml:space="preserve"> with respect to human and animal targets</w:t>
      </w:r>
      <w:r>
        <w:rPr>
          <w:lang w:val="en-GB"/>
        </w:rPr>
        <w:t>.</w:t>
      </w:r>
      <w:r w:rsidRPr="003C5307">
        <w:rPr>
          <w:lang w:val="en-GB"/>
        </w:rPr>
        <w:t xml:space="preserve"> The graph displays the values of the damage distance</w:t>
      </w:r>
      <w:r>
        <w:rPr>
          <w:lang w:val="en-GB"/>
        </w:rPr>
        <w:t>s</w:t>
      </w:r>
      <w:r w:rsidRPr="003C5307">
        <w:rPr>
          <w:lang w:val="en-GB"/>
        </w:rPr>
        <w:t xml:space="preserve"> corresponding to the IDLH (Immediately Dangerous to Life and Health), equal to 40,000 ppm</w:t>
      </w:r>
      <w:r>
        <w:rPr>
          <w:lang w:val="en-GB"/>
        </w:rPr>
        <w:t xml:space="preserve"> for CO</w:t>
      </w:r>
      <w:r w:rsidRPr="00161151">
        <w:rPr>
          <w:vertAlign w:val="subscript"/>
          <w:lang w:val="en-GB"/>
        </w:rPr>
        <w:t>2</w:t>
      </w:r>
      <w:r>
        <w:rPr>
          <w:lang w:val="en-GB"/>
        </w:rPr>
        <w:t xml:space="preserve">, </w:t>
      </w:r>
      <w:r w:rsidRPr="003C5307">
        <w:rPr>
          <w:lang w:val="en-GB"/>
        </w:rPr>
        <w:t xml:space="preserve">as a function of the height of the water column. </w:t>
      </w:r>
      <w:r>
        <w:rPr>
          <w:lang w:val="en-GB"/>
        </w:rPr>
        <w:t>In g</w:t>
      </w:r>
      <w:r w:rsidRPr="003C5307">
        <w:rPr>
          <w:lang w:val="en-GB"/>
        </w:rPr>
        <w:t>eneral, at increasing outflow rate, the damage distances increase</w:t>
      </w:r>
      <w:r>
        <w:rPr>
          <w:lang w:val="en-GB"/>
        </w:rPr>
        <w:t xml:space="preserve">. However, as shown in Figure 4, </w:t>
      </w:r>
      <w:r w:rsidRPr="003C5307">
        <w:rPr>
          <w:lang w:val="en-GB"/>
        </w:rPr>
        <w:t xml:space="preserve">this behaviour is not </w:t>
      </w:r>
      <w:r>
        <w:rPr>
          <w:lang w:val="en-GB"/>
        </w:rPr>
        <w:t>present in</w:t>
      </w:r>
      <w:r w:rsidRPr="003C5307">
        <w:rPr>
          <w:lang w:val="en-GB"/>
        </w:rPr>
        <w:t xml:space="preserve"> the 10 m-deep </w:t>
      </w:r>
      <w:r w:rsidR="00410459" w:rsidRPr="003C5307">
        <w:rPr>
          <w:lang w:val="en-GB"/>
        </w:rPr>
        <w:t>case</w:t>
      </w:r>
      <w:r w:rsidR="00410459">
        <w:rPr>
          <w:lang w:val="en-GB"/>
        </w:rPr>
        <w:t xml:space="preserve"> since</w:t>
      </w:r>
      <w:r w:rsidRPr="003C5307">
        <w:rPr>
          <w:lang w:val="en-GB"/>
        </w:rPr>
        <w:t xml:space="preserve"> th</w:t>
      </w:r>
      <w:r>
        <w:rPr>
          <w:lang w:val="en-GB"/>
        </w:rPr>
        <w:t>e</w:t>
      </w:r>
      <w:r w:rsidRPr="003C5307">
        <w:rPr>
          <w:lang w:val="en-GB"/>
        </w:rPr>
        <w:t xml:space="preserve"> atmospheric discharge velocity strongly affects PHAST outcomes. In fact, the 10 m-deep case is the only one deemed as vertical jet release; the high speed of the jet allows to keep the plume away from the source facilitating the incorporation of air and leading to reduced impacts.</w:t>
      </w:r>
      <w:r w:rsidR="00F67399">
        <w:rPr>
          <w:lang w:val="en-GB"/>
        </w:rPr>
        <w:t xml:space="preserve"> </w:t>
      </w:r>
      <w:r w:rsidR="000F1AAD">
        <w:rPr>
          <w:lang w:val="en-GB"/>
        </w:rPr>
        <w:t xml:space="preserve">This </w:t>
      </w:r>
      <w:r w:rsidR="00B867CE">
        <w:rPr>
          <w:lang w:val="en-GB"/>
        </w:rPr>
        <w:t>be</w:t>
      </w:r>
      <w:r w:rsidR="007644EB">
        <w:rPr>
          <w:lang w:val="en-GB"/>
        </w:rPr>
        <w:t xml:space="preserve">haviour can be numerically </w:t>
      </w:r>
      <w:r w:rsidR="00760973">
        <w:rPr>
          <w:lang w:val="en-GB"/>
        </w:rPr>
        <w:t xml:space="preserve">illustrated </w:t>
      </w:r>
      <w:r w:rsidR="00E45CEC">
        <w:rPr>
          <w:lang w:val="en-GB"/>
        </w:rPr>
        <w:t xml:space="preserve">showing that </w:t>
      </w:r>
      <w:r w:rsidR="00A227CF">
        <w:rPr>
          <w:lang w:val="en-GB"/>
        </w:rPr>
        <w:t xml:space="preserve">moving from 10 to 20 m water column height, </w:t>
      </w:r>
      <w:r w:rsidR="00E45CEC">
        <w:rPr>
          <w:lang w:val="en-GB"/>
        </w:rPr>
        <w:t xml:space="preserve">the </w:t>
      </w:r>
      <w:r w:rsidR="008C4CCC">
        <w:rPr>
          <w:lang w:val="en-GB"/>
        </w:rPr>
        <w:t xml:space="preserve">absolute </w:t>
      </w:r>
      <w:r w:rsidR="009B7F88">
        <w:rPr>
          <w:lang w:val="en-GB"/>
        </w:rPr>
        <w:t xml:space="preserve">damage distance percentage variation </w:t>
      </w:r>
      <w:r w:rsidR="009D6C6F">
        <w:rPr>
          <w:lang w:val="en-GB"/>
        </w:rPr>
        <w:t>is</w:t>
      </w:r>
      <w:r w:rsidR="00A823F5">
        <w:rPr>
          <w:lang w:val="en-GB"/>
        </w:rPr>
        <w:t xml:space="preserve"> equal to</w:t>
      </w:r>
      <w:r w:rsidR="005C5333">
        <w:rPr>
          <w:lang w:val="en-GB"/>
        </w:rPr>
        <w:t xml:space="preserve"> </w:t>
      </w:r>
      <w:r w:rsidR="00D13A68">
        <w:rPr>
          <w:lang w:val="en-GB"/>
        </w:rPr>
        <w:t>462</w:t>
      </w:r>
      <w:r w:rsidR="005C5333">
        <w:rPr>
          <w:lang w:val="en-GB"/>
        </w:rPr>
        <w:t xml:space="preserve"> </w:t>
      </w:r>
      <w:r w:rsidR="009D6C6F">
        <w:rPr>
          <w:lang w:val="en-GB"/>
        </w:rPr>
        <w:t>%.</w:t>
      </w:r>
      <w:r w:rsidR="004721CD">
        <w:rPr>
          <w:lang w:val="en-GB"/>
        </w:rPr>
        <w:t xml:space="preserve"> </w:t>
      </w:r>
      <w:r w:rsidR="00A823F5">
        <w:rPr>
          <w:lang w:val="en-GB"/>
        </w:rPr>
        <w:t xml:space="preserve"> </w:t>
      </w:r>
    </w:p>
    <w:p w14:paraId="4053B61F" w14:textId="77777777" w:rsidR="00871CDE" w:rsidRDefault="00871CDE" w:rsidP="00871CDE">
      <w:pPr>
        <w:pStyle w:val="CETBodytext"/>
        <w:rPr>
          <w:lang w:val="en-GB"/>
        </w:rPr>
      </w:pPr>
    </w:p>
    <w:p w14:paraId="667E8F29" w14:textId="77777777" w:rsidR="00871CDE" w:rsidRDefault="00871CDE" w:rsidP="00871CDE">
      <w:pPr>
        <w:keepNext/>
        <w:jc w:val="left"/>
      </w:pPr>
      <w:r w:rsidRPr="003C5307">
        <w:rPr>
          <w:noProof/>
        </w:rPr>
        <w:drawing>
          <wp:inline distT="0" distB="0" distL="0" distR="0" wp14:anchorId="22107F22" wp14:editId="6DEA0946">
            <wp:extent cx="4034031" cy="2700000"/>
            <wp:effectExtent l="0" t="0" r="508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4031" cy="2700000"/>
                    </a:xfrm>
                    <a:prstGeom prst="rect">
                      <a:avLst/>
                    </a:prstGeom>
                    <a:noFill/>
                    <a:ln>
                      <a:noFill/>
                    </a:ln>
                  </pic:spPr>
                </pic:pic>
              </a:graphicData>
            </a:graphic>
          </wp:inline>
        </w:drawing>
      </w:r>
    </w:p>
    <w:p w14:paraId="2047182D" w14:textId="77777777" w:rsidR="00871CDE" w:rsidRPr="003C5307" w:rsidRDefault="00871CDE" w:rsidP="001D0DEF">
      <w:pPr>
        <w:pStyle w:val="CETCaption"/>
      </w:pPr>
      <w:r w:rsidRPr="003C5307">
        <w:t>Figure 4: CO</w:t>
      </w:r>
      <w:r w:rsidRPr="003C5307">
        <w:rPr>
          <w:vertAlign w:val="subscript"/>
        </w:rPr>
        <w:t>2</w:t>
      </w:r>
      <w:r w:rsidRPr="003C5307">
        <w:t xml:space="preserve"> damage distances corresponding to IDLH as a function of water column height.</w:t>
      </w:r>
    </w:p>
    <w:p w14:paraId="6277289F" w14:textId="77777777" w:rsidR="00871CDE" w:rsidRPr="003C5307" w:rsidRDefault="00871CDE" w:rsidP="00871CDE">
      <w:pPr>
        <w:pStyle w:val="CETHeading1"/>
        <w:rPr>
          <w:lang w:val="en-GB"/>
        </w:rPr>
      </w:pPr>
      <w:r w:rsidRPr="003C5307">
        <w:rPr>
          <w:lang w:val="en-GB"/>
        </w:rPr>
        <w:t>Conclusions</w:t>
      </w:r>
    </w:p>
    <w:p w14:paraId="105E5766" w14:textId="77777777" w:rsidR="00871CDE" w:rsidRDefault="00871CDE" w:rsidP="00871CDE">
      <w:pPr>
        <w:pStyle w:val="CETBodytext"/>
        <w:rPr>
          <w:lang w:val="en-GB"/>
        </w:rPr>
      </w:pPr>
      <w:r>
        <w:rPr>
          <w:lang w:val="en-GB"/>
        </w:rPr>
        <w:t>In t</w:t>
      </w:r>
      <w:r w:rsidRPr="003C5307">
        <w:rPr>
          <w:lang w:val="en-GB"/>
        </w:rPr>
        <w:t xml:space="preserve">he present </w:t>
      </w:r>
      <w:r>
        <w:rPr>
          <w:lang w:val="en-GB"/>
        </w:rPr>
        <w:t xml:space="preserve">study, </w:t>
      </w:r>
      <w:r w:rsidRPr="003C5307">
        <w:rPr>
          <w:lang w:val="en-GB"/>
        </w:rPr>
        <w:t xml:space="preserve">a modelling </w:t>
      </w:r>
      <w:r>
        <w:rPr>
          <w:lang w:val="en-GB"/>
        </w:rPr>
        <w:t xml:space="preserve">approach to assess the consequences of </w:t>
      </w:r>
      <w:r w:rsidRPr="003C5307">
        <w:rPr>
          <w:lang w:val="en-GB"/>
        </w:rPr>
        <w:t>major blowout scenarios occurring from depleted natural gas reservoirs in shallow waters</w:t>
      </w:r>
      <w:r>
        <w:rPr>
          <w:lang w:val="en-GB"/>
        </w:rPr>
        <w:t xml:space="preserve"> is developed</w:t>
      </w:r>
      <w:r w:rsidRPr="003C5307">
        <w:rPr>
          <w:lang w:val="en-GB"/>
        </w:rPr>
        <w:t xml:space="preserve">. </w:t>
      </w:r>
      <w:r>
        <w:rPr>
          <w:lang w:val="en-GB"/>
        </w:rPr>
        <w:t xml:space="preserve">The analysis of a set of case studies has shown that </w:t>
      </w:r>
      <w:r w:rsidRPr="003C5307">
        <w:rPr>
          <w:lang w:val="en-GB"/>
        </w:rPr>
        <w:t>the chemic</w:t>
      </w:r>
      <w:r>
        <w:rPr>
          <w:lang w:val="en-GB"/>
        </w:rPr>
        <w:t xml:space="preserve">al and </w:t>
      </w:r>
      <w:r w:rsidRPr="003C5307">
        <w:rPr>
          <w:lang w:val="en-GB"/>
        </w:rPr>
        <w:t>physical characteristics of the substance escaping from the well, the release depth, and the release flow rate have significant effects on the distribution of the dissolved compound in the water column. Ac</w:t>
      </w:r>
      <w:r>
        <w:rPr>
          <w:lang w:val="en-GB"/>
        </w:rPr>
        <w:t>tually,</w:t>
      </w:r>
      <w:r w:rsidRPr="003C5307">
        <w:rPr>
          <w:lang w:val="en-GB"/>
        </w:rPr>
        <w:t xml:space="preserve"> CO</w:t>
      </w:r>
      <w:r w:rsidRPr="003C5307">
        <w:rPr>
          <w:vertAlign w:val="subscript"/>
          <w:lang w:val="en-GB"/>
        </w:rPr>
        <w:t>2</w:t>
      </w:r>
      <w:r w:rsidRPr="003C5307">
        <w:rPr>
          <w:lang w:val="en-GB"/>
        </w:rPr>
        <w:t xml:space="preserve"> emissions are significantly attenuated by </w:t>
      </w:r>
      <w:r>
        <w:rPr>
          <w:lang w:val="en-GB"/>
        </w:rPr>
        <w:t>the dissolution of CO</w:t>
      </w:r>
      <w:r w:rsidRPr="00161151">
        <w:rPr>
          <w:vertAlign w:val="subscript"/>
          <w:lang w:val="en-GB"/>
        </w:rPr>
        <w:t>2</w:t>
      </w:r>
      <w:r>
        <w:rPr>
          <w:lang w:val="en-GB"/>
        </w:rPr>
        <w:t xml:space="preserve"> in water along </w:t>
      </w:r>
      <w:r w:rsidRPr="003C5307">
        <w:rPr>
          <w:lang w:val="en-GB"/>
        </w:rPr>
        <w:t>the water column</w:t>
      </w:r>
      <w:r>
        <w:rPr>
          <w:lang w:val="en-GB"/>
        </w:rPr>
        <w:t xml:space="preserve">. Only when the release takes place at </w:t>
      </w:r>
      <w:r w:rsidRPr="003C5307">
        <w:rPr>
          <w:lang w:val="en-GB"/>
        </w:rPr>
        <w:t xml:space="preserve">a depth of 10 m, the compound degasses at the sea surface without </w:t>
      </w:r>
      <w:r>
        <w:rPr>
          <w:lang w:val="en-GB"/>
        </w:rPr>
        <w:t xml:space="preserve">a significant </w:t>
      </w:r>
      <w:r w:rsidRPr="003C5307">
        <w:rPr>
          <w:lang w:val="en-GB"/>
        </w:rPr>
        <w:t>dissol</w:t>
      </w:r>
      <w:r>
        <w:rPr>
          <w:lang w:val="en-GB"/>
        </w:rPr>
        <w:t>ution in water</w:t>
      </w:r>
      <w:r w:rsidRPr="003C5307">
        <w:rPr>
          <w:lang w:val="en-GB"/>
        </w:rPr>
        <w:t>. Thus, CO</w:t>
      </w:r>
      <w:r w:rsidRPr="003C5307">
        <w:rPr>
          <w:vertAlign w:val="subscript"/>
          <w:lang w:val="en-GB"/>
        </w:rPr>
        <w:t>2</w:t>
      </w:r>
      <w:r w:rsidRPr="003C5307">
        <w:rPr>
          <w:lang w:val="en-GB"/>
        </w:rPr>
        <w:t xml:space="preserve"> major blowouts in shallow waters m</w:t>
      </w:r>
      <w:r>
        <w:rPr>
          <w:lang w:val="en-GB"/>
        </w:rPr>
        <w:t>ay pose a non-negligible</w:t>
      </w:r>
      <w:r w:rsidRPr="003C5307">
        <w:rPr>
          <w:lang w:val="en-GB"/>
        </w:rPr>
        <w:t xml:space="preserve"> risk for </w:t>
      </w:r>
      <w:r>
        <w:rPr>
          <w:lang w:val="en-GB"/>
        </w:rPr>
        <w:t xml:space="preserve">animals and for </w:t>
      </w:r>
      <w:r w:rsidRPr="003C5307">
        <w:rPr>
          <w:lang w:val="en-GB"/>
        </w:rPr>
        <w:t xml:space="preserve">humans on the free sea surface. </w:t>
      </w:r>
      <w:r>
        <w:rPr>
          <w:lang w:val="en-GB"/>
        </w:rPr>
        <w:t xml:space="preserve">When the </w:t>
      </w:r>
      <w:r w:rsidRPr="003C5307">
        <w:rPr>
          <w:lang w:val="en-GB"/>
        </w:rPr>
        <w:t xml:space="preserve">IDLH </w:t>
      </w:r>
      <w:r>
        <w:rPr>
          <w:lang w:val="en-GB"/>
        </w:rPr>
        <w:t xml:space="preserve">concentration is considered as a </w:t>
      </w:r>
      <w:r w:rsidRPr="003C5307">
        <w:rPr>
          <w:lang w:val="en-GB"/>
        </w:rPr>
        <w:t xml:space="preserve">damage threshold to assess the </w:t>
      </w:r>
      <w:r>
        <w:rPr>
          <w:lang w:val="en-GB"/>
        </w:rPr>
        <w:t>impact area of suc</w:t>
      </w:r>
      <w:r w:rsidRPr="003C5307">
        <w:rPr>
          <w:lang w:val="en-GB"/>
        </w:rPr>
        <w:t>h scenarios, the 20 m-dep</w:t>
      </w:r>
      <w:r>
        <w:rPr>
          <w:lang w:val="en-GB"/>
        </w:rPr>
        <w:t>th</w:t>
      </w:r>
      <w:r w:rsidRPr="003C5307">
        <w:rPr>
          <w:lang w:val="en-GB"/>
        </w:rPr>
        <w:t xml:space="preserve"> </w:t>
      </w:r>
      <w:r>
        <w:rPr>
          <w:lang w:val="en-GB"/>
        </w:rPr>
        <w:t xml:space="preserve">release </w:t>
      </w:r>
      <w:r w:rsidRPr="003C5307">
        <w:rPr>
          <w:lang w:val="en-GB"/>
        </w:rPr>
        <w:t>re</w:t>
      </w:r>
      <w:r>
        <w:rPr>
          <w:lang w:val="en-GB"/>
        </w:rPr>
        <w:t>sulted in</w:t>
      </w:r>
      <w:r w:rsidRPr="003C5307">
        <w:rPr>
          <w:lang w:val="en-GB"/>
        </w:rPr>
        <w:t xml:space="preserve"> the highest damage distance. This outcome </w:t>
      </w:r>
      <w:r>
        <w:rPr>
          <w:lang w:val="en-GB"/>
        </w:rPr>
        <w:t>confirms</w:t>
      </w:r>
      <w:r w:rsidRPr="003C5307">
        <w:rPr>
          <w:lang w:val="en-GB"/>
        </w:rPr>
        <w:t xml:space="preserve"> that the release flow rate is not always the primary factor influencing the atmospheric dispersion of blowouts. </w:t>
      </w:r>
      <w:r>
        <w:rPr>
          <w:lang w:val="en-GB"/>
        </w:rPr>
        <w:t>Actually</w:t>
      </w:r>
      <w:r w:rsidRPr="003C5307">
        <w:rPr>
          <w:lang w:val="en-GB"/>
        </w:rPr>
        <w:t>, a key role is also played by the release velocity that promote mixing with air in favour of safety, as is the 10 m-deep case.</w:t>
      </w:r>
    </w:p>
    <w:p w14:paraId="0E4B8C4B" w14:textId="77777777" w:rsidR="00871CDE" w:rsidRPr="003C5307" w:rsidRDefault="00871CDE" w:rsidP="00871CDE">
      <w:pPr>
        <w:pStyle w:val="CETBodytext"/>
        <w:rPr>
          <w:lang w:val="en-GB"/>
        </w:rPr>
      </w:pPr>
      <w:r w:rsidRPr="003C5307">
        <w:rPr>
          <w:lang w:val="en-GB"/>
        </w:rPr>
        <w:t>Dissolved CO</w:t>
      </w:r>
      <w:r w:rsidRPr="003C5307">
        <w:rPr>
          <w:vertAlign w:val="subscript"/>
          <w:lang w:val="en-GB"/>
        </w:rPr>
        <w:t>2</w:t>
      </w:r>
      <w:r w:rsidRPr="003C5307">
        <w:rPr>
          <w:lang w:val="en-GB"/>
        </w:rPr>
        <w:t xml:space="preserve"> may also pose a potential threat to the marine environment</w:t>
      </w:r>
      <w:r>
        <w:rPr>
          <w:lang w:val="en-GB"/>
        </w:rPr>
        <w:t>, since it may</w:t>
      </w:r>
      <w:r w:rsidRPr="003C5307">
        <w:rPr>
          <w:lang w:val="en-GB"/>
        </w:rPr>
        <w:t xml:space="preserve"> reduce seawater pH leading to higher acidity. Therefore, </w:t>
      </w:r>
      <w:r>
        <w:rPr>
          <w:lang w:val="en-GB"/>
        </w:rPr>
        <w:t xml:space="preserve">a comprehensive </w:t>
      </w:r>
      <w:r w:rsidRPr="003C5307">
        <w:rPr>
          <w:lang w:val="en-GB"/>
        </w:rPr>
        <w:t xml:space="preserve">risk assessment </w:t>
      </w:r>
      <w:r>
        <w:rPr>
          <w:lang w:val="en-GB"/>
        </w:rPr>
        <w:t xml:space="preserve">should </w:t>
      </w:r>
      <w:r w:rsidRPr="003C5307">
        <w:rPr>
          <w:lang w:val="en-GB"/>
        </w:rPr>
        <w:t xml:space="preserve">integrate the modelling tools with </w:t>
      </w:r>
      <w:r>
        <w:rPr>
          <w:lang w:val="en-GB"/>
        </w:rPr>
        <w:t>tools able of</w:t>
      </w:r>
      <w:r w:rsidRPr="003C5307">
        <w:rPr>
          <w:lang w:val="en-GB"/>
        </w:rPr>
        <w:t xml:space="preserve"> handling </w:t>
      </w:r>
      <w:r>
        <w:rPr>
          <w:lang w:val="en-GB"/>
        </w:rPr>
        <w:t xml:space="preserve">the dissolution in water and chemical equilibria </w:t>
      </w:r>
      <w:r w:rsidRPr="003C5307">
        <w:rPr>
          <w:lang w:val="en-GB"/>
        </w:rPr>
        <w:t>both in the near field and in the far field compartments.</w:t>
      </w:r>
    </w:p>
    <w:p w14:paraId="0351E17B" w14:textId="77777777" w:rsidR="00871CDE" w:rsidRPr="003C5307" w:rsidRDefault="00871CDE" w:rsidP="00871CDE">
      <w:pPr>
        <w:pStyle w:val="CETReference"/>
      </w:pPr>
      <w:r w:rsidRPr="003C5307">
        <w:t>References</w:t>
      </w:r>
    </w:p>
    <w:p w14:paraId="2A04C63C" w14:textId="77777777" w:rsidR="00EE012D" w:rsidRPr="00871CDE" w:rsidRDefault="00EE012D" w:rsidP="002703B0">
      <w:pPr>
        <w:pStyle w:val="CETReferencetext"/>
      </w:pPr>
      <w:r>
        <w:t>Airgas, 2001, Safety Data Sheet: METHANE, 1–8.</w:t>
      </w:r>
    </w:p>
    <w:p w14:paraId="1435A8DE" w14:textId="77777777" w:rsidR="00EE012D" w:rsidRPr="003C5307" w:rsidRDefault="00EE012D" w:rsidP="00871CDE">
      <w:pPr>
        <w:pStyle w:val="CETReferencetext"/>
      </w:pPr>
      <w:r w:rsidRPr="00291A0A">
        <w:rPr>
          <w:lang w:val="it-IT"/>
        </w:rPr>
        <w:t xml:space="preserve">Artegiani A., Bregant D., Paschini E., Pinardi N., Raicich F., Russo A., 1997, The Adriatic Sea general circulation. </w:t>
      </w:r>
      <w:r w:rsidRPr="003C5307">
        <w:t xml:space="preserve">Part I: Air-sea interactions and water mass structure, Journal of Physical Oceanography, 27, 1492–1514. </w:t>
      </w:r>
    </w:p>
    <w:p w14:paraId="699C018C" w14:textId="77777777" w:rsidR="00EE012D" w:rsidRPr="003C5307" w:rsidRDefault="00EE012D" w:rsidP="00871CDE">
      <w:pPr>
        <w:pStyle w:val="CETReferencetext"/>
      </w:pPr>
      <w:r w:rsidRPr="003C5307">
        <w:t>Beyer J., Trannum H.C., Bakke T., Hodson P.V., Collier T.K., 2016, Environmental effects of the Deepwater Horizon oil spill: A review, Marine Pollution Bulletin, 110, 28–51.</w:t>
      </w:r>
    </w:p>
    <w:p w14:paraId="20F43AD8" w14:textId="77777777" w:rsidR="00EE012D" w:rsidRPr="003C5307" w:rsidRDefault="00EE012D" w:rsidP="00871CDE">
      <w:pPr>
        <w:pStyle w:val="CETReferencetext"/>
      </w:pPr>
      <w:r w:rsidRPr="003C5307">
        <w:lastRenderedPageBreak/>
        <w:t>Blackford J.C., Gilbert F.J., 2007, pH variability and CO</w:t>
      </w:r>
      <w:r w:rsidRPr="0004278C">
        <w:rPr>
          <w:vertAlign w:val="subscript"/>
        </w:rPr>
        <w:t>2</w:t>
      </w:r>
      <w:r w:rsidRPr="003C5307">
        <w:t xml:space="preserve"> induced acidification in the North Sea, Journal of Marine Systems, 64, 229–241.</w:t>
      </w:r>
    </w:p>
    <w:p w14:paraId="548221EC" w14:textId="77777777" w:rsidR="00EE012D" w:rsidRPr="003C5307" w:rsidRDefault="00EE012D" w:rsidP="00871CDE">
      <w:pPr>
        <w:pStyle w:val="CETReferencetext"/>
      </w:pPr>
      <w:r w:rsidRPr="003C5307">
        <w:t>Blackford J.C., Jones N., Proctor R., Holt J., Widdicombe S., Lowe D., Rees A., 2009, An initial assessment of the potential environmental impact of CO</w:t>
      </w:r>
      <w:r w:rsidRPr="0004278C">
        <w:rPr>
          <w:vertAlign w:val="subscript"/>
        </w:rPr>
        <w:t>2</w:t>
      </w:r>
      <w:r w:rsidRPr="003C5307">
        <w:t xml:space="preserve"> escape from marine carbon capture and storage systems, Proceedings of the Institution of Mechanical Engineers, Part A: Journal of Power and Energy, 223, 269–280.</w:t>
      </w:r>
    </w:p>
    <w:p w14:paraId="1F5C3014" w14:textId="77777777" w:rsidR="00EE012D" w:rsidRPr="003C5307" w:rsidRDefault="00EE012D" w:rsidP="00871CDE">
      <w:pPr>
        <w:pStyle w:val="CETReferencetext"/>
      </w:pPr>
      <w:r w:rsidRPr="003C5307">
        <w:t>Böttner C., Haeckel M., Schmidt M., Berndt C., Vielstädte L., Kutsch J.A., Karstens J., Weiß T., 2020, Greenhouse gas emissions from marine decommissioned hydrocarbon wells: leakage detection, monitoring and mitigation strategies, International Journal of Greenhouse Gas Control, 100, 103–119.</w:t>
      </w:r>
    </w:p>
    <w:p w14:paraId="2EAD44D6" w14:textId="77777777" w:rsidR="00EE012D" w:rsidRPr="003C5307" w:rsidRDefault="00EE012D" w:rsidP="00871CDE">
      <w:pPr>
        <w:pStyle w:val="CETReferencetext"/>
      </w:pPr>
      <w:r w:rsidRPr="003C5307">
        <w:t>Chadwick A., Eiken O., 2013, Chapter 10: Offshore CO</w:t>
      </w:r>
      <w:r w:rsidRPr="0004278C">
        <w:rPr>
          <w:vertAlign w:val="subscript"/>
        </w:rPr>
        <w:t>2</w:t>
      </w:r>
      <w:r w:rsidRPr="003C5307">
        <w:t xml:space="preserve"> Storage: Sleipner natural gas field beneath the North Sea, 1–23.</w:t>
      </w:r>
    </w:p>
    <w:p w14:paraId="483689DA" w14:textId="77777777" w:rsidR="00EE012D" w:rsidRPr="003C5307" w:rsidRDefault="00EE012D" w:rsidP="00871CDE">
      <w:pPr>
        <w:pStyle w:val="CETReferencetext"/>
      </w:pPr>
      <w:r w:rsidRPr="003C5307">
        <w:t>Cloete S., Olsen J.E., Skjetne P., 2009, CFD modeling of plume and free surface behavior resulting from a sub-sea gas release, Applied Ocean Research, 31, 220–225.</w:t>
      </w:r>
    </w:p>
    <w:p w14:paraId="6F534E4D" w14:textId="77777777" w:rsidR="00EE012D" w:rsidRPr="003C5307" w:rsidRDefault="00EE012D" w:rsidP="00871CDE">
      <w:pPr>
        <w:pStyle w:val="CETReferencetext"/>
      </w:pPr>
      <w:r w:rsidRPr="003C5307">
        <w:t>Dissanayake A.L., Gros J., Socolofsky S.A., 2018, Integral models for bubble, droplet, and multiphase plume dynamics in stratification and crossflow, Environmental Fluid Mechanics, 18, 1167–1202.</w:t>
      </w:r>
    </w:p>
    <w:p w14:paraId="69EFE591" w14:textId="77777777" w:rsidR="00EE012D" w:rsidRPr="003C5307" w:rsidRDefault="00EE012D" w:rsidP="00871CDE">
      <w:pPr>
        <w:pStyle w:val="CETReferencetext"/>
      </w:pPr>
      <w:r w:rsidRPr="003C5307">
        <w:t xml:space="preserve">DNV-GL, 2022, PHAST, </w:t>
      </w:r>
      <w:hyperlink r:id="rId15" w:history="1">
        <w:r w:rsidRPr="003C5307">
          <w:rPr>
            <w:rStyle w:val="Collegamentoipertestuale"/>
            <w:color w:val="auto"/>
            <w:u w:val="none"/>
          </w:rPr>
          <w:t>www.dnv.com/software/services/plant/consequence-analysis-phast.html</w:t>
        </w:r>
      </w:hyperlink>
      <w:r w:rsidRPr="003C5307">
        <w:t>.</w:t>
      </w:r>
    </w:p>
    <w:p w14:paraId="3346E6C9" w14:textId="77777777" w:rsidR="00EE012D" w:rsidRPr="008A458A" w:rsidRDefault="00EE012D" w:rsidP="00871CDE">
      <w:pPr>
        <w:pStyle w:val="CETReferencetext"/>
        <w:rPr>
          <w:lang w:val="it-IT"/>
        </w:rPr>
      </w:pPr>
      <w:r w:rsidRPr="008A458A">
        <w:rPr>
          <w:lang w:val="it-IT"/>
        </w:rPr>
        <w:t>Ente Nazionale Idrocarburi (ENI), 2020, Local Sustainability Report Eni in Ravenna 2020 (in Italian).</w:t>
      </w:r>
    </w:p>
    <w:p w14:paraId="42107134" w14:textId="77777777" w:rsidR="00EE012D" w:rsidRPr="003C5307" w:rsidRDefault="00EE012D" w:rsidP="00871CDE">
      <w:pPr>
        <w:pStyle w:val="CETReferencetext"/>
      </w:pPr>
      <w:r w:rsidRPr="003C5307">
        <w:t>Gros J., Dissanayake A.L., Daniels M.M., Barker C.H., Lehr W., Socolofsky S.A., 2018, Oil spill modeling in deep waters: Estimation of pseudo-component properties for cubic equations of state from distillation data, Marine Pollution Bulletin, 137, 627–637.</w:t>
      </w:r>
    </w:p>
    <w:p w14:paraId="0BD3BCF9" w14:textId="77777777" w:rsidR="00EE012D" w:rsidRPr="003C5307" w:rsidRDefault="00EE012D" w:rsidP="00871CDE">
      <w:pPr>
        <w:pStyle w:val="CETReferencetext"/>
      </w:pPr>
      <w:r w:rsidRPr="003C5307">
        <w:t>Huser A., Vollestad P., Rivedal N.H., Armstrong K., Bengherbia T., Ferrara G., Van Essen M., 2017, Accidental underwater release of CO</w:t>
      </w:r>
      <w:r w:rsidRPr="0004278C">
        <w:rPr>
          <w:vertAlign w:val="subscript"/>
        </w:rPr>
        <w:t>2</w:t>
      </w:r>
      <w:r w:rsidRPr="003C5307">
        <w:t xml:space="preserve"> - CFD modelling of the underwater plume and the subsequent above water gas dispersion, Glasgow, Scotland: CRC Press/Balkema.</w:t>
      </w:r>
    </w:p>
    <w:p w14:paraId="55055135" w14:textId="77777777" w:rsidR="00EE012D" w:rsidRPr="003C5307" w:rsidRDefault="00EE012D" w:rsidP="00871CDE">
      <w:pPr>
        <w:pStyle w:val="CETReferencetext"/>
      </w:pPr>
      <w:r w:rsidRPr="003C5307">
        <w:t>Intergovernmental Panel on Climate Change (IPCC) [Metz, B., O. Davidson, H. C. de Coninck, M. Loos, and L. A. Meyer (eds.)], 2005, IPCC Special Report on Carbon Dioxide Capture and Storage, Cambridge University Press, Cambridge, United Kingdom and New York, NY, USA.</w:t>
      </w:r>
    </w:p>
    <w:p w14:paraId="4809334C" w14:textId="77777777" w:rsidR="00EE012D" w:rsidRDefault="00EE012D" w:rsidP="00871CDE">
      <w:pPr>
        <w:pStyle w:val="CETReferencetext"/>
      </w:pPr>
      <w:r w:rsidRPr="003C5307">
        <w:t>International Energy Agency (IEA), 2020, Energy Technology Perspectives 2020 - Special Report on Carbon Capture Utilisation and Storage.</w:t>
      </w:r>
    </w:p>
    <w:p w14:paraId="2401CAAB" w14:textId="77777777" w:rsidR="00EE012D" w:rsidRPr="003C5307" w:rsidRDefault="00EE012D" w:rsidP="00871CDE">
      <w:pPr>
        <w:pStyle w:val="CETReferencetext"/>
      </w:pPr>
      <w:r w:rsidRPr="002C1EAF">
        <w:t>International Energy Agency (IEA)</w:t>
      </w:r>
      <w:r>
        <w:t>, 2021,</w:t>
      </w:r>
      <w:r w:rsidRPr="002C1EAF">
        <w:t xml:space="preserve"> World Energy Outlook 2021</w:t>
      </w:r>
      <w:r>
        <w:t>.</w:t>
      </w:r>
    </w:p>
    <w:p w14:paraId="73C8D6B6" w14:textId="77777777" w:rsidR="00EE012D" w:rsidRDefault="00EE012D" w:rsidP="002703B0">
      <w:pPr>
        <w:pStyle w:val="CETReferencetext"/>
      </w:pPr>
      <w:r>
        <w:t>Matheson, 2014, Safety Data Sheet: CARBON DIOXIDE GAS, 1–8.</w:t>
      </w:r>
    </w:p>
    <w:p w14:paraId="7AE20717" w14:textId="77777777" w:rsidR="00EE012D" w:rsidRPr="003C5307" w:rsidRDefault="00EE012D" w:rsidP="00871CDE">
      <w:pPr>
        <w:pStyle w:val="CETReferencetext"/>
      </w:pPr>
      <w:r w:rsidRPr="003C5307">
        <w:t>Oldenburg C.M., Pan L., 2020, Major CO</w:t>
      </w:r>
      <w:r w:rsidRPr="0004278C">
        <w:rPr>
          <w:vertAlign w:val="subscript"/>
        </w:rPr>
        <w:t>2</w:t>
      </w:r>
      <w:r w:rsidRPr="003C5307">
        <w:t xml:space="preserve"> blowouts from offshore wells are strongly attenuated in water deeper than 50 m, Greenhouse Gases: Science and Technology, 10, 15–31.</w:t>
      </w:r>
    </w:p>
    <w:p w14:paraId="4C36EAAD" w14:textId="77777777" w:rsidR="00EE012D" w:rsidRPr="003C5307" w:rsidRDefault="00EE012D" w:rsidP="00871CDE">
      <w:pPr>
        <w:pStyle w:val="CETReferencetext"/>
      </w:pPr>
      <w:r w:rsidRPr="003C5307">
        <w:t>Olsen J.E., Skjetne P., 2016, Current understanding of subsea gas release: A review. Canadian Journal of Chemical Engineering, 94, 209–219.</w:t>
      </w:r>
    </w:p>
    <w:p w14:paraId="71D5C949" w14:textId="77777777" w:rsidR="00EE012D" w:rsidRDefault="00EE012D" w:rsidP="00871CDE">
      <w:pPr>
        <w:pStyle w:val="CETReferencetext"/>
      </w:pPr>
      <w:r w:rsidRPr="003C5307">
        <w:t>Olsen J.E., Skjetne P., 2020, Summarizing an Eulerian–Lagrangian model for subsea gas release and comparing release of CO</w:t>
      </w:r>
      <w:r w:rsidRPr="0004278C">
        <w:rPr>
          <w:vertAlign w:val="subscript"/>
        </w:rPr>
        <w:t>2</w:t>
      </w:r>
      <w:r w:rsidRPr="003C5307">
        <w:t xml:space="preserve"> with CH</w:t>
      </w:r>
      <w:r w:rsidRPr="0004278C">
        <w:rPr>
          <w:vertAlign w:val="subscript"/>
        </w:rPr>
        <w:t>4</w:t>
      </w:r>
      <w:r w:rsidRPr="003C5307">
        <w:t>, Applied Mathematical Modelling, 79, 672–684.</w:t>
      </w:r>
    </w:p>
    <w:p w14:paraId="3197D893" w14:textId="77777777" w:rsidR="00EE012D" w:rsidRPr="003C5307" w:rsidRDefault="00EE012D" w:rsidP="00871CDE">
      <w:pPr>
        <w:pStyle w:val="CETReferencetext"/>
      </w:pPr>
      <w:r w:rsidRPr="00C35435">
        <w:t>Pan L</w:t>
      </w:r>
      <w:r>
        <w:t>.</w:t>
      </w:r>
      <w:r w:rsidRPr="00C35435">
        <w:t>, Oldenburg C</w:t>
      </w:r>
      <w:r>
        <w:t>.</w:t>
      </w:r>
      <w:r w:rsidRPr="00C35435">
        <w:t>M.</w:t>
      </w:r>
      <w:r>
        <w:t>, 2014,</w:t>
      </w:r>
      <w:r w:rsidRPr="00C35435">
        <w:t xml:space="preserve"> T2Well</w:t>
      </w:r>
      <w:r>
        <w:t xml:space="preserve"> - </w:t>
      </w:r>
      <w:r w:rsidRPr="00C35435">
        <w:t>An integrated wellbore–reservoir simulator</w:t>
      </w:r>
      <w:r>
        <w:t xml:space="preserve">, </w:t>
      </w:r>
      <w:r w:rsidRPr="00400959">
        <w:t>Computers &amp; Geosciences</w:t>
      </w:r>
      <w:r>
        <w:t xml:space="preserve">, </w:t>
      </w:r>
      <w:r w:rsidRPr="00C35435">
        <w:t>65</w:t>
      </w:r>
      <w:r>
        <w:t xml:space="preserve">, </w:t>
      </w:r>
      <w:r w:rsidRPr="00C35435">
        <w:t>46–55.</w:t>
      </w:r>
    </w:p>
    <w:p w14:paraId="295C5E57" w14:textId="77777777" w:rsidR="00EE012D" w:rsidRPr="003C5307" w:rsidRDefault="00EE012D" w:rsidP="00871CDE">
      <w:pPr>
        <w:pStyle w:val="CETReferencetext"/>
      </w:pPr>
      <w:r w:rsidRPr="003C5307">
        <w:t>Socolofsky S.A., Dissanayake A.L., Jun I., Gros J., Samuel Arey J., Reddy C.M., 2015, Texas A&amp;M Oilspill Calculator (TAMOC): Modeling Suite for Subsea Spills, Proceedings of the 38</w:t>
      </w:r>
      <w:r w:rsidRPr="0004278C">
        <w:rPr>
          <w:vertAlign w:val="superscript"/>
        </w:rPr>
        <w:t>th</w:t>
      </w:r>
      <w:r w:rsidRPr="003C5307">
        <w:t xml:space="preserve"> AMOP Technical Seminar on Environmental Contamination and Response, 153–168.</w:t>
      </w:r>
    </w:p>
    <w:p w14:paraId="579BE866" w14:textId="77777777" w:rsidR="00EE012D" w:rsidRPr="003C5307" w:rsidRDefault="00EE012D" w:rsidP="00871CDE">
      <w:pPr>
        <w:pStyle w:val="CETReferencetext"/>
      </w:pPr>
      <w:r w:rsidRPr="003C5307">
        <w:t>Wang B., Socolofsky S.A., Lai C.C.K., Adams E.E., Boufadel M.C., 2018, Behavior and dynamics of bubble breakup in gas pipeline leaks and accidental subsea oil well blowouts, Marine Pollution Bulletin, 131, 72–</w:t>
      </w:r>
      <w:r>
        <w:t>8</w:t>
      </w:r>
      <w:r w:rsidRPr="003C5307">
        <w:t>6.</w:t>
      </w:r>
    </w:p>
    <w:p w14:paraId="132F851F" w14:textId="77777777" w:rsidR="00EE012D" w:rsidRDefault="00EE012D" w:rsidP="00871CDE">
      <w:pPr>
        <w:pStyle w:val="CETReferencetext"/>
      </w:pPr>
      <w:r w:rsidRPr="003C5307">
        <w:t>Witlox H.W.M., Harper M., Oke A., 2012, Phast validation of discharge and atmospheric dispersion for pressurised carbon dioxide releases. Proceedings of the Hazards XXIII, Southport, UK, 172–182.</w:t>
      </w:r>
    </w:p>
    <w:sectPr w:rsidR="00EE012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FA7D1" w14:textId="77777777" w:rsidR="00116082" w:rsidRDefault="00116082" w:rsidP="004F5E36">
      <w:r>
        <w:separator/>
      </w:r>
    </w:p>
  </w:endnote>
  <w:endnote w:type="continuationSeparator" w:id="0">
    <w:p w14:paraId="08383873" w14:textId="77777777" w:rsidR="00116082" w:rsidRDefault="0011608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0C4D9" w14:textId="77777777" w:rsidR="00116082" w:rsidRDefault="00116082" w:rsidP="004F5E36">
      <w:r>
        <w:separator/>
      </w:r>
    </w:p>
  </w:footnote>
  <w:footnote w:type="continuationSeparator" w:id="0">
    <w:p w14:paraId="549FAA52" w14:textId="77777777" w:rsidR="00116082" w:rsidRDefault="0011608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46382649">
    <w:abstractNumId w:val="10"/>
  </w:num>
  <w:num w:numId="2" w16cid:durableId="800805210">
    <w:abstractNumId w:val="8"/>
  </w:num>
  <w:num w:numId="3" w16cid:durableId="1286503466">
    <w:abstractNumId w:val="3"/>
  </w:num>
  <w:num w:numId="4" w16cid:durableId="2134714748">
    <w:abstractNumId w:val="2"/>
  </w:num>
  <w:num w:numId="5" w16cid:durableId="659191843">
    <w:abstractNumId w:val="1"/>
  </w:num>
  <w:num w:numId="6" w16cid:durableId="56048876">
    <w:abstractNumId w:val="0"/>
  </w:num>
  <w:num w:numId="7" w16cid:durableId="675814537">
    <w:abstractNumId w:val="9"/>
  </w:num>
  <w:num w:numId="8" w16cid:durableId="1689137434">
    <w:abstractNumId w:val="7"/>
  </w:num>
  <w:num w:numId="9" w16cid:durableId="1169909508">
    <w:abstractNumId w:val="6"/>
  </w:num>
  <w:num w:numId="10" w16cid:durableId="1482579618">
    <w:abstractNumId w:val="5"/>
  </w:num>
  <w:num w:numId="11" w16cid:durableId="1304964723">
    <w:abstractNumId w:val="4"/>
  </w:num>
  <w:num w:numId="12" w16cid:durableId="1346134651">
    <w:abstractNumId w:val="17"/>
  </w:num>
  <w:num w:numId="13" w16cid:durableId="67191139">
    <w:abstractNumId w:val="12"/>
  </w:num>
  <w:num w:numId="14" w16cid:durableId="2082553482">
    <w:abstractNumId w:val="18"/>
  </w:num>
  <w:num w:numId="15" w16cid:durableId="225578607">
    <w:abstractNumId w:val="20"/>
  </w:num>
  <w:num w:numId="16" w16cid:durableId="873739010">
    <w:abstractNumId w:val="19"/>
  </w:num>
  <w:num w:numId="17" w16cid:durableId="1787189386">
    <w:abstractNumId w:val="11"/>
  </w:num>
  <w:num w:numId="18" w16cid:durableId="680275339">
    <w:abstractNumId w:val="12"/>
    <w:lvlOverride w:ilvl="0">
      <w:startOverride w:val="1"/>
    </w:lvlOverride>
  </w:num>
  <w:num w:numId="19" w16cid:durableId="512646689">
    <w:abstractNumId w:val="16"/>
  </w:num>
  <w:num w:numId="20" w16cid:durableId="1039668311">
    <w:abstractNumId w:val="15"/>
  </w:num>
  <w:num w:numId="21" w16cid:durableId="1045566838">
    <w:abstractNumId w:val="14"/>
  </w:num>
  <w:num w:numId="22" w16cid:durableId="21030630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2DBE"/>
    <w:rsid w:val="0002763F"/>
    <w:rsid w:val="0003148D"/>
    <w:rsid w:val="00031EEC"/>
    <w:rsid w:val="00033A20"/>
    <w:rsid w:val="000407E2"/>
    <w:rsid w:val="00043C1D"/>
    <w:rsid w:val="00051566"/>
    <w:rsid w:val="00051961"/>
    <w:rsid w:val="000521B6"/>
    <w:rsid w:val="000562A9"/>
    <w:rsid w:val="00062A9A"/>
    <w:rsid w:val="00065058"/>
    <w:rsid w:val="00071C56"/>
    <w:rsid w:val="00086C39"/>
    <w:rsid w:val="0009370A"/>
    <w:rsid w:val="00096B61"/>
    <w:rsid w:val="000A03B2"/>
    <w:rsid w:val="000B4B22"/>
    <w:rsid w:val="000D0268"/>
    <w:rsid w:val="000D34BE"/>
    <w:rsid w:val="000E102F"/>
    <w:rsid w:val="000E2E04"/>
    <w:rsid w:val="000E36F1"/>
    <w:rsid w:val="000E3A73"/>
    <w:rsid w:val="000E414A"/>
    <w:rsid w:val="000F093C"/>
    <w:rsid w:val="000F1AAD"/>
    <w:rsid w:val="000F787B"/>
    <w:rsid w:val="00116082"/>
    <w:rsid w:val="00117811"/>
    <w:rsid w:val="0012091F"/>
    <w:rsid w:val="00122242"/>
    <w:rsid w:val="00126BC2"/>
    <w:rsid w:val="001308B6"/>
    <w:rsid w:val="0013121F"/>
    <w:rsid w:val="00131FE6"/>
    <w:rsid w:val="0013263F"/>
    <w:rsid w:val="001331DF"/>
    <w:rsid w:val="00134DE4"/>
    <w:rsid w:val="00136BA0"/>
    <w:rsid w:val="0014034D"/>
    <w:rsid w:val="00144D16"/>
    <w:rsid w:val="00146CEC"/>
    <w:rsid w:val="00150E59"/>
    <w:rsid w:val="00152DE3"/>
    <w:rsid w:val="00153C3D"/>
    <w:rsid w:val="00164CF9"/>
    <w:rsid w:val="001667A6"/>
    <w:rsid w:val="00184AD6"/>
    <w:rsid w:val="001969A4"/>
    <w:rsid w:val="001A4AF7"/>
    <w:rsid w:val="001B0349"/>
    <w:rsid w:val="001B1E93"/>
    <w:rsid w:val="001B65C1"/>
    <w:rsid w:val="001C684B"/>
    <w:rsid w:val="001D0CFB"/>
    <w:rsid w:val="001D0DEF"/>
    <w:rsid w:val="001D21AF"/>
    <w:rsid w:val="001D53FC"/>
    <w:rsid w:val="001D5D16"/>
    <w:rsid w:val="001D7187"/>
    <w:rsid w:val="001F1052"/>
    <w:rsid w:val="001F42A5"/>
    <w:rsid w:val="001F7B9D"/>
    <w:rsid w:val="00201C93"/>
    <w:rsid w:val="00203D3D"/>
    <w:rsid w:val="00206217"/>
    <w:rsid w:val="002224B4"/>
    <w:rsid w:val="00223611"/>
    <w:rsid w:val="002340D4"/>
    <w:rsid w:val="002427D8"/>
    <w:rsid w:val="002434B0"/>
    <w:rsid w:val="002447EF"/>
    <w:rsid w:val="0024732A"/>
    <w:rsid w:val="00251550"/>
    <w:rsid w:val="0025478B"/>
    <w:rsid w:val="00263B05"/>
    <w:rsid w:val="002703B0"/>
    <w:rsid w:val="00270835"/>
    <w:rsid w:val="0027221A"/>
    <w:rsid w:val="00275B61"/>
    <w:rsid w:val="00280FAF"/>
    <w:rsid w:val="00282656"/>
    <w:rsid w:val="00286531"/>
    <w:rsid w:val="00291893"/>
    <w:rsid w:val="00291A0A"/>
    <w:rsid w:val="00295D04"/>
    <w:rsid w:val="00296B83"/>
    <w:rsid w:val="002A15A5"/>
    <w:rsid w:val="002A3473"/>
    <w:rsid w:val="002A56D4"/>
    <w:rsid w:val="002A6EE2"/>
    <w:rsid w:val="002B4015"/>
    <w:rsid w:val="002B78CE"/>
    <w:rsid w:val="002C0CB0"/>
    <w:rsid w:val="002C1EAF"/>
    <w:rsid w:val="002C2FB6"/>
    <w:rsid w:val="002D38F8"/>
    <w:rsid w:val="002D554E"/>
    <w:rsid w:val="002E5438"/>
    <w:rsid w:val="002E5FA7"/>
    <w:rsid w:val="002F3309"/>
    <w:rsid w:val="003008CE"/>
    <w:rsid w:val="003009B7"/>
    <w:rsid w:val="00300E56"/>
    <w:rsid w:val="0030152C"/>
    <w:rsid w:val="0030469C"/>
    <w:rsid w:val="00317DC9"/>
    <w:rsid w:val="00321CA6"/>
    <w:rsid w:val="00323763"/>
    <w:rsid w:val="00323C5F"/>
    <w:rsid w:val="003302C7"/>
    <w:rsid w:val="00334C09"/>
    <w:rsid w:val="00353E2C"/>
    <w:rsid w:val="00367DD5"/>
    <w:rsid w:val="003723D4"/>
    <w:rsid w:val="00375C8A"/>
    <w:rsid w:val="00380D44"/>
    <w:rsid w:val="00381905"/>
    <w:rsid w:val="003840A1"/>
    <w:rsid w:val="0038447D"/>
    <w:rsid w:val="00384989"/>
    <w:rsid w:val="00384CC8"/>
    <w:rsid w:val="00385824"/>
    <w:rsid w:val="003871FD"/>
    <w:rsid w:val="003A1E30"/>
    <w:rsid w:val="003A2829"/>
    <w:rsid w:val="003A53D0"/>
    <w:rsid w:val="003A7D1C"/>
    <w:rsid w:val="003B304B"/>
    <w:rsid w:val="003B3146"/>
    <w:rsid w:val="003D22BF"/>
    <w:rsid w:val="003E5735"/>
    <w:rsid w:val="003E7E0A"/>
    <w:rsid w:val="003F015E"/>
    <w:rsid w:val="00400414"/>
    <w:rsid w:val="00400959"/>
    <w:rsid w:val="00403722"/>
    <w:rsid w:val="00410459"/>
    <w:rsid w:val="0041446B"/>
    <w:rsid w:val="0044071E"/>
    <w:rsid w:val="0044329C"/>
    <w:rsid w:val="004432B0"/>
    <w:rsid w:val="00453E24"/>
    <w:rsid w:val="00457269"/>
    <w:rsid w:val="00457456"/>
    <w:rsid w:val="004577FE"/>
    <w:rsid w:val="00457B9C"/>
    <w:rsid w:val="00461185"/>
    <w:rsid w:val="0046164A"/>
    <w:rsid w:val="004628D2"/>
    <w:rsid w:val="00462DCD"/>
    <w:rsid w:val="004648AD"/>
    <w:rsid w:val="004703A9"/>
    <w:rsid w:val="004721CD"/>
    <w:rsid w:val="004760DE"/>
    <w:rsid w:val="004763D7"/>
    <w:rsid w:val="004A004E"/>
    <w:rsid w:val="004A1985"/>
    <w:rsid w:val="004A24CF"/>
    <w:rsid w:val="004A2B51"/>
    <w:rsid w:val="004B2650"/>
    <w:rsid w:val="004B7470"/>
    <w:rsid w:val="004B782B"/>
    <w:rsid w:val="004C30F6"/>
    <w:rsid w:val="004C3D1D"/>
    <w:rsid w:val="004C3D84"/>
    <w:rsid w:val="004C7913"/>
    <w:rsid w:val="004E18E7"/>
    <w:rsid w:val="004E4DD6"/>
    <w:rsid w:val="004E7655"/>
    <w:rsid w:val="004F1835"/>
    <w:rsid w:val="004F25D4"/>
    <w:rsid w:val="004F5E36"/>
    <w:rsid w:val="00507B47"/>
    <w:rsid w:val="00507BEF"/>
    <w:rsid w:val="00507CC9"/>
    <w:rsid w:val="005119A5"/>
    <w:rsid w:val="00520AFB"/>
    <w:rsid w:val="00521284"/>
    <w:rsid w:val="005237E8"/>
    <w:rsid w:val="005278B7"/>
    <w:rsid w:val="00532016"/>
    <w:rsid w:val="005346C8"/>
    <w:rsid w:val="00543E7D"/>
    <w:rsid w:val="00547A68"/>
    <w:rsid w:val="005531C9"/>
    <w:rsid w:val="0056184F"/>
    <w:rsid w:val="00570C43"/>
    <w:rsid w:val="00573F36"/>
    <w:rsid w:val="00591206"/>
    <w:rsid w:val="005A60E0"/>
    <w:rsid w:val="005B2110"/>
    <w:rsid w:val="005B61E6"/>
    <w:rsid w:val="005C5333"/>
    <w:rsid w:val="005C6314"/>
    <w:rsid w:val="005C71D9"/>
    <w:rsid w:val="005C77E1"/>
    <w:rsid w:val="005C7943"/>
    <w:rsid w:val="005D668A"/>
    <w:rsid w:val="005D6A2F"/>
    <w:rsid w:val="005E0C80"/>
    <w:rsid w:val="005E1A82"/>
    <w:rsid w:val="005E23A8"/>
    <w:rsid w:val="005E794C"/>
    <w:rsid w:val="005F0A28"/>
    <w:rsid w:val="005F0E5E"/>
    <w:rsid w:val="005F2039"/>
    <w:rsid w:val="005F3C06"/>
    <w:rsid w:val="005F65AE"/>
    <w:rsid w:val="00600535"/>
    <w:rsid w:val="00610CD6"/>
    <w:rsid w:val="00612DB8"/>
    <w:rsid w:val="00620DEE"/>
    <w:rsid w:val="00621F92"/>
    <w:rsid w:val="0062280A"/>
    <w:rsid w:val="00625639"/>
    <w:rsid w:val="00630535"/>
    <w:rsid w:val="00631B33"/>
    <w:rsid w:val="00635331"/>
    <w:rsid w:val="006356C9"/>
    <w:rsid w:val="0064184D"/>
    <w:rsid w:val="006422CC"/>
    <w:rsid w:val="00645454"/>
    <w:rsid w:val="00651DB4"/>
    <w:rsid w:val="00660E3E"/>
    <w:rsid w:val="00662E74"/>
    <w:rsid w:val="00663A54"/>
    <w:rsid w:val="006740AA"/>
    <w:rsid w:val="00680C23"/>
    <w:rsid w:val="00685E1E"/>
    <w:rsid w:val="00693766"/>
    <w:rsid w:val="006A2005"/>
    <w:rsid w:val="006A3281"/>
    <w:rsid w:val="006B1C91"/>
    <w:rsid w:val="006B4888"/>
    <w:rsid w:val="006C2E45"/>
    <w:rsid w:val="006C359C"/>
    <w:rsid w:val="006C5579"/>
    <w:rsid w:val="006D6E8B"/>
    <w:rsid w:val="006D7264"/>
    <w:rsid w:val="006E737D"/>
    <w:rsid w:val="006F3D8D"/>
    <w:rsid w:val="006F3EAB"/>
    <w:rsid w:val="007055F6"/>
    <w:rsid w:val="00713973"/>
    <w:rsid w:val="00720A24"/>
    <w:rsid w:val="00732386"/>
    <w:rsid w:val="0073514D"/>
    <w:rsid w:val="00735967"/>
    <w:rsid w:val="00737E23"/>
    <w:rsid w:val="007447F3"/>
    <w:rsid w:val="00753BBC"/>
    <w:rsid w:val="0075499F"/>
    <w:rsid w:val="00756532"/>
    <w:rsid w:val="00760973"/>
    <w:rsid w:val="00762B9C"/>
    <w:rsid w:val="007644EB"/>
    <w:rsid w:val="007661C8"/>
    <w:rsid w:val="0077098D"/>
    <w:rsid w:val="00785E9A"/>
    <w:rsid w:val="00793072"/>
    <w:rsid w:val="007931FA"/>
    <w:rsid w:val="007A4861"/>
    <w:rsid w:val="007A7BBA"/>
    <w:rsid w:val="007A7DF3"/>
    <w:rsid w:val="007B0C50"/>
    <w:rsid w:val="007B44C3"/>
    <w:rsid w:val="007B48F9"/>
    <w:rsid w:val="007C1A43"/>
    <w:rsid w:val="007C41E3"/>
    <w:rsid w:val="007C5B28"/>
    <w:rsid w:val="007D0951"/>
    <w:rsid w:val="007E6426"/>
    <w:rsid w:val="0080013E"/>
    <w:rsid w:val="00813288"/>
    <w:rsid w:val="008168FC"/>
    <w:rsid w:val="008222CB"/>
    <w:rsid w:val="00830996"/>
    <w:rsid w:val="008345F1"/>
    <w:rsid w:val="0085409F"/>
    <w:rsid w:val="008645A5"/>
    <w:rsid w:val="00865B07"/>
    <w:rsid w:val="008667EA"/>
    <w:rsid w:val="00871CDE"/>
    <w:rsid w:val="00871EA3"/>
    <w:rsid w:val="0087637F"/>
    <w:rsid w:val="0087670F"/>
    <w:rsid w:val="00891FBD"/>
    <w:rsid w:val="00892AD5"/>
    <w:rsid w:val="008A1512"/>
    <w:rsid w:val="008A5516"/>
    <w:rsid w:val="008C4CCC"/>
    <w:rsid w:val="008C6451"/>
    <w:rsid w:val="008D15B9"/>
    <w:rsid w:val="008D32B9"/>
    <w:rsid w:val="008D433B"/>
    <w:rsid w:val="008D4A16"/>
    <w:rsid w:val="008E566E"/>
    <w:rsid w:val="008F755B"/>
    <w:rsid w:val="0090161A"/>
    <w:rsid w:val="00901EB6"/>
    <w:rsid w:val="00904C62"/>
    <w:rsid w:val="00906168"/>
    <w:rsid w:val="00922BA8"/>
    <w:rsid w:val="00924DAC"/>
    <w:rsid w:val="00925D52"/>
    <w:rsid w:val="00927058"/>
    <w:rsid w:val="00933A95"/>
    <w:rsid w:val="00937CC3"/>
    <w:rsid w:val="00942750"/>
    <w:rsid w:val="009450CE"/>
    <w:rsid w:val="009459BB"/>
    <w:rsid w:val="00945B6E"/>
    <w:rsid w:val="00947179"/>
    <w:rsid w:val="0095164B"/>
    <w:rsid w:val="00954090"/>
    <w:rsid w:val="00956251"/>
    <w:rsid w:val="009573E7"/>
    <w:rsid w:val="0095777A"/>
    <w:rsid w:val="00963E05"/>
    <w:rsid w:val="00964A45"/>
    <w:rsid w:val="00967843"/>
    <w:rsid w:val="00967D54"/>
    <w:rsid w:val="00971028"/>
    <w:rsid w:val="0097420D"/>
    <w:rsid w:val="009925B3"/>
    <w:rsid w:val="00993B84"/>
    <w:rsid w:val="00996483"/>
    <w:rsid w:val="00996F5A"/>
    <w:rsid w:val="009A54E9"/>
    <w:rsid w:val="009B02C3"/>
    <w:rsid w:val="009B041A"/>
    <w:rsid w:val="009B7F88"/>
    <w:rsid w:val="009C37C3"/>
    <w:rsid w:val="009C7C86"/>
    <w:rsid w:val="009D2067"/>
    <w:rsid w:val="009D2FF7"/>
    <w:rsid w:val="009D6C6F"/>
    <w:rsid w:val="009E4720"/>
    <w:rsid w:val="009E7884"/>
    <w:rsid w:val="009E788A"/>
    <w:rsid w:val="009F0E08"/>
    <w:rsid w:val="009F1339"/>
    <w:rsid w:val="009F15AF"/>
    <w:rsid w:val="00A04A46"/>
    <w:rsid w:val="00A141BA"/>
    <w:rsid w:val="00A1763D"/>
    <w:rsid w:val="00A17CEC"/>
    <w:rsid w:val="00A21833"/>
    <w:rsid w:val="00A227CF"/>
    <w:rsid w:val="00A22A77"/>
    <w:rsid w:val="00A23A39"/>
    <w:rsid w:val="00A27EF0"/>
    <w:rsid w:val="00A30BE4"/>
    <w:rsid w:val="00A42361"/>
    <w:rsid w:val="00A50B20"/>
    <w:rsid w:val="00A51390"/>
    <w:rsid w:val="00A57463"/>
    <w:rsid w:val="00A60D13"/>
    <w:rsid w:val="00A7223D"/>
    <w:rsid w:val="00A72745"/>
    <w:rsid w:val="00A76EFC"/>
    <w:rsid w:val="00A823F5"/>
    <w:rsid w:val="00A87D50"/>
    <w:rsid w:val="00A91010"/>
    <w:rsid w:val="00A97F29"/>
    <w:rsid w:val="00AA702E"/>
    <w:rsid w:val="00AA7D26"/>
    <w:rsid w:val="00AB0964"/>
    <w:rsid w:val="00AB5011"/>
    <w:rsid w:val="00AC17D6"/>
    <w:rsid w:val="00AC7368"/>
    <w:rsid w:val="00AD16B9"/>
    <w:rsid w:val="00AD520D"/>
    <w:rsid w:val="00AD6FE6"/>
    <w:rsid w:val="00AE377D"/>
    <w:rsid w:val="00AE5EBE"/>
    <w:rsid w:val="00AF0EBA"/>
    <w:rsid w:val="00AF3954"/>
    <w:rsid w:val="00AF6826"/>
    <w:rsid w:val="00B02C8A"/>
    <w:rsid w:val="00B0387A"/>
    <w:rsid w:val="00B038DF"/>
    <w:rsid w:val="00B051DF"/>
    <w:rsid w:val="00B13512"/>
    <w:rsid w:val="00B17FBD"/>
    <w:rsid w:val="00B2159A"/>
    <w:rsid w:val="00B315A6"/>
    <w:rsid w:val="00B31813"/>
    <w:rsid w:val="00B33365"/>
    <w:rsid w:val="00B361E0"/>
    <w:rsid w:val="00B42083"/>
    <w:rsid w:val="00B452CA"/>
    <w:rsid w:val="00B47B0C"/>
    <w:rsid w:val="00B47E4F"/>
    <w:rsid w:val="00B57B36"/>
    <w:rsid w:val="00B57E6F"/>
    <w:rsid w:val="00B80795"/>
    <w:rsid w:val="00B80DFD"/>
    <w:rsid w:val="00B83F3D"/>
    <w:rsid w:val="00B867CE"/>
    <w:rsid w:val="00B8686D"/>
    <w:rsid w:val="00B93F69"/>
    <w:rsid w:val="00BB1DDC"/>
    <w:rsid w:val="00BB5E6A"/>
    <w:rsid w:val="00BC30C9"/>
    <w:rsid w:val="00BC445D"/>
    <w:rsid w:val="00BD077D"/>
    <w:rsid w:val="00BE34AC"/>
    <w:rsid w:val="00BE3E58"/>
    <w:rsid w:val="00C01616"/>
    <w:rsid w:val="00C0162B"/>
    <w:rsid w:val="00C0429E"/>
    <w:rsid w:val="00C04C4E"/>
    <w:rsid w:val="00C068ED"/>
    <w:rsid w:val="00C10F43"/>
    <w:rsid w:val="00C14821"/>
    <w:rsid w:val="00C22E0C"/>
    <w:rsid w:val="00C2373E"/>
    <w:rsid w:val="00C345B1"/>
    <w:rsid w:val="00C35435"/>
    <w:rsid w:val="00C40142"/>
    <w:rsid w:val="00C42B73"/>
    <w:rsid w:val="00C52C3C"/>
    <w:rsid w:val="00C57182"/>
    <w:rsid w:val="00C57863"/>
    <w:rsid w:val="00C602CE"/>
    <w:rsid w:val="00C640AF"/>
    <w:rsid w:val="00C655FD"/>
    <w:rsid w:val="00C66D69"/>
    <w:rsid w:val="00C75407"/>
    <w:rsid w:val="00C81943"/>
    <w:rsid w:val="00C870A8"/>
    <w:rsid w:val="00C94434"/>
    <w:rsid w:val="00CA0D75"/>
    <w:rsid w:val="00CA1C95"/>
    <w:rsid w:val="00CA5A9C"/>
    <w:rsid w:val="00CC1060"/>
    <w:rsid w:val="00CC235D"/>
    <w:rsid w:val="00CC4ABF"/>
    <w:rsid w:val="00CC4C20"/>
    <w:rsid w:val="00CD1EB8"/>
    <w:rsid w:val="00CD30D0"/>
    <w:rsid w:val="00CD3517"/>
    <w:rsid w:val="00CD5FE2"/>
    <w:rsid w:val="00CE5D42"/>
    <w:rsid w:val="00CE7C68"/>
    <w:rsid w:val="00D02B4C"/>
    <w:rsid w:val="00D040C4"/>
    <w:rsid w:val="00D0633C"/>
    <w:rsid w:val="00D0791A"/>
    <w:rsid w:val="00D108ED"/>
    <w:rsid w:val="00D13A68"/>
    <w:rsid w:val="00D20AD1"/>
    <w:rsid w:val="00D4049B"/>
    <w:rsid w:val="00D46B7E"/>
    <w:rsid w:val="00D500B9"/>
    <w:rsid w:val="00D570C8"/>
    <w:rsid w:val="00D57C84"/>
    <w:rsid w:val="00D6057D"/>
    <w:rsid w:val="00D71640"/>
    <w:rsid w:val="00D77C58"/>
    <w:rsid w:val="00D81107"/>
    <w:rsid w:val="00D836C5"/>
    <w:rsid w:val="00D84576"/>
    <w:rsid w:val="00DA1399"/>
    <w:rsid w:val="00DA24C6"/>
    <w:rsid w:val="00DA4D7B"/>
    <w:rsid w:val="00DB5761"/>
    <w:rsid w:val="00DC0F61"/>
    <w:rsid w:val="00DD271C"/>
    <w:rsid w:val="00DD75C0"/>
    <w:rsid w:val="00DD785C"/>
    <w:rsid w:val="00DE264A"/>
    <w:rsid w:val="00DE39B5"/>
    <w:rsid w:val="00DF4346"/>
    <w:rsid w:val="00DF5072"/>
    <w:rsid w:val="00E02D18"/>
    <w:rsid w:val="00E041E7"/>
    <w:rsid w:val="00E2194B"/>
    <w:rsid w:val="00E23CA1"/>
    <w:rsid w:val="00E2527A"/>
    <w:rsid w:val="00E409A8"/>
    <w:rsid w:val="00E421B3"/>
    <w:rsid w:val="00E45CEC"/>
    <w:rsid w:val="00E50C12"/>
    <w:rsid w:val="00E65B91"/>
    <w:rsid w:val="00E67EEF"/>
    <w:rsid w:val="00E7209D"/>
    <w:rsid w:val="00E72EAD"/>
    <w:rsid w:val="00E74CBC"/>
    <w:rsid w:val="00E77223"/>
    <w:rsid w:val="00E80BC2"/>
    <w:rsid w:val="00E8528B"/>
    <w:rsid w:val="00E85B94"/>
    <w:rsid w:val="00E93B34"/>
    <w:rsid w:val="00E93BD8"/>
    <w:rsid w:val="00E978D0"/>
    <w:rsid w:val="00EA05EE"/>
    <w:rsid w:val="00EA4613"/>
    <w:rsid w:val="00EA513A"/>
    <w:rsid w:val="00EA5FA2"/>
    <w:rsid w:val="00EA644A"/>
    <w:rsid w:val="00EA7F91"/>
    <w:rsid w:val="00EB1523"/>
    <w:rsid w:val="00EC0E49"/>
    <w:rsid w:val="00EC101F"/>
    <w:rsid w:val="00EC1D9F"/>
    <w:rsid w:val="00ED0BE1"/>
    <w:rsid w:val="00EE012D"/>
    <w:rsid w:val="00EE0131"/>
    <w:rsid w:val="00EE17B0"/>
    <w:rsid w:val="00EF01AE"/>
    <w:rsid w:val="00EF06D9"/>
    <w:rsid w:val="00F070C0"/>
    <w:rsid w:val="00F16162"/>
    <w:rsid w:val="00F3049E"/>
    <w:rsid w:val="00F30C64"/>
    <w:rsid w:val="00F32BA2"/>
    <w:rsid w:val="00F32CDB"/>
    <w:rsid w:val="00F340C0"/>
    <w:rsid w:val="00F36262"/>
    <w:rsid w:val="00F53E56"/>
    <w:rsid w:val="00F565FE"/>
    <w:rsid w:val="00F63A70"/>
    <w:rsid w:val="00F63D8C"/>
    <w:rsid w:val="00F67399"/>
    <w:rsid w:val="00F7534E"/>
    <w:rsid w:val="00F82FD3"/>
    <w:rsid w:val="00F83F43"/>
    <w:rsid w:val="00F90630"/>
    <w:rsid w:val="00F93EDF"/>
    <w:rsid w:val="00FA1802"/>
    <w:rsid w:val="00FA21D0"/>
    <w:rsid w:val="00FA5F5F"/>
    <w:rsid w:val="00FB730C"/>
    <w:rsid w:val="00FC2695"/>
    <w:rsid w:val="00FC2EC9"/>
    <w:rsid w:val="00FC3E03"/>
    <w:rsid w:val="00FC3FC1"/>
    <w:rsid w:val="00FD7E4C"/>
    <w:rsid w:val="00FE05C7"/>
    <w:rsid w:val="00FF3A6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CC4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dnv.com/software/services/plant/consequence-analysis-phast.html" TargetMode="External"/><Relationship Id="rId10" Type="http://schemas.openxmlformats.org/officeDocument/2006/relationships/hyperlink" Target="mailto:sarah.bonvicini@unibo.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3768</Words>
  <Characters>21479</Characters>
  <Application>Microsoft Office Word</Application>
  <DocSecurity>0</DocSecurity>
  <Lines>178</Lines>
  <Paragraphs>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Federica Tamburini</cp:lastModifiedBy>
  <cp:revision>67</cp:revision>
  <cp:lastPrinted>2023-02-26T16:37:00Z</cp:lastPrinted>
  <dcterms:created xsi:type="dcterms:W3CDTF">2023-02-26T16:37:00Z</dcterms:created>
  <dcterms:modified xsi:type="dcterms:W3CDTF">2023-03-09T21:56:00Z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