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47821"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BA095C" w:rsidRDefault="000D0268" w:rsidP="00CD5FE2">
            <w:pPr>
              <w:spacing w:line="140" w:lineRule="atLeast"/>
              <w:jc w:val="right"/>
              <w:rPr>
                <w:rFonts w:cs="Arial"/>
                <w:sz w:val="13"/>
                <w:szCs w:val="13"/>
                <w:lang w:val="nb-NO"/>
              </w:rPr>
            </w:pPr>
            <w:r w:rsidRPr="00BA095C">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4B0BB442" w14:textId="2AFE3F1B" w:rsidR="00300E56" w:rsidRPr="00BA095C" w:rsidRDefault="00300E56" w:rsidP="007931FA">
            <w:pPr>
              <w:ind w:left="-107"/>
              <w:rPr>
                <w:rFonts w:ascii="Times New Roman" w:hAnsi="Times New Roman"/>
                <w:sz w:val="24"/>
                <w:szCs w:val="24"/>
                <w:lang w:val="en-US" w:eastAsia="it-IT"/>
              </w:rPr>
            </w:pPr>
            <w:r w:rsidRPr="00BA095C">
              <w:rPr>
                <w:rFonts w:ascii="Tahoma" w:hAnsi="Tahoma" w:cs="Tahoma"/>
                <w:iCs/>
                <w:color w:val="333333"/>
                <w:sz w:val="14"/>
                <w:szCs w:val="14"/>
                <w:lang w:val="en-US" w:eastAsia="it-IT"/>
              </w:rPr>
              <w:t>Guest Editors:</w:t>
            </w:r>
            <w:r w:rsidR="00904C62" w:rsidRPr="00BA095C">
              <w:rPr>
                <w:rFonts w:ascii="Tahoma" w:hAnsi="Tahoma" w:cs="Tahoma"/>
                <w:iCs/>
                <w:color w:val="333333"/>
                <w:sz w:val="14"/>
                <w:szCs w:val="14"/>
                <w:lang w:val="en-US" w:eastAsia="it-IT"/>
              </w:rPr>
              <w:t xml:space="preserve"> </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7838F2F" w:rsidR="00E978D0" w:rsidRPr="00B57B36" w:rsidRDefault="007878DB" w:rsidP="00E978D0">
      <w:pPr>
        <w:pStyle w:val="CETTitle"/>
      </w:pPr>
      <w:r>
        <w:t>Fragments generated during liquid hydrogen tank explosions</w:t>
      </w:r>
    </w:p>
    <w:p w14:paraId="2B3CA35C" w14:textId="02E2280C" w:rsidR="00E978D0" w:rsidRPr="00BA095C" w:rsidRDefault="00847821" w:rsidP="00AB5011">
      <w:pPr>
        <w:pStyle w:val="CETAuthors"/>
        <w:rPr>
          <w:lang w:val="it-IT"/>
        </w:rPr>
      </w:pPr>
      <w:r w:rsidRPr="00BA095C">
        <w:rPr>
          <w:lang w:val="it-IT"/>
        </w:rPr>
        <w:t>Giulia Collina</w:t>
      </w:r>
      <w:r w:rsidRPr="00BA095C">
        <w:rPr>
          <w:vertAlign w:val="superscript"/>
          <w:lang w:val="it-IT"/>
        </w:rPr>
        <w:t>a,b</w:t>
      </w:r>
      <w:r>
        <w:rPr>
          <w:vertAlign w:val="superscript"/>
          <w:lang w:val="it-IT"/>
        </w:rPr>
        <w:t>,</w:t>
      </w:r>
      <w:r w:rsidRPr="00847821">
        <w:rPr>
          <w:lang w:val="it-IT"/>
        </w:rPr>
        <w:t>*</w:t>
      </w:r>
      <w:r>
        <w:rPr>
          <w:lang w:val="it-IT"/>
        </w:rPr>
        <w:t xml:space="preserve">, </w:t>
      </w:r>
      <w:r w:rsidR="007878DB" w:rsidRPr="00BA095C">
        <w:rPr>
          <w:lang w:val="it-IT"/>
        </w:rPr>
        <w:t>Federico Ustolin</w:t>
      </w:r>
      <w:r w:rsidR="00600535" w:rsidRPr="00BA095C">
        <w:rPr>
          <w:vertAlign w:val="superscript"/>
          <w:lang w:val="it-IT"/>
        </w:rPr>
        <w:t>a</w:t>
      </w:r>
      <w:r w:rsidR="00600535" w:rsidRPr="00BA095C">
        <w:rPr>
          <w:lang w:val="it-IT"/>
        </w:rPr>
        <w:t xml:space="preserve">, </w:t>
      </w:r>
      <w:r w:rsidR="007878DB" w:rsidRPr="00BA095C">
        <w:rPr>
          <w:lang w:val="it-IT"/>
        </w:rPr>
        <w:t>Gabriele Tincani</w:t>
      </w:r>
      <w:r w:rsidR="007878DB" w:rsidRPr="00BA095C">
        <w:rPr>
          <w:vertAlign w:val="superscript"/>
          <w:lang w:val="it-IT"/>
        </w:rPr>
        <w:t>a,b</w:t>
      </w:r>
      <w:r w:rsidR="007878DB" w:rsidRPr="00BA095C">
        <w:rPr>
          <w:lang w:val="it-IT"/>
        </w:rPr>
        <w:t>, Leonardo Giannini</w:t>
      </w:r>
      <w:r w:rsidR="007878DB" w:rsidRPr="00BA095C">
        <w:rPr>
          <w:vertAlign w:val="superscript"/>
          <w:lang w:val="it-IT"/>
        </w:rPr>
        <w:t>a</w:t>
      </w:r>
      <w:r w:rsidR="007878DB" w:rsidRPr="00BA095C">
        <w:rPr>
          <w:lang w:val="it-IT"/>
        </w:rPr>
        <w:t>, Ernesto Salzano</w:t>
      </w:r>
      <w:r w:rsidR="007878DB" w:rsidRPr="00BA095C">
        <w:rPr>
          <w:vertAlign w:val="superscript"/>
          <w:lang w:val="it-IT"/>
        </w:rPr>
        <w:t>b</w:t>
      </w:r>
      <w:r w:rsidR="007878DB" w:rsidRPr="00BA095C">
        <w:rPr>
          <w:lang w:val="it-IT"/>
        </w:rPr>
        <w:t>, Valerio Cozzani</w:t>
      </w:r>
      <w:r w:rsidR="007878DB" w:rsidRPr="00BA095C">
        <w:rPr>
          <w:vertAlign w:val="superscript"/>
          <w:lang w:val="it-IT"/>
        </w:rPr>
        <w:t>b</w:t>
      </w:r>
    </w:p>
    <w:p w14:paraId="5053C5A8" w14:textId="1DD5514B" w:rsidR="00E978D0" w:rsidRPr="00B57B36" w:rsidRDefault="00E978D0" w:rsidP="00E978D0">
      <w:pPr>
        <w:pStyle w:val="CETAddress"/>
      </w:pPr>
      <w:r w:rsidRPr="00B57B36">
        <w:rPr>
          <w:vertAlign w:val="superscript"/>
        </w:rPr>
        <w:t>a</w:t>
      </w:r>
      <w:r w:rsidR="007878DB">
        <w:t>Department of Mechanical and Industrial Engineering, Norwegian University of Science and Technology NTNU, Richard Birkelands vei 2B, 7034 T</w:t>
      </w:r>
      <w:r w:rsidR="00FA0B84">
        <w:t>ro</w:t>
      </w:r>
      <w:r w:rsidR="007878DB">
        <w:t>ndheim, Norway</w:t>
      </w:r>
      <w:r w:rsidRPr="00B57B36">
        <w:t xml:space="preserve"> </w:t>
      </w:r>
    </w:p>
    <w:p w14:paraId="38D29194" w14:textId="3E432DE4" w:rsidR="00E978D0" w:rsidRPr="00BA095C" w:rsidRDefault="00E978D0" w:rsidP="00E978D0">
      <w:pPr>
        <w:pStyle w:val="CETAddress"/>
        <w:rPr>
          <w:lang w:val="it-IT"/>
        </w:rPr>
      </w:pPr>
      <w:r w:rsidRPr="00BA095C">
        <w:rPr>
          <w:vertAlign w:val="superscript"/>
          <w:lang w:val="it-IT"/>
        </w:rPr>
        <w:t>b</w:t>
      </w:r>
      <w:r w:rsidR="007878DB" w:rsidRPr="00BA095C">
        <w:rPr>
          <w:lang w:val="it-IT"/>
        </w:rPr>
        <w:t>Dipartimento di Ingegneria Civile, Chimica, Ambientale e dei Materiali, Università degli studi di Bologna, Via Terracini 28, 40131 Bologna, Italy</w:t>
      </w:r>
    </w:p>
    <w:p w14:paraId="0127A28D" w14:textId="0E898A9A" w:rsidR="00E978D0" w:rsidRPr="005F5BEE" w:rsidRDefault="00B140D6" w:rsidP="00E978D0">
      <w:pPr>
        <w:pStyle w:val="CETemail"/>
        <w:rPr>
          <w:lang w:val="fr-FR"/>
        </w:rPr>
      </w:pPr>
      <w:r>
        <w:t>giulia.collina</w:t>
      </w:r>
      <w:r w:rsidR="007878DB">
        <w:t>@ntnu.no</w:t>
      </w:r>
    </w:p>
    <w:p w14:paraId="2BAC6FDF" w14:textId="4DC838BB" w:rsidR="00552714" w:rsidRPr="00552714" w:rsidRDefault="00552714" w:rsidP="00552714">
      <w:pPr>
        <w:pStyle w:val="CETBodytext"/>
        <w:rPr>
          <w:lang w:val="en-GB"/>
        </w:rPr>
      </w:pPr>
      <w:r w:rsidRPr="00552714">
        <w:rPr>
          <w:lang w:val="en-GB"/>
        </w:rPr>
        <w:t xml:space="preserve">Liquid hydrogen (LH2) may be employed to transport large quantities of pure hydrogen or be stored onboard of ships, airplanes and trains fuelled by hydrogen, thanks to its high density compared to gaseous compressed hydrogen. LH2 is a cryogenic fluid with an extremely low boiling point (-253°C at atmospheric pressure) </w:t>
      </w:r>
      <w:r w:rsidR="00355778">
        <w:rPr>
          <w:lang w:val="en-GB"/>
        </w:rPr>
        <w:t>that</w:t>
      </w:r>
      <w:r w:rsidR="00355778" w:rsidRPr="00552714">
        <w:rPr>
          <w:lang w:val="en-GB"/>
        </w:rPr>
        <w:t xml:space="preserve"> </w:t>
      </w:r>
      <w:r w:rsidRPr="00552714">
        <w:rPr>
          <w:lang w:val="en-GB"/>
        </w:rPr>
        <w:t xml:space="preserve">must be stored in double-walled vacuum insulated tanks to limit the boil-off formation. There is limited knowledge on the consequences of LH2 tanks catastrophic rupture. In fact, the yield of the consequences of an LH2 tank explosion (pressure wave, fragments and fireball) depend on many parameters such as tank dimension, filling degree, and tank internal conditions (temperature and pressure) prior the rupture. Only two accidents provoked by the rupture of an LH2 tank occurred in the past </w:t>
      </w:r>
      <w:r w:rsidR="007D46B0">
        <w:rPr>
          <w:lang w:val="en-GB"/>
        </w:rPr>
        <w:t xml:space="preserve">and a couple of </w:t>
      </w:r>
      <w:r w:rsidR="005F125D">
        <w:rPr>
          <w:lang w:val="en-GB"/>
        </w:rPr>
        <w:t>experimental campaigns focussed</w:t>
      </w:r>
      <w:r w:rsidR="007D46B0">
        <w:rPr>
          <w:lang w:val="en-GB"/>
        </w:rPr>
        <w:t xml:space="preserve"> on th</w:t>
      </w:r>
      <w:r w:rsidR="005F125D">
        <w:rPr>
          <w:lang w:val="en-GB"/>
        </w:rPr>
        <w:t>is type of accident scenario were carried out</w:t>
      </w:r>
      <w:r w:rsidR="00BD1476">
        <w:rPr>
          <w:lang w:val="en-GB"/>
        </w:rPr>
        <w:t xml:space="preserve"> for LH2</w:t>
      </w:r>
      <w:r w:rsidR="005F125D">
        <w:rPr>
          <w:lang w:val="en-GB"/>
        </w:rPr>
        <w:t>.</w:t>
      </w:r>
    </w:p>
    <w:p w14:paraId="6893AF25" w14:textId="1E4A7E7A" w:rsidR="00600535" w:rsidRDefault="00552714" w:rsidP="00552714">
      <w:pPr>
        <w:pStyle w:val="CETBodytext"/>
        <w:rPr>
          <w:lang w:val="en-GB"/>
        </w:rPr>
      </w:pPr>
      <w:r w:rsidRPr="00552714">
        <w:rPr>
          <w:lang w:val="en-GB"/>
        </w:rPr>
        <w:t xml:space="preserve">The aim of this study is to analyse </w:t>
      </w:r>
      <w:r w:rsidR="003B3F4C">
        <w:rPr>
          <w:lang w:val="en-GB"/>
        </w:rPr>
        <w:t>one of the</w:t>
      </w:r>
      <w:r w:rsidR="00F64A28">
        <w:rPr>
          <w:lang w:val="en-GB"/>
        </w:rPr>
        <w:t xml:space="preserve"> LH2 tank explosion</w:t>
      </w:r>
      <w:r w:rsidRPr="00552714">
        <w:rPr>
          <w:lang w:val="en-GB"/>
        </w:rPr>
        <w:t xml:space="preserve"> consequences namely </w:t>
      </w:r>
      <w:r w:rsidR="00F64A28">
        <w:rPr>
          <w:lang w:val="en-GB"/>
        </w:rPr>
        <w:t xml:space="preserve">the </w:t>
      </w:r>
      <w:r w:rsidRPr="00552714">
        <w:rPr>
          <w:lang w:val="en-GB"/>
        </w:rPr>
        <w:t>fragments. The longest horizontal and vertical ranges of the fragments thrown away from the blast wave are estimated together with the spatial distribution around the tank. Theoretical models are adopted in this work and validated with the experimental results. The proposed models can aid the risk analysis of LH2 storage technologies and provide critical insights to plan a prevention and mitigation strategy and improve the safety of hydrogen applications.</w:t>
      </w:r>
    </w:p>
    <w:p w14:paraId="476B2F2E" w14:textId="77777777" w:rsidR="00600535" w:rsidRPr="00B57B36" w:rsidRDefault="00600535" w:rsidP="00600535">
      <w:pPr>
        <w:pStyle w:val="CETHeading1"/>
        <w:rPr>
          <w:lang w:val="en-GB"/>
        </w:rPr>
      </w:pPr>
      <w:r w:rsidRPr="00B57B36">
        <w:rPr>
          <w:lang w:val="en-GB"/>
        </w:rPr>
        <w:t>Introduction</w:t>
      </w:r>
    </w:p>
    <w:p w14:paraId="31028693" w14:textId="1136017C" w:rsidR="00B62457" w:rsidRDefault="0020044E" w:rsidP="00600535">
      <w:pPr>
        <w:pStyle w:val="CETBodytext"/>
        <w:rPr>
          <w:lang w:val="en-GB"/>
        </w:rPr>
      </w:pPr>
      <w:r>
        <w:rPr>
          <w:lang w:val="en-GB"/>
        </w:rPr>
        <w:t>Incorporating</w:t>
      </w:r>
      <w:r w:rsidR="00D47B25" w:rsidRPr="00D47B25">
        <w:rPr>
          <w:lang w:val="en-GB"/>
        </w:rPr>
        <w:t xml:space="preserve"> hydrogen as a key player in the shift towards a decarbonized energy landscape requires </w:t>
      </w:r>
      <w:r>
        <w:rPr>
          <w:lang w:val="en-GB"/>
        </w:rPr>
        <w:t xml:space="preserve">storing </w:t>
      </w:r>
      <w:r w:rsidRPr="00D47B25">
        <w:rPr>
          <w:lang w:val="en-GB"/>
        </w:rPr>
        <w:t>significant</w:t>
      </w:r>
      <w:r w:rsidR="00D47B25" w:rsidRPr="00D47B25">
        <w:rPr>
          <w:lang w:val="en-GB"/>
        </w:rPr>
        <w:t xml:space="preserve"> amounts of hydrogen</w:t>
      </w:r>
      <w:r w:rsidR="00D47B25">
        <w:rPr>
          <w:lang w:val="en-GB"/>
        </w:rPr>
        <w:t xml:space="preserve">. </w:t>
      </w:r>
      <w:r w:rsidR="008F3FE8">
        <w:rPr>
          <w:lang w:val="en-GB"/>
        </w:rPr>
        <w:t>This can be challenging due to its low density at ambient conditions. L</w:t>
      </w:r>
      <w:r w:rsidR="00515F81">
        <w:rPr>
          <w:lang w:val="en-GB"/>
        </w:rPr>
        <w:t xml:space="preserve">iquid hydrogen at cryogenic temperature </w:t>
      </w:r>
      <w:r w:rsidR="00552714">
        <w:rPr>
          <w:lang w:val="en-GB"/>
        </w:rPr>
        <w:t>(</w:t>
      </w:r>
      <w:r w:rsidR="00515F81">
        <w:rPr>
          <w:lang w:val="en-GB"/>
        </w:rPr>
        <w:t>-253 °C) is a</w:t>
      </w:r>
      <w:r w:rsidR="002D3DCA" w:rsidRPr="002D3DCA">
        <w:rPr>
          <w:lang w:val="en-GB"/>
        </w:rPr>
        <w:t xml:space="preserve"> promising solution for </w:t>
      </w:r>
      <w:r w:rsidR="00BF111B">
        <w:rPr>
          <w:lang w:val="en-GB"/>
        </w:rPr>
        <w:t>efficiently storing</w:t>
      </w:r>
      <w:r w:rsidR="002D3DCA" w:rsidRPr="002D3DCA">
        <w:rPr>
          <w:lang w:val="en-GB"/>
        </w:rPr>
        <w:t xml:space="preserve"> hydrogen</w:t>
      </w:r>
      <w:r>
        <w:rPr>
          <w:lang w:val="en-GB"/>
        </w:rPr>
        <w:t>,</w:t>
      </w:r>
      <w:r w:rsidR="00515F81">
        <w:rPr>
          <w:lang w:val="en-GB"/>
        </w:rPr>
        <w:t xml:space="preserve"> but it requires </w:t>
      </w:r>
      <w:r w:rsidR="00CD471F" w:rsidRPr="00552714">
        <w:rPr>
          <w:lang w:val="en-GB"/>
        </w:rPr>
        <w:t>double-walled vacuum</w:t>
      </w:r>
      <w:r>
        <w:rPr>
          <w:lang w:val="en-GB"/>
        </w:rPr>
        <w:t>-</w:t>
      </w:r>
      <w:r w:rsidR="00CD471F" w:rsidRPr="00552714">
        <w:rPr>
          <w:lang w:val="en-GB"/>
        </w:rPr>
        <w:t>insulated tanks</w:t>
      </w:r>
      <w:r w:rsidR="00CD471F">
        <w:rPr>
          <w:lang w:val="en-GB"/>
        </w:rPr>
        <w:t xml:space="preserve"> </w:t>
      </w:r>
      <w:r w:rsidR="008F3FE8">
        <w:rPr>
          <w:lang w:val="en-GB"/>
        </w:rPr>
        <w:t xml:space="preserve">to ensure proper </w:t>
      </w:r>
      <w:r w:rsidR="0084308B">
        <w:rPr>
          <w:lang w:val="en-GB"/>
        </w:rPr>
        <w:t xml:space="preserve">thermal </w:t>
      </w:r>
      <w:r w:rsidR="008F3FE8">
        <w:rPr>
          <w:lang w:val="en-GB"/>
        </w:rPr>
        <w:t xml:space="preserve">insulation and prevent </w:t>
      </w:r>
      <w:r w:rsidR="0084308B">
        <w:rPr>
          <w:lang w:val="en-GB"/>
        </w:rPr>
        <w:t>boil-off gas formation</w:t>
      </w:r>
      <w:r w:rsidR="00552714">
        <w:rPr>
          <w:lang w:val="en-GB"/>
        </w:rPr>
        <w:t>.</w:t>
      </w:r>
      <w:r w:rsidR="006A6E9C">
        <w:rPr>
          <w:lang w:val="en-GB"/>
        </w:rPr>
        <w:t xml:space="preserve"> </w:t>
      </w:r>
      <w:r w:rsidR="000C4A8D">
        <w:rPr>
          <w:lang w:val="en-GB"/>
        </w:rPr>
        <w:t>A</w:t>
      </w:r>
      <w:r w:rsidR="000C4A8D" w:rsidRPr="000C4A8D">
        <w:rPr>
          <w:lang w:val="en-GB"/>
        </w:rPr>
        <w:t>side from requiring specific storage conditions, hydrogen also has properties that require caution, including</w:t>
      </w:r>
      <w:r w:rsidR="000C4A8D">
        <w:rPr>
          <w:lang w:val="en-GB"/>
        </w:rPr>
        <w:t xml:space="preserve"> the wide flammability range </w:t>
      </w:r>
      <w:r w:rsidR="003000A3">
        <w:rPr>
          <w:lang w:val="en-GB"/>
        </w:rPr>
        <w:t>in air of 4 – 75 %</w:t>
      </w:r>
      <w:r w:rsidR="00A32435">
        <w:rPr>
          <w:lang w:val="en-GB"/>
        </w:rPr>
        <w:t>vol</w:t>
      </w:r>
      <w:r w:rsidR="003000A3">
        <w:rPr>
          <w:lang w:val="en-GB"/>
        </w:rPr>
        <w:t xml:space="preserve"> (Nicoletti et al., 2015)</w:t>
      </w:r>
      <w:r w:rsidR="00C1753F">
        <w:rPr>
          <w:lang w:val="en-GB"/>
        </w:rPr>
        <w:t xml:space="preserve"> </w:t>
      </w:r>
      <w:r w:rsidR="003000A3">
        <w:rPr>
          <w:lang w:val="en-GB"/>
        </w:rPr>
        <w:t xml:space="preserve">and the low minimum ignition energy of 0.017 mJ (Nicoletti et al., 2015). </w:t>
      </w:r>
      <w:r w:rsidR="00271C4D">
        <w:rPr>
          <w:lang w:val="en-GB"/>
        </w:rPr>
        <w:t>Therefore,</w:t>
      </w:r>
      <w:r w:rsidR="00C37E9D">
        <w:rPr>
          <w:lang w:val="en-GB"/>
        </w:rPr>
        <w:t xml:space="preserve"> t</w:t>
      </w:r>
      <w:r w:rsidR="00C37E9D" w:rsidRPr="00C37E9D">
        <w:rPr>
          <w:lang w:val="en-GB"/>
        </w:rPr>
        <w:t xml:space="preserve">he willingness to expand the range of </w:t>
      </w:r>
      <w:r w:rsidR="00DD2E4B">
        <w:rPr>
          <w:lang w:val="en-GB"/>
        </w:rPr>
        <w:t>hydrogen applications</w:t>
      </w:r>
      <w:r w:rsidR="00C37E9D" w:rsidRPr="00C37E9D">
        <w:rPr>
          <w:lang w:val="en-GB"/>
        </w:rPr>
        <w:t xml:space="preserve"> requires a thorough</w:t>
      </w:r>
      <w:r w:rsidR="00271C4D">
        <w:rPr>
          <w:lang w:val="en-GB"/>
        </w:rPr>
        <w:t xml:space="preserve"> </w:t>
      </w:r>
      <w:r w:rsidR="00C37E9D" w:rsidRPr="00C37E9D">
        <w:rPr>
          <w:lang w:val="en-GB"/>
        </w:rPr>
        <w:t>investigation of safety aspects.</w:t>
      </w:r>
      <w:r w:rsidR="00A46758">
        <w:rPr>
          <w:lang w:val="en-GB"/>
        </w:rPr>
        <w:t xml:space="preserve"> </w:t>
      </w:r>
    </w:p>
    <w:p w14:paraId="6FE94232" w14:textId="2A74A5C5" w:rsidR="00BB2187" w:rsidRDefault="005474EF" w:rsidP="00600535">
      <w:pPr>
        <w:pStyle w:val="CETBodytext"/>
        <w:rPr>
          <w:lang w:val="en-GB"/>
        </w:rPr>
      </w:pPr>
      <w:r w:rsidRPr="005474EF">
        <w:rPr>
          <w:lang w:val="en-GB"/>
        </w:rPr>
        <w:t>Accident scenarios that may occur include t</w:t>
      </w:r>
      <w:r>
        <w:rPr>
          <w:lang w:val="en-GB"/>
        </w:rPr>
        <w:t>he catastrophic rupture of the LH</w:t>
      </w:r>
      <w:r w:rsidRPr="005474EF">
        <w:rPr>
          <w:vertAlign w:val="subscript"/>
          <w:lang w:val="en-GB"/>
        </w:rPr>
        <w:t>2</w:t>
      </w:r>
      <w:r>
        <w:rPr>
          <w:lang w:val="en-GB"/>
        </w:rPr>
        <w:t xml:space="preserve"> ve</w:t>
      </w:r>
      <w:r w:rsidRPr="003F575D">
        <w:rPr>
          <w:lang w:val="en-GB"/>
        </w:rPr>
        <w:t>ss</w:t>
      </w:r>
      <w:r>
        <w:rPr>
          <w:lang w:val="en-GB"/>
        </w:rPr>
        <w:t xml:space="preserve">el, </w:t>
      </w:r>
      <w:r w:rsidRPr="005474EF">
        <w:rPr>
          <w:lang w:val="en-GB"/>
        </w:rPr>
        <w:t xml:space="preserve">which could result in a </w:t>
      </w:r>
      <w:r>
        <w:rPr>
          <w:lang w:val="en-GB"/>
        </w:rPr>
        <w:t>B</w:t>
      </w:r>
      <w:r w:rsidRPr="005474EF">
        <w:rPr>
          <w:lang w:val="en-GB"/>
        </w:rPr>
        <w:t xml:space="preserve">oiling </w:t>
      </w:r>
      <w:r>
        <w:rPr>
          <w:lang w:val="en-GB"/>
        </w:rPr>
        <w:t>L</w:t>
      </w:r>
      <w:r w:rsidRPr="005474EF">
        <w:rPr>
          <w:lang w:val="en-GB"/>
        </w:rPr>
        <w:t xml:space="preserve">iquid </w:t>
      </w:r>
      <w:r>
        <w:rPr>
          <w:lang w:val="en-GB"/>
        </w:rPr>
        <w:t>E</w:t>
      </w:r>
      <w:r w:rsidRPr="005474EF">
        <w:rPr>
          <w:lang w:val="en-GB"/>
        </w:rPr>
        <w:t xml:space="preserve">xpanding </w:t>
      </w:r>
      <w:r>
        <w:rPr>
          <w:lang w:val="en-GB"/>
        </w:rPr>
        <w:t>V</w:t>
      </w:r>
      <w:r w:rsidRPr="005474EF">
        <w:rPr>
          <w:lang w:val="en-GB"/>
        </w:rPr>
        <w:t xml:space="preserve">apor </w:t>
      </w:r>
      <w:r>
        <w:rPr>
          <w:lang w:val="en-GB"/>
        </w:rPr>
        <w:t>E</w:t>
      </w:r>
      <w:r w:rsidRPr="005474EF">
        <w:rPr>
          <w:lang w:val="en-GB"/>
        </w:rPr>
        <w:t>xplosion (BLEVE)</w:t>
      </w:r>
      <w:r>
        <w:rPr>
          <w:lang w:val="en-GB"/>
        </w:rPr>
        <w:t>, a physical explosion considered as</w:t>
      </w:r>
      <w:r w:rsidR="00082555">
        <w:rPr>
          <w:lang w:val="en-GB"/>
        </w:rPr>
        <w:t xml:space="preserve"> </w:t>
      </w:r>
      <w:r w:rsidR="00082555" w:rsidRPr="00082555">
        <w:rPr>
          <w:lang w:val="en-GB"/>
        </w:rPr>
        <w:t xml:space="preserve">an atypical </w:t>
      </w:r>
      <w:r w:rsidR="00C2797E">
        <w:rPr>
          <w:lang w:val="en-GB"/>
        </w:rPr>
        <w:t xml:space="preserve">accident </w:t>
      </w:r>
      <w:r w:rsidR="00082555" w:rsidRPr="00082555">
        <w:rPr>
          <w:lang w:val="en-GB"/>
        </w:rPr>
        <w:t>scenario</w:t>
      </w:r>
      <w:r w:rsidR="00552FAA">
        <w:rPr>
          <w:lang w:val="en-GB"/>
        </w:rPr>
        <w:t>, which is</w:t>
      </w:r>
      <w:r w:rsidR="00A437D2">
        <w:rPr>
          <w:lang w:val="en-GB"/>
        </w:rPr>
        <w:t xml:space="preserve"> </w:t>
      </w:r>
      <w:r w:rsidR="00A24FA3">
        <w:rPr>
          <w:lang w:val="en-GB"/>
        </w:rPr>
        <w:t>a scenario that</w:t>
      </w:r>
      <w:r w:rsidR="00552FAA">
        <w:rPr>
          <w:lang w:val="en-GB"/>
        </w:rPr>
        <w:t xml:space="preserve"> </w:t>
      </w:r>
      <w:r w:rsidR="00552FAA" w:rsidRPr="00552FAA">
        <w:rPr>
          <w:lang w:val="en-GB"/>
        </w:rPr>
        <w:t>falls outside of the typical range of unwanted or worst-case events, and is therefore not considered credible by standard risk assessment processes</w:t>
      </w:r>
      <w:r w:rsidR="00082555">
        <w:rPr>
          <w:lang w:val="en-GB"/>
        </w:rPr>
        <w:t xml:space="preserve"> (Paltrinieri et al., 2012). </w:t>
      </w:r>
      <w:r w:rsidR="000E5A33">
        <w:rPr>
          <w:lang w:val="en-GB"/>
        </w:rPr>
        <w:t>BLEVE can be defined as</w:t>
      </w:r>
      <w:r w:rsidR="000A59B1">
        <w:rPr>
          <w:lang w:val="en-GB"/>
        </w:rPr>
        <w:t xml:space="preserve"> “</w:t>
      </w:r>
      <w:r w:rsidR="000A59B1" w:rsidRPr="000A59B1">
        <w:rPr>
          <w:lang w:val="en-GB"/>
        </w:rPr>
        <w:t>the explosion of a vessel</w:t>
      </w:r>
      <w:r w:rsidR="000A59B1">
        <w:rPr>
          <w:lang w:val="en-GB"/>
        </w:rPr>
        <w:t xml:space="preserve"> </w:t>
      </w:r>
      <w:r w:rsidR="000A59B1" w:rsidRPr="000A59B1">
        <w:rPr>
          <w:lang w:val="en-GB"/>
        </w:rPr>
        <w:t>containing a liquid (or liquid plus vapor) at a temperature significantly above its boiling</w:t>
      </w:r>
      <w:r w:rsidR="000A59B1">
        <w:rPr>
          <w:lang w:val="en-GB"/>
        </w:rPr>
        <w:t xml:space="preserve"> </w:t>
      </w:r>
      <w:r w:rsidR="000A59B1" w:rsidRPr="000A59B1">
        <w:rPr>
          <w:lang w:val="en-GB"/>
        </w:rPr>
        <w:t>point at atmospheric pressure</w:t>
      </w:r>
      <w:r w:rsidR="000A59B1">
        <w:rPr>
          <w:lang w:val="en-GB"/>
        </w:rPr>
        <w:t>” (</w:t>
      </w:r>
      <w:r w:rsidR="00B62457" w:rsidRPr="00B62457">
        <w:t>Hemmatian</w:t>
      </w:r>
      <w:r w:rsidR="00B62457">
        <w:t xml:space="preserve"> et al., 2016). </w:t>
      </w:r>
      <w:r w:rsidR="00082555">
        <w:rPr>
          <w:lang w:val="en-GB"/>
        </w:rPr>
        <w:t xml:space="preserve">This phenomenon has been extensively studied and described </w:t>
      </w:r>
      <w:r w:rsidR="00157817">
        <w:rPr>
          <w:lang w:val="en-GB"/>
        </w:rPr>
        <w:t xml:space="preserve">by </w:t>
      </w:r>
      <w:r w:rsidR="00082555">
        <w:rPr>
          <w:lang w:val="en-GB"/>
        </w:rPr>
        <w:t>Ustolin et al. (2020</w:t>
      </w:r>
      <w:r w:rsidR="007F3D02">
        <w:rPr>
          <w:lang w:val="en-GB"/>
        </w:rPr>
        <w:t>, 2022</w:t>
      </w:r>
      <w:r w:rsidR="00082555">
        <w:rPr>
          <w:lang w:val="en-GB"/>
        </w:rPr>
        <w:t xml:space="preserve">) including attempts to simulate its potential consequences, which are shock wave, fireball and fragments. </w:t>
      </w:r>
      <w:r w:rsidR="00433025">
        <w:rPr>
          <w:lang w:val="en-GB"/>
        </w:rPr>
        <w:t>The</w:t>
      </w:r>
      <w:r w:rsidR="00433025" w:rsidRPr="00433025">
        <w:rPr>
          <w:lang w:val="en-GB"/>
        </w:rPr>
        <w:t xml:space="preserve"> projection of the latter can lead to both human injury and property </w:t>
      </w:r>
      <w:r w:rsidR="005F728C" w:rsidRPr="00433025">
        <w:rPr>
          <w:lang w:val="en-GB"/>
        </w:rPr>
        <w:t>damage and</w:t>
      </w:r>
      <w:r w:rsidR="00433025" w:rsidRPr="00433025">
        <w:rPr>
          <w:lang w:val="en-GB"/>
        </w:rPr>
        <w:t xml:space="preserve"> </w:t>
      </w:r>
      <w:r w:rsidR="008E33A6">
        <w:rPr>
          <w:lang w:val="en-GB"/>
        </w:rPr>
        <w:t>can mostly</w:t>
      </w:r>
      <w:r w:rsidR="00433025" w:rsidRPr="00433025">
        <w:rPr>
          <w:lang w:val="en-GB"/>
        </w:rPr>
        <w:t xml:space="preserve"> </w:t>
      </w:r>
      <w:r w:rsidR="008E33A6">
        <w:rPr>
          <w:lang w:val="en-GB"/>
        </w:rPr>
        <w:t>cause</w:t>
      </w:r>
      <w:r w:rsidR="00433025" w:rsidRPr="00433025">
        <w:rPr>
          <w:lang w:val="en-GB"/>
        </w:rPr>
        <w:t xml:space="preserve"> an escalation of the accident</w:t>
      </w:r>
      <w:r w:rsidR="00433025">
        <w:rPr>
          <w:lang w:val="en-GB"/>
        </w:rPr>
        <w:t xml:space="preserve"> (domino effect)</w:t>
      </w:r>
      <w:r w:rsidR="00273E79">
        <w:rPr>
          <w:lang w:val="en-GB"/>
        </w:rPr>
        <w:t xml:space="preserve">, </w:t>
      </w:r>
      <w:r w:rsidR="00791C5F">
        <w:rPr>
          <w:lang w:val="en-GB"/>
        </w:rPr>
        <w:t>as shown by Tugnoli et al. (2022)</w:t>
      </w:r>
      <w:r w:rsidR="00433025">
        <w:rPr>
          <w:lang w:val="en-GB"/>
        </w:rPr>
        <w:t>. F</w:t>
      </w:r>
      <w:r w:rsidR="00654ECF" w:rsidRPr="00654ECF">
        <w:rPr>
          <w:lang w:val="en-GB"/>
        </w:rPr>
        <w:t xml:space="preserve">or this reason, predicting the trajectory </w:t>
      </w:r>
      <w:r w:rsidR="004742BE">
        <w:rPr>
          <w:lang w:val="en-GB"/>
        </w:rPr>
        <w:t xml:space="preserve">and maximum range </w:t>
      </w:r>
      <w:r w:rsidR="00654ECF" w:rsidRPr="00654ECF">
        <w:rPr>
          <w:lang w:val="en-GB"/>
        </w:rPr>
        <w:t xml:space="preserve">of fragments is </w:t>
      </w:r>
      <w:r w:rsidR="00AE766A">
        <w:rPr>
          <w:lang w:val="en-GB"/>
        </w:rPr>
        <w:t>critical</w:t>
      </w:r>
      <w:r w:rsidR="00654ECF" w:rsidRPr="00654ECF">
        <w:rPr>
          <w:lang w:val="en-GB"/>
        </w:rPr>
        <w:t xml:space="preserve">, as it would allow safety measures to be taken to </w:t>
      </w:r>
      <w:r w:rsidR="00AE766A">
        <w:rPr>
          <w:lang w:val="en-GB"/>
        </w:rPr>
        <w:t xml:space="preserve">prevent or </w:t>
      </w:r>
      <w:r w:rsidR="00654ECF" w:rsidRPr="00654ECF">
        <w:rPr>
          <w:lang w:val="en-GB"/>
        </w:rPr>
        <w:t>mitigate the effects of this phenomenon.</w:t>
      </w:r>
      <w:r w:rsidR="00654ECF">
        <w:rPr>
          <w:lang w:val="en-GB"/>
        </w:rPr>
        <w:t xml:space="preserve"> </w:t>
      </w:r>
      <w:r w:rsidR="00531DA5" w:rsidRPr="00531DA5">
        <w:rPr>
          <w:lang w:val="en-GB"/>
        </w:rPr>
        <w:t xml:space="preserve">Several models </w:t>
      </w:r>
      <w:r w:rsidR="00531DA5" w:rsidRPr="00531DA5">
        <w:rPr>
          <w:lang w:val="en-GB"/>
        </w:rPr>
        <w:lastRenderedPageBreak/>
        <w:t xml:space="preserve">have been proposed to predict </w:t>
      </w:r>
      <w:r w:rsidR="00AE766A">
        <w:rPr>
          <w:lang w:val="en-GB"/>
        </w:rPr>
        <w:t>how many</w:t>
      </w:r>
      <w:r w:rsidR="00AE766A" w:rsidRPr="00531DA5">
        <w:rPr>
          <w:lang w:val="en-GB"/>
        </w:rPr>
        <w:t xml:space="preserve"> </w:t>
      </w:r>
      <w:r w:rsidR="00BB2187">
        <w:rPr>
          <w:lang w:val="en-GB"/>
        </w:rPr>
        <w:t>debri</w:t>
      </w:r>
      <w:r w:rsidR="00531DA5" w:rsidRPr="00531DA5">
        <w:rPr>
          <w:lang w:val="en-GB"/>
        </w:rPr>
        <w:t xml:space="preserve">s might be generated </w:t>
      </w:r>
      <w:r w:rsidR="00E22AF3">
        <w:rPr>
          <w:lang w:val="en-GB"/>
        </w:rPr>
        <w:t>after the catastrophic rupture of the</w:t>
      </w:r>
      <w:r w:rsidR="00317B47">
        <w:rPr>
          <w:lang w:val="en-GB"/>
        </w:rPr>
        <w:t xml:space="preserve"> tank</w:t>
      </w:r>
      <w:r w:rsidR="00531DA5" w:rsidRPr="00531DA5">
        <w:rPr>
          <w:lang w:val="en-GB"/>
        </w:rPr>
        <w:t>, how far they may travel, and how they might be distributed in space.</w:t>
      </w:r>
      <w:r w:rsidR="00E26619">
        <w:rPr>
          <w:lang w:val="en-GB"/>
        </w:rPr>
        <w:t xml:space="preserve"> H</w:t>
      </w:r>
      <w:r w:rsidR="00E26619" w:rsidRPr="00E26619">
        <w:rPr>
          <w:lang w:val="en-GB"/>
        </w:rPr>
        <w:t>owever,</w:t>
      </w:r>
      <w:r w:rsidR="00317B47">
        <w:rPr>
          <w:lang w:val="en-GB"/>
        </w:rPr>
        <w:t xml:space="preserve"> according to the authors’ knowledge,</w:t>
      </w:r>
      <w:r w:rsidR="00E26619" w:rsidRPr="00E26619">
        <w:rPr>
          <w:lang w:val="en-GB"/>
        </w:rPr>
        <w:t xml:space="preserve"> </w:t>
      </w:r>
      <w:r w:rsidR="008B22FE">
        <w:rPr>
          <w:lang w:val="en-GB"/>
        </w:rPr>
        <w:t>the only</w:t>
      </w:r>
      <w:r w:rsidR="008B22FE" w:rsidRPr="00E26619">
        <w:rPr>
          <w:lang w:val="en-GB"/>
        </w:rPr>
        <w:t xml:space="preserve"> </w:t>
      </w:r>
      <w:r w:rsidR="008B22FE">
        <w:rPr>
          <w:lang w:val="en-GB"/>
        </w:rPr>
        <w:t>fragment analysis</w:t>
      </w:r>
      <w:r w:rsidR="00E26619" w:rsidRPr="00E26619">
        <w:rPr>
          <w:lang w:val="en-GB"/>
        </w:rPr>
        <w:t xml:space="preserve"> </w:t>
      </w:r>
      <w:r w:rsidR="008B22FE">
        <w:rPr>
          <w:lang w:val="en-GB"/>
        </w:rPr>
        <w:t>for</w:t>
      </w:r>
      <w:r w:rsidR="008B22FE" w:rsidRPr="00E26619">
        <w:rPr>
          <w:lang w:val="en-GB"/>
        </w:rPr>
        <w:t xml:space="preserve"> </w:t>
      </w:r>
      <w:r w:rsidR="00E26619" w:rsidRPr="00E26619">
        <w:rPr>
          <w:lang w:val="en-GB"/>
        </w:rPr>
        <w:t xml:space="preserve">liquid hydrogen tank explosions </w:t>
      </w:r>
      <w:r w:rsidR="00542A1D">
        <w:rPr>
          <w:lang w:val="en-GB"/>
        </w:rPr>
        <w:t>was</w:t>
      </w:r>
      <w:r w:rsidR="00E26619" w:rsidRPr="00E26619">
        <w:rPr>
          <w:lang w:val="en-GB"/>
        </w:rPr>
        <w:t xml:space="preserve"> carried out</w:t>
      </w:r>
      <w:r w:rsidR="00542A1D">
        <w:rPr>
          <w:lang w:val="en-GB"/>
        </w:rPr>
        <w:t xml:space="preserve"> by Ustolin et al. (2020)</w:t>
      </w:r>
      <w:r w:rsidR="00815F7A">
        <w:rPr>
          <w:lang w:val="en-GB"/>
        </w:rPr>
        <w:t xml:space="preserve">. In that </w:t>
      </w:r>
      <w:r w:rsidR="004F1F05">
        <w:rPr>
          <w:lang w:val="en-GB"/>
        </w:rPr>
        <w:t>study</w:t>
      </w:r>
      <w:r w:rsidR="00815F7A">
        <w:rPr>
          <w:lang w:val="en-GB"/>
        </w:rPr>
        <w:t xml:space="preserve">, a preliminary fragment analysis was carried out by simulating the BMW </w:t>
      </w:r>
      <w:r w:rsidR="00CA3042">
        <w:rPr>
          <w:lang w:val="en-GB"/>
        </w:rPr>
        <w:t>LH2 tank bursting scenario tests (</w:t>
      </w:r>
      <w:r w:rsidR="008D5FBA">
        <w:rPr>
          <w:lang w:val="en-GB"/>
        </w:rPr>
        <w:t>Pehr, 1996</w:t>
      </w:r>
      <w:r w:rsidR="00CA3042">
        <w:rPr>
          <w:lang w:val="en-GB"/>
        </w:rPr>
        <w:t>)</w:t>
      </w:r>
      <w:r w:rsidR="00BB26EA">
        <w:rPr>
          <w:lang w:val="en-GB"/>
        </w:rPr>
        <w:t xml:space="preserve">, while in this study the </w:t>
      </w:r>
      <w:r w:rsidR="008B6DFE">
        <w:rPr>
          <w:lang w:val="en-GB"/>
        </w:rPr>
        <w:t xml:space="preserve">LH2 tank fire </w:t>
      </w:r>
      <w:r w:rsidR="00BB26EA">
        <w:rPr>
          <w:lang w:val="en-GB"/>
        </w:rPr>
        <w:t>test</w:t>
      </w:r>
      <w:r w:rsidR="008B6DFE">
        <w:rPr>
          <w:lang w:val="en-GB"/>
        </w:rPr>
        <w:t>s</w:t>
      </w:r>
      <w:r w:rsidR="00BB26EA">
        <w:rPr>
          <w:lang w:val="en-GB"/>
        </w:rPr>
        <w:t xml:space="preserve"> carried out during the </w:t>
      </w:r>
      <w:r w:rsidR="008B6DFE">
        <w:rPr>
          <w:lang w:val="en-GB"/>
        </w:rPr>
        <w:t xml:space="preserve">Norwegian project </w:t>
      </w:r>
      <w:r w:rsidR="0062166D">
        <w:t>Safe Hydrogen Fuel Handling and Use for Efficient Implementation (</w:t>
      </w:r>
      <w:r w:rsidR="00BB26EA">
        <w:rPr>
          <w:lang w:val="en-GB"/>
        </w:rPr>
        <w:t>SH2IFT</w:t>
      </w:r>
      <w:r w:rsidR="0062166D">
        <w:rPr>
          <w:lang w:val="en-GB"/>
        </w:rPr>
        <w:t>)</w:t>
      </w:r>
      <w:r w:rsidR="008B6DFE">
        <w:rPr>
          <w:lang w:val="en-GB"/>
        </w:rPr>
        <w:t xml:space="preserve"> (</w:t>
      </w:r>
      <w:r w:rsidR="008B6DFE" w:rsidRPr="008B6DFE">
        <w:rPr>
          <w:lang w:val="en-GB"/>
        </w:rPr>
        <w:t>van Wingerden</w:t>
      </w:r>
      <w:r w:rsidR="008B6DFE">
        <w:rPr>
          <w:lang w:val="en-GB"/>
        </w:rPr>
        <w:t xml:space="preserve"> et al., 2022)</w:t>
      </w:r>
      <w:r w:rsidR="00BB26EA">
        <w:rPr>
          <w:lang w:val="en-GB"/>
        </w:rPr>
        <w:t xml:space="preserve"> are analysed for the first time</w:t>
      </w:r>
      <w:r w:rsidR="008047DB">
        <w:rPr>
          <w:lang w:val="en-GB"/>
        </w:rPr>
        <w:t xml:space="preserve"> by focussing on the generated fragments</w:t>
      </w:r>
      <w:r w:rsidR="00CA3042">
        <w:rPr>
          <w:lang w:val="en-GB"/>
        </w:rPr>
        <w:t>.</w:t>
      </w:r>
      <w:r w:rsidR="00E26619" w:rsidRPr="00E26619">
        <w:rPr>
          <w:lang w:val="en-GB"/>
        </w:rPr>
        <w:t xml:space="preserve"> </w:t>
      </w:r>
      <w:r w:rsidR="00AF3CAA">
        <w:rPr>
          <w:lang w:val="en-GB"/>
        </w:rPr>
        <w:t>T</w:t>
      </w:r>
      <w:r w:rsidR="00AF3CAA" w:rsidRPr="00E26619">
        <w:rPr>
          <w:lang w:val="en-GB"/>
        </w:rPr>
        <w:t xml:space="preserve">he </w:t>
      </w:r>
      <w:r w:rsidR="00AF3CAA">
        <w:rPr>
          <w:lang w:val="en-GB"/>
        </w:rPr>
        <w:t>peculiar</w:t>
      </w:r>
      <w:r w:rsidR="00AF3CAA" w:rsidRPr="00E26619">
        <w:rPr>
          <w:lang w:val="en-GB"/>
        </w:rPr>
        <w:t xml:space="preserve"> </w:t>
      </w:r>
      <w:r w:rsidR="00E26619" w:rsidRPr="00E26619">
        <w:rPr>
          <w:lang w:val="en-GB"/>
        </w:rPr>
        <w:t>properties of hydrogen and the double-walled tanks</w:t>
      </w:r>
      <w:r w:rsidR="006B3BA1">
        <w:rPr>
          <w:lang w:val="en-GB"/>
        </w:rPr>
        <w:t xml:space="preserve"> structure differ from </w:t>
      </w:r>
      <w:r w:rsidR="00726A73">
        <w:rPr>
          <w:lang w:val="en-GB"/>
        </w:rPr>
        <w:t>conventional hydrocarbon technologies and</w:t>
      </w:r>
      <w:r w:rsidR="00E26619" w:rsidRPr="00E26619">
        <w:rPr>
          <w:lang w:val="en-GB"/>
        </w:rPr>
        <w:t xml:space="preserve"> </w:t>
      </w:r>
      <w:r w:rsidR="006B3BA1">
        <w:rPr>
          <w:lang w:val="en-GB"/>
        </w:rPr>
        <w:t>must</w:t>
      </w:r>
      <w:r w:rsidR="006B3BA1" w:rsidRPr="00E26619">
        <w:rPr>
          <w:lang w:val="en-GB"/>
        </w:rPr>
        <w:t xml:space="preserve"> </w:t>
      </w:r>
      <w:r w:rsidR="00E26619" w:rsidRPr="00E26619">
        <w:rPr>
          <w:lang w:val="en-GB"/>
        </w:rPr>
        <w:t>be taken into account</w:t>
      </w:r>
      <w:r w:rsidR="00BB2187">
        <w:rPr>
          <w:lang w:val="en-GB"/>
        </w:rPr>
        <w:t xml:space="preserve"> when</w:t>
      </w:r>
      <w:r w:rsidR="00BB2187" w:rsidRPr="00BB2187">
        <w:rPr>
          <w:lang w:val="en-GB"/>
        </w:rPr>
        <w:t xml:space="preserve"> carrying out this type of analysis</w:t>
      </w:r>
      <w:r w:rsidR="00E26619" w:rsidRPr="00E26619">
        <w:rPr>
          <w:lang w:val="en-GB"/>
        </w:rPr>
        <w:t>.</w:t>
      </w:r>
    </w:p>
    <w:p w14:paraId="4E9F1DF5" w14:textId="6A31BEAA" w:rsidR="00552714" w:rsidRDefault="000F0CC5" w:rsidP="00600535">
      <w:pPr>
        <w:pStyle w:val="CETBodytext"/>
        <w:rPr>
          <w:lang w:val="en-GB"/>
        </w:rPr>
      </w:pPr>
      <w:r w:rsidRPr="000F0CC5">
        <w:rPr>
          <w:lang w:val="en-GB"/>
        </w:rPr>
        <w:t xml:space="preserve">This paper should be considered as a starting point </w:t>
      </w:r>
      <w:r w:rsidR="00377244">
        <w:rPr>
          <w:lang w:val="en-GB"/>
        </w:rPr>
        <w:t>for</w:t>
      </w:r>
      <w:r w:rsidRPr="000F0CC5">
        <w:rPr>
          <w:lang w:val="en-GB"/>
        </w:rPr>
        <w:t xml:space="preserve"> addressing this lack of information.</w:t>
      </w:r>
      <w:r w:rsidR="00CB27C8">
        <w:rPr>
          <w:lang w:val="en-GB"/>
        </w:rPr>
        <w:t xml:space="preserve"> </w:t>
      </w:r>
      <w:r w:rsidR="00377244">
        <w:rPr>
          <w:lang w:val="en-GB"/>
        </w:rPr>
        <w:t>The State of the art (Section 2) describes models for predicting horizontal distance</w:t>
      </w:r>
      <w:r w:rsidR="005F0C53" w:rsidRPr="005F0C53">
        <w:rPr>
          <w:lang w:val="en-GB"/>
        </w:rPr>
        <w:t xml:space="preserve">. </w:t>
      </w:r>
      <w:r w:rsidR="005F0C53">
        <w:rPr>
          <w:lang w:val="en-GB"/>
        </w:rPr>
        <w:t>H</w:t>
      </w:r>
      <w:r w:rsidR="005F0C53" w:rsidRPr="005F0C53">
        <w:rPr>
          <w:lang w:val="en-GB"/>
        </w:rPr>
        <w:t xml:space="preserve">owever, the focus of this paper is the analysis of experimental data from the </w:t>
      </w:r>
      <w:r w:rsidR="005F0C53">
        <w:rPr>
          <w:lang w:val="en-GB"/>
        </w:rPr>
        <w:t>SH</w:t>
      </w:r>
      <w:r w:rsidR="005F0C53" w:rsidRPr="005F0C53">
        <w:rPr>
          <w:vertAlign w:val="subscript"/>
          <w:lang w:val="en-GB"/>
        </w:rPr>
        <w:t>2</w:t>
      </w:r>
      <w:r w:rsidR="005F0C53">
        <w:rPr>
          <w:lang w:val="en-GB"/>
        </w:rPr>
        <w:t xml:space="preserve">IFT </w:t>
      </w:r>
      <w:r w:rsidR="005F0C53" w:rsidRPr="005F0C53">
        <w:rPr>
          <w:lang w:val="en-GB"/>
        </w:rPr>
        <w:t xml:space="preserve">project, which is described in </w:t>
      </w:r>
      <w:r w:rsidR="005F0C53">
        <w:rPr>
          <w:lang w:val="en-GB"/>
        </w:rPr>
        <w:t>S</w:t>
      </w:r>
      <w:r w:rsidR="005F0C53" w:rsidRPr="005F0C53">
        <w:rPr>
          <w:lang w:val="en-GB"/>
        </w:rPr>
        <w:t xml:space="preserve">ection 3. </w:t>
      </w:r>
      <w:r w:rsidR="00D72F16">
        <w:rPr>
          <w:lang w:val="en-GB"/>
        </w:rPr>
        <w:t xml:space="preserve">As depicted </w:t>
      </w:r>
      <w:r w:rsidR="00D72F16" w:rsidRPr="005F0C53">
        <w:rPr>
          <w:lang w:val="en-GB"/>
        </w:rPr>
        <w:t>in</w:t>
      </w:r>
      <w:r w:rsidR="00D72F16">
        <w:rPr>
          <w:lang w:val="en-GB"/>
        </w:rPr>
        <w:t xml:space="preserve"> </w:t>
      </w:r>
      <w:r w:rsidR="00D72F16" w:rsidRPr="005F0C53">
        <w:rPr>
          <w:lang w:val="en-GB"/>
        </w:rPr>
        <w:t>Metho</w:t>
      </w:r>
      <w:r w:rsidR="00D72F16">
        <w:rPr>
          <w:lang w:val="en-GB"/>
        </w:rPr>
        <w:t>dology</w:t>
      </w:r>
      <w:r w:rsidR="00D72F16" w:rsidRPr="005F0C53">
        <w:rPr>
          <w:lang w:val="en-GB"/>
        </w:rPr>
        <w:t xml:space="preserve"> </w:t>
      </w:r>
      <w:r w:rsidR="00D72F16">
        <w:rPr>
          <w:lang w:val="en-GB"/>
        </w:rPr>
        <w:t>(S</w:t>
      </w:r>
      <w:r w:rsidR="00D72F16" w:rsidRPr="005F0C53">
        <w:rPr>
          <w:lang w:val="en-GB"/>
        </w:rPr>
        <w:t>ec</w:t>
      </w:r>
      <w:r w:rsidR="007F08A2">
        <w:rPr>
          <w:lang w:val="en-GB"/>
        </w:rPr>
        <w:t>tion</w:t>
      </w:r>
      <w:r w:rsidR="00D72F16">
        <w:rPr>
          <w:lang w:val="en-GB"/>
        </w:rPr>
        <w:t xml:space="preserve"> 4), th</w:t>
      </w:r>
      <w:r w:rsidR="005F0C53" w:rsidRPr="005F0C53">
        <w:rPr>
          <w:lang w:val="en-GB"/>
        </w:rPr>
        <w:t xml:space="preserve">e purpose is to study the distribution of fragments in the area around the </w:t>
      </w:r>
      <w:r w:rsidR="005F0C53">
        <w:rPr>
          <w:lang w:val="en-GB"/>
        </w:rPr>
        <w:t>vessel</w:t>
      </w:r>
      <w:r w:rsidR="005F0C53" w:rsidRPr="005F0C53">
        <w:rPr>
          <w:lang w:val="en-GB"/>
        </w:rPr>
        <w:t xml:space="preserve">. Finally, the </w:t>
      </w:r>
      <w:r w:rsidR="00D72F16">
        <w:rPr>
          <w:lang w:val="en-GB"/>
        </w:rPr>
        <w:t>Results (Sec</w:t>
      </w:r>
      <w:r w:rsidR="007F08A2">
        <w:rPr>
          <w:lang w:val="en-GB"/>
        </w:rPr>
        <w:t>tion</w:t>
      </w:r>
      <w:r w:rsidR="00D72F16">
        <w:rPr>
          <w:lang w:val="en-GB"/>
        </w:rPr>
        <w:t xml:space="preserve"> 5) and Discussion (Sec</w:t>
      </w:r>
      <w:r w:rsidR="007F08A2">
        <w:rPr>
          <w:lang w:val="en-GB"/>
        </w:rPr>
        <w:t>tion</w:t>
      </w:r>
      <w:r w:rsidR="00D72F16">
        <w:rPr>
          <w:lang w:val="en-GB"/>
        </w:rPr>
        <w:t xml:space="preserve"> 6) </w:t>
      </w:r>
      <w:r w:rsidR="00006B83">
        <w:rPr>
          <w:lang w:val="en-GB"/>
        </w:rPr>
        <w:t>are provided together with some suggestions for further studies (Sec</w:t>
      </w:r>
      <w:r w:rsidR="007F08A2">
        <w:rPr>
          <w:lang w:val="en-GB"/>
        </w:rPr>
        <w:t>tion</w:t>
      </w:r>
      <w:r w:rsidR="00006B83">
        <w:rPr>
          <w:lang w:val="en-GB"/>
        </w:rPr>
        <w:t xml:space="preserve"> 7). </w:t>
      </w:r>
    </w:p>
    <w:p w14:paraId="677EBFF0" w14:textId="1DAFA398" w:rsidR="00600535" w:rsidRDefault="00552714" w:rsidP="00600535">
      <w:pPr>
        <w:pStyle w:val="CETHeading1"/>
        <w:tabs>
          <w:tab w:val="clear" w:pos="360"/>
          <w:tab w:val="right" w:pos="7100"/>
        </w:tabs>
        <w:jc w:val="both"/>
        <w:rPr>
          <w:lang w:val="en-GB"/>
        </w:rPr>
      </w:pPr>
      <w:r>
        <w:rPr>
          <w:lang w:val="en-GB"/>
        </w:rPr>
        <w:t>State of the art</w:t>
      </w:r>
    </w:p>
    <w:p w14:paraId="720FCCB7" w14:textId="760D4415" w:rsidR="00AB0ED1" w:rsidRDefault="00F50BA3" w:rsidP="00AB0ED1">
      <w:pPr>
        <w:pStyle w:val="CETBodytext"/>
        <w:rPr>
          <w:lang w:val="en-GB"/>
        </w:rPr>
      </w:pPr>
      <w:bookmarkStart w:id="0" w:name="_Hlk126831605"/>
      <w:r w:rsidRPr="00F50BA3">
        <w:rPr>
          <w:lang w:val="en-GB"/>
        </w:rPr>
        <w:t xml:space="preserve">The </w:t>
      </w:r>
      <w:r w:rsidR="000A59B1">
        <w:rPr>
          <w:lang w:val="en-GB"/>
        </w:rPr>
        <w:t>failure</w:t>
      </w:r>
      <w:r w:rsidRPr="00F50BA3">
        <w:rPr>
          <w:lang w:val="en-GB"/>
        </w:rPr>
        <w:t xml:space="preserve"> of a </w:t>
      </w:r>
      <w:r>
        <w:rPr>
          <w:lang w:val="en-GB"/>
        </w:rPr>
        <w:t>tank</w:t>
      </w:r>
      <w:r w:rsidRPr="00F50BA3">
        <w:rPr>
          <w:lang w:val="en-GB"/>
        </w:rPr>
        <w:t xml:space="preserve"> is associated with both the release of its contents and the release of its internal energy. This </w:t>
      </w:r>
      <w:r>
        <w:rPr>
          <w:lang w:val="en-GB"/>
        </w:rPr>
        <w:t>latter</w:t>
      </w:r>
      <w:r w:rsidRPr="00F50BA3">
        <w:rPr>
          <w:lang w:val="en-GB"/>
        </w:rPr>
        <w:t xml:space="preserve"> is converted into mechanical </w:t>
      </w:r>
      <w:r w:rsidR="00C73710" w:rsidRPr="00F50BA3">
        <w:rPr>
          <w:lang w:val="en-GB"/>
        </w:rPr>
        <w:t>energy,</w:t>
      </w:r>
      <w:r w:rsidRPr="00F50BA3">
        <w:rPr>
          <w:lang w:val="en-GB"/>
        </w:rPr>
        <w:t xml:space="preserve"> and </w:t>
      </w:r>
      <w:r w:rsidR="004D7F75">
        <w:rPr>
          <w:lang w:val="en-GB"/>
        </w:rPr>
        <w:t xml:space="preserve">a </w:t>
      </w:r>
      <w:r w:rsidR="00664D8A">
        <w:rPr>
          <w:lang w:val="en-GB"/>
        </w:rPr>
        <w:t>significant</w:t>
      </w:r>
      <w:r w:rsidR="004D7F75">
        <w:rPr>
          <w:lang w:val="en-GB"/>
        </w:rPr>
        <w:t xml:space="preserve"> fraction of </w:t>
      </w:r>
      <w:r w:rsidRPr="00F50BA3">
        <w:rPr>
          <w:lang w:val="en-GB"/>
        </w:rPr>
        <w:t xml:space="preserve">it is responsible </w:t>
      </w:r>
      <w:r w:rsidR="00664D8A">
        <w:rPr>
          <w:lang w:val="en-GB"/>
        </w:rPr>
        <w:t>for</w:t>
      </w:r>
      <w:r w:rsidRPr="00F50BA3">
        <w:rPr>
          <w:lang w:val="en-GB"/>
        </w:rPr>
        <w:t xml:space="preserve"> damaging shock waves and high</w:t>
      </w:r>
      <w:r w:rsidR="00664D8A">
        <w:rPr>
          <w:lang w:val="en-GB"/>
        </w:rPr>
        <w:t>-</w:t>
      </w:r>
      <w:r w:rsidRPr="00F50BA3">
        <w:rPr>
          <w:lang w:val="en-GB"/>
        </w:rPr>
        <w:t>velocity fragments</w:t>
      </w:r>
      <w:r w:rsidR="00C73710">
        <w:rPr>
          <w:lang w:val="en-GB"/>
        </w:rPr>
        <w:t>. T</w:t>
      </w:r>
      <w:r w:rsidRPr="00F50BA3">
        <w:rPr>
          <w:lang w:val="en-GB"/>
        </w:rPr>
        <w:t>he extent of the blast and fragmentation effects is directly tied to the amount of internal energy available, which is determined by the</w:t>
      </w:r>
      <w:r w:rsidR="005D71DD">
        <w:rPr>
          <w:lang w:val="en-GB"/>
        </w:rPr>
        <w:t xml:space="preserve"> </w:t>
      </w:r>
      <w:r w:rsidR="004E5033">
        <w:rPr>
          <w:lang w:val="en-GB"/>
        </w:rPr>
        <w:t>type of fuel, its</w:t>
      </w:r>
      <w:r w:rsidRPr="00F50BA3">
        <w:rPr>
          <w:lang w:val="en-GB"/>
        </w:rPr>
        <w:t xml:space="preserve"> mass stored in the tank</w:t>
      </w:r>
      <w:r w:rsidR="00664D8A">
        <w:rPr>
          <w:lang w:val="en-GB"/>
        </w:rPr>
        <w:t>,</w:t>
      </w:r>
      <w:r w:rsidRPr="00F50BA3">
        <w:rPr>
          <w:lang w:val="en-GB"/>
        </w:rPr>
        <w:t xml:space="preserve"> and its thermodynamic properties.</w:t>
      </w:r>
      <w:r w:rsidR="0004330A">
        <w:rPr>
          <w:lang w:val="en-GB"/>
        </w:rPr>
        <w:t xml:space="preserve"> T</w:t>
      </w:r>
      <w:r w:rsidR="0004330A" w:rsidRPr="0004330A">
        <w:rPr>
          <w:lang w:val="en-GB"/>
        </w:rPr>
        <w:t>o conduct a</w:t>
      </w:r>
      <w:r w:rsidR="004E5033">
        <w:rPr>
          <w:lang w:val="en-GB"/>
        </w:rPr>
        <w:t>n effective</w:t>
      </w:r>
      <w:r w:rsidR="0004330A" w:rsidRPr="0004330A">
        <w:rPr>
          <w:lang w:val="en-GB"/>
        </w:rPr>
        <w:t xml:space="preserve"> risk assessment, </w:t>
      </w:r>
      <w:r w:rsidR="0056203F">
        <w:rPr>
          <w:lang w:val="en-GB"/>
        </w:rPr>
        <w:t>evaluating the severity of the potential outcomes is essential</w:t>
      </w:r>
      <w:r w:rsidR="0004330A" w:rsidRPr="0004330A">
        <w:rPr>
          <w:lang w:val="en-GB"/>
        </w:rPr>
        <w:t xml:space="preserve">. In the case of </w:t>
      </w:r>
      <w:r w:rsidR="008E59C9">
        <w:rPr>
          <w:lang w:val="en-GB"/>
        </w:rPr>
        <w:t>pressure</w:t>
      </w:r>
      <w:r w:rsidR="008E59C9" w:rsidRPr="0004330A">
        <w:rPr>
          <w:lang w:val="en-GB"/>
        </w:rPr>
        <w:t xml:space="preserve"> </w:t>
      </w:r>
      <w:r w:rsidR="0004330A" w:rsidRPr="0004330A">
        <w:rPr>
          <w:lang w:val="en-GB"/>
        </w:rPr>
        <w:t>waves, it is necessary to measure the</w:t>
      </w:r>
      <w:r w:rsidR="007C2298">
        <w:rPr>
          <w:lang w:val="en-GB"/>
        </w:rPr>
        <w:t xml:space="preserve"> impulse and</w:t>
      </w:r>
      <w:r w:rsidR="0004330A" w:rsidRPr="0004330A">
        <w:rPr>
          <w:lang w:val="en-GB"/>
        </w:rPr>
        <w:t xml:space="preserve"> overpressure, which is crucial in determining the extent of damage that could occur</w:t>
      </w:r>
      <w:r w:rsidR="0004330A">
        <w:rPr>
          <w:lang w:val="en-GB"/>
        </w:rPr>
        <w:t xml:space="preserve">. </w:t>
      </w:r>
      <w:r w:rsidR="0004330A" w:rsidRPr="0004330A">
        <w:rPr>
          <w:lang w:val="en-GB"/>
        </w:rPr>
        <w:t xml:space="preserve">In addition to </w:t>
      </w:r>
      <w:r w:rsidR="008E59C9">
        <w:rPr>
          <w:lang w:val="en-GB"/>
        </w:rPr>
        <w:t xml:space="preserve">impulse and </w:t>
      </w:r>
      <w:r w:rsidR="0004330A" w:rsidRPr="0004330A">
        <w:rPr>
          <w:lang w:val="en-GB"/>
        </w:rPr>
        <w:t>overpressure, fragments are another important factor to consider in a risk analysis of a</w:t>
      </w:r>
      <w:r w:rsidR="00EA747F">
        <w:rPr>
          <w:lang w:val="en-GB"/>
        </w:rPr>
        <w:t>n</w:t>
      </w:r>
      <w:r w:rsidR="0004330A" w:rsidRPr="0004330A">
        <w:rPr>
          <w:lang w:val="en-GB"/>
        </w:rPr>
        <w:t xml:space="preserve"> </w:t>
      </w:r>
      <w:r w:rsidR="00EA747F">
        <w:rPr>
          <w:lang w:val="en-GB"/>
        </w:rPr>
        <w:t>explosion</w:t>
      </w:r>
      <w:r w:rsidR="0004330A" w:rsidRPr="0004330A">
        <w:rPr>
          <w:lang w:val="en-GB"/>
        </w:rPr>
        <w:t xml:space="preserve"> event. Fragments refer to pieces of debris or shrapnel that can be produced </w:t>
      </w:r>
      <w:r w:rsidR="009D61D4">
        <w:rPr>
          <w:lang w:val="en-GB"/>
        </w:rPr>
        <w:t xml:space="preserve">from tank destruction and </w:t>
      </w:r>
      <w:r w:rsidR="006D5FD9">
        <w:rPr>
          <w:lang w:val="en-GB"/>
        </w:rPr>
        <w:t xml:space="preserve">thrown away </w:t>
      </w:r>
      <w:r w:rsidR="0004330A" w:rsidRPr="0004330A">
        <w:rPr>
          <w:lang w:val="en-GB"/>
        </w:rPr>
        <w:t xml:space="preserve">by </w:t>
      </w:r>
      <w:r w:rsidR="006D5FD9">
        <w:rPr>
          <w:lang w:val="en-GB"/>
        </w:rPr>
        <w:t>the following</w:t>
      </w:r>
      <w:r w:rsidR="006D5FD9" w:rsidRPr="0004330A">
        <w:rPr>
          <w:lang w:val="en-GB"/>
        </w:rPr>
        <w:t xml:space="preserve"> </w:t>
      </w:r>
      <w:r w:rsidR="0004330A" w:rsidRPr="0004330A">
        <w:rPr>
          <w:lang w:val="en-GB"/>
        </w:rPr>
        <w:t xml:space="preserve">explosion and can cause significant damage and injury to people and property. The size and trajectory of the fragments are important factors to consider when assessing the potential consequences of a </w:t>
      </w:r>
      <w:r w:rsidR="00502F61">
        <w:rPr>
          <w:lang w:val="en-GB"/>
        </w:rPr>
        <w:t>blast</w:t>
      </w:r>
      <w:r w:rsidR="00502F61" w:rsidRPr="0004330A">
        <w:rPr>
          <w:lang w:val="en-GB"/>
        </w:rPr>
        <w:t xml:space="preserve"> </w:t>
      </w:r>
      <w:r w:rsidR="0004330A" w:rsidRPr="0004330A">
        <w:rPr>
          <w:lang w:val="en-GB"/>
        </w:rPr>
        <w:t>wave</w:t>
      </w:r>
      <w:r w:rsidR="0004330A">
        <w:rPr>
          <w:lang w:val="en-GB"/>
        </w:rPr>
        <w:t xml:space="preserve">. </w:t>
      </w:r>
      <w:r w:rsidR="001705D8">
        <w:rPr>
          <w:lang w:val="en-GB"/>
        </w:rPr>
        <w:t>Fragment-related consequences are typically gauged in term</w:t>
      </w:r>
      <w:r w:rsidR="0011641E">
        <w:rPr>
          <w:lang w:val="en-GB"/>
        </w:rPr>
        <w:t xml:space="preserve">s of hazardous distance. </w:t>
      </w:r>
      <w:r w:rsidR="00FE613A">
        <w:rPr>
          <w:lang w:val="en-GB"/>
        </w:rPr>
        <w:t>F</w:t>
      </w:r>
      <w:r w:rsidR="00FE613A" w:rsidRPr="00FE613A">
        <w:rPr>
          <w:lang w:val="en-GB"/>
        </w:rPr>
        <w:t xml:space="preserve">or this reason, the horizontal </w:t>
      </w:r>
      <w:r w:rsidR="00FE613A">
        <w:rPr>
          <w:lang w:val="en-GB"/>
        </w:rPr>
        <w:t>rang</w:t>
      </w:r>
      <w:r w:rsidR="00FE613A" w:rsidRPr="00FE613A">
        <w:rPr>
          <w:lang w:val="en-GB"/>
        </w:rPr>
        <w:t xml:space="preserve">e </w:t>
      </w:r>
      <w:r w:rsidR="00206E3C" w:rsidRPr="00FE613A">
        <w:rPr>
          <w:lang w:val="en-GB"/>
        </w:rPr>
        <w:t>travelled</w:t>
      </w:r>
      <w:r w:rsidR="00FE613A" w:rsidRPr="00FE613A">
        <w:rPr>
          <w:lang w:val="en-GB"/>
        </w:rPr>
        <w:t xml:space="preserve"> by fragments is a </w:t>
      </w:r>
      <w:r w:rsidR="001148E2">
        <w:rPr>
          <w:lang w:val="en-GB"/>
        </w:rPr>
        <w:t>crucial</w:t>
      </w:r>
      <w:r w:rsidR="00FE613A" w:rsidRPr="00FE613A">
        <w:rPr>
          <w:lang w:val="en-GB"/>
        </w:rPr>
        <w:t xml:space="preserve"> parameter to </w:t>
      </w:r>
      <w:r w:rsidR="00FE613A">
        <w:rPr>
          <w:lang w:val="en-GB"/>
        </w:rPr>
        <w:t>eva</w:t>
      </w:r>
      <w:r w:rsidR="00FE613A" w:rsidRPr="00FE613A">
        <w:rPr>
          <w:lang w:val="en-GB"/>
        </w:rPr>
        <w:t xml:space="preserve">luate, and </w:t>
      </w:r>
      <w:r w:rsidR="0051501F">
        <w:rPr>
          <w:lang w:val="en-GB"/>
        </w:rPr>
        <w:t>different approaches</w:t>
      </w:r>
      <w:r w:rsidR="00FE613A" w:rsidRPr="00FE613A">
        <w:rPr>
          <w:lang w:val="en-GB"/>
        </w:rPr>
        <w:t xml:space="preserve"> are available in</w:t>
      </w:r>
      <w:r w:rsidR="00206E3C">
        <w:rPr>
          <w:lang w:val="en-GB"/>
        </w:rPr>
        <w:t xml:space="preserve"> the</w:t>
      </w:r>
      <w:r w:rsidR="00FE613A" w:rsidRPr="00FE613A">
        <w:rPr>
          <w:lang w:val="en-GB"/>
        </w:rPr>
        <w:t xml:space="preserve"> literature.</w:t>
      </w:r>
      <w:r w:rsidR="0051501F">
        <w:rPr>
          <w:lang w:val="en-GB"/>
        </w:rPr>
        <w:t xml:space="preserve"> </w:t>
      </w:r>
      <w:r w:rsidR="00265D29">
        <w:rPr>
          <w:lang w:val="en-GB"/>
        </w:rPr>
        <w:t xml:space="preserve">The procedure </w:t>
      </w:r>
      <w:r w:rsidR="00262C18">
        <w:rPr>
          <w:lang w:val="en-GB"/>
        </w:rPr>
        <w:t>for assessing</w:t>
      </w:r>
      <w:r w:rsidR="00265D29">
        <w:rPr>
          <w:lang w:val="en-GB"/>
        </w:rPr>
        <w:t xml:space="preserve"> this parameter </w:t>
      </w:r>
      <w:r w:rsidR="005C741B">
        <w:rPr>
          <w:lang w:val="en-GB"/>
        </w:rPr>
        <w:t xml:space="preserve">begins with </w:t>
      </w:r>
      <w:r w:rsidR="005C741B" w:rsidRPr="005C741B">
        <w:rPr>
          <w:lang w:val="en-GB"/>
        </w:rPr>
        <w:t>estimating the energy released by the explosion</w:t>
      </w:r>
      <w:r w:rsidR="009A7F68">
        <w:rPr>
          <w:lang w:val="en-GB"/>
        </w:rPr>
        <w:t xml:space="preserve"> (step 1)</w:t>
      </w:r>
      <w:r w:rsidR="005C741B">
        <w:rPr>
          <w:lang w:val="en-GB"/>
        </w:rPr>
        <w:t xml:space="preserve">; several methods presented by Ustolin et al. (2020) can be used to </w:t>
      </w:r>
      <w:r w:rsidR="00262C18">
        <w:rPr>
          <w:lang w:val="en-GB"/>
        </w:rPr>
        <w:t xml:space="preserve">achieve </w:t>
      </w:r>
      <w:r w:rsidR="005C741B">
        <w:rPr>
          <w:lang w:val="en-GB"/>
        </w:rPr>
        <w:t>this</w:t>
      </w:r>
      <w:r w:rsidR="004128B5">
        <w:rPr>
          <w:lang w:val="en-GB"/>
        </w:rPr>
        <w:t xml:space="preserve"> aim. T</w:t>
      </w:r>
      <w:r w:rsidR="00AB0ED1">
        <w:rPr>
          <w:lang w:val="en-GB"/>
        </w:rPr>
        <w:t>he f</w:t>
      </w:r>
      <w:r w:rsidR="004128B5">
        <w:rPr>
          <w:lang w:val="en-GB"/>
        </w:rPr>
        <w:t>ollowing</w:t>
      </w:r>
      <w:r w:rsidR="00AB0ED1">
        <w:rPr>
          <w:lang w:val="en-GB"/>
        </w:rPr>
        <w:t xml:space="preserve"> step</w:t>
      </w:r>
      <w:r w:rsidR="009A7F68">
        <w:rPr>
          <w:lang w:val="en-GB"/>
        </w:rPr>
        <w:t xml:space="preserve"> (step 2) </w:t>
      </w:r>
      <w:r w:rsidR="00AB0ED1">
        <w:rPr>
          <w:lang w:val="en-GB"/>
        </w:rPr>
        <w:t xml:space="preserve">is to assess </w:t>
      </w:r>
      <w:r w:rsidR="00AB0ED1" w:rsidRPr="00AB0ED1">
        <w:rPr>
          <w:lang w:val="en-GB"/>
        </w:rPr>
        <w:t xml:space="preserve">the fraction of </w:t>
      </w:r>
      <w:r w:rsidR="00782B2F">
        <w:rPr>
          <w:lang w:val="en-GB"/>
        </w:rPr>
        <w:t xml:space="preserve">mechanical </w:t>
      </w:r>
      <w:r w:rsidR="00AB0ED1" w:rsidRPr="00AB0ED1">
        <w:rPr>
          <w:lang w:val="en-GB"/>
        </w:rPr>
        <w:t>energy that contributes to</w:t>
      </w:r>
      <w:r w:rsidR="00AB0ED1">
        <w:rPr>
          <w:lang w:val="en-GB"/>
        </w:rPr>
        <w:t xml:space="preserve"> </w:t>
      </w:r>
      <w:r w:rsidR="00AB0ED1" w:rsidRPr="00AB0ED1">
        <w:rPr>
          <w:lang w:val="en-GB"/>
        </w:rPr>
        <w:t>the generation and projection of</w:t>
      </w:r>
      <w:r w:rsidR="00AB0ED1">
        <w:rPr>
          <w:lang w:val="en-GB"/>
        </w:rPr>
        <w:t xml:space="preserve"> </w:t>
      </w:r>
      <w:r w:rsidR="00AB0ED1" w:rsidRPr="00AB0ED1">
        <w:rPr>
          <w:lang w:val="en-GB"/>
        </w:rPr>
        <w:t>the fragments</w:t>
      </w:r>
      <w:r w:rsidR="00A864D7">
        <w:rPr>
          <w:lang w:val="en-GB"/>
        </w:rPr>
        <w:t xml:space="preserve">. Two different values </w:t>
      </w:r>
      <w:r w:rsidR="00687971">
        <w:rPr>
          <w:lang w:val="en-GB"/>
        </w:rPr>
        <w:t xml:space="preserve">were indicated by </w:t>
      </w:r>
      <w:r w:rsidR="009A5E24">
        <w:rPr>
          <w:lang w:val="en-GB"/>
        </w:rPr>
        <w:t xml:space="preserve">Kumar </w:t>
      </w:r>
      <w:r w:rsidR="00687971">
        <w:rPr>
          <w:lang w:val="en-GB"/>
        </w:rPr>
        <w:t>(</w:t>
      </w:r>
      <w:r w:rsidR="009A5E24">
        <w:rPr>
          <w:lang w:val="en-GB"/>
        </w:rPr>
        <w:t>1996)</w:t>
      </w:r>
      <w:r w:rsidR="00AB0ED1">
        <w:rPr>
          <w:lang w:val="en-GB"/>
        </w:rPr>
        <w:t xml:space="preserve"> </w:t>
      </w:r>
      <w:r w:rsidR="0038268C">
        <w:rPr>
          <w:lang w:val="en-GB"/>
        </w:rPr>
        <w:t>(</w:t>
      </w:r>
      <w:r w:rsidR="00687971">
        <w:rPr>
          <w:lang w:val="en-GB"/>
        </w:rPr>
        <w:t>40 %</w:t>
      </w:r>
      <w:r w:rsidR="0038268C">
        <w:rPr>
          <w:lang w:val="en-GB"/>
        </w:rPr>
        <w:t>)</w:t>
      </w:r>
      <w:r w:rsidR="00687971">
        <w:rPr>
          <w:lang w:val="en-GB"/>
        </w:rPr>
        <w:t xml:space="preserve"> </w:t>
      </w:r>
      <w:r w:rsidR="00AB0ED1">
        <w:rPr>
          <w:lang w:val="en-GB"/>
        </w:rPr>
        <w:t xml:space="preserve">and </w:t>
      </w:r>
      <w:r w:rsidR="009A5E24">
        <w:rPr>
          <w:lang w:val="en-GB"/>
        </w:rPr>
        <w:t xml:space="preserve"> Van de Bosch et al. </w:t>
      </w:r>
      <w:r w:rsidR="0038268C">
        <w:rPr>
          <w:lang w:val="en-GB"/>
        </w:rPr>
        <w:t>(</w:t>
      </w:r>
      <w:r w:rsidR="009A5E24">
        <w:rPr>
          <w:lang w:val="en-GB"/>
        </w:rPr>
        <w:t>1997)</w:t>
      </w:r>
      <w:r w:rsidR="00AB0ED1">
        <w:rPr>
          <w:lang w:val="en-GB"/>
        </w:rPr>
        <w:t xml:space="preserve"> </w:t>
      </w:r>
      <w:r w:rsidR="0038268C">
        <w:rPr>
          <w:lang w:val="en-GB"/>
        </w:rPr>
        <w:t>(4 %)</w:t>
      </w:r>
      <w:r w:rsidR="00AB0ED1">
        <w:rPr>
          <w:lang w:val="en-GB"/>
        </w:rPr>
        <w:t>.</w:t>
      </w:r>
      <w:r w:rsidR="009A5E24">
        <w:rPr>
          <w:lang w:val="en-GB"/>
        </w:rPr>
        <w:t xml:space="preserve"> </w:t>
      </w:r>
      <w:r w:rsidR="00764C49">
        <w:rPr>
          <w:lang w:val="en-GB"/>
        </w:rPr>
        <w:t>At this point</w:t>
      </w:r>
      <w:r w:rsidR="0039652B">
        <w:rPr>
          <w:lang w:val="en-GB"/>
        </w:rPr>
        <w:t>,</w:t>
      </w:r>
      <w:r w:rsidR="00764C49">
        <w:rPr>
          <w:lang w:val="en-GB"/>
        </w:rPr>
        <w:t xml:space="preserve"> it is possible to evaluate</w:t>
      </w:r>
      <w:r w:rsidR="0004330A">
        <w:rPr>
          <w:lang w:val="en-GB"/>
        </w:rPr>
        <w:t xml:space="preserve"> the initial velocity</w:t>
      </w:r>
      <w:r w:rsidR="008D1F38">
        <w:rPr>
          <w:lang w:val="en-GB"/>
        </w:rPr>
        <w:t xml:space="preserve"> in m</w:t>
      </w:r>
      <w:r w:rsidR="0039652B">
        <w:rPr>
          <w:rFonts w:cs="Arial"/>
        </w:rPr>
        <w:t xml:space="preserve"> </w:t>
      </w:r>
      <w:r w:rsidR="008D1F38">
        <w:rPr>
          <w:lang w:val="en-GB"/>
        </w:rPr>
        <w:t>s</w:t>
      </w:r>
      <w:r w:rsidR="008D1F38" w:rsidRPr="008D1F38">
        <w:rPr>
          <w:vertAlign w:val="superscript"/>
          <w:lang w:val="en-GB"/>
        </w:rPr>
        <w:t>-1</w:t>
      </w:r>
      <w:r w:rsidR="0004330A">
        <w:rPr>
          <w:lang w:val="en-GB"/>
        </w:rPr>
        <w:t xml:space="preserve"> </w:t>
      </w:r>
      <w:r w:rsidR="0065160B">
        <w:rPr>
          <w:lang w:val="en-GB"/>
        </w:rPr>
        <w:t>of the fragment</w:t>
      </w:r>
      <w:r w:rsidR="009A7F68">
        <w:rPr>
          <w:lang w:val="en-GB"/>
        </w:rPr>
        <w:t xml:space="preserve"> (step 3)</w:t>
      </w:r>
      <w:r w:rsidR="0065160B">
        <w:rPr>
          <w:lang w:val="en-GB"/>
        </w:rPr>
        <w:t xml:space="preserve"> </w:t>
      </w:r>
      <w:r w:rsidR="0039652B">
        <w:rPr>
          <w:lang w:val="en-GB"/>
        </w:rPr>
        <w:t xml:space="preserve">with </w:t>
      </w:r>
      <w:r w:rsidR="0065160B">
        <w:rPr>
          <w:lang w:val="en-GB"/>
        </w:rPr>
        <w:t>Eq</w:t>
      </w:r>
      <w:r w:rsidR="00D93C77">
        <w:rPr>
          <w:lang w:val="en-GB"/>
        </w:rPr>
        <w:t xml:space="preserve"> </w:t>
      </w:r>
      <w:r w:rsidR="0065160B">
        <w:rPr>
          <w:lang w:val="en-GB"/>
        </w:rPr>
        <w:t>(1)</w:t>
      </w:r>
      <w:r w:rsidR="004E7E97">
        <w:rPr>
          <w:lang w:val="en-GB"/>
        </w:rPr>
        <w:t xml:space="preserve"> </w:t>
      </w:r>
      <w:r w:rsidR="00187ED4">
        <w:rPr>
          <w:lang w:val="en-GB"/>
        </w:rPr>
        <w:t>as in Ustolin et al. (2020)</w:t>
      </w:r>
      <w:r w:rsidR="0065160B">
        <w:rPr>
          <w:lang w:val="en-GB"/>
        </w:rPr>
        <w:t>:</w:t>
      </w:r>
    </w:p>
    <w:tbl>
      <w:tblPr>
        <w:tblW w:w="5000" w:type="pct"/>
        <w:tblLook w:val="04A0" w:firstRow="1" w:lastRow="0" w:firstColumn="1" w:lastColumn="0" w:noHBand="0" w:noVBand="1"/>
      </w:tblPr>
      <w:tblGrid>
        <w:gridCol w:w="7983"/>
        <w:gridCol w:w="804"/>
      </w:tblGrid>
      <w:tr w:rsidR="0065160B" w:rsidRPr="00B57B36" w14:paraId="00EC61AB" w14:textId="77777777" w:rsidTr="003B73EB">
        <w:tc>
          <w:tcPr>
            <w:tcW w:w="8188" w:type="dxa"/>
            <w:shd w:val="clear" w:color="auto" w:fill="auto"/>
            <w:vAlign w:val="center"/>
          </w:tcPr>
          <w:p w14:paraId="794700DF" w14:textId="206CCD7F" w:rsidR="0065160B" w:rsidRPr="0065160B" w:rsidRDefault="00DE2F56" w:rsidP="003B73EB">
            <w:pPr>
              <w:pStyle w:val="CETEquation"/>
              <w:rPr>
                <w:rFonts w:cs="Arial"/>
              </w:rPr>
            </w:pPr>
            <m:oMath>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r>
                <m:rPr>
                  <m:sty m:val="p"/>
                </m:rPr>
                <w:rPr>
                  <w:rFonts w:ascii="Cambria Math" w:hAnsi="Cambria Math" w:cs="Arial"/>
                </w:rPr>
                <m:t xml:space="preserve">= </m:t>
              </m:r>
              <m:rad>
                <m:radPr>
                  <m:degHide m:val="1"/>
                  <m:ctrlPr>
                    <w:rPr>
                      <w:rFonts w:ascii="Cambria Math" w:hAnsi="Cambria Math" w:cs="Arial"/>
                    </w:rPr>
                  </m:ctrlPr>
                </m:radPr>
                <m:deg/>
                <m:e>
                  <m:f>
                    <m:fPr>
                      <m:ctrlPr>
                        <w:rPr>
                          <w:rFonts w:ascii="Cambria Math" w:hAnsi="Cambria Math" w:cs="Arial"/>
                        </w:rPr>
                      </m:ctrlPr>
                    </m:fPr>
                    <m:num>
                      <m:r>
                        <m:rPr>
                          <m:sty m:val="p"/>
                        </m:rPr>
                        <w:rPr>
                          <w:rFonts w:ascii="Cambria Math" w:hAnsi="Cambria Math" w:cs="Arial"/>
                        </w:rPr>
                        <m:t>2∙</m:t>
                      </m:r>
                      <m:r>
                        <w:rPr>
                          <w:rFonts w:ascii="Cambria Math" w:hAnsi="Cambria Math" w:cs="Arial"/>
                        </w:rPr>
                        <m:t>λ</m:t>
                      </m:r>
                      <m:r>
                        <m:rPr>
                          <m:sty m:val="p"/>
                        </m:rPr>
                        <w:rPr>
                          <w:rFonts w:ascii="Cambria Math" w:hAnsi="Cambria Math" w:cs="Arial"/>
                        </w:rPr>
                        <m:t>∙</m:t>
                      </m:r>
                      <m:sSub>
                        <m:sSubPr>
                          <m:ctrlPr>
                            <w:rPr>
                              <w:rFonts w:ascii="Cambria Math" w:hAnsi="Cambria Math" w:cs="Arial"/>
                            </w:rPr>
                          </m:ctrlPr>
                        </m:sSubPr>
                        <m:e>
                          <m:r>
                            <w:rPr>
                              <w:rFonts w:ascii="Cambria Math" w:hAnsi="Cambria Math" w:cs="Arial"/>
                            </w:rPr>
                            <m:t>E</m:t>
                          </m:r>
                        </m:e>
                        <m:sub>
                          <m:r>
                            <w:rPr>
                              <w:rFonts w:ascii="Cambria Math" w:hAnsi="Cambria Math" w:cs="Arial"/>
                            </w:rPr>
                            <m:t>av</m:t>
                          </m:r>
                        </m:sub>
                      </m:sSub>
                    </m:num>
                    <m:den>
                      <m:sSub>
                        <m:sSubPr>
                          <m:ctrlPr>
                            <w:rPr>
                              <w:rFonts w:ascii="Cambria Math" w:hAnsi="Cambria Math" w:cs="Arial"/>
                            </w:rPr>
                          </m:ctrlPr>
                        </m:sSubPr>
                        <m:e>
                          <m:r>
                            <w:rPr>
                              <w:rFonts w:ascii="Cambria Math" w:hAnsi="Cambria Math" w:cs="Arial"/>
                            </w:rPr>
                            <m:t>M</m:t>
                          </m:r>
                        </m:e>
                        <m:sub>
                          <m:r>
                            <w:rPr>
                              <w:rFonts w:ascii="Cambria Math" w:hAnsi="Cambria Math" w:cs="Arial"/>
                            </w:rPr>
                            <m:t>v</m:t>
                          </m:r>
                        </m:sub>
                      </m:sSub>
                    </m:den>
                  </m:f>
                </m:e>
              </m:rad>
            </m:oMath>
            <w:r w:rsidR="003B73EB">
              <w:rPr>
                <w:rFonts w:cs="Arial"/>
              </w:rPr>
              <w:t xml:space="preserve"> </w:t>
            </w:r>
          </w:p>
        </w:tc>
        <w:tc>
          <w:tcPr>
            <w:tcW w:w="815" w:type="dxa"/>
            <w:shd w:val="clear" w:color="auto" w:fill="auto"/>
            <w:vAlign w:val="center"/>
          </w:tcPr>
          <w:p w14:paraId="33F96033" w14:textId="77777777" w:rsidR="0065160B" w:rsidRPr="00B57B36" w:rsidRDefault="0065160B" w:rsidP="00B61169">
            <w:pPr>
              <w:pStyle w:val="CETEquation"/>
              <w:jc w:val="right"/>
            </w:pPr>
            <w:r w:rsidRPr="00B57B36">
              <w:t>(1)</w:t>
            </w:r>
          </w:p>
        </w:tc>
      </w:tr>
    </w:tbl>
    <w:p w14:paraId="011D8AB2" w14:textId="4BC62405" w:rsidR="00444FD2" w:rsidRDefault="003B73EB" w:rsidP="00CC33BC">
      <w:pPr>
        <w:pStyle w:val="CETBodytext"/>
        <w:rPr>
          <w:lang w:val="en-GB"/>
        </w:rPr>
      </w:pPr>
      <w:r>
        <w:rPr>
          <w:lang w:val="en-GB"/>
        </w:rPr>
        <w:t xml:space="preserve">where </w:t>
      </w:r>
      <m:oMath>
        <m:r>
          <w:rPr>
            <w:rFonts w:ascii="Cambria Math" w:hAnsi="Cambria Math" w:cs="Arial"/>
          </w:rPr>
          <m:t>λ</m:t>
        </m:r>
      </m:oMath>
      <w:r>
        <w:rPr>
          <w:iCs/>
        </w:rPr>
        <w:t xml:space="preserve"> is the energy fraction responsible </w:t>
      </w:r>
      <w:r w:rsidR="00522D2C">
        <w:rPr>
          <w:iCs/>
        </w:rPr>
        <w:t>for</w:t>
      </w:r>
      <w:r>
        <w:rPr>
          <w:iCs/>
        </w:rPr>
        <w:t xml:space="preserve"> fragment projection, </w:t>
      </w:r>
      <m:oMath>
        <m:sSub>
          <m:sSubPr>
            <m:ctrlPr>
              <w:rPr>
                <w:rFonts w:ascii="Cambria Math" w:hAnsi="Cambria Math" w:cs="Arial"/>
              </w:rPr>
            </m:ctrlPr>
          </m:sSubPr>
          <m:e>
            <m:r>
              <w:rPr>
                <w:rFonts w:ascii="Cambria Math" w:hAnsi="Cambria Math" w:cs="Arial"/>
              </w:rPr>
              <m:t>E</m:t>
            </m:r>
          </m:e>
          <m:sub>
            <m:r>
              <w:rPr>
                <w:rFonts w:ascii="Cambria Math" w:hAnsi="Cambria Math" w:cs="Arial"/>
              </w:rPr>
              <m:t>av</m:t>
            </m:r>
          </m:sub>
        </m:sSub>
      </m:oMath>
      <w:r>
        <w:t xml:space="preserve"> is the released energy from the explosion </w:t>
      </w:r>
      <w:r w:rsidR="008D1F38">
        <w:t>in J</w:t>
      </w:r>
      <w:r w:rsidR="0089050C">
        <w:rPr>
          <w:rFonts w:cs="Arial"/>
        </w:rPr>
        <w:t xml:space="preserve"> </w:t>
      </w:r>
      <w:r w:rsidR="008D1F38">
        <w:t>kg</w:t>
      </w:r>
      <w:r w:rsidR="008D1F38" w:rsidRPr="008D1F38">
        <w:rPr>
          <w:vertAlign w:val="superscript"/>
        </w:rPr>
        <w:t>-1</w:t>
      </w:r>
      <w:r w:rsidR="008D1F38">
        <w:t xml:space="preserve"> </w:t>
      </w:r>
      <w:r>
        <w:t xml:space="preserve">and </w:t>
      </w:r>
      <m:oMath>
        <m:sSub>
          <m:sSubPr>
            <m:ctrlPr>
              <w:rPr>
                <w:rFonts w:ascii="Cambria Math" w:hAnsi="Cambria Math" w:cs="Arial"/>
              </w:rPr>
            </m:ctrlPr>
          </m:sSubPr>
          <m:e>
            <m:r>
              <w:rPr>
                <w:rFonts w:ascii="Cambria Math" w:hAnsi="Cambria Math" w:cs="Arial"/>
              </w:rPr>
              <m:t>M</m:t>
            </m:r>
          </m:e>
          <m:sub>
            <m:r>
              <w:rPr>
                <w:rFonts w:ascii="Cambria Math" w:hAnsi="Cambria Math" w:cs="Arial"/>
              </w:rPr>
              <m:t>v</m:t>
            </m:r>
          </m:sub>
        </m:sSub>
      </m:oMath>
      <w:r>
        <w:t xml:space="preserve"> is the mass of the empty vessel</w:t>
      </w:r>
      <w:r w:rsidR="008D1F38">
        <w:t xml:space="preserve"> in kg</w:t>
      </w:r>
      <w:r>
        <w:t xml:space="preserve">. </w:t>
      </w:r>
      <w:r w:rsidRPr="003B73EB">
        <w:rPr>
          <w:lang w:val="en-GB"/>
        </w:rPr>
        <w:t>Once the initial velocity has been established, there are two methods for estimating the flying distance of fragments in a</w:t>
      </w:r>
      <w:r w:rsidR="0089050C">
        <w:rPr>
          <w:lang w:val="en-GB"/>
        </w:rPr>
        <w:t>n</w:t>
      </w:r>
      <w:r w:rsidRPr="003B73EB">
        <w:rPr>
          <w:lang w:val="en-GB"/>
        </w:rPr>
        <w:t xml:space="preserve"> </w:t>
      </w:r>
      <w:r w:rsidR="0089050C">
        <w:rPr>
          <w:lang w:val="en-GB"/>
        </w:rPr>
        <w:t>explosion</w:t>
      </w:r>
      <w:r w:rsidRPr="003B73EB">
        <w:rPr>
          <w:lang w:val="en-GB"/>
        </w:rPr>
        <w:t xml:space="preserve"> event</w:t>
      </w:r>
      <w:r w:rsidR="009A7F68">
        <w:rPr>
          <w:lang w:val="en-GB"/>
        </w:rPr>
        <w:t xml:space="preserve"> (step 4)</w:t>
      </w:r>
      <w:r w:rsidRPr="003B73EB">
        <w:rPr>
          <w:lang w:val="en-GB"/>
        </w:rPr>
        <w:t xml:space="preserve">. The first method assumes that air resistance is negligible and </w:t>
      </w:r>
      <w:r w:rsidR="00522D2C">
        <w:rPr>
          <w:lang w:val="en-GB"/>
        </w:rPr>
        <w:t>only calculates the flying distance considering the gravitational force</w:t>
      </w:r>
      <w:r w:rsidRPr="003B73EB">
        <w:rPr>
          <w:lang w:val="en-GB"/>
        </w:rPr>
        <w:t>.</w:t>
      </w:r>
      <w:r w:rsidR="00CC33BC">
        <w:rPr>
          <w:lang w:val="en-GB"/>
        </w:rPr>
        <w:t xml:space="preserve"> The fragments characteristics are </w:t>
      </w:r>
      <w:r w:rsidR="00E4578D">
        <w:rPr>
          <w:lang w:val="en-GB"/>
        </w:rPr>
        <w:t>challenging</w:t>
      </w:r>
      <w:r w:rsidR="00CC33BC">
        <w:rPr>
          <w:lang w:val="en-GB"/>
        </w:rPr>
        <w:t xml:space="preserve"> to set a priori, this method focuses on the assumption of the initial angle, which is </w:t>
      </w:r>
      <w:r w:rsidR="00CC33BC" w:rsidRPr="00CC33BC">
        <w:rPr>
          <w:lang w:val="en-GB"/>
        </w:rPr>
        <w:t>typically 5÷10</w:t>
      </w:r>
      <w:r w:rsidR="00D93C77">
        <w:rPr>
          <w:lang w:val="en-GB"/>
        </w:rPr>
        <w:t xml:space="preserve"> </w:t>
      </w:r>
      <w:r w:rsidR="00CC33BC">
        <w:rPr>
          <w:lang w:val="en-GB"/>
        </w:rPr>
        <w:t>°</w:t>
      </w:r>
      <w:r w:rsidR="00CC33BC" w:rsidRPr="00CC33BC">
        <w:rPr>
          <w:lang w:val="en-GB"/>
        </w:rPr>
        <w:t xml:space="preserve"> for cylindrical vessels horizontally placed and 45</w:t>
      </w:r>
      <w:r w:rsidR="00C16702">
        <w:rPr>
          <w:lang w:val="en-GB"/>
        </w:rPr>
        <w:t xml:space="preserve"> </w:t>
      </w:r>
      <w:r w:rsidR="00CC33BC">
        <w:rPr>
          <w:lang w:val="en-GB"/>
        </w:rPr>
        <w:t xml:space="preserve">° </w:t>
      </w:r>
      <w:r w:rsidR="00CC33BC" w:rsidRPr="00CC33BC">
        <w:rPr>
          <w:lang w:val="en-GB"/>
        </w:rPr>
        <w:t>if vertically</w:t>
      </w:r>
      <w:r w:rsidR="00CC33BC">
        <w:rPr>
          <w:lang w:val="en-GB"/>
        </w:rPr>
        <w:t xml:space="preserve"> </w:t>
      </w:r>
      <w:r w:rsidR="0089050C">
        <w:rPr>
          <w:lang w:val="en-GB"/>
        </w:rPr>
        <w:t xml:space="preserve">oriented </w:t>
      </w:r>
      <w:r w:rsidR="00CC33BC">
        <w:rPr>
          <w:lang w:val="en-GB"/>
        </w:rPr>
        <w:t>(Kumar, 1996). S</w:t>
      </w:r>
      <w:r w:rsidR="00CC33BC" w:rsidRPr="00CC33BC">
        <w:rPr>
          <w:lang w:val="en-GB"/>
        </w:rPr>
        <w:t>olving th</w:t>
      </w:r>
      <w:r w:rsidR="003F35FD">
        <w:rPr>
          <w:lang w:val="en-GB"/>
        </w:rPr>
        <w:t>e equations of motion</w:t>
      </w:r>
      <w:r w:rsidR="00CC33BC" w:rsidRPr="00CC33BC">
        <w:rPr>
          <w:lang w:val="en-GB"/>
        </w:rPr>
        <w:t xml:space="preserve"> </w:t>
      </w:r>
      <w:r w:rsidR="00CC33BC">
        <w:rPr>
          <w:lang w:val="en-GB"/>
        </w:rPr>
        <w:t>leads to</w:t>
      </w:r>
      <w:r w:rsidR="00CC33BC" w:rsidRPr="00CC33BC">
        <w:rPr>
          <w:lang w:val="en-GB"/>
        </w:rPr>
        <w:t xml:space="preserve"> determi</w:t>
      </w:r>
      <w:r w:rsidR="00CC33BC">
        <w:rPr>
          <w:lang w:val="en-GB"/>
        </w:rPr>
        <w:t>n</w:t>
      </w:r>
      <w:r w:rsidR="00E4578D">
        <w:rPr>
          <w:lang w:val="en-GB"/>
        </w:rPr>
        <w:t>ing</w:t>
      </w:r>
      <w:r w:rsidR="00CC33BC">
        <w:rPr>
          <w:lang w:val="en-GB"/>
        </w:rPr>
        <w:t xml:space="preserve"> </w:t>
      </w:r>
      <w:r w:rsidR="00CC33BC" w:rsidRPr="00CC33BC">
        <w:rPr>
          <w:lang w:val="en-GB"/>
        </w:rPr>
        <w:t xml:space="preserve">the </w:t>
      </w:r>
      <w:r w:rsidR="002F2C71" w:rsidRPr="00CC33BC">
        <w:rPr>
          <w:lang w:val="en-GB"/>
        </w:rPr>
        <w:t>fl</w:t>
      </w:r>
      <w:r w:rsidR="002F2C71">
        <w:rPr>
          <w:lang w:val="en-GB"/>
        </w:rPr>
        <w:t>ying</w:t>
      </w:r>
      <w:r w:rsidR="002F2C71" w:rsidRPr="00CC33BC">
        <w:rPr>
          <w:lang w:val="en-GB"/>
        </w:rPr>
        <w:t xml:space="preserve"> </w:t>
      </w:r>
      <w:r w:rsidR="00CC33BC" w:rsidRPr="00CC33BC">
        <w:rPr>
          <w:lang w:val="en-GB"/>
        </w:rPr>
        <w:t>path of fragments</w:t>
      </w:r>
      <w:r w:rsidR="00CC33BC">
        <w:rPr>
          <w:lang w:val="en-GB"/>
        </w:rPr>
        <w:t xml:space="preserve">, especially </w:t>
      </w:r>
      <w:r w:rsidR="00444FD2">
        <w:rPr>
          <w:lang w:val="en-GB"/>
        </w:rPr>
        <w:t xml:space="preserve">the horizontal range </w:t>
      </w:r>
      <w:r w:rsidR="002F2C71">
        <w:rPr>
          <w:lang w:val="en-GB"/>
        </w:rPr>
        <w:t xml:space="preserve">by means of </w:t>
      </w:r>
      <w:r w:rsidR="00444FD2">
        <w:rPr>
          <w:lang w:val="en-GB"/>
        </w:rPr>
        <w:t>Eq(2)</w:t>
      </w:r>
      <w:r w:rsidR="00187ED4">
        <w:rPr>
          <w:lang w:val="en-GB"/>
        </w:rPr>
        <w:t xml:space="preserve"> as </w:t>
      </w:r>
      <w:r w:rsidR="009F0ABD">
        <w:rPr>
          <w:lang w:val="en-GB"/>
        </w:rPr>
        <w:t>shown by Lees (2012)</w:t>
      </w:r>
      <w:r w:rsidR="00444FD2">
        <w:rPr>
          <w:lang w:val="en-GB"/>
        </w:rPr>
        <w:t>:</w:t>
      </w:r>
    </w:p>
    <w:tbl>
      <w:tblPr>
        <w:tblW w:w="5000" w:type="pct"/>
        <w:tblLook w:val="04A0" w:firstRow="1" w:lastRow="0" w:firstColumn="1" w:lastColumn="0" w:noHBand="0" w:noVBand="1"/>
      </w:tblPr>
      <w:tblGrid>
        <w:gridCol w:w="7983"/>
        <w:gridCol w:w="804"/>
      </w:tblGrid>
      <w:tr w:rsidR="00444FD2" w:rsidRPr="00B57B36" w14:paraId="60B14DD5" w14:textId="77777777" w:rsidTr="008D1F38">
        <w:tc>
          <w:tcPr>
            <w:tcW w:w="7983" w:type="dxa"/>
            <w:shd w:val="clear" w:color="auto" w:fill="auto"/>
            <w:vAlign w:val="center"/>
          </w:tcPr>
          <w:p w14:paraId="655E7912" w14:textId="5140853B" w:rsidR="00D74997" w:rsidRPr="008D1F38" w:rsidRDefault="00D74997" w:rsidP="008D1F38">
            <w:pPr>
              <w:pStyle w:val="CETEquation"/>
              <w:rPr>
                <w:rFonts w:cs="Arial"/>
              </w:rPr>
            </w:pPr>
            <m:oMath>
              <m:r>
                <m:rPr>
                  <m:sty m:val="p"/>
                </m:rPr>
                <w:rPr>
                  <w:rFonts w:ascii="Cambria Math" w:hAnsi="Cambria Math" w:cs="Arial"/>
                </w:rPr>
                <m:t xml:space="preserve">R= </m:t>
              </m:r>
              <m:f>
                <m:fPr>
                  <m:ctrlPr>
                    <w:rPr>
                      <w:rFonts w:ascii="Cambria Math" w:hAnsi="Cambria Math" w:cs="Arial"/>
                    </w:rPr>
                  </m:ctrlPr>
                </m:fPr>
                <m:num>
                  <m:sSubSup>
                    <m:sSubSupPr>
                      <m:ctrlPr>
                        <w:rPr>
                          <w:rFonts w:ascii="Cambria Math" w:hAnsi="Cambria Math" w:cs="Arial"/>
                          <w:i/>
                        </w:rPr>
                      </m:ctrlPr>
                    </m:sSubSupPr>
                    <m:e>
                      <m:r>
                        <w:rPr>
                          <w:rFonts w:ascii="Cambria Math" w:hAnsi="Cambria Math" w:cs="Arial"/>
                        </w:rPr>
                        <m:t>v</m:t>
                      </m:r>
                    </m:e>
                    <m:sub>
                      <m:r>
                        <w:rPr>
                          <w:rFonts w:ascii="Cambria Math" w:hAnsi="Cambria Math" w:cs="Arial"/>
                        </w:rPr>
                        <m:t>i</m:t>
                      </m:r>
                    </m:sub>
                    <m:sup>
                      <m:r>
                        <w:rPr>
                          <w:rFonts w:ascii="Cambria Math" w:hAnsi="Cambria Math" w:cs="Arial"/>
                        </w:rPr>
                        <m:t>2</m:t>
                      </m:r>
                    </m:sup>
                  </m:sSubSup>
                  <m:r>
                    <w:rPr>
                      <w:rFonts w:ascii="Cambria Math" w:hAnsi="Cambria Math" w:cs="Arial"/>
                    </w:rPr>
                    <m:t>∙sin</m:t>
                  </m:r>
                  <m:d>
                    <m:dPr>
                      <m:ctrlPr>
                        <w:rPr>
                          <w:rFonts w:ascii="Cambria Math" w:hAnsi="Cambria Math" w:cs="Arial"/>
                          <w:i/>
                        </w:rPr>
                      </m:ctrlPr>
                    </m:dPr>
                    <m:e>
                      <m:r>
                        <w:rPr>
                          <w:rFonts w:ascii="Cambria Math" w:hAnsi="Cambria Math" w:cs="Arial"/>
                        </w:rPr>
                        <m:t>2α</m:t>
                      </m:r>
                    </m:e>
                  </m:d>
                </m:num>
                <m:den>
                  <m:r>
                    <w:rPr>
                      <w:rFonts w:ascii="Cambria Math" w:hAnsi="Cambria Math" w:cs="Arial"/>
                    </w:rPr>
                    <m:t>g</m:t>
                  </m:r>
                </m:den>
              </m:f>
            </m:oMath>
            <w:r w:rsidR="00444FD2">
              <w:rPr>
                <w:rFonts w:cs="Arial"/>
              </w:rPr>
              <w:t xml:space="preserve"> </w:t>
            </w:r>
          </w:p>
        </w:tc>
        <w:tc>
          <w:tcPr>
            <w:tcW w:w="804" w:type="dxa"/>
            <w:shd w:val="clear" w:color="auto" w:fill="auto"/>
            <w:vAlign w:val="center"/>
          </w:tcPr>
          <w:p w14:paraId="7457A066" w14:textId="656B6795" w:rsidR="00444FD2" w:rsidRPr="00B57B36" w:rsidRDefault="00444FD2" w:rsidP="00B61169">
            <w:pPr>
              <w:pStyle w:val="CETEquation"/>
              <w:jc w:val="right"/>
            </w:pPr>
            <w:r w:rsidRPr="00B57B36">
              <w:t>(</w:t>
            </w:r>
            <w:r>
              <w:t>2</w:t>
            </w:r>
            <w:r w:rsidRPr="00B57B36">
              <w:t>)</w:t>
            </w:r>
          </w:p>
        </w:tc>
      </w:tr>
    </w:tbl>
    <w:p w14:paraId="3764DF6C" w14:textId="0D84CBF4" w:rsidR="007A4586" w:rsidRDefault="008D1F38" w:rsidP="002509AD">
      <w:pPr>
        <w:pStyle w:val="CETBodytext"/>
        <w:rPr>
          <w:lang w:val="en-GB"/>
        </w:rPr>
      </w:pPr>
      <w:r>
        <w:rPr>
          <w:lang w:val="en-GB"/>
        </w:rPr>
        <w:t xml:space="preserve">where </w:t>
      </w:r>
      <m:oMath>
        <m:r>
          <w:rPr>
            <w:rFonts w:ascii="Cambria Math" w:hAnsi="Cambria Math" w:cs="Arial"/>
          </w:rPr>
          <m:t>α</m:t>
        </m:r>
      </m:oMath>
      <w:r>
        <w:t xml:space="preserve"> is the initial angle of the fragments and </w:t>
      </w:r>
      <m:oMath>
        <m:r>
          <w:rPr>
            <w:rFonts w:ascii="Cambria Math" w:hAnsi="Cambria Math" w:cs="Arial"/>
          </w:rPr>
          <m:t>g</m:t>
        </m:r>
      </m:oMath>
      <w:r>
        <w:t xml:space="preserve"> is the acceleration of gravity (9.81 m</w:t>
      </w:r>
      <w:r w:rsidR="002F2C71">
        <w:rPr>
          <w:rFonts w:cs="Arial"/>
        </w:rPr>
        <w:t xml:space="preserve"> </w:t>
      </w:r>
      <w:r>
        <w:t>s</w:t>
      </w:r>
      <w:r w:rsidRPr="008D1F38">
        <w:rPr>
          <w:vertAlign w:val="superscript"/>
        </w:rPr>
        <w:t>-2</w:t>
      </w:r>
      <w:r>
        <w:t xml:space="preserve">). Clearly, this method is useful to describe </w:t>
      </w:r>
      <w:r w:rsidR="00400B14">
        <w:t>the</w:t>
      </w:r>
      <w:r>
        <w:t xml:space="preserve"> overall distance a fragment can reach without giving any specific information.</w:t>
      </w:r>
      <w:r w:rsidR="003B73EB" w:rsidRPr="003B73EB">
        <w:rPr>
          <w:lang w:val="en-GB"/>
        </w:rPr>
        <w:t xml:space="preserve"> </w:t>
      </w:r>
    </w:p>
    <w:p w14:paraId="4E5C185D" w14:textId="54568F3E" w:rsidR="008D1F38" w:rsidRPr="003B73EB" w:rsidRDefault="002F2C71" w:rsidP="002509AD">
      <w:pPr>
        <w:pStyle w:val="CETBodytext"/>
        <w:rPr>
          <w:lang w:val="en-GB"/>
        </w:rPr>
      </w:pPr>
      <w:r>
        <w:rPr>
          <w:lang w:val="en-GB"/>
        </w:rPr>
        <w:t>On the other hand, th</w:t>
      </w:r>
      <w:r w:rsidRPr="003B73EB">
        <w:rPr>
          <w:lang w:val="en-GB"/>
        </w:rPr>
        <w:t xml:space="preserve">e </w:t>
      </w:r>
      <w:r w:rsidR="003B73EB" w:rsidRPr="003B73EB">
        <w:rPr>
          <w:lang w:val="en-GB"/>
        </w:rPr>
        <w:t>second method provides a more accurate prediction of the flying distance, but requires a more detailed analysis of the fragment and the surrounding environment.</w:t>
      </w:r>
      <w:r w:rsidR="008D1F38">
        <w:rPr>
          <w:lang w:val="en-GB"/>
        </w:rPr>
        <w:t xml:space="preserve"> </w:t>
      </w:r>
      <w:r w:rsidR="008D1F38" w:rsidRPr="008D1F38">
        <w:rPr>
          <w:lang w:val="en-GB"/>
        </w:rPr>
        <w:t>Fluid dynamic forces are subdivided into drag and lift components. The effect</w:t>
      </w:r>
      <w:r w:rsidR="008D1F38">
        <w:rPr>
          <w:lang w:val="en-GB"/>
        </w:rPr>
        <w:t xml:space="preserve"> </w:t>
      </w:r>
      <w:r w:rsidR="008D1F38" w:rsidRPr="008D1F38">
        <w:rPr>
          <w:lang w:val="en-GB"/>
        </w:rPr>
        <w:t>of drag and lift will depend both on the shape of the fragment and its direction of</w:t>
      </w:r>
      <w:r w:rsidR="008D1F38">
        <w:rPr>
          <w:lang w:val="en-GB"/>
        </w:rPr>
        <w:t xml:space="preserve"> </w:t>
      </w:r>
      <w:r w:rsidR="008D1F38" w:rsidRPr="008D1F38">
        <w:rPr>
          <w:lang w:val="en-GB"/>
        </w:rPr>
        <w:t>motion with respect to the relative wind.</w:t>
      </w:r>
      <w:r w:rsidR="0050112B">
        <w:rPr>
          <w:lang w:val="en-GB"/>
        </w:rPr>
        <w:t xml:space="preserve"> </w:t>
      </w:r>
      <w:r w:rsidR="002509AD">
        <w:rPr>
          <w:lang w:val="en-GB"/>
        </w:rPr>
        <w:t xml:space="preserve">The </w:t>
      </w:r>
      <w:r w:rsidR="002509AD" w:rsidRPr="002509AD">
        <w:rPr>
          <w:lang w:val="en-GB"/>
        </w:rPr>
        <w:t>fluid dynamic force components of drag and lift</w:t>
      </w:r>
      <w:r w:rsidR="002509AD">
        <w:rPr>
          <w:lang w:val="en-GB"/>
        </w:rPr>
        <w:t xml:space="preserve"> </w:t>
      </w:r>
      <w:r w:rsidR="002509AD" w:rsidRPr="002509AD">
        <w:rPr>
          <w:lang w:val="en-GB"/>
        </w:rPr>
        <w:t xml:space="preserve">at any instant can be expressed </w:t>
      </w:r>
      <w:r w:rsidR="00E409B2">
        <w:rPr>
          <w:lang w:val="en-GB"/>
        </w:rPr>
        <w:t xml:space="preserve">with </w:t>
      </w:r>
      <w:r w:rsidR="002509AD">
        <w:rPr>
          <w:lang w:val="en-GB"/>
        </w:rPr>
        <w:t>Eq(3)</w:t>
      </w:r>
      <w:r w:rsidR="00C95894">
        <w:rPr>
          <w:lang w:val="en-GB"/>
        </w:rPr>
        <w:t xml:space="preserve"> as </w:t>
      </w:r>
      <w:r w:rsidR="00565E3F">
        <w:rPr>
          <w:lang w:val="en-GB"/>
        </w:rPr>
        <w:t>presented by Lees (2012)</w:t>
      </w:r>
      <w:r w:rsidR="00120C31">
        <w:rPr>
          <w:lang w:val="en-GB"/>
        </w:rPr>
        <w:t>:</w:t>
      </w:r>
    </w:p>
    <w:tbl>
      <w:tblPr>
        <w:tblW w:w="5000" w:type="pct"/>
        <w:tblLook w:val="04A0" w:firstRow="1" w:lastRow="0" w:firstColumn="1" w:lastColumn="0" w:noHBand="0" w:noVBand="1"/>
      </w:tblPr>
      <w:tblGrid>
        <w:gridCol w:w="7983"/>
        <w:gridCol w:w="804"/>
      </w:tblGrid>
      <w:tr w:rsidR="002509AD" w:rsidRPr="00B57B36" w14:paraId="2F68FB2A" w14:textId="77777777" w:rsidTr="00B61169">
        <w:tc>
          <w:tcPr>
            <w:tcW w:w="7983" w:type="dxa"/>
            <w:shd w:val="clear" w:color="auto" w:fill="auto"/>
            <w:vAlign w:val="center"/>
          </w:tcPr>
          <w:p w14:paraId="3C49E58A" w14:textId="247FDC49" w:rsidR="006E6A06" w:rsidRPr="006E6A06" w:rsidRDefault="00DE2F56" w:rsidP="006E6A06">
            <w:pPr>
              <w:pStyle w:val="CETEquation"/>
              <w:rPr>
                <w:rFonts w:cs="Arial"/>
              </w:rPr>
            </w:pPr>
            <m:oMath>
              <m:d>
                <m:dPr>
                  <m:begChr m:val="{"/>
                  <m:endChr m:val=""/>
                  <m:ctrlPr>
                    <w:rPr>
                      <w:rFonts w:ascii="Cambria Math" w:hAnsi="Cambria Math" w:cs="Arial"/>
                    </w:rPr>
                  </m:ctrlPr>
                </m:dPr>
                <m:e>
                  <m:eqArr>
                    <m:eqArrPr>
                      <m:ctrlPr>
                        <w:rPr>
                          <w:rFonts w:ascii="Cambria Math" w:hAnsi="Cambria Math" w:cs="Arial"/>
                        </w:rPr>
                      </m:ctrlPr>
                    </m:eqArrPr>
                    <m:e>
                      <m:sSub>
                        <m:sSubPr>
                          <m:ctrlPr>
                            <w:rPr>
                              <w:rFonts w:ascii="Cambria Math" w:hAnsi="Cambria Math" w:cs="Arial"/>
                              <w:i/>
                            </w:rPr>
                          </m:ctrlPr>
                        </m:sSubPr>
                        <m:e>
                          <m:r>
                            <w:rPr>
                              <w:rFonts w:ascii="Cambria Math" w:hAnsi="Cambria Math" w:cs="Arial"/>
                            </w:rPr>
                            <m:t>F</m:t>
                          </m:r>
                        </m:e>
                        <m:sub>
                          <m:r>
                            <w:rPr>
                              <w:rFonts w:ascii="Cambria Math" w:hAnsi="Cambria Math" w:cs="Arial"/>
                            </w:rPr>
                            <m:t>L</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m:t>
                          </m:r>
                        </m:e>
                        <m:sub>
                          <m:r>
                            <w:rPr>
                              <w:rFonts w:ascii="Cambria Math" w:hAnsi="Cambria Math" w:cs="Arial"/>
                            </w:rPr>
                            <m:t>L</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L</m:t>
                          </m:r>
                        </m:sub>
                      </m:sSub>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ρ</m:t>
                              </m:r>
                            </m:e>
                            <m:sub>
                              <m:r>
                                <w:rPr>
                                  <w:rFonts w:ascii="Cambria Math" w:hAnsi="Cambria Math" w:cs="Arial"/>
                                </w:rPr>
                                <m:t>a</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i</m:t>
                              </m:r>
                            </m:sub>
                            <m:sup>
                              <m:r>
                                <w:rPr>
                                  <w:rFonts w:ascii="Cambria Math" w:hAnsi="Cambria Math" w:cs="Arial"/>
                                </w:rPr>
                                <m:t>2</m:t>
                              </m:r>
                            </m:sup>
                          </m:sSubSup>
                        </m:num>
                        <m:den>
                          <m:r>
                            <w:rPr>
                              <w:rFonts w:ascii="Cambria Math" w:hAnsi="Cambria Math" w:cs="Arial"/>
                            </w:rPr>
                            <m:t>2</m:t>
                          </m:r>
                        </m:den>
                      </m:f>
                    </m:e>
                    <m:e>
                      <m:sSub>
                        <m:sSubPr>
                          <m:ctrlPr>
                            <w:rPr>
                              <w:rFonts w:ascii="Cambria Math" w:hAnsi="Cambria Math" w:cs="Arial"/>
                              <w:i/>
                            </w:rPr>
                          </m:ctrlPr>
                        </m:sSubPr>
                        <m:e>
                          <m:r>
                            <w:rPr>
                              <w:rFonts w:ascii="Cambria Math" w:hAnsi="Cambria Math" w:cs="Arial"/>
                            </w:rPr>
                            <m:t>F</m:t>
                          </m:r>
                        </m:e>
                        <m:sub>
                          <m:r>
                            <w:rPr>
                              <w:rFonts w:ascii="Cambria Math" w:hAnsi="Cambria Math" w:cs="Arial"/>
                            </w:rPr>
                            <m:t>D</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D</m:t>
                          </m:r>
                        </m:sub>
                      </m:sSub>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ρ</m:t>
                              </m:r>
                            </m:e>
                            <m:sub>
                              <m:r>
                                <w:rPr>
                                  <w:rFonts w:ascii="Cambria Math" w:hAnsi="Cambria Math" w:cs="Arial"/>
                                </w:rPr>
                                <m:t>a</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i</m:t>
                              </m:r>
                            </m:sub>
                            <m:sup>
                              <m:r>
                                <w:rPr>
                                  <w:rFonts w:ascii="Cambria Math" w:hAnsi="Cambria Math" w:cs="Arial"/>
                                </w:rPr>
                                <m:t>2</m:t>
                              </m:r>
                            </m:sup>
                          </m:sSubSup>
                        </m:num>
                        <m:den>
                          <m:r>
                            <w:rPr>
                              <w:rFonts w:ascii="Cambria Math" w:hAnsi="Cambria Math" w:cs="Arial"/>
                            </w:rPr>
                            <m:t>2</m:t>
                          </m:r>
                        </m:den>
                      </m:f>
                    </m:e>
                  </m:eqArr>
                </m:e>
              </m:d>
            </m:oMath>
            <w:r w:rsidR="002509AD">
              <w:rPr>
                <w:rFonts w:cs="Arial"/>
              </w:rPr>
              <w:t xml:space="preserve"> </w:t>
            </w:r>
          </w:p>
        </w:tc>
        <w:tc>
          <w:tcPr>
            <w:tcW w:w="804" w:type="dxa"/>
            <w:shd w:val="clear" w:color="auto" w:fill="auto"/>
            <w:vAlign w:val="center"/>
          </w:tcPr>
          <w:p w14:paraId="79F7B85F" w14:textId="1AC93A65" w:rsidR="002509AD" w:rsidRPr="00B57B36" w:rsidRDefault="002509AD" w:rsidP="00B61169">
            <w:pPr>
              <w:pStyle w:val="CETEquation"/>
              <w:jc w:val="right"/>
            </w:pPr>
            <w:r w:rsidRPr="00B57B36">
              <w:t>(</w:t>
            </w:r>
            <w:r w:rsidR="00120C31">
              <w:t>3</w:t>
            </w:r>
            <w:r w:rsidRPr="00B57B36">
              <w:t>)</w:t>
            </w:r>
          </w:p>
        </w:tc>
      </w:tr>
    </w:tbl>
    <w:p w14:paraId="45CC7EE9" w14:textId="2E1A4173" w:rsidR="00120C31" w:rsidRDefault="006E6A06" w:rsidP="006E6A06">
      <w:pPr>
        <w:pStyle w:val="CETBodytext"/>
        <w:rPr>
          <w:lang w:val="en-GB"/>
        </w:rPr>
      </w:pPr>
      <w:r w:rsidRPr="006E6A06">
        <w:rPr>
          <w:lang w:val="en-GB"/>
        </w:rPr>
        <w:t xml:space="preserve">where </w:t>
      </w:r>
      <m:oMath>
        <m:sSub>
          <m:sSubPr>
            <m:ctrlPr>
              <w:rPr>
                <w:rFonts w:ascii="Cambria Math" w:hAnsi="Cambria Math" w:cs="Arial"/>
                <w:i/>
                <w:lang w:val="en-GB"/>
              </w:rPr>
            </m:ctrlPr>
          </m:sSubPr>
          <m:e>
            <m:r>
              <w:rPr>
                <w:rFonts w:ascii="Cambria Math" w:hAnsi="Cambria Math" w:cs="Arial"/>
              </w:rPr>
              <m:t>A</m:t>
            </m:r>
          </m:e>
          <m:sub>
            <m:r>
              <w:rPr>
                <w:rFonts w:ascii="Cambria Math" w:hAnsi="Cambria Math" w:cs="Arial"/>
              </w:rPr>
              <m:t>D</m:t>
            </m:r>
          </m:sub>
        </m:sSub>
      </m:oMath>
      <w:r w:rsidRPr="006E6A06">
        <w:rPr>
          <w:lang w:val="en-GB"/>
        </w:rPr>
        <w:t xml:space="preserve"> is the drag area</w:t>
      </w:r>
      <w:r w:rsidR="003F35FD">
        <w:rPr>
          <w:lang w:val="en-GB"/>
        </w:rPr>
        <w:t xml:space="preserve"> in m</w:t>
      </w:r>
      <w:r w:rsidR="003F35FD" w:rsidRPr="003F35FD">
        <w:rPr>
          <w:vertAlign w:val="superscript"/>
          <w:lang w:val="en-GB"/>
        </w:rPr>
        <w:t>2</w:t>
      </w:r>
      <w:r w:rsidRPr="006E6A06">
        <w:rPr>
          <w:lang w:val="en-GB"/>
        </w:rPr>
        <w:t xml:space="preserve">, </w:t>
      </w:r>
      <m:oMath>
        <m:sSub>
          <m:sSubPr>
            <m:ctrlPr>
              <w:rPr>
                <w:rFonts w:ascii="Cambria Math" w:hAnsi="Cambria Math" w:cs="Arial"/>
                <w:i/>
                <w:lang w:val="en-GB"/>
              </w:rPr>
            </m:ctrlPr>
          </m:sSubPr>
          <m:e>
            <m:r>
              <w:rPr>
                <w:rFonts w:ascii="Cambria Math" w:hAnsi="Cambria Math" w:cs="Arial"/>
              </w:rPr>
              <m:t>A</m:t>
            </m:r>
          </m:e>
          <m:sub>
            <m:r>
              <w:rPr>
                <w:rFonts w:ascii="Cambria Math" w:hAnsi="Cambria Math" w:cs="Arial"/>
              </w:rPr>
              <m:t>L</m:t>
            </m:r>
          </m:sub>
        </m:sSub>
      </m:oMath>
      <w:r w:rsidRPr="006E6A06">
        <w:rPr>
          <w:lang w:val="en-GB"/>
        </w:rPr>
        <w:t xml:space="preserve"> is the lift area</w:t>
      </w:r>
      <w:r w:rsidR="003F35FD">
        <w:rPr>
          <w:lang w:val="en-GB"/>
        </w:rPr>
        <w:t xml:space="preserve"> in m</w:t>
      </w:r>
      <w:r w:rsidR="003F35FD" w:rsidRPr="003F35FD">
        <w:rPr>
          <w:vertAlign w:val="superscript"/>
          <w:lang w:val="en-GB"/>
        </w:rPr>
        <w:t>2</w:t>
      </w:r>
      <w:r w:rsidRPr="006E6A06">
        <w:rPr>
          <w:lang w:val="en-GB"/>
        </w:rPr>
        <w:t xml:space="preserve">, </w:t>
      </w:r>
      <m:oMath>
        <m:sSub>
          <m:sSubPr>
            <m:ctrlPr>
              <w:rPr>
                <w:rFonts w:ascii="Cambria Math" w:hAnsi="Cambria Math" w:cs="Arial"/>
                <w:i/>
                <w:lang w:val="en-GB"/>
              </w:rPr>
            </m:ctrlPr>
          </m:sSubPr>
          <m:e>
            <m:r>
              <w:rPr>
                <w:rFonts w:ascii="Cambria Math" w:hAnsi="Cambria Math" w:cs="Arial"/>
              </w:rPr>
              <m:t>C</m:t>
            </m:r>
          </m:e>
          <m:sub>
            <m:r>
              <w:rPr>
                <w:rFonts w:ascii="Cambria Math" w:hAnsi="Cambria Math" w:cs="Arial"/>
              </w:rPr>
              <m:t>D</m:t>
            </m:r>
          </m:sub>
        </m:sSub>
      </m:oMath>
      <w:r w:rsidRPr="006E6A06">
        <w:rPr>
          <w:lang w:val="en-GB"/>
        </w:rPr>
        <w:t xml:space="preserve"> is the drag coefficient, </w:t>
      </w:r>
      <m:oMath>
        <m:sSub>
          <m:sSubPr>
            <m:ctrlPr>
              <w:rPr>
                <w:rFonts w:ascii="Cambria Math" w:hAnsi="Cambria Math" w:cs="Arial"/>
                <w:i/>
                <w:lang w:val="en-GB"/>
              </w:rPr>
            </m:ctrlPr>
          </m:sSubPr>
          <m:e>
            <m:r>
              <w:rPr>
                <w:rFonts w:ascii="Cambria Math" w:hAnsi="Cambria Math" w:cs="Arial"/>
              </w:rPr>
              <m:t>C</m:t>
            </m:r>
          </m:e>
          <m:sub>
            <m:r>
              <w:rPr>
                <w:rFonts w:ascii="Cambria Math" w:hAnsi="Cambria Math" w:cs="Arial"/>
              </w:rPr>
              <m:t>L</m:t>
            </m:r>
          </m:sub>
        </m:sSub>
      </m:oMath>
      <w:r w:rsidRPr="006E6A06">
        <w:rPr>
          <w:lang w:val="en-GB"/>
        </w:rPr>
        <w:t xml:space="preserve"> is the lift</w:t>
      </w:r>
      <w:r>
        <w:rPr>
          <w:lang w:val="en-GB"/>
        </w:rPr>
        <w:t xml:space="preserve"> </w:t>
      </w:r>
      <w:r w:rsidRPr="006E6A06">
        <w:rPr>
          <w:lang w:val="en-GB"/>
        </w:rPr>
        <w:t>coefficient,</w:t>
      </w:r>
      <w:r>
        <w:rPr>
          <w:lang w:val="en-GB"/>
        </w:rPr>
        <w:t xml:space="preserve"> </w:t>
      </w:r>
      <m:oMath>
        <m:sSub>
          <m:sSubPr>
            <m:ctrlPr>
              <w:rPr>
                <w:rFonts w:ascii="Cambria Math" w:hAnsi="Cambria Math" w:cs="Arial"/>
                <w:i/>
                <w:lang w:val="en-GB"/>
              </w:rPr>
            </m:ctrlPr>
          </m:sSubPr>
          <m:e>
            <m:r>
              <w:rPr>
                <w:rFonts w:ascii="Cambria Math" w:hAnsi="Cambria Math" w:cs="Arial"/>
              </w:rPr>
              <m:t>F</m:t>
            </m:r>
          </m:e>
          <m:sub>
            <m:r>
              <w:rPr>
                <w:rFonts w:ascii="Cambria Math" w:hAnsi="Cambria Math" w:cs="Arial"/>
              </w:rPr>
              <m:t>D</m:t>
            </m:r>
          </m:sub>
        </m:sSub>
      </m:oMath>
      <w:r w:rsidRPr="006E6A06">
        <w:rPr>
          <w:lang w:val="en-GB"/>
        </w:rPr>
        <w:t xml:space="preserve"> is the drag</w:t>
      </w:r>
      <w:r>
        <w:rPr>
          <w:lang w:val="en-GB"/>
        </w:rPr>
        <w:t xml:space="preserve"> </w:t>
      </w:r>
      <w:r w:rsidRPr="006E6A06">
        <w:rPr>
          <w:lang w:val="en-GB"/>
        </w:rPr>
        <w:t>force</w:t>
      </w:r>
      <w:r w:rsidR="00DF3747">
        <w:rPr>
          <w:lang w:val="en-GB"/>
        </w:rPr>
        <w:t xml:space="preserve"> in N</w:t>
      </w:r>
      <w:r w:rsidRPr="006E6A06">
        <w:rPr>
          <w:lang w:val="en-GB"/>
        </w:rPr>
        <w:t xml:space="preserve">, </w:t>
      </w:r>
      <m:oMath>
        <m:sSub>
          <m:sSubPr>
            <m:ctrlPr>
              <w:rPr>
                <w:rFonts w:ascii="Cambria Math" w:hAnsi="Cambria Math" w:cs="Arial"/>
                <w:i/>
                <w:lang w:val="en-GB"/>
              </w:rPr>
            </m:ctrlPr>
          </m:sSubPr>
          <m:e>
            <m:r>
              <w:rPr>
                <w:rFonts w:ascii="Cambria Math" w:hAnsi="Cambria Math" w:cs="Arial"/>
              </w:rPr>
              <m:t>F</m:t>
            </m:r>
          </m:e>
          <m:sub>
            <m:r>
              <w:rPr>
                <w:rFonts w:ascii="Cambria Math" w:hAnsi="Cambria Math" w:cs="Arial"/>
              </w:rPr>
              <m:t>L</m:t>
            </m:r>
          </m:sub>
        </m:sSub>
      </m:oMath>
      <w:r w:rsidRPr="006E6A06">
        <w:rPr>
          <w:lang w:val="en-GB"/>
        </w:rPr>
        <w:t xml:space="preserve"> is the lift force</w:t>
      </w:r>
      <w:r w:rsidR="00DF3747">
        <w:rPr>
          <w:lang w:val="en-GB"/>
        </w:rPr>
        <w:t xml:space="preserve"> in N</w:t>
      </w:r>
      <w:r w:rsidRPr="006E6A06">
        <w:rPr>
          <w:lang w:val="en-GB"/>
        </w:rPr>
        <w:t xml:space="preserve">, </w:t>
      </w:r>
      <m:oMath>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oMath>
      <w:r w:rsidRPr="006E6A06">
        <w:rPr>
          <w:lang w:val="en-GB"/>
        </w:rPr>
        <w:t xml:space="preserve"> is the velocity of the fragment</w:t>
      </w:r>
      <w:r w:rsidR="00DF3747">
        <w:rPr>
          <w:lang w:val="en-GB"/>
        </w:rPr>
        <w:t xml:space="preserve"> in m </w:t>
      </w:r>
      <w:r w:rsidR="00FF1FBF">
        <w:rPr>
          <w:lang w:val="en-GB"/>
        </w:rPr>
        <w:t>s</w:t>
      </w:r>
      <w:r w:rsidR="00FF1FBF" w:rsidRPr="00FF1FBF">
        <w:rPr>
          <w:vertAlign w:val="superscript"/>
          <w:lang w:val="en-GB"/>
        </w:rPr>
        <w:t>-1</w:t>
      </w:r>
      <w:r w:rsidRPr="006E6A06">
        <w:rPr>
          <w:lang w:val="en-GB"/>
        </w:rPr>
        <w:t xml:space="preserve"> and</w:t>
      </w:r>
      <w:r>
        <w:rPr>
          <w:lang w:val="en-GB"/>
        </w:rPr>
        <w:t xml:space="preserve"> </w:t>
      </w:r>
      <m:oMath>
        <m:sSub>
          <m:sSubPr>
            <m:ctrlPr>
              <w:rPr>
                <w:rFonts w:ascii="Cambria Math" w:hAnsi="Cambria Math" w:cs="Arial"/>
                <w:i/>
                <w:lang w:val="en-GB"/>
              </w:rPr>
            </m:ctrlPr>
          </m:sSubPr>
          <m:e>
            <m:r>
              <w:rPr>
                <w:rFonts w:ascii="Cambria Math" w:hAnsi="Cambria Math" w:cs="Arial"/>
              </w:rPr>
              <m:t>ρ</m:t>
            </m:r>
          </m:e>
          <m:sub>
            <m:r>
              <w:rPr>
                <w:rFonts w:ascii="Cambria Math" w:hAnsi="Cambria Math" w:cs="Arial"/>
              </w:rPr>
              <m:t>a</m:t>
            </m:r>
          </m:sub>
        </m:sSub>
      </m:oMath>
      <w:r w:rsidRPr="006E6A06">
        <w:rPr>
          <w:lang w:val="en-GB"/>
        </w:rPr>
        <w:t xml:space="preserve"> is the density of air</w:t>
      </w:r>
      <w:r w:rsidR="003F35FD">
        <w:rPr>
          <w:lang w:val="en-GB"/>
        </w:rPr>
        <w:t xml:space="preserve"> in kg</w:t>
      </w:r>
      <w:r w:rsidR="00981D42">
        <w:rPr>
          <w:rFonts w:cs="Arial"/>
        </w:rPr>
        <w:t xml:space="preserve"> </w:t>
      </w:r>
      <w:r w:rsidR="003F35FD">
        <w:rPr>
          <w:lang w:val="en-GB"/>
        </w:rPr>
        <w:t>m</w:t>
      </w:r>
      <w:r w:rsidR="003F35FD" w:rsidRPr="003F35FD">
        <w:rPr>
          <w:vertAlign w:val="superscript"/>
          <w:lang w:val="en-GB"/>
        </w:rPr>
        <w:t>-3</w:t>
      </w:r>
      <w:r w:rsidRPr="006E6A06">
        <w:rPr>
          <w:lang w:val="en-GB"/>
        </w:rPr>
        <w:t>.</w:t>
      </w:r>
      <w:r w:rsidR="003F35FD">
        <w:rPr>
          <w:lang w:val="en-GB"/>
        </w:rPr>
        <w:t xml:space="preserve"> </w:t>
      </w:r>
      <w:r w:rsidR="00D7343F">
        <w:rPr>
          <w:lang w:val="en-GB"/>
        </w:rPr>
        <w:t>In this case</w:t>
      </w:r>
      <w:r w:rsidR="009B2F57">
        <w:rPr>
          <w:lang w:val="en-GB"/>
        </w:rPr>
        <w:t>,</w:t>
      </w:r>
      <w:r w:rsidR="00D7343F">
        <w:rPr>
          <w:lang w:val="en-GB"/>
        </w:rPr>
        <w:t xml:space="preserve"> solving the equations of motion is not trivial</w:t>
      </w:r>
      <w:r w:rsidR="009B2F57">
        <w:rPr>
          <w:lang w:val="en-GB"/>
        </w:rPr>
        <w:t>,</w:t>
      </w:r>
      <w:r w:rsidR="00D7343F">
        <w:rPr>
          <w:lang w:val="en-GB"/>
        </w:rPr>
        <w:t xml:space="preserve"> and a graphical method is possible according to Baker et al. (1983).</w:t>
      </w:r>
      <w:r w:rsidR="00120C31">
        <w:rPr>
          <w:lang w:val="en-GB"/>
        </w:rPr>
        <w:t xml:space="preserve"> It requires the evaluation of the initial scaled velocity as Eq(4)</w:t>
      </w:r>
      <w:r w:rsidR="004A3AF6">
        <w:rPr>
          <w:lang w:val="en-GB"/>
        </w:rPr>
        <w:t xml:space="preserve"> as </w:t>
      </w:r>
      <w:r w:rsidR="00164E18">
        <w:rPr>
          <w:lang w:val="en-GB"/>
        </w:rPr>
        <w:t>illustrated by Lees (2012)</w:t>
      </w:r>
      <w:r w:rsidR="00120C31">
        <w:rPr>
          <w:lang w:val="en-GB"/>
        </w:rPr>
        <w:t>:</w:t>
      </w:r>
    </w:p>
    <w:tbl>
      <w:tblPr>
        <w:tblW w:w="5000" w:type="pct"/>
        <w:tblLook w:val="04A0" w:firstRow="1" w:lastRow="0" w:firstColumn="1" w:lastColumn="0" w:noHBand="0" w:noVBand="1"/>
      </w:tblPr>
      <w:tblGrid>
        <w:gridCol w:w="7983"/>
        <w:gridCol w:w="804"/>
      </w:tblGrid>
      <w:tr w:rsidR="00120C31" w:rsidRPr="00B57B36" w14:paraId="7A94F731" w14:textId="77777777" w:rsidTr="00B61169">
        <w:tc>
          <w:tcPr>
            <w:tcW w:w="7983" w:type="dxa"/>
            <w:shd w:val="clear" w:color="auto" w:fill="auto"/>
            <w:vAlign w:val="center"/>
          </w:tcPr>
          <w:p w14:paraId="512D7ABF" w14:textId="70B7F6EF" w:rsidR="00120C31" w:rsidRPr="008D1F38" w:rsidRDefault="00DE2F56" w:rsidP="00B61169">
            <w:pPr>
              <w:pStyle w:val="CETEquation"/>
              <w:rPr>
                <w:rFonts w:cs="Arial"/>
              </w:rPr>
            </w:pPr>
            <m:oMath>
              <m:acc>
                <m:accPr>
                  <m:chr m:val="̅"/>
                  <m:ctrlPr>
                    <w:rPr>
                      <w:rFonts w:ascii="Cambria Math" w:hAnsi="Cambria Math" w:cs="Arial"/>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e>
              </m:acc>
              <m:r>
                <m:rPr>
                  <m:sty m:val="p"/>
                </m:rPr>
                <w:rPr>
                  <w:rFonts w:ascii="Cambria Math" w:hAnsi="Cambria Math" w:cs="Arial"/>
                </w:rPr>
                <m:t xml:space="preserve">= </m:t>
              </m:r>
              <m:f>
                <m:fPr>
                  <m:ctrlPr>
                    <w:rPr>
                      <w:rFonts w:ascii="Cambria Math" w:hAnsi="Cambria Math" w:cs="Arial"/>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D</m:t>
                      </m:r>
                    </m:sub>
                  </m:sSub>
                  <m:r>
                    <w:rPr>
                      <w:rFonts w:ascii="Cambria Math" w:hAnsi="Cambria Math" w:cs="Arial"/>
                    </w:rPr>
                    <m:t>∙</m:t>
                  </m:r>
                  <m:sSub>
                    <m:sSubPr>
                      <m:ctrlPr>
                        <w:rPr>
                          <w:rFonts w:ascii="Cambria Math" w:hAnsi="Cambria Math" w:cs="Arial"/>
                          <w:i/>
                        </w:rPr>
                      </m:ctrlPr>
                    </m:sSubPr>
                    <m:e>
                      <m:r>
                        <w:rPr>
                          <w:rFonts w:ascii="Cambria Math" w:hAnsi="Cambria Math" w:cs="Arial"/>
                        </w:rPr>
                        <m:t>ρ</m:t>
                      </m:r>
                    </m:e>
                    <m:sub>
                      <m:r>
                        <w:rPr>
                          <w:rFonts w:ascii="Cambria Math" w:hAnsi="Cambria Math" w:cs="Arial"/>
                        </w:rPr>
                        <m:t>a</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i</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M</m:t>
                      </m:r>
                    </m:e>
                    <m:sub>
                      <m:r>
                        <w:rPr>
                          <w:rFonts w:ascii="Cambria Math" w:hAnsi="Cambria Math" w:cs="Arial"/>
                        </w:rPr>
                        <m:t>f</m:t>
                      </m:r>
                    </m:sub>
                  </m:sSub>
                  <m:r>
                    <w:rPr>
                      <w:rFonts w:ascii="Cambria Math" w:hAnsi="Cambria Math" w:cs="Arial"/>
                    </w:rPr>
                    <m:t>∙g</m:t>
                  </m:r>
                </m:den>
              </m:f>
            </m:oMath>
            <w:r w:rsidR="00120C31">
              <w:rPr>
                <w:rFonts w:cs="Arial"/>
              </w:rPr>
              <w:t xml:space="preserve"> </w:t>
            </w:r>
          </w:p>
        </w:tc>
        <w:tc>
          <w:tcPr>
            <w:tcW w:w="804" w:type="dxa"/>
            <w:shd w:val="clear" w:color="auto" w:fill="auto"/>
            <w:vAlign w:val="center"/>
          </w:tcPr>
          <w:p w14:paraId="58CAE3E0" w14:textId="76C99697" w:rsidR="00120C31" w:rsidRPr="00B57B36" w:rsidRDefault="00120C31" w:rsidP="00B61169">
            <w:pPr>
              <w:pStyle w:val="CETEquation"/>
              <w:jc w:val="right"/>
            </w:pPr>
            <w:r w:rsidRPr="00B57B36">
              <w:t>(</w:t>
            </w:r>
            <w:r>
              <w:t>4</w:t>
            </w:r>
            <w:r w:rsidRPr="00B57B36">
              <w:t>)</w:t>
            </w:r>
          </w:p>
        </w:tc>
      </w:tr>
    </w:tbl>
    <w:p w14:paraId="5624B2CB" w14:textId="03642B0D" w:rsidR="00DB3C1C" w:rsidRDefault="00120C31" w:rsidP="006E6A06">
      <w:pPr>
        <w:pStyle w:val="CETBodytext"/>
        <w:rPr>
          <w:lang w:val="en-GB"/>
        </w:rPr>
      </w:pPr>
      <w:r>
        <w:rPr>
          <w:lang w:val="en-GB"/>
        </w:rPr>
        <w:t xml:space="preserve">where </w:t>
      </w:r>
      <m:oMath>
        <m:sSub>
          <m:sSubPr>
            <m:ctrlPr>
              <w:rPr>
                <w:rFonts w:ascii="Cambria Math" w:hAnsi="Cambria Math" w:cs="Arial"/>
                <w:i/>
                <w:lang w:val="en-GB"/>
              </w:rPr>
            </m:ctrlPr>
          </m:sSubPr>
          <m:e>
            <m:r>
              <w:rPr>
                <w:rFonts w:ascii="Cambria Math" w:hAnsi="Cambria Math" w:cs="Arial"/>
              </w:rPr>
              <m:t>M</m:t>
            </m:r>
          </m:e>
          <m:sub>
            <m:r>
              <w:rPr>
                <w:rFonts w:ascii="Cambria Math" w:hAnsi="Cambria Math" w:cs="Arial"/>
              </w:rPr>
              <m:t>f</m:t>
            </m:r>
          </m:sub>
        </m:sSub>
      </m:oMath>
      <w:r>
        <w:rPr>
          <w:lang w:val="en-GB"/>
        </w:rPr>
        <w:t xml:space="preserve"> is the mass of the fragment. The </w:t>
      </w:r>
      <w:r w:rsidRPr="00120C31">
        <w:rPr>
          <w:lang w:val="en-GB"/>
        </w:rPr>
        <w:t xml:space="preserve">corresponding dimensionless range </w:t>
      </w:r>
      <m:oMath>
        <m:acc>
          <m:accPr>
            <m:chr m:val="̅"/>
            <m:ctrlPr>
              <w:rPr>
                <w:rFonts w:ascii="Cambria Math" w:hAnsi="Cambria Math"/>
                <w:i/>
                <w:lang w:val="en-GB"/>
              </w:rPr>
            </m:ctrlPr>
          </m:accPr>
          <m:e>
            <m:r>
              <w:rPr>
                <w:rFonts w:ascii="Cambria Math" w:hAnsi="Cambria Math"/>
                <w:lang w:val="en-GB"/>
              </w:rPr>
              <m:t>R</m:t>
            </m:r>
          </m:e>
        </m:acc>
      </m:oMath>
      <w:r>
        <w:rPr>
          <w:lang w:val="en-GB"/>
        </w:rPr>
        <w:t xml:space="preserve"> is read off from the graph</w:t>
      </w:r>
      <w:r w:rsidR="00DB3C1C">
        <w:rPr>
          <w:lang w:val="en-GB"/>
        </w:rPr>
        <w:t xml:space="preserve"> </w:t>
      </w:r>
      <w:r w:rsidR="00E96C43">
        <w:rPr>
          <w:lang w:val="en-GB"/>
        </w:rPr>
        <w:t xml:space="preserve">provided by </w:t>
      </w:r>
      <w:r w:rsidR="00E96C43" w:rsidRPr="009A5E24">
        <w:t xml:space="preserve">Kumar </w:t>
      </w:r>
      <w:r w:rsidR="00E96C43">
        <w:t>(</w:t>
      </w:r>
      <w:r w:rsidR="00E96C43" w:rsidRPr="009A5E24">
        <w:t>1996</w:t>
      </w:r>
      <w:r w:rsidR="00E96C43">
        <w:t>)</w:t>
      </w:r>
      <w:r w:rsidR="00AD6F16">
        <w:t>,</w:t>
      </w:r>
      <w:r w:rsidR="00E96C43">
        <w:rPr>
          <w:lang w:val="en-GB"/>
        </w:rPr>
        <w:t xml:space="preserve"> </w:t>
      </w:r>
      <w:r w:rsidR="00DB3C1C">
        <w:rPr>
          <w:lang w:val="en-GB"/>
        </w:rPr>
        <w:t xml:space="preserve">and the horizontal range is finally estimated </w:t>
      </w:r>
      <w:r w:rsidR="00E8518E">
        <w:rPr>
          <w:lang w:val="en-GB"/>
        </w:rPr>
        <w:t xml:space="preserve">with </w:t>
      </w:r>
      <w:r w:rsidR="00DB3C1C">
        <w:rPr>
          <w:lang w:val="en-GB"/>
        </w:rPr>
        <w:t>Eq(5)</w:t>
      </w:r>
      <w:r w:rsidR="00503E45">
        <w:rPr>
          <w:lang w:val="en-GB"/>
        </w:rPr>
        <w:t xml:space="preserve"> as shown by Lees (2012)</w:t>
      </w:r>
      <w:r w:rsidR="00DB3C1C">
        <w:rPr>
          <w:lang w:val="en-GB"/>
        </w:rPr>
        <w:t>:</w:t>
      </w:r>
    </w:p>
    <w:tbl>
      <w:tblPr>
        <w:tblW w:w="5000" w:type="pct"/>
        <w:tblLook w:val="04A0" w:firstRow="1" w:lastRow="0" w:firstColumn="1" w:lastColumn="0" w:noHBand="0" w:noVBand="1"/>
      </w:tblPr>
      <w:tblGrid>
        <w:gridCol w:w="7983"/>
        <w:gridCol w:w="804"/>
      </w:tblGrid>
      <w:tr w:rsidR="00DB3C1C" w:rsidRPr="00B57B36" w14:paraId="25E97745" w14:textId="77777777" w:rsidTr="00B61169">
        <w:tc>
          <w:tcPr>
            <w:tcW w:w="7983" w:type="dxa"/>
            <w:shd w:val="clear" w:color="auto" w:fill="auto"/>
            <w:vAlign w:val="center"/>
          </w:tcPr>
          <w:p w14:paraId="727F7D86" w14:textId="041D03A4" w:rsidR="00DB3C1C" w:rsidRPr="008D1F38" w:rsidRDefault="00DB3C1C" w:rsidP="00B61169">
            <w:pPr>
              <w:pStyle w:val="CETEquation"/>
              <w:rPr>
                <w:rFonts w:cs="Arial"/>
              </w:rPr>
            </w:pPr>
            <m:oMath>
              <m:r>
                <m:rPr>
                  <m:sty m:val="p"/>
                </m:rPr>
                <w:rPr>
                  <w:rFonts w:ascii="Cambria Math" w:hAnsi="Cambria Math" w:cs="Arial"/>
                </w:rPr>
                <m:t xml:space="preserve">R= </m:t>
              </m:r>
              <m:f>
                <m:fPr>
                  <m:ctrlPr>
                    <w:rPr>
                      <w:rFonts w:ascii="Cambria Math" w:hAnsi="Cambria Math" w:cs="Arial"/>
                    </w:rPr>
                  </m:ctrlPr>
                </m:fPr>
                <m:num>
                  <m:r>
                    <m:rPr>
                      <m:sty m:val="p"/>
                    </m:rPr>
                    <w:rPr>
                      <w:rFonts w:ascii="Cambria Math" w:hAnsi="Cambria Math"/>
                    </w:rPr>
                    <m:t xml:space="preserve"> </m:t>
                  </m:r>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D</m:t>
                      </m:r>
                    </m:sub>
                  </m:sSub>
                  <m:r>
                    <w:rPr>
                      <w:rFonts w:ascii="Cambria Math" w:hAnsi="Cambria Math" w:cs="Arial"/>
                    </w:rPr>
                    <m:t>∙</m:t>
                  </m:r>
                  <m:sSub>
                    <m:sSubPr>
                      <m:ctrlPr>
                        <w:rPr>
                          <w:rFonts w:ascii="Cambria Math" w:hAnsi="Cambria Math" w:cs="Arial"/>
                          <w:i/>
                        </w:rPr>
                      </m:ctrlPr>
                    </m:sSubPr>
                    <m:e>
                      <m:r>
                        <w:rPr>
                          <w:rFonts w:ascii="Cambria Math" w:hAnsi="Cambria Math" w:cs="Arial"/>
                        </w:rPr>
                        <m:t>ρ</m:t>
                      </m:r>
                    </m:e>
                    <m:sub>
                      <m:r>
                        <w:rPr>
                          <w:rFonts w:ascii="Cambria Math" w:hAnsi="Cambria Math" w:cs="Arial"/>
                        </w:rPr>
                        <m:t>a</m:t>
                      </m:r>
                    </m:sub>
                  </m:sSub>
                </m:den>
              </m:f>
            </m:oMath>
            <w:r>
              <w:rPr>
                <w:rFonts w:cs="Arial"/>
              </w:rPr>
              <w:t xml:space="preserve"> </w:t>
            </w:r>
          </w:p>
        </w:tc>
        <w:tc>
          <w:tcPr>
            <w:tcW w:w="804" w:type="dxa"/>
            <w:shd w:val="clear" w:color="auto" w:fill="auto"/>
            <w:vAlign w:val="center"/>
          </w:tcPr>
          <w:p w14:paraId="1FFF72F2" w14:textId="4CE5A076" w:rsidR="00DB3C1C" w:rsidRPr="00B57B36" w:rsidRDefault="00DB3C1C" w:rsidP="00B61169">
            <w:pPr>
              <w:pStyle w:val="CETEquation"/>
              <w:jc w:val="right"/>
            </w:pPr>
            <w:r w:rsidRPr="00B57B36">
              <w:t>(</w:t>
            </w:r>
            <w:r>
              <w:t>5</w:t>
            </w:r>
            <w:r w:rsidRPr="00B57B36">
              <w:t>)</w:t>
            </w:r>
          </w:p>
        </w:tc>
      </w:tr>
    </w:tbl>
    <w:p w14:paraId="294859B4" w14:textId="5D068699" w:rsidR="008B7B90" w:rsidRDefault="00AD6F16" w:rsidP="006E6A06">
      <w:pPr>
        <w:pStyle w:val="CETBodytext"/>
        <w:rPr>
          <w:lang w:val="en-GB"/>
        </w:rPr>
      </w:pPr>
      <w:r>
        <w:rPr>
          <w:lang w:val="en-GB"/>
        </w:rPr>
        <w:t>T</w:t>
      </w:r>
      <w:r w:rsidR="008B7B90">
        <w:rPr>
          <w:lang w:val="en-GB"/>
        </w:rPr>
        <w:t xml:space="preserve">o use this latter </w:t>
      </w:r>
      <w:r w:rsidR="00B62457">
        <w:rPr>
          <w:lang w:val="en-GB"/>
        </w:rPr>
        <w:t>method,</w:t>
      </w:r>
      <w:r w:rsidR="00A95248">
        <w:rPr>
          <w:lang w:val="en-GB"/>
        </w:rPr>
        <w:t xml:space="preserve"> it is necessary to assume the mass, shape and dimension of the fragment, as the parameters relating to the fluid dynamic forces are involved in the calculation.</w:t>
      </w:r>
      <w:r w:rsidR="003762B2">
        <w:rPr>
          <w:lang w:val="en-GB"/>
        </w:rPr>
        <w:t xml:space="preserve"> For this reason</w:t>
      </w:r>
      <w:r w:rsidR="000D0EDA">
        <w:rPr>
          <w:lang w:val="en-GB"/>
        </w:rPr>
        <w:t>,</w:t>
      </w:r>
      <w:r w:rsidR="003762B2">
        <w:rPr>
          <w:lang w:val="en-GB"/>
        </w:rPr>
        <w:t xml:space="preserve"> </w:t>
      </w:r>
      <w:r w:rsidR="00111D74">
        <w:rPr>
          <w:lang w:val="en-GB"/>
        </w:rPr>
        <w:t xml:space="preserve">it is suggested to </w:t>
      </w:r>
      <w:r w:rsidR="007F08A2" w:rsidRPr="003762B2">
        <w:rPr>
          <w:lang w:val="en-GB"/>
        </w:rPr>
        <w:t>couple</w:t>
      </w:r>
      <w:r w:rsidR="00111D74" w:rsidRPr="003762B2">
        <w:rPr>
          <w:lang w:val="en-GB"/>
        </w:rPr>
        <w:t xml:space="preserve"> </w:t>
      </w:r>
      <w:r w:rsidR="003762B2" w:rsidRPr="003762B2">
        <w:rPr>
          <w:lang w:val="en-GB"/>
        </w:rPr>
        <w:t>this method with the prediction of fragment patterns</w:t>
      </w:r>
      <w:r w:rsidR="003762B2">
        <w:rPr>
          <w:lang w:val="en-GB"/>
        </w:rPr>
        <w:t xml:space="preserve"> as </w:t>
      </w:r>
      <w:r w:rsidR="000D0EDA">
        <w:rPr>
          <w:lang w:val="en-GB"/>
        </w:rPr>
        <w:t xml:space="preserve">in Gubinelli and Cozzani (2009). </w:t>
      </w:r>
      <w:r w:rsidR="00AB4681" w:rsidRPr="00AB4681">
        <w:rPr>
          <w:lang w:val="en-GB"/>
        </w:rPr>
        <w:t xml:space="preserve">The steps of the procedure outlined above are briefly presented in </w:t>
      </w:r>
      <w:r w:rsidR="00AB4681">
        <w:rPr>
          <w:lang w:val="en-GB"/>
        </w:rPr>
        <w:t>Figure 1.</w:t>
      </w:r>
    </w:p>
    <w:p w14:paraId="433255DF" w14:textId="6B0E08E1" w:rsidR="0015518F" w:rsidRDefault="00C011F9" w:rsidP="0015518F">
      <w:pPr>
        <w:pStyle w:val="CETBodytext"/>
        <w:keepNext/>
      </w:pPr>
      <w:r w:rsidRPr="00C011F9">
        <w:rPr>
          <w:noProof/>
        </w:rPr>
        <w:drawing>
          <wp:inline distT="0" distB="0" distL="0" distR="0" wp14:anchorId="14777E3A" wp14:editId="31FFA436">
            <wp:extent cx="5576346" cy="328813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6" b="1680"/>
                    <a:stretch/>
                  </pic:blipFill>
                  <pic:spPr bwMode="auto">
                    <a:xfrm>
                      <a:off x="0" y="0"/>
                      <a:ext cx="5579745" cy="3290134"/>
                    </a:xfrm>
                    <a:prstGeom prst="rect">
                      <a:avLst/>
                    </a:prstGeom>
                    <a:ln>
                      <a:noFill/>
                    </a:ln>
                    <a:extLst>
                      <a:ext uri="{53640926-AAD7-44D8-BBD7-CCE9431645EC}">
                        <a14:shadowObscured xmlns:a14="http://schemas.microsoft.com/office/drawing/2010/main"/>
                      </a:ext>
                    </a:extLst>
                  </pic:spPr>
                </pic:pic>
              </a:graphicData>
            </a:graphic>
          </wp:inline>
        </w:drawing>
      </w:r>
    </w:p>
    <w:p w14:paraId="5165406B" w14:textId="52325DD7" w:rsidR="00960083" w:rsidRDefault="0015518F" w:rsidP="0015518F">
      <w:pPr>
        <w:pStyle w:val="CETCaption"/>
      </w:pPr>
      <w:r>
        <w:t xml:space="preserve">Figure </w:t>
      </w:r>
      <w:r>
        <w:fldChar w:fldCharType="begin"/>
      </w:r>
      <w:r>
        <w:instrText xml:space="preserve"> SEQ Figure \* ARABIC </w:instrText>
      </w:r>
      <w:r>
        <w:fldChar w:fldCharType="separate"/>
      </w:r>
      <w:r w:rsidR="007409FF">
        <w:rPr>
          <w:noProof/>
        </w:rPr>
        <w:t>1</w:t>
      </w:r>
      <w:r>
        <w:fldChar w:fldCharType="end"/>
      </w:r>
      <w:r>
        <w:t xml:space="preserve"> </w:t>
      </w:r>
      <w:r w:rsidR="00C10D3F">
        <w:t>–</w:t>
      </w:r>
      <w:r w:rsidR="00AB4681">
        <w:t xml:space="preserve"> </w:t>
      </w:r>
      <w:r w:rsidR="00C10D3F">
        <w:t xml:space="preserve">Block diagram </w:t>
      </w:r>
      <w:r w:rsidR="002A21CB">
        <w:t xml:space="preserve">showing the </w:t>
      </w:r>
      <w:r w:rsidR="00275FCC">
        <w:t>procedure to apply models for predicting the horizontal range of fragments.</w:t>
      </w:r>
    </w:p>
    <w:p w14:paraId="6A910A73" w14:textId="51284435" w:rsidR="00BA24C6" w:rsidRDefault="00BA24C6" w:rsidP="00BA24C6">
      <w:pPr>
        <w:pStyle w:val="CETHeading1"/>
      </w:pPr>
      <w:r>
        <w:t>Case study – SH2IFT LH2 BLEVE test</w:t>
      </w:r>
    </w:p>
    <w:p w14:paraId="594AD523" w14:textId="2335A365" w:rsidR="00BA24C6" w:rsidRDefault="00BA24C6" w:rsidP="00BA24C6">
      <w:pPr>
        <w:pStyle w:val="CETBodytext"/>
        <w:rPr>
          <w:lang w:val="en-GB"/>
        </w:rPr>
      </w:pPr>
      <w:r>
        <w:t>The experiment performed at the Test Site Technical Safety (TTS) of the Bundesanstalt für Materialforschung und –prüfung (BAM) institute in Germany as part of the Norwegian project Safe Hydrogen Fuel Handling and Use for Efficient Implementation (SH</w:t>
      </w:r>
      <w:r w:rsidRPr="00543D6B">
        <w:rPr>
          <w:vertAlign w:val="subscript"/>
        </w:rPr>
        <w:t>2</w:t>
      </w:r>
      <w:r>
        <w:t>IFT) was selected as a case study (</w:t>
      </w:r>
      <w:r w:rsidRPr="00AD4017">
        <w:rPr>
          <w:lang w:val="en-GB"/>
        </w:rPr>
        <w:t>van Wingerden</w:t>
      </w:r>
      <w:r>
        <w:rPr>
          <w:lang w:val="en-GB"/>
        </w:rPr>
        <w:t xml:space="preserve"> K et al., 2022). Th</w:t>
      </w:r>
      <w:r w:rsidR="00E9704F">
        <w:rPr>
          <w:lang w:val="en-GB"/>
        </w:rPr>
        <w:t>is test campaign aimed</w:t>
      </w:r>
      <w:r>
        <w:rPr>
          <w:lang w:val="en-GB"/>
        </w:rPr>
        <w:t xml:space="preserve"> </w:t>
      </w:r>
      <w:r w:rsidRPr="005E3E48">
        <w:rPr>
          <w:lang w:val="en-GB"/>
        </w:rPr>
        <w:t xml:space="preserve">to investigate the </w:t>
      </w:r>
      <w:r>
        <w:rPr>
          <w:lang w:val="en-GB"/>
        </w:rPr>
        <w:t xml:space="preserve">behaviour </w:t>
      </w:r>
      <w:r w:rsidRPr="005E3E48">
        <w:rPr>
          <w:lang w:val="en-GB"/>
        </w:rPr>
        <w:t>of a</w:t>
      </w:r>
      <w:r>
        <w:rPr>
          <w:lang w:val="en-GB"/>
        </w:rPr>
        <w:t xml:space="preserve"> double</w:t>
      </w:r>
      <w:r w:rsidR="00E9704F">
        <w:rPr>
          <w:lang w:val="en-GB"/>
        </w:rPr>
        <w:t>-</w:t>
      </w:r>
      <w:r>
        <w:rPr>
          <w:lang w:val="en-GB"/>
        </w:rPr>
        <w:t>walled</w:t>
      </w:r>
      <w:r w:rsidRPr="005E3E48">
        <w:rPr>
          <w:lang w:val="en-GB"/>
        </w:rPr>
        <w:t xml:space="preserve"> storage tank</w:t>
      </w:r>
      <w:r>
        <w:rPr>
          <w:lang w:val="en-GB"/>
        </w:rPr>
        <w:t xml:space="preserve"> </w:t>
      </w:r>
      <w:r w:rsidRPr="005E3E48">
        <w:rPr>
          <w:lang w:val="en-GB"/>
        </w:rPr>
        <w:t>containing liquefied hydrogen (LH2) engulfed by a</w:t>
      </w:r>
      <w:r>
        <w:rPr>
          <w:lang w:val="en-GB"/>
        </w:rPr>
        <w:t xml:space="preserve"> propane</w:t>
      </w:r>
      <w:r w:rsidRPr="005E3E48">
        <w:rPr>
          <w:lang w:val="en-GB"/>
        </w:rPr>
        <w:t xml:space="preserve"> fire</w:t>
      </w:r>
      <w:r>
        <w:rPr>
          <w:lang w:val="en-GB"/>
        </w:rPr>
        <w:t xml:space="preserve"> and the</w:t>
      </w:r>
      <w:r w:rsidRPr="00EE6398">
        <w:rPr>
          <w:lang w:val="en-GB"/>
        </w:rPr>
        <w:t xml:space="preserve"> </w:t>
      </w:r>
      <w:r w:rsidRPr="005E3E48">
        <w:rPr>
          <w:lang w:val="en-GB"/>
        </w:rPr>
        <w:t>consequences</w:t>
      </w:r>
      <w:r>
        <w:rPr>
          <w:lang w:val="en-GB"/>
        </w:rPr>
        <w:t xml:space="preserve"> of a BLEVE explosion in case of rupture of the LH2 vessel</w:t>
      </w:r>
      <w:r w:rsidRPr="005E3E48">
        <w:rPr>
          <w:lang w:val="en-GB"/>
        </w:rPr>
        <w:t>.</w:t>
      </w:r>
      <w:r>
        <w:rPr>
          <w:lang w:val="en-GB"/>
        </w:rPr>
        <w:t xml:space="preserve"> A total of three LH2 tanks were tested with different types of insulation and orientation (horizontal or vertical). Only one out of three vessels catastrophically failed </w:t>
      </w:r>
      <w:r w:rsidR="00E9704F">
        <w:rPr>
          <w:lang w:val="en-GB"/>
        </w:rPr>
        <w:t>to provoke</w:t>
      </w:r>
      <w:r>
        <w:rPr>
          <w:lang w:val="en-GB"/>
        </w:rPr>
        <w:t xml:space="preserve"> an explosion.</w:t>
      </w:r>
    </w:p>
    <w:p w14:paraId="26DF871E" w14:textId="57512AFD" w:rsidR="00BA24C6" w:rsidRDefault="00BA24C6" w:rsidP="00BA24C6">
      <w:pPr>
        <w:pStyle w:val="CETBodytext"/>
        <w:rPr>
          <w:lang w:val="en-GB"/>
        </w:rPr>
      </w:pPr>
      <w:r>
        <w:rPr>
          <w:lang w:val="en-GB"/>
        </w:rPr>
        <w:t xml:space="preserve">More specifically, an LH2 </w:t>
      </w:r>
      <w:r w:rsidRPr="00543D6B">
        <w:rPr>
          <w:lang w:val="en-GB"/>
        </w:rPr>
        <w:t>double</w:t>
      </w:r>
      <w:r>
        <w:rPr>
          <w:lang w:val="en-GB"/>
        </w:rPr>
        <w:t>-</w:t>
      </w:r>
      <w:r w:rsidRPr="00543D6B">
        <w:rPr>
          <w:lang w:val="en-GB"/>
        </w:rPr>
        <w:t>walled</w:t>
      </w:r>
      <w:r>
        <w:rPr>
          <w:lang w:val="en-GB"/>
        </w:rPr>
        <w:t xml:space="preserve"> </w:t>
      </w:r>
      <w:r w:rsidRPr="00543D6B">
        <w:rPr>
          <w:lang w:val="en-GB"/>
        </w:rPr>
        <w:t>vacuum insulated vessel</w:t>
      </w:r>
      <w:r>
        <w:rPr>
          <w:lang w:val="en-GB"/>
        </w:rPr>
        <w:t xml:space="preserve"> </w:t>
      </w:r>
      <w:r w:rsidRPr="00543D6B">
        <w:rPr>
          <w:lang w:val="en-GB"/>
        </w:rPr>
        <w:t>of 1 m</w:t>
      </w:r>
      <w:r w:rsidRPr="00543D6B">
        <w:rPr>
          <w:vertAlign w:val="superscript"/>
          <w:lang w:val="en-GB"/>
        </w:rPr>
        <w:t>3</w:t>
      </w:r>
      <w:r w:rsidRPr="00543D6B">
        <w:rPr>
          <w:lang w:val="en-GB"/>
        </w:rPr>
        <w:t xml:space="preserve"> volume</w:t>
      </w:r>
      <w:r>
        <w:rPr>
          <w:lang w:val="en-GB"/>
        </w:rPr>
        <w:t xml:space="preserve"> oriented horizontal was exposed to flames </w:t>
      </w:r>
      <w:r w:rsidRPr="00BC7ADC">
        <w:rPr>
          <w:lang w:val="en-GB"/>
        </w:rPr>
        <w:t>generated by the combustion of propane fuelled by burners placed under the tank</w:t>
      </w:r>
      <w:r>
        <w:rPr>
          <w:lang w:val="en-GB"/>
        </w:rPr>
        <w:t xml:space="preserve">. </w:t>
      </w:r>
      <w:r w:rsidRPr="009F7D05">
        <w:rPr>
          <w:lang w:val="en-GB"/>
        </w:rPr>
        <w:t xml:space="preserve">In this </w:t>
      </w:r>
      <w:r w:rsidRPr="009F7D05">
        <w:rPr>
          <w:lang w:val="en-GB"/>
        </w:rPr>
        <w:lastRenderedPageBreak/>
        <w:t xml:space="preserve">way, the </w:t>
      </w:r>
      <w:r>
        <w:rPr>
          <w:lang w:val="en-GB"/>
        </w:rPr>
        <w:t>LH2 contained in the tank</w:t>
      </w:r>
      <w:r w:rsidRPr="009F7D05">
        <w:rPr>
          <w:lang w:val="en-GB"/>
        </w:rPr>
        <w:t xml:space="preserve"> began to evaporate</w:t>
      </w:r>
      <w:r>
        <w:rPr>
          <w:lang w:val="en-GB"/>
        </w:rPr>
        <w:t xml:space="preserve"> due to the enhanced heat transfer</w:t>
      </w:r>
      <w:r w:rsidRPr="009F7D05">
        <w:rPr>
          <w:lang w:val="en-GB"/>
        </w:rPr>
        <w:t>, causing the internal pressure of the tank to rise to a value of 50 bar.</w:t>
      </w:r>
      <w:r>
        <w:rPr>
          <w:lang w:val="en-GB"/>
        </w:rPr>
        <w:t xml:space="preserve"> After 1 hour the vessel failed </w:t>
      </w:r>
      <w:r w:rsidR="00E4239F">
        <w:rPr>
          <w:lang w:val="en-GB"/>
        </w:rPr>
        <w:t>to generate</w:t>
      </w:r>
      <w:r w:rsidRPr="00BC7ADC">
        <w:rPr>
          <w:lang w:val="en-GB"/>
        </w:rPr>
        <w:t xml:space="preserve"> a fireball, blast waves</w:t>
      </w:r>
      <w:r w:rsidR="00E4239F">
        <w:rPr>
          <w:lang w:val="en-GB"/>
        </w:rPr>
        <w:t>,</w:t>
      </w:r>
      <w:r>
        <w:rPr>
          <w:lang w:val="en-GB"/>
        </w:rPr>
        <w:t xml:space="preserve"> </w:t>
      </w:r>
      <w:r w:rsidRPr="00BC7ADC">
        <w:rPr>
          <w:lang w:val="en-GB"/>
        </w:rPr>
        <w:t>and fragments.</w:t>
      </w:r>
      <w:r>
        <w:rPr>
          <w:lang w:val="en-GB"/>
        </w:rPr>
        <w:t xml:space="preserve"> </w:t>
      </w:r>
      <w:r w:rsidRPr="009F7D05">
        <w:rPr>
          <w:lang w:val="en-GB"/>
        </w:rPr>
        <w:t>The magnitudes of these consequences were measured with dedicated instruments</w:t>
      </w:r>
      <w:r w:rsidR="00690415">
        <w:rPr>
          <w:lang w:val="en-GB"/>
        </w:rPr>
        <w:t>,</w:t>
      </w:r>
      <w:r>
        <w:rPr>
          <w:lang w:val="en-GB"/>
        </w:rPr>
        <w:t xml:space="preserve"> such as</w:t>
      </w:r>
      <w:r w:rsidRPr="009F7D05">
        <w:rPr>
          <w:lang w:val="en-GB"/>
        </w:rPr>
        <w:t xml:space="preserve"> a blast</w:t>
      </w:r>
      <w:r>
        <w:rPr>
          <w:lang w:val="en-GB"/>
        </w:rPr>
        <w:t xml:space="preserve"> pencil</w:t>
      </w:r>
      <w:r w:rsidRPr="009F7D05">
        <w:rPr>
          <w:lang w:val="en-GB"/>
        </w:rPr>
        <w:t xml:space="preserve"> for the </w:t>
      </w:r>
      <w:r>
        <w:rPr>
          <w:lang w:val="en-GB"/>
        </w:rPr>
        <w:t>pressure</w:t>
      </w:r>
      <w:r w:rsidRPr="009F7D05">
        <w:rPr>
          <w:lang w:val="en-GB"/>
        </w:rPr>
        <w:t xml:space="preserve"> wave, </w:t>
      </w:r>
      <w:r w:rsidR="00690415">
        <w:rPr>
          <w:lang w:val="en-GB"/>
        </w:rPr>
        <w:t xml:space="preserve">and </w:t>
      </w:r>
      <w:r>
        <w:rPr>
          <w:lang w:val="en-GB"/>
        </w:rPr>
        <w:t>bolomete</w:t>
      </w:r>
      <w:r w:rsidRPr="009F7D05">
        <w:rPr>
          <w:lang w:val="en-GB"/>
        </w:rPr>
        <w:t>r</w:t>
      </w:r>
      <w:r>
        <w:rPr>
          <w:lang w:val="en-GB"/>
        </w:rPr>
        <w:t>s</w:t>
      </w:r>
      <w:r w:rsidRPr="009F7D05">
        <w:rPr>
          <w:lang w:val="en-GB"/>
        </w:rPr>
        <w:t xml:space="preserve"> for the fireball</w:t>
      </w:r>
      <w:r>
        <w:rPr>
          <w:lang w:val="en-GB"/>
        </w:rPr>
        <w:t xml:space="preserve"> radiation</w:t>
      </w:r>
      <w:r w:rsidR="00690415">
        <w:rPr>
          <w:lang w:val="en-GB"/>
        </w:rPr>
        <w:t>,</w:t>
      </w:r>
      <w:r w:rsidRPr="009F7D05">
        <w:rPr>
          <w:lang w:val="en-GB"/>
        </w:rPr>
        <w:t xml:space="preserve"> and data </w:t>
      </w:r>
      <w:r>
        <w:rPr>
          <w:lang w:val="en-GB"/>
        </w:rPr>
        <w:t xml:space="preserve">were </w:t>
      </w:r>
      <w:r w:rsidRPr="009F7D05">
        <w:rPr>
          <w:lang w:val="en-GB"/>
        </w:rPr>
        <w:t>collect</w:t>
      </w:r>
      <w:r>
        <w:rPr>
          <w:lang w:val="en-GB"/>
        </w:rPr>
        <w:t>ed</w:t>
      </w:r>
      <w:r w:rsidRPr="009F7D05">
        <w:rPr>
          <w:lang w:val="en-GB"/>
        </w:rPr>
        <w:t xml:space="preserve"> for the fragment</w:t>
      </w:r>
      <w:r>
        <w:rPr>
          <w:lang w:val="en-GB"/>
        </w:rPr>
        <w:t xml:space="preserve"> analysis</w:t>
      </w:r>
      <w:r w:rsidRPr="009F7D05">
        <w:rPr>
          <w:lang w:val="en-GB"/>
        </w:rPr>
        <w:t>.</w:t>
      </w:r>
      <w:r>
        <w:rPr>
          <w:lang w:val="en-GB"/>
        </w:rPr>
        <w:t xml:space="preserve"> </w:t>
      </w:r>
      <w:r w:rsidRPr="00781173">
        <w:rPr>
          <w:lang w:val="en-GB"/>
        </w:rPr>
        <w:t xml:space="preserve">Specifically, </w:t>
      </w:r>
      <w:r w:rsidR="004B38A6">
        <w:rPr>
          <w:lang w:val="en-GB"/>
        </w:rPr>
        <w:t>each fragment's spatial coordinates, weight, and pictures</w:t>
      </w:r>
      <w:r w:rsidRPr="00781173">
        <w:rPr>
          <w:lang w:val="en-GB"/>
        </w:rPr>
        <w:t xml:space="preserve"> were recorded and catalogued</w:t>
      </w:r>
      <w:r>
        <w:rPr>
          <w:lang w:val="en-GB"/>
        </w:rPr>
        <w:t>. These data were exploited</w:t>
      </w:r>
      <w:r w:rsidRPr="00781173">
        <w:rPr>
          <w:lang w:val="en-GB"/>
        </w:rPr>
        <w:t xml:space="preserve"> </w:t>
      </w:r>
      <w:r>
        <w:rPr>
          <w:lang w:val="en-GB"/>
        </w:rPr>
        <w:t xml:space="preserve">for </w:t>
      </w:r>
      <w:r w:rsidRPr="00781173">
        <w:rPr>
          <w:lang w:val="en-GB"/>
        </w:rPr>
        <w:t xml:space="preserve">the analysis proposed in this </w:t>
      </w:r>
      <w:r>
        <w:rPr>
          <w:lang w:val="en-GB"/>
        </w:rPr>
        <w:t>study</w:t>
      </w:r>
      <w:r w:rsidRPr="00781173">
        <w:rPr>
          <w:lang w:val="en-GB"/>
        </w:rPr>
        <w:t>.</w:t>
      </w:r>
    </w:p>
    <w:bookmarkEnd w:id="0"/>
    <w:p w14:paraId="2D444BAC" w14:textId="2A92E0F0" w:rsidR="00D93C77" w:rsidRDefault="00D93C77" w:rsidP="00552714">
      <w:pPr>
        <w:pStyle w:val="CETHeading1"/>
      </w:pPr>
      <w:r>
        <w:t>Methodology</w:t>
      </w:r>
    </w:p>
    <w:p w14:paraId="7BCE82C3" w14:textId="0C6139E6" w:rsidR="00A8461B" w:rsidRDefault="004B38A6" w:rsidP="006C6A59">
      <w:pPr>
        <w:pStyle w:val="CETBodytext"/>
      </w:pPr>
      <w:r>
        <w:t>This section describes the methodology adopted to analyze the fragments generated after the catastrophic rupture of a double-walled tank containing a cryogenic liquefied gas and thrown away by the consequent explosion</w:t>
      </w:r>
      <w:r w:rsidR="00E76BB0">
        <w:t xml:space="preserve">. </w:t>
      </w:r>
      <w:r w:rsidR="00F16DF7" w:rsidRPr="00F16DF7">
        <w:t>The</w:t>
      </w:r>
      <w:r w:rsidR="002D389F">
        <w:t xml:space="preserve"> first step for a</w:t>
      </w:r>
      <w:r w:rsidR="00444150">
        <w:t xml:space="preserve"> proper fragment </w:t>
      </w:r>
      <w:r w:rsidR="007F08A2">
        <w:t>investigation</w:t>
      </w:r>
      <w:r w:rsidR="00444150">
        <w:t xml:space="preserve"> is </w:t>
      </w:r>
      <w:r w:rsidR="006F7879">
        <w:t>analyzing</w:t>
      </w:r>
      <w:r w:rsidR="00F16DF7" w:rsidRPr="00F16DF7">
        <w:t xml:space="preserve"> experimental data</w:t>
      </w:r>
      <w:r w:rsidR="0066097F">
        <w:t xml:space="preserve"> </w:t>
      </w:r>
      <w:r w:rsidR="00CF6EC4">
        <w:t xml:space="preserve">collected during the </w:t>
      </w:r>
      <w:r w:rsidR="002D389F">
        <w:t>experiments</w:t>
      </w:r>
      <w:r w:rsidR="00F16DF7" w:rsidRPr="00F16DF7">
        <w:t xml:space="preserve"> </w:t>
      </w:r>
      <w:r w:rsidR="00154BD7" w:rsidRPr="00154BD7">
        <w:t xml:space="preserve">to </w:t>
      </w:r>
      <w:r w:rsidR="00154BD7">
        <w:t>examine</w:t>
      </w:r>
      <w:r w:rsidR="00154BD7" w:rsidRPr="00154BD7">
        <w:t xml:space="preserve"> the shape and number of fragments, then to</w:t>
      </w:r>
      <w:r w:rsidR="00F16DF7" w:rsidRPr="00F16DF7">
        <w:t xml:space="preserve"> showcase the scattering of fragments in the area </w:t>
      </w:r>
      <w:r w:rsidR="00853C24">
        <w:t>sur</w:t>
      </w:r>
      <w:r w:rsidR="00F16DF7" w:rsidRPr="00F16DF7">
        <w:t>round</w:t>
      </w:r>
      <w:r w:rsidR="00853C24">
        <w:t>ing</w:t>
      </w:r>
      <w:r w:rsidR="00F16DF7" w:rsidRPr="00F16DF7">
        <w:t xml:space="preserve"> the tank. The weight of each </w:t>
      </w:r>
      <w:r w:rsidR="00947DF2">
        <w:t>piece</w:t>
      </w:r>
      <w:r w:rsidR="00F16DF7" w:rsidRPr="00F16DF7">
        <w:t xml:space="preserve"> is also </w:t>
      </w:r>
      <w:r w:rsidR="00E41172" w:rsidRPr="00F16DF7">
        <w:t>considered</w:t>
      </w:r>
      <w:r w:rsidR="00F16DF7" w:rsidRPr="00F16DF7">
        <w:t>.</w:t>
      </w:r>
      <w:r w:rsidR="00F16DF7">
        <w:t xml:space="preserve"> </w:t>
      </w:r>
      <w:r w:rsidR="00323D16" w:rsidRPr="00323D16">
        <w:t xml:space="preserve">As mentioned in </w:t>
      </w:r>
      <w:r w:rsidR="00323D16">
        <w:t>S</w:t>
      </w:r>
      <w:r w:rsidR="00323D16" w:rsidRPr="00323D16">
        <w:t xml:space="preserve">ection 3, the data collected by the experiment for each fragment </w:t>
      </w:r>
      <w:r w:rsidR="00802CC3">
        <w:t>are</w:t>
      </w:r>
      <w:r w:rsidR="00A8461B">
        <w:t xml:space="preserve">: </w:t>
      </w:r>
    </w:p>
    <w:p w14:paraId="5952DACC" w14:textId="0A108EAB" w:rsidR="00D32FFB" w:rsidRDefault="008547F4" w:rsidP="00D32FFB">
      <w:pPr>
        <w:pStyle w:val="CETBodytext"/>
        <w:numPr>
          <w:ilvl w:val="0"/>
          <w:numId w:val="22"/>
        </w:numPr>
      </w:pPr>
      <w:r>
        <w:t>Spatial coordinates (x,y)</w:t>
      </w:r>
    </w:p>
    <w:p w14:paraId="23F27DE2" w14:textId="383DF596" w:rsidR="008547F4" w:rsidRDefault="0017305A" w:rsidP="00D32FFB">
      <w:pPr>
        <w:pStyle w:val="CETBodytext"/>
        <w:numPr>
          <w:ilvl w:val="0"/>
          <w:numId w:val="22"/>
        </w:numPr>
      </w:pPr>
      <w:r>
        <w:t>Mass</w:t>
      </w:r>
    </w:p>
    <w:p w14:paraId="475ECBE5" w14:textId="66101982" w:rsidR="007B5C54" w:rsidRDefault="0017305A" w:rsidP="00D32FFB">
      <w:pPr>
        <w:pStyle w:val="CETBodytext"/>
        <w:numPr>
          <w:ilvl w:val="0"/>
          <w:numId w:val="22"/>
        </w:numPr>
      </w:pPr>
      <w:r>
        <w:t>Pictures.</w:t>
      </w:r>
    </w:p>
    <w:p w14:paraId="72278568" w14:textId="7313D44E" w:rsidR="006C6A59" w:rsidRPr="00D93C77" w:rsidRDefault="00323D16" w:rsidP="00D32FFB">
      <w:pPr>
        <w:pStyle w:val="CETBodytext"/>
        <w:ind w:left="50"/>
      </w:pPr>
      <w:r>
        <w:t>From these, a</w:t>
      </w:r>
      <w:r w:rsidR="00E41172" w:rsidRPr="00E41172">
        <w:t xml:space="preserve"> </w:t>
      </w:r>
      <w:r w:rsidR="005C5CBD">
        <w:t xml:space="preserve">distribution </w:t>
      </w:r>
      <w:r w:rsidR="00E41172" w:rsidRPr="00E41172">
        <w:t>graph</w:t>
      </w:r>
      <w:r w:rsidR="00E343DC">
        <w:t xml:space="preserve"> is generated to</w:t>
      </w:r>
      <w:r w:rsidR="00E41172" w:rsidRPr="00E41172">
        <w:t xml:space="preserve"> allow for immediate visualization of the scale of fragments produced by the explosion, both in terms of quantity and weight. It also reveals any </w:t>
      </w:r>
      <w:r w:rsidR="006C6A59" w:rsidRPr="005E4787">
        <w:t>possible preferential directions or areas for fragment projection</w:t>
      </w:r>
      <w:r w:rsidR="00E41172" w:rsidRPr="00E41172">
        <w:t>.</w:t>
      </w:r>
      <w:r w:rsidR="0041720C">
        <w:t xml:space="preserve"> </w:t>
      </w:r>
      <w:r w:rsidR="0057042B">
        <w:t>Overall</w:t>
      </w:r>
      <w:r w:rsidR="00853C24">
        <w:t>, i</w:t>
      </w:r>
      <w:r w:rsidR="00CF0202" w:rsidRPr="00CF0202">
        <w:t xml:space="preserve">t is </w:t>
      </w:r>
      <w:r w:rsidR="00BC7E56">
        <w:t>essential</w:t>
      </w:r>
      <w:r w:rsidR="00CF0202" w:rsidRPr="00CF0202">
        <w:t xml:space="preserve"> to note that a</w:t>
      </w:r>
      <w:r w:rsidR="00CF0202">
        <w:t xml:space="preserve"> light fragment</w:t>
      </w:r>
      <w:r w:rsidR="00CF0202" w:rsidRPr="00CF0202">
        <w:t xml:space="preserve"> should not be compared to a fragment with a much greater mass, as the impact consequences for people or equipment would be vastly different</w:t>
      </w:r>
      <w:r w:rsidR="00542EE9">
        <w:t>. Therefore, in this stage of the analysis only the main fragments</w:t>
      </w:r>
      <w:r w:rsidR="00B71D39">
        <w:t>,</w:t>
      </w:r>
      <w:r w:rsidR="00B71D39" w:rsidRPr="00B71D39">
        <w:t xml:space="preserve"> which weigh more than 60 kg</w:t>
      </w:r>
      <w:r w:rsidR="00B71D39">
        <w:t>,</w:t>
      </w:r>
      <w:r w:rsidR="00542EE9">
        <w:t xml:space="preserve"> are counted</w:t>
      </w:r>
      <w:r w:rsidR="00382624">
        <w:t>.</w:t>
      </w:r>
    </w:p>
    <w:p w14:paraId="0EA7DF9A" w14:textId="71D0DF9B" w:rsidR="00552714" w:rsidRDefault="00552714" w:rsidP="00552714">
      <w:pPr>
        <w:pStyle w:val="CETHeading1"/>
      </w:pPr>
      <w:r>
        <w:t>Results</w:t>
      </w:r>
    </w:p>
    <w:p w14:paraId="4CF43D84" w14:textId="5C3E36BC" w:rsidR="00100EA0" w:rsidRDefault="00C01968" w:rsidP="00546FC5">
      <w:pPr>
        <w:pStyle w:val="CETBodytext"/>
      </w:pPr>
      <w:r>
        <w:t xml:space="preserve">The </w:t>
      </w:r>
      <w:r w:rsidR="00257D2F">
        <w:t xml:space="preserve">LH2 </w:t>
      </w:r>
      <w:r>
        <w:t>vessel broke into 53 fragments</w:t>
      </w:r>
      <w:r w:rsidR="00444C02">
        <w:t xml:space="preserve"> </w:t>
      </w:r>
      <w:r w:rsidR="005D3D4E">
        <w:t>with different masses</w:t>
      </w:r>
      <w:r w:rsidR="00444C02">
        <w:t xml:space="preserve">, </w:t>
      </w:r>
      <w:r w:rsidR="006020BA">
        <w:t xml:space="preserve">however </w:t>
      </w:r>
      <w:r w:rsidR="00444C02">
        <w:t xml:space="preserve">the </w:t>
      </w:r>
      <w:r w:rsidR="006020BA">
        <w:t xml:space="preserve">number of </w:t>
      </w:r>
      <w:r w:rsidR="00444C02">
        <w:t>main</w:t>
      </w:r>
      <w:r w:rsidR="006020BA">
        <w:t xml:space="preserve"> and heaviest</w:t>
      </w:r>
      <w:r w:rsidR="00444C02">
        <w:t xml:space="preserve"> fragments</w:t>
      </w:r>
      <w:r w:rsidR="008D6DEA">
        <w:t xml:space="preserve"> (m </w:t>
      </w:r>
      <w:r w:rsidR="002A354B">
        <w:t>&gt;</w:t>
      </w:r>
      <w:r w:rsidR="008D6DEA">
        <w:t xml:space="preserve"> 60 kg)</w:t>
      </w:r>
      <w:r w:rsidR="00444C02">
        <w:t xml:space="preserve"> w</w:t>
      </w:r>
      <w:r w:rsidR="00B751A4">
        <w:t>as</w:t>
      </w:r>
      <w:r w:rsidR="00444C02">
        <w:t xml:space="preserve"> six. </w:t>
      </w:r>
    </w:p>
    <w:p w14:paraId="053516B0" w14:textId="4ACA4635" w:rsidR="000837CE" w:rsidRDefault="00A655E2" w:rsidP="00546FC5">
      <w:pPr>
        <w:pStyle w:val="CETBodytext"/>
      </w:pPr>
      <w:r>
        <w:rPr>
          <w:noProof/>
        </w:rPr>
        <w:drawing>
          <wp:inline distT="0" distB="0" distL="0" distR="0" wp14:anchorId="796080EC" wp14:editId="14DDE138">
            <wp:extent cx="5111776" cy="398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6262" cy="4016099"/>
                    </a:xfrm>
                    <a:prstGeom prst="rect">
                      <a:avLst/>
                    </a:prstGeom>
                    <a:noFill/>
                    <a:ln>
                      <a:noFill/>
                    </a:ln>
                  </pic:spPr>
                </pic:pic>
              </a:graphicData>
            </a:graphic>
          </wp:inline>
        </w:drawing>
      </w:r>
    </w:p>
    <w:p w14:paraId="3AD0A80D" w14:textId="63F303AD" w:rsidR="003C758F" w:rsidRDefault="000837CE" w:rsidP="000837CE">
      <w:pPr>
        <w:pStyle w:val="CETCaption"/>
      </w:pPr>
      <w:r>
        <w:t xml:space="preserve">Figure </w:t>
      </w:r>
      <w:r>
        <w:fldChar w:fldCharType="begin"/>
      </w:r>
      <w:r>
        <w:instrText xml:space="preserve"> SEQ Figure \* ARABIC </w:instrText>
      </w:r>
      <w:r>
        <w:fldChar w:fldCharType="separate"/>
      </w:r>
      <w:r w:rsidR="007409FF">
        <w:rPr>
          <w:noProof/>
        </w:rPr>
        <w:t>2</w:t>
      </w:r>
      <w:r>
        <w:fldChar w:fldCharType="end"/>
      </w:r>
      <w:r>
        <w:t xml:space="preserve"> </w:t>
      </w:r>
      <w:r w:rsidR="00332DF2">
        <w:t>–</w:t>
      </w:r>
      <w:r>
        <w:t xml:space="preserve"> Distribution of main fragments (m &gt; 60 kg).</w:t>
      </w:r>
      <w:r w:rsidR="00496702">
        <w:t>The size of the bubbles is related to the mass</w:t>
      </w:r>
      <w:r w:rsidR="00854168">
        <w:t xml:space="preserve"> (red label)</w:t>
      </w:r>
      <w:r w:rsidR="00496702">
        <w:t xml:space="preserve"> of each fragment </w:t>
      </w:r>
      <w:r w:rsidR="00E13298">
        <w:t xml:space="preserve">of the tank (blue bubbles for </w:t>
      </w:r>
      <w:r w:rsidR="00840ACE">
        <w:t xml:space="preserve">the </w:t>
      </w:r>
      <w:r w:rsidR="00E13298">
        <w:t xml:space="preserve">outer vessel and red bubbles for </w:t>
      </w:r>
      <w:r w:rsidR="00840ACE">
        <w:t xml:space="preserve">the </w:t>
      </w:r>
      <w:r w:rsidR="00E13298">
        <w:t>inner vessel).</w:t>
      </w:r>
    </w:p>
    <w:p w14:paraId="2974DC89" w14:textId="533076C5" w:rsidR="009132DD" w:rsidRDefault="00C91835" w:rsidP="003E4D27">
      <w:pPr>
        <w:pStyle w:val="CETBodytext"/>
      </w:pPr>
      <w:r>
        <w:lastRenderedPageBreak/>
        <w:t xml:space="preserve">The outer vessel failed to generate </w:t>
      </w:r>
      <w:r w:rsidR="00095BB2">
        <w:t>four</w:t>
      </w:r>
      <w:r>
        <w:t xml:space="preserve"> pieces: two end caps (72 kg and 76 kg) and two parts of the shell; one part remained attached to the tank support, resulting in a very heavy fragment (261 kg). The inner vessel broke into two pieces: one end cap (61 kg) and </w:t>
      </w:r>
      <w:r w:rsidRPr="00444C02">
        <w:t>the shell opened like a plate and attached to the other</w:t>
      </w:r>
      <w:r>
        <w:t xml:space="preserve"> end cap (124 kg). </w:t>
      </w:r>
      <w:r w:rsidR="00100EA0">
        <w:t>T</w:t>
      </w:r>
      <w:r w:rsidR="00100EA0" w:rsidRPr="00444C02">
        <w:t xml:space="preserve">he fragment that flew furthest was one of the two </w:t>
      </w:r>
      <w:r w:rsidR="00100EA0">
        <w:t xml:space="preserve">end caps of the </w:t>
      </w:r>
      <w:r w:rsidR="00100EA0" w:rsidRPr="00444C02">
        <w:t xml:space="preserve">outer </w:t>
      </w:r>
      <w:r w:rsidR="00100EA0">
        <w:t>vessel</w:t>
      </w:r>
      <w:r w:rsidR="00100EA0" w:rsidRPr="00444C02">
        <w:t xml:space="preserve"> that reached 167</w:t>
      </w:r>
      <w:r w:rsidR="00100EA0">
        <w:t xml:space="preserve"> </w:t>
      </w:r>
      <w:r w:rsidR="00100EA0" w:rsidRPr="00444C02">
        <w:t>m.</w:t>
      </w:r>
      <w:r w:rsidR="00100EA0">
        <w:t xml:space="preserve"> </w:t>
      </w:r>
      <w:r w:rsidR="00100EA0" w:rsidRPr="00444C02">
        <w:t>The others spread out in the space around the vessel covering varying distances.</w:t>
      </w:r>
      <w:r w:rsidR="00100EA0">
        <w:t xml:space="preserve"> </w:t>
      </w:r>
      <w:r w:rsidR="00EF3370" w:rsidRPr="00546FC5">
        <w:t xml:space="preserve">Figure 2 shows the distribution of the main fragments in the blast area. </w:t>
      </w:r>
      <w:r w:rsidR="00546FC5">
        <w:t xml:space="preserve">The size of the bubbles is related to the mass of each fragment, which is labeled in red. Two different colors were used to distinguish between the two vessels: red bubbles indicate the </w:t>
      </w:r>
      <w:r w:rsidR="00EF56B4">
        <w:t>piece</w:t>
      </w:r>
      <w:r w:rsidR="00546FC5">
        <w:t>s of the inner tank</w:t>
      </w:r>
      <w:r w:rsidR="00EF56B4">
        <w:t>,</w:t>
      </w:r>
      <w:r w:rsidR="00546FC5">
        <w:t xml:space="preserve"> while blue bubbles indicate the ones of the outer tank. </w:t>
      </w:r>
      <w:r w:rsidR="009132DD">
        <w:t>T</w:t>
      </w:r>
      <w:r w:rsidR="009132DD" w:rsidRPr="008D6DEA">
        <w:t>he</w:t>
      </w:r>
      <w:r w:rsidR="00EF56B4">
        <w:t xml:space="preserve"> origin</w:t>
      </w:r>
      <w:r w:rsidR="00095BB2">
        <w:t xml:space="preserve"> of the graph</w:t>
      </w:r>
      <w:r w:rsidR="009132DD" w:rsidRPr="008D6DEA">
        <w:t xml:space="preserve"> corresponds to the center of the initial location of the tank</w:t>
      </w:r>
      <w:r w:rsidR="00387531">
        <w:t>.</w:t>
      </w:r>
      <w:r w:rsidR="009132DD">
        <w:t xml:space="preserve"> </w:t>
      </w:r>
      <w:r w:rsidR="00387531">
        <w:t xml:space="preserve">The </w:t>
      </w:r>
      <w:r w:rsidR="009132DD">
        <w:t>x</w:t>
      </w:r>
      <w:r w:rsidR="00EF56B4">
        <w:t>-</w:t>
      </w:r>
      <w:r w:rsidR="009132DD">
        <w:t>axis is oriented as the longitudinal axis of the tank</w:t>
      </w:r>
      <w:r w:rsidR="00EF56B4">
        <w:t>,</w:t>
      </w:r>
      <w:r w:rsidR="00387531">
        <w:t xml:space="preserve"> while the y</w:t>
      </w:r>
      <w:r w:rsidR="00EF56B4">
        <w:t>-</w:t>
      </w:r>
      <w:r w:rsidR="00387531">
        <w:t>axis is the transversal one</w:t>
      </w:r>
      <w:r w:rsidR="009132DD">
        <w:t xml:space="preserve">. </w:t>
      </w:r>
      <w:r w:rsidR="006E2930">
        <w:t xml:space="preserve"> </w:t>
      </w:r>
      <w:r w:rsidR="006F49F2" w:rsidRPr="006F49F2">
        <w:t xml:space="preserve">The explosion videos clearly show that the </w:t>
      </w:r>
      <w:r w:rsidR="006F49F2">
        <w:t xml:space="preserve">end </w:t>
      </w:r>
      <w:r w:rsidR="006F49F2" w:rsidRPr="006F49F2">
        <w:t xml:space="preserve">cap of the inner </w:t>
      </w:r>
      <w:r w:rsidR="006F49F2">
        <w:t>tank</w:t>
      </w:r>
      <w:r w:rsidR="006F49F2" w:rsidRPr="006F49F2">
        <w:t xml:space="preserve"> (61 kg) collide</w:t>
      </w:r>
      <w:r w:rsidR="006F49F2">
        <w:t>d</w:t>
      </w:r>
      <w:r w:rsidR="006F49F2" w:rsidRPr="006F49F2">
        <w:t xml:space="preserve"> with the protective wall of the propane tank, and then rebound</w:t>
      </w:r>
      <w:r w:rsidR="0027028A">
        <w:t>ed</w:t>
      </w:r>
      <w:r w:rsidR="006F49F2" w:rsidRPr="006F49F2">
        <w:t xml:space="preserve"> toward the</w:t>
      </w:r>
      <w:r w:rsidR="0027028A">
        <w:t xml:space="preserve"> original position of the</w:t>
      </w:r>
      <w:r w:rsidR="006F49F2" w:rsidRPr="006F49F2">
        <w:t xml:space="preserve"> </w:t>
      </w:r>
      <w:r w:rsidR="0027028A">
        <w:t>LH2 tank</w:t>
      </w:r>
      <w:r w:rsidR="006F49F2" w:rsidRPr="006F49F2">
        <w:t>. It</w:t>
      </w:r>
      <w:r w:rsidR="0027028A">
        <w:t xml:space="preserve"> i</w:t>
      </w:r>
      <w:r w:rsidR="006F49F2" w:rsidRPr="006F49F2">
        <w:t>s uncertain how far the fragment would have traveled without this barrier, but it would likely have gone further.</w:t>
      </w:r>
    </w:p>
    <w:p w14:paraId="7165A963" w14:textId="62788CB2" w:rsidR="00552714" w:rsidRDefault="00552714" w:rsidP="00552714">
      <w:pPr>
        <w:pStyle w:val="CETHeading1"/>
      </w:pPr>
      <w:r>
        <w:t>Discussion</w:t>
      </w:r>
    </w:p>
    <w:p w14:paraId="78D04D83" w14:textId="7DDD213F" w:rsidR="009A4FAC" w:rsidRDefault="005B3BAF" w:rsidP="00FA1DC2">
      <w:pPr>
        <w:pStyle w:val="CETBodytext"/>
      </w:pPr>
      <w:r>
        <w:t>As expected, t</w:t>
      </w:r>
      <w:r w:rsidRPr="00454647">
        <w:t xml:space="preserve">he </w:t>
      </w:r>
      <w:r>
        <w:t>outer and inner shells of the double-walled LH2</w:t>
      </w:r>
      <w:r w:rsidR="00454647" w:rsidRPr="00454647">
        <w:t xml:space="preserve"> tanks showed a very different </w:t>
      </w:r>
      <w:r w:rsidR="001F4AED">
        <w:t>behavior</w:t>
      </w:r>
      <w:r w:rsidRPr="00454647">
        <w:t xml:space="preserve"> </w:t>
      </w:r>
      <w:r w:rsidR="00454647" w:rsidRPr="00454647">
        <w:t xml:space="preserve">to the explosion. </w:t>
      </w:r>
      <w:r w:rsidR="00C83655">
        <w:t>Firstly, the shells were rupture</w:t>
      </w:r>
      <w:r w:rsidR="00E95C50">
        <w:t>d</w:t>
      </w:r>
      <w:r w:rsidR="00C83655">
        <w:t xml:space="preserve"> in</w:t>
      </w:r>
      <w:r w:rsidR="00454647" w:rsidRPr="00454647">
        <w:t xml:space="preserve">to a different number of fragments, </w:t>
      </w:r>
      <w:r w:rsidR="00C83655">
        <w:t xml:space="preserve">four pieces </w:t>
      </w:r>
      <w:r w:rsidR="00C70FD0">
        <w:t xml:space="preserve">for the outer vessel and two parts for the internal tank. Secondly, </w:t>
      </w:r>
      <w:r w:rsidR="00454647" w:rsidRPr="00454647">
        <w:t xml:space="preserve">the </w:t>
      </w:r>
      <w:r w:rsidR="0057640A">
        <w:t>outer shell pieces traveled larger distances than</w:t>
      </w:r>
      <w:r w:rsidR="007E4F22">
        <w:t xml:space="preserve"> the inner ones</w:t>
      </w:r>
      <w:r w:rsidR="00454647">
        <w:t>.</w:t>
      </w:r>
      <w:r w:rsidR="007E4F22">
        <w:t xml:space="preserve"> </w:t>
      </w:r>
      <w:r w:rsidR="00CE1BE6">
        <w:t xml:space="preserve">The </w:t>
      </w:r>
      <w:r w:rsidR="00CE1BE6" w:rsidRPr="00CE1BE6">
        <w:t xml:space="preserve">furthest fragments found were </w:t>
      </w:r>
      <w:r w:rsidR="00AE2BF2">
        <w:t>the end cap</w:t>
      </w:r>
      <w:r w:rsidR="00CE1BE6" w:rsidRPr="00CE1BE6">
        <w:t xml:space="preserve"> of the </w:t>
      </w:r>
      <w:r w:rsidR="0057640A">
        <w:t>external</w:t>
      </w:r>
      <w:r w:rsidR="00CE1BE6" w:rsidRPr="00CE1BE6">
        <w:t xml:space="preserve"> tank </w:t>
      </w:r>
      <w:r w:rsidR="004B3AB3">
        <w:t xml:space="preserve">(72 kg) </w:t>
      </w:r>
      <w:r w:rsidR="00CE1BE6" w:rsidRPr="00CE1BE6">
        <w:t xml:space="preserve">and the lightest piece of </w:t>
      </w:r>
      <w:r w:rsidR="00CE1BE6">
        <w:t>its</w:t>
      </w:r>
      <w:r w:rsidR="00CE1BE6" w:rsidRPr="00CE1BE6">
        <w:t xml:space="preserve"> </w:t>
      </w:r>
      <w:r w:rsidR="00CE1BE6">
        <w:t>sh</w:t>
      </w:r>
      <w:r w:rsidR="00CE1BE6" w:rsidRPr="00CE1BE6">
        <w:t>e</w:t>
      </w:r>
      <w:r w:rsidR="00CE1BE6">
        <w:t>ll</w:t>
      </w:r>
      <w:r w:rsidR="004B3AB3">
        <w:t xml:space="preserve"> (65 kg)</w:t>
      </w:r>
      <w:r w:rsidR="00CE1BE6">
        <w:t>.</w:t>
      </w:r>
      <w:r w:rsidR="00CE1BE6" w:rsidRPr="00CE1BE6">
        <w:t xml:space="preserve"> </w:t>
      </w:r>
      <w:r w:rsidR="00085FB5">
        <w:t>On the other hand, t</w:t>
      </w:r>
      <w:r w:rsidR="00085FB5" w:rsidRPr="00CE1BE6">
        <w:t xml:space="preserve">he </w:t>
      </w:r>
      <w:r w:rsidR="00CE1BE6" w:rsidRPr="00CE1BE6">
        <w:t>two parts of the inner tank were found very close to the point of the explosion</w:t>
      </w:r>
      <w:r w:rsidR="00CE1BE6">
        <w:t xml:space="preserve">. </w:t>
      </w:r>
      <w:r w:rsidR="005C1803" w:rsidRPr="005C1803">
        <w:t>This</w:t>
      </w:r>
      <w:r w:rsidR="009A4FAC">
        <w:t xml:space="preserve"> might</w:t>
      </w:r>
      <w:r w:rsidR="005C1803" w:rsidRPr="005C1803">
        <w:t xml:space="preserve"> suggest that the force of the explosion was not uniform, and some parts were affected more than others</w:t>
      </w:r>
      <w:r w:rsidR="005C1803">
        <w:t xml:space="preserve">. </w:t>
      </w:r>
      <w:r w:rsidR="005C1803" w:rsidRPr="005C1803">
        <w:t>Further investigation would be required to determine the reasons for the differential distribution of fragments.</w:t>
      </w:r>
      <w:r w:rsidR="004B29D9">
        <w:t xml:space="preserve"> </w:t>
      </w:r>
      <w:r w:rsidR="00C7666F" w:rsidRPr="00C7666F">
        <w:t xml:space="preserve">Moreover, the tendency of end caps to spread along the direction parallel to the </w:t>
      </w:r>
      <w:r w:rsidR="004B29D9">
        <w:t xml:space="preserve">longitudinal </w:t>
      </w:r>
      <w:r w:rsidR="00C7666F" w:rsidRPr="00C7666F">
        <w:t xml:space="preserve">axis of the </w:t>
      </w:r>
      <w:r w:rsidR="00C7666F">
        <w:t>vessel</w:t>
      </w:r>
      <w:r w:rsidR="00C7666F" w:rsidRPr="00C7666F">
        <w:t xml:space="preserve"> is higher than that of </w:t>
      </w:r>
      <w:r w:rsidR="00C7666F">
        <w:t>shell</w:t>
      </w:r>
      <w:r w:rsidR="00C7666F" w:rsidRPr="00C7666F">
        <w:t xml:space="preserve"> fragments</w:t>
      </w:r>
      <w:r w:rsidR="00492958">
        <w:t xml:space="preserve"> as </w:t>
      </w:r>
      <w:r w:rsidR="00D3310D">
        <w:t>shown in</w:t>
      </w:r>
      <w:r w:rsidR="009132DD">
        <w:t xml:space="preserve"> </w:t>
      </w:r>
      <w:r w:rsidR="00CD1B2D">
        <w:t>F</w:t>
      </w:r>
      <w:r w:rsidR="009132DD">
        <w:t xml:space="preserve">igure </w:t>
      </w:r>
      <w:r w:rsidR="0015518F">
        <w:t>2</w:t>
      </w:r>
      <w:r w:rsidR="009132DD">
        <w:t>.</w:t>
      </w:r>
      <w:r w:rsidR="000E65AB">
        <w:t xml:space="preserve"> T</w:t>
      </w:r>
      <w:r w:rsidR="000E65AB" w:rsidRPr="000E65AB">
        <w:t>his result is consistent with what was expected</w:t>
      </w:r>
      <w:r w:rsidR="000D1531">
        <w:t xml:space="preserve"> according to Tugnoli et al. (2014). </w:t>
      </w:r>
    </w:p>
    <w:p w14:paraId="7FAB2DF1" w14:textId="37EABFFE" w:rsidR="005C1803" w:rsidRDefault="00DB0498" w:rsidP="00FA1DC2">
      <w:pPr>
        <w:pStyle w:val="CETBodytext"/>
      </w:pPr>
      <w:r>
        <w:t>E</w:t>
      </w:r>
      <w:r w:rsidR="004D2D4E" w:rsidRPr="004D2D4E">
        <w:t>xperimental data</w:t>
      </w:r>
      <w:r w:rsidR="00141F27">
        <w:t xml:space="preserve"> analysis</w:t>
      </w:r>
      <w:r w:rsidR="0092478C">
        <w:t xml:space="preserve"> regarding fragments</w:t>
      </w:r>
      <w:r w:rsidR="004D2D4E" w:rsidRPr="004D2D4E">
        <w:t xml:space="preserve"> was conducted for the first time for the</w:t>
      </w:r>
      <w:r w:rsidR="00141F27">
        <w:t xml:space="preserve"> selected</w:t>
      </w:r>
      <w:r w:rsidR="004D2D4E" w:rsidRPr="004D2D4E">
        <w:t xml:space="preserve"> case </w:t>
      </w:r>
      <w:r w:rsidR="00141F27">
        <w:t>study</w:t>
      </w:r>
      <w:r w:rsidR="004D2D4E">
        <w:t xml:space="preserve">. </w:t>
      </w:r>
      <w:r w:rsidR="00537190" w:rsidRPr="00537190">
        <w:t xml:space="preserve">The next step should be to apply </w:t>
      </w:r>
      <w:r w:rsidR="00C16702">
        <w:t xml:space="preserve">the </w:t>
      </w:r>
      <w:r w:rsidR="00537190" w:rsidRPr="00537190">
        <w:t>models</w:t>
      </w:r>
      <w:r w:rsidR="00141F27">
        <w:t xml:space="preserve"> described in Sec</w:t>
      </w:r>
      <w:r w:rsidR="007F08A2">
        <w:t>tion</w:t>
      </w:r>
      <w:r w:rsidR="00141F27">
        <w:t xml:space="preserve"> 2</w:t>
      </w:r>
      <w:r w:rsidR="00537190" w:rsidRPr="00537190">
        <w:t xml:space="preserve"> for predicting horizontal distance and </w:t>
      </w:r>
      <w:r w:rsidR="006F0A3F">
        <w:t>validate</w:t>
      </w:r>
      <w:r w:rsidR="006F0A3F" w:rsidRPr="00537190">
        <w:t xml:space="preserve"> </w:t>
      </w:r>
      <w:r w:rsidR="00537190" w:rsidRPr="00537190">
        <w:t xml:space="preserve">them </w:t>
      </w:r>
      <w:r w:rsidR="006F0A3F">
        <w:t xml:space="preserve">with </w:t>
      </w:r>
      <w:r>
        <w:t xml:space="preserve">the </w:t>
      </w:r>
      <w:r w:rsidR="006F0A3F">
        <w:t>experimental outcome</w:t>
      </w:r>
      <w:r w:rsidR="00537190" w:rsidRPr="00537190">
        <w:t>. Clearly, to suggest potential modifications or adjustments, new data and experiments will be necessary to validate the models</w:t>
      </w:r>
      <w:r w:rsidR="00D3665D">
        <w:t>,</w:t>
      </w:r>
      <w:r w:rsidR="007409FF">
        <w:t xml:space="preserve"> as </w:t>
      </w:r>
      <w:r w:rsidR="00660354" w:rsidRPr="00660354">
        <w:t>there is not enough data on double-walled tanks in the literature</w:t>
      </w:r>
      <w:r w:rsidR="00537190" w:rsidRPr="00537190">
        <w:t>.</w:t>
      </w:r>
      <w:r w:rsidR="00660354">
        <w:t xml:space="preserve"> </w:t>
      </w:r>
      <w:r w:rsidR="0026046E">
        <w:t>S</w:t>
      </w:r>
      <w:r w:rsidR="0026046E" w:rsidRPr="0026046E">
        <w:t>mall-scale tests are recommended due to the cost-critical nature of these experiments.</w:t>
      </w:r>
    </w:p>
    <w:p w14:paraId="1903F6EA" w14:textId="5337FBC5" w:rsidR="00C37E9D" w:rsidRDefault="00633AB9" w:rsidP="00633AB9">
      <w:pPr>
        <w:pStyle w:val="CETHeading1"/>
      </w:pPr>
      <w:r>
        <w:t>Conclusion</w:t>
      </w:r>
    </w:p>
    <w:p w14:paraId="1C161F39" w14:textId="7917D3FA" w:rsidR="00ED5198" w:rsidRDefault="00A17F83" w:rsidP="00175599">
      <w:pPr>
        <w:pStyle w:val="CETBodytext"/>
      </w:pPr>
      <w:r>
        <w:t>An</w:t>
      </w:r>
      <w:r w:rsidR="00C16702" w:rsidRPr="00C16702">
        <w:t xml:space="preserve"> analysis of experimental data on the fragments generated by a BLEVE caused by the complete rupture of </w:t>
      </w:r>
      <w:r w:rsidR="0062166D">
        <w:t xml:space="preserve">a double-walled </w:t>
      </w:r>
      <w:r w:rsidR="00C16702" w:rsidRPr="00C16702">
        <w:t>LH2 vessel was carried out</w:t>
      </w:r>
      <w:r>
        <w:t xml:space="preserve"> in this study. The experimental data provided by the </w:t>
      </w:r>
      <w:r w:rsidR="0062166D">
        <w:t xml:space="preserve">Norwegian project </w:t>
      </w:r>
      <w:r>
        <w:t>Safe Hydrogen Fuel Handling and Use for Efficient Implementation (SH</w:t>
      </w:r>
      <w:r w:rsidRPr="00A17F83">
        <w:rPr>
          <w:vertAlign w:val="subscript"/>
        </w:rPr>
        <w:t>2</w:t>
      </w:r>
      <w:r>
        <w:t xml:space="preserve">IFT) were processed to analyze the </w:t>
      </w:r>
      <w:r w:rsidR="000D5D6C">
        <w:t>distribution of the fragments</w:t>
      </w:r>
      <w:r>
        <w:t xml:space="preserve"> in the space surrounding the original position of the vessel. During th</w:t>
      </w:r>
      <w:r w:rsidR="00BB533C">
        <w:t xml:space="preserve">at experiment a double-walled </w:t>
      </w:r>
      <w:r w:rsidR="00BB533C" w:rsidRPr="00543D6B">
        <w:rPr>
          <w:lang w:val="en-GB"/>
        </w:rPr>
        <w:t>vacuum insulated</w:t>
      </w:r>
      <w:r w:rsidR="00BB533C">
        <w:t xml:space="preserve"> vessel engulfed by a </w:t>
      </w:r>
      <w:r w:rsidR="00183146">
        <w:t xml:space="preserve">propane </w:t>
      </w:r>
      <w:r w:rsidR="00BB533C">
        <w:t xml:space="preserve">fire failed leading to a fireball, a </w:t>
      </w:r>
      <w:r w:rsidR="006B1DC6">
        <w:t xml:space="preserve">pressure </w:t>
      </w:r>
      <w:r w:rsidR="00BB533C">
        <w:t xml:space="preserve">wave and fragments projection. Six </w:t>
      </w:r>
      <w:r w:rsidR="00BB533C" w:rsidRPr="00BB533C">
        <w:t>heavier fragments were detected, four from the outer tank and two from the inner tank.</w:t>
      </w:r>
      <w:r w:rsidR="00BB533C">
        <w:t xml:space="preserve"> </w:t>
      </w:r>
      <w:r w:rsidR="001F7385">
        <w:t>Th</w:t>
      </w:r>
      <w:r w:rsidR="001F7385" w:rsidRPr="001F7385">
        <w:t xml:space="preserve">e </w:t>
      </w:r>
      <w:r w:rsidR="00B228D3">
        <w:t>fragments of the outer sell</w:t>
      </w:r>
      <w:r w:rsidR="00B228D3" w:rsidRPr="001F7385">
        <w:t xml:space="preserve"> </w:t>
      </w:r>
      <w:r w:rsidR="001F7385" w:rsidRPr="001F7385">
        <w:t>were found further away than the</w:t>
      </w:r>
      <w:r w:rsidR="00B228D3">
        <w:t xml:space="preserve"> inner one</w:t>
      </w:r>
      <w:r w:rsidR="001F7385" w:rsidRPr="001F7385">
        <w:t xml:space="preserve">, which, on the other hand, remained much closer to the </w:t>
      </w:r>
      <w:r w:rsidR="00FC57B0">
        <w:t>original vessel position</w:t>
      </w:r>
      <w:r w:rsidR="001F7385" w:rsidRPr="001F7385">
        <w:t>.</w:t>
      </w:r>
      <w:r w:rsidR="001F7385">
        <w:t xml:space="preserve"> The maximum </w:t>
      </w:r>
      <w:r w:rsidR="00FC57B0">
        <w:t xml:space="preserve">measured </w:t>
      </w:r>
      <w:r w:rsidR="001F7385">
        <w:t>distance was 167 m</w:t>
      </w:r>
      <w:r w:rsidR="00FC57B0">
        <w:t xml:space="preserve"> from the initial tank position</w:t>
      </w:r>
      <w:r w:rsidR="001F7385">
        <w:t xml:space="preserve">. </w:t>
      </w:r>
      <w:r w:rsidR="00FC57B0">
        <w:t xml:space="preserve">Additional studies such as </w:t>
      </w:r>
      <w:r w:rsidR="00EE1CB5">
        <w:t>modelling fragment distribution with conventional models and their validation with experimental data were suggested</w:t>
      </w:r>
      <w:r w:rsidR="000412F9">
        <w:t>.</w:t>
      </w:r>
      <w:r w:rsidR="002F03BC" w:rsidRPr="002F03BC">
        <w:t xml:space="preserve"> </w:t>
      </w:r>
      <w:r w:rsidR="005E65C5">
        <w:t>T</w:t>
      </w:r>
      <w:r w:rsidR="005E65C5" w:rsidRPr="005E65C5">
        <w:t xml:space="preserve">he ability to predict the behavior of tank fragments after a </w:t>
      </w:r>
      <w:r w:rsidR="005E65C5">
        <w:t>failu</w:t>
      </w:r>
      <w:r w:rsidR="005E65C5" w:rsidRPr="005E65C5">
        <w:t xml:space="preserve">re is valuable for </w:t>
      </w:r>
      <w:r w:rsidR="00EE1CB5">
        <w:t xml:space="preserve">the </w:t>
      </w:r>
      <w:r w:rsidR="005E65C5" w:rsidRPr="005E65C5">
        <w:t>domino effect handling</w:t>
      </w:r>
      <w:r w:rsidR="000412F9">
        <w:t xml:space="preserve"> </w:t>
      </w:r>
      <w:r w:rsidR="00396C87">
        <w:t>part of the risk analysis</w:t>
      </w:r>
      <w:r w:rsidR="005E65C5" w:rsidRPr="005E65C5">
        <w:t>.</w:t>
      </w:r>
    </w:p>
    <w:p w14:paraId="2690DEA9" w14:textId="6AED50F3" w:rsidR="0038045E" w:rsidRDefault="00175599" w:rsidP="00542EE9">
      <w:pPr>
        <w:pStyle w:val="CETAcknowledgementstitle"/>
      </w:pPr>
      <w:r>
        <w:t>No</w:t>
      </w:r>
      <w:r w:rsidR="00542EE9">
        <w:t>menclature</w:t>
      </w:r>
    </w:p>
    <w:p w14:paraId="4B18BE77" w14:textId="77777777" w:rsidR="00512E0B" w:rsidRDefault="00512E0B" w:rsidP="00AC0C1D">
      <w:pPr>
        <w:pStyle w:val="CETBodytext"/>
        <w:rPr>
          <w:lang w:val="en-GB"/>
        </w:rPr>
        <w:sectPr w:rsidR="00512E0B" w:rsidSect="00EF06D9">
          <w:type w:val="continuous"/>
          <w:pgSz w:w="11906" w:h="16838" w:code="9"/>
          <w:pgMar w:top="1701" w:right="1418" w:bottom="1701" w:left="1701" w:header="1701" w:footer="0" w:gutter="0"/>
          <w:cols w:space="708"/>
          <w:formProt w:val="0"/>
          <w:titlePg/>
          <w:docGrid w:linePitch="360"/>
        </w:sectPr>
      </w:pPr>
    </w:p>
    <w:p w14:paraId="7EDEEBF3" w14:textId="77777777" w:rsidR="000D0D77" w:rsidRDefault="002220E4" w:rsidP="00AC0C1D">
      <w:pPr>
        <w:pStyle w:val="CETBodytext"/>
        <w:rPr>
          <w:lang w:val="en-GB"/>
        </w:rPr>
      </w:pPr>
      <w:r>
        <w:rPr>
          <w:lang w:val="en-GB"/>
        </w:rPr>
        <w:t>v</w:t>
      </w:r>
      <w:r w:rsidRPr="002220E4">
        <w:rPr>
          <w:vertAlign w:val="subscript"/>
          <w:lang w:val="en-GB"/>
        </w:rPr>
        <w:t>i</w:t>
      </w:r>
      <w:r>
        <w:rPr>
          <w:lang w:val="en-GB"/>
        </w:rPr>
        <w:t xml:space="preserve"> – initial velocity, m</w:t>
      </w:r>
      <w:r>
        <w:rPr>
          <w:rFonts w:cs="Arial"/>
          <w:lang w:val="en-GB"/>
        </w:rPr>
        <w:t>∙</w:t>
      </w:r>
      <w:r>
        <w:rPr>
          <w:lang w:val="en-GB"/>
        </w:rPr>
        <w:t>s</w:t>
      </w:r>
      <w:r w:rsidRPr="002220E4">
        <w:rPr>
          <w:vertAlign w:val="superscript"/>
          <w:lang w:val="en-GB"/>
        </w:rPr>
        <w:t>-1</w:t>
      </w:r>
    </w:p>
    <w:p w14:paraId="48267523" w14:textId="69BAE9AC" w:rsidR="00542EE9" w:rsidRDefault="000D0D77" w:rsidP="00AC0C1D">
      <w:pPr>
        <w:pStyle w:val="CETBodytext"/>
        <w:rPr>
          <w:rFonts w:cs="Arial"/>
          <w:lang w:val="en-GB"/>
        </w:rPr>
      </w:pPr>
      <w:r>
        <w:rPr>
          <w:rFonts w:cs="Arial"/>
          <w:lang w:val="en-GB"/>
        </w:rPr>
        <w:t>λ – energy fraction to fragments projection</w:t>
      </w:r>
      <w:r w:rsidR="001328A0">
        <w:rPr>
          <w:rFonts w:cs="Arial"/>
          <w:lang w:val="en-GB"/>
        </w:rPr>
        <w:t>, -</w:t>
      </w:r>
    </w:p>
    <w:p w14:paraId="36C46821" w14:textId="1B374E0F" w:rsidR="000D0D77" w:rsidRDefault="000D0D77" w:rsidP="00AC0C1D">
      <w:pPr>
        <w:pStyle w:val="CETBodytext"/>
        <w:rPr>
          <w:rFonts w:cs="Arial"/>
          <w:lang w:val="en-GB"/>
        </w:rPr>
      </w:pPr>
      <w:r>
        <w:rPr>
          <w:rFonts w:cs="Arial"/>
          <w:lang w:val="en-GB"/>
        </w:rPr>
        <w:t>E</w:t>
      </w:r>
      <w:r w:rsidRPr="000D0D77">
        <w:rPr>
          <w:rFonts w:cs="Arial"/>
          <w:vertAlign w:val="subscript"/>
          <w:lang w:val="en-GB"/>
        </w:rPr>
        <w:t>av</w:t>
      </w:r>
      <w:r>
        <w:rPr>
          <w:rFonts w:cs="Arial"/>
          <w:lang w:val="en-GB"/>
        </w:rPr>
        <w:t xml:space="preserve"> – energy available after the explosion, J</w:t>
      </w:r>
    </w:p>
    <w:p w14:paraId="33BA49FA" w14:textId="2781C80B" w:rsidR="000D0D77" w:rsidRDefault="000D0D77" w:rsidP="00AC0C1D">
      <w:pPr>
        <w:pStyle w:val="CETBodytext"/>
        <w:rPr>
          <w:rFonts w:cs="Arial"/>
          <w:lang w:val="en-GB"/>
        </w:rPr>
      </w:pPr>
      <w:r>
        <w:rPr>
          <w:rFonts w:cs="Arial"/>
          <w:lang w:val="en-GB"/>
        </w:rPr>
        <w:t>M</w:t>
      </w:r>
      <w:r w:rsidRPr="000D0D77">
        <w:rPr>
          <w:rFonts w:cs="Arial"/>
          <w:vertAlign w:val="subscript"/>
          <w:lang w:val="en-GB"/>
        </w:rPr>
        <w:t>v</w:t>
      </w:r>
      <w:r>
        <w:rPr>
          <w:rFonts w:cs="Arial"/>
          <w:lang w:val="en-GB"/>
        </w:rPr>
        <w:t xml:space="preserve"> – mass of the empty tank, kg</w:t>
      </w:r>
    </w:p>
    <w:p w14:paraId="38E40884" w14:textId="2DB3BB39" w:rsidR="000D0D77" w:rsidRDefault="000D0D77" w:rsidP="00AC0C1D">
      <w:pPr>
        <w:pStyle w:val="CETBodytext"/>
        <w:rPr>
          <w:lang w:val="en-GB"/>
        </w:rPr>
      </w:pPr>
      <w:r>
        <w:rPr>
          <w:lang w:val="en-GB"/>
        </w:rPr>
        <w:t>R – horizontal range of fragment, m</w:t>
      </w:r>
    </w:p>
    <w:p w14:paraId="1C5DFB01" w14:textId="77777777" w:rsidR="000D0D77" w:rsidRDefault="000D0D77" w:rsidP="00AC0C1D">
      <w:pPr>
        <w:pStyle w:val="CETBodytext"/>
        <w:rPr>
          <w:lang w:val="en-GB"/>
        </w:rPr>
      </w:pPr>
      <w:r>
        <w:rPr>
          <w:rFonts w:cs="Arial"/>
          <w:lang w:val="en-GB"/>
        </w:rPr>
        <w:t>α</w:t>
      </w:r>
      <w:r>
        <w:rPr>
          <w:lang w:val="en-GB"/>
        </w:rPr>
        <w:t xml:space="preserve"> – initial angle of fragment, °</w:t>
      </w:r>
    </w:p>
    <w:p w14:paraId="2BC787FA" w14:textId="5B8FF4D7" w:rsidR="000D0D77" w:rsidRDefault="000D0D77" w:rsidP="00AC0C1D">
      <w:pPr>
        <w:pStyle w:val="CETBodytext"/>
        <w:rPr>
          <w:lang w:val="en-GB"/>
        </w:rPr>
      </w:pPr>
      <w:r>
        <w:rPr>
          <w:lang w:val="en-GB"/>
        </w:rPr>
        <w:t>g – acceleration of gravity, m</w:t>
      </w:r>
      <w:r>
        <w:rPr>
          <w:rFonts w:cs="Arial"/>
          <w:lang w:val="en-GB"/>
        </w:rPr>
        <w:t>∙</w:t>
      </w:r>
      <w:r>
        <w:rPr>
          <w:lang w:val="en-GB"/>
        </w:rPr>
        <w:t>s</w:t>
      </w:r>
      <w:r w:rsidRPr="002220E4">
        <w:rPr>
          <w:vertAlign w:val="superscript"/>
          <w:lang w:val="en-GB"/>
        </w:rPr>
        <w:t>-</w:t>
      </w:r>
      <w:r>
        <w:rPr>
          <w:vertAlign w:val="superscript"/>
          <w:lang w:val="en-GB"/>
        </w:rPr>
        <w:t>2</w:t>
      </w:r>
    </w:p>
    <w:p w14:paraId="3CB0CE39" w14:textId="69FF6985" w:rsidR="000D0D77" w:rsidRPr="000D0D77" w:rsidRDefault="000D0D77" w:rsidP="00AC0C1D">
      <w:pPr>
        <w:pStyle w:val="CETBodytext"/>
        <w:rPr>
          <w:lang w:val="en-GB"/>
        </w:rPr>
      </w:pPr>
      <w:r>
        <w:rPr>
          <w:lang w:val="en-GB"/>
        </w:rPr>
        <w:t>C</w:t>
      </w:r>
      <w:r w:rsidRPr="000D0D77">
        <w:rPr>
          <w:vertAlign w:val="subscript"/>
          <w:lang w:val="en-GB"/>
        </w:rPr>
        <w:t>L</w:t>
      </w:r>
      <w:r>
        <w:rPr>
          <w:lang w:val="en-GB"/>
        </w:rPr>
        <w:t xml:space="preserve"> – lift coefficient</w:t>
      </w:r>
      <w:r w:rsidR="001328A0">
        <w:rPr>
          <w:lang w:val="en-GB"/>
        </w:rPr>
        <w:t>, -</w:t>
      </w:r>
    </w:p>
    <w:p w14:paraId="552E1BA2" w14:textId="1C416199" w:rsidR="000D0D77" w:rsidRDefault="000D0D77" w:rsidP="00AC0C1D">
      <w:pPr>
        <w:pStyle w:val="CETBodytext"/>
        <w:rPr>
          <w:lang w:val="en-GB"/>
        </w:rPr>
      </w:pPr>
      <w:r>
        <w:rPr>
          <w:lang w:val="en-GB"/>
        </w:rPr>
        <w:t>C</w:t>
      </w:r>
      <w:r>
        <w:rPr>
          <w:vertAlign w:val="subscript"/>
          <w:lang w:val="en-GB"/>
        </w:rPr>
        <w:t>D</w:t>
      </w:r>
      <w:r>
        <w:rPr>
          <w:lang w:val="en-GB"/>
        </w:rPr>
        <w:t xml:space="preserve"> – drag coefficient</w:t>
      </w:r>
      <w:r w:rsidR="001328A0">
        <w:rPr>
          <w:lang w:val="en-GB"/>
        </w:rPr>
        <w:t>, -</w:t>
      </w:r>
    </w:p>
    <w:p w14:paraId="68CA1E02" w14:textId="77DA76FA" w:rsidR="000D0D77" w:rsidRPr="000D0D77" w:rsidRDefault="000D0D77" w:rsidP="00AC0C1D">
      <w:pPr>
        <w:pStyle w:val="CETBodytext"/>
        <w:rPr>
          <w:lang w:val="en-GB"/>
        </w:rPr>
      </w:pPr>
      <w:r>
        <w:rPr>
          <w:lang w:val="en-GB"/>
        </w:rPr>
        <w:t>A</w:t>
      </w:r>
      <w:r w:rsidRPr="000D0D77">
        <w:rPr>
          <w:vertAlign w:val="subscript"/>
          <w:lang w:val="en-GB"/>
        </w:rPr>
        <w:t>L</w:t>
      </w:r>
      <w:r>
        <w:rPr>
          <w:lang w:val="en-GB"/>
        </w:rPr>
        <w:t xml:space="preserve"> – lift area, m</w:t>
      </w:r>
      <w:r w:rsidRPr="000D0D77">
        <w:rPr>
          <w:vertAlign w:val="superscript"/>
          <w:lang w:val="en-GB"/>
        </w:rPr>
        <w:t>2</w:t>
      </w:r>
    </w:p>
    <w:p w14:paraId="69104926" w14:textId="0CDEA09C" w:rsidR="000D0D77" w:rsidRDefault="000D0D77" w:rsidP="00AC0C1D">
      <w:pPr>
        <w:pStyle w:val="CETBodytext"/>
        <w:rPr>
          <w:vertAlign w:val="superscript"/>
          <w:lang w:val="en-GB"/>
        </w:rPr>
      </w:pPr>
      <w:r>
        <w:rPr>
          <w:lang w:val="en-GB"/>
        </w:rPr>
        <w:t>A</w:t>
      </w:r>
      <w:r>
        <w:rPr>
          <w:vertAlign w:val="subscript"/>
          <w:lang w:val="en-GB"/>
        </w:rPr>
        <w:t>D</w:t>
      </w:r>
      <w:r>
        <w:rPr>
          <w:lang w:val="en-GB"/>
        </w:rPr>
        <w:t xml:space="preserve"> – drag area, m</w:t>
      </w:r>
      <w:r w:rsidRPr="000D0D77">
        <w:rPr>
          <w:vertAlign w:val="superscript"/>
          <w:lang w:val="en-GB"/>
        </w:rPr>
        <w:t>2</w:t>
      </w:r>
    </w:p>
    <w:p w14:paraId="50ED2501" w14:textId="6F0523C8" w:rsidR="000D0D77" w:rsidRPr="000D0D77" w:rsidRDefault="000D0D77" w:rsidP="00AC0C1D">
      <w:pPr>
        <w:pStyle w:val="CETBodytext"/>
        <w:rPr>
          <w:lang w:val="en-GB"/>
        </w:rPr>
      </w:pPr>
      <w:r>
        <w:rPr>
          <w:lang w:val="en-GB"/>
        </w:rPr>
        <w:t>F</w:t>
      </w:r>
      <w:r w:rsidRPr="000D0D77">
        <w:rPr>
          <w:vertAlign w:val="subscript"/>
          <w:lang w:val="en-GB"/>
        </w:rPr>
        <w:t>L</w:t>
      </w:r>
      <w:r>
        <w:rPr>
          <w:lang w:val="en-GB"/>
        </w:rPr>
        <w:t xml:space="preserve"> – lift </w:t>
      </w:r>
      <w:r w:rsidR="00AC0C1D">
        <w:rPr>
          <w:lang w:val="en-GB"/>
        </w:rPr>
        <w:t>force,</w:t>
      </w:r>
      <w:r>
        <w:rPr>
          <w:lang w:val="en-GB"/>
        </w:rPr>
        <w:t xml:space="preserve"> </w:t>
      </w:r>
      <w:r w:rsidR="00AC0C1D">
        <w:rPr>
          <w:lang w:val="en-GB"/>
        </w:rPr>
        <w:t>N</w:t>
      </w:r>
    </w:p>
    <w:p w14:paraId="34B18536" w14:textId="1349F0F1" w:rsidR="000D0D77" w:rsidRDefault="00AC0C1D" w:rsidP="00AC0C1D">
      <w:pPr>
        <w:pStyle w:val="CETBodytext"/>
        <w:rPr>
          <w:lang w:val="en-GB"/>
        </w:rPr>
      </w:pPr>
      <w:r>
        <w:rPr>
          <w:lang w:val="en-GB"/>
        </w:rPr>
        <w:t>F</w:t>
      </w:r>
      <w:r w:rsidR="000D0D77">
        <w:rPr>
          <w:vertAlign w:val="subscript"/>
          <w:lang w:val="en-GB"/>
        </w:rPr>
        <w:t>D</w:t>
      </w:r>
      <w:r w:rsidR="000D0D77">
        <w:rPr>
          <w:lang w:val="en-GB"/>
        </w:rPr>
        <w:t xml:space="preserve"> – drag </w:t>
      </w:r>
      <w:r>
        <w:rPr>
          <w:lang w:val="en-GB"/>
        </w:rPr>
        <w:t>force</w:t>
      </w:r>
      <w:r w:rsidR="000D0D77">
        <w:rPr>
          <w:lang w:val="en-GB"/>
        </w:rPr>
        <w:t xml:space="preserve">, </w:t>
      </w:r>
      <w:r>
        <w:rPr>
          <w:lang w:val="en-GB"/>
        </w:rPr>
        <w:t>N</w:t>
      </w:r>
    </w:p>
    <w:p w14:paraId="6D8C13AA" w14:textId="4485F8C2" w:rsidR="001328A0" w:rsidRDefault="001328A0" w:rsidP="00AC0C1D">
      <w:pPr>
        <w:pStyle w:val="CETBodytext"/>
        <w:rPr>
          <w:lang w:val="en-GB"/>
        </w:rPr>
      </w:pPr>
      <w:r>
        <w:rPr>
          <w:rFonts w:cs="Arial"/>
          <w:lang w:val="en-GB"/>
        </w:rPr>
        <w:t>ρ</w:t>
      </w:r>
      <w:r w:rsidRPr="001328A0">
        <w:rPr>
          <w:vertAlign w:val="subscript"/>
          <w:lang w:val="en-GB"/>
        </w:rPr>
        <w:t>a</w:t>
      </w:r>
      <w:r>
        <w:rPr>
          <w:lang w:val="en-GB"/>
        </w:rPr>
        <w:t xml:space="preserve"> – density of air, kg</w:t>
      </w:r>
      <w:r>
        <w:rPr>
          <w:rFonts w:cs="Arial"/>
          <w:lang w:val="en-GB"/>
        </w:rPr>
        <w:t>∙</w:t>
      </w:r>
      <w:r>
        <w:rPr>
          <w:lang w:val="en-GB"/>
        </w:rPr>
        <w:t>m</w:t>
      </w:r>
      <w:r w:rsidRPr="001328A0">
        <w:rPr>
          <w:vertAlign w:val="superscript"/>
          <w:lang w:val="en-GB"/>
        </w:rPr>
        <w:t>-3</w:t>
      </w:r>
    </w:p>
    <w:p w14:paraId="62A4FB19" w14:textId="358A1628" w:rsidR="001328A0" w:rsidRDefault="00DE2F56" w:rsidP="001328A0">
      <w:pPr>
        <w:pStyle w:val="CETBodytext"/>
        <w:rPr>
          <w:lang w:val="en-GB"/>
        </w:rPr>
      </w:pPr>
      <m:oMath>
        <m:acc>
          <m:accPr>
            <m:chr m:val="̅"/>
            <m:ctrlPr>
              <w:rPr>
                <w:rFonts w:ascii="Cambria Math" w:hAnsi="Cambria Math"/>
                <w:i/>
                <w:lang w:val="en-GB"/>
              </w:rPr>
            </m:ctrlPr>
          </m:accPr>
          <m:e>
            <m:r>
              <w:rPr>
                <w:rFonts w:ascii="Cambria Math" w:hAnsi="Cambria Math"/>
                <w:lang w:val="en-GB"/>
              </w:rPr>
              <m:t>R</m:t>
            </m:r>
          </m:e>
        </m:acc>
      </m:oMath>
      <w:r w:rsidR="001328A0">
        <w:rPr>
          <w:lang w:val="en-GB"/>
        </w:rPr>
        <w:t xml:space="preserve"> – dimensionless range, -</w:t>
      </w:r>
    </w:p>
    <w:p w14:paraId="0D80DD6B" w14:textId="1ED40E5F" w:rsidR="001328A0" w:rsidRDefault="00DE2F56" w:rsidP="001328A0">
      <w:pPr>
        <w:pStyle w:val="CETBodytext"/>
        <w:rPr>
          <w:lang w:val="en-GB"/>
        </w:rPr>
      </w:pPr>
      <m:oMath>
        <m:acc>
          <m:accPr>
            <m:chr m:val="̅"/>
            <m:ctrlPr>
              <w:rPr>
                <w:rFonts w:ascii="Cambria Math" w:hAnsi="Cambria Math" w:cs="Arial"/>
                <w:lang w:val="en-GB"/>
              </w:rPr>
            </m:ctrlPr>
          </m:accPr>
          <m:e>
            <m:sSub>
              <m:sSubPr>
                <m:ctrlPr>
                  <w:rPr>
                    <w:rFonts w:ascii="Cambria Math" w:hAnsi="Cambria Math" w:cs="Arial"/>
                    <w:i/>
                    <w:lang w:val="en-GB"/>
                  </w:rPr>
                </m:ctrlPr>
              </m:sSubPr>
              <m:e>
                <m:r>
                  <w:rPr>
                    <w:rFonts w:ascii="Cambria Math" w:hAnsi="Cambria Math" w:cs="Arial"/>
                  </w:rPr>
                  <m:t>v</m:t>
                </m:r>
              </m:e>
              <m:sub>
                <m:r>
                  <w:rPr>
                    <w:rFonts w:ascii="Cambria Math" w:hAnsi="Cambria Math" w:cs="Arial"/>
                  </w:rPr>
                  <m:t>i</m:t>
                </m:r>
              </m:sub>
            </m:sSub>
          </m:e>
        </m:acc>
      </m:oMath>
      <w:r w:rsidR="001328A0">
        <w:rPr>
          <w:lang w:val="en-GB"/>
        </w:rPr>
        <w:t xml:space="preserve"> – dimensionless initial velocity, -</w:t>
      </w:r>
    </w:p>
    <w:p w14:paraId="48381AD1" w14:textId="621A8793" w:rsidR="00512E0B" w:rsidRPr="00512E0B" w:rsidRDefault="00512E0B" w:rsidP="001328A0">
      <w:pPr>
        <w:pStyle w:val="CETBodytext"/>
        <w:rPr>
          <w:lang w:val="en-GB"/>
        </w:rPr>
      </w:pPr>
      <w:r>
        <w:rPr>
          <w:lang w:val="en-GB"/>
        </w:rPr>
        <w:t>M</w:t>
      </w:r>
      <w:r w:rsidRPr="00512E0B">
        <w:rPr>
          <w:vertAlign w:val="subscript"/>
          <w:lang w:val="en-GB"/>
        </w:rPr>
        <w:t>f</w:t>
      </w:r>
      <w:r>
        <w:rPr>
          <w:lang w:val="en-GB"/>
        </w:rPr>
        <w:t xml:space="preserve"> – mass of fragment, kg</w:t>
      </w:r>
    </w:p>
    <w:p w14:paraId="0F4FC422" w14:textId="77777777" w:rsidR="00512E0B" w:rsidRDefault="00512E0B" w:rsidP="001328A0">
      <w:pPr>
        <w:pStyle w:val="CETBodytext"/>
        <w:rPr>
          <w:lang w:val="en-GB"/>
        </w:rPr>
        <w:sectPr w:rsidR="00512E0B" w:rsidSect="00512E0B">
          <w:type w:val="continuous"/>
          <w:pgSz w:w="11906" w:h="16838" w:code="9"/>
          <w:pgMar w:top="1701" w:right="1418" w:bottom="1701" w:left="1701" w:header="1701" w:footer="0" w:gutter="0"/>
          <w:cols w:num="2" w:space="708"/>
          <w:formProt w:val="0"/>
          <w:titlePg/>
          <w:docGrid w:linePitch="360"/>
        </w:sectPr>
      </w:pPr>
    </w:p>
    <w:p w14:paraId="71B33A69" w14:textId="77777777" w:rsidR="00E851D2" w:rsidRDefault="00E851D2" w:rsidP="00600535">
      <w:pPr>
        <w:pStyle w:val="CETAcknowledgementstitle"/>
      </w:pPr>
    </w:p>
    <w:p w14:paraId="459D05E6" w14:textId="16165478" w:rsidR="00600535" w:rsidRPr="00B57B36" w:rsidRDefault="00600535" w:rsidP="00600535">
      <w:pPr>
        <w:pStyle w:val="CETAcknowledgementstitle"/>
      </w:pPr>
      <w:r w:rsidRPr="00B57B36">
        <w:lastRenderedPageBreak/>
        <w:t>Acknowledgments</w:t>
      </w:r>
    </w:p>
    <w:p w14:paraId="06206024" w14:textId="77777777" w:rsidR="00B45E49" w:rsidRDefault="00B45E49" w:rsidP="00B45E49">
      <w:pPr>
        <w:rPr>
          <w:rFonts w:ascii="Calibri" w:hAnsi="Calibri"/>
          <w:i/>
          <w:iCs/>
          <w:sz w:val="22"/>
          <w:lang w:val="en-US"/>
        </w:rPr>
      </w:pPr>
      <w:r>
        <w:rPr>
          <w:i/>
          <w:iCs/>
          <w:lang w:val="en-US"/>
        </w:rPr>
        <w:t>This work was undertaken as part of the research project Safe Hydrogen Fuel Handling and Use for Efficient Implementation (SH2IFT), and the authors would like to acknowledge the financial support of the Research Council of Norway under the ENERGIX programme (Grant No. 280964). Furthermore, this work was undertaken as part of the ELVHYS project No. 101101381 supported by the Clean Hydrogen Partnership and its members. UK participants in Horizon Europe Project ELVHYS are supported by UKRI grant numbers 10063519 (University of Ulster) and 10070592 (Health and Safety Executive). Funded by the European Union. Views and opinions expressed are however those of the author(s) only and do not necessarily reflect those of the European Union or the Clean Hydrogen Partnership. Neither the European Union nor the Clean Hydrogen Partnership can be held responsible for them.</w:t>
      </w:r>
    </w:p>
    <w:p w14:paraId="4F1327F8" w14:textId="667414E0" w:rsidR="00600535" w:rsidRPr="00B57B36" w:rsidRDefault="00600535" w:rsidP="00600535">
      <w:pPr>
        <w:pStyle w:val="CETReference"/>
      </w:pPr>
      <w:r w:rsidRPr="00B57B36">
        <w:t>References</w:t>
      </w:r>
    </w:p>
    <w:p w14:paraId="5CA411B2" w14:textId="0E1E9D10" w:rsidR="00D7343F" w:rsidRDefault="00D7343F" w:rsidP="00552714">
      <w:pPr>
        <w:pStyle w:val="CETReferencetext"/>
      </w:pPr>
      <w:r>
        <w:t>Baker W.E., Cox P.A., Kulesz J.J., Strehlow R.A., Westine P.S., 1983, Explosion Hazards and Evaluation. Elsevier Science, New York.</w:t>
      </w:r>
    </w:p>
    <w:p w14:paraId="477C2DFA" w14:textId="4B8C08A6" w:rsidR="003762B2" w:rsidRDefault="003762B2" w:rsidP="00552714">
      <w:pPr>
        <w:pStyle w:val="CETReferencetext"/>
      </w:pPr>
      <w:r w:rsidRPr="003762B2">
        <w:t>Gubinelli, G.,</w:t>
      </w:r>
      <w:r w:rsidR="000D0EDA">
        <w:t xml:space="preserve"> </w:t>
      </w:r>
      <w:r w:rsidRPr="003762B2">
        <w:t>Cozzani, V.</w:t>
      </w:r>
      <w:r w:rsidR="000D0EDA">
        <w:t xml:space="preserve">, </w:t>
      </w:r>
      <w:r w:rsidRPr="003762B2">
        <w:t>2009. Assessment of missile hazards: identification of reference fragmentation patterns. Journal of Hazardous Materials, 163(2-3), 1008-1018.</w:t>
      </w:r>
    </w:p>
    <w:p w14:paraId="5634A42A" w14:textId="1550D33E" w:rsidR="00B62457" w:rsidRDefault="00B62457" w:rsidP="00552714">
      <w:pPr>
        <w:pStyle w:val="CETReferencetext"/>
      </w:pPr>
      <w:r w:rsidRPr="00B62457">
        <w:t>Hemmatian, B., Planas, E., &amp; Casal, J.</w:t>
      </w:r>
      <w:r>
        <w:t xml:space="preserve">, </w:t>
      </w:r>
      <w:r w:rsidRPr="00B62457">
        <w:t>201</w:t>
      </w:r>
      <w:r>
        <w:t>6</w:t>
      </w:r>
      <w:r w:rsidRPr="00B62457">
        <w:t>. On BLEVE definition, the significance of superheat limit temperature (T-sl) and LNG BLEVE</w:t>
      </w:r>
      <w:r w:rsidR="00332DF2">
        <w:t>’</w:t>
      </w:r>
      <w:r w:rsidRPr="00B62457">
        <w:t>s. Journal of Loss Prevention in the Process Industries, 40, 81-81.</w:t>
      </w:r>
    </w:p>
    <w:p w14:paraId="2BB564D8" w14:textId="5B8C7E39" w:rsidR="009A5E24" w:rsidRDefault="009A5E24" w:rsidP="00552714">
      <w:pPr>
        <w:pStyle w:val="CETReferencetext"/>
      </w:pPr>
      <w:r w:rsidRPr="009A5E24">
        <w:t>Kumar, A.</w:t>
      </w:r>
      <w:r w:rsidR="00910506">
        <w:t xml:space="preserve">, </w:t>
      </w:r>
      <w:r w:rsidRPr="009A5E24">
        <w:t>1996. Guidelines for evaluating the characteristics of vapor cloud explosions, flash fires, and bleves. Center for Chemical Process Safety (CCPS) of the AIChE, Published by the American Institute of Chemical Engineers, New York, NY (1994), 387 pages</w:t>
      </w:r>
      <w:r w:rsidR="00D7343F">
        <w:t>.</w:t>
      </w:r>
    </w:p>
    <w:p w14:paraId="7D050AB6" w14:textId="08B742CB" w:rsidR="00B21D35" w:rsidRDefault="00B417F9" w:rsidP="00552714">
      <w:pPr>
        <w:pStyle w:val="CETReferencetext"/>
      </w:pPr>
      <w:r w:rsidRPr="00B417F9">
        <w:t>Lees, F.</w:t>
      </w:r>
      <w:r w:rsidR="00910506">
        <w:t>, 2</w:t>
      </w:r>
      <w:r w:rsidRPr="00B417F9">
        <w:t>012. Lees' Loss prevention in the process industries: Hazard identification, assessment and control. Butterworth-Heinemann</w:t>
      </w:r>
      <w:r w:rsidR="00B23F91">
        <w:t>.</w:t>
      </w:r>
    </w:p>
    <w:p w14:paraId="37835878" w14:textId="0BC6CFC0" w:rsidR="00655DD6" w:rsidRDefault="00655DD6" w:rsidP="00552714">
      <w:pPr>
        <w:pStyle w:val="CETReferencetext"/>
      </w:pPr>
      <w:r w:rsidRPr="00655DD6">
        <w:t>Mébarki, A., Mercier, F., Nguyen, Q. B., &amp; Saada, R. A.</w:t>
      </w:r>
      <w:r>
        <w:t xml:space="preserve">, </w:t>
      </w:r>
      <w:r w:rsidRPr="00655DD6">
        <w:t>2009. Structural fragments and explosions in industrial facilities. Part I: Probabilistic description of the source terms. Journal of Loss Prevention in the Process Industries, 22(4), 408-416.</w:t>
      </w:r>
    </w:p>
    <w:p w14:paraId="651CA4BB" w14:textId="57EE8C74" w:rsidR="003000A3" w:rsidRDefault="003000A3" w:rsidP="00552714">
      <w:pPr>
        <w:pStyle w:val="CETReferencetext"/>
      </w:pPr>
      <w:r w:rsidRPr="00BA095C">
        <w:rPr>
          <w:lang w:val="it-IT"/>
        </w:rPr>
        <w:t xml:space="preserve">Nicoletti, G., Arcuri, N., Nicoletti, G., &amp; Bruno, R., 2015. </w:t>
      </w:r>
      <w:r w:rsidRPr="003000A3">
        <w:t>A technical and environmental comparison between hydrogen and some fossil fuels. Energy Conversion and Management, 89, 205-213.</w:t>
      </w:r>
    </w:p>
    <w:p w14:paraId="11A754CC" w14:textId="644A0984" w:rsidR="00552714" w:rsidRDefault="00552714" w:rsidP="00552714">
      <w:pPr>
        <w:pStyle w:val="CETReferencetext"/>
      </w:pPr>
      <w:r>
        <w:t xml:space="preserve">NIST, 2019. NIST Chemistry WebBook 69. https://webbook.nist.gov/chemistry/ (accessed March 19, 2019). </w:t>
      </w:r>
    </w:p>
    <w:p w14:paraId="22ED80B3" w14:textId="77777777" w:rsidR="00AF3CAA" w:rsidRDefault="00082555" w:rsidP="00AF3CAA">
      <w:pPr>
        <w:pStyle w:val="CETReferencetext"/>
      </w:pPr>
      <w:r w:rsidRPr="00BA095C">
        <w:rPr>
          <w:lang w:val="it-IT"/>
        </w:rPr>
        <w:t xml:space="preserve">Paltrinieri, N., Øien, K., &amp; Cozzani, V., 2012. </w:t>
      </w:r>
      <w:r w:rsidRPr="00082555">
        <w:t>Assessment and comparison of two early warning indicator methods in the perspective of prevention of atypical accident scenarios. Reliability Engineering &amp; System Safety, 108, 21-31.</w:t>
      </w:r>
      <w:r w:rsidR="00AF3CAA" w:rsidRPr="00AF3CAA">
        <w:t xml:space="preserve"> </w:t>
      </w:r>
    </w:p>
    <w:p w14:paraId="075BECA4" w14:textId="79BEAC86" w:rsidR="00082555" w:rsidRDefault="00AF3CAA" w:rsidP="00AF3CAA">
      <w:pPr>
        <w:pStyle w:val="CETReferencetext"/>
      </w:pPr>
      <w:r>
        <w:t>Pehr K., 1996, Aspects of safety and acceptance of LH2 tank systems in passenger cars, International Journal of Hydrogen Energy, 21, 387–395.</w:t>
      </w:r>
    </w:p>
    <w:p w14:paraId="2A3C8FFF" w14:textId="2DDBDDA7" w:rsidR="002F074C" w:rsidRDefault="002F074C" w:rsidP="002F074C">
      <w:pPr>
        <w:pStyle w:val="CETReferencetext"/>
      </w:pPr>
      <w:r w:rsidRPr="002F074C">
        <w:t>Tugnoli, A., Gubinelli, G., Landucci, G., &amp; Cozzani, V.</w:t>
      </w:r>
      <w:r w:rsidR="00CF3B45">
        <w:t>, 2</w:t>
      </w:r>
      <w:r w:rsidRPr="002F074C">
        <w:t>014. Assessment of fragment projection hazard: Probability distributions for the initial direction of fragments. Journal of hazardous materials, 279, 418-427.</w:t>
      </w:r>
    </w:p>
    <w:p w14:paraId="57BFC92E" w14:textId="4E35FC5D" w:rsidR="0081778F" w:rsidRPr="0081778F" w:rsidRDefault="0081778F" w:rsidP="002F074C">
      <w:pPr>
        <w:pStyle w:val="CETReferencetext"/>
        <w:rPr>
          <w:lang w:val="nb-NO"/>
        </w:rPr>
      </w:pPr>
      <w:r w:rsidRPr="0081778F">
        <w:rPr>
          <w:lang w:val="it-IT" w:eastAsia="it-IT"/>
        </w:rPr>
        <w:t>Tugnoli, A., Scarponi, G. E., Antonioni, G., &amp; Cozzani, V.</w:t>
      </w:r>
      <w:r>
        <w:rPr>
          <w:lang w:val="it-IT" w:eastAsia="it-IT"/>
        </w:rPr>
        <w:t xml:space="preserve">, </w:t>
      </w:r>
      <w:r w:rsidRPr="0081778F">
        <w:rPr>
          <w:lang w:val="it-IT" w:eastAsia="it-IT"/>
        </w:rPr>
        <w:t xml:space="preserve">2022. Quantitative assessment of domino effect and escalation scenarios caused by fragment projection. </w:t>
      </w:r>
      <w:r w:rsidRPr="0081778F">
        <w:rPr>
          <w:i/>
          <w:iCs/>
          <w:lang w:val="nb-NO" w:eastAsia="it-IT"/>
        </w:rPr>
        <w:t>Reliability Engineering and System Safety</w:t>
      </w:r>
      <w:r w:rsidRPr="0081778F">
        <w:rPr>
          <w:lang w:val="nb-NO" w:eastAsia="it-IT"/>
        </w:rPr>
        <w:t xml:space="preserve">, </w:t>
      </w:r>
      <w:r w:rsidRPr="0081778F">
        <w:rPr>
          <w:i/>
          <w:iCs/>
          <w:lang w:val="nb-NO" w:eastAsia="it-IT"/>
        </w:rPr>
        <w:t>217</w:t>
      </w:r>
      <w:r w:rsidRPr="0081778F">
        <w:rPr>
          <w:lang w:val="nb-NO" w:eastAsia="it-IT"/>
        </w:rPr>
        <w:t>. https://doi.org/10.1016/j.ress.2021.108059</w:t>
      </w:r>
      <w:r>
        <w:rPr>
          <w:lang w:val="nb-NO" w:eastAsia="it-IT"/>
        </w:rPr>
        <w:t>.</w:t>
      </w:r>
    </w:p>
    <w:p w14:paraId="7B5E048B" w14:textId="7083AC91" w:rsidR="00552714" w:rsidRDefault="00552714" w:rsidP="00552714">
      <w:pPr>
        <w:pStyle w:val="CETReferencetext"/>
      </w:pPr>
      <w:r>
        <w:t xml:space="preserve">Ustolin F, Song G, Paltrinieri N, 2019, The influence of H2 safety research on relevant risk assessment. Chemical Engineering Transaction, 74, 1393–1398. </w:t>
      </w:r>
    </w:p>
    <w:p w14:paraId="068023A0" w14:textId="28235BB9" w:rsidR="005C741B" w:rsidRDefault="005C741B" w:rsidP="00552714">
      <w:pPr>
        <w:pStyle w:val="CETReferencetext"/>
      </w:pPr>
      <w:r>
        <w:t>Ustolin F., Paltrinieri N., Landucci G., 2020</w:t>
      </w:r>
      <w:r w:rsidR="00332DF2">
        <w:t>a</w:t>
      </w:r>
      <w:r>
        <w:t>, An innovative and comprehensive approach for the consequence analysis of liquid hydrogen vessel explosions, Journal of Loss Prevention in the Process Industries, 68, 104323.</w:t>
      </w:r>
    </w:p>
    <w:p w14:paraId="6F829F92" w14:textId="6D234B44" w:rsidR="006A52BF" w:rsidRPr="006A52BF" w:rsidRDefault="006A52BF" w:rsidP="00552714">
      <w:pPr>
        <w:pStyle w:val="CETReferencetext"/>
      </w:pPr>
      <w:r w:rsidRPr="006A52BF">
        <w:rPr>
          <w:rFonts w:ascii="Calibri" w:hAnsi="Calibri" w:cs="Calibri"/>
        </w:rPr>
        <w:t>﻿</w:t>
      </w:r>
      <w:r w:rsidRPr="00495BDB">
        <w:rPr>
          <w:lang w:val="it-IT"/>
        </w:rPr>
        <w:t>Ustolin, F., Tolias, I. C., Giannissi, S. G., Venetsanos, A. G., &amp; Paltrinieri, N.</w:t>
      </w:r>
      <w:r w:rsidR="00FE39E5">
        <w:rPr>
          <w:lang w:val="it-IT"/>
        </w:rPr>
        <w:t>,</w:t>
      </w:r>
      <w:r w:rsidRPr="00495BDB">
        <w:rPr>
          <w:lang w:val="it-IT"/>
        </w:rPr>
        <w:t xml:space="preserve"> 2022. </w:t>
      </w:r>
      <w:r w:rsidRPr="006A52BF">
        <w:t>A CFD analysis of liquefied gas vessel explosions. Process Safety and Environmental Protection, 159, 61–75.</w:t>
      </w:r>
    </w:p>
    <w:p w14:paraId="4393E854" w14:textId="38A2CA07" w:rsidR="009A5E24" w:rsidRDefault="009A5E24" w:rsidP="00552714">
      <w:pPr>
        <w:pStyle w:val="CETReferencetext"/>
      </w:pPr>
      <w:r w:rsidRPr="009A5E24">
        <w:t>Van den Bosch, C. J. H., and R. A. P.M. Weterings, eds. Methods for the Calculation of Physical Effects: Due to Releases of Hazardous Materials (liquids and Gases),'yellow Book'. CPR 14E [in Two Parts]. Sdu Uitgevers, 1997.</w:t>
      </w:r>
    </w:p>
    <w:p w14:paraId="39D855E5" w14:textId="2EE6E753" w:rsidR="00AD4017" w:rsidRDefault="00AD4017" w:rsidP="00AD4017">
      <w:pPr>
        <w:pStyle w:val="CETReferencetext"/>
      </w:pPr>
      <w:r>
        <w:t xml:space="preserve">van Wingerden K, Kluge M, Habib AK, Ustolin F, Paltrinieri N, 2022. Medium-scale Tests to Investigate the Possibility and Effects of BLEVEs of Storage Vessels Containing Liquified Hydrogen. Chemical Engineering Transaction, 90, 547–552. </w:t>
      </w:r>
    </w:p>
    <w:p w14:paraId="19C4FC68" w14:textId="20BAC84C" w:rsidR="004628D2" w:rsidRPr="0081778F" w:rsidRDefault="004628D2" w:rsidP="00FA5F5F">
      <w:pPr>
        <w:pStyle w:val="CETHeading1"/>
        <w:numPr>
          <w:ilvl w:val="0"/>
          <w:numId w:val="0"/>
        </w:numPr>
        <w:rPr>
          <w:lang w:val="nb-NO"/>
        </w:rPr>
      </w:pPr>
    </w:p>
    <w:sectPr w:rsidR="004628D2" w:rsidRPr="0081778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39CE" w14:textId="77777777" w:rsidR="006B7797" w:rsidRDefault="006B7797" w:rsidP="004F5E36">
      <w:r>
        <w:separator/>
      </w:r>
    </w:p>
  </w:endnote>
  <w:endnote w:type="continuationSeparator" w:id="0">
    <w:p w14:paraId="3A5C8104" w14:textId="77777777" w:rsidR="006B7797" w:rsidRDefault="006B7797" w:rsidP="004F5E36">
      <w:r>
        <w:continuationSeparator/>
      </w:r>
    </w:p>
  </w:endnote>
  <w:endnote w:type="continuationNotice" w:id="1">
    <w:p w14:paraId="4CA00B43" w14:textId="77777777" w:rsidR="006B7797" w:rsidRDefault="006B77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C0F9" w14:textId="77777777" w:rsidR="006B7797" w:rsidRDefault="006B7797" w:rsidP="004F5E36">
      <w:r>
        <w:separator/>
      </w:r>
    </w:p>
  </w:footnote>
  <w:footnote w:type="continuationSeparator" w:id="0">
    <w:p w14:paraId="69D05E98" w14:textId="77777777" w:rsidR="006B7797" w:rsidRDefault="006B7797" w:rsidP="004F5E36">
      <w:r>
        <w:continuationSeparator/>
      </w:r>
    </w:p>
  </w:footnote>
  <w:footnote w:type="continuationNotice" w:id="1">
    <w:p w14:paraId="509AF171" w14:textId="77777777" w:rsidR="006B7797" w:rsidRDefault="006B77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9F1612"/>
    <w:multiLevelType w:val="hybridMultilevel"/>
    <w:tmpl w:val="B5AE693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423352">
    <w:abstractNumId w:val="11"/>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17"/>
  </w:num>
  <w:num w:numId="13" w16cid:durableId="1350059530">
    <w:abstractNumId w:val="13"/>
  </w:num>
  <w:num w:numId="14" w16cid:durableId="1919091623">
    <w:abstractNumId w:val="18"/>
  </w:num>
  <w:num w:numId="15" w16cid:durableId="189300202">
    <w:abstractNumId w:val="20"/>
  </w:num>
  <w:num w:numId="16" w16cid:durableId="723021461">
    <w:abstractNumId w:val="19"/>
  </w:num>
  <w:num w:numId="17" w16cid:durableId="732965888">
    <w:abstractNumId w:val="12"/>
  </w:num>
  <w:num w:numId="18" w16cid:durableId="1792744392">
    <w:abstractNumId w:val="13"/>
    <w:lvlOverride w:ilvl="0">
      <w:startOverride w:val="1"/>
    </w:lvlOverride>
  </w:num>
  <w:num w:numId="19" w16cid:durableId="400713613">
    <w:abstractNumId w:val="16"/>
  </w:num>
  <w:num w:numId="20" w16cid:durableId="1478034465">
    <w:abstractNumId w:val="15"/>
  </w:num>
  <w:num w:numId="21" w16cid:durableId="1441560384">
    <w:abstractNumId w:val="14"/>
  </w:num>
  <w:num w:numId="22" w16cid:durableId="1557818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27C0"/>
    <w:rsid w:val="00003461"/>
    <w:rsid w:val="000052FB"/>
    <w:rsid w:val="00006B83"/>
    <w:rsid w:val="000070C8"/>
    <w:rsid w:val="0000719B"/>
    <w:rsid w:val="000117CB"/>
    <w:rsid w:val="00031334"/>
    <w:rsid w:val="0003148D"/>
    <w:rsid w:val="000353A9"/>
    <w:rsid w:val="000412F9"/>
    <w:rsid w:val="0004330A"/>
    <w:rsid w:val="0004408B"/>
    <w:rsid w:val="00051566"/>
    <w:rsid w:val="00062A9A"/>
    <w:rsid w:val="00065058"/>
    <w:rsid w:val="000672CE"/>
    <w:rsid w:val="00082555"/>
    <w:rsid w:val="000837CE"/>
    <w:rsid w:val="00085FB5"/>
    <w:rsid w:val="00086C39"/>
    <w:rsid w:val="00095BB2"/>
    <w:rsid w:val="000A03B2"/>
    <w:rsid w:val="000A0891"/>
    <w:rsid w:val="000A59B1"/>
    <w:rsid w:val="000A5E83"/>
    <w:rsid w:val="000B259C"/>
    <w:rsid w:val="000B4847"/>
    <w:rsid w:val="000C4A8D"/>
    <w:rsid w:val="000D0268"/>
    <w:rsid w:val="000D0D77"/>
    <w:rsid w:val="000D0EDA"/>
    <w:rsid w:val="000D1531"/>
    <w:rsid w:val="000D34BE"/>
    <w:rsid w:val="000D5D6C"/>
    <w:rsid w:val="000E102F"/>
    <w:rsid w:val="000E1607"/>
    <w:rsid w:val="000E36F1"/>
    <w:rsid w:val="000E3A73"/>
    <w:rsid w:val="000E414A"/>
    <w:rsid w:val="000E5A33"/>
    <w:rsid w:val="000E65AB"/>
    <w:rsid w:val="000E663C"/>
    <w:rsid w:val="000E7484"/>
    <w:rsid w:val="000F093C"/>
    <w:rsid w:val="000F0CC5"/>
    <w:rsid w:val="000F787B"/>
    <w:rsid w:val="00100EA0"/>
    <w:rsid w:val="00111D74"/>
    <w:rsid w:val="001148E2"/>
    <w:rsid w:val="0011641E"/>
    <w:rsid w:val="0012091F"/>
    <w:rsid w:val="00120C31"/>
    <w:rsid w:val="00126BC2"/>
    <w:rsid w:val="001308B6"/>
    <w:rsid w:val="0013121F"/>
    <w:rsid w:val="00131FE6"/>
    <w:rsid w:val="0013263F"/>
    <w:rsid w:val="001328A0"/>
    <w:rsid w:val="00134DE4"/>
    <w:rsid w:val="0014034D"/>
    <w:rsid w:val="00141F27"/>
    <w:rsid w:val="00150E59"/>
    <w:rsid w:val="00152DE3"/>
    <w:rsid w:val="001548B2"/>
    <w:rsid w:val="00154BD7"/>
    <w:rsid w:val="0015518F"/>
    <w:rsid w:val="00157817"/>
    <w:rsid w:val="00161EB9"/>
    <w:rsid w:val="00163F69"/>
    <w:rsid w:val="00164CF9"/>
    <w:rsid w:val="00164E18"/>
    <w:rsid w:val="001667A6"/>
    <w:rsid w:val="001705D8"/>
    <w:rsid w:val="0017305A"/>
    <w:rsid w:val="00175599"/>
    <w:rsid w:val="00175D59"/>
    <w:rsid w:val="00182010"/>
    <w:rsid w:val="00182E56"/>
    <w:rsid w:val="00183146"/>
    <w:rsid w:val="00184AD6"/>
    <w:rsid w:val="001853E6"/>
    <w:rsid w:val="00187ED4"/>
    <w:rsid w:val="00190C25"/>
    <w:rsid w:val="001A4AF7"/>
    <w:rsid w:val="001B0349"/>
    <w:rsid w:val="001B65C1"/>
    <w:rsid w:val="001C684B"/>
    <w:rsid w:val="001D53FC"/>
    <w:rsid w:val="001F42A5"/>
    <w:rsid w:val="001F4AED"/>
    <w:rsid w:val="001F7385"/>
    <w:rsid w:val="001F7B9D"/>
    <w:rsid w:val="0020044E"/>
    <w:rsid w:val="0020651B"/>
    <w:rsid w:val="00206E3C"/>
    <w:rsid w:val="0020733D"/>
    <w:rsid w:val="00214D06"/>
    <w:rsid w:val="00221DC0"/>
    <w:rsid w:val="002220E4"/>
    <w:rsid w:val="002224B4"/>
    <w:rsid w:val="0022541B"/>
    <w:rsid w:val="002447EF"/>
    <w:rsid w:val="00247F7D"/>
    <w:rsid w:val="002509AD"/>
    <w:rsid w:val="00251550"/>
    <w:rsid w:val="00253216"/>
    <w:rsid w:val="00257D2F"/>
    <w:rsid w:val="0026046E"/>
    <w:rsid w:val="00262C18"/>
    <w:rsid w:val="00263B05"/>
    <w:rsid w:val="00265D29"/>
    <w:rsid w:val="0027028A"/>
    <w:rsid w:val="0027135D"/>
    <w:rsid w:val="00271C4D"/>
    <w:rsid w:val="0027221A"/>
    <w:rsid w:val="00273E79"/>
    <w:rsid w:val="00274017"/>
    <w:rsid w:val="00275B61"/>
    <w:rsid w:val="00275FCC"/>
    <w:rsid w:val="0027683E"/>
    <w:rsid w:val="00282656"/>
    <w:rsid w:val="002853E6"/>
    <w:rsid w:val="00291C74"/>
    <w:rsid w:val="00296B83"/>
    <w:rsid w:val="002A21CB"/>
    <w:rsid w:val="002A354B"/>
    <w:rsid w:val="002B78CE"/>
    <w:rsid w:val="002C2FB6"/>
    <w:rsid w:val="002D389F"/>
    <w:rsid w:val="002D3DCA"/>
    <w:rsid w:val="002D4F62"/>
    <w:rsid w:val="002D6D60"/>
    <w:rsid w:val="002D7C5F"/>
    <w:rsid w:val="002E72B6"/>
    <w:rsid w:val="002F03BC"/>
    <w:rsid w:val="002F074C"/>
    <w:rsid w:val="002F2C71"/>
    <w:rsid w:val="002F3309"/>
    <w:rsid w:val="002F5876"/>
    <w:rsid w:val="002F59BA"/>
    <w:rsid w:val="002F7B17"/>
    <w:rsid w:val="003000A3"/>
    <w:rsid w:val="003009B7"/>
    <w:rsid w:val="00300E56"/>
    <w:rsid w:val="0030469C"/>
    <w:rsid w:val="00307B90"/>
    <w:rsid w:val="00317B47"/>
    <w:rsid w:val="003202B0"/>
    <w:rsid w:val="00320B64"/>
    <w:rsid w:val="00321CA6"/>
    <w:rsid w:val="00323763"/>
    <w:rsid w:val="00323D16"/>
    <w:rsid w:val="00332DF2"/>
    <w:rsid w:val="00334C09"/>
    <w:rsid w:val="00355778"/>
    <w:rsid w:val="00364FB4"/>
    <w:rsid w:val="003723D4"/>
    <w:rsid w:val="003762B2"/>
    <w:rsid w:val="00377244"/>
    <w:rsid w:val="0038045E"/>
    <w:rsid w:val="00381905"/>
    <w:rsid w:val="00382624"/>
    <w:rsid w:val="0038268C"/>
    <w:rsid w:val="00384CC8"/>
    <w:rsid w:val="00386DCE"/>
    <w:rsid w:val="003871FD"/>
    <w:rsid w:val="00387531"/>
    <w:rsid w:val="00387B73"/>
    <w:rsid w:val="0039652B"/>
    <w:rsid w:val="00396C87"/>
    <w:rsid w:val="003A1E30"/>
    <w:rsid w:val="003A7D1C"/>
    <w:rsid w:val="003B304B"/>
    <w:rsid w:val="003B3146"/>
    <w:rsid w:val="003B3F4C"/>
    <w:rsid w:val="003B627E"/>
    <w:rsid w:val="003B73EB"/>
    <w:rsid w:val="003C4B00"/>
    <w:rsid w:val="003C758F"/>
    <w:rsid w:val="003E3341"/>
    <w:rsid w:val="003E426D"/>
    <w:rsid w:val="003E4D27"/>
    <w:rsid w:val="003F015E"/>
    <w:rsid w:val="003F35FD"/>
    <w:rsid w:val="003F575D"/>
    <w:rsid w:val="00400414"/>
    <w:rsid w:val="004004ED"/>
    <w:rsid w:val="00400B14"/>
    <w:rsid w:val="004128B5"/>
    <w:rsid w:val="0041446B"/>
    <w:rsid w:val="0041720C"/>
    <w:rsid w:val="004230F4"/>
    <w:rsid w:val="00433025"/>
    <w:rsid w:val="0044329C"/>
    <w:rsid w:val="00444150"/>
    <w:rsid w:val="00444C02"/>
    <w:rsid w:val="00444FD2"/>
    <w:rsid w:val="00454647"/>
    <w:rsid w:val="0045554D"/>
    <w:rsid w:val="004577FE"/>
    <w:rsid w:val="00457B5A"/>
    <w:rsid w:val="00457B9C"/>
    <w:rsid w:val="0046164A"/>
    <w:rsid w:val="004628D2"/>
    <w:rsid w:val="00462DCD"/>
    <w:rsid w:val="004648AD"/>
    <w:rsid w:val="004703A9"/>
    <w:rsid w:val="004742BE"/>
    <w:rsid w:val="004760DE"/>
    <w:rsid w:val="004763D7"/>
    <w:rsid w:val="00492958"/>
    <w:rsid w:val="00495BDB"/>
    <w:rsid w:val="00495E86"/>
    <w:rsid w:val="00496702"/>
    <w:rsid w:val="004A004E"/>
    <w:rsid w:val="004A229D"/>
    <w:rsid w:val="004A24CF"/>
    <w:rsid w:val="004A25DD"/>
    <w:rsid w:val="004A3AF6"/>
    <w:rsid w:val="004B0B61"/>
    <w:rsid w:val="004B29D9"/>
    <w:rsid w:val="004B38A6"/>
    <w:rsid w:val="004B3AB3"/>
    <w:rsid w:val="004C3D1D"/>
    <w:rsid w:val="004C7913"/>
    <w:rsid w:val="004D2D4E"/>
    <w:rsid w:val="004D7F75"/>
    <w:rsid w:val="004E0EFD"/>
    <w:rsid w:val="004E4DD6"/>
    <w:rsid w:val="004E5033"/>
    <w:rsid w:val="004E7E97"/>
    <w:rsid w:val="004F1F05"/>
    <w:rsid w:val="004F5E36"/>
    <w:rsid w:val="005001FF"/>
    <w:rsid w:val="0050112B"/>
    <w:rsid w:val="00502F61"/>
    <w:rsid w:val="00503E45"/>
    <w:rsid w:val="00507B47"/>
    <w:rsid w:val="00507BEF"/>
    <w:rsid w:val="00507CC9"/>
    <w:rsid w:val="005102AD"/>
    <w:rsid w:val="005119A5"/>
    <w:rsid w:val="00512E0B"/>
    <w:rsid w:val="00514C3E"/>
    <w:rsid w:val="0051501F"/>
    <w:rsid w:val="00515F81"/>
    <w:rsid w:val="00522D2C"/>
    <w:rsid w:val="005278B7"/>
    <w:rsid w:val="005313AA"/>
    <w:rsid w:val="00531DA5"/>
    <w:rsid w:val="00532016"/>
    <w:rsid w:val="005346C8"/>
    <w:rsid w:val="00537190"/>
    <w:rsid w:val="00537B31"/>
    <w:rsid w:val="00542A1D"/>
    <w:rsid w:val="00542EE9"/>
    <w:rsid w:val="00543D6B"/>
    <w:rsid w:val="00543E7D"/>
    <w:rsid w:val="00543FE0"/>
    <w:rsid w:val="00546FC5"/>
    <w:rsid w:val="005474EF"/>
    <w:rsid w:val="00547A68"/>
    <w:rsid w:val="00552714"/>
    <w:rsid w:val="005528F8"/>
    <w:rsid w:val="00552FAA"/>
    <w:rsid w:val="00553098"/>
    <w:rsid w:val="005531C9"/>
    <w:rsid w:val="00554E8C"/>
    <w:rsid w:val="005571F5"/>
    <w:rsid w:val="00560498"/>
    <w:rsid w:val="0056203F"/>
    <w:rsid w:val="00565E3F"/>
    <w:rsid w:val="0057042B"/>
    <w:rsid w:val="00570C43"/>
    <w:rsid w:val="00572F5A"/>
    <w:rsid w:val="0057640A"/>
    <w:rsid w:val="005857B1"/>
    <w:rsid w:val="005A04B0"/>
    <w:rsid w:val="005B2110"/>
    <w:rsid w:val="005B3BAF"/>
    <w:rsid w:val="005B61E6"/>
    <w:rsid w:val="005C1803"/>
    <w:rsid w:val="005C5B1A"/>
    <w:rsid w:val="005C5CBD"/>
    <w:rsid w:val="005C741B"/>
    <w:rsid w:val="005C77E1"/>
    <w:rsid w:val="005D3D4E"/>
    <w:rsid w:val="005D668A"/>
    <w:rsid w:val="005D6A2F"/>
    <w:rsid w:val="005D71DD"/>
    <w:rsid w:val="005E1A82"/>
    <w:rsid w:val="005E3192"/>
    <w:rsid w:val="005E3E48"/>
    <w:rsid w:val="005E4787"/>
    <w:rsid w:val="005E4BDF"/>
    <w:rsid w:val="005E626A"/>
    <w:rsid w:val="005E65C5"/>
    <w:rsid w:val="005E794C"/>
    <w:rsid w:val="005F0664"/>
    <w:rsid w:val="005F0A28"/>
    <w:rsid w:val="005F0C53"/>
    <w:rsid w:val="005F0E5E"/>
    <w:rsid w:val="005F125D"/>
    <w:rsid w:val="005F5BEE"/>
    <w:rsid w:val="005F728C"/>
    <w:rsid w:val="00600535"/>
    <w:rsid w:val="006020BA"/>
    <w:rsid w:val="00607B7C"/>
    <w:rsid w:val="00610CD6"/>
    <w:rsid w:val="00617664"/>
    <w:rsid w:val="00620DEE"/>
    <w:rsid w:val="0062166D"/>
    <w:rsid w:val="00621F92"/>
    <w:rsid w:val="0062280A"/>
    <w:rsid w:val="00622816"/>
    <w:rsid w:val="00623EE3"/>
    <w:rsid w:val="00625639"/>
    <w:rsid w:val="00631B33"/>
    <w:rsid w:val="00633AB9"/>
    <w:rsid w:val="0064184D"/>
    <w:rsid w:val="006422CC"/>
    <w:rsid w:val="00645455"/>
    <w:rsid w:val="0065160B"/>
    <w:rsid w:val="0065308D"/>
    <w:rsid w:val="00654ECF"/>
    <w:rsid w:val="00655DD6"/>
    <w:rsid w:val="006563BD"/>
    <w:rsid w:val="00660354"/>
    <w:rsid w:val="0066097F"/>
    <w:rsid w:val="00660E3E"/>
    <w:rsid w:val="00662E74"/>
    <w:rsid w:val="00664D8A"/>
    <w:rsid w:val="00672C82"/>
    <w:rsid w:val="00680C23"/>
    <w:rsid w:val="00681B31"/>
    <w:rsid w:val="00687971"/>
    <w:rsid w:val="00690415"/>
    <w:rsid w:val="00693766"/>
    <w:rsid w:val="006A3281"/>
    <w:rsid w:val="006A52BF"/>
    <w:rsid w:val="006A6E9C"/>
    <w:rsid w:val="006B1DC6"/>
    <w:rsid w:val="006B3BA1"/>
    <w:rsid w:val="006B4888"/>
    <w:rsid w:val="006B7797"/>
    <w:rsid w:val="006C2E45"/>
    <w:rsid w:val="006C359C"/>
    <w:rsid w:val="006C5579"/>
    <w:rsid w:val="006C6A59"/>
    <w:rsid w:val="006D5FD9"/>
    <w:rsid w:val="006D6E8B"/>
    <w:rsid w:val="006E2930"/>
    <w:rsid w:val="006E5877"/>
    <w:rsid w:val="006E6A06"/>
    <w:rsid w:val="006E737D"/>
    <w:rsid w:val="006E7BA0"/>
    <w:rsid w:val="006F0A3F"/>
    <w:rsid w:val="006F49F2"/>
    <w:rsid w:val="006F7879"/>
    <w:rsid w:val="00705AC4"/>
    <w:rsid w:val="00720A24"/>
    <w:rsid w:val="00722BDA"/>
    <w:rsid w:val="00726A73"/>
    <w:rsid w:val="00727E01"/>
    <w:rsid w:val="00732386"/>
    <w:rsid w:val="0073514D"/>
    <w:rsid w:val="007409FF"/>
    <w:rsid w:val="007447F3"/>
    <w:rsid w:val="0075499F"/>
    <w:rsid w:val="00763992"/>
    <w:rsid w:val="00764C49"/>
    <w:rsid w:val="007661C8"/>
    <w:rsid w:val="0077098D"/>
    <w:rsid w:val="00781173"/>
    <w:rsid w:val="00782B2F"/>
    <w:rsid w:val="007839E8"/>
    <w:rsid w:val="007872EC"/>
    <w:rsid w:val="007878DB"/>
    <w:rsid w:val="00791C5F"/>
    <w:rsid w:val="007931FA"/>
    <w:rsid w:val="00793475"/>
    <w:rsid w:val="007A4586"/>
    <w:rsid w:val="007A4861"/>
    <w:rsid w:val="007A7BBA"/>
    <w:rsid w:val="007B0C50"/>
    <w:rsid w:val="007B35E6"/>
    <w:rsid w:val="007B5C54"/>
    <w:rsid w:val="007C0DF3"/>
    <w:rsid w:val="007C1A43"/>
    <w:rsid w:val="007C2298"/>
    <w:rsid w:val="007D46B0"/>
    <w:rsid w:val="007D6D4A"/>
    <w:rsid w:val="007E4F22"/>
    <w:rsid w:val="007F08A2"/>
    <w:rsid w:val="007F3D02"/>
    <w:rsid w:val="0080013E"/>
    <w:rsid w:val="00802CC3"/>
    <w:rsid w:val="008047DB"/>
    <w:rsid w:val="00813288"/>
    <w:rsid w:val="00815F7A"/>
    <w:rsid w:val="008168FC"/>
    <w:rsid w:val="0081778F"/>
    <w:rsid w:val="00830996"/>
    <w:rsid w:val="008345F1"/>
    <w:rsid w:val="00840ACE"/>
    <w:rsid w:val="0084308B"/>
    <w:rsid w:val="00847821"/>
    <w:rsid w:val="00853C24"/>
    <w:rsid w:val="00854168"/>
    <w:rsid w:val="008547F4"/>
    <w:rsid w:val="008636A4"/>
    <w:rsid w:val="00865B07"/>
    <w:rsid w:val="008667EA"/>
    <w:rsid w:val="00873733"/>
    <w:rsid w:val="0087637F"/>
    <w:rsid w:val="00876884"/>
    <w:rsid w:val="0089050C"/>
    <w:rsid w:val="00892AD5"/>
    <w:rsid w:val="00893318"/>
    <w:rsid w:val="0089435F"/>
    <w:rsid w:val="008A1512"/>
    <w:rsid w:val="008A1D33"/>
    <w:rsid w:val="008A3790"/>
    <w:rsid w:val="008A383F"/>
    <w:rsid w:val="008B22FE"/>
    <w:rsid w:val="008B6DFE"/>
    <w:rsid w:val="008B6E88"/>
    <w:rsid w:val="008B7B90"/>
    <w:rsid w:val="008C572E"/>
    <w:rsid w:val="008D09D3"/>
    <w:rsid w:val="008D1F38"/>
    <w:rsid w:val="008D32B9"/>
    <w:rsid w:val="008D433B"/>
    <w:rsid w:val="008D5FBA"/>
    <w:rsid w:val="008D6DEA"/>
    <w:rsid w:val="008D7D69"/>
    <w:rsid w:val="008E33A6"/>
    <w:rsid w:val="008E566E"/>
    <w:rsid w:val="008E59C9"/>
    <w:rsid w:val="008E6DF4"/>
    <w:rsid w:val="008F3FE8"/>
    <w:rsid w:val="0090161A"/>
    <w:rsid w:val="00901EB6"/>
    <w:rsid w:val="00904C62"/>
    <w:rsid w:val="00910506"/>
    <w:rsid w:val="009105B8"/>
    <w:rsid w:val="009132DD"/>
    <w:rsid w:val="00922BA8"/>
    <w:rsid w:val="0092478C"/>
    <w:rsid w:val="00924DAC"/>
    <w:rsid w:val="00927058"/>
    <w:rsid w:val="00942750"/>
    <w:rsid w:val="00942D2B"/>
    <w:rsid w:val="009450CE"/>
    <w:rsid w:val="00947179"/>
    <w:rsid w:val="00947DF2"/>
    <w:rsid w:val="0095164B"/>
    <w:rsid w:val="00954090"/>
    <w:rsid w:val="0095491F"/>
    <w:rsid w:val="009573E7"/>
    <w:rsid w:val="00960083"/>
    <w:rsid w:val="00963E05"/>
    <w:rsid w:val="00966D12"/>
    <w:rsid w:val="0096777E"/>
    <w:rsid w:val="00967843"/>
    <w:rsid w:val="00967D54"/>
    <w:rsid w:val="00971028"/>
    <w:rsid w:val="009776F4"/>
    <w:rsid w:val="00981D42"/>
    <w:rsid w:val="00990534"/>
    <w:rsid w:val="00991939"/>
    <w:rsid w:val="00996483"/>
    <w:rsid w:val="00996F5A"/>
    <w:rsid w:val="009A4FAC"/>
    <w:rsid w:val="009A5E24"/>
    <w:rsid w:val="009A7F68"/>
    <w:rsid w:val="009B041A"/>
    <w:rsid w:val="009B2F57"/>
    <w:rsid w:val="009B462A"/>
    <w:rsid w:val="009C37C3"/>
    <w:rsid w:val="009C7C86"/>
    <w:rsid w:val="009D2FF7"/>
    <w:rsid w:val="009D61D4"/>
    <w:rsid w:val="009E7884"/>
    <w:rsid w:val="009E788A"/>
    <w:rsid w:val="009F0ABD"/>
    <w:rsid w:val="009F0E08"/>
    <w:rsid w:val="009F7D05"/>
    <w:rsid w:val="00A123BE"/>
    <w:rsid w:val="00A13648"/>
    <w:rsid w:val="00A1763D"/>
    <w:rsid w:val="00A17CEC"/>
    <w:rsid w:val="00A17F83"/>
    <w:rsid w:val="00A23134"/>
    <w:rsid w:val="00A24FA3"/>
    <w:rsid w:val="00A250B6"/>
    <w:rsid w:val="00A27EF0"/>
    <w:rsid w:val="00A32435"/>
    <w:rsid w:val="00A41E67"/>
    <w:rsid w:val="00A42361"/>
    <w:rsid w:val="00A437D2"/>
    <w:rsid w:val="00A46758"/>
    <w:rsid w:val="00A50B20"/>
    <w:rsid w:val="00A51142"/>
    <w:rsid w:val="00A51390"/>
    <w:rsid w:val="00A60D13"/>
    <w:rsid w:val="00A655E2"/>
    <w:rsid w:val="00A70CFC"/>
    <w:rsid w:val="00A72745"/>
    <w:rsid w:val="00A72C7F"/>
    <w:rsid w:val="00A76EFC"/>
    <w:rsid w:val="00A8461B"/>
    <w:rsid w:val="00A864D7"/>
    <w:rsid w:val="00A87C9D"/>
    <w:rsid w:val="00A91010"/>
    <w:rsid w:val="00A95248"/>
    <w:rsid w:val="00A97F29"/>
    <w:rsid w:val="00AA702E"/>
    <w:rsid w:val="00AA7731"/>
    <w:rsid w:val="00AB0964"/>
    <w:rsid w:val="00AB0ED1"/>
    <w:rsid w:val="00AB2F78"/>
    <w:rsid w:val="00AB3592"/>
    <w:rsid w:val="00AB4681"/>
    <w:rsid w:val="00AB5011"/>
    <w:rsid w:val="00AC0C1D"/>
    <w:rsid w:val="00AC7368"/>
    <w:rsid w:val="00AD16B9"/>
    <w:rsid w:val="00AD4017"/>
    <w:rsid w:val="00AD6F16"/>
    <w:rsid w:val="00AD726F"/>
    <w:rsid w:val="00AE2472"/>
    <w:rsid w:val="00AE2BF2"/>
    <w:rsid w:val="00AE377D"/>
    <w:rsid w:val="00AE766A"/>
    <w:rsid w:val="00AF0EBA"/>
    <w:rsid w:val="00AF3CAA"/>
    <w:rsid w:val="00B02C8A"/>
    <w:rsid w:val="00B140D6"/>
    <w:rsid w:val="00B17FBD"/>
    <w:rsid w:val="00B21D35"/>
    <w:rsid w:val="00B228D3"/>
    <w:rsid w:val="00B23F91"/>
    <w:rsid w:val="00B315A6"/>
    <w:rsid w:val="00B31813"/>
    <w:rsid w:val="00B33365"/>
    <w:rsid w:val="00B417F9"/>
    <w:rsid w:val="00B440C0"/>
    <w:rsid w:val="00B45E49"/>
    <w:rsid w:val="00B559A7"/>
    <w:rsid w:val="00B57B36"/>
    <w:rsid w:val="00B62457"/>
    <w:rsid w:val="00B66800"/>
    <w:rsid w:val="00B706BF"/>
    <w:rsid w:val="00B70C7A"/>
    <w:rsid w:val="00B71D39"/>
    <w:rsid w:val="00B751A4"/>
    <w:rsid w:val="00B75E33"/>
    <w:rsid w:val="00B8686D"/>
    <w:rsid w:val="00B91C5E"/>
    <w:rsid w:val="00BA095C"/>
    <w:rsid w:val="00BA24C6"/>
    <w:rsid w:val="00BA2D5A"/>
    <w:rsid w:val="00BB1DDC"/>
    <w:rsid w:val="00BB2187"/>
    <w:rsid w:val="00BB26EA"/>
    <w:rsid w:val="00BB533C"/>
    <w:rsid w:val="00BC2CD3"/>
    <w:rsid w:val="00BC30C9"/>
    <w:rsid w:val="00BC7ADC"/>
    <w:rsid w:val="00BC7E56"/>
    <w:rsid w:val="00BD1476"/>
    <w:rsid w:val="00BE3E58"/>
    <w:rsid w:val="00BF111B"/>
    <w:rsid w:val="00C011F9"/>
    <w:rsid w:val="00C01616"/>
    <w:rsid w:val="00C0162B"/>
    <w:rsid w:val="00C01968"/>
    <w:rsid w:val="00C05345"/>
    <w:rsid w:val="00C068ED"/>
    <w:rsid w:val="00C10D3F"/>
    <w:rsid w:val="00C1344A"/>
    <w:rsid w:val="00C139A3"/>
    <w:rsid w:val="00C16702"/>
    <w:rsid w:val="00C1753F"/>
    <w:rsid w:val="00C2797E"/>
    <w:rsid w:val="00C27A08"/>
    <w:rsid w:val="00C345B1"/>
    <w:rsid w:val="00C37E9D"/>
    <w:rsid w:val="00C40142"/>
    <w:rsid w:val="00C57182"/>
    <w:rsid w:val="00C57863"/>
    <w:rsid w:val="00C6218B"/>
    <w:rsid w:val="00C655FD"/>
    <w:rsid w:val="00C66252"/>
    <w:rsid w:val="00C70FD0"/>
    <w:rsid w:val="00C73710"/>
    <w:rsid w:val="00C75407"/>
    <w:rsid w:val="00C7619B"/>
    <w:rsid w:val="00C7666F"/>
    <w:rsid w:val="00C8253C"/>
    <w:rsid w:val="00C83319"/>
    <w:rsid w:val="00C83655"/>
    <w:rsid w:val="00C86E2D"/>
    <w:rsid w:val="00C870A8"/>
    <w:rsid w:val="00C908F7"/>
    <w:rsid w:val="00C91835"/>
    <w:rsid w:val="00C94434"/>
    <w:rsid w:val="00C95894"/>
    <w:rsid w:val="00CA0D75"/>
    <w:rsid w:val="00CA1C95"/>
    <w:rsid w:val="00CA2C99"/>
    <w:rsid w:val="00CA3042"/>
    <w:rsid w:val="00CA5A9C"/>
    <w:rsid w:val="00CB27C8"/>
    <w:rsid w:val="00CC33BC"/>
    <w:rsid w:val="00CC4C20"/>
    <w:rsid w:val="00CD1B2D"/>
    <w:rsid w:val="00CD3517"/>
    <w:rsid w:val="00CD38E8"/>
    <w:rsid w:val="00CD471F"/>
    <w:rsid w:val="00CD5FE2"/>
    <w:rsid w:val="00CE1BE6"/>
    <w:rsid w:val="00CE4361"/>
    <w:rsid w:val="00CE7C68"/>
    <w:rsid w:val="00CF0202"/>
    <w:rsid w:val="00CF3B45"/>
    <w:rsid w:val="00CF5E2D"/>
    <w:rsid w:val="00CF6EC4"/>
    <w:rsid w:val="00D02B4C"/>
    <w:rsid w:val="00D040C4"/>
    <w:rsid w:val="00D06C25"/>
    <w:rsid w:val="00D0736F"/>
    <w:rsid w:val="00D15052"/>
    <w:rsid w:val="00D3286A"/>
    <w:rsid w:val="00D32FFB"/>
    <w:rsid w:val="00D3310D"/>
    <w:rsid w:val="00D345E5"/>
    <w:rsid w:val="00D3665D"/>
    <w:rsid w:val="00D461CE"/>
    <w:rsid w:val="00D47B25"/>
    <w:rsid w:val="00D5046C"/>
    <w:rsid w:val="00D57C84"/>
    <w:rsid w:val="00D6057D"/>
    <w:rsid w:val="00D72674"/>
    <w:rsid w:val="00D72F16"/>
    <w:rsid w:val="00D7343F"/>
    <w:rsid w:val="00D74997"/>
    <w:rsid w:val="00D77E2C"/>
    <w:rsid w:val="00D836C5"/>
    <w:rsid w:val="00D84576"/>
    <w:rsid w:val="00D87FF5"/>
    <w:rsid w:val="00D92320"/>
    <w:rsid w:val="00D93C77"/>
    <w:rsid w:val="00D96DCF"/>
    <w:rsid w:val="00D97EEB"/>
    <w:rsid w:val="00DA1399"/>
    <w:rsid w:val="00DA24C6"/>
    <w:rsid w:val="00DA4D7B"/>
    <w:rsid w:val="00DB0498"/>
    <w:rsid w:val="00DB3C1C"/>
    <w:rsid w:val="00DC09B9"/>
    <w:rsid w:val="00DC5B24"/>
    <w:rsid w:val="00DD1E58"/>
    <w:rsid w:val="00DD2E4B"/>
    <w:rsid w:val="00DE264A"/>
    <w:rsid w:val="00DF3747"/>
    <w:rsid w:val="00DF5072"/>
    <w:rsid w:val="00E02D18"/>
    <w:rsid w:val="00E041E7"/>
    <w:rsid w:val="00E074B6"/>
    <w:rsid w:val="00E11D64"/>
    <w:rsid w:val="00E13298"/>
    <w:rsid w:val="00E22AF3"/>
    <w:rsid w:val="00E23CA1"/>
    <w:rsid w:val="00E26619"/>
    <w:rsid w:val="00E323EA"/>
    <w:rsid w:val="00E343DC"/>
    <w:rsid w:val="00E35F15"/>
    <w:rsid w:val="00E409A8"/>
    <w:rsid w:val="00E409B2"/>
    <w:rsid w:val="00E41172"/>
    <w:rsid w:val="00E4239F"/>
    <w:rsid w:val="00E4578D"/>
    <w:rsid w:val="00E50C12"/>
    <w:rsid w:val="00E65B91"/>
    <w:rsid w:val="00E7209D"/>
    <w:rsid w:val="00E76BB0"/>
    <w:rsid w:val="00E77223"/>
    <w:rsid w:val="00E8518E"/>
    <w:rsid w:val="00E851D2"/>
    <w:rsid w:val="00E8528B"/>
    <w:rsid w:val="00E85B94"/>
    <w:rsid w:val="00E95C50"/>
    <w:rsid w:val="00E96C43"/>
    <w:rsid w:val="00E9704F"/>
    <w:rsid w:val="00E978D0"/>
    <w:rsid w:val="00E97CF3"/>
    <w:rsid w:val="00EA4613"/>
    <w:rsid w:val="00EA747F"/>
    <w:rsid w:val="00EA7F91"/>
    <w:rsid w:val="00EB1523"/>
    <w:rsid w:val="00EB3AB0"/>
    <w:rsid w:val="00EC0E49"/>
    <w:rsid w:val="00EC101F"/>
    <w:rsid w:val="00EC1D9F"/>
    <w:rsid w:val="00EC75EF"/>
    <w:rsid w:val="00ED5198"/>
    <w:rsid w:val="00EE0131"/>
    <w:rsid w:val="00EE17B0"/>
    <w:rsid w:val="00EE1CB5"/>
    <w:rsid w:val="00EE6398"/>
    <w:rsid w:val="00EF06D9"/>
    <w:rsid w:val="00EF3370"/>
    <w:rsid w:val="00EF56B4"/>
    <w:rsid w:val="00F075B3"/>
    <w:rsid w:val="00F113D3"/>
    <w:rsid w:val="00F116C3"/>
    <w:rsid w:val="00F12098"/>
    <w:rsid w:val="00F16DF7"/>
    <w:rsid w:val="00F30C64"/>
    <w:rsid w:val="00F32CDB"/>
    <w:rsid w:val="00F505A4"/>
    <w:rsid w:val="00F50BA3"/>
    <w:rsid w:val="00F565FE"/>
    <w:rsid w:val="00F60381"/>
    <w:rsid w:val="00F63A70"/>
    <w:rsid w:val="00F64A28"/>
    <w:rsid w:val="00F77748"/>
    <w:rsid w:val="00F9160E"/>
    <w:rsid w:val="00FA0639"/>
    <w:rsid w:val="00FA0B84"/>
    <w:rsid w:val="00FA1DC2"/>
    <w:rsid w:val="00FA21D0"/>
    <w:rsid w:val="00FA5F5F"/>
    <w:rsid w:val="00FA71D7"/>
    <w:rsid w:val="00FB730C"/>
    <w:rsid w:val="00FC2695"/>
    <w:rsid w:val="00FC3E03"/>
    <w:rsid w:val="00FC3FC1"/>
    <w:rsid w:val="00FC57B0"/>
    <w:rsid w:val="00FE39E5"/>
    <w:rsid w:val="00FE613A"/>
    <w:rsid w:val="00FF1FB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65160B"/>
    <w:rPr>
      <w:color w:val="808080"/>
    </w:rPr>
  </w:style>
  <w:style w:type="paragraph" w:styleId="Revisione">
    <w:name w:val="Revision"/>
    <w:hidden/>
    <w:uiPriority w:val="99"/>
    <w:semiHidden/>
    <w:rsid w:val="00BA095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010">
      <w:bodyDiv w:val="1"/>
      <w:marLeft w:val="0"/>
      <w:marRight w:val="0"/>
      <w:marTop w:val="0"/>
      <w:marBottom w:val="0"/>
      <w:divBdr>
        <w:top w:val="none" w:sz="0" w:space="0" w:color="auto"/>
        <w:left w:val="none" w:sz="0" w:space="0" w:color="auto"/>
        <w:bottom w:val="none" w:sz="0" w:space="0" w:color="auto"/>
        <w:right w:val="none" w:sz="0" w:space="0" w:color="auto"/>
      </w:divBdr>
      <w:divsChild>
        <w:div w:id="1231382872">
          <w:marLeft w:val="0"/>
          <w:marRight w:val="0"/>
          <w:marTop w:val="0"/>
          <w:marBottom w:val="0"/>
          <w:divBdr>
            <w:top w:val="single" w:sz="2" w:space="0" w:color="auto"/>
            <w:left w:val="single" w:sz="2" w:space="0" w:color="auto"/>
            <w:bottom w:val="single" w:sz="6" w:space="0" w:color="auto"/>
            <w:right w:val="single" w:sz="2" w:space="0" w:color="auto"/>
          </w:divBdr>
          <w:divsChild>
            <w:div w:id="14729403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428096">
                  <w:marLeft w:val="0"/>
                  <w:marRight w:val="0"/>
                  <w:marTop w:val="0"/>
                  <w:marBottom w:val="0"/>
                  <w:divBdr>
                    <w:top w:val="single" w:sz="2" w:space="0" w:color="D9D9E3"/>
                    <w:left w:val="single" w:sz="2" w:space="0" w:color="D9D9E3"/>
                    <w:bottom w:val="single" w:sz="2" w:space="0" w:color="D9D9E3"/>
                    <w:right w:val="single" w:sz="2" w:space="0" w:color="D9D9E3"/>
                  </w:divBdr>
                  <w:divsChild>
                    <w:div w:id="1888175382">
                      <w:marLeft w:val="0"/>
                      <w:marRight w:val="0"/>
                      <w:marTop w:val="0"/>
                      <w:marBottom w:val="0"/>
                      <w:divBdr>
                        <w:top w:val="single" w:sz="2" w:space="0" w:color="D9D9E3"/>
                        <w:left w:val="single" w:sz="2" w:space="0" w:color="D9D9E3"/>
                        <w:bottom w:val="single" w:sz="2" w:space="0" w:color="D9D9E3"/>
                        <w:right w:val="single" w:sz="2" w:space="0" w:color="D9D9E3"/>
                      </w:divBdr>
                      <w:divsChild>
                        <w:div w:id="1341158124">
                          <w:marLeft w:val="0"/>
                          <w:marRight w:val="0"/>
                          <w:marTop w:val="0"/>
                          <w:marBottom w:val="0"/>
                          <w:divBdr>
                            <w:top w:val="single" w:sz="2" w:space="0" w:color="D9D9E3"/>
                            <w:left w:val="single" w:sz="2" w:space="0" w:color="D9D9E3"/>
                            <w:bottom w:val="single" w:sz="2" w:space="0" w:color="D9D9E3"/>
                            <w:right w:val="single" w:sz="2" w:space="0" w:color="D9D9E3"/>
                          </w:divBdr>
                          <w:divsChild>
                            <w:div w:id="2105834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538168">
      <w:bodyDiv w:val="1"/>
      <w:marLeft w:val="0"/>
      <w:marRight w:val="0"/>
      <w:marTop w:val="0"/>
      <w:marBottom w:val="0"/>
      <w:divBdr>
        <w:top w:val="none" w:sz="0" w:space="0" w:color="auto"/>
        <w:left w:val="none" w:sz="0" w:space="0" w:color="auto"/>
        <w:bottom w:val="none" w:sz="0" w:space="0" w:color="auto"/>
        <w:right w:val="none" w:sz="0" w:space="0" w:color="auto"/>
      </w:divBdr>
      <w:divsChild>
        <w:div w:id="326252454">
          <w:marLeft w:val="0"/>
          <w:marRight w:val="0"/>
          <w:marTop w:val="0"/>
          <w:marBottom w:val="0"/>
          <w:divBdr>
            <w:top w:val="none" w:sz="0" w:space="0" w:color="auto"/>
            <w:left w:val="none" w:sz="0" w:space="0" w:color="auto"/>
            <w:bottom w:val="none" w:sz="0" w:space="0" w:color="auto"/>
            <w:right w:val="none" w:sz="0" w:space="0" w:color="auto"/>
          </w:divBdr>
        </w:div>
        <w:div w:id="1278176826">
          <w:marLeft w:val="0"/>
          <w:marRight w:val="0"/>
          <w:marTop w:val="0"/>
          <w:marBottom w:val="0"/>
          <w:divBdr>
            <w:top w:val="none" w:sz="0" w:space="0" w:color="auto"/>
            <w:left w:val="none" w:sz="0" w:space="0" w:color="auto"/>
            <w:bottom w:val="none" w:sz="0" w:space="0" w:color="auto"/>
            <w:right w:val="none" w:sz="0" w:space="0" w:color="auto"/>
          </w:divBdr>
        </w:div>
        <w:div w:id="1862627618">
          <w:marLeft w:val="0"/>
          <w:marRight w:val="0"/>
          <w:marTop w:val="0"/>
          <w:marBottom w:val="0"/>
          <w:divBdr>
            <w:top w:val="none" w:sz="0" w:space="0" w:color="auto"/>
            <w:left w:val="none" w:sz="0" w:space="0" w:color="auto"/>
            <w:bottom w:val="none" w:sz="0" w:space="0" w:color="auto"/>
            <w:right w:val="none" w:sz="0" w:space="0" w:color="auto"/>
          </w:divBdr>
        </w:div>
        <w:div w:id="1948151462">
          <w:marLeft w:val="0"/>
          <w:marRight w:val="0"/>
          <w:marTop w:val="0"/>
          <w:marBottom w:val="0"/>
          <w:divBdr>
            <w:top w:val="none" w:sz="0" w:space="0" w:color="auto"/>
            <w:left w:val="none" w:sz="0" w:space="0" w:color="auto"/>
            <w:bottom w:val="none" w:sz="0" w:space="0" w:color="auto"/>
            <w:right w:val="none" w:sz="0" w:space="0" w:color="auto"/>
          </w:divBdr>
        </w:div>
      </w:divsChild>
    </w:div>
    <w:div w:id="404033084">
      <w:bodyDiv w:val="1"/>
      <w:marLeft w:val="0"/>
      <w:marRight w:val="0"/>
      <w:marTop w:val="0"/>
      <w:marBottom w:val="0"/>
      <w:divBdr>
        <w:top w:val="none" w:sz="0" w:space="0" w:color="auto"/>
        <w:left w:val="none" w:sz="0" w:space="0" w:color="auto"/>
        <w:bottom w:val="none" w:sz="0" w:space="0" w:color="auto"/>
        <w:right w:val="none" w:sz="0" w:space="0" w:color="auto"/>
      </w:divBdr>
    </w:div>
    <w:div w:id="44927959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006">
      <w:bodyDiv w:val="1"/>
      <w:marLeft w:val="0"/>
      <w:marRight w:val="0"/>
      <w:marTop w:val="0"/>
      <w:marBottom w:val="0"/>
      <w:divBdr>
        <w:top w:val="none" w:sz="0" w:space="0" w:color="auto"/>
        <w:left w:val="none" w:sz="0" w:space="0" w:color="auto"/>
        <w:bottom w:val="none" w:sz="0" w:space="0" w:color="auto"/>
        <w:right w:val="none" w:sz="0" w:space="0" w:color="auto"/>
      </w:divBdr>
    </w:div>
    <w:div w:id="1103453413">
      <w:bodyDiv w:val="1"/>
      <w:marLeft w:val="0"/>
      <w:marRight w:val="0"/>
      <w:marTop w:val="0"/>
      <w:marBottom w:val="0"/>
      <w:divBdr>
        <w:top w:val="none" w:sz="0" w:space="0" w:color="auto"/>
        <w:left w:val="none" w:sz="0" w:space="0" w:color="auto"/>
        <w:bottom w:val="none" w:sz="0" w:space="0" w:color="auto"/>
        <w:right w:val="none" w:sz="0" w:space="0" w:color="auto"/>
      </w:divBdr>
      <w:divsChild>
        <w:div w:id="1221208782">
          <w:marLeft w:val="0"/>
          <w:marRight w:val="0"/>
          <w:marTop w:val="0"/>
          <w:marBottom w:val="0"/>
          <w:divBdr>
            <w:top w:val="none" w:sz="0" w:space="0" w:color="auto"/>
            <w:left w:val="none" w:sz="0" w:space="0" w:color="auto"/>
            <w:bottom w:val="none" w:sz="0" w:space="0" w:color="auto"/>
            <w:right w:val="none" w:sz="0" w:space="0" w:color="auto"/>
          </w:divBdr>
        </w:div>
      </w:divsChild>
    </w:div>
    <w:div w:id="1389110460">
      <w:bodyDiv w:val="1"/>
      <w:marLeft w:val="0"/>
      <w:marRight w:val="0"/>
      <w:marTop w:val="0"/>
      <w:marBottom w:val="0"/>
      <w:divBdr>
        <w:top w:val="none" w:sz="0" w:space="0" w:color="auto"/>
        <w:left w:val="none" w:sz="0" w:space="0" w:color="auto"/>
        <w:bottom w:val="none" w:sz="0" w:space="0" w:color="auto"/>
        <w:right w:val="none" w:sz="0" w:space="0" w:color="auto"/>
      </w:divBdr>
    </w:div>
    <w:div w:id="1471678753">
      <w:bodyDiv w:val="1"/>
      <w:marLeft w:val="0"/>
      <w:marRight w:val="0"/>
      <w:marTop w:val="0"/>
      <w:marBottom w:val="0"/>
      <w:divBdr>
        <w:top w:val="none" w:sz="0" w:space="0" w:color="auto"/>
        <w:left w:val="none" w:sz="0" w:space="0" w:color="auto"/>
        <w:bottom w:val="none" w:sz="0" w:space="0" w:color="auto"/>
        <w:right w:val="none" w:sz="0" w:space="0" w:color="auto"/>
      </w:divBdr>
    </w:div>
    <w:div w:id="1502282771">
      <w:bodyDiv w:val="1"/>
      <w:marLeft w:val="0"/>
      <w:marRight w:val="0"/>
      <w:marTop w:val="0"/>
      <w:marBottom w:val="0"/>
      <w:divBdr>
        <w:top w:val="none" w:sz="0" w:space="0" w:color="auto"/>
        <w:left w:val="none" w:sz="0" w:space="0" w:color="auto"/>
        <w:bottom w:val="none" w:sz="0" w:space="0" w:color="auto"/>
        <w:right w:val="none" w:sz="0" w:space="0" w:color="auto"/>
      </w:divBdr>
    </w:div>
    <w:div w:id="166285123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4897">
      <w:bodyDiv w:val="1"/>
      <w:marLeft w:val="0"/>
      <w:marRight w:val="0"/>
      <w:marTop w:val="0"/>
      <w:marBottom w:val="0"/>
      <w:divBdr>
        <w:top w:val="none" w:sz="0" w:space="0" w:color="auto"/>
        <w:left w:val="none" w:sz="0" w:space="0" w:color="auto"/>
        <w:bottom w:val="none" w:sz="0" w:space="0" w:color="auto"/>
        <w:right w:val="none" w:sz="0" w:space="0" w:color="auto"/>
      </w:divBdr>
    </w:div>
    <w:div w:id="1885558540">
      <w:bodyDiv w:val="1"/>
      <w:marLeft w:val="0"/>
      <w:marRight w:val="0"/>
      <w:marTop w:val="0"/>
      <w:marBottom w:val="0"/>
      <w:divBdr>
        <w:top w:val="none" w:sz="0" w:space="0" w:color="auto"/>
        <w:left w:val="none" w:sz="0" w:space="0" w:color="auto"/>
        <w:bottom w:val="none" w:sz="0" w:space="0" w:color="auto"/>
        <w:right w:val="none" w:sz="0" w:space="0" w:color="auto"/>
      </w:divBdr>
      <w:divsChild>
        <w:div w:id="999161869">
          <w:marLeft w:val="0"/>
          <w:marRight w:val="0"/>
          <w:marTop w:val="0"/>
          <w:marBottom w:val="0"/>
          <w:divBdr>
            <w:top w:val="single" w:sz="2" w:space="0" w:color="auto"/>
            <w:left w:val="single" w:sz="2" w:space="0" w:color="auto"/>
            <w:bottom w:val="single" w:sz="6" w:space="0" w:color="auto"/>
            <w:right w:val="single" w:sz="2" w:space="0" w:color="auto"/>
          </w:divBdr>
          <w:divsChild>
            <w:div w:id="15565004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157847">
                  <w:marLeft w:val="0"/>
                  <w:marRight w:val="0"/>
                  <w:marTop w:val="0"/>
                  <w:marBottom w:val="0"/>
                  <w:divBdr>
                    <w:top w:val="single" w:sz="2" w:space="0" w:color="D9D9E3"/>
                    <w:left w:val="single" w:sz="2" w:space="0" w:color="D9D9E3"/>
                    <w:bottom w:val="single" w:sz="2" w:space="0" w:color="D9D9E3"/>
                    <w:right w:val="single" w:sz="2" w:space="0" w:color="D9D9E3"/>
                  </w:divBdr>
                  <w:divsChild>
                    <w:div w:id="1567296188">
                      <w:marLeft w:val="0"/>
                      <w:marRight w:val="0"/>
                      <w:marTop w:val="0"/>
                      <w:marBottom w:val="0"/>
                      <w:divBdr>
                        <w:top w:val="single" w:sz="2" w:space="0" w:color="D9D9E3"/>
                        <w:left w:val="single" w:sz="2" w:space="0" w:color="D9D9E3"/>
                        <w:bottom w:val="single" w:sz="2" w:space="0" w:color="D9D9E3"/>
                        <w:right w:val="single" w:sz="2" w:space="0" w:color="D9D9E3"/>
                      </w:divBdr>
                      <w:divsChild>
                        <w:div w:id="142700978">
                          <w:marLeft w:val="0"/>
                          <w:marRight w:val="0"/>
                          <w:marTop w:val="0"/>
                          <w:marBottom w:val="0"/>
                          <w:divBdr>
                            <w:top w:val="single" w:sz="2" w:space="0" w:color="D9D9E3"/>
                            <w:left w:val="single" w:sz="2" w:space="0" w:color="D9D9E3"/>
                            <w:bottom w:val="single" w:sz="2" w:space="0" w:color="D9D9E3"/>
                            <w:right w:val="single" w:sz="2" w:space="0" w:color="D9D9E3"/>
                          </w:divBdr>
                          <w:divsChild>
                            <w:div w:id="32481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1DCE7591AD9940ACB84E2B87A6DB1C" ma:contentTypeVersion="13" ma:contentTypeDescription="Create a new document." ma:contentTypeScope="" ma:versionID="98315694566041448330ce5d096276ac">
  <xsd:schema xmlns:xsd="http://www.w3.org/2001/XMLSchema" xmlns:xs="http://www.w3.org/2001/XMLSchema" xmlns:p="http://schemas.microsoft.com/office/2006/metadata/properties" xmlns:ns3="6ec213de-0f8b-4d92-8785-027866576eb4" xmlns:ns4="1feca6aa-8d87-474a-94cd-7f7a3c95bfaf" targetNamespace="http://schemas.microsoft.com/office/2006/metadata/properties" ma:root="true" ma:fieldsID="43cc9adea21adb44c4d9f9d8662fc0b0" ns3:_="" ns4:_="">
    <xsd:import namespace="6ec213de-0f8b-4d92-8785-027866576eb4"/>
    <xsd:import namespace="1feca6aa-8d87-474a-94cd-7f7a3c95bf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213de-0f8b-4d92-8785-027866576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ca6aa-8d87-474a-94cd-7f7a3c95b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c213de-0f8b-4d92-8785-027866576eb4" xsi:nil="true"/>
  </documentManagement>
</p:properties>
</file>

<file path=customXml/itemProps1.xml><?xml version="1.0" encoding="utf-8"?>
<ds:datastoreItem xmlns:ds="http://schemas.openxmlformats.org/officeDocument/2006/customXml" ds:itemID="{32850320-A3A6-4C50-866F-A4E9660B7FF4}">
  <ds:schemaRefs>
    <ds:schemaRef ds:uri="http://schemas.microsoft.com/sharepoint/v3/contenttype/forms"/>
  </ds:schemaRefs>
</ds:datastoreItem>
</file>

<file path=customXml/itemProps2.xml><?xml version="1.0" encoding="utf-8"?>
<ds:datastoreItem xmlns:ds="http://schemas.openxmlformats.org/officeDocument/2006/customXml" ds:itemID="{558C9DF9-A929-4EE6-8449-E1940A77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213de-0f8b-4d92-8785-027866576eb4"/>
    <ds:schemaRef ds:uri="1feca6aa-8d87-474a-94cd-7f7a3c95b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customXml/itemProps4.xml><?xml version="1.0" encoding="utf-8"?>
<ds:datastoreItem xmlns:ds="http://schemas.openxmlformats.org/officeDocument/2006/customXml" ds:itemID="{D1C8B431-4324-46FF-B844-3876E32BA28E}">
  <ds:schemaRefs>
    <ds:schemaRef ds:uri="http://schemas.microsoft.com/office/2006/metadata/properties"/>
    <ds:schemaRef ds:uri="http://schemas.microsoft.com/office/infopath/2007/PartnerControls"/>
    <ds:schemaRef ds:uri="6ec213de-0f8b-4d92-8785-027866576eb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3448</Words>
  <Characters>19657</Characters>
  <Application>Microsoft Office Word</Application>
  <DocSecurity>0</DocSecurity>
  <Lines>163</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Giulia Collina</cp:lastModifiedBy>
  <cp:revision>2</cp:revision>
  <cp:lastPrinted>2015-05-12T18:31:00Z</cp:lastPrinted>
  <dcterms:created xsi:type="dcterms:W3CDTF">2023-03-27T11:34:00Z</dcterms:created>
  <dcterms:modified xsi:type="dcterms:W3CDTF">2023-03-27T11:34:00Z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0x010100FD1DCE7591AD9940ACB84E2B87A6DB1C</vt:lpwstr>
  </property>
</Properties>
</file>