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C3EC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F5450" w14:paraId="380FA3CD" w14:textId="77777777" w:rsidTr="006C3EC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6C3EC4" w:rsidRDefault="000D0268" w:rsidP="00CD5FE2">
            <w:pPr>
              <w:spacing w:line="140" w:lineRule="atLeast"/>
              <w:jc w:val="right"/>
              <w:rPr>
                <w:rFonts w:cs="Arial"/>
                <w:sz w:val="13"/>
                <w:szCs w:val="13"/>
                <w:lang w:val="nb-NO"/>
              </w:rPr>
            </w:pPr>
            <w:r w:rsidRPr="006C3EC4">
              <w:rPr>
                <w:rFonts w:cs="Arial"/>
                <w:sz w:val="13"/>
                <w:szCs w:val="13"/>
                <w:lang w:val="nb-NO"/>
              </w:rPr>
              <w:t>Online at www.cetjournal.it</w:t>
            </w:r>
          </w:p>
        </w:tc>
      </w:tr>
      <w:tr w:rsidR="000A03B2" w:rsidRPr="00B57B36" w14:paraId="2D1B7169" w14:textId="77777777" w:rsidTr="006C3EC4">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BEF7FFC" w:rsidR="00E978D0" w:rsidRPr="00B57B36" w:rsidRDefault="0071668A" w:rsidP="00E978D0">
      <w:pPr>
        <w:pStyle w:val="CETTitle"/>
      </w:pPr>
      <w:r>
        <w:t>Identification</w:t>
      </w:r>
      <w:r w:rsidRPr="006C3EC4">
        <w:t xml:space="preserve"> </w:t>
      </w:r>
      <w:r w:rsidR="006C3EC4" w:rsidRPr="006C3EC4">
        <w:t xml:space="preserve">of </w:t>
      </w:r>
      <w:r w:rsidR="00EA21CA">
        <w:t>C</w:t>
      </w:r>
      <w:r w:rsidR="00EA21CA" w:rsidRPr="006C3EC4">
        <w:t xml:space="preserve">onsequences </w:t>
      </w:r>
      <w:r>
        <w:t xml:space="preserve">of </w:t>
      </w:r>
      <w:r w:rsidR="00C309CC">
        <w:t>Failure</w:t>
      </w:r>
      <w:r w:rsidR="00C309CC" w:rsidRPr="006C3EC4">
        <w:t xml:space="preserve"> </w:t>
      </w:r>
      <w:r w:rsidR="006C3EC4" w:rsidRPr="006C3EC4">
        <w:t xml:space="preserve">for </w:t>
      </w:r>
      <w:r w:rsidR="00C309CC">
        <w:t>H</w:t>
      </w:r>
      <w:r w:rsidR="00C309CC" w:rsidRPr="006C3EC4">
        <w:t xml:space="preserve">ydrogen </w:t>
      </w:r>
      <w:r w:rsidR="00C309CC">
        <w:t>E</w:t>
      </w:r>
      <w:r w:rsidR="00C309CC" w:rsidRPr="006C3EC4">
        <w:t>quipment</w:t>
      </w:r>
    </w:p>
    <w:p w14:paraId="0488FED2" w14:textId="7CAD5049" w:rsidR="00B57E6F" w:rsidRPr="006C3EC4" w:rsidRDefault="006C3EC4" w:rsidP="00B57E6F">
      <w:pPr>
        <w:pStyle w:val="CETAuthors"/>
        <w:rPr>
          <w:lang w:val="it-IT"/>
        </w:rPr>
      </w:pPr>
      <w:r w:rsidRPr="006C3EC4">
        <w:rPr>
          <w:lang w:val="it-IT"/>
        </w:rPr>
        <w:t>Federico Ustolin</w:t>
      </w:r>
      <w:r w:rsidR="009E32F5" w:rsidRPr="009E32F5">
        <w:rPr>
          <w:lang w:val="it-IT"/>
        </w:rPr>
        <w:t>*</w:t>
      </w:r>
      <w:r w:rsidR="00B57E6F" w:rsidRPr="006C3EC4">
        <w:rPr>
          <w:lang w:val="it-IT"/>
        </w:rPr>
        <w:t xml:space="preserve">, </w:t>
      </w:r>
      <w:r w:rsidRPr="006C3EC4">
        <w:rPr>
          <w:lang w:val="it-IT"/>
        </w:rPr>
        <w:t>Alessandro Campari</w:t>
      </w:r>
      <w:r w:rsidR="00B57E6F" w:rsidRPr="006C3EC4">
        <w:rPr>
          <w:lang w:val="it-IT"/>
        </w:rPr>
        <w:t xml:space="preserve">, </w:t>
      </w:r>
      <w:r w:rsidRPr="006C3EC4">
        <w:rPr>
          <w:lang w:val="it-IT"/>
        </w:rPr>
        <w:t>Leo</w:t>
      </w:r>
      <w:r>
        <w:rPr>
          <w:lang w:val="it-IT"/>
        </w:rPr>
        <w:t>nardo Giannini</w:t>
      </w:r>
      <w:r w:rsidR="009E32F5">
        <w:rPr>
          <w:lang w:val="it-IT"/>
        </w:rPr>
        <w:t xml:space="preserve">, </w:t>
      </w:r>
      <w:r w:rsidR="00521440">
        <w:rPr>
          <w:lang w:val="it-IT"/>
        </w:rPr>
        <w:t xml:space="preserve">Elena Baboi, </w:t>
      </w:r>
      <w:r w:rsidR="009E32F5">
        <w:rPr>
          <w:lang w:val="it-IT"/>
        </w:rPr>
        <w:t>Nicola Paltrinieri</w:t>
      </w:r>
    </w:p>
    <w:p w14:paraId="3D72B0B0" w14:textId="67C0FCB6" w:rsidR="00B57E6F" w:rsidRPr="00B20521" w:rsidRDefault="00B20521" w:rsidP="00B20521">
      <w:pPr>
        <w:pStyle w:val="CETAddress"/>
        <w:rPr>
          <w:lang w:val="en-US"/>
        </w:rPr>
      </w:pPr>
      <w:r>
        <w:t>Department of Mechanical and Industrial Engineering, Norwegian University of Science and Technology</w:t>
      </w:r>
      <w:r w:rsidRPr="00B20521">
        <w:rPr>
          <w:lang w:val="en-US"/>
        </w:rPr>
        <w:t xml:space="preserve"> NTNU, Richard Birkelands vei 2B, 7034 Trondheim, Norway</w:t>
      </w:r>
    </w:p>
    <w:p w14:paraId="73F1267A" w14:textId="3AC1AB0B" w:rsidR="00B57E6F" w:rsidRPr="00B57B36" w:rsidRDefault="009E32F5" w:rsidP="00B57E6F">
      <w:pPr>
        <w:pStyle w:val="CETemail"/>
      </w:pPr>
      <w:r>
        <w:t>federico</w:t>
      </w:r>
      <w:r w:rsidR="00B57E6F" w:rsidRPr="00B57B36">
        <w:t>.</w:t>
      </w:r>
      <w:r>
        <w:t>ustolin</w:t>
      </w:r>
      <w:r w:rsidR="00B57E6F" w:rsidRPr="00B57B36">
        <w:t>@n</w:t>
      </w:r>
      <w:r>
        <w:t>tnu</w:t>
      </w:r>
      <w:r w:rsidR="00B57E6F" w:rsidRPr="00B57B36">
        <w:t>.</w:t>
      </w:r>
      <w:r>
        <w:t>n</w:t>
      </w:r>
      <w:r w:rsidR="00B57E6F" w:rsidRPr="00B57B36">
        <w:t>o</w:t>
      </w:r>
    </w:p>
    <w:p w14:paraId="37A61FCE" w14:textId="45CCD792" w:rsidR="00DA24C6" w:rsidRPr="00647EF3" w:rsidRDefault="0017571C" w:rsidP="00647EF3">
      <w:pPr>
        <w:pStyle w:val="CETBodytext"/>
        <w:rPr>
          <w:lang w:val="en-GB"/>
        </w:rPr>
      </w:pPr>
      <w:r>
        <w:rPr>
          <w:lang w:val="en-GB"/>
        </w:rPr>
        <w:t>H</w:t>
      </w:r>
      <w:r w:rsidR="00647EF3" w:rsidRPr="00647EF3">
        <w:rPr>
          <w:lang w:val="en-GB"/>
        </w:rPr>
        <w:t xml:space="preserve">ydrogen has not only the potential of tackling climate-related issues by replacing fossil fuels, but it also plays a main role in the energy transition which will have several geopolitical implications. According to the International Renewable Energy Agency (IRENA), relations between countries and communities will be transformed by “a new energy age” changing the concept of power, security, energy independence and prosperity. For these reasons, the interest in hydrogen recently skyrocketed as shown by the hydrogen strategies developed by many countries in the world. This will result in a considerable increase of hydrogen produced, stored, and consumed worldwide </w:t>
      </w:r>
      <w:proofErr w:type="gramStart"/>
      <w:r w:rsidR="00647EF3" w:rsidRPr="00647EF3">
        <w:rPr>
          <w:lang w:val="en-GB"/>
        </w:rPr>
        <w:t>in the near future</w:t>
      </w:r>
      <w:proofErr w:type="gramEnd"/>
      <w:r w:rsidR="00647EF3" w:rsidRPr="00647EF3">
        <w:rPr>
          <w:lang w:val="en-GB"/>
        </w:rPr>
        <w:t xml:space="preserve">. </w:t>
      </w:r>
      <w:r w:rsidR="00C16ABF">
        <w:rPr>
          <w:lang w:val="en-GB"/>
        </w:rPr>
        <w:t>S</w:t>
      </w:r>
      <w:r w:rsidR="00647EF3" w:rsidRPr="00647EF3">
        <w:rPr>
          <w:lang w:val="en-GB"/>
        </w:rPr>
        <w:t>afety aspects must always be considered during the whole</w:t>
      </w:r>
      <w:r w:rsidR="00813C18">
        <w:rPr>
          <w:lang w:val="en-GB"/>
        </w:rPr>
        <w:t xml:space="preserve"> </w:t>
      </w:r>
      <w:r w:rsidR="00813C18" w:rsidRPr="00647EF3">
        <w:rPr>
          <w:lang w:val="en-GB"/>
        </w:rPr>
        <w:t>hydrogen</w:t>
      </w:r>
      <w:r w:rsidR="00647EF3" w:rsidRPr="00647EF3">
        <w:rPr>
          <w:lang w:val="en-GB"/>
        </w:rPr>
        <w:t xml:space="preserve"> lifecycle.</w:t>
      </w:r>
      <w:r>
        <w:rPr>
          <w:lang w:val="en-GB"/>
        </w:rPr>
        <w:t xml:space="preserve"> </w:t>
      </w:r>
      <w:r w:rsidR="00647EF3" w:rsidRPr="00647EF3">
        <w:rPr>
          <w:lang w:val="en-GB"/>
        </w:rPr>
        <w:t xml:space="preserve">The aim of this study is to pinpoint the </w:t>
      </w:r>
      <w:r w:rsidR="00566AE4">
        <w:rPr>
          <w:lang w:val="en-GB"/>
        </w:rPr>
        <w:t xml:space="preserve">consequences of failure for hydrogen technologies and the </w:t>
      </w:r>
      <w:r w:rsidR="00647EF3" w:rsidRPr="00647EF3">
        <w:rPr>
          <w:lang w:val="en-GB"/>
        </w:rPr>
        <w:t>most common</w:t>
      </w:r>
      <w:r w:rsidR="001F15EB">
        <w:rPr>
          <w:lang w:val="en-GB"/>
        </w:rPr>
        <w:t xml:space="preserve"> types of</w:t>
      </w:r>
      <w:r w:rsidR="00647EF3" w:rsidRPr="00647EF3">
        <w:rPr>
          <w:lang w:val="en-GB"/>
        </w:rPr>
        <w:t xml:space="preserve"> techniques developed and validated </w:t>
      </w:r>
      <w:r w:rsidR="004530EB">
        <w:rPr>
          <w:lang w:val="en-GB"/>
        </w:rPr>
        <w:t>to assess them</w:t>
      </w:r>
      <w:r w:rsidR="00647EF3" w:rsidRPr="00647EF3">
        <w:rPr>
          <w:lang w:val="en-GB"/>
        </w:rPr>
        <w:t xml:space="preserve">. Different types of models including theoretical and numerical ones were adopted to assess these consequences in the </w:t>
      </w:r>
      <w:r w:rsidR="00647EF3" w:rsidRPr="007B5454">
        <w:rPr>
          <w:lang w:val="en-GB"/>
        </w:rPr>
        <w:t xml:space="preserve">past. The advantages and drawbacks of these </w:t>
      </w:r>
      <w:r w:rsidR="00E707DD">
        <w:rPr>
          <w:lang w:val="en-GB"/>
        </w:rPr>
        <w:t xml:space="preserve">types of </w:t>
      </w:r>
      <w:r w:rsidR="00647EF3" w:rsidRPr="007B5454">
        <w:rPr>
          <w:lang w:val="en-GB"/>
        </w:rPr>
        <w:t>techniques are highlighted in this work</w:t>
      </w:r>
      <w:r w:rsidR="00D33B58">
        <w:rPr>
          <w:lang w:val="en-GB"/>
        </w:rPr>
        <w:t>.</w:t>
      </w:r>
      <w:r w:rsidR="00647EF3" w:rsidRPr="007B5454">
        <w:rPr>
          <w:lang w:val="en-GB"/>
        </w:rPr>
        <w:t xml:space="preserve"> </w:t>
      </w:r>
      <w:r w:rsidR="00091ECB">
        <w:rPr>
          <w:lang w:val="en-GB"/>
        </w:rPr>
        <w:t>The</w:t>
      </w:r>
      <w:r w:rsidR="00091ECB" w:rsidRPr="007B5454">
        <w:rPr>
          <w:lang w:val="en-GB"/>
        </w:rPr>
        <w:t xml:space="preserve"> inten</w:t>
      </w:r>
      <w:r w:rsidR="00091ECB">
        <w:rPr>
          <w:lang w:val="en-GB"/>
        </w:rPr>
        <w:t>t is</w:t>
      </w:r>
      <w:r w:rsidR="00091ECB" w:rsidRPr="007B5454">
        <w:rPr>
          <w:lang w:val="en-GB"/>
        </w:rPr>
        <w:t xml:space="preserve"> </w:t>
      </w:r>
      <w:r w:rsidR="00647EF3" w:rsidRPr="007B5454">
        <w:rPr>
          <w:lang w:val="en-GB"/>
        </w:rPr>
        <w:t xml:space="preserve">to provide </w:t>
      </w:r>
      <w:r w:rsidR="006E5F1B">
        <w:rPr>
          <w:lang w:val="en-GB"/>
        </w:rPr>
        <w:t xml:space="preserve">critical </w:t>
      </w:r>
      <w:r w:rsidR="00E31EE3">
        <w:rPr>
          <w:lang w:val="en-GB"/>
        </w:rPr>
        <w:t xml:space="preserve">insights </w:t>
      </w:r>
      <w:r w:rsidR="006E5F1B">
        <w:rPr>
          <w:lang w:val="en-GB"/>
        </w:rPr>
        <w:t>to analysts</w:t>
      </w:r>
      <w:r w:rsidR="00E31EE3">
        <w:rPr>
          <w:lang w:val="en-GB"/>
        </w:rPr>
        <w:t xml:space="preserve"> </w:t>
      </w:r>
      <w:r w:rsidR="00091ECB">
        <w:rPr>
          <w:lang w:val="en-GB"/>
        </w:rPr>
        <w:t xml:space="preserve">carrying out </w:t>
      </w:r>
      <w:r w:rsidR="00A64AD2">
        <w:rPr>
          <w:lang w:val="en-GB"/>
        </w:rPr>
        <w:t xml:space="preserve">the </w:t>
      </w:r>
      <w:r w:rsidR="00647EF3" w:rsidRPr="007B5454">
        <w:rPr>
          <w:lang w:val="en-GB"/>
        </w:rPr>
        <w:t xml:space="preserve">risk </w:t>
      </w:r>
      <w:r w:rsidR="00882EA1" w:rsidRPr="007B5454">
        <w:rPr>
          <w:lang w:val="en-GB"/>
        </w:rPr>
        <w:t>assessment</w:t>
      </w:r>
      <w:r w:rsidR="00882EA1">
        <w:rPr>
          <w:lang w:val="en-GB"/>
        </w:rPr>
        <w:t xml:space="preserve"> </w:t>
      </w:r>
      <w:proofErr w:type="gramStart"/>
      <w:r w:rsidR="002C430D">
        <w:rPr>
          <w:lang w:val="en-GB"/>
        </w:rPr>
        <w:t>in order to</w:t>
      </w:r>
      <w:proofErr w:type="gramEnd"/>
      <w:r w:rsidR="002C430D">
        <w:rPr>
          <w:lang w:val="en-GB"/>
        </w:rPr>
        <w:t xml:space="preserve"> improve the overall safety </w:t>
      </w:r>
      <w:r w:rsidR="00882EA1">
        <w:rPr>
          <w:lang w:val="en-GB"/>
        </w:rPr>
        <w:t>of hydrogen technologies</w:t>
      </w:r>
      <w:r w:rsidR="007B5454" w:rsidRPr="007B5454">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6AABCC0A" w14:textId="1264CE7B" w:rsidR="003C02AD" w:rsidRDefault="00CB4D16" w:rsidP="00021364">
      <w:pPr>
        <w:pStyle w:val="CETBodytextItalic"/>
        <w:rPr>
          <w:i w:val="0"/>
          <w:iCs/>
        </w:rPr>
      </w:pPr>
      <w:r w:rsidRPr="00CB4D16">
        <w:rPr>
          <w:i w:val="0"/>
          <w:iCs/>
        </w:rPr>
        <w:t xml:space="preserve">The International Renewable Energy Agency (IRENA, 2022) stated that a new energy age will drastically modify the relationships between nations and communities and will bring out novel concepts of power, security, energy independence and prosperity. In this perspective, hydrogen has been largely indicated as a clean and sustainable energy carrier, capable of mitigating greenhouse gas emissions, tackling global warming, and making countries energetically self-sufficient. </w:t>
      </w:r>
      <w:r w:rsidR="008B250F" w:rsidRPr="008B250F">
        <w:rPr>
          <w:i w:val="0"/>
          <w:iCs/>
        </w:rPr>
        <w:t>For this reason, 29 countries, all over the world, have already released national hydrogen strategies, and other 13 are including hydrogen in their decarbonization policies, even without an official and binding guideline. It is worth mentioning that most of the countries with consolidated and already implemented hydrogen strategies are in Europe, while only few Asian nations have developed a defined plan (</w:t>
      </w:r>
      <w:proofErr w:type="spellStart"/>
      <w:r w:rsidR="008B250F" w:rsidRPr="008B250F">
        <w:rPr>
          <w:i w:val="0"/>
          <w:iCs/>
        </w:rPr>
        <w:t>HyResource</w:t>
      </w:r>
      <w:proofErr w:type="spellEnd"/>
      <w:r w:rsidR="008B250F" w:rsidRPr="008B250F">
        <w:rPr>
          <w:i w:val="0"/>
          <w:iCs/>
        </w:rPr>
        <w:t>, 2023).</w:t>
      </w:r>
      <w:r w:rsidRPr="00CB4D16">
        <w:rPr>
          <w:i w:val="0"/>
          <w:iCs/>
        </w:rPr>
        <w:t xml:space="preserve"> Hydrogen demand is expected to grow exponentially in the forthcoming years, reaching 10% of the global final energy consumption by 2050 (IEA, 2021). Despite the</w:t>
      </w:r>
      <w:r w:rsidR="00036EEA">
        <w:rPr>
          <w:i w:val="0"/>
          <w:iCs/>
        </w:rPr>
        <w:t xml:space="preserve"> potential</w:t>
      </w:r>
      <w:r w:rsidRPr="00CB4D16">
        <w:rPr>
          <w:i w:val="0"/>
          <w:iCs/>
        </w:rPr>
        <w:t xml:space="preserve"> environmental advantages of this energy carrier, its broad-based utilization is</w:t>
      </w:r>
      <w:r w:rsidR="00BB06E8">
        <w:rPr>
          <w:i w:val="0"/>
          <w:iCs/>
        </w:rPr>
        <w:t xml:space="preserve"> sometime</w:t>
      </w:r>
      <w:r w:rsidRPr="00CB4D16">
        <w:rPr>
          <w:i w:val="0"/>
          <w:iCs/>
        </w:rPr>
        <w:t xml:space="preserve"> held back by safety concerns associated with the </w:t>
      </w:r>
      <w:r w:rsidR="00036EEA">
        <w:rPr>
          <w:i w:val="0"/>
          <w:iCs/>
        </w:rPr>
        <w:t>peculiar</w:t>
      </w:r>
      <w:r w:rsidR="00036EEA" w:rsidRPr="00CB4D16">
        <w:rPr>
          <w:i w:val="0"/>
          <w:iCs/>
        </w:rPr>
        <w:t xml:space="preserve"> </w:t>
      </w:r>
      <w:r w:rsidRPr="00CB4D16">
        <w:rPr>
          <w:i w:val="0"/>
          <w:iCs/>
        </w:rPr>
        <w:t xml:space="preserve">physiochemical properties of this substance. </w:t>
      </w:r>
      <w:r w:rsidR="002505E8">
        <w:rPr>
          <w:i w:val="0"/>
          <w:iCs/>
        </w:rPr>
        <w:t>Its</w:t>
      </w:r>
      <w:r w:rsidR="002505E8" w:rsidRPr="00CB4D16">
        <w:rPr>
          <w:i w:val="0"/>
          <w:iCs/>
        </w:rPr>
        <w:t xml:space="preserve"> </w:t>
      </w:r>
      <w:r w:rsidRPr="00CB4D16">
        <w:rPr>
          <w:i w:val="0"/>
          <w:iCs/>
        </w:rPr>
        <w:t xml:space="preserve">low </w:t>
      </w:r>
      <w:r w:rsidR="002505E8">
        <w:rPr>
          <w:i w:val="0"/>
          <w:iCs/>
        </w:rPr>
        <w:t xml:space="preserve">minimum </w:t>
      </w:r>
      <w:r w:rsidRPr="00CB4D16">
        <w:rPr>
          <w:i w:val="0"/>
          <w:iCs/>
        </w:rPr>
        <w:t>ignition energy</w:t>
      </w:r>
      <w:r w:rsidR="002505E8">
        <w:rPr>
          <w:i w:val="0"/>
          <w:iCs/>
        </w:rPr>
        <w:t xml:space="preserve"> (0.017 </w:t>
      </w:r>
      <w:proofErr w:type="spellStart"/>
      <w:r w:rsidR="002505E8">
        <w:rPr>
          <w:i w:val="0"/>
          <w:iCs/>
        </w:rPr>
        <w:t>mJ</w:t>
      </w:r>
      <w:proofErr w:type="spellEnd"/>
      <w:r w:rsidR="002505E8">
        <w:rPr>
          <w:i w:val="0"/>
          <w:iCs/>
        </w:rPr>
        <w:t xml:space="preserve"> </w:t>
      </w:r>
      <w:r w:rsidR="000D43F8">
        <w:rPr>
          <w:i w:val="0"/>
          <w:iCs/>
        </w:rPr>
        <w:t>(Ono et al., 2007)</w:t>
      </w:r>
      <w:r w:rsidR="002505E8">
        <w:rPr>
          <w:i w:val="0"/>
          <w:iCs/>
        </w:rPr>
        <w:t>)</w:t>
      </w:r>
      <w:r w:rsidRPr="00CB4D16">
        <w:rPr>
          <w:i w:val="0"/>
          <w:iCs/>
        </w:rPr>
        <w:t>, wide flammability range</w:t>
      </w:r>
      <w:r w:rsidR="002505E8">
        <w:rPr>
          <w:i w:val="0"/>
          <w:iCs/>
        </w:rPr>
        <w:t xml:space="preserve"> (4 %vol – 75 %vol in air</w:t>
      </w:r>
      <w:r w:rsidR="0032342A">
        <w:rPr>
          <w:i w:val="0"/>
          <w:iCs/>
        </w:rPr>
        <w:t xml:space="preserve"> </w:t>
      </w:r>
      <w:r w:rsidR="00374688">
        <w:rPr>
          <w:i w:val="0"/>
          <w:iCs/>
        </w:rPr>
        <w:t>(</w:t>
      </w:r>
      <w:r w:rsidR="005B1ECD" w:rsidRPr="005B1ECD">
        <w:rPr>
          <w:i w:val="0"/>
          <w:iCs/>
        </w:rPr>
        <w:t>McCarty</w:t>
      </w:r>
      <w:r w:rsidR="00374688">
        <w:rPr>
          <w:i w:val="0"/>
          <w:iCs/>
        </w:rPr>
        <w:t xml:space="preserve"> et al., 1981)</w:t>
      </w:r>
      <w:r w:rsidR="002505E8">
        <w:rPr>
          <w:i w:val="0"/>
          <w:iCs/>
        </w:rPr>
        <w:t>)</w:t>
      </w:r>
      <w:r w:rsidRPr="00CB4D16">
        <w:rPr>
          <w:i w:val="0"/>
          <w:iCs/>
        </w:rPr>
        <w:t xml:space="preserve"> make hydrogen extremely flammable and </w:t>
      </w:r>
      <w:r w:rsidR="00374688" w:rsidRPr="00CB4D16">
        <w:rPr>
          <w:i w:val="0"/>
          <w:iCs/>
        </w:rPr>
        <w:t>explosi</w:t>
      </w:r>
      <w:r w:rsidR="00374688">
        <w:rPr>
          <w:i w:val="0"/>
          <w:iCs/>
        </w:rPr>
        <w:t>ve</w:t>
      </w:r>
      <w:r w:rsidRPr="00CB4D16">
        <w:rPr>
          <w:i w:val="0"/>
          <w:iCs/>
        </w:rPr>
        <w:t xml:space="preserve">. </w:t>
      </w:r>
      <w:r w:rsidR="004410D8">
        <w:rPr>
          <w:i w:val="0"/>
          <w:iCs/>
        </w:rPr>
        <w:t xml:space="preserve">On the other hand, </w:t>
      </w:r>
      <w:r w:rsidR="00DC540F">
        <w:rPr>
          <w:i w:val="0"/>
          <w:iCs/>
        </w:rPr>
        <w:t xml:space="preserve">hydrogen has a few characteristics </w:t>
      </w:r>
      <w:r w:rsidR="00F44ABB">
        <w:rPr>
          <w:i w:val="0"/>
          <w:iCs/>
        </w:rPr>
        <w:t xml:space="preserve">such as its </w:t>
      </w:r>
      <w:r w:rsidR="003B6F1E">
        <w:rPr>
          <w:i w:val="0"/>
          <w:iCs/>
        </w:rPr>
        <w:t xml:space="preserve">buoyancy and </w:t>
      </w:r>
      <w:r w:rsidR="000E02C8">
        <w:rPr>
          <w:i w:val="0"/>
          <w:iCs/>
        </w:rPr>
        <w:t>high</w:t>
      </w:r>
      <w:r w:rsidR="003065F3">
        <w:rPr>
          <w:i w:val="0"/>
          <w:iCs/>
        </w:rPr>
        <w:t xml:space="preserve"> </w:t>
      </w:r>
      <w:r w:rsidR="000E02C8">
        <w:rPr>
          <w:i w:val="0"/>
          <w:iCs/>
        </w:rPr>
        <w:t>burning velocity</w:t>
      </w:r>
      <w:r w:rsidR="003065F3">
        <w:rPr>
          <w:i w:val="0"/>
          <w:iCs/>
        </w:rPr>
        <w:t xml:space="preserve"> </w:t>
      </w:r>
      <w:r w:rsidR="000E02C8">
        <w:rPr>
          <w:i w:val="0"/>
          <w:iCs/>
        </w:rPr>
        <w:t>compared to other conventional fuels (</w:t>
      </w:r>
      <w:proofErr w:type="gramStart"/>
      <w:r w:rsidR="000E02C8">
        <w:rPr>
          <w:i w:val="0"/>
          <w:iCs/>
        </w:rPr>
        <w:t>e.g.</w:t>
      </w:r>
      <w:proofErr w:type="gramEnd"/>
      <w:r w:rsidR="000E02C8">
        <w:rPr>
          <w:i w:val="0"/>
          <w:iCs/>
        </w:rPr>
        <w:t xml:space="preserve"> gasoline, natural gas) </w:t>
      </w:r>
      <w:r w:rsidR="00DC540F">
        <w:rPr>
          <w:i w:val="0"/>
          <w:iCs/>
        </w:rPr>
        <w:t xml:space="preserve">that </w:t>
      </w:r>
      <w:r w:rsidR="00774F01">
        <w:rPr>
          <w:i w:val="0"/>
          <w:iCs/>
        </w:rPr>
        <w:t xml:space="preserve">may </w:t>
      </w:r>
      <w:r w:rsidR="00484B08">
        <w:rPr>
          <w:i w:val="0"/>
          <w:iCs/>
        </w:rPr>
        <w:t>reduce the</w:t>
      </w:r>
      <w:r w:rsidR="00774F01">
        <w:rPr>
          <w:i w:val="0"/>
          <w:iCs/>
        </w:rPr>
        <w:t xml:space="preserve"> overall</w:t>
      </w:r>
      <w:r w:rsidR="00484B08">
        <w:rPr>
          <w:i w:val="0"/>
          <w:iCs/>
        </w:rPr>
        <w:t xml:space="preserve"> risk </w:t>
      </w:r>
      <w:r w:rsidR="00774F01">
        <w:rPr>
          <w:i w:val="0"/>
          <w:iCs/>
        </w:rPr>
        <w:t>in case of releases.</w:t>
      </w:r>
      <w:r w:rsidR="00484B08">
        <w:rPr>
          <w:i w:val="0"/>
          <w:iCs/>
        </w:rPr>
        <w:t xml:space="preserve"> </w:t>
      </w:r>
    </w:p>
    <w:p w14:paraId="5085ED5B" w14:textId="4051EFEB" w:rsidR="00374688" w:rsidRPr="006A4EA7" w:rsidRDefault="00CB4D16" w:rsidP="00021364">
      <w:pPr>
        <w:pStyle w:val="CETBodytextItalic"/>
        <w:rPr>
          <w:i w:val="0"/>
          <w:iCs/>
          <w:lang w:val="en-US"/>
        </w:rPr>
      </w:pPr>
      <w:r w:rsidRPr="00CB4D16">
        <w:rPr>
          <w:i w:val="0"/>
          <w:iCs/>
        </w:rPr>
        <w:t xml:space="preserve">Safety aspects associated with hydrogen handling and storage have been thoroughly investigated to reduce the probability of component failures and mitigate the consequences of potential undesired releases. Unignited dispersions, fires, and explosions are the most likely scenarios resulting from a loss of </w:t>
      </w:r>
      <w:r w:rsidR="006C4E02">
        <w:rPr>
          <w:i w:val="0"/>
          <w:iCs/>
        </w:rPr>
        <w:t>integrity</w:t>
      </w:r>
      <w:r w:rsidR="006C4E02" w:rsidRPr="00CB4D16">
        <w:rPr>
          <w:i w:val="0"/>
          <w:iCs/>
        </w:rPr>
        <w:t xml:space="preserve"> </w:t>
      </w:r>
      <w:r w:rsidRPr="00CB4D16">
        <w:rPr>
          <w:i w:val="0"/>
          <w:iCs/>
        </w:rPr>
        <w:t xml:space="preserve">(LOI). In past years, several consequence analysis techniques have been developed and validated to quantitatively estimate the severity of hydrogen fires and explosions through a variety of parameters, depending on the specific accident </w:t>
      </w:r>
      <w:r w:rsidRPr="00CB4D16">
        <w:rPr>
          <w:i w:val="0"/>
          <w:iCs/>
        </w:rPr>
        <w:lastRenderedPageBreak/>
        <w:t xml:space="preserve">scenario. </w:t>
      </w:r>
      <w:r w:rsidR="005028E6">
        <w:rPr>
          <w:i w:val="0"/>
          <w:iCs/>
        </w:rPr>
        <w:t>T</w:t>
      </w:r>
      <w:r w:rsidRPr="00CB4D16">
        <w:rPr>
          <w:i w:val="0"/>
          <w:iCs/>
        </w:rPr>
        <w:t>heoretical</w:t>
      </w:r>
      <w:r w:rsidR="005028E6">
        <w:rPr>
          <w:i w:val="0"/>
          <w:iCs/>
        </w:rPr>
        <w:t>, analytical,</w:t>
      </w:r>
      <w:r w:rsidRPr="00CB4D16">
        <w:rPr>
          <w:i w:val="0"/>
          <w:iCs/>
        </w:rPr>
        <w:t xml:space="preserve"> and numerical models have been</w:t>
      </w:r>
      <w:r w:rsidR="00B155C1">
        <w:rPr>
          <w:i w:val="0"/>
          <w:iCs/>
        </w:rPr>
        <w:t xml:space="preserve"> developed and</w:t>
      </w:r>
      <w:r w:rsidRPr="00CB4D16">
        <w:rPr>
          <w:i w:val="0"/>
          <w:iCs/>
        </w:rPr>
        <w:t xml:space="preserve"> used to assess the</w:t>
      </w:r>
      <w:r w:rsidR="00C15918">
        <w:rPr>
          <w:i w:val="0"/>
          <w:iCs/>
        </w:rPr>
        <w:t xml:space="preserve"> yield of the</w:t>
      </w:r>
      <w:r w:rsidRPr="00CB4D16">
        <w:rPr>
          <w:i w:val="0"/>
          <w:iCs/>
        </w:rPr>
        <w:t xml:space="preserve"> </w:t>
      </w:r>
      <w:r w:rsidR="003F7716" w:rsidRPr="00CB4D16">
        <w:rPr>
          <w:i w:val="0"/>
          <w:iCs/>
        </w:rPr>
        <w:t xml:space="preserve">hydrogen releases </w:t>
      </w:r>
      <w:r w:rsidRPr="00CB4D16">
        <w:rPr>
          <w:i w:val="0"/>
          <w:iCs/>
        </w:rPr>
        <w:t>consequences. This study aims to summarize the</w:t>
      </w:r>
      <w:r w:rsidR="001C2EDC">
        <w:rPr>
          <w:i w:val="0"/>
          <w:iCs/>
        </w:rPr>
        <w:t>se</w:t>
      </w:r>
      <w:r w:rsidR="006F2A4F">
        <w:rPr>
          <w:i w:val="0"/>
          <w:iCs/>
        </w:rPr>
        <w:t xml:space="preserve"> </w:t>
      </w:r>
      <w:r w:rsidR="00991900">
        <w:rPr>
          <w:i w:val="0"/>
          <w:iCs/>
        </w:rPr>
        <w:t xml:space="preserve">consequences </w:t>
      </w:r>
      <w:r w:rsidR="004E7124">
        <w:rPr>
          <w:i w:val="0"/>
          <w:iCs/>
        </w:rPr>
        <w:t xml:space="preserve">and </w:t>
      </w:r>
      <w:r w:rsidR="00B9465F">
        <w:rPr>
          <w:i w:val="0"/>
          <w:iCs/>
        </w:rPr>
        <w:t>discuss the main types</w:t>
      </w:r>
      <w:r w:rsidR="00E21C2A">
        <w:rPr>
          <w:i w:val="0"/>
          <w:iCs/>
        </w:rPr>
        <w:t xml:space="preserve"> of</w:t>
      </w:r>
      <w:r w:rsidRPr="00CB4D16">
        <w:rPr>
          <w:i w:val="0"/>
          <w:iCs/>
        </w:rPr>
        <w:t xml:space="preserve"> models</w:t>
      </w:r>
      <w:r w:rsidR="00E21C2A">
        <w:rPr>
          <w:i w:val="0"/>
          <w:iCs/>
        </w:rPr>
        <w:t xml:space="preserve"> developed </w:t>
      </w:r>
      <w:r w:rsidR="003F7716">
        <w:rPr>
          <w:i w:val="0"/>
          <w:iCs/>
        </w:rPr>
        <w:t>for the consequence analysis</w:t>
      </w:r>
      <w:r w:rsidR="00E21C2A">
        <w:rPr>
          <w:i w:val="0"/>
          <w:iCs/>
        </w:rPr>
        <w:t xml:space="preserve"> by</w:t>
      </w:r>
      <w:r w:rsidRPr="00CB4D16">
        <w:rPr>
          <w:i w:val="0"/>
          <w:iCs/>
        </w:rPr>
        <w:t xml:space="preserve"> highlighting the</w:t>
      </w:r>
      <w:r w:rsidR="003F7716">
        <w:rPr>
          <w:i w:val="0"/>
          <w:iCs/>
        </w:rPr>
        <w:t>ir</w:t>
      </w:r>
      <w:r w:rsidRPr="00CB4D16">
        <w:rPr>
          <w:i w:val="0"/>
          <w:iCs/>
        </w:rPr>
        <w:t xml:space="preserve"> advantages and drawbacks. The</w:t>
      </w:r>
      <w:r w:rsidR="00F16FA0">
        <w:rPr>
          <w:i w:val="0"/>
          <w:iCs/>
        </w:rPr>
        <w:t xml:space="preserve"> outcomes of this study can be exploited </w:t>
      </w:r>
      <w:r w:rsidRPr="00CB4D16">
        <w:rPr>
          <w:i w:val="0"/>
          <w:iCs/>
        </w:rPr>
        <w:t xml:space="preserve">by safety analysts to </w:t>
      </w:r>
      <w:r w:rsidR="00571062">
        <w:rPr>
          <w:i w:val="0"/>
          <w:iCs/>
        </w:rPr>
        <w:t>identify</w:t>
      </w:r>
      <w:r w:rsidR="006D5853">
        <w:rPr>
          <w:i w:val="0"/>
          <w:iCs/>
        </w:rPr>
        <w:t xml:space="preserve"> the</w:t>
      </w:r>
      <w:r w:rsidRPr="00CB4D16">
        <w:rPr>
          <w:i w:val="0"/>
          <w:iCs/>
        </w:rPr>
        <w:t xml:space="preserve"> consequence</w:t>
      </w:r>
      <w:r w:rsidR="006D5853">
        <w:rPr>
          <w:i w:val="0"/>
          <w:iCs/>
        </w:rPr>
        <w:t>s</w:t>
      </w:r>
      <w:r w:rsidRPr="00CB4D16">
        <w:rPr>
          <w:i w:val="0"/>
          <w:iCs/>
        </w:rPr>
        <w:t xml:space="preserve"> </w:t>
      </w:r>
      <w:r w:rsidR="006D5853">
        <w:rPr>
          <w:i w:val="0"/>
          <w:iCs/>
        </w:rPr>
        <w:t>of failure</w:t>
      </w:r>
      <w:r w:rsidRPr="00CB4D16">
        <w:rPr>
          <w:i w:val="0"/>
          <w:iCs/>
        </w:rPr>
        <w:t xml:space="preserve"> as part of quantitative risk assessments</w:t>
      </w:r>
      <w:r w:rsidR="00C775F8">
        <w:rPr>
          <w:i w:val="0"/>
          <w:iCs/>
        </w:rPr>
        <w:t xml:space="preserve"> for hydrogen technologies</w:t>
      </w:r>
      <w:r w:rsidRPr="00CB4D16">
        <w:rPr>
          <w:i w:val="0"/>
          <w:iCs/>
        </w:rPr>
        <w:t xml:space="preserve">. In addition, </w:t>
      </w:r>
      <w:r w:rsidR="00A74185">
        <w:rPr>
          <w:i w:val="0"/>
          <w:iCs/>
        </w:rPr>
        <w:t>they</w:t>
      </w:r>
      <w:r w:rsidR="00A74185" w:rsidRPr="00CB4D16">
        <w:rPr>
          <w:i w:val="0"/>
          <w:iCs/>
        </w:rPr>
        <w:t xml:space="preserve"> </w:t>
      </w:r>
      <w:r w:rsidRPr="00CB4D16">
        <w:rPr>
          <w:i w:val="0"/>
          <w:iCs/>
        </w:rPr>
        <w:t>can be used for a risk-informed design of industrial equipment and safety devices, thus stimulating an increasingly widespread rollout of hydrogen technologies in the future.</w:t>
      </w:r>
    </w:p>
    <w:p w14:paraId="5741900F" w14:textId="44251D82" w:rsidR="00453E24" w:rsidRDefault="007A2EC8" w:rsidP="00453E24">
      <w:pPr>
        <w:pStyle w:val="CETHeading1"/>
      </w:pPr>
      <w:r>
        <w:t>Identification of c</w:t>
      </w:r>
      <w:r w:rsidR="009A61A8" w:rsidRPr="00FC4E0D">
        <w:t xml:space="preserve">onsequences of </w:t>
      </w:r>
      <w:r>
        <w:t>failure</w:t>
      </w:r>
    </w:p>
    <w:p w14:paraId="09406386" w14:textId="2CA7A619" w:rsidR="00453E24" w:rsidRDefault="00715E91" w:rsidP="00453E24">
      <w:pPr>
        <w:pStyle w:val="CETBodytext"/>
      </w:pPr>
      <w:r>
        <w:t xml:space="preserve">The first step to </w:t>
      </w:r>
      <w:r w:rsidR="0032736C">
        <w:t xml:space="preserve">collect and analyze the different consequence analysis techniques </w:t>
      </w:r>
      <w:r w:rsidR="004E3D24">
        <w:t>is to identify the consequences that may occur from the LOI and</w:t>
      </w:r>
      <w:r w:rsidR="001C2EDC">
        <w:t xml:space="preserve"> loss of containment</w:t>
      </w:r>
      <w:r w:rsidR="004E3D24">
        <w:t xml:space="preserve"> </w:t>
      </w:r>
      <w:r w:rsidR="001C2EDC">
        <w:t>(</w:t>
      </w:r>
      <w:r w:rsidR="004E3D24">
        <w:t>LOC</w:t>
      </w:r>
      <w:r w:rsidR="001C2EDC">
        <w:t>)</w:t>
      </w:r>
      <w:r w:rsidR="004E3D24">
        <w:t xml:space="preserve"> of hydrogen </w:t>
      </w:r>
      <w:r w:rsidR="000B1FCF">
        <w:t xml:space="preserve">equipment. Different methodologies were proposed to </w:t>
      </w:r>
      <w:r w:rsidR="00EB536B">
        <w:t>generate event trees which are implemented together with fault trees</w:t>
      </w:r>
      <w:r w:rsidR="00EA12DC">
        <w:t xml:space="preserve"> in the bow-tie diagrams during a risk analysis. Event trees </w:t>
      </w:r>
      <w:r w:rsidR="00AF3ACB">
        <w:t>gather</w:t>
      </w:r>
      <w:r w:rsidR="00EA12DC">
        <w:t xml:space="preserve"> the potential </w:t>
      </w:r>
      <w:r w:rsidR="00AF3ACB">
        <w:t>consequence</w:t>
      </w:r>
      <w:r w:rsidR="00965ED2">
        <w:t xml:space="preserve"> of failure for </w:t>
      </w:r>
      <w:r w:rsidR="002A4854">
        <w:t>each</w:t>
      </w:r>
      <w:r w:rsidR="00965ED2">
        <w:t xml:space="preserve"> </w:t>
      </w:r>
      <w:r w:rsidR="002A4854">
        <w:t>select</w:t>
      </w:r>
      <w:r w:rsidR="00965ED2">
        <w:t>ed critical event (</w:t>
      </w:r>
      <w:proofErr w:type="gramStart"/>
      <w:r w:rsidR="00965ED2">
        <w:t>e.g.</w:t>
      </w:r>
      <w:proofErr w:type="gramEnd"/>
      <w:r w:rsidR="00965ED2">
        <w:t xml:space="preserve"> </w:t>
      </w:r>
      <w:r w:rsidR="00D20C57">
        <w:t>leak from pipe, catastrophic rupture</w:t>
      </w:r>
      <w:r w:rsidR="00965ED2">
        <w:t>)</w:t>
      </w:r>
      <w:r w:rsidR="002A4854">
        <w:t xml:space="preserve">, while the fault trees </w:t>
      </w:r>
      <w:r w:rsidR="00D275BA">
        <w:t xml:space="preserve">provide information on the causes that might lead to </w:t>
      </w:r>
      <w:r w:rsidR="00A30B6A">
        <w:t>the critical events.</w:t>
      </w:r>
      <w:r w:rsidR="00CD5D03">
        <w:t xml:space="preserve"> </w:t>
      </w:r>
      <w:r w:rsidR="00E91C9A">
        <w:t xml:space="preserve">One of the most used </w:t>
      </w:r>
      <w:r w:rsidR="00355898">
        <w:t>techniques</w:t>
      </w:r>
      <w:r w:rsidR="006C4327">
        <w:t xml:space="preserve"> </w:t>
      </w:r>
      <w:r w:rsidR="00C06DE2">
        <w:t xml:space="preserve">to building event trees </w:t>
      </w:r>
      <w:r w:rsidR="006C4327">
        <w:t xml:space="preserve">is the </w:t>
      </w:r>
      <w:r w:rsidR="008B250F">
        <w:t>M</w:t>
      </w:r>
      <w:r w:rsidR="008B250F" w:rsidRPr="008B250F">
        <w:t xml:space="preserve">ethodology for the </w:t>
      </w:r>
      <w:r w:rsidR="008B250F">
        <w:t>I</w:t>
      </w:r>
      <w:r w:rsidR="008B250F" w:rsidRPr="008B250F">
        <w:t xml:space="preserve">dentification of </w:t>
      </w:r>
      <w:r w:rsidR="008B250F">
        <w:t>M</w:t>
      </w:r>
      <w:r w:rsidR="008B250F" w:rsidRPr="008B250F">
        <w:t xml:space="preserve">ajor </w:t>
      </w:r>
      <w:r w:rsidR="008B250F">
        <w:t>A</w:t>
      </w:r>
      <w:r w:rsidR="008B250F" w:rsidRPr="008B250F">
        <w:t xml:space="preserve">ccident </w:t>
      </w:r>
      <w:r w:rsidR="008B250F">
        <w:t>H</w:t>
      </w:r>
      <w:r w:rsidR="008B250F" w:rsidRPr="008B250F">
        <w:t xml:space="preserve">azards </w:t>
      </w:r>
      <w:r w:rsidR="006A1CB3">
        <w:t>(MIMAH). Therefore, this methodology can be exploited to identify the</w:t>
      </w:r>
      <w:r w:rsidR="00107405">
        <w:t xml:space="preserve"> consequences of failure for hydrogen technologies.</w:t>
      </w:r>
    </w:p>
    <w:p w14:paraId="0636B784" w14:textId="5199EFEB" w:rsidR="00453E24" w:rsidRDefault="009A61A8" w:rsidP="00D26604">
      <w:pPr>
        <w:pStyle w:val="CETheadingx"/>
      </w:pPr>
      <w:r>
        <w:t>MIMAH methodology</w:t>
      </w:r>
    </w:p>
    <w:p w14:paraId="3AC49EFB" w14:textId="4E48E8C1" w:rsidR="00EF2403" w:rsidRDefault="001F2D93" w:rsidP="006F5450">
      <w:pPr>
        <w:pStyle w:val="CETBodytext"/>
      </w:pPr>
      <w:r>
        <w:t xml:space="preserve">MIMAH methodology </w:t>
      </w:r>
      <w:r w:rsidR="00062C3A">
        <w:t>used</w:t>
      </w:r>
      <w:r w:rsidR="00062C3A" w:rsidRPr="006A1CB3">
        <w:t xml:space="preserve"> for the building of generic event trees</w:t>
      </w:r>
      <w:r w:rsidR="00062C3A">
        <w:t xml:space="preserve"> </w:t>
      </w:r>
      <w:r>
        <w:t xml:space="preserve">was developed during the </w:t>
      </w:r>
      <w:r w:rsidR="002A63FB">
        <w:t xml:space="preserve">project </w:t>
      </w:r>
      <w:r>
        <w:t>ARAMIS</w:t>
      </w:r>
      <w:r w:rsidR="002A63FB">
        <w:t xml:space="preserve"> (</w:t>
      </w:r>
      <w:r w:rsidR="002A63FB" w:rsidRPr="002A63FB">
        <w:t>Accidental Risk Assessment Methodology for Industries</w:t>
      </w:r>
      <w:r w:rsidR="002A63FB">
        <w:t>)</w:t>
      </w:r>
      <w:r w:rsidR="001413F9">
        <w:t xml:space="preserve"> (</w:t>
      </w:r>
      <w:proofErr w:type="spellStart"/>
      <w:r w:rsidR="001413F9">
        <w:t>Delvosalle</w:t>
      </w:r>
      <w:proofErr w:type="spellEnd"/>
      <w:r w:rsidR="001413F9">
        <w:t xml:space="preserve"> et al., 2006)</w:t>
      </w:r>
      <w:r>
        <w:t xml:space="preserve">. </w:t>
      </w:r>
      <w:r w:rsidR="00D2406E">
        <w:t>T</w:t>
      </w:r>
      <w:r>
        <w:t xml:space="preserve">he </w:t>
      </w:r>
      <w:r w:rsidR="008B2C9F">
        <w:t xml:space="preserve">main steps </w:t>
      </w:r>
      <w:r w:rsidR="00976796">
        <w:t xml:space="preserve">of the </w:t>
      </w:r>
      <w:r w:rsidR="00D2406E">
        <w:t xml:space="preserve">MIMAH </w:t>
      </w:r>
      <w:r w:rsidR="00976796">
        <w:t>metho</w:t>
      </w:r>
      <w:r w:rsidR="000660F3">
        <w:t xml:space="preserve">dology to create </w:t>
      </w:r>
      <w:r w:rsidR="0041570B">
        <w:t>a</w:t>
      </w:r>
      <w:r w:rsidR="000660F3">
        <w:t xml:space="preserve"> </w:t>
      </w:r>
      <w:r w:rsidR="00D2406E">
        <w:t xml:space="preserve">generic </w:t>
      </w:r>
      <w:r w:rsidR="0041570B">
        <w:t>event tree</w:t>
      </w:r>
      <w:r w:rsidR="000660F3">
        <w:t xml:space="preserve"> are </w:t>
      </w:r>
      <w:r w:rsidR="00D2406E">
        <w:t>as follow:</w:t>
      </w:r>
      <w:r w:rsidR="00BE6225">
        <w:t xml:space="preserve"> </w:t>
      </w:r>
      <w:r w:rsidR="00317F4F" w:rsidRPr="008E7B12">
        <w:t>Step 1: collect needed information</w:t>
      </w:r>
      <w:r w:rsidR="00BE6225">
        <w:t xml:space="preserve">; </w:t>
      </w:r>
      <w:r w:rsidR="00317F4F" w:rsidRPr="008E7B12">
        <w:t>Step 2: identify potentially hazardous equipment in the plant</w:t>
      </w:r>
      <w:r w:rsidR="00BE6225">
        <w:t xml:space="preserve">; </w:t>
      </w:r>
      <w:r w:rsidR="00317F4F" w:rsidRPr="008E7B12">
        <w:t>Step 3: select relevant hazardous equipment</w:t>
      </w:r>
      <w:r w:rsidR="00BE6225">
        <w:t xml:space="preserve">; </w:t>
      </w:r>
      <w:r w:rsidR="00317F4F" w:rsidRPr="008E7B12">
        <w:t>Step 4: for each selected equipment, associate critical events</w:t>
      </w:r>
      <w:r w:rsidR="00BE6225">
        <w:t xml:space="preserve">; </w:t>
      </w:r>
      <w:r w:rsidR="00317F4F" w:rsidRPr="008E7B12">
        <w:t>Step 5: for each critical event, build a fault tree</w:t>
      </w:r>
      <w:r w:rsidR="00BE6225">
        <w:t xml:space="preserve">; </w:t>
      </w:r>
      <w:r w:rsidR="00317F4F" w:rsidRPr="008E7B12">
        <w:t>Step 6: for each critical event, build an event tree</w:t>
      </w:r>
      <w:r w:rsidR="00BE6225">
        <w:t xml:space="preserve">; </w:t>
      </w:r>
      <w:r w:rsidR="00317F4F" w:rsidRPr="008E7B12">
        <w:t>Step 7: for each selected equipment, build the complete bow-ties</w:t>
      </w:r>
      <w:r w:rsidR="000660F3" w:rsidRPr="008E7B12">
        <w:t xml:space="preserve"> </w:t>
      </w:r>
    </w:p>
    <w:p w14:paraId="2BC18CBA" w14:textId="706B2CCA" w:rsidR="00EF2403" w:rsidRPr="00B57B36" w:rsidRDefault="00005441" w:rsidP="00EF2403">
      <w:pPr>
        <w:pStyle w:val="CETCaption"/>
      </w:pPr>
      <w:r>
        <w:rPr>
          <w:noProof/>
        </w:rPr>
        <w:drawing>
          <wp:inline distT="0" distB="0" distL="0" distR="0" wp14:anchorId="5AA22C4E" wp14:editId="3FE52A19">
            <wp:extent cx="5400000" cy="3037693"/>
            <wp:effectExtent l="0" t="0" r="0" b="0"/>
            <wp:docPr id="122142172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21724" name="Picture 1" descr="Diagram&#10;&#10;Description automatically generated"/>
                    <pic:cNvPicPr/>
                  </pic:nvPicPr>
                  <pic:blipFill>
                    <a:blip r:embed="rId10"/>
                    <a:stretch>
                      <a:fillRect/>
                    </a:stretch>
                  </pic:blipFill>
                  <pic:spPr>
                    <a:xfrm>
                      <a:off x="0" y="0"/>
                      <a:ext cx="5400000" cy="3037693"/>
                    </a:xfrm>
                    <a:prstGeom prst="rect">
                      <a:avLst/>
                    </a:prstGeom>
                  </pic:spPr>
                </pic:pic>
              </a:graphicData>
            </a:graphic>
          </wp:inline>
        </w:drawing>
      </w:r>
    </w:p>
    <w:p w14:paraId="76BA24F0" w14:textId="669D3EFB" w:rsidR="004A5E0A" w:rsidRPr="00344D0A" w:rsidRDefault="00EF2403" w:rsidP="00EF2403">
      <w:pPr>
        <w:pStyle w:val="CETCaption"/>
      </w:pPr>
      <w:r w:rsidRPr="00BD077D">
        <w:rPr>
          <w:rStyle w:val="CETCaptionCarattere"/>
          <w:i/>
        </w:rPr>
        <w:t xml:space="preserve">Figure 1: </w:t>
      </w:r>
      <w:r w:rsidRPr="00817A32">
        <w:rPr>
          <w:rStyle w:val="CETCaptionCarattere"/>
          <w:i/>
        </w:rPr>
        <w:t xml:space="preserve">procedure to identify the consequences of failure for hydrogen technologies by exploiting the MIMAH </w:t>
      </w:r>
      <w:proofErr w:type="gramStart"/>
      <w:r w:rsidRPr="00817A32">
        <w:rPr>
          <w:rStyle w:val="CETCaptionCarattere"/>
          <w:i/>
        </w:rPr>
        <w:t>methodology</w:t>
      </w:r>
      <w:proofErr w:type="gramEnd"/>
      <w:r w:rsidRPr="00BD077D">
        <w:t xml:space="preserve"> </w:t>
      </w:r>
    </w:p>
    <w:p w14:paraId="13F14343" w14:textId="4F3A3DF9" w:rsidR="001F5FED" w:rsidRDefault="00A72951" w:rsidP="00CB3489">
      <w:pPr>
        <w:pStyle w:val="CETBodytext"/>
      </w:pPr>
      <w:r>
        <w:t xml:space="preserve">In this study, </w:t>
      </w:r>
      <w:r w:rsidR="006818CA">
        <w:t>steps</w:t>
      </w:r>
      <w:r>
        <w:t xml:space="preserve"> 5 and 7 are disregarded since the focus is placed on the consequences of failure.</w:t>
      </w:r>
      <w:r w:rsidR="00344D0A">
        <w:t xml:space="preserve"> </w:t>
      </w:r>
      <w:r w:rsidR="00EE66B4">
        <w:t xml:space="preserve">During step 1, </w:t>
      </w:r>
      <w:r w:rsidR="00BB50E6">
        <w:t>different information regarding the components and operating conditions</w:t>
      </w:r>
      <w:r w:rsidR="00C95FC6">
        <w:t xml:space="preserve"> and substance handled</w:t>
      </w:r>
      <w:r w:rsidR="00BB50E6">
        <w:t xml:space="preserve"> </w:t>
      </w:r>
      <w:r w:rsidR="00C95FC6">
        <w:t>in</w:t>
      </w:r>
      <w:r w:rsidR="00BB50E6">
        <w:t xml:space="preserve"> the </w:t>
      </w:r>
      <w:r w:rsidR="00C95FC6">
        <w:t>plant must be specified. In this study, only</w:t>
      </w:r>
      <w:r w:rsidR="00BB50E6">
        <w:t xml:space="preserve"> the physical status </w:t>
      </w:r>
      <w:r w:rsidR="00C95FC6">
        <w:t>of hydrogen will be specified. Then</w:t>
      </w:r>
      <w:r w:rsidR="00E21C0B">
        <w:t>,</w:t>
      </w:r>
      <w:r w:rsidR="00344D0A">
        <w:t xml:space="preserve"> </w:t>
      </w:r>
      <w:r w:rsidR="00C95FC6">
        <w:t xml:space="preserve">the </w:t>
      </w:r>
      <w:r w:rsidR="00EC19E2">
        <w:t xml:space="preserve">equipment considered in </w:t>
      </w:r>
      <w:r w:rsidR="007D181A">
        <w:t xml:space="preserve">the study are defined (step 2 &amp; 3). </w:t>
      </w:r>
      <w:r w:rsidR="00D15B55">
        <w:t>The critical events</w:t>
      </w:r>
      <w:r w:rsidR="00344D0A">
        <w:t xml:space="preserve"> </w:t>
      </w:r>
      <w:r w:rsidR="00D15B55">
        <w:t xml:space="preserve">can be identified once the physical status of the substance and the equipment are known (step 4). Finally, </w:t>
      </w:r>
      <w:r w:rsidR="0019236F">
        <w:t xml:space="preserve">the event trees can be built for each critical event. </w:t>
      </w:r>
      <w:r w:rsidR="007806CF">
        <w:t>The dangerous phenomen</w:t>
      </w:r>
      <w:r w:rsidR="001B12FE">
        <w:t>a</w:t>
      </w:r>
      <w:r w:rsidR="007806CF">
        <w:t xml:space="preserve"> </w:t>
      </w:r>
      <w:r w:rsidR="004026A5">
        <w:t xml:space="preserve">which are the consequences of the critical events </w:t>
      </w:r>
      <w:r w:rsidR="001B12FE">
        <w:t xml:space="preserve">can be retrieved from the </w:t>
      </w:r>
      <w:r w:rsidR="001B12FE">
        <w:lastRenderedPageBreak/>
        <w:t>even trees</w:t>
      </w:r>
      <w:r w:rsidR="004026A5">
        <w:t xml:space="preserve">. Figure 1 shows the </w:t>
      </w:r>
      <w:r w:rsidR="00560EAC">
        <w:t xml:space="preserve">schematic of the procedure </w:t>
      </w:r>
      <w:r w:rsidR="00E62D7E">
        <w:t xml:space="preserve">to identify the consequences of failure for hydrogen technologies </w:t>
      </w:r>
      <w:r w:rsidR="00817A32">
        <w:t>by exploiting the MIMAH methodology as</w:t>
      </w:r>
      <w:r w:rsidR="00E62D7E">
        <w:t xml:space="preserve"> </w:t>
      </w:r>
      <w:r w:rsidR="00560EAC">
        <w:t>suggested in this work</w:t>
      </w:r>
      <w:r w:rsidR="00817A32">
        <w:t>.</w:t>
      </w:r>
    </w:p>
    <w:p w14:paraId="12BD955B" w14:textId="77777777" w:rsidR="00CB3489" w:rsidRDefault="00CB3489" w:rsidP="00CB3489">
      <w:pPr>
        <w:pStyle w:val="CETheadingx"/>
      </w:pPr>
      <w:r w:rsidRPr="00B31555">
        <w:t>Consequences from the loss of containment of hydrogen equipment</w:t>
      </w:r>
    </w:p>
    <w:p w14:paraId="64450AC9" w14:textId="24844577" w:rsidR="00CB3489" w:rsidRDefault="00CB3489" w:rsidP="00D26604">
      <w:pPr>
        <w:pStyle w:val="CETBodytextItalic"/>
        <w:rPr>
          <w:i w:val="0"/>
          <w:iCs/>
          <w:lang w:val="en-US"/>
        </w:rPr>
      </w:pPr>
      <w:r>
        <w:rPr>
          <w:i w:val="0"/>
          <w:iCs/>
          <w:lang w:val="en-US"/>
        </w:rPr>
        <w:t xml:space="preserve">The MIMAH methodology was applied to </w:t>
      </w:r>
      <w:r w:rsidR="00DF1E7E">
        <w:rPr>
          <w:i w:val="0"/>
          <w:iCs/>
          <w:lang w:val="en-US"/>
        </w:rPr>
        <w:t xml:space="preserve">the LOC of </w:t>
      </w:r>
      <w:r>
        <w:rPr>
          <w:i w:val="0"/>
          <w:iCs/>
          <w:lang w:val="en-US"/>
        </w:rPr>
        <w:t>hydrogen technologies</w:t>
      </w:r>
      <w:r w:rsidR="00D2098D">
        <w:rPr>
          <w:i w:val="0"/>
          <w:iCs/>
          <w:lang w:val="en-US"/>
        </w:rPr>
        <w:t xml:space="preserve"> </w:t>
      </w:r>
      <w:r w:rsidR="00FC557D">
        <w:rPr>
          <w:i w:val="0"/>
          <w:iCs/>
          <w:lang w:val="en-US"/>
        </w:rPr>
        <w:t>without applying steps 5 and 7 since th</w:t>
      </w:r>
      <w:r w:rsidR="00472B55">
        <w:rPr>
          <w:i w:val="0"/>
          <w:iCs/>
          <w:lang w:val="en-US"/>
        </w:rPr>
        <w:t>ey are not relevant for this study.</w:t>
      </w:r>
      <w:r>
        <w:rPr>
          <w:i w:val="0"/>
          <w:iCs/>
          <w:lang w:val="en-US"/>
        </w:rPr>
        <w:t xml:space="preserve"> </w:t>
      </w:r>
      <w:r w:rsidR="00472B55">
        <w:rPr>
          <w:i w:val="0"/>
          <w:iCs/>
          <w:lang w:val="en-US"/>
        </w:rPr>
        <w:t>T</w:t>
      </w:r>
      <w:r w:rsidR="00DF1E7E">
        <w:rPr>
          <w:i w:val="0"/>
          <w:iCs/>
          <w:lang w:val="en-US"/>
        </w:rPr>
        <w:t>he main consequences</w:t>
      </w:r>
      <w:r w:rsidR="00472B55">
        <w:rPr>
          <w:i w:val="0"/>
          <w:iCs/>
          <w:lang w:val="en-US"/>
        </w:rPr>
        <w:t xml:space="preserve"> were identified</w:t>
      </w:r>
      <w:r w:rsidR="00DF1E7E">
        <w:rPr>
          <w:i w:val="0"/>
          <w:iCs/>
          <w:lang w:val="en-US"/>
        </w:rPr>
        <w:t xml:space="preserve"> as follow:</w:t>
      </w:r>
    </w:p>
    <w:p w14:paraId="32B75307" w14:textId="77777777" w:rsidR="00CB3489" w:rsidRPr="00CB3489" w:rsidRDefault="00CB3489" w:rsidP="00D26604">
      <w:pPr>
        <w:pStyle w:val="CETBodytextItalic"/>
        <w:rPr>
          <w:i w:val="0"/>
          <w:iCs/>
          <w:lang w:val="en-US"/>
        </w:rPr>
      </w:pPr>
    </w:p>
    <w:p w14:paraId="58C19458" w14:textId="3BEF68FC" w:rsidR="00D26604" w:rsidRPr="006F5450" w:rsidRDefault="004D6657" w:rsidP="00BE1067">
      <w:pPr>
        <w:pStyle w:val="CETBodytextItalic"/>
        <w:rPr>
          <w:b/>
          <w:bCs/>
          <w:i w:val="0"/>
          <w:iCs/>
        </w:rPr>
      </w:pPr>
      <w:r w:rsidRPr="006F5450">
        <w:rPr>
          <w:b/>
          <w:bCs/>
          <w:i w:val="0"/>
          <w:iCs/>
        </w:rPr>
        <w:t>Step 1</w:t>
      </w:r>
      <w:r w:rsidR="00AE0377" w:rsidRPr="006F5450">
        <w:rPr>
          <w:b/>
          <w:bCs/>
          <w:i w:val="0"/>
          <w:iCs/>
        </w:rPr>
        <w:t xml:space="preserve"> - Collect needed </w:t>
      </w:r>
      <w:proofErr w:type="gramStart"/>
      <w:r w:rsidR="00AE0377" w:rsidRPr="006F5450">
        <w:rPr>
          <w:b/>
          <w:bCs/>
          <w:i w:val="0"/>
          <w:iCs/>
        </w:rPr>
        <w:t>information</w:t>
      </w:r>
      <w:proofErr w:type="gramEnd"/>
    </w:p>
    <w:p w14:paraId="22D3FA38" w14:textId="0169B150" w:rsidR="007A2EC8" w:rsidRDefault="00304F8C" w:rsidP="00453E24">
      <w:pPr>
        <w:pStyle w:val="CETBodytext"/>
      </w:pPr>
      <w:r>
        <w:t>Obviously</w:t>
      </w:r>
      <w:r w:rsidR="00457E31">
        <w:t>,</w:t>
      </w:r>
      <w:r>
        <w:t xml:space="preserve"> MIMAH was developed to be used in different chemical and process industr</w:t>
      </w:r>
      <w:r w:rsidR="00A1750E">
        <w:t xml:space="preserve">ies and be applied by risk analysts who are working directly </w:t>
      </w:r>
      <w:r w:rsidR="001C7233">
        <w:t>i</w:t>
      </w:r>
      <w:r w:rsidR="00A1750E">
        <w:t xml:space="preserve">n </w:t>
      </w:r>
      <w:r w:rsidR="001C7233">
        <w:t xml:space="preserve">the industrial facilities. </w:t>
      </w:r>
      <w:proofErr w:type="gramStart"/>
      <w:r w:rsidR="001C7233">
        <w:t xml:space="preserve">For the </w:t>
      </w:r>
      <w:r w:rsidR="007D5A31">
        <w:t>purpose of</w:t>
      </w:r>
      <w:proofErr w:type="gramEnd"/>
      <w:r w:rsidR="007D5A31">
        <w:t xml:space="preserve"> this paper</w:t>
      </w:r>
      <w:r w:rsidR="00171221">
        <w:t>, the m</w:t>
      </w:r>
      <w:r w:rsidR="009738C8">
        <w:t>ost critical information</w:t>
      </w:r>
      <w:r w:rsidR="00E953B8">
        <w:t xml:space="preserve"> is the hazard</w:t>
      </w:r>
      <w:r w:rsidR="00427FC6">
        <w:t>ous properties of hydrogen</w:t>
      </w:r>
      <w:r w:rsidR="00614C54">
        <w:t xml:space="preserve"> which </w:t>
      </w:r>
      <w:r w:rsidR="002A10C7">
        <w:t>is</w:t>
      </w:r>
      <w:r w:rsidR="00614C54">
        <w:t xml:space="preserve"> </w:t>
      </w:r>
      <w:r w:rsidR="002A10C7" w:rsidRPr="002A10C7">
        <w:t>extremely flammable (R12)</w:t>
      </w:r>
      <w:r w:rsidR="003F5BB7">
        <w:t>.</w:t>
      </w:r>
      <w:r w:rsidR="00C66BF3">
        <w:t xml:space="preserve"> Moreover, hydrogen can be stored in gaseous </w:t>
      </w:r>
      <w:r w:rsidR="004760F8">
        <w:t xml:space="preserve">or liquid phase, hence a high-pressure </w:t>
      </w:r>
      <w:r w:rsidR="000157AF">
        <w:t>or cryogenic hazard is present, respectively.</w:t>
      </w:r>
      <w:r w:rsidR="00DB65FF">
        <w:t xml:space="preserve"> </w:t>
      </w:r>
      <w:r w:rsidR="009E32C4">
        <w:t>In case of release from a liquid hydrogen</w:t>
      </w:r>
      <w:r w:rsidR="00FD4C56">
        <w:t xml:space="preserve"> (LH2)</w:t>
      </w:r>
      <w:r w:rsidR="009E32C4">
        <w:t xml:space="preserve"> equipment, </w:t>
      </w:r>
      <w:r w:rsidR="00096EA5">
        <w:t>a two-phase</w:t>
      </w:r>
      <w:r w:rsidR="009E32C4">
        <w:t xml:space="preserve"> jet</w:t>
      </w:r>
      <w:r w:rsidR="00DB2624">
        <w:t xml:space="preserve"> can be </w:t>
      </w:r>
      <w:r w:rsidR="00096EA5">
        <w:t xml:space="preserve">developed due to the rapid </w:t>
      </w:r>
      <w:r w:rsidR="008D6146">
        <w:t>evaporation (flashing) of hydrogen when in contact with the atmosphere.</w:t>
      </w:r>
      <w:r w:rsidR="009119FC">
        <w:t xml:space="preserve"> Therefore, the physical </w:t>
      </w:r>
      <w:r w:rsidR="008F2732">
        <w:t>states</w:t>
      </w:r>
      <w:r w:rsidR="00287CF2">
        <w:t xml:space="preserve"> </w:t>
      </w:r>
      <w:r w:rsidR="008F2732">
        <w:t>of the substance are:</w:t>
      </w:r>
    </w:p>
    <w:p w14:paraId="42C62B29" w14:textId="18685F79" w:rsidR="008F2732" w:rsidRDefault="00EB5C1D" w:rsidP="00AF3A17">
      <w:pPr>
        <w:pStyle w:val="CETListbullets"/>
        <w:numPr>
          <w:ilvl w:val="0"/>
          <w:numId w:val="24"/>
        </w:numPr>
        <w:ind w:left="340" w:hanging="227"/>
      </w:pPr>
      <w:r>
        <w:t xml:space="preserve">Liquid </w:t>
      </w:r>
    </w:p>
    <w:p w14:paraId="24267CE4" w14:textId="1E337AC0" w:rsidR="00EB5C1D" w:rsidRDefault="00EB5C1D" w:rsidP="00AF3A17">
      <w:pPr>
        <w:pStyle w:val="CETListbullets"/>
        <w:numPr>
          <w:ilvl w:val="0"/>
          <w:numId w:val="24"/>
        </w:numPr>
        <w:ind w:left="340" w:hanging="227"/>
      </w:pPr>
      <w:r>
        <w:t xml:space="preserve">Two-phase </w:t>
      </w:r>
    </w:p>
    <w:p w14:paraId="04AE7A69" w14:textId="7A20B1FB" w:rsidR="002D2339" w:rsidRDefault="000939E0" w:rsidP="006F5450">
      <w:pPr>
        <w:pStyle w:val="CETListbullets"/>
        <w:numPr>
          <w:ilvl w:val="0"/>
          <w:numId w:val="24"/>
        </w:numPr>
        <w:ind w:left="340" w:hanging="227"/>
      </w:pPr>
      <w:r>
        <w:t xml:space="preserve">Gas </w:t>
      </w:r>
    </w:p>
    <w:p w14:paraId="30B15548" w14:textId="77777777" w:rsidR="00BE1067" w:rsidRDefault="00BE1067" w:rsidP="00BE1067">
      <w:pPr>
        <w:pStyle w:val="CETBodytext"/>
      </w:pPr>
    </w:p>
    <w:p w14:paraId="24C14C8C" w14:textId="2DB5C0C7" w:rsidR="003E5917" w:rsidRPr="006F5450" w:rsidRDefault="003E5917" w:rsidP="00BE1067">
      <w:pPr>
        <w:pStyle w:val="CETBodytext"/>
        <w:rPr>
          <w:b/>
          <w:bCs/>
        </w:rPr>
      </w:pPr>
      <w:r w:rsidRPr="006F5450">
        <w:rPr>
          <w:b/>
          <w:bCs/>
        </w:rPr>
        <w:t>Step 2</w:t>
      </w:r>
      <w:r w:rsidR="001E27D4" w:rsidRPr="006F5450">
        <w:rPr>
          <w:b/>
          <w:bCs/>
        </w:rPr>
        <w:t xml:space="preserve"> &amp; 3</w:t>
      </w:r>
      <w:r w:rsidR="00AE0377" w:rsidRPr="006F5450">
        <w:rPr>
          <w:b/>
          <w:bCs/>
        </w:rPr>
        <w:t xml:space="preserve"> - Identify potentially hazardous equipment in the plant &amp; select relevant hazardous </w:t>
      </w:r>
      <w:proofErr w:type="gramStart"/>
      <w:r w:rsidR="00AE0377" w:rsidRPr="006F5450">
        <w:rPr>
          <w:b/>
          <w:bCs/>
        </w:rPr>
        <w:t>equipment</w:t>
      </w:r>
      <w:proofErr w:type="gramEnd"/>
    </w:p>
    <w:p w14:paraId="1EB58049" w14:textId="5568572E" w:rsidR="002D0D12" w:rsidRDefault="001E27D4" w:rsidP="00453E24">
      <w:pPr>
        <w:pStyle w:val="CETBodytext"/>
      </w:pPr>
      <w:proofErr w:type="gramStart"/>
      <w:r>
        <w:t>Step</w:t>
      </w:r>
      <w:proofErr w:type="gramEnd"/>
      <w:r>
        <w:t xml:space="preserve"> 2 and 3 are </w:t>
      </w:r>
      <w:r w:rsidR="00A71468">
        <w:t xml:space="preserve">merged </w:t>
      </w:r>
      <w:r w:rsidR="0050650B">
        <w:t xml:space="preserve">in this study </w:t>
      </w:r>
      <w:r w:rsidR="00A71468">
        <w:t>because</w:t>
      </w:r>
      <w:r w:rsidR="0050650B">
        <w:t xml:space="preserve"> </w:t>
      </w:r>
      <w:r w:rsidR="00054AD4">
        <w:t>a specific plant was not considered.</w:t>
      </w:r>
      <w:r w:rsidR="00A71468">
        <w:t xml:space="preserve"> </w:t>
      </w:r>
      <w:r w:rsidR="0092337E">
        <w:t xml:space="preserve">Hydrogen </w:t>
      </w:r>
      <w:r w:rsidR="00952C64">
        <w:t>is usually</w:t>
      </w:r>
      <w:r w:rsidR="0092337E">
        <w:t xml:space="preserve"> stored </w:t>
      </w:r>
      <w:r w:rsidR="00952C64">
        <w:t xml:space="preserve">under </w:t>
      </w:r>
      <w:r w:rsidR="00F0345D">
        <w:t xml:space="preserve">high </w:t>
      </w:r>
      <w:r w:rsidR="00952C64">
        <w:t>pressure</w:t>
      </w:r>
      <w:r w:rsidR="00F0345D">
        <w:t xml:space="preserve"> (</w:t>
      </w:r>
      <w:r w:rsidR="00033445">
        <w:t>1</w:t>
      </w:r>
      <w:r w:rsidR="00F0345D">
        <w:t>00 - 700 bar</w:t>
      </w:r>
      <w:r w:rsidR="008E2387">
        <w:t xml:space="preserve"> </w:t>
      </w:r>
      <w:r w:rsidR="00905664">
        <w:t>(</w:t>
      </w:r>
      <w:r w:rsidR="00E20DD2" w:rsidRPr="00A316FF">
        <w:t>Andersson</w:t>
      </w:r>
      <w:r w:rsidR="00905664">
        <w:t xml:space="preserve"> and</w:t>
      </w:r>
      <w:r w:rsidR="00E20DD2" w:rsidRPr="00A316FF">
        <w:t xml:space="preserve"> </w:t>
      </w:r>
      <w:proofErr w:type="spellStart"/>
      <w:r w:rsidR="00E20DD2" w:rsidRPr="00A316FF">
        <w:t>Grönkvist</w:t>
      </w:r>
      <w:proofErr w:type="spellEnd"/>
      <w:r w:rsidR="00905664">
        <w:t>, 2019)</w:t>
      </w:r>
      <w:r w:rsidR="00F0345D">
        <w:t>)</w:t>
      </w:r>
      <w:r w:rsidR="00952C64">
        <w:t xml:space="preserve"> in metallic or composite tanks</w:t>
      </w:r>
      <w:r w:rsidR="00F0345D">
        <w:t xml:space="preserve"> depending on the type of application.</w:t>
      </w:r>
      <w:r w:rsidR="00035BBA">
        <w:t xml:space="preserve"> It can also be transported via pipelines</w:t>
      </w:r>
      <w:r w:rsidR="00164657">
        <w:t xml:space="preserve"> as a compressed gas</w:t>
      </w:r>
      <w:r w:rsidR="00035BBA">
        <w:t xml:space="preserve"> or liquefied</w:t>
      </w:r>
      <w:r w:rsidR="00164657">
        <w:t xml:space="preserve"> and kept in double-walled vacuum insulated tanks. </w:t>
      </w:r>
      <w:r w:rsidR="001F3258">
        <w:t xml:space="preserve">For </w:t>
      </w:r>
      <w:proofErr w:type="gramStart"/>
      <w:r w:rsidR="001F3258">
        <w:t>this reasons</w:t>
      </w:r>
      <w:proofErr w:type="gramEnd"/>
      <w:r w:rsidR="001F3258">
        <w:t>, t</w:t>
      </w:r>
      <w:r w:rsidR="002F45D3">
        <w:t xml:space="preserve">he following equipment were selected from the </w:t>
      </w:r>
      <w:r w:rsidR="00B20513">
        <w:t xml:space="preserve">table of equipment provided by </w:t>
      </w:r>
      <w:proofErr w:type="spellStart"/>
      <w:r w:rsidR="00B20513">
        <w:t>Delvosalle</w:t>
      </w:r>
      <w:proofErr w:type="spellEnd"/>
      <w:r w:rsidR="00B20513">
        <w:t xml:space="preserve"> et al. (2006) who developed the </w:t>
      </w:r>
      <w:r w:rsidR="00560144">
        <w:t>MIMAH methodology:</w:t>
      </w:r>
    </w:p>
    <w:p w14:paraId="09D08ABC" w14:textId="1D8BBA17" w:rsidR="004E09DB" w:rsidRDefault="00383373" w:rsidP="00330BA1">
      <w:pPr>
        <w:pStyle w:val="CETListbullets"/>
        <w:numPr>
          <w:ilvl w:val="0"/>
          <w:numId w:val="24"/>
        </w:numPr>
        <w:ind w:left="340" w:hanging="227"/>
      </w:pPr>
      <w:r>
        <w:t xml:space="preserve">Pressure storage </w:t>
      </w:r>
    </w:p>
    <w:p w14:paraId="37014610" w14:textId="611573A5" w:rsidR="004E09DB" w:rsidRDefault="004E09DB" w:rsidP="00330BA1">
      <w:pPr>
        <w:pStyle w:val="CETListbullets"/>
        <w:numPr>
          <w:ilvl w:val="0"/>
          <w:numId w:val="24"/>
        </w:numPr>
        <w:ind w:left="340" w:hanging="227"/>
      </w:pPr>
      <w:r>
        <w:t xml:space="preserve">Cryogenic storage </w:t>
      </w:r>
    </w:p>
    <w:p w14:paraId="12315989" w14:textId="2CB2B091" w:rsidR="002C7E68" w:rsidRDefault="002C7E68" w:rsidP="00330BA1">
      <w:pPr>
        <w:pStyle w:val="CETListbullets"/>
        <w:numPr>
          <w:ilvl w:val="0"/>
          <w:numId w:val="24"/>
        </w:numPr>
        <w:ind w:left="340" w:hanging="227"/>
      </w:pPr>
      <w:r w:rsidRPr="002C7E68">
        <w:t xml:space="preserve">Pressure transport equipment </w:t>
      </w:r>
    </w:p>
    <w:p w14:paraId="21692D0A" w14:textId="33757CFC" w:rsidR="001E27D4" w:rsidRDefault="002C7E68" w:rsidP="006F5450">
      <w:pPr>
        <w:pStyle w:val="CETListbullets"/>
        <w:numPr>
          <w:ilvl w:val="0"/>
          <w:numId w:val="24"/>
        </w:numPr>
        <w:ind w:left="340" w:hanging="227"/>
      </w:pPr>
      <w:r>
        <w:t xml:space="preserve">Pipe network </w:t>
      </w:r>
    </w:p>
    <w:p w14:paraId="1EB994FE" w14:textId="77777777" w:rsidR="00945B61" w:rsidRDefault="00945B61">
      <w:pPr>
        <w:pStyle w:val="CETHeadingxx"/>
      </w:pPr>
    </w:p>
    <w:p w14:paraId="545C70A7" w14:textId="0C607EDB" w:rsidR="00E73ACD" w:rsidRPr="006F5450" w:rsidRDefault="001E27D4" w:rsidP="00945B61">
      <w:pPr>
        <w:pStyle w:val="CETBodytext"/>
        <w:rPr>
          <w:b/>
          <w:bCs/>
        </w:rPr>
      </w:pPr>
      <w:r w:rsidRPr="006F5450">
        <w:rPr>
          <w:b/>
          <w:bCs/>
        </w:rPr>
        <w:t xml:space="preserve">Step </w:t>
      </w:r>
      <w:r w:rsidR="00E73ACD" w:rsidRPr="006F5450">
        <w:rPr>
          <w:b/>
          <w:bCs/>
        </w:rPr>
        <w:t>4</w:t>
      </w:r>
      <w:r w:rsidR="00945B61">
        <w:rPr>
          <w:b/>
          <w:bCs/>
        </w:rPr>
        <w:t xml:space="preserve"> - </w:t>
      </w:r>
      <w:r w:rsidR="00C12726" w:rsidRPr="00C12726">
        <w:rPr>
          <w:b/>
          <w:bCs/>
        </w:rPr>
        <w:t xml:space="preserve">for each selected equipment, associate critical </w:t>
      </w:r>
      <w:proofErr w:type="gramStart"/>
      <w:r w:rsidR="00C12726" w:rsidRPr="00C12726">
        <w:rPr>
          <w:b/>
          <w:bCs/>
        </w:rPr>
        <w:t>events</w:t>
      </w:r>
      <w:proofErr w:type="gramEnd"/>
    </w:p>
    <w:p w14:paraId="2B0EDACD" w14:textId="23CE5839" w:rsidR="001E27D4" w:rsidRDefault="001D474A" w:rsidP="00453E24">
      <w:pPr>
        <w:pStyle w:val="CETBodytext"/>
      </w:pPr>
      <w:r>
        <w:t xml:space="preserve">Different critical events may arise from the </w:t>
      </w:r>
      <w:r w:rsidR="002A7062">
        <w:t xml:space="preserve">LOI of hydrogen equipment. The ones selected in this </w:t>
      </w:r>
      <w:r w:rsidR="00212183">
        <w:t>work</w:t>
      </w:r>
      <w:r w:rsidR="002A7062">
        <w:t xml:space="preserve"> are</w:t>
      </w:r>
      <w:r w:rsidR="00615DDD">
        <w:t xml:space="preserve"> based on the type of equipment and </w:t>
      </w:r>
      <w:r w:rsidR="00AE5472">
        <w:t>the physical state of hydrogen</w:t>
      </w:r>
      <w:r w:rsidR="009119FC">
        <w:t xml:space="preserve"> (gas or liquid)</w:t>
      </w:r>
      <w:r w:rsidR="002A7062">
        <w:t xml:space="preserve"> as follow:</w:t>
      </w:r>
    </w:p>
    <w:p w14:paraId="00A86CDF" w14:textId="50F1EA2B" w:rsidR="00E32E64" w:rsidRDefault="00384F5C" w:rsidP="00E25A61">
      <w:pPr>
        <w:pStyle w:val="CETListbullets"/>
        <w:numPr>
          <w:ilvl w:val="0"/>
          <w:numId w:val="24"/>
        </w:numPr>
        <w:ind w:left="340" w:hanging="227"/>
      </w:pPr>
      <w:r w:rsidRPr="00384F5C">
        <w:t xml:space="preserve">start of fire </w:t>
      </w:r>
    </w:p>
    <w:p w14:paraId="1446F444" w14:textId="6BB1662F" w:rsidR="007B30B2" w:rsidRPr="00E25A61" w:rsidRDefault="00417E7D" w:rsidP="00E25A61">
      <w:pPr>
        <w:pStyle w:val="CETListbullets"/>
        <w:numPr>
          <w:ilvl w:val="0"/>
          <w:numId w:val="24"/>
        </w:numPr>
        <w:ind w:left="340" w:hanging="227"/>
      </w:pPr>
      <w:r w:rsidRPr="00E25A61">
        <w:t xml:space="preserve">breach on the shell in vapour phase </w:t>
      </w:r>
    </w:p>
    <w:p w14:paraId="2C6877AF" w14:textId="0FAA0EDD" w:rsidR="007B30B2" w:rsidRPr="00E25A61" w:rsidRDefault="00417E7D" w:rsidP="00E25A61">
      <w:pPr>
        <w:pStyle w:val="CETListbullets"/>
        <w:numPr>
          <w:ilvl w:val="0"/>
          <w:numId w:val="24"/>
        </w:numPr>
        <w:ind w:left="340" w:hanging="227"/>
      </w:pPr>
      <w:r w:rsidRPr="005F73C6">
        <w:t xml:space="preserve">breach on the shell in </w:t>
      </w:r>
      <w:r>
        <w:t>liquid</w:t>
      </w:r>
      <w:r w:rsidRPr="005F73C6">
        <w:t xml:space="preserve"> phase </w:t>
      </w:r>
    </w:p>
    <w:p w14:paraId="3312D312" w14:textId="0A08FC72" w:rsidR="007B30B2" w:rsidRPr="00E25A61" w:rsidRDefault="00B411AB" w:rsidP="00E25A61">
      <w:pPr>
        <w:pStyle w:val="CETListbullets"/>
        <w:numPr>
          <w:ilvl w:val="0"/>
          <w:numId w:val="24"/>
        </w:numPr>
        <w:ind w:left="340" w:hanging="227"/>
      </w:pPr>
      <w:r w:rsidRPr="00E25A61">
        <w:t xml:space="preserve">leak from liquid pipe </w:t>
      </w:r>
    </w:p>
    <w:p w14:paraId="5C98E5A3" w14:textId="15C951D2" w:rsidR="007B30B2" w:rsidRPr="00E25A61" w:rsidRDefault="00B411AB" w:rsidP="00E25A61">
      <w:pPr>
        <w:pStyle w:val="CETListbullets"/>
        <w:numPr>
          <w:ilvl w:val="0"/>
          <w:numId w:val="24"/>
        </w:numPr>
        <w:ind w:left="340" w:hanging="227"/>
      </w:pPr>
      <w:r w:rsidRPr="005F73C6">
        <w:t xml:space="preserve">leak from </w:t>
      </w:r>
      <w:r>
        <w:t>gas</w:t>
      </w:r>
      <w:r w:rsidRPr="005F73C6">
        <w:t xml:space="preserve"> pipe </w:t>
      </w:r>
    </w:p>
    <w:p w14:paraId="4342B04C" w14:textId="6754A5CD" w:rsidR="007B30B2" w:rsidRPr="00E25A61" w:rsidRDefault="00B411AB" w:rsidP="00E25A61">
      <w:pPr>
        <w:pStyle w:val="CETListbullets"/>
        <w:numPr>
          <w:ilvl w:val="0"/>
          <w:numId w:val="24"/>
        </w:numPr>
        <w:ind w:left="340" w:hanging="227"/>
      </w:pPr>
      <w:r w:rsidRPr="00E25A61">
        <w:t xml:space="preserve">catastrophic rupture </w:t>
      </w:r>
    </w:p>
    <w:p w14:paraId="5C525D18" w14:textId="61AE44EB" w:rsidR="00724EEF" w:rsidRDefault="00B411AB" w:rsidP="006F5450">
      <w:pPr>
        <w:pStyle w:val="CETListbullets"/>
        <w:numPr>
          <w:ilvl w:val="0"/>
          <w:numId w:val="24"/>
        </w:numPr>
        <w:ind w:left="340" w:hanging="227"/>
      </w:pPr>
      <w:r w:rsidRPr="00E25A61">
        <w:t xml:space="preserve">vessel collapse </w:t>
      </w:r>
    </w:p>
    <w:p w14:paraId="18584EE3" w14:textId="77777777" w:rsidR="003974CA" w:rsidRDefault="003974CA">
      <w:pPr>
        <w:pStyle w:val="CETHeadingxx"/>
      </w:pPr>
    </w:p>
    <w:p w14:paraId="4D09E824" w14:textId="33C7F03E" w:rsidR="002A7062" w:rsidRPr="006F5450" w:rsidRDefault="001861CF" w:rsidP="003974CA">
      <w:pPr>
        <w:pStyle w:val="CETBodytext"/>
        <w:rPr>
          <w:b/>
          <w:bCs/>
        </w:rPr>
      </w:pPr>
      <w:r w:rsidRPr="006F5450">
        <w:rPr>
          <w:b/>
          <w:bCs/>
        </w:rPr>
        <w:t>Step 6</w:t>
      </w:r>
      <w:r w:rsidR="00C12726" w:rsidRPr="006F5450">
        <w:rPr>
          <w:b/>
          <w:bCs/>
        </w:rPr>
        <w:t xml:space="preserve"> - </w:t>
      </w:r>
      <w:r w:rsidR="00D2098D" w:rsidRPr="006F5450">
        <w:rPr>
          <w:b/>
          <w:bCs/>
        </w:rPr>
        <w:t xml:space="preserve">for each critical event, build an event </w:t>
      </w:r>
      <w:proofErr w:type="gramStart"/>
      <w:r w:rsidR="00D2098D" w:rsidRPr="006F5450">
        <w:rPr>
          <w:b/>
          <w:bCs/>
        </w:rPr>
        <w:t>tree</w:t>
      </w:r>
      <w:proofErr w:type="gramEnd"/>
    </w:p>
    <w:p w14:paraId="4831B374" w14:textId="3523CE43" w:rsidR="003817A0" w:rsidRDefault="008C6CC0" w:rsidP="00453E24">
      <w:pPr>
        <w:pStyle w:val="CETBodytext"/>
      </w:pPr>
      <w:r>
        <w:t>MIMAH methodology provide</w:t>
      </w:r>
      <w:r w:rsidR="00E646BD">
        <w:t>s</w:t>
      </w:r>
      <w:r>
        <w:t xml:space="preserve"> generic event trees were </w:t>
      </w:r>
      <w:r w:rsidR="001F16B9">
        <w:t xml:space="preserve">the evolution of </w:t>
      </w:r>
      <w:r>
        <w:t>secondary and t</w:t>
      </w:r>
      <w:r w:rsidR="00A21385">
        <w:t xml:space="preserve">ertiary critical events are shown before the </w:t>
      </w:r>
      <w:r w:rsidR="002960CD">
        <w:t xml:space="preserve">occurrence of the </w:t>
      </w:r>
      <w:r w:rsidR="00A21385">
        <w:t>dangerous phenome</w:t>
      </w:r>
      <w:r w:rsidR="00F134A3">
        <w:t>n</w:t>
      </w:r>
      <w:r w:rsidR="001F16B9">
        <w:t>on. DPs</w:t>
      </w:r>
      <w:r w:rsidR="00A21385">
        <w:t xml:space="preserve"> </w:t>
      </w:r>
      <w:r w:rsidR="00F134A3">
        <w:t>are called consequences in this paper</w:t>
      </w:r>
      <w:r w:rsidR="002960CD">
        <w:t xml:space="preserve"> and were selected based on the</w:t>
      </w:r>
      <w:r w:rsidR="00F134A3">
        <w:t xml:space="preserve"> critical events</w:t>
      </w:r>
      <w:r w:rsidR="002960CD">
        <w:t xml:space="preserve"> listed as result of step 4</w:t>
      </w:r>
      <w:r w:rsidR="001709A5">
        <w:t xml:space="preserve">. Here, the </w:t>
      </w:r>
      <w:r w:rsidR="00D074A4">
        <w:t>chosen</w:t>
      </w:r>
      <w:r w:rsidR="0001144F">
        <w:t xml:space="preserve"> </w:t>
      </w:r>
      <w:r w:rsidR="001709A5">
        <w:t xml:space="preserve">consequences were </w:t>
      </w:r>
      <w:r w:rsidR="002F6F3F">
        <w:t>categorized as dispersion (unignited release), fire, and explosion</w:t>
      </w:r>
      <w:r w:rsidR="003817A0">
        <w:t>, and collected in Table 1.</w:t>
      </w:r>
    </w:p>
    <w:p w14:paraId="63BFF565" w14:textId="14561C58" w:rsidR="00CD675A" w:rsidRDefault="005B3096" w:rsidP="00453E24">
      <w:pPr>
        <w:pStyle w:val="CETBodytext"/>
      </w:pPr>
      <w:r>
        <w:t>The consequences related to the toxicity of a substance (</w:t>
      </w:r>
      <w:proofErr w:type="gramStart"/>
      <w:r>
        <w:t>e.g.</w:t>
      </w:r>
      <w:proofErr w:type="gramEnd"/>
      <w:r>
        <w:t xml:space="preserve"> toxic cloud) that can be found in the generic event trees were neglected </w:t>
      </w:r>
      <w:r w:rsidR="00E646BD">
        <w:t>since</w:t>
      </w:r>
      <w:r>
        <w:t xml:space="preserve"> hydrogen is not toxic. It must be noted that few phenomena that may occur for hydrogen are not considered by the MIMAH methodology. For instance, the pressure peaking phenomenon (PPP) is an event that can manifest when hydrogen or other gases with a density lower than air (</w:t>
      </w:r>
      <w:proofErr w:type="gramStart"/>
      <w:r>
        <w:t>e.g.</w:t>
      </w:r>
      <w:proofErr w:type="gramEnd"/>
      <w:r>
        <w:t xml:space="preserve"> helium) are released </w:t>
      </w:r>
      <w:r w:rsidR="00F211BE">
        <w:t>indoor</w:t>
      </w:r>
      <w:r>
        <w:t xml:space="preserve"> </w:t>
      </w:r>
      <w:r w:rsidR="00AA0E2A">
        <w:t xml:space="preserve">(e.g. garage) and there is presence of </w:t>
      </w:r>
      <w:r w:rsidR="00646D6A">
        <w:t xml:space="preserve">one or more </w:t>
      </w:r>
      <w:r w:rsidR="00AA0E2A">
        <w:t>vents</w:t>
      </w:r>
      <w:r>
        <w:t xml:space="preserve"> </w:t>
      </w:r>
      <w:r w:rsidR="00F211BE">
        <w:t xml:space="preserve">(Brennan and </w:t>
      </w:r>
      <w:proofErr w:type="spellStart"/>
      <w:r w:rsidR="00F211BE">
        <w:t>Molkov</w:t>
      </w:r>
      <w:proofErr w:type="spellEnd"/>
      <w:r w:rsidR="00F211BE">
        <w:t>, 2018)</w:t>
      </w:r>
      <w:r>
        <w:t xml:space="preserve">. It is difficult to categorize the PPP </w:t>
      </w:r>
      <w:r w:rsidR="00830668">
        <w:t xml:space="preserve">because it </w:t>
      </w:r>
      <w:r w:rsidR="007F5736">
        <w:t xml:space="preserve">is </w:t>
      </w:r>
      <w:r w:rsidR="007C6166">
        <w:t>generated</w:t>
      </w:r>
      <w:r w:rsidR="00830668">
        <w:t xml:space="preserve"> without </w:t>
      </w:r>
      <w:r w:rsidR="007F5736">
        <w:t>any combustion or other chemical reaction</w:t>
      </w:r>
      <w:r w:rsidR="00395C91">
        <w:t>s</w:t>
      </w:r>
      <w:r w:rsidR="007F5736">
        <w:t>.</w:t>
      </w:r>
      <w:r w:rsidR="00395C91">
        <w:t xml:space="preserve"> Moreover, the time scale of this phenomenon is </w:t>
      </w:r>
      <w:r w:rsidR="007C6166">
        <w:t>much long</w:t>
      </w:r>
      <w:r w:rsidR="00395C91">
        <w:t xml:space="preserve">er than </w:t>
      </w:r>
      <w:r w:rsidR="007C6166">
        <w:t>the explosion</w:t>
      </w:r>
      <w:r w:rsidR="007F5736">
        <w:t xml:space="preserve"> </w:t>
      </w:r>
      <w:r w:rsidR="007C6166">
        <w:t>one.</w:t>
      </w:r>
      <w:r w:rsidR="00830668">
        <w:t xml:space="preserve"> </w:t>
      </w:r>
      <w:r w:rsidR="005B0892">
        <w:t xml:space="preserve">In addition, the peak of pressure is quite larger than a </w:t>
      </w:r>
      <w:r w:rsidR="004F7A73">
        <w:t>gas release and dispersion.</w:t>
      </w:r>
    </w:p>
    <w:p w14:paraId="2713BE35" w14:textId="5BBE6C7A" w:rsidR="003817A0" w:rsidRPr="00B57B36" w:rsidRDefault="003817A0" w:rsidP="003817A0">
      <w:pPr>
        <w:pStyle w:val="CETTabletitle"/>
      </w:pPr>
      <w:r w:rsidRPr="00B57B36">
        <w:lastRenderedPageBreak/>
        <w:t xml:space="preserve">Table 1: </w:t>
      </w:r>
      <w:r w:rsidR="00186CDC" w:rsidRPr="00186CDC">
        <w:t>selected consequences from the loss of containment of hydrogen equipment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1"/>
        <w:gridCol w:w="2835"/>
        <w:gridCol w:w="2381"/>
      </w:tblGrid>
      <w:tr w:rsidR="00E070BE" w:rsidRPr="00B57B36" w14:paraId="513433B9" w14:textId="77777777" w:rsidTr="007027A4">
        <w:tc>
          <w:tcPr>
            <w:tcW w:w="2041" w:type="dxa"/>
            <w:tcBorders>
              <w:top w:val="single" w:sz="12" w:space="0" w:color="008000"/>
              <w:bottom w:val="single" w:sz="6" w:space="0" w:color="008000"/>
            </w:tcBorders>
            <w:shd w:val="clear" w:color="auto" w:fill="FFFFFF"/>
          </w:tcPr>
          <w:p w14:paraId="3B74CFBF" w14:textId="76831DBA" w:rsidR="005755DE" w:rsidRPr="00B57B36" w:rsidRDefault="005755DE" w:rsidP="006E40CA">
            <w:pPr>
              <w:pStyle w:val="CETBodytext"/>
              <w:rPr>
                <w:lang w:val="en-GB"/>
              </w:rPr>
            </w:pPr>
            <w:r>
              <w:rPr>
                <w:lang w:val="en-GB"/>
              </w:rPr>
              <w:t>Consequence category</w:t>
            </w:r>
          </w:p>
        </w:tc>
        <w:tc>
          <w:tcPr>
            <w:tcW w:w="2835" w:type="dxa"/>
            <w:tcBorders>
              <w:top w:val="single" w:sz="12" w:space="0" w:color="008000"/>
              <w:bottom w:val="single" w:sz="6" w:space="0" w:color="008000"/>
            </w:tcBorders>
            <w:shd w:val="clear" w:color="auto" w:fill="FFFFFF"/>
          </w:tcPr>
          <w:p w14:paraId="0B5299B9" w14:textId="37BAE02D" w:rsidR="005755DE" w:rsidRPr="00B57B36" w:rsidRDefault="005755DE" w:rsidP="006E40CA">
            <w:pPr>
              <w:pStyle w:val="CETBodytext"/>
              <w:rPr>
                <w:lang w:val="en-GB"/>
              </w:rPr>
            </w:pPr>
            <w:r>
              <w:rPr>
                <w:lang w:val="en-GB"/>
              </w:rPr>
              <w:t>Consequence</w:t>
            </w:r>
          </w:p>
        </w:tc>
        <w:tc>
          <w:tcPr>
            <w:tcW w:w="2381" w:type="dxa"/>
            <w:tcBorders>
              <w:top w:val="single" w:sz="12" w:space="0" w:color="008000"/>
              <w:bottom w:val="single" w:sz="6" w:space="0" w:color="008000"/>
            </w:tcBorders>
            <w:shd w:val="clear" w:color="auto" w:fill="FFFFFF"/>
          </w:tcPr>
          <w:p w14:paraId="7ADFFEAF" w14:textId="3FDC3E60" w:rsidR="005755DE" w:rsidRPr="00B57B36" w:rsidRDefault="005755DE" w:rsidP="006E40CA">
            <w:pPr>
              <w:pStyle w:val="CETBodytext"/>
              <w:rPr>
                <w:lang w:val="en-GB"/>
              </w:rPr>
            </w:pPr>
            <w:r>
              <w:rPr>
                <w:lang w:val="en-GB"/>
              </w:rPr>
              <w:t>Physical status of hydrogen</w:t>
            </w:r>
          </w:p>
        </w:tc>
      </w:tr>
      <w:tr w:rsidR="00E070BE" w:rsidRPr="00B57B36" w14:paraId="7220361B" w14:textId="77777777" w:rsidTr="007027A4">
        <w:tc>
          <w:tcPr>
            <w:tcW w:w="2041" w:type="dxa"/>
            <w:shd w:val="clear" w:color="auto" w:fill="FFFFFF"/>
          </w:tcPr>
          <w:p w14:paraId="5AB12476" w14:textId="200A5790" w:rsidR="005755DE" w:rsidRPr="00B57B36" w:rsidRDefault="00E070BE" w:rsidP="006E40CA">
            <w:pPr>
              <w:pStyle w:val="CETBodytext"/>
              <w:rPr>
                <w:lang w:val="en-GB"/>
              </w:rPr>
            </w:pPr>
            <w:r>
              <w:rPr>
                <w:lang w:val="en-GB"/>
              </w:rPr>
              <w:t>Dispersion</w:t>
            </w:r>
          </w:p>
        </w:tc>
        <w:tc>
          <w:tcPr>
            <w:tcW w:w="2835" w:type="dxa"/>
            <w:shd w:val="clear" w:color="auto" w:fill="FFFFFF"/>
          </w:tcPr>
          <w:p w14:paraId="58D09E0E" w14:textId="453C1DD1" w:rsidR="005755DE" w:rsidRPr="00B57B36" w:rsidRDefault="00E070BE" w:rsidP="006E40CA">
            <w:pPr>
              <w:pStyle w:val="CETBodytext"/>
              <w:rPr>
                <w:lang w:val="en-GB"/>
              </w:rPr>
            </w:pPr>
            <w:r>
              <w:t>Pool formation</w:t>
            </w:r>
          </w:p>
        </w:tc>
        <w:tc>
          <w:tcPr>
            <w:tcW w:w="2381" w:type="dxa"/>
            <w:shd w:val="clear" w:color="auto" w:fill="FFFFFF"/>
          </w:tcPr>
          <w:p w14:paraId="564C5B19" w14:textId="31A55A9C" w:rsidR="005755DE" w:rsidRPr="00B57B36" w:rsidRDefault="00C275AC" w:rsidP="006E40CA">
            <w:pPr>
              <w:pStyle w:val="CETBodytext"/>
              <w:rPr>
                <w:lang w:val="en-GB"/>
              </w:rPr>
            </w:pPr>
            <w:r>
              <w:rPr>
                <w:lang w:val="en-GB"/>
              </w:rPr>
              <w:t xml:space="preserve">Liquid </w:t>
            </w:r>
          </w:p>
        </w:tc>
      </w:tr>
      <w:tr w:rsidR="00E070BE" w:rsidRPr="00B57B36" w14:paraId="40C05349" w14:textId="77777777" w:rsidTr="007027A4">
        <w:tc>
          <w:tcPr>
            <w:tcW w:w="2041" w:type="dxa"/>
            <w:shd w:val="clear" w:color="auto" w:fill="FFFFFF"/>
          </w:tcPr>
          <w:p w14:paraId="52433991" w14:textId="77777777" w:rsidR="00E070BE" w:rsidRPr="00B57B36" w:rsidRDefault="00E070BE" w:rsidP="006E40CA">
            <w:pPr>
              <w:pStyle w:val="CETBodytext"/>
              <w:rPr>
                <w:lang w:val="en-GB"/>
              </w:rPr>
            </w:pPr>
          </w:p>
        </w:tc>
        <w:tc>
          <w:tcPr>
            <w:tcW w:w="2835" w:type="dxa"/>
            <w:shd w:val="clear" w:color="auto" w:fill="FFFFFF"/>
          </w:tcPr>
          <w:p w14:paraId="780442EB" w14:textId="2BE0FC08" w:rsidR="00E070BE" w:rsidRPr="00B57B36" w:rsidRDefault="00E070BE" w:rsidP="006E40CA">
            <w:pPr>
              <w:pStyle w:val="CETBodytext"/>
              <w:rPr>
                <w:lang w:val="en-GB"/>
              </w:rPr>
            </w:pPr>
            <w:r>
              <w:t>Pool dispersion</w:t>
            </w:r>
          </w:p>
        </w:tc>
        <w:tc>
          <w:tcPr>
            <w:tcW w:w="2381" w:type="dxa"/>
            <w:shd w:val="clear" w:color="auto" w:fill="FFFFFF"/>
          </w:tcPr>
          <w:p w14:paraId="56882A01" w14:textId="7321D09F" w:rsidR="00E070BE" w:rsidRPr="00B57B36" w:rsidRDefault="00C275AC" w:rsidP="006E40CA">
            <w:pPr>
              <w:pStyle w:val="CETBodytext"/>
              <w:rPr>
                <w:lang w:val="en-GB"/>
              </w:rPr>
            </w:pPr>
            <w:r>
              <w:rPr>
                <w:lang w:val="en-GB"/>
              </w:rPr>
              <w:t>Liquid</w:t>
            </w:r>
          </w:p>
        </w:tc>
      </w:tr>
      <w:tr w:rsidR="00E070BE" w:rsidRPr="00B57B36" w14:paraId="7CE444DD" w14:textId="77777777" w:rsidTr="007027A4">
        <w:tc>
          <w:tcPr>
            <w:tcW w:w="2041" w:type="dxa"/>
            <w:shd w:val="clear" w:color="auto" w:fill="FFFFFF"/>
          </w:tcPr>
          <w:p w14:paraId="27E2E2B1" w14:textId="77777777" w:rsidR="00E070BE" w:rsidRPr="00B57B36" w:rsidRDefault="00E070BE" w:rsidP="006E40CA">
            <w:pPr>
              <w:pStyle w:val="CETBodytext"/>
              <w:rPr>
                <w:lang w:val="en-GB"/>
              </w:rPr>
            </w:pPr>
          </w:p>
        </w:tc>
        <w:tc>
          <w:tcPr>
            <w:tcW w:w="2835" w:type="dxa"/>
            <w:shd w:val="clear" w:color="auto" w:fill="FFFFFF"/>
          </w:tcPr>
          <w:p w14:paraId="461F69E1" w14:textId="3C4A4F70" w:rsidR="00E070BE" w:rsidRPr="00B57B36" w:rsidRDefault="00E070BE" w:rsidP="006E40CA">
            <w:pPr>
              <w:pStyle w:val="CETBodytext"/>
              <w:rPr>
                <w:lang w:val="en-GB"/>
              </w:rPr>
            </w:pPr>
            <w:r>
              <w:rPr>
                <w:lang w:val="en-GB"/>
              </w:rPr>
              <w:t>Jet</w:t>
            </w:r>
          </w:p>
        </w:tc>
        <w:tc>
          <w:tcPr>
            <w:tcW w:w="2381" w:type="dxa"/>
            <w:shd w:val="clear" w:color="auto" w:fill="FFFFFF"/>
          </w:tcPr>
          <w:p w14:paraId="3E2DC4D0" w14:textId="632CBF67" w:rsidR="00E070BE" w:rsidRPr="00B57B36" w:rsidRDefault="00C275AC" w:rsidP="006E40CA">
            <w:pPr>
              <w:pStyle w:val="CETBodytext"/>
              <w:rPr>
                <w:lang w:val="en-GB"/>
              </w:rPr>
            </w:pPr>
            <w:r>
              <w:t xml:space="preserve">Two </w:t>
            </w:r>
            <w:proofErr w:type="gramStart"/>
            <w:r>
              <w:t>phase</w:t>
            </w:r>
            <w:proofErr w:type="gramEnd"/>
            <w:r>
              <w:t>, gas</w:t>
            </w:r>
          </w:p>
        </w:tc>
      </w:tr>
      <w:tr w:rsidR="00E070BE" w:rsidRPr="00B57B36" w14:paraId="58BD65A1" w14:textId="77777777" w:rsidTr="007027A4">
        <w:tc>
          <w:tcPr>
            <w:tcW w:w="2041" w:type="dxa"/>
            <w:shd w:val="clear" w:color="auto" w:fill="FFFFFF"/>
          </w:tcPr>
          <w:p w14:paraId="494B024E" w14:textId="77777777" w:rsidR="00E070BE" w:rsidRPr="00B57B36" w:rsidRDefault="00E070BE" w:rsidP="006E40CA">
            <w:pPr>
              <w:pStyle w:val="CETBodytext"/>
              <w:rPr>
                <w:lang w:val="en-GB"/>
              </w:rPr>
            </w:pPr>
          </w:p>
        </w:tc>
        <w:tc>
          <w:tcPr>
            <w:tcW w:w="2835" w:type="dxa"/>
            <w:shd w:val="clear" w:color="auto" w:fill="FFFFFF"/>
          </w:tcPr>
          <w:p w14:paraId="5DA447FF" w14:textId="09906255" w:rsidR="00E070BE" w:rsidRPr="00B57B36" w:rsidRDefault="00E070BE" w:rsidP="006E40CA">
            <w:pPr>
              <w:pStyle w:val="CETBodytext"/>
              <w:rPr>
                <w:lang w:val="en-GB"/>
              </w:rPr>
            </w:pPr>
            <w:r>
              <w:t>Dispersion</w:t>
            </w:r>
          </w:p>
        </w:tc>
        <w:tc>
          <w:tcPr>
            <w:tcW w:w="2381" w:type="dxa"/>
            <w:shd w:val="clear" w:color="auto" w:fill="FFFFFF"/>
          </w:tcPr>
          <w:p w14:paraId="026ADD6E" w14:textId="7EE495C6" w:rsidR="00E070BE" w:rsidRPr="00B57B36" w:rsidRDefault="00C275AC" w:rsidP="006E40CA">
            <w:pPr>
              <w:pStyle w:val="CETBodytext"/>
              <w:rPr>
                <w:lang w:val="en-GB"/>
              </w:rPr>
            </w:pPr>
            <w:r>
              <w:rPr>
                <w:lang w:val="en-GB"/>
              </w:rPr>
              <w:t xml:space="preserve">Gas </w:t>
            </w:r>
          </w:p>
        </w:tc>
      </w:tr>
      <w:tr w:rsidR="00E070BE" w:rsidRPr="00B57B36" w14:paraId="49544796" w14:textId="77777777" w:rsidTr="007027A4">
        <w:tc>
          <w:tcPr>
            <w:tcW w:w="2041" w:type="dxa"/>
            <w:shd w:val="clear" w:color="auto" w:fill="FFFFFF"/>
          </w:tcPr>
          <w:p w14:paraId="6334FAE6" w14:textId="1DAA72E3" w:rsidR="00E070BE" w:rsidRPr="00B57B36" w:rsidRDefault="00C275AC" w:rsidP="006E40CA">
            <w:pPr>
              <w:pStyle w:val="CETBodytext"/>
              <w:rPr>
                <w:lang w:val="en-GB"/>
              </w:rPr>
            </w:pPr>
            <w:r>
              <w:rPr>
                <w:lang w:val="en-GB"/>
              </w:rPr>
              <w:t>Fire</w:t>
            </w:r>
          </w:p>
        </w:tc>
        <w:tc>
          <w:tcPr>
            <w:tcW w:w="2835" w:type="dxa"/>
            <w:shd w:val="clear" w:color="auto" w:fill="FFFFFF"/>
          </w:tcPr>
          <w:p w14:paraId="028A268B" w14:textId="4D6FD94F" w:rsidR="00E070BE" w:rsidRPr="00B57B36" w:rsidRDefault="00C275AC" w:rsidP="006E40CA">
            <w:pPr>
              <w:pStyle w:val="CETBodytext"/>
              <w:rPr>
                <w:lang w:val="en-GB"/>
              </w:rPr>
            </w:pPr>
            <w:r>
              <w:rPr>
                <w:lang w:val="en-GB"/>
              </w:rPr>
              <w:t>Fire</w:t>
            </w:r>
          </w:p>
        </w:tc>
        <w:tc>
          <w:tcPr>
            <w:tcW w:w="2381" w:type="dxa"/>
            <w:shd w:val="clear" w:color="auto" w:fill="FFFFFF"/>
          </w:tcPr>
          <w:p w14:paraId="08F565EF" w14:textId="1FA50F74" w:rsidR="00E070BE" w:rsidRPr="00B57B36" w:rsidRDefault="0060133C" w:rsidP="006E40CA">
            <w:pPr>
              <w:pStyle w:val="CETBodytext"/>
              <w:rPr>
                <w:lang w:val="en-GB"/>
              </w:rPr>
            </w:pPr>
            <w:r>
              <w:t>Liquid, two phase, gas</w:t>
            </w:r>
          </w:p>
        </w:tc>
      </w:tr>
      <w:tr w:rsidR="00C275AC" w:rsidRPr="00B57B36" w14:paraId="0699677C" w14:textId="77777777" w:rsidTr="007027A4">
        <w:tc>
          <w:tcPr>
            <w:tcW w:w="2041" w:type="dxa"/>
            <w:shd w:val="clear" w:color="auto" w:fill="FFFFFF"/>
          </w:tcPr>
          <w:p w14:paraId="1FA3C822" w14:textId="77777777" w:rsidR="00C275AC" w:rsidRDefault="00C275AC" w:rsidP="006E40CA">
            <w:pPr>
              <w:pStyle w:val="CETBodytext"/>
              <w:rPr>
                <w:lang w:val="en-GB"/>
              </w:rPr>
            </w:pPr>
          </w:p>
        </w:tc>
        <w:tc>
          <w:tcPr>
            <w:tcW w:w="2835" w:type="dxa"/>
            <w:shd w:val="clear" w:color="auto" w:fill="FFFFFF"/>
          </w:tcPr>
          <w:p w14:paraId="69418D13" w14:textId="56D0F4B7" w:rsidR="00C275AC" w:rsidRDefault="0060133C" w:rsidP="006E40CA">
            <w:pPr>
              <w:pStyle w:val="CETBodytext"/>
              <w:rPr>
                <w:lang w:val="en-GB"/>
              </w:rPr>
            </w:pPr>
            <w:r>
              <w:t>Pool fire</w:t>
            </w:r>
          </w:p>
        </w:tc>
        <w:tc>
          <w:tcPr>
            <w:tcW w:w="2381" w:type="dxa"/>
            <w:shd w:val="clear" w:color="auto" w:fill="FFFFFF"/>
          </w:tcPr>
          <w:p w14:paraId="12CE121C" w14:textId="1A88130A" w:rsidR="00C275AC" w:rsidRPr="00B57B36" w:rsidRDefault="00B32333" w:rsidP="006E40CA">
            <w:pPr>
              <w:pStyle w:val="CETBodytext"/>
              <w:rPr>
                <w:lang w:val="en-GB"/>
              </w:rPr>
            </w:pPr>
            <w:r>
              <w:rPr>
                <w:lang w:val="en-GB"/>
              </w:rPr>
              <w:t>Liquid</w:t>
            </w:r>
          </w:p>
        </w:tc>
      </w:tr>
      <w:tr w:rsidR="00C275AC" w:rsidRPr="00B57B36" w14:paraId="314DEF68" w14:textId="77777777" w:rsidTr="007027A4">
        <w:tc>
          <w:tcPr>
            <w:tcW w:w="2041" w:type="dxa"/>
            <w:shd w:val="clear" w:color="auto" w:fill="FFFFFF"/>
          </w:tcPr>
          <w:p w14:paraId="44C88C00" w14:textId="77777777" w:rsidR="00C275AC" w:rsidRDefault="00C275AC" w:rsidP="006E40CA">
            <w:pPr>
              <w:pStyle w:val="CETBodytext"/>
              <w:rPr>
                <w:lang w:val="en-GB"/>
              </w:rPr>
            </w:pPr>
          </w:p>
        </w:tc>
        <w:tc>
          <w:tcPr>
            <w:tcW w:w="2835" w:type="dxa"/>
            <w:shd w:val="clear" w:color="auto" w:fill="FFFFFF"/>
          </w:tcPr>
          <w:p w14:paraId="5CAFBCE1" w14:textId="087DB06E" w:rsidR="00C275AC" w:rsidRDefault="0060133C" w:rsidP="006E40CA">
            <w:pPr>
              <w:pStyle w:val="CETBodytext"/>
              <w:rPr>
                <w:lang w:val="en-GB"/>
              </w:rPr>
            </w:pPr>
            <w:proofErr w:type="spellStart"/>
            <w:r>
              <w:t>Boilover</w:t>
            </w:r>
            <w:proofErr w:type="spellEnd"/>
          </w:p>
        </w:tc>
        <w:tc>
          <w:tcPr>
            <w:tcW w:w="2381" w:type="dxa"/>
            <w:shd w:val="clear" w:color="auto" w:fill="FFFFFF"/>
          </w:tcPr>
          <w:p w14:paraId="5CEDFE9F" w14:textId="045B8252" w:rsidR="00C275AC" w:rsidRPr="00B57B36" w:rsidRDefault="00B32333" w:rsidP="006E40CA">
            <w:pPr>
              <w:pStyle w:val="CETBodytext"/>
              <w:rPr>
                <w:lang w:val="en-GB"/>
              </w:rPr>
            </w:pPr>
            <w:r>
              <w:rPr>
                <w:lang w:val="en-GB"/>
              </w:rPr>
              <w:t>Liquid</w:t>
            </w:r>
          </w:p>
        </w:tc>
      </w:tr>
      <w:tr w:rsidR="00C275AC" w:rsidRPr="00B57B36" w14:paraId="6D5D251B" w14:textId="77777777" w:rsidTr="007027A4">
        <w:tc>
          <w:tcPr>
            <w:tcW w:w="2041" w:type="dxa"/>
            <w:shd w:val="clear" w:color="auto" w:fill="FFFFFF"/>
          </w:tcPr>
          <w:p w14:paraId="7B0C08C2" w14:textId="77777777" w:rsidR="00C275AC" w:rsidRDefault="00C275AC" w:rsidP="006E40CA">
            <w:pPr>
              <w:pStyle w:val="CETBodytext"/>
              <w:rPr>
                <w:lang w:val="en-GB"/>
              </w:rPr>
            </w:pPr>
          </w:p>
        </w:tc>
        <w:tc>
          <w:tcPr>
            <w:tcW w:w="2835" w:type="dxa"/>
            <w:shd w:val="clear" w:color="auto" w:fill="FFFFFF"/>
          </w:tcPr>
          <w:p w14:paraId="17B8EFE4" w14:textId="45716D9A" w:rsidR="00C275AC" w:rsidRDefault="00B32333" w:rsidP="006E40CA">
            <w:pPr>
              <w:pStyle w:val="CETBodytext"/>
              <w:rPr>
                <w:lang w:val="en-GB"/>
              </w:rPr>
            </w:pPr>
            <w:r>
              <w:t>Jet fire</w:t>
            </w:r>
          </w:p>
        </w:tc>
        <w:tc>
          <w:tcPr>
            <w:tcW w:w="2381" w:type="dxa"/>
            <w:shd w:val="clear" w:color="auto" w:fill="FFFFFF"/>
          </w:tcPr>
          <w:p w14:paraId="2CD7C995" w14:textId="6793A9B3" w:rsidR="00C275AC" w:rsidRPr="00B57B36" w:rsidRDefault="00B32333" w:rsidP="006E40CA">
            <w:pPr>
              <w:pStyle w:val="CETBodytext"/>
              <w:rPr>
                <w:lang w:val="en-GB"/>
              </w:rPr>
            </w:pPr>
            <w:r>
              <w:t xml:space="preserve">Two </w:t>
            </w:r>
            <w:proofErr w:type="gramStart"/>
            <w:r>
              <w:t>phase</w:t>
            </w:r>
            <w:proofErr w:type="gramEnd"/>
            <w:r>
              <w:t>, gas</w:t>
            </w:r>
          </w:p>
        </w:tc>
      </w:tr>
      <w:tr w:rsidR="00C275AC" w:rsidRPr="00B57B36" w14:paraId="53622FE2" w14:textId="77777777" w:rsidTr="007027A4">
        <w:tc>
          <w:tcPr>
            <w:tcW w:w="2041" w:type="dxa"/>
            <w:shd w:val="clear" w:color="auto" w:fill="FFFFFF"/>
          </w:tcPr>
          <w:p w14:paraId="27F779CB" w14:textId="77777777" w:rsidR="00C275AC" w:rsidRDefault="00C275AC" w:rsidP="006E40CA">
            <w:pPr>
              <w:pStyle w:val="CETBodytext"/>
              <w:rPr>
                <w:lang w:val="en-GB"/>
              </w:rPr>
            </w:pPr>
          </w:p>
        </w:tc>
        <w:tc>
          <w:tcPr>
            <w:tcW w:w="2835" w:type="dxa"/>
            <w:shd w:val="clear" w:color="auto" w:fill="FFFFFF"/>
          </w:tcPr>
          <w:p w14:paraId="5C083B1C" w14:textId="3242497D" w:rsidR="00C275AC" w:rsidRPr="00B32333" w:rsidRDefault="00B32333" w:rsidP="006E40CA">
            <w:pPr>
              <w:pStyle w:val="CETBodytext"/>
            </w:pPr>
            <w:r>
              <w:t>Fireball</w:t>
            </w:r>
          </w:p>
        </w:tc>
        <w:tc>
          <w:tcPr>
            <w:tcW w:w="2381" w:type="dxa"/>
            <w:shd w:val="clear" w:color="auto" w:fill="FFFFFF"/>
          </w:tcPr>
          <w:p w14:paraId="42D07D42" w14:textId="750587F4" w:rsidR="00C275AC" w:rsidRPr="00B57B36" w:rsidRDefault="00B32333" w:rsidP="006E40CA">
            <w:pPr>
              <w:pStyle w:val="CETBodytext"/>
              <w:rPr>
                <w:lang w:val="en-GB"/>
              </w:rPr>
            </w:pPr>
            <w:r>
              <w:rPr>
                <w:lang w:val="en-GB"/>
              </w:rPr>
              <w:t>Gas</w:t>
            </w:r>
          </w:p>
        </w:tc>
      </w:tr>
      <w:tr w:rsidR="00B32333" w:rsidRPr="00B57B36" w14:paraId="028F2F06" w14:textId="77777777" w:rsidTr="007027A4">
        <w:tc>
          <w:tcPr>
            <w:tcW w:w="2041" w:type="dxa"/>
            <w:shd w:val="clear" w:color="auto" w:fill="FFFFFF"/>
          </w:tcPr>
          <w:p w14:paraId="7F3113E8" w14:textId="77777777" w:rsidR="00B32333" w:rsidRDefault="00B32333" w:rsidP="006E40CA">
            <w:pPr>
              <w:pStyle w:val="CETBodytext"/>
              <w:rPr>
                <w:lang w:val="en-GB"/>
              </w:rPr>
            </w:pPr>
          </w:p>
        </w:tc>
        <w:tc>
          <w:tcPr>
            <w:tcW w:w="2835" w:type="dxa"/>
            <w:shd w:val="clear" w:color="auto" w:fill="FFFFFF"/>
          </w:tcPr>
          <w:p w14:paraId="18D5A8B7" w14:textId="1C6BA11F" w:rsidR="00B32333" w:rsidRDefault="00DF73F2" w:rsidP="006E40CA">
            <w:pPr>
              <w:pStyle w:val="CETBodytext"/>
            </w:pPr>
            <w:r>
              <w:t>Flash fire</w:t>
            </w:r>
          </w:p>
        </w:tc>
        <w:tc>
          <w:tcPr>
            <w:tcW w:w="2381" w:type="dxa"/>
            <w:shd w:val="clear" w:color="auto" w:fill="FFFFFF"/>
          </w:tcPr>
          <w:p w14:paraId="57B62AA7" w14:textId="09CFCEE9" w:rsidR="00B32333" w:rsidRDefault="00DF73F2" w:rsidP="006E40CA">
            <w:pPr>
              <w:pStyle w:val="CETBodytext"/>
              <w:rPr>
                <w:lang w:val="en-GB"/>
              </w:rPr>
            </w:pPr>
            <w:r>
              <w:rPr>
                <w:lang w:val="en-GB"/>
              </w:rPr>
              <w:t xml:space="preserve">Gas </w:t>
            </w:r>
          </w:p>
        </w:tc>
      </w:tr>
      <w:tr w:rsidR="00B32333" w:rsidRPr="00B57B36" w14:paraId="38703483" w14:textId="77777777" w:rsidTr="007027A4">
        <w:tc>
          <w:tcPr>
            <w:tcW w:w="2041" w:type="dxa"/>
            <w:shd w:val="clear" w:color="auto" w:fill="FFFFFF"/>
          </w:tcPr>
          <w:p w14:paraId="65B0BFBF" w14:textId="1B1E8AD9" w:rsidR="00B32333" w:rsidRDefault="00DF73F2" w:rsidP="006E40CA">
            <w:pPr>
              <w:pStyle w:val="CETBodytext"/>
              <w:rPr>
                <w:lang w:val="en-GB"/>
              </w:rPr>
            </w:pPr>
            <w:r>
              <w:rPr>
                <w:lang w:val="en-GB"/>
              </w:rPr>
              <w:t>Explosion</w:t>
            </w:r>
          </w:p>
        </w:tc>
        <w:tc>
          <w:tcPr>
            <w:tcW w:w="2835" w:type="dxa"/>
            <w:shd w:val="clear" w:color="auto" w:fill="FFFFFF"/>
          </w:tcPr>
          <w:p w14:paraId="48B9012A" w14:textId="43BD3E4D" w:rsidR="00B32333" w:rsidRDefault="007027A4" w:rsidP="006E40CA">
            <w:pPr>
              <w:pStyle w:val="CETBodytext"/>
            </w:pPr>
            <w:proofErr w:type="spellStart"/>
            <w:r>
              <w:t>Vapour</w:t>
            </w:r>
            <w:proofErr w:type="spellEnd"/>
            <w:r>
              <w:t xml:space="preserve"> cloud explosion (</w:t>
            </w:r>
            <w:r w:rsidRPr="005F73C6">
              <w:t>VCE</w:t>
            </w:r>
            <w:r>
              <w:t>)</w:t>
            </w:r>
          </w:p>
        </w:tc>
        <w:tc>
          <w:tcPr>
            <w:tcW w:w="2381" w:type="dxa"/>
            <w:shd w:val="clear" w:color="auto" w:fill="FFFFFF"/>
          </w:tcPr>
          <w:p w14:paraId="7C6E8EFB" w14:textId="61D419C3" w:rsidR="00B32333" w:rsidRDefault="00662288" w:rsidP="006E40CA">
            <w:pPr>
              <w:pStyle w:val="CETBodytext"/>
              <w:rPr>
                <w:lang w:val="en-GB"/>
              </w:rPr>
            </w:pPr>
            <w:r>
              <w:rPr>
                <w:lang w:val="en-GB"/>
              </w:rPr>
              <w:t>Gas</w:t>
            </w:r>
          </w:p>
        </w:tc>
      </w:tr>
      <w:tr w:rsidR="00B32333" w:rsidRPr="00B57B36" w14:paraId="039493B0" w14:textId="77777777" w:rsidTr="007027A4">
        <w:tc>
          <w:tcPr>
            <w:tcW w:w="2041" w:type="dxa"/>
            <w:shd w:val="clear" w:color="auto" w:fill="FFFFFF"/>
          </w:tcPr>
          <w:p w14:paraId="28805677" w14:textId="77777777" w:rsidR="00B32333" w:rsidRDefault="00B32333" w:rsidP="006E40CA">
            <w:pPr>
              <w:pStyle w:val="CETBodytext"/>
              <w:rPr>
                <w:lang w:val="en-GB"/>
              </w:rPr>
            </w:pPr>
          </w:p>
        </w:tc>
        <w:tc>
          <w:tcPr>
            <w:tcW w:w="2835" w:type="dxa"/>
            <w:shd w:val="clear" w:color="auto" w:fill="FFFFFF"/>
          </w:tcPr>
          <w:p w14:paraId="5E81D5FD" w14:textId="3328DC44" w:rsidR="00B32333" w:rsidRDefault="00EA0AA3" w:rsidP="006E40CA">
            <w:pPr>
              <w:pStyle w:val="CETBodytext"/>
            </w:pPr>
            <w:r>
              <w:t>Overpressure generation</w:t>
            </w:r>
          </w:p>
        </w:tc>
        <w:tc>
          <w:tcPr>
            <w:tcW w:w="2381" w:type="dxa"/>
            <w:shd w:val="clear" w:color="auto" w:fill="FFFFFF"/>
          </w:tcPr>
          <w:p w14:paraId="35FB450B" w14:textId="579126F4" w:rsidR="00B32333" w:rsidRDefault="00D4252E" w:rsidP="006E40CA">
            <w:pPr>
              <w:pStyle w:val="CETBodytext"/>
              <w:rPr>
                <w:lang w:val="en-GB"/>
              </w:rPr>
            </w:pPr>
            <w:r w:rsidRPr="00B3632A">
              <w:rPr>
                <w:lang w:val="en-GB"/>
              </w:rPr>
              <w:t>Liquid, two-phase, gas</w:t>
            </w:r>
          </w:p>
        </w:tc>
      </w:tr>
      <w:tr w:rsidR="00F16AB6" w:rsidRPr="00B57B36" w14:paraId="4E0EBC76" w14:textId="77777777" w:rsidTr="007027A4">
        <w:tc>
          <w:tcPr>
            <w:tcW w:w="2041" w:type="dxa"/>
            <w:shd w:val="clear" w:color="auto" w:fill="FFFFFF"/>
          </w:tcPr>
          <w:p w14:paraId="58C8A8F6" w14:textId="77777777" w:rsidR="00F16AB6" w:rsidRPr="00B57B36" w:rsidRDefault="00F16AB6" w:rsidP="00F16AB6">
            <w:pPr>
              <w:pStyle w:val="CETBodytext"/>
              <w:ind w:right="-1"/>
              <w:rPr>
                <w:rFonts w:cs="Arial"/>
                <w:szCs w:val="18"/>
                <w:lang w:val="en-GB"/>
              </w:rPr>
            </w:pPr>
          </w:p>
        </w:tc>
        <w:tc>
          <w:tcPr>
            <w:tcW w:w="2835" w:type="dxa"/>
            <w:shd w:val="clear" w:color="auto" w:fill="FFFFFF"/>
          </w:tcPr>
          <w:p w14:paraId="2506C8A6" w14:textId="297F1420" w:rsidR="00F16AB6" w:rsidRPr="00B57B36" w:rsidRDefault="00F16AB6" w:rsidP="00F16AB6">
            <w:pPr>
              <w:pStyle w:val="CETBodytext"/>
              <w:ind w:right="-1"/>
              <w:rPr>
                <w:rFonts w:cs="Arial"/>
                <w:szCs w:val="18"/>
                <w:lang w:val="en-GB"/>
              </w:rPr>
            </w:pPr>
            <w:r w:rsidRPr="00B259BD">
              <w:t>Missiles ejection</w:t>
            </w:r>
          </w:p>
        </w:tc>
        <w:tc>
          <w:tcPr>
            <w:tcW w:w="2381" w:type="dxa"/>
            <w:shd w:val="clear" w:color="auto" w:fill="FFFFFF"/>
          </w:tcPr>
          <w:p w14:paraId="104C55A2" w14:textId="0B33C8A6" w:rsidR="00F16AB6" w:rsidRPr="00B57B36" w:rsidRDefault="00F16AB6" w:rsidP="00F16AB6">
            <w:pPr>
              <w:pStyle w:val="CETBodytext"/>
              <w:ind w:right="-1"/>
              <w:rPr>
                <w:rFonts w:cs="Arial"/>
                <w:szCs w:val="18"/>
                <w:lang w:val="en-GB"/>
              </w:rPr>
            </w:pPr>
            <w:r w:rsidRPr="00B3632A">
              <w:rPr>
                <w:lang w:val="en-GB"/>
              </w:rPr>
              <w:t>Liquid, two-phase, gas</w:t>
            </w:r>
          </w:p>
        </w:tc>
      </w:tr>
    </w:tbl>
    <w:p w14:paraId="226C00BA" w14:textId="3A43C396" w:rsidR="00B31555" w:rsidRDefault="00B31555" w:rsidP="00453E24">
      <w:pPr>
        <w:pStyle w:val="CETBodytext"/>
      </w:pPr>
    </w:p>
    <w:p w14:paraId="54B33393" w14:textId="1A07F207" w:rsidR="00FC624B" w:rsidRDefault="00FC624B" w:rsidP="00453E24">
      <w:pPr>
        <w:pStyle w:val="CETBodytext"/>
      </w:pPr>
      <w:r>
        <w:t>The only</w:t>
      </w:r>
      <w:r w:rsidR="004340F0">
        <w:t xml:space="preserve"> type of explosion </w:t>
      </w:r>
      <w:r w:rsidR="00A21E76">
        <w:t>defined</w:t>
      </w:r>
      <w:r>
        <w:t xml:space="preserve"> in MIMAH </w:t>
      </w:r>
      <w:r w:rsidR="004340F0">
        <w:t xml:space="preserve">is </w:t>
      </w:r>
      <w:r w:rsidR="00A21E76">
        <w:t>the vapor cloud explosion (VCE)</w:t>
      </w:r>
      <w:r w:rsidR="00227B20">
        <w:t xml:space="preserve">, while hydrogen can deflagrate, </w:t>
      </w:r>
      <w:r w:rsidR="001B06A4">
        <w:t>detonate,</w:t>
      </w:r>
      <w:r w:rsidR="00227B20">
        <w:t xml:space="preserve"> or transition from deflagration to detonation (DDT).</w:t>
      </w:r>
      <w:r w:rsidR="00D843A2">
        <w:t xml:space="preserve"> The main difference among these types of </w:t>
      </w:r>
      <w:r w:rsidR="001B06A4">
        <w:t>explosions</w:t>
      </w:r>
      <w:r w:rsidR="00D843A2">
        <w:t xml:space="preserve"> is the </w:t>
      </w:r>
      <w:r w:rsidR="00E60017">
        <w:t xml:space="preserve">flame front speed. </w:t>
      </w:r>
      <w:r w:rsidR="006F37A3">
        <w:t xml:space="preserve">More precisely, a deflagration is an explosion with a subsonic flame front, while a detonation generates </w:t>
      </w:r>
      <w:r w:rsidR="008A3284">
        <w:t>supersonic pressure</w:t>
      </w:r>
      <w:r w:rsidR="006F37A3">
        <w:t xml:space="preserve"> waves</w:t>
      </w:r>
      <w:r w:rsidR="008A3284">
        <w:t xml:space="preserve"> with a speed up to</w:t>
      </w:r>
      <w:r w:rsidR="00D05764">
        <w:t xml:space="preserve"> almost</w:t>
      </w:r>
      <w:r w:rsidR="008A3284">
        <w:t xml:space="preserve"> 2,000 m/s </w:t>
      </w:r>
      <w:r w:rsidR="001F031E">
        <w:t>and 1.56 MPa (</w:t>
      </w:r>
      <w:proofErr w:type="spellStart"/>
      <w:r w:rsidR="001F031E">
        <w:t>Molkov</w:t>
      </w:r>
      <w:proofErr w:type="spellEnd"/>
      <w:r w:rsidR="001F031E">
        <w:t>, 2012)</w:t>
      </w:r>
      <w:r w:rsidR="006F37A3">
        <w:t>.</w:t>
      </w:r>
      <w:r w:rsidR="00857287">
        <w:t xml:space="preserve"> Different boundary conditions are necessary for these events to manifest</w:t>
      </w:r>
      <w:r w:rsidR="00B55CB3">
        <w:t xml:space="preserve">. Furthermore, the </w:t>
      </w:r>
      <w:r w:rsidR="00790072">
        <w:t xml:space="preserve">severity of </w:t>
      </w:r>
      <w:r w:rsidR="00C743EA">
        <w:t xml:space="preserve">these explosions </w:t>
      </w:r>
      <w:r w:rsidR="003F067C">
        <w:t>and the effect</w:t>
      </w:r>
      <w:r w:rsidR="002144F0">
        <w:t>s</w:t>
      </w:r>
      <w:r w:rsidR="003F067C">
        <w:t xml:space="preserve"> they have</w:t>
      </w:r>
      <w:r w:rsidR="00C743EA">
        <w:t xml:space="preserve"> </w:t>
      </w:r>
      <w:r w:rsidR="003F067C">
        <w:t>on</w:t>
      </w:r>
      <w:r w:rsidR="00790072">
        <w:t xml:space="preserve"> structures and humans</w:t>
      </w:r>
      <w:r w:rsidR="00B55CB3">
        <w:t xml:space="preserve"> </w:t>
      </w:r>
      <w:r w:rsidR="002144F0">
        <w:t xml:space="preserve">is </w:t>
      </w:r>
      <w:r w:rsidR="00C173AF">
        <w:t>widely different</w:t>
      </w:r>
      <w:r w:rsidR="00443F55">
        <w:t xml:space="preserve">. </w:t>
      </w:r>
      <w:r w:rsidR="00A75CA5">
        <w:t xml:space="preserve">Another type of explosion that is considered only as </w:t>
      </w:r>
      <w:r w:rsidR="00FF5A1D">
        <w:t xml:space="preserve">a </w:t>
      </w:r>
      <w:r w:rsidR="00ED42EF">
        <w:t xml:space="preserve">domino </w:t>
      </w:r>
      <w:r w:rsidR="00FF5A1D">
        <w:t xml:space="preserve">effect </w:t>
      </w:r>
      <w:r w:rsidR="00971EF9">
        <w:t>in MIMAH</w:t>
      </w:r>
      <w:r w:rsidR="00FF5A1D">
        <w:t xml:space="preserve"> is the bo</w:t>
      </w:r>
      <w:r w:rsidR="00881B8E">
        <w:t>i</w:t>
      </w:r>
      <w:r w:rsidR="00FF5A1D">
        <w:t xml:space="preserve">ling liquid </w:t>
      </w:r>
      <w:r w:rsidR="00881B8E">
        <w:t xml:space="preserve">expanding vapor explosion (BLEVE) </w:t>
      </w:r>
      <w:r w:rsidR="0063620F">
        <w:t>(</w:t>
      </w:r>
      <w:proofErr w:type="spellStart"/>
      <w:r w:rsidR="0063620F">
        <w:t>Ustolin</w:t>
      </w:r>
      <w:proofErr w:type="spellEnd"/>
      <w:r w:rsidR="0063620F">
        <w:t xml:space="preserve"> et al., 2019)</w:t>
      </w:r>
      <w:r w:rsidR="00881B8E">
        <w:t xml:space="preserve">. </w:t>
      </w:r>
      <w:r w:rsidR="00282169">
        <w:t>BLEVE is</w:t>
      </w:r>
      <w:r w:rsidR="002E1467">
        <w:t xml:space="preserve"> a physical </w:t>
      </w:r>
      <w:r w:rsidR="00E0663A">
        <w:t xml:space="preserve">explosion that might manifest in case of catastrophic rupture of a liquid hydrogen tank. </w:t>
      </w:r>
      <w:r w:rsidR="00D21AF2">
        <w:t>Despite it</w:t>
      </w:r>
      <w:r w:rsidR="00E0663A">
        <w:t xml:space="preserve"> is</w:t>
      </w:r>
      <w:r w:rsidR="00282169">
        <w:t xml:space="preserve"> an atypical accident scenario</w:t>
      </w:r>
      <w:r w:rsidR="00D21AF2">
        <w:t xml:space="preserve"> with low probability of </w:t>
      </w:r>
      <w:r w:rsidR="00577DB7">
        <w:t xml:space="preserve">occurrence, it must not be </w:t>
      </w:r>
      <w:r w:rsidR="00033D1C">
        <w:t>neglected during the risk assessment</w:t>
      </w:r>
      <w:r w:rsidR="00FD4C56">
        <w:t xml:space="preserve"> of LH2 technologies</w:t>
      </w:r>
      <w:r w:rsidR="00577DB7">
        <w:t xml:space="preserve"> </w:t>
      </w:r>
      <w:r w:rsidR="00F93330">
        <w:t>due to</w:t>
      </w:r>
      <w:r w:rsidR="00577DB7">
        <w:t xml:space="preserve"> </w:t>
      </w:r>
      <w:r w:rsidR="00F93330">
        <w:t>its</w:t>
      </w:r>
      <w:r w:rsidR="00C235A3">
        <w:t xml:space="preserve"> severe</w:t>
      </w:r>
      <w:r w:rsidR="002E1467">
        <w:t xml:space="preserve"> consequences</w:t>
      </w:r>
      <w:r w:rsidR="00C235A3">
        <w:t xml:space="preserve">. </w:t>
      </w:r>
      <w:r w:rsidR="00F93330">
        <w:t xml:space="preserve">Recently, many studies </w:t>
      </w:r>
      <w:r w:rsidR="00511BFD">
        <w:t>focused</w:t>
      </w:r>
      <w:r w:rsidR="00F93330">
        <w:t xml:space="preserve"> on LH2 BLEVE demonstrating that it</w:t>
      </w:r>
      <w:r w:rsidR="00A5172C">
        <w:t xml:space="preserve"> is possible</w:t>
      </w:r>
      <w:r w:rsidR="00925C1D">
        <w:t>,</w:t>
      </w:r>
      <w:r w:rsidR="00393AB0">
        <w:t xml:space="preserve"> and it depends on different factors such as type of thermal insulation</w:t>
      </w:r>
      <w:r w:rsidR="00531137">
        <w:t xml:space="preserve"> and</w:t>
      </w:r>
      <w:r w:rsidR="00393AB0">
        <w:t xml:space="preserve"> </w:t>
      </w:r>
      <w:r w:rsidR="00531137">
        <w:t>presence</w:t>
      </w:r>
      <w:r w:rsidR="00393AB0">
        <w:t xml:space="preserve"> of</w:t>
      </w:r>
      <w:r w:rsidR="00531137">
        <w:t xml:space="preserve"> the</w:t>
      </w:r>
      <w:r w:rsidR="00393AB0">
        <w:t xml:space="preserve"> safety device</w:t>
      </w:r>
      <w:r w:rsidR="00531137">
        <w:t>s</w:t>
      </w:r>
      <w:r w:rsidR="00393AB0">
        <w:t xml:space="preserve"> (</w:t>
      </w:r>
      <w:proofErr w:type="gramStart"/>
      <w:r w:rsidR="00E20495">
        <w:t>e.g.</w:t>
      </w:r>
      <w:proofErr w:type="gramEnd"/>
      <w:r w:rsidR="00E20495">
        <w:t xml:space="preserve"> </w:t>
      </w:r>
      <w:r w:rsidR="00393AB0">
        <w:t>pressure relief valve)</w:t>
      </w:r>
      <w:r w:rsidR="00016B22">
        <w:t xml:space="preserve"> </w:t>
      </w:r>
      <w:r w:rsidR="00C47287">
        <w:t>(</w:t>
      </w:r>
      <w:r w:rsidR="00FC5FB9">
        <w:t xml:space="preserve">van </w:t>
      </w:r>
      <w:proofErr w:type="spellStart"/>
      <w:r w:rsidR="00FC5FB9" w:rsidRPr="00E4119D">
        <w:t>Wingerden</w:t>
      </w:r>
      <w:proofErr w:type="spellEnd"/>
      <w:r w:rsidR="00FC5FB9">
        <w:t xml:space="preserve"> et al., 2022</w:t>
      </w:r>
      <w:r w:rsidR="00C47287">
        <w:t>)</w:t>
      </w:r>
      <w:r w:rsidR="00016B22">
        <w:t>.</w:t>
      </w:r>
      <w:r w:rsidR="00431283">
        <w:t xml:space="preserve"> </w:t>
      </w:r>
      <w:r w:rsidR="00985E5F">
        <w:t xml:space="preserve">Lastly, </w:t>
      </w:r>
      <w:r w:rsidR="00AF1AC8">
        <w:t>condensed phase explosions are</w:t>
      </w:r>
      <w:r w:rsidR="00985E5F">
        <w:t xml:space="preserve"> </w:t>
      </w:r>
      <w:r w:rsidR="00AF1AC8">
        <w:t>detonations that</w:t>
      </w:r>
      <w:r w:rsidR="00236B3B">
        <w:t xml:space="preserve"> may by generated by the ignition of</w:t>
      </w:r>
      <w:r w:rsidR="00985E5F">
        <w:t xml:space="preserve"> a mixture of LH2 and liquid or solid oxygen</w:t>
      </w:r>
      <w:r w:rsidR="00236B3B">
        <w:t xml:space="preserve"> (</w:t>
      </w:r>
      <w:proofErr w:type="spellStart"/>
      <w:r w:rsidR="00236B3B">
        <w:t>Ustolin</w:t>
      </w:r>
      <w:proofErr w:type="spellEnd"/>
      <w:r w:rsidR="00236B3B">
        <w:t xml:space="preserve"> et al., 2022).</w:t>
      </w:r>
      <w:r w:rsidR="00985E5F">
        <w:t xml:space="preserve"> </w:t>
      </w:r>
    </w:p>
    <w:p w14:paraId="0EA8F3BA" w14:textId="7E008D06" w:rsidR="00F64917" w:rsidRPr="00B57B36" w:rsidRDefault="00F64917" w:rsidP="00F64917">
      <w:pPr>
        <w:pStyle w:val="CETTabletitle"/>
      </w:pPr>
      <w:r w:rsidRPr="00B57B36">
        <w:t xml:space="preserve">Table </w:t>
      </w:r>
      <w:r>
        <w:t>2</w:t>
      </w:r>
      <w:r w:rsidRPr="00B57B36">
        <w:t xml:space="preserve">: </w:t>
      </w:r>
      <w:r>
        <w:t>additional</w:t>
      </w:r>
      <w:r w:rsidRPr="00186CDC">
        <w:t xml:space="preserve"> consequences </w:t>
      </w:r>
      <w:r>
        <w:t>not included in MIMAH and</w:t>
      </w:r>
      <w:r w:rsidRPr="00186CDC">
        <w:t xml:space="preserve"> </w:t>
      </w:r>
      <w:r w:rsidR="005078C8">
        <w:t>typical</w:t>
      </w:r>
      <w:r>
        <w:t xml:space="preserve"> for</w:t>
      </w:r>
      <w:r w:rsidRPr="00186CDC">
        <w:t xml:space="preserve"> </w:t>
      </w:r>
      <w:proofErr w:type="gramStart"/>
      <w:r w:rsidRPr="00186CDC">
        <w:t>hydrogen</w:t>
      </w:r>
      <w:proofErr w:type="gram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41"/>
        <w:gridCol w:w="3685"/>
        <w:gridCol w:w="2381"/>
      </w:tblGrid>
      <w:tr w:rsidR="004968AC" w:rsidRPr="00B57B36" w14:paraId="09CE0365" w14:textId="77777777" w:rsidTr="004968AC">
        <w:tc>
          <w:tcPr>
            <w:tcW w:w="2041" w:type="dxa"/>
            <w:tcBorders>
              <w:top w:val="single" w:sz="12" w:space="0" w:color="008000"/>
              <w:bottom w:val="single" w:sz="6" w:space="0" w:color="008000"/>
            </w:tcBorders>
            <w:shd w:val="clear" w:color="auto" w:fill="FFFFFF"/>
          </w:tcPr>
          <w:p w14:paraId="029AD39B" w14:textId="77777777" w:rsidR="00F64917" w:rsidRPr="00B57B36" w:rsidRDefault="00F64917" w:rsidP="006E40CA">
            <w:pPr>
              <w:pStyle w:val="CETBodytext"/>
              <w:rPr>
                <w:lang w:val="en-GB"/>
              </w:rPr>
            </w:pPr>
            <w:r>
              <w:rPr>
                <w:lang w:val="en-GB"/>
              </w:rPr>
              <w:t>Consequence category</w:t>
            </w:r>
          </w:p>
        </w:tc>
        <w:tc>
          <w:tcPr>
            <w:tcW w:w="3685" w:type="dxa"/>
            <w:tcBorders>
              <w:top w:val="single" w:sz="12" w:space="0" w:color="008000"/>
              <w:bottom w:val="single" w:sz="6" w:space="0" w:color="008000"/>
            </w:tcBorders>
            <w:shd w:val="clear" w:color="auto" w:fill="FFFFFF"/>
          </w:tcPr>
          <w:p w14:paraId="08B49B28" w14:textId="77777777" w:rsidR="00F64917" w:rsidRPr="00B57B36" w:rsidRDefault="00F64917" w:rsidP="006E40CA">
            <w:pPr>
              <w:pStyle w:val="CETBodytext"/>
              <w:rPr>
                <w:lang w:val="en-GB"/>
              </w:rPr>
            </w:pPr>
            <w:r>
              <w:rPr>
                <w:lang w:val="en-GB"/>
              </w:rPr>
              <w:t>Consequence</w:t>
            </w:r>
          </w:p>
        </w:tc>
        <w:tc>
          <w:tcPr>
            <w:tcW w:w="2381" w:type="dxa"/>
            <w:tcBorders>
              <w:top w:val="single" w:sz="12" w:space="0" w:color="008000"/>
              <w:bottom w:val="single" w:sz="6" w:space="0" w:color="008000"/>
            </w:tcBorders>
            <w:shd w:val="clear" w:color="auto" w:fill="FFFFFF"/>
          </w:tcPr>
          <w:p w14:paraId="13B109B4" w14:textId="77777777" w:rsidR="00F64917" w:rsidRPr="00B57B36" w:rsidRDefault="00F64917" w:rsidP="006E40CA">
            <w:pPr>
              <w:pStyle w:val="CETBodytext"/>
              <w:rPr>
                <w:lang w:val="en-GB"/>
              </w:rPr>
            </w:pPr>
            <w:r>
              <w:rPr>
                <w:lang w:val="en-GB"/>
              </w:rPr>
              <w:t>Physical status of hydrogen</w:t>
            </w:r>
          </w:p>
        </w:tc>
      </w:tr>
      <w:tr w:rsidR="004968AC" w:rsidRPr="00B57B36" w14:paraId="771FF273" w14:textId="77777777" w:rsidTr="004968AC">
        <w:tc>
          <w:tcPr>
            <w:tcW w:w="2041" w:type="dxa"/>
            <w:shd w:val="clear" w:color="auto" w:fill="FFFFFF"/>
          </w:tcPr>
          <w:p w14:paraId="3F64E915" w14:textId="3E81E203" w:rsidR="00F64917" w:rsidRPr="00B57B36" w:rsidRDefault="00F64917" w:rsidP="006E40CA">
            <w:pPr>
              <w:pStyle w:val="CETBodytext"/>
              <w:rPr>
                <w:lang w:val="en-GB"/>
              </w:rPr>
            </w:pPr>
          </w:p>
        </w:tc>
        <w:tc>
          <w:tcPr>
            <w:tcW w:w="3685" w:type="dxa"/>
            <w:shd w:val="clear" w:color="auto" w:fill="FFFFFF"/>
          </w:tcPr>
          <w:p w14:paraId="1D4EB358" w14:textId="5A9487A4" w:rsidR="00F64917" w:rsidRPr="00B57B36" w:rsidRDefault="005078C8" w:rsidP="009634AD">
            <w:pPr>
              <w:pStyle w:val="CETBodytext"/>
              <w:jc w:val="left"/>
              <w:rPr>
                <w:lang w:val="en-GB"/>
              </w:rPr>
            </w:pPr>
            <w:r>
              <w:t>Pressure peaking phenomenon</w:t>
            </w:r>
            <w:r w:rsidR="004968AC">
              <w:t xml:space="preserve"> (PPP)</w:t>
            </w:r>
          </w:p>
        </w:tc>
        <w:tc>
          <w:tcPr>
            <w:tcW w:w="2381" w:type="dxa"/>
            <w:shd w:val="clear" w:color="auto" w:fill="FFFFFF"/>
          </w:tcPr>
          <w:p w14:paraId="6F42F78E" w14:textId="6BF04A36" w:rsidR="00F64917" w:rsidRPr="00B57B36" w:rsidRDefault="00C15CEF" w:rsidP="006E40CA">
            <w:pPr>
              <w:pStyle w:val="CETBodytext"/>
              <w:rPr>
                <w:lang w:val="en-GB"/>
              </w:rPr>
            </w:pPr>
            <w:r>
              <w:rPr>
                <w:lang w:val="en-GB"/>
              </w:rPr>
              <w:t>Gas</w:t>
            </w:r>
          </w:p>
        </w:tc>
      </w:tr>
      <w:tr w:rsidR="004968AC" w:rsidRPr="00B57B36" w14:paraId="616D22F5" w14:textId="77777777" w:rsidTr="004968AC">
        <w:tc>
          <w:tcPr>
            <w:tcW w:w="2041" w:type="dxa"/>
            <w:shd w:val="clear" w:color="auto" w:fill="FFFFFF"/>
          </w:tcPr>
          <w:p w14:paraId="3D02A256" w14:textId="404318E3" w:rsidR="004968AC" w:rsidRDefault="00796BFA" w:rsidP="004968AC">
            <w:pPr>
              <w:pStyle w:val="CETBodytext"/>
              <w:rPr>
                <w:lang w:val="en-GB"/>
              </w:rPr>
            </w:pPr>
            <w:r>
              <w:rPr>
                <w:lang w:val="en-GB"/>
              </w:rPr>
              <w:t>Explosion</w:t>
            </w:r>
          </w:p>
        </w:tc>
        <w:tc>
          <w:tcPr>
            <w:tcW w:w="3685" w:type="dxa"/>
            <w:shd w:val="clear" w:color="auto" w:fill="FFFFFF"/>
          </w:tcPr>
          <w:p w14:paraId="291A816E" w14:textId="30489F40" w:rsidR="004968AC" w:rsidRDefault="004968AC" w:rsidP="009634AD">
            <w:pPr>
              <w:pStyle w:val="CETBodytext"/>
              <w:jc w:val="left"/>
            </w:pPr>
            <w:r>
              <w:t>Deflagration</w:t>
            </w:r>
          </w:p>
        </w:tc>
        <w:tc>
          <w:tcPr>
            <w:tcW w:w="2381" w:type="dxa"/>
            <w:shd w:val="clear" w:color="auto" w:fill="FFFFFF"/>
          </w:tcPr>
          <w:p w14:paraId="78E417AC" w14:textId="3AF696C7" w:rsidR="004968AC" w:rsidRDefault="00EE3548" w:rsidP="004968AC">
            <w:pPr>
              <w:pStyle w:val="CETBodytext"/>
              <w:rPr>
                <w:lang w:val="en-GB"/>
              </w:rPr>
            </w:pPr>
            <w:r>
              <w:t>Liquid, two phase, gas</w:t>
            </w:r>
          </w:p>
        </w:tc>
      </w:tr>
      <w:tr w:rsidR="004968AC" w:rsidRPr="00B57B36" w14:paraId="11A8ECA9" w14:textId="77777777" w:rsidTr="004968AC">
        <w:tc>
          <w:tcPr>
            <w:tcW w:w="2041" w:type="dxa"/>
            <w:shd w:val="clear" w:color="auto" w:fill="FFFFFF"/>
          </w:tcPr>
          <w:p w14:paraId="32E30C69" w14:textId="79EAD039" w:rsidR="004968AC" w:rsidRDefault="004968AC" w:rsidP="004968AC">
            <w:pPr>
              <w:pStyle w:val="CETBodytext"/>
              <w:rPr>
                <w:lang w:val="en-GB"/>
              </w:rPr>
            </w:pPr>
          </w:p>
        </w:tc>
        <w:tc>
          <w:tcPr>
            <w:tcW w:w="3685" w:type="dxa"/>
            <w:shd w:val="clear" w:color="auto" w:fill="FFFFFF"/>
          </w:tcPr>
          <w:p w14:paraId="4B5FF834" w14:textId="6D12178A" w:rsidR="004968AC" w:rsidRDefault="004968AC" w:rsidP="009634AD">
            <w:pPr>
              <w:pStyle w:val="CETBodytext"/>
              <w:jc w:val="left"/>
            </w:pPr>
            <w:r>
              <w:t>Detonation</w:t>
            </w:r>
          </w:p>
        </w:tc>
        <w:tc>
          <w:tcPr>
            <w:tcW w:w="2381" w:type="dxa"/>
            <w:shd w:val="clear" w:color="auto" w:fill="FFFFFF"/>
          </w:tcPr>
          <w:p w14:paraId="3BC1B77C" w14:textId="538E08B9" w:rsidR="004968AC" w:rsidRDefault="00795F6F" w:rsidP="004968AC">
            <w:pPr>
              <w:pStyle w:val="CETBodytext"/>
              <w:rPr>
                <w:lang w:val="en-GB"/>
              </w:rPr>
            </w:pPr>
            <w:r>
              <w:t>T</w:t>
            </w:r>
            <w:r w:rsidR="00EE3548">
              <w:t xml:space="preserve">wo </w:t>
            </w:r>
            <w:proofErr w:type="gramStart"/>
            <w:r w:rsidR="00EE3548">
              <w:t>phase</w:t>
            </w:r>
            <w:proofErr w:type="gramEnd"/>
            <w:r w:rsidR="00EE3548">
              <w:t>, gas</w:t>
            </w:r>
          </w:p>
        </w:tc>
      </w:tr>
      <w:tr w:rsidR="004968AC" w:rsidRPr="00B57B36" w14:paraId="6C74B6AC" w14:textId="77777777" w:rsidTr="004968AC">
        <w:tc>
          <w:tcPr>
            <w:tcW w:w="2041" w:type="dxa"/>
            <w:shd w:val="clear" w:color="auto" w:fill="FFFFFF"/>
          </w:tcPr>
          <w:p w14:paraId="188BD65B" w14:textId="77777777" w:rsidR="004968AC" w:rsidRDefault="004968AC" w:rsidP="004968AC">
            <w:pPr>
              <w:pStyle w:val="CETBodytext"/>
              <w:rPr>
                <w:lang w:val="en-GB"/>
              </w:rPr>
            </w:pPr>
          </w:p>
        </w:tc>
        <w:tc>
          <w:tcPr>
            <w:tcW w:w="3685" w:type="dxa"/>
            <w:shd w:val="clear" w:color="auto" w:fill="FFFFFF"/>
          </w:tcPr>
          <w:p w14:paraId="47AB150F" w14:textId="4FD255BC" w:rsidR="004968AC" w:rsidRDefault="004968AC" w:rsidP="009634AD">
            <w:pPr>
              <w:pStyle w:val="CETBodytext"/>
              <w:jc w:val="left"/>
            </w:pPr>
            <w:r>
              <w:t>Deflagration to detonation transition (DDT)</w:t>
            </w:r>
          </w:p>
        </w:tc>
        <w:tc>
          <w:tcPr>
            <w:tcW w:w="2381" w:type="dxa"/>
            <w:shd w:val="clear" w:color="auto" w:fill="FFFFFF"/>
          </w:tcPr>
          <w:p w14:paraId="0953BC8A" w14:textId="12906AB6" w:rsidR="004968AC" w:rsidRDefault="00EE3548" w:rsidP="004968AC">
            <w:pPr>
              <w:pStyle w:val="CETBodytext"/>
              <w:rPr>
                <w:lang w:val="en-GB"/>
              </w:rPr>
            </w:pPr>
            <w:r>
              <w:rPr>
                <w:lang w:val="en-GB"/>
              </w:rPr>
              <w:t>T</w:t>
            </w:r>
            <w:r w:rsidR="004968AC" w:rsidRPr="00B3632A">
              <w:rPr>
                <w:lang w:val="en-GB"/>
              </w:rPr>
              <w:t>wo</w:t>
            </w:r>
            <w:r w:rsidR="008E789E">
              <w:rPr>
                <w:lang w:val="en-GB"/>
              </w:rPr>
              <w:t xml:space="preserve"> </w:t>
            </w:r>
            <w:proofErr w:type="gramStart"/>
            <w:r w:rsidR="004968AC" w:rsidRPr="00B3632A">
              <w:rPr>
                <w:lang w:val="en-GB"/>
              </w:rPr>
              <w:t>phase</w:t>
            </w:r>
            <w:proofErr w:type="gramEnd"/>
            <w:r w:rsidR="004968AC" w:rsidRPr="00B3632A">
              <w:rPr>
                <w:lang w:val="en-GB"/>
              </w:rPr>
              <w:t>, gas</w:t>
            </w:r>
          </w:p>
        </w:tc>
      </w:tr>
      <w:tr w:rsidR="008E789E" w:rsidRPr="00B57B36" w14:paraId="2E2D5835" w14:textId="77777777" w:rsidTr="004968AC">
        <w:tc>
          <w:tcPr>
            <w:tcW w:w="2041" w:type="dxa"/>
            <w:shd w:val="clear" w:color="auto" w:fill="FFFFFF"/>
          </w:tcPr>
          <w:p w14:paraId="016E8135" w14:textId="77777777" w:rsidR="008E789E" w:rsidRDefault="008E789E" w:rsidP="008E789E">
            <w:pPr>
              <w:pStyle w:val="CETBodytext"/>
              <w:rPr>
                <w:lang w:val="en-GB"/>
              </w:rPr>
            </w:pPr>
          </w:p>
        </w:tc>
        <w:tc>
          <w:tcPr>
            <w:tcW w:w="3685" w:type="dxa"/>
            <w:shd w:val="clear" w:color="auto" w:fill="FFFFFF"/>
          </w:tcPr>
          <w:p w14:paraId="075F6F3A" w14:textId="00C3D360" w:rsidR="008E789E" w:rsidRDefault="008E789E" w:rsidP="008E789E">
            <w:pPr>
              <w:pStyle w:val="CETBodytext"/>
              <w:jc w:val="left"/>
            </w:pPr>
            <w:r>
              <w:t>Boiling liquid expanding vapor explosion (BLEVE)</w:t>
            </w:r>
          </w:p>
        </w:tc>
        <w:tc>
          <w:tcPr>
            <w:tcW w:w="2381" w:type="dxa"/>
            <w:shd w:val="clear" w:color="auto" w:fill="FFFFFF"/>
          </w:tcPr>
          <w:p w14:paraId="733AB48C" w14:textId="20A11E37" w:rsidR="008E789E" w:rsidRDefault="008E789E" w:rsidP="008E789E">
            <w:pPr>
              <w:pStyle w:val="CETBodytext"/>
              <w:rPr>
                <w:lang w:val="en-GB"/>
              </w:rPr>
            </w:pPr>
            <w:r>
              <w:rPr>
                <w:lang w:val="en-GB"/>
              </w:rPr>
              <w:t>Liquid</w:t>
            </w:r>
            <w:r w:rsidRPr="00B3632A">
              <w:rPr>
                <w:lang w:val="en-GB"/>
              </w:rPr>
              <w:t>, two</w:t>
            </w:r>
            <w:r>
              <w:rPr>
                <w:lang w:val="en-GB"/>
              </w:rPr>
              <w:t xml:space="preserve"> </w:t>
            </w:r>
            <w:r w:rsidRPr="00B3632A">
              <w:rPr>
                <w:lang w:val="en-GB"/>
              </w:rPr>
              <w:t>phase</w:t>
            </w:r>
          </w:p>
        </w:tc>
      </w:tr>
      <w:tr w:rsidR="008E789E" w:rsidRPr="00B57B36" w14:paraId="4F3C0499" w14:textId="77777777" w:rsidTr="004968AC">
        <w:tc>
          <w:tcPr>
            <w:tcW w:w="2041" w:type="dxa"/>
            <w:shd w:val="clear" w:color="auto" w:fill="FFFFFF"/>
          </w:tcPr>
          <w:p w14:paraId="5490DBB2" w14:textId="77777777" w:rsidR="008E789E" w:rsidRPr="00B57B36" w:rsidRDefault="008E789E" w:rsidP="008E789E">
            <w:pPr>
              <w:pStyle w:val="CETBodytext"/>
              <w:ind w:right="-1"/>
              <w:rPr>
                <w:rFonts w:cs="Arial"/>
                <w:szCs w:val="18"/>
                <w:lang w:val="en-GB"/>
              </w:rPr>
            </w:pPr>
          </w:p>
        </w:tc>
        <w:tc>
          <w:tcPr>
            <w:tcW w:w="3685" w:type="dxa"/>
            <w:shd w:val="clear" w:color="auto" w:fill="FFFFFF"/>
          </w:tcPr>
          <w:p w14:paraId="54491534" w14:textId="74A3E9B2" w:rsidR="008E789E" w:rsidRPr="00B57B36" w:rsidRDefault="008E789E" w:rsidP="008E789E">
            <w:pPr>
              <w:pStyle w:val="CETBodytext"/>
              <w:ind w:right="-1"/>
              <w:jc w:val="left"/>
              <w:rPr>
                <w:rFonts w:cs="Arial"/>
                <w:szCs w:val="18"/>
                <w:lang w:val="en-GB"/>
              </w:rPr>
            </w:pPr>
            <w:r>
              <w:rPr>
                <w:rFonts w:cs="Arial"/>
                <w:szCs w:val="18"/>
                <w:lang w:val="en-GB"/>
              </w:rPr>
              <w:t>Condensed phase explosion</w:t>
            </w:r>
          </w:p>
        </w:tc>
        <w:tc>
          <w:tcPr>
            <w:tcW w:w="2381" w:type="dxa"/>
            <w:shd w:val="clear" w:color="auto" w:fill="FFFFFF"/>
          </w:tcPr>
          <w:p w14:paraId="12BF480E" w14:textId="2686E8E3" w:rsidR="008E789E" w:rsidRPr="00B57B36" w:rsidRDefault="008E789E" w:rsidP="008E789E">
            <w:pPr>
              <w:pStyle w:val="CETBodytext"/>
              <w:ind w:right="-1"/>
              <w:rPr>
                <w:rFonts w:cs="Arial"/>
                <w:szCs w:val="18"/>
                <w:lang w:val="en-GB"/>
              </w:rPr>
            </w:pPr>
            <w:r w:rsidRPr="00B3632A">
              <w:rPr>
                <w:lang w:val="en-GB"/>
              </w:rPr>
              <w:t>Liquid</w:t>
            </w:r>
          </w:p>
        </w:tc>
      </w:tr>
    </w:tbl>
    <w:p w14:paraId="25F30BD9" w14:textId="77777777" w:rsidR="00F64917" w:rsidRDefault="00F64917" w:rsidP="00453E24">
      <w:pPr>
        <w:pStyle w:val="CETBodytext"/>
      </w:pPr>
    </w:p>
    <w:p w14:paraId="6692FCA7" w14:textId="4EFFC9DC" w:rsidR="00FA174C" w:rsidRDefault="00FA174C" w:rsidP="00FA1818">
      <w:pPr>
        <w:pStyle w:val="CETHeading1"/>
      </w:pPr>
      <w:r>
        <w:t>Consequence analysis techniques</w:t>
      </w:r>
    </w:p>
    <w:p w14:paraId="1B856FCF" w14:textId="326F4862" w:rsidR="00074023" w:rsidRDefault="00431283" w:rsidP="00453E24">
      <w:pPr>
        <w:pStyle w:val="CETBodytext"/>
      </w:pPr>
      <w:r>
        <w:t xml:space="preserve">The results from the </w:t>
      </w:r>
      <w:r w:rsidR="00197CC5">
        <w:t>Sec</w:t>
      </w:r>
      <w:r w:rsidR="00727EAA">
        <w:t>tion</w:t>
      </w:r>
      <w:r w:rsidR="00197CC5">
        <w:t xml:space="preserve"> 2 can be used to investigate the most relevant techniques </w:t>
      </w:r>
      <w:r w:rsidR="00CA24A1">
        <w:t xml:space="preserve">to analyze the consequences of hydrogen LOC. A literature review can be carried out to </w:t>
      </w:r>
      <w:r w:rsidR="001A7420">
        <w:t xml:space="preserve">seek for critical studies where a consequence analysis was carried out </w:t>
      </w:r>
      <w:r w:rsidR="00E84D98">
        <w:t>with</w:t>
      </w:r>
      <w:r w:rsidR="001A7420">
        <w:t xml:space="preserve"> the focus </w:t>
      </w:r>
      <w:r w:rsidR="00FB3CD6">
        <w:t>on the phenomena described in Sec</w:t>
      </w:r>
      <w:r w:rsidR="00727EAA">
        <w:t>tion</w:t>
      </w:r>
      <w:r w:rsidR="00FB3CD6">
        <w:t xml:space="preserve"> 2.2. </w:t>
      </w:r>
      <w:r w:rsidR="007A761D">
        <w:t>I</w:t>
      </w:r>
      <w:r w:rsidR="00FB3CD6">
        <w:t>n this paper, a preliminary</w:t>
      </w:r>
      <w:r w:rsidR="00E57D9D">
        <w:t xml:space="preserve"> literature</w:t>
      </w:r>
      <w:r w:rsidR="00FB3CD6">
        <w:t xml:space="preserve"> review was </w:t>
      </w:r>
      <w:r w:rsidR="00AF3064">
        <w:t>conducted</w:t>
      </w:r>
      <w:r w:rsidR="00847234">
        <w:t>. The</w:t>
      </w:r>
      <w:r w:rsidR="00306AAE">
        <w:t xml:space="preserve"> growing </w:t>
      </w:r>
      <w:r w:rsidR="005679EA">
        <w:t>trend in</w:t>
      </w:r>
      <w:r w:rsidR="00847234">
        <w:t xml:space="preserve"> number of publications demonstrates that</w:t>
      </w:r>
      <w:r w:rsidR="007F6498">
        <w:t xml:space="preserve"> the</w:t>
      </w:r>
      <w:r w:rsidR="00847234">
        <w:t xml:space="preserve"> interest in this type of research </w:t>
      </w:r>
      <w:r w:rsidR="00CC02FB">
        <w:t>is increasing exponentially</w:t>
      </w:r>
      <w:r w:rsidR="008A16D1">
        <w:t xml:space="preserve"> (see Figure 2)</w:t>
      </w:r>
      <w:r w:rsidR="00CC02FB">
        <w:t>.</w:t>
      </w:r>
      <w:r w:rsidR="008A16D1">
        <w:t xml:space="preserve"> </w:t>
      </w:r>
      <w:r w:rsidR="004553B2">
        <w:t xml:space="preserve">Most of the papers </w:t>
      </w:r>
      <w:r w:rsidR="007C27B9">
        <w:t xml:space="preserve">found during the review focused on fires and explosions, probably due to the flammability hazard </w:t>
      </w:r>
      <w:r w:rsidR="00830AD6">
        <w:t>intrinsic</w:t>
      </w:r>
      <w:r w:rsidR="007C27B9">
        <w:t xml:space="preserve"> in </w:t>
      </w:r>
      <w:r w:rsidR="002C3E26">
        <w:t>hydrogen.</w:t>
      </w:r>
      <w:r w:rsidR="0081092A">
        <w:t xml:space="preserve"> Nevertheless, many studies </w:t>
      </w:r>
      <w:r w:rsidR="000949CF">
        <w:t>also investigated</w:t>
      </w:r>
      <w:r w:rsidR="0081092A">
        <w:t xml:space="preserve"> dispersions</w:t>
      </w:r>
      <w:r w:rsidR="007E4E53">
        <w:t xml:space="preserve">, mainly </w:t>
      </w:r>
      <w:r w:rsidR="000949CF">
        <w:t>considering</w:t>
      </w:r>
      <w:r w:rsidR="00074023">
        <w:t xml:space="preserve"> hydrogen in</w:t>
      </w:r>
      <w:r w:rsidR="007E4E53">
        <w:t xml:space="preserve"> gaseous phase.</w:t>
      </w:r>
      <w:r w:rsidR="002C3E26">
        <w:t xml:space="preserve"> </w:t>
      </w:r>
      <w:r w:rsidR="00D606DF">
        <w:t xml:space="preserve">Few authors </w:t>
      </w:r>
      <w:r w:rsidR="001C6B0A">
        <w:t xml:space="preserve">dedicated their </w:t>
      </w:r>
      <w:r w:rsidR="00DA0A11">
        <w:t>research</w:t>
      </w:r>
      <w:r w:rsidR="004C54ED">
        <w:t xml:space="preserve"> on PPP, </w:t>
      </w:r>
      <w:r w:rsidR="00263136">
        <w:t xml:space="preserve">pool dispersion and fire, </w:t>
      </w:r>
      <w:r w:rsidR="001441C3">
        <w:t>flash fire, fireball, BLEVE</w:t>
      </w:r>
      <w:r w:rsidR="001D45E7">
        <w:t>, and missiles.</w:t>
      </w:r>
      <w:r w:rsidR="00A66AD7">
        <w:t xml:space="preserve"> </w:t>
      </w:r>
      <w:r w:rsidR="00DA0A11">
        <w:t xml:space="preserve">No publications were found on </w:t>
      </w:r>
      <w:r w:rsidR="00DE0391">
        <w:t xml:space="preserve">tank fire and </w:t>
      </w:r>
      <w:proofErr w:type="spellStart"/>
      <w:r w:rsidR="00DE0391">
        <w:t>boilover</w:t>
      </w:r>
      <w:proofErr w:type="spellEnd"/>
      <w:r w:rsidR="00DE0391">
        <w:t xml:space="preserve"> for hydrogen.</w:t>
      </w:r>
    </w:p>
    <w:p w14:paraId="44CB8F0E" w14:textId="21154BAB" w:rsidR="00887BB7" w:rsidRPr="009376C8" w:rsidRDefault="00E1119F" w:rsidP="005477BD">
      <w:pPr>
        <w:pStyle w:val="CETListbullets"/>
        <w:ind w:left="0" w:firstLine="0"/>
      </w:pPr>
      <w:r>
        <w:t xml:space="preserve"> </w:t>
      </w:r>
    </w:p>
    <w:p w14:paraId="762C77D8" w14:textId="0B2D52F3" w:rsidR="00AF3064" w:rsidRDefault="00DF5B90" w:rsidP="00453E24">
      <w:pPr>
        <w:pStyle w:val="CETBodytext"/>
      </w:pPr>
      <w:r>
        <w:rPr>
          <w:noProof/>
        </w:rPr>
        <w:lastRenderedPageBreak/>
        <w:drawing>
          <wp:inline distT="0" distB="0" distL="0" distR="0" wp14:anchorId="64D3F96F" wp14:editId="0194D651">
            <wp:extent cx="4500000" cy="2610497"/>
            <wp:effectExtent l="0" t="0" r="0" b="5715"/>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1"/>
                    <a:stretch>
                      <a:fillRect/>
                    </a:stretch>
                  </pic:blipFill>
                  <pic:spPr>
                    <a:xfrm>
                      <a:off x="0" y="0"/>
                      <a:ext cx="4500000" cy="2610497"/>
                    </a:xfrm>
                    <a:prstGeom prst="rect">
                      <a:avLst/>
                    </a:prstGeom>
                  </pic:spPr>
                </pic:pic>
              </a:graphicData>
            </a:graphic>
          </wp:inline>
        </w:drawing>
      </w:r>
    </w:p>
    <w:p w14:paraId="1BFA695C" w14:textId="2DF5A4D7" w:rsidR="009452EB" w:rsidRPr="00344D0A" w:rsidRDefault="009452EB" w:rsidP="009452EB">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116CD6" w:rsidRPr="00116CD6">
        <w:rPr>
          <w:rStyle w:val="CETCaptionCarattere"/>
          <w:i/>
        </w:rPr>
        <w:t xml:space="preserve">Publication trend of journal papers related to consequence analysis of hydrogen technologies in the last 26 </w:t>
      </w:r>
      <w:proofErr w:type="gramStart"/>
      <w:r w:rsidR="00116CD6" w:rsidRPr="00116CD6">
        <w:rPr>
          <w:rStyle w:val="CETCaptionCarattere"/>
          <w:i/>
        </w:rPr>
        <w:t>years</w:t>
      </w:r>
      <w:proofErr w:type="gramEnd"/>
      <w:r w:rsidRPr="00BD077D">
        <w:t xml:space="preserve"> </w:t>
      </w:r>
    </w:p>
    <w:p w14:paraId="50B7DAE6" w14:textId="059CFF7D" w:rsidR="00876A7A" w:rsidRDefault="00876A7A" w:rsidP="00876A7A">
      <w:pPr>
        <w:pStyle w:val="CETBodytext"/>
      </w:pPr>
      <w:r w:rsidRPr="00876A7A">
        <w:rPr>
          <w:iCs/>
          <w:lang w:val="en-GB"/>
        </w:rPr>
        <w:t>In these publications, three types of models were developed or adopted to execute consequence analys</w:t>
      </w:r>
      <w:r w:rsidR="004B4250">
        <w:rPr>
          <w:iCs/>
          <w:lang w:val="en-GB"/>
        </w:rPr>
        <w:t>e</w:t>
      </w:r>
      <w:r w:rsidRPr="00876A7A">
        <w:rPr>
          <w:iCs/>
          <w:lang w:val="en-GB"/>
        </w:rPr>
        <w:t>s for hydrogen</w:t>
      </w:r>
      <w:r>
        <w:t xml:space="preserve"> technologies:</w:t>
      </w:r>
    </w:p>
    <w:p w14:paraId="385585DE" w14:textId="77777777" w:rsidR="00876A7A" w:rsidRPr="009376C8" w:rsidRDefault="00876A7A" w:rsidP="00876A7A">
      <w:pPr>
        <w:pStyle w:val="CETListbullets"/>
        <w:numPr>
          <w:ilvl w:val="0"/>
          <w:numId w:val="24"/>
        </w:numPr>
        <w:ind w:left="340" w:hanging="227"/>
      </w:pPr>
      <w:r w:rsidRPr="009376C8">
        <w:t>Theoretical</w:t>
      </w:r>
    </w:p>
    <w:p w14:paraId="43FD6718" w14:textId="77777777" w:rsidR="00876A7A" w:rsidRPr="009376C8" w:rsidRDefault="00876A7A" w:rsidP="00876A7A">
      <w:pPr>
        <w:pStyle w:val="CETListbullets"/>
        <w:numPr>
          <w:ilvl w:val="0"/>
          <w:numId w:val="24"/>
        </w:numPr>
        <w:ind w:left="340" w:hanging="227"/>
      </w:pPr>
      <w:r w:rsidRPr="009376C8">
        <w:t xml:space="preserve">Empirical </w:t>
      </w:r>
    </w:p>
    <w:p w14:paraId="6B68EE90" w14:textId="77777777" w:rsidR="00876A7A" w:rsidRDefault="00876A7A" w:rsidP="00876A7A">
      <w:pPr>
        <w:pStyle w:val="CETListbullets"/>
        <w:numPr>
          <w:ilvl w:val="0"/>
          <w:numId w:val="24"/>
        </w:numPr>
        <w:ind w:left="340" w:hanging="227"/>
      </w:pPr>
      <w:r w:rsidRPr="009376C8">
        <w:t>Numerical</w:t>
      </w:r>
    </w:p>
    <w:p w14:paraId="76DA531D" w14:textId="7E8FF805" w:rsidR="00BC5BDC" w:rsidRDefault="00876A7A" w:rsidP="00876A7A">
      <w:pPr>
        <w:pStyle w:val="CETBodytextItalic"/>
        <w:rPr>
          <w:i w:val="0"/>
          <w:iCs/>
        </w:rPr>
      </w:pPr>
      <w:r w:rsidRPr="00876A7A">
        <w:rPr>
          <w:i w:val="0"/>
          <w:iCs/>
        </w:rPr>
        <w:t xml:space="preserve">The main advantage of using theoretical models (also called integral </w:t>
      </w:r>
      <w:r w:rsidR="00067B25">
        <w:rPr>
          <w:i w:val="0"/>
          <w:iCs/>
        </w:rPr>
        <w:t xml:space="preserve">models </w:t>
      </w:r>
      <w:r w:rsidRPr="00876A7A">
        <w:rPr>
          <w:i w:val="0"/>
          <w:iCs/>
        </w:rPr>
        <w:t xml:space="preserve">by risk analysts) is that they can be applied by engineers without any </w:t>
      </w:r>
      <w:r w:rsidR="00067B25">
        <w:rPr>
          <w:i w:val="0"/>
          <w:iCs/>
        </w:rPr>
        <w:t>specific</w:t>
      </w:r>
      <w:r w:rsidRPr="00876A7A">
        <w:rPr>
          <w:i w:val="0"/>
          <w:iCs/>
        </w:rPr>
        <w:t xml:space="preserve"> specialization. Moreover, these models</w:t>
      </w:r>
      <w:r w:rsidR="00067B25">
        <w:rPr>
          <w:i w:val="0"/>
          <w:iCs/>
        </w:rPr>
        <w:t xml:space="preserve"> are fast to implement and </w:t>
      </w:r>
      <w:r w:rsidR="006F4EEB">
        <w:rPr>
          <w:i w:val="0"/>
          <w:iCs/>
        </w:rPr>
        <w:t xml:space="preserve">once </w:t>
      </w:r>
      <w:r w:rsidR="00067B25">
        <w:rPr>
          <w:i w:val="0"/>
          <w:iCs/>
        </w:rPr>
        <w:t>validated</w:t>
      </w:r>
      <w:r w:rsidR="00867E24">
        <w:rPr>
          <w:i w:val="0"/>
          <w:iCs/>
        </w:rPr>
        <w:t xml:space="preserve"> for a phenomenon</w:t>
      </w:r>
      <w:r w:rsidR="006F4EEB">
        <w:rPr>
          <w:i w:val="0"/>
          <w:iCs/>
        </w:rPr>
        <w:t xml:space="preserve">, a good accuracy can be achieved </w:t>
      </w:r>
      <w:r w:rsidR="00867E24">
        <w:rPr>
          <w:i w:val="0"/>
          <w:iCs/>
        </w:rPr>
        <w:t>when applied to different case studies on different scales</w:t>
      </w:r>
      <w:r w:rsidR="00890F56">
        <w:rPr>
          <w:i w:val="0"/>
          <w:iCs/>
        </w:rPr>
        <w:t xml:space="preserve"> because they are based on physic</w:t>
      </w:r>
      <w:r w:rsidR="0046292A">
        <w:rPr>
          <w:i w:val="0"/>
          <w:iCs/>
        </w:rPr>
        <w:t xml:space="preserve">al </w:t>
      </w:r>
      <w:r w:rsidR="004A5B93">
        <w:rPr>
          <w:i w:val="0"/>
          <w:iCs/>
        </w:rPr>
        <w:t>law</w:t>
      </w:r>
      <w:r w:rsidR="00FF6CA5">
        <w:rPr>
          <w:i w:val="0"/>
          <w:iCs/>
        </w:rPr>
        <w:t>s</w:t>
      </w:r>
      <w:r w:rsidR="00867E24">
        <w:rPr>
          <w:i w:val="0"/>
          <w:iCs/>
        </w:rPr>
        <w:t>.</w:t>
      </w:r>
      <w:r w:rsidR="00CA2366">
        <w:rPr>
          <w:i w:val="0"/>
          <w:iCs/>
        </w:rPr>
        <w:t xml:space="preserve"> The main drawback of theoretical models is that th</w:t>
      </w:r>
      <w:r w:rsidR="00BC5BDC">
        <w:rPr>
          <w:i w:val="0"/>
          <w:iCs/>
        </w:rPr>
        <w:t>ey are not accurate when it is needed to consider also other phenomena or complex domains</w:t>
      </w:r>
      <w:r w:rsidR="0062015B">
        <w:rPr>
          <w:i w:val="0"/>
          <w:iCs/>
        </w:rPr>
        <w:t xml:space="preserve"> (</w:t>
      </w:r>
      <w:proofErr w:type="gramStart"/>
      <w:r w:rsidR="0062015B">
        <w:rPr>
          <w:i w:val="0"/>
          <w:iCs/>
        </w:rPr>
        <w:t>e.g.</w:t>
      </w:r>
      <w:proofErr w:type="gramEnd"/>
      <w:r w:rsidR="0062015B">
        <w:rPr>
          <w:i w:val="0"/>
          <w:iCs/>
        </w:rPr>
        <w:t xml:space="preserve"> industrial plant)</w:t>
      </w:r>
      <w:r w:rsidR="00BC5BDC">
        <w:rPr>
          <w:i w:val="0"/>
          <w:iCs/>
        </w:rPr>
        <w:t>.</w:t>
      </w:r>
      <w:r w:rsidR="00890F56">
        <w:rPr>
          <w:i w:val="0"/>
          <w:iCs/>
        </w:rPr>
        <w:t xml:space="preserve"> </w:t>
      </w:r>
    </w:p>
    <w:p w14:paraId="4D393AB2" w14:textId="25E489F7" w:rsidR="00A666FA" w:rsidRDefault="00890F56" w:rsidP="00876A7A">
      <w:pPr>
        <w:pStyle w:val="CETBodytextItalic"/>
        <w:rPr>
          <w:i w:val="0"/>
          <w:iCs/>
        </w:rPr>
      </w:pPr>
      <w:r>
        <w:rPr>
          <w:i w:val="0"/>
          <w:iCs/>
        </w:rPr>
        <w:t xml:space="preserve">Empirical models </w:t>
      </w:r>
      <w:r w:rsidR="0062015B">
        <w:rPr>
          <w:i w:val="0"/>
          <w:iCs/>
        </w:rPr>
        <w:t>may</w:t>
      </w:r>
      <w:r w:rsidR="004C426A">
        <w:rPr>
          <w:i w:val="0"/>
          <w:iCs/>
        </w:rPr>
        <w:t xml:space="preserve"> be even simpler to apply since these are usually correlations that </w:t>
      </w:r>
      <w:r w:rsidR="000C0932">
        <w:rPr>
          <w:i w:val="0"/>
          <w:iCs/>
        </w:rPr>
        <w:t xml:space="preserve">were proposed by observing at experimental data and </w:t>
      </w:r>
      <w:r w:rsidR="004C426A">
        <w:rPr>
          <w:i w:val="0"/>
          <w:iCs/>
        </w:rPr>
        <w:t xml:space="preserve">depends on few </w:t>
      </w:r>
      <w:r w:rsidR="000C0932">
        <w:rPr>
          <w:i w:val="0"/>
          <w:iCs/>
        </w:rPr>
        <w:t xml:space="preserve">parameters. </w:t>
      </w:r>
      <w:r w:rsidR="0062015B">
        <w:rPr>
          <w:i w:val="0"/>
          <w:iCs/>
        </w:rPr>
        <w:t xml:space="preserve">The main drawback </w:t>
      </w:r>
      <w:r w:rsidR="00BA5E09">
        <w:rPr>
          <w:i w:val="0"/>
          <w:iCs/>
        </w:rPr>
        <w:t xml:space="preserve">of empirical model is that they require a large data set to </w:t>
      </w:r>
      <w:r w:rsidR="00A86FA2">
        <w:rPr>
          <w:i w:val="0"/>
          <w:iCs/>
        </w:rPr>
        <w:t>be accurate. Otherwise, large errors can be generated by developing empirical correlations</w:t>
      </w:r>
      <w:r w:rsidR="00CC4615">
        <w:rPr>
          <w:i w:val="0"/>
          <w:iCs/>
        </w:rPr>
        <w:t xml:space="preserve"> based on a few data points. </w:t>
      </w:r>
      <w:proofErr w:type="gramStart"/>
      <w:r w:rsidR="00CC4615">
        <w:rPr>
          <w:i w:val="0"/>
          <w:iCs/>
        </w:rPr>
        <w:t>Also</w:t>
      </w:r>
      <w:proofErr w:type="gramEnd"/>
      <w:r w:rsidR="00CC4615">
        <w:rPr>
          <w:i w:val="0"/>
          <w:iCs/>
        </w:rPr>
        <w:t xml:space="preserve"> empirical models focus on a specific </w:t>
      </w:r>
      <w:r w:rsidR="009B0A9B">
        <w:rPr>
          <w:i w:val="0"/>
          <w:iCs/>
        </w:rPr>
        <w:t xml:space="preserve">phenomenon and most of the times on a specific scale. </w:t>
      </w:r>
    </w:p>
    <w:p w14:paraId="4B8D9814" w14:textId="42F94497" w:rsidR="009B0A9B" w:rsidRPr="00A666FA" w:rsidRDefault="009B0A9B" w:rsidP="00876A7A">
      <w:pPr>
        <w:pStyle w:val="CETBodytextItalic"/>
        <w:rPr>
          <w:i w:val="0"/>
          <w:iCs/>
        </w:rPr>
      </w:pPr>
      <w:r>
        <w:rPr>
          <w:i w:val="0"/>
          <w:iCs/>
        </w:rPr>
        <w:t xml:space="preserve">Numerical models are </w:t>
      </w:r>
      <w:r w:rsidR="00E15160">
        <w:rPr>
          <w:i w:val="0"/>
          <w:iCs/>
        </w:rPr>
        <w:t>known to be the most accurate</w:t>
      </w:r>
      <w:r w:rsidR="0054448F">
        <w:rPr>
          <w:i w:val="0"/>
          <w:iCs/>
        </w:rPr>
        <w:t xml:space="preserve"> and are capable of simulating complex geometries and </w:t>
      </w:r>
      <w:proofErr w:type="gramStart"/>
      <w:r w:rsidR="0054448F">
        <w:rPr>
          <w:i w:val="0"/>
          <w:iCs/>
        </w:rPr>
        <w:t>take into account</w:t>
      </w:r>
      <w:proofErr w:type="gramEnd"/>
      <w:r w:rsidR="0054448F">
        <w:rPr>
          <w:i w:val="0"/>
          <w:iCs/>
        </w:rPr>
        <w:t xml:space="preserve"> many different phenomena. Computational fluid dynamics (CFD) </w:t>
      </w:r>
      <w:r w:rsidR="00F94BC7">
        <w:rPr>
          <w:i w:val="0"/>
          <w:iCs/>
        </w:rPr>
        <w:t>is an</w:t>
      </w:r>
      <w:r w:rsidR="0054448F">
        <w:rPr>
          <w:i w:val="0"/>
          <w:iCs/>
        </w:rPr>
        <w:t xml:space="preserve"> example of </w:t>
      </w:r>
      <w:r w:rsidR="00F94BC7">
        <w:rPr>
          <w:i w:val="0"/>
          <w:iCs/>
        </w:rPr>
        <w:t xml:space="preserve">numerical model widely employed for the consequence analysis </w:t>
      </w:r>
      <w:r w:rsidR="00252583">
        <w:rPr>
          <w:i w:val="0"/>
          <w:iCs/>
        </w:rPr>
        <w:t>of hydrogen technologies. CFD technique is time and computational demanding and requires</w:t>
      </w:r>
      <w:r w:rsidR="00B15D70">
        <w:rPr>
          <w:i w:val="0"/>
          <w:iCs/>
        </w:rPr>
        <w:t xml:space="preserve"> highly qualify personnel to be used. For these reasons, </w:t>
      </w:r>
      <w:r w:rsidR="00BC1992">
        <w:rPr>
          <w:i w:val="0"/>
          <w:iCs/>
        </w:rPr>
        <w:t xml:space="preserve">CFD is employed when </w:t>
      </w:r>
      <w:r w:rsidR="00764F83">
        <w:rPr>
          <w:i w:val="0"/>
          <w:iCs/>
        </w:rPr>
        <w:t>new phenomena</w:t>
      </w:r>
      <w:r w:rsidR="001F0071">
        <w:rPr>
          <w:i w:val="0"/>
          <w:iCs/>
        </w:rPr>
        <w:t xml:space="preserve"> must be studied in detail as it was recently done for the LH2 BLEVE </w:t>
      </w:r>
      <w:r w:rsidR="004B5C56">
        <w:rPr>
          <w:i w:val="0"/>
          <w:iCs/>
        </w:rPr>
        <w:t>(</w:t>
      </w:r>
      <w:proofErr w:type="spellStart"/>
      <w:r w:rsidR="004B5C56">
        <w:rPr>
          <w:i w:val="0"/>
          <w:iCs/>
        </w:rPr>
        <w:t>Ustolin</w:t>
      </w:r>
      <w:proofErr w:type="spellEnd"/>
      <w:r w:rsidR="004B5C56">
        <w:rPr>
          <w:i w:val="0"/>
          <w:iCs/>
        </w:rPr>
        <w:t xml:space="preserve"> et al., 2022)</w:t>
      </w:r>
      <w:r w:rsidR="001F0071">
        <w:rPr>
          <w:i w:val="0"/>
          <w:iCs/>
        </w:rPr>
        <w:t>.</w:t>
      </w:r>
      <w:r w:rsidR="00835338">
        <w:rPr>
          <w:i w:val="0"/>
          <w:iCs/>
        </w:rPr>
        <w:t xml:space="preserve"> </w:t>
      </w:r>
      <w:r w:rsidR="00674B9F">
        <w:rPr>
          <w:i w:val="0"/>
          <w:iCs/>
        </w:rPr>
        <w:t xml:space="preserve">Once the phenomenon is understood, the results of the CFD analysis can be </w:t>
      </w:r>
      <w:r w:rsidR="00135C7B">
        <w:rPr>
          <w:i w:val="0"/>
          <w:iCs/>
        </w:rPr>
        <w:t>exploited</w:t>
      </w:r>
      <w:r w:rsidR="00674B9F">
        <w:rPr>
          <w:i w:val="0"/>
          <w:iCs/>
        </w:rPr>
        <w:t xml:space="preserve"> to </w:t>
      </w:r>
      <w:r w:rsidR="003D4811">
        <w:rPr>
          <w:i w:val="0"/>
          <w:iCs/>
        </w:rPr>
        <w:t>develop other type of models or correlations.</w:t>
      </w:r>
    </w:p>
    <w:p w14:paraId="6720E91A" w14:textId="6E91D555" w:rsidR="00A65097" w:rsidRDefault="00A65097" w:rsidP="00484303">
      <w:pPr>
        <w:pStyle w:val="CETHeading1"/>
      </w:pPr>
      <w:r>
        <w:t>Discussion</w:t>
      </w:r>
    </w:p>
    <w:p w14:paraId="1AA68E9A" w14:textId="17E11C28" w:rsidR="00FC4905" w:rsidRDefault="00FC4905" w:rsidP="00A65097">
      <w:pPr>
        <w:pStyle w:val="CETBodytextItalic"/>
        <w:rPr>
          <w:i w:val="0"/>
          <w:iCs/>
        </w:rPr>
      </w:pPr>
      <w:r>
        <w:rPr>
          <w:i w:val="0"/>
          <w:iCs/>
        </w:rPr>
        <w:t xml:space="preserve">MIMAH methodology is very useful to develop generic </w:t>
      </w:r>
      <w:r w:rsidR="00A43DE8">
        <w:rPr>
          <w:i w:val="0"/>
          <w:iCs/>
        </w:rPr>
        <w:t>event trees for conventional fuels such as hydrocarbons. This technique is fast and easy to implement if the</w:t>
      </w:r>
      <w:r w:rsidR="004444E8">
        <w:rPr>
          <w:i w:val="0"/>
          <w:iCs/>
        </w:rPr>
        <w:t xml:space="preserve"> level of</w:t>
      </w:r>
      <w:r w:rsidR="00A43DE8">
        <w:rPr>
          <w:i w:val="0"/>
          <w:iCs/>
        </w:rPr>
        <w:t xml:space="preserve"> knowledge of the industrial plant is satisfactory</w:t>
      </w:r>
      <w:r w:rsidR="004444E8">
        <w:rPr>
          <w:i w:val="0"/>
          <w:iCs/>
        </w:rPr>
        <w:t xml:space="preserve">. However, the results attained from the application of MIMAH are not complete wen considering specific and peculiar </w:t>
      </w:r>
      <w:r w:rsidR="00365CD9">
        <w:rPr>
          <w:i w:val="0"/>
          <w:iCs/>
        </w:rPr>
        <w:t xml:space="preserve">substances such as hydrogen. It is suggested to update or develop a new methodology ad-hoc for hydrogen. The </w:t>
      </w:r>
      <w:r w:rsidR="009E6656">
        <w:rPr>
          <w:i w:val="0"/>
          <w:iCs/>
        </w:rPr>
        <w:t>severity of the consequences not considered in MIMAH is not negligible a</w:t>
      </w:r>
      <w:r w:rsidR="00155FC6">
        <w:rPr>
          <w:i w:val="0"/>
          <w:iCs/>
        </w:rPr>
        <w:t>nd these phenomena</w:t>
      </w:r>
      <w:r w:rsidR="00B430DC">
        <w:rPr>
          <w:i w:val="0"/>
          <w:iCs/>
        </w:rPr>
        <w:t xml:space="preserve"> (PPP, DDT, BLEVE)</w:t>
      </w:r>
      <w:r w:rsidR="00155FC6">
        <w:rPr>
          <w:i w:val="0"/>
          <w:iCs/>
        </w:rPr>
        <w:t xml:space="preserve"> must be </w:t>
      </w:r>
      <w:proofErr w:type="gramStart"/>
      <w:r w:rsidR="00155FC6">
        <w:rPr>
          <w:i w:val="0"/>
          <w:iCs/>
        </w:rPr>
        <w:t>taken into account</w:t>
      </w:r>
      <w:proofErr w:type="gramEnd"/>
      <w:r w:rsidR="00155FC6">
        <w:rPr>
          <w:i w:val="0"/>
          <w:iCs/>
        </w:rPr>
        <w:t xml:space="preserve"> during a risk assessment.</w:t>
      </w:r>
      <w:r w:rsidR="00B430DC">
        <w:rPr>
          <w:i w:val="0"/>
          <w:iCs/>
        </w:rPr>
        <w:t xml:space="preserve"> </w:t>
      </w:r>
    </w:p>
    <w:p w14:paraId="3B31FDBC" w14:textId="0C1D2D0E" w:rsidR="00191990" w:rsidRPr="00A65097" w:rsidRDefault="000B1C37" w:rsidP="00A65097">
      <w:pPr>
        <w:pStyle w:val="CETBodytextItalic"/>
        <w:rPr>
          <w:i w:val="0"/>
          <w:iCs/>
        </w:rPr>
      </w:pPr>
      <w:r>
        <w:rPr>
          <w:i w:val="0"/>
          <w:iCs/>
        </w:rPr>
        <w:t>Consequence analysis of hydrogen technologies was carried out in h</w:t>
      </w:r>
      <w:r w:rsidR="00DD3B3E">
        <w:rPr>
          <w:i w:val="0"/>
          <w:iCs/>
        </w:rPr>
        <w:t xml:space="preserve">undreds of publications </w:t>
      </w:r>
      <w:r>
        <w:rPr>
          <w:i w:val="0"/>
          <w:iCs/>
        </w:rPr>
        <w:t xml:space="preserve">in the last </w:t>
      </w:r>
      <w:r w:rsidR="00D26C6F">
        <w:rPr>
          <w:i w:val="0"/>
          <w:iCs/>
        </w:rPr>
        <w:t>two decades. The interest in these technologies is high as never before</w:t>
      </w:r>
      <w:r w:rsidR="001D2DA7">
        <w:rPr>
          <w:i w:val="0"/>
          <w:iCs/>
        </w:rPr>
        <w:t xml:space="preserve">, thus there is a need to reduce the risk </w:t>
      </w:r>
      <w:r w:rsidR="00D233CA">
        <w:rPr>
          <w:i w:val="0"/>
          <w:iCs/>
        </w:rPr>
        <w:t xml:space="preserve">of accidents especially for new applications. </w:t>
      </w:r>
      <w:r w:rsidR="00973DED">
        <w:rPr>
          <w:i w:val="0"/>
          <w:iCs/>
        </w:rPr>
        <w:t>K</w:t>
      </w:r>
      <w:r w:rsidR="009077FF">
        <w:rPr>
          <w:i w:val="0"/>
          <w:iCs/>
        </w:rPr>
        <w:t>nowledge gaps still exist for the most peculiar event such as PPP and LH2 BLEVE.</w:t>
      </w:r>
      <w:r w:rsidR="00562084">
        <w:rPr>
          <w:i w:val="0"/>
          <w:iCs/>
        </w:rPr>
        <w:t xml:space="preserve"> </w:t>
      </w:r>
      <w:r w:rsidR="00306534">
        <w:rPr>
          <w:i w:val="0"/>
          <w:iCs/>
        </w:rPr>
        <w:t>Theoretical, empirical, and numerical models were developed and validate for different phenomena that may occur for hydrogen.</w:t>
      </w:r>
      <w:r w:rsidR="00562084">
        <w:rPr>
          <w:i w:val="0"/>
          <w:iCs/>
        </w:rPr>
        <w:t xml:space="preserve"> </w:t>
      </w:r>
      <w:r w:rsidR="00C50FAD">
        <w:rPr>
          <w:i w:val="0"/>
          <w:iCs/>
        </w:rPr>
        <w:t xml:space="preserve">CFD is the most used numerical model to assess the yield of hydrogen consequences. </w:t>
      </w:r>
      <w:r w:rsidR="0088365F">
        <w:rPr>
          <w:i w:val="0"/>
          <w:iCs/>
        </w:rPr>
        <w:t>Further validation with experimental data is paramount to improve the accuracy of th</w:t>
      </w:r>
      <w:r w:rsidR="00A659E7">
        <w:rPr>
          <w:i w:val="0"/>
          <w:iCs/>
        </w:rPr>
        <w:t xml:space="preserve">e developed </w:t>
      </w:r>
      <w:r w:rsidR="00A659E7">
        <w:rPr>
          <w:i w:val="0"/>
          <w:iCs/>
        </w:rPr>
        <w:lastRenderedPageBreak/>
        <w:t xml:space="preserve">models. For the risk assessment of new </w:t>
      </w:r>
      <w:r w:rsidR="00BE7DC8">
        <w:rPr>
          <w:i w:val="0"/>
          <w:iCs/>
        </w:rPr>
        <w:t xml:space="preserve">infrastructures in the transportation sector, there is need to </w:t>
      </w:r>
      <w:r w:rsidR="002432ED">
        <w:rPr>
          <w:i w:val="0"/>
          <w:iCs/>
        </w:rPr>
        <w:t xml:space="preserve">create or strengthen the capabilities of integral model </w:t>
      </w:r>
      <w:proofErr w:type="gramStart"/>
      <w:r w:rsidR="002432ED">
        <w:rPr>
          <w:i w:val="0"/>
          <w:iCs/>
        </w:rPr>
        <w:t>in order to</w:t>
      </w:r>
      <w:proofErr w:type="gramEnd"/>
      <w:r w:rsidR="002432ED">
        <w:rPr>
          <w:i w:val="0"/>
          <w:iCs/>
        </w:rPr>
        <w:t xml:space="preserve"> reduce the computational time.</w:t>
      </w:r>
      <w:r w:rsidR="00314BD6">
        <w:rPr>
          <w:i w:val="0"/>
          <w:iCs/>
        </w:rPr>
        <w:t xml:space="preserve"> The results of the consequence analyses can aid the selection of effective risk reduction measures</w:t>
      </w:r>
      <w:r w:rsidR="00923B88">
        <w:rPr>
          <w:i w:val="0"/>
          <w:iCs/>
        </w:rPr>
        <w:t xml:space="preserve"> as part of the risk management. The deployment of hydrogen technologies in new applications can be enhanced only by </w:t>
      </w:r>
      <w:r w:rsidR="00C708A8">
        <w:rPr>
          <w:i w:val="0"/>
          <w:iCs/>
        </w:rPr>
        <w:t xml:space="preserve">decreasing the overall risk. </w:t>
      </w:r>
      <w:r w:rsidR="000C4DDF">
        <w:rPr>
          <w:i w:val="0"/>
          <w:iCs/>
        </w:rPr>
        <w:t>Obviously, the evaluation of the probabilities of failure is</w:t>
      </w:r>
      <w:r w:rsidR="00DB261B">
        <w:rPr>
          <w:i w:val="0"/>
          <w:iCs/>
        </w:rPr>
        <w:t xml:space="preserve"> another critical task part of the risk assessment. The root cause of </w:t>
      </w:r>
      <w:r w:rsidR="00192CAA">
        <w:rPr>
          <w:i w:val="0"/>
          <w:iCs/>
        </w:rPr>
        <w:t>critical events must be comprehended to prevent the</w:t>
      </w:r>
      <w:r w:rsidR="00A94FB9">
        <w:rPr>
          <w:i w:val="0"/>
          <w:iCs/>
        </w:rPr>
        <w:t>m by applying operational safety barriers such as inspection and maintenance (Campari et al., 2022).</w:t>
      </w:r>
      <w:r w:rsidR="00AD7116">
        <w:rPr>
          <w:i w:val="0"/>
          <w:iCs/>
        </w:rPr>
        <w:t xml:space="preserve"> </w:t>
      </w:r>
    </w:p>
    <w:p w14:paraId="68D26B83" w14:textId="77777777" w:rsidR="00600535" w:rsidRPr="00B57B36" w:rsidRDefault="00600535" w:rsidP="00600535">
      <w:pPr>
        <w:pStyle w:val="CETHeading1"/>
        <w:rPr>
          <w:lang w:val="en-GB"/>
        </w:rPr>
      </w:pPr>
      <w:r w:rsidRPr="00B57B36">
        <w:rPr>
          <w:lang w:val="en-GB"/>
        </w:rPr>
        <w:t>Conclusions</w:t>
      </w:r>
    </w:p>
    <w:p w14:paraId="52DAFDE0" w14:textId="4BD4B249" w:rsidR="001D0CFB" w:rsidRDefault="003910E9" w:rsidP="00600535">
      <w:pPr>
        <w:pStyle w:val="CETBodytext"/>
        <w:rPr>
          <w:lang w:val="en-GB"/>
        </w:rPr>
      </w:pPr>
      <w:r>
        <w:rPr>
          <w:lang w:val="en-GB"/>
        </w:rPr>
        <w:t xml:space="preserve">The main consequences of failure for hydrogen technologies were identified </w:t>
      </w:r>
      <w:r w:rsidR="004E0B0D">
        <w:rPr>
          <w:lang w:val="en-GB"/>
        </w:rPr>
        <w:t xml:space="preserve">through the MIMAH methodology. Specific phenomena that might occur </w:t>
      </w:r>
      <w:r w:rsidR="005E127A">
        <w:rPr>
          <w:lang w:val="en-GB"/>
        </w:rPr>
        <w:t>during the LOC</w:t>
      </w:r>
      <w:r w:rsidR="00305EFA">
        <w:rPr>
          <w:lang w:val="en-GB"/>
        </w:rPr>
        <w:t xml:space="preserve"> of hydrogen equipment</w:t>
      </w:r>
      <w:r w:rsidR="005E127A">
        <w:rPr>
          <w:lang w:val="en-GB"/>
        </w:rPr>
        <w:t xml:space="preserve"> were integrated to the results of the application of the MIMAH technique. A preliminary literature review was carried out to understand the number of publications</w:t>
      </w:r>
      <w:r w:rsidR="006D3DA1">
        <w:rPr>
          <w:lang w:val="en-GB"/>
        </w:rPr>
        <w:t>, type of phenomena investigated</w:t>
      </w:r>
      <w:r w:rsidR="00B15478">
        <w:rPr>
          <w:lang w:val="en-GB"/>
        </w:rPr>
        <w:t xml:space="preserve"> and consequence analysis</w:t>
      </w:r>
      <w:r w:rsidR="00B15478" w:rsidRPr="00B15478">
        <w:rPr>
          <w:lang w:val="en-GB"/>
        </w:rPr>
        <w:t xml:space="preserve"> </w:t>
      </w:r>
      <w:r w:rsidR="00B15478">
        <w:rPr>
          <w:lang w:val="en-GB"/>
        </w:rPr>
        <w:t xml:space="preserve">for hydrogen technologies. The results of this study can be </w:t>
      </w:r>
      <w:r w:rsidR="00FB42C0">
        <w:rPr>
          <w:lang w:val="en-GB"/>
        </w:rPr>
        <w:t>used as a starting point to deepen into this topic a develop a complete portfolio</w:t>
      </w:r>
      <w:r w:rsidR="007C6887">
        <w:rPr>
          <w:lang w:val="en-GB"/>
        </w:rPr>
        <w:t xml:space="preserve"> of consequence analysis techniques.</w:t>
      </w:r>
      <w:r w:rsidR="006B1D1A">
        <w:rPr>
          <w:lang w:val="en-GB"/>
        </w:rPr>
        <w:t xml:space="preserve"> This would be a fundamental tool needed to conduct effective and rapid risk a</w:t>
      </w:r>
      <w:r w:rsidR="002A61B8">
        <w:rPr>
          <w:lang w:val="en-GB"/>
        </w:rPr>
        <w:t>ssessment for new hydrogen infrastructures</w:t>
      </w:r>
      <w:r w:rsidR="0024757F">
        <w:rPr>
          <w:lang w:val="en-GB"/>
        </w:rPr>
        <w:t xml:space="preserve"> and suggest appropriate fashions to implement appropriate safety barriers to lower the overall risk</w:t>
      </w:r>
      <w:r w:rsidR="009631DC">
        <w:rPr>
          <w:lang w:val="en-GB"/>
        </w:rPr>
        <w:t>.</w:t>
      </w:r>
    </w:p>
    <w:p w14:paraId="459D05E6" w14:textId="77777777" w:rsidR="00600535" w:rsidRPr="00B57B36" w:rsidRDefault="00600535" w:rsidP="00600535">
      <w:pPr>
        <w:pStyle w:val="CETAcknowledgementstitle"/>
      </w:pPr>
      <w:r w:rsidRPr="00B57B36">
        <w:t>Acknowledgments</w:t>
      </w:r>
    </w:p>
    <w:p w14:paraId="1F20FDA4" w14:textId="20A1BD55" w:rsidR="00DF0BEF" w:rsidRPr="00B57B36" w:rsidRDefault="001C5309" w:rsidP="00600535">
      <w:pPr>
        <w:pStyle w:val="CETBodytext"/>
        <w:rPr>
          <w:lang w:val="en-GB"/>
        </w:rPr>
      </w:pPr>
      <w:r w:rsidRPr="001C5309">
        <w:rPr>
          <w:lang w:val="en-GB"/>
        </w:rPr>
        <w:t>This work was undertaken as a part of the research project H2CoopStorage, and the authors would like to acknowledge the financial support of the Nordic Energy Research within the program ERA-Net Smart Energy System (Grant No. 106291).</w:t>
      </w:r>
      <w:r w:rsidR="00902380">
        <w:rPr>
          <w:lang w:val="en-GB"/>
        </w:rPr>
        <w:t xml:space="preserve"> </w:t>
      </w:r>
      <w:r w:rsidR="00902380" w:rsidRPr="00902380">
        <w:rPr>
          <w:lang w:val="en-GB"/>
        </w:rPr>
        <w:t xml:space="preserve">Co-funded by the European Union (EU, </w:t>
      </w:r>
      <w:proofErr w:type="spellStart"/>
      <w:r w:rsidR="00902380" w:rsidRPr="00902380">
        <w:rPr>
          <w:lang w:val="en-GB"/>
        </w:rPr>
        <w:t>HyInHeat</w:t>
      </w:r>
      <w:proofErr w:type="spellEnd"/>
      <w:r w:rsidR="00902380" w:rsidRPr="00902380">
        <w:rPr>
          <w:lang w:val="en-GB"/>
        </w:rPr>
        <w:t xml:space="preserve"> ,101091456). Views and opinions expressed are however those of the authors only and do not necessarily reflect those of the European Union or the European Health and Digital Executive Agency. Neither the European Union nor the granting authority can be held responsible for them.</w:t>
      </w:r>
    </w:p>
    <w:p w14:paraId="4F1327F8" w14:textId="77777777" w:rsidR="00600535" w:rsidRPr="00B57B36" w:rsidRDefault="00600535" w:rsidP="00600535">
      <w:pPr>
        <w:pStyle w:val="CETReference"/>
      </w:pPr>
      <w:r w:rsidRPr="00B57B36">
        <w:t>References</w:t>
      </w:r>
    </w:p>
    <w:p w14:paraId="5E5BB6DA" w14:textId="211B5A3F" w:rsidR="00A316FF" w:rsidRDefault="00A316FF" w:rsidP="00E254A6">
      <w:pPr>
        <w:pStyle w:val="CETReferencetext"/>
      </w:pPr>
      <w:r w:rsidRPr="00A316FF">
        <w:t xml:space="preserve">Andersson J., </w:t>
      </w:r>
      <w:proofErr w:type="spellStart"/>
      <w:r w:rsidRPr="00A316FF">
        <w:t>Grönkvist</w:t>
      </w:r>
      <w:proofErr w:type="spellEnd"/>
      <w:r w:rsidRPr="00A316FF">
        <w:t xml:space="preserve"> S.</w:t>
      </w:r>
      <w:r>
        <w:t>,</w:t>
      </w:r>
      <w:r w:rsidRPr="00A316FF">
        <w:t xml:space="preserve"> 2019</w:t>
      </w:r>
      <w:r w:rsidR="00027BDF">
        <w:t>,</w:t>
      </w:r>
      <w:r w:rsidRPr="00A316FF">
        <w:t xml:space="preserve"> Large-scale storage of hydrogen</w:t>
      </w:r>
      <w:r w:rsidR="00BC7BBE">
        <w:t>,</w:t>
      </w:r>
      <w:r w:rsidRPr="00A316FF">
        <w:t xml:space="preserve"> International Journal of Hydrogen Energy, 44, 11901–11919.</w:t>
      </w:r>
    </w:p>
    <w:p w14:paraId="59C41081" w14:textId="38BE16C7" w:rsidR="00F211BE" w:rsidRDefault="00F211BE" w:rsidP="00E254A6">
      <w:pPr>
        <w:pStyle w:val="CETReferencetext"/>
      </w:pPr>
      <w:r w:rsidRPr="00F211BE">
        <w:rPr>
          <w:rFonts w:ascii="Calibri" w:hAnsi="Calibri" w:cs="Calibri"/>
        </w:rPr>
        <w:t>﻿</w:t>
      </w:r>
      <w:r w:rsidRPr="00F211BE">
        <w:t xml:space="preserve">Brennan S., </w:t>
      </w:r>
      <w:proofErr w:type="spellStart"/>
      <w:r w:rsidRPr="00F211BE">
        <w:t>Molkov</w:t>
      </w:r>
      <w:proofErr w:type="spellEnd"/>
      <w:r w:rsidRPr="00F211BE">
        <w:t xml:space="preserve"> V.</w:t>
      </w:r>
      <w:r>
        <w:t xml:space="preserve">, </w:t>
      </w:r>
      <w:r w:rsidRPr="00F211BE">
        <w:t>2018</w:t>
      </w:r>
      <w:r>
        <w:t>,</w:t>
      </w:r>
      <w:r w:rsidRPr="00F211BE">
        <w:t xml:space="preserve"> Pressure peaking phenomenon for indoor hydrogen releases</w:t>
      </w:r>
      <w:r w:rsidR="00BC7BBE">
        <w:t>,</w:t>
      </w:r>
      <w:r w:rsidRPr="00F211BE">
        <w:t xml:space="preserve"> International Journal of Hydrogen Energy, 43, 18530–18541.</w:t>
      </w:r>
    </w:p>
    <w:p w14:paraId="6F7CB358" w14:textId="66204C1C" w:rsidR="0014292C" w:rsidRDefault="0014292C" w:rsidP="00E254A6">
      <w:pPr>
        <w:pStyle w:val="CETReferencetext"/>
      </w:pPr>
      <w:r>
        <w:t>Campari A.,</w:t>
      </w:r>
      <w:r w:rsidR="00813B9D">
        <w:t xml:space="preserve"> </w:t>
      </w:r>
      <w:proofErr w:type="spellStart"/>
      <w:r w:rsidR="00764DF3">
        <w:t>Darabi</w:t>
      </w:r>
      <w:proofErr w:type="spellEnd"/>
      <w:r w:rsidR="00764DF3">
        <w:t xml:space="preserve"> M.A.,</w:t>
      </w:r>
      <w:r>
        <w:t xml:space="preserve"> </w:t>
      </w:r>
      <w:proofErr w:type="spellStart"/>
      <w:r w:rsidR="00813B9D">
        <w:t>Ustolin</w:t>
      </w:r>
      <w:proofErr w:type="spellEnd"/>
      <w:r w:rsidR="00813B9D">
        <w:t xml:space="preserve"> F., Alvaro A., </w:t>
      </w:r>
      <w:r>
        <w:t xml:space="preserve">Paltrinieri </w:t>
      </w:r>
      <w:r w:rsidR="00813B9D">
        <w:t>N.</w:t>
      </w:r>
      <w:r>
        <w:t xml:space="preserve">, 2022, </w:t>
      </w:r>
      <w:r w:rsidRPr="0014292C">
        <w:t>Applicability of Risk-based Inspection Methodology to Hydrogen Technologies: A Preliminary Review of the Existing Standards</w:t>
      </w:r>
      <w:r w:rsidR="00677463">
        <w:t xml:space="preserve">, </w:t>
      </w:r>
      <w:r w:rsidR="00CF4E14" w:rsidRPr="00CF4E14">
        <w:t xml:space="preserve">European Safety and Reliability Conference </w:t>
      </w:r>
      <w:r w:rsidR="00CF4E14">
        <w:t>(</w:t>
      </w:r>
      <w:r w:rsidR="00CF4E14" w:rsidRPr="00CF4E14">
        <w:t>ESREL</w:t>
      </w:r>
      <w:r w:rsidR="00300C26">
        <w:t xml:space="preserve"> 2022</w:t>
      </w:r>
      <w:r w:rsidR="00CF4E14">
        <w:t>)</w:t>
      </w:r>
      <w:r w:rsidR="00300C26">
        <w:t>.</w:t>
      </w:r>
    </w:p>
    <w:p w14:paraId="00D25A10" w14:textId="3F9045FD" w:rsidR="00E254A6" w:rsidRDefault="00E254A6" w:rsidP="00E254A6">
      <w:pPr>
        <w:pStyle w:val="CETReferencetext"/>
      </w:pPr>
      <w:proofErr w:type="spellStart"/>
      <w:r>
        <w:t>Delvosalle</w:t>
      </w:r>
      <w:proofErr w:type="spellEnd"/>
      <w:r>
        <w:t xml:space="preserve"> C., </w:t>
      </w:r>
      <w:proofErr w:type="spellStart"/>
      <w:r>
        <w:t>Fievez</w:t>
      </w:r>
      <w:proofErr w:type="spellEnd"/>
      <w:r>
        <w:t xml:space="preserve"> C., </w:t>
      </w:r>
      <w:proofErr w:type="spellStart"/>
      <w:r>
        <w:t>Pipart</w:t>
      </w:r>
      <w:proofErr w:type="spellEnd"/>
      <w:r>
        <w:t xml:space="preserve"> A., </w:t>
      </w:r>
      <w:proofErr w:type="spellStart"/>
      <w:r>
        <w:t>Debray</w:t>
      </w:r>
      <w:proofErr w:type="spellEnd"/>
      <w:r>
        <w:t xml:space="preserve"> B., 2006</w:t>
      </w:r>
      <w:r w:rsidR="00027BDF">
        <w:t>,</w:t>
      </w:r>
      <w:r>
        <w:t xml:space="preserve"> ARAMIS project: A comprehensive methodology for the identification of reference accident scenarios in process industries</w:t>
      </w:r>
      <w:r w:rsidR="00EB698B">
        <w:t>,</w:t>
      </w:r>
      <w:r>
        <w:t xml:space="preserve"> J</w:t>
      </w:r>
      <w:r w:rsidR="00EB698B">
        <w:t>ournal of</w:t>
      </w:r>
      <w:r>
        <w:t xml:space="preserve"> Hazard</w:t>
      </w:r>
      <w:r w:rsidR="00EB698B">
        <w:t>ous</w:t>
      </w:r>
      <w:r>
        <w:t xml:space="preserve"> Mater</w:t>
      </w:r>
      <w:r w:rsidR="00EB698B">
        <w:t>ials,</w:t>
      </w:r>
      <w:r>
        <w:t xml:space="preserve"> 130, 200–219.</w:t>
      </w:r>
    </w:p>
    <w:p w14:paraId="54FCF0C1" w14:textId="41D10AFE" w:rsidR="002938C9" w:rsidRDefault="002938C9" w:rsidP="002938C9">
      <w:pPr>
        <w:pStyle w:val="CETReferencetext"/>
      </w:pPr>
      <w:proofErr w:type="spellStart"/>
      <w:r>
        <w:t>HyResource</w:t>
      </w:r>
      <w:proofErr w:type="spellEnd"/>
      <w:r>
        <w:t>, 2023, International Politics, &lt;https://research.csiro.au/hyresource/policy/international/&gt; accessed 09.02.2023</w:t>
      </w:r>
      <w:r w:rsidR="00E254A6">
        <w:t>.</w:t>
      </w:r>
    </w:p>
    <w:p w14:paraId="06ACEEB0" w14:textId="24DF22FD" w:rsidR="002938C9" w:rsidRDefault="002938C9" w:rsidP="002938C9">
      <w:pPr>
        <w:pStyle w:val="CETReferencetext"/>
      </w:pPr>
      <w:r>
        <w:t xml:space="preserve">IEA, 2021, Net Zero by 2050 </w:t>
      </w:r>
      <w:r w:rsidR="00C358FE">
        <w:t>–</w:t>
      </w:r>
      <w:r>
        <w:t xml:space="preserve"> A Roadmap for the Global Energy Sector, International Energy Agency, Paris.</w:t>
      </w:r>
    </w:p>
    <w:p w14:paraId="428B022A" w14:textId="3BF3ADC0" w:rsidR="00E65B91" w:rsidRDefault="002938C9" w:rsidP="002938C9">
      <w:pPr>
        <w:pStyle w:val="CETReferencetext"/>
      </w:pPr>
      <w:r>
        <w:t>IRENA, 2022, Geopolitics of the Energy Transformation: The Hydrogen Factor, International Renewable Energy Agency, Abu Dhabi.</w:t>
      </w:r>
    </w:p>
    <w:p w14:paraId="0E5D71EC" w14:textId="27055EE7" w:rsidR="0032342A" w:rsidRDefault="0032342A" w:rsidP="002938C9">
      <w:pPr>
        <w:pStyle w:val="CETReferencetext"/>
      </w:pPr>
      <w:r w:rsidRPr="0032342A">
        <w:t>McCarty R</w:t>
      </w:r>
      <w:r>
        <w:t>.</w:t>
      </w:r>
      <w:r w:rsidRPr="0032342A">
        <w:t>, Hord J</w:t>
      </w:r>
      <w:r>
        <w:t>.</w:t>
      </w:r>
      <w:r w:rsidRPr="0032342A">
        <w:t xml:space="preserve">, </w:t>
      </w:r>
      <w:proofErr w:type="spellStart"/>
      <w:r w:rsidRPr="0032342A">
        <w:t>Roder</w:t>
      </w:r>
      <w:proofErr w:type="spellEnd"/>
      <w:r w:rsidRPr="0032342A">
        <w:t xml:space="preserve"> H.</w:t>
      </w:r>
      <w:r>
        <w:t>, 1981,</w:t>
      </w:r>
      <w:r w:rsidRPr="0032342A">
        <w:t xml:space="preserve"> Selected Properties of Hydrogen (Engineering Design Data)</w:t>
      </w:r>
      <w:r w:rsidR="00864919">
        <w:t>,</w:t>
      </w:r>
      <w:r w:rsidRPr="0032342A">
        <w:t xml:space="preserve"> </w:t>
      </w:r>
      <w:r w:rsidR="006C09F6" w:rsidRPr="0032342A">
        <w:t>National Bureau of Standards</w:t>
      </w:r>
      <w:r w:rsidR="006C09F6">
        <w:t xml:space="preserve"> (NBS)</w:t>
      </w:r>
      <w:r w:rsidRPr="0032342A">
        <w:t xml:space="preserve"> Monogr</w:t>
      </w:r>
      <w:r w:rsidR="005B1ECD">
        <w:t>aph</w:t>
      </w:r>
      <w:r w:rsidR="006C09F6">
        <w:t xml:space="preserve">, </w:t>
      </w:r>
      <w:r w:rsidR="006C09F6" w:rsidRPr="0032342A">
        <w:t>Boulder, Colorado</w:t>
      </w:r>
      <w:r w:rsidRPr="0032342A">
        <w:t>.</w:t>
      </w:r>
    </w:p>
    <w:p w14:paraId="5C692B89" w14:textId="375E5A57" w:rsidR="001F031E" w:rsidRDefault="001F031E" w:rsidP="002938C9">
      <w:pPr>
        <w:pStyle w:val="CETReferencetext"/>
      </w:pPr>
      <w:r w:rsidRPr="001F031E">
        <w:rPr>
          <w:rFonts w:ascii="Calibri" w:hAnsi="Calibri" w:cs="Calibri"/>
        </w:rPr>
        <w:t>﻿</w:t>
      </w:r>
      <w:proofErr w:type="spellStart"/>
      <w:r w:rsidRPr="001F031E">
        <w:t>Molkov</w:t>
      </w:r>
      <w:proofErr w:type="spellEnd"/>
      <w:r w:rsidRPr="001F031E">
        <w:t xml:space="preserve"> V.</w:t>
      </w:r>
      <w:r>
        <w:t>,</w:t>
      </w:r>
      <w:r w:rsidRPr="001F031E">
        <w:t xml:space="preserve"> 2012</w:t>
      </w:r>
      <w:r>
        <w:t>,</w:t>
      </w:r>
      <w:r w:rsidRPr="001F031E">
        <w:t xml:space="preserve"> Hydrogen Safety Engineering: The State-of-the-Art and Future Progress</w:t>
      </w:r>
      <w:r w:rsidR="00864919">
        <w:t>,</w:t>
      </w:r>
      <w:r w:rsidRPr="001F031E">
        <w:t xml:space="preserve"> Comprehensive Renewable Energy, 4, 97–129.</w:t>
      </w:r>
    </w:p>
    <w:p w14:paraId="36095246" w14:textId="1F4E113D" w:rsidR="00C358FE" w:rsidRDefault="00C358FE" w:rsidP="00C358FE">
      <w:pPr>
        <w:pStyle w:val="CETReferencetext"/>
      </w:pPr>
      <w:r w:rsidRPr="00C358FE">
        <w:rPr>
          <w:lang w:val="en-US"/>
        </w:rPr>
        <w:t xml:space="preserve">Ono R., </w:t>
      </w:r>
      <w:proofErr w:type="spellStart"/>
      <w:r w:rsidRPr="00C358FE">
        <w:rPr>
          <w:lang w:val="en-US"/>
        </w:rPr>
        <w:t>Nifuku</w:t>
      </w:r>
      <w:proofErr w:type="spellEnd"/>
      <w:r w:rsidRPr="00C358FE">
        <w:rPr>
          <w:lang w:val="en-US"/>
        </w:rPr>
        <w:t xml:space="preserve"> M., Fujiwara S., </w:t>
      </w:r>
      <w:proofErr w:type="spellStart"/>
      <w:r w:rsidRPr="00C358FE">
        <w:rPr>
          <w:lang w:val="en-US"/>
        </w:rPr>
        <w:t>Horiguchi</w:t>
      </w:r>
      <w:proofErr w:type="spellEnd"/>
      <w:r w:rsidRPr="00C358FE">
        <w:rPr>
          <w:lang w:val="en-US"/>
        </w:rPr>
        <w:t xml:space="preserve"> S., Oda T., 2007, </w:t>
      </w:r>
      <w:r w:rsidRPr="00C358FE">
        <w:t>Minimum ignition energy of hydrogen–air mixture: effects of humidity and spark duration</w:t>
      </w:r>
      <w:r w:rsidR="00864919">
        <w:t>,</w:t>
      </w:r>
      <w:r w:rsidRPr="00C358FE">
        <w:t xml:space="preserve"> J</w:t>
      </w:r>
      <w:r>
        <w:t>ournal of</w:t>
      </w:r>
      <w:r w:rsidRPr="00C358FE">
        <w:t xml:space="preserve"> Electrost</w:t>
      </w:r>
      <w:r>
        <w:t>atics,</w:t>
      </w:r>
      <w:r w:rsidRPr="00C358FE">
        <w:t xml:space="preserve"> 65, 87–93.</w:t>
      </w:r>
    </w:p>
    <w:p w14:paraId="61FCCA96" w14:textId="022B8B2E" w:rsidR="009E44C6" w:rsidRDefault="009E44C6" w:rsidP="00C358FE">
      <w:pPr>
        <w:pStyle w:val="CETReferencetext"/>
      </w:pPr>
      <w:proofErr w:type="spellStart"/>
      <w:r w:rsidRPr="009A0990">
        <w:rPr>
          <w:lang w:val="en-US"/>
        </w:rPr>
        <w:t>Ustolin</w:t>
      </w:r>
      <w:proofErr w:type="spellEnd"/>
      <w:r w:rsidRPr="009A0990">
        <w:rPr>
          <w:lang w:val="en-US"/>
        </w:rPr>
        <w:t xml:space="preserve"> F., Song</w:t>
      </w:r>
      <w:r w:rsidR="00206F1E">
        <w:rPr>
          <w:lang w:val="en-US"/>
        </w:rPr>
        <w:t xml:space="preserve"> G.</w:t>
      </w:r>
      <w:r w:rsidRPr="009A0990">
        <w:rPr>
          <w:lang w:val="en-US"/>
        </w:rPr>
        <w:t>, Paltrinieri</w:t>
      </w:r>
      <w:r w:rsidR="009A0990" w:rsidRPr="009A0990">
        <w:rPr>
          <w:lang w:val="en-US"/>
        </w:rPr>
        <w:t xml:space="preserve"> N.,</w:t>
      </w:r>
      <w:r w:rsidRPr="009A0990">
        <w:rPr>
          <w:lang w:val="en-US"/>
        </w:rPr>
        <w:t xml:space="preserve"> 2019</w:t>
      </w:r>
      <w:r w:rsidR="009A0990" w:rsidRPr="009A0990">
        <w:rPr>
          <w:lang w:val="en-US"/>
        </w:rPr>
        <w:t>,</w:t>
      </w:r>
      <w:r w:rsidRPr="009A0990">
        <w:rPr>
          <w:lang w:val="en-US"/>
        </w:rPr>
        <w:t xml:space="preserve"> </w:t>
      </w:r>
      <w:r w:rsidRPr="009E44C6">
        <w:t>The Influence of H2 Safety Research on Relevant Risk Assessment</w:t>
      </w:r>
      <w:r w:rsidR="009A0990">
        <w:t>,</w:t>
      </w:r>
      <w:r w:rsidRPr="009E44C6">
        <w:t xml:space="preserve"> Chemical Engineering Transactions</w:t>
      </w:r>
      <w:r w:rsidR="009A0990">
        <w:t>,</w:t>
      </w:r>
      <w:r w:rsidRPr="009E44C6">
        <w:t xml:space="preserve"> 74</w:t>
      </w:r>
      <w:r w:rsidR="00DA3612">
        <w:t>, 1393</w:t>
      </w:r>
      <w:r w:rsidR="00DA3612" w:rsidRPr="00C358FE">
        <w:t>–</w:t>
      </w:r>
      <w:r w:rsidR="00DA3612">
        <w:t>1398</w:t>
      </w:r>
      <w:r w:rsidRPr="009E44C6">
        <w:t>.</w:t>
      </w:r>
    </w:p>
    <w:p w14:paraId="5B87275F" w14:textId="55171A3F" w:rsidR="00416F21" w:rsidRDefault="00416F21" w:rsidP="00C358FE">
      <w:pPr>
        <w:pStyle w:val="CETReferencetext"/>
      </w:pPr>
      <w:r w:rsidRPr="00416F21">
        <w:rPr>
          <w:rFonts w:ascii="Calibri" w:hAnsi="Calibri" w:cs="Calibri"/>
        </w:rPr>
        <w:t>﻿</w:t>
      </w:r>
      <w:proofErr w:type="spellStart"/>
      <w:r w:rsidRPr="00416F21">
        <w:rPr>
          <w:lang w:val="en-US"/>
        </w:rPr>
        <w:t>Ustolin</w:t>
      </w:r>
      <w:proofErr w:type="spellEnd"/>
      <w:r w:rsidRPr="00416F21">
        <w:rPr>
          <w:lang w:val="en-US"/>
        </w:rPr>
        <w:t xml:space="preserve"> F., Ferrari F., Paltrinieri N., 2022, </w:t>
      </w:r>
      <w:r w:rsidRPr="00416F21">
        <w:t>Prediction of Condensed Phase Formation during an Accidental Release of Liquid Hydrogen</w:t>
      </w:r>
      <w:r w:rsidR="00864919">
        <w:t>,</w:t>
      </w:r>
      <w:r w:rsidRPr="00416F21">
        <w:t xml:space="preserve"> Chemical Engineering Transactions, 91, 439–444.</w:t>
      </w:r>
    </w:p>
    <w:p w14:paraId="7256C7D0" w14:textId="05AED4E6" w:rsidR="004205EC" w:rsidRDefault="004205EC" w:rsidP="00C358FE">
      <w:pPr>
        <w:pStyle w:val="CETReferencetext"/>
      </w:pPr>
      <w:r w:rsidRPr="004205EC">
        <w:rPr>
          <w:rFonts w:ascii="Calibri" w:hAnsi="Calibri" w:cs="Calibri"/>
        </w:rPr>
        <w:t>﻿</w:t>
      </w:r>
      <w:proofErr w:type="spellStart"/>
      <w:r w:rsidRPr="006B09DA">
        <w:rPr>
          <w:lang w:val="en-US"/>
        </w:rPr>
        <w:t>Ustolin</w:t>
      </w:r>
      <w:proofErr w:type="spellEnd"/>
      <w:r w:rsidRPr="006B09DA">
        <w:rPr>
          <w:lang w:val="en-US"/>
        </w:rPr>
        <w:t xml:space="preserve"> F., </w:t>
      </w:r>
      <w:proofErr w:type="spellStart"/>
      <w:r w:rsidRPr="006B09DA">
        <w:rPr>
          <w:lang w:val="en-US"/>
        </w:rPr>
        <w:t>Tolias</w:t>
      </w:r>
      <w:proofErr w:type="spellEnd"/>
      <w:r w:rsidRPr="006B09DA">
        <w:rPr>
          <w:lang w:val="en-US"/>
        </w:rPr>
        <w:t xml:space="preserve"> I.C., </w:t>
      </w:r>
      <w:proofErr w:type="spellStart"/>
      <w:r w:rsidRPr="006B09DA">
        <w:rPr>
          <w:lang w:val="en-US"/>
        </w:rPr>
        <w:t>Giannissi</w:t>
      </w:r>
      <w:proofErr w:type="spellEnd"/>
      <w:r w:rsidRPr="006B09DA">
        <w:rPr>
          <w:lang w:val="en-US"/>
        </w:rPr>
        <w:t xml:space="preserve"> S.G., </w:t>
      </w:r>
      <w:proofErr w:type="spellStart"/>
      <w:r w:rsidRPr="006B09DA">
        <w:rPr>
          <w:lang w:val="en-US"/>
        </w:rPr>
        <w:t>Venetsanos</w:t>
      </w:r>
      <w:proofErr w:type="spellEnd"/>
      <w:r w:rsidRPr="006B09DA">
        <w:rPr>
          <w:lang w:val="en-US"/>
        </w:rPr>
        <w:t xml:space="preserve"> A.G., Paltrinieri N., 2022, </w:t>
      </w:r>
      <w:r w:rsidRPr="004205EC">
        <w:t>A CFD analysis of liquefied gas vessel explosions</w:t>
      </w:r>
      <w:r w:rsidR="006B09DA">
        <w:t>,</w:t>
      </w:r>
      <w:r w:rsidRPr="004205EC">
        <w:t xml:space="preserve"> Process Safety and Environmental Protection, 159, 61–75.</w:t>
      </w:r>
    </w:p>
    <w:p w14:paraId="19C4FC68" w14:textId="282ED70E" w:rsidR="004628D2" w:rsidRDefault="00E4119D" w:rsidP="00DF5B90">
      <w:pPr>
        <w:pStyle w:val="CETReferencetext"/>
      </w:pPr>
      <w:r w:rsidRPr="006A4EA7">
        <w:rPr>
          <w:lang w:val="en-US"/>
        </w:rPr>
        <w:t xml:space="preserve">van </w:t>
      </w:r>
      <w:proofErr w:type="spellStart"/>
      <w:r w:rsidRPr="006A4EA7">
        <w:rPr>
          <w:lang w:val="en-US"/>
        </w:rPr>
        <w:t>Wingerden</w:t>
      </w:r>
      <w:proofErr w:type="spellEnd"/>
      <w:r w:rsidRPr="006A4EA7">
        <w:rPr>
          <w:lang w:val="en-US"/>
        </w:rPr>
        <w:t xml:space="preserve"> K</w:t>
      </w:r>
      <w:r w:rsidR="006F39E0" w:rsidRPr="006A4EA7">
        <w:rPr>
          <w:lang w:val="en-US"/>
        </w:rPr>
        <w:t>.</w:t>
      </w:r>
      <w:r w:rsidRPr="006A4EA7">
        <w:rPr>
          <w:lang w:val="en-US"/>
        </w:rPr>
        <w:t>, Kluge M</w:t>
      </w:r>
      <w:r w:rsidR="006F39E0" w:rsidRPr="006A4EA7">
        <w:rPr>
          <w:lang w:val="en-US"/>
        </w:rPr>
        <w:t>.</w:t>
      </w:r>
      <w:r w:rsidRPr="006A4EA7">
        <w:rPr>
          <w:lang w:val="en-US"/>
        </w:rPr>
        <w:t>, Habib A</w:t>
      </w:r>
      <w:r w:rsidR="006F39E0" w:rsidRPr="006A4EA7">
        <w:rPr>
          <w:lang w:val="en-US"/>
        </w:rPr>
        <w:t>.</w:t>
      </w:r>
      <w:r w:rsidRPr="006A4EA7">
        <w:rPr>
          <w:lang w:val="en-US"/>
        </w:rPr>
        <w:t>K</w:t>
      </w:r>
      <w:r w:rsidR="006F39E0" w:rsidRPr="006A4EA7">
        <w:rPr>
          <w:lang w:val="en-US"/>
        </w:rPr>
        <w:t>.</w:t>
      </w:r>
      <w:r w:rsidRPr="006A4EA7">
        <w:rPr>
          <w:lang w:val="en-US"/>
        </w:rPr>
        <w:t xml:space="preserve">, </w:t>
      </w:r>
      <w:proofErr w:type="spellStart"/>
      <w:r w:rsidRPr="006A4EA7">
        <w:rPr>
          <w:lang w:val="en-US"/>
        </w:rPr>
        <w:t>Ustolin</w:t>
      </w:r>
      <w:proofErr w:type="spellEnd"/>
      <w:r w:rsidRPr="006A4EA7">
        <w:rPr>
          <w:lang w:val="en-US"/>
        </w:rPr>
        <w:t xml:space="preserve"> F</w:t>
      </w:r>
      <w:r w:rsidR="006F39E0" w:rsidRPr="006A4EA7">
        <w:rPr>
          <w:lang w:val="en-US"/>
        </w:rPr>
        <w:t>.</w:t>
      </w:r>
      <w:r w:rsidRPr="006A4EA7">
        <w:rPr>
          <w:lang w:val="en-US"/>
        </w:rPr>
        <w:t>, Paltrinieri N</w:t>
      </w:r>
      <w:r w:rsidR="006F39E0" w:rsidRPr="006A4EA7">
        <w:rPr>
          <w:lang w:val="en-US"/>
        </w:rPr>
        <w:t>.</w:t>
      </w:r>
      <w:r w:rsidRPr="006A4EA7">
        <w:rPr>
          <w:lang w:val="en-US"/>
        </w:rPr>
        <w:t xml:space="preserve">, 2022. </w:t>
      </w:r>
      <w:r w:rsidRPr="00E4119D">
        <w:t>Medium-scale Tests to Investigate the Possibility and Effects of BLEVEs of Storage Vessels Containing Liquified Hydrogen</w:t>
      </w:r>
      <w:r w:rsidR="00864919">
        <w:t>,</w:t>
      </w:r>
      <w:r w:rsidRPr="00E4119D">
        <w:t xml:space="preserve"> Chemical Engineering Transaction, 90, 547–552.</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8CBD" w14:textId="77777777" w:rsidR="00DD48B0" w:rsidRDefault="00DD48B0" w:rsidP="004F5E36">
      <w:r>
        <w:separator/>
      </w:r>
    </w:p>
  </w:endnote>
  <w:endnote w:type="continuationSeparator" w:id="0">
    <w:p w14:paraId="2BCD402C" w14:textId="77777777" w:rsidR="00DD48B0" w:rsidRDefault="00DD48B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4DB4" w14:textId="77777777" w:rsidR="00DD48B0" w:rsidRDefault="00DD48B0" w:rsidP="004F5E36">
      <w:r>
        <w:separator/>
      </w:r>
    </w:p>
  </w:footnote>
  <w:footnote w:type="continuationSeparator" w:id="0">
    <w:p w14:paraId="75AB1C1F" w14:textId="77777777" w:rsidR="00DD48B0" w:rsidRDefault="00DD48B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6A710D"/>
    <w:multiLevelType w:val="hybridMultilevel"/>
    <w:tmpl w:val="A6DA9C4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2438217E"/>
    <w:multiLevelType w:val="multilevel"/>
    <w:tmpl w:val="18F603F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310EB4"/>
    <w:multiLevelType w:val="hybridMultilevel"/>
    <w:tmpl w:val="83C0D8F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1861239186">
    <w:abstractNumId w:val="11"/>
  </w:num>
  <w:num w:numId="2" w16cid:durableId="6369139">
    <w:abstractNumId w:val="8"/>
  </w:num>
  <w:num w:numId="3" w16cid:durableId="606424992">
    <w:abstractNumId w:val="3"/>
  </w:num>
  <w:num w:numId="4" w16cid:durableId="451873385">
    <w:abstractNumId w:val="2"/>
  </w:num>
  <w:num w:numId="5" w16cid:durableId="985403390">
    <w:abstractNumId w:val="1"/>
  </w:num>
  <w:num w:numId="6" w16cid:durableId="368801161">
    <w:abstractNumId w:val="0"/>
  </w:num>
  <w:num w:numId="7" w16cid:durableId="1977295883">
    <w:abstractNumId w:val="9"/>
  </w:num>
  <w:num w:numId="8" w16cid:durableId="1708875835">
    <w:abstractNumId w:val="7"/>
  </w:num>
  <w:num w:numId="9" w16cid:durableId="1173061013">
    <w:abstractNumId w:val="6"/>
  </w:num>
  <w:num w:numId="10" w16cid:durableId="403770094">
    <w:abstractNumId w:val="5"/>
  </w:num>
  <w:num w:numId="11" w16cid:durableId="407192863">
    <w:abstractNumId w:val="4"/>
  </w:num>
  <w:num w:numId="12" w16cid:durableId="905460044">
    <w:abstractNumId w:val="18"/>
  </w:num>
  <w:num w:numId="13" w16cid:durableId="1696148069">
    <w:abstractNumId w:val="13"/>
  </w:num>
  <w:num w:numId="14" w16cid:durableId="1420902785">
    <w:abstractNumId w:val="19"/>
  </w:num>
  <w:num w:numId="15" w16cid:durableId="1190069671">
    <w:abstractNumId w:val="21"/>
  </w:num>
  <w:num w:numId="16" w16cid:durableId="1052120536">
    <w:abstractNumId w:val="20"/>
  </w:num>
  <w:num w:numId="17" w16cid:durableId="1467623167">
    <w:abstractNumId w:val="12"/>
  </w:num>
  <w:num w:numId="18" w16cid:durableId="1701397899">
    <w:abstractNumId w:val="13"/>
    <w:lvlOverride w:ilvl="0">
      <w:startOverride w:val="1"/>
    </w:lvlOverride>
  </w:num>
  <w:num w:numId="19" w16cid:durableId="1828401957">
    <w:abstractNumId w:val="17"/>
  </w:num>
  <w:num w:numId="20" w16cid:durableId="1008366490">
    <w:abstractNumId w:val="16"/>
  </w:num>
  <w:num w:numId="21" w16cid:durableId="395468620">
    <w:abstractNumId w:val="15"/>
  </w:num>
  <w:num w:numId="22" w16cid:durableId="1329091437">
    <w:abstractNumId w:val="14"/>
  </w:num>
  <w:num w:numId="23" w16cid:durableId="1576818299">
    <w:abstractNumId w:val="22"/>
  </w:num>
  <w:num w:numId="24" w16cid:durableId="871502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441"/>
    <w:rsid w:val="0001144F"/>
    <w:rsid w:val="0001145F"/>
    <w:rsid w:val="000117CB"/>
    <w:rsid w:val="000157AF"/>
    <w:rsid w:val="00016B22"/>
    <w:rsid w:val="00021364"/>
    <w:rsid w:val="00022AA9"/>
    <w:rsid w:val="00027BDF"/>
    <w:rsid w:val="0003148D"/>
    <w:rsid w:val="00031C68"/>
    <w:rsid w:val="00031EEC"/>
    <w:rsid w:val="00033445"/>
    <w:rsid w:val="00033D1C"/>
    <w:rsid w:val="00035BBA"/>
    <w:rsid w:val="00036EEA"/>
    <w:rsid w:val="00051566"/>
    <w:rsid w:val="00054AD4"/>
    <w:rsid w:val="000562A9"/>
    <w:rsid w:val="00061259"/>
    <w:rsid w:val="00062A9A"/>
    <w:rsid w:val="00062C3A"/>
    <w:rsid w:val="00065058"/>
    <w:rsid w:val="000660F3"/>
    <w:rsid w:val="00067B25"/>
    <w:rsid w:val="00074023"/>
    <w:rsid w:val="00086C39"/>
    <w:rsid w:val="00090735"/>
    <w:rsid w:val="00091ECB"/>
    <w:rsid w:val="000939E0"/>
    <w:rsid w:val="000949CF"/>
    <w:rsid w:val="00096EA5"/>
    <w:rsid w:val="000A03B2"/>
    <w:rsid w:val="000B1C37"/>
    <w:rsid w:val="000B1FCF"/>
    <w:rsid w:val="000B6D63"/>
    <w:rsid w:val="000C0932"/>
    <w:rsid w:val="000C4DDF"/>
    <w:rsid w:val="000D0268"/>
    <w:rsid w:val="000D34BE"/>
    <w:rsid w:val="000D43F8"/>
    <w:rsid w:val="000E02C8"/>
    <w:rsid w:val="000E102F"/>
    <w:rsid w:val="000E36F1"/>
    <w:rsid w:val="000E3A73"/>
    <w:rsid w:val="000E414A"/>
    <w:rsid w:val="000F093C"/>
    <w:rsid w:val="000F787B"/>
    <w:rsid w:val="00107405"/>
    <w:rsid w:val="00116CD6"/>
    <w:rsid w:val="0012091F"/>
    <w:rsid w:val="00121B4C"/>
    <w:rsid w:val="00126BC2"/>
    <w:rsid w:val="001308B6"/>
    <w:rsid w:val="0013121F"/>
    <w:rsid w:val="0013150A"/>
    <w:rsid w:val="00131E79"/>
    <w:rsid w:val="00131FE6"/>
    <w:rsid w:val="0013263F"/>
    <w:rsid w:val="001331DF"/>
    <w:rsid w:val="00134DE4"/>
    <w:rsid w:val="00135C7B"/>
    <w:rsid w:val="0014034D"/>
    <w:rsid w:val="001413F9"/>
    <w:rsid w:val="0014292C"/>
    <w:rsid w:val="001441C3"/>
    <w:rsid w:val="00144D16"/>
    <w:rsid w:val="00150E59"/>
    <w:rsid w:val="00152DE3"/>
    <w:rsid w:val="00155FC6"/>
    <w:rsid w:val="00164657"/>
    <w:rsid w:val="00164CF9"/>
    <w:rsid w:val="001667A6"/>
    <w:rsid w:val="001709A5"/>
    <w:rsid w:val="00171221"/>
    <w:rsid w:val="0017571C"/>
    <w:rsid w:val="00184AD6"/>
    <w:rsid w:val="001861CF"/>
    <w:rsid w:val="00186CDC"/>
    <w:rsid w:val="00191990"/>
    <w:rsid w:val="001919D2"/>
    <w:rsid w:val="0019236F"/>
    <w:rsid w:val="00192CAA"/>
    <w:rsid w:val="00197CC5"/>
    <w:rsid w:val="001A4AF7"/>
    <w:rsid w:val="001A7420"/>
    <w:rsid w:val="001B0349"/>
    <w:rsid w:val="001B06A4"/>
    <w:rsid w:val="001B12FE"/>
    <w:rsid w:val="001B1E93"/>
    <w:rsid w:val="001B65C1"/>
    <w:rsid w:val="001C2EDC"/>
    <w:rsid w:val="001C5309"/>
    <w:rsid w:val="001C684B"/>
    <w:rsid w:val="001C6B0A"/>
    <w:rsid w:val="001C7233"/>
    <w:rsid w:val="001D0CFB"/>
    <w:rsid w:val="001D21AF"/>
    <w:rsid w:val="001D2DA7"/>
    <w:rsid w:val="001D45E7"/>
    <w:rsid w:val="001D474A"/>
    <w:rsid w:val="001D53FC"/>
    <w:rsid w:val="001D7615"/>
    <w:rsid w:val="001E27D4"/>
    <w:rsid w:val="001E6FED"/>
    <w:rsid w:val="001F0071"/>
    <w:rsid w:val="001F031E"/>
    <w:rsid w:val="001F15EB"/>
    <w:rsid w:val="001F16B9"/>
    <w:rsid w:val="001F2D93"/>
    <w:rsid w:val="001F3258"/>
    <w:rsid w:val="001F42A5"/>
    <w:rsid w:val="001F5FED"/>
    <w:rsid w:val="001F7380"/>
    <w:rsid w:val="001F7B9D"/>
    <w:rsid w:val="002003B9"/>
    <w:rsid w:val="00201C93"/>
    <w:rsid w:val="00206F1E"/>
    <w:rsid w:val="00212183"/>
    <w:rsid w:val="002144F0"/>
    <w:rsid w:val="002224B4"/>
    <w:rsid w:val="00224D52"/>
    <w:rsid w:val="00224DF8"/>
    <w:rsid w:val="00227B20"/>
    <w:rsid w:val="0023010B"/>
    <w:rsid w:val="002346F7"/>
    <w:rsid w:val="00236B3B"/>
    <w:rsid w:val="002432ED"/>
    <w:rsid w:val="002447EF"/>
    <w:rsid w:val="00244998"/>
    <w:rsid w:val="002451B9"/>
    <w:rsid w:val="0024757F"/>
    <w:rsid w:val="002505E8"/>
    <w:rsid w:val="00251550"/>
    <w:rsid w:val="00252583"/>
    <w:rsid w:val="00262655"/>
    <w:rsid w:val="00263136"/>
    <w:rsid w:val="00263B05"/>
    <w:rsid w:val="0027221A"/>
    <w:rsid w:val="00275B61"/>
    <w:rsid w:val="00280FAF"/>
    <w:rsid w:val="00282169"/>
    <w:rsid w:val="00282656"/>
    <w:rsid w:val="00287CF2"/>
    <w:rsid w:val="002938C9"/>
    <w:rsid w:val="002960CD"/>
    <w:rsid w:val="00296B83"/>
    <w:rsid w:val="002A073D"/>
    <w:rsid w:val="002A10C7"/>
    <w:rsid w:val="002A4854"/>
    <w:rsid w:val="002A61B8"/>
    <w:rsid w:val="002A61D2"/>
    <w:rsid w:val="002A63FB"/>
    <w:rsid w:val="002A7062"/>
    <w:rsid w:val="002B4015"/>
    <w:rsid w:val="002B78CE"/>
    <w:rsid w:val="002C2FB6"/>
    <w:rsid w:val="002C3E26"/>
    <w:rsid w:val="002C430D"/>
    <w:rsid w:val="002C4C1A"/>
    <w:rsid w:val="002C7E68"/>
    <w:rsid w:val="002D0D12"/>
    <w:rsid w:val="002D2339"/>
    <w:rsid w:val="002E1467"/>
    <w:rsid w:val="002E5FA7"/>
    <w:rsid w:val="002F3309"/>
    <w:rsid w:val="002F45D3"/>
    <w:rsid w:val="002F63D7"/>
    <w:rsid w:val="002F6F3F"/>
    <w:rsid w:val="003008CE"/>
    <w:rsid w:val="003009B7"/>
    <w:rsid w:val="00300C26"/>
    <w:rsid w:val="00300E56"/>
    <w:rsid w:val="0030152C"/>
    <w:rsid w:val="0030469C"/>
    <w:rsid w:val="00304F8C"/>
    <w:rsid w:val="00305EFA"/>
    <w:rsid w:val="00306534"/>
    <w:rsid w:val="003065F3"/>
    <w:rsid w:val="00306AAE"/>
    <w:rsid w:val="00314BD6"/>
    <w:rsid w:val="00317F4F"/>
    <w:rsid w:val="00321CA6"/>
    <w:rsid w:val="003225FF"/>
    <w:rsid w:val="0032342A"/>
    <w:rsid w:val="00323763"/>
    <w:rsid w:val="00323C5F"/>
    <w:rsid w:val="0032736C"/>
    <w:rsid w:val="00330BA1"/>
    <w:rsid w:val="003333FC"/>
    <w:rsid w:val="00334C09"/>
    <w:rsid w:val="00344D0A"/>
    <w:rsid w:val="00355898"/>
    <w:rsid w:val="00365CD9"/>
    <w:rsid w:val="003723D4"/>
    <w:rsid w:val="00373D50"/>
    <w:rsid w:val="00374688"/>
    <w:rsid w:val="003817A0"/>
    <w:rsid w:val="00381905"/>
    <w:rsid w:val="00383373"/>
    <w:rsid w:val="00384CC8"/>
    <w:rsid w:val="00384F5C"/>
    <w:rsid w:val="003871FD"/>
    <w:rsid w:val="003910E9"/>
    <w:rsid w:val="00393AB0"/>
    <w:rsid w:val="00395C91"/>
    <w:rsid w:val="003974CA"/>
    <w:rsid w:val="003A1E30"/>
    <w:rsid w:val="003A2829"/>
    <w:rsid w:val="003A7D1C"/>
    <w:rsid w:val="003B304B"/>
    <w:rsid w:val="003B3146"/>
    <w:rsid w:val="003B58A0"/>
    <w:rsid w:val="003B6F1E"/>
    <w:rsid w:val="003C02AD"/>
    <w:rsid w:val="003C6CBF"/>
    <w:rsid w:val="003D1F33"/>
    <w:rsid w:val="003D4811"/>
    <w:rsid w:val="003D69A5"/>
    <w:rsid w:val="003E493D"/>
    <w:rsid w:val="003E5917"/>
    <w:rsid w:val="003F015E"/>
    <w:rsid w:val="003F067C"/>
    <w:rsid w:val="003F5BB7"/>
    <w:rsid w:val="003F7716"/>
    <w:rsid w:val="00400414"/>
    <w:rsid w:val="004026A5"/>
    <w:rsid w:val="00404C12"/>
    <w:rsid w:val="00413538"/>
    <w:rsid w:val="0041446B"/>
    <w:rsid w:val="0041570B"/>
    <w:rsid w:val="00416F21"/>
    <w:rsid w:val="00417E7D"/>
    <w:rsid w:val="004205EC"/>
    <w:rsid w:val="00427FC6"/>
    <w:rsid w:val="00430425"/>
    <w:rsid w:val="00431283"/>
    <w:rsid w:val="004340F0"/>
    <w:rsid w:val="00435AC0"/>
    <w:rsid w:val="0044071E"/>
    <w:rsid w:val="004410D8"/>
    <w:rsid w:val="0044329C"/>
    <w:rsid w:val="00443F55"/>
    <w:rsid w:val="004444E8"/>
    <w:rsid w:val="004530EB"/>
    <w:rsid w:val="00453E24"/>
    <w:rsid w:val="00454A4C"/>
    <w:rsid w:val="004553B2"/>
    <w:rsid w:val="00457456"/>
    <w:rsid w:val="004577FE"/>
    <w:rsid w:val="00457B9C"/>
    <w:rsid w:val="00457E31"/>
    <w:rsid w:val="0046164A"/>
    <w:rsid w:val="004628D2"/>
    <w:rsid w:val="0046292A"/>
    <w:rsid w:val="00462DCD"/>
    <w:rsid w:val="004648AD"/>
    <w:rsid w:val="004703A9"/>
    <w:rsid w:val="00472B55"/>
    <w:rsid w:val="00476027"/>
    <w:rsid w:val="004760DE"/>
    <w:rsid w:val="004760F8"/>
    <w:rsid w:val="004763D7"/>
    <w:rsid w:val="00477824"/>
    <w:rsid w:val="00484303"/>
    <w:rsid w:val="00484B08"/>
    <w:rsid w:val="004968AC"/>
    <w:rsid w:val="00496F34"/>
    <w:rsid w:val="004A004E"/>
    <w:rsid w:val="004A24CF"/>
    <w:rsid w:val="004A5B93"/>
    <w:rsid w:val="004A5E0A"/>
    <w:rsid w:val="004B4250"/>
    <w:rsid w:val="004B5C56"/>
    <w:rsid w:val="004C3D1D"/>
    <w:rsid w:val="004C3D84"/>
    <w:rsid w:val="004C426A"/>
    <w:rsid w:val="004C44E5"/>
    <w:rsid w:val="004C54ED"/>
    <w:rsid w:val="004C7913"/>
    <w:rsid w:val="004D6657"/>
    <w:rsid w:val="004E09DB"/>
    <w:rsid w:val="004E0B0D"/>
    <w:rsid w:val="004E3D24"/>
    <w:rsid w:val="004E4DD6"/>
    <w:rsid w:val="004E7124"/>
    <w:rsid w:val="004F5E36"/>
    <w:rsid w:val="004F7A73"/>
    <w:rsid w:val="005028E6"/>
    <w:rsid w:val="005039F0"/>
    <w:rsid w:val="0050650B"/>
    <w:rsid w:val="00506A71"/>
    <w:rsid w:val="005078C8"/>
    <w:rsid w:val="00507B47"/>
    <w:rsid w:val="00507BEF"/>
    <w:rsid w:val="00507CC9"/>
    <w:rsid w:val="005119A5"/>
    <w:rsid w:val="00511BFD"/>
    <w:rsid w:val="00521440"/>
    <w:rsid w:val="0052292F"/>
    <w:rsid w:val="005278B7"/>
    <w:rsid w:val="00531137"/>
    <w:rsid w:val="00532016"/>
    <w:rsid w:val="005346C8"/>
    <w:rsid w:val="00543E7D"/>
    <w:rsid w:val="0054448F"/>
    <w:rsid w:val="005477BD"/>
    <w:rsid w:val="00547A68"/>
    <w:rsid w:val="005531C9"/>
    <w:rsid w:val="00560144"/>
    <w:rsid w:val="00560EAC"/>
    <w:rsid w:val="00562084"/>
    <w:rsid w:val="00564048"/>
    <w:rsid w:val="00565EA8"/>
    <w:rsid w:val="00566AE4"/>
    <w:rsid w:val="005679EA"/>
    <w:rsid w:val="00570C43"/>
    <w:rsid w:val="00571062"/>
    <w:rsid w:val="005755DE"/>
    <w:rsid w:val="00576E0F"/>
    <w:rsid w:val="00577DB7"/>
    <w:rsid w:val="005968C8"/>
    <w:rsid w:val="005A28A3"/>
    <w:rsid w:val="005B0892"/>
    <w:rsid w:val="005B1ECD"/>
    <w:rsid w:val="005B2110"/>
    <w:rsid w:val="005B3096"/>
    <w:rsid w:val="005B61E6"/>
    <w:rsid w:val="005C77E1"/>
    <w:rsid w:val="005D49B2"/>
    <w:rsid w:val="005D668A"/>
    <w:rsid w:val="005D6A2F"/>
    <w:rsid w:val="005E127A"/>
    <w:rsid w:val="005E1A82"/>
    <w:rsid w:val="005E3BD6"/>
    <w:rsid w:val="005E794C"/>
    <w:rsid w:val="005F0A28"/>
    <w:rsid w:val="005F0E5E"/>
    <w:rsid w:val="00600535"/>
    <w:rsid w:val="0060133C"/>
    <w:rsid w:val="00610CD6"/>
    <w:rsid w:val="006138EE"/>
    <w:rsid w:val="00614C54"/>
    <w:rsid w:val="00615DDD"/>
    <w:rsid w:val="0062015B"/>
    <w:rsid w:val="00620DEE"/>
    <w:rsid w:val="00621F92"/>
    <w:rsid w:val="0062280A"/>
    <w:rsid w:val="00625639"/>
    <w:rsid w:val="00631B33"/>
    <w:rsid w:val="00631C82"/>
    <w:rsid w:val="0063620F"/>
    <w:rsid w:val="0064184D"/>
    <w:rsid w:val="006422CC"/>
    <w:rsid w:val="00646D6A"/>
    <w:rsid w:val="00646F92"/>
    <w:rsid w:val="00647EF3"/>
    <w:rsid w:val="00660E3E"/>
    <w:rsid w:val="00662288"/>
    <w:rsid w:val="00662E74"/>
    <w:rsid w:val="00674B9F"/>
    <w:rsid w:val="00677463"/>
    <w:rsid w:val="00680C23"/>
    <w:rsid w:val="0068100C"/>
    <w:rsid w:val="006818CA"/>
    <w:rsid w:val="00686225"/>
    <w:rsid w:val="00693766"/>
    <w:rsid w:val="00695591"/>
    <w:rsid w:val="006A1CB3"/>
    <w:rsid w:val="006A3281"/>
    <w:rsid w:val="006A4208"/>
    <w:rsid w:val="006A4EA7"/>
    <w:rsid w:val="006B09DA"/>
    <w:rsid w:val="006B1D1A"/>
    <w:rsid w:val="006B4888"/>
    <w:rsid w:val="006C09F6"/>
    <w:rsid w:val="006C2E45"/>
    <w:rsid w:val="006C359C"/>
    <w:rsid w:val="006C3EC4"/>
    <w:rsid w:val="006C4327"/>
    <w:rsid w:val="006C4E02"/>
    <w:rsid w:val="006C5579"/>
    <w:rsid w:val="006D3DA1"/>
    <w:rsid w:val="006D5853"/>
    <w:rsid w:val="006D6E8B"/>
    <w:rsid w:val="006E5F1B"/>
    <w:rsid w:val="006E6413"/>
    <w:rsid w:val="006E737D"/>
    <w:rsid w:val="006F2A4F"/>
    <w:rsid w:val="006F2B97"/>
    <w:rsid w:val="006F37A3"/>
    <w:rsid w:val="006F39E0"/>
    <w:rsid w:val="006F4EEB"/>
    <w:rsid w:val="006F5450"/>
    <w:rsid w:val="007027A4"/>
    <w:rsid w:val="00713973"/>
    <w:rsid w:val="00713DED"/>
    <w:rsid w:val="00715E91"/>
    <w:rsid w:val="0071668A"/>
    <w:rsid w:val="00720A24"/>
    <w:rsid w:val="00724EEF"/>
    <w:rsid w:val="00727EAA"/>
    <w:rsid w:val="00732386"/>
    <w:rsid w:val="0073514D"/>
    <w:rsid w:val="00735FA6"/>
    <w:rsid w:val="0074136F"/>
    <w:rsid w:val="007447F3"/>
    <w:rsid w:val="0074575F"/>
    <w:rsid w:val="0075499F"/>
    <w:rsid w:val="00764DF3"/>
    <w:rsid w:val="00764F83"/>
    <w:rsid w:val="00765966"/>
    <w:rsid w:val="007661C8"/>
    <w:rsid w:val="0077098D"/>
    <w:rsid w:val="00774F01"/>
    <w:rsid w:val="007806CF"/>
    <w:rsid w:val="00790072"/>
    <w:rsid w:val="007931FA"/>
    <w:rsid w:val="00795F6F"/>
    <w:rsid w:val="00796BFA"/>
    <w:rsid w:val="007979AD"/>
    <w:rsid w:val="007A2EC8"/>
    <w:rsid w:val="007A3BF1"/>
    <w:rsid w:val="007A4861"/>
    <w:rsid w:val="007A761D"/>
    <w:rsid w:val="007A7BBA"/>
    <w:rsid w:val="007B0C50"/>
    <w:rsid w:val="007B30B2"/>
    <w:rsid w:val="007B48F9"/>
    <w:rsid w:val="007B5454"/>
    <w:rsid w:val="007C1A43"/>
    <w:rsid w:val="007C27B9"/>
    <w:rsid w:val="007C6166"/>
    <w:rsid w:val="007C6887"/>
    <w:rsid w:val="007D0951"/>
    <w:rsid w:val="007D181A"/>
    <w:rsid w:val="007D5A31"/>
    <w:rsid w:val="007E4E53"/>
    <w:rsid w:val="007F5736"/>
    <w:rsid w:val="007F6498"/>
    <w:rsid w:val="0080013E"/>
    <w:rsid w:val="0081092A"/>
    <w:rsid w:val="00812210"/>
    <w:rsid w:val="00812861"/>
    <w:rsid w:val="00813288"/>
    <w:rsid w:val="00813B9D"/>
    <w:rsid w:val="00813C18"/>
    <w:rsid w:val="008168FC"/>
    <w:rsid w:val="00817A32"/>
    <w:rsid w:val="008268DA"/>
    <w:rsid w:val="00830668"/>
    <w:rsid w:val="00830996"/>
    <w:rsid w:val="00830AD6"/>
    <w:rsid w:val="008345F1"/>
    <w:rsid w:val="00835338"/>
    <w:rsid w:val="00847234"/>
    <w:rsid w:val="00857287"/>
    <w:rsid w:val="00863B45"/>
    <w:rsid w:val="00864919"/>
    <w:rsid w:val="0086579E"/>
    <w:rsid w:val="00865B07"/>
    <w:rsid w:val="008667EA"/>
    <w:rsid w:val="00867E24"/>
    <w:rsid w:val="0087637F"/>
    <w:rsid w:val="00876A7A"/>
    <w:rsid w:val="00881630"/>
    <w:rsid w:val="00881B8E"/>
    <w:rsid w:val="00882EA1"/>
    <w:rsid w:val="0088365F"/>
    <w:rsid w:val="00885959"/>
    <w:rsid w:val="008878B0"/>
    <w:rsid w:val="00887BB7"/>
    <w:rsid w:val="00890F56"/>
    <w:rsid w:val="00892AD5"/>
    <w:rsid w:val="008A1512"/>
    <w:rsid w:val="008A16D1"/>
    <w:rsid w:val="008A3284"/>
    <w:rsid w:val="008B250F"/>
    <w:rsid w:val="008B2924"/>
    <w:rsid w:val="008B2C9F"/>
    <w:rsid w:val="008C6CC0"/>
    <w:rsid w:val="008C7E94"/>
    <w:rsid w:val="008D2C69"/>
    <w:rsid w:val="008D32B9"/>
    <w:rsid w:val="008D433B"/>
    <w:rsid w:val="008D4A16"/>
    <w:rsid w:val="008D6146"/>
    <w:rsid w:val="008E2387"/>
    <w:rsid w:val="008E566E"/>
    <w:rsid w:val="008E789E"/>
    <w:rsid w:val="008E7B12"/>
    <w:rsid w:val="008F2732"/>
    <w:rsid w:val="0090161A"/>
    <w:rsid w:val="00901EB6"/>
    <w:rsid w:val="00901EF8"/>
    <w:rsid w:val="00902380"/>
    <w:rsid w:val="00904C62"/>
    <w:rsid w:val="00905664"/>
    <w:rsid w:val="009077FF"/>
    <w:rsid w:val="009119FC"/>
    <w:rsid w:val="00916B0F"/>
    <w:rsid w:val="00922BA8"/>
    <w:rsid w:val="0092337E"/>
    <w:rsid w:val="00923B88"/>
    <w:rsid w:val="00923E46"/>
    <w:rsid w:val="00924DAC"/>
    <w:rsid w:val="00925C1D"/>
    <w:rsid w:val="00927058"/>
    <w:rsid w:val="00930A7E"/>
    <w:rsid w:val="009376C8"/>
    <w:rsid w:val="00942750"/>
    <w:rsid w:val="009450CE"/>
    <w:rsid w:val="009452EB"/>
    <w:rsid w:val="009459BB"/>
    <w:rsid w:val="00945B61"/>
    <w:rsid w:val="00947179"/>
    <w:rsid w:val="0095164B"/>
    <w:rsid w:val="00952C64"/>
    <w:rsid w:val="00954090"/>
    <w:rsid w:val="00955213"/>
    <w:rsid w:val="009573E7"/>
    <w:rsid w:val="00960D83"/>
    <w:rsid w:val="009631DC"/>
    <w:rsid w:val="009634AD"/>
    <w:rsid w:val="00963E05"/>
    <w:rsid w:val="00964A45"/>
    <w:rsid w:val="00965ED2"/>
    <w:rsid w:val="00967843"/>
    <w:rsid w:val="00967D54"/>
    <w:rsid w:val="00970E09"/>
    <w:rsid w:val="00971028"/>
    <w:rsid w:val="00971EF9"/>
    <w:rsid w:val="009738C8"/>
    <w:rsid w:val="00973DED"/>
    <w:rsid w:val="00976796"/>
    <w:rsid w:val="0098462C"/>
    <w:rsid w:val="00985E5F"/>
    <w:rsid w:val="00991900"/>
    <w:rsid w:val="00993B84"/>
    <w:rsid w:val="00994A13"/>
    <w:rsid w:val="00995A8E"/>
    <w:rsid w:val="00996483"/>
    <w:rsid w:val="00996F5A"/>
    <w:rsid w:val="00997448"/>
    <w:rsid w:val="00997A0F"/>
    <w:rsid w:val="009A0990"/>
    <w:rsid w:val="009A61A8"/>
    <w:rsid w:val="009B041A"/>
    <w:rsid w:val="009B0A9B"/>
    <w:rsid w:val="009C37C3"/>
    <w:rsid w:val="009C7C86"/>
    <w:rsid w:val="009D2FF7"/>
    <w:rsid w:val="009E306A"/>
    <w:rsid w:val="009E32C4"/>
    <w:rsid w:val="009E32F5"/>
    <w:rsid w:val="009E44C6"/>
    <w:rsid w:val="009E6656"/>
    <w:rsid w:val="009E7884"/>
    <w:rsid w:val="009E788A"/>
    <w:rsid w:val="009F0E08"/>
    <w:rsid w:val="009F1339"/>
    <w:rsid w:val="009F19D3"/>
    <w:rsid w:val="00A1750E"/>
    <w:rsid w:val="00A1763D"/>
    <w:rsid w:val="00A17CEC"/>
    <w:rsid w:val="00A17E93"/>
    <w:rsid w:val="00A21385"/>
    <w:rsid w:val="00A21E76"/>
    <w:rsid w:val="00A24383"/>
    <w:rsid w:val="00A254A0"/>
    <w:rsid w:val="00A27EF0"/>
    <w:rsid w:val="00A30B6A"/>
    <w:rsid w:val="00A316FF"/>
    <w:rsid w:val="00A3674A"/>
    <w:rsid w:val="00A42361"/>
    <w:rsid w:val="00A43DE8"/>
    <w:rsid w:val="00A50B20"/>
    <w:rsid w:val="00A51390"/>
    <w:rsid w:val="00A5172C"/>
    <w:rsid w:val="00A60D13"/>
    <w:rsid w:val="00A64AD2"/>
    <w:rsid w:val="00A65097"/>
    <w:rsid w:val="00A659E7"/>
    <w:rsid w:val="00A666FA"/>
    <w:rsid w:val="00A66AD7"/>
    <w:rsid w:val="00A71468"/>
    <w:rsid w:val="00A7223D"/>
    <w:rsid w:val="00A72745"/>
    <w:rsid w:val="00A72951"/>
    <w:rsid w:val="00A74185"/>
    <w:rsid w:val="00A75CA5"/>
    <w:rsid w:val="00A76EFC"/>
    <w:rsid w:val="00A80FC6"/>
    <w:rsid w:val="00A86FA2"/>
    <w:rsid w:val="00A87D50"/>
    <w:rsid w:val="00A91010"/>
    <w:rsid w:val="00A94FB9"/>
    <w:rsid w:val="00A97107"/>
    <w:rsid w:val="00A97F29"/>
    <w:rsid w:val="00AA0E2A"/>
    <w:rsid w:val="00AA702E"/>
    <w:rsid w:val="00AA7D26"/>
    <w:rsid w:val="00AB0964"/>
    <w:rsid w:val="00AB5011"/>
    <w:rsid w:val="00AC7368"/>
    <w:rsid w:val="00AD16B9"/>
    <w:rsid w:val="00AD35C7"/>
    <w:rsid w:val="00AD7116"/>
    <w:rsid w:val="00AE0377"/>
    <w:rsid w:val="00AE377D"/>
    <w:rsid w:val="00AE3941"/>
    <w:rsid w:val="00AE5472"/>
    <w:rsid w:val="00AF0EBA"/>
    <w:rsid w:val="00AF1AC8"/>
    <w:rsid w:val="00AF3064"/>
    <w:rsid w:val="00AF3A17"/>
    <w:rsid w:val="00AF3ACB"/>
    <w:rsid w:val="00B01AAE"/>
    <w:rsid w:val="00B02C8A"/>
    <w:rsid w:val="00B15478"/>
    <w:rsid w:val="00B155C1"/>
    <w:rsid w:val="00B15D70"/>
    <w:rsid w:val="00B17FBD"/>
    <w:rsid w:val="00B20513"/>
    <w:rsid w:val="00B20521"/>
    <w:rsid w:val="00B259BD"/>
    <w:rsid w:val="00B31555"/>
    <w:rsid w:val="00B315A6"/>
    <w:rsid w:val="00B31813"/>
    <w:rsid w:val="00B32333"/>
    <w:rsid w:val="00B33365"/>
    <w:rsid w:val="00B3632A"/>
    <w:rsid w:val="00B411AB"/>
    <w:rsid w:val="00B430DC"/>
    <w:rsid w:val="00B55CB3"/>
    <w:rsid w:val="00B57B36"/>
    <w:rsid w:val="00B57E6F"/>
    <w:rsid w:val="00B61DED"/>
    <w:rsid w:val="00B76538"/>
    <w:rsid w:val="00B82E08"/>
    <w:rsid w:val="00B8686D"/>
    <w:rsid w:val="00B93F69"/>
    <w:rsid w:val="00B9465F"/>
    <w:rsid w:val="00BA2E0C"/>
    <w:rsid w:val="00BA5E09"/>
    <w:rsid w:val="00BB06E8"/>
    <w:rsid w:val="00BB1ADE"/>
    <w:rsid w:val="00BB1DDC"/>
    <w:rsid w:val="00BB22B4"/>
    <w:rsid w:val="00BB50E6"/>
    <w:rsid w:val="00BC1992"/>
    <w:rsid w:val="00BC30C9"/>
    <w:rsid w:val="00BC5BDC"/>
    <w:rsid w:val="00BC7BBE"/>
    <w:rsid w:val="00BD077D"/>
    <w:rsid w:val="00BE1067"/>
    <w:rsid w:val="00BE3BAB"/>
    <w:rsid w:val="00BE3E58"/>
    <w:rsid w:val="00BE3ED7"/>
    <w:rsid w:val="00BE6225"/>
    <w:rsid w:val="00BE7DC8"/>
    <w:rsid w:val="00C01616"/>
    <w:rsid w:val="00C0162B"/>
    <w:rsid w:val="00C01A8A"/>
    <w:rsid w:val="00C068ED"/>
    <w:rsid w:val="00C06DE2"/>
    <w:rsid w:val="00C11835"/>
    <w:rsid w:val="00C12429"/>
    <w:rsid w:val="00C12726"/>
    <w:rsid w:val="00C13917"/>
    <w:rsid w:val="00C15918"/>
    <w:rsid w:val="00C15CEF"/>
    <w:rsid w:val="00C16ABF"/>
    <w:rsid w:val="00C173AF"/>
    <w:rsid w:val="00C22E0C"/>
    <w:rsid w:val="00C235A3"/>
    <w:rsid w:val="00C275AC"/>
    <w:rsid w:val="00C309CC"/>
    <w:rsid w:val="00C345B1"/>
    <w:rsid w:val="00C358FE"/>
    <w:rsid w:val="00C40142"/>
    <w:rsid w:val="00C42B73"/>
    <w:rsid w:val="00C47287"/>
    <w:rsid w:val="00C50FAD"/>
    <w:rsid w:val="00C52C3C"/>
    <w:rsid w:val="00C57182"/>
    <w:rsid w:val="00C57863"/>
    <w:rsid w:val="00C640AF"/>
    <w:rsid w:val="00C655FD"/>
    <w:rsid w:val="00C65DBE"/>
    <w:rsid w:val="00C66BF3"/>
    <w:rsid w:val="00C708A8"/>
    <w:rsid w:val="00C743EA"/>
    <w:rsid w:val="00C75407"/>
    <w:rsid w:val="00C7737F"/>
    <w:rsid w:val="00C775F8"/>
    <w:rsid w:val="00C870A8"/>
    <w:rsid w:val="00C94434"/>
    <w:rsid w:val="00C95FC6"/>
    <w:rsid w:val="00C966C0"/>
    <w:rsid w:val="00CA011B"/>
    <w:rsid w:val="00CA0D75"/>
    <w:rsid w:val="00CA125C"/>
    <w:rsid w:val="00CA1C95"/>
    <w:rsid w:val="00CA2366"/>
    <w:rsid w:val="00CA24A1"/>
    <w:rsid w:val="00CA5A9C"/>
    <w:rsid w:val="00CB3489"/>
    <w:rsid w:val="00CB4D16"/>
    <w:rsid w:val="00CC02FB"/>
    <w:rsid w:val="00CC4615"/>
    <w:rsid w:val="00CC4C20"/>
    <w:rsid w:val="00CC5E12"/>
    <w:rsid w:val="00CD3517"/>
    <w:rsid w:val="00CD5D03"/>
    <w:rsid w:val="00CD5FE2"/>
    <w:rsid w:val="00CD675A"/>
    <w:rsid w:val="00CE1A41"/>
    <w:rsid w:val="00CE5CCD"/>
    <w:rsid w:val="00CE7C68"/>
    <w:rsid w:val="00CF4E14"/>
    <w:rsid w:val="00D02B4C"/>
    <w:rsid w:val="00D040C4"/>
    <w:rsid w:val="00D05764"/>
    <w:rsid w:val="00D074A4"/>
    <w:rsid w:val="00D130B8"/>
    <w:rsid w:val="00D15B55"/>
    <w:rsid w:val="00D2098D"/>
    <w:rsid w:val="00D20AD1"/>
    <w:rsid w:val="00D20C57"/>
    <w:rsid w:val="00D21AF2"/>
    <w:rsid w:val="00D233CA"/>
    <w:rsid w:val="00D2406E"/>
    <w:rsid w:val="00D26604"/>
    <w:rsid w:val="00D26C6F"/>
    <w:rsid w:val="00D275BA"/>
    <w:rsid w:val="00D33B58"/>
    <w:rsid w:val="00D4252E"/>
    <w:rsid w:val="00D46B7E"/>
    <w:rsid w:val="00D57C84"/>
    <w:rsid w:val="00D6057D"/>
    <w:rsid w:val="00D606DF"/>
    <w:rsid w:val="00D71640"/>
    <w:rsid w:val="00D81488"/>
    <w:rsid w:val="00D836C5"/>
    <w:rsid w:val="00D843A2"/>
    <w:rsid w:val="00D84576"/>
    <w:rsid w:val="00D95490"/>
    <w:rsid w:val="00DA0A11"/>
    <w:rsid w:val="00DA1399"/>
    <w:rsid w:val="00DA24C6"/>
    <w:rsid w:val="00DA3612"/>
    <w:rsid w:val="00DA4D7B"/>
    <w:rsid w:val="00DB261B"/>
    <w:rsid w:val="00DB2624"/>
    <w:rsid w:val="00DB65FF"/>
    <w:rsid w:val="00DC540F"/>
    <w:rsid w:val="00DD271C"/>
    <w:rsid w:val="00DD3B3E"/>
    <w:rsid w:val="00DD48B0"/>
    <w:rsid w:val="00DE0391"/>
    <w:rsid w:val="00DE264A"/>
    <w:rsid w:val="00DF0BEF"/>
    <w:rsid w:val="00DF1E7E"/>
    <w:rsid w:val="00DF3E30"/>
    <w:rsid w:val="00DF5072"/>
    <w:rsid w:val="00DF5B90"/>
    <w:rsid w:val="00DF73F2"/>
    <w:rsid w:val="00E02D18"/>
    <w:rsid w:val="00E041E7"/>
    <w:rsid w:val="00E0663A"/>
    <w:rsid w:val="00E070BE"/>
    <w:rsid w:val="00E1119F"/>
    <w:rsid w:val="00E15160"/>
    <w:rsid w:val="00E20495"/>
    <w:rsid w:val="00E20DD2"/>
    <w:rsid w:val="00E21C0B"/>
    <w:rsid w:val="00E21C2A"/>
    <w:rsid w:val="00E23CA1"/>
    <w:rsid w:val="00E254A6"/>
    <w:rsid w:val="00E25A61"/>
    <w:rsid w:val="00E31EE3"/>
    <w:rsid w:val="00E32E64"/>
    <w:rsid w:val="00E409A8"/>
    <w:rsid w:val="00E4119D"/>
    <w:rsid w:val="00E50C12"/>
    <w:rsid w:val="00E57D9D"/>
    <w:rsid w:val="00E60017"/>
    <w:rsid w:val="00E62D7E"/>
    <w:rsid w:val="00E646BD"/>
    <w:rsid w:val="00E6562B"/>
    <w:rsid w:val="00E65B91"/>
    <w:rsid w:val="00E67B6F"/>
    <w:rsid w:val="00E707DD"/>
    <w:rsid w:val="00E7209D"/>
    <w:rsid w:val="00E72EAD"/>
    <w:rsid w:val="00E73ACD"/>
    <w:rsid w:val="00E77223"/>
    <w:rsid w:val="00E84D98"/>
    <w:rsid w:val="00E8528B"/>
    <w:rsid w:val="00E85B94"/>
    <w:rsid w:val="00E91C9A"/>
    <w:rsid w:val="00E953B8"/>
    <w:rsid w:val="00E978D0"/>
    <w:rsid w:val="00EA0AA3"/>
    <w:rsid w:val="00EA12DC"/>
    <w:rsid w:val="00EA21CA"/>
    <w:rsid w:val="00EA4613"/>
    <w:rsid w:val="00EA7F91"/>
    <w:rsid w:val="00EB1523"/>
    <w:rsid w:val="00EB536B"/>
    <w:rsid w:val="00EB5C1D"/>
    <w:rsid w:val="00EB698B"/>
    <w:rsid w:val="00EC0D2E"/>
    <w:rsid w:val="00EC0E49"/>
    <w:rsid w:val="00EC101F"/>
    <w:rsid w:val="00EC19E2"/>
    <w:rsid w:val="00EC1D9F"/>
    <w:rsid w:val="00ED42EF"/>
    <w:rsid w:val="00EE0131"/>
    <w:rsid w:val="00EE17B0"/>
    <w:rsid w:val="00EE3548"/>
    <w:rsid w:val="00EE66B4"/>
    <w:rsid w:val="00EF06D9"/>
    <w:rsid w:val="00EF2403"/>
    <w:rsid w:val="00F0345D"/>
    <w:rsid w:val="00F134A3"/>
    <w:rsid w:val="00F16AB6"/>
    <w:rsid w:val="00F16FA0"/>
    <w:rsid w:val="00F211BE"/>
    <w:rsid w:val="00F3049E"/>
    <w:rsid w:val="00F30C64"/>
    <w:rsid w:val="00F32BA2"/>
    <w:rsid w:val="00F32CDB"/>
    <w:rsid w:val="00F37E1F"/>
    <w:rsid w:val="00F44ABB"/>
    <w:rsid w:val="00F463D6"/>
    <w:rsid w:val="00F565FE"/>
    <w:rsid w:val="00F63A70"/>
    <w:rsid w:val="00F63D8C"/>
    <w:rsid w:val="00F64917"/>
    <w:rsid w:val="00F7534E"/>
    <w:rsid w:val="00F93330"/>
    <w:rsid w:val="00F93EDF"/>
    <w:rsid w:val="00F94BC7"/>
    <w:rsid w:val="00FA174C"/>
    <w:rsid w:val="00FA1802"/>
    <w:rsid w:val="00FA1818"/>
    <w:rsid w:val="00FA21D0"/>
    <w:rsid w:val="00FA5F5F"/>
    <w:rsid w:val="00FB3CD6"/>
    <w:rsid w:val="00FB42C0"/>
    <w:rsid w:val="00FB730C"/>
    <w:rsid w:val="00FC007F"/>
    <w:rsid w:val="00FC2695"/>
    <w:rsid w:val="00FC3E03"/>
    <w:rsid w:val="00FC3FC1"/>
    <w:rsid w:val="00FC4905"/>
    <w:rsid w:val="00FC4E0D"/>
    <w:rsid w:val="00FC557D"/>
    <w:rsid w:val="00FC5FB9"/>
    <w:rsid w:val="00FC624B"/>
    <w:rsid w:val="00FD4C56"/>
    <w:rsid w:val="00FF5A1D"/>
    <w:rsid w:val="00FF6C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2660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2660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styleId="Revision">
    <w:name w:val="Revision"/>
    <w:hidden/>
    <w:uiPriority w:val="99"/>
    <w:semiHidden/>
    <w:rsid w:val="0013150A"/>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A3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Pages>
  <Words>3265</Words>
  <Characters>18617</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Federico Ustolin</cp:lastModifiedBy>
  <cp:revision>568</cp:revision>
  <cp:lastPrinted>2015-05-12T18:31:00Z</cp:lastPrinted>
  <dcterms:created xsi:type="dcterms:W3CDTF">2022-09-21T08:52:00Z</dcterms:created>
  <dcterms:modified xsi:type="dcterms:W3CDTF">2023-04-14T13:45:00Z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258a91d0-a7fa-3af2-acc5-0f648b33b4e5</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