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C26B0" w:rsidRDefault="001C26B0">
      <w:pPr>
        <w:widowControl w:val="0"/>
        <w:pBdr>
          <w:top w:val="nil"/>
          <w:left w:val="nil"/>
          <w:bottom w:val="nil"/>
          <w:right w:val="nil"/>
          <w:between w:val="nil"/>
        </w:pBdr>
        <w:spacing w:line="276" w:lineRule="auto"/>
        <w:jc w:val="left"/>
        <w:rPr>
          <w:rFonts w:eastAsia="Arial" w:cs="Arial"/>
          <w:color w:val="000000"/>
          <w:sz w:val="22"/>
          <w:szCs w:val="22"/>
        </w:rPr>
      </w:pPr>
    </w:p>
    <w:tbl>
      <w:tblPr>
        <w:tblStyle w:val="a"/>
        <w:tblW w:w="8782" w:type="dxa"/>
        <w:jc w:val="center"/>
        <w:tblInd w:w="0" w:type="dxa"/>
        <w:tblBorders>
          <w:bottom w:val="single" w:sz="4" w:space="0" w:color="000000"/>
        </w:tblBorders>
        <w:tblLayout w:type="fixed"/>
        <w:tblLook w:val="0000" w:firstRow="0" w:lastRow="0" w:firstColumn="0" w:lastColumn="0" w:noHBand="0" w:noVBand="0"/>
      </w:tblPr>
      <w:tblGrid>
        <w:gridCol w:w="6940"/>
        <w:gridCol w:w="1842"/>
      </w:tblGrid>
      <w:tr w:rsidR="001C26B0" w14:paraId="68A38E30" w14:textId="77777777">
        <w:trPr>
          <w:trHeight w:val="852"/>
          <w:jc w:val="center"/>
        </w:trPr>
        <w:tc>
          <w:tcPr>
            <w:tcW w:w="6940" w:type="dxa"/>
            <w:vMerge w:val="restart"/>
            <w:tcBorders>
              <w:right w:val="single" w:sz="4" w:space="0" w:color="000000"/>
            </w:tcBorders>
          </w:tcPr>
          <w:p w14:paraId="00000002" w14:textId="77777777" w:rsidR="001C26B0" w:rsidRDefault="00000000">
            <w:pPr>
              <w:tabs>
                <w:tab w:val="left" w:pos="-108"/>
              </w:tabs>
              <w:ind w:left="-108"/>
              <w:jc w:val="left"/>
              <w:rPr>
                <w:b/>
                <w:i/>
                <w:color w:val="000066"/>
                <w:sz w:val="12"/>
                <w:szCs w:val="12"/>
              </w:rPr>
            </w:pPr>
            <w:r>
              <w:rPr>
                <w:rFonts w:ascii="AdvP6960" w:eastAsia="AdvP6960" w:hAnsi="AdvP6960" w:cs="AdvP6960"/>
                <w:noProof/>
                <w:color w:val="241F20"/>
              </w:rPr>
              <w:drawing>
                <wp:inline distT="0" distB="0" distL="0" distR="0" wp14:anchorId="5F50F616" wp14:editId="3FFD9CC8">
                  <wp:extent cx="640080" cy="373380"/>
                  <wp:effectExtent l="0" t="0" r="0" b="0"/>
                  <wp:docPr id="20" name="image3.jpg" descr="cetlogo"/>
                  <wp:cNvGraphicFramePr/>
                  <a:graphic xmlns:a="http://schemas.openxmlformats.org/drawingml/2006/main">
                    <a:graphicData uri="http://schemas.openxmlformats.org/drawingml/2006/picture">
                      <pic:pic xmlns:pic="http://schemas.openxmlformats.org/drawingml/2006/picture">
                        <pic:nvPicPr>
                          <pic:cNvPr id="0" name="image3.jpg" descr="cetlogo"/>
                          <pic:cNvPicPr preferRelativeResize="0"/>
                        </pic:nvPicPr>
                        <pic:blipFill>
                          <a:blip r:embed="rId6"/>
                          <a:srcRect/>
                          <a:stretch>
                            <a:fillRect/>
                          </a:stretch>
                        </pic:blipFill>
                        <pic:spPr>
                          <a:xfrm>
                            <a:off x="0" y="0"/>
                            <a:ext cx="640080" cy="373380"/>
                          </a:xfrm>
                          <a:prstGeom prst="rect">
                            <a:avLst/>
                          </a:prstGeom>
                          <a:ln/>
                        </pic:spPr>
                      </pic:pic>
                    </a:graphicData>
                  </a:graphic>
                </wp:inline>
              </w:drawing>
            </w:r>
            <w:r>
              <w:rPr>
                <w:rFonts w:ascii="AdvP6960" w:eastAsia="AdvP6960" w:hAnsi="AdvP6960" w:cs="AdvP6960"/>
                <w:color w:val="241F20"/>
              </w:rPr>
              <w:t xml:space="preserve"> </w:t>
            </w:r>
            <w:r>
              <w:rPr>
                <w:b/>
                <w:i/>
                <w:color w:val="000066"/>
                <w:sz w:val="24"/>
                <w:szCs w:val="24"/>
              </w:rPr>
              <w:t>CHEMICAL ENGINEERING</w:t>
            </w:r>
            <w:r>
              <w:rPr>
                <w:b/>
                <w:i/>
                <w:color w:val="0033FF"/>
                <w:sz w:val="24"/>
                <w:szCs w:val="24"/>
              </w:rPr>
              <w:t xml:space="preserve"> </w:t>
            </w:r>
            <w:r>
              <w:rPr>
                <w:b/>
                <w:i/>
                <w:color w:val="666666"/>
                <w:sz w:val="24"/>
                <w:szCs w:val="24"/>
              </w:rPr>
              <w:t>TRANSACTIONS</w:t>
            </w:r>
            <w:r>
              <w:rPr>
                <w:color w:val="333333"/>
                <w:sz w:val="24"/>
                <w:szCs w:val="24"/>
              </w:rPr>
              <w:t xml:space="preserve"> </w:t>
            </w:r>
            <w:r>
              <w:rPr>
                <w:b/>
                <w:i/>
                <w:color w:val="000066"/>
                <w:sz w:val="27"/>
                <w:szCs w:val="27"/>
              </w:rPr>
              <w:br/>
            </w:r>
          </w:p>
          <w:p w14:paraId="00000003" w14:textId="77777777" w:rsidR="001C26B0" w:rsidRDefault="00000000">
            <w:pPr>
              <w:tabs>
                <w:tab w:val="left" w:pos="-108"/>
              </w:tabs>
              <w:ind w:left="-108"/>
              <w:rPr>
                <w:b/>
                <w:i/>
                <w:color w:val="000066"/>
                <w:sz w:val="22"/>
                <w:szCs w:val="22"/>
              </w:rPr>
            </w:pPr>
            <w:r>
              <w:rPr>
                <w:b/>
                <w:i/>
                <w:color w:val="000066"/>
                <w:sz w:val="22"/>
                <w:szCs w:val="22"/>
              </w:rPr>
              <w:t xml:space="preserve">VOL.  </w:t>
            </w:r>
            <w:proofErr w:type="gramStart"/>
            <w:r>
              <w:rPr>
                <w:b/>
                <w:i/>
                <w:color w:val="000066"/>
                <w:sz w:val="22"/>
                <w:szCs w:val="22"/>
              </w:rPr>
              <w:t xml:space="preserve">  ,</w:t>
            </w:r>
            <w:proofErr w:type="gramEnd"/>
            <w:r>
              <w:rPr>
                <w:b/>
                <w:i/>
                <w:color w:val="000066"/>
                <w:sz w:val="22"/>
                <w:szCs w:val="22"/>
              </w:rPr>
              <w:t xml:space="preserve"> 2023</w:t>
            </w:r>
          </w:p>
        </w:tc>
        <w:tc>
          <w:tcPr>
            <w:tcW w:w="1842" w:type="dxa"/>
            <w:tcBorders>
              <w:left w:val="single" w:sz="4" w:space="0" w:color="000000"/>
              <w:bottom w:val="nil"/>
              <w:right w:val="single" w:sz="4" w:space="0" w:color="000000"/>
            </w:tcBorders>
          </w:tcPr>
          <w:p w14:paraId="00000004" w14:textId="77777777" w:rsidR="001C26B0" w:rsidRDefault="00000000">
            <w:pPr>
              <w:jc w:val="right"/>
              <w:rPr>
                <w:sz w:val="14"/>
                <w:szCs w:val="14"/>
              </w:rPr>
            </w:pPr>
            <w:r>
              <w:rPr>
                <w:sz w:val="14"/>
                <w:szCs w:val="14"/>
              </w:rPr>
              <w:t>A publication of</w:t>
            </w:r>
          </w:p>
          <w:p w14:paraId="00000005" w14:textId="77777777" w:rsidR="001C26B0" w:rsidRDefault="00000000">
            <w:pPr>
              <w:jc w:val="right"/>
            </w:pPr>
            <w:r>
              <w:rPr>
                <w:noProof/>
              </w:rPr>
              <w:drawing>
                <wp:inline distT="0" distB="0" distL="0" distR="0" wp14:anchorId="7F7488FB" wp14:editId="34B80DB4">
                  <wp:extent cx="670560" cy="358140"/>
                  <wp:effectExtent l="0" t="0" r="0" b="0"/>
                  <wp:docPr id="22" name="image1.jpg" descr="aidiclogo_grande"/>
                  <wp:cNvGraphicFramePr/>
                  <a:graphic xmlns:a="http://schemas.openxmlformats.org/drawingml/2006/main">
                    <a:graphicData uri="http://schemas.openxmlformats.org/drawingml/2006/picture">
                      <pic:pic xmlns:pic="http://schemas.openxmlformats.org/drawingml/2006/picture">
                        <pic:nvPicPr>
                          <pic:cNvPr id="0" name="image1.jpg" descr="aidiclogo_grande"/>
                          <pic:cNvPicPr preferRelativeResize="0"/>
                        </pic:nvPicPr>
                        <pic:blipFill>
                          <a:blip r:embed="rId7"/>
                          <a:srcRect/>
                          <a:stretch>
                            <a:fillRect/>
                          </a:stretch>
                        </pic:blipFill>
                        <pic:spPr>
                          <a:xfrm>
                            <a:off x="0" y="0"/>
                            <a:ext cx="670560" cy="358140"/>
                          </a:xfrm>
                          <a:prstGeom prst="rect">
                            <a:avLst/>
                          </a:prstGeom>
                          <a:ln/>
                        </pic:spPr>
                      </pic:pic>
                    </a:graphicData>
                  </a:graphic>
                </wp:inline>
              </w:drawing>
            </w:r>
          </w:p>
        </w:tc>
      </w:tr>
      <w:tr w:rsidR="001C26B0" w14:paraId="6592C3E4" w14:textId="77777777">
        <w:trPr>
          <w:trHeight w:val="567"/>
          <w:jc w:val="center"/>
        </w:trPr>
        <w:tc>
          <w:tcPr>
            <w:tcW w:w="6940" w:type="dxa"/>
            <w:vMerge/>
            <w:tcBorders>
              <w:right w:val="single" w:sz="4" w:space="0" w:color="000000"/>
            </w:tcBorders>
          </w:tcPr>
          <w:p w14:paraId="00000006" w14:textId="77777777" w:rsidR="001C26B0" w:rsidRDefault="001C26B0">
            <w:pPr>
              <w:widowControl w:val="0"/>
              <w:pBdr>
                <w:top w:val="nil"/>
                <w:left w:val="nil"/>
                <w:bottom w:val="nil"/>
                <w:right w:val="nil"/>
                <w:between w:val="nil"/>
              </w:pBdr>
              <w:spacing w:line="276" w:lineRule="auto"/>
              <w:jc w:val="left"/>
            </w:pPr>
          </w:p>
        </w:tc>
        <w:tc>
          <w:tcPr>
            <w:tcW w:w="1842" w:type="dxa"/>
            <w:tcBorders>
              <w:left w:val="single" w:sz="4" w:space="0" w:color="000000"/>
              <w:bottom w:val="nil"/>
              <w:right w:val="single" w:sz="4" w:space="0" w:color="000000"/>
            </w:tcBorders>
          </w:tcPr>
          <w:p w14:paraId="00000007" w14:textId="77777777" w:rsidR="001C26B0" w:rsidRDefault="00000000">
            <w:pPr>
              <w:jc w:val="right"/>
              <w:rPr>
                <w:sz w:val="14"/>
                <w:szCs w:val="14"/>
              </w:rPr>
            </w:pPr>
            <w:r>
              <w:rPr>
                <w:sz w:val="14"/>
                <w:szCs w:val="14"/>
              </w:rPr>
              <w:t>The Italian Association</w:t>
            </w:r>
          </w:p>
          <w:p w14:paraId="00000008" w14:textId="77777777" w:rsidR="001C26B0" w:rsidRDefault="00000000">
            <w:pPr>
              <w:jc w:val="right"/>
              <w:rPr>
                <w:sz w:val="14"/>
                <w:szCs w:val="14"/>
              </w:rPr>
            </w:pPr>
            <w:r>
              <w:rPr>
                <w:sz w:val="14"/>
                <w:szCs w:val="14"/>
              </w:rPr>
              <w:t>of Chemical Engineering</w:t>
            </w:r>
          </w:p>
          <w:p w14:paraId="00000009" w14:textId="77777777" w:rsidR="001C26B0" w:rsidRDefault="00000000">
            <w:pPr>
              <w:jc w:val="right"/>
              <w:rPr>
                <w:sz w:val="13"/>
                <w:szCs w:val="13"/>
              </w:rPr>
            </w:pPr>
            <w:r>
              <w:rPr>
                <w:sz w:val="13"/>
                <w:szCs w:val="13"/>
              </w:rPr>
              <w:t>Online at www.cetjournal.it</w:t>
            </w:r>
          </w:p>
        </w:tc>
      </w:tr>
      <w:tr w:rsidR="001C26B0" w14:paraId="4A71F6B7" w14:textId="77777777">
        <w:trPr>
          <w:trHeight w:val="68"/>
          <w:jc w:val="center"/>
        </w:trPr>
        <w:tc>
          <w:tcPr>
            <w:tcW w:w="8782" w:type="dxa"/>
            <w:gridSpan w:val="2"/>
          </w:tcPr>
          <w:p w14:paraId="0000000A" w14:textId="77777777" w:rsidR="001C26B0" w:rsidRDefault="00000000">
            <w:pPr>
              <w:ind w:left="-107"/>
              <w:rPr>
                <w:rFonts w:ascii="Tahoma" w:eastAsia="Tahoma" w:hAnsi="Tahoma" w:cs="Tahoma"/>
                <w:color w:val="000000"/>
                <w:sz w:val="14"/>
                <w:szCs w:val="14"/>
              </w:rPr>
            </w:pPr>
            <w:r>
              <w:rPr>
                <w:rFonts w:ascii="Tahoma" w:eastAsia="Tahoma" w:hAnsi="Tahoma" w:cs="Tahoma"/>
                <w:color w:val="333333"/>
                <w:sz w:val="14"/>
                <w:szCs w:val="14"/>
              </w:rPr>
              <w:t>Guest Editor:</w:t>
            </w:r>
            <w:r>
              <w:rPr>
                <w:rFonts w:ascii="Tahoma" w:eastAsia="Tahoma" w:hAnsi="Tahoma" w:cs="Tahoma"/>
                <w:color w:val="000000"/>
                <w:sz w:val="14"/>
                <w:szCs w:val="14"/>
                <w:highlight w:val="white"/>
              </w:rPr>
              <w:t xml:space="preserve"> </w:t>
            </w:r>
            <w:proofErr w:type="spellStart"/>
            <w:r>
              <w:rPr>
                <w:rFonts w:ascii="Tahoma" w:eastAsia="Tahoma" w:hAnsi="Tahoma" w:cs="Tahoma"/>
                <w:sz w:val="14"/>
                <w:szCs w:val="14"/>
              </w:rPr>
              <w:t>Sauro</w:t>
            </w:r>
            <w:proofErr w:type="spellEnd"/>
            <w:r>
              <w:rPr>
                <w:rFonts w:ascii="Tahoma" w:eastAsia="Tahoma" w:hAnsi="Tahoma" w:cs="Tahoma"/>
                <w:sz w:val="14"/>
                <w:szCs w:val="14"/>
              </w:rPr>
              <w:t xml:space="preserve"> </w:t>
            </w:r>
            <w:proofErr w:type="spellStart"/>
            <w:r>
              <w:rPr>
                <w:rFonts w:ascii="Tahoma" w:eastAsia="Tahoma" w:hAnsi="Tahoma" w:cs="Tahoma"/>
                <w:sz w:val="14"/>
                <w:szCs w:val="14"/>
              </w:rPr>
              <w:t>Pierucci</w:t>
            </w:r>
            <w:proofErr w:type="spellEnd"/>
          </w:p>
          <w:p w14:paraId="0000000B" w14:textId="77777777" w:rsidR="001C26B0" w:rsidRDefault="00000000">
            <w:pPr>
              <w:tabs>
                <w:tab w:val="left" w:pos="-108"/>
              </w:tabs>
              <w:ind w:left="-107"/>
              <w:jc w:val="left"/>
            </w:pPr>
            <w:r>
              <w:rPr>
                <w:rFonts w:ascii="Tahoma" w:eastAsia="Tahoma" w:hAnsi="Tahoma" w:cs="Tahoma"/>
                <w:color w:val="333333"/>
                <w:sz w:val="14"/>
                <w:szCs w:val="14"/>
              </w:rPr>
              <w:t xml:space="preserve">Copyright © 2023, AIDIC </w:t>
            </w:r>
            <w:proofErr w:type="spellStart"/>
            <w:r>
              <w:rPr>
                <w:rFonts w:ascii="Tahoma" w:eastAsia="Tahoma" w:hAnsi="Tahoma" w:cs="Tahoma"/>
                <w:color w:val="333333"/>
                <w:sz w:val="14"/>
                <w:szCs w:val="14"/>
              </w:rPr>
              <w:t>Servizi</w:t>
            </w:r>
            <w:proofErr w:type="spellEnd"/>
            <w:r>
              <w:rPr>
                <w:rFonts w:ascii="Tahoma" w:eastAsia="Tahoma" w:hAnsi="Tahoma" w:cs="Tahoma"/>
                <w:color w:val="333333"/>
                <w:sz w:val="14"/>
                <w:szCs w:val="14"/>
              </w:rPr>
              <w:t xml:space="preserve"> </w:t>
            </w:r>
            <w:proofErr w:type="spellStart"/>
            <w:r>
              <w:rPr>
                <w:rFonts w:ascii="Tahoma" w:eastAsia="Tahoma" w:hAnsi="Tahoma" w:cs="Tahoma"/>
                <w:color w:val="333333"/>
                <w:sz w:val="14"/>
                <w:szCs w:val="14"/>
              </w:rPr>
              <w:t>S.r.l</w:t>
            </w:r>
            <w:proofErr w:type="spellEnd"/>
            <w:r>
              <w:rPr>
                <w:rFonts w:ascii="Tahoma" w:eastAsia="Tahoma" w:hAnsi="Tahoma" w:cs="Tahoma"/>
                <w:color w:val="333333"/>
                <w:sz w:val="14"/>
                <w:szCs w:val="14"/>
              </w:rPr>
              <w:t>.</w:t>
            </w:r>
            <w:r>
              <w:rPr>
                <w:rFonts w:ascii="Tahoma" w:eastAsia="Tahoma" w:hAnsi="Tahoma" w:cs="Tahoma"/>
                <w:color w:val="333333"/>
                <w:sz w:val="14"/>
                <w:szCs w:val="14"/>
              </w:rPr>
              <w:br/>
            </w:r>
            <w:r>
              <w:rPr>
                <w:rFonts w:ascii="Tahoma" w:eastAsia="Tahoma" w:hAnsi="Tahoma" w:cs="Tahoma"/>
                <w:b/>
                <w:color w:val="000000"/>
                <w:sz w:val="14"/>
                <w:szCs w:val="14"/>
              </w:rPr>
              <w:t>ISBN</w:t>
            </w:r>
            <w:r>
              <w:rPr>
                <w:rFonts w:ascii="Tahoma" w:eastAsia="Tahoma" w:hAnsi="Tahoma" w:cs="Tahoma"/>
                <w:color w:val="000000"/>
                <w:sz w:val="14"/>
                <w:szCs w:val="14"/>
              </w:rPr>
              <w:t xml:space="preserve"> </w:t>
            </w:r>
            <w:r>
              <w:rPr>
                <w:rFonts w:ascii="Tahoma" w:eastAsia="Tahoma" w:hAnsi="Tahoma" w:cs="Tahoma"/>
                <w:sz w:val="14"/>
                <w:szCs w:val="14"/>
              </w:rPr>
              <w:t>978-88-95608-98-3</w:t>
            </w:r>
            <w:r>
              <w:rPr>
                <w:rFonts w:ascii="Tahoma" w:eastAsia="Tahoma" w:hAnsi="Tahoma" w:cs="Tahoma"/>
                <w:color w:val="333333"/>
                <w:sz w:val="14"/>
                <w:szCs w:val="14"/>
              </w:rPr>
              <w:t xml:space="preserve">; </w:t>
            </w:r>
            <w:r>
              <w:rPr>
                <w:rFonts w:ascii="Tahoma" w:eastAsia="Tahoma" w:hAnsi="Tahoma" w:cs="Tahoma"/>
                <w:b/>
                <w:color w:val="333333"/>
                <w:sz w:val="14"/>
                <w:szCs w:val="14"/>
              </w:rPr>
              <w:t>ISSN</w:t>
            </w:r>
            <w:r>
              <w:rPr>
                <w:rFonts w:ascii="Tahoma" w:eastAsia="Tahoma" w:hAnsi="Tahoma" w:cs="Tahoma"/>
                <w:color w:val="333333"/>
                <w:sz w:val="14"/>
                <w:szCs w:val="14"/>
              </w:rPr>
              <w:t xml:space="preserve"> 2283-9216</w:t>
            </w:r>
          </w:p>
        </w:tc>
      </w:tr>
    </w:tbl>
    <w:p w14:paraId="0000000D" w14:textId="6A8C45C3" w:rsidR="001C26B0" w:rsidRDefault="00A313D2">
      <w:pPr>
        <w:pBdr>
          <w:top w:val="nil"/>
          <w:left w:val="nil"/>
          <w:bottom w:val="nil"/>
          <w:right w:val="nil"/>
          <w:between w:val="nil"/>
        </w:pBdr>
        <w:spacing w:before="480" w:after="120"/>
        <w:jc w:val="center"/>
        <w:rPr>
          <w:rFonts w:eastAsia="Arial" w:cs="Arial"/>
          <w:color w:val="000000"/>
          <w:sz w:val="32"/>
          <w:szCs w:val="32"/>
        </w:rPr>
      </w:pPr>
      <w:r>
        <w:rPr>
          <w:rFonts w:eastAsia="Arial" w:cs="Arial"/>
          <w:color w:val="000000"/>
          <w:sz w:val="32"/>
          <w:szCs w:val="32"/>
        </w:rPr>
        <w:t xml:space="preserve">Statistical </w:t>
      </w:r>
      <w:r w:rsidR="004A48FB">
        <w:rPr>
          <w:rFonts w:eastAsia="Arial" w:cs="Arial"/>
          <w:color w:val="000000"/>
          <w:sz w:val="32"/>
          <w:szCs w:val="32"/>
        </w:rPr>
        <w:t>A</w:t>
      </w:r>
      <w:r>
        <w:rPr>
          <w:rFonts w:eastAsia="Arial" w:cs="Arial"/>
          <w:color w:val="000000"/>
          <w:sz w:val="32"/>
          <w:szCs w:val="32"/>
        </w:rPr>
        <w:t xml:space="preserve">nalysis </w:t>
      </w:r>
      <w:r w:rsidR="00B62F9C">
        <w:rPr>
          <w:rFonts w:eastAsia="Arial" w:cs="Arial"/>
          <w:color w:val="000000"/>
          <w:sz w:val="32"/>
          <w:szCs w:val="32"/>
        </w:rPr>
        <w:t xml:space="preserve">in </w:t>
      </w:r>
      <w:r w:rsidR="004A48FB">
        <w:rPr>
          <w:rFonts w:eastAsia="Arial" w:cs="Arial"/>
          <w:color w:val="000000"/>
          <w:sz w:val="32"/>
          <w:szCs w:val="32"/>
        </w:rPr>
        <w:t>D</w:t>
      </w:r>
      <w:r w:rsidR="00B62F9C">
        <w:rPr>
          <w:rFonts w:eastAsia="Arial" w:cs="Arial"/>
          <w:color w:val="000000"/>
          <w:sz w:val="32"/>
          <w:szCs w:val="32"/>
        </w:rPr>
        <w:t xml:space="preserve">atabase </w:t>
      </w:r>
      <w:r w:rsidR="00B62F9C" w:rsidRPr="00B62F9C">
        <w:rPr>
          <w:rFonts w:eastAsia="Arial" w:cs="Arial"/>
          <w:color w:val="000000"/>
          <w:sz w:val="32"/>
          <w:szCs w:val="32"/>
        </w:rPr>
        <w:t xml:space="preserve">of </w:t>
      </w:r>
      <w:r w:rsidR="004A48FB">
        <w:rPr>
          <w:rFonts w:eastAsia="Arial" w:cs="Arial"/>
          <w:color w:val="000000"/>
          <w:sz w:val="32"/>
          <w:szCs w:val="32"/>
        </w:rPr>
        <w:t>O</w:t>
      </w:r>
      <w:r w:rsidR="00B62F9C" w:rsidRPr="00B62F9C">
        <w:rPr>
          <w:rFonts w:eastAsia="Arial" w:cs="Arial"/>
          <w:color w:val="000000"/>
          <w:sz w:val="32"/>
          <w:szCs w:val="32"/>
        </w:rPr>
        <w:t xml:space="preserve">ffshore </w:t>
      </w:r>
      <w:r w:rsidR="004A48FB">
        <w:rPr>
          <w:rFonts w:eastAsia="Arial" w:cs="Arial"/>
          <w:color w:val="000000"/>
          <w:sz w:val="32"/>
          <w:szCs w:val="32"/>
        </w:rPr>
        <w:t>N</w:t>
      </w:r>
      <w:r w:rsidR="00B62F9C" w:rsidRPr="00B62F9C">
        <w:rPr>
          <w:rFonts w:eastAsia="Arial" w:cs="Arial"/>
          <w:color w:val="000000"/>
          <w:sz w:val="32"/>
          <w:szCs w:val="32"/>
        </w:rPr>
        <w:t xml:space="preserve">aturally </w:t>
      </w:r>
      <w:r w:rsidR="004A48FB">
        <w:rPr>
          <w:rFonts w:eastAsia="Arial" w:cs="Arial"/>
          <w:color w:val="000000"/>
          <w:sz w:val="32"/>
          <w:szCs w:val="32"/>
        </w:rPr>
        <w:t>F</w:t>
      </w:r>
      <w:r w:rsidR="00B62F9C" w:rsidRPr="00B62F9C">
        <w:rPr>
          <w:rFonts w:eastAsia="Arial" w:cs="Arial"/>
          <w:color w:val="000000"/>
          <w:sz w:val="32"/>
          <w:szCs w:val="32"/>
        </w:rPr>
        <w:t xml:space="preserve">lowing </w:t>
      </w:r>
      <w:r w:rsidR="004A48FB">
        <w:rPr>
          <w:rFonts w:eastAsia="Arial" w:cs="Arial"/>
          <w:color w:val="000000"/>
          <w:sz w:val="32"/>
          <w:szCs w:val="32"/>
        </w:rPr>
        <w:t>W</w:t>
      </w:r>
      <w:r w:rsidR="00B62F9C" w:rsidRPr="00B62F9C">
        <w:rPr>
          <w:rFonts w:eastAsia="Arial" w:cs="Arial"/>
          <w:color w:val="000000"/>
          <w:sz w:val="32"/>
          <w:szCs w:val="32"/>
        </w:rPr>
        <w:t xml:space="preserve">ells </w:t>
      </w:r>
      <w:r w:rsidR="00195402">
        <w:rPr>
          <w:rFonts w:eastAsia="Arial" w:cs="Arial"/>
          <w:color w:val="000000"/>
          <w:sz w:val="32"/>
          <w:szCs w:val="32"/>
        </w:rPr>
        <w:t xml:space="preserve">with </w:t>
      </w:r>
      <w:r w:rsidR="004A48FB">
        <w:rPr>
          <w:rFonts w:eastAsia="Arial" w:cs="Arial"/>
          <w:color w:val="000000"/>
          <w:sz w:val="32"/>
          <w:szCs w:val="32"/>
        </w:rPr>
        <w:t>A</w:t>
      </w:r>
      <w:r w:rsidR="00DE21A8">
        <w:rPr>
          <w:rFonts w:eastAsia="Arial" w:cs="Arial"/>
          <w:color w:val="000000"/>
          <w:sz w:val="32"/>
          <w:szCs w:val="32"/>
        </w:rPr>
        <w:t>bnormal</w:t>
      </w:r>
      <w:r w:rsidR="00195402">
        <w:rPr>
          <w:rFonts w:eastAsia="Arial" w:cs="Arial"/>
          <w:color w:val="000000"/>
          <w:sz w:val="32"/>
          <w:szCs w:val="32"/>
        </w:rPr>
        <w:t xml:space="preserve"> </w:t>
      </w:r>
      <w:r w:rsidR="004A48FB">
        <w:rPr>
          <w:rFonts w:eastAsia="Arial" w:cs="Arial"/>
          <w:color w:val="000000"/>
          <w:sz w:val="32"/>
          <w:szCs w:val="32"/>
        </w:rPr>
        <w:t>E</w:t>
      </w:r>
      <w:r w:rsidR="00195402">
        <w:rPr>
          <w:rFonts w:eastAsia="Arial" w:cs="Arial"/>
          <w:color w:val="000000"/>
          <w:sz w:val="32"/>
          <w:szCs w:val="32"/>
        </w:rPr>
        <w:t>vents</w:t>
      </w:r>
    </w:p>
    <w:p w14:paraId="0000000E" w14:textId="342F69AF" w:rsidR="001C26B0" w:rsidRPr="00125BC2" w:rsidRDefault="00000000">
      <w:pPr>
        <w:keepNext/>
        <w:pBdr>
          <w:top w:val="nil"/>
          <w:left w:val="nil"/>
          <w:bottom w:val="nil"/>
          <w:right w:val="nil"/>
          <w:between w:val="nil"/>
        </w:pBdr>
        <w:spacing w:after="120"/>
        <w:rPr>
          <w:rFonts w:eastAsia="Arial" w:cs="Arial"/>
          <w:color w:val="000000"/>
          <w:sz w:val="24"/>
          <w:szCs w:val="24"/>
          <w:lang w:val="pt-BR"/>
        </w:rPr>
      </w:pPr>
      <w:r w:rsidRPr="00125BC2">
        <w:rPr>
          <w:rFonts w:eastAsia="Arial" w:cs="Arial"/>
          <w:color w:val="000000"/>
          <w:sz w:val="24"/>
          <w:szCs w:val="24"/>
          <w:lang w:val="pt-BR"/>
        </w:rPr>
        <w:t xml:space="preserve">Raul M. F. U. </w:t>
      </w:r>
      <w:proofErr w:type="spellStart"/>
      <w:r w:rsidRPr="00125BC2">
        <w:rPr>
          <w:rFonts w:eastAsia="Arial" w:cs="Arial"/>
          <w:color w:val="000000"/>
          <w:sz w:val="24"/>
          <w:szCs w:val="24"/>
          <w:lang w:val="pt-BR"/>
        </w:rPr>
        <w:t>Foronda</w:t>
      </w:r>
      <w:r w:rsidR="00DD656C" w:rsidRPr="00DD656C">
        <w:rPr>
          <w:rFonts w:eastAsia="Arial" w:cs="Arial"/>
          <w:color w:val="000000"/>
          <w:sz w:val="24"/>
          <w:szCs w:val="24"/>
          <w:vertAlign w:val="superscript"/>
          <w:lang w:val="pt-BR"/>
        </w:rPr>
        <w:t>a</w:t>
      </w:r>
      <w:proofErr w:type="spellEnd"/>
      <w:r w:rsidRPr="00125BC2">
        <w:rPr>
          <w:rFonts w:eastAsia="Arial" w:cs="Arial"/>
          <w:color w:val="000000"/>
          <w:sz w:val="24"/>
          <w:szCs w:val="24"/>
          <w:lang w:val="pt-BR"/>
        </w:rPr>
        <w:t xml:space="preserve">, </w:t>
      </w:r>
      <w:r w:rsidR="00C43575" w:rsidRPr="00C43575">
        <w:rPr>
          <w:rFonts w:eastAsia="Arial" w:cs="Arial"/>
          <w:color w:val="000000"/>
          <w:sz w:val="24"/>
          <w:szCs w:val="24"/>
          <w:lang w:val="pt-BR"/>
        </w:rPr>
        <w:t xml:space="preserve">Victoria M. </w:t>
      </w:r>
      <w:proofErr w:type="spellStart"/>
      <w:r w:rsidR="00C43575" w:rsidRPr="00C43575">
        <w:rPr>
          <w:rFonts w:eastAsia="Arial" w:cs="Arial"/>
          <w:color w:val="000000"/>
          <w:sz w:val="24"/>
          <w:szCs w:val="24"/>
          <w:lang w:val="pt-BR"/>
        </w:rPr>
        <w:t>Fracassio</w:t>
      </w:r>
      <w:r w:rsidR="00DD656C" w:rsidRPr="00DD656C">
        <w:rPr>
          <w:rFonts w:eastAsia="Arial" w:cs="Arial"/>
          <w:color w:val="000000"/>
          <w:sz w:val="24"/>
          <w:szCs w:val="24"/>
          <w:vertAlign w:val="superscript"/>
          <w:lang w:val="pt-BR"/>
        </w:rPr>
        <w:t>a</w:t>
      </w:r>
      <w:proofErr w:type="spellEnd"/>
      <w:r w:rsidRPr="00125BC2">
        <w:rPr>
          <w:rFonts w:eastAsia="Arial" w:cs="Arial"/>
          <w:color w:val="000000"/>
          <w:sz w:val="24"/>
          <w:szCs w:val="24"/>
          <w:lang w:val="pt-BR"/>
        </w:rPr>
        <w:t xml:space="preserve">, Rejane B. </w:t>
      </w:r>
      <w:proofErr w:type="spellStart"/>
      <w:proofErr w:type="gramStart"/>
      <w:r w:rsidRPr="00125BC2">
        <w:rPr>
          <w:rFonts w:eastAsia="Arial" w:cs="Arial"/>
          <w:color w:val="000000"/>
          <w:sz w:val="24"/>
          <w:szCs w:val="24"/>
          <w:lang w:val="pt-BR"/>
        </w:rPr>
        <w:t>Santos</w:t>
      </w:r>
      <w:r w:rsidR="00DD656C" w:rsidRPr="00DD656C">
        <w:rPr>
          <w:rFonts w:eastAsia="Arial" w:cs="Arial"/>
          <w:color w:val="000000"/>
          <w:sz w:val="24"/>
          <w:szCs w:val="24"/>
          <w:vertAlign w:val="superscript"/>
          <w:lang w:val="pt-BR"/>
        </w:rPr>
        <w:t>a,b</w:t>
      </w:r>
      <w:proofErr w:type="spellEnd"/>
      <w:proofErr w:type="gramEnd"/>
      <w:r w:rsidRPr="00125BC2">
        <w:rPr>
          <w:rFonts w:eastAsia="Arial" w:cs="Arial"/>
          <w:color w:val="000000"/>
          <w:sz w:val="24"/>
          <w:szCs w:val="24"/>
          <w:lang w:val="pt-BR"/>
        </w:rPr>
        <w:t xml:space="preserve">, Brunno F. dos </w:t>
      </w:r>
      <w:proofErr w:type="spellStart"/>
      <w:r w:rsidRPr="00125BC2">
        <w:rPr>
          <w:rFonts w:eastAsia="Arial" w:cs="Arial"/>
          <w:color w:val="000000"/>
          <w:sz w:val="24"/>
          <w:szCs w:val="24"/>
          <w:lang w:val="pt-BR"/>
        </w:rPr>
        <w:t>Santos</w:t>
      </w:r>
      <w:r w:rsidR="00DD656C" w:rsidRPr="00DD656C">
        <w:rPr>
          <w:rFonts w:eastAsia="Arial" w:cs="Arial"/>
          <w:color w:val="000000"/>
          <w:sz w:val="24"/>
          <w:szCs w:val="24"/>
          <w:vertAlign w:val="superscript"/>
          <w:lang w:val="pt-BR"/>
        </w:rPr>
        <w:t>a</w:t>
      </w:r>
      <w:proofErr w:type="spellEnd"/>
      <w:r w:rsidR="00DD656C" w:rsidRPr="00DD656C">
        <w:rPr>
          <w:rFonts w:eastAsia="Arial" w:cs="Arial"/>
          <w:color w:val="000000"/>
          <w:sz w:val="24"/>
          <w:szCs w:val="24"/>
          <w:vertAlign w:val="superscript"/>
          <w:lang w:val="pt-BR"/>
        </w:rPr>
        <w:t>,</w:t>
      </w:r>
      <w:r w:rsidRPr="00125BC2">
        <w:rPr>
          <w:rFonts w:eastAsia="Arial" w:cs="Arial"/>
          <w:color w:val="000000"/>
          <w:sz w:val="24"/>
          <w:szCs w:val="24"/>
          <w:lang w:val="pt-BR"/>
        </w:rPr>
        <w:t>*</w:t>
      </w:r>
    </w:p>
    <w:p w14:paraId="0000000F" w14:textId="16CAC194" w:rsidR="001C26B0" w:rsidRDefault="00DD656C">
      <w:pPr>
        <w:keepNext/>
        <w:pBdr>
          <w:top w:val="nil"/>
          <w:left w:val="nil"/>
          <w:bottom w:val="nil"/>
          <w:right w:val="nil"/>
          <w:between w:val="nil"/>
        </w:pBdr>
        <w:spacing w:line="276" w:lineRule="auto"/>
        <w:jc w:val="left"/>
        <w:rPr>
          <w:rFonts w:eastAsia="Arial" w:cs="Arial"/>
          <w:color w:val="000000"/>
          <w:sz w:val="16"/>
          <w:szCs w:val="16"/>
          <w:lang w:val="pt-BR"/>
        </w:rPr>
      </w:pPr>
      <w:proofErr w:type="spellStart"/>
      <w:r w:rsidRPr="00DD656C">
        <w:rPr>
          <w:rFonts w:eastAsia="Arial" w:cs="Arial"/>
          <w:color w:val="000000"/>
          <w:sz w:val="16"/>
          <w:szCs w:val="16"/>
          <w:vertAlign w:val="superscript"/>
        </w:rPr>
        <w:t>a</w:t>
      </w:r>
      <w:r>
        <w:rPr>
          <w:rFonts w:eastAsia="Arial" w:cs="Arial"/>
          <w:color w:val="000000"/>
          <w:sz w:val="16"/>
          <w:szCs w:val="16"/>
        </w:rPr>
        <w:t>Department</w:t>
      </w:r>
      <w:proofErr w:type="spellEnd"/>
      <w:r>
        <w:rPr>
          <w:rFonts w:eastAsia="Arial" w:cs="Arial"/>
          <w:color w:val="000000"/>
          <w:sz w:val="16"/>
          <w:szCs w:val="16"/>
        </w:rPr>
        <w:t xml:space="preserve"> of Chemical and Materials Engineering (DEQM), Pontifical Catholic University of Rio de Janeiro (PUC-Rio). </w:t>
      </w:r>
      <w:r w:rsidRPr="00125BC2">
        <w:rPr>
          <w:rFonts w:eastAsia="Arial" w:cs="Arial"/>
          <w:color w:val="000000"/>
          <w:sz w:val="16"/>
          <w:szCs w:val="16"/>
          <w:lang w:val="pt-BR"/>
        </w:rPr>
        <w:t xml:space="preserve">Rua Marquês de São Vicente, 225 – Gávea, Rio de Janeiro – RJ, </w:t>
      </w:r>
      <w:r w:rsidR="004D41E4" w:rsidRPr="004D41E4">
        <w:rPr>
          <w:rFonts w:eastAsia="Arial" w:cs="Arial"/>
          <w:color w:val="000000"/>
          <w:sz w:val="16"/>
          <w:szCs w:val="16"/>
          <w:lang w:val="pt-BR"/>
        </w:rPr>
        <w:t>22453-900</w:t>
      </w:r>
      <w:r w:rsidRPr="00125BC2">
        <w:rPr>
          <w:rFonts w:eastAsia="Arial" w:cs="Arial"/>
          <w:color w:val="000000"/>
          <w:sz w:val="16"/>
          <w:szCs w:val="16"/>
          <w:lang w:val="pt-BR"/>
        </w:rPr>
        <w:t>, Brazil.</w:t>
      </w:r>
    </w:p>
    <w:p w14:paraId="7B710522" w14:textId="4EA23174" w:rsidR="00DD656C" w:rsidRPr="00125BC2" w:rsidRDefault="00DD656C">
      <w:pPr>
        <w:keepNext/>
        <w:pBdr>
          <w:top w:val="nil"/>
          <w:left w:val="nil"/>
          <w:bottom w:val="nil"/>
          <w:right w:val="nil"/>
          <w:between w:val="nil"/>
        </w:pBdr>
        <w:spacing w:line="276" w:lineRule="auto"/>
        <w:jc w:val="left"/>
        <w:rPr>
          <w:rFonts w:eastAsia="Arial" w:cs="Arial"/>
          <w:color w:val="000000"/>
          <w:sz w:val="16"/>
          <w:szCs w:val="16"/>
          <w:lang w:val="pt-BR"/>
        </w:rPr>
      </w:pPr>
      <w:proofErr w:type="spellStart"/>
      <w:r w:rsidRPr="00DD656C">
        <w:rPr>
          <w:rFonts w:eastAsia="Arial" w:cs="Arial"/>
          <w:color w:val="000000"/>
          <w:sz w:val="16"/>
          <w:szCs w:val="16"/>
          <w:vertAlign w:val="superscript"/>
          <w:lang w:val="pt-BR"/>
        </w:rPr>
        <w:t>b</w:t>
      </w:r>
      <w:r w:rsidRPr="00DD656C">
        <w:rPr>
          <w:rFonts w:eastAsia="Arial" w:cs="Arial"/>
          <w:color w:val="000000"/>
          <w:sz w:val="16"/>
          <w:szCs w:val="16"/>
          <w:lang w:val="pt-BR"/>
        </w:rPr>
        <w:t>Federal</w:t>
      </w:r>
      <w:proofErr w:type="spellEnd"/>
      <w:r w:rsidRPr="00DD656C">
        <w:rPr>
          <w:rFonts w:eastAsia="Arial" w:cs="Arial"/>
          <w:color w:val="000000"/>
          <w:sz w:val="16"/>
          <w:szCs w:val="16"/>
          <w:lang w:val="pt-BR"/>
        </w:rPr>
        <w:t xml:space="preserve"> </w:t>
      </w:r>
      <w:proofErr w:type="spellStart"/>
      <w:r w:rsidRPr="00DD656C">
        <w:rPr>
          <w:rFonts w:eastAsia="Arial" w:cs="Arial"/>
          <w:color w:val="000000"/>
          <w:sz w:val="16"/>
          <w:szCs w:val="16"/>
          <w:lang w:val="pt-BR"/>
        </w:rPr>
        <w:t>Institute</w:t>
      </w:r>
      <w:proofErr w:type="spellEnd"/>
      <w:r w:rsidRPr="00DD656C">
        <w:rPr>
          <w:rFonts w:eastAsia="Arial" w:cs="Arial"/>
          <w:color w:val="000000"/>
          <w:sz w:val="16"/>
          <w:szCs w:val="16"/>
          <w:lang w:val="pt-BR"/>
        </w:rPr>
        <w:t xml:space="preserve"> </w:t>
      </w:r>
      <w:proofErr w:type="spellStart"/>
      <w:r w:rsidRPr="00DD656C">
        <w:rPr>
          <w:rFonts w:eastAsia="Arial" w:cs="Arial"/>
          <w:color w:val="000000"/>
          <w:sz w:val="16"/>
          <w:szCs w:val="16"/>
          <w:lang w:val="pt-BR"/>
        </w:rPr>
        <w:t>of</w:t>
      </w:r>
      <w:proofErr w:type="spellEnd"/>
      <w:r w:rsidRPr="00DD656C">
        <w:rPr>
          <w:rFonts w:eastAsia="Arial" w:cs="Arial"/>
          <w:color w:val="000000"/>
          <w:sz w:val="16"/>
          <w:szCs w:val="16"/>
          <w:lang w:val="pt-BR"/>
        </w:rPr>
        <w:t xml:space="preserve"> Sul de Minas Gerais (IFSULDEMINAS), Av. Maria da Conceição Santos, 900 - Parque Real, Pouso Alegre - MG, 37550-000, Brazil.</w:t>
      </w:r>
    </w:p>
    <w:p w14:paraId="00000010" w14:textId="0999B647" w:rsidR="001C26B0" w:rsidRDefault="00C43575">
      <w:pPr>
        <w:keepNext/>
        <w:pBdr>
          <w:top w:val="nil"/>
          <w:left w:val="nil"/>
          <w:bottom w:val="nil"/>
          <w:right w:val="nil"/>
          <w:between w:val="nil"/>
        </w:pBdr>
        <w:spacing w:line="276" w:lineRule="auto"/>
        <w:jc w:val="left"/>
        <w:rPr>
          <w:rFonts w:eastAsia="Arial" w:cs="Arial"/>
          <w:color w:val="000000"/>
          <w:sz w:val="16"/>
          <w:szCs w:val="16"/>
        </w:rPr>
      </w:pPr>
      <w:r>
        <w:rPr>
          <w:rFonts w:eastAsia="Arial" w:cs="Arial"/>
          <w:color w:val="000000"/>
          <w:sz w:val="16"/>
          <w:szCs w:val="16"/>
        </w:rPr>
        <w:t>*bsantos@puc-rio.br</w:t>
      </w:r>
    </w:p>
    <w:p w14:paraId="00000011" w14:textId="77777777" w:rsidR="001C26B0" w:rsidRDefault="001C26B0">
      <w:pPr>
        <w:pBdr>
          <w:top w:val="nil"/>
          <w:left w:val="nil"/>
          <w:bottom w:val="nil"/>
          <w:right w:val="nil"/>
          <w:between w:val="nil"/>
        </w:pBdr>
        <w:rPr>
          <w:rFonts w:eastAsia="Arial" w:cs="Arial"/>
          <w:color w:val="000000"/>
          <w:szCs w:val="18"/>
        </w:rPr>
      </w:pPr>
    </w:p>
    <w:p w14:paraId="3C9434EF" w14:textId="018003F1" w:rsidR="009E5E11" w:rsidRDefault="00111110" w:rsidP="009E5E11">
      <w:pPr>
        <w:pBdr>
          <w:top w:val="nil"/>
          <w:left w:val="nil"/>
          <w:bottom w:val="nil"/>
          <w:right w:val="nil"/>
          <w:between w:val="nil"/>
        </w:pBdr>
      </w:pPr>
      <w:r>
        <w:rPr>
          <w:rFonts w:cs="Arial"/>
          <w:color w:val="000000"/>
          <w:szCs w:val="18"/>
        </w:rPr>
        <w:t xml:space="preserve">The development of statistical analysis in the oil and gas industry database represents the importance of seeking improvements in safety and preventing undesirable events. For accident prevention, which may cause damage to the environment and financial losses, fault detection is essential. Modern techniques on the data-driven, such as data analysis and artificial intelligence are currently considered the best options for this purpose. Regardless of advances in techniques for database manipulation, scientists spend an amount of time working on data quality improvement. Thus, the high dimensionality of data introduces computational and statistical challenges such as acquisition, treatment, </w:t>
      </w:r>
      <w:proofErr w:type="gramStart"/>
      <w:r>
        <w:rPr>
          <w:rFonts w:cs="Arial"/>
          <w:color w:val="000000"/>
          <w:szCs w:val="18"/>
        </w:rPr>
        <w:t>processing</w:t>
      </w:r>
      <w:proofErr w:type="gramEnd"/>
      <w:r>
        <w:rPr>
          <w:rFonts w:cs="Arial"/>
          <w:color w:val="000000"/>
          <w:szCs w:val="18"/>
        </w:rPr>
        <w:t xml:space="preserve"> and interpretation of data. In this paper, we used the 3W public dataset published by Vargas et al. (2019), provided by </w:t>
      </w:r>
      <w:proofErr w:type="spellStart"/>
      <w:r>
        <w:rPr>
          <w:rFonts w:cs="Arial"/>
          <w:color w:val="000000"/>
          <w:szCs w:val="18"/>
        </w:rPr>
        <w:t>Petróleo</w:t>
      </w:r>
      <w:proofErr w:type="spellEnd"/>
      <w:r>
        <w:rPr>
          <w:rFonts w:cs="Arial"/>
          <w:color w:val="000000"/>
          <w:szCs w:val="18"/>
        </w:rPr>
        <w:t xml:space="preserve"> </w:t>
      </w:r>
      <w:proofErr w:type="spellStart"/>
      <w:r>
        <w:rPr>
          <w:rFonts w:cs="Arial"/>
          <w:color w:val="000000"/>
          <w:szCs w:val="18"/>
        </w:rPr>
        <w:t>Brasileiro</w:t>
      </w:r>
      <w:proofErr w:type="spellEnd"/>
      <w:r>
        <w:rPr>
          <w:rFonts w:cs="Arial"/>
          <w:color w:val="000000"/>
          <w:szCs w:val="18"/>
        </w:rPr>
        <w:t xml:space="preserve"> S.A. (Petrobras), which contains 8 variables such as pressure, </w:t>
      </w:r>
      <w:proofErr w:type="gramStart"/>
      <w:r>
        <w:rPr>
          <w:rFonts w:cs="Arial"/>
          <w:color w:val="000000"/>
          <w:szCs w:val="18"/>
        </w:rPr>
        <w:t>temperature</w:t>
      </w:r>
      <w:proofErr w:type="gramEnd"/>
      <w:r>
        <w:rPr>
          <w:rFonts w:cs="Arial"/>
          <w:color w:val="000000"/>
          <w:szCs w:val="18"/>
        </w:rPr>
        <w:t xml:space="preserve"> and flow rate in the process of offshore natural flow wells. The database was evaluated by data exploration and transformation that enables statistical analysis. The relationship between the variables was verified using histograms, Spearman's </w:t>
      </w:r>
      <w:proofErr w:type="gramStart"/>
      <w:r>
        <w:rPr>
          <w:rFonts w:cs="Arial"/>
          <w:color w:val="000000"/>
          <w:szCs w:val="18"/>
        </w:rPr>
        <w:t>correlation</w:t>
      </w:r>
      <w:proofErr w:type="gramEnd"/>
      <w:r>
        <w:rPr>
          <w:rFonts w:cs="Arial"/>
          <w:color w:val="000000"/>
          <w:szCs w:val="18"/>
        </w:rPr>
        <w:t xml:space="preserve"> and Principal Component Analysis (PCA). The results showed that at least one variable should be </w:t>
      </w:r>
      <w:proofErr w:type="gramStart"/>
      <w:r>
        <w:rPr>
          <w:rFonts w:cs="Arial"/>
          <w:color w:val="000000"/>
          <w:szCs w:val="18"/>
        </w:rPr>
        <w:t>removed</w:t>
      </w:r>
      <w:proofErr w:type="gramEnd"/>
      <w:r>
        <w:rPr>
          <w:rFonts w:cs="Arial"/>
          <w:color w:val="000000"/>
          <w:szCs w:val="18"/>
        </w:rPr>
        <w:t xml:space="preserve"> and others should be filled in order to complete the database. The analysis, also, revealed that the variables do not follow a normal distribution, and the variables importance rank. Thereby, it was possible to reach a database with useful format.</w:t>
      </w:r>
    </w:p>
    <w:p w14:paraId="0BE79F73" w14:textId="77777777" w:rsidR="00111110" w:rsidRPr="00D47004" w:rsidRDefault="00111110" w:rsidP="009E5E11">
      <w:pPr>
        <w:pBdr>
          <w:top w:val="nil"/>
          <w:left w:val="nil"/>
          <w:bottom w:val="nil"/>
          <w:right w:val="nil"/>
          <w:between w:val="nil"/>
        </w:pBdr>
        <w:rPr>
          <w:rFonts w:eastAsia="Arial" w:cs="Arial"/>
          <w:szCs w:val="18"/>
        </w:rPr>
      </w:pPr>
    </w:p>
    <w:p w14:paraId="0000001D" w14:textId="6AD34C37" w:rsidR="001C26B0" w:rsidRPr="00067E33" w:rsidRDefault="00000000" w:rsidP="00067E33">
      <w:pPr>
        <w:pStyle w:val="PargrafodaLista"/>
        <w:keepNext/>
        <w:numPr>
          <w:ilvl w:val="0"/>
          <w:numId w:val="15"/>
        </w:numPr>
        <w:pBdr>
          <w:top w:val="nil"/>
          <w:left w:val="nil"/>
          <w:bottom w:val="nil"/>
          <w:right w:val="nil"/>
          <w:between w:val="nil"/>
        </w:pBdr>
        <w:spacing w:before="240" w:after="120" w:line="240" w:lineRule="auto"/>
        <w:jc w:val="left"/>
        <w:rPr>
          <w:rFonts w:eastAsia="Arial" w:cs="Arial"/>
          <w:b/>
          <w:color w:val="000000"/>
          <w:sz w:val="20"/>
        </w:rPr>
      </w:pPr>
      <w:r w:rsidRPr="00067E33">
        <w:rPr>
          <w:rFonts w:eastAsia="Arial" w:cs="Arial"/>
          <w:b/>
          <w:color w:val="000000"/>
          <w:sz w:val="20"/>
        </w:rPr>
        <w:t>Introduction</w:t>
      </w:r>
    </w:p>
    <w:p w14:paraId="0000001F" w14:textId="0B41567F" w:rsidR="001C26B0" w:rsidRDefault="00F1291E">
      <w:pPr>
        <w:pBdr>
          <w:top w:val="nil"/>
          <w:left w:val="nil"/>
          <w:bottom w:val="nil"/>
          <w:right w:val="nil"/>
          <w:between w:val="nil"/>
        </w:pBdr>
        <w:rPr>
          <w:rFonts w:eastAsia="Arial" w:cs="Arial"/>
          <w:color w:val="000000"/>
          <w:szCs w:val="18"/>
        </w:rPr>
      </w:pPr>
      <w:r>
        <w:rPr>
          <w:rFonts w:eastAsia="Arial" w:cs="Arial"/>
          <w:color w:val="000000"/>
          <w:szCs w:val="18"/>
        </w:rPr>
        <w:t>The production of oil and gas</w:t>
      </w:r>
      <w:r w:rsidR="00EA11D8">
        <w:rPr>
          <w:rFonts w:eastAsia="Arial" w:cs="Arial"/>
          <w:color w:val="000000"/>
          <w:szCs w:val="18"/>
        </w:rPr>
        <w:t xml:space="preserve"> (O&amp;G)</w:t>
      </w:r>
      <w:r>
        <w:rPr>
          <w:rFonts w:eastAsia="Arial" w:cs="Arial"/>
          <w:color w:val="000000"/>
          <w:szCs w:val="18"/>
        </w:rPr>
        <w:t xml:space="preserve"> concerns chemical and mechanical process that affect well drilling and operation.</w:t>
      </w:r>
      <w:r w:rsidR="00EA11D8">
        <w:rPr>
          <w:rFonts w:eastAsia="Arial" w:cs="Arial"/>
          <w:color w:val="000000"/>
          <w:szCs w:val="18"/>
        </w:rPr>
        <w:t xml:space="preserve"> </w:t>
      </w:r>
      <w:r>
        <w:rPr>
          <w:rFonts w:eastAsia="Arial" w:cs="Arial"/>
          <w:color w:val="000000"/>
          <w:szCs w:val="18"/>
        </w:rPr>
        <w:t>It</w:t>
      </w:r>
      <w:r w:rsidR="00EA11D8">
        <w:rPr>
          <w:rFonts w:eastAsia="Arial" w:cs="Arial"/>
          <w:color w:val="000000"/>
          <w:szCs w:val="18"/>
        </w:rPr>
        <w:t xml:space="preserve"> is</w:t>
      </w:r>
      <w:r>
        <w:rPr>
          <w:rFonts w:eastAsia="Arial" w:cs="Arial"/>
          <w:color w:val="000000"/>
          <w:szCs w:val="18"/>
        </w:rPr>
        <w:t xml:space="preserve"> of common knowledge that studying </w:t>
      </w:r>
      <w:r w:rsidR="00EA11D8" w:rsidRPr="00EA11D8">
        <w:rPr>
          <w:rFonts w:eastAsia="Arial" w:cs="Arial"/>
          <w:color w:val="000000"/>
          <w:szCs w:val="18"/>
        </w:rPr>
        <w:t>the prevention of undesirable events (system failures) can avoid economic and human losses in modern engineering</w:t>
      </w:r>
      <w:r>
        <w:rPr>
          <w:rFonts w:eastAsia="Arial" w:cs="Arial"/>
          <w:color w:val="000000"/>
          <w:szCs w:val="18"/>
        </w:rPr>
        <w:t xml:space="preserve">. From 1970 to 2016, there have been recorded more than 1,000 severe accidents </w:t>
      </w:r>
      <w:r>
        <w:t>in the</w:t>
      </w:r>
      <w:r>
        <w:rPr>
          <w:rFonts w:eastAsia="Arial" w:cs="Arial"/>
          <w:color w:val="000000"/>
          <w:szCs w:val="18"/>
        </w:rPr>
        <w:t xml:space="preserve"> </w:t>
      </w:r>
      <w:r w:rsidR="00EA11D8">
        <w:rPr>
          <w:rFonts w:eastAsia="Arial" w:cs="Arial"/>
          <w:color w:val="000000"/>
          <w:szCs w:val="18"/>
        </w:rPr>
        <w:t>O</w:t>
      </w:r>
      <w:r>
        <w:rPr>
          <w:rFonts w:eastAsia="Arial" w:cs="Arial"/>
          <w:color w:val="000000"/>
          <w:szCs w:val="18"/>
        </w:rPr>
        <w:t>&amp;</w:t>
      </w:r>
      <w:r w:rsidR="00EA11D8">
        <w:rPr>
          <w:rFonts w:eastAsia="Arial" w:cs="Arial"/>
          <w:color w:val="000000"/>
          <w:szCs w:val="18"/>
        </w:rPr>
        <w:t>G</w:t>
      </w:r>
      <w:r>
        <w:rPr>
          <w:rFonts w:eastAsia="Arial" w:cs="Arial"/>
          <w:color w:val="000000"/>
          <w:szCs w:val="18"/>
        </w:rPr>
        <w:t xml:space="preserve"> industry, which leads to uncountable casualties in addition to serious damage </w:t>
      </w:r>
      <w:r w:rsidR="007641BA">
        <w:rPr>
          <w:rFonts w:eastAsia="Arial" w:cs="Arial"/>
          <w:color w:val="000000"/>
          <w:szCs w:val="18"/>
        </w:rPr>
        <w:t>(</w:t>
      </w:r>
      <w:proofErr w:type="spellStart"/>
      <w:r w:rsidR="007641BA">
        <w:rPr>
          <w:rFonts w:eastAsia="Arial" w:cs="Arial"/>
          <w:color w:val="000000"/>
          <w:szCs w:val="18"/>
        </w:rPr>
        <w:t>Mignan</w:t>
      </w:r>
      <w:proofErr w:type="spellEnd"/>
      <w:r w:rsidR="007641BA">
        <w:rPr>
          <w:rFonts w:eastAsia="Arial" w:cs="Arial"/>
          <w:color w:val="000000"/>
          <w:szCs w:val="18"/>
        </w:rPr>
        <w:t xml:space="preserve"> at al. 2022)</w:t>
      </w:r>
      <w:r>
        <w:rPr>
          <w:rFonts w:eastAsia="Arial" w:cs="Arial"/>
          <w:color w:val="000000"/>
          <w:szCs w:val="18"/>
        </w:rPr>
        <w:t xml:space="preserve">. Modern technologies such as artificial intelligence (AI), along with cloud computing and data analysis, are currently considered the best shot to perform fault detection and process optimization </w:t>
      </w:r>
      <w:r w:rsidR="00C66F5A">
        <w:rPr>
          <w:rFonts w:eastAsia="Arial" w:cs="Arial"/>
          <w:color w:val="000000"/>
          <w:szCs w:val="18"/>
        </w:rPr>
        <w:t>(</w:t>
      </w:r>
      <w:proofErr w:type="spellStart"/>
      <w:r w:rsidR="00C66F5A">
        <w:rPr>
          <w:rFonts w:eastAsia="Arial" w:cs="Arial"/>
          <w:color w:val="000000"/>
          <w:szCs w:val="18"/>
        </w:rPr>
        <w:t>Marins</w:t>
      </w:r>
      <w:proofErr w:type="spellEnd"/>
      <w:r w:rsidR="00C66F5A">
        <w:rPr>
          <w:rFonts w:eastAsia="Arial" w:cs="Arial"/>
          <w:color w:val="000000"/>
          <w:szCs w:val="18"/>
        </w:rPr>
        <w:t xml:space="preserve"> </w:t>
      </w:r>
      <w:r w:rsidR="0042624E">
        <w:rPr>
          <w:rFonts w:eastAsia="Arial" w:cs="Arial"/>
          <w:color w:val="000000"/>
          <w:szCs w:val="18"/>
        </w:rPr>
        <w:t>et al. (</w:t>
      </w:r>
      <w:r w:rsidR="00C66F5A">
        <w:rPr>
          <w:rFonts w:eastAsia="Arial" w:cs="Arial"/>
          <w:color w:val="000000"/>
          <w:szCs w:val="18"/>
        </w:rPr>
        <w:t xml:space="preserve">2021), </w:t>
      </w:r>
      <w:r w:rsidR="0042624E">
        <w:rPr>
          <w:rFonts w:eastAsia="Arial" w:cs="Arial"/>
          <w:color w:val="000000"/>
          <w:szCs w:val="18"/>
        </w:rPr>
        <w:t xml:space="preserve">Sircar et al. (2021), </w:t>
      </w:r>
      <w:proofErr w:type="spellStart"/>
      <w:r w:rsidR="0042624E" w:rsidRPr="00E327F9">
        <w:rPr>
          <w:lang w:eastAsia="en-US"/>
        </w:rPr>
        <w:t>Verheyleweghen</w:t>
      </w:r>
      <w:proofErr w:type="spellEnd"/>
      <w:r w:rsidR="0042624E">
        <w:rPr>
          <w:lang w:eastAsia="en-US"/>
        </w:rPr>
        <w:t xml:space="preserve"> and</w:t>
      </w:r>
      <w:r w:rsidR="0042624E" w:rsidRPr="00E327F9">
        <w:rPr>
          <w:lang w:eastAsia="en-US"/>
        </w:rPr>
        <w:t xml:space="preserve"> </w:t>
      </w:r>
      <w:proofErr w:type="spellStart"/>
      <w:r w:rsidR="0042624E" w:rsidRPr="00E327F9">
        <w:rPr>
          <w:lang w:eastAsia="en-US"/>
        </w:rPr>
        <w:t>Jäschke</w:t>
      </w:r>
      <w:proofErr w:type="spellEnd"/>
      <w:r w:rsidR="0042624E">
        <w:rPr>
          <w:rFonts w:eastAsia="Arial" w:cs="Arial"/>
          <w:color w:val="000000"/>
          <w:szCs w:val="18"/>
        </w:rPr>
        <w:t xml:space="preserve"> (2018), </w:t>
      </w:r>
      <w:proofErr w:type="spellStart"/>
      <w:r w:rsidR="0042624E" w:rsidRPr="00E327F9">
        <w:rPr>
          <w:lang w:eastAsia="en-US"/>
        </w:rPr>
        <w:t>Dhaif</w:t>
      </w:r>
      <w:proofErr w:type="spellEnd"/>
      <w:r w:rsidR="0042624E">
        <w:rPr>
          <w:lang w:eastAsia="en-US"/>
        </w:rPr>
        <w:t xml:space="preserve"> et al. (2021)</w:t>
      </w:r>
      <w:r w:rsidR="00C66F5A">
        <w:rPr>
          <w:rFonts w:eastAsia="Arial" w:cs="Arial"/>
          <w:color w:val="000000"/>
          <w:szCs w:val="18"/>
        </w:rPr>
        <w:t>)</w:t>
      </w:r>
      <w:r>
        <w:rPr>
          <w:rFonts w:eastAsia="Arial" w:cs="Arial"/>
          <w:color w:val="000000"/>
          <w:szCs w:val="18"/>
        </w:rPr>
        <w:t>.</w:t>
      </w:r>
      <w:r w:rsidR="00EB6372">
        <w:rPr>
          <w:rFonts w:eastAsia="Arial" w:cs="Arial"/>
          <w:color w:val="000000"/>
          <w:szCs w:val="18"/>
        </w:rPr>
        <w:t xml:space="preserve"> </w:t>
      </w:r>
      <w:r>
        <w:rPr>
          <w:rFonts w:eastAsia="Arial" w:cs="Arial"/>
          <w:color w:val="000000"/>
          <w:szCs w:val="18"/>
        </w:rPr>
        <w:t>Machine Learning (ML) has gained considerable space into chemical engineering over the past decade, given the recent digital transformation that allowed the usage for newer technologies, cheapening the employment of modern frameworks to perform large resolutions with simple computational languages (e.g., scikit-learn for python)</w:t>
      </w:r>
      <w:r w:rsidR="0042624E">
        <w:rPr>
          <w:rFonts w:eastAsia="Arial" w:cs="Arial"/>
          <w:color w:val="000000"/>
          <w:szCs w:val="18"/>
        </w:rPr>
        <w:t xml:space="preserve"> (Sircar et al. (2021), </w:t>
      </w:r>
      <w:proofErr w:type="spellStart"/>
      <w:r w:rsidR="00CF2A89" w:rsidRPr="00E327F9">
        <w:rPr>
          <w:lang w:eastAsia="en-US"/>
        </w:rPr>
        <w:t>Schweidtmann</w:t>
      </w:r>
      <w:proofErr w:type="spellEnd"/>
      <w:r w:rsidR="00CF2A89">
        <w:rPr>
          <w:lang w:eastAsia="en-US"/>
        </w:rPr>
        <w:t xml:space="preserve"> et al. (2021)</w:t>
      </w:r>
      <w:r w:rsidR="0042624E">
        <w:rPr>
          <w:rFonts w:eastAsia="Arial" w:cs="Arial"/>
          <w:color w:val="000000"/>
          <w:szCs w:val="18"/>
        </w:rPr>
        <w:t>)</w:t>
      </w:r>
      <w:r>
        <w:rPr>
          <w:rFonts w:eastAsia="Arial" w:cs="Arial"/>
          <w:color w:val="000000"/>
          <w:szCs w:val="18"/>
        </w:rPr>
        <w:t>.</w:t>
      </w:r>
    </w:p>
    <w:p w14:paraId="3C51579B" w14:textId="5CD8F46A" w:rsidR="00141C96" w:rsidRDefault="00141C96">
      <w:pPr>
        <w:pBdr>
          <w:top w:val="nil"/>
          <w:left w:val="nil"/>
          <w:bottom w:val="nil"/>
          <w:right w:val="nil"/>
          <w:between w:val="nil"/>
        </w:pBdr>
        <w:rPr>
          <w:rFonts w:eastAsia="Arial" w:cs="Arial"/>
          <w:color w:val="000000"/>
          <w:szCs w:val="18"/>
        </w:rPr>
      </w:pPr>
      <w:r>
        <w:rPr>
          <w:rFonts w:eastAsia="Arial" w:cs="Arial"/>
          <w:color w:val="000000"/>
          <w:szCs w:val="18"/>
        </w:rPr>
        <w:t>First step to develop models of predicting fault (detection and diagnosis) is to ensure the quality of data (integration, reducing duplicates</w:t>
      </w:r>
      <w:r w:rsidR="00E76B30">
        <w:rPr>
          <w:rFonts w:eastAsia="Arial" w:cs="Arial"/>
          <w:color w:val="000000"/>
          <w:szCs w:val="18"/>
        </w:rPr>
        <w:t xml:space="preserve"> and missing data</w:t>
      </w:r>
      <w:r>
        <w:rPr>
          <w:rFonts w:eastAsia="Arial" w:cs="Arial"/>
          <w:color w:val="000000"/>
          <w:szCs w:val="18"/>
        </w:rPr>
        <w:t>)</w:t>
      </w:r>
      <w:r w:rsidR="00E76B30">
        <w:rPr>
          <w:rFonts w:eastAsia="Arial" w:cs="Arial"/>
          <w:color w:val="000000"/>
          <w:szCs w:val="18"/>
        </w:rPr>
        <w:t xml:space="preserve">. Some studies were developed by several scientists in last years, as seen in </w:t>
      </w:r>
      <w:proofErr w:type="spellStart"/>
      <w:r w:rsidR="00E76B30" w:rsidRPr="00E76B30">
        <w:rPr>
          <w:rFonts w:eastAsia="Arial" w:cs="Arial"/>
          <w:color w:val="000000"/>
          <w:szCs w:val="18"/>
        </w:rPr>
        <w:t>Azeroual</w:t>
      </w:r>
      <w:proofErr w:type="spellEnd"/>
      <w:r w:rsidR="00E76B30">
        <w:rPr>
          <w:rFonts w:eastAsia="Arial" w:cs="Arial"/>
          <w:color w:val="000000"/>
          <w:szCs w:val="18"/>
        </w:rPr>
        <w:t xml:space="preserve"> at al. (2022) and </w:t>
      </w:r>
      <w:r w:rsidR="00E76B30" w:rsidRPr="00E76B30">
        <w:rPr>
          <w:rFonts w:eastAsia="Arial" w:cs="Arial"/>
          <w:color w:val="000000"/>
          <w:szCs w:val="18"/>
        </w:rPr>
        <w:t>Rahman</w:t>
      </w:r>
      <w:r w:rsidR="00E76B30">
        <w:rPr>
          <w:rFonts w:eastAsia="Arial" w:cs="Arial"/>
          <w:color w:val="000000"/>
          <w:szCs w:val="18"/>
        </w:rPr>
        <w:t xml:space="preserve"> (2023).</w:t>
      </w:r>
      <w:r w:rsidR="00F36DDD">
        <w:rPr>
          <w:rFonts w:eastAsia="Arial" w:cs="Arial"/>
          <w:color w:val="000000"/>
          <w:szCs w:val="18"/>
        </w:rPr>
        <w:t xml:space="preserve"> Data scientists face challenges of analysing a large amount of data (such as big data) in chemical or petrochemical industries, due to very high-dimensional or unstructured data. </w:t>
      </w:r>
      <w:r w:rsidR="0008000D">
        <w:rPr>
          <w:rFonts w:eastAsia="Arial" w:cs="Arial"/>
          <w:color w:val="000000"/>
          <w:szCs w:val="18"/>
        </w:rPr>
        <w:t xml:space="preserve">The data pre-processing takes time to prepare a useful dataset, because there are quality </w:t>
      </w:r>
      <w:r w:rsidR="0008000D">
        <w:rPr>
          <w:rFonts w:eastAsia="Arial" w:cs="Arial"/>
          <w:color w:val="000000"/>
          <w:szCs w:val="18"/>
        </w:rPr>
        <w:lastRenderedPageBreak/>
        <w:t>issues, such as inconsistent values.</w:t>
      </w:r>
      <w:r w:rsidR="00686056">
        <w:rPr>
          <w:rFonts w:eastAsia="Arial" w:cs="Arial"/>
          <w:color w:val="000000"/>
          <w:szCs w:val="18"/>
        </w:rPr>
        <w:t xml:space="preserve"> For </w:t>
      </w:r>
      <w:r w:rsidR="0034344A">
        <w:rPr>
          <w:rFonts w:eastAsia="Arial" w:cs="Arial"/>
          <w:color w:val="000000"/>
          <w:szCs w:val="18"/>
        </w:rPr>
        <w:t>this reason</w:t>
      </w:r>
      <w:r w:rsidR="00686056">
        <w:rPr>
          <w:rFonts w:eastAsia="Arial" w:cs="Arial"/>
          <w:color w:val="000000"/>
          <w:szCs w:val="18"/>
        </w:rPr>
        <w:t>, the database community has developed numerous techniques for improving the situation (</w:t>
      </w:r>
      <w:proofErr w:type="spellStart"/>
      <w:r w:rsidR="00686056">
        <w:rPr>
          <w:rFonts w:eastAsia="Arial" w:cs="Arial"/>
          <w:color w:val="000000"/>
          <w:szCs w:val="18"/>
        </w:rPr>
        <w:t>Kendel</w:t>
      </w:r>
      <w:proofErr w:type="spellEnd"/>
      <w:r w:rsidR="00686056">
        <w:rPr>
          <w:rFonts w:eastAsia="Arial" w:cs="Arial"/>
          <w:color w:val="000000"/>
          <w:szCs w:val="18"/>
        </w:rPr>
        <w:t xml:space="preserve"> at al. (2011))</w:t>
      </w:r>
      <w:r w:rsidR="0034344A">
        <w:rPr>
          <w:rFonts w:eastAsia="Arial" w:cs="Arial"/>
          <w:color w:val="000000"/>
          <w:szCs w:val="18"/>
        </w:rPr>
        <w:t>,</w:t>
      </w:r>
      <w:r w:rsidR="00686056">
        <w:rPr>
          <w:rFonts w:eastAsia="Arial" w:cs="Arial"/>
          <w:color w:val="000000"/>
          <w:szCs w:val="18"/>
        </w:rPr>
        <w:t xml:space="preserve"> </w:t>
      </w:r>
      <w:r w:rsidR="00111110">
        <w:rPr>
          <w:rFonts w:eastAsia="Arial" w:cs="Arial"/>
          <w:color w:val="000000"/>
          <w:szCs w:val="18"/>
        </w:rPr>
        <w:t>just as</w:t>
      </w:r>
      <w:r w:rsidR="00686056">
        <w:rPr>
          <w:rFonts w:eastAsia="Arial" w:cs="Arial"/>
          <w:color w:val="000000"/>
          <w:szCs w:val="18"/>
        </w:rPr>
        <w:t xml:space="preserve"> functions in programming languages (Python</w:t>
      </w:r>
      <w:r w:rsidR="00111110">
        <w:rPr>
          <w:rFonts w:eastAsia="Arial" w:cs="Arial"/>
          <w:color w:val="000000"/>
          <w:szCs w:val="18"/>
        </w:rPr>
        <w:t>,</w:t>
      </w:r>
      <w:r w:rsidR="00686056">
        <w:rPr>
          <w:rFonts w:eastAsia="Arial" w:cs="Arial"/>
          <w:color w:val="000000"/>
          <w:szCs w:val="18"/>
        </w:rPr>
        <w:t xml:space="preserve"> </w:t>
      </w:r>
      <w:proofErr w:type="gramStart"/>
      <w:r w:rsidR="00686056">
        <w:rPr>
          <w:rFonts w:eastAsia="Arial" w:cs="Arial"/>
          <w:color w:val="000000"/>
          <w:szCs w:val="18"/>
        </w:rPr>
        <w:t>R</w:t>
      </w:r>
      <w:proofErr w:type="gramEnd"/>
      <w:r w:rsidR="00686056">
        <w:rPr>
          <w:rFonts w:eastAsia="Arial" w:cs="Arial"/>
          <w:color w:val="000000"/>
          <w:szCs w:val="18"/>
        </w:rPr>
        <w:t xml:space="preserve"> and others).</w:t>
      </w:r>
    </w:p>
    <w:p w14:paraId="00000024" w14:textId="521DCE8D" w:rsidR="001C26B0" w:rsidRDefault="0034344A">
      <w:pPr>
        <w:pBdr>
          <w:top w:val="nil"/>
          <w:left w:val="nil"/>
          <w:bottom w:val="nil"/>
          <w:right w:val="nil"/>
          <w:between w:val="nil"/>
        </w:pBdr>
        <w:rPr>
          <w:rFonts w:eastAsia="Arial" w:cs="Arial"/>
          <w:color w:val="000000"/>
          <w:szCs w:val="18"/>
        </w:rPr>
      </w:pPr>
      <w:r>
        <w:rPr>
          <w:rFonts w:eastAsia="Arial" w:cs="Arial"/>
          <w:color w:val="000000"/>
          <w:szCs w:val="18"/>
        </w:rPr>
        <w:t>Statistical analysis is a great tool to evaluate the relationship between variables. Classical correlation coefficient</w:t>
      </w:r>
      <w:r w:rsidR="003E29BF">
        <w:rPr>
          <w:rFonts w:eastAsia="Arial" w:cs="Arial"/>
          <w:color w:val="000000"/>
          <w:szCs w:val="18"/>
        </w:rPr>
        <w:t>, as Spearman matrix, are widespread used, seen in Li et al. (2021) and Hua et al. (2020).</w:t>
      </w:r>
      <w:r w:rsidR="00335EEC">
        <w:rPr>
          <w:rFonts w:eastAsia="Arial" w:cs="Arial"/>
          <w:color w:val="000000"/>
          <w:szCs w:val="18"/>
        </w:rPr>
        <w:t xml:space="preserve"> T</w:t>
      </w:r>
      <w:r w:rsidR="00335EEC" w:rsidRPr="00335EEC">
        <w:rPr>
          <w:rFonts w:eastAsia="Arial" w:cs="Arial"/>
          <w:color w:val="000000"/>
          <w:szCs w:val="18"/>
        </w:rPr>
        <w:t>he Principal Component Analysis (PCA)</w:t>
      </w:r>
      <w:r w:rsidR="00335EEC">
        <w:rPr>
          <w:rFonts w:eastAsia="Arial" w:cs="Arial"/>
          <w:color w:val="000000"/>
          <w:szCs w:val="18"/>
        </w:rPr>
        <w:t xml:space="preserve"> </w:t>
      </w:r>
      <w:r w:rsidR="00335EEC" w:rsidRPr="00335EEC">
        <w:rPr>
          <w:rFonts w:eastAsia="Arial" w:cs="Arial"/>
          <w:color w:val="000000"/>
          <w:szCs w:val="18"/>
        </w:rPr>
        <w:t xml:space="preserve">is </w:t>
      </w:r>
      <w:r w:rsidR="00335EEC">
        <w:rPr>
          <w:rFonts w:eastAsia="Arial" w:cs="Arial"/>
          <w:color w:val="000000"/>
          <w:szCs w:val="18"/>
        </w:rPr>
        <w:t xml:space="preserve">an </w:t>
      </w:r>
      <w:r w:rsidR="00335EEC" w:rsidRPr="00335EEC">
        <w:rPr>
          <w:rFonts w:eastAsia="Arial" w:cs="Arial"/>
          <w:color w:val="000000"/>
          <w:szCs w:val="18"/>
        </w:rPr>
        <w:t>effective</w:t>
      </w:r>
      <w:r w:rsidR="00335EEC">
        <w:rPr>
          <w:rFonts w:eastAsia="Arial" w:cs="Arial"/>
          <w:color w:val="000000"/>
          <w:szCs w:val="18"/>
        </w:rPr>
        <w:t xml:space="preserve"> technique for discovering the hidden feature from variables (Li and Huang </w:t>
      </w:r>
      <w:r w:rsidR="003A0DD7">
        <w:rPr>
          <w:rFonts w:eastAsia="Arial" w:cs="Arial"/>
          <w:color w:val="000000"/>
          <w:szCs w:val="18"/>
        </w:rPr>
        <w:t>(</w:t>
      </w:r>
      <w:r w:rsidR="00335EEC">
        <w:rPr>
          <w:rFonts w:eastAsia="Arial" w:cs="Arial"/>
          <w:color w:val="000000"/>
          <w:szCs w:val="18"/>
        </w:rPr>
        <w:t>2020)</w:t>
      </w:r>
      <w:r w:rsidR="003A0DD7">
        <w:rPr>
          <w:rFonts w:eastAsia="Arial" w:cs="Arial"/>
          <w:color w:val="000000"/>
          <w:szCs w:val="18"/>
        </w:rPr>
        <w:t xml:space="preserve">, </w:t>
      </w:r>
      <w:r w:rsidR="00771ED6">
        <w:rPr>
          <w:rFonts w:eastAsia="Arial" w:cs="Arial"/>
          <w:color w:val="000000"/>
          <w:szCs w:val="18"/>
        </w:rPr>
        <w:t>Mei et al</w:t>
      </w:r>
      <w:r w:rsidR="00335EEC">
        <w:rPr>
          <w:rFonts w:eastAsia="Arial" w:cs="Arial"/>
          <w:color w:val="000000"/>
          <w:szCs w:val="18"/>
        </w:rPr>
        <w:t>.</w:t>
      </w:r>
      <w:r w:rsidR="00771ED6">
        <w:rPr>
          <w:rFonts w:eastAsia="Arial" w:cs="Arial"/>
          <w:color w:val="000000"/>
          <w:szCs w:val="18"/>
        </w:rPr>
        <w:t xml:space="preserve"> (2017))</w:t>
      </w:r>
    </w:p>
    <w:p w14:paraId="00000025" w14:textId="05F7D0B3" w:rsidR="001C26B0" w:rsidRDefault="00000000">
      <w:pPr>
        <w:pBdr>
          <w:top w:val="nil"/>
          <w:left w:val="nil"/>
          <w:bottom w:val="nil"/>
          <w:right w:val="nil"/>
          <w:between w:val="nil"/>
        </w:pBdr>
      </w:pPr>
      <w:r>
        <w:t xml:space="preserve">This </w:t>
      </w:r>
      <w:r w:rsidR="00466FBD">
        <w:t>study</w:t>
      </w:r>
      <w:r>
        <w:t xml:space="preserve"> aimed to initiate a more detailed analysis </w:t>
      </w:r>
      <w:r w:rsidR="00466FBD">
        <w:t>of</w:t>
      </w:r>
      <w:r>
        <w:t xml:space="preserve"> dataset sensed by </w:t>
      </w:r>
      <w:r w:rsidR="00466FBD">
        <w:rPr>
          <w:rFonts w:eastAsia="Arial" w:cs="Arial"/>
          <w:szCs w:val="18"/>
        </w:rPr>
        <w:t xml:space="preserve">Vargas et al. (2019), </w:t>
      </w:r>
      <w:r>
        <w:t>with the intention of detecting failures caused in the process of offshore natural flow wells. Therefore,</w:t>
      </w:r>
      <w:r w:rsidR="00466FBD">
        <w:t xml:space="preserve"> the </w:t>
      </w:r>
      <w:proofErr w:type="spellStart"/>
      <w:r w:rsidR="00466FBD">
        <w:t>subdataset</w:t>
      </w:r>
      <w:proofErr w:type="spellEnd"/>
      <w:r w:rsidR="00466FBD">
        <w:t xml:space="preserve"> chosen, from 3W dataset, was evaluated for</w:t>
      </w:r>
      <w:r>
        <w:t xml:space="preserve"> cleaning and </w:t>
      </w:r>
      <w:r w:rsidR="00466FBD">
        <w:t>manipulation</w:t>
      </w:r>
      <w:r>
        <w:t xml:space="preserve"> data. The relationship between the variables was verified using Spearman's correlation and a PCA analysis.</w:t>
      </w:r>
    </w:p>
    <w:p w14:paraId="00000027" w14:textId="0F2FAD0A" w:rsidR="001C26B0" w:rsidRPr="00654E05" w:rsidRDefault="00000000" w:rsidP="00654E05">
      <w:pPr>
        <w:pStyle w:val="PargrafodaLista"/>
        <w:keepNext/>
        <w:numPr>
          <w:ilvl w:val="0"/>
          <w:numId w:val="15"/>
        </w:numPr>
        <w:pBdr>
          <w:top w:val="nil"/>
          <w:left w:val="nil"/>
          <w:bottom w:val="nil"/>
          <w:right w:val="nil"/>
          <w:between w:val="nil"/>
        </w:pBdr>
        <w:spacing w:before="240" w:after="120" w:line="240" w:lineRule="auto"/>
        <w:jc w:val="left"/>
      </w:pPr>
      <w:r w:rsidRPr="00654E05">
        <w:rPr>
          <w:rFonts w:eastAsia="Arial" w:cs="Arial"/>
          <w:b/>
          <w:color w:val="000000"/>
          <w:sz w:val="20"/>
        </w:rPr>
        <w:t>Materials and Methods</w:t>
      </w:r>
    </w:p>
    <w:p w14:paraId="0000002A" w14:textId="58F1360C" w:rsidR="001C26B0" w:rsidRDefault="00000000">
      <w:pPr>
        <w:pBdr>
          <w:top w:val="nil"/>
          <w:left w:val="nil"/>
          <w:bottom w:val="nil"/>
          <w:right w:val="nil"/>
          <w:between w:val="nil"/>
        </w:pBdr>
      </w:pPr>
      <w:r>
        <w:t xml:space="preserve">For this work, the database produced by </w:t>
      </w:r>
      <w:r w:rsidR="007D5C5E">
        <w:rPr>
          <w:rFonts w:eastAsia="Arial" w:cs="Arial"/>
          <w:szCs w:val="18"/>
        </w:rPr>
        <w:t xml:space="preserve">Vargas et al. (2019), </w:t>
      </w:r>
      <w:r>
        <w:t xml:space="preserve">3W dataset, was </w:t>
      </w:r>
      <w:r w:rsidR="00E32D89">
        <w:t>assessed</w:t>
      </w:r>
      <w:r>
        <w:t xml:space="preserve">. The 3W dataset is composed of three types of instances, real data that occurred in wells produced by Petrobras, simulated and </w:t>
      </w:r>
      <w:proofErr w:type="gramStart"/>
      <w:r>
        <w:t>hand-drawn</w:t>
      </w:r>
      <w:proofErr w:type="gramEnd"/>
      <w:r>
        <w:t>. However, in this work only real data was used.</w:t>
      </w:r>
      <w:r w:rsidR="006525D0">
        <w:t xml:space="preserve"> </w:t>
      </w:r>
      <w:r>
        <w:t xml:space="preserve">Each instance of the 3W database is composed of eight variables, as shown in </w:t>
      </w:r>
      <w:r w:rsidR="006525D0">
        <w:t>T</w:t>
      </w:r>
      <w:r>
        <w:t xml:space="preserve">able 1, from sensors of oil production systems. </w:t>
      </w:r>
      <w:r w:rsidR="00E32D89">
        <w:t>Besides</w:t>
      </w:r>
      <w:r>
        <w:t xml:space="preserve"> the eight variables, the instances have an additional variable that is a vector called a class, which establishes three situations of the type: normal, transient anomaly and stable state of anomaly.</w:t>
      </w:r>
    </w:p>
    <w:p w14:paraId="09DA504B" w14:textId="30F6ACD1" w:rsidR="00127805" w:rsidRPr="00B57B36" w:rsidRDefault="00127805" w:rsidP="00127805">
      <w:pPr>
        <w:pStyle w:val="CETTabletitle"/>
      </w:pPr>
      <w:r w:rsidRPr="00B57B36">
        <w:t xml:space="preserve">Table 1: </w:t>
      </w:r>
      <w:r>
        <w:t>Variables contained in the 3W dataset</w:t>
      </w:r>
      <w:r w:rsidR="005130EC">
        <w:t>, adapted from Vargas et al. (2019)</w:t>
      </w:r>
      <w:r>
        <w:t xml:space="preserve">. </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76"/>
        <w:gridCol w:w="6804"/>
        <w:gridCol w:w="563"/>
      </w:tblGrid>
      <w:tr w:rsidR="00BD27EE" w:rsidRPr="00B57B36" w14:paraId="00D7DD62" w14:textId="77777777" w:rsidTr="00DD656C">
        <w:trPr>
          <w:trHeight w:val="196"/>
        </w:trPr>
        <w:tc>
          <w:tcPr>
            <w:tcW w:w="1276" w:type="dxa"/>
            <w:tcBorders>
              <w:top w:val="single" w:sz="12" w:space="0" w:color="008000"/>
              <w:bottom w:val="single" w:sz="6" w:space="0" w:color="008000"/>
            </w:tcBorders>
            <w:shd w:val="clear" w:color="auto" w:fill="FFFFFF"/>
          </w:tcPr>
          <w:p w14:paraId="22297612" w14:textId="4376DC98" w:rsidR="00BD27EE" w:rsidRPr="00B57B36" w:rsidRDefault="00BD27EE" w:rsidP="00D07E1E">
            <w:pPr>
              <w:pStyle w:val="CETBodytext"/>
              <w:rPr>
                <w:lang w:val="en-GB"/>
              </w:rPr>
            </w:pPr>
            <w:r>
              <w:rPr>
                <w:lang w:val="en-GB"/>
              </w:rPr>
              <w:t xml:space="preserve">Variable </w:t>
            </w:r>
          </w:p>
        </w:tc>
        <w:tc>
          <w:tcPr>
            <w:tcW w:w="6804" w:type="dxa"/>
            <w:tcBorders>
              <w:top w:val="single" w:sz="12" w:space="0" w:color="008000"/>
              <w:bottom w:val="single" w:sz="6" w:space="0" w:color="008000"/>
            </w:tcBorders>
            <w:shd w:val="clear" w:color="auto" w:fill="FFFFFF"/>
          </w:tcPr>
          <w:p w14:paraId="2BA365CF" w14:textId="0DD01C07" w:rsidR="00BD27EE" w:rsidRPr="00B57B36" w:rsidRDefault="00BD27EE" w:rsidP="00D07E1E">
            <w:pPr>
              <w:pStyle w:val="CETBodytext"/>
              <w:rPr>
                <w:lang w:val="en-GB"/>
              </w:rPr>
            </w:pPr>
            <w:r>
              <w:rPr>
                <w:lang w:val="en-GB"/>
              </w:rPr>
              <w:t>Description</w:t>
            </w:r>
          </w:p>
        </w:tc>
        <w:tc>
          <w:tcPr>
            <w:tcW w:w="563" w:type="dxa"/>
            <w:tcBorders>
              <w:top w:val="single" w:sz="12" w:space="0" w:color="008000"/>
              <w:bottom w:val="single" w:sz="6" w:space="0" w:color="008000"/>
            </w:tcBorders>
            <w:shd w:val="clear" w:color="auto" w:fill="FFFFFF"/>
          </w:tcPr>
          <w:p w14:paraId="368584CD" w14:textId="5E216E06" w:rsidR="00BD27EE" w:rsidRPr="00B57B36" w:rsidRDefault="00BD27EE" w:rsidP="00D07E1E">
            <w:pPr>
              <w:pStyle w:val="CETBodytext"/>
              <w:rPr>
                <w:lang w:val="en-GB"/>
              </w:rPr>
            </w:pPr>
            <w:r>
              <w:rPr>
                <w:lang w:val="en-GB"/>
              </w:rPr>
              <w:t>Units</w:t>
            </w:r>
          </w:p>
        </w:tc>
      </w:tr>
      <w:tr w:rsidR="00BD27EE" w:rsidRPr="00B57B36" w14:paraId="742E735C" w14:textId="77777777" w:rsidTr="00DD656C">
        <w:trPr>
          <w:trHeight w:val="286"/>
        </w:trPr>
        <w:tc>
          <w:tcPr>
            <w:tcW w:w="1276" w:type="dxa"/>
            <w:shd w:val="clear" w:color="auto" w:fill="FFFFFF"/>
          </w:tcPr>
          <w:p w14:paraId="7454BB82" w14:textId="1A1C84D9" w:rsidR="00BD27EE" w:rsidRPr="00B57B36" w:rsidRDefault="00BD27EE" w:rsidP="00D07E1E">
            <w:pPr>
              <w:pStyle w:val="CETBodytext"/>
              <w:rPr>
                <w:lang w:val="en-GB"/>
              </w:rPr>
            </w:pPr>
            <w:r>
              <w:rPr>
                <w:lang w:val="en-GB"/>
              </w:rPr>
              <w:t>P-PDG</w:t>
            </w:r>
          </w:p>
        </w:tc>
        <w:tc>
          <w:tcPr>
            <w:tcW w:w="6804" w:type="dxa"/>
            <w:shd w:val="clear" w:color="auto" w:fill="FFFFFF"/>
          </w:tcPr>
          <w:p w14:paraId="71AA724B" w14:textId="1E48B7C9" w:rsidR="00BD27EE" w:rsidRPr="00B57B36" w:rsidRDefault="00BD27EE" w:rsidP="00D07E1E">
            <w:pPr>
              <w:pStyle w:val="CETBodytext"/>
              <w:rPr>
                <w:lang w:val="en-GB"/>
              </w:rPr>
            </w:pPr>
            <w:r>
              <w:t>Pressure in the fluid at the Permanent Downhole Gauge (PDG)</w:t>
            </w:r>
          </w:p>
        </w:tc>
        <w:tc>
          <w:tcPr>
            <w:tcW w:w="563" w:type="dxa"/>
            <w:shd w:val="clear" w:color="auto" w:fill="FFFFFF"/>
          </w:tcPr>
          <w:p w14:paraId="32EFAD98" w14:textId="78793F4F" w:rsidR="00BD27EE" w:rsidRPr="00B57B36" w:rsidRDefault="00BD27EE" w:rsidP="00D07E1E">
            <w:pPr>
              <w:pStyle w:val="CETBodytext"/>
              <w:rPr>
                <w:lang w:val="en-GB"/>
              </w:rPr>
            </w:pPr>
            <w:r>
              <w:rPr>
                <w:lang w:val="en-GB"/>
              </w:rPr>
              <w:t>Pa</w:t>
            </w:r>
          </w:p>
        </w:tc>
      </w:tr>
      <w:tr w:rsidR="00BD27EE" w:rsidRPr="00B57B36" w14:paraId="7CFD6CE2" w14:textId="77777777" w:rsidTr="00DD656C">
        <w:trPr>
          <w:trHeight w:val="196"/>
        </w:trPr>
        <w:tc>
          <w:tcPr>
            <w:tcW w:w="1276" w:type="dxa"/>
            <w:shd w:val="clear" w:color="auto" w:fill="FFFFFF"/>
          </w:tcPr>
          <w:p w14:paraId="27AC753E" w14:textId="752E1792" w:rsidR="00BD27EE" w:rsidRPr="00B57B36" w:rsidRDefault="00BD27EE" w:rsidP="00D07E1E">
            <w:pPr>
              <w:pStyle w:val="CETBodytext"/>
              <w:rPr>
                <w:lang w:val="en-GB"/>
              </w:rPr>
            </w:pPr>
            <w:r>
              <w:rPr>
                <w:lang w:val="en-GB"/>
              </w:rPr>
              <w:t>P-TPT</w:t>
            </w:r>
          </w:p>
        </w:tc>
        <w:tc>
          <w:tcPr>
            <w:tcW w:w="6804" w:type="dxa"/>
            <w:shd w:val="clear" w:color="auto" w:fill="FFFFFF"/>
          </w:tcPr>
          <w:p w14:paraId="1E1A93FB" w14:textId="3D05DAA3" w:rsidR="00BD27EE" w:rsidRPr="00B57B36" w:rsidRDefault="00BD27EE" w:rsidP="00D07E1E">
            <w:pPr>
              <w:pStyle w:val="CETBodytext"/>
              <w:rPr>
                <w:lang w:val="en-GB"/>
              </w:rPr>
            </w:pPr>
            <w:r>
              <w:t>Pressure in the fluid at the Temperature and Pressure Transducer (TPT)</w:t>
            </w:r>
          </w:p>
        </w:tc>
        <w:tc>
          <w:tcPr>
            <w:tcW w:w="563" w:type="dxa"/>
            <w:shd w:val="clear" w:color="auto" w:fill="FFFFFF"/>
          </w:tcPr>
          <w:p w14:paraId="7CABD075" w14:textId="25FB840E" w:rsidR="00BD27EE" w:rsidRPr="00B57B36" w:rsidRDefault="00BD27EE" w:rsidP="00D07E1E">
            <w:pPr>
              <w:pStyle w:val="CETBodytext"/>
              <w:rPr>
                <w:lang w:val="en-GB"/>
              </w:rPr>
            </w:pPr>
            <w:r>
              <w:rPr>
                <w:lang w:val="en-GB"/>
              </w:rPr>
              <w:t>Pa</w:t>
            </w:r>
          </w:p>
        </w:tc>
      </w:tr>
      <w:tr w:rsidR="00BD27EE" w:rsidRPr="00B57B36" w14:paraId="11FA9428" w14:textId="77777777" w:rsidTr="00DD656C">
        <w:trPr>
          <w:trHeight w:val="184"/>
        </w:trPr>
        <w:tc>
          <w:tcPr>
            <w:tcW w:w="1276" w:type="dxa"/>
            <w:shd w:val="clear" w:color="auto" w:fill="FFFFFF"/>
          </w:tcPr>
          <w:p w14:paraId="75E83FD8" w14:textId="1AA1BDFC" w:rsidR="00BD27EE" w:rsidRPr="00B57B36" w:rsidRDefault="00BD27EE" w:rsidP="00D07E1E">
            <w:pPr>
              <w:pStyle w:val="CETBodytext"/>
              <w:rPr>
                <w:lang w:val="en-GB"/>
              </w:rPr>
            </w:pPr>
            <w:r>
              <w:rPr>
                <w:lang w:val="en-GB"/>
              </w:rPr>
              <w:t>T-TPT</w:t>
            </w:r>
          </w:p>
        </w:tc>
        <w:tc>
          <w:tcPr>
            <w:tcW w:w="6804" w:type="dxa"/>
            <w:shd w:val="clear" w:color="auto" w:fill="FFFFFF"/>
          </w:tcPr>
          <w:p w14:paraId="69E647E3" w14:textId="1C288812" w:rsidR="00BD27EE" w:rsidRPr="00B57B36" w:rsidRDefault="00BD27EE" w:rsidP="00D07E1E">
            <w:pPr>
              <w:pStyle w:val="CETBodytext"/>
              <w:rPr>
                <w:lang w:val="en-GB"/>
              </w:rPr>
            </w:pPr>
            <w:r>
              <w:t>Temperature in the fluid at the Temperature and Pressure Transducer (TPT)</w:t>
            </w:r>
          </w:p>
        </w:tc>
        <w:tc>
          <w:tcPr>
            <w:tcW w:w="563" w:type="dxa"/>
            <w:shd w:val="clear" w:color="auto" w:fill="FFFFFF"/>
          </w:tcPr>
          <w:p w14:paraId="4260CA92" w14:textId="71FBEDD5" w:rsidR="00BD27EE" w:rsidRPr="00B57B36" w:rsidRDefault="00BD27EE" w:rsidP="00D07E1E">
            <w:pPr>
              <w:pStyle w:val="CETBodytext"/>
              <w:rPr>
                <w:lang w:val="en-GB"/>
              </w:rPr>
            </w:pPr>
            <w:r>
              <w:rPr>
                <w:lang w:val="en-GB"/>
              </w:rPr>
              <w:t>°C</w:t>
            </w:r>
          </w:p>
        </w:tc>
      </w:tr>
      <w:tr w:rsidR="00BD27EE" w:rsidRPr="00B57B36" w14:paraId="5DC67359" w14:textId="77777777" w:rsidTr="00DD656C">
        <w:trPr>
          <w:trHeight w:val="196"/>
        </w:trPr>
        <w:tc>
          <w:tcPr>
            <w:tcW w:w="1276" w:type="dxa"/>
            <w:shd w:val="clear" w:color="auto" w:fill="FFFFFF"/>
          </w:tcPr>
          <w:p w14:paraId="350C950C" w14:textId="2CCCD094" w:rsidR="00BD27EE" w:rsidRPr="00B57B36" w:rsidRDefault="00BD27EE" w:rsidP="00BD27EE">
            <w:pPr>
              <w:pStyle w:val="CETBodytext"/>
              <w:ind w:right="-1"/>
              <w:rPr>
                <w:rFonts w:cs="Arial"/>
                <w:szCs w:val="18"/>
                <w:lang w:val="en-GB"/>
              </w:rPr>
            </w:pPr>
            <w:r>
              <w:t>P-MON-CKP</w:t>
            </w:r>
          </w:p>
        </w:tc>
        <w:tc>
          <w:tcPr>
            <w:tcW w:w="6804" w:type="dxa"/>
            <w:shd w:val="clear" w:color="auto" w:fill="FFFFFF"/>
          </w:tcPr>
          <w:p w14:paraId="3EBEB451" w14:textId="21914A8E" w:rsidR="00BD27EE" w:rsidRPr="00B57B36" w:rsidRDefault="00BD27EE" w:rsidP="00BD27EE">
            <w:pPr>
              <w:pStyle w:val="CETBodytext"/>
              <w:ind w:right="-1"/>
              <w:rPr>
                <w:rFonts w:cs="Arial"/>
                <w:szCs w:val="18"/>
                <w:lang w:val="en-GB"/>
              </w:rPr>
            </w:pPr>
            <w:r>
              <w:t>Upstream fluid pressure to the valve Production Choke (</w:t>
            </w:r>
            <w:r w:rsidR="00BF23CA">
              <w:t>P</w:t>
            </w:r>
            <w:r>
              <w:t>CK)</w:t>
            </w:r>
          </w:p>
        </w:tc>
        <w:tc>
          <w:tcPr>
            <w:tcW w:w="563" w:type="dxa"/>
            <w:shd w:val="clear" w:color="auto" w:fill="FFFFFF"/>
          </w:tcPr>
          <w:p w14:paraId="351861CA" w14:textId="4A176CAE" w:rsidR="00BD27EE" w:rsidRPr="00B57B36" w:rsidRDefault="00BD27EE" w:rsidP="00BD27EE">
            <w:pPr>
              <w:pStyle w:val="CETBodytext"/>
              <w:ind w:right="-1"/>
              <w:rPr>
                <w:rFonts w:cs="Arial"/>
                <w:szCs w:val="18"/>
                <w:lang w:val="en-GB"/>
              </w:rPr>
            </w:pPr>
            <w:r>
              <w:rPr>
                <w:rFonts w:cs="Arial"/>
                <w:szCs w:val="18"/>
                <w:lang w:val="en-GB"/>
              </w:rPr>
              <w:t>Pa</w:t>
            </w:r>
          </w:p>
        </w:tc>
      </w:tr>
      <w:tr w:rsidR="00BD27EE" w:rsidRPr="00B57B36" w14:paraId="7C380100" w14:textId="77777777" w:rsidTr="00DD656C">
        <w:trPr>
          <w:trHeight w:val="196"/>
        </w:trPr>
        <w:tc>
          <w:tcPr>
            <w:tcW w:w="1276" w:type="dxa"/>
            <w:shd w:val="clear" w:color="auto" w:fill="FFFFFF"/>
          </w:tcPr>
          <w:p w14:paraId="7C9331C7" w14:textId="48C6253F" w:rsidR="00BD27EE" w:rsidRPr="00B57B36" w:rsidRDefault="00BD27EE" w:rsidP="00BD27EE">
            <w:pPr>
              <w:pStyle w:val="CETBodytext"/>
              <w:ind w:right="-1"/>
              <w:rPr>
                <w:rFonts w:cs="Arial"/>
                <w:szCs w:val="18"/>
                <w:lang w:val="en-GB"/>
              </w:rPr>
            </w:pPr>
            <w:r>
              <w:t>T-JUS-CKP</w:t>
            </w:r>
          </w:p>
        </w:tc>
        <w:tc>
          <w:tcPr>
            <w:tcW w:w="6804" w:type="dxa"/>
            <w:shd w:val="clear" w:color="auto" w:fill="FFFFFF"/>
          </w:tcPr>
          <w:p w14:paraId="35E9A484" w14:textId="5605647E" w:rsidR="00BD27EE" w:rsidRPr="00B57B36" w:rsidRDefault="00BD27EE" w:rsidP="00BD27EE">
            <w:pPr>
              <w:pStyle w:val="CETBodytext"/>
              <w:ind w:right="-1"/>
              <w:rPr>
                <w:rFonts w:cs="Arial"/>
                <w:szCs w:val="18"/>
                <w:lang w:val="en-GB"/>
              </w:rPr>
            </w:pPr>
            <w:r>
              <w:t>Fluid temperature downstream of the valve Production Choke (</w:t>
            </w:r>
            <w:r w:rsidR="00BF23CA">
              <w:t>P</w:t>
            </w:r>
            <w:r>
              <w:t>CK)</w:t>
            </w:r>
          </w:p>
        </w:tc>
        <w:tc>
          <w:tcPr>
            <w:tcW w:w="563" w:type="dxa"/>
            <w:shd w:val="clear" w:color="auto" w:fill="FFFFFF"/>
          </w:tcPr>
          <w:p w14:paraId="5F59344B" w14:textId="4CBF8F87" w:rsidR="00BD27EE" w:rsidRPr="00B57B36" w:rsidRDefault="00BD27EE" w:rsidP="00BD27EE">
            <w:pPr>
              <w:pStyle w:val="CETBodytext"/>
              <w:ind w:right="-1"/>
              <w:rPr>
                <w:rFonts w:cs="Arial"/>
                <w:szCs w:val="18"/>
                <w:lang w:val="en-GB"/>
              </w:rPr>
            </w:pPr>
            <w:r>
              <w:rPr>
                <w:rFonts w:cs="Arial"/>
                <w:szCs w:val="18"/>
                <w:lang w:val="en-GB"/>
              </w:rPr>
              <w:t>°C</w:t>
            </w:r>
          </w:p>
        </w:tc>
      </w:tr>
      <w:tr w:rsidR="00BD27EE" w:rsidRPr="00B57B36" w14:paraId="428699EF" w14:textId="77777777" w:rsidTr="00DD656C">
        <w:trPr>
          <w:trHeight w:val="196"/>
        </w:trPr>
        <w:tc>
          <w:tcPr>
            <w:tcW w:w="1276" w:type="dxa"/>
            <w:shd w:val="clear" w:color="auto" w:fill="FFFFFF"/>
          </w:tcPr>
          <w:p w14:paraId="07B705B4" w14:textId="6120EA61" w:rsidR="00BD27EE" w:rsidRPr="00B57B36" w:rsidRDefault="00BD27EE" w:rsidP="00BD27EE">
            <w:pPr>
              <w:pStyle w:val="CETBodytext"/>
              <w:ind w:right="-1"/>
              <w:rPr>
                <w:rFonts w:cs="Arial"/>
                <w:szCs w:val="18"/>
                <w:lang w:val="en-GB"/>
              </w:rPr>
            </w:pPr>
            <w:r>
              <w:t>P-JUS-CKGL</w:t>
            </w:r>
          </w:p>
        </w:tc>
        <w:tc>
          <w:tcPr>
            <w:tcW w:w="6804" w:type="dxa"/>
            <w:shd w:val="clear" w:color="auto" w:fill="FFFFFF"/>
          </w:tcPr>
          <w:p w14:paraId="13628643" w14:textId="2F6A860E" w:rsidR="00BD27EE" w:rsidRPr="00B57B36" w:rsidRDefault="00BD27EE" w:rsidP="00BD27EE">
            <w:pPr>
              <w:pStyle w:val="CETBodytext"/>
              <w:ind w:right="-1"/>
              <w:rPr>
                <w:rFonts w:cs="Arial"/>
                <w:szCs w:val="18"/>
                <w:lang w:val="en-GB"/>
              </w:rPr>
            </w:pPr>
            <w:r>
              <w:t>Fluid pressure downstream of the control valve by gas lift</w:t>
            </w:r>
          </w:p>
        </w:tc>
        <w:tc>
          <w:tcPr>
            <w:tcW w:w="563" w:type="dxa"/>
            <w:shd w:val="clear" w:color="auto" w:fill="FFFFFF"/>
          </w:tcPr>
          <w:p w14:paraId="45C570D6" w14:textId="42109926" w:rsidR="00BD27EE" w:rsidRPr="00B57B36" w:rsidRDefault="00BD27EE" w:rsidP="00BD27EE">
            <w:pPr>
              <w:pStyle w:val="CETBodytext"/>
              <w:ind w:right="-1"/>
              <w:rPr>
                <w:rFonts w:cs="Arial"/>
                <w:szCs w:val="18"/>
                <w:lang w:val="en-GB"/>
              </w:rPr>
            </w:pPr>
            <w:r>
              <w:rPr>
                <w:rFonts w:cs="Arial"/>
                <w:szCs w:val="18"/>
                <w:lang w:val="en-GB"/>
              </w:rPr>
              <w:t>Pa</w:t>
            </w:r>
          </w:p>
        </w:tc>
      </w:tr>
      <w:tr w:rsidR="00BD27EE" w:rsidRPr="00B57B36" w14:paraId="13BDAFBB" w14:textId="77777777" w:rsidTr="00DD656C">
        <w:trPr>
          <w:trHeight w:val="196"/>
        </w:trPr>
        <w:tc>
          <w:tcPr>
            <w:tcW w:w="1276" w:type="dxa"/>
            <w:shd w:val="clear" w:color="auto" w:fill="FFFFFF"/>
          </w:tcPr>
          <w:p w14:paraId="3C1FC460" w14:textId="7F304850" w:rsidR="00BD27EE" w:rsidRPr="00B57B36" w:rsidRDefault="00BD27EE" w:rsidP="00BD27EE">
            <w:pPr>
              <w:pStyle w:val="CETBodytext"/>
              <w:ind w:right="-1"/>
              <w:rPr>
                <w:rFonts w:cs="Arial"/>
                <w:szCs w:val="18"/>
                <w:lang w:val="en-GB"/>
              </w:rPr>
            </w:pPr>
            <w:r>
              <w:t>T-JUS – CKGL</w:t>
            </w:r>
          </w:p>
        </w:tc>
        <w:tc>
          <w:tcPr>
            <w:tcW w:w="6804" w:type="dxa"/>
            <w:shd w:val="clear" w:color="auto" w:fill="FFFFFF"/>
          </w:tcPr>
          <w:p w14:paraId="29BD69BF" w14:textId="48E6DB54" w:rsidR="00BD27EE" w:rsidRPr="00B57B36" w:rsidRDefault="00BD27EE" w:rsidP="00BD27EE">
            <w:pPr>
              <w:pStyle w:val="CETBodytext"/>
              <w:ind w:right="-1"/>
              <w:rPr>
                <w:rFonts w:cs="Arial"/>
                <w:szCs w:val="18"/>
                <w:lang w:val="en-GB"/>
              </w:rPr>
            </w:pPr>
            <w:r>
              <w:t>Fluid temperature downstream of the gas lift control valve</w:t>
            </w:r>
          </w:p>
        </w:tc>
        <w:tc>
          <w:tcPr>
            <w:tcW w:w="563" w:type="dxa"/>
            <w:shd w:val="clear" w:color="auto" w:fill="FFFFFF"/>
          </w:tcPr>
          <w:p w14:paraId="628E9A2E" w14:textId="78DD2779" w:rsidR="00BD27EE" w:rsidRPr="00B57B36" w:rsidRDefault="00BD27EE" w:rsidP="00BD27EE">
            <w:pPr>
              <w:pStyle w:val="CETBodytext"/>
              <w:ind w:right="-1"/>
              <w:rPr>
                <w:rFonts w:cs="Arial"/>
                <w:szCs w:val="18"/>
                <w:lang w:val="en-GB"/>
              </w:rPr>
            </w:pPr>
            <w:r>
              <w:rPr>
                <w:rFonts w:cs="Arial"/>
                <w:szCs w:val="18"/>
                <w:lang w:val="en-GB"/>
              </w:rPr>
              <w:t>°C</w:t>
            </w:r>
          </w:p>
        </w:tc>
      </w:tr>
      <w:tr w:rsidR="00BD27EE" w:rsidRPr="00B57B36" w14:paraId="65DA80A1" w14:textId="77777777" w:rsidTr="00DD656C">
        <w:trPr>
          <w:trHeight w:val="196"/>
        </w:trPr>
        <w:tc>
          <w:tcPr>
            <w:tcW w:w="1276" w:type="dxa"/>
            <w:shd w:val="clear" w:color="auto" w:fill="FFFFFF"/>
          </w:tcPr>
          <w:p w14:paraId="433820A8" w14:textId="7407D3B0" w:rsidR="00BD27EE" w:rsidRDefault="00BD27EE" w:rsidP="00BD27EE">
            <w:pPr>
              <w:pStyle w:val="CETBodytext"/>
              <w:ind w:right="-1"/>
            </w:pPr>
            <w:r>
              <w:t>QGL</w:t>
            </w:r>
          </w:p>
        </w:tc>
        <w:tc>
          <w:tcPr>
            <w:tcW w:w="6804" w:type="dxa"/>
            <w:shd w:val="clear" w:color="auto" w:fill="FFFFFF"/>
          </w:tcPr>
          <w:p w14:paraId="5B499D81" w14:textId="359DBECE" w:rsidR="00BD27EE" w:rsidRDefault="00BD27EE" w:rsidP="00BD27EE">
            <w:pPr>
              <w:pStyle w:val="CETBodytext"/>
              <w:ind w:right="-1"/>
            </w:pPr>
            <w:r>
              <w:t>Gas lift flow</w:t>
            </w:r>
          </w:p>
        </w:tc>
        <w:tc>
          <w:tcPr>
            <w:tcW w:w="563" w:type="dxa"/>
            <w:shd w:val="clear" w:color="auto" w:fill="FFFFFF"/>
          </w:tcPr>
          <w:p w14:paraId="322C3ADA" w14:textId="6043CA49" w:rsidR="00BD27EE" w:rsidRDefault="00BD27EE" w:rsidP="00BD27EE">
            <w:pPr>
              <w:pStyle w:val="CETBodytext"/>
              <w:ind w:right="-1"/>
              <w:rPr>
                <w:rFonts w:cs="Arial"/>
                <w:szCs w:val="18"/>
                <w:lang w:val="en-GB"/>
              </w:rPr>
            </w:pPr>
            <w:r>
              <w:rPr>
                <w:rFonts w:cs="Arial"/>
                <w:szCs w:val="18"/>
                <w:lang w:val="en-GB"/>
              </w:rPr>
              <w:t>m³/s</w:t>
            </w:r>
          </w:p>
        </w:tc>
      </w:tr>
      <w:tr w:rsidR="00BD27EE" w:rsidRPr="00B57B36" w14:paraId="73AB6022" w14:textId="77777777" w:rsidTr="00DD656C">
        <w:trPr>
          <w:trHeight w:val="196"/>
        </w:trPr>
        <w:tc>
          <w:tcPr>
            <w:tcW w:w="1276" w:type="dxa"/>
            <w:shd w:val="clear" w:color="auto" w:fill="FFFFFF"/>
          </w:tcPr>
          <w:p w14:paraId="3A52B0B7" w14:textId="313FDB4D" w:rsidR="00BD27EE" w:rsidRDefault="00BD27EE" w:rsidP="00BD27EE">
            <w:pPr>
              <w:pStyle w:val="CETBodytext"/>
              <w:ind w:right="-1"/>
            </w:pPr>
            <w:r>
              <w:t>Class</w:t>
            </w:r>
          </w:p>
        </w:tc>
        <w:tc>
          <w:tcPr>
            <w:tcW w:w="6804" w:type="dxa"/>
            <w:shd w:val="clear" w:color="auto" w:fill="FFFFFF"/>
          </w:tcPr>
          <w:p w14:paraId="11523F50" w14:textId="61F50D49" w:rsidR="00BD27EE" w:rsidRDefault="00BD27EE" w:rsidP="00BD27EE">
            <w:pPr>
              <w:pStyle w:val="CETBodytext"/>
              <w:ind w:right="-1"/>
            </w:pPr>
            <w:r>
              <w:t xml:space="preserve">Indicates the status of each anomaly along the time series: normal period, transient </w:t>
            </w:r>
            <w:proofErr w:type="gramStart"/>
            <w:r>
              <w:t>anomaly</w:t>
            </w:r>
            <w:proofErr w:type="gramEnd"/>
            <w:r>
              <w:t xml:space="preserve"> and anomaly steady state</w:t>
            </w:r>
          </w:p>
        </w:tc>
        <w:tc>
          <w:tcPr>
            <w:tcW w:w="563" w:type="dxa"/>
            <w:shd w:val="clear" w:color="auto" w:fill="FFFFFF"/>
          </w:tcPr>
          <w:p w14:paraId="1B53A9F2" w14:textId="77777777" w:rsidR="00BD27EE" w:rsidRDefault="00BD27EE" w:rsidP="00BD27EE">
            <w:pPr>
              <w:pStyle w:val="CETBodytext"/>
              <w:ind w:right="-1"/>
              <w:rPr>
                <w:rFonts w:cs="Arial"/>
                <w:szCs w:val="18"/>
                <w:lang w:val="en-GB"/>
              </w:rPr>
            </w:pPr>
          </w:p>
        </w:tc>
      </w:tr>
    </w:tbl>
    <w:p w14:paraId="7615114B" w14:textId="77777777" w:rsidR="00E32D89" w:rsidRDefault="00E32D89" w:rsidP="00BD27EE">
      <w:pPr>
        <w:pBdr>
          <w:top w:val="nil"/>
          <w:left w:val="nil"/>
          <w:bottom w:val="nil"/>
          <w:right w:val="nil"/>
          <w:between w:val="nil"/>
        </w:pBdr>
      </w:pPr>
    </w:p>
    <w:p w14:paraId="1C5C5A2A" w14:textId="78C6F12F" w:rsidR="00E32D89" w:rsidRDefault="00E32D89" w:rsidP="00BD27EE">
      <w:pPr>
        <w:pBdr>
          <w:top w:val="nil"/>
          <w:left w:val="nil"/>
          <w:bottom w:val="nil"/>
          <w:right w:val="nil"/>
          <w:between w:val="nil"/>
        </w:pBdr>
      </w:pPr>
      <w:r w:rsidRPr="00E32D89">
        <w:t xml:space="preserve">In this work, the flow instability </w:t>
      </w:r>
      <w:proofErr w:type="spellStart"/>
      <w:r w:rsidRPr="00E32D89">
        <w:t>subdataset</w:t>
      </w:r>
      <w:proofErr w:type="spellEnd"/>
      <w:r w:rsidRPr="00E32D89">
        <w:t xml:space="preserve"> was adopted, due it's acceptable ranges of variables, as referred by Vargas et al. (2019). This </w:t>
      </w:r>
      <w:proofErr w:type="spellStart"/>
      <w:r w:rsidRPr="00E32D89">
        <w:t>subdataset</w:t>
      </w:r>
      <w:proofErr w:type="spellEnd"/>
      <w:r w:rsidRPr="00E32D89">
        <w:t xml:space="preserve"> contains 2,462,076 information vectors for each variable.</w:t>
      </w:r>
    </w:p>
    <w:p w14:paraId="00CF42EF" w14:textId="4E07A031" w:rsidR="006525D0" w:rsidRDefault="00B375FB" w:rsidP="006525D0">
      <w:pPr>
        <w:pStyle w:val="CETheadingx"/>
        <w:numPr>
          <w:ilvl w:val="1"/>
          <w:numId w:val="17"/>
        </w:numPr>
        <w:tabs>
          <w:tab w:val="clear" w:pos="7100"/>
        </w:tabs>
        <w:ind w:left="0" w:firstLine="0"/>
        <w:jc w:val="left"/>
        <w:rPr>
          <w:lang w:eastAsia="en-US"/>
        </w:rPr>
      </w:pPr>
      <w:r>
        <w:rPr>
          <w:lang w:eastAsia="en-US"/>
        </w:rPr>
        <w:t>Software tool</w:t>
      </w:r>
    </w:p>
    <w:p w14:paraId="3B616CCD" w14:textId="3FC48DC5" w:rsidR="003A2041" w:rsidRDefault="00B375FB" w:rsidP="00BD27EE">
      <w:pPr>
        <w:pBdr>
          <w:top w:val="nil"/>
          <w:left w:val="nil"/>
          <w:bottom w:val="nil"/>
          <w:right w:val="nil"/>
          <w:between w:val="nil"/>
        </w:pBdr>
      </w:pPr>
      <w:r>
        <w:t xml:space="preserve">All analysis was conducted on Google </w:t>
      </w:r>
      <w:proofErr w:type="spellStart"/>
      <w:r>
        <w:t>Colab</w:t>
      </w:r>
      <w:r w:rsidR="00E6740E">
        <w:t>oratory</w:t>
      </w:r>
      <w:proofErr w:type="spellEnd"/>
      <w:r w:rsidR="00E6740E">
        <w:t xml:space="preserve"> (</w:t>
      </w:r>
      <w:proofErr w:type="spellStart"/>
      <w:r w:rsidR="00E6740E">
        <w:t>Colab</w:t>
      </w:r>
      <w:proofErr w:type="spellEnd"/>
      <w:r w:rsidR="00E6740E">
        <w:t>)</w:t>
      </w:r>
      <w:r>
        <w:t xml:space="preserve">, Python 3.7.13, available for free as web application. </w:t>
      </w:r>
      <w:r w:rsidR="009511E1">
        <w:t xml:space="preserve">The libraries used were </w:t>
      </w:r>
      <w:r w:rsidR="009511E1" w:rsidRPr="009511E1">
        <w:rPr>
          <w:i/>
          <w:iCs/>
        </w:rPr>
        <w:t>pandas</w:t>
      </w:r>
      <w:r w:rsidR="009511E1">
        <w:t xml:space="preserve"> (Pandas, 2023), </w:t>
      </w:r>
      <w:r w:rsidR="009511E1" w:rsidRPr="009511E1">
        <w:rPr>
          <w:i/>
          <w:iCs/>
        </w:rPr>
        <w:t>NumPy</w:t>
      </w:r>
      <w:r w:rsidR="009511E1">
        <w:t xml:space="preserve"> (</w:t>
      </w:r>
      <w:proofErr w:type="spellStart"/>
      <w:r w:rsidR="009511E1">
        <w:t>Numpy</w:t>
      </w:r>
      <w:proofErr w:type="spellEnd"/>
      <w:r w:rsidR="009511E1">
        <w:t>, 2022), matplotlib 3.7.0 (Matplotlib, 2023)</w:t>
      </w:r>
      <w:r w:rsidR="00C364D8">
        <w:t>, seaborn (Seaborn, 2022)</w:t>
      </w:r>
      <w:r w:rsidR="00C91893">
        <w:t xml:space="preserve"> and scikit-learn (</w:t>
      </w:r>
      <w:proofErr w:type="spellStart"/>
      <w:r w:rsidR="00C91893">
        <w:t>Scilit</w:t>
      </w:r>
      <w:proofErr w:type="spellEnd"/>
      <w:r w:rsidR="00C91893">
        <w:t>-learn, 2023).</w:t>
      </w:r>
    </w:p>
    <w:p w14:paraId="107F73FF" w14:textId="6F1A4BE7" w:rsidR="003A2041" w:rsidRDefault="003A2041" w:rsidP="003A2041">
      <w:pPr>
        <w:pStyle w:val="CETheadingx"/>
        <w:numPr>
          <w:ilvl w:val="1"/>
          <w:numId w:val="17"/>
        </w:numPr>
        <w:tabs>
          <w:tab w:val="clear" w:pos="7100"/>
        </w:tabs>
        <w:ind w:left="0" w:firstLine="0"/>
        <w:jc w:val="left"/>
        <w:rPr>
          <w:lang w:eastAsia="en-US"/>
        </w:rPr>
      </w:pPr>
      <w:r>
        <w:rPr>
          <w:lang w:eastAsia="en-US"/>
        </w:rPr>
        <w:t>Data analysis and wrangling</w:t>
      </w:r>
    </w:p>
    <w:p w14:paraId="28CC4AB8" w14:textId="2FC324C5" w:rsidR="003A2041" w:rsidRDefault="00D66E2E" w:rsidP="003A2041">
      <w:pPr>
        <w:pBdr>
          <w:top w:val="nil"/>
          <w:left w:val="nil"/>
          <w:bottom w:val="nil"/>
          <w:right w:val="nil"/>
          <w:between w:val="nil"/>
        </w:pBdr>
      </w:pPr>
      <w:r w:rsidRPr="00D66E2E">
        <w:t>The data underwent information counting on each variable to check for missing data and some basic statistics</w:t>
      </w:r>
      <w:r w:rsidR="003D642C">
        <w:t>, such as mean, median, standard deviation</w:t>
      </w:r>
      <w:r>
        <w:t xml:space="preserve">, </w:t>
      </w:r>
      <w:r w:rsidRPr="00D66E2E">
        <w:t xml:space="preserve">i.e. the functions </w:t>
      </w:r>
      <w:proofErr w:type="gramStart"/>
      <w:r w:rsidRPr="00D66E2E">
        <w:t>".</w:t>
      </w:r>
      <w:proofErr w:type="spellStart"/>
      <w:r w:rsidRPr="00D66E2E">
        <w:t>isnull</w:t>
      </w:r>
      <w:proofErr w:type="spellEnd"/>
      <w:proofErr w:type="gramEnd"/>
      <w:r w:rsidRPr="00D66E2E">
        <w:t>()", "sum()" and "describe()" were applied</w:t>
      </w:r>
      <w:r w:rsidR="00EF1DA3">
        <w:t xml:space="preserve">. And to fill missing data it was used </w:t>
      </w:r>
      <w:proofErr w:type="gramStart"/>
      <w:r w:rsidR="00EF1DA3">
        <w:t>“.</w:t>
      </w:r>
      <w:proofErr w:type="spellStart"/>
      <w:r w:rsidR="00EF1DA3">
        <w:t>fillna</w:t>
      </w:r>
      <w:proofErr w:type="spellEnd"/>
      <w:proofErr w:type="gramEnd"/>
      <w:r w:rsidR="00EF1DA3">
        <w:t>(method=’</w:t>
      </w:r>
      <w:proofErr w:type="spellStart"/>
      <w:r w:rsidR="00EF1DA3">
        <w:t>bfill</w:t>
      </w:r>
      <w:proofErr w:type="spellEnd"/>
      <w:r w:rsidR="00EF1DA3">
        <w:t>’)”, this methodology propagates the first observed non-null value b</w:t>
      </w:r>
      <w:r w:rsidR="00E6740E">
        <w:t>a</w:t>
      </w:r>
      <w:r w:rsidR="00EF1DA3">
        <w:t>ckward until another non-value is met</w:t>
      </w:r>
      <w:r w:rsidR="00E6740E">
        <w:t>.</w:t>
      </w:r>
    </w:p>
    <w:p w14:paraId="221FC76D" w14:textId="7E07AEDD" w:rsidR="006525D0" w:rsidRDefault="00CF3E91" w:rsidP="00CF3E91">
      <w:pPr>
        <w:pStyle w:val="CETheadingx"/>
        <w:numPr>
          <w:ilvl w:val="1"/>
          <w:numId w:val="17"/>
        </w:numPr>
        <w:tabs>
          <w:tab w:val="clear" w:pos="7100"/>
        </w:tabs>
        <w:ind w:left="0" w:firstLine="0"/>
        <w:jc w:val="left"/>
        <w:rPr>
          <w:lang w:eastAsia="en-US"/>
        </w:rPr>
      </w:pPr>
      <w:r>
        <w:rPr>
          <w:lang w:eastAsia="en-US"/>
        </w:rPr>
        <w:t>Statistical</w:t>
      </w:r>
      <w:r w:rsidR="00E6740E">
        <w:rPr>
          <w:lang w:eastAsia="en-US"/>
        </w:rPr>
        <w:t xml:space="preserve"> analysis </w:t>
      </w:r>
    </w:p>
    <w:p w14:paraId="3EFE282C" w14:textId="6EC6EAE9" w:rsidR="00E6740E" w:rsidRPr="0059714F" w:rsidRDefault="00C26623" w:rsidP="00CF3E91">
      <w:pPr>
        <w:pBdr>
          <w:top w:val="nil"/>
          <w:left w:val="nil"/>
          <w:bottom w:val="nil"/>
          <w:right w:val="nil"/>
          <w:between w:val="nil"/>
        </w:pBdr>
        <w:rPr>
          <w:lang w:val="en-US"/>
        </w:rPr>
      </w:pPr>
      <w:r>
        <w:t xml:space="preserve">After adjustments, the database was evaluated for statistical analysis. </w:t>
      </w:r>
      <w:r w:rsidR="0059714F" w:rsidRPr="0059714F">
        <w:t>First, histograms (</w:t>
      </w:r>
      <w:proofErr w:type="gramStart"/>
      <w:r w:rsidR="0059714F" w:rsidRPr="0059714F">
        <w:t>“.hist</w:t>
      </w:r>
      <w:proofErr w:type="gramEnd"/>
      <w:r w:rsidR="0059714F" w:rsidRPr="0059714F">
        <w:t>()”) were performed to qualitatively verify the frequency distributions</w:t>
      </w:r>
      <w:r w:rsidR="0059714F">
        <w:t>.</w:t>
      </w:r>
    </w:p>
    <w:p w14:paraId="3D6F62BD" w14:textId="3AEC516B" w:rsidR="00E6740E" w:rsidRDefault="008856B7" w:rsidP="00BD27EE">
      <w:pPr>
        <w:pBdr>
          <w:top w:val="nil"/>
          <w:left w:val="nil"/>
          <w:bottom w:val="nil"/>
          <w:right w:val="nil"/>
          <w:between w:val="nil"/>
        </w:pBdr>
      </w:pPr>
      <w:r>
        <w:t>Correlation coefficient can describe the monotonicity of two variables. The Spearman coefficient is a correlation measure with strictly monoto</w:t>
      </w:r>
      <w:r w:rsidR="00687DE4">
        <w:t>ne transformation invariance. The heat map can express correlation diagram, +1 or -1 indica</w:t>
      </w:r>
      <w:r w:rsidR="00D66E2E">
        <w:t>ting</w:t>
      </w:r>
      <w:r w:rsidR="00687DE4">
        <w:t xml:space="preserve"> </w:t>
      </w:r>
      <w:r w:rsidR="00201DA1">
        <w:t>how much</w:t>
      </w:r>
      <w:r w:rsidR="00687DE4">
        <w:t xml:space="preserve"> stronger the relationship between variables.</w:t>
      </w:r>
      <w:r w:rsidR="00D66E2E">
        <w:t xml:space="preserve"> The</w:t>
      </w:r>
      <w:r w:rsidR="00687DE4">
        <w:t xml:space="preserve"> </w:t>
      </w:r>
      <w:proofErr w:type="gramStart"/>
      <w:r w:rsidR="00687DE4">
        <w:t>“.</w:t>
      </w:r>
      <w:proofErr w:type="spellStart"/>
      <w:r w:rsidR="00687DE4">
        <w:t>corr</w:t>
      </w:r>
      <w:proofErr w:type="spellEnd"/>
      <w:proofErr w:type="gramEnd"/>
      <w:r w:rsidR="00687DE4">
        <w:t>()” and “.heatmap()” functions were used to obtain values corresponding to correlation matrix.</w:t>
      </w:r>
    </w:p>
    <w:p w14:paraId="039F7460" w14:textId="6E11516C" w:rsidR="00D7721C" w:rsidRDefault="00D7721C" w:rsidP="00D7721C">
      <w:pPr>
        <w:pBdr>
          <w:top w:val="nil"/>
          <w:left w:val="nil"/>
          <w:bottom w:val="nil"/>
          <w:right w:val="nil"/>
          <w:between w:val="nil"/>
        </w:pBdr>
      </w:pPr>
      <w:r>
        <w:t xml:space="preserve">The strength of a </w:t>
      </w:r>
      <w:r w:rsidR="00082F1F">
        <w:t xml:space="preserve">Spearman </w:t>
      </w:r>
      <w:r>
        <w:t xml:space="preserve">correlation is categorized using the following guidelines for the absolute value of </w:t>
      </w:r>
      <w:r w:rsidR="00082F1F">
        <w:t>c</w:t>
      </w:r>
      <w:r>
        <w:t>oefficient (Rs)</w:t>
      </w:r>
      <w:r w:rsidR="00901A12">
        <w:t>, Zhao et al. (2022)</w:t>
      </w:r>
      <w:r>
        <w:t>:</w:t>
      </w:r>
    </w:p>
    <w:p w14:paraId="02881B6B" w14:textId="06B3C504" w:rsidR="00D7721C" w:rsidRPr="00082F1F" w:rsidRDefault="00D7721C" w:rsidP="00D7721C">
      <w:pPr>
        <w:pBdr>
          <w:top w:val="nil"/>
          <w:left w:val="nil"/>
          <w:bottom w:val="nil"/>
          <w:right w:val="nil"/>
          <w:between w:val="nil"/>
        </w:pBdr>
      </w:pPr>
      <m:oMathPara>
        <m:oMath>
          <m:r>
            <w:rPr>
              <w:rFonts w:ascii="Cambria Math" w:hAnsi="Cambria Math"/>
            </w:rPr>
            <m:t>0.80≤</m:t>
          </m:r>
          <m:d>
            <m:dPr>
              <m:begChr m:val="|"/>
              <m:endChr m:val="|"/>
              <m:ctrlPr>
                <w:rPr>
                  <w:rFonts w:ascii="Cambria Math" w:hAnsi="Cambria Math"/>
                  <w:i/>
                </w:rPr>
              </m:ctrlPr>
            </m:dPr>
            <m:e>
              <m:r>
                <w:rPr>
                  <w:rFonts w:ascii="Cambria Math" w:hAnsi="Cambria Math"/>
                </w:rPr>
                <m:t>Rs</m:t>
              </m:r>
            </m:e>
          </m:d>
          <m:r>
            <w:rPr>
              <w:rFonts w:ascii="Cambria Math" w:hAnsi="Cambria Math"/>
            </w:rPr>
            <m:t>≤1.0 "very strong";</m:t>
          </m:r>
        </m:oMath>
      </m:oMathPara>
    </w:p>
    <w:p w14:paraId="0718EE16" w14:textId="14039404" w:rsidR="00082F1F" w:rsidRDefault="00082F1F" w:rsidP="00082F1F">
      <w:pPr>
        <w:pBdr>
          <w:top w:val="nil"/>
          <w:left w:val="nil"/>
          <w:bottom w:val="nil"/>
          <w:right w:val="nil"/>
          <w:between w:val="nil"/>
        </w:pBdr>
      </w:pPr>
      <m:oMathPara>
        <m:oMath>
          <m:r>
            <w:rPr>
              <w:rFonts w:ascii="Cambria Math" w:hAnsi="Cambria Math"/>
            </w:rPr>
            <m:t>0.60≤</m:t>
          </m:r>
          <m:d>
            <m:dPr>
              <m:begChr m:val="|"/>
              <m:endChr m:val="|"/>
              <m:ctrlPr>
                <w:rPr>
                  <w:rFonts w:ascii="Cambria Math" w:hAnsi="Cambria Math"/>
                  <w:i/>
                </w:rPr>
              </m:ctrlPr>
            </m:dPr>
            <m:e>
              <m:r>
                <w:rPr>
                  <w:rFonts w:ascii="Cambria Math" w:hAnsi="Cambria Math"/>
                </w:rPr>
                <m:t>Rs</m:t>
              </m:r>
            </m:e>
          </m:d>
          <m:r>
            <w:rPr>
              <w:rFonts w:ascii="Cambria Math" w:hAnsi="Cambria Math"/>
            </w:rPr>
            <m:t>≤0.79 "strong";</m:t>
          </m:r>
        </m:oMath>
      </m:oMathPara>
    </w:p>
    <w:p w14:paraId="1D0DDAC3" w14:textId="70D82B14" w:rsidR="00082F1F" w:rsidRDefault="00082F1F" w:rsidP="00082F1F">
      <w:pPr>
        <w:pBdr>
          <w:top w:val="nil"/>
          <w:left w:val="nil"/>
          <w:bottom w:val="nil"/>
          <w:right w:val="nil"/>
          <w:between w:val="nil"/>
        </w:pBdr>
      </w:pPr>
      <m:oMathPara>
        <m:oMath>
          <m:r>
            <w:rPr>
              <w:rFonts w:ascii="Cambria Math" w:hAnsi="Cambria Math"/>
            </w:rPr>
            <m:t>0.40≤</m:t>
          </m:r>
          <m:d>
            <m:dPr>
              <m:begChr m:val="|"/>
              <m:endChr m:val="|"/>
              <m:ctrlPr>
                <w:rPr>
                  <w:rFonts w:ascii="Cambria Math" w:hAnsi="Cambria Math"/>
                  <w:i/>
                </w:rPr>
              </m:ctrlPr>
            </m:dPr>
            <m:e>
              <m:r>
                <w:rPr>
                  <w:rFonts w:ascii="Cambria Math" w:hAnsi="Cambria Math"/>
                </w:rPr>
                <m:t>Rs</m:t>
              </m:r>
            </m:e>
          </m:d>
          <m:r>
            <w:rPr>
              <w:rFonts w:ascii="Cambria Math" w:hAnsi="Cambria Math"/>
            </w:rPr>
            <m:t>≤0.59 "moderate";</m:t>
          </m:r>
        </m:oMath>
      </m:oMathPara>
    </w:p>
    <w:p w14:paraId="5852E621" w14:textId="1DCB4FA3" w:rsidR="00082F1F" w:rsidRDefault="00082F1F" w:rsidP="00082F1F">
      <w:pPr>
        <w:pBdr>
          <w:top w:val="nil"/>
          <w:left w:val="nil"/>
          <w:bottom w:val="nil"/>
          <w:right w:val="nil"/>
          <w:between w:val="nil"/>
        </w:pBdr>
      </w:pPr>
      <m:oMathPara>
        <m:oMath>
          <m:r>
            <w:rPr>
              <w:rFonts w:ascii="Cambria Math" w:hAnsi="Cambria Math"/>
            </w:rPr>
            <m:t>0.20≤</m:t>
          </m:r>
          <m:d>
            <m:dPr>
              <m:begChr m:val="|"/>
              <m:endChr m:val="|"/>
              <m:ctrlPr>
                <w:rPr>
                  <w:rFonts w:ascii="Cambria Math" w:hAnsi="Cambria Math"/>
                  <w:i/>
                </w:rPr>
              </m:ctrlPr>
            </m:dPr>
            <m:e>
              <m:r>
                <w:rPr>
                  <w:rFonts w:ascii="Cambria Math" w:hAnsi="Cambria Math"/>
                </w:rPr>
                <m:t>Rs</m:t>
              </m:r>
            </m:e>
          </m:d>
          <m:r>
            <w:rPr>
              <w:rFonts w:ascii="Cambria Math" w:hAnsi="Cambria Math"/>
            </w:rPr>
            <m:t>≤0.39 "weak";</m:t>
          </m:r>
        </m:oMath>
      </m:oMathPara>
    </w:p>
    <w:p w14:paraId="651E123B" w14:textId="775313BC" w:rsidR="00D66E2E" w:rsidRDefault="00082F1F" w:rsidP="00BD27EE">
      <w:pPr>
        <w:pBdr>
          <w:top w:val="nil"/>
          <w:left w:val="nil"/>
          <w:bottom w:val="nil"/>
          <w:right w:val="nil"/>
          <w:between w:val="nil"/>
        </w:pBdr>
      </w:pPr>
      <m:oMathPara>
        <m:oMath>
          <m:r>
            <w:rPr>
              <w:rFonts w:ascii="Cambria Math" w:hAnsi="Cambria Math"/>
            </w:rPr>
            <m:t>0.00≤</m:t>
          </m:r>
          <m:d>
            <m:dPr>
              <m:begChr m:val="|"/>
              <m:endChr m:val="|"/>
              <m:ctrlPr>
                <w:rPr>
                  <w:rFonts w:ascii="Cambria Math" w:hAnsi="Cambria Math"/>
                  <w:i/>
                </w:rPr>
              </m:ctrlPr>
            </m:dPr>
            <m:e>
              <m:r>
                <w:rPr>
                  <w:rFonts w:ascii="Cambria Math" w:hAnsi="Cambria Math"/>
                </w:rPr>
                <m:t>Rs</m:t>
              </m:r>
            </m:e>
          </m:d>
          <m:r>
            <w:rPr>
              <w:rFonts w:ascii="Cambria Math" w:hAnsi="Cambria Math"/>
            </w:rPr>
            <m:t xml:space="preserve">≤0.19 </m:t>
          </m:r>
          <m:r>
            <m:rPr>
              <m:nor/>
            </m:rPr>
            <w:rPr>
              <w:rFonts w:ascii="Cambria Math" w:hAnsi="Cambria Math"/>
            </w:rPr>
            <m:t>very weak</m:t>
          </m:r>
          <m:r>
            <w:rPr>
              <w:rFonts w:ascii="Cambria Math" w:hAnsi="Cambria Math"/>
            </w:rPr>
            <m:t>.</m:t>
          </m:r>
        </m:oMath>
      </m:oMathPara>
    </w:p>
    <w:p w14:paraId="2CD7FDC0" w14:textId="3FDF63BC" w:rsidR="00E6740E" w:rsidRPr="00BD27EE" w:rsidRDefault="00C26623" w:rsidP="00BD27EE">
      <w:pPr>
        <w:pBdr>
          <w:top w:val="nil"/>
          <w:left w:val="nil"/>
          <w:bottom w:val="nil"/>
          <w:right w:val="nil"/>
          <w:between w:val="nil"/>
        </w:pBdr>
      </w:pPr>
      <w:r w:rsidRPr="00C26623">
        <w:t xml:space="preserve">Principal Component Analysis (PCA) </w:t>
      </w:r>
      <w:r>
        <w:t>was</w:t>
      </w:r>
      <w:r w:rsidRPr="00C26623">
        <w:t xml:space="preserve"> </w:t>
      </w:r>
      <w:r w:rsidR="00D66E2E">
        <w:t>adopted</w:t>
      </w:r>
      <w:r w:rsidRPr="00C26623">
        <w:t xml:space="preserve"> for dimensionality reduction</w:t>
      </w:r>
      <w:r>
        <w:t xml:space="preserve"> or </w:t>
      </w:r>
      <w:r w:rsidR="00D66E2E">
        <w:t>to arrange</w:t>
      </w:r>
      <w:r>
        <w:t xml:space="preserve"> the importance of variables by rank.</w:t>
      </w:r>
      <w:r w:rsidRPr="00C26623">
        <w:t xml:space="preserve"> </w:t>
      </w:r>
      <w:r>
        <w:t>Then, the main objective was identifying the inter-relationship among the independent variables.</w:t>
      </w:r>
      <w:r w:rsidR="003C1302">
        <w:t xml:space="preserve"> </w:t>
      </w:r>
      <w:r w:rsidR="00D66E2E" w:rsidRPr="00D66E2E">
        <w:t>The “</w:t>
      </w:r>
      <w:proofErr w:type="gramStart"/>
      <w:r w:rsidR="00D66E2E" w:rsidRPr="00D66E2E">
        <w:t>PCA(</w:t>
      </w:r>
      <w:proofErr w:type="gramEnd"/>
      <w:r w:rsidR="00D66E2E" w:rsidRPr="00D66E2E">
        <w:t xml:space="preserve">)” function along with graphical techniques based on </w:t>
      </w:r>
      <w:r w:rsidR="00D66E2E" w:rsidRPr="00D66E2E">
        <w:rPr>
          <w:i/>
          <w:iCs/>
        </w:rPr>
        <w:t>scree plot</w:t>
      </w:r>
      <w:r w:rsidR="00D66E2E" w:rsidRPr="00D66E2E">
        <w:t xml:space="preserve"> (which shows the eigenvalues in decreasing order) were a</w:t>
      </w:r>
      <w:r w:rsidR="00D66E2E">
        <w:t>nalysed</w:t>
      </w:r>
      <w:r w:rsidR="00D66E2E" w:rsidRPr="00D66E2E">
        <w:t>.</w:t>
      </w:r>
    </w:p>
    <w:p w14:paraId="0036E526" w14:textId="6666911C" w:rsidR="00E7275C" w:rsidRPr="00721A7C" w:rsidRDefault="00000000" w:rsidP="00721A7C">
      <w:pPr>
        <w:pStyle w:val="PargrafodaLista"/>
        <w:keepNext/>
        <w:numPr>
          <w:ilvl w:val="0"/>
          <w:numId w:val="15"/>
        </w:numPr>
        <w:pBdr>
          <w:top w:val="nil"/>
          <w:left w:val="nil"/>
          <w:bottom w:val="nil"/>
          <w:right w:val="nil"/>
          <w:between w:val="nil"/>
        </w:pBdr>
        <w:spacing w:before="240" w:after="120" w:line="240" w:lineRule="auto"/>
        <w:jc w:val="left"/>
      </w:pPr>
      <w:r w:rsidRPr="00BD27EE">
        <w:rPr>
          <w:rFonts w:eastAsia="Arial" w:cs="Arial"/>
          <w:b/>
          <w:color w:val="000000"/>
          <w:sz w:val="20"/>
        </w:rPr>
        <w:t>Results and Discussion</w:t>
      </w:r>
    </w:p>
    <w:p w14:paraId="5615D978" w14:textId="7D86D737" w:rsidR="00124B82" w:rsidRPr="00701478" w:rsidRDefault="008D3F6C" w:rsidP="00701478">
      <w:pPr>
        <w:pBdr>
          <w:top w:val="nil"/>
          <w:left w:val="nil"/>
          <w:bottom w:val="nil"/>
          <w:right w:val="nil"/>
          <w:between w:val="nil"/>
        </w:pBdr>
        <w:rPr>
          <w:rFonts w:cs="Arial"/>
          <w:szCs w:val="18"/>
        </w:rPr>
      </w:pPr>
      <w:r>
        <w:rPr>
          <w:rFonts w:cs="Arial"/>
          <w:szCs w:val="18"/>
        </w:rPr>
        <w:t>The results of previous statistical analysis of the</w:t>
      </w:r>
      <w:r w:rsidR="00124B82">
        <w:rPr>
          <w:rFonts w:cs="Arial"/>
          <w:szCs w:val="18"/>
        </w:rPr>
        <w:t xml:space="preserve"> </w:t>
      </w:r>
      <w:proofErr w:type="spellStart"/>
      <w:r w:rsidR="00124B82">
        <w:rPr>
          <w:rFonts w:cs="Arial"/>
          <w:szCs w:val="18"/>
        </w:rPr>
        <w:t>subdataset</w:t>
      </w:r>
      <w:proofErr w:type="spellEnd"/>
      <w:r>
        <w:rPr>
          <w:rFonts w:cs="Arial"/>
          <w:szCs w:val="18"/>
        </w:rPr>
        <w:t xml:space="preserve"> </w:t>
      </w:r>
      <w:r w:rsidR="008E7D82" w:rsidRPr="008E7D82">
        <w:rPr>
          <w:i/>
          <w:iCs/>
        </w:rPr>
        <w:t>flow instability</w:t>
      </w:r>
      <w:r w:rsidR="008E7D82" w:rsidRPr="00BD27EE">
        <w:t xml:space="preserve"> </w:t>
      </w:r>
      <w:r w:rsidR="008E7D82">
        <w:t xml:space="preserve">(from </w:t>
      </w:r>
      <w:r>
        <w:rPr>
          <w:rFonts w:cs="Arial"/>
          <w:szCs w:val="18"/>
        </w:rPr>
        <w:t>3W dataset</w:t>
      </w:r>
      <w:r w:rsidR="008E7D82">
        <w:rPr>
          <w:rFonts w:cs="Arial"/>
          <w:szCs w:val="18"/>
        </w:rPr>
        <w:t>)</w:t>
      </w:r>
      <w:r w:rsidR="00124B82">
        <w:rPr>
          <w:rFonts w:cs="Arial"/>
          <w:szCs w:val="18"/>
        </w:rPr>
        <w:t xml:space="preserve"> showed that all variables had missing data (Not a Number - </w:t>
      </w:r>
      <w:proofErr w:type="spellStart"/>
      <w:r w:rsidR="00124B82">
        <w:rPr>
          <w:rFonts w:cs="Arial"/>
          <w:szCs w:val="18"/>
        </w:rPr>
        <w:t>NaN</w:t>
      </w:r>
      <w:proofErr w:type="spellEnd"/>
      <w:r w:rsidR="00124B82">
        <w:rPr>
          <w:rFonts w:cs="Arial"/>
          <w:szCs w:val="18"/>
        </w:rPr>
        <w:t>),</w:t>
      </w:r>
      <w:r w:rsidR="005A26B0">
        <w:rPr>
          <w:rFonts w:cs="Arial"/>
          <w:szCs w:val="18"/>
        </w:rPr>
        <w:t xml:space="preserve"> such as: </w:t>
      </w:r>
      <w:r w:rsidR="005A26B0">
        <w:t>P-PDG</w:t>
      </w:r>
      <w:r w:rsidR="005A26B0">
        <w:t xml:space="preserve"> - </w:t>
      </w:r>
      <w:r w:rsidR="005A26B0">
        <w:t>750.0</w:t>
      </w:r>
      <w:r w:rsidR="005A26B0">
        <w:t>;</w:t>
      </w:r>
      <w:r w:rsidR="00124B82">
        <w:rPr>
          <w:rFonts w:cs="Arial"/>
          <w:szCs w:val="18"/>
        </w:rPr>
        <w:t xml:space="preserve"> </w:t>
      </w:r>
      <w:r w:rsidR="005A26B0">
        <w:t>P-TPT</w:t>
      </w:r>
      <w:r w:rsidR="005A26B0">
        <w:t xml:space="preserve"> - </w:t>
      </w:r>
      <w:r w:rsidR="005A26B0">
        <w:t>1,067.0</w:t>
      </w:r>
      <w:r w:rsidR="005A26B0">
        <w:t>;</w:t>
      </w:r>
      <w:r w:rsidR="00290D01">
        <w:t xml:space="preserve"> </w:t>
      </w:r>
      <w:r w:rsidR="00290D01">
        <w:t>T-TPT</w:t>
      </w:r>
      <w:r w:rsidR="00290D01">
        <w:t xml:space="preserve"> - </w:t>
      </w:r>
      <w:r w:rsidR="00290D01">
        <w:t>1,056.0</w:t>
      </w:r>
      <w:r w:rsidR="00290D01">
        <w:t xml:space="preserve">; </w:t>
      </w:r>
      <w:r w:rsidR="00290D01">
        <w:rPr>
          <w:rFonts w:cs="Arial"/>
          <w:szCs w:val="18"/>
        </w:rPr>
        <w:t>P-MON-CKP</w:t>
      </w:r>
      <w:r w:rsidR="00290D01">
        <w:rPr>
          <w:rFonts w:cs="Arial"/>
          <w:szCs w:val="18"/>
        </w:rPr>
        <w:t xml:space="preserve"> - </w:t>
      </w:r>
      <w:r w:rsidR="00290D01">
        <w:rPr>
          <w:rFonts w:cs="Arial"/>
          <w:szCs w:val="18"/>
        </w:rPr>
        <w:t>672</w:t>
      </w:r>
      <w:r w:rsidR="00290D01">
        <w:rPr>
          <w:rFonts w:cs="Arial"/>
          <w:szCs w:val="18"/>
        </w:rPr>
        <w:t xml:space="preserve">; </w:t>
      </w:r>
      <w:r w:rsidR="00290D01">
        <w:rPr>
          <w:rFonts w:cs="Arial"/>
          <w:szCs w:val="18"/>
        </w:rPr>
        <w:t>T-JUS-CKP</w:t>
      </w:r>
      <w:r w:rsidR="00701478">
        <w:rPr>
          <w:rFonts w:cs="Arial"/>
          <w:szCs w:val="18"/>
        </w:rPr>
        <w:t xml:space="preserve"> - </w:t>
      </w:r>
      <w:r w:rsidR="00701478">
        <w:rPr>
          <w:rFonts w:cs="Arial"/>
          <w:szCs w:val="18"/>
        </w:rPr>
        <w:t>1,126</w:t>
      </w:r>
      <w:r w:rsidR="00701478">
        <w:rPr>
          <w:rFonts w:cs="Arial"/>
          <w:szCs w:val="18"/>
        </w:rPr>
        <w:t xml:space="preserve">; </w:t>
      </w:r>
      <w:r w:rsidR="00701478">
        <w:rPr>
          <w:rFonts w:cs="Arial"/>
          <w:szCs w:val="18"/>
        </w:rPr>
        <w:t>P-JUS-CKGL</w:t>
      </w:r>
      <w:r w:rsidR="00701478">
        <w:rPr>
          <w:rFonts w:cs="Arial"/>
          <w:szCs w:val="18"/>
        </w:rPr>
        <w:t xml:space="preserve"> - </w:t>
      </w:r>
      <w:r w:rsidR="00701478">
        <w:t>1,243,569</w:t>
      </w:r>
      <w:r w:rsidR="00701478">
        <w:t>;</w:t>
      </w:r>
      <w:r w:rsidR="005A26B0">
        <w:rPr>
          <w:rFonts w:cs="Arial"/>
          <w:szCs w:val="18"/>
        </w:rPr>
        <w:t xml:space="preserve"> </w:t>
      </w:r>
      <w:r w:rsidR="00701478">
        <w:rPr>
          <w:rFonts w:cs="Arial"/>
          <w:szCs w:val="18"/>
        </w:rPr>
        <w:t>T-JUS-CKGL</w:t>
      </w:r>
      <w:r w:rsidR="00701478">
        <w:rPr>
          <w:rFonts w:cs="Arial"/>
          <w:szCs w:val="18"/>
        </w:rPr>
        <w:t xml:space="preserve"> - </w:t>
      </w:r>
      <w:r w:rsidR="00701478">
        <w:t>2,462,076</w:t>
      </w:r>
      <w:r w:rsidR="00701478">
        <w:t xml:space="preserve">; </w:t>
      </w:r>
      <w:r w:rsidR="00701478">
        <w:rPr>
          <w:rFonts w:cs="Arial"/>
          <w:szCs w:val="18"/>
        </w:rPr>
        <w:t>QGL</w:t>
      </w:r>
      <w:r w:rsidR="00701478">
        <w:rPr>
          <w:rFonts w:cs="Arial"/>
          <w:szCs w:val="18"/>
        </w:rPr>
        <w:t xml:space="preserve"> - </w:t>
      </w:r>
      <w:r w:rsidR="00701478">
        <w:t>579,609</w:t>
      </w:r>
      <w:r w:rsidR="00124B82">
        <w:rPr>
          <w:rFonts w:cs="Arial"/>
          <w:szCs w:val="18"/>
        </w:rPr>
        <w:t>.</w:t>
      </w:r>
      <w:r w:rsidR="00701478">
        <w:rPr>
          <w:rFonts w:cs="Arial"/>
          <w:szCs w:val="18"/>
        </w:rPr>
        <w:t xml:space="preserve"> </w:t>
      </w:r>
      <w:r w:rsidR="008E7D82">
        <w:t xml:space="preserve">The percentage of missing data </w:t>
      </w:r>
      <w:r w:rsidR="000C76C0">
        <w:t>were</w:t>
      </w:r>
      <w:r w:rsidR="008E7D82">
        <w:t xml:space="preserve"> calculated, it is possible to assess the impact in database. Thereby, </w:t>
      </w:r>
      <w:r w:rsidR="008E7D82" w:rsidRPr="009332B8">
        <w:rPr>
          <w:rFonts w:cs="Arial"/>
          <w:szCs w:val="18"/>
        </w:rPr>
        <w:t xml:space="preserve">the variables </w:t>
      </w:r>
      <w:r w:rsidR="00EB1940">
        <w:rPr>
          <w:rFonts w:cs="Arial"/>
          <w:szCs w:val="18"/>
        </w:rPr>
        <w:t>with the highest number of</w:t>
      </w:r>
      <w:r w:rsidR="008E7D82" w:rsidRPr="009332B8">
        <w:rPr>
          <w:rFonts w:cs="Arial"/>
          <w:szCs w:val="18"/>
        </w:rPr>
        <w:t xml:space="preserve"> missing data were P-JUS-CKGL and T-JUS</w:t>
      </w:r>
      <w:r w:rsidR="008E7D82" w:rsidRPr="009332B8">
        <w:rPr>
          <w:rFonts w:cs="Arial"/>
          <w:color w:val="000000"/>
          <w:szCs w:val="18"/>
        </w:rPr>
        <w:t xml:space="preserve"> </w:t>
      </w:r>
      <w:r w:rsidR="008E7D82" w:rsidRPr="009332B8">
        <w:rPr>
          <w:rFonts w:cs="Arial"/>
          <w:szCs w:val="18"/>
        </w:rPr>
        <w:t>-CKGL</w:t>
      </w:r>
      <w:r w:rsidR="008E7D82">
        <w:rPr>
          <w:rFonts w:cs="Arial"/>
          <w:szCs w:val="18"/>
        </w:rPr>
        <w:t xml:space="preserve">, 50.50% and 100%, respectively. </w:t>
      </w:r>
      <w:r w:rsidR="0076631A">
        <w:rPr>
          <w:rFonts w:cs="Arial"/>
          <w:szCs w:val="18"/>
        </w:rPr>
        <w:t>This fact had repercussions on the removal of these two variables from the database.</w:t>
      </w:r>
    </w:p>
    <w:p w14:paraId="5856BBDF" w14:textId="0552ED5A" w:rsidR="00685B52" w:rsidRDefault="008A024F">
      <w:pPr>
        <w:pBdr>
          <w:top w:val="none" w:sz="0" w:space="1" w:color="auto"/>
        </w:pBdr>
        <w:spacing w:before="240" w:after="240"/>
        <w:rPr>
          <w:rFonts w:cs="Arial"/>
          <w:szCs w:val="18"/>
        </w:rPr>
      </w:pPr>
      <w:r>
        <w:rPr>
          <w:rFonts w:cs="Arial"/>
          <w:szCs w:val="18"/>
        </w:rPr>
        <w:t>T</w:t>
      </w:r>
      <w:r w:rsidR="00BB4651">
        <w:rPr>
          <w:rFonts w:cs="Arial"/>
          <w:szCs w:val="18"/>
        </w:rPr>
        <w:t xml:space="preserve">he behaviour of the variables </w:t>
      </w:r>
      <w:r w:rsidR="007A325E">
        <w:rPr>
          <w:rFonts w:cs="Arial"/>
          <w:szCs w:val="18"/>
        </w:rPr>
        <w:t>was</w:t>
      </w:r>
      <w:r w:rsidR="0010454C">
        <w:rPr>
          <w:rFonts w:cs="Arial"/>
          <w:szCs w:val="18"/>
        </w:rPr>
        <w:t xml:space="preserve"> evaluated,</w:t>
      </w:r>
      <w:r w:rsidR="00BB4651">
        <w:rPr>
          <w:rFonts w:cs="Arial"/>
          <w:szCs w:val="18"/>
        </w:rPr>
        <w:t xml:space="preserve"> </w:t>
      </w:r>
      <w:r w:rsidR="00EB1940">
        <w:rPr>
          <w:rFonts w:cs="Arial"/>
          <w:szCs w:val="18"/>
        </w:rPr>
        <w:t>displayed</w:t>
      </w:r>
      <w:r w:rsidR="00BB4651">
        <w:rPr>
          <w:rFonts w:cs="Arial"/>
          <w:szCs w:val="18"/>
        </w:rPr>
        <w:t xml:space="preserve"> in Figure 1. </w:t>
      </w:r>
      <w:r w:rsidR="00EB1940" w:rsidRPr="00EB1940">
        <w:rPr>
          <w:rFonts w:cs="Arial"/>
          <w:szCs w:val="18"/>
        </w:rPr>
        <w:t>Each variable was portrayed as completely different, considering the data collected for seven months</w:t>
      </w:r>
      <w:r w:rsidR="00E765E5">
        <w:rPr>
          <w:rFonts w:cs="Arial"/>
          <w:szCs w:val="18"/>
        </w:rPr>
        <w:t>.</w:t>
      </w:r>
      <w:r w:rsidR="00EB1940">
        <w:rPr>
          <w:rFonts w:cs="Arial"/>
          <w:szCs w:val="18"/>
        </w:rPr>
        <w:t xml:space="preserve"> The</w:t>
      </w:r>
      <w:r w:rsidR="00F01AE2">
        <w:rPr>
          <w:rFonts w:cs="Arial"/>
          <w:szCs w:val="18"/>
        </w:rPr>
        <w:t xml:space="preserve"> </w:t>
      </w:r>
      <w:r w:rsidR="00EB1940">
        <w:rPr>
          <w:rFonts w:cs="Arial"/>
          <w:szCs w:val="18"/>
        </w:rPr>
        <w:t>d</w:t>
      </w:r>
      <w:r>
        <w:rPr>
          <w:rFonts w:cs="Arial"/>
          <w:szCs w:val="18"/>
        </w:rPr>
        <w:t>atabase reveal</w:t>
      </w:r>
      <w:r w:rsidR="00EB1940">
        <w:rPr>
          <w:rFonts w:cs="Arial"/>
          <w:szCs w:val="18"/>
        </w:rPr>
        <w:t>ed</w:t>
      </w:r>
      <w:r>
        <w:rPr>
          <w:rFonts w:cs="Arial"/>
          <w:szCs w:val="18"/>
        </w:rPr>
        <w:t xml:space="preserve"> a</w:t>
      </w:r>
      <w:r w:rsidR="00F01AE2">
        <w:rPr>
          <w:rFonts w:cs="Arial"/>
          <w:szCs w:val="18"/>
        </w:rPr>
        <w:t xml:space="preserve"> type of event in oil wells </w:t>
      </w:r>
      <w:r>
        <w:rPr>
          <w:rFonts w:cs="Arial"/>
          <w:szCs w:val="18"/>
        </w:rPr>
        <w:t>that under</w:t>
      </w:r>
      <w:r w:rsidR="00EB1940">
        <w:rPr>
          <w:rFonts w:cs="Arial"/>
          <w:szCs w:val="18"/>
        </w:rPr>
        <w:t>went</w:t>
      </w:r>
      <w:r>
        <w:rPr>
          <w:rFonts w:cs="Arial"/>
          <w:szCs w:val="18"/>
        </w:rPr>
        <w:t xml:space="preserve"> relevant changes, but with tolerable amplitudes.</w:t>
      </w:r>
    </w:p>
    <w:p w14:paraId="13473214" w14:textId="3B93AE08" w:rsidR="00AD2632" w:rsidRPr="00BA4BD5" w:rsidRDefault="00AD2632">
      <w:pPr>
        <w:pBdr>
          <w:top w:val="none" w:sz="0" w:space="1" w:color="auto"/>
        </w:pBdr>
        <w:spacing w:before="240" w:after="240"/>
        <w:rPr>
          <w:rFonts w:cs="Arial"/>
          <w:szCs w:val="18"/>
        </w:rPr>
      </w:pPr>
      <w:r>
        <w:rPr>
          <w:noProof/>
        </w:rPr>
        <w:drawing>
          <wp:inline distT="0" distB="0" distL="0" distR="0" wp14:anchorId="2B882DEB" wp14:editId="6431E67D">
            <wp:extent cx="5576254" cy="3103765"/>
            <wp:effectExtent l="0" t="0" r="5715" b="1905"/>
            <wp:docPr id="1652680739" name="Imagem 1" descr="Tela de computador com texto preto sobre fundo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680739" name="Imagem 1" descr="Tela de computador com texto preto sobre fundo branco&#10;&#10;Descrição gerada automaticamente"/>
                    <pic:cNvPicPr/>
                  </pic:nvPicPr>
                  <pic:blipFill rotWithShape="1">
                    <a:blip r:embed="rId8"/>
                    <a:srcRect l="18188" t="13977" r="11515" b="16468"/>
                    <a:stretch/>
                  </pic:blipFill>
                  <pic:spPr bwMode="auto">
                    <a:xfrm>
                      <a:off x="0" y="0"/>
                      <a:ext cx="5576254" cy="3103765"/>
                    </a:xfrm>
                    <a:prstGeom prst="rect">
                      <a:avLst/>
                    </a:prstGeom>
                    <a:ln>
                      <a:noFill/>
                    </a:ln>
                    <a:extLst>
                      <a:ext uri="{53640926-AAD7-44D8-BBD7-CCE9431645EC}">
                        <a14:shadowObscured xmlns:a14="http://schemas.microsoft.com/office/drawing/2010/main"/>
                      </a:ext>
                    </a:extLst>
                  </pic:spPr>
                </pic:pic>
              </a:graphicData>
            </a:graphic>
          </wp:inline>
        </w:drawing>
      </w:r>
    </w:p>
    <w:p w14:paraId="51346BD9" w14:textId="04F83B7D" w:rsidR="00D659B0" w:rsidRPr="00D659B0" w:rsidRDefault="00D659B0" w:rsidP="00D659B0">
      <w:pPr>
        <w:pStyle w:val="CETCaption"/>
        <w:tabs>
          <w:tab w:val="clear" w:pos="7100"/>
        </w:tabs>
        <w:rPr>
          <w:rFonts w:cs="Arial"/>
          <w:i w:val="0"/>
          <w:color w:val="000000"/>
          <w:szCs w:val="18"/>
        </w:rPr>
      </w:pPr>
      <w:r w:rsidRPr="00D659B0">
        <w:rPr>
          <w:rStyle w:val="CETCaptionCarattere"/>
          <w:i/>
          <w:lang w:eastAsia="en-US"/>
        </w:rPr>
        <w:t xml:space="preserve">Figure 1: </w:t>
      </w:r>
      <w:r w:rsidR="00BA4BD5" w:rsidRPr="00D659B0">
        <w:rPr>
          <w:rFonts w:cs="Arial"/>
          <w:color w:val="000000"/>
          <w:szCs w:val="18"/>
        </w:rPr>
        <w:t>Behaviour</w:t>
      </w:r>
      <w:r w:rsidRPr="00D659B0">
        <w:rPr>
          <w:rFonts w:cs="Arial"/>
          <w:color w:val="000000"/>
          <w:szCs w:val="18"/>
        </w:rPr>
        <w:t xml:space="preserve"> of the variable</w:t>
      </w:r>
      <w:r w:rsidR="00BA4BD5">
        <w:rPr>
          <w:rFonts w:cs="Arial"/>
          <w:color w:val="000000"/>
          <w:szCs w:val="18"/>
        </w:rPr>
        <w:t>s</w:t>
      </w:r>
      <w:r w:rsidRPr="00D659B0">
        <w:rPr>
          <w:rFonts w:cs="Arial"/>
          <w:color w:val="000000"/>
          <w:szCs w:val="18"/>
        </w:rPr>
        <w:t xml:space="preserve"> </w:t>
      </w:r>
      <w:r w:rsidR="00BA4BD5" w:rsidRPr="009332B8">
        <w:rPr>
          <w:rFonts w:eastAsia="Arial" w:cs="Arial"/>
          <w:szCs w:val="18"/>
        </w:rPr>
        <w:t>P-PDG, P-TPT, T-TPT, P-MON-CKP, T-JUS-CKP, P-JUS-CKGL, T-JUS-CKGL and QGL</w:t>
      </w:r>
      <w:r w:rsidR="00BA4BD5">
        <w:rPr>
          <w:rFonts w:eastAsia="Arial" w:cs="Arial"/>
          <w:szCs w:val="18"/>
        </w:rPr>
        <w:t xml:space="preserve"> </w:t>
      </w:r>
      <w:r w:rsidR="00DA6ABF">
        <w:rPr>
          <w:rFonts w:eastAsia="Arial" w:cs="Arial"/>
          <w:szCs w:val="18"/>
        </w:rPr>
        <w:t>raw</w:t>
      </w:r>
      <w:r w:rsidR="00BA4BD5">
        <w:rPr>
          <w:rFonts w:eastAsia="Arial" w:cs="Arial"/>
          <w:szCs w:val="18"/>
        </w:rPr>
        <w:t xml:space="preserve"> data</w:t>
      </w:r>
      <w:r w:rsidRPr="00D659B0">
        <w:rPr>
          <w:rFonts w:cs="Arial"/>
          <w:color w:val="000000"/>
          <w:szCs w:val="18"/>
        </w:rPr>
        <w:t>.</w:t>
      </w:r>
    </w:p>
    <w:p w14:paraId="7346377A" w14:textId="7F2501E9" w:rsidR="00EB1940" w:rsidRPr="000C76C0" w:rsidRDefault="000C76C0" w:rsidP="000C76C0">
      <w:pPr>
        <w:pBdr>
          <w:top w:val="none" w:sz="0" w:space="1" w:color="auto"/>
        </w:pBdr>
        <w:spacing w:before="240" w:after="240"/>
        <w:rPr>
          <w:rFonts w:eastAsia="Arial" w:cs="Arial"/>
          <w:szCs w:val="18"/>
        </w:rPr>
      </w:pPr>
      <w:r w:rsidRPr="000C76C0">
        <w:rPr>
          <w:rFonts w:eastAsia="Arial" w:cs="Arial"/>
          <w:szCs w:val="18"/>
        </w:rPr>
        <w:t xml:space="preserve">In parallel, </w:t>
      </w:r>
      <w:r w:rsidR="00721A7C" w:rsidRPr="009332B8">
        <w:rPr>
          <w:rFonts w:eastAsia="Arial" w:cs="Arial"/>
          <w:szCs w:val="18"/>
        </w:rPr>
        <w:t xml:space="preserve">some information on the </w:t>
      </w:r>
      <w:r w:rsidR="00EB1940" w:rsidRPr="009332B8">
        <w:rPr>
          <w:rFonts w:eastAsia="Arial" w:cs="Arial"/>
          <w:szCs w:val="18"/>
        </w:rPr>
        <w:t xml:space="preserve">considered </w:t>
      </w:r>
      <w:r w:rsidR="00721A7C" w:rsidRPr="009332B8">
        <w:rPr>
          <w:rFonts w:eastAsia="Arial" w:cs="Arial"/>
          <w:szCs w:val="18"/>
        </w:rPr>
        <w:t>variables was verified, such as arithmetic mean, standard deviation</w:t>
      </w:r>
      <w:r w:rsidR="00EB1940">
        <w:rPr>
          <w:rFonts w:eastAsia="Arial" w:cs="Arial"/>
          <w:szCs w:val="18"/>
        </w:rPr>
        <w:t>,</w:t>
      </w:r>
      <w:r w:rsidR="00721A7C" w:rsidRPr="009332B8">
        <w:rPr>
          <w:rFonts w:eastAsia="Arial" w:cs="Arial"/>
          <w:szCs w:val="18"/>
        </w:rPr>
        <w:t xml:space="preserve"> maximum and minimum values, according to </w:t>
      </w:r>
      <w:r w:rsidR="000B272D">
        <w:rPr>
          <w:rFonts w:eastAsia="Arial" w:cs="Arial"/>
          <w:szCs w:val="18"/>
        </w:rPr>
        <w:t>T</w:t>
      </w:r>
      <w:r w:rsidR="00721A7C" w:rsidRPr="009332B8">
        <w:rPr>
          <w:rFonts w:eastAsia="Arial" w:cs="Arial"/>
          <w:szCs w:val="18"/>
        </w:rPr>
        <w:t xml:space="preserve">able </w:t>
      </w:r>
      <w:r w:rsidR="00A00F90">
        <w:rPr>
          <w:rFonts w:eastAsia="Arial" w:cs="Arial"/>
          <w:szCs w:val="18"/>
        </w:rPr>
        <w:t>2</w:t>
      </w:r>
      <w:r w:rsidR="00721A7C" w:rsidRPr="009332B8">
        <w:rPr>
          <w:rFonts w:eastAsia="Arial" w:cs="Arial"/>
          <w:szCs w:val="18"/>
        </w:rPr>
        <w:t>.</w:t>
      </w:r>
    </w:p>
    <w:p w14:paraId="66AC4C39" w14:textId="311C856E" w:rsidR="00E54B44" w:rsidRPr="00B57B36" w:rsidRDefault="00E54B44" w:rsidP="00E54B44">
      <w:pPr>
        <w:pStyle w:val="CETTabletitle"/>
      </w:pPr>
      <w:r w:rsidRPr="00B57B36">
        <w:t xml:space="preserve">Table </w:t>
      </w:r>
      <w:r w:rsidR="00A00F90">
        <w:t>2</w:t>
      </w:r>
      <w:r w:rsidRPr="00B57B36">
        <w:t xml:space="preserve">: </w:t>
      </w:r>
      <w:r>
        <w:t xml:space="preserve">Information on the variables considered. </w:t>
      </w:r>
    </w:p>
    <w:tbl>
      <w:tblPr>
        <w:tblW w:w="8973"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862"/>
        <w:gridCol w:w="1265"/>
        <w:gridCol w:w="1417"/>
        <w:gridCol w:w="1276"/>
        <w:gridCol w:w="1417"/>
        <w:gridCol w:w="1276"/>
        <w:gridCol w:w="1460"/>
      </w:tblGrid>
      <w:tr w:rsidR="0057395F" w:rsidRPr="00B57B36" w14:paraId="1D60FC72" w14:textId="799DBB7F" w:rsidTr="00987057">
        <w:trPr>
          <w:trHeight w:val="222"/>
        </w:trPr>
        <w:tc>
          <w:tcPr>
            <w:tcW w:w="862" w:type="dxa"/>
            <w:tcBorders>
              <w:top w:val="single" w:sz="12" w:space="0" w:color="008000"/>
              <w:bottom w:val="single" w:sz="6" w:space="0" w:color="008000"/>
            </w:tcBorders>
            <w:shd w:val="clear" w:color="auto" w:fill="FFFFFF"/>
          </w:tcPr>
          <w:p w14:paraId="7AF5081C" w14:textId="10DAAC35" w:rsidR="003C42E5" w:rsidRPr="00B57B36" w:rsidRDefault="003C42E5" w:rsidP="00D07E1E">
            <w:pPr>
              <w:pStyle w:val="CETBodytext"/>
              <w:rPr>
                <w:lang w:val="en-GB"/>
              </w:rPr>
            </w:pPr>
          </w:p>
        </w:tc>
        <w:tc>
          <w:tcPr>
            <w:tcW w:w="1265" w:type="dxa"/>
            <w:tcBorders>
              <w:top w:val="single" w:sz="12" w:space="0" w:color="008000"/>
              <w:bottom w:val="single" w:sz="6" w:space="0" w:color="008000"/>
            </w:tcBorders>
            <w:shd w:val="clear" w:color="auto" w:fill="FFFFFF"/>
          </w:tcPr>
          <w:p w14:paraId="25451F79" w14:textId="43622F5C" w:rsidR="003C42E5" w:rsidRPr="00B57B36" w:rsidRDefault="003C42E5" w:rsidP="00D07E1E">
            <w:pPr>
              <w:pStyle w:val="CETBodytext"/>
              <w:rPr>
                <w:lang w:val="en-GB"/>
              </w:rPr>
            </w:pPr>
            <w:r>
              <w:rPr>
                <w:lang w:val="en-GB"/>
              </w:rPr>
              <w:t>P-PDG</w:t>
            </w:r>
          </w:p>
        </w:tc>
        <w:tc>
          <w:tcPr>
            <w:tcW w:w="1417" w:type="dxa"/>
            <w:tcBorders>
              <w:top w:val="single" w:sz="12" w:space="0" w:color="008000"/>
              <w:bottom w:val="single" w:sz="6" w:space="0" w:color="008000"/>
            </w:tcBorders>
            <w:shd w:val="clear" w:color="auto" w:fill="FFFFFF"/>
          </w:tcPr>
          <w:p w14:paraId="67D51DD3" w14:textId="1800B2A8" w:rsidR="003C42E5" w:rsidRPr="00B57B36" w:rsidRDefault="003C42E5" w:rsidP="00D07E1E">
            <w:pPr>
              <w:pStyle w:val="CETBodytext"/>
              <w:rPr>
                <w:lang w:val="en-GB"/>
              </w:rPr>
            </w:pPr>
            <w:r>
              <w:rPr>
                <w:lang w:val="en-GB"/>
              </w:rPr>
              <w:t>P-TPT</w:t>
            </w:r>
          </w:p>
        </w:tc>
        <w:tc>
          <w:tcPr>
            <w:tcW w:w="1276" w:type="dxa"/>
            <w:tcBorders>
              <w:top w:val="single" w:sz="12" w:space="0" w:color="008000"/>
              <w:bottom w:val="single" w:sz="6" w:space="0" w:color="008000"/>
            </w:tcBorders>
            <w:shd w:val="clear" w:color="auto" w:fill="FFFFFF"/>
          </w:tcPr>
          <w:p w14:paraId="75E622AE" w14:textId="2C731FBF" w:rsidR="003C42E5" w:rsidRPr="00B57B36" w:rsidRDefault="003C42E5" w:rsidP="00D07E1E">
            <w:pPr>
              <w:pStyle w:val="CETBodytext"/>
              <w:ind w:right="-1"/>
              <w:rPr>
                <w:rFonts w:cs="Arial"/>
                <w:szCs w:val="18"/>
                <w:lang w:val="en-GB"/>
              </w:rPr>
            </w:pPr>
            <w:r>
              <w:rPr>
                <w:rFonts w:cs="Arial"/>
                <w:szCs w:val="18"/>
                <w:lang w:val="en-GB"/>
              </w:rPr>
              <w:t>T-TPT</w:t>
            </w:r>
          </w:p>
        </w:tc>
        <w:tc>
          <w:tcPr>
            <w:tcW w:w="1417" w:type="dxa"/>
            <w:tcBorders>
              <w:top w:val="single" w:sz="12" w:space="0" w:color="008000"/>
              <w:bottom w:val="single" w:sz="6" w:space="0" w:color="008000"/>
            </w:tcBorders>
            <w:shd w:val="clear" w:color="auto" w:fill="FFFFFF"/>
          </w:tcPr>
          <w:p w14:paraId="18CD7728" w14:textId="514A0F23" w:rsidR="003C42E5" w:rsidRPr="00B57B36" w:rsidRDefault="003C42E5" w:rsidP="00D07E1E">
            <w:pPr>
              <w:pStyle w:val="CETBodytext"/>
              <w:ind w:right="-1"/>
              <w:rPr>
                <w:rFonts w:cs="Arial"/>
                <w:szCs w:val="18"/>
                <w:lang w:val="en-GB"/>
              </w:rPr>
            </w:pPr>
            <w:r>
              <w:rPr>
                <w:rFonts w:cs="Arial"/>
                <w:szCs w:val="18"/>
                <w:lang w:val="en-GB"/>
              </w:rPr>
              <w:t>P-MON-CKP</w:t>
            </w:r>
          </w:p>
        </w:tc>
        <w:tc>
          <w:tcPr>
            <w:tcW w:w="1276" w:type="dxa"/>
            <w:tcBorders>
              <w:top w:val="single" w:sz="12" w:space="0" w:color="008000"/>
              <w:bottom w:val="single" w:sz="6" w:space="0" w:color="008000"/>
            </w:tcBorders>
            <w:shd w:val="clear" w:color="auto" w:fill="FFFFFF"/>
          </w:tcPr>
          <w:p w14:paraId="24927200" w14:textId="4477130F" w:rsidR="003C42E5" w:rsidRDefault="003C42E5" w:rsidP="00D07E1E">
            <w:pPr>
              <w:pStyle w:val="CETBodytext"/>
              <w:ind w:right="-1"/>
              <w:rPr>
                <w:rFonts w:cs="Arial"/>
                <w:szCs w:val="18"/>
                <w:lang w:val="en-GB"/>
              </w:rPr>
            </w:pPr>
            <w:r>
              <w:rPr>
                <w:rFonts w:cs="Arial"/>
                <w:szCs w:val="18"/>
                <w:lang w:val="en-GB"/>
              </w:rPr>
              <w:t>T-JUS-CKP</w:t>
            </w:r>
          </w:p>
        </w:tc>
        <w:tc>
          <w:tcPr>
            <w:tcW w:w="1460" w:type="dxa"/>
            <w:tcBorders>
              <w:top w:val="single" w:sz="12" w:space="0" w:color="008000"/>
              <w:bottom w:val="single" w:sz="6" w:space="0" w:color="008000"/>
            </w:tcBorders>
            <w:shd w:val="clear" w:color="auto" w:fill="FFFFFF"/>
          </w:tcPr>
          <w:p w14:paraId="332EFA0A" w14:textId="7B4EAD70" w:rsidR="003C42E5" w:rsidRDefault="003C42E5" w:rsidP="00D07E1E">
            <w:pPr>
              <w:pStyle w:val="CETBodytext"/>
              <w:ind w:right="-1"/>
              <w:rPr>
                <w:rFonts w:cs="Arial"/>
                <w:szCs w:val="18"/>
                <w:lang w:val="en-GB"/>
              </w:rPr>
            </w:pPr>
            <w:r>
              <w:rPr>
                <w:rFonts w:cs="Arial"/>
                <w:szCs w:val="18"/>
                <w:lang w:val="en-GB"/>
              </w:rPr>
              <w:t>QGL</w:t>
            </w:r>
          </w:p>
        </w:tc>
      </w:tr>
      <w:tr w:rsidR="0057395F" w:rsidRPr="003C42E5" w14:paraId="0F986D43" w14:textId="2C3B11B3" w:rsidTr="00987057">
        <w:trPr>
          <w:trHeight w:val="273"/>
        </w:trPr>
        <w:tc>
          <w:tcPr>
            <w:tcW w:w="862" w:type="dxa"/>
            <w:shd w:val="clear" w:color="auto" w:fill="FFFFFF"/>
          </w:tcPr>
          <w:p w14:paraId="2CC15CC2" w14:textId="1A8F0E03" w:rsidR="003C42E5" w:rsidRPr="00B57B36" w:rsidRDefault="003C42E5" w:rsidP="00D07E1E">
            <w:pPr>
              <w:pStyle w:val="CETBodytext"/>
              <w:rPr>
                <w:lang w:val="en-GB"/>
              </w:rPr>
            </w:pPr>
            <w:r>
              <w:rPr>
                <w:lang w:val="en-GB"/>
              </w:rPr>
              <w:t>Mean</w:t>
            </w:r>
          </w:p>
        </w:tc>
        <w:tc>
          <w:tcPr>
            <w:tcW w:w="1265" w:type="dxa"/>
            <w:shd w:val="clear" w:color="auto" w:fill="FFFFFF"/>
          </w:tcPr>
          <w:p w14:paraId="111052ED" w14:textId="68155E64" w:rsidR="003C42E5" w:rsidRPr="003C42E5" w:rsidRDefault="003C42E5" w:rsidP="003C42E5">
            <w:pPr>
              <w:rPr>
                <w:rFonts w:cs="Arial"/>
                <w:szCs w:val="18"/>
              </w:rPr>
            </w:pPr>
            <w:r w:rsidRPr="003C42E5">
              <w:rPr>
                <w:rFonts w:cs="Arial"/>
                <w:color w:val="000000"/>
                <w:szCs w:val="18"/>
              </w:rPr>
              <w:t>9.59693E+</w:t>
            </w:r>
            <w:r w:rsidR="00721A7C">
              <w:rPr>
                <w:rFonts w:cs="Arial"/>
                <w:color w:val="000000"/>
                <w:szCs w:val="18"/>
              </w:rPr>
              <w:t>06</w:t>
            </w:r>
          </w:p>
        </w:tc>
        <w:tc>
          <w:tcPr>
            <w:tcW w:w="1417" w:type="dxa"/>
            <w:shd w:val="clear" w:color="auto" w:fill="FFFFFF"/>
          </w:tcPr>
          <w:p w14:paraId="3A49F669" w14:textId="487C549C" w:rsidR="003C42E5" w:rsidRPr="003C42E5" w:rsidRDefault="003C42E5" w:rsidP="003C42E5">
            <w:pPr>
              <w:rPr>
                <w:rFonts w:cs="Arial"/>
                <w:szCs w:val="18"/>
              </w:rPr>
            </w:pPr>
            <w:r w:rsidRPr="003C42E5">
              <w:rPr>
                <w:rFonts w:cs="Arial"/>
                <w:color w:val="000000"/>
                <w:szCs w:val="18"/>
              </w:rPr>
              <w:t>1. 61094E+</w:t>
            </w:r>
            <w:r w:rsidR="006E4856">
              <w:rPr>
                <w:rFonts w:cs="Arial"/>
                <w:color w:val="000000"/>
                <w:szCs w:val="18"/>
              </w:rPr>
              <w:t>07</w:t>
            </w:r>
          </w:p>
        </w:tc>
        <w:tc>
          <w:tcPr>
            <w:tcW w:w="1276" w:type="dxa"/>
            <w:shd w:val="clear" w:color="auto" w:fill="FFFFFF"/>
          </w:tcPr>
          <w:p w14:paraId="427EE958" w14:textId="662CC9A5" w:rsidR="003C42E5" w:rsidRPr="003C42E5" w:rsidRDefault="003C42E5" w:rsidP="003C42E5">
            <w:pPr>
              <w:rPr>
                <w:rFonts w:cs="Arial"/>
                <w:szCs w:val="18"/>
              </w:rPr>
            </w:pPr>
            <w:r w:rsidRPr="003C42E5">
              <w:rPr>
                <w:rFonts w:cs="Arial"/>
                <w:color w:val="000000"/>
                <w:szCs w:val="18"/>
              </w:rPr>
              <w:t>9.53257E+0</w:t>
            </w:r>
            <w:r w:rsidR="00987057">
              <w:rPr>
                <w:rFonts w:cs="Arial"/>
                <w:color w:val="000000"/>
                <w:szCs w:val="18"/>
              </w:rPr>
              <w:t>1</w:t>
            </w:r>
          </w:p>
        </w:tc>
        <w:tc>
          <w:tcPr>
            <w:tcW w:w="1417" w:type="dxa"/>
            <w:shd w:val="clear" w:color="auto" w:fill="FFFFFF"/>
          </w:tcPr>
          <w:p w14:paraId="19CAAE96" w14:textId="160048A8" w:rsidR="003C42E5" w:rsidRPr="003C42E5" w:rsidRDefault="003C42E5" w:rsidP="003C42E5">
            <w:pPr>
              <w:pStyle w:val="CETBodytext"/>
              <w:ind w:right="-1"/>
              <w:rPr>
                <w:rFonts w:cs="Arial"/>
                <w:szCs w:val="18"/>
                <w:lang w:val="en-GB"/>
              </w:rPr>
            </w:pPr>
            <w:r w:rsidRPr="003C42E5">
              <w:rPr>
                <w:rFonts w:cs="Arial"/>
                <w:color w:val="000000"/>
                <w:szCs w:val="18"/>
              </w:rPr>
              <w:t>7.13235E+</w:t>
            </w:r>
            <w:r w:rsidR="00987057">
              <w:rPr>
                <w:rFonts w:cs="Arial"/>
                <w:color w:val="000000"/>
                <w:szCs w:val="18"/>
              </w:rPr>
              <w:t>06</w:t>
            </w:r>
          </w:p>
        </w:tc>
        <w:tc>
          <w:tcPr>
            <w:tcW w:w="1276" w:type="dxa"/>
            <w:shd w:val="clear" w:color="auto" w:fill="FFFFFF"/>
          </w:tcPr>
          <w:p w14:paraId="35F7B189" w14:textId="1FEB527A" w:rsidR="003C42E5" w:rsidRPr="003C42E5" w:rsidRDefault="003C42E5" w:rsidP="003C42E5">
            <w:pPr>
              <w:rPr>
                <w:rFonts w:cs="Arial"/>
                <w:color w:val="000000"/>
                <w:szCs w:val="18"/>
              </w:rPr>
            </w:pPr>
            <w:r w:rsidRPr="003C42E5">
              <w:rPr>
                <w:rFonts w:cs="Arial"/>
                <w:color w:val="000000"/>
                <w:szCs w:val="18"/>
              </w:rPr>
              <w:t>9.21587E+0</w:t>
            </w:r>
            <w:r w:rsidR="00987057">
              <w:rPr>
                <w:rFonts w:cs="Arial"/>
                <w:color w:val="000000"/>
                <w:szCs w:val="18"/>
              </w:rPr>
              <w:t>1</w:t>
            </w:r>
          </w:p>
        </w:tc>
        <w:tc>
          <w:tcPr>
            <w:tcW w:w="1460" w:type="dxa"/>
            <w:shd w:val="clear" w:color="auto" w:fill="FFFFFF"/>
          </w:tcPr>
          <w:p w14:paraId="7122BF1D" w14:textId="7E0701BF" w:rsidR="003C42E5" w:rsidRPr="003C42E5" w:rsidRDefault="003C42E5" w:rsidP="003C42E5">
            <w:pPr>
              <w:rPr>
                <w:rFonts w:cs="Arial"/>
                <w:szCs w:val="18"/>
              </w:rPr>
            </w:pPr>
            <w:r w:rsidRPr="003C42E5">
              <w:rPr>
                <w:rFonts w:cs="Arial"/>
                <w:color w:val="000000"/>
                <w:szCs w:val="18"/>
              </w:rPr>
              <w:t>5.49359E</w:t>
            </w:r>
            <w:r w:rsidR="000F4ED9">
              <w:rPr>
                <w:rFonts w:cs="Arial"/>
                <w:color w:val="000000"/>
                <w:szCs w:val="18"/>
              </w:rPr>
              <w:t>-</w:t>
            </w:r>
            <w:r w:rsidRPr="003C42E5">
              <w:rPr>
                <w:rFonts w:cs="Arial"/>
                <w:color w:val="000000"/>
                <w:szCs w:val="18"/>
              </w:rPr>
              <w:t>0</w:t>
            </w:r>
            <w:r w:rsidR="000F4ED9">
              <w:rPr>
                <w:rFonts w:cs="Arial"/>
                <w:color w:val="000000"/>
                <w:szCs w:val="18"/>
              </w:rPr>
              <w:t>1</w:t>
            </w:r>
          </w:p>
        </w:tc>
      </w:tr>
      <w:tr w:rsidR="0057395F" w:rsidRPr="00E96B0E" w14:paraId="30D35E9E" w14:textId="5D0AB97D" w:rsidTr="00987057">
        <w:trPr>
          <w:trHeight w:val="235"/>
        </w:trPr>
        <w:tc>
          <w:tcPr>
            <w:tcW w:w="862" w:type="dxa"/>
            <w:shd w:val="clear" w:color="auto" w:fill="FFFFFF"/>
          </w:tcPr>
          <w:p w14:paraId="65A462BA" w14:textId="1FE4AC61" w:rsidR="003C42E5" w:rsidRPr="00B57B36" w:rsidRDefault="003C42E5" w:rsidP="00D07E1E">
            <w:pPr>
              <w:pStyle w:val="CETBodytext"/>
              <w:ind w:right="-1"/>
              <w:rPr>
                <w:rFonts w:cs="Arial"/>
                <w:szCs w:val="18"/>
                <w:lang w:val="en-GB"/>
              </w:rPr>
            </w:pPr>
            <w:r>
              <w:rPr>
                <w:rFonts w:cs="Arial"/>
                <w:szCs w:val="18"/>
                <w:lang w:val="en-GB"/>
              </w:rPr>
              <w:t>std</w:t>
            </w:r>
          </w:p>
        </w:tc>
        <w:tc>
          <w:tcPr>
            <w:tcW w:w="1265" w:type="dxa"/>
            <w:shd w:val="clear" w:color="auto" w:fill="FFFFFF"/>
          </w:tcPr>
          <w:p w14:paraId="6E6C6D08" w14:textId="4E115CAB" w:rsidR="003C42E5" w:rsidRPr="00E96B0E" w:rsidRDefault="003C42E5" w:rsidP="0057395F">
            <w:pPr>
              <w:rPr>
                <w:rFonts w:cs="Arial"/>
                <w:szCs w:val="18"/>
              </w:rPr>
            </w:pPr>
            <w:r w:rsidRPr="00E96B0E">
              <w:rPr>
                <w:rFonts w:cs="Arial"/>
                <w:color w:val="000000"/>
                <w:szCs w:val="18"/>
              </w:rPr>
              <w:t>1</w:t>
            </w:r>
            <w:r w:rsidR="00E96B0E" w:rsidRPr="00E96B0E">
              <w:rPr>
                <w:rFonts w:cs="Arial"/>
                <w:color w:val="000000"/>
                <w:szCs w:val="18"/>
              </w:rPr>
              <w:t>.</w:t>
            </w:r>
            <w:r w:rsidRPr="00E96B0E">
              <w:rPr>
                <w:rFonts w:cs="Arial"/>
                <w:color w:val="000000"/>
                <w:szCs w:val="18"/>
              </w:rPr>
              <w:t>27087E+</w:t>
            </w:r>
            <w:r w:rsidR="00721A7C">
              <w:rPr>
                <w:rFonts w:cs="Arial"/>
                <w:color w:val="000000"/>
                <w:szCs w:val="18"/>
              </w:rPr>
              <w:t>07</w:t>
            </w:r>
          </w:p>
        </w:tc>
        <w:tc>
          <w:tcPr>
            <w:tcW w:w="1417" w:type="dxa"/>
            <w:shd w:val="clear" w:color="auto" w:fill="FFFFFF"/>
          </w:tcPr>
          <w:p w14:paraId="509FC896" w14:textId="5EA4DEC2" w:rsidR="003C42E5" w:rsidRPr="00E96B0E" w:rsidRDefault="003C42E5" w:rsidP="0057395F">
            <w:pPr>
              <w:rPr>
                <w:rFonts w:cs="Arial"/>
                <w:szCs w:val="18"/>
              </w:rPr>
            </w:pPr>
            <w:r w:rsidRPr="00E96B0E">
              <w:rPr>
                <w:rFonts w:cs="Arial"/>
                <w:color w:val="000000"/>
                <w:szCs w:val="18"/>
              </w:rPr>
              <w:t>2</w:t>
            </w:r>
            <w:r w:rsidR="00E96B0E" w:rsidRPr="00E96B0E">
              <w:rPr>
                <w:rFonts w:cs="Arial"/>
                <w:color w:val="000000"/>
                <w:szCs w:val="18"/>
              </w:rPr>
              <w:t>.</w:t>
            </w:r>
            <w:r w:rsidRPr="00E96B0E">
              <w:rPr>
                <w:rFonts w:cs="Arial"/>
                <w:color w:val="000000"/>
                <w:szCs w:val="18"/>
              </w:rPr>
              <w:t>17084E+</w:t>
            </w:r>
            <w:r w:rsidR="006E4856">
              <w:rPr>
                <w:rFonts w:cs="Arial"/>
                <w:color w:val="000000"/>
                <w:szCs w:val="18"/>
              </w:rPr>
              <w:t>06</w:t>
            </w:r>
          </w:p>
        </w:tc>
        <w:tc>
          <w:tcPr>
            <w:tcW w:w="1276" w:type="dxa"/>
            <w:shd w:val="clear" w:color="auto" w:fill="FFFFFF"/>
          </w:tcPr>
          <w:p w14:paraId="1CDF05ED" w14:textId="4D4E9586" w:rsidR="003C42E5" w:rsidRPr="00E96B0E" w:rsidRDefault="003C42E5" w:rsidP="0057395F">
            <w:pPr>
              <w:rPr>
                <w:rFonts w:cs="Arial"/>
                <w:szCs w:val="18"/>
              </w:rPr>
            </w:pPr>
            <w:r w:rsidRPr="00E96B0E">
              <w:rPr>
                <w:rFonts w:cs="Arial"/>
                <w:color w:val="000000"/>
                <w:szCs w:val="18"/>
              </w:rPr>
              <w:t>2</w:t>
            </w:r>
            <w:r w:rsidR="00E96B0E" w:rsidRPr="00E96B0E">
              <w:rPr>
                <w:rFonts w:cs="Arial"/>
                <w:color w:val="000000"/>
                <w:szCs w:val="18"/>
              </w:rPr>
              <w:t>.</w:t>
            </w:r>
            <w:r w:rsidRPr="00E96B0E">
              <w:rPr>
                <w:rFonts w:cs="Arial"/>
                <w:color w:val="000000"/>
                <w:szCs w:val="18"/>
              </w:rPr>
              <w:t>64399E+0</w:t>
            </w:r>
            <w:r w:rsidR="00987057">
              <w:rPr>
                <w:rFonts w:cs="Arial"/>
                <w:color w:val="000000"/>
                <w:szCs w:val="18"/>
              </w:rPr>
              <w:t>1</w:t>
            </w:r>
          </w:p>
        </w:tc>
        <w:tc>
          <w:tcPr>
            <w:tcW w:w="1417" w:type="dxa"/>
            <w:shd w:val="clear" w:color="auto" w:fill="FFFFFF"/>
          </w:tcPr>
          <w:p w14:paraId="32F30A00" w14:textId="5C2AFFF2" w:rsidR="003C42E5" w:rsidRPr="00E96B0E" w:rsidRDefault="003C42E5" w:rsidP="0057395F">
            <w:pPr>
              <w:rPr>
                <w:rFonts w:cs="Arial"/>
                <w:szCs w:val="18"/>
              </w:rPr>
            </w:pPr>
            <w:r w:rsidRPr="00E96B0E">
              <w:rPr>
                <w:rFonts w:cs="Arial"/>
                <w:color w:val="000000"/>
                <w:szCs w:val="18"/>
              </w:rPr>
              <w:t>2</w:t>
            </w:r>
            <w:r w:rsidR="00E96B0E" w:rsidRPr="00E96B0E">
              <w:rPr>
                <w:rFonts w:cs="Arial"/>
                <w:color w:val="000000"/>
                <w:szCs w:val="18"/>
              </w:rPr>
              <w:t>.</w:t>
            </w:r>
            <w:r w:rsidRPr="00E96B0E">
              <w:rPr>
                <w:rFonts w:cs="Arial"/>
                <w:color w:val="000000"/>
                <w:szCs w:val="18"/>
              </w:rPr>
              <w:t>21848E+</w:t>
            </w:r>
            <w:r w:rsidR="00987057">
              <w:rPr>
                <w:rFonts w:cs="Arial"/>
                <w:color w:val="000000"/>
                <w:szCs w:val="18"/>
              </w:rPr>
              <w:t>06</w:t>
            </w:r>
          </w:p>
        </w:tc>
        <w:tc>
          <w:tcPr>
            <w:tcW w:w="1276" w:type="dxa"/>
            <w:shd w:val="clear" w:color="auto" w:fill="FFFFFF"/>
          </w:tcPr>
          <w:p w14:paraId="33DD6A5C" w14:textId="0CF9AB4D" w:rsidR="003C42E5" w:rsidRPr="00E96B0E" w:rsidRDefault="003C42E5" w:rsidP="0057395F">
            <w:pPr>
              <w:rPr>
                <w:rFonts w:cs="Arial"/>
                <w:szCs w:val="18"/>
              </w:rPr>
            </w:pPr>
            <w:r w:rsidRPr="00E96B0E">
              <w:rPr>
                <w:rFonts w:cs="Arial"/>
                <w:color w:val="000000"/>
                <w:szCs w:val="18"/>
              </w:rPr>
              <w:t>5</w:t>
            </w:r>
            <w:r w:rsidR="00E96B0E" w:rsidRPr="00E96B0E">
              <w:rPr>
                <w:rFonts w:cs="Arial"/>
                <w:color w:val="000000"/>
                <w:szCs w:val="18"/>
              </w:rPr>
              <w:t>.</w:t>
            </w:r>
            <w:r w:rsidRPr="00E96B0E">
              <w:rPr>
                <w:rFonts w:cs="Arial"/>
                <w:color w:val="000000"/>
                <w:szCs w:val="18"/>
              </w:rPr>
              <w:t>80663E+0</w:t>
            </w:r>
            <w:r w:rsidR="00987057">
              <w:rPr>
                <w:rFonts w:cs="Arial"/>
                <w:color w:val="000000"/>
                <w:szCs w:val="18"/>
              </w:rPr>
              <w:t>1</w:t>
            </w:r>
          </w:p>
        </w:tc>
        <w:tc>
          <w:tcPr>
            <w:tcW w:w="1460" w:type="dxa"/>
            <w:shd w:val="clear" w:color="auto" w:fill="FFFFFF"/>
          </w:tcPr>
          <w:p w14:paraId="7F7AD748" w14:textId="73D56BB8" w:rsidR="003C42E5" w:rsidRPr="00E96B0E" w:rsidRDefault="00E96B0E" w:rsidP="0057395F">
            <w:pPr>
              <w:pStyle w:val="CETBodytext"/>
              <w:ind w:right="-1"/>
              <w:rPr>
                <w:rFonts w:cs="Arial"/>
                <w:szCs w:val="18"/>
                <w:lang w:val="en-GB"/>
              </w:rPr>
            </w:pPr>
            <w:r>
              <w:rPr>
                <w:rFonts w:cs="Arial"/>
                <w:szCs w:val="18"/>
                <w:lang w:val="en-GB"/>
              </w:rPr>
              <w:t>6</w:t>
            </w:r>
            <w:r w:rsidRPr="00E96B0E">
              <w:rPr>
                <w:rFonts w:cs="Arial"/>
                <w:color w:val="000000"/>
                <w:szCs w:val="18"/>
              </w:rPr>
              <w:t>.90434E</w:t>
            </w:r>
            <w:r w:rsidR="000F4ED9">
              <w:rPr>
                <w:rFonts w:cs="Arial"/>
                <w:color w:val="000000"/>
                <w:szCs w:val="18"/>
              </w:rPr>
              <w:t>-01</w:t>
            </w:r>
          </w:p>
        </w:tc>
      </w:tr>
      <w:tr w:rsidR="0057395F" w:rsidRPr="00B57B36" w14:paraId="59A7C1C8" w14:textId="26A1F46C" w:rsidTr="00987057">
        <w:trPr>
          <w:trHeight w:val="250"/>
        </w:trPr>
        <w:tc>
          <w:tcPr>
            <w:tcW w:w="862" w:type="dxa"/>
            <w:shd w:val="clear" w:color="auto" w:fill="FFFFFF"/>
          </w:tcPr>
          <w:p w14:paraId="6A3196CD" w14:textId="25D4D6D7" w:rsidR="003C42E5" w:rsidRPr="00B57B36" w:rsidRDefault="003C42E5" w:rsidP="00D07E1E">
            <w:pPr>
              <w:pStyle w:val="CETBodytext"/>
              <w:ind w:right="-1"/>
              <w:rPr>
                <w:rFonts w:cs="Arial"/>
                <w:szCs w:val="18"/>
                <w:lang w:val="en-GB"/>
              </w:rPr>
            </w:pPr>
            <w:r>
              <w:rPr>
                <w:rFonts w:cs="Arial"/>
                <w:szCs w:val="18"/>
                <w:lang w:val="en-GB"/>
              </w:rPr>
              <w:t>Min</w:t>
            </w:r>
          </w:p>
        </w:tc>
        <w:tc>
          <w:tcPr>
            <w:tcW w:w="1265" w:type="dxa"/>
            <w:shd w:val="clear" w:color="auto" w:fill="FFFFFF"/>
          </w:tcPr>
          <w:p w14:paraId="0B73370E" w14:textId="69680258" w:rsidR="003C42E5" w:rsidRPr="0057395F" w:rsidRDefault="0057395F" w:rsidP="0057395F">
            <w:pPr>
              <w:rPr>
                <w:rFonts w:cs="Arial"/>
                <w:szCs w:val="18"/>
              </w:rPr>
            </w:pPr>
            <w:r w:rsidRPr="0057395F">
              <w:rPr>
                <w:rFonts w:cs="Arial"/>
                <w:color w:val="000000"/>
                <w:szCs w:val="18"/>
              </w:rPr>
              <w:t>0.00000</w:t>
            </w:r>
            <w:r w:rsidR="00721A7C">
              <w:rPr>
                <w:rFonts w:cs="Arial"/>
                <w:color w:val="000000"/>
                <w:szCs w:val="18"/>
              </w:rPr>
              <w:t>E</w:t>
            </w:r>
            <w:r w:rsidRPr="0057395F">
              <w:rPr>
                <w:rFonts w:cs="Arial"/>
                <w:color w:val="000000"/>
                <w:szCs w:val="18"/>
              </w:rPr>
              <w:t>+00</w:t>
            </w:r>
          </w:p>
        </w:tc>
        <w:tc>
          <w:tcPr>
            <w:tcW w:w="1417" w:type="dxa"/>
            <w:shd w:val="clear" w:color="auto" w:fill="FFFFFF"/>
          </w:tcPr>
          <w:p w14:paraId="5E13BBDF" w14:textId="2EF9593F" w:rsidR="003C42E5" w:rsidRPr="0057395F" w:rsidRDefault="0057395F" w:rsidP="0057395F">
            <w:pPr>
              <w:rPr>
                <w:rFonts w:cs="Arial"/>
                <w:szCs w:val="18"/>
              </w:rPr>
            </w:pPr>
            <w:r w:rsidRPr="0057395F">
              <w:rPr>
                <w:rFonts w:cs="Arial"/>
                <w:color w:val="000000"/>
                <w:szCs w:val="18"/>
              </w:rPr>
              <w:t>9,47822E+</w:t>
            </w:r>
            <w:r w:rsidR="006E4856">
              <w:rPr>
                <w:rFonts w:cs="Arial"/>
                <w:color w:val="000000"/>
                <w:szCs w:val="18"/>
              </w:rPr>
              <w:t>06</w:t>
            </w:r>
          </w:p>
        </w:tc>
        <w:tc>
          <w:tcPr>
            <w:tcW w:w="1276" w:type="dxa"/>
            <w:shd w:val="clear" w:color="auto" w:fill="FFFFFF"/>
          </w:tcPr>
          <w:p w14:paraId="361B4529" w14:textId="1BD825E7" w:rsidR="003C42E5" w:rsidRPr="0057395F" w:rsidRDefault="0057395F" w:rsidP="0057395F">
            <w:pPr>
              <w:rPr>
                <w:rFonts w:cs="Arial"/>
                <w:szCs w:val="18"/>
              </w:rPr>
            </w:pPr>
            <w:r w:rsidRPr="0057395F">
              <w:rPr>
                <w:rFonts w:cs="Arial"/>
                <w:color w:val="000000"/>
                <w:szCs w:val="18"/>
              </w:rPr>
              <w:t>5</w:t>
            </w:r>
            <w:r w:rsidR="00987057">
              <w:rPr>
                <w:rFonts w:cs="Arial"/>
                <w:color w:val="000000"/>
                <w:szCs w:val="18"/>
              </w:rPr>
              <w:t>.</w:t>
            </w:r>
            <w:r w:rsidRPr="0057395F">
              <w:rPr>
                <w:rFonts w:cs="Arial"/>
                <w:color w:val="000000"/>
                <w:szCs w:val="18"/>
              </w:rPr>
              <w:t>57029E+0</w:t>
            </w:r>
            <w:r w:rsidR="00987057">
              <w:rPr>
                <w:rFonts w:cs="Arial"/>
                <w:color w:val="000000"/>
                <w:szCs w:val="18"/>
              </w:rPr>
              <w:t>1</w:t>
            </w:r>
          </w:p>
        </w:tc>
        <w:tc>
          <w:tcPr>
            <w:tcW w:w="1417" w:type="dxa"/>
            <w:shd w:val="clear" w:color="auto" w:fill="FFFFFF"/>
          </w:tcPr>
          <w:p w14:paraId="4F3905FE" w14:textId="2C909DD3" w:rsidR="003C42E5" w:rsidRPr="0057395F" w:rsidRDefault="0057395F" w:rsidP="0057395F">
            <w:pPr>
              <w:rPr>
                <w:rFonts w:cs="Arial"/>
                <w:szCs w:val="18"/>
              </w:rPr>
            </w:pPr>
            <w:r w:rsidRPr="0057395F">
              <w:rPr>
                <w:rFonts w:cs="Arial"/>
                <w:color w:val="000000"/>
                <w:szCs w:val="18"/>
              </w:rPr>
              <w:t>1</w:t>
            </w:r>
            <w:r w:rsidR="00987057">
              <w:rPr>
                <w:rFonts w:cs="Arial"/>
                <w:color w:val="000000"/>
                <w:szCs w:val="18"/>
              </w:rPr>
              <w:t>.</w:t>
            </w:r>
            <w:r w:rsidRPr="0057395F">
              <w:rPr>
                <w:rFonts w:cs="Arial"/>
                <w:color w:val="000000"/>
                <w:szCs w:val="18"/>
              </w:rPr>
              <w:t>85999E+</w:t>
            </w:r>
            <w:r w:rsidR="00987057">
              <w:rPr>
                <w:rFonts w:cs="Arial"/>
                <w:color w:val="000000"/>
                <w:szCs w:val="18"/>
              </w:rPr>
              <w:t>06</w:t>
            </w:r>
          </w:p>
        </w:tc>
        <w:tc>
          <w:tcPr>
            <w:tcW w:w="1276" w:type="dxa"/>
            <w:shd w:val="clear" w:color="auto" w:fill="FFFFFF"/>
          </w:tcPr>
          <w:p w14:paraId="29B4FF31" w14:textId="22C0BAB7" w:rsidR="003C42E5" w:rsidRPr="0057395F" w:rsidRDefault="0057395F" w:rsidP="0057395F">
            <w:pPr>
              <w:rPr>
                <w:rFonts w:cs="Arial"/>
                <w:szCs w:val="18"/>
              </w:rPr>
            </w:pPr>
            <w:r w:rsidRPr="0057395F">
              <w:rPr>
                <w:rFonts w:cs="Arial"/>
                <w:color w:val="000000"/>
                <w:szCs w:val="18"/>
              </w:rPr>
              <w:t>2,90300E+0</w:t>
            </w:r>
            <w:r w:rsidR="00987057">
              <w:rPr>
                <w:rFonts w:cs="Arial"/>
                <w:color w:val="000000"/>
                <w:szCs w:val="18"/>
              </w:rPr>
              <w:t>1</w:t>
            </w:r>
          </w:p>
        </w:tc>
        <w:tc>
          <w:tcPr>
            <w:tcW w:w="1460" w:type="dxa"/>
            <w:shd w:val="clear" w:color="auto" w:fill="FFFFFF"/>
          </w:tcPr>
          <w:p w14:paraId="2E2A921A" w14:textId="19FFFB14" w:rsidR="003C42E5" w:rsidRPr="0057395F" w:rsidRDefault="0057395F" w:rsidP="0057395F">
            <w:pPr>
              <w:rPr>
                <w:rFonts w:cs="Arial"/>
                <w:szCs w:val="18"/>
              </w:rPr>
            </w:pPr>
            <w:r w:rsidRPr="0057395F">
              <w:rPr>
                <w:rFonts w:cs="Arial"/>
                <w:color w:val="000000"/>
                <w:szCs w:val="18"/>
              </w:rPr>
              <w:t>0.00000</w:t>
            </w:r>
            <w:r w:rsidR="000F4ED9">
              <w:rPr>
                <w:rFonts w:cs="Arial"/>
                <w:color w:val="000000"/>
                <w:szCs w:val="18"/>
              </w:rPr>
              <w:t>E</w:t>
            </w:r>
            <w:r w:rsidRPr="0057395F">
              <w:rPr>
                <w:rFonts w:cs="Arial"/>
                <w:color w:val="000000"/>
                <w:szCs w:val="18"/>
              </w:rPr>
              <w:t>+00</w:t>
            </w:r>
          </w:p>
        </w:tc>
      </w:tr>
      <w:tr w:rsidR="007A325E" w:rsidRPr="00B57B36" w14:paraId="12AC3DD7" w14:textId="77777777" w:rsidTr="00987057">
        <w:trPr>
          <w:trHeight w:val="250"/>
        </w:trPr>
        <w:tc>
          <w:tcPr>
            <w:tcW w:w="862" w:type="dxa"/>
            <w:shd w:val="clear" w:color="auto" w:fill="FFFFFF"/>
          </w:tcPr>
          <w:p w14:paraId="02F9485B" w14:textId="782C39E9" w:rsidR="007A325E" w:rsidRDefault="007A325E" w:rsidP="00D07E1E">
            <w:pPr>
              <w:pStyle w:val="CETBodytext"/>
              <w:ind w:right="-1"/>
              <w:rPr>
                <w:rFonts w:cs="Arial"/>
                <w:szCs w:val="18"/>
                <w:lang w:val="en-GB"/>
              </w:rPr>
            </w:pPr>
            <w:r>
              <w:rPr>
                <w:rFonts w:cs="Arial"/>
                <w:szCs w:val="18"/>
                <w:lang w:val="en-GB"/>
              </w:rPr>
              <w:t>Max</w:t>
            </w:r>
          </w:p>
        </w:tc>
        <w:tc>
          <w:tcPr>
            <w:tcW w:w="1265" w:type="dxa"/>
            <w:shd w:val="clear" w:color="auto" w:fill="FFFFFF"/>
          </w:tcPr>
          <w:p w14:paraId="30598FC5" w14:textId="52E7F58D" w:rsidR="007A325E" w:rsidRPr="0057395F" w:rsidRDefault="00721A7C" w:rsidP="0057395F">
            <w:pPr>
              <w:rPr>
                <w:rFonts w:cs="Arial"/>
                <w:color w:val="000000"/>
                <w:szCs w:val="18"/>
              </w:rPr>
            </w:pPr>
            <w:r>
              <w:rPr>
                <w:rFonts w:cs="Arial"/>
                <w:color w:val="000000"/>
                <w:szCs w:val="18"/>
              </w:rPr>
              <w:t>2.46207E+06</w:t>
            </w:r>
          </w:p>
        </w:tc>
        <w:tc>
          <w:tcPr>
            <w:tcW w:w="1417" w:type="dxa"/>
            <w:shd w:val="clear" w:color="auto" w:fill="FFFFFF"/>
          </w:tcPr>
          <w:p w14:paraId="76ED41B2" w14:textId="461733A5" w:rsidR="007A325E" w:rsidRPr="0057395F" w:rsidRDefault="006E4856" w:rsidP="0057395F">
            <w:pPr>
              <w:rPr>
                <w:rFonts w:cs="Arial"/>
                <w:color w:val="000000"/>
                <w:szCs w:val="18"/>
              </w:rPr>
            </w:pPr>
            <w:r w:rsidRPr="006E4856">
              <w:rPr>
                <w:rFonts w:cs="Arial"/>
                <w:color w:val="000000"/>
                <w:szCs w:val="18"/>
              </w:rPr>
              <w:t>2.08888</w:t>
            </w:r>
            <w:r>
              <w:rPr>
                <w:rFonts w:cs="Arial"/>
                <w:color w:val="000000"/>
                <w:szCs w:val="18"/>
              </w:rPr>
              <w:t>E</w:t>
            </w:r>
            <w:r w:rsidRPr="006E4856">
              <w:rPr>
                <w:rFonts w:cs="Arial"/>
                <w:color w:val="000000"/>
                <w:szCs w:val="18"/>
              </w:rPr>
              <w:t>+07</w:t>
            </w:r>
          </w:p>
        </w:tc>
        <w:tc>
          <w:tcPr>
            <w:tcW w:w="1276" w:type="dxa"/>
            <w:shd w:val="clear" w:color="auto" w:fill="FFFFFF"/>
          </w:tcPr>
          <w:p w14:paraId="06FE454D" w14:textId="7494C086" w:rsidR="007A325E" w:rsidRPr="0057395F" w:rsidRDefault="00987057" w:rsidP="0057395F">
            <w:pPr>
              <w:rPr>
                <w:rFonts w:cs="Arial"/>
                <w:color w:val="000000"/>
                <w:szCs w:val="18"/>
              </w:rPr>
            </w:pPr>
            <w:r w:rsidRPr="00987057">
              <w:rPr>
                <w:rFonts w:cs="Arial"/>
                <w:color w:val="000000"/>
                <w:szCs w:val="18"/>
              </w:rPr>
              <w:t>1.18199</w:t>
            </w:r>
            <w:r>
              <w:rPr>
                <w:rFonts w:cs="Arial"/>
                <w:color w:val="000000"/>
                <w:szCs w:val="18"/>
              </w:rPr>
              <w:t>E</w:t>
            </w:r>
            <w:r w:rsidRPr="00987057">
              <w:rPr>
                <w:rFonts w:cs="Arial"/>
                <w:color w:val="000000"/>
                <w:szCs w:val="18"/>
              </w:rPr>
              <w:t>+02</w:t>
            </w:r>
          </w:p>
        </w:tc>
        <w:tc>
          <w:tcPr>
            <w:tcW w:w="1417" w:type="dxa"/>
            <w:shd w:val="clear" w:color="auto" w:fill="FFFFFF"/>
          </w:tcPr>
          <w:p w14:paraId="63B5435B" w14:textId="00E6E54F" w:rsidR="007A325E" w:rsidRPr="0057395F" w:rsidRDefault="00987057" w:rsidP="0057395F">
            <w:pPr>
              <w:rPr>
                <w:rFonts w:cs="Arial"/>
                <w:color w:val="000000"/>
                <w:szCs w:val="18"/>
              </w:rPr>
            </w:pPr>
            <w:r>
              <w:rPr>
                <w:rFonts w:cs="Arial"/>
                <w:color w:val="000000"/>
                <w:szCs w:val="18"/>
              </w:rPr>
              <w:t>1.19983E+07</w:t>
            </w:r>
          </w:p>
        </w:tc>
        <w:tc>
          <w:tcPr>
            <w:tcW w:w="1276" w:type="dxa"/>
            <w:shd w:val="clear" w:color="auto" w:fill="FFFFFF"/>
          </w:tcPr>
          <w:p w14:paraId="3BE5F697" w14:textId="673B8F2B" w:rsidR="007A325E" w:rsidRPr="0057395F" w:rsidRDefault="000F4ED9" w:rsidP="0057395F">
            <w:pPr>
              <w:rPr>
                <w:rFonts w:cs="Arial"/>
                <w:color w:val="000000"/>
                <w:szCs w:val="18"/>
              </w:rPr>
            </w:pPr>
            <w:r w:rsidRPr="000F4ED9">
              <w:rPr>
                <w:rFonts w:cs="Arial"/>
                <w:color w:val="000000"/>
                <w:szCs w:val="18"/>
              </w:rPr>
              <w:t>1.73096</w:t>
            </w:r>
            <w:r>
              <w:rPr>
                <w:rFonts w:cs="Arial"/>
                <w:color w:val="000000"/>
                <w:szCs w:val="18"/>
              </w:rPr>
              <w:t>E</w:t>
            </w:r>
            <w:r w:rsidRPr="000F4ED9">
              <w:rPr>
                <w:rFonts w:cs="Arial"/>
                <w:color w:val="000000"/>
                <w:szCs w:val="18"/>
              </w:rPr>
              <w:t>+02</w:t>
            </w:r>
          </w:p>
        </w:tc>
        <w:tc>
          <w:tcPr>
            <w:tcW w:w="1460" w:type="dxa"/>
            <w:shd w:val="clear" w:color="auto" w:fill="FFFFFF"/>
          </w:tcPr>
          <w:p w14:paraId="0031D45A" w14:textId="1773BD57" w:rsidR="007A325E" w:rsidRPr="0057395F" w:rsidRDefault="000F4ED9" w:rsidP="0057395F">
            <w:pPr>
              <w:rPr>
                <w:rFonts w:cs="Arial"/>
                <w:color w:val="000000"/>
                <w:szCs w:val="18"/>
              </w:rPr>
            </w:pPr>
            <w:r>
              <w:rPr>
                <w:rFonts w:cs="Arial"/>
                <w:color w:val="000000"/>
                <w:szCs w:val="18"/>
              </w:rPr>
              <w:t>2.38415E+00</w:t>
            </w:r>
          </w:p>
        </w:tc>
      </w:tr>
    </w:tbl>
    <w:p w14:paraId="1ED65CF1" w14:textId="77777777" w:rsidR="00EB1940" w:rsidRDefault="00EB1940">
      <w:pPr>
        <w:pBdr>
          <w:top w:val="nil"/>
          <w:left w:val="nil"/>
          <w:bottom w:val="nil"/>
          <w:right w:val="nil"/>
          <w:between w:val="nil"/>
        </w:pBdr>
        <w:rPr>
          <w:rFonts w:eastAsia="Arial" w:cs="Arial"/>
          <w:szCs w:val="18"/>
        </w:rPr>
      </w:pPr>
    </w:p>
    <w:p w14:paraId="758FBDF7" w14:textId="6EFAC425" w:rsidR="00B00C9D" w:rsidRDefault="00157E62">
      <w:pPr>
        <w:pBdr>
          <w:top w:val="nil"/>
          <w:left w:val="nil"/>
          <w:bottom w:val="nil"/>
          <w:right w:val="nil"/>
          <w:between w:val="nil"/>
        </w:pBdr>
        <w:rPr>
          <w:rFonts w:eastAsia="Arial" w:cs="Arial"/>
          <w:szCs w:val="18"/>
        </w:rPr>
      </w:pPr>
      <w:r>
        <w:rPr>
          <w:rFonts w:eastAsia="Arial" w:cs="Arial"/>
          <w:szCs w:val="18"/>
        </w:rPr>
        <w:t>The frequency distribution for</w:t>
      </w:r>
      <w:r w:rsidR="00B00C9D">
        <w:rPr>
          <w:rFonts w:eastAsia="Arial" w:cs="Arial"/>
          <w:szCs w:val="18"/>
        </w:rPr>
        <w:t xml:space="preserve"> the</w:t>
      </w:r>
      <w:r>
        <w:rPr>
          <w:rFonts w:eastAsia="Arial" w:cs="Arial"/>
          <w:szCs w:val="18"/>
        </w:rPr>
        <w:t xml:space="preserve"> variables was </w:t>
      </w:r>
      <w:r w:rsidR="00B00C9D">
        <w:rPr>
          <w:rFonts w:eastAsia="Arial" w:cs="Arial"/>
          <w:szCs w:val="18"/>
        </w:rPr>
        <w:t>performed</w:t>
      </w:r>
      <w:r>
        <w:rPr>
          <w:rFonts w:eastAsia="Arial" w:cs="Arial"/>
          <w:szCs w:val="18"/>
        </w:rPr>
        <w:t xml:space="preserve"> </w:t>
      </w:r>
      <w:r w:rsidR="00586669">
        <w:rPr>
          <w:rFonts w:eastAsia="Arial" w:cs="Arial"/>
          <w:szCs w:val="18"/>
        </w:rPr>
        <w:t>by histogram</w:t>
      </w:r>
      <w:r w:rsidR="00B00C9D">
        <w:rPr>
          <w:rFonts w:eastAsia="Arial" w:cs="Arial"/>
          <w:szCs w:val="18"/>
        </w:rPr>
        <w:t>s</w:t>
      </w:r>
      <w:r w:rsidR="00586669">
        <w:rPr>
          <w:rFonts w:eastAsia="Arial" w:cs="Arial"/>
          <w:szCs w:val="18"/>
        </w:rPr>
        <w:t xml:space="preserve">, Figure 3. This analysis indicates that </w:t>
      </w:r>
      <w:proofErr w:type="gramStart"/>
      <w:r w:rsidR="00586669">
        <w:rPr>
          <w:rFonts w:eastAsia="Arial" w:cs="Arial"/>
          <w:szCs w:val="18"/>
        </w:rPr>
        <w:t>the majority of</w:t>
      </w:r>
      <w:proofErr w:type="gramEnd"/>
      <w:r w:rsidR="00586669">
        <w:rPr>
          <w:rFonts w:eastAsia="Arial" w:cs="Arial"/>
          <w:szCs w:val="18"/>
        </w:rPr>
        <w:t xml:space="preserve"> the </w:t>
      </w:r>
      <w:r w:rsidR="00565C64">
        <w:rPr>
          <w:rFonts w:eastAsia="Arial" w:cs="Arial"/>
          <w:szCs w:val="18"/>
        </w:rPr>
        <w:t xml:space="preserve">grouped </w:t>
      </w:r>
      <w:r w:rsidR="00586669">
        <w:rPr>
          <w:rFonts w:eastAsia="Arial" w:cs="Arial"/>
          <w:szCs w:val="18"/>
        </w:rPr>
        <w:t xml:space="preserve">observations </w:t>
      </w:r>
      <w:r w:rsidR="00565C64">
        <w:rPr>
          <w:rFonts w:eastAsia="Arial" w:cs="Arial"/>
          <w:szCs w:val="18"/>
        </w:rPr>
        <w:t xml:space="preserve">has a normal (or Gaussian) distribution. </w:t>
      </w:r>
      <w:r w:rsidR="00E86E27">
        <w:rPr>
          <w:rFonts w:eastAsia="Arial" w:cs="Arial"/>
          <w:szCs w:val="18"/>
        </w:rPr>
        <w:t>This technique tests parametric procedures.</w:t>
      </w:r>
    </w:p>
    <w:p w14:paraId="59E012F4" w14:textId="58EC5EF6" w:rsidR="0099201F" w:rsidRDefault="00A00F90">
      <w:pPr>
        <w:pBdr>
          <w:top w:val="nil"/>
          <w:left w:val="nil"/>
          <w:bottom w:val="nil"/>
          <w:right w:val="nil"/>
          <w:between w:val="nil"/>
        </w:pBdr>
        <w:rPr>
          <w:rFonts w:eastAsia="Arial" w:cs="Arial"/>
          <w:szCs w:val="18"/>
        </w:rPr>
      </w:pPr>
      <w:r>
        <w:rPr>
          <w:noProof/>
        </w:rPr>
        <w:drawing>
          <wp:inline distT="0" distB="0" distL="0" distR="0" wp14:anchorId="7F03EDB0" wp14:editId="7C3DED56">
            <wp:extent cx="5842000" cy="2591013"/>
            <wp:effectExtent l="0" t="0" r="6350" b="0"/>
            <wp:docPr id="2106047229" name="Imagem 1" descr="Uma imagem contendo 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047229" name="Imagem 1" descr="Uma imagem contendo Diagrama&#10;&#10;Descrição gerada automaticamente"/>
                    <pic:cNvPicPr/>
                  </pic:nvPicPr>
                  <pic:blipFill rotWithShape="1">
                    <a:blip r:embed="rId9"/>
                    <a:srcRect l="10016" t="19219" r="8387" b="16447"/>
                    <a:stretch/>
                  </pic:blipFill>
                  <pic:spPr bwMode="auto">
                    <a:xfrm>
                      <a:off x="0" y="0"/>
                      <a:ext cx="5847256" cy="2593344"/>
                    </a:xfrm>
                    <a:prstGeom prst="rect">
                      <a:avLst/>
                    </a:prstGeom>
                    <a:ln>
                      <a:noFill/>
                    </a:ln>
                    <a:extLst>
                      <a:ext uri="{53640926-AAD7-44D8-BBD7-CCE9431645EC}">
                        <a14:shadowObscured xmlns:a14="http://schemas.microsoft.com/office/drawing/2010/main"/>
                      </a:ext>
                    </a:extLst>
                  </pic:spPr>
                </pic:pic>
              </a:graphicData>
            </a:graphic>
          </wp:inline>
        </w:drawing>
      </w:r>
    </w:p>
    <w:p w14:paraId="2C7E596F" w14:textId="1AF3D0AA" w:rsidR="00E86E27" w:rsidRDefault="00E86E27" w:rsidP="00E86E27">
      <w:pPr>
        <w:pStyle w:val="CETCaption"/>
        <w:tabs>
          <w:tab w:val="clear" w:pos="7100"/>
        </w:tabs>
        <w:rPr>
          <w:rFonts w:eastAsia="Arial" w:cs="Arial"/>
          <w:color w:val="000000"/>
          <w:szCs w:val="18"/>
        </w:rPr>
      </w:pPr>
      <w:r w:rsidRPr="00D659B0">
        <w:rPr>
          <w:rStyle w:val="CETCaptionCarattere"/>
          <w:i/>
          <w:lang w:eastAsia="en-US"/>
        </w:rPr>
        <w:t xml:space="preserve">Figure </w:t>
      </w:r>
      <w:r>
        <w:rPr>
          <w:rStyle w:val="CETCaptionCarattere"/>
          <w:i/>
          <w:lang w:eastAsia="en-US"/>
        </w:rPr>
        <w:t>3: Histogram of variables</w:t>
      </w:r>
      <w:r w:rsidRPr="00680505">
        <w:rPr>
          <w:rFonts w:cs="Arial"/>
          <w:color w:val="000000"/>
          <w:szCs w:val="18"/>
        </w:rPr>
        <w:t>.</w:t>
      </w:r>
      <w:r w:rsidRPr="00D659B0">
        <w:rPr>
          <w:rStyle w:val="CETCaptionCarattere"/>
          <w:i/>
          <w:lang w:eastAsia="en-US"/>
        </w:rPr>
        <w:t xml:space="preserve"> </w:t>
      </w:r>
    </w:p>
    <w:p w14:paraId="522ED377" w14:textId="1238F330" w:rsidR="00586669" w:rsidRDefault="00E86E27" w:rsidP="00C41DE4">
      <w:pPr>
        <w:pBdr>
          <w:top w:val="nil"/>
          <w:left w:val="nil"/>
          <w:bottom w:val="nil"/>
          <w:right w:val="nil"/>
          <w:between w:val="nil"/>
        </w:pBdr>
        <w:rPr>
          <w:rFonts w:eastAsia="Arial" w:cs="Arial"/>
          <w:szCs w:val="18"/>
        </w:rPr>
      </w:pPr>
      <w:r>
        <w:rPr>
          <w:rFonts w:eastAsia="Arial" w:cs="Arial"/>
          <w:szCs w:val="18"/>
        </w:rPr>
        <w:t>As i</w:t>
      </w:r>
      <w:r w:rsidRPr="005A18FB">
        <w:rPr>
          <w:rFonts w:eastAsia="Arial" w:cs="Arial"/>
          <w:szCs w:val="18"/>
        </w:rPr>
        <w:t>t can be seen</w:t>
      </w:r>
      <w:r>
        <w:rPr>
          <w:rFonts w:eastAsia="Arial" w:cs="Arial"/>
          <w:szCs w:val="18"/>
        </w:rPr>
        <w:t>,</w:t>
      </w:r>
      <w:r w:rsidRPr="005A18FB">
        <w:rPr>
          <w:rFonts w:eastAsia="Arial" w:cs="Arial"/>
          <w:szCs w:val="18"/>
        </w:rPr>
        <w:t xml:space="preserve"> the variables do not follow a normal distribution</w:t>
      </w:r>
      <w:r w:rsidR="00B25BC4">
        <w:rPr>
          <w:rFonts w:eastAsia="Arial" w:cs="Arial"/>
          <w:szCs w:val="18"/>
        </w:rPr>
        <w:t xml:space="preserve">. </w:t>
      </w:r>
      <w:r w:rsidR="00FD1526">
        <w:rPr>
          <w:rFonts w:eastAsia="Arial" w:cs="Arial"/>
          <w:szCs w:val="18"/>
        </w:rPr>
        <w:t>This behaviour</w:t>
      </w:r>
      <w:r w:rsidR="00B25BC4">
        <w:rPr>
          <w:rFonts w:eastAsia="Arial" w:cs="Arial"/>
          <w:szCs w:val="18"/>
        </w:rPr>
        <w:t xml:space="preserve"> was </w:t>
      </w:r>
      <w:r w:rsidR="00FD1526">
        <w:rPr>
          <w:rFonts w:eastAsia="Arial" w:cs="Arial"/>
          <w:szCs w:val="18"/>
        </w:rPr>
        <w:t>expected since</w:t>
      </w:r>
      <w:r w:rsidR="00B25BC4">
        <w:rPr>
          <w:rFonts w:eastAsia="Arial" w:cs="Arial"/>
          <w:szCs w:val="18"/>
        </w:rPr>
        <w:t xml:space="preserve"> changes are seen in different amplitudes</w:t>
      </w:r>
      <w:r w:rsidR="00FD1526">
        <w:rPr>
          <w:rFonts w:eastAsia="Arial" w:cs="Arial"/>
          <w:szCs w:val="18"/>
        </w:rPr>
        <w:t>. Other fact, the variables was collected by real scenario, which means that lot of noise is contained.</w:t>
      </w:r>
      <w:r w:rsidR="00984507">
        <w:rPr>
          <w:rFonts w:eastAsia="Arial" w:cs="Arial"/>
          <w:szCs w:val="18"/>
        </w:rPr>
        <w:t xml:space="preserve"> </w:t>
      </w:r>
    </w:p>
    <w:p w14:paraId="2DD63DBF" w14:textId="707D31BE" w:rsidR="00984507" w:rsidRDefault="00B00C9D" w:rsidP="00C41DE4">
      <w:pPr>
        <w:pBdr>
          <w:top w:val="nil"/>
          <w:left w:val="nil"/>
          <w:bottom w:val="nil"/>
          <w:right w:val="nil"/>
          <w:between w:val="nil"/>
        </w:pBdr>
        <w:rPr>
          <w:rFonts w:eastAsia="Arial" w:cs="Arial"/>
          <w:szCs w:val="18"/>
        </w:rPr>
      </w:pPr>
      <w:r>
        <w:rPr>
          <w:rFonts w:eastAsia="Arial" w:cs="Arial"/>
          <w:szCs w:val="18"/>
        </w:rPr>
        <w:t>With the aim of</w:t>
      </w:r>
      <w:r w:rsidR="00984507">
        <w:rPr>
          <w:rFonts w:eastAsia="Arial" w:cs="Arial"/>
          <w:szCs w:val="18"/>
        </w:rPr>
        <w:t xml:space="preserve"> avoid</w:t>
      </w:r>
      <w:r>
        <w:rPr>
          <w:rFonts w:eastAsia="Arial" w:cs="Arial"/>
          <w:szCs w:val="18"/>
        </w:rPr>
        <w:t>ing</w:t>
      </w:r>
      <w:r w:rsidR="00984507">
        <w:rPr>
          <w:rFonts w:eastAsia="Arial" w:cs="Arial"/>
          <w:szCs w:val="18"/>
        </w:rPr>
        <w:t xml:space="preserve"> problems in statistical analysis, data manipulation </w:t>
      </w:r>
      <w:r w:rsidR="002D38A9">
        <w:rPr>
          <w:rFonts w:eastAsia="Arial" w:cs="Arial"/>
          <w:szCs w:val="18"/>
        </w:rPr>
        <w:t xml:space="preserve">for including elements in database. In many situations, the variables are filled </w:t>
      </w:r>
      <w:r w:rsidR="002D38A9" w:rsidRPr="003952C4">
        <w:rPr>
          <w:rFonts w:eastAsia="Arial" w:cs="Arial"/>
          <w:szCs w:val="18"/>
        </w:rPr>
        <w:t xml:space="preserve">he empty elements with the next non-empty value of the sequence, using the </w:t>
      </w:r>
      <w:r w:rsidR="002D38A9">
        <w:rPr>
          <w:rFonts w:eastAsia="Arial" w:cs="Arial"/>
          <w:szCs w:val="18"/>
        </w:rPr>
        <w:t>attribute</w:t>
      </w:r>
      <w:r w:rsidR="002D38A9" w:rsidRPr="003952C4">
        <w:rPr>
          <w:rFonts w:eastAsia="Arial" w:cs="Arial"/>
          <w:szCs w:val="18"/>
        </w:rPr>
        <w:t xml:space="preserve"> </w:t>
      </w:r>
      <w:r w:rsidRPr="00B00C9D">
        <w:rPr>
          <w:rFonts w:eastAsia="Arial" w:cs="Arial"/>
          <w:i/>
          <w:iCs/>
          <w:szCs w:val="18"/>
        </w:rPr>
        <w:t>“</w:t>
      </w:r>
      <w:proofErr w:type="spellStart"/>
      <w:r w:rsidR="002D38A9" w:rsidRPr="00B00C9D">
        <w:rPr>
          <w:rFonts w:eastAsia="Arial" w:cs="Arial"/>
          <w:i/>
          <w:iCs/>
          <w:szCs w:val="18"/>
        </w:rPr>
        <w:t>bfill</w:t>
      </w:r>
      <w:proofErr w:type="spellEnd"/>
      <w:r w:rsidRPr="00B00C9D">
        <w:rPr>
          <w:rFonts w:eastAsia="Arial" w:cs="Arial"/>
          <w:i/>
          <w:iCs/>
          <w:szCs w:val="18"/>
        </w:rPr>
        <w:t>”</w:t>
      </w:r>
      <w:r w:rsidR="002D38A9" w:rsidRPr="003952C4">
        <w:rPr>
          <w:rFonts w:eastAsia="Arial" w:cs="Arial"/>
          <w:szCs w:val="18"/>
        </w:rPr>
        <w:t xml:space="preserve"> (back</w:t>
      </w:r>
      <w:r>
        <w:rPr>
          <w:rFonts w:eastAsia="Arial" w:cs="Arial"/>
          <w:szCs w:val="18"/>
        </w:rPr>
        <w:t>ward</w:t>
      </w:r>
      <w:r w:rsidR="002D38A9" w:rsidRPr="003952C4">
        <w:rPr>
          <w:rFonts w:eastAsia="Arial" w:cs="Arial"/>
          <w:szCs w:val="18"/>
        </w:rPr>
        <w:t xml:space="preserve"> fill)</w:t>
      </w:r>
      <w:r w:rsidR="002D38A9">
        <w:rPr>
          <w:rFonts w:eastAsia="Arial" w:cs="Arial"/>
          <w:szCs w:val="18"/>
        </w:rPr>
        <w:t xml:space="preserve"> </w:t>
      </w:r>
      <w:proofErr w:type="gramStart"/>
      <w:r w:rsidR="002D38A9">
        <w:rPr>
          <w:rFonts w:eastAsia="Arial" w:cs="Arial"/>
          <w:szCs w:val="18"/>
        </w:rPr>
        <w:t xml:space="preserve">in </w:t>
      </w:r>
      <w:r w:rsidR="002D38A9" w:rsidRPr="002D38A9">
        <w:rPr>
          <w:rFonts w:eastAsia="Arial" w:cs="Arial"/>
          <w:i/>
          <w:iCs/>
          <w:szCs w:val="18"/>
        </w:rPr>
        <w:t>.</w:t>
      </w:r>
      <w:proofErr w:type="spellStart"/>
      <w:r w:rsidR="002D38A9" w:rsidRPr="002D38A9">
        <w:rPr>
          <w:rFonts w:eastAsia="Arial" w:cs="Arial"/>
          <w:i/>
          <w:iCs/>
          <w:szCs w:val="18"/>
        </w:rPr>
        <w:t>fillna</w:t>
      </w:r>
      <w:proofErr w:type="spellEnd"/>
      <w:proofErr w:type="gramEnd"/>
      <w:r w:rsidR="002D38A9" w:rsidRPr="002D38A9">
        <w:rPr>
          <w:rFonts w:eastAsia="Arial" w:cs="Arial"/>
          <w:i/>
          <w:iCs/>
          <w:szCs w:val="18"/>
        </w:rPr>
        <w:t>(), pandas</w:t>
      </w:r>
      <w:r w:rsidR="002D38A9">
        <w:rPr>
          <w:rFonts w:eastAsia="Arial" w:cs="Arial"/>
          <w:szCs w:val="18"/>
        </w:rPr>
        <w:t xml:space="preserve">. </w:t>
      </w:r>
      <w:r>
        <w:rPr>
          <w:rFonts w:eastAsia="Arial" w:cs="Arial"/>
          <w:szCs w:val="18"/>
        </w:rPr>
        <w:t xml:space="preserve">The </w:t>
      </w:r>
      <w:proofErr w:type="gramStart"/>
      <w:r>
        <w:rPr>
          <w:rFonts w:eastAsia="Arial" w:cs="Arial"/>
          <w:szCs w:val="18"/>
        </w:rPr>
        <w:t>method</w:t>
      </w:r>
      <w:r w:rsidR="002D38A9">
        <w:rPr>
          <w:rFonts w:eastAsia="Arial" w:cs="Arial"/>
          <w:szCs w:val="18"/>
        </w:rPr>
        <w:t xml:space="preserve"> </w:t>
      </w:r>
      <w:r w:rsidR="005E03FF" w:rsidRPr="005E03FF">
        <w:rPr>
          <w:rFonts w:eastAsia="Arial" w:cs="Arial"/>
          <w:i/>
          <w:iCs/>
          <w:szCs w:val="18"/>
        </w:rPr>
        <w:t>.describe</w:t>
      </w:r>
      <w:proofErr w:type="gramEnd"/>
      <w:r w:rsidR="005E03FF" w:rsidRPr="005E03FF">
        <w:rPr>
          <w:rFonts w:eastAsia="Arial" w:cs="Arial"/>
          <w:i/>
          <w:iCs/>
          <w:szCs w:val="18"/>
        </w:rPr>
        <w:t>()</w:t>
      </w:r>
      <w:r w:rsidR="005E03FF">
        <w:rPr>
          <w:rFonts w:eastAsia="Arial" w:cs="Arial"/>
          <w:szCs w:val="18"/>
        </w:rPr>
        <w:t xml:space="preserve"> </w:t>
      </w:r>
      <w:r>
        <w:rPr>
          <w:rFonts w:eastAsia="Arial" w:cs="Arial"/>
          <w:szCs w:val="18"/>
        </w:rPr>
        <w:t xml:space="preserve">was used </w:t>
      </w:r>
      <w:r w:rsidR="005E03FF">
        <w:rPr>
          <w:rFonts w:eastAsia="Arial" w:cs="Arial"/>
          <w:szCs w:val="18"/>
        </w:rPr>
        <w:t>to confirm the filling.</w:t>
      </w:r>
    </w:p>
    <w:p w14:paraId="0A97D5D3" w14:textId="12826763" w:rsidR="00FD1526" w:rsidRDefault="005E03FF" w:rsidP="00C41DE4">
      <w:pPr>
        <w:pBdr>
          <w:top w:val="nil"/>
          <w:left w:val="nil"/>
          <w:bottom w:val="nil"/>
          <w:right w:val="nil"/>
          <w:between w:val="nil"/>
        </w:pBdr>
        <w:rPr>
          <w:rFonts w:eastAsia="Arial" w:cs="Arial"/>
          <w:szCs w:val="18"/>
        </w:rPr>
      </w:pPr>
      <w:r>
        <w:rPr>
          <w:rFonts w:eastAsia="Arial" w:cs="Arial"/>
          <w:szCs w:val="18"/>
        </w:rPr>
        <w:t>After that, t</w:t>
      </w:r>
      <w:r w:rsidR="00FD1526" w:rsidRPr="005A18FB">
        <w:rPr>
          <w:rFonts w:eastAsia="Arial" w:cs="Arial"/>
          <w:szCs w:val="18"/>
        </w:rPr>
        <w:t xml:space="preserve">he Spearman correlation matrix was </w:t>
      </w:r>
      <w:r w:rsidR="0090237F">
        <w:rPr>
          <w:rFonts w:eastAsia="Arial" w:cs="Arial"/>
          <w:szCs w:val="18"/>
        </w:rPr>
        <w:t>performed</w:t>
      </w:r>
      <w:r w:rsidR="00FD1526">
        <w:rPr>
          <w:rFonts w:eastAsia="Arial" w:cs="Arial"/>
          <w:szCs w:val="18"/>
        </w:rPr>
        <w:t xml:space="preserve"> </w:t>
      </w:r>
      <w:r>
        <w:rPr>
          <w:rFonts w:eastAsia="Arial" w:cs="Arial"/>
          <w:szCs w:val="18"/>
        </w:rPr>
        <w:t>to</w:t>
      </w:r>
      <w:r w:rsidR="00FD1526">
        <w:rPr>
          <w:rFonts w:eastAsia="Arial" w:cs="Arial"/>
          <w:szCs w:val="18"/>
        </w:rPr>
        <w:t xml:space="preserve"> in</w:t>
      </w:r>
      <w:r w:rsidR="006D539D">
        <w:rPr>
          <w:rFonts w:eastAsia="Arial" w:cs="Arial"/>
          <w:szCs w:val="18"/>
        </w:rPr>
        <w:t>vestigate the relationship between two variables</w:t>
      </w:r>
      <w:r w:rsidR="00194457">
        <w:rPr>
          <w:rFonts w:eastAsia="Arial" w:cs="Arial"/>
          <w:szCs w:val="18"/>
        </w:rPr>
        <w:t xml:space="preserve"> and to evaluate the nonlinear correlation based on non-parametric statistical</w:t>
      </w:r>
      <w:r w:rsidR="006D539D">
        <w:rPr>
          <w:rFonts w:eastAsia="Arial" w:cs="Arial"/>
          <w:szCs w:val="18"/>
        </w:rPr>
        <w:t>.</w:t>
      </w:r>
      <w:r w:rsidR="00984507">
        <w:rPr>
          <w:rFonts w:eastAsia="Arial" w:cs="Arial"/>
          <w:szCs w:val="18"/>
        </w:rPr>
        <w:t xml:space="preserve"> </w:t>
      </w:r>
      <w:r w:rsidR="0090237F">
        <w:rPr>
          <w:rFonts w:eastAsia="Arial" w:cs="Arial"/>
          <w:szCs w:val="18"/>
        </w:rPr>
        <w:t xml:space="preserve">Figure 4 shows </w:t>
      </w:r>
      <w:r w:rsidR="00985612">
        <w:rPr>
          <w:rFonts w:eastAsia="Arial" w:cs="Arial"/>
          <w:szCs w:val="18"/>
        </w:rPr>
        <w:t>all correlations</w:t>
      </w:r>
      <w:r w:rsidR="00352264">
        <w:rPr>
          <w:rFonts w:eastAsia="Arial" w:cs="Arial"/>
          <w:szCs w:val="18"/>
        </w:rPr>
        <w:t xml:space="preserve"> between the variables from database.</w:t>
      </w:r>
    </w:p>
    <w:p w14:paraId="4E9B57D6" w14:textId="2FC50141" w:rsidR="00F80AC0" w:rsidRDefault="000A422E" w:rsidP="00C41DE4">
      <w:pPr>
        <w:pStyle w:val="CETBodytext"/>
        <w:ind w:right="-1"/>
        <w:rPr>
          <w:rFonts w:cs="Arial"/>
          <w:szCs w:val="18"/>
        </w:rPr>
      </w:pPr>
      <w:r>
        <w:rPr>
          <w:noProof/>
        </w:rPr>
        <w:drawing>
          <wp:anchor distT="0" distB="0" distL="114300" distR="114300" simplePos="0" relativeHeight="251661312" behindDoc="0" locked="0" layoutInCell="1" allowOverlap="1" wp14:anchorId="57329B17" wp14:editId="6B7B006E">
            <wp:simplePos x="0" y="0"/>
            <wp:positionH relativeFrom="column">
              <wp:posOffset>-635</wp:posOffset>
            </wp:positionH>
            <wp:positionV relativeFrom="paragraph">
              <wp:posOffset>17145</wp:posOffset>
            </wp:positionV>
            <wp:extent cx="3689350" cy="3311525"/>
            <wp:effectExtent l="0" t="0" r="6350" b="3175"/>
            <wp:wrapSquare wrapText="bothSides"/>
            <wp:docPr id="4" name="Imagem 4" descr="Interface gráfica do usuário, Gráfico, Aplicativo, Gráfico de mapa de árvore, PowerPoint&#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Interface gráfica do usuário, Gráfico, Aplicativo, Gráfico de mapa de árvore, PowerPoint&#10;&#10;Descrição gerada automaticamente"/>
                    <pic:cNvPicPr/>
                  </pic:nvPicPr>
                  <pic:blipFill rotWithShape="1">
                    <a:blip r:embed="rId10" cstate="print">
                      <a:extLst>
                        <a:ext uri="{BEBA8EAE-BF5A-486C-A8C5-ECC9F3942E4B}">
                          <a14:imgProps xmlns:a14="http://schemas.microsoft.com/office/drawing/2010/main">
                            <a14:imgLayer r:embed="rId11">
                              <a14:imgEffect>
                                <a14:sharpenSoften amount="15000"/>
                              </a14:imgEffect>
                            </a14:imgLayer>
                          </a14:imgProps>
                        </a:ext>
                        <a:ext uri="{28A0092B-C50C-407E-A947-70E740481C1C}">
                          <a14:useLocalDpi xmlns:a14="http://schemas.microsoft.com/office/drawing/2010/main" val="0"/>
                        </a:ext>
                      </a:extLst>
                    </a:blip>
                    <a:srcRect l="28734" t="19287" r="30602" b="11352"/>
                    <a:stretch/>
                  </pic:blipFill>
                  <pic:spPr bwMode="auto">
                    <a:xfrm>
                      <a:off x="0" y="0"/>
                      <a:ext cx="3689350" cy="3311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38EEA8F" w14:textId="34121570" w:rsidR="00F80AC0" w:rsidRDefault="00F80AC0" w:rsidP="00C41DE4">
      <w:pPr>
        <w:pStyle w:val="CETBodytext"/>
        <w:ind w:right="-1"/>
        <w:rPr>
          <w:rFonts w:cs="Arial"/>
          <w:szCs w:val="18"/>
        </w:rPr>
      </w:pPr>
    </w:p>
    <w:p w14:paraId="664520E5" w14:textId="77777777" w:rsidR="00F80AC0" w:rsidRDefault="00F80AC0" w:rsidP="00C41DE4">
      <w:pPr>
        <w:pStyle w:val="CETBodytext"/>
        <w:ind w:right="-1"/>
        <w:rPr>
          <w:rFonts w:cs="Arial"/>
          <w:szCs w:val="18"/>
        </w:rPr>
      </w:pPr>
    </w:p>
    <w:p w14:paraId="360D634E" w14:textId="77777777" w:rsidR="00F80AC0" w:rsidRDefault="00F80AC0" w:rsidP="00C41DE4">
      <w:pPr>
        <w:pStyle w:val="CETBodytext"/>
        <w:ind w:right="-1"/>
        <w:rPr>
          <w:rFonts w:cs="Arial"/>
          <w:szCs w:val="18"/>
        </w:rPr>
      </w:pPr>
    </w:p>
    <w:p w14:paraId="44C62788" w14:textId="77777777" w:rsidR="00F80AC0" w:rsidRDefault="00F80AC0" w:rsidP="00C41DE4">
      <w:pPr>
        <w:pStyle w:val="CETBodytext"/>
        <w:ind w:right="-1"/>
        <w:rPr>
          <w:rFonts w:cs="Arial"/>
          <w:szCs w:val="18"/>
        </w:rPr>
      </w:pPr>
    </w:p>
    <w:p w14:paraId="4858AFE9" w14:textId="659657DA" w:rsidR="00F80AC0" w:rsidRDefault="00F80AC0" w:rsidP="00C41DE4">
      <w:pPr>
        <w:pStyle w:val="CETBodytext"/>
        <w:ind w:right="-1"/>
        <w:rPr>
          <w:rFonts w:cs="Arial"/>
          <w:szCs w:val="18"/>
        </w:rPr>
      </w:pPr>
    </w:p>
    <w:p w14:paraId="6CFE0F4E" w14:textId="77777777" w:rsidR="00F80AC0" w:rsidRDefault="00F80AC0" w:rsidP="00C41DE4">
      <w:pPr>
        <w:pStyle w:val="CETBodytext"/>
        <w:ind w:right="-1"/>
        <w:rPr>
          <w:rFonts w:cs="Arial"/>
          <w:szCs w:val="18"/>
        </w:rPr>
      </w:pPr>
    </w:p>
    <w:p w14:paraId="72927934" w14:textId="77777777" w:rsidR="00F80AC0" w:rsidRDefault="00F80AC0" w:rsidP="00C41DE4">
      <w:pPr>
        <w:pStyle w:val="CETBodytext"/>
        <w:ind w:right="-1"/>
        <w:rPr>
          <w:rFonts w:cs="Arial"/>
          <w:szCs w:val="18"/>
        </w:rPr>
      </w:pPr>
    </w:p>
    <w:p w14:paraId="67AE8389" w14:textId="77777777" w:rsidR="00F80AC0" w:rsidRDefault="00F80AC0" w:rsidP="00C41DE4">
      <w:pPr>
        <w:pStyle w:val="CETBodytext"/>
        <w:ind w:right="-1"/>
        <w:rPr>
          <w:rFonts w:cs="Arial"/>
          <w:szCs w:val="18"/>
        </w:rPr>
      </w:pPr>
    </w:p>
    <w:p w14:paraId="681B36AF" w14:textId="77777777" w:rsidR="00F80AC0" w:rsidRDefault="00F80AC0" w:rsidP="00C41DE4">
      <w:pPr>
        <w:pStyle w:val="CETBodytext"/>
        <w:ind w:right="-1"/>
        <w:rPr>
          <w:rFonts w:cs="Arial"/>
          <w:szCs w:val="18"/>
        </w:rPr>
      </w:pPr>
    </w:p>
    <w:p w14:paraId="67279577" w14:textId="77777777" w:rsidR="00F80AC0" w:rsidRDefault="00F80AC0" w:rsidP="00C41DE4">
      <w:pPr>
        <w:pStyle w:val="CETBodytext"/>
        <w:ind w:right="-1"/>
        <w:rPr>
          <w:rFonts w:cs="Arial"/>
          <w:szCs w:val="18"/>
        </w:rPr>
      </w:pPr>
    </w:p>
    <w:p w14:paraId="692C6734" w14:textId="77777777" w:rsidR="00F80AC0" w:rsidRDefault="00F80AC0" w:rsidP="00C41DE4">
      <w:pPr>
        <w:pStyle w:val="CETBodytext"/>
        <w:ind w:right="-1"/>
        <w:rPr>
          <w:rFonts w:cs="Arial"/>
          <w:szCs w:val="18"/>
        </w:rPr>
      </w:pPr>
    </w:p>
    <w:p w14:paraId="3A692242" w14:textId="77777777" w:rsidR="00F80AC0" w:rsidRDefault="00F80AC0" w:rsidP="00C41DE4">
      <w:pPr>
        <w:pStyle w:val="CETBodytext"/>
        <w:ind w:right="-1"/>
        <w:rPr>
          <w:rFonts w:cs="Arial"/>
          <w:szCs w:val="18"/>
        </w:rPr>
      </w:pPr>
    </w:p>
    <w:p w14:paraId="281A6184" w14:textId="77777777" w:rsidR="00F80AC0" w:rsidRDefault="00F80AC0" w:rsidP="00C41DE4">
      <w:pPr>
        <w:pStyle w:val="CETBodytext"/>
        <w:ind w:right="-1"/>
        <w:rPr>
          <w:rFonts w:cs="Arial"/>
          <w:szCs w:val="18"/>
        </w:rPr>
      </w:pPr>
    </w:p>
    <w:p w14:paraId="233363F0" w14:textId="77777777" w:rsidR="00F80AC0" w:rsidRDefault="00F80AC0" w:rsidP="00C41DE4">
      <w:pPr>
        <w:pStyle w:val="CETBodytext"/>
        <w:ind w:right="-1"/>
        <w:rPr>
          <w:rFonts w:cs="Arial"/>
          <w:szCs w:val="18"/>
        </w:rPr>
      </w:pPr>
    </w:p>
    <w:p w14:paraId="27E6ECC1" w14:textId="77777777" w:rsidR="00F80AC0" w:rsidRDefault="00F80AC0" w:rsidP="00C41DE4">
      <w:pPr>
        <w:pStyle w:val="CETBodytext"/>
        <w:ind w:right="-1"/>
        <w:rPr>
          <w:rFonts w:cs="Arial"/>
          <w:szCs w:val="18"/>
        </w:rPr>
      </w:pPr>
    </w:p>
    <w:p w14:paraId="11273F51" w14:textId="77777777" w:rsidR="00F80AC0" w:rsidRDefault="00F80AC0" w:rsidP="00C41DE4">
      <w:pPr>
        <w:pStyle w:val="CETBodytext"/>
        <w:ind w:right="-1"/>
        <w:rPr>
          <w:rFonts w:cs="Arial"/>
          <w:szCs w:val="18"/>
        </w:rPr>
      </w:pPr>
    </w:p>
    <w:p w14:paraId="153B655E" w14:textId="3E35DC87" w:rsidR="00F80AC0" w:rsidRDefault="00F80AC0" w:rsidP="00C41DE4">
      <w:pPr>
        <w:pStyle w:val="CETBodytext"/>
        <w:ind w:right="-1"/>
        <w:rPr>
          <w:rFonts w:cs="Arial"/>
          <w:szCs w:val="18"/>
        </w:rPr>
      </w:pPr>
    </w:p>
    <w:p w14:paraId="3359EB87" w14:textId="1BAD74A2" w:rsidR="00082F1F" w:rsidRDefault="00082F1F" w:rsidP="00C41DE4">
      <w:pPr>
        <w:pStyle w:val="CETBodytext"/>
        <w:ind w:right="-1"/>
        <w:rPr>
          <w:rFonts w:cs="Arial"/>
          <w:szCs w:val="18"/>
        </w:rPr>
      </w:pPr>
    </w:p>
    <w:p w14:paraId="6860357A" w14:textId="4F2B27CE" w:rsidR="00082F1F" w:rsidRDefault="00082F1F" w:rsidP="00C41DE4">
      <w:pPr>
        <w:pStyle w:val="CETBodytext"/>
        <w:ind w:right="-1"/>
        <w:rPr>
          <w:rFonts w:cs="Arial"/>
          <w:szCs w:val="18"/>
        </w:rPr>
      </w:pPr>
    </w:p>
    <w:p w14:paraId="1B5B492D" w14:textId="77777777" w:rsidR="00AD2632" w:rsidRDefault="00AD2632" w:rsidP="00C41DE4">
      <w:pPr>
        <w:pStyle w:val="CETBodytext"/>
        <w:ind w:right="-1"/>
        <w:rPr>
          <w:rFonts w:cs="Arial"/>
          <w:szCs w:val="18"/>
        </w:rPr>
      </w:pPr>
    </w:p>
    <w:p w14:paraId="2C5FB9A2" w14:textId="77777777" w:rsidR="00AD2632" w:rsidRDefault="00AD2632" w:rsidP="00C41DE4">
      <w:pPr>
        <w:pStyle w:val="CETBodytext"/>
        <w:ind w:right="-1"/>
        <w:rPr>
          <w:rFonts w:cs="Arial"/>
          <w:szCs w:val="18"/>
        </w:rPr>
      </w:pPr>
    </w:p>
    <w:p w14:paraId="07906B56" w14:textId="77777777" w:rsidR="0098766E" w:rsidRDefault="0098766E" w:rsidP="00C41DE4">
      <w:pPr>
        <w:pStyle w:val="CETBodytext"/>
        <w:ind w:right="-1"/>
        <w:rPr>
          <w:rFonts w:cs="Arial"/>
          <w:szCs w:val="18"/>
        </w:rPr>
      </w:pPr>
    </w:p>
    <w:p w14:paraId="24B33EAA" w14:textId="77777777" w:rsidR="0098766E" w:rsidRDefault="0098766E" w:rsidP="00C41DE4">
      <w:pPr>
        <w:pStyle w:val="CETBodytext"/>
        <w:ind w:right="-1"/>
        <w:rPr>
          <w:rFonts w:cs="Arial"/>
          <w:szCs w:val="18"/>
        </w:rPr>
      </w:pPr>
    </w:p>
    <w:p w14:paraId="184DF4C3" w14:textId="7E76ABEC" w:rsidR="00254BB3" w:rsidRPr="00B54C7D" w:rsidRDefault="00B54C7D" w:rsidP="00C41DE4">
      <w:pPr>
        <w:pStyle w:val="CETBodytext"/>
        <w:ind w:right="-1"/>
        <w:rPr>
          <w:rStyle w:val="CETCaptionCarattere"/>
          <w:rFonts w:cs="Arial"/>
          <w:i w:val="0"/>
          <w:szCs w:val="18"/>
          <w:lang w:val="en-US"/>
        </w:rPr>
      </w:pPr>
      <w:r w:rsidRPr="00D659B0">
        <w:rPr>
          <w:rStyle w:val="CETCaptionCarattere"/>
          <w:lang w:eastAsia="en-US"/>
        </w:rPr>
        <w:t xml:space="preserve">Figure </w:t>
      </w:r>
      <w:r>
        <w:rPr>
          <w:rStyle w:val="CETCaptionCarattere"/>
          <w:lang w:eastAsia="en-US"/>
        </w:rPr>
        <w:t>4: Histogram of variables</w:t>
      </w:r>
      <w:r w:rsidRPr="00680505">
        <w:rPr>
          <w:rFonts w:cs="Arial"/>
          <w:color w:val="000000"/>
          <w:szCs w:val="18"/>
        </w:rPr>
        <w:t>.</w:t>
      </w:r>
    </w:p>
    <w:p w14:paraId="2D0F1D9D" w14:textId="512E540A" w:rsidR="00E70BC9" w:rsidRDefault="00C41DE4" w:rsidP="00C41DE4">
      <w:pPr>
        <w:pStyle w:val="CETBodytext"/>
        <w:ind w:right="-1"/>
        <w:rPr>
          <w:rFonts w:cs="Arial"/>
          <w:szCs w:val="18"/>
        </w:rPr>
      </w:pPr>
      <w:r w:rsidRPr="005A18FB">
        <w:rPr>
          <w:rFonts w:cs="Arial"/>
          <w:szCs w:val="18"/>
        </w:rPr>
        <w:t xml:space="preserve">According to </w:t>
      </w:r>
      <w:r w:rsidR="004870F9">
        <w:rPr>
          <w:rFonts w:cs="Arial"/>
          <w:szCs w:val="18"/>
        </w:rPr>
        <w:t>matrix</w:t>
      </w:r>
      <w:r w:rsidR="003F7DDC">
        <w:rPr>
          <w:rFonts w:cs="Arial"/>
          <w:szCs w:val="18"/>
        </w:rPr>
        <w:t xml:space="preserve"> (Figure 4)</w:t>
      </w:r>
      <w:r w:rsidRPr="005A18FB">
        <w:rPr>
          <w:rFonts w:cs="Arial"/>
          <w:szCs w:val="18"/>
        </w:rPr>
        <w:t xml:space="preserve">, </w:t>
      </w:r>
      <w:r w:rsidR="005A26B0" w:rsidRPr="005A18FB">
        <w:rPr>
          <w:rFonts w:cs="Arial"/>
          <w:szCs w:val="18"/>
        </w:rPr>
        <w:t>the</w:t>
      </w:r>
      <w:r w:rsidRPr="005A18FB">
        <w:rPr>
          <w:rFonts w:cs="Arial"/>
          <w:szCs w:val="18"/>
        </w:rPr>
        <w:t xml:space="preserve"> variable</w:t>
      </w:r>
      <w:r w:rsidR="005E1A10">
        <w:rPr>
          <w:rFonts w:cs="Arial"/>
          <w:szCs w:val="18"/>
        </w:rPr>
        <w:t xml:space="preserve"> </w:t>
      </w:r>
      <w:r w:rsidR="005E1A10" w:rsidRPr="005A18FB">
        <w:rPr>
          <w:rFonts w:cs="Arial"/>
          <w:szCs w:val="18"/>
        </w:rPr>
        <w:t>P-PDG</w:t>
      </w:r>
      <w:r w:rsidRPr="005A18FB">
        <w:rPr>
          <w:rFonts w:cs="Arial"/>
          <w:szCs w:val="18"/>
        </w:rPr>
        <w:t xml:space="preserve"> has a strong correlation with</w:t>
      </w:r>
      <w:r w:rsidR="008851AA">
        <w:rPr>
          <w:rFonts w:cs="Arial"/>
          <w:szCs w:val="18"/>
        </w:rPr>
        <w:t xml:space="preserve"> all variables, in other hand, only positively with</w:t>
      </w:r>
      <w:r w:rsidRPr="005A18FB">
        <w:rPr>
          <w:rFonts w:cs="Arial"/>
          <w:szCs w:val="18"/>
        </w:rPr>
        <w:t xml:space="preserve"> QGL</w:t>
      </w:r>
      <w:r w:rsidR="008851AA">
        <w:rPr>
          <w:rFonts w:cs="Arial"/>
          <w:szCs w:val="18"/>
        </w:rPr>
        <w:t>, which means they grow in the same direction</w:t>
      </w:r>
      <w:r w:rsidR="005E1A10">
        <w:rPr>
          <w:rFonts w:cs="Arial"/>
          <w:szCs w:val="18"/>
        </w:rPr>
        <w:t>, observed in Figure 1.</w:t>
      </w:r>
    </w:p>
    <w:p w14:paraId="3BCB5728" w14:textId="0A4C1236" w:rsidR="00E70BC9" w:rsidRDefault="00C41DE4" w:rsidP="00C41DE4">
      <w:pPr>
        <w:pStyle w:val="CETBodytext"/>
        <w:ind w:right="-1"/>
        <w:rPr>
          <w:rFonts w:cs="Arial"/>
          <w:szCs w:val="18"/>
        </w:rPr>
      </w:pPr>
      <w:r w:rsidRPr="005A18FB">
        <w:rPr>
          <w:rFonts w:cs="Arial"/>
          <w:szCs w:val="18"/>
        </w:rPr>
        <w:t>While the variable</w:t>
      </w:r>
      <w:r w:rsidR="006F2D24">
        <w:rPr>
          <w:rFonts w:cs="Arial"/>
          <w:szCs w:val="18"/>
        </w:rPr>
        <w:t xml:space="preserve"> </w:t>
      </w:r>
      <w:r w:rsidR="006F2D24" w:rsidRPr="005A18FB">
        <w:rPr>
          <w:rFonts w:cs="Arial"/>
          <w:szCs w:val="18"/>
        </w:rPr>
        <w:t>P-TPT</w:t>
      </w:r>
      <w:r w:rsidRPr="005A18FB">
        <w:rPr>
          <w:rFonts w:cs="Arial"/>
          <w:szCs w:val="18"/>
        </w:rPr>
        <w:t xml:space="preserve"> has a very strong correlation with the variable</w:t>
      </w:r>
      <w:r w:rsidR="006F2D24">
        <w:rPr>
          <w:rFonts w:cs="Arial"/>
          <w:szCs w:val="18"/>
        </w:rPr>
        <w:t xml:space="preserve"> </w:t>
      </w:r>
      <w:r w:rsidR="006F2D24" w:rsidRPr="005A18FB">
        <w:rPr>
          <w:rFonts w:cs="Arial"/>
          <w:szCs w:val="18"/>
        </w:rPr>
        <w:t xml:space="preserve">P-MON-CKP </w:t>
      </w:r>
      <w:r w:rsidR="006F2D24">
        <w:rPr>
          <w:rFonts w:cs="Arial"/>
          <w:szCs w:val="18"/>
        </w:rPr>
        <w:t>(positively)</w:t>
      </w:r>
      <w:r w:rsidRPr="005A18FB">
        <w:rPr>
          <w:rFonts w:cs="Arial"/>
          <w:szCs w:val="18"/>
        </w:rPr>
        <w:t>, moderate with the variable</w:t>
      </w:r>
      <w:r w:rsidR="006F2D24">
        <w:rPr>
          <w:rFonts w:cs="Arial"/>
          <w:szCs w:val="18"/>
        </w:rPr>
        <w:t xml:space="preserve"> </w:t>
      </w:r>
      <w:r w:rsidR="006F2D24" w:rsidRPr="005A18FB">
        <w:rPr>
          <w:rFonts w:cs="Arial"/>
          <w:szCs w:val="18"/>
        </w:rPr>
        <w:t>QGL</w:t>
      </w:r>
      <w:r w:rsidR="006F2D24">
        <w:rPr>
          <w:rFonts w:cs="Arial"/>
          <w:szCs w:val="18"/>
        </w:rPr>
        <w:t xml:space="preserve"> (negatively)</w:t>
      </w:r>
      <w:r w:rsidRPr="005A18FB">
        <w:rPr>
          <w:rFonts w:cs="Arial"/>
          <w:szCs w:val="18"/>
        </w:rPr>
        <w:t xml:space="preserve"> and weak with the variables</w:t>
      </w:r>
      <w:r w:rsidR="006F2D24">
        <w:rPr>
          <w:rFonts w:cs="Arial"/>
          <w:szCs w:val="18"/>
        </w:rPr>
        <w:t xml:space="preserve"> </w:t>
      </w:r>
      <w:r w:rsidR="006F2D24" w:rsidRPr="005A18FB">
        <w:rPr>
          <w:rFonts w:cs="Arial"/>
          <w:szCs w:val="18"/>
        </w:rPr>
        <w:t>T-TPT and T-JUS-CKP</w:t>
      </w:r>
      <w:r w:rsidRPr="005A18FB">
        <w:rPr>
          <w:rFonts w:cs="Arial"/>
          <w:szCs w:val="18"/>
        </w:rPr>
        <w:t>.</w:t>
      </w:r>
      <w:r w:rsidR="006F2D24">
        <w:rPr>
          <w:rFonts w:cs="Arial"/>
          <w:szCs w:val="18"/>
        </w:rPr>
        <w:t xml:space="preserve"> Probably, the flow </w:t>
      </w:r>
      <w:r w:rsidR="00E70BC9">
        <w:rPr>
          <w:rFonts w:cs="Arial"/>
          <w:szCs w:val="18"/>
        </w:rPr>
        <w:t>instability passing through tube until platform undergoes disturbances from the environment.</w:t>
      </w:r>
    </w:p>
    <w:p w14:paraId="53D25742" w14:textId="4C854FCB" w:rsidR="00A37C46" w:rsidRDefault="00C41DE4" w:rsidP="00C41DE4">
      <w:pPr>
        <w:pStyle w:val="CETBodytext"/>
        <w:ind w:right="-1"/>
        <w:rPr>
          <w:rFonts w:cs="Arial"/>
          <w:szCs w:val="18"/>
        </w:rPr>
      </w:pPr>
      <w:r w:rsidRPr="005A18FB">
        <w:rPr>
          <w:rFonts w:cs="Arial"/>
          <w:szCs w:val="18"/>
        </w:rPr>
        <w:t>The variable</w:t>
      </w:r>
      <w:r w:rsidR="00E70BC9">
        <w:rPr>
          <w:rFonts w:cs="Arial"/>
          <w:szCs w:val="18"/>
        </w:rPr>
        <w:t xml:space="preserve"> </w:t>
      </w:r>
      <w:r w:rsidR="00E70BC9" w:rsidRPr="005A18FB">
        <w:rPr>
          <w:rFonts w:cs="Arial"/>
          <w:szCs w:val="18"/>
        </w:rPr>
        <w:t>T-TPT</w:t>
      </w:r>
      <w:r w:rsidRPr="005A18FB">
        <w:rPr>
          <w:rFonts w:cs="Arial"/>
          <w:szCs w:val="18"/>
        </w:rPr>
        <w:t xml:space="preserve"> has a </w:t>
      </w:r>
      <w:r w:rsidR="00D7721C">
        <w:rPr>
          <w:rFonts w:cs="Arial"/>
          <w:szCs w:val="18"/>
        </w:rPr>
        <w:t xml:space="preserve">very </w:t>
      </w:r>
      <w:r w:rsidRPr="005A18FB">
        <w:rPr>
          <w:rFonts w:cs="Arial"/>
          <w:szCs w:val="18"/>
        </w:rPr>
        <w:t>strong correlation with the variable</w:t>
      </w:r>
      <w:r w:rsidR="00A37C46">
        <w:rPr>
          <w:rFonts w:cs="Arial"/>
          <w:szCs w:val="18"/>
        </w:rPr>
        <w:t xml:space="preserve"> </w:t>
      </w:r>
      <w:r w:rsidR="00A37C46" w:rsidRPr="005A18FB">
        <w:rPr>
          <w:rFonts w:cs="Arial"/>
          <w:szCs w:val="18"/>
        </w:rPr>
        <w:t>T-JUS-CKP</w:t>
      </w:r>
      <w:r w:rsidR="00A37C46">
        <w:rPr>
          <w:rFonts w:cs="Arial"/>
          <w:szCs w:val="18"/>
        </w:rPr>
        <w:t xml:space="preserve"> (positively)</w:t>
      </w:r>
      <w:r w:rsidRPr="005A18FB">
        <w:rPr>
          <w:rFonts w:cs="Arial"/>
          <w:szCs w:val="18"/>
        </w:rPr>
        <w:t>, strong with the variable</w:t>
      </w:r>
      <w:r w:rsidR="00A37C46">
        <w:rPr>
          <w:rFonts w:cs="Arial"/>
          <w:szCs w:val="18"/>
        </w:rPr>
        <w:t xml:space="preserve"> </w:t>
      </w:r>
      <w:r w:rsidR="00A37C46" w:rsidRPr="005A18FB">
        <w:rPr>
          <w:rFonts w:cs="Arial"/>
          <w:szCs w:val="18"/>
        </w:rPr>
        <w:t>QGL</w:t>
      </w:r>
      <w:r w:rsidR="00A37C46">
        <w:rPr>
          <w:rFonts w:cs="Arial"/>
          <w:szCs w:val="18"/>
        </w:rPr>
        <w:t xml:space="preserve"> (negatively)</w:t>
      </w:r>
      <w:r w:rsidRPr="005A18FB">
        <w:rPr>
          <w:rFonts w:cs="Arial"/>
          <w:szCs w:val="18"/>
        </w:rPr>
        <w:t xml:space="preserve"> and </w:t>
      </w:r>
      <w:r w:rsidR="00A37C46">
        <w:rPr>
          <w:rFonts w:cs="Arial"/>
          <w:szCs w:val="18"/>
        </w:rPr>
        <w:t>moderate</w:t>
      </w:r>
      <w:r w:rsidRPr="005A18FB">
        <w:rPr>
          <w:rFonts w:cs="Arial"/>
          <w:szCs w:val="18"/>
        </w:rPr>
        <w:t xml:space="preserve"> with the variable</w:t>
      </w:r>
      <w:r w:rsidR="00A37C46">
        <w:rPr>
          <w:rFonts w:cs="Arial"/>
          <w:szCs w:val="18"/>
        </w:rPr>
        <w:t xml:space="preserve">s P-TPT and </w:t>
      </w:r>
      <w:r w:rsidR="00A37C46" w:rsidRPr="005A18FB">
        <w:rPr>
          <w:rFonts w:cs="Arial"/>
          <w:szCs w:val="18"/>
        </w:rPr>
        <w:t>P-MON-CKP</w:t>
      </w:r>
      <w:r w:rsidR="00A37C46">
        <w:rPr>
          <w:rFonts w:cs="Arial"/>
          <w:szCs w:val="18"/>
        </w:rPr>
        <w:t xml:space="preserve"> (positively)</w:t>
      </w:r>
      <w:r w:rsidRPr="005A18FB">
        <w:rPr>
          <w:rFonts w:cs="Arial"/>
          <w:szCs w:val="18"/>
        </w:rPr>
        <w:t>.</w:t>
      </w:r>
    </w:p>
    <w:p w14:paraId="5ED8D605" w14:textId="63DD8816" w:rsidR="00A37C46" w:rsidRDefault="00C41DE4" w:rsidP="00C41DE4">
      <w:pPr>
        <w:pStyle w:val="CETBodytext"/>
        <w:ind w:right="-1"/>
        <w:rPr>
          <w:rFonts w:cs="Arial"/>
          <w:szCs w:val="18"/>
        </w:rPr>
      </w:pPr>
      <w:r w:rsidRPr="005A18FB">
        <w:rPr>
          <w:rFonts w:cs="Arial"/>
          <w:szCs w:val="18"/>
        </w:rPr>
        <w:t>The variable</w:t>
      </w:r>
      <w:r w:rsidR="00A37C46">
        <w:rPr>
          <w:rFonts w:cs="Arial"/>
          <w:szCs w:val="18"/>
        </w:rPr>
        <w:t xml:space="preserve"> </w:t>
      </w:r>
      <w:r w:rsidR="00A37C46" w:rsidRPr="005A18FB">
        <w:rPr>
          <w:rFonts w:cs="Arial"/>
          <w:szCs w:val="18"/>
        </w:rPr>
        <w:t>P-MON-CKP</w:t>
      </w:r>
      <w:r w:rsidRPr="005A18FB">
        <w:rPr>
          <w:rFonts w:cs="Arial"/>
          <w:szCs w:val="18"/>
        </w:rPr>
        <w:t xml:space="preserve"> has a </w:t>
      </w:r>
      <w:r w:rsidR="00A37C46">
        <w:rPr>
          <w:rFonts w:cs="Arial"/>
          <w:szCs w:val="18"/>
        </w:rPr>
        <w:t>moderate</w:t>
      </w:r>
      <w:r w:rsidRPr="005A18FB">
        <w:rPr>
          <w:rFonts w:cs="Arial"/>
          <w:szCs w:val="18"/>
        </w:rPr>
        <w:t xml:space="preserve"> correlation with the variable</w:t>
      </w:r>
      <w:r w:rsidR="00A37C46">
        <w:rPr>
          <w:rFonts w:cs="Arial"/>
          <w:szCs w:val="18"/>
        </w:rPr>
        <w:t xml:space="preserve"> </w:t>
      </w:r>
      <w:r w:rsidR="00A37C46" w:rsidRPr="005A18FB">
        <w:rPr>
          <w:rFonts w:cs="Arial"/>
          <w:szCs w:val="18"/>
        </w:rPr>
        <w:t>T-JUS-CKP</w:t>
      </w:r>
      <w:r w:rsidR="00A37C46">
        <w:rPr>
          <w:rFonts w:cs="Arial"/>
          <w:szCs w:val="18"/>
        </w:rPr>
        <w:t xml:space="preserve"> (positively)</w:t>
      </w:r>
      <w:r w:rsidRPr="005A18FB">
        <w:rPr>
          <w:rFonts w:cs="Arial"/>
          <w:szCs w:val="18"/>
        </w:rPr>
        <w:t xml:space="preserve"> and </w:t>
      </w:r>
      <w:r w:rsidR="00A37C46">
        <w:rPr>
          <w:rFonts w:cs="Arial"/>
          <w:szCs w:val="18"/>
        </w:rPr>
        <w:t>strong</w:t>
      </w:r>
      <w:r w:rsidRPr="005A18FB">
        <w:rPr>
          <w:rFonts w:cs="Arial"/>
          <w:szCs w:val="18"/>
        </w:rPr>
        <w:t xml:space="preserve"> with the variable</w:t>
      </w:r>
      <w:r w:rsidR="00A37C46">
        <w:rPr>
          <w:rFonts w:cs="Arial"/>
          <w:szCs w:val="18"/>
        </w:rPr>
        <w:t xml:space="preserve"> </w:t>
      </w:r>
      <w:r w:rsidR="00A37C46" w:rsidRPr="005A18FB">
        <w:rPr>
          <w:rFonts w:cs="Arial"/>
          <w:szCs w:val="18"/>
        </w:rPr>
        <w:t>QGL</w:t>
      </w:r>
      <w:r w:rsidR="00A37C46">
        <w:rPr>
          <w:rFonts w:cs="Arial"/>
          <w:szCs w:val="18"/>
        </w:rPr>
        <w:t xml:space="preserve"> (negatively)</w:t>
      </w:r>
      <w:r w:rsidRPr="005A18FB">
        <w:rPr>
          <w:rFonts w:cs="Arial"/>
          <w:szCs w:val="18"/>
        </w:rPr>
        <w:t xml:space="preserve">. </w:t>
      </w:r>
    </w:p>
    <w:p w14:paraId="5A9EE803" w14:textId="793B32EC" w:rsidR="00C41DE4" w:rsidRDefault="00A37C46" w:rsidP="00C41DE4">
      <w:pPr>
        <w:pStyle w:val="CETBodytext"/>
        <w:ind w:right="-1"/>
        <w:rPr>
          <w:rFonts w:cs="Arial"/>
          <w:szCs w:val="18"/>
        </w:rPr>
      </w:pPr>
      <w:r>
        <w:rPr>
          <w:rFonts w:cs="Arial"/>
          <w:szCs w:val="18"/>
        </w:rPr>
        <w:t>F</w:t>
      </w:r>
      <w:r w:rsidR="00C41DE4" w:rsidRPr="005A18FB">
        <w:rPr>
          <w:rFonts w:cs="Arial"/>
          <w:szCs w:val="18"/>
        </w:rPr>
        <w:t>inally, the variable</w:t>
      </w:r>
      <w:r>
        <w:rPr>
          <w:rFonts w:cs="Arial"/>
          <w:szCs w:val="18"/>
        </w:rPr>
        <w:t xml:space="preserve"> </w:t>
      </w:r>
      <w:r w:rsidRPr="005A18FB">
        <w:rPr>
          <w:rFonts w:cs="Arial"/>
          <w:szCs w:val="18"/>
        </w:rPr>
        <w:t>T-JUS-CKP</w:t>
      </w:r>
      <w:r w:rsidR="00C41DE4" w:rsidRPr="005A18FB">
        <w:rPr>
          <w:rFonts w:cs="Arial"/>
          <w:szCs w:val="18"/>
        </w:rPr>
        <w:t xml:space="preserve"> has a strong correlation with the variable</w:t>
      </w:r>
      <w:r w:rsidR="00CD73A8">
        <w:rPr>
          <w:rFonts w:cs="Arial"/>
          <w:szCs w:val="18"/>
        </w:rPr>
        <w:t xml:space="preserve"> </w:t>
      </w:r>
      <w:r w:rsidR="00CD73A8" w:rsidRPr="005A18FB">
        <w:rPr>
          <w:rFonts w:cs="Arial"/>
          <w:szCs w:val="18"/>
        </w:rPr>
        <w:t>QGL</w:t>
      </w:r>
      <w:r w:rsidR="00CD73A8">
        <w:rPr>
          <w:rFonts w:cs="Arial"/>
          <w:szCs w:val="18"/>
        </w:rPr>
        <w:t xml:space="preserve"> (positively)</w:t>
      </w:r>
      <w:r w:rsidR="00C41DE4" w:rsidRPr="005A18FB">
        <w:rPr>
          <w:rFonts w:cs="Arial"/>
          <w:szCs w:val="18"/>
        </w:rPr>
        <w:t>.</w:t>
      </w:r>
    </w:p>
    <w:p w14:paraId="493F3BE1" w14:textId="5E56B1CF" w:rsidR="004870F9" w:rsidRPr="005A18FB" w:rsidRDefault="00CD73A8" w:rsidP="00C41DE4">
      <w:pPr>
        <w:pStyle w:val="CETBodytext"/>
        <w:ind w:right="-1"/>
        <w:rPr>
          <w:rFonts w:cs="Arial"/>
          <w:szCs w:val="18"/>
        </w:rPr>
      </w:pPr>
      <w:r>
        <w:rPr>
          <w:rFonts w:cs="Arial"/>
          <w:szCs w:val="18"/>
        </w:rPr>
        <w:t xml:space="preserve">In general, Spearman correlation matrix showed that the most of temperatures have moderate correlation with </w:t>
      </w:r>
      <w:proofErr w:type="gramStart"/>
      <w:r>
        <w:rPr>
          <w:rFonts w:cs="Arial"/>
          <w:szCs w:val="18"/>
        </w:rPr>
        <w:t>pressures, but</w:t>
      </w:r>
      <w:proofErr w:type="gramEnd"/>
      <w:r>
        <w:rPr>
          <w:rFonts w:cs="Arial"/>
          <w:szCs w:val="18"/>
        </w:rPr>
        <w:t xml:space="preserve"> have strong correlation with each other and vice-versa.</w:t>
      </w:r>
    </w:p>
    <w:p w14:paraId="329C3935" w14:textId="695E3226" w:rsidR="005A18FB" w:rsidRDefault="0047664F" w:rsidP="00E96B53">
      <w:pPr>
        <w:pStyle w:val="CETBodytext"/>
        <w:ind w:right="-1"/>
        <w:rPr>
          <w:rFonts w:cs="Arial"/>
          <w:szCs w:val="18"/>
        </w:rPr>
      </w:pPr>
      <w:r>
        <w:rPr>
          <w:rFonts w:cs="Arial"/>
          <w:szCs w:val="18"/>
        </w:rPr>
        <w:t xml:space="preserve">The analysis of database by PCA has shown the values of variances for the six new principal components (PC). </w:t>
      </w:r>
      <w:r w:rsidR="007E0C45">
        <w:rPr>
          <w:rFonts w:cs="Arial"/>
          <w:szCs w:val="18"/>
        </w:rPr>
        <w:t>The PCs present</w:t>
      </w:r>
      <w:r w:rsidR="008E5B74">
        <w:rPr>
          <w:rFonts w:cs="Arial"/>
          <w:szCs w:val="18"/>
        </w:rPr>
        <w:t>ed</w:t>
      </w:r>
      <w:r w:rsidR="007E0C45">
        <w:rPr>
          <w:rFonts w:cs="Arial"/>
          <w:szCs w:val="18"/>
        </w:rPr>
        <w:t xml:space="preserve"> a cumulative percentage of variance, which implies that these they can be used to explain the database, indicating the order of importance. PC1 was</w:t>
      </w:r>
      <w:r w:rsidR="005A18FB" w:rsidRPr="005A18FB">
        <w:rPr>
          <w:rFonts w:cs="Arial"/>
          <w:szCs w:val="18"/>
        </w:rPr>
        <w:t xml:space="preserve"> 96.23%</w:t>
      </w:r>
      <w:r w:rsidR="007E0C45">
        <w:rPr>
          <w:rFonts w:cs="Arial"/>
          <w:szCs w:val="18"/>
        </w:rPr>
        <w:t>, PC2 99.72%</w:t>
      </w:r>
      <w:r w:rsidR="005A18FB" w:rsidRPr="005A18FB">
        <w:rPr>
          <w:rFonts w:cs="Arial"/>
          <w:szCs w:val="18"/>
        </w:rPr>
        <w:t xml:space="preserve"> and from the addition of the </w:t>
      </w:r>
      <w:r w:rsidR="009E2DA9">
        <w:rPr>
          <w:rFonts w:cs="Arial"/>
          <w:szCs w:val="18"/>
        </w:rPr>
        <w:t xml:space="preserve">PC3 </w:t>
      </w:r>
      <w:r w:rsidR="005A18FB" w:rsidRPr="005A18FB">
        <w:rPr>
          <w:rFonts w:cs="Arial"/>
          <w:szCs w:val="18"/>
        </w:rPr>
        <w:t>100%</w:t>
      </w:r>
      <w:r w:rsidR="009E2DA9">
        <w:rPr>
          <w:rFonts w:cs="Arial"/>
          <w:szCs w:val="18"/>
        </w:rPr>
        <w:t xml:space="preserve"> were reached</w:t>
      </w:r>
      <w:r w:rsidR="005A18FB" w:rsidRPr="005A18FB">
        <w:rPr>
          <w:rFonts w:cs="Arial"/>
          <w:szCs w:val="18"/>
        </w:rPr>
        <w:t>.</w:t>
      </w:r>
      <w:r w:rsidR="009E2DA9">
        <w:rPr>
          <w:rFonts w:cs="Arial"/>
          <w:szCs w:val="18"/>
        </w:rPr>
        <w:t xml:space="preserve"> PCA transformation expresses </w:t>
      </w:r>
      <w:r w:rsidR="005E1D28">
        <w:rPr>
          <w:rFonts w:cs="Arial"/>
          <w:szCs w:val="18"/>
        </w:rPr>
        <w:t>the correlation between PCs and the original variables, and th</w:t>
      </w:r>
      <w:r w:rsidR="00E30766">
        <w:rPr>
          <w:rFonts w:cs="Arial"/>
          <w:szCs w:val="18"/>
        </w:rPr>
        <w:t>ese</w:t>
      </w:r>
      <w:r w:rsidR="005E1D28">
        <w:rPr>
          <w:rFonts w:cs="Arial"/>
          <w:szCs w:val="18"/>
        </w:rPr>
        <w:t xml:space="preserve"> results make it clear that most of variance is explained by PC1. </w:t>
      </w:r>
      <w:r w:rsidR="00E30766">
        <w:rPr>
          <w:rFonts w:cs="Arial"/>
          <w:szCs w:val="18"/>
        </w:rPr>
        <w:t xml:space="preserve">Another tool, the scree plot (Figure 5) finds a sharp reduction in the size of the eigenvalues, with the rest of </w:t>
      </w:r>
      <w:r w:rsidR="007E0699">
        <w:rPr>
          <w:rFonts w:cs="Arial"/>
          <w:szCs w:val="18"/>
        </w:rPr>
        <w:t>the smaller eigenvalues remain in plateau.</w:t>
      </w:r>
    </w:p>
    <w:p w14:paraId="2FE21B93" w14:textId="2363468F" w:rsidR="00F80AC0" w:rsidRPr="005A18FB" w:rsidRDefault="00B3697D" w:rsidP="00E96B53">
      <w:pPr>
        <w:pStyle w:val="CETBodytext"/>
        <w:ind w:right="-1"/>
        <w:rPr>
          <w:rFonts w:cs="Arial"/>
          <w:szCs w:val="18"/>
        </w:rPr>
      </w:pPr>
      <w:r>
        <w:rPr>
          <w:noProof/>
        </w:rPr>
        <w:drawing>
          <wp:anchor distT="0" distB="0" distL="114300" distR="114300" simplePos="0" relativeHeight="251662336" behindDoc="0" locked="0" layoutInCell="1" allowOverlap="1" wp14:anchorId="6D715D20" wp14:editId="0B509672">
            <wp:simplePos x="0" y="0"/>
            <wp:positionH relativeFrom="column">
              <wp:posOffset>31115</wp:posOffset>
            </wp:positionH>
            <wp:positionV relativeFrom="paragraph">
              <wp:posOffset>103505</wp:posOffset>
            </wp:positionV>
            <wp:extent cx="3130550" cy="1889125"/>
            <wp:effectExtent l="0" t="0" r="0" b="0"/>
            <wp:wrapSquare wrapText="bothSides"/>
            <wp:docPr id="465204919" name="Imagem 1" descr="Gráfico, Gráfico de linh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204919" name="Imagem 1" descr="Gráfico, Gráfico de linhas&#10;&#10;Descrição gerada automaticamente"/>
                    <pic:cNvPicPr/>
                  </pic:nvPicPr>
                  <pic:blipFill rotWithShape="1">
                    <a:blip r:embed="rId12" cstate="print">
                      <a:extLst>
                        <a:ext uri="{28A0092B-C50C-407E-A947-70E740481C1C}">
                          <a14:useLocalDpi xmlns:a14="http://schemas.microsoft.com/office/drawing/2010/main" val="0"/>
                        </a:ext>
                      </a:extLst>
                    </a:blip>
                    <a:srcRect l="9673" t="8902" r="10209" b="5118"/>
                    <a:stretch/>
                  </pic:blipFill>
                  <pic:spPr bwMode="auto">
                    <a:xfrm>
                      <a:off x="0" y="0"/>
                      <a:ext cx="3130550" cy="1889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pPr w:leftFromText="141" w:rightFromText="141" w:vertAnchor="text" w:horzAnchor="margin" w:tblpXSpec="right" w:tblpY="498"/>
        <w:tblW w:w="311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18"/>
        <w:gridCol w:w="1701"/>
      </w:tblGrid>
      <w:tr w:rsidR="007E0C45" w:rsidRPr="00B57B36" w14:paraId="7A9FA34E" w14:textId="77777777" w:rsidTr="007E0C45">
        <w:trPr>
          <w:trHeight w:val="216"/>
        </w:trPr>
        <w:tc>
          <w:tcPr>
            <w:tcW w:w="1418" w:type="dxa"/>
            <w:tcBorders>
              <w:top w:val="single" w:sz="12" w:space="0" w:color="008000"/>
              <w:bottom w:val="single" w:sz="6" w:space="0" w:color="008000"/>
            </w:tcBorders>
            <w:shd w:val="clear" w:color="auto" w:fill="FFFFFF"/>
          </w:tcPr>
          <w:p w14:paraId="41711A53" w14:textId="77777777" w:rsidR="007E0C45" w:rsidRPr="00B57B36" w:rsidRDefault="007E0C45" w:rsidP="007E0C45">
            <w:pPr>
              <w:pStyle w:val="CETBodytext"/>
              <w:rPr>
                <w:lang w:val="en-GB"/>
              </w:rPr>
            </w:pPr>
          </w:p>
        </w:tc>
        <w:tc>
          <w:tcPr>
            <w:tcW w:w="1701" w:type="dxa"/>
            <w:tcBorders>
              <w:top w:val="single" w:sz="12" w:space="0" w:color="008000"/>
              <w:bottom w:val="single" w:sz="6" w:space="0" w:color="008000"/>
            </w:tcBorders>
            <w:shd w:val="clear" w:color="auto" w:fill="FFFFFF"/>
          </w:tcPr>
          <w:p w14:paraId="2B0BB15A" w14:textId="77777777" w:rsidR="007E0C45" w:rsidRPr="00B57B36" w:rsidRDefault="007E0C45" w:rsidP="007E0C45">
            <w:pPr>
              <w:pStyle w:val="CETBodytext"/>
              <w:jc w:val="left"/>
              <w:rPr>
                <w:lang w:val="en-GB"/>
              </w:rPr>
            </w:pPr>
            <w:r>
              <w:rPr>
                <w:lang w:val="en-GB"/>
              </w:rPr>
              <w:t>Components</w:t>
            </w:r>
          </w:p>
        </w:tc>
      </w:tr>
      <w:tr w:rsidR="007E0C45" w:rsidRPr="005658B9" w14:paraId="1F17648A" w14:textId="77777777" w:rsidTr="007E0C45">
        <w:trPr>
          <w:trHeight w:val="273"/>
        </w:trPr>
        <w:tc>
          <w:tcPr>
            <w:tcW w:w="1418" w:type="dxa"/>
            <w:shd w:val="clear" w:color="auto" w:fill="FFFFFF"/>
          </w:tcPr>
          <w:p w14:paraId="5948F0D4" w14:textId="77777777" w:rsidR="007E0C45" w:rsidRPr="005658B9" w:rsidRDefault="007E0C45" w:rsidP="007E0C45">
            <w:pPr>
              <w:pStyle w:val="CETBodytext"/>
              <w:ind w:right="-1"/>
              <w:rPr>
                <w:rFonts w:cs="Arial"/>
                <w:szCs w:val="18"/>
              </w:rPr>
            </w:pPr>
            <w:r w:rsidRPr="005658B9">
              <w:rPr>
                <w:rFonts w:cs="Arial"/>
                <w:szCs w:val="18"/>
              </w:rPr>
              <w:t>P-PDG</w:t>
            </w:r>
          </w:p>
        </w:tc>
        <w:tc>
          <w:tcPr>
            <w:tcW w:w="1701" w:type="dxa"/>
            <w:shd w:val="clear" w:color="auto" w:fill="FFFFFF"/>
          </w:tcPr>
          <w:p w14:paraId="5E4BDAD7" w14:textId="77777777" w:rsidR="007E0C45" w:rsidRPr="005658B9" w:rsidRDefault="007E0C45" w:rsidP="007E0C45">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
              <w:jc w:val="left"/>
              <w:rPr>
                <w:rFonts w:cs="Arial"/>
                <w:szCs w:val="18"/>
                <w:lang w:val="en-US"/>
              </w:rPr>
            </w:pPr>
            <w:r w:rsidRPr="005658B9">
              <w:rPr>
                <w:rFonts w:cs="Arial"/>
                <w:szCs w:val="18"/>
                <w:lang w:val="en-US"/>
              </w:rPr>
              <w:t>0.989895</w:t>
            </w:r>
          </w:p>
        </w:tc>
      </w:tr>
      <w:tr w:rsidR="007E0C45" w:rsidRPr="005658B9" w14:paraId="11D8E789" w14:textId="77777777" w:rsidTr="007E0C45">
        <w:trPr>
          <w:trHeight w:val="235"/>
        </w:trPr>
        <w:tc>
          <w:tcPr>
            <w:tcW w:w="1418" w:type="dxa"/>
            <w:shd w:val="clear" w:color="auto" w:fill="FFFFFF"/>
          </w:tcPr>
          <w:p w14:paraId="5F78D454" w14:textId="77777777" w:rsidR="007E0C45" w:rsidRPr="005658B9" w:rsidRDefault="007E0C45" w:rsidP="007E0C45">
            <w:pPr>
              <w:pStyle w:val="CETBodytext"/>
              <w:ind w:right="-1"/>
              <w:rPr>
                <w:rFonts w:cs="Arial"/>
                <w:szCs w:val="18"/>
              </w:rPr>
            </w:pPr>
            <w:r w:rsidRPr="005658B9">
              <w:rPr>
                <w:rFonts w:cs="Arial"/>
                <w:szCs w:val="18"/>
              </w:rPr>
              <w:t>QGL</w:t>
            </w:r>
          </w:p>
        </w:tc>
        <w:tc>
          <w:tcPr>
            <w:tcW w:w="1701" w:type="dxa"/>
            <w:shd w:val="clear" w:color="auto" w:fill="FFFFFF"/>
          </w:tcPr>
          <w:p w14:paraId="39767E52" w14:textId="77777777" w:rsidR="007E0C45" w:rsidRPr="005658B9" w:rsidRDefault="007E0C45" w:rsidP="007E0C45">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cs="Arial"/>
                <w:szCs w:val="18"/>
                <w:lang w:val="en-US"/>
              </w:rPr>
            </w:pPr>
            <w:r w:rsidRPr="005658B9">
              <w:rPr>
                <w:rFonts w:cs="Arial"/>
                <w:szCs w:val="18"/>
                <w:lang w:val="en-US"/>
              </w:rPr>
              <w:t>0.000000</w:t>
            </w:r>
          </w:p>
        </w:tc>
      </w:tr>
      <w:tr w:rsidR="007E0C45" w:rsidRPr="005658B9" w14:paraId="6549CE11" w14:textId="77777777" w:rsidTr="007E0C45">
        <w:trPr>
          <w:trHeight w:val="235"/>
        </w:trPr>
        <w:tc>
          <w:tcPr>
            <w:tcW w:w="1418" w:type="dxa"/>
            <w:shd w:val="clear" w:color="auto" w:fill="FFFFFF"/>
          </w:tcPr>
          <w:p w14:paraId="49371AC8" w14:textId="77777777" w:rsidR="007E0C45" w:rsidRPr="005658B9" w:rsidRDefault="007E0C45" w:rsidP="007E0C45">
            <w:pPr>
              <w:pStyle w:val="CETBodytext"/>
              <w:ind w:right="-1"/>
              <w:rPr>
                <w:rFonts w:cs="Arial"/>
                <w:szCs w:val="18"/>
              </w:rPr>
            </w:pPr>
            <w:r w:rsidRPr="005658B9">
              <w:rPr>
                <w:rFonts w:cs="Arial"/>
                <w:szCs w:val="18"/>
              </w:rPr>
              <w:t>T-TPT</w:t>
            </w:r>
          </w:p>
        </w:tc>
        <w:tc>
          <w:tcPr>
            <w:tcW w:w="1701" w:type="dxa"/>
            <w:shd w:val="clear" w:color="auto" w:fill="FFFFFF"/>
          </w:tcPr>
          <w:p w14:paraId="620B4458" w14:textId="77777777" w:rsidR="007E0C45" w:rsidRPr="005658B9" w:rsidRDefault="007E0C45" w:rsidP="007E0C45">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cs="Arial"/>
                <w:szCs w:val="18"/>
                <w:lang w:val="en-US"/>
              </w:rPr>
            </w:pPr>
            <w:r w:rsidRPr="005658B9">
              <w:rPr>
                <w:rFonts w:cs="Arial"/>
                <w:szCs w:val="18"/>
                <w:lang w:val="en-US"/>
              </w:rPr>
              <w:t>-0.000002</w:t>
            </w:r>
          </w:p>
        </w:tc>
      </w:tr>
      <w:tr w:rsidR="007E0C45" w:rsidRPr="005658B9" w14:paraId="5E34A4A4" w14:textId="77777777" w:rsidTr="007E0C45">
        <w:trPr>
          <w:trHeight w:val="74"/>
        </w:trPr>
        <w:tc>
          <w:tcPr>
            <w:tcW w:w="1418" w:type="dxa"/>
            <w:shd w:val="clear" w:color="auto" w:fill="FFFFFF"/>
          </w:tcPr>
          <w:p w14:paraId="5B7343CE" w14:textId="77777777" w:rsidR="007E0C45" w:rsidRPr="005658B9" w:rsidRDefault="007E0C45" w:rsidP="007E0C45">
            <w:pPr>
              <w:pStyle w:val="CETBodytext"/>
              <w:ind w:right="-1"/>
              <w:rPr>
                <w:rFonts w:cs="Arial"/>
                <w:szCs w:val="18"/>
              </w:rPr>
            </w:pPr>
            <w:r w:rsidRPr="005658B9">
              <w:rPr>
                <w:rFonts w:cs="Arial"/>
                <w:szCs w:val="18"/>
              </w:rPr>
              <w:t>T-JUS-CKP</w:t>
            </w:r>
          </w:p>
        </w:tc>
        <w:tc>
          <w:tcPr>
            <w:tcW w:w="1701" w:type="dxa"/>
            <w:shd w:val="clear" w:color="auto" w:fill="FFFFFF"/>
          </w:tcPr>
          <w:p w14:paraId="6FFD29AC" w14:textId="77777777" w:rsidR="007E0C45" w:rsidRPr="005658B9" w:rsidRDefault="007E0C45" w:rsidP="007E0C45">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cs="Arial"/>
                <w:szCs w:val="18"/>
                <w:lang w:val="en-US"/>
              </w:rPr>
            </w:pPr>
            <w:r w:rsidRPr="005658B9">
              <w:rPr>
                <w:rFonts w:cs="Arial"/>
                <w:szCs w:val="18"/>
                <w:lang w:val="en-US"/>
              </w:rPr>
              <w:t>-0.000003</w:t>
            </w:r>
          </w:p>
        </w:tc>
      </w:tr>
      <w:tr w:rsidR="007E0C45" w:rsidRPr="005658B9" w14:paraId="4DA70CDE" w14:textId="77777777" w:rsidTr="007E0C45">
        <w:trPr>
          <w:trHeight w:val="235"/>
        </w:trPr>
        <w:tc>
          <w:tcPr>
            <w:tcW w:w="1418" w:type="dxa"/>
            <w:shd w:val="clear" w:color="auto" w:fill="FFFFFF"/>
          </w:tcPr>
          <w:p w14:paraId="249D1CD8" w14:textId="77777777" w:rsidR="007E0C45" w:rsidRPr="005658B9" w:rsidRDefault="007E0C45" w:rsidP="007E0C45">
            <w:pPr>
              <w:pStyle w:val="CETBodytext"/>
              <w:ind w:right="-1"/>
              <w:rPr>
                <w:rFonts w:cs="Arial"/>
                <w:szCs w:val="18"/>
              </w:rPr>
            </w:pPr>
            <w:r w:rsidRPr="005658B9">
              <w:rPr>
                <w:rFonts w:cs="Arial"/>
                <w:szCs w:val="18"/>
              </w:rPr>
              <w:t>P-TPT</w:t>
            </w:r>
          </w:p>
        </w:tc>
        <w:tc>
          <w:tcPr>
            <w:tcW w:w="1701" w:type="dxa"/>
            <w:shd w:val="clear" w:color="auto" w:fill="FFFFFF"/>
          </w:tcPr>
          <w:p w14:paraId="3A684836" w14:textId="77777777" w:rsidR="007E0C45" w:rsidRPr="005658B9" w:rsidRDefault="007E0C45" w:rsidP="007E0C45">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cs="Arial"/>
                <w:szCs w:val="18"/>
                <w:lang w:val="en-US"/>
              </w:rPr>
            </w:pPr>
            <w:r w:rsidRPr="005658B9">
              <w:rPr>
                <w:rFonts w:cs="Arial"/>
                <w:szCs w:val="18"/>
                <w:lang w:val="en-US"/>
              </w:rPr>
              <w:t>-0.091859</w:t>
            </w:r>
          </w:p>
        </w:tc>
      </w:tr>
      <w:tr w:rsidR="007E0C45" w:rsidRPr="005658B9" w14:paraId="33AE80D2" w14:textId="77777777" w:rsidTr="007E0C45">
        <w:trPr>
          <w:trHeight w:val="250"/>
        </w:trPr>
        <w:tc>
          <w:tcPr>
            <w:tcW w:w="1418" w:type="dxa"/>
            <w:shd w:val="clear" w:color="auto" w:fill="FFFFFF"/>
          </w:tcPr>
          <w:p w14:paraId="1CA584E8" w14:textId="77777777" w:rsidR="007E0C45" w:rsidRPr="005658B9" w:rsidRDefault="007E0C45" w:rsidP="007E0C45">
            <w:pPr>
              <w:pStyle w:val="CETBodytext"/>
              <w:ind w:right="-1"/>
              <w:rPr>
                <w:rFonts w:cs="Arial"/>
                <w:szCs w:val="18"/>
              </w:rPr>
            </w:pPr>
            <w:r w:rsidRPr="005658B9">
              <w:rPr>
                <w:rFonts w:cs="Arial"/>
                <w:szCs w:val="18"/>
              </w:rPr>
              <w:t>P-MON-CKP</w:t>
            </w:r>
          </w:p>
        </w:tc>
        <w:tc>
          <w:tcPr>
            <w:tcW w:w="1701" w:type="dxa"/>
            <w:shd w:val="clear" w:color="auto" w:fill="FFFFFF"/>
          </w:tcPr>
          <w:p w14:paraId="14E86D1C" w14:textId="77777777" w:rsidR="007E0C45" w:rsidRPr="005658B9" w:rsidRDefault="007E0C45" w:rsidP="007E0C45">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cs="Arial"/>
                <w:szCs w:val="18"/>
                <w:lang w:val="en-US"/>
              </w:rPr>
            </w:pPr>
            <w:r w:rsidRPr="005658B9">
              <w:rPr>
                <w:rFonts w:cs="Arial"/>
                <w:szCs w:val="18"/>
                <w:lang w:val="en-US"/>
              </w:rPr>
              <w:t>-0.108031</w:t>
            </w:r>
          </w:p>
        </w:tc>
      </w:tr>
    </w:tbl>
    <w:p w14:paraId="05E65B40" w14:textId="2CE97AEC" w:rsidR="007E0C45" w:rsidRPr="00B57B36" w:rsidRDefault="007E0C45" w:rsidP="007E0C45">
      <w:pPr>
        <w:pStyle w:val="CETTabletitle"/>
        <w:jc w:val="right"/>
      </w:pPr>
      <w:r w:rsidRPr="009E2DA9">
        <w:t xml:space="preserve">Table </w:t>
      </w:r>
      <w:r w:rsidR="00A00F90">
        <w:t>3</w:t>
      </w:r>
      <w:r w:rsidRPr="009E2DA9">
        <w:t xml:space="preserve">: </w:t>
      </w:r>
      <w:r w:rsidR="00250FF0">
        <w:rPr>
          <w:rFonts w:eastAsia="Arial" w:cs="Arial"/>
          <w:szCs w:val="18"/>
        </w:rPr>
        <w:t>Variable</w:t>
      </w:r>
      <w:r w:rsidR="00E2299C">
        <w:rPr>
          <w:rFonts w:eastAsia="Arial" w:cs="Arial"/>
          <w:szCs w:val="18"/>
        </w:rPr>
        <w:t>’s</w:t>
      </w:r>
      <w:r w:rsidR="00250FF0">
        <w:rPr>
          <w:rFonts w:eastAsia="Arial" w:cs="Arial"/>
          <w:szCs w:val="18"/>
        </w:rPr>
        <w:t xml:space="preserve"> rank according to PCA</w:t>
      </w:r>
    </w:p>
    <w:p w14:paraId="00000087" w14:textId="76D0E52A" w:rsidR="001C26B0" w:rsidRDefault="001C26B0">
      <w:pPr>
        <w:pBdr>
          <w:top w:val="nil"/>
          <w:left w:val="nil"/>
          <w:bottom w:val="nil"/>
          <w:right w:val="nil"/>
          <w:between w:val="nil"/>
        </w:pBdr>
        <w:rPr>
          <w:rFonts w:eastAsia="Arial" w:cs="Arial"/>
          <w:color w:val="000000"/>
          <w:szCs w:val="18"/>
        </w:rPr>
      </w:pPr>
    </w:p>
    <w:p w14:paraId="02AB4B03" w14:textId="77777777" w:rsidR="00B3697D" w:rsidRDefault="00B3697D" w:rsidP="00760DCB">
      <w:pPr>
        <w:pStyle w:val="CETCaption"/>
        <w:tabs>
          <w:tab w:val="clear" w:pos="7100"/>
        </w:tabs>
        <w:rPr>
          <w:rStyle w:val="CETCaptionCarattere"/>
          <w:i/>
          <w:lang w:eastAsia="en-US"/>
        </w:rPr>
      </w:pPr>
    </w:p>
    <w:p w14:paraId="2E794C5A" w14:textId="5BA922DC" w:rsidR="00760DCB" w:rsidRDefault="00760DCB" w:rsidP="00760DCB">
      <w:pPr>
        <w:pStyle w:val="CETCaption"/>
        <w:tabs>
          <w:tab w:val="clear" w:pos="7100"/>
        </w:tabs>
        <w:rPr>
          <w:rStyle w:val="CETCaptionCarattere"/>
          <w:i/>
          <w:lang w:eastAsia="en-US"/>
        </w:rPr>
      </w:pPr>
      <w:r w:rsidRPr="009E2DA9">
        <w:rPr>
          <w:rStyle w:val="CETCaptionCarattere"/>
          <w:i/>
          <w:lang w:eastAsia="en-US"/>
        </w:rPr>
        <w:t>Figure</w:t>
      </w:r>
      <w:r w:rsidR="00752685" w:rsidRPr="009E2DA9">
        <w:rPr>
          <w:rStyle w:val="CETCaptionCarattere"/>
          <w:i/>
          <w:lang w:eastAsia="en-US"/>
        </w:rPr>
        <w:t xml:space="preserve"> </w:t>
      </w:r>
      <w:r w:rsidR="00E30766">
        <w:rPr>
          <w:rStyle w:val="CETCaptionCarattere"/>
          <w:i/>
          <w:lang w:eastAsia="en-US"/>
        </w:rPr>
        <w:t>5</w:t>
      </w:r>
      <w:r w:rsidRPr="009E2DA9">
        <w:rPr>
          <w:rStyle w:val="CETCaptionCarattere"/>
          <w:i/>
          <w:lang w:eastAsia="en-US"/>
        </w:rPr>
        <w:t xml:space="preserve">: </w:t>
      </w:r>
      <w:r w:rsidR="007E0699">
        <w:rPr>
          <w:rStyle w:val="CETCaptionCarattere"/>
          <w:i/>
          <w:lang w:eastAsia="en-US"/>
        </w:rPr>
        <w:t>Scree plot</w:t>
      </w:r>
      <w:r w:rsidR="00DE5852">
        <w:rPr>
          <w:rStyle w:val="CETCaptionCarattere"/>
          <w:i/>
          <w:lang w:eastAsia="en-US"/>
        </w:rPr>
        <w:t xml:space="preserve"> with the threshold of variance explained approach</w:t>
      </w:r>
      <w:r w:rsidRPr="009E2DA9">
        <w:rPr>
          <w:rFonts w:cs="Arial"/>
          <w:color w:val="000000"/>
          <w:szCs w:val="18"/>
        </w:rPr>
        <w:t>.</w:t>
      </w:r>
      <w:r w:rsidRPr="00D659B0">
        <w:rPr>
          <w:rStyle w:val="CETCaptionCarattere"/>
          <w:i/>
          <w:lang w:eastAsia="en-US"/>
        </w:rPr>
        <w:t xml:space="preserve"> </w:t>
      </w:r>
    </w:p>
    <w:p w14:paraId="3AEF8093" w14:textId="7A282383" w:rsidR="00C629CA" w:rsidRPr="00C629CA" w:rsidRDefault="007E0699" w:rsidP="00760DCB">
      <w:pPr>
        <w:pStyle w:val="CETCaption"/>
        <w:tabs>
          <w:tab w:val="clear" w:pos="7100"/>
        </w:tabs>
        <w:rPr>
          <w:rFonts w:cs="Arial"/>
          <w:i w:val="0"/>
          <w:iCs/>
          <w:szCs w:val="18"/>
          <w:lang w:val="en-US"/>
        </w:rPr>
      </w:pPr>
      <w:r>
        <w:rPr>
          <w:rFonts w:cs="Arial"/>
          <w:i w:val="0"/>
          <w:iCs/>
          <w:szCs w:val="18"/>
          <w:lang w:val="en-US"/>
        </w:rPr>
        <w:t xml:space="preserve">The Figure 5 suggests that a useful model for data may have </w:t>
      </w:r>
      <w:r w:rsidR="008E5B74">
        <w:rPr>
          <w:rFonts w:cs="Arial"/>
          <w:i w:val="0"/>
          <w:iCs/>
          <w:szCs w:val="18"/>
          <w:lang w:val="en-US"/>
        </w:rPr>
        <w:t>th</w:t>
      </w:r>
      <w:r w:rsidR="00646F96">
        <w:rPr>
          <w:rFonts w:cs="Arial"/>
          <w:i w:val="0"/>
          <w:iCs/>
          <w:szCs w:val="18"/>
          <w:lang w:val="en-US"/>
        </w:rPr>
        <w:t>r</w:t>
      </w:r>
      <w:r w:rsidR="008E5B74">
        <w:rPr>
          <w:rFonts w:cs="Arial"/>
          <w:i w:val="0"/>
          <w:iCs/>
          <w:szCs w:val="18"/>
          <w:lang w:val="en-US"/>
        </w:rPr>
        <w:t>ee</w:t>
      </w:r>
      <w:r>
        <w:rPr>
          <w:rFonts w:cs="Arial"/>
          <w:i w:val="0"/>
          <w:iCs/>
          <w:szCs w:val="18"/>
          <w:lang w:val="en-US"/>
        </w:rPr>
        <w:t xml:space="preserve"> PCs with total </w:t>
      </w:r>
      <w:proofErr w:type="spellStart"/>
      <w:r>
        <w:rPr>
          <w:rFonts w:cs="Arial"/>
          <w:i w:val="0"/>
          <w:iCs/>
          <w:szCs w:val="18"/>
          <w:lang w:val="en-US"/>
        </w:rPr>
        <w:t>explainability</w:t>
      </w:r>
      <w:proofErr w:type="spellEnd"/>
      <w:r>
        <w:rPr>
          <w:rFonts w:cs="Arial"/>
          <w:i w:val="0"/>
          <w:iCs/>
          <w:szCs w:val="18"/>
          <w:lang w:val="en-US"/>
        </w:rPr>
        <w:t xml:space="preserve"> of variables. </w:t>
      </w:r>
      <w:r w:rsidR="00502FE7">
        <w:rPr>
          <w:rFonts w:cs="Arial"/>
          <w:i w:val="0"/>
          <w:iCs/>
          <w:szCs w:val="18"/>
          <w:lang w:val="en-US"/>
        </w:rPr>
        <w:t xml:space="preserve">The rank of variables calculated by PCA can be seen in Table </w:t>
      </w:r>
      <w:r w:rsidR="00A00F90">
        <w:rPr>
          <w:rFonts w:cs="Arial"/>
          <w:i w:val="0"/>
          <w:iCs/>
          <w:szCs w:val="18"/>
          <w:lang w:val="en-US"/>
        </w:rPr>
        <w:t>3</w:t>
      </w:r>
      <w:r w:rsidR="00502FE7">
        <w:rPr>
          <w:rFonts w:cs="Arial"/>
          <w:i w:val="0"/>
          <w:iCs/>
          <w:szCs w:val="18"/>
          <w:lang w:val="en-US"/>
        </w:rPr>
        <w:t>. Thus, P-PDG is the most important variable</w:t>
      </w:r>
      <w:r w:rsidR="008E5B74">
        <w:rPr>
          <w:rFonts w:cs="Arial"/>
          <w:i w:val="0"/>
          <w:iCs/>
          <w:szCs w:val="18"/>
          <w:lang w:val="en-US"/>
        </w:rPr>
        <w:t xml:space="preserve">, the PCA analysis indicates that it has a stronger influence </w:t>
      </w:r>
      <w:r w:rsidR="00502FE7">
        <w:rPr>
          <w:rFonts w:cs="Arial"/>
          <w:i w:val="0"/>
          <w:iCs/>
          <w:szCs w:val="18"/>
          <w:lang w:val="en-US"/>
        </w:rPr>
        <w:t>according to PC1.</w:t>
      </w:r>
    </w:p>
    <w:p w14:paraId="000000A6" w14:textId="77777777" w:rsidR="001C26B0" w:rsidRPr="00760DCB" w:rsidRDefault="00000000" w:rsidP="00760DCB">
      <w:pPr>
        <w:pStyle w:val="PargrafodaLista"/>
        <w:keepNext/>
        <w:numPr>
          <w:ilvl w:val="0"/>
          <w:numId w:val="15"/>
        </w:numPr>
        <w:pBdr>
          <w:top w:val="nil"/>
          <w:left w:val="nil"/>
          <w:bottom w:val="nil"/>
          <w:right w:val="nil"/>
          <w:between w:val="nil"/>
        </w:pBdr>
        <w:spacing w:before="240" w:after="120" w:line="240" w:lineRule="auto"/>
        <w:jc w:val="left"/>
        <w:rPr>
          <w:rFonts w:eastAsia="Arial" w:cs="Arial"/>
          <w:b/>
          <w:color w:val="000000"/>
          <w:sz w:val="20"/>
        </w:rPr>
      </w:pPr>
      <w:r>
        <w:rPr>
          <w:rFonts w:eastAsia="Arial" w:cs="Arial"/>
          <w:b/>
          <w:color w:val="000000"/>
          <w:sz w:val="20"/>
        </w:rPr>
        <w:t>Conclusions</w:t>
      </w:r>
    </w:p>
    <w:p w14:paraId="282DFAC7" w14:textId="689114A0" w:rsidR="00936475" w:rsidRDefault="00646F96" w:rsidP="00936475">
      <w:pPr>
        <w:pStyle w:val="CETBodytext"/>
        <w:ind w:right="-1"/>
        <w:rPr>
          <w:lang w:val="en-GB"/>
        </w:rPr>
      </w:pPr>
      <w:r w:rsidRPr="00DB2D2E">
        <w:rPr>
          <w:lang w:val="en-GB"/>
        </w:rPr>
        <w:t xml:space="preserve">This paper proposed to investigate a real database, from 3W dataset, with instances of types of undesirable events that may happen in offshore naturally flowing oil and gas wells. The </w:t>
      </w:r>
      <w:proofErr w:type="spellStart"/>
      <w:r w:rsidRPr="00DB2D2E">
        <w:rPr>
          <w:lang w:val="en-GB"/>
        </w:rPr>
        <w:t>subdataset</w:t>
      </w:r>
      <w:proofErr w:type="spellEnd"/>
      <w:r w:rsidRPr="00DB2D2E">
        <w:rPr>
          <w:lang w:val="en-GB"/>
        </w:rPr>
        <w:t xml:space="preserve"> was chosen from the flow instability with 2,462,076 information vectors</w:t>
      </w:r>
      <w:r w:rsidR="00DB2D2E" w:rsidRPr="00DB2D2E">
        <w:rPr>
          <w:lang w:val="en-GB"/>
        </w:rPr>
        <w:t xml:space="preserve">. </w:t>
      </w:r>
      <w:proofErr w:type="gramStart"/>
      <w:r w:rsidR="00DB2D2E" w:rsidRPr="00DB2D2E">
        <w:rPr>
          <w:lang w:val="en-GB"/>
        </w:rPr>
        <w:t>In order to</w:t>
      </w:r>
      <w:proofErr w:type="gramEnd"/>
      <w:r w:rsidR="00DB2D2E" w:rsidRPr="00DB2D2E">
        <w:rPr>
          <w:lang w:val="en-GB"/>
        </w:rPr>
        <w:t xml:space="preserve"> understand their</w:t>
      </w:r>
      <w:r w:rsidR="00DB2D2E">
        <w:rPr>
          <w:lang w:val="en-GB"/>
        </w:rPr>
        <w:t xml:space="preserve"> statistical</w:t>
      </w:r>
      <w:r w:rsidR="00DB2D2E" w:rsidRPr="00DB2D2E">
        <w:rPr>
          <w:lang w:val="en-GB"/>
        </w:rPr>
        <w:t xml:space="preserve"> behaviour</w:t>
      </w:r>
      <w:r w:rsidR="00DB2D2E">
        <w:rPr>
          <w:lang w:val="en-GB"/>
        </w:rPr>
        <w:t>, it was performed some analysis. The subset reveals that variables showed missing data</w:t>
      </w:r>
      <w:r w:rsidR="0061374A">
        <w:rPr>
          <w:lang w:val="en-GB"/>
        </w:rPr>
        <w:t xml:space="preserve"> and different correlation each other. PCA </w:t>
      </w:r>
      <w:r w:rsidR="00E2299C">
        <w:rPr>
          <w:lang w:val="en-GB"/>
        </w:rPr>
        <w:t xml:space="preserve">allows identifying the variable’s rank: P-PDG&gt;QGL&gt;T-TPT&gt;T-JUS-CKP&gt;P-TPT&gt;P-MON-CKP. From </w:t>
      </w:r>
      <w:r w:rsidR="0037328A">
        <w:rPr>
          <w:lang w:val="en-GB"/>
        </w:rPr>
        <w:t>these results</w:t>
      </w:r>
      <w:r w:rsidR="00E2299C">
        <w:rPr>
          <w:lang w:val="en-GB"/>
        </w:rPr>
        <w:t xml:space="preserve"> is possible to </w:t>
      </w:r>
      <w:r w:rsidR="001430DE">
        <w:rPr>
          <w:lang w:val="en-GB"/>
        </w:rPr>
        <w:t xml:space="preserve">compile a robust database and to develop several investigations, such as machine learning models. </w:t>
      </w:r>
    </w:p>
    <w:p w14:paraId="20D122C2" w14:textId="76E2AE86" w:rsidR="00076C67" w:rsidRPr="00076C67" w:rsidRDefault="00076C67" w:rsidP="00936475">
      <w:pPr>
        <w:pStyle w:val="CETBodytext"/>
        <w:ind w:right="-1"/>
      </w:pPr>
      <w:r w:rsidRPr="00076C67">
        <w:t xml:space="preserve">For further </w:t>
      </w:r>
      <w:proofErr w:type="gramStart"/>
      <w:r w:rsidRPr="00076C67">
        <w:t>researches</w:t>
      </w:r>
      <w:proofErr w:type="gramEnd"/>
      <w:r w:rsidRPr="00076C67">
        <w:t xml:space="preserve">, </w:t>
      </w:r>
      <w:r>
        <w:t>it</w:t>
      </w:r>
      <w:r w:rsidRPr="00076C67">
        <w:t xml:space="preserve"> </w:t>
      </w:r>
      <w:r>
        <w:t>is recommended</w:t>
      </w:r>
      <w:r w:rsidRPr="00076C67">
        <w:t xml:space="preserve"> the implementation</w:t>
      </w:r>
      <w:r>
        <w:t xml:space="preserve"> the same analysis in all database, and,</w:t>
      </w:r>
      <w:r w:rsidRPr="00076C67">
        <w:t xml:space="preserve"> also</w:t>
      </w:r>
      <w:r>
        <w:t>,</w:t>
      </w:r>
      <w:r w:rsidRPr="00076C67">
        <w:t xml:space="preserve"> to conduct research on the development of models based on artificial intelligence</w:t>
      </w:r>
      <w:r>
        <w:t>.</w:t>
      </w:r>
    </w:p>
    <w:p w14:paraId="69FA25AF" w14:textId="77777777" w:rsidR="009044EB" w:rsidRPr="00B57B36" w:rsidRDefault="009044EB" w:rsidP="009044EB">
      <w:pPr>
        <w:pStyle w:val="CETAcknowledgementstitle"/>
      </w:pPr>
      <w:r w:rsidRPr="00B57B36">
        <w:t>Acknowledgments</w:t>
      </w:r>
    </w:p>
    <w:p w14:paraId="24207ABE" w14:textId="67CB3BBA" w:rsidR="00760DCB" w:rsidRPr="009044EB" w:rsidRDefault="009044EB" w:rsidP="009044EB">
      <w:pPr>
        <w:pBdr>
          <w:top w:val="nil"/>
          <w:left w:val="nil"/>
          <w:bottom w:val="nil"/>
          <w:right w:val="nil"/>
          <w:between w:val="nil"/>
        </w:pBdr>
        <w:spacing w:before="200" w:after="120" w:line="240" w:lineRule="auto"/>
        <w:rPr>
          <w:lang w:eastAsia="en-US"/>
        </w:rPr>
      </w:pPr>
      <w:r w:rsidRPr="009044EB">
        <w:rPr>
          <w:lang w:eastAsia="en-US"/>
        </w:rPr>
        <w:t xml:space="preserve">The authors would like to thank the </w:t>
      </w:r>
      <w:proofErr w:type="spellStart"/>
      <w:r w:rsidRPr="009044EB">
        <w:rPr>
          <w:lang w:eastAsia="en-US"/>
        </w:rPr>
        <w:t>CNPq</w:t>
      </w:r>
      <w:proofErr w:type="spellEnd"/>
      <w:r w:rsidRPr="009044EB">
        <w:rPr>
          <w:lang w:eastAsia="en-US"/>
        </w:rPr>
        <w:t>/MCT, CAPES, FAPERJ</w:t>
      </w:r>
      <w:r>
        <w:rPr>
          <w:lang w:eastAsia="en-US"/>
        </w:rPr>
        <w:t xml:space="preserve"> (E-26/200.282/2023-283570)</w:t>
      </w:r>
      <w:r w:rsidRPr="009044EB">
        <w:rPr>
          <w:lang w:eastAsia="en-US"/>
        </w:rPr>
        <w:t xml:space="preserve"> and FINEP for the financial support to the Department of Chemical and Materials Engineering (DEQM) at the Pontifical Catholic University of Rio de Janeiro (PUC-Rio).</w:t>
      </w:r>
    </w:p>
    <w:p w14:paraId="3F5951E4" w14:textId="77777777" w:rsidR="003A0DD7" w:rsidRDefault="003A0DD7">
      <w:pPr>
        <w:pBdr>
          <w:top w:val="nil"/>
          <w:left w:val="nil"/>
          <w:bottom w:val="nil"/>
          <w:right w:val="nil"/>
          <w:between w:val="nil"/>
        </w:pBdr>
        <w:spacing w:before="200" w:after="120" w:line="240" w:lineRule="auto"/>
        <w:jc w:val="left"/>
        <w:rPr>
          <w:rFonts w:eastAsia="Arial" w:cs="Arial"/>
          <w:b/>
          <w:color w:val="000000"/>
          <w:szCs w:val="18"/>
        </w:rPr>
      </w:pPr>
    </w:p>
    <w:p w14:paraId="000000BD" w14:textId="16185A9F" w:rsidR="001C26B0" w:rsidRDefault="00000000">
      <w:pPr>
        <w:pBdr>
          <w:top w:val="nil"/>
          <w:left w:val="nil"/>
          <w:bottom w:val="nil"/>
          <w:right w:val="nil"/>
          <w:between w:val="nil"/>
        </w:pBdr>
        <w:spacing w:before="200" w:after="120" w:line="240" w:lineRule="auto"/>
        <w:jc w:val="left"/>
        <w:rPr>
          <w:rFonts w:eastAsia="Arial" w:cs="Arial"/>
          <w:b/>
          <w:color w:val="000000"/>
          <w:szCs w:val="18"/>
        </w:rPr>
      </w:pPr>
      <w:r>
        <w:rPr>
          <w:rFonts w:eastAsia="Arial" w:cs="Arial"/>
          <w:b/>
          <w:color w:val="000000"/>
          <w:szCs w:val="18"/>
        </w:rPr>
        <w:t>References</w:t>
      </w:r>
    </w:p>
    <w:p w14:paraId="6E73FFFC" w14:textId="25A5695D" w:rsidR="003117AF" w:rsidRDefault="003117AF" w:rsidP="003117AF">
      <w:pPr>
        <w:pStyle w:val="CETReferencetext"/>
        <w:tabs>
          <w:tab w:val="clear" w:pos="7100"/>
        </w:tabs>
        <w:rPr>
          <w:lang w:val="en-US" w:eastAsia="en-US"/>
        </w:rPr>
      </w:pPr>
      <w:proofErr w:type="spellStart"/>
      <w:r w:rsidRPr="00822C76">
        <w:rPr>
          <w:lang w:val="en-US" w:eastAsia="en-US"/>
        </w:rPr>
        <w:t>Azeroual</w:t>
      </w:r>
      <w:proofErr w:type="spellEnd"/>
      <w:r w:rsidRPr="00822C76">
        <w:rPr>
          <w:lang w:val="en-US" w:eastAsia="en-US"/>
        </w:rPr>
        <w:t xml:space="preserve"> O., </w:t>
      </w:r>
      <w:proofErr w:type="spellStart"/>
      <w:r w:rsidRPr="00822C76">
        <w:rPr>
          <w:lang w:val="en-US" w:eastAsia="en-US"/>
        </w:rPr>
        <w:t>Schöpfel</w:t>
      </w:r>
      <w:proofErr w:type="spellEnd"/>
      <w:r w:rsidRPr="00822C76">
        <w:rPr>
          <w:lang w:val="en-US" w:eastAsia="en-US"/>
        </w:rPr>
        <w:t xml:space="preserve"> J., Ivanovic D., Nikiforova A.</w:t>
      </w:r>
      <w:r>
        <w:rPr>
          <w:lang w:val="en-US" w:eastAsia="en-US"/>
        </w:rPr>
        <w:t>, 2022,</w:t>
      </w:r>
      <w:r w:rsidRPr="00822C76">
        <w:rPr>
          <w:lang w:val="en-US" w:eastAsia="en-US"/>
        </w:rPr>
        <w:t xml:space="preserve"> Combining Data Lake and Data Wrangling for Ensuring Data Quality in CRIS</w:t>
      </w:r>
      <w:r>
        <w:rPr>
          <w:lang w:val="en-US" w:eastAsia="en-US"/>
        </w:rPr>
        <w:t>, 211, 3-16.</w:t>
      </w:r>
    </w:p>
    <w:p w14:paraId="55C7CA35" w14:textId="3A1F86D1" w:rsidR="003117AF" w:rsidRDefault="003117AF" w:rsidP="003117AF">
      <w:pPr>
        <w:pStyle w:val="CETReferencetext"/>
        <w:tabs>
          <w:tab w:val="clear" w:pos="7100"/>
        </w:tabs>
        <w:rPr>
          <w:lang w:eastAsia="en-US"/>
        </w:rPr>
      </w:pPr>
      <w:proofErr w:type="spellStart"/>
      <w:r w:rsidRPr="00E327F9">
        <w:rPr>
          <w:lang w:eastAsia="en-US"/>
        </w:rPr>
        <w:t>Dhaif</w:t>
      </w:r>
      <w:proofErr w:type="spellEnd"/>
      <w:r w:rsidRPr="00E327F9">
        <w:rPr>
          <w:lang w:eastAsia="en-US"/>
        </w:rPr>
        <w:t xml:space="preserve"> R. A.</w:t>
      </w:r>
      <w:r>
        <w:rPr>
          <w:lang w:eastAsia="en-US"/>
        </w:rPr>
        <w:t xml:space="preserve">, </w:t>
      </w:r>
      <w:r w:rsidRPr="00C62285">
        <w:rPr>
          <w:lang w:eastAsia="en-US"/>
        </w:rPr>
        <w:t>Ibrahim</w:t>
      </w:r>
      <w:r>
        <w:rPr>
          <w:lang w:eastAsia="en-US"/>
        </w:rPr>
        <w:t xml:space="preserve"> A. F.</w:t>
      </w:r>
      <w:r w:rsidRPr="00C62285">
        <w:rPr>
          <w:lang w:eastAsia="en-US"/>
        </w:rPr>
        <w:t xml:space="preserve">, </w:t>
      </w:r>
      <w:proofErr w:type="spellStart"/>
      <w:r w:rsidRPr="00C62285">
        <w:rPr>
          <w:lang w:eastAsia="en-US"/>
        </w:rPr>
        <w:t>Elkatatny</w:t>
      </w:r>
      <w:proofErr w:type="spellEnd"/>
      <w:r>
        <w:rPr>
          <w:lang w:eastAsia="en-US"/>
        </w:rPr>
        <w:t xml:space="preserve"> S.</w:t>
      </w:r>
      <w:r w:rsidRPr="00C62285">
        <w:rPr>
          <w:lang w:eastAsia="en-US"/>
        </w:rPr>
        <w:t xml:space="preserve">, </w:t>
      </w:r>
      <w:proofErr w:type="spellStart"/>
      <w:r w:rsidRPr="00C62285">
        <w:rPr>
          <w:lang w:eastAsia="en-US"/>
        </w:rPr>
        <w:t>Shehri</w:t>
      </w:r>
      <w:proofErr w:type="spellEnd"/>
      <w:r>
        <w:rPr>
          <w:lang w:eastAsia="en-US"/>
        </w:rPr>
        <w:t xml:space="preserve"> D. A., 2021,</w:t>
      </w:r>
      <w:r w:rsidRPr="00E327F9">
        <w:rPr>
          <w:lang w:eastAsia="en-US"/>
        </w:rPr>
        <w:t xml:space="preserve"> Prediction of oil rates using Machine Learning for high gas oil ratio and water cut reservoirs. Flow Measurement and Instrumentation</w:t>
      </w:r>
      <w:r>
        <w:rPr>
          <w:lang w:eastAsia="en-US"/>
        </w:rPr>
        <w:t>, 82, 1-9.</w:t>
      </w:r>
    </w:p>
    <w:p w14:paraId="6683C130" w14:textId="3A2C66BA" w:rsidR="003117AF" w:rsidRDefault="003117AF" w:rsidP="003117AF">
      <w:pPr>
        <w:pStyle w:val="CETReferencetext"/>
        <w:tabs>
          <w:tab w:val="clear" w:pos="7100"/>
        </w:tabs>
      </w:pPr>
      <w:r>
        <w:t xml:space="preserve">Hua L., Xiao F., Li Y., Huang H., Zhao K., Yu K., Hettiarachchi C., 2020, A potential damage mechanism of rubberized cement under freeze-thaw cycle, Constr. Build. Mater., 252, </w:t>
      </w:r>
      <w:proofErr w:type="gramStart"/>
      <w:r>
        <w:t>DOI:10.1016/j.conbuildmat</w:t>
      </w:r>
      <w:proofErr w:type="gramEnd"/>
      <w:r>
        <w:t>.2020.119054.</w:t>
      </w:r>
    </w:p>
    <w:p w14:paraId="546DC3F6" w14:textId="2F6BB1BC" w:rsidR="003117AF" w:rsidRPr="003117AF" w:rsidRDefault="003117AF" w:rsidP="003117AF">
      <w:pPr>
        <w:pStyle w:val="CETReferencetext"/>
        <w:tabs>
          <w:tab w:val="clear" w:pos="7100"/>
        </w:tabs>
        <w:rPr>
          <w:lang w:val="en-US" w:eastAsia="en-US"/>
        </w:rPr>
      </w:pPr>
      <w:r w:rsidRPr="0010532D">
        <w:rPr>
          <w:lang w:val="en-US" w:eastAsia="en-US"/>
        </w:rPr>
        <w:t>Kandel</w:t>
      </w:r>
      <w:r>
        <w:rPr>
          <w:lang w:val="en-US" w:eastAsia="en-US"/>
        </w:rPr>
        <w:t xml:space="preserve"> </w:t>
      </w:r>
      <w:r w:rsidRPr="0010532D">
        <w:rPr>
          <w:lang w:val="en-US" w:eastAsia="en-US"/>
        </w:rPr>
        <w:t>S</w:t>
      </w:r>
      <w:r>
        <w:rPr>
          <w:lang w:val="en-US" w:eastAsia="en-US"/>
        </w:rPr>
        <w:t xml:space="preserve">., </w:t>
      </w:r>
      <w:r w:rsidRPr="0010532D">
        <w:rPr>
          <w:lang w:val="en-US" w:eastAsia="en-US"/>
        </w:rPr>
        <w:t>Heer</w:t>
      </w:r>
      <w:r>
        <w:rPr>
          <w:lang w:val="en-US" w:eastAsia="en-US"/>
        </w:rPr>
        <w:t xml:space="preserve"> </w:t>
      </w:r>
      <w:r w:rsidRPr="0010532D">
        <w:rPr>
          <w:lang w:val="en-US" w:eastAsia="en-US"/>
        </w:rPr>
        <w:t>J</w:t>
      </w:r>
      <w:r>
        <w:rPr>
          <w:lang w:val="en-US" w:eastAsia="en-US"/>
        </w:rPr>
        <w:t>.</w:t>
      </w:r>
      <w:r w:rsidRPr="0010532D">
        <w:rPr>
          <w:lang w:val="en-US" w:eastAsia="en-US"/>
        </w:rPr>
        <w:t xml:space="preserve">, </w:t>
      </w:r>
      <w:proofErr w:type="spellStart"/>
      <w:r w:rsidRPr="0010532D">
        <w:rPr>
          <w:lang w:val="en-US" w:eastAsia="en-US"/>
        </w:rPr>
        <w:t>Plaisant</w:t>
      </w:r>
      <w:proofErr w:type="spellEnd"/>
      <w:r>
        <w:rPr>
          <w:lang w:val="en-US" w:eastAsia="en-US"/>
        </w:rPr>
        <w:t xml:space="preserve"> </w:t>
      </w:r>
      <w:r w:rsidRPr="0010532D">
        <w:rPr>
          <w:lang w:val="en-US" w:eastAsia="en-US"/>
        </w:rPr>
        <w:t>C</w:t>
      </w:r>
      <w:r>
        <w:rPr>
          <w:lang w:val="en-US" w:eastAsia="en-US"/>
        </w:rPr>
        <w:t>.</w:t>
      </w:r>
      <w:r w:rsidRPr="0010532D">
        <w:rPr>
          <w:lang w:val="en-US" w:eastAsia="en-US"/>
        </w:rPr>
        <w:t>, Kennedy</w:t>
      </w:r>
      <w:r>
        <w:rPr>
          <w:lang w:val="en-US" w:eastAsia="en-US"/>
        </w:rPr>
        <w:t xml:space="preserve"> </w:t>
      </w:r>
      <w:r w:rsidRPr="0010532D">
        <w:rPr>
          <w:lang w:val="en-US" w:eastAsia="en-US"/>
        </w:rPr>
        <w:t>J</w:t>
      </w:r>
      <w:r>
        <w:rPr>
          <w:lang w:val="en-US" w:eastAsia="en-US"/>
        </w:rPr>
        <w:t>.</w:t>
      </w:r>
      <w:r w:rsidRPr="0010532D">
        <w:rPr>
          <w:lang w:val="en-US" w:eastAsia="en-US"/>
        </w:rPr>
        <w:t>, Ham</w:t>
      </w:r>
      <w:r>
        <w:rPr>
          <w:lang w:val="en-US" w:eastAsia="en-US"/>
        </w:rPr>
        <w:t xml:space="preserve"> </w:t>
      </w:r>
      <w:r w:rsidRPr="0010532D">
        <w:rPr>
          <w:lang w:val="en-US" w:eastAsia="en-US"/>
        </w:rPr>
        <w:t>F</w:t>
      </w:r>
      <w:r>
        <w:rPr>
          <w:lang w:val="en-US" w:eastAsia="en-US"/>
        </w:rPr>
        <w:t>.</w:t>
      </w:r>
      <w:r w:rsidRPr="0010532D">
        <w:rPr>
          <w:lang w:val="en-US" w:eastAsia="en-US"/>
        </w:rPr>
        <w:t>, Riche</w:t>
      </w:r>
      <w:r>
        <w:rPr>
          <w:lang w:val="en-US" w:eastAsia="en-US"/>
        </w:rPr>
        <w:t xml:space="preserve"> </w:t>
      </w:r>
      <w:r w:rsidRPr="0010532D">
        <w:rPr>
          <w:lang w:val="en-US" w:eastAsia="en-US"/>
        </w:rPr>
        <w:t>N</w:t>
      </w:r>
      <w:r>
        <w:rPr>
          <w:lang w:val="en-US" w:eastAsia="en-US"/>
        </w:rPr>
        <w:t>.</w:t>
      </w:r>
      <w:r w:rsidRPr="0010532D">
        <w:rPr>
          <w:lang w:val="en-US" w:eastAsia="en-US"/>
        </w:rPr>
        <w:t xml:space="preserve"> H</w:t>
      </w:r>
      <w:r>
        <w:rPr>
          <w:lang w:val="en-US" w:eastAsia="en-US"/>
        </w:rPr>
        <w:t>.</w:t>
      </w:r>
      <w:r w:rsidRPr="0010532D">
        <w:rPr>
          <w:lang w:val="en-US" w:eastAsia="en-US"/>
        </w:rPr>
        <w:t>, Weaver</w:t>
      </w:r>
      <w:r>
        <w:rPr>
          <w:lang w:val="en-US" w:eastAsia="en-US"/>
        </w:rPr>
        <w:t xml:space="preserve"> </w:t>
      </w:r>
      <w:r w:rsidRPr="0010532D">
        <w:rPr>
          <w:lang w:val="en-US" w:eastAsia="en-US"/>
        </w:rPr>
        <w:t>C</w:t>
      </w:r>
      <w:r>
        <w:rPr>
          <w:lang w:val="en-US" w:eastAsia="en-US"/>
        </w:rPr>
        <w:t>.</w:t>
      </w:r>
      <w:r w:rsidRPr="0010532D">
        <w:rPr>
          <w:lang w:val="en-US" w:eastAsia="en-US"/>
        </w:rPr>
        <w:t>, Lee</w:t>
      </w:r>
      <w:r>
        <w:rPr>
          <w:lang w:val="en-US" w:eastAsia="en-US"/>
        </w:rPr>
        <w:t xml:space="preserve"> </w:t>
      </w:r>
      <w:r w:rsidRPr="0010532D">
        <w:rPr>
          <w:lang w:val="en-US" w:eastAsia="en-US"/>
        </w:rPr>
        <w:t>B</w:t>
      </w:r>
      <w:r>
        <w:rPr>
          <w:lang w:val="en-US" w:eastAsia="en-US"/>
        </w:rPr>
        <w:t>.</w:t>
      </w:r>
      <w:r w:rsidRPr="0010532D">
        <w:rPr>
          <w:lang w:val="en-US" w:eastAsia="en-US"/>
        </w:rPr>
        <w:t xml:space="preserve">, </w:t>
      </w:r>
      <w:proofErr w:type="spellStart"/>
      <w:r w:rsidRPr="0010532D">
        <w:rPr>
          <w:lang w:val="en-US" w:eastAsia="en-US"/>
        </w:rPr>
        <w:t>Brodbeck</w:t>
      </w:r>
      <w:proofErr w:type="spellEnd"/>
      <w:r>
        <w:rPr>
          <w:lang w:val="en-US" w:eastAsia="en-US"/>
        </w:rPr>
        <w:t xml:space="preserve"> </w:t>
      </w:r>
      <w:r w:rsidRPr="0010532D">
        <w:rPr>
          <w:lang w:val="en-US" w:eastAsia="en-US"/>
        </w:rPr>
        <w:t>D</w:t>
      </w:r>
      <w:r>
        <w:rPr>
          <w:lang w:val="en-US" w:eastAsia="en-US"/>
        </w:rPr>
        <w:t>.</w:t>
      </w:r>
      <w:r w:rsidRPr="0010532D">
        <w:rPr>
          <w:lang w:val="en-US" w:eastAsia="en-US"/>
        </w:rPr>
        <w:t xml:space="preserve">, </w:t>
      </w:r>
      <w:proofErr w:type="spellStart"/>
      <w:r w:rsidRPr="0010532D">
        <w:rPr>
          <w:lang w:val="en-US" w:eastAsia="en-US"/>
        </w:rPr>
        <w:t>Buono</w:t>
      </w:r>
      <w:proofErr w:type="spellEnd"/>
      <w:r>
        <w:rPr>
          <w:lang w:val="en-US" w:eastAsia="en-US"/>
        </w:rPr>
        <w:t xml:space="preserve"> </w:t>
      </w:r>
      <w:r w:rsidRPr="0010532D">
        <w:rPr>
          <w:lang w:val="en-US" w:eastAsia="en-US"/>
        </w:rPr>
        <w:t>P</w:t>
      </w:r>
      <w:r>
        <w:rPr>
          <w:lang w:val="en-US" w:eastAsia="en-US"/>
        </w:rPr>
        <w:t xml:space="preserve">., 2011, </w:t>
      </w:r>
      <w:r w:rsidRPr="0022464B">
        <w:rPr>
          <w:lang w:val="en-US" w:eastAsia="en-US"/>
        </w:rPr>
        <w:t>Research directions in data wrangling: Visualizations and transformations for usable and credible data</w:t>
      </w:r>
      <w:r>
        <w:rPr>
          <w:lang w:val="en-US" w:eastAsia="en-US"/>
        </w:rPr>
        <w:t xml:space="preserve">, 10. DOI: </w:t>
      </w:r>
      <w:hyperlink r:id="rId13" w:history="1">
        <w:r w:rsidRPr="0022464B">
          <w:rPr>
            <w:lang w:val="en-US" w:eastAsia="en-US"/>
          </w:rPr>
          <w:t>10.1177/1473871611415994</w:t>
        </w:r>
      </w:hyperlink>
    </w:p>
    <w:p w14:paraId="26EC4EC7" w14:textId="77777777" w:rsidR="003117AF" w:rsidRDefault="003117AF" w:rsidP="003117AF">
      <w:pPr>
        <w:pStyle w:val="CETReferencetext"/>
        <w:tabs>
          <w:tab w:val="clear" w:pos="7100"/>
        </w:tabs>
        <w:rPr>
          <w:lang w:eastAsia="en-US"/>
        </w:rPr>
      </w:pPr>
      <w:r w:rsidRPr="00F34FA3">
        <w:rPr>
          <w:lang w:eastAsia="en-US"/>
        </w:rPr>
        <w:t>Li</w:t>
      </w:r>
      <w:r>
        <w:rPr>
          <w:lang w:eastAsia="en-US"/>
        </w:rPr>
        <w:t xml:space="preserve"> </w:t>
      </w:r>
      <w:r w:rsidRPr="00F34FA3">
        <w:rPr>
          <w:lang w:eastAsia="en-US"/>
        </w:rPr>
        <w:t>W</w:t>
      </w:r>
      <w:r>
        <w:rPr>
          <w:lang w:eastAsia="en-US"/>
        </w:rPr>
        <w:t>.</w:t>
      </w:r>
      <w:r w:rsidRPr="00F34FA3">
        <w:rPr>
          <w:lang w:eastAsia="en-US"/>
        </w:rPr>
        <w:t>, Huang</w:t>
      </w:r>
      <w:r>
        <w:rPr>
          <w:lang w:eastAsia="en-US"/>
        </w:rPr>
        <w:t xml:space="preserve"> </w:t>
      </w:r>
      <w:r w:rsidRPr="00F34FA3">
        <w:rPr>
          <w:lang w:eastAsia="en-US"/>
        </w:rPr>
        <w:t>Y</w:t>
      </w:r>
      <w:r>
        <w:rPr>
          <w:lang w:eastAsia="en-US"/>
        </w:rPr>
        <w:t>.</w:t>
      </w:r>
      <w:r w:rsidRPr="00F34FA3">
        <w:rPr>
          <w:lang w:eastAsia="en-US"/>
        </w:rPr>
        <w:t>,</w:t>
      </w:r>
      <w:r>
        <w:rPr>
          <w:lang w:eastAsia="en-US"/>
        </w:rPr>
        <w:t xml:space="preserve"> 2020, A combined method of cross-correlation and PCA-based outlier algorithm for detecting structural damages on a jacket oil platform under random wave excitations, Applied Ocean Research, 102. DOI: </w:t>
      </w:r>
      <w:r w:rsidRPr="00F34FA3">
        <w:rPr>
          <w:lang w:eastAsia="en-US"/>
        </w:rPr>
        <w:t>10.1016/j.apor.2020.102301</w:t>
      </w:r>
    </w:p>
    <w:p w14:paraId="5499B497" w14:textId="77777777" w:rsidR="003117AF" w:rsidRPr="00B269BA" w:rsidRDefault="003117AF" w:rsidP="003117AF">
      <w:pPr>
        <w:pStyle w:val="CETReferencetext"/>
        <w:tabs>
          <w:tab w:val="clear" w:pos="7100"/>
        </w:tabs>
        <w:rPr>
          <w:lang w:val="en-US" w:eastAsia="en-US"/>
        </w:rPr>
      </w:pPr>
      <w:r w:rsidRPr="00B269BA">
        <w:rPr>
          <w:lang w:val="en-US" w:eastAsia="en-US"/>
        </w:rPr>
        <w:t>Li Z., Gao X., Lu D., 2021, Correlation analysis and statistical assessment of early hydration</w:t>
      </w:r>
      <w:r>
        <w:rPr>
          <w:lang w:val="en-US" w:eastAsia="en-US"/>
        </w:rPr>
        <w:t xml:space="preserve"> </w:t>
      </w:r>
      <w:r w:rsidRPr="00B269BA">
        <w:rPr>
          <w:lang w:val="en-US" w:eastAsia="en-US"/>
        </w:rPr>
        <w:t>characteristics and compressive strength for multi-composite cement paste</w:t>
      </w:r>
      <w:r>
        <w:rPr>
          <w:lang w:val="en-US" w:eastAsia="en-US"/>
        </w:rPr>
        <w:t xml:space="preserve">, </w:t>
      </w:r>
      <w:r>
        <w:t>Construction and Building Materials, 310.</w:t>
      </w:r>
    </w:p>
    <w:p w14:paraId="57DC8824" w14:textId="1543CD25" w:rsidR="003117AF" w:rsidRDefault="003117AF" w:rsidP="003117AF">
      <w:pPr>
        <w:pStyle w:val="CETReferencetext"/>
        <w:tabs>
          <w:tab w:val="clear" w:pos="7100"/>
        </w:tabs>
        <w:rPr>
          <w:lang w:eastAsia="en-US"/>
        </w:rPr>
      </w:pPr>
      <w:proofErr w:type="spellStart"/>
      <w:r w:rsidRPr="00214A36">
        <w:rPr>
          <w:lang w:val="en-US" w:eastAsia="en-US"/>
        </w:rPr>
        <w:t>Marins</w:t>
      </w:r>
      <w:proofErr w:type="spellEnd"/>
      <w:r w:rsidRPr="00214A36">
        <w:rPr>
          <w:lang w:val="en-US" w:eastAsia="en-US"/>
        </w:rPr>
        <w:t xml:space="preserve"> A. M., Barros B. D, Santos I. H., Barrionuevo D. C., Vargas R. E.V., Prego T. M., Lima A. </w:t>
      </w:r>
      <w:r w:rsidRPr="00214A36">
        <w:rPr>
          <w:lang w:eastAsia="en-US"/>
        </w:rPr>
        <w:t>A., Campos</w:t>
      </w:r>
      <w:r>
        <w:rPr>
          <w:lang w:eastAsia="en-US"/>
        </w:rPr>
        <w:t xml:space="preserve"> </w:t>
      </w:r>
      <w:r w:rsidRPr="00214A36">
        <w:rPr>
          <w:lang w:eastAsia="en-US"/>
        </w:rPr>
        <w:t>M</w:t>
      </w:r>
      <w:r>
        <w:rPr>
          <w:lang w:eastAsia="en-US"/>
        </w:rPr>
        <w:t xml:space="preserve">. </w:t>
      </w:r>
      <w:r w:rsidRPr="00214A36">
        <w:rPr>
          <w:lang w:eastAsia="en-US"/>
        </w:rPr>
        <w:t>L.</w:t>
      </w:r>
      <w:r>
        <w:rPr>
          <w:lang w:eastAsia="en-US"/>
        </w:rPr>
        <w:t xml:space="preserve"> </w:t>
      </w:r>
      <w:r w:rsidRPr="00214A36">
        <w:rPr>
          <w:lang w:eastAsia="en-US"/>
        </w:rPr>
        <w:t>R., Silva</w:t>
      </w:r>
      <w:r>
        <w:rPr>
          <w:lang w:eastAsia="en-US"/>
        </w:rPr>
        <w:t xml:space="preserve"> </w:t>
      </w:r>
      <w:r w:rsidRPr="00214A36">
        <w:rPr>
          <w:lang w:eastAsia="en-US"/>
        </w:rPr>
        <w:t>E</w:t>
      </w:r>
      <w:r>
        <w:rPr>
          <w:lang w:eastAsia="en-US"/>
        </w:rPr>
        <w:t>.</w:t>
      </w:r>
      <w:r w:rsidRPr="00214A36">
        <w:rPr>
          <w:lang w:eastAsia="en-US"/>
        </w:rPr>
        <w:t xml:space="preserve"> A.</w:t>
      </w:r>
      <w:r>
        <w:rPr>
          <w:lang w:eastAsia="en-US"/>
        </w:rPr>
        <w:t xml:space="preserve"> </w:t>
      </w:r>
      <w:r w:rsidRPr="00214A36">
        <w:rPr>
          <w:lang w:eastAsia="en-US"/>
        </w:rPr>
        <w:t xml:space="preserve">B., </w:t>
      </w:r>
      <w:proofErr w:type="spellStart"/>
      <w:r w:rsidRPr="00214A36">
        <w:rPr>
          <w:lang w:eastAsia="en-US"/>
        </w:rPr>
        <w:t>Netto</w:t>
      </w:r>
      <w:proofErr w:type="spellEnd"/>
      <w:r>
        <w:rPr>
          <w:lang w:eastAsia="en-US"/>
        </w:rPr>
        <w:t xml:space="preserve"> </w:t>
      </w:r>
      <w:r w:rsidRPr="00214A36">
        <w:rPr>
          <w:lang w:eastAsia="en-US"/>
        </w:rPr>
        <w:t>S</w:t>
      </w:r>
      <w:r>
        <w:rPr>
          <w:lang w:eastAsia="en-US"/>
        </w:rPr>
        <w:t>.</w:t>
      </w:r>
      <w:r w:rsidRPr="00214A36">
        <w:rPr>
          <w:lang w:eastAsia="en-US"/>
        </w:rPr>
        <w:t xml:space="preserve"> L.,</w:t>
      </w:r>
      <w:r>
        <w:rPr>
          <w:lang w:eastAsia="en-US"/>
        </w:rPr>
        <w:t>2020,</w:t>
      </w:r>
      <w:r w:rsidRPr="00E327F9">
        <w:rPr>
          <w:lang w:eastAsia="en-US"/>
        </w:rPr>
        <w:t xml:space="preserve"> Fault detection and classification in oil wells and production/service lines using random forest</w:t>
      </w:r>
      <w:r>
        <w:rPr>
          <w:lang w:eastAsia="en-US"/>
        </w:rPr>
        <w:t>,</w:t>
      </w:r>
      <w:r w:rsidRPr="00E327F9">
        <w:rPr>
          <w:lang w:eastAsia="en-US"/>
        </w:rPr>
        <w:t xml:space="preserve"> Journal of Petroleum Science and Engineering</w:t>
      </w:r>
      <w:r>
        <w:rPr>
          <w:lang w:eastAsia="en-US"/>
        </w:rPr>
        <w:t>, 197.</w:t>
      </w:r>
    </w:p>
    <w:p w14:paraId="6521C5A1" w14:textId="748F6111" w:rsidR="003117AF" w:rsidRDefault="003117AF" w:rsidP="003117AF">
      <w:pPr>
        <w:pStyle w:val="CETReferencetext"/>
        <w:rPr>
          <w:lang w:val="en-US"/>
        </w:rPr>
      </w:pPr>
      <w:r>
        <w:rPr>
          <w:lang w:val="en-US"/>
        </w:rPr>
        <w:t>Matplotlib, 2022, Matplotlib 3.7.0 documentation &lt;</w:t>
      </w:r>
      <w:r w:rsidRPr="003C7C5F">
        <w:t xml:space="preserve"> </w:t>
      </w:r>
      <w:hyperlink r:id="rId14" w:history="1">
        <w:r w:rsidRPr="000B144E">
          <w:rPr>
            <w:rStyle w:val="Hyperlink"/>
            <w:lang w:val="en-US"/>
          </w:rPr>
          <w:t>https://matplotlib.org/stable/index.html</w:t>
        </w:r>
      </w:hyperlink>
      <w:r>
        <w:rPr>
          <w:lang w:val="en-US"/>
        </w:rPr>
        <w:t xml:space="preserve">&gt; accessed </w:t>
      </w:r>
      <w:proofErr w:type="gramStart"/>
      <w:r>
        <w:rPr>
          <w:lang w:val="en-US"/>
        </w:rPr>
        <w:t>10.02.2023</w:t>
      </w:r>
      <w:proofErr w:type="gramEnd"/>
    </w:p>
    <w:p w14:paraId="2F653621" w14:textId="17F4630C" w:rsidR="00771ED6" w:rsidRPr="003117AF" w:rsidRDefault="00771ED6" w:rsidP="003117AF">
      <w:pPr>
        <w:pStyle w:val="CETReferencetext"/>
        <w:rPr>
          <w:lang w:val="en-US"/>
        </w:rPr>
      </w:pPr>
      <w:r>
        <w:t>Mei C., Chen Y., Zhang H., Chen X., Liu G., 2017, Development of a multi-model strategy based soft sensor using gaussian process regression and principal component analysis in fermentation processes, Chemical Engineering Transactions, 61, 385-390 DOI:10.3303/CET1761062</w:t>
      </w:r>
    </w:p>
    <w:p w14:paraId="6CF63D1E" w14:textId="5CF9BAAA" w:rsidR="003117AF" w:rsidRDefault="003117AF" w:rsidP="003117AF">
      <w:pPr>
        <w:pStyle w:val="CETReferencetext"/>
        <w:tabs>
          <w:tab w:val="clear" w:pos="7100"/>
        </w:tabs>
        <w:rPr>
          <w:lang w:eastAsia="en-US"/>
        </w:rPr>
      </w:pPr>
      <w:proofErr w:type="spellStart"/>
      <w:r w:rsidRPr="00E327F9">
        <w:rPr>
          <w:lang w:eastAsia="en-US"/>
        </w:rPr>
        <w:t>Mignan</w:t>
      </w:r>
      <w:proofErr w:type="spellEnd"/>
      <w:r w:rsidRPr="00E327F9">
        <w:rPr>
          <w:lang w:eastAsia="en-US"/>
        </w:rPr>
        <w:t xml:space="preserve"> A.</w:t>
      </w:r>
      <w:r>
        <w:rPr>
          <w:lang w:eastAsia="en-US"/>
        </w:rPr>
        <w:t xml:space="preserve">, Spada M., </w:t>
      </w:r>
      <w:proofErr w:type="spellStart"/>
      <w:r>
        <w:rPr>
          <w:lang w:eastAsia="en-US"/>
        </w:rPr>
        <w:t>Burgherr</w:t>
      </w:r>
      <w:proofErr w:type="spellEnd"/>
      <w:r>
        <w:rPr>
          <w:lang w:eastAsia="en-US"/>
        </w:rPr>
        <w:t xml:space="preserve"> P., Wang Z., </w:t>
      </w:r>
      <w:proofErr w:type="spellStart"/>
      <w:r>
        <w:rPr>
          <w:lang w:eastAsia="en-US"/>
        </w:rPr>
        <w:t>Sornete</w:t>
      </w:r>
      <w:proofErr w:type="spellEnd"/>
      <w:r>
        <w:rPr>
          <w:lang w:eastAsia="en-US"/>
        </w:rPr>
        <w:t xml:space="preserve"> D., 2020,</w:t>
      </w:r>
      <w:r w:rsidRPr="00E327F9">
        <w:rPr>
          <w:lang w:eastAsia="en-US"/>
        </w:rPr>
        <w:t xml:space="preserve"> Dynamics of severe accidents in the oil &amp; gas energy sector derived from the authoritative </w:t>
      </w:r>
      <w:proofErr w:type="spellStart"/>
      <w:r w:rsidRPr="00E327F9">
        <w:rPr>
          <w:lang w:eastAsia="en-US"/>
        </w:rPr>
        <w:t>ENergy</w:t>
      </w:r>
      <w:proofErr w:type="spellEnd"/>
      <w:r w:rsidRPr="00E327F9">
        <w:rPr>
          <w:lang w:eastAsia="en-US"/>
        </w:rPr>
        <w:t>-related severe accident database. PLOS ONE</w:t>
      </w:r>
      <w:r>
        <w:rPr>
          <w:lang w:eastAsia="en-US"/>
        </w:rPr>
        <w:t>, 1-14.DOI:</w:t>
      </w:r>
      <w:r>
        <w:t xml:space="preserve"> </w:t>
      </w:r>
      <w:r w:rsidRPr="00EA11D8">
        <w:rPr>
          <w:lang w:eastAsia="en-US"/>
        </w:rPr>
        <w:t>10.1371/journal.pone.0263962</w:t>
      </w:r>
    </w:p>
    <w:p w14:paraId="737AE48C" w14:textId="7E02E550" w:rsidR="003117AF" w:rsidRPr="003117AF" w:rsidRDefault="003117AF" w:rsidP="003117AF">
      <w:pPr>
        <w:pStyle w:val="CETReferencetext"/>
        <w:rPr>
          <w:lang w:val="en-US"/>
        </w:rPr>
      </w:pPr>
      <w:proofErr w:type="spellStart"/>
      <w:r w:rsidRPr="003C7C5F">
        <w:rPr>
          <w:lang w:val="en-US"/>
        </w:rPr>
        <w:t>Numpy</w:t>
      </w:r>
      <w:proofErr w:type="spellEnd"/>
      <w:r w:rsidRPr="003C7C5F">
        <w:rPr>
          <w:lang w:val="en-US"/>
        </w:rPr>
        <w:t xml:space="preserve">, 2023, </w:t>
      </w:r>
      <w:proofErr w:type="spellStart"/>
      <w:r w:rsidRPr="003C7C5F">
        <w:rPr>
          <w:lang w:val="en-US"/>
        </w:rPr>
        <w:t>Numpy</w:t>
      </w:r>
      <w:proofErr w:type="spellEnd"/>
      <w:r w:rsidRPr="003C7C5F">
        <w:rPr>
          <w:lang w:val="en-US"/>
        </w:rPr>
        <w:t xml:space="preserve"> documentation &lt;</w:t>
      </w:r>
      <w:r w:rsidRPr="003C7C5F">
        <w:t xml:space="preserve"> </w:t>
      </w:r>
      <w:hyperlink r:id="rId15" w:history="1">
        <w:r w:rsidRPr="003C7C5F">
          <w:rPr>
            <w:rStyle w:val="Hyperlink"/>
            <w:lang w:val="en-US"/>
          </w:rPr>
          <w:t>https://numpy.org/doc/stable/index.html</w:t>
        </w:r>
      </w:hyperlink>
      <w:r w:rsidRPr="003C7C5F">
        <w:rPr>
          <w:lang w:val="en-US"/>
        </w:rPr>
        <w:t xml:space="preserve">&gt; </w:t>
      </w:r>
      <w:r>
        <w:rPr>
          <w:lang w:val="en-US"/>
        </w:rPr>
        <w:t>accessed 10.02.2023.</w:t>
      </w:r>
    </w:p>
    <w:p w14:paraId="6A7B56CB" w14:textId="58BF2C17" w:rsidR="00D50438" w:rsidRPr="003C7C5F" w:rsidRDefault="00EC0B3C" w:rsidP="003117AF">
      <w:pPr>
        <w:pStyle w:val="CETReferencetext"/>
        <w:ind w:left="0" w:firstLine="0"/>
        <w:rPr>
          <w:lang w:val="en-US"/>
        </w:rPr>
      </w:pPr>
      <w:r w:rsidRPr="003C7C5F">
        <w:rPr>
          <w:lang w:val="en-US"/>
        </w:rPr>
        <w:t xml:space="preserve">Pandas, 2023, </w:t>
      </w:r>
      <w:proofErr w:type="gramStart"/>
      <w:r w:rsidRPr="003C7C5F">
        <w:rPr>
          <w:lang w:val="en-US"/>
        </w:rPr>
        <w:t>Pandas</w:t>
      </w:r>
      <w:proofErr w:type="gramEnd"/>
      <w:r w:rsidRPr="003C7C5F">
        <w:rPr>
          <w:lang w:val="en-US"/>
        </w:rPr>
        <w:t xml:space="preserve"> documentation &lt; https://pandas.pydata.org/docs/index.html&gt; a</w:t>
      </w:r>
      <w:r w:rsidR="003C7C5F" w:rsidRPr="003C7C5F">
        <w:rPr>
          <w:lang w:val="en-US"/>
        </w:rPr>
        <w:t>c</w:t>
      </w:r>
      <w:r w:rsidRPr="003C7C5F">
        <w:rPr>
          <w:lang w:val="en-US"/>
        </w:rPr>
        <w:t>cessed 10.02.2023</w:t>
      </w:r>
      <w:r w:rsidR="003C7C5F">
        <w:rPr>
          <w:lang w:val="en-US"/>
        </w:rPr>
        <w:t>.</w:t>
      </w:r>
    </w:p>
    <w:p w14:paraId="1BD40887" w14:textId="77777777" w:rsidR="003117AF" w:rsidRDefault="003117AF" w:rsidP="003117AF">
      <w:pPr>
        <w:pStyle w:val="CETReferencetext"/>
        <w:tabs>
          <w:tab w:val="clear" w:pos="7100"/>
        </w:tabs>
        <w:rPr>
          <w:lang w:val="en-US" w:eastAsia="en-US"/>
        </w:rPr>
      </w:pPr>
      <w:r w:rsidRPr="00DE2BCC">
        <w:rPr>
          <w:lang w:val="en-US" w:eastAsia="en-US"/>
        </w:rPr>
        <w:t>Rahman</w:t>
      </w:r>
      <w:r>
        <w:rPr>
          <w:lang w:val="en-US" w:eastAsia="en-US"/>
        </w:rPr>
        <w:t xml:space="preserve"> A. 2023, </w:t>
      </w:r>
      <w:r w:rsidRPr="00DE2BCC">
        <w:rPr>
          <w:lang w:val="en-US" w:eastAsia="en-US"/>
        </w:rPr>
        <w:t>9 - Data collection, wrangling, and pre-processing for AI assurance</w:t>
      </w:r>
      <w:r>
        <w:rPr>
          <w:lang w:val="en-US" w:eastAsia="en-US"/>
        </w:rPr>
        <w:t xml:space="preserve">, </w:t>
      </w:r>
      <w:r w:rsidRPr="00DE2BCC">
        <w:rPr>
          <w:lang w:val="en-US" w:eastAsia="en-US"/>
        </w:rPr>
        <w:t>AI Assurance</w:t>
      </w:r>
      <w:r>
        <w:rPr>
          <w:lang w:val="en-US" w:eastAsia="en-US"/>
        </w:rPr>
        <w:t xml:space="preserve">, </w:t>
      </w:r>
      <w:r w:rsidRPr="00DE2BCC">
        <w:rPr>
          <w:lang w:val="en-US" w:eastAsia="en-US"/>
        </w:rPr>
        <w:t>321-338</w:t>
      </w:r>
      <w:r>
        <w:rPr>
          <w:lang w:val="en-US" w:eastAsia="en-US"/>
        </w:rPr>
        <w:t xml:space="preserve">. DOI: </w:t>
      </w:r>
      <w:r w:rsidRPr="00DE2BCC">
        <w:rPr>
          <w:lang w:val="en-US" w:eastAsia="en-US"/>
        </w:rPr>
        <w:t>10.1016/B978-0-32-391919-7.00022-6</w:t>
      </w:r>
    </w:p>
    <w:p w14:paraId="0BF2838C" w14:textId="77777777" w:rsidR="003117AF" w:rsidRPr="003117AF" w:rsidRDefault="003117AF" w:rsidP="003117AF">
      <w:pPr>
        <w:pStyle w:val="CETReferencetext"/>
        <w:tabs>
          <w:tab w:val="clear" w:pos="7100"/>
        </w:tabs>
        <w:rPr>
          <w:lang w:eastAsia="en-US"/>
        </w:rPr>
      </w:pPr>
      <w:proofErr w:type="spellStart"/>
      <w:r w:rsidRPr="00E5037B">
        <w:rPr>
          <w:lang w:eastAsia="en-US"/>
        </w:rPr>
        <w:t>Schweidtmann</w:t>
      </w:r>
      <w:proofErr w:type="spellEnd"/>
      <w:r>
        <w:rPr>
          <w:lang w:eastAsia="en-US"/>
        </w:rPr>
        <w:t xml:space="preserve"> </w:t>
      </w:r>
      <w:r w:rsidRPr="00E5037B">
        <w:rPr>
          <w:lang w:eastAsia="en-US"/>
        </w:rPr>
        <w:t>A</w:t>
      </w:r>
      <w:r>
        <w:rPr>
          <w:lang w:eastAsia="en-US"/>
        </w:rPr>
        <w:t>.</w:t>
      </w:r>
      <w:r w:rsidRPr="00E5037B">
        <w:rPr>
          <w:lang w:eastAsia="en-US"/>
        </w:rPr>
        <w:t xml:space="preserve"> M., </w:t>
      </w:r>
      <w:proofErr w:type="spellStart"/>
      <w:r w:rsidRPr="00E5037B">
        <w:rPr>
          <w:lang w:eastAsia="en-US"/>
        </w:rPr>
        <w:t>Esche</w:t>
      </w:r>
      <w:proofErr w:type="spellEnd"/>
      <w:r>
        <w:rPr>
          <w:lang w:eastAsia="en-US"/>
        </w:rPr>
        <w:t xml:space="preserve"> </w:t>
      </w:r>
      <w:r w:rsidRPr="00E5037B">
        <w:rPr>
          <w:lang w:eastAsia="en-US"/>
        </w:rPr>
        <w:t>E</w:t>
      </w:r>
      <w:r>
        <w:rPr>
          <w:lang w:eastAsia="en-US"/>
        </w:rPr>
        <w:t>.</w:t>
      </w:r>
      <w:r w:rsidRPr="00E5037B">
        <w:rPr>
          <w:lang w:eastAsia="en-US"/>
        </w:rPr>
        <w:t>, Fischer</w:t>
      </w:r>
      <w:r>
        <w:rPr>
          <w:lang w:eastAsia="en-US"/>
        </w:rPr>
        <w:t xml:space="preserve"> </w:t>
      </w:r>
      <w:r w:rsidRPr="00E5037B">
        <w:rPr>
          <w:lang w:eastAsia="en-US"/>
        </w:rPr>
        <w:t>A</w:t>
      </w:r>
      <w:r>
        <w:rPr>
          <w:lang w:eastAsia="en-US"/>
        </w:rPr>
        <w:t>.</w:t>
      </w:r>
      <w:r w:rsidRPr="00E5037B">
        <w:rPr>
          <w:lang w:eastAsia="en-US"/>
        </w:rPr>
        <w:t xml:space="preserve">, </w:t>
      </w:r>
      <w:proofErr w:type="spellStart"/>
      <w:r w:rsidRPr="00E5037B">
        <w:rPr>
          <w:lang w:eastAsia="en-US"/>
        </w:rPr>
        <w:t>Kloft</w:t>
      </w:r>
      <w:proofErr w:type="spellEnd"/>
      <w:r>
        <w:rPr>
          <w:lang w:eastAsia="en-US"/>
        </w:rPr>
        <w:t xml:space="preserve"> </w:t>
      </w:r>
      <w:r w:rsidRPr="00E5037B">
        <w:rPr>
          <w:lang w:eastAsia="en-US"/>
        </w:rPr>
        <w:t>M</w:t>
      </w:r>
      <w:r>
        <w:rPr>
          <w:lang w:eastAsia="en-US"/>
        </w:rPr>
        <w:t>.</w:t>
      </w:r>
      <w:r w:rsidRPr="00E5037B">
        <w:rPr>
          <w:lang w:eastAsia="en-US"/>
        </w:rPr>
        <w:t xml:space="preserve">, </w:t>
      </w:r>
      <w:proofErr w:type="spellStart"/>
      <w:r w:rsidRPr="00E5037B">
        <w:rPr>
          <w:lang w:eastAsia="en-US"/>
        </w:rPr>
        <w:t>Repke</w:t>
      </w:r>
      <w:proofErr w:type="spellEnd"/>
      <w:r>
        <w:rPr>
          <w:lang w:eastAsia="en-US"/>
        </w:rPr>
        <w:t xml:space="preserve"> </w:t>
      </w:r>
      <w:r w:rsidRPr="00E5037B">
        <w:rPr>
          <w:lang w:eastAsia="en-US"/>
        </w:rPr>
        <w:t>J</w:t>
      </w:r>
      <w:r>
        <w:rPr>
          <w:lang w:eastAsia="en-US"/>
        </w:rPr>
        <w:t>.</w:t>
      </w:r>
      <w:r w:rsidRPr="00E5037B">
        <w:rPr>
          <w:lang w:eastAsia="en-US"/>
        </w:rPr>
        <w:t>, Sager</w:t>
      </w:r>
      <w:r>
        <w:rPr>
          <w:lang w:eastAsia="en-US"/>
        </w:rPr>
        <w:t xml:space="preserve"> </w:t>
      </w:r>
      <w:r w:rsidRPr="00E5037B">
        <w:rPr>
          <w:lang w:eastAsia="en-US"/>
        </w:rPr>
        <w:t>S</w:t>
      </w:r>
      <w:r>
        <w:rPr>
          <w:lang w:eastAsia="en-US"/>
        </w:rPr>
        <w:t>.</w:t>
      </w:r>
      <w:r w:rsidRPr="00E5037B">
        <w:rPr>
          <w:lang w:eastAsia="en-US"/>
        </w:rPr>
        <w:t xml:space="preserve">, </w:t>
      </w:r>
      <w:proofErr w:type="spellStart"/>
      <w:r w:rsidRPr="00E5037B">
        <w:rPr>
          <w:lang w:eastAsia="en-US"/>
        </w:rPr>
        <w:t>Mitsos</w:t>
      </w:r>
      <w:proofErr w:type="spellEnd"/>
      <w:r>
        <w:rPr>
          <w:lang w:eastAsia="en-US"/>
        </w:rPr>
        <w:t xml:space="preserve"> </w:t>
      </w:r>
      <w:r w:rsidRPr="00E5037B">
        <w:rPr>
          <w:lang w:eastAsia="en-US"/>
        </w:rPr>
        <w:t>A</w:t>
      </w:r>
      <w:r>
        <w:rPr>
          <w:lang w:eastAsia="en-US"/>
        </w:rPr>
        <w:t xml:space="preserve">.,2021, </w:t>
      </w:r>
      <w:r w:rsidRPr="00E5037B">
        <w:rPr>
          <w:lang w:eastAsia="en-US"/>
        </w:rPr>
        <w:t>Machine Learning in Chemical Engineering: A Perspective</w:t>
      </w:r>
      <w:r>
        <w:rPr>
          <w:lang w:eastAsia="en-US"/>
        </w:rPr>
        <w:t xml:space="preserve">, </w:t>
      </w:r>
      <w:proofErr w:type="spellStart"/>
      <w:r w:rsidRPr="00E5037B">
        <w:rPr>
          <w:lang w:eastAsia="en-US"/>
        </w:rPr>
        <w:t>Chemie</w:t>
      </w:r>
      <w:proofErr w:type="spellEnd"/>
      <w:r w:rsidRPr="00E5037B">
        <w:rPr>
          <w:lang w:eastAsia="en-US"/>
        </w:rPr>
        <w:t xml:space="preserve"> </w:t>
      </w:r>
      <w:proofErr w:type="spellStart"/>
      <w:r w:rsidRPr="00E5037B">
        <w:rPr>
          <w:lang w:eastAsia="en-US"/>
        </w:rPr>
        <w:t>Ingenieur</w:t>
      </w:r>
      <w:proofErr w:type="spellEnd"/>
      <w:r w:rsidRPr="00E5037B">
        <w:rPr>
          <w:lang w:eastAsia="en-US"/>
        </w:rPr>
        <w:t xml:space="preserve"> Technik</w:t>
      </w:r>
      <w:r>
        <w:rPr>
          <w:lang w:eastAsia="en-US"/>
        </w:rPr>
        <w:t>,</w:t>
      </w:r>
      <w:r w:rsidRPr="00E5037B">
        <w:rPr>
          <w:lang w:eastAsia="en-US"/>
        </w:rPr>
        <w:t xml:space="preserve"> 93</w:t>
      </w:r>
      <w:r>
        <w:rPr>
          <w:lang w:eastAsia="en-US"/>
        </w:rPr>
        <w:t>, 2029-2039.</w:t>
      </w:r>
    </w:p>
    <w:p w14:paraId="12CF86A8" w14:textId="3F595A24" w:rsidR="003117AF" w:rsidRDefault="00343BBD" w:rsidP="003117AF">
      <w:pPr>
        <w:pStyle w:val="CETReferencetext"/>
        <w:rPr>
          <w:lang w:val="en-US"/>
        </w:rPr>
      </w:pPr>
      <w:r>
        <w:rPr>
          <w:lang w:val="en-US"/>
        </w:rPr>
        <w:t xml:space="preserve">Scikit-learn, 2023, scikit-learn &lt; </w:t>
      </w:r>
      <w:hyperlink r:id="rId16" w:history="1">
        <w:r w:rsidRPr="000B144E">
          <w:rPr>
            <w:rStyle w:val="Hyperlink"/>
            <w:lang w:val="en-US"/>
          </w:rPr>
          <w:t>https://scikit-learn.org/stable/#</w:t>
        </w:r>
      </w:hyperlink>
      <w:r>
        <w:rPr>
          <w:lang w:val="en-US"/>
        </w:rPr>
        <w:t>&gt; accessed 10.02.2023.</w:t>
      </w:r>
    </w:p>
    <w:p w14:paraId="76E841CA" w14:textId="4858D426" w:rsidR="003117AF" w:rsidRDefault="003117AF" w:rsidP="003117AF">
      <w:pPr>
        <w:pStyle w:val="CETReferencetext"/>
        <w:ind w:left="0" w:firstLine="0"/>
        <w:rPr>
          <w:lang w:val="en-US"/>
        </w:rPr>
      </w:pPr>
      <w:r>
        <w:rPr>
          <w:lang w:val="en-US"/>
        </w:rPr>
        <w:t xml:space="preserve">Seaborn, 2022, seaborn: statistical data visualization &lt; </w:t>
      </w:r>
      <w:hyperlink r:id="rId17" w:history="1">
        <w:r w:rsidRPr="000B144E">
          <w:rPr>
            <w:rStyle w:val="Hyperlink"/>
            <w:lang w:val="en-US"/>
          </w:rPr>
          <w:t>https://seaborn.pydata.org/</w:t>
        </w:r>
      </w:hyperlink>
      <w:r>
        <w:rPr>
          <w:lang w:val="en-US"/>
        </w:rPr>
        <w:t xml:space="preserve"> &gt; accessed 10.02.2023.</w:t>
      </w:r>
    </w:p>
    <w:p w14:paraId="5ACFF49E" w14:textId="273802C8" w:rsidR="003117AF" w:rsidRDefault="00822968" w:rsidP="00822968">
      <w:pPr>
        <w:pStyle w:val="CETReferencetext"/>
        <w:tabs>
          <w:tab w:val="clear" w:pos="7100"/>
        </w:tabs>
        <w:rPr>
          <w:lang w:eastAsia="en-US"/>
        </w:rPr>
      </w:pPr>
      <w:r w:rsidRPr="00E327F9">
        <w:rPr>
          <w:lang w:eastAsia="en-US"/>
        </w:rPr>
        <w:t>Sircar</w:t>
      </w:r>
      <w:r>
        <w:rPr>
          <w:lang w:eastAsia="en-US"/>
        </w:rPr>
        <w:t xml:space="preserve"> A, Yadav K.,</w:t>
      </w:r>
      <w:r w:rsidRPr="00C62285">
        <w:rPr>
          <w:lang w:eastAsia="en-US"/>
        </w:rPr>
        <w:t xml:space="preserve"> </w:t>
      </w:r>
      <w:proofErr w:type="spellStart"/>
      <w:r w:rsidRPr="00C62285">
        <w:rPr>
          <w:lang w:eastAsia="en-US"/>
        </w:rPr>
        <w:t>Rayavarapu</w:t>
      </w:r>
      <w:proofErr w:type="spellEnd"/>
      <w:r>
        <w:rPr>
          <w:lang w:eastAsia="en-US"/>
        </w:rPr>
        <w:t xml:space="preserve"> K.</w:t>
      </w:r>
      <w:r w:rsidRPr="00C62285">
        <w:rPr>
          <w:lang w:eastAsia="en-US"/>
        </w:rPr>
        <w:t xml:space="preserve">, </w:t>
      </w:r>
      <w:proofErr w:type="spellStart"/>
      <w:r w:rsidRPr="00C62285">
        <w:rPr>
          <w:lang w:eastAsia="en-US"/>
        </w:rPr>
        <w:t>Bist</w:t>
      </w:r>
      <w:proofErr w:type="spellEnd"/>
      <w:r>
        <w:rPr>
          <w:lang w:eastAsia="en-US"/>
        </w:rPr>
        <w:t xml:space="preserve"> N.</w:t>
      </w:r>
      <w:r w:rsidRPr="00C62285">
        <w:rPr>
          <w:lang w:eastAsia="en-US"/>
        </w:rPr>
        <w:t xml:space="preserve">, </w:t>
      </w:r>
      <w:proofErr w:type="spellStart"/>
      <w:r w:rsidRPr="00C62285">
        <w:rPr>
          <w:lang w:eastAsia="en-US"/>
        </w:rPr>
        <w:t>Oza</w:t>
      </w:r>
      <w:proofErr w:type="spellEnd"/>
      <w:r>
        <w:rPr>
          <w:lang w:eastAsia="en-US"/>
        </w:rPr>
        <w:t xml:space="preserve"> </w:t>
      </w:r>
      <w:r w:rsidRPr="00C62285">
        <w:rPr>
          <w:lang w:eastAsia="en-US"/>
        </w:rPr>
        <w:t>H</w:t>
      </w:r>
      <w:r>
        <w:rPr>
          <w:lang w:eastAsia="en-US"/>
        </w:rPr>
        <w:t>., 2021,</w:t>
      </w:r>
      <w:r w:rsidRPr="00E327F9">
        <w:rPr>
          <w:lang w:eastAsia="en-US"/>
        </w:rPr>
        <w:t xml:space="preserve"> Application of machine learning and artificial intelligence in oil and gas industry. Petroleum Research</w:t>
      </w:r>
      <w:r>
        <w:rPr>
          <w:lang w:eastAsia="en-US"/>
        </w:rPr>
        <w:t>, 6, 379-391.</w:t>
      </w:r>
    </w:p>
    <w:p w14:paraId="2ACF8694" w14:textId="58970C6F" w:rsidR="00822968" w:rsidRPr="00822968" w:rsidRDefault="00822968" w:rsidP="00822968">
      <w:pPr>
        <w:pStyle w:val="CETReferencetext"/>
        <w:tabs>
          <w:tab w:val="clear" w:pos="7100"/>
        </w:tabs>
        <w:rPr>
          <w:lang w:val="en-US" w:eastAsia="en-US"/>
        </w:rPr>
      </w:pPr>
      <w:r w:rsidRPr="00555747">
        <w:rPr>
          <w:lang w:val="en-US" w:eastAsia="en-US"/>
        </w:rPr>
        <w:t xml:space="preserve">Vargas R. E. V., </w:t>
      </w:r>
      <w:proofErr w:type="spellStart"/>
      <w:r w:rsidRPr="00555747">
        <w:rPr>
          <w:lang w:val="en-US" w:eastAsia="en-US"/>
        </w:rPr>
        <w:t>Munaro</w:t>
      </w:r>
      <w:proofErr w:type="spellEnd"/>
      <w:r w:rsidRPr="00555747">
        <w:rPr>
          <w:lang w:val="en-US" w:eastAsia="en-US"/>
        </w:rPr>
        <w:t xml:space="preserve"> C. J., </w:t>
      </w:r>
      <w:proofErr w:type="spellStart"/>
      <w:r w:rsidRPr="00555747">
        <w:rPr>
          <w:lang w:val="en-US" w:eastAsia="en-US"/>
        </w:rPr>
        <w:t>Ciarelli</w:t>
      </w:r>
      <w:proofErr w:type="spellEnd"/>
      <w:r w:rsidRPr="00555747">
        <w:rPr>
          <w:lang w:val="en-US" w:eastAsia="en-US"/>
        </w:rPr>
        <w:t xml:space="preserve"> P. M., Medeiros A. G., Amaral B. G., Barrionuevo D. C., Araújo J. C. D., Ribeiro J. L., </w:t>
      </w:r>
      <w:proofErr w:type="spellStart"/>
      <w:r w:rsidRPr="00555747">
        <w:rPr>
          <w:lang w:val="en-US" w:eastAsia="en-US"/>
        </w:rPr>
        <w:t>Magalhães</w:t>
      </w:r>
      <w:proofErr w:type="spellEnd"/>
      <w:r w:rsidRPr="00555747">
        <w:rPr>
          <w:lang w:val="en-US" w:eastAsia="en-US"/>
        </w:rPr>
        <w:t xml:space="preserve"> L. P., 2019, </w:t>
      </w:r>
      <w:r w:rsidRPr="00E327F9">
        <w:rPr>
          <w:lang w:eastAsia="en-US"/>
        </w:rPr>
        <w:t>A realistic and public dataset with rare undesirable real events in oil wells, 181</w:t>
      </w:r>
      <w:r>
        <w:rPr>
          <w:lang w:eastAsia="en-US"/>
        </w:rPr>
        <w:t>.</w:t>
      </w:r>
    </w:p>
    <w:p w14:paraId="6B3C1D73" w14:textId="42485D18" w:rsidR="00214A36" w:rsidRDefault="003F456E" w:rsidP="00EA11D8">
      <w:pPr>
        <w:pStyle w:val="CETReferencetext"/>
        <w:tabs>
          <w:tab w:val="clear" w:pos="7100"/>
        </w:tabs>
        <w:rPr>
          <w:lang w:eastAsia="en-US"/>
        </w:rPr>
      </w:pPr>
      <w:proofErr w:type="spellStart"/>
      <w:r w:rsidRPr="003F456E">
        <w:rPr>
          <w:lang w:eastAsia="en-US"/>
        </w:rPr>
        <w:t>Verheyleweghen</w:t>
      </w:r>
      <w:proofErr w:type="spellEnd"/>
      <w:r>
        <w:rPr>
          <w:lang w:eastAsia="en-US"/>
        </w:rPr>
        <w:t xml:space="preserve"> A., </w:t>
      </w:r>
      <w:proofErr w:type="spellStart"/>
      <w:r w:rsidRPr="003F456E">
        <w:rPr>
          <w:lang w:eastAsia="en-US"/>
        </w:rPr>
        <w:t>Jäschke</w:t>
      </w:r>
      <w:proofErr w:type="spellEnd"/>
      <w:r>
        <w:rPr>
          <w:lang w:eastAsia="en-US"/>
        </w:rPr>
        <w:t xml:space="preserve"> J.,2018, </w:t>
      </w:r>
      <w:r w:rsidRPr="003F456E">
        <w:rPr>
          <w:lang w:eastAsia="en-US"/>
        </w:rPr>
        <w:t>Oil production optimization of several wells subject to choke degradation</w:t>
      </w:r>
      <w:r>
        <w:rPr>
          <w:lang w:eastAsia="en-US"/>
        </w:rPr>
        <w:t xml:space="preserve">, </w:t>
      </w:r>
      <w:r w:rsidRPr="003F456E">
        <w:rPr>
          <w:lang w:eastAsia="en-US"/>
        </w:rPr>
        <w:t>IFAC-</w:t>
      </w:r>
      <w:proofErr w:type="spellStart"/>
      <w:r w:rsidRPr="003F456E">
        <w:rPr>
          <w:lang w:eastAsia="en-US"/>
        </w:rPr>
        <w:t>PapersOnLine</w:t>
      </w:r>
      <w:proofErr w:type="spellEnd"/>
      <w:r w:rsidRPr="003F456E">
        <w:rPr>
          <w:lang w:eastAsia="en-US"/>
        </w:rPr>
        <w:t>,</w:t>
      </w:r>
      <w:r>
        <w:rPr>
          <w:lang w:eastAsia="en-US"/>
        </w:rPr>
        <w:t xml:space="preserve"> 51, 1-6, DOI: </w:t>
      </w:r>
      <w:r w:rsidRPr="003F456E">
        <w:rPr>
          <w:lang w:eastAsia="en-US"/>
        </w:rPr>
        <w:t>10.1016/j.ifacol.2018.06.346</w:t>
      </w:r>
      <w:r>
        <w:rPr>
          <w:lang w:eastAsia="en-US"/>
        </w:rPr>
        <w:t>.</w:t>
      </w:r>
    </w:p>
    <w:p w14:paraId="3A91044D" w14:textId="77777777" w:rsidR="003117AF" w:rsidRDefault="003117AF" w:rsidP="003117AF">
      <w:pPr>
        <w:pStyle w:val="CETReferencetext"/>
      </w:pPr>
      <w:r w:rsidRPr="0037328A">
        <w:t>Zhao</w:t>
      </w:r>
      <w:r>
        <w:t xml:space="preserve"> </w:t>
      </w:r>
      <w:r w:rsidRPr="0037328A">
        <w:t>G</w:t>
      </w:r>
      <w:r>
        <w:t>.</w:t>
      </w:r>
      <w:r w:rsidRPr="0037328A">
        <w:t>, Ding</w:t>
      </w:r>
      <w:r>
        <w:t xml:space="preserve"> </w:t>
      </w:r>
      <w:r w:rsidRPr="0037328A">
        <w:t>W</w:t>
      </w:r>
      <w:r>
        <w:t>.</w:t>
      </w:r>
      <w:r w:rsidRPr="0037328A">
        <w:t>, Tian</w:t>
      </w:r>
      <w:r>
        <w:t xml:space="preserve"> J.</w:t>
      </w:r>
      <w:r w:rsidRPr="0037328A">
        <w:t>, Liu</w:t>
      </w:r>
      <w:r>
        <w:t xml:space="preserve"> J.</w:t>
      </w:r>
      <w:r w:rsidRPr="0037328A">
        <w:t>, Gu</w:t>
      </w:r>
      <w:r>
        <w:t xml:space="preserve"> Y.</w:t>
      </w:r>
      <w:r w:rsidRPr="0037328A">
        <w:t>, Shi</w:t>
      </w:r>
      <w:r>
        <w:t xml:space="preserve"> S.</w:t>
      </w:r>
      <w:r w:rsidRPr="0037328A">
        <w:t>, Wang</w:t>
      </w:r>
      <w:r>
        <w:t xml:space="preserve"> R.</w:t>
      </w:r>
      <w:r w:rsidRPr="0037328A">
        <w:t>, Sun</w:t>
      </w:r>
      <w:r>
        <w:t xml:space="preserve"> N.</w:t>
      </w:r>
      <w:r w:rsidRPr="0037328A">
        <w:t>,</w:t>
      </w:r>
      <w:r>
        <w:t xml:space="preserve"> 2022, Spearman rank correlations analysis of the elemental, mineral concentrations, and mechanical parameters of the Lower Cambrian </w:t>
      </w:r>
      <w:proofErr w:type="spellStart"/>
      <w:r>
        <w:t>Niutitang</w:t>
      </w:r>
      <w:proofErr w:type="spellEnd"/>
      <w:r>
        <w:t xml:space="preserve"> shale: A case study in the </w:t>
      </w:r>
      <w:proofErr w:type="spellStart"/>
      <w:r>
        <w:t>Fenggang</w:t>
      </w:r>
      <w:proofErr w:type="spellEnd"/>
      <w:r>
        <w:t xml:space="preserve"> block, Northeast Guizhou Province, South China, Journal of Petroleum Science and Engineering, 208. </w:t>
      </w:r>
      <w:proofErr w:type="gramStart"/>
      <w:r w:rsidRPr="0037328A">
        <w:t>D</w:t>
      </w:r>
      <w:r>
        <w:t>OI:</w:t>
      </w:r>
      <w:r w:rsidRPr="0037328A">
        <w:t>10.1016/j.petrol</w:t>
      </w:r>
      <w:proofErr w:type="gramEnd"/>
      <w:r w:rsidRPr="0037328A">
        <w:t>.2021.109550</w:t>
      </w:r>
    </w:p>
    <w:p w14:paraId="7D5B81D7" w14:textId="77777777" w:rsidR="003117AF" w:rsidRPr="00EE192F" w:rsidRDefault="003117AF" w:rsidP="00EE192F">
      <w:pPr>
        <w:pStyle w:val="CETReferencetext"/>
        <w:tabs>
          <w:tab w:val="clear" w:pos="7100"/>
        </w:tabs>
        <w:rPr>
          <w:lang w:val="en-US" w:eastAsia="en-US"/>
        </w:rPr>
      </w:pPr>
    </w:p>
    <w:sectPr w:rsidR="003117AF" w:rsidRPr="00EE192F">
      <w:type w:val="continuous"/>
      <w:pgSz w:w="11906" w:h="16838"/>
      <w:pgMar w:top="1701" w:right="1418" w:bottom="1701" w:left="1701" w:header="1701"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variable"/>
    <w:sig w:usb0="00000003" w:usb1="0200E4B4"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dvP6960">
    <w:altName w:val="Calibri"/>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731C7"/>
    <w:multiLevelType w:val="multilevel"/>
    <w:tmpl w:val="B4DA9C8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71D6835"/>
    <w:multiLevelType w:val="multilevel"/>
    <w:tmpl w:val="05A00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3" w15:restartNumberingAfterBreak="0">
    <w:nsid w:val="2BE22F8B"/>
    <w:multiLevelType w:val="multilevel"/>
    <w:tmpl w:val="5F06D8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3BB4EAE"/>
    <w:multiLevelType w:val="multilevel"/>
    <w:tmpl w:val="6AFCA6DC"/>
    <w:lvl w:ilvl="0">
      <w:start w:val="1"/>
      <w:numFmt w:val="decimal"/>
      <w:pStyle w:val="Numerada5"/>
      <w:lvlText w:val="Chapter %1"/>
      <w:lvlJc w:val="left"/>
      <w:pPr>
        <w:ind w:left="0" w:firstLine="0"/>
      </w:pPr>
    </w:lvl>
    <w:lvl w:ilvl="1">
      <w:start w:val="1"/>
      <w:numFmt w:val="decimal"/>
      <w:lvlText w:val="%2."/>
      <w:lvlJc w:val="left"/>
      <w:pPr>
        <w:ind w:left="0" w:firstLine="0"/>
      </w:pPr>
    </w:lvl>
    <w:lvl w:ilvl="2">
      <w:start w:val="1"/>
      <w:numFmt w:val="decimal"/>
      <w:lvlText w:val="%2.%3"/>
      <w:lvlJc w:val="left"/>
      <w:pPr>
        <w:ind w:left="0" w:firstLine="0"/>
      </w:pPr>
    </w:lvl>
    <w:lvl w:ilvl="3">
      <w:start w:val="1"/>
      <w:numFmt w:val="decimal"/>
      <w:lvlText w:val="%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abstractNum w:abstractNumId="5" w15:restartNumberingAfterBreak="0">
    <w:nsid w:val="36DF3F35"/>
    <w:multiLevelType w:val="multilevel"/>
    <w:tmpl w:val="50E84204"/>
    <w:lvl w:ilvl="0">
      <w:start w:val="1"/>
      <w:numFmt w:val="bullet"/>
      <w:pStyle w:val="Numerada4"/>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07341DA"/>
    <w:multiLevelType w:val="multilevel"/>
    <w:tmpl w:val="2A80C36A"/>
    <w:lvl w:ilvl="0">
      <w:start w:val="1"/>
      <w:numFmt w:val="decimal"/>
      <w:pStyle w:val="Numerada2"/>
      <w:lvlText w:val="Chapter %1"/>
      <w:lvlJc w:val="left"/>
      <w:pPr>
        <w:ind w:left="0" w:firstLine="0"/>
      </w:pPr>
    </w:lvl>
    <w:lvl w:ilvl="1">
      <w:start w:val="2"/>
      <w:numFmt w:val="decimal"/>
      <w:lvlText w:val="%2."/>
      <w:lvlJc w:val="left"/>
      <w:pPr>
        <w:ind w:left="0" w:firstLine="0"/>
      </w:pPr>
    </w:lvl>
    <w:lvl w:ilvl="2">
      <w:start w:val="1"/>
      <w:numFmt w:val="decimal"/>
      <w:lvlText w:val="%2.%3"/>
      <w:lvlJc w:val="left"/>
      <w:pPr>
        <w:ind w:left="0" w:firstLine="0"/>
      </w:pPr>
    </w:lvl>
    <w:lvl w:ilvl="3">
      <w:start w:val="1"/>
      <w:numFmt w:val="decimal"/>
      <w:lvlText w:val="%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abstractNum w:abstractNumId="7" w15:restartNumberingAfterBreak="0">
    <w:nsid w:val="59AB3776"/>
    <w:multiLevelType w:val="hybridMultilevel"/>
    <w:tmpl w:val="4372DABA"/>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E191ED2"/>
    <w:multiLevelType w:val="multilevel"/>
    <w:tmpl w:val="34D68850"/>
    <w:lvl w:ilvl="0">
      <w:start w:val="1"/>
      <w:numFmt w:val="bullet"/>
      <w:pStyle w:val="Numerada"/>
      <w:lvlText w:val="●"/>
      <w:lvlJc w:val="left"/>
      <w:pPr>
        <w:ind w:left="340" w:hanging="227"/>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3481B69"/>
    <w:multiLevelType w:val="multilevel"/>
    <w:tmpl w:val="71B6B2F4"/>
    <w:lvl w:ilvl="0">
      <w:start w:val="1"/>
      <w:numFmt w:val="bullet"/>
      <w:pStyle w:val="Numerada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7DB6985"/>
    <w:multiLevelType w:val="multilevel"/>
    <w:tmpl w:val="D8E42D68"/>
    <w:lvl w:ilvl="0">
      <w:start w:val="1"/>
      <w:numFmt w:val="decimal"/>
      <w:pStyle w:val="Commarcador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16577214">
    <w:abstractNumId w:val="3"/>
  </w:num>
  <w:num w:numId="2" w16cid:durableId="1910840542">
    <w:abstractNumId w:val="8"/>
  </w:num>
  <w:num w:numId="3" w16cid:durableId="1924147731">
    <w:abstractNumId w:val="6"/>
  </w:num>
  <w:num w:numId="4" w16cid:durableId="181632593">
    <w:abstractNumId w:val="9"/>
  </w:num>
  <w:num w:numId="5" w16cid:durableId="1765758314">
    <w:abstractNumId w:val="5"/>
  </w:num>
  <w:num w:numId="6" w16cid:durableId="963392036">
    <w:abstractNumId w:val="4"/>
  </w:num>
  <w:num w:numId="7" w16cid:durableId="756564128">
    <w:abstractNumId w:val="10"/>
  </w:num>
  <w:num w:numId="8" w16cid:durableId="19526627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546436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48368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77463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668219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078864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54138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4883959">
    <w:abstractNumId w:val="7"/>
  </w:num>
  <w:num w:numId="16" w16cid:durableId="1024669257">
    <w:abstractNumId w:val="2"/>
  </w:num>
  <w:num w:numId="17" w16cid:durableId="1483888141">
    <w:abstractNumId w:val="0"/>
  </w:num>
  <w:num w:numId="18" w16cid:durableId="36899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6B0"/>
    <w:rsid w:val="0002488A"/>
    <w:rsid w:val="00043647"/>
    <w:rsid w:val="00067E33"/>
    <w:rsid w:val="00076C67"/>
    <w:rsid w:val="0008000D"/>
    <w:rsid w:val="00082F1F"/>
    <w:rsid w:val="000A422E"/>
    <w:rsid w:val="000B272D"/>
    <w:rsid w:val="000C76C0"/>
    <w:rsid w:val="000F43E3"/>
    <w:rsid w:val="000F4ED9"/>
    <w:rsid w:val="00103F4B"/>
    <w:rsid w:val="0010454C"/>
    <w:rsid w:val="0010532D"/>
    <w:rsid w:val="00111110"/>
    <w:rsid w:val="00124B82"/>
    <w:rsid w:val="00125BC2"/>
    <w:rsid w:val="00127805"/>
    <w:rsid w:val="0013065A"/>
    <w:rsid w:val="00141C96"/>
    <w:rsid w:val="001430DE"/>
    <w:rsid w:val="00157E62"/>
    <w:rsid w:val="0017350E"/>
    <w:rsid w:val="001938A1"/>
    <w:rsid w:val="00194457"/>
    <w:rsid w:val="00195402"/>
    <w:rsid w:val="00197FB7"/>
    <w:rsid w:val="001C26B0"/>
    <w:rsid w:val="001F5F28"/>
    <w:rsid w:val="00201DA1"/>
    <w:rsid w:val="002029CA"/>
    <w:rsid w:val="00205017"/>
    <w:rsid w:val="00214A36"/>
    <w:rsid w:val="0022464B"/>
    <w:rsid w:val="00246045"/>
    <w:rsid w:val="00250FF0"/>
    <w:rsid w:val="00254BB3"/>
    <w:rsid w:val="002744C4"/>
    <w:rsid w:val="0028208B"/>
    <w:rsid w:val="0028523E"/>
    <w:rsid w:val="00290D01"/>
    <w:rsid w:val="002C4278"/>
    <w:rsid w:val="002D38A9"/>
    <w:rsid w:val="002D7985"/>
    <w:rsid w:val="002E1E70"/>
    <w:rsid w:val="002E2F99"/>
    <w:rsid w:val="002F79D0"/>
    <w:rsid w:val="003117AF"/>
    <w:rsid w:val="00312746"/>
    <w:rsid w:val="00315BCA"/>
    <w:rsid w:val="00320EBD"/>
    <w:rsid w:val="00331691"/>
    <w:rsid w:val="0033425B"/>
    <w:rsid w:val="00335EEC"/>
    <w:rsid w:val="0034344A"/>
    <w:rsid w:val="00343BBD"/>
    <w:rsid w:val="00352264"/>
    <w:rsid w:val="0037328A"/>
    <w:rsid w:val="003952C4"/>
    <w:rsid w:val="003A0DD7"/>
    <w:rsid w:val="003A2041"/>
    <w:rsid w:val="003C1302"/>
    <w:rsid w:val="003C1C02"/>
    <w:rsid w:val="003C42E5"/>
    <w:rsid w:val="003C7C5F"/>
    <w:rsid w:val="003D642C"/>
    <w:rsid w:val="003E29BF"/>
    <w:rsid w:val="003F28D3"/>
    <w:rsid w:val="003F456E"/>
    <w:rsid w:val="003F7DDC"/>
    <w:rsid w:val="0040289F"/>
    <w:rsid w:val="00412A85"/>
    <w:rsid w:val="0042624E"/>
    <w:rsid w:val="00466FBD"/>
    <w:rsid w:val="0047664F"/>
    <w:rsid w:val="00480ED8"/>
    <w:rsid w:val="004856D4"/>
    <w:rsid w:val="004870F9"/>
    <w:rsid w:val="004A48FB"/>
    <w:rsid w:val="004B04C1"/>
    <w:rsid w:val="004C7689"/>
    <w:rsid w:val="004D41E4"/>
    <w:rsid w:val="00502FE7"/>
    <w:rsid w:val="005130EC"/>
    <w:rsid w:val="00522FCD"/>
    <w:rsid w:val="00552F40"/>
    <w:rsid w:val="00555747"/>
    <w:rsid w:val="005658B9"/>
    <w:rsid w:val="00565C64"/>
    <w:rsid w:val="0057395F"/>
    <w:rsid w:val="0057421C"/>
    <w:rsid w:val="005764A3"/>
    <w:rsid w:val="00586669"/>
    <w:rsid w:val="0059714F"/>
    <w:rsid w:val="005A106A"/>
    <w:rsid w:val="005A18FB"/>
    <w:rsid w:val="005A26B0"/>
    <w:rsid w:val="005B7F93"/>
    <w:rsid w:val="005D5F14"/>
    <w:rsid w:val="005E03FF"/>
    <w:rsid w:val="005E1A10"/>
    <w:rsid w:val="005E1D28"/>
    <w:rsid w:val="005E5180"/>
    <w:rsid w:val="00606B90"/>
    <w:rsid w:val="0061374A"/>
    <w:rsid w:val="006162C1"/>
    <w:rsid w:val="00646F96"/>
    <w:rsid w:val="006525D0"/>
    <w:rsid w:val="00654E05"/>
    <w:rsid w:val="00657D7C"/>
    <w:rsid w:val="00680505"/>
    <w:rsid w:val="00685B52"/>
    <w:rsid w:val="00686056"/>
    <w:rsid w:val="00687DE4"/>
    <w:rsid w:val="006B2DD2"/>
    <w:rsid w:val="006D4CB2"/>
    <w:rsid w:val="006D539D"/>
    <w:rsid w:val="006E4856"/>
    <w:rsid w:val="006F2D24"/>
    <w:rsid w:val="00701478"/>
    <w:rsid w:val="00704D18"/>
    <w:rsid w:val="00721A7C"/>
    <w:rsid w:val="00727DEF"/>
    <w:rsid w:val="00752685"/>
    <w:rsid w:val="00760DCB"/>
    <w:rsid w:val="007641BA"/>
    <w:rsid w:val="0076631A"/>
    <w:rsid w:val="007718BB"/>
    <w:rsid w:val="00771ED6"/>
    <w:rsid w:val="007A325E"/>
    <w:rsid w:val="007C653D"/>
    <w:rsid w:val="007D5C5E"/>
    <w:rsid w:val="007E0699"/>
    <w:rsid w:val="007E0C45"/>
    <w:rsid w:val="00822968"/>
    <w:rsid w:val="00822C76"/>
    <w:rsid w:val="00827836"/>
    <w:rsid w:val="00843B51"/>
    <w:rsid w:val="00854E30"/>
    <w:rsid w:val="00860430"/>
    <w:rsid w:val="008851AA"/>
    <w:rsid w:val="008856B7"/>
    <w:rsid w:val="008A024F"/>
    <w:rsid w:val="008D3F6C"/>
    <w:rsid w:val="008E5B74"/>
    <w:rsid w:val="008E7D82"/>
    <w:rsid w:val="00901A12"/>
    <w:rsid w:val="0090237F"/>
    <w:rsid w:val="009044EB"/>
    <w:rsid w:val="0093129C"/>
    <w:rsid w:val="009332B8"/>
    <w:rsid w:val="00936475"/>
    <w:rsid w:val="009511E1"/>
    <w:rsid w:val="0097082C"/>
    <w:rsid w:val="00984507"/>
    <w:rsid w:val="00985612"/>
    <w:rsid w:val="00987057"/>
    <w:rsid w:val="0098766E"/>
    <w:rsid w:val="009905BB"/>
    <w:rsid w:val="0099201F"/>
    <w:rsid w:val="009A61F4"/>
    <w:rsid w:val="009D0F1B"/>
    <w:rsid w:val="009E2DA9"/>
    <w:rsid w:val="009E5E11"/>
    <w:rsid w:val="00A00F90"/>
    <w:rsid w:val="00A23F08"/>
    <w:rsid w:val="00A313D2"/>
    <w:rsid w:val="00A37C46"/>
    <w:rsid w:val="00AD2632"/>
    <w:rsid w:val="00AD553F"/>
    <w:rsid w:val="00B00C9D"/>
    <w:rsid w:val="00B1199E"/>
    <w:rsid w:val="00B25BC4"/>
    <w:rsid w:val="00B269BA"/>
    <w:rsid w:val="00B3697D"/>
    <w:rsid w:val="00B375FB"/>
    <w:rsid w:val="00B54C7D"/>
    <w:rsid w:val="00B62F9C"/>
    <w:rsid w:val="00B82FEE"/>
    <w:rsid w:val="00B97FD0"/>
    <w:rsid w:val="00BA125F"/>
    <w:rsid w:val="00BA4BD5"/>
    <w:rsid w:val="00BB4651"/>
    <w:rsid w:val="00BD27EE"/>
    <w:rsid w:val="00BF23CA"/>
    <w:rsid w:val="00C26623"/>
    <w:rsid w:val="00C364D8"/>
    <w:rsid w:val="00C41DE4"/>
    <w:rsid w:val="00C43575"/>
    <w:rsid w:val="00C62285"/>
    <w:rsid w:val="00C629CA"/>
    <w:rsid w:val="00C66F5A"/>
    <w:rsid w:val="00C91893"/>
    <w:rsid w:val="00CD690C"/>
    <w:rsid w:val="00CD73A8"/>
    <w:rsid w:val="00CF2A89"/>
    <w:rsid w:val="00CF3E91"/>
    <w:rsid w:val="00D24BDE"/>
    <w:rsid w:val="00D27FC1"/>
    <w:rsid w:val="00D47004"/>
    <w:rsid w:val="00D50438"/>
    <w:rsid w:val="00D659B0"/>
    <w:rsid w:val="00D66E2E"/>
    <w:rsid w:val="00D7721C"/>
    <w:rsid w:val="00D96CA3"/>
    <w:rsid w:val="00DA0E8E"/>
    <w:rsid w:val="00DA3067"/>
    <w:rsid w:val="00DA6ABF"/>
    <w:rsid w:val="00DB2D2E"/>
    <w:rsid w:val="00DD1D97"/>
    <w:rsid w:val="00DD3FC5"/>
    <w:rsid w:val="00DD656C"/>
    <w:rsid w:val="00DE21A8"/>
    <w:rsid w:val="00DE2BCC"/>
    <w:rsid w:val="00DE5852"/>
    <w:rsid w:val="00E10520"/>
    <w:rsid w:val="00E12F50"/>
    <w:rsid w:val="00E2114D"/>
    <w:rsid w:val="00E2299C"/>
    <w:rsid w:val="00E30766"/>
    <w:rsid w:val="00E327F9"/>
    <w:rsid w:val="00E32D89"/>
    <w:rsid w:val="00E43D0D"/>
    <w:rsid w:val="00E5037B"/>
    <w:rsid w:val="00E51A85"/>
    <w:rsid w:val="00E5277A"/>
    <w:rsid w:val="00E5289D"/>
    <w:rsid w:val="00E54B44"/>
    <w:rsid w:val="00E61F4B"/>
    <w:rsid w:val="00E6740E"/>
    <w:rsid w:val="00E70BC9"/>
    <w:rsid w:val="00E7275C"/>
    <w:rsid w:val="00E765E5"/>
    <w:rsid w:val="00E76B30"/>
    <w:rsid w:val="00E845C5"/>
    <w:rsid w:val="00E86E27"/>
    <w:rsid w:val="00E96B0E"/>
    <w:rsid w:val="00E96B53"/>
    <w:rsid w:val="00EA11D8"/>
    <w:rsid w:val="00EB1940"/>
    <w:rsid w:val="00EB4C07"/>
    <w:rsid w:val="00EB6372"/>
    <w:rsid w:val="00EC0B3C"/>
    <w:rsid w:val="00EE192F"/>
    <w:rsid w:val="00EF1DA3"/>
    <w:rsid w:val="00F01AE2"/>
    <w:rsid w:val="00F06613"/>
    <w:rsid w:val="00F1291E"/>
    <w:rsid w:val="00F31E41"/>
    <w:rsid w:val="00F34FA3"/>
    <w:rsid w:val="00F36DDD"/>
    <w:rsid w:val="00F533BB"/>
    <w:rsid w:val="00F80AC0"/>
    <w:rsid w:val="00F81A62"/>
    <w:rsid w:val="00F847E1"/>
    <w:rsid w:val="00F879FD"/>
    <w:rsid w:val="00FB33EE"/>
    <w:rsid w:val="00FC7061"/>
    <w:rsid w:val="00FD1526"/>
    <w:rsid w:val="00FE66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37887"/>
  <w15:docId w15:val="{52F6B57E-18B3-49E2-9CC6-A1DF32A0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18"/>
        <w:szCs w:val="18"/>
        <w:lang w:val="en-GB" w:eastAsia="pt-BR" w:bidi="ar-SA"/>
      </w:rPr>
    </w:rPrDefault>
    <w:pPrDefault>
      <w:pPr>
        <w:tabs>
          <w:tab w:val="right" w:pos="7100"/>
        </w:tabs>
        <w:spacing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qFormat/>
    <w:rsid w:val="00620DEE"/>
    <w:rPr>
      <w:rFonts w:eastAsia="Times New Roman" w:cs="Times New Roman"/>
      <w:szCs w:val="20"/>
    </w:rPr>
  </w:style>
  <w:style w:type="paragraph" w:styleId="Ttulo1">
    <w:name w:val="heading 1"/>
    <w:basedOn w:val="CETHeading1"/>
    <w:next w:val="Normal"/>
    <w:link w:val="Ttulo1Char"/>
    <w:uiPriority w:val="9"/>
    <w:qFormat/>
    <w:rsid w:val="004F5E36"/>
    <w:pPr>
      <w:tabs>
        <w:tab w:val="clear" w:pos="360"/>
      </w:tabs>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jc w:val="center"/>
      <w:outlineLvl w:val="0"/>
    </w:pPr>
    <w:rPr>
      <w:rFonts w:eastAsia="Times New Roman" w:cs="Times New Roman"/>
      <w:sz w:val="32"/>
      <w:szCs w:val="20"/>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tabs>
        <w:tab w:val="num" w:pos="360"/>
      </w:tabs>
      <w:suppressAutoHyphens/>
      <w:spacing w:before="240" w:after="120" w:line="240" w:lineRule="auto"/>
      <w:ind w:left="1440" w:hanging="360"/>
    </w:pPr>
    <w:rPr>
      <w:rFonts w:eastAsia="Times New Roman" w:cs="Times New Roman"/>
      <w:b/>
      <w:sz w:val="20"/>
      <w:szCs w:val="20"/>
      <w:lang w:val="en-US"/>
    </w:rPr>
  </w:style>
  <w:style w:type="paragraph" w:customStyle="1" w:styleId="CETBodytext">
    <w:name w:val="CET Body text"/>
    <w:link w:val="CETBodytextCarattere"/>
    <w:qFormat/>
    <w:rsid w:val="000E414A"/>
    <w:rPr>
      <w:rFonts w:eastAsia="Times New Roman" w:cs="Times New Roman"/>
      <w:szCs w:val="20"/>
      <w:lang w:val="en-US"/>
    </w:rPr>
  </w:style>
  <w:style w:type="paragraph" w:customStyle="1" w:styleId="CETheadingx">
    <w:name w:val="CET headingx"/>
    <w:next w:val="CETBodytext"/>
    <w:link w:val="CETheadingxCarattere"/>
    <w:autoRedefine/>
    <w:qFormat/>
    <w:rsid w:val="00FA5F5F"/>
    <w:pPr>
      <w:keepNext/>
      <w:suppressAutoHyphens/>
      <w:spacing w:before="120" w:after="120" w:line="240" w:lineRule="auto"/>
    </w:pPr>
    <w:rPr>
      <w:rFonts w:eastAsia="Times New Roman" w:cs="Times New Roman"/>
      <w:b/>
      <w:szCs w:val="20"/>
      <w:lang w:val="en-US"/>
    </w:rPr>
  </w:style>
  <w:style w:type="paragraph" w:customStyle="1" w:styleId="CETAddress">
    <w:name w:val="CET Address"/>
    <w:link w:val="CETAddressCarattere"/>
    <w:qFormat/>
    <w:rsid w:val="009E788A"/>
    <w:pPr>
      <w:keepNext/>
      <w:suppressAutoHyphens/>
      <w:contextualSpacing/>
    </w:pPr>
    <w:rPr>
      <w:rFonts w:eastAsia="Times New Roman" w:cs="Times New Roman"/>
      <w:noProof/>
      <w:sz w:val="16"/>
      <w:szCs w:val="20"/>
    </w:rPr>
  </w:style>
  <w:style w:type="table" w:styleId="TabelaSimples-1">
    <w:name w:val="Table Simple 1"/>
    <w:basedOn w:val="Tabelanormal"/>
    <w:semiHidden/>
    <w:rsid w:val="000E414A"/>
    <w:pPr>
      <w:numPr>
        <w:ilvl w:val="3"/>
        <w:numId w:val="1"/>
      </w:numPr>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eastAsia="Times New Roman" w:cs="Times New Roman"/>
      <w:b/>
      <w:szCs w:val="20"/>
    </w:rPr>
  </w:style>
  <w:style w:type="paragraph" w:customStyle="1" w:styleId="CETCaption">
    <w:name w:val="CET Caption"/>
    <w:link w:val="CETCaptionCarattere"/>
    <w:qFormat/>
    <w:rsid w:val="00F7534E"/>
    <w:pPr>
      <w:spacing w:before="240" w:after="240"/>
    </w:pPr>
    <w:rPr>
      <w:rFonts w:eastAsia="Times New Roman" w:cs="Times New Roman"/>
      <w:i/>
      <w:szCs w:val="20"/>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tabs>
        <w:tab w:val="num" w:pos="720"/>
      </w:tabs>
      <w:ind w:left="720" w:hanging="720"/>
      <w:contextualSpacing/>
    </w:pPr>
  </w:style>
  <w:style w:type="paragraph" w:styleId="Commarcadores3">
    <w:name w:val="List Bullet 3"/>
    <w:basedOn w:val="Normal"/>
    <w:uiPriority w:val="99"/>
    <w:semiHidden/>
    <w:unhideWhenUsed/>
    <w:rsid w:val="0003148D"/>
    <w:pPr>
      <w:tabs>
        <w:tab w:val="num" w:pos="720"/>
      </w:tabs>
      <w:ind w:left="720" w:hanging="720"/>
      <w:contextualSpacing/>
    </w:pPr>
  </w:style>
  <w:style w:type="paragraph" w:styleId="Commarcadores4">
    <w:name w:val="List Bullet 4"/>
    <w:basedOn w:val="Normal"/>
    <w:uiPriority w:val="99"/>
    <w:semiHidden/>
    <w:unhideWhenUsed/>
    <w:rsid w:val="0003148D"/>
    <w:pPr>
      <w:tabs>
        <w:tab w:val="num" w:pos="720"/>
      </w:tabs>
      <w:ind w:left="720" w:hanging="720"/>
      <w:contextualSpacing/>
    </w:pPr>
  </w:style>
  <w:style w:type="paragraph" w:styleId="Commarcadores5">
    <w:name w:val="List Bullet 5"/>
    <w:basedOn w:val="Normal"/>
    <w:uiPriority w:val="99"/>
    <w:semiHidden/>
    <w:unhideWhenUsed/>
    <w:rsid w:val="0003148D"/>
    <w:pPr>
      <w:tabs>
        <w:tab w:val="num" w:pos="720"/>
      </w:tabs>
      <w:ind w:left="720" w:hanging="720"/>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eastAsia="Times New Roman" w:cs="Times New Roman"/>
      <w:noProof/>
      <w:sz w:val="16"/>
      <w:szCs w:val="20"/>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tabs>
        <w:tab w:val="num" w:pos="720"/>
      </w:tabs>
      <w:ind w:left="720" w:hanging="720"/>
    </w:pPr>
    <w:rPr>
      <w:rFonts w:eastAsia="Times New Roman" w:cs="Times New Roman"/>
      <w:szCs w:val="20"/>
    </w:rPr>
  </w:style>
  <w:style w:type="paragraph" w:customStyle="1" w:styleId="CETnumbering1">
    <w:name w:val="CET numbering (1"/>
    <w:aliases w:val="2..)"/>
    <w:rsid w:val="00B57B36"/>
    <w:pPr>
      <w:tabs>
        <w:tab w:val="num" w:pos="720"/>
      </w:tabs>
      <w:ind w:left="340" w:hanging="227"/>
    </w:pPr>
    <w:rPr>
      <w:rFonts w:eastAsia="Times New Roman" w:cs="Times New Roman"/>
      <w:szCs w:val="20"/>
      <w:lang w:val="en-US"/>
    </w:rPr>
  </w:style>
  <w:style w:type="paragraph" w:customStyle="1" w:styleId="CETnumberinga">
    <w:name w:val="CET numbering (a"/>
    <w:aliases w:val="b,..)"/>
    <w:rsid w:val="00B57B36"/>
    <w:pPr>
      <w:tabs>
        <w:tab w:val="num" w:pos="720"/>
      </w:tabs>
      <w:ind w:left="720" w:hanging="720"/>
    </w:pPr>
    <w:rPr>
      <w:rFonts w:eastAsia="Times New Roman" w:cs="Times New Roman"/>
      <w:szCs w:val="20"/>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ind w:left="340" w:hanging="227"/>
    </w:pPr>
    <w:rPr>
      <w:rFonts w:eastAsia="Times New Roman" w:cs="Times New Roman"/>
      <w:szCs w:val="20"/>
    </w:rPr>
  </w:style>
  <w:style w:type="paragraph" w:customStyle="1" w:styleId="CETReferencetext">
    <w:name w:val="CET Reference text"/>
    <w:qFormat/>
    <w:rsid w:val="00600535"/>
    <w:pPr>
      <w:ind w:left="284" w:hanging="284"/>
    </w:pPr>
    <w:rPr>
      <w:rFonts w:eastAsia="Times New Roman" w:cs="Times New Roman"/>
      <w:szCs w:val="20"/>
    </w:rPr>
  </w:style>
  <w:style w:type="paragraph" w:customStyle="1" w:styleId="CETTabletitle">
    <w:name w:val="CET Table title"/>
    <w:qFormat/>
    <w:rsid w:val="00600535"/>
    <w:pPr>
      <w:keepNext/>
      <w:spacing w:before="240" w:after="80" w:line="240" w:lineRule="exact"/>
    </w:pPr>
    <w:rPr>
      <w:rFonts w:eastAsia="Times New Roman" w:cs="Times New Roman"/>
      <w:i/>
      <w:szCs w:val="20"/>
    </w:rPr>
  </w:style>
  <w:style w:type="paragraph" w:customStyle="1" w:styleId="CETAcknowledgementstitle">
    <w:name w:val="CET Acknowledgements title"/>
    <w:next w:val="CETBodytext"/>
    <w:qFormat/>
    <w:rsid w:val="00600535"/>
    <w:pPr>
      <w:spacing w:before="200" w:after="120"/>
    </w:pPr>
    <w:rPr>
      <w:rFonts w:eastAsia="Times New Roman" w:cs="Times New Roman"/>
      <w:b/>
      <w:szCs w:val="20"/>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grafodaLista">
    <w:name w:val="List Paragraph"/>
    <w:basedOn w:val="Normal"/>
    <w:uiPriority w:val="34"/>
    <w:rsid w:val="00280FAF"/>
    <w:pPr>
      <w:ind w:left="720"/>
      <w:contextualSpacing/>
    </w:pPr>
  </w:style>
  <w:style w:type="character" w:styleId="MenoPendente">
    <w:name w:val="Unresolved Mention"/>
    <w:basedOn w:val="Fontepargpadro"/>
    <w:uiPriority w:val="99"/>
    <w:semiHidden/>
    <w:unhideWhenUsed/>
    <w:rsid w:val="005E17E7"/>
    <w:rPr>
      <w:color w:val="605E5C"/>
      <w:shd w:val="clear" w:color="auto" w:fill="E1DFDD"/>
    </w:rPr>
  </w:style>
  <w:style w:type="character" w:customStyle="1" w:styleId="apple-converted-space">
    <w:name w:val="apple-converted-space"/>
    <w:basedOn w:val="Fontepargpadro"/>
    <w:rsid w:val="00CF6A0D"/>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Pr>
  </w:style>
  <w:style w:type="character" w:styleId="CdigoHTML">
    <w:name w:val="HTML Code"/>
    <w:basedOn w:val="Fontepargpadro"/>
    <w:uiPriority w:val="99"/>
    <w:semiHidden/>
    <w:unhideWhenUsed/>
    <w:rsid w:val="00F31E41"/>
    <w:rPr>
      <w:rFonts w:ascii="Courier New" w:eastAsia="Times New Roman" w:hAnsi="Courier New" w:cs="Courier New"/>
      <w:sz w:val="20"/>
      <w:szCs w:val="20"/>
    </w:rPr>
  </w:style>
  <w:style w:type="character" w:customStyle="1" w:styleId="rynqvb">
    <w:name w:val="rynqvb"/>
    <w:basedOn w:val="Fontepargpadro"/>
    <w:rsid w:val="009332B8"/>
  </w:style>
  <w:style w:type="character" w:styleId="TextodoEspaoReservado">
    <w:name w:val="Placeholder Text"/>
    <w:basedOn w:val="Fontepargpadro"/>
    <w:uiPriority w:val="99"/>
    <w:semiHidden/>
    <w:rsid w:val="00D772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9174">
      <w:bodyDiv w:val="1"/>
      <w:marLeft w:val="0"/>
      <w:marRight w:val="0"/>
      <w:marTop w:val="0"/>
      <w:marBottom w:val="0"/>
      <w:divBdr>
        <w:top w:val="none" w:sz="0" w:space="0" w:color="auto"/>
        <w:left w:val="none" w:sz="0" w:space="0" w:color="auto"/>
        <w:bottom w:val="none" w:sz="0" w:space="0" w:color="auto"/>
        <w:right w:val="none" w:sz="0" w:space="0" w:color="auto"/>
      </w:divBdr>
    </w:div>
    <w:div w:id="75327622">
      <w:bodyDiv w:val="1"/>
      <w:marLeft w:val="0"/>
      <w:marRight w:val="0"/>
      <w:marTop w:val="0"/>
      <w:marBottom w:val="0"/>
      <w:divBdr>
        <w:top w:val="none" w:sz="0" w:space="0" w:color="auto"/>
        <w:left w:val="none" w:sz="0" w:space="0" w:color="auto"/>
        <w:bottom w:val="none" w:sz="0" w:space="0" w:color="auto"/>
        <w:right w:val="none" w:sz="0" w:space="0" w:color="auto"/>
      </w:divBdr>
    </w:div>
    <w:div w:id="96488361">
      <w:bodyDiv w:val="1"/>
      <w:marLeft w:val="0"/>
      <w:marRight w:val="0"/>
      <w:marTop w:val="0"/>
      <w:marBottom w:val="0"/>
      <w:divBdr>
        <w:top w:val="none" w:sz="0" w:space="0" w:color="auto"/>
        <w:left w:val="none" w:sz="0" w:space="0" w:color="auto"/>
        <w:bottom w:val="none" w:sz="0" w:space="0" w:color="auto"/>
        <w:right w:val="none" w:sz="0" w:space="0" w:color="auto"/>
      </w:divBdr>
    </w:div>
    <w:div w:id="175924018">
      <w:bodyDiv w:val="1"/>
      <w:marLeft w:val="0"/>
      <w:marRight w:val="0"/>
      <w:marTop w:val="0"/>
      <w:marBottom w:val="0"/>
      <w:divBdr>
        <w:top w:val="none" w:sz="0" w:space="0" w:color="auto"/>
        <w:left w:val="none" w:sz="0" w:space="0" w:color="auto"/>
        <w:bottom w:val="none" w:sz="0" w:space="0" w:color="auto"/>
        <w:right w:val="none" w:sz="0" w:space="0" w:color="auto"/>
      </w:divBdr>
    </w:div>
    <w:div w:id="191648407">
      <w:bodyDiv w:val="1"/>
      <w:marLeft w:val="0"/>
      <w:marRight w:val="0"/>
      <w:marTop w:val="0"/>
      <w:marBottom w:val="0"/>
      <w:divBdr>
        <w:top w:val="none" w:sz="0" w:space="0" w:color="auto"/>
        <w:left w:val="none" w:sz="0" w:space="0" w:color="auto"/>
        <w:bottom w:val="none" w:sz="0" w:space="0" w:color="auto"/>
        <w:right w:val="none" w:sz="0" w:space="0" w:color="auto"/>
      </w:divBdr>
    </w:div>
    <w:div w:id="272710679">
      <w:bodyDiv w:val="1"/>
      <w:marLeft w:val="0"/>
      <w:marRight w:val="0"/>
      <w:marTop w:val="0"/>
      <w:marBottom w:val="0"/>
      <w:divBdr>
        <w:top w:val="none" w:sz="0" w:space="0" w:color="auto"/>
        <w:left w:val="none" w:sz="0" w:space="0" w:color="auto"/>
        <w:bottom w:val="none" w:sz="0" w:space="0" w:color="auto"/>
        <w:right w:val="none" w:sz="0" w:space="0" w:color="auto"/>
      </w:divBdr>
    </w:div>
    <w:div w:id="280109756">
      <w:bodyDiv w:val="1"/>
      <w:marLeft w:val="0"/>
      <w:marRight w:val="0"/>
      <w:marTop w:val="0"/>
      <w:marBottom w:val="0"/>
      <w:divBdr>
        <w:top w:val="none" w:sz="0" w:space="0" w:color="auto"/>
        <w:left w:val="none" w:sz="0" w:space="0" w:color="auto"/>
        <w:bottom w:val="none" w:sz="0" w:space="0" w:color="auto"/>
        <w:right w:val="none" w:sz="0" w:space="0" w:color="auto"/>
      </w:divBdr>
    </w:div>
    <w:div w:id="323124043">
      <w:bodyDiv w:val="1"/>
      <w:marLeft w:val="0"/>
      <w:marRight w:val="0"/>
      <w:marTop w:val="0"/>
      <w:marBottom w:val="0"/>
      <w:divBdr>
        <w:top w:val="none" w:sz="0" w:space="0" w:color="auto"/>
        <w:left w:val="none" w:sz="0" w:space="0" w:color="auto"/>
        <w:bottom w:val="none" w:sz="0" w:space="0" w:color="auto"/>
        <w:right w:val="none" w:sz="0" w:space="0" w:color="auto"/>
      </w:divBdr>
    </w:div>
    <w:div w:id="348800939">
      <w:bodyDiv w:val="1"/>
      <w:marLeft w:val="0"/>
      <w:marRight w:val="0"/>
      <w:marTop w:val="0"/>
      <w:marBottom w:val="0"/>
      <w:divBdr>
        <w:top w:val="none" w:sz="0" w:space="0" w:color="auto"/>
        <w:left w:val="none" w:sz="0" w:space="0" w:color="auto"/>
        <w:bottom w:val="none" w:sz="0" w:space="0" w:color="auto"/>
        <w:right w:val="none" w:sz="0" w:space="0" w:color="auto"/>
      </w:divBdr>
    </w:div>
    <w:div w:id="350035153">
      <w:bodyDiv w:val="1"/>
      <w:marLeft w:val="0"/>
      <w:marRight w:val="0"/>
      <w:marTop w:val="0"/>
      <w:marBottom w:val="0"/>
      <w:divBdr>
        <w:top w:val="none" w:sz="0" w:space="0" w:color="auto"/>
        <w:left w:val="none" w:sz="0" w:space="0" w:color="auto"/>
        <w:bottom w:val="none" w:sz="0" w:space="0" w:color="auto"/>
        <w:right w:val="none" w:sz="0" w:space="0" w:color="auto"/>
      </w:divBdr>
    </w:div>
    <w:div w:id="431509488">
      <w:bodyDiv w:val="1"/>
      <w:marLeft w:val="0"/>
      <w:marRight w:val="0"/>
      <w:marTop w:val="0"/>
      <w:marBottom w:val="0"/>
      <w:divBdr>
        <w:top w:val="none" w:sz="0" w:space="0" w:color="auto"/>
        <w:left w:val="none" w:sz="0" w:space="0" w:color="auto"/>
        <w:bottom w:val="none" w:sz="0" w:space="0" w:color="auto"/>
        <w:right w:val="none" w:sz="0" w:space="0" w:color="auto"/>
      </w:divBdr>
    </w:div>
    <w:div w:id="435835502">
      <w:bodyDiv w:val="1"/>
      <w:marLeft w:val="0"/>
      <w:marRight w:val="0"/>
      <w:marTop w:val="0"/>
      <w:marBottom w:val="0"/>
      <w:divBdr>
        <w:top w:val="none" w:sz="0" w:space="0" w:color="auto"/>
        <w:left w:val="none" w:sz="0" w:space="0" w:color="auto"/>
        <w:bottom w:val="none" w:sz="0" w:space="0" w:color="auto"/>
        <w:right w:val="none" w:sz="0" w:space="0" w:color="auto"/>
      </w:divBdr>
    </w:div>
    <w:div w:id="548149997">
      <w:bodyDiv w:val="1"/>
      <w:marLeft w:val="0"/>
      <w:marRight w:val="0"/>
      <w:marTop w:val="0"/>
      <w:marBottom w:val="0"/>
      <w:divBdr>
        <w:top w:val="none" w:sz="0" w:space="0" w:color="auto"/>
        <w:left w:val="none" w:sz="0" w:space="0" w:color="auto"/>
        <w:bottom w:val="none" w:sz="0" w:space="0" w:color="auto"/>
        <w:right w:val="none" w:sz="0" w:space="0" w:color="auto"/>
      </w:divBdr>
    </w:div>
    <w:div w:id="552811017">
      <w:bodyDiv w:val="1"/>
      <w:marLeft w:val="0"/>
      <w:marRight w:val="0"/>
      <w:marTop w:val="0"/>
      <w:marBottom w:val="0"/>
      <w:divBdr>
        <w:top w:val="none" w:sz="0" w:space="0" w:color="auto"/>
        <w:left w:val="none" w:sz="0" w:space="0" w:color="auto"/>
        <w:bottom w:val="none" w:sz="0" w:space="0" w:color="auto"/>
        <w:right w:val="none" w:sz="0" w:space="0" w:color="auto"/>
      </w:divBdr>
    </w:div>
    <w:div w:id="576013507">
      <w:bodyDiv w:val="1"/>
      <w:marLeft w:val="0"/>
      <w:marRight w:val="0"/>
      <w:marTop w:val="0"/>
      <w:marBottom w:val="0"/>
      <w:divBdr>
        <w:top w:val="none" w:sz="0" w:space="0" w:color="auto"/>
        <w:left w:val="none" w:sz="0" w:space="0" w:color="auto"/>
        <w:bottom w:val="none" w:sz="0" w:space="0" w:color="auto"/>
        <w:right w:val="none" w:sz="0" w:space="0" w:color="auto"/>
      </w:divBdr>
    </w:div>
    <w:div w:id="586156683">
      <w:bodyDiv w:val="1"/>
      <w:marLeft w:val="0"/>
      <w:marRight w:val="0"/>
      <w:marTop w:val="0"/>
      <w:marBottom w:val="0"/>
      <w:divBdr>
        <w:top w:val="none" w:sz="0" w:space="0" w:color="auto"/>
        <w:left w:val="none" w:sz="0" w:space="0" w:color="auto"/>
        <w:bottom w:val="none" w:sz="0" w:space="0" w:color="auto"/>
        <w:right w:val="none" w:sz="0" w:space="0" w:color="auto"/>
      </w:divBdr>
    </w:div>
    <w:div w:id="611937248">
      <w:bodyDiv w:val="1"/>
      <w:marLeft w:val="0"/>
      <w:marRight w:val="0"/>
      <w:marTop w:val="0"/>
      <w:marBottom w:val="0"/>
      <w:divBdr>
        <w:top w:val="none" w:sz="0" w:space="0" w:color="auto"/>
        <w:left w:val="none" w:sz="0" w:space="0" w:color="auto"/>
        <w:bottom w:val="none" w:sz="0" w:space="0" w:color="auto"/>
        <w:right w:val="none" w:sz="0" w:space="0" w:color="auto"/>
      </w:divBdr>
    </w:div>
    <w:div w:id="803037663">
      <w:bodyDiv w:val="1"/>
      <w:marLeft w:val="0"/>
      <w:marRight w:val="0"/>
      <w:marTop w:val="0"/>
      <w:marBottom w:val="0"/>
      <w:divBdr>
        <w:top w:val="none" w:sz="0" w:space="0" w:color="auto"/>
        <w:left w:val="none" w:sz="0" w:space="0" w:color="auto"/>
        <w:bottom w:val="none" w:sz="0" w:space="0" w:color="auto"/>
        <w:right w:val="none" w:sz="0" w:space="0" w:color="auto"/>
      </w:divBdr>
    </w:div>
    <w:div w:id="829909698">
      <w:bodyDiv w:val="1"/>
      <w:marLeft w:val="0"/>
      <w:marRight w:val="0"/>
      <w:marTop w:val="0"/>
      <w:marBottom w:val="0"/>
      <w:divBdr>
        <w:top w:val="none" w:sz="0" w:space="0" w:color="auto"/>
        <w:left w:val="none" w:sz="0" w:space="0" w:color="auto"/>
        <w:bottom w:val="none" w:sz="0" w:space="0" w:color="auto"/>
        <w:right w:val="none" w:sz="0" w:space="0" w:color="auto"/>
      </w:divBdr>
    </w:div>
    <w:div w:id="925724303">
      <w:bodyDiv w:val="1"/>
      <w:marLeft w:val="0"/>
      <w:marRight w:val="0"/>
      <w:marTop w:val="0"/>
      <w:marBottom w:val="0"/>
      <w:divBdr>
        <w:top w:val="none" w:sz="0" w:space="0" w:color="auto"/>
        <w:left w:val="none" w:sz="0" w:space="0" w:color="auto"/>
        <w:bottom w:val="none" w:sz="0" w:space="0" w:color="auto"/>
        <w:right w:val="none" w:sz="0" w:space="0" w:color="auto"/>
      </w:divBdr>
    </w:div>
    <w:div w:id="950862665">
      <w:bodyDiv w:val="1"/>
      <w:marLeft w:val="0"/>
      <w:marRight w:val="0"/>
      <w:marTop w:val="0"/>
      <w:marBottom w:val="0"/>
      <w:divBdr>
        <w:top w:val="none" w:sz="0" w:space="0" w:color="auto"/>
        <w:left w:val="none" w:sz="0" w:space="0" w:color="auto"/>
        <w:bottom w:val="none" w:sz="0" w:space="0" w:color="auto"/>
        <w:right w:val="none" w:sz="0" w:space="0" w:color="auto"/>
      </w:divBdr>
    </w:div>
    <w:div w:id="1013653097">
      <w:bodyDiv w:val="1"/>
      <w:marLeft w:val="0"/>
      <w:marRight w:val="0"/>
      <w:marTop w:val="0"/>
      <w:marBottom w:val="0"/>
      <w:divBdr>
        <w:top w:val="none" w:sz="0" w:space="0" w:color="auto"/>
        <w:left w:val="none" w:sz="0" w:space="0" w:color="auto"/>
        <w:bottom w:val="none" w:sz="0" w:space="0" w:color="auto"/>
        <w:right w:val="none" w:sz="0" w:space="0" w:color="auto"/>
      </w:divBdr>
    </w:div>
    <w:div w:id="1045257817">
      <w:bodyDiv w:val="1"/>
      <w:marLeft w:val="0"/>
      <w:marRight w:val="0"/>
      <w:marTop w:val="0"/>
      <w:marBottom w:val="0"/>
      <w:divBdr>
        <w:top w:val="none" w:sz="0" w:space="0" w:color="auto"/>
        <w:left w:val="none" w:sz="0" w:space="0" w:color="auto"/>
        <w:bottom w:val="none" w:sz="0" w:space="0" w:color="auto"/>
        <w:right w:val="none" w:sz="0" w:space="0" w:color="auto"/>
      </w:divBdr>
    </w:div>
    <w:div w:id="1085372524">
      <w:bodyDiv w:val="1"/>
      <w:marLeft w:val="0"/>
      <w:marRight w:val="0"/>
      <w:marTop w:val="0"/>
      <w:marBottom w:val="0"/>
      <w:divBdr>
        <w:top w:val="none" w:sz="0" w:space="0" w:color="auto"/>
        <w:left w:val="none" w:sz="0" w:space="0" w:color="auto"/>
        <w:bottom w:val="none" w:sz="0" w:space="0" w:color="auto"/>
        <w:right w:val="none" w:sz="0" w:space="0" w:color="auto"/>
      </w:divBdr>
    </w:div>
    <w:div w:id="1111244416">
      <w:bodyDiv w:val="1"/>
      <w:marLeft w:val="0"/>
      <w:marRight w:val="0"/>
      <w:marTop w:val="0"/>
      <w:marBottom w:val="0"/>
      <w:divBdr>
        <w:top w:val="none" w:sz="0" w:space="0" w:color="auto"/>
        <w:left w:val="none" w:sz="0" w:space="0" w:color="auto"/>
        <w:bottom w:val="none" w:sz="0" w:space="0" w:color="auto"/>
        <w:right w:val="none" w:sz="0" w:space="0" w:color="auto"/>
      </w:divBdr>
    </w:div>
    <w:div w:id="1149518692">
      <w:bodyDiv w:val="1"/>
      <w:marLeft w:val="0"/>
      <w:marRight w:val="0"/>
      <w:marTop w:val="0"/>
      <w:marBottom w:val="0"/>
      <w:divBdr>
        <w:top w:val="none" w:sz="0" w:space="0" w:color="auto"/>
        <w:left w:val="none" w:sz="0" w:space="0" w:color="auto"/>
        <w:bottom w:val="none" w:sz="0" w:space="0" w:color="auto"/>
        <w:right w:val="none" w:sz="0" w:space="0" w:color="auto"/>
      </w:divBdr>
    </w:div>
    <w:div w:id="1167749306">
      <w:bodyDiv w:val="1"/>
      <w:marLeft w:val="0"/>
      <w:marRight w:val="0"/>
      <w:marTop w:val="0"/>
      <w:marBottom w:val="0"/>
      <w:divBdr>
        <w:top w:val="none" w:sz="0" w:space="0" w:color="auto"/>
        <w:left w:val="none" w:sz="0" w:space="0" w:color="auto"/>
        <w:bottom w:val="none" w:sz="0" w:space="0" w:color="auto"/>
        <w:right w:val="none" w:sz="0" w:space="0" w:color="auto"/>
      </w:divBdr>
    </w:div>
    <w:div w:id="1212691258">
      <w:bodyDiv w:val="1"/>
      <w:marLeft w:val="0"/>
      <w:marRight w:val="0"/>
      <w:marTop w:val="0"/>
      <w:marBottom w:val="0"/>
      <w:divBdr>
        <w:top w:val="none" w:sz="0" w:space="0" w:color="auto"/>
        <w:left w:val="none" w:sz="0" w:space="0" w:color="auto"/>
        <w:bottom w:val="none" w:sz="0" w:space="0" w:color="auto"/>
        <w:right w:val="none" w:sz="0" w:space="0" w:color="auto"/>
      </w:divBdr>
      <w:divsChild>
        <w:div w:id="967516374">
          <w:marLeft w:val="0"/>
          <w:marRight w:val="0"/>
          <w:marTop w:val="0"/>
          <w:marBottom w:val="0"/>
          <w:divBdr>
            <w:top w:val="none" w:sz="0" w:space="0" w:color="auto"/>
            <w:left w:val="none" w:sz="0" w:space="0" w:color="auto"/>
            <w:bottom w:val="none" w:sz="0" w:space="0" w:color="auto"/>
            <w:right w:val="none" w:sz="0" w:space="0" w:color="auto"/>
          </w:divBdr>
        </w:div>
      </w:divsChild>
    </w:div>
    <w:div w:id="1218667039">
      <w:bodyDiv w:val="1"/>
      <w:marLeft w:val="0"/>
      <w:marRight w:val="0"/>
      <w:marTop w:val="0"/>
      <w:marBottom w:val="0"/>
      <w:divBdr>
        <w:top w:val="none" w:sz="0" w:space="0" w:color="auto"/>
        <w:left w:val="none" w:sz="0" w:space="0" w:color="auto"/>
        <w:bottom w:val="none" w:sz="0" w:space="0" w:color="auto"/>
        <w:right w:val="none" w:sz="0" w:space="0" w:color="auto"/>
      </w:divBdr>
    </w:div>
    <w:div w:id="1265578623">
      <w:bodyDiv w:val="1"/>
      <w:marLeft w:val="0"/>
      <w:marRight w:val="0"/>
      <w:marTop w:val="0"/>
      <w:marBottom w:val="0"/>
      <w:divBdr>
        <w:top w:val="none" w:sz="0" w:space="0" w:color="auto"/>
        <w:left w:val="none" w:sz="0" w:space="0" w:color="auto"/>
        <w:bottom w:val="none" w:sz="0" w:space="0" w:color="auto"/>
        <w:right w:val="none" w:sz="0" w:space="0" w:color="auto"/>
      </w:divBdr>
    </w:div>
    <w:div w:id="1313758353">
      <w:bodyDiv w:val="1"/>
      <w:marLeft w:val="0"/>
      <w:marRight w:val="0"/>
      <w:marTop w:val="0"/>
      <w:marBottom w:val="0"/>
      <w:divBdr>
        <w:top w:val="none" w:sz="0" w:space="0" w:color="auto"/>
        <w:left w:val="none" w:sz="0" w:space="0" w:color="auto"/>
        <w:bottom w:val="none" w:sz="0" w:space="0" w:color="auto"/>
        <w:right w:val="none" w:sz="0" w:space="0" w:color="auto"/>
      </w:divBdr>
    </w:div>
    <w:div w:id="1348871420">
      <w:bodyDiv w:val="1"/>
      <w:marLeft w:val="0"/>
      <w:marRight w:val="0"/>
      <w:marTop w:val="0"/>
      <w:marBottom w:val="0"/>
      <w:divBdr>
        <w:top w:val="none" w:sz="0" w:space="0" w:color="auto"/>
        <w:left w:val="none" w:sz="0" w:space="0" w:color="auto"/>
        <w:bottom w:val="none" w:sz="0" w:space="0" w:color="auto"/>
        <w:right w:val="none" w:sz="0" w:space="0" w:color="auto"/>
      </w:divBdr>
    </w:div>
    <w:div w:id="1355690245">
      <w:bodyDiv w:val="1"/>
      <w:marLeft w:val="0"/>
      <w:marRight w:val="0"/>
      <w:marTop w:val="0"/>
      <w:marBottom w:val="0"/>
      <w:divBdr>
        <w:top w:val="none" w:sz="0" w:space="0" w:color="auto"/>
        <w:left w:val="none" w:sz="0" w:space="0" w:color="auto"/>
        <w:bottom w:val="none" w:sz="0" w:space="0" w:color="auto"/>
        <w:right w:val="none" w:sz="0" w:space="0" w:color="auto"/>
      </w:divBdr>
    </w:div>
    <w:div w:id="1400900698">
      <w:bodyDiv w:val="1"/>
      <w:marLeft w:val="0"/>
      <w:marRight w:val="0"/>
      <w:marTop w:val="0"/>
      <w:marBottom w:val="0"/>
      <w:divBdr>
        <w:top w:val="none" w:sz="0" w:space="0" w:color="auto"/>
        <w:left w:val="none" w:sz="0" w:space="0" w:color="auto"/>
        <w:bottom w:val="none" w:sz="0" w:space="0" w:color="auto"/>
        <w:right w:val="none" w:sz="0" w:space="0" w:color="auto"/>
      </w:divBdr>
    </w:div>
    <w:div w:id="1547326773">
      <w:bodyDiv w:val="1"/>
      <w:marLeft w:val="0"/>
      <w:marRight w:val="0"/>
      <w:marTop w:val="0"/>
      <w:marBottom w:val="0"/>
      <w:divBdr>
        <w:top w:val="none" w:sz="0" w:space="0" w:color="auto"/>
        <w:left w:val="none" w:sz="0" w:space="0" w:color="auto"/>
        <w:bottom w:val="none" w:sz="0" w:space="0" w:color="auto"/>
        <w:right w:val="none" w:sz="0" w:space="0" w:color="auto"/>
      </w:divBdr>
    </w:div>
    <w:div w:id="1631016787">
      <w:bodyDiv w:val="1"/>
      <w:marLeft w:val="0"/>
      <w:marRight w:val="0"/>
      <w:marTop w:val="0"/>
      <w:marBottom w:val="0"/>
      <w:divBdr>
        <w:top w:val="none" w:sz="0" w:space="0" w:color="auto"/>
        <w:left w:val="none" w:sz="0" w:space="0" w:color="auto"/>
        <w:bottom w:val="none" w:sz="0" w:space="0" w:color="auto"/>
        <w:right w:val="none" w:sz="0" w:space="0" w:color="auto"/>
      </w:divBdr>
      <w:divsChild>
        <w:div w:id="306665923">
          <w:marLeft w:val="0"/>
          <w:marRight w:val="0"/>
          <w:marTop w:val="0"/>
          <w:marBottom w:val="0"/>
          <w:divBdr>
            <w:top w:val="none" w:sz="0" w:space="0" w:color="auto"/>
            <w:left w:val="none" w:sz="0" w:space="0" w:color="auto"/>
            <w:bottom w:val="none" w:sz="0" w:space="0" w:color="auto"/>
            <w:right w:val="none" w:sz="0" w:space="0" w:color="auto"/>
          </w:divBdr>
          <w:divsChild>
            <w:div w:id="1420634108">
              <w:marLeft w:val="0"/>
              <w:marRight w:val="0"/>
              <w:marTop w:val="0"/>
              <w:marBottom w:val="0"/>
              <w:divBdr>
                <w:top w:val="none" w:sz="0" w:space="0" w:color="auto"/>
                <w:left w:val="none" w:sz="0" w:space="0" w:color="auto"/>
                <w:bottom w:val="none" w:sz="0" w:space="0" w:color="auto"/>
                <w:right w:val="none" w:sz="0" w:space="0" w:color="auto"/>
              </w:divBdr>
              <w:divsChild>
                <w:div w:id="197213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317677">
      <w:bodyDiv w:val="1"/>
      <w:marLeft w:val="0"/>
      <w:marRight w:val="0"/>
      <w:marTop w:val="0"/>
      <w:marBottom w:val="0"/>
      <w:divBdr>
        <w:top w:val="none" w:sz="0" w:space="0" w:color="auto"/>
        <w:left w:val="none" w:sz="0" w:space="0" w:color="auto"/>
        <w:bottom w:val="none" w:sz="0" w:space="0" w:color="auto"/>
        <w:right w:val="none" w:sz="0" w:space="0" w:color="auto"/>
      </w:divBdr>
      <w:divsChild>
        <w:div w:id="773791503">
          <w:marLeft w:val="0"/>
          <w:marRight w:val="0"/>
          <w:marTop w:val="0"/>
          <w:marBottom w:val="0"/>
          <w:divBdr>
            <w:top w:val="none" w:sz="0" w:space="0" w:color="auto"/>
            <w:left w:val="none" w:sz="0" w:space="0" w:color="auto"/>
            <w:bottom w:val="none" w:sz="0" w:space="0" w:color="auto"/>
            <w:right w:val="none" w:sz="0" w:space="0" w:color="auto"/>
          </w:divBdr>
          <w:divsChild>
            <w:div w:id="1867406921">
              <w:marLeft w:val="0"/>
              <w:marRight w:val="0"/>
              <w:marTop w:val="0"/>
              <w:marBottom w:val="0"/>
              <w:divBdr>
                <w:top w:val="none" w:sz="0" w:space="0" w:color="auto"/>
                <w:left w:val="none" w:sz="0" w:space="0" w:color="auto"/>
                <w:bottom w:val="none" w:sz="0" w:space="0" w:color="auto"/>
                <w:right w:val="none" w:sz="0" w:space="0" w:color="auto"/>
              </w:divBdr>
              <w:divsChild>
                <w:div w:id="186810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586537">
      <w:bodyDiv w:val="1"/>
      <w:marLeft w:val="0"/>
      <w:marRight w:val="0"/>
      <w:marTop w:val="0"/>
      <w:marBottom w:val="0"/>
      <w:divBdr>
        <w:top w:val="none" w:sz="0" w:space="0" w:color="auto"/>
        <w:left w:val="none" w:sz="0" w:space="0" w:color="auto"/>
        <w:bottom w:val="none" w:sz="0" w:space="0" w:color="auto"/>
        <w:right w:val="none" w:sz="0" w:space="0" w:color="auto"/>
      </w:divBdr>
    </w:div>
    <w:div w:id="1781025148">
      <w:bodyDiv w:val="1"/>
      <w:marLeft w:val="0"/>
      <w:marRight w:val="0"/>
      <w:marTop w:val="0"/>
      <w:marBottom w:val="0"/>
      <w:divBdr>
        <w:top w:val="none" w:sz="0" w:space="0" w:color="auto"/>
        <w:left w:val="none" w:sz="0" w:space="0" w:color="auto"/>
        <w:bottom w:val="none" w:sz="0" w:space="0" w:color="auto"/>
        <w:right w:val="none" w:sz="0" w:space="0" w:color="auto"/>
      </w:divBdr>
    </w:div>
    <w:div w:id="1785492232">
      <w:bodyDiv w:val="1"/>
      <w:marLeft w:val="0"/>
      <w:marRight w:val="0"/>
      <w:marTop w:val="0"/>
      <w:marBottom w:val="0"/>
      <w:divBdr>
        <w:top w:val="none" w:sz="0" w:space="0" w:color="auto"/>
        <w:left w:val="none" w:sz="0" w:space="0" w:color="auto"/>
        <w:bottom w:val="none" w:sz="0" w:space="0" w:color="auto"/>
        <w:right w:val="none" w:sz="0" w:space="0" w:color="auto"/>
      </w:divBdr>
    </w:div>
    <w:div w:id="1797021570">
      <w:bodyDiv w:val="1"/>
      <w:marLeft w:val="0"/>
      <w:marRight w:val="0"/>
      <w:marTop w:val="0"/>
      <w:marBottom w:val="0"/>
      <w:divBdr>
        <w:top w:val="none" w:sz="0" w:space="0" w:color="auto"/>
        <w:left w:val="none" w:sz="0" w:space="0" w:color="auto"/>
        <w:bottom w:val="none" w:sz="0" w:space="0" w:color="auto"/>
        <w:right w:val="none" w:sz="0" w:space="0" w:color="auto"/>
      </w:divBdr>
    </w:div>
    <w:div w:id="1831479000">
      <w:bodyDiv w:val="1"/>
      <w:marLeft w:val="0"/>
      <w:marRight w:val="0"/>
      <w:marTop w:val="0"/>
      <w:marBottom w:val="0"/>
      <w:divBdr>
        <w:top w:val="none" w:sz="0" w:space="0" w:color="auto"/>
        <w:left w:val="none" w:sz="0" w:space="0" w:color="auto"/>
        <w:bottom w:val="none" w:sz="0" w:space="0" w:color="auto"/>
        <w:right w:val="none" w:sz="0" w:space="0" w:color="auto"/>
      </w:divBdr>
    </w:div>
    <w:div w:id="1943221685">
      <w:bodyDiv w:val="1"/>
      <w:marLeft w:val="0"/>
      <w:marRight w:val="0"/>
      <w:marTop w:val="0"/>
      <w:marBottom w:val="0"/>
      <w:divBdr>
        <w:top w:val="none" w:sz="0" w:space="0" w:color="auto"/>
        <w:left w:val="none" w:sz="0" w:space="0" w:color="auto"/>
        <w:bottom w:val="none" w:sz="0" w:space="0" w:color="auto"/>
        <w:right w:val="none" w:sz="0" w:space="0" w:color="auto"/>
      </w:divBdr>
    </w:div>
    <w:div w:id="1956597311">
      <w:bodyDiv w:val="1"/>
      <w:marLeft w:val="0"/>
      <w:marRight w:val="0"/>
      <w:marTop w:val="0"/>
      <w:marBottom w:val="0"/>
      <w:divBdr>
        <w:top w:val="none" w:sz="0" w:space="0" w:color="auto"/>
        <w:left w:val="none" w:sz="0" w:space="0" w:color="auto"/>
        <w:bottom w:val="none" w:sz="0" w:space="0" w:color="auto"/>
        <w:right w:val="none" w:sz="0" w:space="0" w:color="auto"/>
      </w:divBdr>
    </w:div>
    <w:div w:id="1979338424">
      <w:bodyDiv w:val="1"/>
      <w:marLeft w:val="0"/>
      <w:marRight w:val="0"/>
      <w:marTop w:val="0"/>
      <w:marBottom w:val="0"/>
      <w:divBdr>
        <w:top w:val="none" w:sz="0" w:space="0" w:color="auto"/>
        <w:left w:val="none" w:sz="0" w:space="0" w:color="auto"/>
        <w:bottom w:val="none" w:sz="0" w:space="0" w:color="auto"/>
        <w:right w:val="none" w:sz="0" w:space="0" w:color="auto"/>
      </w:divBdr>
    </w:div>
    <w:div w:id="1992707102">
      <w:bodyDiv w:val="1"/>
      <w:marLeft w:val="0"/>
      <w:marRight w:val="0"/>
      <w:marTop w:val="0"/>
      <w:marBottom w:val="0"/>
      <w:divBdr>
        <w:top w:val="none" w:sz="0" w:space="0" w:color="auto"/>
        <w:left w:val="none" w:sz="0" w:space="0" w:color="auto"/>
        <w:bottom w:val="none" w:sz="0" w:space="0" w:color="auto"/>
        <w:right w:val="none" w:sz="0" w:space="0" w:color="auto"/>
      </w:divBdr>
    </w:div>
    <w:div w:id="2001081329">
      <w:bodyDiv w:val="1"/>
      <w:marLeft w:val="0"/>
      <w:marRight w:val="0"/>
      <w:marTop w:val="0"/>
      <w:marBottom w:val="0"/>
      <w:divBdr>
        <w:top w:val="none" w:sz="0" w:space="0" w:color="auto"/>
        <w:left w:val="none" w:sz="0" w:space="0" w:color="auto"/>
        <w:bottom w:val="none" w:sz="0" w:space="0" w:color="auto"/>
        <w:right w:val="none" w:sz="0" w:space="0" w:color="auto"/>
      </w:divBdr>
    </w:div>
    <w:div w:id="2022657770">
      <w:bodyDiv w:val="1"/>
      <w:marLeft w:val="0"/>
      <w:marRight w:val="0"/>
      <w:marTop w:val="0"/>
      <w:marBottom w:val="0"/>
      <w:divBdr>
        <w:top w:val="none" w:sz="0" w:space="0" w:color="auto"/>
        <w:left w:val="none" w:sz="0" w:space="0" w:color="auto"/>
        <w:bottom w:val="none" w:sz="0" w:space="0" w:color="auto"/>
        <w:right w:val="none" w:sz="0" w:space="0" w:color="auto"/>
      </w:divBdr>
    </w:div>
    <w:div w:id="2075544248">
      <w:bodyDiv w:val="1"/>
      <w:marLeft w:val="0"/>
      <w:marRight w:val="0"/>
      <w:marTop w:val="0"/>
      <w:marBottom w:val="0"/>
      <w:divBdr>
        <w:top w:val="none" w:sz="0" w:space="0" w:color="auto"/>
        <w:left w:val="none" w:sz="0" w:space="0" w:color="auto"/>
        <w:bottom w:val="none" w:sz="0" w:space="0" w:color="auto"/>
        <w:right w:val="none" w:sz="0" w:space="0" w:color="auto"/>
      </w:divBdr>
    </w:div>
    <w:div w:id="2111926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doi.org/10.1177/147387161141599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6.png"/><Relationship Id="rId17" Type="http://schemas.openxmlformats.org/officeDocument/2006/relationships/hyperlink" Target="https://seaborn.pydata.org/" TargetMode="External"/><Relationship Id="rId2" Type="http://schemas.openxmlformats.org/officeDocument/2006/relationships/numbering" Target="numbering.xml"/><Relationship Id="rId16" Type="http://schemas.openxmlformats.org/officeDocument/2006/relationships/hyperlink" Target="https://scikit-learn.org/stable/"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hyperlink" Target="https://numpy.org/doc/stable/index.html" TargetMode="Externa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matplotlib.org/stable/index.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8tm2ENIJnJmS3IPinnZsBVNuyjQ==">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9406</TotalTime>
  <Pages>6</Pages>
  <Words>2982</Words>
  <Characters>16103</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Brunno Ferreira dos Santos</cp:lastModifiedBy>
  <cp:revision>137</cp:revision>
  <dcterms:created xsi:type="dcterms:W3CDTF">2023-02-25T18:44:00Z</dcterms:created>
  <dcterms:modified xsi:type="dcterms:W3CDTF">2023-04-14T14:28:00Z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