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41FF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41FF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41FF7">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83CEA36" w14:textId="54D628DF" w:rsidR="00541FF7" w:rsidRPr="00C9548F" w:rsidRDefault="00541FF7" w:rsidP="00C9548F">
      <w:pPr>
        <w:pStyle w:val="CETTitle"/>
      </w:pPr>
      <w:r w:rsidRPr="00C9548F">
        <w:t xml:space="preserve">A </w:t>
      </w:r>
      <w:r w:rsidR="00C9548F">
        <w:t>S</w:t>
      </w:r>
      <w:r w:rsidRPr="00C9548F">
        <w:t xml:space="preserve">imulation </w:t>
      </w:r>
      <w:r w:rsidR="00C9548F">
        <w:t>A</w:t>
      </w:r>
      <w:r w:rsidRPr="00C9548F">
        <w:t xml:space="preserve">pproach </w:t>
      </w:r>
      <w:r w:rsidR="00C9548F">
        <w:t>F</w:t>
      </w:r>
      <w:r w:rsidRPr="00C9548F">
        <w:t xml:space="preserve">or </w:t>
      </w:r>
      <w:r w:rsidR="00C9548F">
        <w:t>I</w:t>
      </w:r>
      <w:r w:rsidRPr="00C9548F">
        <w:t xml:space="preserve">nvestigating </w:t>
      </w:r>
      <w:r w:rsidR="00C9548F">
        <w:t>T</w:t>
      </w:r>
      <w:r w:rsidRPr="00C9548F">
        <w:t xml:space="preserve">he </w:t>
      </w:r>
      <w:r w:rsidR="00C9548F">
        <w:t>E</w:t>
      </w:r>
      <w:r w:rsidRPr="00C9548F">
        <w:t xml:space="preserve">ffect </w:t>
      </w:r>
      <w:r w:rsidR="00C9548F">
        <w:t>O</w:t>
      </w:r>
      <w:r w:rsidRPr="00C9548F">
        <w:t xml:space="preserve">f </w:t>
      </w:r>
      <w:r w:rsidR="00C9548F">
        <w:t>V</w:t>
      </w:r>
      <w:r w:rsidRPr="00C9548F">
        <w:t xml:space="preserve">aleric </w:t>
      </w:r>
      <w:r w:rsidR="00C9548F">
        <w:t>A</w:t>
      </w:r>
      <w:r w:rsidRPr="00C9548F">
        <w:t xml:space="preserve">cid </w:t>
      </w:r>
      <w:r w:rsidR="00C9548F">
        <w:t>C</w:t>
      </w:r>
      <w:r w:rsidRPr="00C9548F">
        <w:t xml:space="preserve">oncentration </w:t>
      </w:r>
      <w:r w:rsidR="00C9548F">
        <w:t>O</w:t>
      </w:r>
      <w:r w:rsidRPr="00C9548F">
        <w:t xml:space="preserve">n </w:t>
      </w:r>
      <w:r w:rsidR="00C9548F">
        <w:t>P</w:t>
      </w:r>
      <w:r w:rsidRPr="00C9548F">
        <w:t xml:space="preserve">oly(3-hydroxybutyrate-co-3-hydroxyvalerate) </w:t>
      </w:r>
      <w:r w:rsidR="00C9548F">
        <w:t>G</w:t>
      </w:r>
      <w:r w:rsidR="00446AE8" w:rsidRPr="00C9548F">
        <w:t>eneration</w:t>
      </w:r>
      <w:r w:rsidRPr="00C9548F">
        <w:t xml:space="preserve"> </w:t>
      </w:r>
      <w:r w:rsidR="00C9548F">
        <w:t>I</w:t>
      </w:r>
      <w:r w:rsidRPr="00C9548F">
        <w:t xml:space="preserve">n </w:t>
      </w:r>
      <w:r w:rsidR="00C9548F">
        <w:t>P</w:t>
      </w:r>
      <w:r w:rsidRPr="00C9548F">
        <w:t xml:space="preserve">resence </w:t>
      </w:r>
      <w:r w:rsidR="00C9548F">
        <w:t>O</w:t>
      </w:r>
      <w:r w:rsidRPr="00C9548F">
        <w:t xml:space="preserve">f </w:t>
      </w:r>
      <w:r w:rsidR="00C9548F">
        <w:t>M</w:t>
      </w:r>
      <w:r w:rsidRPr="00C9548F">
        <w:t>ethane.</w:t>
      </w:r>
    </w:p>
    <w:p w14:paraId="53F21FC7" w14:textId="77777777" w:rsidR="00541FF7" w:rsidRDefault="00541FF7" w:rsidP="00541FF7">
      <w:pPr>
        <w:pStyle w:val="CETBodytext"/>
        <w:rPr>
          <w:lang w:val="en-GB"/>
        </w:rPr>
      </w:pPr>
    </w:p>
    <w:p w14:paraId="71B36C66" w14:textId="61F4F5CF" w:rsidR="00541FF7" w:rsidRDefault="00541FF7" w:rsidP="00541FF7">
      <w:pPr>
        <w:pStyle w:val="CETAuthors"/>
        <w:rPr>
          <w:vertAlign w:val="superscript"/>
          <w:lang w:val="it-IT"/>
        </w:rPr>
      </w:pPr>
      <w:r w:rsidRPr="00541FF7">
        <w:rPr>
          <w:lang w:val="it-IT"/>
        </w:rPr>
        <w:t>Claudia Amabile</w:t>
      </w:r>
      <w:r w:rsidRPr="00541FF7">
        <w:rPr>
          <w:vertAlign w:val="superscript"/>
          <w:lang w:val="it-IT"/>
        </w:rPr>
        <w:t>1</w:t>
      </w:r>
      <w:r w:rsidRPr="00541FF7">
        <w:rPr>
          <w:lang w:val="it-IT"/>
        </w:rPr>
        <w:t>, Teresa Abate</w:t>
      </w:r>
      <w:r w:rsidRPr="00541FF7">
        <w:rPr>
          <w:vertAlign w:val="superscript"/>
          <w:lang w:val="it-IT"/>
        </w:rPr>
        <w:t>1</w:t>
      </w:r>
      <w:r w:rsidRPr="00541FF7">
        <w:rPr>
          <w:lang w:val="it-IT"/>
        </w:rPr>
        <w:t>, Carmen De Crescenzo</w:t>
      </w:r>
      <w:r w:rsidRPr="00541FF7">
        <w:rPr>
          <w:vertAlign w:val="superscript"/>
          <w:lang w:val="it-IT"/>
        </w:rPr>
        <w:t>1,*</w:t>
      </w:r>
      <w:r w:rsidRPr="00541FF7">
        <w:rPr>
          <w:lang w:val="it-IT"/>
        </w:rPr>
        <w:t>, Antimo Migliaccio</w:t>
      </w:r>
      <w:r w:rsidRPr="00541FF7">
        <w:rPr>
          <w:vertAlign w:val="superscript"/>
          <w:lang w:val="it-IT"/>
        </w:rPr>
        <w:t>1</w:t>
      </w:r>
      <w:r w:rsidRPr="00541FF7">
        <w:rPr>
          <w:lang w:val="it-IT"/>
        </w:rPr>
        <w:t>, Giuseppe Capece</w:t>
      </w:r>
      <w:r w:rsidRPr="00541FF7">
        <w:rPr>
          <w:vertAlign w:val="superscript"/>
          <w:lang w:val="it-IT"/>
        </w:rPr>
        <w:t>2</w:t>
      </w:r>
      <w:r w:rsidRPr="00541FF7">
        <w:rPr>
          <w:lang w:val="it-IT"/>
        </w:rPr>
        <w:t>, Renato Ciampa</w:t>
      </w:r>
      <w:r w:rsidRPr="00541FF7">
        <w:rPr>
          <w:vertAlign w:val="superscript"/>
          <w:lang w:val="it-IT"/>
        </w:rPr>
        <w:t>3</w:t>
      </w:r>
      <w:r w:rsidRPr="00541FF7">
        <w:rPr>
          <w:lang w:val="it-IT"/>
        </w:rPr>
        <w:t>, Raul Muñoz</w:t>
      </w:r>
      <w:r w:rsidRPr="00541FF7">
        <w:rPr>
          <w:vertAlign w:val="superscript"/>
          <w:lang w:val="it-IT"/>
        </w:rPr>
        <w:t>4</w:t>
      </w:r>
      <w:r w:rsidRPr="00541FF7">
        <w:rPr>
          <w:lang w:val="it-IT"/>
        </w:rPr>
        <w:t>, Simeone Chianese</w:t>
      </w:r>
      <w:r w:rsidRPr="00541FF7">
        <w:rPr>
          <w:vertAlign w:val="superscript"/>
          <w:lang w:val="it-IT"/>
        </w:rPr>
        <w:t>1</w:t>
      </w:r>
      <w:r w:rsidRPr="00541FF7">
        <w:rPr>
          <w:lang w:val="it-IT"/>
        </w:rPr>
        <w:t>, Dino Musmarra</w:t>
      </w:r>
      <w:r w:rsidRPr="00541FF7">
        <w:rPr>
          <w:vertAlign w:val="superscript"/>
          <w:lang w:val="it-IT"/>
        </w:rPr>
        <w:t>1</w:t>
      </w:r>
    </w:p>
    <w:p w14:paraId="648B8753" w14:textId="77777777" w:rsidR="00541FF7" w:rsidRPr="00541FF7" w:rsidRDefault="00541FF7" w:rsidP="00541FF7">
      <w:pPr>
        <w:pStyle w:val="CETAddress"/>
        <w:rPr>
          <w:lang w:val="it-IT"/>
        </w:rPr>
      </w:pPr>
      <w:r w:rsidRPr="00541FF7">
        <w:rPr>
          <w:vertAlign w:val="superscript"/>
          <w:lang w:val="it-IT"/>
        </w:rPr>
        <w:t>1</w:t>
      </w:r>
      <w:r w:rsidRPr="00541FF7">
        <w:rPr>
          <w:lang w:val="it-IT"/>
        </w:rPr>
        <w:t>Department of Engineering, University of Campania “Luigi Vanvitelli”, Via Roma 29, 81031, Aversa, Italy</w:t>
      </w:r>
    </w:p>
    <w:p w14:paraId="57D364BA" w14:textId="77777777" w:rsidR="00541FF7" w:rsidRPr="00541FF7" w:rsidRDefault="00541FF7" w:rsidP="00541FF7">
      <w:pPr>
        <w:pStyle w:val="CETAddress"/>
        <w:rPr>
          <w:lang w:val="it-IT"/>
        </w:rPr>
      </w:pPr>
      <w:r w:rsidRPr="00541FF7">
        <w:rPr>
          <w:vertAlign w:val="superscript"/>
          <w:lang w:val="it-IT"/>
        </w:rPr>
        <w:t>2</w:t>
      </w:r>
      <w:r w:rsidRPr="00541FF7">
        <w:rPr>
          <w:lang w:val="it-IT"/>
        </w:rPr>
        <w:t>Progest S.r.l., Zona ASI Aversa-Nord, Via della Stazione s.n.c., CE, Gricignano d'Aversa, 81030, Italy</w:t>
      </w:r>
    </w:p>
    <w:p w14:paraId="63CC0AC9" w14:textId="77777777" w:rsidR="00541FF7" w:rsidRPr="00541FF7" w:rsidRDefault="00541FF7" w:rsidP="00541FF7">
      <w:pPr>
        <w:pStyle w:val="CETAddress"/>
        <w:rPr>
          <w:lang w:val="it-IT"/>
        </w:rPr>
      </w:pPr>
      <w:r w:rsidRPr="00541FF7">
        <w:rPr>
          <w:vertAlign w:val="superscript"/>
          <w:lang w:val="it-IT"/>
        </w:rPr>
        <w:t>3</w:t>
      </w:r>
      <w:r w:rsidRPr="00541FF7">
        <w:rPr>
          <w:lang w:val="it-IT"/>
        </w:rPr>
        <w:t xml:space="preserve">Centro Diagnostico Baronia S.r.l., Località Taverna Annibale SNC, Area PIP, Lotto n°7, AV, Frigento, 83040, Italy </w:t>
      </w:r>
    </w:p>
    <w:p w14:paraId="25C6AB58" w14:textId="45257D27" w:rsidR="00541FF7" w:rsidRPr="00E04DFE" w:rsidRDefault="00541FF7" w:rsidP="00541FF7">
      <w:pPr>
        <w:pStyle w:val="CETAddress"/>
      </w:pPr>
      <w:r w:rsidRPr="00E04DFE">
        <w:rPr>
          <w:vertAlign w:val="superscript"/>
        </w:rPr>
        <w:t>4</w:t>
      </w:r>
      <w:r w:rsidRPr="00E04DFE">
        <w:t>Institute of Sustainable Processes, University of Valladolid, Dr. Mergelina, s/n, 47011, Valladolid, Spain</w:t>
      </w:r>
    </w:p>
    <w:p w14:paraId="65017351" w14:textId="77777777" w:rsidR="00541FF7" w:rsidRDefault="00541FF7" w:rsidP="00541FF7">
      <w:pPr>
        <w:pStyle w:val="CETemail"/>
        <w:rPr>
          <w:lang w:val="en-US"/>
        </w:rPr>
      </w:pPr>
      <w:r>
        <w:rPr>
          <w:lang w:val="en-US"/>
        </w:rPr>
        <w:t>*Corresponding author: carmen.decrescenzo@unicampania.it</w:t>
      </w:r>
    </w:p>
    <w:p w14:paraId="37A61FCE" w14:textId="6D7B9F75" w:rsidR="00DA24C6" w:rsidRPr="00541FF7" w:rsidRDefault="00541FF7" w:rsidP="006852B1">
      <w:pPr>
        <w:pStyle w:val="CETBodytext"/>
      </w:pPr>
      <w:r w:rsidRPr="00541FF7">
        <w:rPr>
          <w:rStyle w:val="CETBodytextCarattere"/>
        </w:rPr>
        <w:t xml:space="preserve">Polyhydroxyalkanoates (PHAs) are biobased and biodegradable polymers that may be </w:t>
      </w:r>
      <w:r w:rsidR="00446AE8">
        <w:rPr>
          <w:rStyle w:val="CETBodytextCarattere"/>
        </w:rPr>
        <w:t xml:space="preserve">considered </w:t>
      </w:r>
      <w:r w:rsidRPr="00541FF7">
        <w:rPr>
          <w:rStyle w:val="CETBodytextCarattere"/>
        </w:rPr>
        <w:t xml:space="preserve">to replace fossil-based materials. However, their widespread deployment is slowed down because of the high production cost and their low quality. </w:t>
      </w:r>
      <w:r w:rsidR="00446AE8">
        <w:rPr>
          <w:rStyle w:val="CETBodytextCarattere"/>
        </w:rPr>
        <w:t>Using methane during the generation of</w:t>
      </w:r>
      <w:r w:rsidRPr="00541FF7">
        <w:rPr>
          <w:rStyle w:val="CETBodytextCarattere"/>
        </w:rPr>
        <w:t xml:space="preserve"> poly(3-hydroxybutyrate-co-3-hydroxyvalerate) (PHB-co-HV) could reduce the production costs, which are usually owed to the carbon source used, and enhance the performance of the material. In fact, the properties of PHB-co-HV make it more suitable than the most common homopolymer, named poly(3-hydroxybutyrate) (PHB), for many applications since it is more flexible, has a wider thermal processing </w:t>
      </w:r>
      <w:r w:rsidR="00446AE8">
        <w:rPr>
          <w:rStyle w:val="CETBodytextCarattere"/>
        </w:rPr>
        <w:t>range</w:t>
      </w:r>
      <w:r w:rsidRPr="00541FF7">
        <w:rPr>
          <w:rStyle w:val="CETBodytextCarattere"/>
        </w:rPr>
        <w:t xml:space="preserve">, a lower crystallinity and permeability to water. In this work, the production of </w:t>
      </w:r>
      <w:r w:rsidR="00750910">
        <w:rPr>
          <w:rStyle w:val="CETBodytextCarattere"/>
        </w:rPr>
        <w:t>P</w:t>
      </w:r>
      <w:r w:rsidRPr="00541FF7">
        <w:rPr>
          <w:rStyle w:val="CETBodytextCarattere"/>
        </w:rPr>
        <w:t xml:space="preserve">oly(3-hydroxybutyrate-co-3-hydroxyvalerate) was simulated using an innovative process scheme consisting of two bioreactors working in series equipped with a gas recycling unit, which was designed to increase the methane mass transfer from the gas to the liquid. During the first step, </w:t>
      </w:r>
      <w:r w:rsidR="00787D7F">
        <w:rPr>
          <w:rStyle w:val="CETBodytextCarattere"/>
        </w:rPr>
        <w:t xml:space="preserve">a </w:t>
      </w:r>
      <w:r w:rsidRPr="00541FF7">
        <w:rPr>
          <w:rStyle w:val="CETBodytextCarattere"/>
          <w:i/>
          <w:iCs/>
        </w:rPr>
        <w:t xml:space="preserve">Methylocystis </w:t>
      </w:r>
      <w:r w:rsidR="00787D7F" w:rsidRPr="00787D7F">
        <w:rPr>
          <w:rStyle w:val="CETBodytextCarattere"/>
        </w:rPr>
        <w:t>dominated culture</w:t>
      </w:r>
      <w:r w:rsidRPr="00541FF7">
        <w:rPr>
          <w:rStyle w:val="CETBodytextCarattere"/>
        </w:rPr>
        <w:t xml:space="preserve"> was grown on ammonia and methane to reach a high cell concentration; then, the cells were moved to the second bioreactor and subjected to nutrients starvation to favo</w:t>
      </w:r>
      <w:r w:rsidR="00803649">
        <w:rPr>
          <w:rStyle w:val="CETBodytextCarattere"/>
        </w:rPr>
        <w:t>u</w:t>
      </w:r>
      <w:r w:rsidRPr="00541FF7">
        <w:rPr>
          <w:rStyle w:val="CETBodytextCarattere"/>
        </w:rPr>
        <w:t>r the metabolic pathway addressed to the accumulation of PHB-co-HV. The effect of the variation of valeric acid concentration (100-400 ppm), which was used as co-substrate, on the fraction of PHB-co-HV stored in the cells and the percentage of 3-hydroxyvalerate (3-HV) was investigated</w:t>
      </w:r>
      <w:r w:rsidR="00795B7F">
        <w:rPr>
          <w:rStyle w:val="CETBodytextCarattere"/>
        </w:rPr>
        <w:t>: results showed that the highest the valeric acid concentration, the lower the total polymer content and the higher the HV fraction accumulated.</w:t>
      </w:r>
    </w:p>
    <w:p w14:paraId="21B9A280" w14:textId="44890DEB" w:rsidR="007D0951" w:rsidRDefault="00600535" w:rsidP="009C6642">
      <w:pPr>
        <w:pStyle w:val="CETHeading1"/>
        <w:rPr>
          <w:lang w:val="en-GB"/>
        </w:rPr>
      </w:pPr>
      <w:r w:rsidRPr="00B57B36">
        <w:rPr>
          <w:lang w:val="en-GB"/>
        </w:rPr>
        <w:t>Introduction</w:t>
      </w:r>
    </w:p>
    <w:p w14:paraId="312CB5AA" w14:textId="4CE5367F" w:rsidR="00620DF2" w:rsidRPr="00C422CC" w:rsidRDefault="00D372BB" w:rsidP="00C422CC">
      <w:pPr>
        <w:pStyle w:val="CETBodytext"/>
      </w:pPr>
      <w:r>
        <w:rPr>
          <w:lang w:val="en-GB"/>
        </w:rPr>
        <w:t>B</w:t>
      </w:r>
      <w:r w:rsidR="00620DF2" w:rsidRPr="00C422CC">
        <w:t>io-based and biodegradable plastics</w:t>
      </w:r>
      <w:r w:rsidR="00567BBF" w:rsidRPr="00C422CC">
        <w:t xml:space="preserve"> such as </w:t>
      </w:r>
      <w:r w:rsidR="00803649">
        <w:t>p</w:t>
      </w:r>
      <w:r w:rsidR="00567BBF" w:rsidRPr="00C422CC">
        <w:t>olyhydroxyalkanoates (PHAs)</w:t>
      </w:r>
      <w:r w:rsidR="00620DF2" w:rsidRPr="00C422CC">
        <w:t xml:space="preserve"> show several advantages over conventional petroleum-based materials</w:t>
      </w:r>
      <w:r w:rsidR="00567BBF" w:rsidRPr="00C422CC">
        <w:t>,</w:t>
      </w:r>
      <w:r>
        <w:t xml:space="preserve"> but</w:t>
      </w:r>
      <w:r w:rsidR="00620DF2" w:rsidRPr="00C422CC">
        <w:t xml:space="preserve"> their industrial diffusion is limited by their high production costs due to</w:t>
      </w:r>
      <w:r w:rsidR="00567BBF" w:rsidRPr="00C422CC">
        <w:t xml:space="preserve"> </w:t>
      </w:r>
      <w:r w:rsidR="00620DF2" w:rsidRPr="00C422CC">
        <w:t>the carbon</w:t>
      </w:r>
      <w:r w:rsidR="00446AE8">
        <w:t>aceous</w:t>
      </w:r>
      <w:r w:rsidR="00620DF2" w:rsidRPr="00C422CC">
        <w:t xml:space="preserve"> s</w:t>
      </w:r>
      <w:r w:rsidR="00446AE8">
        <w:t>ubstrate</w:t>
      </w:r>
      <w:r w:rsidR="00620DF2" w:rsidRPr="00C422CC">
        <w:t>, fermentation</w:t>
      </w:r>
      <w:r w:rsidR="00446AE8">
        <w:t xml:space="preserve"> procedures</w:t>
      </w:r>
      <w:r w:rsidR="00620DF2" w:rsidRPr="00C422CC">
        <w:t xml:space="preserve">, yields on the selected substrate and </w:t>
      </w:r>
      <w:r w:rsidR="00446AE8">
        <w:t>extraction/purification process</w:t>
      </w:r>
      <w:r w:rsidR="00EE5E95">
        <w:t xml:space="preserve"> </w:t>
      </w:r>
      <w:r w:rsidR="00B6611A">
        <w:fldChar w:fldCharType="begin" w:fldLock="1"/>
      </w:r>
      <w:r w:rsidR="00C9548F">
        <w:instrText>ADDIN CSL_CITATION {"citationItems":[{"id":"ITEM-1","itemData":{"DOI":"10.3303/CET2292045","ISBN":"9788895608907","ISSN":"22839216","abstract":"Polyhydroxybutyrate (PHB) is a possible sustainable alternative to fossil-based plastic, today the cause of one of the primary forms of pollution in the world, since it is biodegradable, recyclable and compostable. Furthermore, PHB can be accumulated in several bacterial strains as a product of their metabolic activity. Solvent extraction (SE) is the most used technique, thanks to the high recovery yields and purity, to extract PHB from bacteria. In particular, a two-step SE is required: the accumulated PHB in the bacterial biomass is firstly dissolved in a solvent to obtain a mixture rich in PHB; then, an anti-solvent is added to reduce the total solubility allowing the biopolymer to precipitate and to be recovered from the residual biomass. However, despite its wide application, the SE technique is characterised by several limitations, such as the high cost and the use of halogenated solvents (i.e. chloroform). In this work, a non-halogenated based extraction process for PHB recovery from wet bacterial biomass is proposed. Simulations were carried out using butyl acetate (BA) as solvent and hexane (HEX) as anti-solvent. The process scheme also includes a distillation column and a cooling system (when necessary) to recover both the solvent and the anti-solvent. The effects of the PHB solubility during the precipitation step and the solvent recovery on process performance were investigated. The recovery yield was higher than 90% and increased as the solubility decreased. The simulation results highlighted that the proposed strategy is an effective and sustainable alternative to conventional processes for PHB recovery.","author":[{"dropping-particle":"","family":"Abate","given":"Teresa","non-dropping-particle":"","parse-names":false,"suffix":""},{"dropping-particle":"","family":"Amabile","given":"Claudia","non-dropping-particle":"","parse-names":false,"suffix":""},{"dropping-particle":"","family":"Crescenzo","given":"Carmen","non-dropping-particle":"De","parse-names":false,"suffix":""},{"dropping-particle":"","family":"Sabbarese","given":"Simona","non-dropping-particle":"","parse-names":false,"suffix":""},{"dropping-particle":"","family":"Capece","given":"Giuseppe","non-dropping-particle":"","parse-names":false,"suffix":""},{"dropping-particle":"","family":"Ciampa","given":"Renato","non-dropping-particle":"","parse-names":false,"suffix":""},{"dropping-particle":"","family":"Chianese","given":"Simeone","non-dropping-particle":"","parse-names":false,"suffix":""},{"dropping-particle":"","family":"Musmarra","given":"Dino","non-dropping-particle":"","parse-names":false,"suffix":""}],"container-title":"Chemical Engineering Transactions","id":"ITEM-1","issue":"April","issued":{"date-parts":[["2022"]]},"page":"265-270","title":"Alternative Polyhydroxybutyrate Solvent Extraction: a Process Simulation Study","type":"article-journal","volume":"92"},"uris":["http://www.mendeley.com/documents/?uuid=6519cf7d-69f1-44c3-882d-24d69c5da76f"]}],"mendeley":{"formattedCitation":"(Abate et al., 2022)","plainTextFormattedCitation":"(Abate et al., 2022)","previouslyFormattedCitation":"(Abate et al., 2022)"},"properties":{"noteIndex":0},"schema":"https://github.com/citation-style-language/schema/raw/master/csl-citation.json"}</w:instrText>
      </w:r>
      <w:r w:rsidR="00B6611A">
        <w:fldChar w:fldCharType="separate"/>
      </w:r>
      <w:r w:rsidR="00B6611A" w:rsidRPr="00B6611A">
        <w:rPr>
          <w:noProof/>
        </w:rPr>
        <w:t>(Abate et al., 2022)</w:t>
      </w:r>
      <w:r w:rsidR="00B6611A">
        <w:fldChar w:fldCharType="end"/>
      </w:r>
      <w:r w:rsidR="00620DF2" w:rsidRPr="00C422CC">
        <w:t xml:space="preserve">. </w:t>
      </w:r>
      <w:r>
        <w:t>It was reported that i</w:t>
      </w:r>
      <w:r w:rsidR="00620DF2" w:rsidRPr="00C422CC">
        <w:t xml:space="preserve">n 2004 the price of commercial </w:t>
      </w:r>
      <w:r w:rsidR="00803649">
        <w:t>p</w:t>
      </w:r>
      <w:r w:rsidR="00620DF2" w:rsidRPr="00C422CC">
        <w:t>olyhydroxyalkanoates was 15-17 times higher than th</w:t>
      </w:r>
      <w:r>
        <w:t>at of</w:t>
      </w:r>
      <w:r w:rsidR="00620DF2" w:rsidRPr="00C422CC">
        <w:t xml:space="preserve"> conventional </w:t>
      </w:r>
      <w:r w:rsidR="00446AE8">
        <w:t>plastics</w:t>
      </w:r>
      <w:r w:rsidR="00AF42E3">
        <w:t xml:space="preserve">, </w:t>
      </w:r>
      <w:r w:rsidR="00620DF2" w:rsidRPr="00C422CC">
        <w:t xml:space="preserve">thus resulting in no-marketable. </w:t>
      </w:r>
      <w:r>
        <w:t xml:space="preserve">Many efforts have been </w:t>
      </w:r>
      <w:r w:rsidR="00803649">
        <w:t xml:space="preserve">made </w:t>
      </w:r>
      <w:r>
        <w:t>t</w:t>
      </w:r>
      <w:r w:rsidR="00620DF2" w:rsidRPr="00C422CC">
        <w:t xml:space="preserve">o </w:t>
      </w:r>
      <w:r w:rsidR="006C1AC6">
        <w:t>meet</w:t>
      </w:r>
      <w:r w:rsidR="00620DF2" w:rsidRPr="00C422CC">
        <w:t xml:space="preserve"> the economic feasibility</w:t>
      </w:r>
      <w:r>
        <w:t xml:space="preserve">, and several studies today address </w:t>
      </w:r>
      <w:r w:rsidR="006C1AC6">
        <w:t>the achievement of</w:t>
      </w:r>
      <w:r w:rsidR="00620DF2" w:rsidRPr="00C422CC">
        <w:t xml:space="preserve"> high levels of PHAs as a percentage of </w:t>
      </w:r>
      <w:r w:rsidR="00803649">
        <w:t>dry cell</w:t>
      </w:r>
      <w:r w:rsidR="00620DF2" w:rsidRPr="00C422CC">
        <w:t xml:space="preserve"> weight, improved fermentation conditions, low-cost recovery methods, low-cost substrates</w:t>
      </w:r>
      <w:r w:rsidR="00567BBF" w:rsidRPr="00C422CC">
        <w:t xml:space="preserve">, </w:t>
      </w:r>
      <w:r w:rsidR="00620DF2" w:rsidRPr="00C422CC">
        <w:t xml:space="preserve">high productivity in terms of grams of product per unit volume </w:t>
      </w:r>
      <w:r w:rsidR="00567BBF" w:rsidRPr="00C422CC">
        <w:t xml:space="preserve">and the </w:t>
      </w:r>
      <w:r w:rsidR="00750910">
        <w:t>scalability of</w:t>
      </w:r>
      <w:r w:rsidR="00567BBF" w:rsidRPr="00C422CC">
        <w:t xml:space="preserve"> the </w:t>
      </w:r>
      <w:r w:rsidR="00567BBF" w:rsidRPr="007D7C70">
        <w:t>process</w:t>
      </w:r>
      <w:r w:rsidR="00C974F9" w:rsidRPr="007D7C70">
        <w:t xml:space="preserve"> </w:t>
      </w:r>
      <w:r w:rsidR="00C974F9" w:rsidRPr="007D7C70">
        <w:fldChar w:fldCharType="begin" w:fldLock="1"/>
      </w:r>
      <w:r w:rsidR="00C974F9" w:rsidRPr="007D7C70">
        <w:instrText>ADDIN CSL_CITATION {"citationItems":[{"id":"ITEM-1","itemData":{"DOI":"10.1016/S0168-1656(98)00076-5","ISSN":"01681656","abstract":"A novel technique was developed for studying the growth kinetics of microorganisms in continuous culture. The method is based on following small perturbations of a chemostat culture by on-line measurement of the dynamic response in oxygen consumption rates. A mathematical model, incorporating microbial kinetics and mass transfer between gas and liquid phases, was applied to interpret the data. Facilitating the use of very small disturbances, the technique is non-disruptive as well as fast and accurate. The technique was used to study the growth kinetics of two cultures, Methylosinus trichosporium OB3b growing on methane, both in the presence and in the absence of copper, and Burkholderia (Pseudomonas) cepacia G4 growing on phenol. Using headspace flushes, gas blocks and liquid substrate pulse experiments, estimates for limiting substrate concentrations, maximum conversion rates V(max) and half saturation constants K(s) could rapidly be obtained. For M. trichosporium OB3b it was found that it had a far higher affinity for methane when particulate methane monooxygenase (pMMO) was expressed than when the soluble form (sMMO) was expressed under copper limitation. While for B. cepacia G4 the oxygen consumption pattern during a phenol pulse in the chemostat indicated that phenol was transiently converted to an intermediate (4-hydroxy-2-oxovalerate), so that initially less oxygen was used per mole of phenol. Copyright (C) 1998 Elsevier Science B.V.","author":[{"dropping-particle":"","family":"Sipkema","given":"E. M.","non-dropping-particle":"","parse-names":false,"suffix":""},{"dropping-particle":"","family":"Koning","given":"W.","non-dropping-particle":"De","parse-names":false,"suffix":""},{"dropping-particle":"","family":"Ganzeveld","given":"K. J.","non-dropping-particle":"","parse-names":false,"suffix":""},{"dropping-particle":"","family":"Janssen","given":"D. B.","non-dropping-particle":"","parse-names":false,"suffix":""},{"dropping-particle":"","family":"Beenackers","given":"A. A.C.M.","non-dropping-particle":"","parse-names":false,"suffix":""}],"container-title":"Journal of Biotechnology","id":"ITEM-1","issue":"2-3","issued":{"date-parts":[["1998"]]},"page":"159-176","title":"Experimental pulse technique for the study of microbial kinetics in continuous culture","type":"article-journal","volume":"64"},"uris":["http://www.mendeley.com/documents/?uuid=75c32497-7c60-4251-a8b4-b285bbc5a13b"]}],"mendeley":{"formattedCitation":"(Sipkema et al., 1998)","plainTextFormattedCitation":"(Sipkema et al., 1998)","previouslyFormattedCitation":"(Sipkema et al., 1998)"},"properties":{"noteIndex":0},"schema":"https://github.com/citation-style-language/schema/raw/master/csl-citation.json"}</w:instrText>
      </w:r>
      <w:r w:rsidR="00C974F9" w:rsidRPr="007D7C70">
        <w:fldChar w:fldCharType="separate"/>
      </w:r>
      <w:r w:rsidR="00C974F9" w:rsidRPr="007D7C70">
        <w:rPr>
          <w:noProof/>
        </w:rPr>
        <w:t>(Sipkema et al., 1998)</w:t>
      </w:r>
      <w:r w:rsidR="00C974F9" w:rsidRPr="007D7C70">
        <w:fldChar w:fldCharType="end"/>
      </w:r>
      <w:r w:rsidR="00620DF2" w:rsidRPr="007D7C70">
        <w:t>.</w:t>
      </w:r>
      <w:r w:rsidR="00567BBF" w:rsidRPr="00C422CC">
        <w:t xml:space="preserve"> </w:t>
      </w:r>
    </w:p>
    <w:p w14:paraId="27E603E9" w14:textId="2F7ABD00" w:rsidR="00F777C2" w:rsidRPr="00C422CC" w:rsidRDefault="00567BBF" w:rsidP="00C422CC">
      <w:pPr>
        <w:pStyle w:val="CETBodytext"/>
      </w:pPr>
      <w:r w:rsidRPr="00C422CC">
        <w:t xml:space="preserve">One valid approach to reduce the costs is the </w:t>
      </w:r>
      <w:r w:rsidR="003F2751" w:rsidRPr="00C422CC">
        <w:t>production</w:t>
      </w:r>
      <w:r w:rsidR="0053712D">
        <w:t xml:space="preserve"> of PHAs</w:t>
      </w:r>
      <w:r w:rsidR="003F2751" w:rsidRPr="00C422CC">
        <w:t xml:space="preserve"> by mixed microbial cultures (MMC)</w:t>
      </w:r>
      <w:r w:rsidRPr="00C422CC">
        <w:t xml:space="preserve"> </w:t>
      </w:r>
      <w:r w:rsidR="003F2751" w:rsidRPr="00C422CC">
        <w:t xml:space="preserve">since MMC require </w:t>
      </w:r>
      <w:r w:rsidR="00803649">
        <w:t xml:space="preserve">a </w:t>
      </w:r>
      <w:r w:rsidR="003F2751" w:rsidRPr="00C422CC">
        <w:t>lower sterility degree and basic equipment in comparison with monoseptic cultures</w:t>
      </w:r>
      <w:r w:rsidR="00C974F9">
        <w:t xml:space="preserve"> </w:t>
      </w:r>
      <w:r w:rsidR="00C974F9">
        <w:fldChar w:fldCharType="begin" w:fldLock="1"/>
      </w:r>
      <w:r w:rsidR="00C974F9">
        <w:instrText>ADDIN CSL_CITATION {"citationItems":[{"id":"ITEM-1","itemData":{"DOI":"10.1007/s11157-021-09575-z","ISBN":"1115702109575","ISSN":"1572-9826","author":[{"dropping-particle":"","family":"Policastro","given":"Grazia","non-dropping-particle":"","parse-names":false,"suffix":""},{"dropping-particle":"","family":"Panico","given":"Antonio","non-dropping-particle":"","parse-names":false,"suffix":""},{"dropping-particle":"","family":"Fabbricino","given":"Massimiliano","non-dropping-particle":"","parse-names":false,"suffix":""}],"container-title":"Reviews in Environmental Science and Bio/Technology","id":"ITEM-1","issue":"2","issued":{"date-parts":[["2021"]]},"number-of-pages":"479-513","publisher":"Springer Netherlands","title":"Improving biological production of poly ( 3-hydroxybutyrate- co -3-hydroxyvalerate ) ( PHBV ) co-polymer : a critical review","type":"book","volume":"20"},"uris":["http://www.mendeley.com/documents/?uuid=9da64bca-06b2-4fcf-aead-073b1c0fb498"]}],"mendeley":{"formattedCitation":"(Policastro et al., 2021)","plainTextFormattedCitation":"(Policastro et al., 2021)","previouslyFormattedCitation":"(Policastro et al., 2021)"},"properties":{"noteIndex":0},"schema":"https://github.com/citation-style-language/schema/raw/master/csl-citation.json"}</w:instrText>
      </w:r>
      <w:r w:rsidR="00C974F9">
        <w:fldChar w:fldCharType="separate"/>
      </w:r>
      <w:r w:rsidR="00C974F9" w:rsidRPr="00C974F9">
        <w:rPr>
          <w:noProof/>
        </w:rPr>
        <w:t>(Policastro et al., 2021)</w:t>
      </w:r>
      <w:r w:rsidR="00C974F9">
        <w:fldChar w:fldCharType="end"/>
      </w:r>
      <w:r w:rsidR="003F2751" w:rsidRPr="00C422CC">
        <w:t xml:space="preserve">. </w:t>
      </w:r>
      <w:r w:rsidRPr="00C422CC">
        <w:t>Anyway,</w:t>
      </w:r>
      <w:r w:rsidR="003F2751" w:rsidRPr="00C422CC">
        <w:t xml:space="preserve"> PHAs production by MMC has never been implemented at </w:t>
      </w:r>
      <w:r w:rsidR="00002F1C">
        <w:t xml:space="preserve">an </w:t>
      </w:r>
      <w:r w:rsidR="003F2751" w:rsidRPr="00C422CC">
        <w:t xml:space="preserve">industrial scale, where only </w:t>
      </w:r>
      <w:r w:rsidR="003F2751" w:rsidRPr="00C422CC">
        <w:lastRenderedPageBreak/>
        <w:t xml:space="preserve">pure cultures (wild or genetically modified strains) are used </w:t>
      </w:r>
      <w:r w:rsidR="00AF42E3">
        <w:fldChar w:fldCharType="begin" w:fldLock="1"/>
      </w:r>
      <w:r w:rsidR="00AF42E3">
        <w:instrText>ADDIN CSL_CITATION {"citationItems":[{"id":"ITEM-1","itemData":{"DOI":"10.1128/mmbr.63.1.21-53.1999","ISSN":"1092-2172","PMID":"10066830","abstract":"Poly(3-hydroxyalkanoates) (PHAs) are a class of microbially produced polyesters that have potential applications as conventional plastics, specifically thermoplastic elastomers. A wealth of biological diversity in PHA formation exists, with at least 100 different PHA constituents and at least five different dedicated PHA biosynthetic pathways. This diversity, in combination with classical microbial physiology and modern molecular biology, has now opened up this area for genetic and metabolic engineering to develop optimal PHA-producing organisms. Commercial processes for PHA production were initially developed by W. R. Grace in the 1960s and later developed by Imperial Chemical Industries, Ltd., in the United Kingdom in the 1970s and 1980s. Since the early 1990s, Metabolix Inc. and Monsanto have been the driving forces behind the commercial exploitation of PHA polymers in the United States. The gram-negative bacterium Ralstonia eutropha, formerly known as Alcaligenes eutrophus, has generally been used as the production organism of choice, and intracellular accumulation of PHA of over 90% of the cell dry weight have been reported. The advent of molecular biological techniques and a developing environmental awareness initiated a renewed scientific interest in PHAs, and the biosynthetic machinery for PHA metabolism has been studied in great detail over the last two decades. Because the structure and monomeric composition of PHAs determine the applications for each type of polymer, a variety of polymers have been synthesized by cofeeding of various substrates or by metabolic engineering of the production organism. Classical microbiology and modern molecular bacterial physiology have been brought together to decipher the intricacies of PHA metabolism both for production purposes and for the unraveling of the natural role of PHAs. This review provides an overview of the different PHA biosynthetic systems and their genetic background, followed by a detailed summation of how this natural diversity is being used to develop commercially attractive, recombinant processes for the large-scale production of PHAs.","author":[{"dropping-particle":"","family":"Madison","given":"Lara L.","non-dropping-particle":"","parse-names":false,"suffix":""},{"dropping-particle":"","family":"Huisman","given":"Gjalt W.","non-dropping-particle":"","parse-names":false,"suffix":""}],"container-title":"Microbiology and Molecular Biology Reviews","id":"ITEM-1","issue":"1","issued":{"date-parts":[["1999"]]},"page":"21-53","title":"Metabolic Engineering of Poly(3-Hydroxyalkanoates): From DNA to Plastic","type":"article-journal","volume":"63"},"uris":["http://www.mendeley.com/documents/?uuid=9fe05653-959c-40e6-9875-55f0c7fe0398"]}],"mendeley":{"formattedCitation":"(Madison and Huisman, 1999)","plainTextFormattedCitation":"(Madison and Huisman, 1999)","previouslyFormattedCitation":"(Madison and Huisman, 1999)"},"properties":{"noteIndex":0},"schema":"https://github.com/citation-style-language/schema/raw/master/csl-citation.json"}</w:instrText>
      </w:r>
      <w:r w:rsidR="00AF42E3">
        <w:fldChar w:fldCharType="separate"/>
      </w:r>
      <w:r w:rsidR="00AF42E3" w:rsidRPr="00AF42E3">
        <w:rPr>
          <w:noProof/>
        </w:rPr>
        <w:t>(Madison and Huisman, 1999)</w:t>
      </w:r>
      <w:r w:rsidR="00AF42E3">
        <w:fldChar w:fldCharType="end"/>
      </w:r>
      <w:r w:rsidR="00AF42E3">
        <w:t xml:space="preserve">. </w:t>
      </w:r>
      <w:r w:rsidRPr="00C422CC">
        <w:t>Moreover, it has been demonstrated that mixed methanotrophic consortium</w:t>
      </w:r>
      <w:r w:rsidR="00803649">
        <w:t>s</w:t>
      </w:r>
      <w:r w:rsidRPr="00C422CC">
        <w:t xml:space="preserve"> </w:t>
      </w:r>
      <w:r w:rsidR="00803649">
        <w:t>can</w:t>
      </w:r>
      <w:r w:rsidRPr="00C422CC">
        <w:t xml:space="preserve"> use</w:t>
      </w:r>
      <w:r w:rsidR="006C1AC6">
        <w:t xml:space="preserve"> renewable and cheap substrates such as</w:t>
      </w:r>
      <w:r w:rsidRPr="00C422CC">
        <w:t xml:space="preserve"> </w:t>
      </w:r>
      <w:r w:rsidR="006C1AC6">
        <w:t>methane as the sole carbon source to grow and accumulate PHAs</w:t>
      </w:r>
      <w:r w:rsidR="00C534B0">
        <w:t xml:space="preserve"> </w:t>
      </w:r>
      <w:r w:rsidR="00DF56CC">
        <w:fldChar w:fldCharType="begin" w:fldLock="1"/>
      </w:r>
      <w:r w:rsidR="00246395">
        <w:instrText>ADDIN CSL_CITATION {"citationItems":[{"id":"ITEM-1","itemData":{"DOI":"10.1016/j.ese.2020.100029","ISSN":"26664984","abstract":"Methane emissions and plastic pollution are critical global challenges. The biological conversion of methane to poly-β-hydroxybutyrate (PHB) not only mitigates methane emissions but also provides biodegradable polymer substitutes for petroleum-based materials used in plastics production. This work provides an early overview of the methane-based PHB advances and discusses challenges and related strategies. Recent advances of PHB, including PHB biosynthetic pathways, methanotrophs, bioreactors, and the performances of PHB materials are introduced. Major challenges of methane-based PHB production are discussed in detail; these include low efficiency of methanotrophs, low gas-liquid mass transfer efficiency, and poor material properties. To overcome these limitations, various approaches are also explored, such as feast-famine regimes, engineered microorganisms, gas-permeable membrane bioreactors, two-phase partitioning bioreactors, poly-β-hydroxybutyrate-co-hydroxyvalerate synthesis, and molecular weight manipulation.","author":[{"dropping-particle":"","family":"Liu","given":"Lu Yao","non-dropping-particle":"","parse-names":false,"suffix":""},{"dropping-particle":"","family":"Xie","given":"Guo Jun","non-dropping-particle":"","parse-names":false,"suffix":""},{"dropping-particle":"","family":"Xing","given":"De Feng","non-dropping-particle":"","parse-names":false,"suffix":""},{"dropping-particle":"","family":"Liu","given":"Bing Feng","non-dropping-particle":"","parse-names":false,"suffix":""},{"dropping-particle":"","family":"Ding","given":"Jie","non-dropping-particle":"","parse-names":false,"suffix":""},{"dropping-particle":"","family":"Ren","given":"Nan Qi","non-dropping-particle":"","parse-names":false,"suffix":""}],"container-title":"Environmental Science and Ecotechnology","id":"ITEM-1","issued":{"date-parts":[["2020"]]},"title":"Biological conversion of methane to polyhydroxyalkanoates: Current advances, challenges, and perspectives","type":"article-journal","volume":"2"},"uris":["http://www.mendeley.com/documents/?uuid=b087a83d-ab83-44a6-a14e-d10b4fb4472d"]}],"mendeley":{"formattedCitation":"(Liu et al., 2020)","plainTextFormattedCitation":"(Liu et al., 2020)","previouslyFormattedCitation":"(Liu et al., 2020)"},"properties":{"noteIndex":0},"schema":"https://github.com/citation-style-language/schema/raw/master/csl-citation.json"}</w:instrText>
      </w:r>
      <w:r w:rsidR="00DF56CC">
        <w:fldChar w:fldCharType="separate"/>
      </w:r>
      <w:r w:rsidR="00DF56CC" w:rsidRPr="00DF56CC">
        <w:rPr>
          <w:noProof/>
        </w:rPr>
        <w:t>(Liu et al., 2020)</w:t>
      </w:r>
      <w:r w:rsidR="00DF56CC">
        <w:fldChar w:fldCharType="end"/>
      </w:r>
      <w:r w:rsidR="006C1AC6">
        <w:t xml:space="preserve">. Still, the addition of </w:t>
      </w:r>
      <w:r w:rsidRPr="00C422CC">
        <w:t>other substrates, such as volatile fatty acids,</w:t>
      </w:r>
      <w:r w:rsidR="006C1AC6">
        <w:t xml:space="preserve"> could also allow</w:t>
      </w:r>
      <w:r w:rsidRPr="00C422CC">
        <w:t xml:space="preserve"> t</w:t>
      </w:r>
      <w:r w:rsidR="006C1AC6">
        <w:t>he</w:t>
      </w:r>
      <w:r w:rsidRPr="00C422CC">
        <w:t xml:space="preserve"> incorporat</w:t>
      </w:r>
      <w:r w:rsidR="006C1AC6">
        <w:t>ion of</w:t>
      </w:r>
      <w:r w:rsidRPr="00C422CC">
        <w:t xml:space="preserve"> 3-hydroxyvalerate units</w:t>
      </w:r>
      <w:r w:rsidR="00803649">
        <w:t>,</w:t>
      </w:r>
      <w:r w:rsidRPr="00C422CC">
        <w:t xml:space="preserve"> </w:t>
      </w:r>
      <w:r w:rsidR="006C1AC6">
        <w:t>thus</w:t>
      </w:r>
      <w:r w:rsidRPr="00C422CC">
        <w:t xml:space="preserve"> improv</w:t>
      </w:r>
      <w:r w:rsidR="006C1AC6">
        <w:t>ing</w:t>
      </w:r>
      <w:r w:rsidRPr="00C422CC">
        <w:t xml:space="preserve"> the </w:t>
      </w:r>
      <w:r w:rsidR="0053712D">
        <w:t>performa</w:t>
      </w:r>
      <w:r w:rsidR="006C1AC6">
        <w:t>n</w:t>
      </w:r>
      <w:r w:rsidR="0053712D">
        <w:t>ce</w:t>
      </w:r>
      <w:r w:rsidRPr="00C422CC">
        <w:t xml:space="preserve"> of the polymeric structure</w:t>
      </w:r>
      <w:r w:rsidR="00C534B0">
        <w:t xml:space="preserve"> </w:t>
      </w:r>
      <w:r w:rsidR="00C534B0">
        <w:fldChar w:fldCharType="begin" w:fldLock="1"/>
      </w:r>
      <w:r w:rsidR="00DF56CC">
        <w:instrText>ADDIN CSL_CITATION {"citationItems":[{"id":"ITEM-1","itemData":{"DOI":"10.1021/acs.est.8b04142","ISSN":"15205851","PMID":"30339372","abstract":"The fundamental components required for scaling up the production of biogas-based biopolymers can be provided through a single process, that is, anaerobic digestion (AD). In this research, the possibility of enriching methane-utilizing mixed cultures from the AD process was explored as well as their capability to accumulate polyhydroxyalkanoates (PHAs). For almost 70 days of operation in a fed-batch cyclic mode, the specific growth rate was 0.078 ± 0.005 h -1 and the biomass yield was 0.7 ± 0.08 mg-VSS/mg-CH 4 . Adjusting the nitrogen levels in AD centrate resulted in results comparable to those obtained with a synthetic medium. The enriched culture could accumulate up to 51 ± 2% PHB. On the other hand, when the culturing medium was supplemented with valeric acid, the enriched bacteria were able to produce polyhydroxybutyrate-co-valerate (PHBV) up to 52 ± 6% with an HV percentage of 33 ± 5%. Increasing the valeric acid concentration in the culturing medium above 100 mg/L decreased the overall amount of PHBV by 60%, whereas the number of HV units incorporated was not affected. Changing the methane-to-oxygen ratio (M/O) from 1:1 to 4:1 caused an almost 80% decline in PHB accumulation. In addition, M/O had a significant effect on the fraction composition of PHBV at different valeric acid concentrations.","author":[{"dropping-particle":"","family":"Fergala","given":"Ahmed","non-dropping-particle":"","parse-names":false,"suffix":""},{"dropping-particle":"","family":"Alsayed","given":"Ahmed","non-dropping-particle":"","parse-names":false,"suffix":""},{"dropping-particle":"","family":"Khattab","given":"Saif","non-dropping-particle":"","parse-names":false,"suffix":""},{"dropping-particle":"","family":"Ramirez","given":"Megan","non-dropping-particle":"","parse-names":false,"suffix":""},{"dropping-particle":"","family":"Eldyasti","given":"Ahmed","non-dropping-particle":"","parse-names":false,"suffix":""}],"container-title":"Environmental Science and Technology","id":"ITEM-1","issue":"21","issued":{"date-parts":[["2018"]]},"page":"12376-12387","title":"Development of Methane-Utilizing Mixed Cultures for the Production of Polyhydroxyalkanoates (PHAs) from Anaerobic Digester Sludge","type":"article-journal","volume":"52"},"uris":["http://www.mendeley.com/documents/?uuid=1f956296-946d-4b17-9211-ea0e09de70a3"]}],"mendeley":{"formattedCitation":"(Fergala et al., 2018)","plainTextFormattedCitation":"(Fergala et al., 2018)","previouslyFormattedCitation":"(Fergala et al., 2018)"},"properties":{"noteIndex":0},"schema":"https://github.com/citation-style-language/schema/raw/master/csl-citation.json"}</w:instrText>
      </w:r>
      <w:r w:rsidR="00C534B0">
        <w:fldChar w:fldCharType="separate"/>
      </w:r>
      <w:r w:rsidR="00C534B0" w:rsidRPr="00C534B0">
        <w:rPr>
          <w:noProof/>
        </w:rPr>
        <w:t>(Fergala et al., 2018)</w:t>
      </w:r>
      <w:r w:rsidR="00C534B0">
        <w:fldChar w:fldCharType="end"/>
      </w:r>
      <w:r w:rsidRPr="00C422CC">
        <w:t>.</w:t>
      </w:r>
      <w:r w:rsidR="0053712D">
        <w:t xml:space="preserve"> Poly(3-hydroxybutyrate-co-hydroxyvalerate) was reported to have better characteristics </w:t>
      </w:r>
      <w:r w:rsidR="00803649">
        <w:t xml:space="preserve">compared </w:t>
      </w:r>
      <w:r w:rsidR="0053712D">
        <w:t xml:space="preserve">to </w:t>
      </w:r>
      <w:r w:rsidR="00803649">
        <w:t>p</w:t>
      </w:r>
      <w:r w:rsidR="0053712D">
        <w:t xml:space="preserve">oly(3-hydroxybutyrate) </w:t>
      </w:r>
      <w:r w:rsidR="00750910">
        <w:t xml:space="preserve">(PHB) </w:t>
      </w:r>
      <w:r w:rsidR="0053712D">
        <w:t>(Table 1)</w:t>
      </w:r>
      <w:r w:rsidR="00246395">
        <w:t>: PHB-co-HV has a lower melting point, allowing a wider thermal processing window, is more flexible, less permeable to water and less crystalline than PHB</w:t>
      </w:r>
      <w:r w:rsidR="00DE4392">
        <w:t xml:space="preserve"> </w:t>
      </w:r>
      <w:r w:rsidR="00C974F9">
        <w:fldChar w:fldCharType="begin" w:fldLock="1"/>
      </w:r>
      <w:r w:rsidR="00B14D84">
        <w:rPr>
          <w:lang w:val="en-GB"/>
        </w:rPr>
        <w:instrText>ADDIN CSL_CITATION {"citationItems":[{"id":"ITEM-1","itemData":{"DOI":"10.1016/j.procbio.2016.02.005","ISSN":"13595113","abstract":"Obligate methanotrophs capable of producing polyhydroxyalkanoates (PHAs), a sustainable alternative to non-biodegradable petroleum-based plastics, under nutrient-limited conditions are currently limited to synthesis of poly(3-hydroxybutyrate) (P3HB). Diversifying monomers would greatly expand the range of applications. Here we report the first pure culture evidence of methanotrophic synthesis of poly(3-hydroxybutyrate-co-3-hydroxyvalerate) (PHBV). When grown with methane as sole substrate, the Type II obligate methanotroph Methylocystis parvus OBBP produces P3HB, but not PHBV, under nutrient-limiting conditions. We observed synthesis of PHBV when strain OBBP was incubated with C1 substrates (methane, methanol, or formate) and propionate or valerate. PHBV production was confirmed by gas chromatography, gel permeation chromatography, differential scanning calorimetry, and nuclear magnetic resonance with [1-13C]valerate. In the absence of C1-substrate oxidation, neither P3HB nor PHBV was synthesized. The mol% 3-hydroxyvalerate depended upon the amount of propionate or valerate consumed, and ranged from 0 to 40 mol%. Valerate addition resulted in a higher mol% 3-hydroxyvalerate and higher wt% PHA than propionate addition. To assess the generality of this capability among Type II obligate methanotrophs, we added methane and valerate to Methylosinus trichosporium OB3b, with similar results. We hypothesize that oxidation of C1 substrates generates the energy required for activation of co-substrates and incorporation of 3-hydroxyvalerate.","author":[{"dropping-particle":"","family":"Myung","given":"Jaewook","non-dropping-particle":"","parse-names":false,"suffix":""},{"dropping-particle":"","family":"Flanagan","given":"James C.A.","non-dropping-particle":"","parse-names":false,"suffix":""},{"dropping-particle":"","family":"Waymouth","given":"Robert M.","non-dropping-particle":"","parse-names":false,"suffix":""},{"dropping-particle":"","family":"Criddle","given":"Craig S.","non-dropping-particle":"","parse-names":false,"suffix":""}],"container-title":"Process Biochemistry","id":"ITEM-1","issue":"5","issued":{"date-parts":[["2016"]]},"page":"561-567","publisher":"Elsevier Ltd","title":"Methane or methanol-oxidation dependent synthesis of poly(3-hydroxybutyrate-co-3-hydroxyvalerate) by obligate type II methanotrophs","type":"article-journal","volume":"51"},"uris":["http://www.mendeley.com/documents/?uuid=224851cb-5a06-486a-b0f0-e3885515f0f7"]}],"mendeley":{"formattedCitation":"(Myung et al., 2016)","manualFormatting":"(Myung et al., 2016)","plainTextFormattedCitation":"(Myung et al., 2016)","previouslyFormattedCitation":"(Myung et al., 2016)"},"properties":{"noteIndex":0},"schema":"https://github.com/citation-style-language/schema/raw/master/csl-citation.json"}</w:instrText>
      </w:r>
      <w:r w:rsidR="00C974F9">
        <w:fldChar w:fldCharType="separate"/>
      </w:r>
      <w:r w:rsidR="00B14D84">
        <w:rPr>
          <w:noProof/>
          <w:lang w:val="fr-FR"/>
        </w:rPr>
        <w:t>(</w:t>
      </w:r>
      <w:r w:rsidR="00C974F9" w:rsidRPr="00750910">
        <w:rPr>
          <w:noProof/>
          <w:lang w:val="fr-FR"/>
        </w:rPr>
        <w:t>Myung et al., 2016)</w:t>
      </w:r>
      <w:r w:rsidR="00C974F9">
        <w:fldChar w:fldCharType="end"/>
      </w:r>
      <w:r w:rsidR="00246395" w:rsidRPr="00750910">
        <w:rPr>
          <w:lang w:val="fr-FR"/>
        </w:rPr>
        <w:t>.</w:t>
      </w:r>
      <w:r w:rsidR="00223A1E" w:rsidRPr="00750910">
        <w:rPr>
          <w:lang w:val="fr-FR"/>
        </w:rPr>
        <w:t xml:space="preserve"> </w:t>
      </w:r>
      <w:r w:rsidR="00246395" w:rsidRPr="00B6611A">
        <w:rPr>
          <w:lang w:val="fr-FR"/>
        </w:rPr>
        <w:t>Note that m</w:t>
      </w:r>
      <w:r w:rsidR="00DF56CC" w:rsidRPr="00B6611A">
        <w:rPr>
          <w:lang w:val="fr-FR"/>
        </w:rPr>
        <w:t>ost of th</w:t>
      </w:r>
      <w:r w:rsidR="00246395" w:rsidRPr="00B6611A">
        <w:rPr>
          <w:lang w:val="fr-FR"/>
        </w:rPr>
        <w:t>ese</w:t>
      </w:r>
      <w:r w:rsidR="00DF56CC" w:rsidRPr="00B6611A">
        <w:rPr>
          <w:lang w:val="fr-FR"/>
        </w:rPr>
        <w:t xml:space="preserve"> characteristics</w:t>
      </w:r>
      <w:r w:rsidR="00246395" w:rsidRPr="00B6611A">
        <w:rPr>
          <w:lang w:val="fr-FR"/>
        </w:rPr>
        <w:t xml:space="preserve"> were reported with</w:t>
      </w:r>
      <w:r w:rsidR="00750910" w:rsidRPr="00B6611A">
        <w:rPr>
          <w:lang w:val="fr-FR"/>
        </w:rPr>
        <w:t>in</w:t>
      </w:r>
      <w:r w:rsidR="00246395" w:rsidRPr="00B6611A">
        <w:rPr>
          <w:lang w:val="fr-FR"/>
        </w:rPr>
        <w:t xml:space="preserve"> wide ranges since the values</w:t>
      </w:r>
      <w:r w:rsidR="00DF56CC" w:rsidRPr="00B6611A">
        <w:rPr>
          <w:lang w:val="fr-FR"/>
        </w:rPr>
        <w:t xml:space="preserve"> depend on the fraction of 3-HV accumulated into the copolymer, which in turn </w:t>
      </w:r>
      <w:r w:rsidR="00246395" w:rsidRPr="00B6611A">
        <w:rPr>
          <w:lang w:val="fr-FR"/>
        </w:rPr>
        <w:t>is</w:t>
      </w:r>
      <w:r w:rsidR="00DF56CC" w:rsidRPr="00B6611A">
        <w:rPr>
          <w:lang w:val="fr-FR"/>
        </w:rPr>
        <w:t xml:space="preserve"> related to the initial concentration of co</w:t>
      </w:r>
      <w:r w:rsidR="00803649" w:rsidRPr="00B6611A">
        <w:rPr>
          <w:lang w:val="fr-FR"/>
        </w:rPr>
        <w:t>-</w:t>
      </w:r>
      <w:r w:rsidR="00DF56CC" w:rsidRPr="00B6611A">
        <w:rPr>
          <w:lang w:val="fr-FR"/>
        </w:rPr>
        <w:t>substrate</w:t>
      </w:r>
      <w:r w:rsidR="00DE4392" w:rsidRPr="00B6611A">
        <w:rPr>
          <w:lang w:val="fr-FR"/>
        </w:rPr>
        <w:t xml:space="preserve"> </w:t>
      </w:r>
      <w:r w:rsidR="00DE4392">
        <w:fldChar w:fldCharType="begin" w:fldLock="1"/>
      </w:r>
      <w:r w:rsidR="00DE4392" w:rsidRPr="00B6611A">
        <w:rPr>
          <w:lang w:val="fr-FR"/>
        </w:rPr>
        <w:instrText>ADDIN CSL_CITATION {"citationItems":[{"id":"ITEM-1","itemData":{"DOI":"10.1016/j.polymertesting.2011.02.001","ISSN":"01429418","abstract":"Polyhydroxyalkanotes (PHAs) are biobased and biodegradable polymers, of which poly(hydroxybutyrate-co-hydroxyvalerate) (PHBV, 3 %mol HV) and poly-3-hydroxybutyrate-co-4-hydroxybutyrate [P(3HB,4HB), 10 %mol 4HB] are currently commercialized. To understand the influence of chemical structure on the biodegradability of PHA, the biodegradation behavior of poly(hydroxybut</w:instrText>
      </w:r>
      <w:r w:rsidR="00DE4392" w:rsidRPr="00C9548F">
        <w:rPr>
          <w:lang w:val="en-GB"/>
        </w:rPr>
        <w:instrText>yrate) (PHB), PHBV (40 %mol HV), PHBV (20 %mol HV), PHBV (3 %mol HV) and P(3HB,4HB) (10 %mol 4HB) were investigated under the controlled composting conditions according to ISO 14855-1. It was found that PHAs with different chemical structures can be biodegraded under the controlled composting conditions. The order of biodegradability was P(3HB, 4HB) (40 %mol 4HB) ≈ PHBV(40 %mol HV) &gt;PHBV(20 %mol HV) &gt;PHBV(3 %mol HV) &gt;PHB. © 2011 Elsevier Ltd. All rights reserved.","author":[{"dropping-particle":"","family":"Weng","given":"Yun Xuan","non-dropping-particle":"","parse-names":false,"suffix":""},{"dropping-particle":"","family":"Wang","given":"Xiu Li","non-dropping-particle":"","parse-names":false,"suffix":""},{"dropping-particle":"","family":"Wang","given":"Yu Z</w:instrText>
      </w:r>
      <w:r w:rsidR="00DE4392">
        <w:instrText>hong","non-dropping-particle":"","parse-names":false,"suffix":""}],"container-title":"Polymer Testing","id":"ITEM-1","issue":"4","issued":{"date-parts":[["2011"]]},"page":"372-380","publisher":"Elsevier Ltd","title":"Biodegradation behavior of PHAs with different chemical structures under controlled composting conditions","type":"article-journal","volume":"30"},"uris":["http://www.mendeley.com/documents/?uuid=b3b6fc2c-e2fb-4ed7-b4dc-f420bb74e755"]}],"mendeley":{"formattedCitation":"(Weng et al., 2011)","plainTextFormattedCitation":"(Weng et al., 2011)","previouslyFormattedCitation":"(Weng et al., 2011)"},"properties":{"noteIndex":0},"schema":"https://github.com/citation-style-language/schema/raw/master/csl-citation.json"}</w:instrText>
      </w:r>
      <w:r w:rsidR="00DE4392">
        <w:fldChar w:fldCharType="separate"/>
      </w:r>
      <w:r w:rsidR="00DE4392" w:rsidRPr="00DE4392">
        <w:rPr>
          <w:noProof/>
        </w:rPr>
        <w:t>(Weng et al., 2011)</w:t>
      </w:r>
      <w:r w:rsidR="00DE4392">
        <w:fldChar w:fldCharType="end"/>
      </w:r>
      <w:r w:rsidR="00DF56CC">
        <w:t xml:space="preserve">. </w:t>
      </w:r>
      <w:r w:rsidR="001012FA">
        <w:t>Also</w:t>
      </w:r>
      <w:r w:rsidR="007D127F">
        <w:t>,</w:t>
      </w:r>
      <w:r w:rsidR="001012FA">
        <w:t xml:space="preserve"> the biodegradability is affected by the amount of 3-HV accumulated since this amorphous fraction increases the </w:t>
      </w:r>
      <w:r w:rsidR="00750910">
        <w:t>degradation</w:t>
      </w:r>
      <w:r w:rsidR="001012FA">
        <w:t xml:space="preserve"> rates of the polymer </w:t>
      </w:r>
      <w:r w:rsidR="001012FA">
        <w:fldChar w:fldCharType="begin" w:fldLock="1"/>
      </w:r>
      <w:r w:rsidR="00DE4392">
        <w:instrText>ADDIN CSL_CITATION {"citationItems":[{"id":"ITEM-1","itemData":{"DOI":"10.3390/eng2010005","abstract":"Methods to treat kinetic data for the biodegradation of different plastic materials are comparatively discussed. Different samples of commercial formulates were tested for aerobic biodegradation in compost, following the standard ISO14855. Starting from the raw data, the conversion vs. time entries were elaborated using relatively simple kinetic models, such as integrated kinetic equations of zero, first and second order, through the Wilkinson model, or using a Michaelis Menten approach, which was previously reported in the literature. The results were validated against the experimental data and allowed for computation of the time for half degradation of the substrate and, by extrapolation, estimation of the final biodegradation time for all the materials tested. In particular, the Michaelis Menten approach fails in describing all the reported kinetics as well the zeroth- and second-order kinetics. The biodegradation pattern of one sample was described in detail through a simple first-order kinetics. By contrast, other substrates followed a more complex pathway, with rapid partial degradation, subsequently slowing. Therefore, a more conservative kinetic interpolation was needed. The different possible patterns are discussed, with a guide to the application of the most suitable kinetic model.","author":[{"dropping-particle":"","family":"Rossetti","given":"Ilenia","non-dropping-particle":"","parse-names":false,"suffix":""},{"dropping-particle":"","family":"Conte","given":"Francesco","non-dropping-particle":"","parse-names":false,"suffix":""},{"dropping-particle":"","family":"Ramis","given":"Gianguido","non-dropping-particle":"","parse-names":false,"suffix":""}],"container-title":"Eng","id":"ITEM-1","issue":"1","issued":{"date-parts":[["2021"]]},"page":"54-68","title":"Kinetic Modelling of Biodegradability Data of Commercial Polymers Obtained under Aerobic Composting Conditions","type":"article-journal","volume":"2"},"uris":["http://www.mendeley.com/documents/?uuid=87b8e92b-fba9-4d84-9eeb-084289af7d4b"]}],"mendeley":{"formattedCitation":"(Rossetti et al., 2021)","plainTextFormattedCitation":"(Rossetti et al., 2021)","previouslyFormattedCitation":"(Rossetti et al., 2021)"},"properties":{"noteIndex":0},"schema":"https://github.com/citation-style-language/schema/raw/master/csl-citation.json"}</w:instrText>
      </w:r>
      <w:r w:rsidR="001012FA">
        <w:fldChar w:fldCharType="separate"/>
      </w:r>
      <w:r w:rsidR="001012FA" w:rsidRPr="001012FA">
        <w:rPr>
          <w:noProof/>
        </w:rPr>
        <w:t>(Rossetti et al., 2021)</w:t>
      </w:r>
      <w:r w:rsidR="001012FA">
        <w:fldChar w:fldCharType="end"/>
      </w:r>
      <w:r w:rsidR="00DE4392">
        <w:t>.</w:t>
      </w:r>
      <w:r w:rsidR="00795B7F">
        <w:t xml:space="preserve"> In this work, the production of the enhanced PHB-co-HV was simulated using valeric acid as substrate, which could be derived from the anaerobic digestion of the organic waste, thus giving </w:t>
      </w:r>
      <w:r w:rsidR="00E35F1E">
        <w:t xml:space="preserve">a </w:t>
      </w:r>
      <w:r w:rsidR="00795B7F">
        <w:t>chance for an integrated biorefinery.</w:t>
      </w:r>
    </w:p>
    <w:p w14:paraId="234CA674" w14:textId="6A0901B4" w:rsidR="00F777C2" w:rsidRPr="00DF56CC" w:rsidRDefault="00F777C2" w:rsidP="00F777C2">
      <w:pPr>
        <w:pStyle w:val="CETTabletitle"/>
      </w:pPr>
      <w:r w:rsidRPr="00AF42E3">
        <w:t xml:space="preserve">Table 1: Comparison of PHB, PHB-co-HV and PP properties </w:t>
      </w:r>
      <w:r w:rsidR="00246395">
        <w:t>(adapted fr</w:t>
      </w:r>
      <w:r w:rsidR="00246395" w:rsidRPr="00246395">
        <w:rPr>
          <w:i w:val="0"/>
          <w:iCs/>
        </w:rPr>
        <w:t xml:space="preserve">om </w:t>
      </w:r>
      <w:r w:rsidR="00246395" w:rsidRPr="00246395">
        <w:rPr>
          <w:i w:val="0"/>
          <w:iCs/>
        </w:rPr>
        <w:fldChar w:fldCharType="begin" w:fldLock="1"/>
      </w:r>
      <w:r w:rsidR="001012FA">
        <w:rPr>
          <w:i w:val="0"/>
          <w:iCs/>
        </w:rPr>
        <w:instrText>ADDIN CSL_CITATION {"citationItems":[{"id":"ITEM-1","itemData":{"ISSN":"13309862","abstract":"The industrial implementation of cost- and eco-efficient production of bio-based polymeric materials such as polyhydroxyalkanoates (PHAs) or polylactic acid (PLA) requires the comprehension of all process steps. The article at hand provides an insight into recent advances in allocation, pretreatment and utilization of raw materials available for biopolymer production in different areas of the world. Further, the high potential and risks of applying continuous process conduction in comparison with batch and fed-batch fermentation mode are elucidated. It is shown that the process design for continuous PHA production strongly depends on the kinetic characteristics for growth and product formation of the applied production strain. In addition, the triggering of the biopolymer properties by fine-tuning of the polyester composition during biosynthesis is demonstrated. Here, the impact of certain process parameters like the partial oxygen tension on the intracellular metabolic fluxes and the supplementation of cosubstrates on the polyester composition are discussed. In addition, such specialists among microbes are presented that possess the metabolic prerequisites to accumulate high-quality copolyesters merely from cheap unrelated carbon sources without the necessity for supplying expensive cosubstrates. In the field of downstream processing, sustainable methods for product isolation during biopolymer production that do not have a negative influence on the environment are presented.","author":[{"dropping-particle":"","family":"Koller","given":"Martin","non-dropping-particle":"","parse-names":false,"suffix":""},{"dropping-particle":"","family":"Salerno","given":"Anna","non-dropping-particle":"","parse-names":false,"suffix":""},{"dropping-particle":"","family":"Dias","given":"Miguel","non-dropping-particle":"","parse-names":false,"suffix":""},{"dropping-particle":"","family":"Reiterer","given":"Angelika","non-dropping-particle":"","parse-names":false,"suffix":""},{"dropping-particle":"","family":"Braunegg","given":"Gerhart","non-dropping-particle":"","parse-names":false,"suffix":""}],"container-title":"Food Technology and Biotechnology","id":"ITEM-1","issue":"3","issued":{"date-parts":[["2010"]]},"page":"255-269","title":"Modern biotechnological polymer synthesis: A review","type":"article-journal","volume":"48"},"uris":["http://www.mendeley.com/documents/?uuid=de9e7fa6-e36a-4ace-bfb8-1d18e810de8d"]}],"mendeley":{"formattedCitation":"(Koller et al., 2010)","manualFormatting":"Koller et al., 2010)","plainTextFormattedCitation":"(Koller et al., 2010)","previouslyFormattedCitation":"(Koller et al., 2010)"},"properties":{"noteIndex":0},"schema":"https://github.com/citation-style-language/schema/raw/master/csl-citation.json"}</w:instrText>
      </w:r>
      <w:r w:rsidR="00246395" w:rsidRPr="00246395">
        <w:rPr>
          <w:i w:val="0"/>
          <w:iCs/>
        </w:rPr>
        <w:fldChar w:fldCharType="separate"/>
      </w:r>
      <w:r w:rsidR="00246395" w:rsidRPr="00246395">
        <w:rPr>
          <w:i w:val="0"/>
          <w:iCs/>
          <w:noProof/>
        </w:rPr>
        <w:t>Koller et al., 2010)</w:t>
      </w:r>
      <w:r w:rsidR="00246395" w:rsidRPr="00246395">
        <w:rPr>
          <w:i w:val="0"/>
          <w:iCs/>
        </w:rPr>
        <w:fldChar w:fldCharType="end"/>
      </w:r>
    </w:p>
    <w:tbl>
      <w:tblPr>
        <w:tblW w:w="73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1276"/>
        <w:gridCol w:w="1842"/>
        <w:gridCol w:w="1134"/>
      </w:tblGrid>
      <w:tr w:rsidR="00F777C2" w:rsidRPr="00B57B36" w14:paraId="17FAB995" w14:textId="77777777" w:rsidTr="00F777C2">
        <w:trPr>
          <w:trHeight w:val="362"/>
        </w:trPr>
        <w:tc>
          <w:tcPr>
            <w:tcW w:w="3119" w:type="dxa"/>
            <w:tcBorders>
              <w:top w:val="single" w:sz="12" w:space="0" w:color="008000"/>
              <w:bottom w:val="single" w:sz="6" w:space="0" w:color="008000"/>
            </w:tcBorders>
            <w:shd w:val="clear" w:color="auto" w:fill="FFFFFF"/>
            <w:vAlign w:val="bottom"/>
          </w:tcPr>
          <w:p w14:paraId="0CBEE69F" w14:textId="35C76866" w:rsidR="00F777C2" w:rsidRPr="00B57B36" w:rsidRDefault="00F777C2" w:rsidP="00F777C2">
            <w:pPr>
              <w:pStyle w:val="CETBodytext"/>
              <w:jc w:val="left"/>
              <w:rPr>
                <w:lang w:val="en-GB"/>
              </w:rPr>
            </w:pPr>
            <w:r w:rsidRPr="003A2C0B">
              <w:rPr>
                <w:b/>
              </w:rPr>
              <w:t>Property</w:t>
            </w:r>
          </w:p>
        </w:tc>
        <w:tc>
          <w:tcPr>
            <w:tcW w:w="1276" w:type="dxa"/>
            <w:tcBorders>
              <w:top w:val="single" w:sz="12" w:space="0" w:color="008000"/>
              <w:bottom w:val="single" w:sz="6" w:space="0" w:color="008000"/>
            </w:tcBorders>
            <w:shd w:val="clear" w:color="auto" w:fill="FFFFFF"/>
            <w:vAlign w:val="bottom"/>
          </w:tcPr>
          <w:p w14:paraId="12A21970" w14:textId="3DFCD504" w:rsidR="00F777C2" w:rsidRPr="00B57B36" w:rsidRDefault="00F777C2" w:rsidP="00F777C2">
            <w:pPr>
              <w:pStyle w:val="CETBodytext"/>
              <w:jc w:val="left"/>
              <w:rPr>
                <w:lang w:val="en-GB"/>
              </w:rPr>
            </w:pPr>
            <w:r w:rsidRPr="003A2C0B">
              <w:rPr>
                <w:b/>
              </w:rPr>
              <w:t>PHB</w:t>
            </w:r>
          </w:p>
        </w:tc>
        <w:tc>
          <w:tcPr>
            <w:tcW w:w="1842" w:type="dxa"/>
            <w:tcBorders>
              <w:top w:val="single" w:sz="12" w:space="0" w:color="008000"/>
              <w:bottom w:val="single" w:sz="6" w:space="0" w:color="008000"/>
            </w:tcBorders>
            <w:shd w:val="clear" w:color="auto" w:fill="FFFFFF"/>
            <w:vAlign w:val="bottom"/>
          </w:tcPr>
          <w:p w14:paraId="6FB68F96" w14:textId="2784CAA1" w:rsidR="00F777C2" w:rsidRPr="00B57B36" w:rsidRDefault="00F777C2" w:rsidP="00F777C2">
            <w:pPr>
              <w:pStyle w:val="CETBodytext"/>
              <w:jc w:val="left"/>
              <w:rPr>
                <w:lang w:val="en-GB"/>
              </w:rPr>
            </w:pPr>
            <w:r w:rsidRPr="003A2C0B">
              <w:rPr>
                <w:b/>
              </w:rPr>
              <w:t>Poly(3HB-co-HV)</w:t>
            </w:r>
          </w:p>
        </w:tc>
        <w:tc>
          <w:tcPr>
            <w:tcW w:w="1134" w:type="dxa"/>
            <w:tcBorders>
              <w:top w:val="single" w:sz="12" w:space="0" w:color="008000"/>
              <w:bottom w:val="single" w:sz="6" w:space="0" w:color="008000"/>
            </w:tcBorders>
            <w:shd w:val="clear" w:color="auto" w:fill="FFFFFF"/>
            <w:vAlign w:val="bottom"/>
          </w:tcPr>
          <w:p w14:paraId="49AF6CA5" w14:textId="2C5E439A" w:rsidR="00F777C2" w:rsidRPr="00B57B36" w:rsidRDefault="00F777C2" w:rsidP="00F777C2">
            <w:pPr>
              <w:pStyle w:val="CETBodytext"/>
              <w:jc w:val="left"/>
              <w:rPr>
                <w:lang w:val="en-GB"/>
              </w:rPr>
            </w:pPr>
            <w:r w:rsidRPr="003A2C0B">
              <w:rPr>
                <w:b/>
              </w:rPr>
              <w:t>PP</w:t>
            </w:r>
          </w:p>
        </w:tc>
      </w:tr>
      <w:tr w:rsidR="00F777C2" w:rsidRPr="00B57B36" w14:paraId="7933E852" w14:textId="77777777" w:rsidTr="00F777C2">
        <w:tc>
          <w:tcPr>
            <w:tcW w:w="3119" w:type="dxa"/>
            <w:shd w:val="clear" w:color="auto" w:fill="FFFFFF"/>
            <w:vAlign w:val="center"/>
          </w:tcPr>
          <w:p w14:paraId="7E852D08" w14:textId="37543EDE" w:rsidR="00F777C2" w:rsidRPr="00B57B36" w:rsidRDefault="00F777C2" w:rsidP="00F777C2">
            <w:pPr>
              <w:pStyle w:val="CETBodytext"/>
              <w:jc w:val="left"/>
              <w:rPr>
                <w:lang w:val="en-GB"/>
              </w:rPr>
            </w:pPr>
            <w:r w:rsidRPr="00BA695D">
              <w:t>M [10</w:t>
            </w:r>
            <w:r w:rsidRPr="00BA695D">
              <w:rPr>
                <w:vertAlign w:val="superscript"/>
              </w:rPr>
              <w:t>5</w:t>
            </w:r>
            <w:r w:rsidRPr="00BA695D">
              <w:t xml:space="preserve"> g/mol]</w:t>
            </w:r>
          </w:p>
        </w:tc>
        <w:tc>
          <w:tcPr>
            <w:tcW w:w="1276" w:type="dxa"/>
            <w:shd w:val="clear" w:color="auto" w:fill="FFFFFF"/>
            <w:vAlign w:val="center"/>
          </w:tcPr>
          <w:p w14:paraId="561D7721" w14:textId="35FC8EE9" w:rsidR="00F777C2" w:rsidRPr="00B57B36" w:rsidRDefault="00F777C2" w:rsidP="00F777C2">
            <w:pPr>
              <w:pStyle w:val="CETBodytext"/>
              <w:jc w:val="left"/>
              <w:rPr>
                <w:lang w:val="en-GB"/>
              </w:rPr>
            </w:pPr>
            <w:r w:rsidRPr="00BA695D">
              <w:t>1-8</w:t>
            </w:r>
          </w:p>
        </w:tc>
        <w:tc>
          <w:tcPr>
            <w:tcW w:w="1842" w:type="dxa"/>
            <w:shd w:val="clear" w:color="auto" w:fill="FFFFFF"/>
            <w:vAlign w:val="center"/>
          </w:tcPr>
          <w:p w14:paraId="43700421" w14:textId="35034654" w:rsidR="00F777C2" w:rsidRPr="00B57B36" w:rsidRDefault="00F777C2" w:rsidP="00F777C2">
            <w:pPr>
              <w:pStyle w:val="CETBodytext"/>
              <w:jc w:val="left"/>
              <w:rPr>
                <w:lang w:val="en-GB"/>
              </w:rPr>
            </w:pPr>
            <w:r w:rsidRPr="00BA695D">
              <w:t>3</w:t>
            </w:r>
          </w:p>
        </w:tc>
        <w:tc>
          <w:tcPr>
            <w:tcW w:w="1134" w:type="dxa"/>
            <w:shd w:val="clear" w:color="auto" w:fill="FFFFFF"/>
            <w:vAlign w:val="center"/>
          </w:tcPr>
          <w:p w14:paraId="3B5B4958" w14:textId="59ADDB82" w:rsidR="00F777C2" w:rsidRPr="00B57B36" w:rsidRDefault="00F777C2" w:rsidP="00F777C2">
            <w:pPr>
              <w:pStyle w:val="CETBodytext"/>
              <w:jc w:val="left"/>
              <w:rPr>
                <w:lang w:val="en-GB"/>
              </w:rPr>
            </w:pPr>
            <w:r>
              <w:t>2.</w:t>
            </w:r>
            <w:r w:rsidRPr="00BA695D">
              <w:t>2-7</w:t>
            </w:r>
          </w:p>
        </w:tc>
      </w:tr>
      <w:tr w:rsidR="00F777C2" w:rsidRPr="00B57B36" w14:paraId="39F13A9A" w14:textId="77777777" w:rsidTr="00F777C2">
        <w:tc>
          <w:tcPr>
            <w:tcW w:w="3119" w:type="dxa"/>
            <w:shd w:val="clear" w:color="auto" w:fill="FFFFFF"/>
            <w:vAlign w:val="center"/>
          </w:tcPr>
          <w:p w14:paraId="46B3B671" w14:textId="1DA6FD7B" w:rsidR="00F777C2" w:rsidRPr="00B57B36" w:rsidRDefault="00B45ECF" w:rsidP="00F777C2">
            <w:pPr>
              <w:pStyle w:val="CETBodytext"/>
              <w:jc w:val="left"/>
              <w:rPr>
                <w:lang w:val="en-GB"/>
              </w:rPr>
            </w:pPr>
            <w:r>
              <w:rPr>
                <w:rFonts w:cs="Arial"/>
              </w:rPr>
              <w:t>ρ</w:t>
            </w:r>
            <w:r w:rsidR="00F777C2" w:rsidRPr="00BA695D">
              <w:t xml:space="preserve"> [kg/dm</w:t>
            </w:r>
            <w:r w:rsidR="00F777C2" w:rsidRPr="00BA695D">
              <w:rPr>
                <w:vertAlign w:val="superscript"/>
              </w:rPr>
              <w:t>3</w:t>
            </w:r>
            <w:r w:rsidR="00F777C2" w:rsidRPr="00BA695D">
              <w:t>]</w:t>
            </w:r>
          </w:p>
        </w:tc>
        <w:tc>
          <w:tcPr>
            <w:tcW w:w="1276" w:type="dxa"/>
            <w:shd w:val="clear" w:color="auto" w:fill="FFFFFF"/>
            <w:vAlign w:val="center"/>
          </w:tcPr>
          <w:p w14:paraId="776AE47D" w14:textId="6AF2997A" w:rsidR="00F777C2" w:rsidRPr="00B57B36" w:rsidRDefault="00F777C2" w:rsidP="00F777C2">
            <w:pPr>
              <w:pStyle w:val="CETBodytext"/>
              <w:jc w:val="left"/>
              <w:rPr>
                <w:lang w:val="en-GB"/>
              </w:rPr>
            </w:pPr>
            <w:r>
              <w:t>1.</w:t>
            </w:r>
            <w:r w:rsidRPr="00BA695D">
              <w:t>25</w:t>
            </w:r>
          </w:p>
        </w:tc>
        <w:tc>
          <w:tcPr>
            <w:tcW w:w="1842" w:type="dxa"/>
            <w:shd w:val="clear" w:color="auto" w:fill="FFFFFF"/>
            <w:vAlign w:val="center"/>
          </w:tcPr>
          <w:p w14:paraId="5ACC8EA3" w14:textId="77F6C3BF" w:rsidR="00F777C2" w:rsidRPr="00B57B36" w:rsidRDefault="00F777C2" w:rsidP="00F777C2">
            <w:pPr>
              <w:pStyle w:val="CETBodytext"/>
              <w:jc w:val="left"/>
              <w:rPr>
                <w:lang w:val="en-GB"/>
              </w:rPr>
            </w:pPr>
            <w:r>
              <w:t>1.</w:t>
            </w:r>
            <w:r w:rsidRPr="00BA695D">
              <w:t>2</w:t>
            </w:r>
          </w:p>
        </w:tc>
        <w:tc>
          <w:tcPr>
            <w:tcW w:w="1134" w:type="dxa"/>
            <w:shd w:val="clear" w:color="auto" w:fill="FFFFFF"/>
            <w:vAlign w:val="center"/>
          </w:tcPr>
          <w:p w14:paraId="7488ED89" w14:textId="50C05BEA" w:rsidR="00F777C2" w:rsidRPr="00B57B36" w:rsidRDefault="00F777C2" w:rsidP="00F777C2">
            <w:pPr>
              <w:pStyle w:val="CETBodytext"/>
              <w:jc w:val="left"/>
              <w:rPr>
                <w:lang w:val="en-GB"/>
              </w:rPr>
            </w:pPr>
            <w:r>
              <w:t>0.</w:t>
            </w:r>
            <w:r w:rsidRPr="00BA695D">
              <w:t>905</w:t>
            </w:r>
          </w:p>
        </w:tc>
      </w:tr>
      <w:tr w:rsidR="00F777C2" w:rsidRPr="00B57B36" w14:paraId="7331A25F" w14:textId="77777777" w:rsidTr="00F777C2">
        <w:tc>
          <w:tcPr>
            <w:tcW w:w="3119" w:type="dxa"/>
            <w:shd w:val="clear" w:color="auto" w:fill="FFFFFF"/>
            <w:vAlign w:val="center"/>
          </w:tcPr>
          <w:p w14:paraId="587272F6" w14:textId="7E92FEA4" w:rsidR="00F777C2" w:rsidRPr="00B57B36" w:rsidRDefault="00F777C2" w:rsidP="00F777C2">
            <w:pPr>
              <w:pStyle w:val="CETBodytext"/>
              <w:jc w:val="left"/>
              <w:rPr>
                <w:lang w:val="en-GB"/>
              </w:rPr>
            </w:pPr>
            <w:r w:rsidRPr="00BA695D">
              <w:t>Melting point [°C]</w:t>
            </w:r>
          </w:p>
        </w:tc>
        <w:tc>
          <w:tcPr>
            <w:tcW w:w="1276" w:type="dxa"/>
            <w:shd w:val="clear" w:color="auto" w:fill="FFFFFF"/>
            <w:vAlign w:val="center"/>
          </w:tcPr>
          <w:p w14:paraId="39B12939" w14:textId="683FC33A" w:rsidR="00F777C2" w:rsidRPr="00B57B36" w:rsidRDefault="00F777C2" w:rsidP="00F777C2">
            <w:pPr>
              <w:pStyle w:val="CETBodytext"/>
              <w:jc w:val="left"/>
              <w:rPr>
                <w:lang w:val="en-GB"/>
              </w:rPr>
            </w:pPr>
            <w:r w:rsidRPr="00BA695D">
              <w:t>171-182</w:t>
            </w:r>
          </w:p>
        </w:tc>
        <w:tc>
          <w:tcPr>
            <w:tcW w:w="1842" w:type="dxa"/>
            <w:shd w:val="clear" w:color="auto" w:fill="FFFFFF"/>
            <w:vAlign w:val="center"/>
          </w:tcPr>
          <w:p w14:paraId="5C875216" w14:textId="71316667" w:rsidR="00F777C2" w:rsidRPr="00B57B36" w:rsidRDefault="00F777C2" w:rsidP="00F777C2">
            <w:pPr>
              <w:pStyle w:val="CETBodytext"/>
              <w:jc w:val="left"/>
              <w:rPr>
                <w:lang w:val="en-GB"/>
              </w:rPr>
            </w:pPr>
            <w:r w:rsidRPr="00BA695D">
              <w:t>75-172</w:t>
            </w:r>
          </w:p>
        </w:tc>
        <w:tc>
          <w:tcPr>
            <w:tcW w:w="1134" w:type="dxa"/>
            <w:shd w:val="clear" w:color="auto" w:fill="FFFFFF"/>
            <w:vAlign w:val="center"/>
          </w:tcPr>
          <w:p w14:paraId="4E6502CA" w14:textId="0F32718F" w:rsidR="00F777C2" w:rsidRPr="00B57B36" w:rsidRDefault="00F777C2" w:rsidP="00F777C2">
            <w:pPr>
              <w:pStyle w:val="CETBodytext"/>
              <w:jc w:val="left"/>
              <w:rPr>
                <w:lang w:val="en-GB"/>
              </w:rPr>
            </w:pPr>
            <w:r w:rsidRPr="00BA695D">
              <w:t>176</w:t>
            </w:r>
          </w:p>
        </w:tc>
      </w:tr>
      <w:tr w:rsidR="00F777C2" w:rsidRPr="00B57B36" w14:paraId="5AAB5D2F" w14:textId="77777777" w:rsidTr="00F777C2">
        <w:tc>
          <w:tcPr>
            <w:tcW w:w="3119" w:type="dxa"/>
            <w:shd w:val="clear" w:color="auto" w:fill="FFFFFF"/>
            <w:vAlign w:val="center"/>
          </w:tcPr>
          <w:p w14:paraId="62DC2643" w14:textId="7B22BD1F" w:rsidR="00F777C2" w:rsidRPr="00BA695D" w:rsidRDefault="00F777C2" w:rsidP="00F777C2">
            <w:pPr>
              <w:pStyle w:val="CETBodytext"/>
              <w:jc w:val="left"/>
            </w:pPr>
            <w:r w:rsidRPr="00BA695D">
              <w:t>Crystallinity [%]</w:t>
            </w:r>
          </w:p>
        </w:tc>
        <w:tc>
          <w:tcPr>
            <w:tcW w:w="1276" w:type="dxa"/>
            <w:shd w:val="clear" w:color="auto" w:fill="FFFFFF"/>
            <w:vAlign w:val="center"/>
          </w:tcPr>
          <w:p w14:paraId="32B4C0F1" w14:textId="7EBE416C" w:rsidR="00F777C2" w:rsidRPr="00BA695D" w:rsidRDefault="00F777C2" w:rsidP="00F777C2">
            <w:pPr>
              <w:pStyle w:val="CETBodytext"/>
              <w:jc w:val="left"/>
            </w:pPr>
            <w:r w:rsidRPr="00BA695D">
              <w:t>80</w:t>
            </w:r>
          </w:p>
        </w:tc>
        <w:tc>
          <w:tcPr>
            <w:tcW w:w="1842" w:type="dxa"/>
            <w:shd w:val="clear" w:color="auto" w:fill="FFFFFF"/>
            <w:vAlign w:val="center"/>
          </w:tcPr>
          <w:p w14:paraId="5B5AA6E7" w14:textId="63E0D37A" w:rsidR="00F777C2" w:rsidRPr="00BA695D" w:rsidRDefault="00F777C2" w:rsidP="00F777C2">
            <w:pPr>
              <w:pStyle w:val="CETBodytext"/>
              <w:jc w:val="left"/>
            </w:pPr>
            <w:r w:rsidRPr="00BA695D">
              <w:t>55-70</w:t>
            </w:r>
          </w:p>
        </w:tc>
        <w:tc>
          <w:tcPr>
            <w:tcW w:w="1134" w:type="dxa"/>
            <w:shd w:val="clear" w:color="auto" w:fill="FFFFFF"/>
            <w:vAlign w:val="center"/>
          </w:tcPr>
          <w:p w14:paraId="3FC1E574" w14:textId="431DEA47" w:rsidR="00F777C2" w:rsidRPr="00BA695D" w:rsidRDefault="00F777C2" w:rsidP="00F777C2">
            <w:pPr>
              <w:pStyle w:val="CETBodytext"/>
              <w:jc w:val="left"/>
            </w:pPr>
            <w:r w:rsidRPr="00BA695D">
              <w:t>70</w:t>
            </w:r>
          </w:p>
        </w:tc>
      </w:tr>
      <w:tr w:rsidR="00F777C2" w:rsidRPr="00B57B36" w14:paraId="35819312" w14:textId="77777777" w:rsidTr="00F777C2">
        <w:tc>
          <w:tcPr>
            <w:tcW w:w="3119" w:type="dxa"/>
            <w:shd w:val="clear" w:color="auto" w:fill="FFFFFF"/>
            <w:vAlign w:val="center"/>
          </w:tcPr>
          <w:p w14:paraId="7E9A2773" w14:textId="35332753" w:rsidR="00F777C2" w:rsidRPr="00BA695D" w:rsidRDefault="00F777C2" w:rsidP="00F777C2">
            <w:pPr>
              <w:pStyle w:val="CETBodytext"/>
              <w:jc w:val="left"/>
            </w:pPr>
            <w:r>
              <w:t xml:space="preserve">Glass </w:t>
            </w:r>
            <w:r w:rsidRPr="00BA695D">
              <w:t>transition</w:t>
            </w:r>
            <w:r w:rsidR="0053712D">
              <w:t xml:space="preserve"> </w:t>
            </w:r>
            <w:r w:rsidRPr="00BA695D">
              <w:t>temperature [°C]</w:t>
            </w:r>
          </w:p>
        </w:tc>
        <w:tc>
          <w:tcPr>
            <w:tcW w:w="1276" w:type="dxa"/>
            <w:shd w:val="clear" w:color="auto" w:fill="FFFFFF"/>
            <w:vAlign w:val="center"/>
          </w:tcPr>
          <w:p w14:paraId="7AE86614" w14:textId="1839DD00" w:rsidR="00F777C2" w:rsidRPr="00BA695D" w:rsidRDefault="00F777C2" w:rsidP="00F777C2">
            <w:pPr>
              <w:pStyle w:val="CETBodytext"/>
              <w:jc w:val="left"/>
            </w:pPr>
            <w:r w:rsidRPr="00BA695D">
              <w:t>5-10</w:t>
            </w:r>
          </w:p>
        </w:tc>
        <w:tc>
          <w:tcPr>
            <w:tcW w:w="1842" w:type="dxa"/>
            <w:shd w:val="clear" w:color="auto" w:fill="FFFFFF"/>
            <w:vAlign w:val="center"/>
          </w:tcPr>
          <w:p w14:paraId="40A0FE7C" w14:textId="263208A3" w:rsidR="00F777C2" w:rsidRPr="00BA695D" w:rsidRDefault="00246395" w:rsidP="00F777C2">
            <w:pPr>
              <w:pStyle w:val="CETBodytext"/>
              <w:jc w:val="left"/>
            </w:pPr>
            <w:r>
              <w:t>-</w:t>
            </w:r>
            <w:r w:rsidR="00F777C2" w:rsidRPr="00BA695D">
              <w:t>13-8</w:t>
            </w:r>
          </w:p>
        </w:tc>
        <w:tc>
          <w:tcPr>
            <w:tcW w:w="1134" w:type="dxa"/>
            <w:shd w:val="clear" w:color="auto" w:fill="FFFFFF"/>
            <w:vAlign w:val="center"/>
          </w:tcPr>
          <w:p w14:paraId="7B4FA034" w14:textId="715BAC32" w:rsidR="00F777C2" w:rsidRPr="00BA695D" w:rsidRDefault="00F777C2" w:rsidP="00F777C2">
            <w:pPr>
              <w:pStyle w:val="CETBodytext"/>
              <w:jc w:val="left"/>
            </w:pPr>
            <w:r w:rsidRPr="00BA695D">
              <w:t>-10</w:t>
            </w:r>
          </w:p>
        </w:tc>
      </w:tr>
      <w:tr w:rsidR="00F777C2" w:rsidRPr="00B57B36" w14:paraId="51B1613C" w14:textId="77777777" w:rsidTr="00F777C2">
        <w:tc>
          <w:tcPr>
            <w:tcW w:w="3119" w:type="dxa"/>
            <w:shd w:val="clear" w:color="auto" w:fill="FFFFFF"/>
            <w:vAlign w:val="center"/>
          </w:tcPr>
          <w:p w14:paraId="018DE1D1" w14:textId="1CEC2905" w:rsidR="00F777C2" w:rsidRPr="00F777C2" w:rsidRDefault="00F777C2" w:rsidP="00F777C2">
            <w:pPr>
              <w:pStyle w:val="CETBodytext"/>
              <w:jc w:val="left"/>
              <w:rPr>
                <w:lang w:val="it-IT"/>
              </w:rPr>
            </w:pPr>
            <w:r w:rsidRPr="00065FAF">
              <w:rPr>
                <w:lang w:val="it-IT"/>
              </w:rPr>
              <w:t>O</w:t>
            </w:r>
            <w:r w:rsidRPr="00B45ECF">
              <w:rPr>
                <w:vertAlign w:val="subscript"/>
                <w:lang w:val="it-IT"/>
              </w:rPr>
              <w:t>2</w:t>
            </w:r>
            <w:r w:rsidRPr="00065FAF">
              <w:rPr>
                <w:lang w:val="it-IT"/>
              </w:rPr>
              <w:t>-permeability [cm/m</w:t>
            </w:r>
            <w:r w:rsidRPr="00065FAF">
              <w:rPr>
                <w:vertAlign w:val="superscript"/>
                <w:lang w:val="it-IT"/>
              </w:rPr>
              <w:t>2</w:t>
            </w:r>
            <w:r w:rsidRPr="00065FAF">
              <w:rPr>
                <w:lang w:val="it-IT"/>
              </w:rPr>
              <w:t>kPa day]</w:t>
            </w:r>
          </w:p>
        </w:tc>
        <w:tc>
          <w:tcPr>
            <w:tcW w:w="1276" w:type="dxa"/>
            <w:shd w:val="clear" w:color="auto" w:fill="FFFFFF"/>
            <w:vAlign w:val="center"/>
          </w:tcPr>
          <w:p w14:paraId="3B1CCCF8" w14:textId="2AEE5FB6" w:rsidR="00F777C2" w:rsidRPr="00BA695D" w:rsidRDefault="00F777C2" w:rsidP="00F777C2">
            <w:pPr>
              <w:pStyle w:val="CETBodytext"/>
              <w:jc w:val="left"/>
            </w:pPr>
            <w:r>
              <w:t>0.</w:t>
            </w:r>
            <w:r w:rsidRPr="00BA695D">
              <w:t>4</w:t>
            </w:r>
          </w:p>
        </w:tc>
        <w:tc>
          <w:tcPr>
            <w:tcW w:w="1842" w:type="dxa"/>
            <w:shd w:val="clear" w:color="auto" w:fill="FFFFFF"/>
            <w:vAlign w:val="center"/>
          </w:tcPr>
          <w:p w14:paraId="5AF008DB" w14:textId="15DA9A1E" w:rsidR="00F777C2" w:rsidRPr="00BA695D" w:rsidRDefault="00F777C2" w:rsidP="00F777C2">
            <w:pPr>
              <w:pStyle w:val="CETBodytext"/>
              <w:jc w:val="left"/>
            </w:pPr>
            <w:r w:rsidRPr="00BA695D">
              <w:t>n.d.</w:t>
            </w:r>
          </w:p>
        </w:tc>
        <w:tc>
          <w:tcPr>
            <w:tcW w:w="1134" w:type="dxa"/>
            <w:shd w:val="clear" w:color="auto" w:fill="FFFFFF"/>
            <w:vAlign w:val="center"/>
          </w:tcPr>
          <w:p w14:paraId="459098CB" w14:textId="7E5731EF" w:rsidR="00F777C2" w:rsidRPr="00BA695D" w:rsidRDefault="00F777C2" w:rsidP="00F777C2">
            <w:pPr>
              <w:pStyle w:val="CETBodytext"/>
              <w:jc w:val="left"/>
            </w:pPr>
            <w:r w:rsidRPr="00BA695D">
              <w:t>17</w:t>
            </w:r>
          </w:p>
        </w:tc>
      </w:tr>
      <w:tr w:rsidR="00F777C2" w:rsidRPr="00B57B36" w14:paraId="506BE7CF" w14:textId="77777777" w:rsidTr="00F777C2">
        <w:tc>
          <w:tcPr>
            <w:tcW w:w="3119" w:type="dxa"/>
            <w:shd w:val="clear" w:color="auto" w:fill="FFFFFF"/>
            <w:vAlign w:val="center"/>
          </w:tcPr>
          <w:p w14:paraId="3720A5ED" w14:textId="56A8E1F0" w:rsidR="00F777C2" w:rsidRPr="00065FAF" w:rsidRDefault="00F777C2" w:rsidP="00F777C2">
            <w:pPr>
              <w:pStyle w:val="CETBodytext"/>
              <w:jc w:val="left"/>
              <w:rPr>
                <w:lang w:val="it-IT"/>
              </w:rPr>
            </w:pPr>
            <w:r w:rsidRPr="00BA695D">
              <w:t>UV-resistance</w:t>
            </w:r>
          </w:p>
        </w:tc>
        <w:tc>
          <w:tcPr>
            <w:tcW w:w="1276" w:type="dxa"/>
            <w:shd w:val="clear" w:color="auto" w:fill="FFFFFF"/>
            <w:vAlign w:val="center"/>
          </w:tcPr>
          <w:p w14:paraId="7A8A4245" w14:textId="27F0AA0D" w:rsidR="00F777C2" w:rsidRDefault="00F777C2" w:rsidP="00F777C2">
            <w:pPr>
              <w:pStyle w:val="CETBodytext"/>
              <w:jc w:val="left"/>
            </w:pPr>
            <w:r w:rsidRPr="00BA695D">
              <w:t>Good</w:t>
            </w:r>
          </w:p>
        </w:tc>
        <w:tc>
          <w:tcPr>
            <w:tcW w:w="1842" w:type="dxa"/>
            <w:shd w:val="clear" w:color="auto" w:fill="FFFFFF"/>
            <w:vAlign w:val="center"/>
          </w:tcPr>
          <w:p w14:paraId="251D54B8" w14:textId="56B883D9" w:rsidR="00F777C2" w:rsidRPr="00BA695D" w:rsidRDefault="00F777C2" w:rsidP="00F777C2">
            <w:pPr>
              <w:pStyle w:val="CETBodytext"/>
              <w:jc w:val="left"/>
            </w:pPr>
            <w:r w:rsidRPr="00BA695D">
              <w:t>Good</w:t>
            </w:r>
          </w:p>
        </w:tc>
        <w:tc>
          <w:tcPr>
            <w:tcW w:w="1134" w:type="dxa"/>
            <w:shd w:val="clear" w:color="auto" w:fill="FFFFFF"/>
            <w:vAlign w:val="center"/>
          </w:tcPr>
          <w:p w14:paraId="7147CFDD" w14:textId="7FA6EE79" w:rsidR="00F777C2" w:rsidRPr="00BA695D" w:rsidRDefault="00F777C2" w:rsidP="00F777C2">
            <w:pPr>
              <w:pStyle w:val="CETBodytext"/>
              <w:jc w:val="left"/>
            </w:pPr>
            <w:r>
              <w:t>B</w:t>
            </w:r>
            <w:r w:rsidRPr="00BA695D">
              <w:t>ad</w:t>
            </w:r>
          </w:p>
        </w:tc>
      </w:tr>
      <w:tr w:rsidR="00F777C2" w:rsidRPr="00B57B36" w14:paraId="03FF9141" w14:textId="77777777" w:rsidTr="00F777C2">
        <w:tc>
          <w:tcPr>
            <w:tcW w:w="3119" w:type="dxa"/>
            <w:shd w:val="clear" w:color="auto" w:fill="FFFFFF"/>
            <w:vAlign w:val="center"/>
          </w:tcPr>
          <w:p w14:paraId="35B673B4" w14:textId="7E742AAC" w:rsidR="00F777C2" w:rsidRPr="00BA695D" w:rsidRDefault="00F777C2" w:rsidP="00F777C2">
            <w:pPr>
              <w:pStyle w:val="CETBodytext"/>
              <w:jc w:val="left"/>
            </w:pPr>
            <w:r w:rsidRPr="00BA695D">
              <w:t>Resistance to solvents</w:t>
            </w:r>
          </w:p>
        </w:tc>
        <w:tc>
          <w:tcPr>
            <w:tcW w:w="1276" w:type="dxa"/>
            <w:shd w:val="clear" w:color="auto" w:fill="FFFFFF"/>
            <w:vAlign w:val="center"/>
          </w:tcPr>
          <w:p w14:paraId="33819A15" w14:textId="4996144D" w:rsidR="00F777C2" w:rsidRPr="00BA695D" w:rsidRDefault="00F777C2" w:rsidP="00F777C2">
            <w:pPr>
              <w:pStyle w:val="CETBodytext"/>
              <w:jc w:val="left"/>
            </w:pPr>
            <w:r w:rsidRPr="00BA695D">
              <w:t>Bad</w:t>
            </w:r>
          </w:p>
        </w:tc>
        <w:tc>
          <w:tcPr>
            <w:tcW w:w="1842" w:type="dxa"/>
            <w:shd w:val="clear" w:color="auto" w:fill="FFFFFF"/>
            <w:vAlign w:val="center"/>
          </w:tcPr>
          <w:p w14:paraId="0E00F25F" w14:textId="1D95A5B7" w:rsidR="00F777C2" w:rsidRPr="00BA695D" w:rsidRDefault="00F777C2" w:rsidP="00F777C2">
            <w:pPr>
              <w:pStyle w:val="CETBodytext"/>
              <w:jc w:val="left"/>
            </w:pPr>
            <w:r w:rsidRPr="00BA695D">
              <w:t>Bad</w:t>
            </w:r>
          </w:p>
        </w:tc>
        <w:tc>
          <w:tcPr>
            <w:tcW w:w="1134" w:type="dxa"/>
            <w:shd w:val="clear" w:color="auto" w:fill="FFFFFF"/>
            <w:vAlign w:val="center"/>
          </w:tcPr>
          <w:p w14:paraId="555ED8B6" w14:textId="11032BDC" w:rsidR="00F777C2" w:rsidRDefault="00F777C2" w:rsidP="00F777C2">
            <w:pPr>
              <w:pStyle w:val="CETBodytext"/>
              <w:jc w:val="left"/>
            </w:pPr>
            <w:r>
              <w:t>G</w:t>
            </w:r>
            <w:r w:rsidRPr="00BA695D">
              <w:t>ood</w:t>
            </w:r>
          </w:p>
        </w:tc>
      </w:tr>
      <w:tr w:rsidR="00F777C2" w:rsidRPr="00B57B36" w14:paraId="611E880A" w14:textId="77777777" w:rsidTr="00F777C2">
        <w:tc>
          <w:tcPr>
            <w:tcW w:w="3119" w:type="dxa"/>
            <w:shd w:val="clear" w:color="auto" w:fill="FFFFFF"/>
            <w:vAlign w:val="center"/>
          </w:tcPr>
          <w:p w14:paraId="2481FE9B" w14:textId="12B18697" w:rsidR="00F777C2" w:rsidRPr="00BA695D" w:rsidRDefault="00F777C2" w:rsidP="00F777C2">
            <w:pPr>
              <w:pStyle w:val="CETBodytext"/>
              <w:jc w:val="left"/>
            </w:pPr>
            <w:r w:rsidRPr="00BA695D">
              <w:t xml:space="preserve">Tensile </w:t>
            </w:r>
            <w:r w:rsidR="00E35F1E" w:rsidRPr="00BA695D">
              <w:t>streng</w:t>
            </w:r>
            <w:r w:rsidR="00E35F1E">
              <w:t>th</w:t>
            </w:r>
            <w:r w:rsidR="00E35F1E" w:rsidRPr="00BA695D">
              <w:t xml:space="preserve"> </w:t>
            </w:r>
            <w:r w:rsidRPr="00BA695D">
              <w:t>[MPa]</w:t>
            </w:r>
          </w:p>
        </w:tc>
        <w:tc>
          <w:tcPr>
            <w:tcW w:w="1276" w:type="dxa"/>
            <w:shd w:val="clear" w:color="auto" w:fill="FFFFFF"/>
            <w:vAlign w:val="center"/>
          </w:tcPr>
          <w:p w14:paraId="2A114E9C" w14:textId="58D717FC" w:rsidR="00F777C2" w:rsidRPr="00BA695D" w:rsidRDefault="00F777C2" w:rsidP="00F777C2">
            <w:pPr>
              <w:pStyle w:val="CETBodytext"/>
              <w:jc w:val="left"/>
            </w:pPr>
            <w:r w:rsidRPr="00BA695D">
              <w:t>40</w:t>
            </w:r>
          </w:p>
        </w:tc>
        <w:tc>
          <w:tcPr>
            <w:tcW w:w="1842" w:type="dxa"/>
            <w:shd w:val="clear" w:color="auto" w:fill="FFFFFF"/>
            <w:vAlign w:val="center"/>
          </w:tcPr>
          <w:p w14:paraId="75018964" w14:textId="4EBFF5FD" w:rsidR="00F777C2" w:rsidRPr="00BA695D" w:rsidRDefault="00F777C2" w:rsidP="00F777C2">
            <w:pPr>
              <w:pStyle w:val="CETBodytext"/>
              <w:jc w:val="left"/>
            </w:pPr>
            <w:r w:rsidRPr="00BA695D">
              <w:t>25-30</w:t>
            </w:r>
          </w:p>
        </w:tc>
        <w:tc>
          <w:tcPr>
            <w:tcW w:w="1134" w:type="dxa"/>
            <w:shd w:val="clear" w:color="auto" w:fill="FFFFFF"/>
            <w:vAlign w:val="center"/>
          </w:tcPr>
          <w:p w14:paraId="5700AF8C" w14:textId="354CC3C7" w:rsidR="00F777C2" w:rsidRDefault="00F777C2" w:rsidP="00F777C2">
            <w:pPr>
              <w:pStyle w:val="CETBodytext"/>
              <w:jc w:val="left"/>
            </w:pPr>
            <w:r w:rsidRPr="00BA695D">
              <w:t>38</w:t>
            </w:r>
          </w:p>
        </w:tc>
      </w:tr>
      <w:tr w:rsidR="00F777C2" w:rsidRPr="00B57B36" w14:paraId="7150E451" w14:textId="77777777" w:rsidTr="00F777C2">
        <w:tc>
          <w:tcPr>
            <w:tcW w:w="3119" w:type="dxa"/>
            <w:shd w:val="clear" w:color="auto" w:fill="FFFFFF"/>
            <w:vAlign w:val="center"/>
          </w:tcPr>
          <w:p w14:paraId="302121FA" w14:textId="4753E63F" w:rsidR="00F777C2" w:rsidRPr="00BA695D" w:rsidRDefault="00F777C2" w:rsidP="00F777C2">
            <w:pPr>
              <w:pStyle w:val="CETBodytext"/>
              <w:jc w:val="left"/>
            </w:pPr>
            <w:r w:rsidRPr="00BA695D">
              <w:t>Elongation to break [%]</w:t>
            </w:r>
          </w:p>
        </w:tc>
        <w:tc>
          <w:tcPr>
            <w:tcW w:w="1276" w:type="dxa"/>
            <w:shd w:val="clear" w:color="auto" w:fill="FFFFFF"/>
            <w:vAlign w:val="center"/>
          </w:tcPr>
          <w:p w14:paraId="022149FE" w14:textId="78B4CB3C" w:rsidR="00F777C2" w:rsidRPr="00BA695D" w:rsidRDefault="00F777C2" w:rsidP="00F777C2">
            <w:pPr>
              <w:pStyle w:val="CETBodytext"/>
              <w:jc w:val="left"/>
            </w:pPr>
            <w:r w:rsidRPr="00BA695D">
              <w:t>6</w:t>
            </w:r>
          </w:p>
        </w:tc>
        <w:tc>
          <w:tcPr>
            <w:tcW w:w="1842" w:type="dxa"/>
            <w:shd w:val="clear" w:color="auto" w:fill="FFFFFF"/>
            <w:vAlign w:val="center"/>
          </w:tcPr>
          <w:p w14:paraId="52204467" w14:textId="4AE5C085" w:rsidR="00F777C2" w:rsidRPr="00BA695D" w:rsidRDefault="00F777C2" w:rsidP="00F777C2">
            <w:pPr>
              <w:pStyle w:val="CETBodytext"/>
              <w:jc w:val="left"/>
            </w:pPr>
            <w:r w:rsidRPr="00BA695D">
              <w:t>8-1200</w:t>
            </w:r>
          </w:p>
        </w:tc>
        <w:tc>
          <w:tcPr>
            <w:tcW w:w="1134" w:type="dxa"/>
            <w:shd w:val="clear" w:color="auto" w:fill="FFFFFF"/>
            <w:vAlign w:val="center"/>
          </w:tcPr>
          <w:p w14:paraId="3AED06ED" w14:textId="6B1794BE" w:rsidR="00F777C2" w:rsidRPr="00BA695D" w:rsidRDefault="00F777C2" w:rsidP="00F777C2">
            <w:pPr>
              <w:pStyle w:val="CETBodytext"/>
              <w:jc w:val="left"/>
            </w:pPr>
            <w:r w:rsidRPr="00BA695D">
              <w:t>400</w:t>
            </w:r>
          </w:p>
        </w:tc>
      </w:tr>
      <w:tr w:rsidR="00F777C2" w:rsidRPr="00B57B36" w14:paraId="7EA0A729" w14:textId="77777777" w:rsidTr="00F777C2">
        <w:tc>
          <w:tcPr>
            <w:tcW w:w="3119" w:type="dxa"/>
            <w:shd w:val="clear" w:color="auto" w:fill="FFFFFF"/>
            <w:vAlign w:val="center"/>
          </w:tcPr>
          <w:p w14:paraId="2D8FC915" w14:textId="7439CD19" w:rsidR="00F777C2" w:rsidRPr="00BA695D" w:rsidRDefault="00F777C2" w:rsidP="00F777C2">
            <w:pPr>
              <w:pStyle w:val="CETBodytext"/>
              <w:jc w:val="left"/>
            </w:pPr>
            <w:r w:rsidRPr="00BA695D">
              <w:t>Young’s modulus</w:t>
            </w:r>
          </w:p>
        </w:tc>
        <w:tc>
          <w:tcPr>
            <w:tcW w:w="1276" w:type="dxa"/>
            <w:shd w:val="clear" w:color="auto" w:fill="FFFFFF"/>
            <w:vAlign w:val="center"/>
          </w:tcPr>
          <w:p w14:paraId="0021E7A0" w14:textId="687E2600" w:rsidR="00F777C2" w:rsidRPr="00BA695D" w:rsidRDefault="00F777C2" w:rsidP="00F777C2">
            <w:pPr>
              <w:pStyle w:val="CETBodytext"/>
              <w:jc w:val="left"/>
            </w:pPr>
            <w:r>
              <w:t>3.</w:t>
            </w:r>
            <w:r w:rsidRPr="00BA695D">
              <w:t>5</w:t>
            </w:r>
          </w:p>
        </w:tc>
        <w:tc>
          <w:tcPr>
            <w:tcW w:w="1842" w:type="dxa"/>
            <w:shd w:val="clear" w:color="auto" w:fill="FFFFFF"/>
            <w:vAlign w:val="center"/>
          </w:tcPr>
          <w:p w14:paraId="4A84B9D2" w14:textId="77777777" w:rsidR="00F777C2" w:rsidRDefault="00F777C2" w:rsidP="00F777C2">
            <w:pPr>
              <w:jc w:val="left"/>
            </w:pPr>
            <w:r>
              <w:t xml:space="preserve">2.9 (3%HV); </w:t>
            </w:r>
          </w:p>
          <w:p w14:paraId="2FBF930F" w14:textId="60D995BD" w:rsidR="00F777C2" w:rsidRPr="00BA695D" w:rsidRDefault="00F777C2" w:rsidP="00F777C2">
            <w:pPr>
              <w:pStyle w:val="CETBodytext"/>
              <w:jc w:val="left"/>
            </w:pPr>
            <w:r>
              <w:t>0.</w:t>
            </w:r>
            <w:r w:rsidRPr="00BA695D">
              <w:t>7 (25%3HV)</w:t>
            </w:r>
          </w:p>
        </w:tc>
        <w:tc>
          <w:tcPr>
            <w:tcW w:w="1134" w:type="dxa"/>
            <w:shd w:val="clear" w:color="auto" w:fill="FFFFFF"/>
            <w:vAlign w:val="center"/>
          </w:tcPr>
          <w:p w14:paraId="63796730" w14:textId="16525572" w:rsidR="00F777C2" w:rsidRPr="00BA695D" w:rsidRDefault="00F777C2" w:rsidP="00F777C2">
            <w:pPr>
              <w:pStyle w:val="CETBodytext"/>
              <w:jc w:val="left"/>
            </w:pPr>
            <w:r>
              <w:t>1.</w:t>
            </w:r>
            <w:r w:rsidRPr="00BA695D">
              <w:t>7</w:t>
            </w:r>
          </w:p>
        </w:tc>
      </w:tr>
      <w:tr w:rsidR="00F777C2" w:rsidRPr="00B57B36" w14:paraId="63F34CF7" w14:textId="77777777" w:rsidTr="00F777C2">
        <w:tc>
          <w:tcPr>
            <w:tcW w:w="3119" w:type="dxa"/>
            <w:shd w:val="clear" w:color="auto" w:fill="FFFFFF"/>
            <w:vAlign w:val="center"/>
          </w:tcPr>
          <w:p w14:paraId="10F65260" w14:textId="07DC7FCB" w:rsidR="00F777C2" w:rsidRPr="00BA695D" w:rsidRDefault="00F777C2" w:rsidP="00F777C2">
            <w:pPr>
              <w:pStyle w:val="CETBodytext"/>
              <w:jc w:val="left"/>
            </w:pPr>
            <w:r w:rsidRPr="00BA695D">
              <w:t>Biodegradability</w:t>
            </w:r>
          </w:p>
        </w:tc>
        <w:tc>
          <w:tcPr>
            <w:tcW w:w="1276" w:type="dxa"/>
            <w:shd w:val="clear" w:color="auto" w:fill="FFFFFF"/>
            <w:vAlign w:val="center"/>
          </w:tcPr>
          <w:p w14:paraId="54C2ED03" w14:textId="311F3CFA" w:rsidR="00F777C2" w:rsidRDefault="00F777C2" w:rsidP="00F777C2">
            <w:pPr>
              <w:pStyle w:val="CETBodytext"/>
              <w:jc w:val="left"/>
            </w:pPr>
            <w:r w:rsidRPr="00BA695D">
              <w:t>Yes</w:t>
            </w:r>
          </w:p>
        </w:tc>
        <w:tc>
          <w:tcPr>
            <w:tcW w:w="1842" w:type="dxa"/>
            <w:shd w:val="clear" w:color="auto" w:fill="FFFFFF"/>
            <w:vAlign w:val="center"/>
          </w:tcPr>
          <w:p w14:paraId="550B7883" w14:textId="16731F6F" w:rsidR="00F777C2" w:rsidRDefault="00F777C2" w:rsidP="00F777C2">
            <w:pPr>
              <w:jc w:val="left"/>
            </w:pPr>
            <w:r>
              <w:t>Y</w:t>
            </w:r>
            <w:r w:rsidRPr="00BA695D">
              <w:t>es</w:t>
            </w:r>
          </w:p>
        </w:tc>
        <w:tc>
          <w:tcPr>
            <w:tcW w:w="1134" w:type="dxa"/>
            <w:shd w:val="clear" w:color="auto" w:fill="FFFFFF"/>
            <w:vAlign w:val="center"/>
          </w:tcPr>
          <w:p w14:paraId="341B0D10" w14:textId="5989AC48" w:rsidR="00F777C2" w:rsidRDefault="00F777C2" w:rsidP="00F777C2">
            <w:pPr>
              <w:pStyle w:val="CETBodytext"/>
              <w:jc w:val="left"/>
            </w:pPr>
            <w:r>
              <w:t>N</w:t>
            </w:r>
            <w:r w:rsidRPr="00BA695D">
              <w:t>o</w:t>
            </w:r>
          </w:p>
        </w:tc>
      </w:tr>
    </w:tbl>
    <w:p w14:paraId="649789BD" w14:textId="77777777" w:rsidR="00F777C2" w:rsidRDefault="00F777C2" w:rsidP="00567BBF">
      <w:pPr>
        <w:pStyle w:val="Paragrafoelenco"/>
        <w:ind w:left="0"/>
      </w:pPr>
    </w:p>
    <w:p w14:paraId="5741900F" w14:textId="196E2EA8" w:rsidR="00453E24" w:rsidRDefault="00670F26" w:rsidP="006C1AC6">
      <w:pPr>
        <w:pStyle w:val="CETHeading1"/>
      </w:pPr>
      <w:r>
        <w:t>Simulation strategy</w:t>
      </w:r>
    </w:p>
    <w:p w14:paraId="1EC420D2" w14:textId="71F96BEF" w:rsidR="00A4279F" w:rsidRDefault="00670F26" w:rsidP="00453E24">
      <w:pPr>
        <w:pStyle w:val="CETBodytext"/>
      </w:pPr>
      <w:r>
        <w:t xml:space="preserve">The process to produce PHB-co-HV was simulated in </w:t>
      </w:r>
      <w:r w:rsidRPr="00670F26">
        <w:rPr>
          <w:i/>
          <w:iCs/>
        </w:rPr>
        <w:t>AspenPlus</w:t>
      </w:r>
      <w:r>
        <w:t xml:space="preserve"> using two reactors</w:t>
      </w:r>
      <w:r w:rsidR="00A4279F">
        <w:t xml:space="preserve"> </w:t>
      </w:r>
      <w:r w:rsidR="006C1AC6">
        <w:t xml:space="preserve">with a working volume </w:t>
      </w:r>
      <w:r w:rsidR="00A4279F">
        <w:t>of 1</w:t>
      </w:r>
      <w:r w:rsidR="00984FDD">
        <w:t xml:space="preserve"> </w:t>
      </w:r>
      <w:r w:rsidR="00A4279F">
        <w:t>m</w:t>
      </w:r>
      <w:r w:rsidR="00A4279F" w:rsidRPr="00A4279F">
        <w:rPr>
          <w:vertAlign w:val="superscript"/>
        </w:rPr>
        <w:t>3</w:t>
      </w:r>
      <w:r>
        <w:t xml:space="preserve">, in which the liquid represented the batch charge and a gas stream containing methane was </w:t>
      </w:r>
      <w:r w:rsidR="00B75D8A">
        <w:t>diffused</w:t>
      </w:r>
      <w:r>
        <w:t xml:space="preserve"> continuously</w:t>
      </w:r>
      <w:r w:rsidR="00B75D8A">
        <w:t xml:space="preserve"> in the form of small bubbles (d</w:t>
      </w:r>
      <w:r w:rsidR="00B75D8A" w:rsidRPr="00B75D8A">
        <w:rPr>
          <w:vertAlign w:val="subscript"/>
        </w:rPr>
        <w:t>b</w:t>
      </w:r>
      <w:r w:rsidR="005F3734">
        <w:rPr>
          <w:rFonts w:cs="Arial"/>
        </w:rPr>
        <w:t>≈</w:t>
      </w:r>
      <w:r w:rsidR="00B75D8A">
        <w:t>10mm)</w:t>
      </w:r>
      <w:r w:rsidR="00787D7F">
        <w:t xml:space="preserve"> at a superficial gas velocity </w:t>
      </w:r>
      <w:r w:rsidR="00B45ECF">
        <w:t>(U</w:t>
      </w:r>
      <w:r w:rsidR="00B45ECF" w:rsidRPr="00B45ECF">
        <w:rPr>
          <w:vertAlign w:val="subscript"/>
        </w:rPr>
        <w:t>g</w:t>
      </w:r>
      <w:r w:rsidR="00B45ECF">
        <w:t xml:space="preserve">) of </w:t>
      </w:r>
      <w:r w:rsidR="00787D7F">
        <w:t>0.</w:t>
      </w:r>
      <w:r w:rsidR="0068421A">
        <w:t>0</w:t>
      </w:r>
      <w:r w:rsidR="00787D7F">
        <w:t>2 ms</w:t>
      </w:r>
      <w:r w:rsidR="00787D7F" w:rsidRPr="00787D7F">
        <w:rPr>
          <w:vertAlign w:val="superscript"/>
        </w:rPr>
        <w:t>-1</w:t>
      </w:r>
      <w:r>
        <w:t xml:space="preserve">. </w:t>
      </w:r>
      <w:r w:rsidR="00A4279F">
        <w:t>A gas recirculation unit operating at a recycling ratio</w:t>
      </w:r>
      <w:r w:rsidR="005F3734">
        <w:t xml:space="preserve"> (RR)</w:t>
      </w:r>
      <w:r w:rsidR="00A4279F">
        <w:t xml:space="preserve"> of 5</w:t>
      </w:r>
      <w:r w:rsidR="00C9548F">
        <w:t xml:space="preserve">, i.e. the ratio </w:t>
      </w:r>
      <w:r w:rsidR="004039C4">
        <w:t>between</w:t>
      </w:r>
      <w:r w:rsidR="00C9548F">
        <w:t xml:space="preserve"> the recycled flow rate </w:t>
      </w:r>
      <w:r w:rsidR="004039C4">
        <w:t xml:space="preserve">and </w:t>
      </w:r>
      <w:r w:rsidR="00C9548F">
        <w:t>the initial fresh gas fe</w:t>
      </w:r>
      <w:r w:rsidR="00E35F1E">
        <w:t>d</w:t>
      </w:r>
      <w:r w:rsidR="00C9548F">
        <w:t>,</w:t>
      </w:r>
      <w:r w:rsidR="00A4279F">
        <w:t xml:space="preserve"> was also implemented</w:t>
      </w:r>
      <w:r w:rsidR="001012FA">
        <w:t xml:space="preserve"> (Figure 1)</w:t>
      </w:r>
      <w:r w:rsidR="00A4279F">
        <w:t xml:space="preserve">. </w:t>
      </w:r>
    </w:p>
    <w:p w14:paraId="0C5C1696" w14:textId="77777777" w:rsidR="00DE4392" w:rsidRDefault="00DE4392" w:rsidP="00453E24">
      <w:pPr>
        <w:pStyle w:val="CETBodytext"/>
      </w:pPr>
    </w:p>
    <w:p w14:paraId="68FF02F2" w14:textId="0C94614C" w:rsidR="00DE4392" w:rsidRDefault="00DE4392" w:rsidP="00453E24">
      <w:pPr>
        <w:pStyle w:val="CETBodytext"/>
      </w:pPr>
      <w:r>
        <w:rPr>
          <w:noProof/>
          <w:lang w:val="es-ES" w:eastAsia="es-ES"/>
        </w:rPr>
        <w:drawing>
          <wp:inline distT="0" distB="0" distL="0" distR="0" wp14:anchorId="0A24407A" wp14:editId="46A43107">
            <wp:extent cx="2100331" cy="22741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897" cy="2326740"/>
                    </a:xfrm>
                    <a:prstGeom prst="rect">
                      <a:avLst/>
                    </a:prstGeom>
                  </pic:spPr>
                </pic:pic>
              </a:graphicData>
            </a:graphic>
          </wp:inline>
        </w:drawing>
      </w:r>
    </w:p>
    <w:p w14:paraId="52EFCF4D" w14:textId="428BFA07" w:rsidR="00DE4392" w:rsidRDefault="00DE4392" w:rsidP="00DE4392">
      <w:pPr>
        <w:pStyle w:val="CETCaption"/>
        <w:rPr>
          <w:rStyle w:val="CETCaptionCarattere"/>
          <w:i/>
        </w:rPr>
      </w:pPr>
      <w:r w:rsidRPr="00BD077D">
        <w:rPr>
          <w:rStyle w:val="CETCaptionCarattere"/>
          <w:i/>
        </w:rPr>
        <w:t xml:space="preserve">Figure 1: </w:t>
      </w:r>
      <w:r>
        <w:rPr>
          <w:rStyle w:val="CETCaptionCarattere"/>
          <w:i/>
        </w:rPr>
        <w:t>Main simulation flowsheet</w:t>
      </w:r>
    </w:p>
    <w:p w14:paraId="4785A900" w14:textId="43763330" w:rsidR="00DE4392" w:rsidRDefault="00DE4392" w:rsidP="00DE4392">
      <w:pPr>
        <w:pStyle w:val="CETBodytext"/>
      </w:pPr>
      <w:r>
        <w:lastRenderedPageBreak/>
        <w:t xml:space="preserve">The strategy </w:t>
      </w:r>
      <w:r w:rsidR="00663493">
        <w:t xml:space="preserve">implemented </w:t>
      </w:r>
      <w:r>
        <w:t xml:space="preserve">in this work consisted </w:t>
      </w:r>
      <w:r w:rsidR="00AC6897">
        <w:t xml:space="preserve">of </w:t>
      </w:r>
      <w:r>
        <w:t>the growth of a mixed Type II-dominated methanotrophic culture (Step I), followed by the accumulation of the polymeric granules into the cells under nutrient starvation (Step II). Since the yield of the process depends on biomass metabolism and the transfer rate of oxygen and methane to the liquid phase, both the kinetic constant and the gas-liquid mass transfer coefficients were estimated</w:t>
      </w:r>
      <w:r w:rsidR="00C9548F">
        <w:t>.</w:t>
      </w:r>
    </w:p>
    <w:p w14:paraId="50B61EC7" w14:textId="77777777" w:rsidR="006C1AC6" w:rsidRDefault="006C1AC6" w:rsidP="00453E24">
      <w:pPr>
        <w:pStyle w:val="CETBodytext"/>
      </w:pPr>
    </w:p>
    <w:p w14:paraId="0636B784" w14:textId="696AAE7A" w:rsidR="00453E24" w:rsidRDefault="00886ADE" w:rsidP="00453E24">
      <w:pPr>
        <w:pStyle w:val="CETheadingx"/>
      </w:pPr>
      <w:r>
        <w:t>B</w:t>
      </w:r>
      <w:r w:rsidR="00670F26">
        <w:t>iomass growth</w:t>
      </w:r>
    </w:p>
    <w:p w14:paraId="344E8204" w14:textId="3833D59A" w:rsidR="006852B1" w:rsidRDefault="005664F5" w:rsidP="006852B1">
      <w:pPr>
        <w:pStyle w:val="CETBodytext"/>
      </w:pPr>
      <w:r>
        <w:t xml:space="preserve">During the growth of </w:t>
      </w:r>
      <w:r w:rsidR="00787D7F">
        <w:t>the mixed methanotrophic culture</w:t>
      </w:r>
      <w:r>
        <w:t xml:space="preserve">, </w:t>
      </w:r>
      <w:r w:rsidR="006852B1">
        <w:t xml:space="preserve">an </w:t>
      </w:r>
      <w:r w:rsidR="00AC6897">
        <w:t>ammonia-</w:t>
      </w:r>
      <w:r w:rsidR="006852B1">
        <w:t xml:space="preserve">based mineral salt medium </w:t>
      </w:r>
      <w:r>
        <w:t xml:space="preserve">was </w:t>
      </w:r>
      <w:r w:rsidR="00663493">
        <w:t>used</w:t>
      </w:r>
      <w:r w:rsidR="00AC6897">
        <w:t>,</w:t>
      </w:r>
      <w:r>
        <w:t xml:space="preserve"> and a gas stream containing methane</w:t>
      </w:r>
      <w:r w:rsidR="00A4279F">
        <w:t xml:space="preserve"> and</w:t>
      </w:r>
      <w:r>
        <w:t xml:space="preserve"> oxygen </w:t>
      </w:r>
      <w:r w:rsidR="00A4279F">
        <w:t>(1:2</w:t>
      </w:r>
      <w:r w:rsidR="00787D7F">
        <w:t xml:space="preserve"> v/v%</w:t>
      </w:r>
      <w:r w:rsidR="00A4279F">
        <w:t xml:space="preserve">) </w:t>
      </w:r>
      <w:r>
        <w:t>was fed to the reactor (</w:t>
      </w:r>
      <w:r w:rsidR="00C603F8">
        <w:t>Table</w:t>
      </w:r>
      <w:r>
        <w:t xml:space="preserve"> </w:t>
      </w:r>
      <w:r w:rsidR="00C603F8">
        <w:t>1</w:t>
      </w:r>
      <w:r>
        <w:t xml:space="preserve">). </w:t>
      </w:r>
      <w:r w:rsidR="00291177">
        <w:t>T</w:t>
      </w:r>
      <w:r w:rsidR="00AC6897">
        <w:t>he t</w:t>
      </w:r>
      <w:r w:rsidR="00291177">
        <w:t xml:space="preserve">emperature was set </w:t>
      </w:r>
      <w:r w:rsidR="00A66051">
        <w:t>at</w:t>
      </w:r>
      <w:r w:rsidR="00291177">
        <w:t xml:space="preserve"> </w:t>
      </w:r>
      <w:r w:rsidR="00A4279F">
        <w:t>27</w:t>
      </w:r>
      <w:r w:rsidR="00AC6897">
        <w:t xml:space="preserve"> </w:t>
      </w:r>
      <w:r w:rsidR="00291177">
        <w:t>°C and pressure at 1</w:t>
      </w:r>
      <w:r w:rsidR="00AC6897">
        <w:t xml:space="preserve"> </w:t>
      </w:r>
      <w:r w:rsidR="00291177">
        <w:t>bar</w:t>
      </w:r>
      <w:r w:rsidR="00787D7F">
        <w:t>; the duration of the process was assumed to be 96</w:t>
      </w:r>
      <w:r w:rsidR="00AC6897">
        <w:t xml:space="preserve"> </w:t>
      </w:r>
      <w:r w:rsidR="00787D7F">
        <w:t>h</w:t>
      </w:r>
      <w:r w:rsidR="00291177">
        <w:t>.</w:t>
      </w:r>
    </w:p>
    <w:p w14:paraId="68DFC663" w14:textId="130E80F8" w:rsidR="00ED06E4" w:rsidRDefault="00ED06E4" w:rsidP="00ED06E4">
      <w:pPr>
        <w:pStyle w:val="CETTabletitle"/>
      </w:pPr>
      <w:r w:rsidRPr="00B57B36">
        <w:t xml:space="preserve">Table </w:t>
      </w:r>
      <w:r w:rsidR="00750910">
        <w:t>2</w:t>
      </w:r>
      <w:r w:rsidRPr="00B57B36">
        <w:t xml:space="preserve">: </w:t>
      </w:r>
      <w:r>
        <w:t>Description of the growth unit streams</w:t>
      </w:r>
      <w:r w:rsidR="005F3734">
        <w:t>.</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0"/>
        <w:gridCol w:w="146"/>
        <w:gridCol w:w="1122"/>
        <w:gridCol w:w="1824"/>
        <w:gridCol w:w="1509"/>
        <w:gridCol w:w="1423"/>
      </w:tblGrid>
      <w:tr w:rsidR="00930301" w:rsidRPr="00B57B36" w14:paraId="4873859E" w14:textId="77777777" w:rsidTr="008B276D">
        <w:trPr>
          <w:trHeight w:val="362"/>
        </w:trPr>
        <w:tc>
          <w:tcPr>
            <w:tcW w:w="2258" w:type="dxa"/>
            <w:tcBorders>
              <w:top w:val="single" w:sz="12" w:space="0" w:color="008000"/>
              <w:bottom w:val="single" w:sz="6" w:space="0" w:color="008000"/>
            </w:tcBorders>
            <w:shd w:val="clear" w:color="auto" w:fill="FFFFFF"/>
          </w:tcPr>
          <w:p w14:paraId="42D968BE" w14:textId="6E0AFFDD" w:rsidR="00ED06E4" w:rsidRPr="00B57B36" w:rsidRDefault="00ED06E4" w:rsidP="00A82292">
            <w:pPr>
              <w:pStyle w:val="CETBodytext"/>
              <w:jc w:val="left"/>
              <w:rPr>
                <w:lang w:val="en-GB"/>
              </w:rPr>
            </w:pPr>
            <w:r>
              <w:rPr>
                <w:lang w:val="en-GB"/>
              </w:rPr>
              <w:t>Growth reactor</w:t>
            </w:r>
          </w:p>
        </w:tc>
        <w:tc>
          <w:tcPr>
            <w:tcW w:w="152" w:type="dxa"/>
            <w:tcBorders>
              <w:top w:val="single" w:sz="12" w:space="0" w:color="008000"/>
              <w:bottom w:val="single" w:sz="6" w:space="0" w:color="008000"/>
            </w:tcBorders>
            <w:shd w:val="clear" w:color="auto" w:fill="FFFFFF"/>
          </w:tcPr>
          <w:p w14:paraId="2994153F" w14:textId="77777777" w:rsidR="00ED06E4" w:rsidRPr="00B57B36" w:rsidRDefault="00ED06E4" w:rsidP="00A82292">
            <w:pPr>
              <w:pStyle w:val="CETBodytext"/>
              <w:jc w:val="left"/>
              <w:rPr>
                <w:lang w:val="en-GB"/>
              </w:rPr>
            </w:pPr>
          </w:p>
        </w:tc>
        <w:tc>
          <w:tcPr>
            <w:tcW w:w="1134" w:type="dxa"/>
            <w:tcBorders>
              <w:top w:val="single" w:sz="12" w:space="0" w:color="008000"/>
              <w:bottom w:val="single" w:sz="6" w:space="0" w:color="008000"/>
            </w:tcBorders>
            <w:shd w:val="clear" w:color="auto" w:fill="FFFFFF"/>
          </w:tcPr>
          <w:p w14:paraId="30FFCBA8" w14:textId="0C689DB4" w:rsidR="00ED06E4" w:rsidRPr="00B57B36" w:rsidRDefault="00ED06E4" w:rsidP="00A82292">
            <w:pPr>
              <w:pStyle w:val="CETBodytext"/>
              <w:jc w:val="left"/>
              <w:rPr>
                <w:lang w:val="en-GB"/>
              </w:rPr>
            </w:pPr>
            <w:r>
              <w:rPr>
                <w:lang w:val="en-GB"/>
              </w:rPr>
              <w:t>G</w:t>
            </w:r>
            <w:r w:rsidRPr="00ED06E4">
              <w:rPr>
                <w:vertAlign w:val="subscript"/>
                <w:lang w:val="en-GB"/>
              </w:rPr>
              <w:t>BIOMASS</w:t>
            </w:r>
            <w:r>
              <w:rPr>
                <w:lang w:val="en-GB"/>
              </w:rPr>
              <w:t>-in</w:t>
            </w:r>
          </w:p>
        </w:tc>
        <w:tc>
          <w:tcPr>
            <w:tcW w:w="1843" w:type="dxa"/>
            <w:tcBorders>
              <w:top w:val="single" w:sz="12" w:space="0" w:color="008000"/>
              <w:bottom w:val="single" w:sz="6" w:space="0" w:color="008000"/>
            </w:tcBorders>
            <w:shd w:val="clear" w:color="auto" w:fill="FFFFFF"/>
          </w:tcPr>
          <w:p w14:paraId="6034C798" w14:textId="04958E91" w:rsidR="00ED06E4" w:rsidRPr="00B57B36" w:rsidRDefault="00ED06E4" w:rsidP="00A82292">
            <w:pPr>
              <w:pStyle w:val="CETBodytext"/>
              <w:jc w:val="left"/>
              <w:rPr>
                <w:lang w:val="en-GB"/>
              </w:rPr>
            </w:pPr>
            <w:r>
              <w:rPr>
                <w:lang w:val="en-GB"/>
              </w:rPr>
              <w:t>L</w:t>
            </w:r>
            <w:r w:rsidRPr="00ED06E4">
              <w:rPr>
                <w:vertAlign w:val="subscript"/>
                <w:lang w:val="en-GB"/>
              </w:rPr>
              <w:t>BIOMASS</w:t>
            </w:r>
            <w:r>
              <w:rPr>
                <w:lang w:val="en-GB"/>
              </w:rPr>
              <w:t>-in</w:t>
            </w:r>
          </w:p>
        </w:tc>
        <w:tc>
          <w:tcPr>
            <w:tcW w:w="1534" w:type="dxa"/>
            <w:tcBorders>
              <w:top w:val="single" w:sz="12" w:space="0" w:color="008000"/>
              <w:bottom w:val="single" w:sz="6" w:space="0" w:color="008000"/>
            </w:tcBorders>
            <w:shd w:val="clear" w:color="auto" w:fill="FFFFFF"/>
          </w:tcPr>
          <w:p w14:paraId="63D9EAB5" w14:textId="5207814E" w:rsidR="00ED06E4" w:rsidRPr="00B57B36" w:rsidRDefault="00ED06E4" w:rsidP="00A82292">
            <w:pPr>
              <w:pStyle w:val="CETBodytext"/>
              <w:ind w:right="-1"/>
              <w:jc w:val="left"/>
              <w:rPr>
                <w:rFonts w:cs="Arial"/>
                <w:szCs w:val="18"/>
                <w:lang w:val="en-GB"/>
              </w:rPr>
            </w:pPr>
            <w:r>
              <w:rPr>
                <w:rFonts w:cs="Arial"/>
                <w:szCs w:val="18"/>
                <w:lang w:val="en-GB"/>
              </w:rPr>
              <w:t>G</w:t>
            </w:r>
            <w:r w:rsidRPr="00ED06E4">
              <w:rPr>
                <w:vertAlign w:val="subscript"/>
                <w:lang w:val="en-GB"/>
              </w:rPr>
              <w:t>BIOMASS</w:t>
            </w:r>
            <w:r>
              <w:rPr>
                <w:rFonts w:cs="Arial"/>
                <w:szCs w:val="18"/>
                <w:lang w:val="en-GB"/>
              </w:rPr>
              <w:t>-out</w:t>
            </w:r>
          </w:p>
        </w:tc>
        <w:tc>
          <w:tcPr>
            <w:tcW w:w="1443" w:type="dxa"/>
            <w:tcBorders>
              <w:top w:val="single" w:sz="12" w:space="0" w:color="008000"/>
              <w:bottom w:val="single" w:sz="6" w:space="0" w:color="008000"/>
            </w:tcBorders>
            <w:shd w:val="clear" w:color="auto" w:fill="FFFFFF"/>
          </w:tcPr>
          <w:p w14:paraId="3A0E0F73" w14:textId="25AE2BC3" w:rsidR="00ED06E4" w:rsidRPr="00B57B36" w:rsidRDefault="00ED06E4" w:rsidP="00A82292">
            <w:pPr>
              <w:pStyle w:val="CETBodytext"/>
              <w:ind w:right="-1"/>
              <w:rPr>
                <w:rFonts w:cs="Arial"/>
                <w:szCs w:val="18"/>
                <w:lang w:val="en-GB"/>
              </w:rPr>
            </w:pPr>
            <w:r>
              <w:rPr>
                <w:rFonts w:cs="Arial"/>
                <w:szCs w:val="18"/>
                <w:lang w:val="en-GB"/>
              </w:rPr>
              <w:t>L</w:t>
            </w:r>
            <w:r w:rsidRPr="00ED06E4">
              <w:rPr>
                <w:vertAlign w:val="subscript"/>
                <w:lang w:val="en-GB"/>
              </w:rPr>
              <w:t>BIOMASS</w:t>
            </w:r>
            <w:r>
              <w:rPr>
                <w:rFonts w:cs="Arial"/>
                <w:szCs w:val="18"/>
                <w:lang w:val="en-GB"/>
              </w:rPr>
              <w:t>-out</w:t>
            </w:r>
          </w:p>
        </w:tc>
      </w:tr>
      <w:tr w:rsidR="00930301" w:rsidRPr="00B57B36" w14:paraId="56DACB9A" w14:textId="77777777" w:rsidTr="008B276D">
        <w:tc>
          <w:tcPr>
            <w:tcW w:w="2258" w:type="dxa"/>
            <w:vMerge w:val="restart"/>
            <w:shd w:val="clear" w:color="auto" w:fill="FFFFFF"/>
          </w:tcPr>
          <w:p w14:paraId="12D9EC3F" w14:textId="560AF9C2" w:rsidR="00ED06E4" w:rsidRPr="00B57B36" w:rsidRDefault="00930301" w:rsidP="00A82292">
            <w:pPr>
              <w:pStyle w:val="CETBodytext"/>
              <w:jc w:val="left"/>
              <w:rPr>
                <w:lang w:val="en-GB"/>
              </w:rPr>
            </w:pPr>
            <w:r>
              <w:rPr>
                <w:noProof/>
                <w:lang w:val="es-ES" w:eastAsia="es-ES"/>
              </w:rPr>
              <w:drawing>
                <wp:inline distT="0" distB="0" distL="0" distR="0" wp14:anchorId="7E1C5EFD" wp14:editId="6F17A8D5">
                  <wp:extent cx="1485900" cy="14556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574" b="-4"/>
                          <a:stretch/>
                        </pic:blipFill>
                        <pic:spPr bwMode="auto">
                          <a:xfrm>
                            <a:off x="0" y="0"/>
                            <a:ext cx="1498201" cy="1467710"/>
                          </a:xfrm>
                          <a:prstGeom prst="rect">
                            <a:avLst/>
                          </a:prstGeom>
                          <a:ln>
                            <a:noFill/>
                          </a:ln>
                          <a:extLst>
                            <a:ext uri="{53640926-AAD7-44D8-BBD7-CCE9431645EC}">
                              <a14:shadowObscured xmlns:a14="http://schemas.microsoft.com/office/drawing/2010/main"/>
                            </a:ext>
                          </a:extLst>
                        </pic:spPr>
                      </pic:pic>
                    </a:graphicData>
                  </a:graphic>
                </wp:inline>
              </w:drawing>
            </w:r>
          </w:p>
        </w:tc>
        <w:tc>
          <w:tcPr>
            <w:tcW w:w="152" w:type="dxa"/>
            <w:shd w:val="clear" w:color="auto" w:fill="FFFFFF"/>
          </w:tcPr>
          <w:p w14:paraId="4D48EB4D" w14:textId="77777777" w:rsidR="00ED06E4" w:rsidRPr="00B57B36" w:rsidRDefault="00ED06E4" w:rsidP="00A82292">
            <w:pPr>
              <w:pStyle w:val="CETBodytext"/>
              <w:jc w:val="left"/>
              <w:rPr>
                <w:lang w:val="en-GB"/>
              </w:rPr>
            </w:pPr>
          </w:p>
        </w:tc>
        <w:tc>
          <w:tcPr>
            <w:tcW w:w="1134" w:type="dxa"/>
            <w:vMerge w:val="restart"/>
            <w:shd w:val="clear" w:color="auto" w:fill="FFFFFF"/>
          </w:tcPr>
          <w:p w14:paraId="0177CE94" w14:textId="73866B89" w:rsidR="00ED06E4" w:rsidRPr="00B57B36" w:rsidRDefault="00ED06E4" w:rsidP="00A82292">
            <w:pPr>
              <w:pStyle w:val="CETBodytext"/>
              <w:jc w:val="left"/>
              <w:rPr>
                <w:lang w:val="en-GB"/>
              </w:rPr>
            </w:pPr>
            <w:r>
              <w:rPr>
                <w:lang w:val="en-GB"/>
              </w:rPr>
              <w:t>CH</w:t>
            </w:r>
            <w:r w:rsidRPr="00ED06E4">
              <w:rPr>
                <w:vertAlign w:val="subscript"/>
                <w:lang w:val="en-GB"/>
              </w:rPr>
              <w:t>4</w:t>
            </w:r>
            <w:r>
              <w:rPr>
                <w:lang w:val="en-GB"/>
              </w:rPr>
              <w:t>, O</w:t>
            </w:r>
            <w:r w:rsidRPr="00ED06E4">
              <w:rPr>
                <w:vertAlign w:val="subscript"/>
                <w:lang w:val="en-GB"/>
              </w:rPr>
              <w:t>2</w:t>
            </w:r>
          </w:p>
        </w:tc>
        <w:tc>
          <w:tcPr>
            <w:tcW w:w="1843" w:type="dxa"/>
            <w:shd w:val="clear" w:color="auto" w:fill="FFFFFF"/>
          </w:tcPr>
          <w:p w14:paraId="6C3CC2EE" w14:textId="080F68A2" w:rsidR="00ED06E4" w:rsidRPr="00B57B36" w:rsidRDefault="00ED06E4" w:rsidP="00A82292">
            <w:pPr>
              <w:pStyle w:val="CETBodytext"/>
              <w:jc w:val="left"/>
              <w:rPr>
                <w:lang w:val="en-GB"/>
              </w:rPr>
            </w:pPr>
            <w:r>
              <w:rPr>
                <w:lang w:val="en-GB"/>
              </w:rPr>
              <w:t xml:space="preserve">Mineral salt medium containing an initial concentration of </w:t>
            </w:r>
            <w:r w:rsidR="00A66051" w:rsidRPr="00A66051">
              <w:rPr>
                <w:lang w:val="en-GB"/>
              </w:rPr>
              <w:t>the mixed methanotrophic consortium</w:t>
            </w:r>
          </w:p>
        </w:tc>
        <w:tc>
          <w:tcPr>
            <w:tcW w:w="1534" w:type="dxa"/>
            <w:shd w:val="clear" w:color="auto" w:fill="FFFFFF"/>
          </w:tcPr>
          <w:p w14:paraId="720F0305" w14:textId="6C448010" w:rsidR="00ED06E4" w:rsidRPr="00B57B36" w:rsidRDefault="00ED06E4" w:rsidP="00A82292">
            <w:pPr>
              <w:pStyle w:val="CETBodytext"/>
              <w:ind w:right="-1"/>
              <w:jc w:val="left"/>
              <w:rPr>
                <w:rFonts w:cs="Arial"/>
                <w:szCs w:val="18"/>
                <w:lang w:val="en-GB"/>
              </w:rPr>
            </w:pPr>
            <w:r>
              <w:rPr>
                <w:rFonts w:cs="Arial"/>
                <w:szCs w:val="18"/>
                <w:lang w:val="en-GB"/>
              </w:rPr>
              <w:t>CH</w:t>
            </w:r>
            <w:r w:rsidRPr="00ED06E4">
              <w:rPr>
                <w:rFonts w:cs="Arial"/>
                <w:szCs w:val="18"/>
                <w:vertAlign w:val="subscript"/>
                <w:lang w:val="en-GB"/>
              </w:rPr>
              <w:t>4</w:t>
            </w:r>
            <w:r>
              <w:rPr>
                <w:rFonts w:cs="Arial"/>
                <w:szCs w:val="18"/>
                <w:lang w:val="en-GB"/>
              </w:rPr>
              <w:t>, O</w:t>
            </w:r>
            <w:r w:rsidRPr="00ED06E4">
              <w:rPr>
                <w:rFonts w:cs="Arial"/>
                <w:szCs w:val="18"/>
                <w:vertAlign w:val="subscript"/>
                <w:lang w:val="en-GB"/>
              </w:rPr>
              <w:t>2</w:t>
            </w:r>
            <w:r w:rsidR="00A4279F">
              <w:rPr>
                <w:rFonts w:cs="Arial"/>
                <w:szCs w:val="18"/>
                <w:vertAlign w:val="subscript"/>
                <w:lang w:val="en-GB"/>
              </w:rPr>
              <w:t>,</w:t>
            </w:r>
            <w:r>
              <w:rPr>
                <w:rFonts w:cs="Arial"/>
                <w:szCs w:val="18"/>
                <w:lang w:val="en-GB"/>
              </w:rPr>
              <w:t xml:space="preserve"> CO</w:t>
            </w:r>
            <w:r w:rsidRPr="00ED06E4">
              <w:rPr>
                <w:rFonts w:cs="Arial"/>
                <w:szCs w:val="18"/>
                <w:vertAlign w:val="subscript"/>
                <w:lang w:val="en-GB"/>
              </w:rPr>
              <w:t>2</w:t>
            </w:r>
          </w:p>
        </w:tc>
        <w:tc>
          <w:tcPr>
            <w:tcW w:w="1443" w:type="dxa"/>
            <w:shd w:val="clear" w:color="auto" w:fill="FFFFFF"/>
          </w:tcPr>
          <w:p w14:paraId="44F3C509" w14:textId="2E26973C" w:rsidR="00ED06E4" w:rsidRPr="00B57B36" w:rsidRDefault="00ED06E4" w:rsidP="005F3734">
            <w:pPr>
              <w:pStyle w:val="CETBodytext"/>
              <w:ind w:right="-1"/>
              <w:jc w:val="left"/>
              <w:rPr>
                <w:rFonts w:cs="Arial"/>
                <w:szCs w:val="18"/>
                <w:lang w:val="en-GB"/>
              </w:rPr>
            </w:pPr>
            <w:r>
              <w:rPr>
                <w:rFonts w:cs="Arial"/>
                <w:szCs w:val="18"/>
                <w:lang w:val="en-GB"/>
              </w:rPr>
              <w:t>Mineral salt medium containing the grown biomass</w:t>
            </w:r>
          </w:p>
        </w:tc>
      </w:tr>
      <w:tr w:rsidR="00930301" w:rsidRPr="00B57B36" w14:paraId="58867403" w14:textId="77777777" w:rsidTr="008B276D">
        <w:tc>
          <w:tcPr>
            <w:tcW w:w="2258" w:type="dxa"/>
            <w:vMerge/>
            <w:shd w:val="clear" w:color="auto" w:fill="FFFFFF"/>
          </w:tcPr>
          <w:p w14:paraId="22C1AAEA" w14:textId="77777777" w:rsidR="00ED06E4" w:rsidRPr="00B57B36" w:rsidRDefault="00ED06E4" w:rsidP="00A82292">
            <w:pPr>
              <w:pStyle w:val="CETBodytext"/>
              <w:jc w:val="left"/>
              <w:rPr>
                <w:lang w:val="en-GB"/>
              </w:rPr>
            </w:pPr>
          </w:p>
        </w:tc>
        <w:tc>
          <w:tcPr>
            <w:tcW w:w="152" w:type="dxa"/>
            <w:shd w:val="clear" w:color="auto" w:fill="FFFFFF"/>
          </w:tcPr>
          <w:p w14:paraId="7AC68FEC" w14:textId="77777777" w:rsidR="00ED06E4" w:rsidRPr="00B57B36" w:rsidRDefault="00ED06E4" w:rsidP="00A82292">
            <w:pPr>
              <w:pStyle w:val="CETBodytext"/>
              <w:jc w:val="left"/>
              <w:rPr>
                <w:lang w:val="en-GB"/>
              </w:rPr>
            </w:pPr>
          </w:p>
        </w:tc>
        <w:tc>
          <w:tcPr>
            <w:tcW w:w="1134" w:type="dxa"/>
            <w:vMerge/>
            <w:shd w:val="clear" w:color="auto" w:fill="FFFFFF"/>
          </w:tcPr>
          <w:p w14:paraId="2E8C446D" w14:textId="77777777" w:rsidR="00ED06E4" w:rsidRDefault="00ED06E4" w:rsidP="00A82292">
            <w:pPr>
              <w:pStyle w:val="CETBodytext"/>
              <w:jc w:val="left"/>
              <w:rPr>
                <w:lang w:val="en-GB"/>
              </w:rPr>
            </w:pPr>
          </w:p>
        </w:tc>
        <w:tc>
          <w:tcPr>
            <w:tcW w:w="1843" w:type="dxa"/>
            <w:shd w:val="clear" w:color="auto" w:fill="FFFFFF"/>
          </w:tcPr>
          <w:p w14:paraId="5629CE75" w14:textId="77777777" w:rsidR="00ED06E4" w:rsidRDefault="00ED06E4" w:rsidP="00A82292">
            <w:pPr>
              <w:pStyle w:val="CETBodytext"/>
              <w:jc w:val="left"/>
              <w:rPr>
                <w:lang w:val="en-GB"/>
              </w:rPr>
            </w:pPr>
          </w:p>
        </w:tc>
        <w:tc>
          <w:tcPr>
            <w:tcW w:w="1534" w:type="dxa"/>
            <w:shd w:val="clear" w:color="auto" w:fill="FFFFFF"/>
          </w:tcPr>
          <w:p w14:paraId="1CE23593" w14:textId="77777777" w:rsidR="00ED06E4" w:rsidRDefault="00ED06E4" w:rsidP="00A82292">
            <w:pPr>
              <w:pStyle w:val="CETBodytext"/>
              <w:ind w:right="-1"/>
              <w:jc w:val="left"/>
              <w:rPr>
                <w:rFonts w:cs="Arial"/>
                <w:szCs w:val="18"/>
                <w:lang w:val="en-GB"/>
              </w:rPr>
            </w:pPr>
          </w:p>
        </w:tc>
        <w:tc>
          <w:tcPr>
            <w:tcW w:w="1443" w:type="dxa"/>
            <w:shd w:val="clear" w:color="auto" w:fill="FFFFFF"/>
          </w:tcPr>
          <w:p w14:paraId="2D2DFE6D" w14:textId="77777777" w:rsidR="00ED06E4" w:rsidRDefault="00ED06E4" w:rsidP="00A82292">
            <w:pPr>
              <w:pStyle w:val="CETBodytext"/>
              <w:ind w:right="-1"/>
              <w:rPr>
                <w:rFonts w:cs="Arial"/>
                <w:szCs w:val="18"/>
                <w:lang w:val="en-GB"/>
              </w:rPr>
            </w:pPr>
          </w:p>
        </w:tc>
      </w:tr>
      <w:tr w:rsidR="00930301" w:rsidRPr="00B57B36" w14:paraId="310B8A35" w14:textId="77777777" w:rsidTr="008B276D">
        <w:tc>
          <w:tcPr>
            <w:tcW w:w="2258" w:type="dxa"/>
            <w:vMerge/>
            <w:shd w:val="clear" w:color="auto" w:fill="FFFFFF"/>
          </w:tcPr>
          <w:p w14:paraId="391D7DD1" w14:textId="77777777" w:rsidR="00ED06E4" w:rsidRPr="00B57B36" w:rsidRDefault="00ED06E4" w:rsidP="00A82292">
            <w:pPr>
              <w:pStyle w:val="CETBodytext"/>
              <w:jc w:val="left"/>
              <w:rPr>
                <w:lang w:val="en-GB"/>
              </w:rPr>
            </w:pPr>
          </w:p>
        </w:tc>
        <w:tc>
          <w:tcPr>
            <w:tcW w:w="152" w:type="dxa"/>
            <w:shd w:val="clear" w:color="auto" w:fill="FFFFFF"/>
          </w:tcPr>
          <w:p w14:paraId="3B7095E4" w14:textId="77777777" w:rsidR="00ED06E4" w:rsidRPr="00B57B36" w:rsidRDefault="00ED06E4" w:rsidP="00A82292">
            <w:pPr>
              <w:pStyle w:val="CETBodytext"/>
              <w:jc w:val="left"/>
              <w:rPr>
                <w:lang w:val="en-GB"/>
              </w:rPr>
            </w:pPr>
          </w:p>
        </w:tc>
        <w:tc>
          <w:tcPr>
            <w:tcW w:w="1134" w:type="dxa"/>
            <w:vMerge/>
            <w:shd w:val="clear" w:color="auto" w:fill="FFFFFF"/>
          </w:tcPr>
          <w:p w14:paraId="693312EF" w14:textId="77777777" w:rsidR="00ED06E4" w:rsidRDefault="00ED06E4" w:rsidP="00A82292">
            <w:pPr>
              <w:pStyle w:val="CETBodytext"/>
              <w:jc w:val="left"/>
              <w:rPr>
                <w:lang w:val="en-GB"/>
              </w:rPr>
            </w:pPr>
          </w:p>
        </w:tc>
        <w:tc>
          <w:tcPr>
            <w:tcW w:w="1843" w:type="dxa"/>
            <w:shd w:val="clear" w:color="auto" w:fill="FFFFFF"/>
          </w:tcPr>
          <w:p w14:paraId="676A431F" w14:textId="77777777" w:rsidR="00ED06E4" w:rsidRDefault="00ED06E4" w:rsidP="00A82292">
            <w:pPr>
              <w:pStyle w:val="CETBodytext"/>
              <w:jc w:val="left"/>
              <w:rPr>
                <w:lang w:val="en-GB"/>
              </w:rPr>
            </w:pPr>
          </w:p>
        </w:tc>
        <w:tc>
          <w:tcPr>
            <w:tcW w:w="1534" w:type="dxa"/>
            <w:shd w:val="clear" w:color="auto" w:fill="FFFFFF"/>
          </w:tcPr>
          <w:p w14:paraId="729DF678" w14:textId="77777777" w:rsidR="00ED06E4" w:rsidRDefault="00ED06E4" w:rsidP="00A82292">
            <w:pPr>
              <w:pStyle w:val="CETBodytext"/>
              <w:ind w:right="-1"/>
              <w:jc w:val="left"/>
              <w:rPr>
                <w:rFonts w:cs="Arial"/>
                <w:szCs w:val="18"/>
                <w:lang w:val="en-GB"/>
              </w:rPr>
            </w:pPr>
          </w:p>
        </w:tc>
        <w:tc>
          <w:tcPr>
            <w:tcW w:w="1443" w:type="dxa"/>
            <w:shd w:val="clear" w:color="auto" w:fill="FFFFFF"/>
          </w:tcPr>
          <w:p w14:paraId="31053D40" w14:textId="77777777" w:rsidR="00ED06E4" w:rsidRDefault="00ED06E4" w:rsidP="00A82292">
            <w:pPr>
              <w:pStyle w:val="CETBodytext"/>
              <w:ind w:right="-1"/>
              <w:rPr>
                <w:rFonts w:cs="Arial"/>
                <w:szCs w:val="18"/>
                <w:lang w:val="en-GB"/>
              </w:rPr>
            </w:pPr>
          </w:p>
        </w:tc>
      </w:tr>
    </w:tbl>
    <w:p w14:paraId="448EB91E" w14:textId="3260948F" w:rsidR="005664F5" w:rsidRPr="00ED06E4" w:rsidRDefault="005664F5" w:rsidP="006852B1">
      <w:pPr>
        <w:pStyle w:val="CETBodytext"/>
        <w:rPr>
          <w:lang w:val="en-GB"/>
        </w:rPr>
      </w:pPr>
    </w:p>
    <w:p w14:paraId="3E2FF190" w14:textId="19487DF8" w:rsidR="005664F5" w:rsidRDefault="005664F5" w:rsidP="006852B1">
      <w:pPr>
        <w:pStyle w:val="CETBodytext"/>
      </w:pPr>
      <w:r>
        <w:t xml:space="preserve">In </w:t>
      </w:r>
      <w:r w:rsidR="00AC6897">
        <w:t xml:space="preserve">these </w:t>
      </w:r>
      <w:r>
        <w:t>conditions, ammonia, methane and oxygen are converted to CO</w:t>
      </w:r>
      <w:r w:rsidRPr="00DB4892">
        <w:rPr>
          <w:vertAlign w:val="subscript"/>
        </w:rPr>
        <w:t xml:space="preserve">2 </w:t>
      </w:r>
      <w:r>
        <w:t>and biomass</w:t>
      </w:r>
      <w:r w:rsidR="00663493">
        <w:t xml:space="preserve"> (C</w:t>
      </w:r>
      <w:r w:rsidR="00663493" w:rsidRPr="00E04DFE">
        <w:rPr>
          <w:vertAlign w:val="subscript"/>
        </w:rPr>
        <w:t>5</w:t>
      </w:r>
      <w:r w:rsidR="00663493">
        <w:t>H</w:t>
      </w:r>
      <w:r w:rsidR="00663493" w:rsidRPr="00E04DFE">
        <w:rPr>
          <w:vertAlign w:val="subscript"/>
        </w:rPr>
        <w:t>7</w:t>
      </w:r>
      <w:r w:rsidR="00663493">
        <w:t>NO</w:t>
      </w:r>
      <w:r w:rsidR="00663493" w:rsidRPr="00E04DFE">
        <w:rPr>
          <w:vertAlign w:val="subscript"/>
        </w:rPr>
        <w:t>2</w:t>
      </w:r>
      <w:r w:rsidR="00663493">
        <w:t>)</w:t>
      </w:r>
      <w:r>
        <w:t>,</w:t>
      </w:r>
      <w:r w:rsidR="00B75D8A">
        <w:t xml:space="preserve"> </w:t>
      </w:r>
      <w:r>
        <w:t xml:space="preserve">according to the reaction proposed by </w:t>
      </w:r>
      <w:r w:rsidR="00AF42E3">
        <w:fldChar w:fldCharType="begin" w:fldLock="1"/>
      </w:r>
      <w:r w:rsidR="00750910">
        <w:instrText>ADDIN CSL_CITATION {"citationItems":[{"id":"ITEM-1","itemData":{"DOI":"10.1016/j.biortech.2012.12.129","ISSN":"18732976","abstract":"In this study, modeling is used to describe how oxygen and nitrogen source affect the stoichiometry and kinetics of growth and PHB production in the Type II methanotrophs Methylosinus trichosporium OB3b and Methylocystis parvus OBBP. Significant differences were observed, with major implications for the use of these species in biotechnology applications. Such analyses can better inform bioreactor design, scale-up models, and life cycle assessments (LCAs). © 2012 .","author":[{"dropping-particle":"","family":"Rostkowski","given":"Katherine H.","non-dropping-particle":"","parse-names":false,"suffix":""},{"dropping-particle":"","family":"Pfluger","given":"Andrew R.","non-dropping-particle":"","parse-names":false,"suffix":""},{"dropping-particle":"","family":"Criddle","given":"Craig S.","non-dropping-particle":"","parse-names":false,"suffix":""}],"container-title":"Bioresource Technology","id":"ITEM-1","issued":{"date-parts":[["2013"]]},"page":"71-77","title":"Stoichiometry and kinetics of the PHB-producing Type II methanotrophs Methylosinus trichosporium OB3b and Methylocystis parvus OBBP","type":"article-journal","volume":"132"},"uris":["http://www.mendeley.com/documents/?uuid=c1d42080-ea64-4fb3-b5f2-fb55b7af72d6"]}],"mendeley":{"formattedCitation":"(Rostkowski et al., 2013)","manualFormatting":"Rostkowski et al. (2013)","plainTextFormattedCitation":"(Rostkowski et al., 2013)","previouslyFormattedCitation":"(Rostkowski et al., 2013)"},"properties":{"noteIndex":0},"schema":"https://github.com/citation-style-language/schema/raw/master/csl-citation.json"}</w:instrText>
      </w:r>
      <w:r w:rsidR="00AF42E3">
        <w:fldChar w:fldCharType="separate"/>
      </w:r>
      <w:r w:rsidR="00AF42E3" w:rsidRPr="00AF42E3">
        <w:rPr>
          <w:noProof/>
        </w:rPr>
        <w:t xml:space="preserve">Rostkowski et al. </w:t>
      </w:r>
      <w:r w:rsidR="00750910">
        <w:rPr>
          <w:noProof/>
        </w:rPr>
        <w:t>(</w:t>
      </w:r>
      <w:r w:rsidR="00AF42E3" w:rsidRPr="00AF42E3">
        <w:rPr>
          <w:noProof/>
        </w:rPr>
        <w:t>2013)</w:t>
      </w:r>
      <w:r w:rsidR="00AF42E3">
        <w:fldChar w:fldCharType="end"/>
      </w:r>
      <w:r w:rsidR="00AF42E3">
        <w:t xml:space="preserve"> </w:t>
      </w:r>
      <w:r>
        <w:t>(Eq.1)</w:t>
      </w:r>
      <w:r w:rsidR="00B75D8A">
        <w:t>.</w:t>
      </w:r>
    </w:p>
    <w:p w14:paraId="5ABEAAF9" w14:textId="77777777" w:rsidR="00B75D8A" w:rsidRDefault="00B75D8A" w:rsidP="006852B1">
      <w:pPr>
        <w:pStyle w:val="CETBodytext"/>
      </w:pPr>
    </w:p>
    <w:p w14:paraId="4E2187A9" w14:textId="72EAA0C5" w:rsidR="005664F5" w:rsidRPr="005F3734" w:rsidRDefault="00000000" w:rsidP="006852B1">
      <w:pPr>
        <w:pStyle w:val="CETBodytext"/>
        <w:rPr>
          <w:rFonts w:cs="Arial"/>
          <w:lang w:val="en-GB"/>
        </w:rPr>
      </w:pPr>
      <m:oMath>
        <m:f>
          <m:fPr>
            <m:ctrlPr>
              <w:rPr>
                <w:rFonts w:ascii="Cambria Math" w:hAnsi="Cambria Math" w:cs="Arial"/>
                <w:i/>
                <w:lang w:val="en-GB"/>
              </w:rPr>
            </m:ctrlPr>
          </m:fPr>
          <m:num>
            <m:r>
              <m:rPr>
                <m:nor/>
              </m:rPr>
              <w:rPr>
                <w:rFonts w:cs="Arial"/>
                <w:lang w:val="en-GB"/>
              </w:rPr>
              <m:t>1</m:t>
            </m:r>
          </m:num>
          <m:den>
            <m:r>
              <m:rPr>
                <m:nor/>
              </m:rPr>
              <w:rPr>
                <w:rFonts w:cs="Arial"/>
                <w:lang w:val="en-GB"/>
              </w:rPr>
              <m:t>4</m:t>
            </m:r>
          </m:den>
        </m:f>
        <m:r>
          <m:rPr>
            <m:nor/>
          </m:rPr>
          <w:rPr>
            <w:rFonts w:cs="Arial"/>
            <w:lang w:val="en-GB"/>
          </w:rPr>
          <m:t>C</m:t>
        </m:r>
        <m:sSub>
          <m:sSubPr>
            <m:ctrlPr>
              <w:rPr>
                <w:rFonts w:ascii="Cambria Math" w:hAnsi="Cambria Math" w:cs="Arial"/>
                <w:i/>
                <w:lang w:val="en-GB"/>
              </w:rPr>
            </m:ctrlPr>
          </m:sSubPr>
          <m:e>
            <m:r>
              <m:rPr>
                <m:nor/>
              </m:rPr>
              <w:rPr>
                <w:rFonts w:cs="Arial"/>
                <w:lang w:val="en-GB"/>
              </w:rPr>
              <m:t>H</m:t>
            </m:r>
          </m:e>
          <m:sub>
            <m:r>
              <m:rPr>
                <m:nor/>
              </m:rPr>
              <w:rPr>
                <w:rFonts w:cs="Arial"/>
                <w:lang w:val="en-GB"/>
              </w:rPr>
              <m:t>4</m:t>
            </m:r>
          </m:sub>
        </m:sSub>
        <m:r>
          <m:rPr>
            <m:nor/>
          </m:rPr>
          <w:rPr>
            <w:rFonts w:cs="Arial"/>
            <w:lang w:val="en-GB"/>
          </w:rPr>
          <m:t>+</m:t>
        </m:r>
        <m:d>
          <m:dPr>
            <m:ctrlPr>
              <w:rPr>
                <w:rFonts w:ascii="Cambria Math" w:hAnsi="Cambria Math" w:cs="Arial"/>
                <w:i/>
                <w:lang w:val="en-GB"/>
              </w:rPr>
            </m:ctrlPr>
          </m:dPr>
          <m:e>
            <m:f>
              <m:fPr>
                <m:ctrlPr>
                  <w:rPr>
                    <w:rFonts w:ascii="Cambria Math" w:hAnsi="Cambria Math" w:cs="Arial"/>
                    <w:i/>
                    <w:lang w:val="en-GB"/>
                  </w:rPr>
                </m:ctrlPr>
              </m:fPr>
              <m:num>
                <m:r>
                  <m:rPr>
                    <m:nor/>
                  </m:rPr>
                  <w:rPr>
                    <w:rFonts w:cs="Arial"/>
                    <w:lang w:val="en-GB"/>
                  </w:rPr>
                  <m:t>1</m:t>
                </m:r>
              </m:num>
              <m:den>
                <m:r>
                  <m:rPr>
                    <m:nor/>
                  </m:rPr>
                  <w:rPr>
                    <w:rFonts w:cs="Arial"/>
                    <w:lang w:val="en-GB"/>
                  </w:rPr>
                  <m:t>4</m:t>
                </m:r>
              </m:den>
            </m:f>
            <m:r>
              <m:rPr>
                <m:nor/>
              </m:rPr>
              <w:rPr>
                <w:rFonts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m:rPr>
                        <m:nor/>
                      </m:rPr>
                      <w:rPr>
                        <w:rFonts w:cs="Arial"/>
                        <w:lang w:val="en-GB"/>
                      </w:rPr>
                      <m:t>f</m:t>
                    </m:r>
                  </m:e>
                  <m:sub>
                    <m:r>
                      <m:rPr>
                        <m:nor/>
                      </m:rPr>
                      <w:rPr>
                        <w:rFonts w:cs="Arial"/>
                        <w:lang w:val="en-GB"/>
                      </w:rPr>
                      <m:t>e</m:t>
                    </m:r>
                  </m:sub>
                </m:sSub>
              </m:num>
              <m:den>
                <m:r>
                  <m:rPr>
                    <m:nor/>
                  </m:rPr>
                  <w:rPr>
                    <w:rFonts w:cs="Arial"/>
                    <w:lang w:val="en-GB"/>
                  </w:rPr>
                  <m:t>4</m:t>
                </m:r>
              </m:den>
            </m:f>
          </m:e>
        </m:d>
        <m:sSub>
          <m:sSubPr>
            <m:ctrlPr>
              <w:rPr>
                <w:rFonts w:ascii="Cambria Math" w:hAnsi="Cambria Math" w:cs="Arial"/>
                <w:i/>
                <w:lang w:val="en-GB"/>
              </w:rPr>
            </m:ctrlPr>
          </m:sSubPr>
          <m:e>
            <m:r>
              <m:rPr>
                <m:nor/>
              </m:rPr>
              <w:rPr>
                <w:rFonts w:cs="Arial"/>
                <w:lang w:val="en-GB"/>
              </w:rPr>
              <m:t>O</m:t>
            </m:r>
          </m:e>
          <m:sub>
            <m:r>
              <m:rPr>
                <m:nor/>
              </m:rPr>
              <w:rPr>
                <w:rFonts w:cs="Arial"/>
                <w:lang w:val="en-GB"/>
              </w:rPr>
              <m:t>2</m:t>
            </m:r>
          </m:sub>
        </m:sSub>
        <m:r>
          <m:rPr>
            <m:nor/>
          </m:rPr>
          <w:rPr>
            <w:rFonts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num>
          <m:den>
            <m:r>
              <m:rPr>
                <m:nor/>
              </m:rPr>
              <w:rPr>
                <w:rFonts w:cs="Arial"/>
                <w:lang w:val="en-GB"/>
              </w:rPr>
              <m:t>23</m:t>
            </m:r>
          </m:den>
        </m:f>
        <m:r>
          <m:rPr>
            <m:nor/>
          </m:rPr>
          <w:rPr>
            <w:rFonts w:cs="Arial"/>
            <w:lang w:val="en-GB"/>
          </w:rPr>
          <m:t>HC</m:t>
        </m:r>
        <m:sSubSup>
          <m:sSubSupPr>
            <m:ctrlPr>
              <w:rPr>
                <w:rFonts w:ascii="Cambria Math" w:hAnsi="Cambria Math" w:cs="Arial"/>
                <w:i/>
                <w:lang w:val="en-GB"/>
              </w:rPr>
            </m:ctrlPr>
          </m:sSubSupPr>
          <m:e>
            <m:r>
              <m:rPr>
                <m:nor/>
              </m:rPr>
              <w:rPr>
                <w:rFonts w:cs="Arial"/>
                <w:lang w:val="en-GB"/>
              </w:rPr>
              <m:t>O</m:t>
            </m:r>
          </m:e>
          <m:sub>
            <m:r>
              <m:rPr>
                <m:nor/>
              </m:rPr>
              <w:rPr>
                <w:rFonts w:cs="Arial"/>
                <w:lang w:val="en-GB"/>
              </w:rPr>
              <m:t>3</m:t>
            </m:r>
          </m:sub>
          <m:sup>
            <m:r>
              <m:rPr>
                <m:nor/>
              </m:rPr>
              <w:rPr>
                <w:rFonts w:cs="Arial"/>
                <w:lang w:val="en-GB"/>
              </w:rPr>
              <m:t>-</m:t>
            </m:r>
          </m:sup>
        </m:sSubSup>
        <m:r>
          <m:rPr>
            <m:nor/>
          </m:rPr>
          <w:rPr>
            <w:rFonts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num>
          <m:den>
            <m:r>
              <m:rPr>
                <m:nor/>
              </m:rPr>
              <w:rPr>
                <w:rFonts w:cs="Arial"/>
                <w:lang w:val="en-GB"/>
              </w:rPr>
              <m:t>23</m:t>
            </m:r>
          </m:den>
        </m:f>
        <m:r>
          <m:rPr>
            <m:nor/>
          </m:rPr>
          <w:rPr>
            <w:rFonts w:cs="Arial"/>
            <w:lang w:val="en-GB"/>
          </w:rPr>
          <m:t>N</m:t>
        </m:r>
        <m:sSubSup>
          <m:sSubSupPr>
            <m:ctrlPr>
              <w:rPr>
                <w:rFonts w:ascii="Cambria Math" w:hAnsi="Cambria Math" w:cs="Arial"/>
                <w:i/>
                <w:lang w:val="en-GB"/>
              </w:rPr>
            </m:ctrlPr>
          </m:sSubSupPr>
          <m:e>
            <m:r>
              <m:rPr>
                <m:nor/>
              </m:rPr>
              <w:rPr>
                <w:rFonts w:cs="Arial"/>
                <w:lang w:val="en-GB"/>
              </w:rPr>
              <m:t>H</m:t>
            </m:r>
          </m:e>
          <m:sub>
            <m:r>
              <m:rPr>
                <m:nor/>
              </m:rPr>
              <w:rPr>
                <w:rFonts w:cs="Arial"/>
                <w:lang w:val="en-GB"/>
              </w:rPr>
              <m:t>4</m:t>
            </m:r>
          </m:sub>
          <m:sup>
            <m:r>
              <m:rPr>
                <m:nor/>
              </m:rPr>
              <w:rPr>
                <w:rFonts w:cs="Arial"/>
                <w:lang w:val="en-GB"/>
              </w:rPr>
              <m:t>+</m:t>
            </m:r>
          </m:sup>
        </m:sSubSup>
        <m:d>
          <m:dPr>
            <m:ctrlPr>
              <w:rPr>
                <w:rFonts w:ascii="Cambria Math" w:hAnsi="Cambria Math" w:cs="Arial"/>
                <w:i/>
                <w:lang w:val="en-GB"/>
              </w:rPr>
            </m:ctrlPr>
          </m:dPr>
          <m:e>
            <m:f>
              <m:fPr>
                <m:ctrlPr>
                  <w:rPr>
                    <w:rFonts w:ascii="Cambria Math" w:hAnsi="Cambria Math" w:cs="Arial"/>
                    <w:i/>
                    <w:lang w:val="en-GB"/>
                  </w:rPr>
                </m:ctrlPr>
              </m:fPr>
              <m:num>
                <m:r>
                  <m:rPr>
                    <m:nor/>
                  </m:rPr>
                  <w:rPr>
                    <w:rFonts w:cs="Arial"/>
                    <w:lang w:val="en-GB"/>
                  </w:rPr>
                  <m:t>24</m:t>
                </m:r>
              </m:num>
              <m:den>
                <m:r>
                  <m:rPr>
                    <m:nor/>
                  </m:rPr>
                  <w:rPr>
                    <w:rFonts w:cs="Arial"/>
                    <w:lang w:val="en-GB"/>
                  </w:rPr>
                  <m:t>23</m:t>
                </m:r>
              </m:den>
            </m:f>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r>
              <m:rPr>
                <m:nor/>
              </m:rPr>
              <w:rPr>
                <w:rFonts w:cs="Arial"/>
                <w:lang w:val="en-GB"/>
              </w:rPr>
              <m:t>+</m:t>
            </m:r>
            <m:sSub>
              <m:sSubPr>
                <m:ctrlPr>
                  <w:rPr>
                    <w:rFonts w:ascii="Cambria Math" w:hAnsi="Cambria Math" w:cs="Arial"/>
                    <w:i/>
                    <w:lang w:val="en-GB"/>
                  </w:rPr>
                </m:ctrlPr>
              </m:sSubPr>
              <m:e>
                <m:r>
                  <m:rPr>
                    <m:nor/>
                  </m:rPr>
                  <w:rPr>
                    <w:rFonts w:cs="Arial"/>
                    <w:lang w:val="en-GB"/>
                  </w:rPr>
                  <m:t>f</m:t>
                </m:r>
              </m:e>
              <m:sub>
                <m:r>
                  <m:rPr>
                    <m:nor/>
                  </m:rPr>
                  <w:rPr>
                    <w:rFonts w:cs="Arial"/>
                    <w:lang w:val="en-GB"/>
                  </w:rPr>
                  <m:t>e</m:t>
                </m:r>
              </m:sub>
            </m:sSub>
            <m:r>
              <m:rPr>
                <m:nor/>
              </m:rPr>
              <w:rPr>
                <w:rFonts w:cs="Arial"/>
                <w:lang w:val="en-GB"/>
              </w:rPr>
              <m:t>-1</m:t>
            </m:r>
          </m:e>
        </m:d>
        <m:sSup>
          <m:sSupPr>
            <m:ctrlPr>
              <w:rPr>
                <w:rFonts w:ascii="Cambria Math" w:hAnsi="Cambria Math" w:cs="Arial"/>
                <w:i/>
                <w:lang w:val="en-GB"/>
              </w:rPr>
            </m:ctrlPr>
          </m:sSupPr>
          <m:e>
            <m:r>
              <m:rPr>
                <m:nor/>
              </m:rPr>
              <w:rPr>
                <w:rFonts w:cs="Arial"/>
                <w:lang w:val="en-GB"/>
              </w:rPr>
              <m:t>H</m:t>
            </m:r>
          </m:e>
          <m:sup>
            <m:r>
              <m:rPr>
                <m:nor/>
              </m:rPr>
              <w:rPr>
                <w:rFonts w:cs="Arial"/>
                <w:lang w:val="en-GB"/>
              </w:rPr>
              <m:t>+</m:t>
            </m:r>
          </m:sup>
        </m:sSup>
        <m:r>
          <m:rPr>
            <m:nor/>
          </m:rPr>
          <w:rPr>
            <w:rFonts w:cs="Arial"/>
            <w:lang w:val="en-GB"/>
          </w:rPr>
          <m:t>→</m:t>
        </m:r>
        <m:d>
          <m:dPr>
            <m:ctrlPr>
              <w:rPr>
                <w:rFonts w:ascii="Cambria Math" w:hAnsi="Cambria Math" w:cs="Arial"/>
                <w:i/>
                <w:lang w:val="en-GB"/>
              </w:rPr>
            </m:ctrlPr>
          </m:dPr>
          <m:e>
            <m:f>
              <m:fPr>
                <m:ctrlPr>
                  <w:rPr>
                    <w:rFonts w:ascii="Cambria Math" w:hAnsi="Cambria Math" w:cs="Arial"/>
                    <w:i/>
                    <w:lang w:val="en-GB"/>
                  </w:rPr>
                </m:ctrlPr>
              </m:fPr>
              <m:num>
                <m:r>
                  <m:rPr>
                    <m:nor/>
                  </m:rPr>
                  <w:rPr>
                    <w:rFonts w:cs="Arial"/>
                    <w:lang w:val="en-GB"/>
                  </w:rPr>
                  <m:t>1</m:t>
                </m:r>
              </m:num>
              <m:den>
                <m:r>
                  <m:rPr>
                    <m:nor/>
                  </m:rPr>
                  <w:rPr>
                    <w:rFonts w:cs="Arial"/>
                    <w:lang w:val="en-GB"/>
                  </w:rPr>
                  <m:t>4</m:t>
                </m:r>
              </m:den>
            </m:f>
            <m:r>
              <m:rPr>
                <m:nor/>
              </m:rPr>
              <w:rPr>
                <w:rFonts w:cs="Arial"/>
                <w:lang w:val="en-GB"/>
              </w:rPr>
              <m:t>-</m:t>
            </m:r>
            <m:f>
              <m:fPr>
                <m:ctrlPr>
                  <w:rPr>
                    <w:rFonts w:ascii="Cambria Math" w:hAnsi="Cambria Math" w:cs="Arial"/>
                    <w:i/>
                    <w:lang w:val="en-GB"/>
                  </w:rPr>
                </m:ctrlPr>
              </m:fPr>
              <m:num>
                <m:r>
                  <m:rPr>
                    <m:nor/>
                  </m:rPr>
                  <w:rPr>
                    <w:rFonts w:cs="Arial"/>
                    <w:lang w:val="en-GB"/>
                  </w:rPr>
                  <m:t>4</m:t>
                </m:r>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num>
              <m:den>
                <m:r>
                  <m:rPr>
                    <m:nor/>
                  </m:rPr>
                  <w:rPr>
                    <w:rFonts w:cs="Arial"/>
                    <w:lang w:val="en-GB"/>
                  </w:rPr>
                  <m:t>23</m:t>
                </m:r>
              </m:den>
            </m:f>
          </m:e>
        </m:d>
        <m:r>
          <m:rPr>
            <m:nor/>
          </m:rPr>
          <w:rPr>
            <w:rFonts w:cs="Arial"/>
            <w:lang w:val="en-GB"/>
          </w:rPr>
          <m:t>C</m:t>
        </m:r>
        <m:sSub>
          <m:sSubPr>
            <m:ctrlPr>
              <w:rPr>
                <w:rFonts w:ascii="Cambria Math" w:hAnsi="Cambria Math" w:cs="Arial"/>
                <w:i/>
                <w:lang w:val="en-GB"/>
              </w:rPr>
            </m:ctrlPr>
          </m:sSubPr>
          <m:e>
            <m:r>
              <m:rPr>
                <m:nor/>
              </m:rPr>
              <w:rPr>
                <w:rFonts w:cs="Arial"/>
                <w:lang w:val="en-GB"/>
              </w:rPr>
              <m:t>O</m:t>
            </m:r>
          </m:e>
          <m:sub>
            <m:r>
              <m:rPr>
                <m:nor/>
              </m:rPr>
              <w:rPr>
                <w:rFonts w:cs="Arial"/>
                <w:lang w:val="en-GB"/>
              </w:rPr>
              <m:t>2</m:t>
            </m:r>
          </m:sub>
        </m:sSub>
        <m:r>
          <m:rPr>
            <m:nor/>
          </m:rPr>
          <w:rPr>
            <w:rFonts w:cs="Arial"/>
            <w:lang w:val="en-GB"/>
          </w:rPr>
          <m:t>+</m:t>
        </m:r>
        <m:d>
          <m:dPr>
            <m:ctrlPr>
              <w:rPr>
                <w:rFonts w:ascii="Cambria Math" w:hAnsi="Cambria Math" w:cs="Arial"/>
                <w:i/>
                <w:lang w:val="en-GB"/>
              </w:rPr>
            </m:ctrlPr>
          </m:dPr>
          <m:e>
            <m:f>
              <m:fPr>
                <m:ctrlPr>
                  <w:rPr>
                    <w:rFonts w:ascii="Cambria Math" w:hAnsi="Cambria Math" w:cs="Arial"/>
                    <w:i/>
                    <w:lang w:val="en-GB"/>
                  </w:rPr>
                </m:ctrlPr>
              </m:fPr>
              <m:num>
                <m:sSub>
                  <m:sSubPr>
                    <m:ctrlPr>
                      <w:rPr>
                        <w:rFonts w:ascii="Cambria Math" w:hAnsi="Cambria Math" w:cs="Arial"/>
                        <w:i/>
                        <w:lang w:val="en-GB"/>
                      </w:rPr>
                    </m:ctrlPr>
                  </m:sSubPr>
                  <m:e>
                    <m:r>
                      <m:rPr>
                        <m:nor/>
                      </m:rPr>
                      <w:rPr>
                        <w:rFonts w:cs="Arial"/>
                        <w:lang w:val="en-GB"/>
                      </w:rPr>
                      <m:t>f</m:t>
                    </m:r>
                  </m:e>
                  <m:sub>
                    <m:r>
                      <m:rPr>
                        <m:nor/>
                      </m:rPr>
                      <w:rPr>
                        <w:rFonts w:cs="Arial"/>
                        <w:lang w:val="en-GB"/>
                      </w:rPr>
                      <m:t>e</m:t>
                    </m:r>
                  </m:sub>
                </m:sSub>
              </m:num>
              <m:den>
                <m:r>
                  <m:rPr>
                    <m:nor/>
                  </m:rPr>
                  <w:rPr>
                    <w:rFonts w:cs="Arial"/>
                    <w:lang w:val="en-GB"/>
                  </w:rPr>
                  <m:t>2</m:t>
                </m:r>
              </m:den>
            </m:f>
            <m:r>
              <m:rPr>
                <m:nor/>
              </m:rPr>
              <w:rPr>
                <w:rFonts w:cs="Arial"/>
                <w:lang w:val="en-GB"/>
              </w:rPr>
              <m:t>+</m:t>
            </m:r>
            <m:f>
              <m:fPr>
                <m:ctrlPr>
                  <w:rPr>
                    <w:rFonts w:ascii="Cambria Math" w:hAnsi="Cambria Math" w:cs="Arial"/>
                    <w:i/>
                    <w:lang w:val="en-GB"/>
                  </w:rPr>
                </m:ctrlPr>
              </m:fPr>
              <m:num>
                <m:r>
                  <m:rPr>
                    <m:nor/>
                  </m:rPr>
                  <w:rPr>
                    <w:rFonts w:cs="Arial"/>
                    <w:lang w:val="en-GB"/>
                  </w:rPr>
                  <m:t>9</m:t>
                </m:r>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num>
              <m:den>
                <m:r>
                  <m:rPr>
                    <m:nor/>
                  </m:rPr>
                  <w:rPr>
                    <w:rFonts w:cs="Arial"/>
                    <w:lang w:val="en-GB"/>
                  </w:rPr>
                  <m:t>23</m:t>
                </m:r>
              </m:den>
            </m:f>
          </m:e>
        </m:d>
        <m:sSub>
          <m:sSubPr>
            <m:ctrlPr>
              <w:rPr>
                <w:rFonts w:ascii="Cambria Math" w:hAnsi="Cambria Math" w:cs="Arial"/>
                <w:i/>
                <w:lang w:val="en-GB"/>
              </w:rPr>
            </m:ctrlPr>
          </m:sSubPr>
          <m:e>
            <m:r>
              <m:rPr>
                <m:nor/>
              </m:rPr>
              <w:rPr>
                <w:rFonts w:cs="Arial"/>
                <w:lang w:val="en-GB"/>
              </w:rPr>
              <m:t>H</m:t>
            </m:r>
          </m:e>
          <m:sub>
            <m:r>
              <m:rPr>
                <m:nor/>
              </m:rPr>
              <w:rPr>
                <w:rFonts w:cs="Arial"/>
                <w:lang w:val="en-GB"/>
              </w:rPr>
              <m:t>2</m:t>
            </m:r>
          </m:sub>
        </m:sSub>
        <m:r>
          <m:rPr>
            <m:nor/>
          </m:rPr>
          <w:rPr>
            <w:rFonts w:cs="Arial"/>
            <w:lang w:val="en-GB"/>
          </w:rPr>
          <m:t>O+</m:t>
        </m:r>
        <m:d>
          <m:dPr>
            <m:ctrlPr>
              <w:rPr>
                <w:rFonts w:ascii="Cambria Math" w:hAnsi="Cambria Math" w:cs="Arial"/>
                <w:i/>
                <w:lang w:val="en-GB"/>
              </w:rPr>
            </m:ctrlPr>
          </m:dPr>
          <m:e>
            <m:f>
              <m:fPr>
                <m:ctrlPr>
                  <w:rPr>
                    <w:rFonts w:ascii="Cambria Math" w:hAnsi="Cambria Math" w:cs="Arial"/>
                    <w:i/>
                    <w:lang w:val="en-GB"/>
                  </w:rPr>
                </m:ctrlPr>
              </m:fPr>
              <m:num>
                <m:sSub>
                  <m:sSubPr>
                    <m:ctrlPr>
                      <w:rPr>
                        <w:rFonts w:ascii="Cambria Math" w:hAnsi="Cambria Math" w:cs="Arial"/>
                        <w:i/>
                        <w:lang w:val="en-GB"/>
                      </w:rPr>
                    </m:ctrlPr>
                  </m:sSubPr>
                  <m:e>
                    <m:r>
                      <m:rPr>
                        <m:nor/>
                      </m:rPr>
                      <w:rPr>
                        <w:rFonts w:cs="Arial"/>
                        <w:lang w:val="en-GB"/>
                      </w:rPr>
                      <m:t>f</m:t>
                    </m:r>
                  </m:e>
                  <m:sub>
                    <m:r>
                      <m:rPr>
                        <m:nor/>
                      </m:rPr>
                      <w:rPr>
                        <w:rFonts w:cs="Arial"/>
                        <w:lang w:val="en-GB"/>
                      </w:rPr>
                      <m:t>s</m:t>
                    </m:r>
                  </m:sub>
                </m:sSub>
              </m:num>
              <m:den>
                <m:r>
                  <m:rPr>
                    <m:nor/>
                  </m:rPr>
                  <w:rPr>
                    <w:rFonts w:cs="Arial"/>
                    <w:lang w:val="en-GB"/>
                  </w:rPr>
                  <m:t>23</m:t>
                </m:r>
              </m:den>
            </m:f>
          </m:e>
        </m:d>
        <m:sSub>
          <m:sSubPr>
            <m:ctrlPr>
              <w:rPr>
                <w:rFonts w:ascii="Cambria Math" w:hAnsi="Cambria Math" w:cs="Arial"/>
                <w:i/>
                <w:lang w:val="en-GB"/>
              </w:rPr>
            </m:ctrlPr>
          </m:sSubPr>
          <m:e>
            <m:r>
              <m:rPr>
                <m:nor/>
              </m:rPr>
              <w:rPr>
                <w:rFonts w:cs="Arial"/>
                <w:lang w:val="en-GB"/>
              </w:rPr>
              <m:t>C</m:t>
            </m:r>
          </m:e>
          <m:sub>
            <m:r>
              <m:rPr>
                <m:nor/>
              </m:rPr>
              <w:rPr>
                <w:rFonts w:cs="Arial"/>
                <w:lang w:val="en-GB"/>
              </w:rPr>
              <m:t>5</m:t>
            </m:r>
          </m:sub>
        </m:sSub>
        <m:sSub>
          <m:sSubPr>
            <m:ctrlPr>
              <w:rPr>
                <w:rFonts w:ascii="Cambria Math" w:hAnsi="Cambria Math" w:cs="Arial"/>
                <w:i/>
                <w:lang w:val="en-GB"/>
              </w:rPr>
            </m:ctrlPr>
          </m:sSubPr>
          <m:e>
            <m:r>
              <m:rPr>
                <m:nor/>
              </m:rPr>
              <w:rPr>
                <w:rFonts w:cs="Arial"/>
                <w:lang w:val="en-GB"/>
              </w:rPr>
              <m:t>H</m:t>
            </m:r>
          </m:e>
          <m:sub>
            <m:r>
              <m:rPr>
                <m:nor/>
              </m:rPr>
              <w:rPr>
                <w:rFonts w:cs="Arial"/>
                <w:lang w:val="en-GB"/>
              </w:rPr>
              <m:t>7</m:t>
            </m:r>
          </m:sub>
        </m:sSub>
        <m:sSub>
          <m:sSubPr>
            <m:ctrlPr>
              <w:rPr>
                <w:rFonts w:ascii="Cambria Math" w:hAnsi="Cambria Math" w:cs="Arial"/>
                <w:i/>
                <w:lang w:val="en-GB"/>
              </w:rPr>
            </m:ctrlPr>
          </m:sSubPr>
          <m:e>
            <m:r>
              <m:rPr>
                <m:nor/>
              </m:rPr>
              <w:rPr>
                <w:rFonts w:cs="Arial"/>
                <w:lang w:val="en-GB"/>
              </w:rPr>
              <m:t>O</m:t>
            </m:r>
          </m:e>
          <m:sub>
            <m:r>
              <m:rPr>
                <m:nor/>
              </m:rPr>
              <w:rPr>
                <w:rFonts w:cs="Arial"/>
                <w:lang w:val="en-GB"/>
              </w:rPr>
              <m:t>2</m:t>
            </m:r>
          </m:sub>
        </m:sSub>
        <m:r>
          <m:rPr>
            <m:nor/>
          </m:rPr>
          <w:rPr>
            <w:rFonts w:cs="Arial"/>
            <w:lang w:val="en-GB"/>
          </w:rPr>
          <m:t xml:space="preserve">N           </m:t>
        </m:r>
      </m:oMath>
      <w:r w:rsidR="005F3734">
        <w:rPr>
          <w:rFonts w:cs="Arial"/>
          <w:lang w:val="en-GB"/>
        </w:rPr>
        <w:t xml:space="preserve">            (1)</w:t>
      </w:r>
    </w:p>
    <w:p w14:paraId="6C7B850C" w14:textId="77777777" w:rsidR="00291177" w:rsidRPr="005664F5" w:rsidRDefault="00291177" w:rsidP="006852B1">
      <w:pPr>
        <w:pStyle w:val="CETBodytext"/>
        <w:rPr>
          <w:lang w:val="en-GB"/>
        </w:rPr>
      </w:pPr>
    </w:p>
    <w:p w14:paraId="4F14133D" w14:textId="6DC7BA9D" w:rsidR="005664F5" w:rsidRPr="00B75D8A" w:rsidRDefault="00B75D8A" w:rsidP="006852B1">
      <w:pPr>
        <w:pStyle w:val="CETBodytext"/>
      </w:pPr>
      <w:r>
        <w:t xml:space="preserve">In Eq.1, the </w:t>
      </w:r>
      <w:r w:rsidR="00663493">
        <w:t xml:space="preserve">degree </w:t>
      </w:r>
      <w:r>
        <w:t xml:space="preserve">of conversion depends on the partition coefficients </w:t>
      </w:r>
      <w:r w:rsidRPr="00750910">
        <w:rPr>
          <w:i/>
          <w:iCs/>
        </w:rPr>
        <w:t>f</w:t>
      </w:r>
      <w:r w:rsidRPr="00750910">
        <w:rPr>
          <w:i/>
          <w:iCs/>
          <w:vertAlign w:val="subscript"/>
        </w:rPr>
        <w:t>e</w:t>
      </w:r>
      <w:r>
        <w:t xml:space="preserve"> and </w:t>
      </w:r>
      <w:r w:rsidRPr="00750910">
        <w:rPr>
          <w:i/>
          <w:iCs/>
        </w:rPr>
        <w:t>f</w:t>
      </w:r>
      <w:r w:rsidRPr="00750910">
        <w:rPr>
          <w:i/>
          <w:iCs/>
          <w:vertAlign w:val="subscript"/>
        </w:rPr>
        <w:t>s</w:t>
      </w:r>
      <w:r w:rsidR="00E04DFE">
        <w:rPr>
          <w:i/>
          <w:iCs/>
        </w:rPr>
        <w:t xml:space="preserve">, </w:t>
      </w:r>
      <w:r w:rsidR="00E04DFE">
        <w:t>which represent the fractions of electrons employed for reducing oxygen to water and cell synthesis, respectively.</w:t>
      </w:r>
      <w:r>
        <w:t xml:space="preserve"> </w:t>
      </w:r>
      <w:r w:rsidR="005664F5">
        <w:rPr>
          <w:lang w:val="en-GB"/>
        </w:rPr>
        <w:t>The</w:t>
      </w:r>
      <w:r w:rsidR="00291177">
        <w:rPr>
          <w:lang w:val="en-GB"/>
        </w:rPr>
        <w:t xml:space="preserve"> values used</w:t>
      </w:r>
      <w:r w:rsidR="005664F5">
        <w:rPr>
          <w:lang w:val="en-GB"/>
        </w:rPr>
        <w:t xml:space="preserve"> </w:t>
      </w:r>
      <w:r w:rsidR="00291177">
        <w:rPr>
          <w:lang w:val="en-GB"/>
        </w:rPr>
        <w:t>in this work are those reported for</w:t>
      </w:r>
      <w:r w:rsidR="00787D7F">
        <w:rPr>
          <w:lang w:val="en-GB"/>
        </w:rPr>
        <w:t xml:space="preserve"> </w:t>
      </w:r>
      <w:r w:rsidR="00750910">
        <w:rPr>
          <w:lang w:val="en-GB"/>
        </w:rPr>
        <w:t xml:space="preserve">a </w:t>
      </w:r>
      <w:r w:rsidR="00750910" w:rsidRPr="00750910">
        <w:rPr>
          <w:i/>
          <w:iCs/>
          <w:lang w:val="en-GB"/>
        </w:rPr>
        <w:t>Methylocystis</w:t>
      </w:r>
      <w:r w:rsidR="00750910">
        <w:rPr>
          <w:lang w:val="en-GB"/>
        </w:rPr>
        <w:t>-dominated culture</w:t>
      </w:r>
      <w:r w:rsidR="00291177">
        <w:rPr>
          <w:lang w:val="en-GB"/>
        </w:rPr>
        <w:t xml:space="preserve"> </w:t>
      </w:r>
      <w:r>
        <w:rPr>
          <w:lang w:val="en-GB"/>
        </w:rPr>
        <w:t xml:space="preserve">and </w:t>
      </w:r>
      <w:r w:rsidR="00750910">
        <w:rPr>
          <w:lang w:val="en-GB"/>
        </w:rPr>
        <w:t xml:space="preserve">account </w:t>
      </w:r>
      <w:r w:rsidR="00670874">
        <w:rPr>
          <w:lang w:val="en-GB"/>
        </w:rPr>
        <w:t xml:space="preserve">for </w:t>
      </w:r>
      <w:r>
        <w:rPr>
          <w:lang w:val="en-GB"/>
        </w:rPr>
        <w:t>0.</w:t>
      </w:r>
      <w:r w:rsidR="00787D7F">
        <w:rPr>
          <w:lang w:val="en-GB"/>
        </w:rPr>
        <w:t>27</w:t>
      </w:r>
      <w:r>
        <w:rPr>
          <w:lang w:val="en-GB"/>
        </w:rPr>
        <w:t xml:space="preserve"> and 0.</w:t>
      </w:r>
      <w:r w:rsidR="00787D7F">
        <w:rPr>
          <w:lang w:val="en-GB"/>
        </w:rPr>
        <w:t>73</w:t>
      </w:r>
      <w:r>
        <w:rPr>
          <w:lang w:val="en-GB"/>
        </w:rPr>
        <w:t xml:space="preserve">, </w:t>
      </w:r>
      <w:r w:rsidR="00DB4892">
        <w:rPr>
          <w:lang w:val="en-GB"/>
        </w:rPr>
        <w:t>respectively</w:t>
      </w:r>
      <w:r w:rsidR="00291177">
        <w:rPr>
          <w:lang w:val="en-GB"/>
        </w:rPr>
        <w:t>. Moreover, since the growth of this strain was reported to be linear in time, the reaction</w:t>
      </w:r>
      <w:r w:rsidR="00663493">
        <w:rPr>
          <w:lang w:val="en-GB"/>
        </w:rPr>
        <w:t xml:space="preserve"> kinetics</w:t>
      </w:r>
      <w:r w:rsidR="00291177">
        <w:rPr>
          <w:lang w:val="en-GB"/>
        </w:rPr>
        <w:t xml:space="preserve"> was assumed </w:t>
      </w:r>
      <w:r w:rsidR="00750910">
        <w:rPr>
          <w:lang w:val="en-GB"/>
        </w:rPr>
        <w:t>a</w:t>
      </w:r>
      <w:r w:rsidR="00291177">
        <w:rPr>
          <w:lang w:val="en-GB"/>
        </w:rPr>
        <w:t xml:space="preserve"> zero-order type</w:t>
      </w:r>
      <w:r w:rsidR="00670874">
        <w:rPr>
          <w:lang w:val="en-GB"/>
        </w:rPr>
        <w:t>,</w:t>
      </w:r>
      <w:r w:rsidR="00291177">
        <w:rPr>
          <w:lang w:val="en-GB"/>
        </w:rPr>
        <w:t xml:space="preserve"> and the kinetic constant calculated </w:t>
      </w:r>
      <w:r w:rsidR="00750910">
        <w:rPr>
          <w:lang w:val="en-GB"/>
        </w:rPr>
        <w:t>was</w:t>
      </w:r>
      <w:r>
        <w:rPr>
          <w:lang w:val="en-GB"/>
        </w:rPr>
        <w:t xml:space="preserve"> 0.000</w:t>
      </w:r>
      <w:r w:rsidR="00787D7F">
        <w:rPr>
          <w:lang w:val="en-GB"/>
        </w:rPr>
        <w:t>106</w:t>
      </w:r>
      <w:r>
        <w:rPr>
          <w:lang w:val="en-GB"/>
        </w:rPr>
        <w:t xml:space="preserve"> </w:t>
      </w:r>
      <w:r w:rsidR="00291177">
        <w:rPr>
          <w:lang w:val="en-GB"/>
        </w:rPr>
        <w:t>kmol m</w:t>
      </w:r>
      <w:r w:rsidR="00291177" w:rsidRPr="00787D7F">
        <w:rPr>
          <w:vertAlign w:val="superscript"/>
          <w:lang w:val="en-GB"/>
        </w:rPr>
        <w:t>-3</w:t>
      </w:r>
      <w:r w:rsidR="00291177">
        <w:rPr>
          <w:lang w:val="en-GB"/>
        </w:rPr>
        <w:t>h</w:t>
      </w:r>
      <w:r w:rsidR="00291177" w:rsidRPr="00787D7F">
        <w:rPr>
          <w:vertAlign w:val="superscript"/>
          <w:lang w:val="en-GB"/>
        </w:rPr>
        <w:t>-1</w:t>
      </w:r>
      <w:r w:rsidR="00291177">
        <w:rPr>
          <w:lang w:val="en-GB"/>
        </w:rPr>
        <w:t xml:space="preserve">. </w:t>
      </w:r>
    </w:p>
    <w:p w14:paraId="11375037" w14:textId="77777777" w:rsidR="00291177" w:rsidRPr="005664F5" w:rsidRDefault="00291177" w:rsidP="006852B1">
      <w:pPr>
        <w:pStyle w:val="CETBodytext"/>
        <w:rPr>
          <w:lang w:val="en-GB"/>
        </w:rPr>
      </w:pPr>
    </w:p>
    <w:p w14:paraId="18BAFA6F" w14:textId="36943E79" w:rsidR="00453E24" w:rsidRDefault="006852B1" w:rsidP="00453E24">
      <w:pPr>
        <w:pStyle w:val="CETheadingx"/>
      </w:pPr>
      <w:r>
        <w:t>P</w:t>
      </w:r>
      <w:r w:rsidR="00670F26">
        <w:t>HB-co-HV accumulation</w:t>
      </w:r>
      <w:r w:rsidR="00886ADE">
        <w:t xml:space="preserve"> from methane </w:t>
      </w:r>
    </w:p>
    <w:p w14:paraId="78D06574" w14:textId="7DDB347D" w:rsidR="009B55E2" w:rsidRDefault="00291177" w:rsidP="00291177">
      <w:pPr>
        <w:pStyle w:val="CETBodytext"/>
      </w:pPr>
      <w:r>
        <w:t xml:space="preserve">During the production of PHB-co-HV, a </w:t>
      </w:r>
      <w:r w:rsidR="008A7CD9">
        <w:t>nitrogen-</w:t>
      </w:r>
      <w:r>
        <w:t>deprived mineral salt medium was considered, and a gas stream containing methane</w:t>
      </w:r>
      <w:r w:rsidR="00A4279F">
        <w:t xml:space="preserve"> and</w:t>
      </w:r>
      <w:r>
        <w:t xml:space="preserve"> oxygen </w:t>
      </w:r>
      <w:r w:rsidR="00A4279F">
        <w:t xml:space="preserve">(1:2 v/v) </w:t>
      </w:r>
      <w:r>
        <w:t>was fed to the reactor (</w:t>
      </w:r>
      <w:r w:rsidR="00C603F8">
        <w:t>Table</w:t>
      </w:r>
      <w:r>
        <w:t xml:space="preserve"> 2), which was operated at </w:t>
      </w:r>
      <w:r w:rsidR="00A4279F">
        <w:t>27</w:t>
      </w:r>
      <w:r w:rsidR="008A7CD9">
        <w:t xml:space="preserve"> </w:t>
      </w:r>
      <w:r>
        <w:t>°C and 1</w:t>
      </w:r>
      <w:r w:rsidR="008A7CD9">
        <w:t xml:space="preserve"> </w:t>
      </w:r>
      <w:r>
        <w:t>bar</w:t>
      </w:r>
      <w:r w:rsidR="00787D7F">
        <w:t xml:space="preserve"> for 96</w:t>
      </w:r>
      <w:r w:rsidR="008A7CD9">
        <w:t xml:space="preserve"> </w:t>
      </w:r>
      <w:r w:rsidR="00787D7F">
        <w:t>h</w:t>
      </w:r>
      <w:r>
        <w:t>.</w:t>
      </w:r>
      <w:r w:rsidR="009B55E2">
        <w:t xml:space="preserve"> Valeric acid at 100 and 400 ppm was supplemented as </w:t>
      </w:r>
      <w:r w:rsidR="008A7CD9">
        <w:t xml:space="preserve">a </w:t>
      </w:r>
      <w:r w:rsidR="009B55E2">
        <w:t xml:space="preserve">co-substrate to promote the formation of 3-HV monomers. </w:t>
      </w:r>
    </w:p>
    <w:p w14:paraId="4EF14DF8" w14:textId="0FF5E46F" w:rsidR="00C603F8" w:rsidRPr="00B57B36" w:rsidRDefault="00C603F8" w:rsidP="00C603F8">
      <w:pPr>
        <w:pStyle w:val="CETTabletitle"/>
      </w:pPr>
      <w:r w:rsidRPr="00B57B36">
        <w:t xml:space="preserve">Table </w:t>
      </w:r>
      <w:r w:rsidR="00750910">
        <w:t>3</w:t>
      </w:r>
      <w:r w:rsidRPr="00B57B36">
        <w:t xml:space="preserve">: </w:t>
      </w:r>
      <w:r w:rsidR="00ED06E4">
        <w:t>Description of the accumulation unit streams</w:t>
      </w:r>
      <w:r w:rsidR="005F3734">
        <w:t>.</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76"/>
        <w:gridCol w:w="88"/>
        <w:gridCol w:w="1189"/>
        <w:gridCol w:w="1611"/>
        <w:gridCol w:w="1189"/>
        <w:gridCol w:w="1611"/>
      </w:tblGrid>
      <w:tr w:rsidR="00930301" w:rsidRPr="00B57B36" w14:paraId="72E32F7F" w14:textId="77777777" w:rsidTr="005B4C1F">
        <w:tc>
          <w:tcPr>
            <w:tcW w:w="2311" w:type="dxa"/>
            <w:tcBorders>
              <w:top w:val="single" w:sz="12" w:space="0" w:color="008000"/>
              <w:bottom w:val="single" w:sz="6" w:space="0" w:color="008000"/>
            </w:tcBorders>
            <w:shd w:val="clear" w:color="auto" w:fill="FFFFFF"/>
          </w:tcPr>
          <w:p w14:paraId="1A48F0A6" w14:textId="31D9989F" w:rsidR="00C603F8" w:rsidRPr="00B57B36" w:rsidRDefault="00C603F8" w:rsidP="00C603F8">
            <w:pPr>
              <w:pStyle w:val="CETBodytext"/>
              <w:jc w:val="left"/>
              <w:rPr>
                <w:lang w:val="en-GB"/>
              </w:rPr>
            </w:pPr>
            <w:r>
              <w:rPr>
                <w:lang w:val="en-GB"/>
              </w:rPr>
              <w:t>Accumulation reactor</w:t>
            </w:r>
          </w:p>
        </w:tc>
        <w:tc>
          <w:tcPr>
            <w:tcW w:w="99" w:type="dxa"/>
            <w:tcBorders>
              <w:top w:val="single" w:sz="12" w:space="0" w:color="008000"/>
              <w:bottom w:val="single" w:sz="6" w:space="0" w:color="008000"/>
            </w:tcBorders>
            <w:shd w:val="clear" w:color="auto" w:fill="FFFFFF"/>
          </w:tcPr>
          <w:p w14:paraId="40331E11" w14:textId="77777777" w:rsidR="00C603F8" w:rsidRPr="00B57B36" w:rsidRDefault="00C603F8" w:rsidP="00C603F8">
            <w:pPr>
              <w:pStyle w:val="CETBodytext"/>
              <w:jc w:val="left"/>
              <w:rPr>
                <w:lang w:val="en-GB"/>
              </w:rPr>
            </w:pPr>
          </w:p>
        </w:tc>
        <w:tc>
          <w:tcPr>
            <w:tcW w:w="1276" w:type="dxa"/>
            <w:tcBorders>
              <w:top w:val="single" w:sz="12" w:space="0" w:color="008000"/>
              <w:bottom w:val="single" w:sz="6" w:space="0" w:color="008000"/>
            </w:tcBorders>
            <w:shd w:val="clear" w:color="auto" w:fill="FFFFFF"/>
          </w:tcPr>
          <w:p w14:paraId="7B44C3B4" w14:textId="30AC1BAB" w:rsidR="00C603F8" w:rsidRPr="00B57B36" w:rsidRDefault="00C603F8" w:rsidP="00C603F8">
            <w:pPr>
              <w:pStyle w:val="CETBodytext"/>
              <w:jc w:val="left"/>
              <w:rPr>
                <w:lang w:val="en-GB"/>
              </w:rPr>
            </w:pPr>
            <w:r>
              <w:rPr>
                <w:lang w:val="en-GB"/>
              </w:rPr>
              <w:t>G</w:t>
            </w:r>
            <w:r w:rsidR="00ED06E4" w:rsidRPr="00ED06E4">
              <w:rPr>
                <w:vertAlign w:val="subscript"/>
                <w:lang w:val="en-GB"/>
              </w:rPr>
              <w:t>PHB-co-HV</w:t>
            </w:r>
            <w:r>
              <w:rPr>
                <w:lang w:val="en-GB"/>
              </w:rPr>
              <w:t>-in</w:t>
            </w:r>
          </w:p>
        </w:tc>
        <w:tc>
          <w:tcPr>
            <w:tcW w:w="1701" w:type="dxa"/>
            <w:tcBorders>
              <w:top w:val="single" w:sz="12" w:space="0" w:color="008000"/>
              <w:bottom w:val="single" w:sz="6" w:space="0" w:color="008000"/>
            </w:tcBorders>
            <w:shd w:val="clear" w:color="auto" w:fill="FFFFFF"/>
          </w:tcPr>
          <w:p w14:paraId="1814C176" w14:textId="1A1DB7F2" w:rsidR="00C603F8" w:rsidRPr="00B57B36" w:rsidRDefault="00C603F8" w:rsidP="00C603F8">
            <w:pPr>
              <w:pStyle w:val="CETBodytext"/>
              <w:jc w:val="left"/>
              <w:rPr>
                <w:lang w:val="en-GB"/>
              </w:rPr>
            </w:pPr>
            <w:r>
              <w:rPr>
                <w:lang w:val="en-GB"/>
              </w:rPr>
              <w:t>L</w:t>
            </w:r>
            <w:r w:rsidR="00ED06E4" w:rsidRPr="00ED06E4">
              <w:rPr>
                <w:vertAlign w:val="subscript"/>
                <w:lang w:val="en-GB"/>
              </w:rPr>
              <w:t>PHB-co-HV</w:t>
            </w:r>
            <w:r>
              <w:rPr>
                <w:lang w:val="en-GB"/>
              </w:rPr>
              <w:t>-in</w:t>
            </w:r>
          </w:p>
        </w:tc>
        <w:tc>
          <w:tcPr>
            <w:tcW w:w="1276" w:type="dxa"/>
            <w:tcBorders>
              <w:top w:val="single" w:sz="12" w:space="0" w:color="008000"/>
              <w:bottom w:val="single" w:sz="6" w:space="0" w:color="008000"/>
            </w:tcBorders>
            <w:shd w:val="clear" w:color="auto" w:fill="FFFFFF"/>
          </w:tcPr>
          <w:p w14:paraId="6F4E8316" w14:textId="01268ECB" w:rsidR="00C603F8" w:rsidRPr="00B57B36" w:rsidRDefault="00C603F8" w:rsidP="00C603F8">
            <w:pPr>
              <w:pStyle w:val="CETBodytext"/>
              <w:ind w:right="-1"/>
              <w:jc w:val="left"/>
              <w:rPr>
                <w:rFonts w:cs="Arial"/>
                <w:szCs w:val="18"/>
                <w:lang w:val="en-GB"/>
              </w:rPr>
            </w:pPr>
            <w:r>
              <w:rPr>
                <w:rFonts w:cs="Arial"/>
                <w:szCs w:val="18"/>
                <w:lang w:val="en-GB"/>
              </w:rPr>
              <w:t>G</w:t>
            </w:r>
            <w:r w:rsidR="00ED06E4" w:rsidRPr="00ED06E4">
              <w:rPr>
                <w:vertAlign w:val="subscript"/>
                <w:lang w:val="en-GB"/>
              </w:rPr>
              <w:t>PHB-co-HV</w:t>
            </w:r>
            <w:r>
              <w:rPr>
                <w:rFonts w:cs="Arial"/>
                <w:szCs w:val="18"/>
                <w:lang w:val="en-GB"/>
              </w:rPr>
              <w:t>-out</w:t>
            </w:r>
          </w:p>
        </w:tc>
        <w:tc>
          <w:tcPr>
            <w:tcW w:w="1701" w:type="dxa"/>
            <w:tcBorders>
              <w:top w:val="single" w:sz="12" w:space="0" w:color="008000"/>
              <w:bottom w:val="single" w:sz="6" w:space="0" w:color="008000"/>
            </w:tcBorders>
            <w:shd w:val="clear" w:color="auto" w:fill="FFFFFF"/>
          </w:tcPr>
          <w:p w14:paraId="3207DE2D" w14:textId="3F40A6FC" w:rsidR="00C603F8" w:rsidRPr="00B57B36" w:rsidRDefault="00C603F8" w:rsidP="00A82292">
            <w:pPr>
              <w:pStyle w:val="CETBodytext"/>
              <w:ind w:right="-1"/>
              <w:rPr>
                <w:rFonts w:cs="Arial"/>
                <w:szCs w:val="18"/>
                <w:lang w:val="en-GB"/>
              </w:rPr>
            </w:pPr>
            <w:r>
              <w:rPr>
                <w:rFonts w:cs="Arial"/>
                <w:szCs w:val="18"/>
                <w:lang w:val="en-GB"/>
              </w:rPr>
              <w:t>L</w:t>
            </w:r>
            <w:r w:rsidR="00ED06E4" w:rsidRPr="00ED06E4">
              <w:rPr>
                <w:vertAlign w:val="subscript"/>
                <w:lang w:val="en-GB"/>
              </w:rPr>
              <w:t>PHB-co-HV</w:t>
            </w:r>
            <w:r>
              <w:rPr>
                <w:rFonts w:cs="Arial"/>
                <w:szCs w:val="18"/>
                <w:lang w:val="en-GB"/>
              </w:rPr>
              <w:t>-out</w:t>
            </w:r>
          </w:p>
        </w:tc>
      </w:tr>
      <w:tr w:rsidR="00930301" w:rsidRPr="00B57B36" w14:paraId="66D9AB66" w14:textId="77777777" w:rsidTr="005B4C1F">
        <w:tc>
          <w:tcPr>
            <w:tcW w:w="2311" w:type="dxa"/>
            <w:vMerge w:val="restart"/>
            <w:shd w:val="clear" w:color="auto" w:fill="FFFFFF"/>
          </w:tcPr>
          <w:p w14:paraId="10A22276" w14:textId="60D705EA" w:rsidR="00ED06E4" w:rsidRPr="00B57B36" w:rsidRDefault="00930301" w:rsidP="00C603F8">
            <w:pPr>
              <w:pStyle w:val="CETBodytext"/>
              <w:jc w:val="left"/>
              <w:rPr>
                <w:lang w:val="en-GB"/>
              </w:rPr>
            </w:pPr>
            <w:r>
              <w:rPr>
                <w:noProof/>
                <w:lang w:val="es-ES" w:eastAsia="es-ES"/>
              </w:rPr>
              <w:drawing>
                <wp:inline distT="0" distB="0" distL="0" distR="0" wp14:anchorId="340AC9C9" wp14:editId="5317AB29">
                  <wp:extent cx="1699260" cy="15956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8070" cy="1641433"/>
                          </a:xfrm>
                          <a:prstGeom prst="rect">
                            <a:avLst/>
                          </a:prstGeom>
                        </pic:spPr>
                      </pic:pic>
                    </a:graphicData>
                  </a:graphic>
                </wp:inline>
              </w:drawing>
            </w:r>
          </w:p>
        </w:tc>
        <w:tc>
          <w:tcPr>
            <w:tcW w:w="99" w:type="dxa"/>
            <w:shd w:val="clear" w:color="auto" w:fill="FFFFFF"/>
          </w:tcPr>
          <w:p w14:paraId="3D54A6AE" w14:textId="77777777" w:rsidR="00ED06E4" w:rsidRPr="00B57B36" w:rsidRDefault="00ED06E4" w:rsidP="00C603F8">
            <w:pPr>
              <w:pStyle w:val="CETBodytext"/>
              <w:jc w:val="left"/>
              <w:rPr>
                <w:lang w:val="en-GB"/>
              </w:rPr>
            </w:pPr>
          </w:p>
        </w:tc>
        <w:tc>
          <w:tcPr>
            <w:tcW w:w="1276" w:type="dxa"/>
            <w:vMerge w:val="restart"/>
            <w:shd w:val="clear" w:color="auto" w:fill="FFFFFF"/>
          </w:tcPr>
          <w:p w14:paraId="3710BE24" w14:textId="33BB9B48" w:rsidR="00ED06E4" w:rsidRPr="00B57B36" w:rsidRDefault="00ED06E4" w:rsidP="005B4C1F">
            <w:pPr>
              <w:pStyle w:val="CETBodytext"/>
              <w:jc w:val="left"/>
              <w:rPr>
                <w:lang w:val="en-GB"/>
              </w:rPr>
            </w:pPr>
            <w:r>
              <w:rPr>
                <w:lang w:val="en-GB"/>
              </w:rPr>
              <w:t>CH</w:t>
            </w:r>
            <w:r w:rsidRPr="00ED06E4">
              <w:rPr>
                <w:vertAlign w:val="subscript"/>
                <w:lang w:val="en-GB"/>
              </w:rPr>
              <w:t>4</w:t>
            </w:r>
            <w:r>
              <w:rPr>
                <w:lang w:val="en-GB"/>
              </w:rPr>
              <w:t>, O</w:t>
            </w:r>
            <w:r w:rsidRPr="00ED06E4">
              <w:rPr>
                <w:vertAlign w:val="subscript"/>
                <w:lang w:val="en-GB"/>
              </w:rPr>
              <w:t>2</w:t>
            </w:r>
          </w:p>
        </w:tc>
        <w:tc>
          <w:tcPr>
            <w:tcW w:w="1701" w:type="dxa"/>
            <w:shd w:val="clear" w:color="auto" w:fill="FFFFFF"/>
          </w:tcPr>
          <w:p w14:paraId="62A93A6D" w14:textId="5D79A741" w:rsidR="005B4C1F" w:rsidRDefault="008A7CD9" w:rsidP="005B4C1F">
            <w:pPr>
              <w:pStyle w:val="CETBodytext"/>
              <w:jc w:val="left"/>
              <w:rPr>
                <w:lang w:val="en-GB"/>
              </w:rPr>
            </w:pPr>
            <w:r>
              <w:rPr>
                <w:lang w:val="en-GB"/>
              </w:rPr>
              <w:t>Nutrient-</w:t>
            </w:r>
            <w:r w:rsidR="00ED06E4">
              <w:rPr>
                <w:lang w:val="en-GB"/>
              </w:rPr>
              <w:t>deprived medium containing</w:t>
            </w:r>
          </w:p>
          <w:p w14:paraId="778D29E8" w14:textId="44A1832B" w:rsidR="005B4C1F" w:rsidRDefault="00ED06E4" w:rsidP="005B4C1F">
            <w:pPr>
              <w:pStyle w:val="CETBodytext"/>
              <w:jc w:val="left"/>
              <w:rPr>
                <w:lang w:val="en-GB"/>
              </w:rPr>
            </w:pPr>
            <w:r>
              <w:rPr>
                <w:lang w:val="en-GB"/>
              </w:rPr>
              <w:t>the grown biomass, valeric acid</w:t>
            </w:r>
          </w:p>
          <w:p w14:paraId="185B4A8A" w14:textId="7D8DA270" w:rsidR="00ED06E4" w:rsidRPr="00B57B36" w:rsidRDefault="00ED06E4" w:rsidP="005B4C1F">
            <w:pPr>
              <w:pStyle w:val="CETBodytext"/>
              <w:jc w:val="left"/>
              <w:rPr>
                <w:lang w:val="en-GB"/>
              </w:rPr>
            </w:pPr>
            <w:r>
              <w:rPr>
                <w:lang w:val="en-GB"/>
              </w:rPr>
              <w:t>(100, 400 ppm)</w:t>
            </w:r>
          </w:p>
        </w:tc>
        <w:tc>
          <w:tcPr>
            <w:tcW w:w="1276" w:type="dxa"/>
            <w:shd w:val="clear" w:color="auto" w:fill="FFFFFF"/>
          </w:tcPr>
          <w:p w14:paraId="01475359" w14:textId="2BE0114C" w:rsidR="00ED06E4" w:rsidRPr="00B57B36" w:rsidRDefault="00ED06E4" w:rsidP="005B4C1F">
            <w:pPr>
              <w:pStyle w:val="CETBodytext"/>
              <w:ind w:right="-1"/>
              <w:jc w:val="left"/>
              <w:rPr>
                <w:rFonts w:cs="Arial"/>
                <w:szCs w:val="18"/>
                <w:lang w:val="en-GB"/>
              </w:rPr>
            </w:pPr>
            <w:r>
              <w:rPr>
                <w:rFonts w:cs="Arial"/>
                <w:szCs w:val="18"/>
                <w:lang w:val="en-GB"/>
              </w:rPr>
              <w:t>CH</w:t>
            </w:r>
            <w:r w:rsidRPr="00ED06E4">
              <w:rPr>
                <w:rFonts w:cs="Arial"/>
                <w:szCs w:val="18"/>
                <w:vertAlign w:val="subscript"/>
                <w:lang w:val="en-GB"/>
              </w:rPr>
              <w:t>4</w:t>
            </w:r>
            <w:r>
              <w:rPr>
                <w:rFonts w:cs="Arial"/>
                <w:szCs w:val="18"/>
                <w:lang w:val="en-GB"/>
              </w:rPr>
              <w:t>, O</w:t>
            </w:r>
            <w:r w:rsidRPr="00ED06E4">
              <w:rPr>
                <w:rFonts w:cs="Arial"/>
                <w:szCs w:val="18"/>
                <w:vertAlign w:val="subscript"/>
                <w:lang w:val="en-GB"/>
              </w:rPr>
              <w:t>2</w:t>
            </w:r>
            <w:r>
              <w:rPr>
                <w:rFonts w:cs="Arial"/>
                <w:szCs w:val="18"/>
                <w:lang w:val="en-GB"/>
              </w:rPr>
              <w:t>, CO</w:t>
            </w:r>
            <w:r w:rsidRPr="00ED06E4">
              <w:rPr>
                <w:rFonts w:cs="Arial"/>
                <w:szCs w:val="18"/>
                <w:vertAlign w:val="subscript"/>
                <w:lang w:val="en-GB"/>
              </w:rPr>
              <w:t>2</w:t>
            </w:r>
          </w:p>
        </w:tc>
        <w:tc>
          <w:tcPr>
            <w:tcW w:w="1701" w:type="dxa"/>
            <w:shd w:val="clear" w:color="auto" w:fill="FFFFFF"/>
          </w:tcPr>
          <w:p w14:paraId="1D7B1007" w14:textId="15228F0C" w:rsidR="005B4C1F" w:rsidRDefault="00ED06E4" w:rsidP="005B4C1F">
            <w:pPr>
              <w:pStyle w:val="CETBodytext"/>
              <w:ind w:right="-1"/>
              <w:jc w:val="left"/>
              <w:rPr>
                <w:rFonts w:cs="Arial"/>
                <w:szCs w:val="18"/>
                <w:lang w:val="en-GB"/>
              </w:rPr>
            </w:pPr>
            <w:r>
              <w:rPr>
                <w:rFonts w:cs="Arial"/>
                <w:szCs w:val="18"/>
                <w:lang w:val="en-GB"/>
              </w:rPr>
              <w:t>Nutrient deprived</w:t>
            </w:r>
          </w:p>
          <w:p w14:paraId="28552E30" w14:textId="1F125A22" w:rsidR="00ED06E4" w:rsidRPr="00B57B36" w:rsidRDefault="005B4C1F" w:rsidP="005B4C1F">
            <w:pPr>
              <w:pStyle w:val="CETBodytext"/>
              <w:ind w:right="-1"/>
              <w:jc w:val="left"/>
              <w:rPr>
                <w:rFonts w:cs="Arial"/>
                <w:szCs w:val="18"/>
                <w:lang w:val="en-GB"/>
              </w:rPr>
            </w:pPr>
            <w:r>
              <w:rPr>
                <w:rFonts w:cs="Arial"/>
                <w:szCs w:val="18"/>
                <w:lang w:val="en-GB"/>
              </w:rPr>
              <w:t>m</w:t>
            </w:r>
            <w:r w:rsidR="00ED06E4">
              <w:rPr>
                <w:rFonts w:cs="Arial"/>
                <w:szCs w:val="18"/>
                <w:lang w:val="en-GB"/>
              </w:rPr>
              <w:t>edium</w:t>
            </w:r>
            <w:r>
              <w:rPr>
                <w:rFonts w:cs="Arial"/>
                <w:szCs w:val="18"/>
                <w:lang w:val="en-GB"/>
              </w:rPr>
              <w:t xml:space="preserve"> </w:t>
            </w:r>
            <w:r w:rsidR="00ED06E4">
              <w:rPr>
                <w:rFonts w:cs="Arial"/>
                <w:szCs w:val="18"/>
                <w:lang w:val="en-GB"/>
              </w:rPr>
              <w:t>containing biomass rich in PHB-co-HV</w:t>
            </w:r>
          </w:p>
        </w:tc>
      </w:tr>
      <w:tr w:rsidR="00930301" w:rsidRPr="00B57B36" w14:paraId="1DBB6478" w14:textId="77777777" w:rsidTr="005B4C1F">
        <w:tc>
          <w:tcPr>
            <w:tcW w:w="2311" w:type="dxa"/>
            <w:vMerge/>
            <w:shd w:val="clear" w:color="auto" w:fill="FFFFFF"/>
          </w:tcPr>
          <w:p w14:paraId="13ED11E3" w14:textId="77777777" w:rsidR="005B4C1F" w:rsidRDefault="005B4C1F" w:rsidP="00C603F8">
            <w:pPr>
              <w:pStyle w:val="CETBodytext"/>
              <w:jc w:val="left"/>
              <w:rPr>
                <w:noProof/>
              </w:rPr>
            </w:pPr>
          </w:p>
        </w:tc>
        <w:tc>
          <w:tcPr>
            <w:tcW w:w="99" w:type="dxa"/>
            <w:shd w:val="clear" w:color="auto" w:fill="FFFFFF"/>
          </w:tcPr>
          <w:p w14:paraId="08D3DB0E" w14:textId="77777777" w:rsidR="005B4C1F" w:rsidRPr="00B57B36" w:rsidRDefault="005B4C1F" w:rsidP="00C603F8">
            <w:pPr>
              <w:pStyle w:val="CETBodytext"/>
              <w:jc w:val="left"/>
              <w:rPr>
                <w:lang w:val="en-GB"/>
              </w:rPr>
            </w:pPr>
          </w:p>
        </w:tc>
        <w:tc>
          <w:tcPr>
            <w:tcW w:w="1276" w:type="dxa"/>
            <w:vMerge/>
            <w:shd w:val="clear" w:color="auto" w:fill="FFFFFF"/>
          </w:tcPr>
          <w:p w14:paraId="4287544B" w14:textId="77777777" w:rsidR="005B4C1F" w:rsidRDefault="005B4C1F" w:rsidP="005B4C1F">
            <w:pPr>
              <w:pStyle w:val="CETBodytext"/>
              <w:jc w:val="left"/>
              <w:rPr>
                <w:lang w:val="en-GB"/>
              </w:rPr>
            </w:pPr>
          </w:p>
        </w:tc>
        <w:tc>
          <w:tcPr>
            <w:tcW w:w="1701" w:type="dxa"/>
            <w:shd w:val="clear" w:color="auto" w:fill="FFFFFF"/>
          </w:tcPr>
          <w:p w14:paraId="5CB9A187" w14:textId="77777777" w:rsidR="005B4C1F" w:rsidRDefault="005B4C1F" w:rsidP="005B4C1F">
            <w:pPr>
              <w:pStyle w:val="CETBodytext"/>
              <w:jc w:val="left"/>
              <w:rPr>
                <w:lang w:val="en-GB"/>
              </w:rPr>
            </w:pPr>
          </w:p>
        </w:tc>
        <w:tc>
          <w:tcPr>
            <w:tcW w:w="1276" w:type="dxa"/>
            <w:shd w:val="clear" w:color="auto" w:fill="FFFFFF"/>
          </w:tcPr>
          <w:p w14:paraId="5876A18A" w14:textId="77777777" w:rsidR="005B4C1F" w:rsidRDefault="005B4C1F" w:rsidP="005B4C1F">
            <w:pPr>
              <w:pStyle w:val="CETBodytext"/>
              <w:ind w:right="-1"/>
              <w:jc w:val="left"/>
              <w:rPr>
                <w:rFonts w:cs="Arial"/>
                <w:szCs w:val="18"/>
                <w:lang w:val="en-GB"/>
              </w:rPr>
            </w:pPr>
          </w:p>
        </w:tc>
        <w:tc>
          <w:tcPr>
            <w:tcW w:w="1701" w:type="dxa"/>
            <w:shd w:val="clear" w:color="auto" w:fill="FFFFFF"/>
          </w:tcPr>
          <w:p w14:paraId="5A2021BE" w14:textId="77777777" w:rsidR="005B4C1F" w:rsidRDefault="005B4C1F" w:rsidP="005B4C1F">
            <w:pPr>
              <w:pStyle w:val="CETBodytext"/>
              <w:ind w:right="-1"/>
              <w:jc w:val="left"/>
              <w:rPr>
                <w:rFonts w:cs="Arial"/>
                <w:szCs w:val="18"/>
                <w:lang w:val="en-GB"/>
              </w:rPr>
            </w:pPr>
          </w:p>
        </w:tc>
      </w:tr>
      <w:tr w:rsidR="00930301" w:rsidRPr="00B57B36" w14:paraId="3145551B" w14:textId="77777777" w:rsidTr="005B4C1F">
        <w:tc>
          <w:tcPr>
            <w:tcW w:w="2311" w:type="dxa"/>
            <w:vMerge/>
            <w:shd w:val="clear" w:color="auto" w:fill="FFFFFF"/>
          </w:tcPr>
          <w:p w14:paraId="5F500385" w14:textId="77777777" w:rsidR="00ED06E4" w:rsidRPr="00B57B36" w:rsidRDefault="00ED06E4" w:rsidP="00C603F8">
            <w:pPr>
              <w:pStyle w:val="CETBodytext"/>
              <w:jc w:val="left"/>
              <w:rPr>
                <w:lang w:val="en-GB"/>
              </w:rPr>
            </w:pPr>
          </w:p>
        </w:tc>
        <w:tc>
          <w:tcPr>
            <w:tcW w:w="99" w:type="dxa"/>
            <w:shd w:val="clear" w:color="auto" w:fill="FFFFFF"/>
          </w:tcPr>
          <w:p w14:paraId="1BA3E155" w14:textId="77777777" w:rsidR="00ED06E4" w:rsidRPr="00B57B36" w:rsidRDefault="00ED06E4" w:rsidP="00C603F8">
            <w:pPr>
              <w:pStyle w:val="CETBodytext"/>
              <w:jc w:val="left"/>
              <w:rPr>
                <w:lang w:val="en-GB"/>
              </w:rPr>
            </w:pPr>
          </w:p>
        </w:tc>
        <w:tc>
          <w:tcPr>
            <w:tcW w:w="1276" w:type="dxa"/>
            <w:vMerge/>
            <w:shd w:val="clear" w:color="auto" w:fill="FFFFFF"/>
          </w:tcPr>
          <w:p w14:paraId="79082F73" w14:textId="77777777" w:rsidR="00ED06E4" w:rsidRDefault="00ED06E4" w:rsidP="005B4C1F">
            <w:pPr>
              <w:pStyle w:val="CETBodytext"/>
              <w:jc w:val="left"/>
              <w:rPr>
                <w:lang w:val="en-GB"/>
              </w:rPr>
            </w:pPr>
          </w:p>
        </w:tc>
        <w:tc>
          <w:tcPr>
            <w:tcW w:w="1701" w:type="dxa"/>
            <w:shd w:val="clear" w:color="auto" w:fill="FFFFFF"/>
          </w:tcPr>
          <w:p w14:paraId="4A114A1C" w14:textId="77777777" w:rsidR="00ED06E4" w:rsidRDefault="00ED06E4" w:rsidP="005B4C1F">
            <w:pPr>
              <w:pStyle w:val="CETBodytext"/>
              <w:jc w:val="left"/>
              <w:rPr>
                <w:lang w:val="en-GB"/>
              </w:rPr>
            </w:pPr>
          </w:p>
        </w:tc>
        <w:tc>
          <w:tcPr>
            <w:tcW w:w="1276" w:type="dxa"/>
            <w:shd w:val="clear" w:color="auto" w:fill="FFFFFF"/>
          </w:tcPr>
          <w:p w14:paraId="1454ED6A" w14:textId="77777777" w:rsidR="00ED06E4" w:rsidRDefault="00ED06E4" w:rsidP="005B4C1F">
            <w:pPr>
              <w:pStyle w:val="CETBodytext"/>
              <w:ind w:right="-1"/>
              <w:jc w:val="left"/>
              <w:rPr>
                <w:rFonts w:cs="Arial"/>
                <w:szCs w:val="18"/>
                <w:lang w:val="en-GB"/>
              </w:rPr>
            </w:pPr>
          </w:p>
        </w:tc>
        <w:tc>
          <w:tcPr>
            <w:tcW w:w="1701" w:type="dxa"/>
            <w:shd w:val="clear" w:color="auto" w:fill="FFFFFF"/>
          </w:tcPr>
          <w:p w14:paraId="1924BBCD" w14:textId="77777777" w:rsidR="00ED06E4" w:rsidRDefault="00ED06E4" w:rsidP="005B4C1F">
            <w:pPr>
              <w:pStyle w:val="CETBodytext"/>
              <w:ind w:right="-1"/>
              <w:jc w:val="left"/>
              <w:rPr>
                <w:rFonts w:cs="Arial"/>
                <w:szCs w:val="18"/>
                <w:lang w:val="en-GB"/>
              </w:rPr>
            </w:pPr>
          </w:p>
        </w:tc>
      </w:tr>
      <w:tr w:rsidR="00930301" w:rsidRPr="00B57B36" w14:paraId="550F7A0B" w14:textId="77777777" w:rsidTr="005B4C1F">
        <w:tc>
          <w:tcPr>
            <w:tcW w:w="2311" w:type="dxa"/>
            <w:vMerge/>
            <w:shd w:val="clear" w:color="auto" w:fill="FFFFFF"/>
          </w:tcPr>
          <w:p w14:paraId="516AF056" w14:textId="77777777" w:rsidR="00ED06E4" w:rsidRPr="00B57B36" w:rsidRDefault="00ED06E4" w:rsidP="00C603F8">
            <w:pPr>
              <w:pStyle w:val="CETBodytext"/>
              <w:jc w:val="left"/>
              <w:rPr>
                <w:lang w:val="en-GB"/>
              </w:rPr>
            </w:pPr>
          </w:p>
        </w:tc>
        <w:tc>
          <w:tcPr>
            <w:tcW w:w="99" w:type="dxa"/>
            <w:shd w:val="clear" w:color="auto" w:fill="FFFFFF"/>
          </w:tcPr>
          <w:p w14:paraId="0E92FB05" w14:textId="77777777" w:rsidR="00ED06E4" w:rsidRPr="00B57B36" w:rsidRDefault="00ED06E4" w:rsidP="00C603F8">
            <w:pPr>
              <w:pStyle w:val="CETBodytext"/>
              <w:jc w:val="left"/>
              <w:rPr>
                <w:lang w:val="en-GB"/>
              </w:rPr>
            </w:pPr>
          </w:p>
        </w:tc>
        <w:tc>
          <w:tcPr>
            <w:tcW w:w="1276" w:type="dxa"/>
            <w:vMerge/>
            <w:shd w:val="clear" w:color="auto" w:fill="FFFFFF"/>
          </w:tcPr>
          <w:p w14:paraId="37B4B83F" w14:textId="77777777" w:rsidR="00ED06E4" w:rsidRDefault="00ED06E4" w:rsidP="00C603F8">
            <w:pPr>
              <w:pStyle w:val="CETBodytext"/>
              <w:jc w:val="left"/>
              <w:rPr>
                <w:lang w:val="en-GB"/>
              </w:rPr>
            </w:pPr>
          </w:p>
        </w:tc>
        <w:tc>
          <w:tcPr>
            <w:tcW w:w="1701" w:type="dxa"/>
            <w:shd w:val="clear" w:color="auto" w:fill="FFFFFF"/>
          </w:tcPr>
          <w:p w14:paraId="2B0D2307" w14:textId="77777777" w:rsidR="00ED06E4" w:rsidRDefault="00ED06E4" w:rsidP="00C603F8">
            <w:pPr>
              <w:pStyle w:val="CETBodytext"/>
              <w:jc w:val="left"/>
              <w:rPr>
                <w:lang w:val="en-GB"/>
              </w:rPr>
            </w:pPr>
          </w:p>
        </w:tc>
        <w:tc>
          <w:tcPr>
            <w:tcW w:w="1276" w:type="dxa"/>
            <w:shd w:val="clear" w:color="auto" w:fill="FFFFFF"/>
          </w:tcPr>
          <w:p w14:paraId="32058ABA" w14:textId="77777777" w:rsidR="00ED06E4" w:rsidRDefault="00ED06E4" w:rsidP="00C603F8">
            <w:pPr>
              <w:pStyle w:val="CETBodytext"/>
              <w:ind w:right="-1"/>
              <w:jc w:val="left"/>
              <w:rPr>
                <w:rFonts w:cs="Arial"/>
                <w:szCs w:val="18"/>
                <w:lang w:val="en-GB"/>
              </w:rPr>
            </w:pPr>
          </w:p>
        </w:tc>
        <w:tc>
          <w:tcPr>
            <w:tcW w:w="1701" w:type="dxa"/>
            <w:shd w:val="clear" w:color="auto" w:fill="FFFFFF"/>
          </w:tcPr>
          <w:p w14:paraId="19A7CA7A" w14:textId="77777777" w:rsidR="00ED06E4" w:rsidRDefault="00ED06E4" w:rsidP="00A82292">
            <w:pPr>
              <w:pStyle w:val="CETBodytext"/>
              <w:ind w:right="-1"/>
              <w:rPr>
                <w:rFonts w:cs="Arial"/>
                <w:szCs w:val="18"/>
                <w:lang w:val="en-GB"/>
              </w:rPr>
            </w:pPr>
          </w:p>
        </w:tc>
      </w:tr>
    </w:tbl>
    <w:p w14:paraId="620C0714" w14:textId="053B3577" w:rsidR="00291177" w:rsidRDefault="009B55E2" w:rsidP="00291177">
      <w:pPr>
        <w:pStyle w:val="CETBodytext"/>
      </w:pPr>
      <w:r>
        <w:lastRenderedPageBreak/>
        <w:t>In the reaction considered, m</w:t>
      </w:r>
      <w:r w:rsidR="00291177">
        <w:t xml:space="preserve">ethane and oxygen </w:t>
      </w:r>
      <w:r w:rsidR="00750910">
        <w:t>are</w:t>
      </w:r>
      <w:r w:rsidR="00291177">
        <w:t xml:space="preserve"> consumed by the biomass to produce CO</w:t>
      </w:r>
      <w:r w:rsidR="00291177" w:rsidRPr="00DB4892">
        <w:rPr>
          <w:vertAlign w:val="subscript"/>
        </w:rPr>
        <w:t>2</w:t>
      </w:r>
      <w:r w:rsidR="00291177">
        <w:t xml:space="preserve"> and the polymer</w:t>
      </w:r>
      <w:r w:rsidR="00991D97">
        <w:t xml:space="preserve"> (</w:t>
      </w:r>
      <w:r w:rsidR="00291177">
        <w:t>C</w:t>
      </w:r>
      <w:r w:rsidR="00291177" w:rsidRPr="00DB4892">
        <w:rPr>
          <w:vertAlign w:val="subscript"/>
        </w:rPr>
        <w:t>4</w:t>
      </w:r>
      <w:r w:rsidR="00291177">
        <w:t>H</w:t>
      </w:r>
      <w:r w:rsidR="00291177" w:rsidRPr="00DB4892">
        <w:rPr>
          <w:vertAlign w:val="subscript"/>
        </w:rPr>
        <w:t>6</w:t>
      </w:r>
      <w:r w:rsidR="00291177">
        <w:t>O</w:t>
      </w:r>
      <w:r w:rsidR="00291177" w:rsidRPr="00DB4892">
        <w:rPr>
          <w:vertAlign w:val="subscript"/>
        </w:rPr>
        <w:t>2</w:t>
      </w:r>
      <w:r w:rsidR="00991D97">
        <w:t>)</w:t>
      </w:r>
      <w:r w:rsidR="00291177">
        <w:t xml:space="preserve">. </w:t>
      </w:r>
    </w:p>
    <w:p w14:paraId="23C57CF1" w14:textId="77777777" w:rsidR="00291177" w:rsidRPr="00291177" w:rsidRDefault="00291177" w:rsidP="00291177">
      <w:pPr>
        <w:pStyle w:val="CETBodytext"/>
      </w:pPr>
    </w:p>
    <w:p w14:paraId="4EDC8696" w14:textId="475386B0" w:rsidR="00453E24" w:rsidRPr="005F3734" w:rsidRDefault="00000000" w:rsidP="00670F26">
      <w:pPr>
        <w:pStyle w:val="CETnumberingbullets"/>
        <w:numPr>
          <w:ilvl w:val="0"/>
          <w:numId w:val="0"/>
        </w:numPr>
        <w:rPr>
          <w:lang w:val="it-IT"/>
        </w:rPr>
      </w:pPr>
      <m:oMath>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C</m:t>
        </m:r>
        <m:sSub>
          <m:sSubPr>
            <m:ctrlPr>
              <w:rPr>
                <w:rFonts w:ascii="Cambria Math" w:hAnsi="Cambria Math" w:cs="Arial"/>
              </w:rPr>
            </m:ctrlPr>
          </m:sSubPr>
          <m:e>
            <m:r>
              <m:rPr>
                <m:nor/>
              </m:rPr>
              <w:rPr>
                <w:rFonts w:cs="Arial"/>
                <w:lang w:val="it-IT"/>
              </w:rPr>
              <m:t>H</m:t>
            </m:r>
          </m:e>
          <m:sub>
            <m:r>
              <m:rPr>
                <m:nor/>
              </m:rPr>
              <w:rPr>
                <w:rFonts w:cs="Arial"/>
                <w:lang w:val="it-IT"/>
              </w:rPr>
              <m:t>4</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4</m:t>
                </m:r>
              </m:den>
            </m:f>
          </m:e>
        </m:d>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r>
                  <m:rPr>
                    <m:nor/>
                  </m:rPr>
                  <w:rPr>
                    <w:rFonts w:cs="Arial"/>
                    <w:lang w:val="it-IT"/>
                  </w:rPr>
                  <m:t>4</m:t>
                </m:r>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18</m:t>
                </m:r>
              </m:den>
            </m:f>
          </m:e>
        </m:d>
        <m:r>
          <m:rPr>
            <m:nor/>
          </m:rPr>
          <w:rPr>
            <w:rFonts w:cs="Arial"/>
            <w:lang w:val="it-IT"/>
          </w:rPr>
          <m:t>C</m:t>
        </m:r>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2</m:t>
                </m:r>
              </m:den>
            </m:f>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3</m:t>
                </m:r>
              </m:den>
            </m:f>
          </m:e>
        </m:d>
        <m:sSub>
          <m:sSubPr>
            <m:ctrlPr>
              <w:rPr>
                <w:rFonts w:ascii="Cambria Math" w:hAnsi="Cambria Math" w:cs="Arial"/>
              </w:rPr>
            </m:ctrlPr>
          </m:sSubPr>
          <m:e>
            <m:r>
              <m:rPr>
                <m:nor/>
              </m:rPr>
              <w:rPr>
                <w:rFonts w:cs="Arial"/>
                <w:lang w:val="it-IT"/>
              </w:rPr>
              <m:t>H</m:t>
            </m:r>
          </m:e>
          <m:sub>
            <m:r>
              <m:rPr>
                <m:nor/>
              </m:rPr>
              <w:rPr>
                <w:rFonts w:cs="Arial"/>
                <w:lang w:val="it-IT"/>
              </w:rPr>
              <m:t>2</m:t>
            </m:r>
          </m:sub>
        </m:sSub>
        <m:r>
          <m:rPr>
            <m:nor/>
          </m:rPr>
          <w:rPr>
            <w:rFonts w:cs="Arial"/>
            <w:lang w:val="it-IT"/>
          </w:rPr>
          <m:t>O+</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18</m:t>
                </m:r>
              </m:den>
            </m:f>
          </m:e>
        </m:d>
        <m:sSub>
          <m:sSubPr>
            <m:ctrlPr>
              <w:rPr>
                <w:rFonts w:ascii="Cambria Math" w:hAnsi="Cambria Math" w:cs="Arial"/>
              </w:rPr>
            </m:ctrlPr>
          </m:sSubPr>
          <m:e>
            <m:r>
              <m:rPr>
                <m:nor/>
              </m:rPr>
              <w:rPr>
                <w:rFonts w:cs="Arial"/>
                <w:lang w:val="it-IT"/>
              </w:rPr>
              <m:t>C</m:t>
            </m:r>
          </m:e>
          <m:sub>
            <m:r>
              <m:rPr>
                <m:nor/>
              </m:rPr>
              <w:rPr>
                <w:rFonts w:cs="Arial"/>
                <w:lang w:val="it-IT"/>
              </w:rPr>
              <m:t>4</m:t>
            </m:r>
          </m:sub>
        </m:sSub>
        <m:sSub>
          <m:sSubPr>
            <m:ctrlPr>
              <w:rPr>
                <w:rFonts w:ascii="Cambria Math" w:hAnsi="Cambria Math" w:cs="Arial"/>
              </w:rPr>
            </m:ctrlPr>
          </m:sSubPr>
          <m:e>
            <m:r>
              <m:rPr>
                <m:nor/>
              </m:rPr>
              <w:rPr>
                <w:rFonts w:cs="Arial"/>
                <w:lang w:val="it-IT"/>
              </w:rPr>
              <m:t>H</m:t>
            </m:r>
          </m:e>
          <m:sub>
            <m:r>
              <m:rPr>
                <m:nor/>
              </m:rPr>
              <w:rPr>
                <w:rFonts w:cs="Arial"/>
                <w:lang w:val="it-IT"/>
              </w:rPr>
              <m:t>6</m:t>
            </m:r>
          </m:sub>
        </m:sSub>
        <m:sSub>
          <m:sSubPr>
            <m:ctrlPr>
              <w:rPr>
                <w:rFonts w:ascii="Cambria Math" w:hAnsi="Cambria Math" w:cs="Arial"/>
              </w:rPr>
            </m:ctrlPr>
          </m:sSubPr>
          <m:e>
            <m:r>
              <m:rPr>
                <m:nor/>
              </m:rPr>
              <w:rPr>
                <w:rFonts w:cs="Arial"/>
                <w:lang w:val="it-IT"/>
              </w:rPr>
              <m:t>O</m:t>
            </m:r>
          </m:e>
          <m:sub>
            <m:r>
              <m:rPr>
                <m:nor/>
              </m:rPr>
              <w:rPr>
                <w:rFonts w:cs="Arial"/>
                <w:lang w:val="it-IT"/>
              </w:rPr>
              <m:t xml:space="preserve">2  </m:t>
            </m:r>
          </m:sub>
        </m:sSub>
      </m:oMath>
      <w:r w:rsidR="005F3734" w:rsidRPr="005F3734">
        <w:rPr>
          <w:lang w:val="it-IT"/>
        </w:rPr>
        <w:t xml:space="preserve"> </w:t>
      </w:r>
      <w:r w:rsidR="005F3734">
        <w:rPr>
          <w:lang w:val="it-IT"/>
        </w:rPr>
        <w:t xml:space="preserve">                                                                       (2)</w:t>
      </w:r>
    </w:p>
    <w:p w14:paraId="212F1E2F" w14:textId="77777777" w:rsidR="009B55E2" w:rsidRPr="00886ADE" w:rsidRDefault="009B55E2" w:rsidP="00670F26">
      <w:pPr>
        <w:pStyle w:val="CETnumberingbullets"/>
        <w:numPr>
          <w:ilvl w:val="0"/>
          <w:numId w:val="0"/>
        </w:numPr>
        <w:rPr>
          <w:lang w:val="it-IT"/>
        </w:rPr>
      </w:pPr>
    </w:p>
    <w:p w14:paraId="129F5439" w14:textId="062617ED" w:rsidR="009B55E2" w:rsidRDefault="009B55E2" w:rsidP="005F3734">
      <w:pPr>
        <w:pStyle w:val="CETnumberingbullets"/>
        <w:numPr>
          <w:ilvl w:val="0"/>
          <w:numId w:val="0"/>
        </w:numPr>
        <w:jc w:val="both"/>
      </w:pPr>
      <w:r>
        <w:t xml:space="preserve">The partition coefficients used were measured experimentally for </w:t>
      </w:r>
      <w:r w:rsidR="00787D7F">
        <w:t xml:space="preserve">a </w:t>
      </w:r>
      <w:r w:rsidRPr="00B75D8A">
        <w:rPr>
          <w:i/>
          <w:iCs/>
        </w:rPr>
        <w:t>Methylocystis</w:t>
      </w:r>
      <w:r w:rsidR="00750910">
        <w:rPr>
          <w:i/>
          <w:iCs/>
        </w:rPr>
        <w:t>-</w:t>
      </w:r>
      <w:r w:rsidR="00787D7F">
        <w:t xml:space="preserve">dominated culture </w:t>
      </w:r>
      <w:r>
        <w:t>in the same conditions simulated (low and high valeric acid, methane as substrate</w:t>
      </w:r>
      <w:r w:rsidR="00B75D8A">
        <w:t>)</w:t>
      </w:r>
      <w:r>
        <w:t>. As for the growth phase, the kinetic constant was extrapolated from the literature</w:t>
      </w:r>
      <w:r w:rsidR="00192D84">
        <w:t>,</w:t>
      </w:r>
      <w:r>
        <w:t xml:space="preserve"> considering a zero-order reaction. </w:t>
      </w:r>
      <w:r w:rsidR="00B75D8A">
        <w:t xml:space="preserve">Table </w:t>
      </w:r>
      <w:r w:rsidR="00750910">
        <w:t>4</w:t>
      </w:r>
      <w:r w:rsidR="00B75D8A">
        <w:t xml:space="preserve"> reports the kinetic and transfer data used for these simulations</w:t>
      </w:r>
      <w:r w:rsidR="00AF42E3">
        <w:t xml:space="preserve">, which were calculated according to </w:t>
      </w:r>
      <w:r w:rsidR="00AF42E3">
        <w:fldChar w:fldCharType="begin" w:fldLock="1"/>
      </w:r>
      <w:r w:rsidR="00B6611A">
        <w:instrText>ADDIN CSL_CITATION {"citationItems":[{"id":"ITEM-1","itemData":{"DOI":"10.1016/j.nbt.2022.04.004","ISSN":"18764347","PMID":"35462002","abstract":"The pressing problem posed by plastic pollution has led to other, environmentally friendly alternatives, such as polyhydroxyalkanoates. This work proposes an innovative process to produce poly(3-hydroxybutyrate) by replacing expensive substrates, such as sugars, with methane. A two-step process was simulated: a first fermentation is performed in a continuous mode for 20 days to grow a strain belonging to the genus Methylocystis, while a second semi-continuous and nitrogen-limited fermentation is employed to induce the poly(3-hydroxybutyrate) accumulation within 12 days. The effects of the superficial gas velocity on the mass transfer and the poly(3-hydroxybutyrate) production yields were evaluated. Several scenarios were analyzed to optimize the geometry of the reactors and the methane utilization. The working volume of the reactors, as well as the presence of gas recycling stream, were shown to affect the global yields positively, while improving the aspect ratio from 8 to 19, with equal volume, lowered the fraction of poly(3-hydroxybutyrate) into the biomass by up to 37.5%.","author":[{"dropping-particle":"","family":"Amabile","given":"Claudia","non-dropping-particle":"","parse-names":false,"suffix":""},{"dropping-particle":"","family":"Abate","given":"Teresa","non-dropping-particle":"","parse-names":false,"suffix":""},{"dropping-particle":"De","family":"Crescenzo","given":"Carmen","non-dropping-particle":"","parse-names":false,"suffix":""},{"dropping-particle":"","family":"Sabbarese","given":"Simona","non-dropping-particle":"","parse-names":false,"suffix":""},{"dropping-particle":"","family":"Migliaccio","given":"Antimo","non-dropping-particle":"","parse-names":false,"suffix":""},{"dropping-particle":"","family":"Chianese","given":"Simeone","non-dropping-particle":"","parse-names":false,"suffix":""},{"dropping-particle":"","family":"Musmarra","given":"Dino","non-dropping-particle":"","parse-names":false,"suffix":""},{"dropping-particle":"","family":"Crescenzo","given":"Carmen","non-dropping-particle":"De","parse-names":false,"suffix":""},{"dropping-particle":"","family":"Sabbarese","given":"Simona","non-dropping-particle":"","parse-names":false,"suffix":""},{"dropping-particle":"","family":"Migliaccio","given":"Antimo","non-dropping-particle":"","parse-names":false,"suffix":""},{"dropping-particle":"","family":"Chianese","given":"Simeone","non-dropping-particle":"","parse-names":false,"suffix":""},{"dropping-particle":"","family":"Musmarra","given":"Dino","non-dropping-particle":"","parse-names":false,"suffix":""}],"container-title":"New Biotechnology","id":"ITEM-1","issue":"April","issued":{"date-parts":[["2022","9"]]},"page":"39-48","publisher":"Elsevier B.V.","title":"Poly(3-hydroxybutyrate) production from methane in bubble column bioreactors: Process simulation and design optimization","type":"article-journal","volume":"70"},"uris":["http://www.mendeley.com/documents/?uuid=e1a04b42-2aa8-4259-b8b7-3a1b09ecd697"]}],"mendeley":{"formattedCitation":"(Amabile et al., 2022a)","manualFormatting":"Amabile et al. (2022a)","plainTextFormattedCitation":"(Amabile et al., 2022a)","previouslyFormattedCitation":"(Amabile et al., 2022a)"},"properties":{"noteIndex":0},"schema":"https://github.com/citation-style-language/schema/raw/master/csl-citation.json"}</w:instrText>
      </w:r>
      <w:r w:rsidR="00AF42E3">
        <w:fldChar w:fldCharType="separate"/>
      </w:r>
      <w:r w:rsidR="00053BEE" w:rsidRPr="00053BEE">
        <w:rPr>
          <w:noProof/>
        </w:rPr>
        <w:t xml:space="preserve">Amabile et al. </w:t>
      </w:r>
      <w:r w:rsidR="00750910">
        <w:rPr>
          <w:noProof/>
        </w:rPr>
        <w:t>(</w:t>
      </w:r>
      <w:r w:rsidR="00053BEE" w:rsidRPr="00053BEE">
        <w:rPr>
          <w:noProof/>
        </w:rPr>
        <w:t>2022a)</w:t>
      </w:r>
      <w:r w:rsidR="00AF42E3">
        <w:fldChar w:fldCharType="end"/>
      </w:r>
      <w:r w:rsidR="00C603F8">
        <w:t>.</w:t>
      </w:r>
    </w:p>
    <w:p w14:paraId="5E79FB78" w14:textId="7D4227F0" w:rsidR="00C603F8" w:rsidRPr="00B57B36" w:rsidRDefault="00C603F8" w:rsidP="00C603F8">
      <w:pPr>
        <w:pStyle w:val="CETTabletitle"/>
      </w:pPr>
      <w:r w:rsidRPr="00B57B36">
        <w:t xml:space="preserve">Table </w:t>
      </w:r>
      <w:r w:rsidR="00750910">
        <w:t>4</w:t>
      </w:r>
      <w:r w:rsidRPr="00B57B36">
        <w:t xml:space="preserve">: </w:t>
      </w:r>
      <w:r w:rsidR="00DB4892">
        <w:t xml:space="preserve">kinetic and transfer parameters </w:t>
      </w:r>
      <w:r w:rsidR="00192D84">
        <w:t>used to simulate</w:t>
      </w:r>
      <w:r w:rsidR="00DB4892">
        <w:t xml:space="preserve"> PHB-co-HV accumulation</w:t>
      </w:r>
      <w:r w:rsidR="005F3734">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398"/>
        <w:gridCol w:w="1012"/>
      </w:tblGrid>
      <w:tr w:rsidR="00DB4892" w:rsidRPr="00B57B36" w14:paraId="09F7B005" w14:textId="77777777" w:rsidTr="0028384D">
        <w:tc>
          <w:tcPr>
            <w:tcW w:w="2268" w:type="dxa"/>
            <w:tcBorders>
              <w:top w:val="single" w:sz="12" w:space="0" w:color="008000"/>
              <w:bottom w:val="single" w:sz="4" w:space="0" w:color="auto"/>
            </w:tcBorders>
            <w:shd w:val="clear" w:color="auto" w:fill="FFFFFF"/>
          </w:tcPr>
          <w:p w14:paraId="08B11C43" w14:textId="1FA17101" w:rsidR="00DB4892" w:rsidRPr="00B57B36" w:rsidRDefault="00DB4892" w:rsidP="00A82292">
            <w:pPr>
              <w:pStyle w:val="CETBodytext"/>
              <w:rPr>
                <w:lang w:val="en-GB"/>
              </w:rPr>
            </w:pPr>
            <w:r>
              <w:rPr>
                <w:lang w:val="en-GB"/>
              </w:rPr>
              <w:t>Parameter</w:t>
            </w:r>
          </w:p>
        </w:tc>
        <w:tc>
          <w:tcPr>
            <w:tcW w:w="2410" w:type="dxa"/>
            <w:gridSpan w:val="2"/>
            <w:tcBorders>
              <w:top w:val="single" w:sz="12" w:space="0" w:color="008000"/>
              <w:bottom w:val="single" w:sz="4" w:space="0" w:color="auto"/>
            </w:tcBorders>
            <w:shd w:val="clear" w:color="auto" w:fill="FFFFFF"/>
          </w:tcPr>
          <w:p w14:paraId="5AF5C6BB" w14:textId="0FB632C6" w:rsidR="00DB4892" w:rsidRPr="00B57B36" w:rsidRDefault="00DB4892" w:rsidP="00A82292">
            <w:pPr>
              <w:pStyle w:val="CETBodytext"/>
              <w:ind w:right="-1"/>
              <w:rPr>
                <w:rFonts w:cs="Arial"/>
                <w:szCs w:val="18"/>
                <w:lang w:val="en-GB"/>
              </w:rPr>
            </w:pPr>
            <w:r>
              <w:rPr>
                <w:rFonts w:cs="Arial"/>
                <w:szCs w:val="18"/>
                <w:lang w:val="en-GB"/>
              </w:rPr>
              <w:t>Valeric acid [ppm]</w:t>
            </w:r>
          </w:p>
        </w:tc>
      </w:tr>
      <w:tr w:rsidR="00DB4892" w:rsidRPr="00B57B36" w14:paraId="73655F37" w14:textId="77777777" w:rsidTr="0028384D">
        <w:tc>
          <w:tcPr>
            <w:tcW w:w="2268" w:type="dxa"/>
            <w:tcBorders>
              <w:top w:val="single" w:sz="4" w:space="0" w:color="auto"/>
              <w:bottom w:val="single" w:sz="4" w:space="0" w:color="auto"/>
            </w:tcBorders>
            <w:shd w:val="clear" w:color="auto" w:fill="FFFFFF"/>
          </w:tcPr>
          <w:p w14:paraId="7E285833" w14:textId="7B119FF7" w:rsidR="00DB4892" w:rsidRPr="00B57B36" w:rsidRDefault="00DB4892" w:rsidP="00A82292">
            <w:pPr>
              <w:pStyle w:val="CETBodytext"/>
              <w:rPr>
                <w:lang w:val="en-GB"/>
              </w:rPr>
            </w:pPr>
          </w:p>
        </w:tc>
        <w:tc>
          <w:tcPr>
            <w:tcW w:w="1398" w:type="dxa"/>
            <w:tcBorders>
              <w:top w:val="single" w:sz="4" w:space="0" w:color="auto"/>
              <w:bottom w:val="single" w:sz="4" w:space="0" w:color="auto"/>
            </w:tcBorders>
            <w:shd w:val="clear" w:color="auto" w:fill="FFFFFF"/>
          </w:tcPr>
          <w:p w14:paraId="6CCC990E" w14:textId="3EC1719D" w:rsidR="00DB4892" w:rsidRPr="00B57B36" w:rsidRDefault="00DB4892" w:rsidP="00A82292">
            <w:pPr>
              <w:pStyle w:val="CETBodytext"/>
              <w:rPr>
                <w:lang w:val="en-GB"/>
              </w:rPr>
            </w:pPr>
            <w:r>
              <w:rPr>
                <w:lang w:val="en-GB"/>
              </w:rPr>
              <w:t>100</w:t>
            </w:r>
          </w:p>
        </w:tc>
        <w:tc>
          <w:tcPr>
            <w:tcW w:w="1012" w:type="dxa"/>
            <w:tcBorders>
              <w:top w:val="single" w:sz="4" w:space="0" w:color="auto"/>
              <w:bottom w:val="single" w:sz="4" w:space="0" w:color="auto"/>
            </w:tcBorders>
            <w:shd w:val="clear" w:color="auto" w:fill="FFFFFF"/>
          </w:tcPr>
          <w:p w14:paraId="0018AA19" w14:textId="073B949E" w:rsidR="00DB4892" w:rsidRPr="00B57B36" w:rsidRDefault="00DB4892" w:rsidP="00A82292">
            <w:pPr>
              <w:pStyle w:val="CETBodytext"/>
              <w:rPr>
                <w:lang w:val="en-GB"/>
              </w:rPr>
            </w:pPr>
            <w:r>
              <w:rPr>
                <w:lang w:val="en-GB"/>
              </w:rPr>
              <w:t>400</w:t>
            </w:r>
          </w:p>
        </w:tc>
      </w:tr>
      <w:tr w:rsidR="00DB4892" w:rsidRPr="00B57B36" w14:paraId="0519E619" w14:textId="77777777" w:rsidTr="0028384D">
        <w:tc>
          <w:tcPr>
            <w:tcW w:w="2268" w:type="dxa"/>
            <w:tcBorders>
              <w:top w:val="single" w:sz="4" w:space="0" w:color="auto"/>
            </w:tcBorders>
            <w:shd w:val="clear" w:color="auto" w:fill="FFFFFF"/>
          </w:tcPr>
          <w:p w14:paraId="74D94AAC" w14:textId="35875E86" w:rsidR="00DB4892" w:rsidRPr="00B57B36" w:rsidRDefault="00750910" w:rsidP="00A82292">
            <w:pPr>
              <w:pStyle w:val="CETBodytext"/>
              <w:rPr>
                <w:lang w:val="en-GB"/>
              </w:rPr>
            </w:pPr>
            <w:r>
              <w:rPr>
                <w:lang w:val="en-GB"/>
              </w:rPr>
              <w:t>k</w:t>
            </w:r>
            <w:r w:rsidR="00DB4892" w:rsidRPr="00750910">
              <w:rPr>
                <w:vertAlign w:val="subscript"/>
                <w:lang w:val="en-GB"/>
              </w:rPr>
              <w:t>kin</w:t>
            </w:r>
            <w:r w:rsidR="00DB4892">
              <w:rPr>
                <w:lang w:val="en-GB"/>
              </w:rPr>
              <w:t xml:space="preserve"> [kmol m</w:t>
            </w:r>
            <w:r w:rsidR="00DB4892" w:rsidRPr="00DB4892">
              <w:rPr>
                <w:vertAlign w:val="superscript"/>
                <w:lang w:val="en-GB"/>
              </w:rPr>
              <w:t>-3</w:t>
            </w:r>
            <w:r w:rsidR="00DB4892">
              <w:rPr>
                <w:lang w:val="en-GB"/>
              </w:rPr>
              <w:t>h</w:t>
            </w:r>
            <w:r w:rsidR="00DB4892" w:rsidRPr="00DB4892">
              <w:rPr>
                <w:vertAlign w:val="superscript"/>
                <w:lang w:val="en-GB"/>
              </w:rPr>
              <w:t>-1</w:t>
            </w:r>
            <w:r w:rsidR="00DB4892">
              <w:rPr>
                <w:lang w:val="en-GB"/>
              </w:rPr>
              <w:t>]</w:t>
            </w:r>
          </w:p>
        </w:tc>
        <w:tc>
          <w:tcPr>
            <w:tcW w:w="1398" w:type="dxa"/>
            <w:tcBorders>
              <w:top w:val="single" w:sz="4" w:space="0" w:color="auto"/>
            </w:tcBorders>
            <w:shd w:val="clear" w:color="auto" w:fill="FFFFFF"/>
          </w:tcPr>
          <w:p w14:paraId="4F129E45" w14:textId="07E9FB9B" w:rsidR="00DB4892" w:rsidRPr="00B57B36" w:rsidRDefault="00787D7F" w:rsidP="00A82292">
            <w:pPr>
              <w:pStyle w:val="CETBodytext"/>
              <w:rPr>
                <w:lang w:val="en-GB"/>
              </w:rPr>
            </w:pPr>
            <w:r>
              <w:rPr>
                <w:lang w:val="en-GB"/>
              </w:rPr>
              <w:t>1.10x10</w:t>
            </w:r>
            <w:r w:rsidRPr="00787D7F">
              <w:rPr>
                <w:vertAlign w:val="superscript"/>
                <w:lang w:val="en-GB"/>
              </w:rPr>
              <w:t>-4</w:t>
            </w:r>
          </w:p>
        </w:tc>
        <w:tc>
          <w:tcPr>
            <w:tcW w:w="1012" w:type="dxa"/>
            <w:tcBorders>
              <w:top w:val="single" w:sz="4" w:space="0" w:color="auto"/>
            </w:tcBorders>
            <w:shd w:val="clear" w:color="auto" w:fill="FFFFFF"/>
          </w:tcPr>
          <w:p w14:paraId="184EAB97" w14:textId="0AE438B5" w:rsidR="00DB4892" w:rsidRPr="00B57B36" w:rsidRDefault="00787D7F" w:rsidP="00A82292">
            <w:pPr>
              <w:pStyle w:val="CETBodytext"/>
              <w:rPr>
                <w:lang w:val="en-GB"/>
              </w:rPr>
            </w:pPr>
            <w:r>
              <w:rPr>
                <w:lang w:val="en-GB"/>
              </w:rPr>
              <w:t>6x10</w:t>
            </w:r>
            <w:r w:rsidRPr="00787D7F">
              <w:rPr>
                <w:vertAlign w:val="superscript"/>
                <w:lang w:val="en-GB"/>
              </w:rPr>
              <w:t>-5</w:t>
            </w:r>
          </w:p>
        </w:tc>
      </w:tr>
      <w:tr w:rsidR="00DB4892" w:rsidRPr="00B57B36" w14:paraId="7CF21426" w14:textId="77777777" w:rsidTr="00DB4892">
        <w:tc>
          <w:tcPr>
            <w:tcW w:w="2268" w:type="dxa"/>
            <w:shd w:val="clear" w:color="auto" w:fill="FFFFFF"/>
          </w:tcPr>
          <w:p w14:paraId="1302BB31" w14:textId="315F5934" w:rsidR="00DB4892" w:rsidRPr="00DB4892" w:rsidRDefault="00DB4892" w:rsidP="00A82292">
            <w:pPr>
              <w:pStyle w:val="CETBodytext"/>
              <w:ind w:right="-1"/>
              <w:rPr>
                <w:rFonts w:cs="Arial"/>
                <w:i/>
                <w:iCs/>
                <w:szCs w:val="18"/>
                <w:lang w:val="en-GB"/>
              </w:rPr>
            </w:pPr>
            <w:r w:rsidRPr="00DB4892">
              <w:rPr>
                <w:rFonts w:cs="Arial"/>
                <w:i/>
                <w:iCs/>
                <w:szCs w:val="18"/>
                <w:lang w:val="en-GB"/>
              </w:rPr>
              <w:t>f</w:t>
            </w:r>
            <w:r w:rsidRPr="00DB4892">
              <w:rPr>
                <w:rFonts w:cs="Arial"/>
                <w:i/>
                <w:iCs/>
                <w:szCs w:val="18"/>
                <w:vertAlign w:val="subscript"/>
                <w:lang w:val="en-GB"/>
              </w:rPr>
              <w:t>e</w:t>
            </w:r>
          </w:p>
        </w:tc>
        <w:tc>
          <w:tcPr>
            <w:tcW w:w="1398" w:type="dxa"/>
            <w:shd w:val="clear" w:color="auto" w:fill="FFFFFF"/>
          </w:tcPr>
          <w:p w14:paraId="6AD4042A" w14:textId="16FF446A" w:rsidR="00DB4892" w:rsidRPr="00B57B36" w:rsidRDefault="00787D7F" w:rsidP="00A82292">
            <w:pPr>
              <w:pStyle w:val="CETBodytext"/>
              <w:ind w:right="-1"/>
              <w:rPr>
                <w:rFonts w:cs="Arial"/>
                <w:szCs w:val="18"/>
                <w:lang w:val="en-GB"/>
              </w:rPr>
            </w:pPr>
            <w:r>
              <w:rPr>
                <w:rFonts w:cs="Arial"/>
                <w:szCs w:val="18"/>
                <w:lang w:val="en-GB"/>
              </w:rPr>
              <w:t>0.35</w:t>
            </w:r>
          </w:p>
        </w:tc>
        <w:tc>
          <w:tcPr>
            <w:tcW w:w="1012" w:type="dxa"/>
            <w:shd w:val="clear" w:color="auto" w:fill="FFFFFF"/>
          </w:tcPr>
          <w:p w14:paraId="62B0B664" w14:textId="6EAFFA80" w:rsidR="00DB4892" w:rsidRPr="00B57B36" w:rsidRDefault="00787D7F" w:rsidP="00A82292">
            <w:pPr>
              <w:pStyle w:val="CETBodytext"/>
              <w:ind w:right="-1"/>
              <w:rPr>
                <w:rFonts w:cs="Arial"/>
                <w:szCs w:val="18"/>
                <w:lang w:val="en-GB"/>
              </w:rPr>
            </w:pPr>
            <w:r>
              <w:rPr>
                <w:rFonts w:cs="Arial"/>
                <w:szCs w:val="18"/>
                <w:lang w:val="en-GB"/>
              </w:rPr>
              <w:t>0.45</w:t>
            </w:r>
          </w:p>
        </w:tc>
      </w:tr>
      <w:tr w:rsidR="00DB4892" w:rsidRPr="00B57B36" w14:paraId="2FAB7894" w14:textId="77777777" w:rsidTr="00DB4892">
        <w:tc>
          <w:tcPr>
            <w:tcW w:w="2268" w:type="dxa"/>
            <w:shd w:val="clear" w:color="auto" w:fill="FFFFFF"/>
          </w:tcPr>
          <w:p w14:paraId="4250336C" w14:textId="36EFF12E" w:rsidR="00DB4892" w:rsidRPr="00DB4892" w:rsidRDefault="00DB4892" w:rsidP="00A82292">
            <w:pPr>
              <w:pStyle w:val="CETBodytext"/>
              <w:ind w:right="-1"/>
              <w:rPr>
                <w:rFonts w:cs="Arial"/>
                <w:i/>
                <w:iCs/>
                <w:szCs w:val="18"/>
                <w:lang w:val="en-GB"/>
              </w:rPr>
            </w:pPr>
            <w:r w:rsidRPr="00DB4892">
              <w:rPr>
                <w:rFonts w:cs="Arial"/>
                <w:i/>
                <w:iCs/>
                <w:szCs w:val="18"/>
                <w:lang w:val="en-GB"/>
              </w:rPr>
              <w:t>f</w:t>
            </w:r>
            <w:r w:rsidRPr="00DB4892">
              <w:rPr>
                <w:rFonts w:cs="Arial"/>
                <w:i/>
                <w:iCs/>
                <w:szCs w:val="18"/>
                <w:vertAlign w:val="subscript"/>
                <w:lang w:val="en-GB"/>
              </w:rPr>
              <w:t>s</w:t>
            </w:r>
          </w:p>
        </w:tc>
        <w:tc>
          <w:tcPr>
            <w:tcW w:w="1398" w:type="dxa"/>
            <w:shd w:val="clear" w:color="auto" w:fill="FFFFFF"/>
          </w:tcPr>
          <w:p w14:paraId="19D199D1" w14:textId="79CD8A6C" w:rsidR="00DB4892" w:rsidRPr="00B57B36" w:rsidRDefault="00787D7F" w:rsidP="00A82292">
            <w:pPr>
              <w:pStyle w:val="CETBodytext"/>
              <w:ind w:right="-1"/>
              <w:rPr>
                <w:rFonts w:cs="Arial"/>
                <w:szCs w:val="18"/>
                <w:lang w:val="en-GB"/>
              </w:rPr>
            </w:pPr>
            <w:r>
              <w:rPr>
                <w:rFonts w:cs="Arial"/>
                <w:szCs w:val="18"/>
                <w:lang w:val="en-GB"/>
              </w:rPr>
              <w:t>0.65</w:t>
            </w:r>
          </w:p>
        </w:tc>
        <w:tc>
          <w:tcPr>
            <w:tcW w:w="1012" w:type="dxa"/>
            <w:shd w:val="clear" w:color="auto" w:fill="FFFFFF"/>
          </w:tcPr>
          <w:p w14:paraId="1906A9C4" w14:textId="387A7F61" w:rsidR="00DB4892" w:rsidRPr="00B57B36" w:rsidRDefault="00787D7F" w:rsidP="00A82292">
            <w:pPr>
              <w:pStyle w:val="CETBodytext"/>
              <w:ind w:right="-1"/>
              <w:rPr>
                <w:rFonts w:cs="Arial"/>
                <w:szCs w:val="18"/>
                <w:lang w:val="en-GB"/>
              </w:rPr>
            </w:pPr>
            <w:r>
              <w:rPr>
                <w:rFonts w:cs="Arial"/>
                <w:szCs w:val="18"/>
                <w:lang w:val="en-GB"/>
              </w:rPr>
              <w:t>0.55</w:t>
            </w:r>
          </w:p>
        </w:tc>
      </w:tr>
      <w:tr w:rsidR="00DB4892" w:rsidRPr="00B57B36" w14:paraId="1DC74AC0" w14:textId="77777777" w:rsidTr="00DB4892">
        <w:tc>
          <w:tcPr>
            <w:tcW w:w="2268" w:type="dxa"/>
            <w:shd w:val="clear" w:color="auto" w:fill="FFFFFF"/>
          </w:tcPr>
          <w:p w14:paraId="3F2E1A3E" w14:textId="0B2B78FE" w:rsidR="00DB4892" w:rsidRDefault="00DB4892" w:rsidP="00A82292">
            <w:pPr>
              <w:pStyle w:val="CETBodytext"/>
              <w:ind w:right="-1"/>
              <w:rPr>
                <w:rFonts w:cs="Arial"/>
                <w:szCs w:val="18"/>
                <w:lang w:val="en-GB"/>
              </w:rPr>
            </w:pPr>
            <w:r>
              <w:rPr>
                <w:rFonts w:cs="Arial"/>
                <w:szCs w:val="18"/>
                <w:lang w:val="en-GB"/>
              </w:rPr>
              <w:t>kLa [s</w:t>
            </w:r>
            <w:r w:rsidRPr="00DB4892">
              <w:rPr>
                <w:rFonts w:cs="Arial"/>
                <w:szCs w:val="18"/>
                <w:vertAlign w:val="superscript"/>
                <w:lang w:val="en-GB"/>
              </w:rPr>
              <w:t>-1</w:t>
            </w:r>
            <w:r>
              <w:rPr>
                <w:rFonts w:cs="Arial"/>
                <w:szCs w:val="18"/>
                <w:lang w:val="en-GB"/>
              </w:rPr>
              <w:t>]</w:t>
            </w:r>
          </w:p>
        </w:tc>
        <w:tc>
          <w:tcPr>
            <w:tcW w:w="1398" w:type="dxa"/>
            <w:shd w:val="clear" w:color="auto" w:fill="FFFFFF"/>
          </w:tcPr>
          <w:p w14:paraId="66B18B7F" w14:textId="3F78F0F0" w:rsidR="00DB4892" w:rsidRPr="00B57B36" w:rsidRDefault="00787D7F" w:rsidP="00A82292">
            <w:pPr>
              <w:pStyle w:val="CETBodytext"/>
              <w:ind w:right="-1"/>
              <w:rPr>
                <w:rFonts w:cs="Arial"/>
                <w:szCs w:val="18"/>
                <w:lang w:val="en-GB"/>
              </w:rPr>
            </w:pPr>
            <w:r>
              <w:rPr>
                <w:rFonts w:cs="Arial"/>
                <w:szCs w:val="18"/>
                <w:lang w:val="en-GB"/>
              </w:rPr>
              <w:t>1x10</w:t>
            </w:r>
            <w:r w:rsidRPr="00787D7F">
              <w:rPr>
                <w:rFonts w:cs="Arial"/>
                <w:szCs w:val="18"/>
                <w:vertAlign w:val="superscript"/>
                <w:lang w:val="en-GB"/>
              </w:rPr>
              <w:t>-2</w:t>
            </w:r>
          </w:p>
        </w:tc>
        <w:tc>
          <w:tcPr>
            <w:tcW w:w="1012" w:type="dxa"/>
            <w:shd w:val="clear" w:color="auto" w:fill="FFFFFF"/>
          </w:tcPr>
          <w:p w14:paraId="44417236" w14:textId="1B5709B3" w:rsidR="00DB4892" w:rsidRPr="00B57B36" w:rsidRDefault="00787D7F" w:rsidP="00A82292">
            <w:pPr>
              <w:pStyle w:val="CETBodytext"/>
              <w:ind w:right="-1"/>
              <w:rPr>
                <w:rFonts w:cs="Arial"/>
                <w:szCs w:val="18"/>
                <w:lang w:val="en-GB"/>
              </w:rPr>
            </w:pPr>
            <w:r>
              <w:rPr>
                <w:rFonts w:cs="Arial"/>
                <w:szCs w:val="18"/>
                <w:lang w:val="en-GB"/>
              </w:rPr>
              <w:t>1x10</w:t>
            </w:r>
            <w:r w:rsidRPr="00787D7F">
              <w:rPr>
                <w:rFonts w:cs="Arial"/>
                <w:szCs w:val="18"/>
                <w:vertAlign w:val="superscript"/>
                <w:lang w:val="en-GB"/>
              </w:rPr>
              <w:t>-2</w:t>
            </w:r>
          </w:p>
        </w:tc>
      </w:tr>
    </w:tbl>
    <w:p w14:paraId="25EF0AB1" w14:textId="77777777" w:rsidR="00C603F8" w:rsidRPr="009B55E2" w:rsidRDefault="00C603F8" w:rsidP="00670F26">
      <w:pPr>
        <w:pStyle w:val="CETnumberingbullets"/>
        <w:numPr>
          <w:ilvl w:val="0"/>
          <w:numId w:val="0"/>
        </w:numPr>
      </w:pPr>
    </w:p>
    <w:p w14:paraId="677EBFF0" w14:textId="49A2B796" w:rsidR="00600535" w:rsidRDefault="00670F26" w:rsidP="00600535">
      <w:pPr>
        <w:pStyle w:val="CETHeading1"/>
        <w:tabs>
          <w:tab w:val="clear" w:pos="360"/>
          <w:tab w:val="right" w:pos="7100"/>
        </w:tabs>
        <w:jc w:val="both"/>
        <w:rPr>
          <w:lang w:val="en-GB"/>
        </w:rPr>
      </w:pPr>
      <w:r>
        <w:rPr>
          <w:lang w:val="en-GB"/>
        </w:rPr>
        <w:t>Results</w:t>
      </w:r>
    </w:p>
    <w:p w14:paraId="0269C2F9" w14:textId="4161716F" w:rsidR="002E795A" w:rsidRDefault="002E795A" w:rsidP="002E795A">
      <w:pPr>
        <w:pStyle w:val="CETBodytext"/>
      </w:pPr>
      <w:r w:rsidRPr="002E795A">
        <w:t xml:space="preserve">The results of the simulations, </w:t>
      </w:r>
      <w:r w:rsidR="001556F8">
        <w:t>expressed in terms of</w:t>
      </w:r>
      <w:r w:rsidRPr="002E795A">
        <w:t xml:space="preserve"> production </w:t>
      </w:r>
      <w:r w:rsidR="001556F8">
        <w:t xml:space="preserve">as </w:t>
      </w:r>
      <w:r w:rsidR="006D1B69">
        <w:t xml:space="preserve">a </w:t>
      </w:r>
      <w:r w:rsidR="001556F8">
        <w:t>function of the time</w:t>
      </w:r>
      <w:r w:rsidRPr="002E795A">
        <w:t xml:space="preserve"> of biomass and PHB-co-HV, are </w:t>
      </w:r>
      <w:r w:rsidR="001556F8">
        <w:t>shown</w:t>
      </w:r>
      <w:r w:rsidR="001556F8" w:rsidRPr="002E795A">
        <w:t xml:space="preserve"> </w:t>
      </w:r>
      <w:r w:rsidRPr="002E795A">
        <w:t xml:space="preserve">in Figure </w:t>
      </w:r>
      <w:r w:rsidR="00750910">
        <w:t>2</w:t>
      </w:r>
      <w:r w:rsidRPr="002E795A">
        <w:t xml:space="preserve">. The </w:t>
      </w:r>
      <w:r w:rsidR="00AF42E3">
        <w:t>initial biomass</w:t>
      </w:r>
      <w:r w:rsidRPr="002E795A">
        <w:t xml:space="preserve"> </w:t>
      </w:r>
      <w:r>
        <w:t xml:space="preserve">content </w:t>
      </w:r>
      <w:r w:rsidR="00AF42E3">
        <w:t>was</w:t>
      </w:r>
      <w:r>
        <w:t xml:space="preserve"> 1</w:t>
      </w:r>
      <w:r w:rsidR="001556F8">
        <w:t xml:space="preserve"> </w:t>
      </w:r>
      <w:r>
        <w:t>kg</w:t>
      </w:r>
      <w:r w:rsidR="00AF42E3">
        <w:t xml:space="preserve"> and reached</w:t>
      </w:r>
      <w:r w:rsidRPr="002E795A">
        <w:t xml:space="preserve"> 2.</w:t>
      </w:r>
      <w:r>
        <w:t>76</w:t>
      </w:r>
      <w:r w:rsidRPr="002E795A">
        <w:t xml:space="preserve"> kg</w:t>
      </w:r>
      <w:r w:rsidR="00AF42E3">
        <w:t xml:space="preserve"> after 96</w:t>
      </w:r>
      <w:r w:rsidR="001556F8">
        <w:t xml:space="preserve"> </w:t>
      </w:r>
      <w:r w:rsidR="00AF42E3">
        <w:t>h of fermentation</w:t>
      </w:r>
      <w:r w:rsidRPr="002E795A">
        <w:t>, while the</w:t>
      </w:r>
      <w:r w:rsidR="00B45ECF">
        <w:t xml:space="preserve"> amounts of</w:t>
      </w:r>
      <w:r w:rsidRPr="002E795A">
        <w:t xml:space="preserve"> </w:t>
      </w:r>
      <w:r w:rsidR="001556F8">
        <w:t>bio</w:t>
      </w:r>
      <w:r w:rsidRPr="002E795A">
        <w:t xml:space="preserve">polymer </w:t>
      </w:r>
      <w:r w:rsidR="00AF42E3">
        <w:t xml:space="preserve">produced at the end of the cycle </w:t>
      </w:r>
      <w:r w:rsidRPr="002E795A">
        <w:t>w</w:t>
      </w:r>
      <w:r w:rsidR="00B45ECF">
        <w:t>ere</w:t>
      </w:r>
      <w:r w:rsidRPr="002E795A">
        <w:t xml:space="preserve"> 1.</w:t>
      </w:r>
      <w:r>
        <w:t xml:space="preserve">38 (33.3% of the total suspended solids) </w:t>
      </w:r>
      <w:r w:rsidRPr="002E795A">
        <w:t>and 0.7</w:t>
      </w:r>
      <w:r>
        <w:t>64</w:t>
      </w:r>
      <w:r w:rsidRPr="002E795A">
        <w:t xml:space="preserve"> kg </w:t>
      </w:r>
      <w:r>
        <w:t xml:space="preserve">(18.7% of the total suspended solids) </w:t>
      </w:r>
      <w:r w:rsidRPr="002E795A">
        <w:t>for the lower and higher valeric acid concentration, respectively.</w:t>
      </w:r>
      <w:r>
        <w:t xml:space="preserve"> </w:t>
      </w:r>
      <w:r w:rsidR="00991D97">
        <w:t>D</w:t>
      </w:r>
      <w:r w:rsidR="00AF42E3">
        <w:t xml:space="preserve">espite the lower amounts of PHB-co-HV produced at 400ppm, the </w:t>
      </w:r>
      <w:r w:rsidR="001556F8">
        <w:t>fraction of the 3-HV monomers</w:t>
      </w:r>
      <w:r w:rsidR="00AF42E3">
        <w:t xml:space="preserve"> was higher</w:t>
      </w:r>
      <w:r w:rsidR="002C35B8">
        <w:t xml:space="preserve"> (40%mol). Similar results were previously </w:t>
      </w:r>
      <w:r w:rsidR="001556F8">
        <w:t xml:space="preserve">reported </w:t>
      </w:r>
      <w:r w:rsidR="002C35B8">
        <w:t>in the literature</w:t>
      </w:r>
      <w:r w:rsidR="00223A1E">
        <w:t xml:space="preserve"> </w:t>
      </w:r>
      <w:r w:rsidR="00223A1E">
        <w:fldChar w:fldCharType="begin" w:fldLock="1"/>
      </w:r>
      <w:r w:rsidR="00223A1E">
        <w:instrText>ADDIN CSL_CITATION {"citationItems":[{"id":"ITEM-1","itemData":{"DOI":"10.1016/j.biortech.2015.09.094","ISSN":"18732976","PMID":"26454368","abstract":"Methane (CH4) is a readily available feedstock for production of polyhydroxyalkanoates (PHAs). The structure and PHA production capacity of a Methylocystis-dominated methanotrophic enrichment was stable in long-term operation (&gt;175days) when grown exponentially under non-aseptic conditions in fill-and-draw batch cultures with ammonium as nitrogen source. Cells harvested in the draw step were incubated in the absence of nitrogen with various combinations of CH4 and valerate to assess capacity for synthesis of poly(3-hydroxybutyrate) (P3HB) and poly(3-hydroxybutyrate-co-3-hydroxyvalerate) (PHBV). When fed CH4 alone, only P3HB was produced. When fed CH4 plus valerate, PHBV was synthesized. The mol% of 3-hydroxyvalerate (3HV) increased with added valerate. Oxidation of CH4 was required for valerate assimilation, and the fraction of CH4 oxidized increased with increased mol% 3HV. By separating PHA accumulation from cell replication, tailored PHA-rich biomass can be generated by addition of co-substrate, while retaining a large inoculum for the next cycle of cell division.","author":[{"dropping-particle":"","family":"Myung","given":"Jaewook","non-dropping-particle":"","parse-names":false,"suffix":""},{"dropping-particle":"","family":"Galega","given":"Wakuna M.","non-dropping-particle":"","parse-names":false,"suffix":""},{"dropping-particle":"","family":"Nostrand","given":"Joy D.","non-dropping-particle":"Van","parse-names":false,"suffix":""},{"dropping-particle":"","family":"Yuan","given":"Tong","non-dropping-particle":"","parse-names":false,"suffix":""},{"dropping-particle":"","family":"Zhou","given":"Jizhong","non-dropping-particle":"","parse-names":false,"suffix":""},{"dropping-particle":"","family":"Criddle","given":"Craig S.","non-dropping-particle":"","parse-names":false,"suffix":""}],"container-title":"Bioresource Technology","id":"ITEM-1","issued":{"date-parts":[["2015"]]},"page":"811-818","publisher":"Elsevier Ltd","title":"Long-term cultivation of a stable Methylocystis-dominated methanotrophic enrichment enabling tailored production of poly(3-hydroxybutyrate-co-3-hydroxyvalerate)","type":"article-journal","volume":"198"},"uris":["http://www.mendeley.com/documents/?uuid=c519a392-8567-476f-b5ed-9ffc6a6b8206"]}],"mendeley":{"formattedCitation":"(Myung et al., 2015)","plainTextFormattedCitation":"(Myung et al., 2015)","previouslyFormattedCitation":"(Myung et al., 2015)"},"properties":{"noteIndex":0},"schema":"https://github.com/citation-style-language/schema/raw/master/csl-citation.json"}</w:instrText>
      </w:r>
      <w:r w:rsidR="00223A1E">
        <w:fldChar w:fldCharType="separate"/>
      </w:r>
      <w:r w:rsidR="00223A1E" w:rsidRPr="002C35B8">
        <w:rPr>
          <w:noProof/>
        </w:rPr>
        <w:t>(Myung et al., 2015)</w:t>
      </w:r>
      <w:r w:rsidR="00223A1E">
        <w:fldChar w:fldCharType="end"/>
      </w:r>
      <w:r w:rsidR="002C35B8">
        <w:t>, thus confirming the validity of the model implemented</w:t>
      </w:r>
      <w:r w:rsidR="00223A1E">
        <w:t xml:space="preserve"> </w:t>
      </w:r>
      <w:r w:rsidR="00223A1E">
        <w:fldChar w:fldCharType="begin" w:fldLock="1"/>
      </w:r>
      <w:r w:rsidR="00C9548F">
        <w:instrText>ADDIN CSL_CITATION {"citationItems":[{"id":"ITEM-1","itemData":{"DOI":"10.1021/acssuschemeng.2c04111","ISSN":"21680485","abstract":"Bacterially produced polyhydroxyalkanoates are valuable substitutes for petrochemical plastics, but their current production capacities are very scarce. Producing poly(3-hydroxybutyrate-co-3-hydroxyvalerate) (PHB-co-HV) from methane and odd-chain carbon fatty acids could make the production of this biodegradable polymer cost-effective. This study analyzes the main factors affecting methanotrophic growth and poly(3-hydroxybutyrate-co-3-hydroxyvalerate) accumulation, simulating a pilot-scale process based on a double-stage approach. The effects of the nitrogen source and the oxygen partial pressure during a 20 day growth phase were studied; the cosubstrate concentration, the culture selected, and the methane partial pressure were investigated during the poly(3-hydroxybutyrate-co-3-hydroxyvalerate) production stage performed within 15 days under nutrient starvation. Methylocystis parvus OBBP and Methylosinus thricosporum OB3b reached the maximum growth productivities with ammonium as the nitrogen source and oxygen at high partial pressure. The simulation of the PHB-co-HV accumulation revealed that methanotrophs could better accumulate the polymer with low valeric acid concentrations. A methane-abundant gas stream (0.5 atm of methane) could increase process yields up to 0.32 kg m-3d-1","author":[{"dropping-particle":"","family":"Amabile","given":"Claudia","non-dropping-particle":"","parse-names":false,"suffix":""},{"dropping-particle":"","family":"Abate","given":"Teresa","non-dropping-particle":"","parse-names":false,"suffix":""},{"dropping-particle":"","family":"Crescenzo","given":"Carmen","non-dropping-particle":"De","parse-names":false,"suffix":""},{"dropping-particle":"","family":"Sabbarese","given":"Simona","non-dropping-particle":"","parse-names":false,"suffix":""},{"dropping-particle":"","family":"Muñoz","given":"Raul","non-dropping-particle":"","parse-names":false,"suffix":""},{"dropping-particle":"","family":"Chianese","given":"Simeone","non-dropping-particle":"","parse-names":false,"suffix":""},{"dropping-particle":"","family":"Musmarra","given":"Dino","non-dropping-particle":"","parse-names":false,"suffix":""}],"container-title":"ACS Sustainable Chemistry and Engineering","id":"ITEM-1","issue":"43","issued":{"date-parts":[["2022"]]},"page":"14230-14239","title":"Sustainable Process for the Production of Poly(3-hydroxybutyrate- co-3-hydroxyvalerate) from Renewable Resources: A Simulation Study","type":"article-journal","volume":"10"},"uris":["http://www.mendeley.com/documents/?uuid=8a8c8da1-7ca5-4b70-9ffa-96de2874c60f"]}],"mendeley":{"formattedCitation":"(Amabile et al., 2022c)","plainTextFormattedCitation":"(Amabile et al., 2022c)","previouslyFormattedCitation":"(Amabile et al., 2022d)"},"properties":{"noteIndex":0},"schema":"https://github.com/citation-style-language/schema/raw/master/csl-citation.json"}</w:instrText>
      </w:r>
      <w:r w:rsidR="00223A1E">
        <w:fldChar w:fldCharType="separate"/>
      </w:r>
      <w:r w:rsidR="00C9548F" w:rsidRPr="00C9548F">
        <w:rPr>
          <w:noProof/>
        </w:rPr>
        <w:t>(Amabile et al., 2022c)</w:t>
      </w:r>
      <w:r w:rsidR="00223A1E">
        <w:fldChar w:fldCharType="end"/>
      </w:r>
      <w:r w:rsidR="002C35B8">
        <w:t xml:space="preserve">. </w:t>
      </w:r>
      <w:r w:rsidR="001556F8">
        <w:t xml:space="preserve">Furthermore, other </w:t>
      </w:r>
      <w:r w:rsidR="002C35B8">
        <w:t>experimental work</w:t>
      </w:r>
      <w:r w:rsidR="00B45ECF">
        <w:t>s</w:t>
      </w:r>
      <w:r w:rsidR="002C35B8">
        <w:t xml:space="preserve"> </w:t>
      </w:r>
      <w:r w:rsidR="001556F8">
        <w:t xml:space="preserve">demonstrated </w:t>
      </w:r>
      <w:r w:rsidR="002C35B8">
        <w:t xml:space="preserve">the reduction of the polymer production obtained with high valeric acid concentrations, probably because of the lower pH values encountered in these cases </w:t>
      </w:r>
      <w:r w:rsidR="002C35B8">
        <w:fldChar w:fldCharType="begin" w:fldLock="1"/>
      </w:r>
      <w:r w:rsidR="00223A1E">
        <w:instrText>ADDIN CSL_CITATION {"citationItems":[{"id":"ITEM-1","itemData":{"DOI":"10.1016/j.cej.2017.09.185","ISSN":"13858947","abstract":"The potential of biogas (with and without H2S) and volatile fatty acids (VFAs) to support microbial growth and accumulation of polyhydroxyalkanoates (PHAs) in type II methanotrophs was evaluated batchwise under aerobic conditions. Methylocystis hirsuta was able to grow on artificial biogas (70% CH4, 29.5% CO2, 0.5% H2S) and accumulate PHA up to 45 ± 1% (wt.%) under N-limited conditions. The presence of CO2 and H2S did not significantly influence the growth and PHA synthesis in M. hirsuta compared to control tests provided with pure CH4 at similar concentrations. Likewise, the addition of VFAs to the cultivation broth at initial concentrations of 100–200 mg L−1 did not hamper the growth of this strain on artificial biogas. Indeed, the addition of 10% extra carbon in the form of individual VFAs resulted in an increase in the maximum PHA yield and final PHA content up to 0.45–0.63 gPHA gSubstrate 1 and 48–54% (wt.%), respectively, at the expense of a higher energy demand. Valeric acid supplementation supported the highest 3-hydroxyvalerate content (13.5%) within the biocomposite. In this context, this study demonstrated for the first time that 3-hydroxyvalerate synthesis by M. hirsuta did not depend on CH4 assimilation.","author":[{"dropping-particle":"","family":"López","given":"Juan C.","non-dropping-particle":"","parse-names":false,"suffix":""},{"dropping-particle":"","family":"Arnáiz","given":"Esther","non-dropping-particle":"","parse-names":false,"suffix":""},{"dropping-particle":"","family":"Merchán","given":"Laura","non-dropping-particle":"","parse-names":false,"suffix":""},{"dropping-particle":"","family":"Lebrero","given":"Raquel","non-dropping-particle":"","parse-names":false,"suffix":""},{"dropping-particle":"","family":"Muñoz","given":"Raúl","non-dropping-particle":"","parse-names":false,"suffix":""}],"container-title":"Chemical Engineering Journal","id":"ITEM-1","issue":"July 2017","issued":{"date-parts":[["2018"]]},"page":"529-536","publisher":"Elsevier","title":"Biogas-based polyhydroxyalkanoates production by Methylocystis hirsuta: A step further in anaerobic digestion biorefineries","type":"article-journal","volume":"333"},"uris":["http://www.mendeley.com/documents/?uuid=7b9425ba-d4bc-4167-92b9-b7a482f98b21"]}],"mendeley":{"formattedCitation":"(López et al., 2018)","plainTextFormattedCitation":"(López et al., 2018)","previouslyFormattedCitation":"(López et al., 2018)"},"properties":{"noteIndex":0},"schema":"https://github.com/citation-style-language/schema/raw/master/csl-citation.json"}</w:instrText>
      </w:r>
      <w:r w:rsidR="002C35B8">
        <w:fldChar w:fldCharType="separate"/>
      </w:r>
      <w:r w:rsidR="002C35B8" w:rsidRPr="002C35B8">
        <w:rPr>
          <w:noProof/>
        </w:rPr>
        <w:t>(López et al., 2018)</w:t>
      </w:r>
      <w:r w:rsidR="002C35B8">
        <w:fldChar w:fldCharType="end"/>
      </w:r>
      <w:r w:rsidR="002C35B8">
        <w:t xml:space="preserve">. </w:t>
      </w:r>
    </w:p>
    <w:p w14:paraId="1A109872" w14:textId="77777777" w:rsidR="00DE4392" w:rsidRPr="002E795A" w:rsidRDefault="00DE4392" w:rsidP="002E795A">
      <w:pPr>
        <w:pStyle w:val="CETBodytext"/>
      </w:pPr>
    </w:p>
    <w:p w14:paraId="02AF037A" w14:textId="7E905C46" w:rsidR="005F3734" w:rsidRDefault="003678BE" w:rsidP="005F3734">
      <w:pPr>
        <w:pStyle w:val="CETBodytext"/>
        <w:rPr>
          <w:lang w:val="en-GB"/>
        </w:rPr>
      </w:pPr>
      <w:r>
        <w:rPr>
          <w:noProof/>
          <w:lang w:val="es-ES" w:eastAsia="es-ES"/>
        </w:rPr>
        <w:drawing>
          <wp:inline distT="0" distB="0" distL="0" distR="0" wp14:anchorId="0330DA5A" wp14:editId="758A1148">
            <wp:extent cx="3714454" cy="3024148"/>
            <wp:effectExtent l="0" t="0" r="63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1804" cy="3062699"/>
                    </a:xfrm>
                    <a:prstGeom prst="rect">
                      <a:avLst/>
                    </a:prstGeom>
                  </pic:spPr>
                </pic:pic>
              </a:graphicData>
            </a:graphic>
          </wp:inline>
        </w:drawing>
      </w:r>
    </w:p>
    <w:p w14:paraId="286885E4" w14:textId="77777777" w:rsidR="00B14D84" w:rsidRDefault="003678BE" w:rsidP="00B14D84">
      <w:pPr>
        <w:pStyle w:val="CETCaption"/>
        <w:rPr>
          <w:rStyle w:val="CETCaptionCarattere"/>
          <w:i/>
        </w:rPr>
      </w:pPr>
      <w:r w:rsidRPr="00BD077D">
        <w:rPr>
          <w:rStyle w:val="CETCaptionCarattere"/>
          <w:i/>
        </w:rPr>
        <w:t xml:space="preserve">Figure </w:t>
      </w:r>
      <w:r w:rsidR="00B45ECF">
        <w:rPr>
          <w:rStyle w:val="CETCaptionCarattere"/>
          <w:i/>
        </w:rPr>
        <w:t>2</w:t>
      </w:r>
      <w:r w:rsidRPr="00BD077D">
        <w:rPr>
          <w:rStyle w:val="CETCaptionCarattere"/>
          <w:i/>
        </w:rPr>
        <w:t xml:space="preserve">: </w:t>
      </w:r>
      <w:r w:rsidR="00991D97">
        <w:rPr>
          <w:rStyle w:val="CETCaptionCarattere"/>
          <w:i/>
        </w:rPr>
        <w:t>Time course of the p</w:t>
      </w:r>
      <w:r>
        <w:rPr>
          <w:rStyle w:val="CETCaptionCarattere"/>
          <w:i/>
        </w:rPr>
        <w:t>roduction of biomass and PHB-co-HV at low and high valerate concentrations</w:t>
      </w:r>
    </w:p>
    <w:p w14:paraId="53593061" w14:textId="2F63F2DB" w:rsidR="00DA51F7" w:rsidRDefault="002C35B8" w:rsidP="00B14D84">
      <w:pPr>
        <w:pStyle w:val="CETCaption"/>
        <w:rPr>
          <w:rStyle w:val="CETCaptionCarattere"/>
          <w:i/>
        </w:rPr>
      </w:pPr>
      <w:r>
        <w:rPr>
          <w:rStyle w:val="CETCaptionCarattere"/>
        </w:rPr>
        <w:t xml:space="preserve">Other parameters used as performance indicators, such as the productivity of PHB-co-HV (pPHB-co-HV), the production of polymer for </w:t>
      </w:r>
      <w:r w:rsidR="001556F8">
        <w:rPr>
          <w:rStyle w:val="CETCaptionCarattere"/>
        </w:rPr>
        <w:t xml:space="preserve">the </w:t>
      </w:r>
      <w:r>
        <w:rPr>
          <w:rStyle w:val="CETCaptionCarattere"/>
        </w:rPr>
        <w:t xml:space="preserve">unit of biomass </w:t>
      </w:r>
      <w:r w:rsidR="001556F8">
        <w:rPr>
          <w:rStyle w:val="CETCaptionCarattere"/>
        </w:rPr>
        <w:t>(</w:t>
      </w:r>
      <w:r w:rsidR="001556F8">
        <w:t xml:space="preserve">PHB-co-HV/biomass) </w:t>
      </w:r>
      <w:r>
        <w:rPr>
          <w:rStyle w:val="CETCaptionCarattere"/>
        </w:rPr>
        <w:t xml:space="preserve">and </w:t>
      </w:r>
      <w:r w:rsidR="00260575">
        <w:rPr>
          <w:rStyle w:val="CETCaptionCarattere"/>
        </w:rPr>
        <w:t xml:space="preserve">methane </w:t>
      </w:r>
      <w:r>
        <w:rPr>
          <w:rStyle w:val="CETCaptionCarattere"/>
        </w:rPr>
        <w:t>fed</w:t>
      </w:r>
      <w:r w:rsidR="001556F8">
        <w:rPr>
          <w:rStyle w:val="CETCaptionCarattere"/>
        </w:rPr>
        <w:t xml:space="preserve"> (</w:t>
      </w:r>
      <w:r w:rsidR="001556F8" w:rsidRPr="000F4461">
        <w:rPr>
          <w:rFonts w:cs="Arial"/>
          <w:szCs w:val="18"/>
        </w:rPr>
        <w:t>PHB-co-HV/CH</w:t>
      </w:r>
      <w:r w:rsidR="001556F8" w:rsidRPr="000F4461">
        <w:rPr>
          <w:rFonts w:cs="Arial"/>
          <w:szCs w:val="18"/>
          <w:vertAlign w:val="subscript"/>
        </w:rPr>
        <w:t>4</w:t>
      </w:r>
      <w:r w:rsidR="001556F8">
        <w:rPr>
          <w:rFonts w:cs="Arial"/>
          <w:iCs/>
          <w:szCs w:val="18"/>
        </w:rPr>
        <w:t>)</w:t>
      </w:r>
      <w:r w:rsidR="001556F8">
        <w:rPr>
          <w:rStyle w:val="CETCaptionCarattere"/>
        </w:rPr>
        <w:t>,</w:t>
      </w:r>
      <w:r>
        <w:rPr>
          <w:rStyle w:val="CETCaptionCarattere"/>
        </w:rPr>
        <w:t xml:space="preserve"> are shown in Table </w:t>
      </w:r>
      <w:r w:rsidR="00B45ECF">
        <w:rPr>
          <w:rStyle w:val="CETCaptionCarattere"/>
        </w:rPr>
        <w:t>5</w:t>
      </w:r>
      <w:r>
        <w:rPr>
          <w:rStyle w:val="CETCaptionCarattere"/>
        </w:rPr>
        <w:t xml:space="preserve">. </w:t>
      </w:r>
    </w:p>
    <w:p w14:paraId="7A0F8E77" w14:textId="68D65B3F" w:rsidR="002C35B8" w:rsidRDefault="00223A1E" w:rsidP="00223A1E">
      <w:pPr>
        <w:pStyle w:val="CETTabletitle"/>
        <w:rPr>
          <w:rStyle w:val="CETCaptionCarattere"/>
          <w:i/>
        </w:rPr>
      </w:pPr>
      <w:r w:rsidRPr="00B57B36">
        <w:lastRenderedPageBreak/>
        <w:t xml:space="preserve">Table </w:t>
      </w:r>
      <w:r w:rsidR="00B45ECF">
        <w:t>5</w:t>
      </w:r>
      <w:r w:rsidRPr="00B57B36">
        <w:t xml:space="preserve">: </w:t>
      </w:r>
      <w:r>
        <w:t>Results of the simulations for the two conditions studied: 100 and 400 ppm of valerate.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398"/>
        <w:gridCol w:w="1012"/>
      </w:tblGrid>
      <w:tr w:rsidR="002C35B8" w:rsidRPr="00B57B36" w14:paraId="11EAEF10" w14:textId="77777777" w:rsidTr="000F4461">
        <w:tc>
          <w:tcPr>
            <w:tcW w:w="2552" w:type="dxa"/>
            <w:tcBorders>
              <w:top w:val="single" w:sz="12" w:space="0" w:color="008000"/>
              <w:bottom w:val="single" w:sz="4" w:space="0" w:color="auto"/>
            </w:tcBorders>
            <w:shd w:val="clear" w:color="auto" w:fill="FFFFFF"/>
          </w:tcPr>
          <w:p w14:paraId="6DECA2AB" w14:textId="77777777" w:rsidR="002C35B8" w:rsidRPr="00B57B36" w:rsidRDefault="002C35B8" w:rsidP="000E74DC">
            <w:pPr>
              <w:pStyle w:val="CETBodytext"/>
              <w:rPr>
                <w:lang w:val="en-GB"/>
              </w:rPr>
            </w:pPr>
            <w:r>
              <w:rPr>
                <w:lang w:val="en-GB"/>
              </w:rPr>
              <w:t>Parameter</w:t>
            </w:r>
          </w:p>
        </w:tc>
        <w:tc>
          <w:tcPr>
            <w:tcW w:w="2410" w:type="dxa"/>
            <w:gridSpan w:val="2"/>
            <w:tcBorders>
              <w:top w:val="single" w:sz="12" w:space="0" w:color="008000"/>
              <w:bottom w:val="single" w:sz="4" w:space="0" w:color="auto"/>
            </w:tcBorders>
            <w:shd w:val="clear" w:color="auto" w:fill="FFFFFF"/>
          </w:tcPr>
          <w:p w14:paraId="2A296A97" w14:textId="77777777" w:rsidR="002C35B8" w:rsidRPr="00B57B36" w:rsidRDefault="002C35B8" w:rsidP="000E74DC">
            <w:pPr>
              <w:pStyle w:val="CETBodytext"/>
              <w:ind w:right="-1"/>
              <w:rPr>
                <w:rFonts w:cs="Arial"/>
                <w:szCs w:val="18"/>
                <w:lang w:val="en-GB"/>
              </w:rPr>
            </w:pPr>
            <w:r>
              <w:rPr>
                <w:rFonts w:cs="Arial"/>
                <w:szCs w:val="18"/>
                <w:lang w:val="en-GB"/>
              </w:rPr>
              <w:t>Valeric acid [ppm]</w:t>
            </w:r>
          </w:p>
        </w:tc>
      </w:tr>
      <w:tr w:rsidR="002C35B8" w:rsidRPr="00B57B36" w14:paraId="35C1FCBC" w14:textId="77777777" w:rsidTr="000F4461">
        <w:tc>
          <w:tcPr>
            <w:tcW w:w="2552" w:type="dxa"/>
            <w:tcBorders>
              <w:top w:val="single" w:sz="4" w:space="0" w:color="auto"/>
              <w:bottom w:val="single" w:sz="4" w:space="0" w:color="auto"/>
            </w:tcBorders>
            <w:shd w:val="clear" w:color="auto" w:fill="FFFFFF"/>
          </w:tcPr>
          <w:p w14:paraId="7CE1E1DF" w14:textId="77777777" w:rsidR="002C35B8" w:rsidRPr="00B57B36" w:rsidRDefault="002C35B8" w:rsidP="000E74DC">
            <w:pPr>
              <w:pStyle w:val="CETBodytext"/>
              <w:rPr>
                <w:lang w:val="en-GB"/>
              </w:rPr>
            </w:pPr>
          </w:p>
        </w:tc>
        <w:tc>
          <w:tcPr>
            <w:tcW w:w="1398" w:type="dxa"/>
            <w:tcBorders>
              <w:top w:val="single" w:sz="4" w:space="0" w:color="auto"/>
              <w:bottom w:val="single" w:sz="4" w:space="0" w:color="auto"/>
            </w:tcBorders>
            <w:shd w:val="clear" w:color="auto" w:fill="FFFFFF"/>
          </w:tcPr>
          <w:p w14:paraId="00A31689" w14:textId="77777777" w:rsidR="002C35B8" w:rsidRPr="00B57B36" w:rsidRDefault="002C35B8" w:rsidP="000E74DC">
            <w:pPr>
              <w:pStyle w:val="CETBodytext"/>
              <w:rPr>
                <w:lang w:val="en-GB"/>
              </w:rPr>
            </w:pPr>
            <w:r>
              <w:rPr>
                <w:lang w:val="en-GB"/>
              </w:rPr>
              <w:t>100</w:t>
            </w:r>
          </w:p>
        </w:tc>
        <w:tc>
          <w:tcPr>
            <w:tcW w:w="1012" w:type="dxa"/>
            <w:tcBorders>
              <w:top w:val="single" w:sz="4" w:space="0" w:color="auto"/>
              <w:bottom w:val="single" w:sz="4" w:space="0" w:color="auto"/>
            </w:tcBorders>
            <w:shd w:val="clear" w:color="auto" w:fill="FFFFFF"/>
          </w:tcPr>
          <w:p w14:paraId="0BA43640" w14:textId="77777777" w:rsidR="002C35B8" w:rsidRPr="00B57B36" w:rsidRDefault="002C35B8" w:rsidP="000E74DC">
            <w:pPr>
              <w:pStyle w:val="CETBodytext"/>
              <w:rPr>
                <w:lang w:val="en-GB"/>
              </w:rPr>
            </w:pPr>
            <w:r>
              <w:rPr>
                <w:lang w:val="en-GB"/>
              </w:rPr>
              <w:t>400</w:t>
            </w:r>
          </w:p>
        </w:tc>
      </w:tr>
      <w:tr w:rsidR="001556F8" w:rsidRPr="00B57B36" w14:paraId="47AC1037" w14:textId="77777777" w:rsidTr="000F4461">
        <w:tc>
          <w:tcPr>
            <w:tcW w:w="2552" w:type="dxa"/>
            <w:tcBorders>
              <w:top w:val="single" w:sz="4" w:space="0" w:color="auto"/>
            </w:tcBorders>
            <w:shd w:val="clear" w:color="auto" w:fill="FFFFFF"/>
          </w:tcPr>
          <w:p w14:paraId="6E098236" w14:textId="66F43A5E" w:rsidR="001556F8" w:rsidRPr="00B57B36" w:rsidRDefault="001556F8" w:rsidP="001556F8">
            <w:pPr>
              <w:pStyle w:val="CETBodytext"/>
              <w:rPr>
                <w:lang w:val="en-GB"/>
              </w:rPr>
            </w:pPr>
            <w:r>
              <w:rPr>
                <w:rFonts w:cs="Arial"/>
                <w:i/>
                <w:iCs/>
                <w:szCs w:val="18"/>
                <w:lang w:val="en-GB"/>
              </w:rPr>
              <w:t xml:space="preserve">pPHB-co-HV </w:t>
            </w:r>
            <w:r>
              <w:rPr>
                <w:rFonts w:cs="Arial"/>
                <w:szCs w:val="18"/>
              </w:rPr>
              <w:t>[g m</w:t>
            </w:r>
            <w:r w:rsidRPr="000F4461">
              <w:rPr>
                <w:rFonts w:cs="Arial"/>
                <w:szCs w:val="18"/>
                <w:vertAlign w:val="superscript"/>
              </w:rPr>
              <w:t>-3</w:t>
            </w:r>
            <w:r>
              <w:rPr>
                <w:rFonts w:cs="Arial"/>
                <w:szCs w:val="18"/>
              </w:rPr>
              <w:t xml:space="preserve"> d</w:t>
            </w:r>
            <w:r w:rsidRPr="000F4461">
              <w:rPr>
                <w:rFonts w:cs="Arial"/>
                <w:szCs w:val="18"/>
                <w:vertAlign w:val="superscript"/>
              </w:rPr>
              <w:t>-1</w:t>
            </w:r>
            <w:r>
              <w:rPr>
                <w:rFonts w:cs="Arial"/>
                <w:szCs w:val="18"/>
              </w:rPr>
              <w:t>]</w:t>
            </w:r>
          </w:p>
        </w:tc>
        <w:tc>
          <w:tcPr>
            <w:tcW w:w="1398" w:type="dxa"/>
            <w:tcBorders>
              <w:top w:val="single" w:sz="4" w:space="0" w:color="auto"/>
            </w:tcBorders>
            <w:shd w:val="clear" w:color="auto" w:fill="FFFFFF"/>
          </w:tcPr>
          <w:p w14:paraId="7DD545E7" w14:textId="42702282" w:rsidR="001556F8" w:rsidRPr="00B57B36" w:rsidRDefault="001556F8" w:rsidP="001556F8">
            <w:pPr>
              <w:pStyle w:val="CETBodytext"/>
              <w:rPr>
                <w:lang w:val="en-GB"/>
              </w:rPr>
            </w:pPr>
            <w:r>
              <w:rPr>
                <w:rFonts w:cs="Arial"/>
                <w:szCs w:val="18"/>
                <w:lang w:val="en-GB"/>
              </w:rPr>
              <w:t>6.9</w:t>
            </w:r>
          </w:p>
        </w:tc>
        <w:tc>
          <w:tcPr>
            <w:tcW w:w="1012" w:type="dxa"/>
            <w:tcBorders>
              <w:top w:val="single" w:sz="4" w:space="0" w:color="auto"/>
            </w:tcBorders>
            <w:shd w:val="clear" w:color="auto" w:fill="FFFFFF"/>
          </w:tcPr>
          <w:p w14:paraId="79E7AB85" w14:textId="62E8A074" w:rsidR="001556F8" w:rsidRPr="00B57B36" w:rsidRDefault="001556F8" w:rsidP="001556F8">
            <w:pPr>
              <w:pStyle w:val="CETBodytext"/>
              <w:rPr>
                <w:lang w:val="en-GB"/>
              </w:rPr>
            </w:pPr>
            <w:r>
              <w:rPr>
                <w:rFonts w:cs="Arial"/>
                <w:szCs w:val="18"/>
                <w:lang w:val="en-GB"/>
              </w:rPr>
              <w:t>5.83</w:t>
            </w:r>
          </w:p>
        </w:tc>
      </w:tr>
      <w:tr w:rsidR="001556F8" w:rsidRPr="00B57B36" w14:paraId="62708B18" w14:textId="77777777" w:rsidTr="000F4461">
        <w:tc>
          <w:tcPr>
            <w:tcW w:w="2552" w:type="dxa"/>
            <w:shd w:val="clear" w:color="auto" w:fill="FFFFFF"/>
          </w:tcPr>
          <w:p w14:paraId="230176C9" w14:textId="13242AAD" w:rsidR="001556F8" w:rsidRDefault="001556F8" w:rsidP="001556F8">
            <w:pPr>
              <w:pStyle w:val="CETBodytext"/>
              <w:ind w:right="-1"/>
              <w:rPr>
                <w:rFonts w:cs="Arial"/>
                <w:i/>
                <w:iCs/>
                <w:szCs w:val="18"/>
                <w:lang w:val="en-GB"/>
              </w:rPr>
            </w:pPr>
            <w:r>
              <w:t>PHB-co-HV/biomass [g g</w:t>
            </w:r>
            <w:r w:rsidRPr="000F4461">
              <w:rPr>
                <w:vertAlign w:val="superscript"/>
              </w:rPr>
              <w:t>-1</w:t>
            </w:r>
            <w:r>
              <w:t>]</w:t>
            </w:r>
          </w:p>
        </w:tc>
        <w:tc>
          <w:tcPr>
            <w:tcW w:w="1398" w:type="dxa"/>
            <w:shd w:val="clear" w:color="auto" w:fill="FFFFFF"/>
          </w:tcPr>
          <w:p w14:paraId="0A36C148" w14:textId="2B9532FA" w:rsidR="001556F8" w:rsidRDefault="001556F8" w:rsidP="001556F8">
            <w:pPr>
              <w:pStyle w:val="CETBodytext"/>
              <w:ind w:right="-1"/>
              <w:rPr>
                <w:rFonts w:cs="Arial"/>
                <w:szCs w:val="18"/>
                <w:lang w:val="en-GB"/>
              </w:rPr>
            </w:pPr>
            <w:r>
              <w:rPr>
                <w:lang w:val="en-GB"/>
              </w:rPr>
              <w:t>0.499</w:t>
            </w:r>
          </w:p>
        </w:tc>
        <w:tc>
          <w:tcPr>
            <w:tcW w:w="1012" w:type="dxa"/>
            <w:shd w:val="clear" w:color="auto" w:fill="FFFFFF"/>
          </w:tcPr>
          <w:p w14:paraId="71A1ACD6" w14:textId="15D17A23" w:rsidR="001556F8" w:rsidRDefault="001556F8" w:rsidP="001556F8">
            <w:pPr>
              <w:pStyle w:val="CETBodytext"/>
              <w:ind w:right="-1"/>
              <w:rPr>
                <w:rFonts w:cs="Arial"/>
                <w:szCs w:val="18"/>
                <w:lang w:val="en-GB"/>
              </w:rPr>
            </w:pPr>
            <w:r>
              <w:rPr>
                <w:lang w:val="en-GB"/>
              </w:rPr>
              <w:t>0.23</w:t>
            </w:r>
          </w:p>
        </w:tc>
      </w:tr>
      <w:tr w:rsidR="001556F8" w:rsidRPr="00B57B36" w14:paraId="3A4674C4" w14:textId="77777777" w:rsidTr="000F4461">
        <w:tc>
          <w:tcPr>
            <w:tcW w:w="2552" w:type="dxa"/>
            <w:shd w:val="clear" w:color="auto" w:fill="FFFFFF"/>
          </w:tcPr>
          <w:p w14:paraId="2EF6F469" w14:textId="3AD1E58B" w:rsidR="001556F8" w:rsidRPr="001556F8" w:rsidRDefault="001556F8" w:rsidP="001556F8">
            <w:pPr>
              <w:pStyle w:val="CETBodytext"/>
              <w:ind w:right="-1"/>
              <w:rPr>
                <w:rFonts w:cs="Arial"/>
                <w:i/>
                <w:iCs/>
                <w:szCs w:val="18"/>
                <w:lang w:val="en-GB"/>
              </w:rPr>
            </w:pPr>
            <w:r>
              <w:rPr>
                <w:rFonts w:cs="Arial"/>
                <w:i/>
                <w:iCs/>
                <w:szCs w:val="18"/>
              </w:rPr>
              <w:t>PHB-co-HV/CH</w:t>
            </w:r>
            <w:r w:rsidRPr="000F4461">
              <w:rPr>
                <w:rFonts w:cs="Arial"/>
                <w:i/>
                <w:iCs/>
                <w:szCs w:val="18"/>
                <w:vertAlign w:val="subscript"/>
              </w:rPr>
              <w:t>4</w:t>
            </w:r>
            <w:r w:rsidRPr="001556F8">
              <w:rPr>
                <w:rFonts w:cs="Arial"/>
                <w:i/>
                <w:iCs/>
                <w:szCs w:val="18"/>
              </w:rPr>
              <w:t xml:space="preserve"> </w:t>
            </w:r>
            <w:r>
              <w:t>[g g</w:t>
            </w:r>
            <w:r w:rsidRPr="0073066F">
              <w:rPr>
                <w:vertAlign w:val="superscript"/>
              </w:rPr>
              <w:t>-1</w:t>
            </w:r>
            <w:r>
              <w:t>]</w:t>
            </w:r>
          </w:p>
        </w:tc>
        <w:tc>
          <w:tcPr>
            <w:tcW w:w="1398" w:type="dxa"/>
            <w:shd w:val="clear" w:color="auto" w:fill="FFFFFF"/>
          </w:tcPr>
          <w:p w14:paraId="530B1F3C" w14:textId="22D38534" w:rsidR="001556F8" w:rsidRPr="00B57B36" w:rsidRDefault="001556F8" w:rsidP="001556F8">
            <w:pPr>
              <w:pStyle w:val="CETBodytext"/>
              <w:ind w:right="-1"/>
              <w:rPr>
                <w:rFonts w:cs="Arial"/>
                <w:szCs w:val="18"/>
                <w:lang w:val="en-GB"/>
              </w:rPr>
            </w:pPr>
            <w:r>
              <w:rPr>
                <w:rFonts w:cs="Arial"/>
                <w:szCs w:val="18"/>
                <w:lang w:val="en-GB"/>
              </w:rPr>
              <w:t>0.155</w:t>
            </w:r>
          </w:p>
        </w:tc>
        <w:tc>
          <w:tcPr>
            <w:tcW w:w="1012" w:type="dxa"/>
            <w:shd w:val="clear" w:color="auto" w:fill="FFFFFF"/>
          </w:tcPr>
          <w:p w14:paraId="6CBA1863" w14:textId="20472340" w:rsidR="001556F8" w:rsidRPr="00B57B36" w:rsidRDefault="001556F8" w:rsidP="001556F8">
            <w:pPr>
              <w:pStyle w:val="CETBodytext"/>
              <w:ind w:right="-1"/>
              <w:rPr>
                <w:rFonts w:cs="Arial"/>
                <w:szCs w:val="18"/>
                <w:lang w:val="en-GB"/>
              </w:rPr>
            </w:pPr>
            <w:r>
              <w:rPr>
                <w:rFonts w:cs="Arial"/>
                <w:szCs w:val="18"/>
                <w:lang w:val="en-GB"/>
              </w:rPr>
              <w:t>0.13</w:t>
            </w:r>
          </w:p>
        </w:tc>
      </w:tr>
    </w:tbl>
    <w:p w14:paraId="5E9C226C" w14:textId="6C560C7A" w:rsidR="00DA51F7" w:rsidRPr="00DE4392" w:rsidRDefault="002C35B8" w:rsidP="003678BE">
      <w:pPr>
        <w:pStyle w:val="CETCaption"/>
        <w:rPr>
          <w:i w:val="0"/>
          <w:iCs/>
        </w:rPr>
      </w:pPr>
      <w:r>
        <w:rPr>
          <w:rStyle w:val="CETCaptionCarattere"/>
          <w:iCs/>
        </w:rPr>
        <w:t xml:space="preserve">The results show that </w:t>
      </w:r>
      <w:r w:rsidR="00053BEE">
        <w:rPr>
          <w:rStyle w:val="CETCaptionCarattere"/>
          <w:iCs/>
        </w:rPr>
        <w:t>when adding</w:t>
      </w:r>
      <w:r>
        <w:rPr>
          <w:rStyle w:val="CETCaptionCarattere"/>
          <w:iCs/>
        </w:rPr>
        <w:t xml:space="preserve"> 100 ppm of valeric acid, the production of PHB-co-HV with respect to the initial biomass and the productivity of</w:t>
      </w:r>
      <w:r w:rsidR="00053BEE">
        <w:rPr>
          <w:rStyle w:val="CETCaptionCarattere"/>
          <w:iCs/>
        </w:rPr>
        <w:t xml:space="preserve"> the</w:t>
      </w:r>
      <w:r>
        <w:rPr>
          <w:rStyle w:val="CETCaptionCarattere"/>
          <w:iCs/>
        </w:rPr>
        <w:t xml:space="preserve"> polymer </w:t>
      </w:r>
      <w:r w:rsidR="00260575">
        <w:rPr>
          <w:rStyle w:val="CETCaptionCarattere"/>
          <w:iCs/>
        </w:rPr>
        <w:t xml:space="preserve">is </w:t>
      </w:r>
      <w:r>
        <w:rPr>
          <w:rStyle w:val="CETCaptionCarattere"/>
          <w:iCs/>
        </w:rPr>
        <w:t xml:space="preserve">higher than </w:t>
      </w:r>
      <w:r w:rsidR="00991D97">
        <w:rPr>
          <w:rStyle w:val="CETCaptionCarattere"/>
          <w:iCs/>
        </w:rPr>
        <w:t>when supplying</w:t>
      </w:r>
      <w:r>
        <w:rPr>
          <w:rStyle w:val="CETCaptionCarattere"/>
          <w:iCs/>
        </w:rPr>
        <w:t xml:space="preserve"> 400 ppm. </w:t>
      </w:r>
      <w:r w:rsidR="008621E5">
        <w:rPr>
          <w:rStyle w:val="CETCaptionCarattere"/>
          <w:iCs/>
        </w:rPr>
        <w:t>These findings a</w:t>
      </w:r>
      <w:r w:rsidR="006D1B69">
        <w:rPr>
          <w:rStyle w:val="CETCaptionCarattere"/>
          <w:iCs/>
        </w:rPr>
        <w:t>gree</w:t>
      </w:r>
      <w:r w:rsidR="008621E5">
        <w:rPr>
          <w:rStyle w:val="CETCaptionCarattere"/>
          <w:iCs/>
        </w:rPr>
        <w:t xml:space="preserve"> with the literature, where in the range 100-400ppm of valerate</w:t>
      </w:r>
      <w:r w:rsidR="006D1B69">
        <w:rPr>
          <w:rStyle w:val="CETCaptionCarattere"/>
          <w:iCs/>
        </w:rPr>
        <w:t>,</w:t>
      </w:r>
      <w:r w:rsidR="008621E5">
        <w:rPr>
          <w:rStyle w:val="CETCaptionCarattere"/>
          <w:iCs/>
        </w:rPr>
        <w:t xml:space="preserve"> the lower limit led to the highest production and 400ppm to the maximum HV content. </w:t>
      </w:r>
      <w:r w:rsidR="00053BEE">
        <w:rPr>
          <w:rStyle w:val="CETCaptionCarattere"/>
          <w:iCs/>
        </w:rPr>
        <w:t xml:space="preserve">Moreover, the </w:t>
      </w:r>
      <w:r w:rsidR="008621E5">
        <w:rPr>
          <w:rStyle w:val="CETCaptionCarattere"/>
          <w:iCs/>
        </w:rPr>
        <w:t>productions</w:t>
      </w:r>
      <w:r w:rsidR="00053BEE">
        <w:rPr>
          <w:rStyle w:val="CETCaptionCarattere"/>
          <w:iCs/>
        </w:rPr>
        <w:t xml:space="preserve"> here obtained for 1</w:t>
      </w:r>
      <w:r w:rsidR="00260575">
        <w:rPr>
          <w:rStyle w:val="CETCaptionCarattere"/>
          <w:iCs/>
        </w:rPr>
        <w:t xml:space="preserve"> </w:t>
      </w:r>
      <w:r w:rsidR="00053BEE">
        <w:rPr>
          <w:rStyle w:val="CETCaptionCarattere"/>
          <w:iCs/>
        </w:rPr>
        <w:t>m</w:t>
      </w:r>
      <w:r w:rsidR="00053BEE" w:rsidRPr="00053BEE">
        <w:rPr>
          <w:rStyle w:val="CETCaptionCarattere"/>
          <w:iCs/>
          <w:vertAlign w:val="superscript"/>
        </w:rPr>
        <w:t>3</w:t>
      </w:r>
      <w:r w:rsidR="00053BEE">
        <w:rPr>
          <w:rStyle w:val="CETCaptionCarattere"/>
          <w:iCs/>
        </w:rPr>
        <w:t xml:space="preserve"> </w:t>
      </w:r>
      <w:r w:rsidR="00B45ECF">
        <w:rPr>
          <w:rStyle w:val="CETCaptionCarattere"/>
          <w:iCs/>
        </w:rPr>
        <w:t xml:space="preserve">of </w:t>
      </w:r>
      <w:r w:rsidR="00053BEE">
        <w:rPr>
          <w:rStyle w:val="CETCaptionCarattere"/>
          <w:iCs/>
        </w:rPr>
        <w:t xml:space="preserve">working volume were higher than those reported in </w:t>
      </w:r>
      <w:r w:rsidR="00B45ECF">
        <w:rPr>
          <w:rStyle w:val="CETCaptionCarattere"/>
          <w:iCs/>
        </w:rPr>
        <w:t>prior studies, where lower reactor capacities were considered</w:t>
      </w:r>
      <w:r w:rsidR="00053BEE">
        <w:rPr>
          <w:rStyle w:val="CETCaptionCarattere"/>
          <w:iCs/>
        </w:rPr>
        <w:t xml:space="preserve"> </w:t>
      </w:r>
      <w:r w:rsidR="00053BEE">
        <w:rPr>
          <w:rStyle w:val="CETCaptionCarattere"/>
          <w:iCs/>
        </w:rPr>
        <w:fldChar w:fldCharType="begin" w:fldLock="1"/>
      </w:r>
      <w:r w:rsidR="00B6611A">
        <w:rPr>
          <w:rStyle w:val="CETCaptionCarattere"/>
          <w:iCs/>
        </w:rPr>
        <w:instrText>ADDIN CSL_CITATION {"citationItems":[{"id":"ITEM-1","itemData":{"DOI":"10.1016/j.cej.2017.10.106","ISSN":"13858947","abstract":"The limited gas–liquid mass transfer represents the main challenge in the operation of cost-effective bioreactors devoted to the treatment of poorly soluble gas pollutants such as methane (CH4). This study evaluates the influence of internal gas-recycling strategies on the enhancement of CH4 abatement in a bubble column bioreactor inoculated with the methanotroph Methylocystis hirsuta. Maximum CH4 removal efficiencies of 72.9 ± 0.5% (corresponding to elimination capacities of 35.2 ± 0.4 g m−3 h−1) were recorded under process operation at an empty bed residence time of 30 min and 0.50 m3gas m−3reactor min−1 of internal gas-recycling rate. The accumulation of poly-3-hydroxybutyrate (PHB) in M. hirsuta was evaluated batchwise under limitations of potassium, manganese, nitrogen, and nitrogen with excess of iron. Nitrogen starvation resulted in the highest PHB content (28 ± 1%). Likewise, the implementation of sequential N starvation cycles in a continuous bubble column reactor operated at a gas residence time of 30 min and an internal gas-recycling rate of 0.50 m3gas m−3reactor min−1 supported a PHB content of up to 34.6 ± 2.5%, with a volumetric PHB productivity of 1.4 ± 0.4 kg m−3 d−1 and elimination capacities of 16.2 ± 9.5 g m−3 h−1.","author":[{"dropping-particle":"","family":"García-Pérez","given":"Teresa","non-dropping-particle":"","parse-names":false,"suffix":""},{"dropping-particle":"","family":"López","given":"Juan C.","non-dropping-particle":"","parse-names":false,"suffix":""},{"dropping-particle":"","family":"Passos","given":"Fabiana","non-dropping-particle":"","parse-names":false,"suffix":""},{"dropping-particle":"","family":"Lebrero","given":"Raquel","non-dropping-particle":"","parse-names":false,"suffix":""},{"dropping-particle":"","family":"Revah","given":"Sergio","non-dropping-particle":"","parse-names":false,"suffix":""},{"dropping-particle":"","family":"Muñoz","given":"Raúl","non-dropping-particle":"","parse-names":false,"suffix":""},{"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bioreactor","type":"article-journal","volume":"334"},"uris":["http://www.mendeley.com/documents/?uuid=21762158-3814-49be-ad50-93fde6a6d30c"]}],"mendeley":{"formattedCitation":"(García-Pérez et al., 2018)","plainTextFormattedCitation":"(García-Pérez et al., 2018)","previouslyFormattedCitation":"(García-Pérez et al., 2018)"},"properties":{"noteIndex":0},"schema":"https://github.com/citation-style-language/schema/raw/master/csl-citation.json"}</w:instrText>
      </w:r>
      <w:r w:rsidR="00053BEE">
        <w:rPr>
          <w:rStyle w:val="CETCaptionCarattere"/>
          <w:iCs/>
        </w:rPr>
        <w:fldChar w:fldCharType="separate"/>
      </w:r>
      <w:r w:rsidR="00053BEE" w:rsidRPr="00053BEE">
        <w:rPr>
          <w:rStyle w:val="CETCaptionCarattere"/>
          <w:iCs/>
          <w:noProof/>
        </w:rPr>
        <w:t>(García-Pérez et al., 2018)</w:t>
      </w:r>
      <w:r w:rsidR="00053BEE">
        <w:rPr>
          <w:rStyle w:val="CETCaptionCarattere"/>
          <w:iCs/>
        </w:rPr>
        <w:fldChar w:fldCharType="end"/>
      </w:r>
      <w:r w:rsidR="00053BEE">
        <w:rPr>
          <w:rStyle w:val="CETCaptionCarattere"/>
          <w:iCs/>
        </w:rPr>
        <w:t>. As regard</w:t>
      </w:r>
      <w:r w:rsidR="00260575">
        <w:rPr>
          <w:rStyle w:val="CETCaptionCarattere"/>
          <w:iCs/>
        </w:rPr>
        <w:t>s</w:t>
      </w:r>
      <w:r w:rsidR="00053BEE">
        <w:rPr>
          <w:rStyle w:val="CETCaptionCarattere"/>
          <w:iCs/>
        </w:rPr>
        <w:t xml:space="preserve"> </w:t>
      </w:r>
      <w:r>
        <w:rPr>
          <w:rStyle w:val="CETCaptionCarattere"/>
          <w:iCs/>
        </w:rPr>
        <w:t xml:space="preserve">the production for </w:t>
      </w:r>
      <w:r w:rsidR="00260575">
        <w:rPr>
          <w:rStyle w:val="CETCaptionCarattere"/>
          <w:iCs/>
        </w:rPr>
        <w:t xml:space="preserve">the </w:t>
      </w:r>
      <w:r>
        <w:rPr>
          <w:rStyle w:val="CETCaptionCarattere"/>
          <w:iCs/>
        </w:rPr>
        <w:t>unit of methane</w:t>
      </w:r>
      <w:r w:rsidR="00053BEE">
        <w:rPr>
          <w:rStyle w:val="CETCaptionCarattere"/>
          <w:iCs/>
        </w:rPr>
        <w:t xml:space="preserve">, there is no significant difference </w:t>
      </w:r>
      <w:r w:rsidR="00260575">
        <w:rPr>
          <w:rStyle w:val="CETCaptionCarattere"/>
          <w:iCs/>
        </w:rPr>
        <w:t xml:space="preserve">between </w:t>
      </w:r>
      <w:r w:rsidR="00053BEE">
        <w:rPr>
          <w:rStyle w:val="CETCaptionCarattere"/>
          <w:iCs/>
        </w:rPr>
        <w:t>the two cases examined</w:t>
      </w:r>
      <w:r>
        <w:rPr>
          <w:rStyle w:val="CETCaptionCarattere"/>
          <w:iCs/>
        </w:rPr>
        <w:t xml:space="preserve">, thus indicating that the parameter depends on the mass transfer conditions, which in turn are related to the process and reactor design. In this context, it was previously demonstrated through simulations analysis that </w:t>
      </w:r>
      <w:r w:rsidR="00B45ECF">
        <w:rPr>
          <w:rStyle w:val="CETCaptionCarattere"/>
          <w:iCs/>
        </w:rPr>
        <w:t>increasing the</w:t>
      </w:r>
      <w:r>
        <w:rPr>
          <w:rStyle w:val="CETCaptionCarattere"/>
          <w:iCs/>
        </w:rPr>
        <w:t xml:space="preserve"> </w:t>
      </w:r>
      <w:r w:rsidR="00260575">
        <w:rPr>
          <w:rStyle w:val="CETCaptionCarattere"/>
          <w:iCs/>
        </w:rPr>
        <w:t>reactor volume</w:t>
      </w:r>
      <w:r w:rsidR="00B45ECF">
        <w:rPr>
          <w:rStyle w:val="CETCaptionCarattere"/>
          <w:iCs/>
        </w:rPr>
        <w:t xml:space="preserve"> enhances </w:t>
      </w:r>
      <w:r>
        <w:rPr>
          <w:rStyle w:val="CETCaptionCarattere"/>
          <w:iCs/>
        </w:rPr>
        <w:t xml:space="preserve">productivity </w:t>
      </w:r>
      <w:r w:rsidR="00B45ECF">
        <w:rPr>
          <w:rStyle w:val="CETCaptionCarattere"/>
          <w:iCs/>
        </w:rPr>
        <w:t>but lowers</w:t>
      </w:r>
      <w:r>
        <w:rPr>
          <w:rStyle w:val="CETCaptionCarattere"/>
          <w:iCs/>
        </w:rPr>
        <w:t xml:space="preserve"> the production related to </w:t>
      </w:r>
      <w:r w:rsidR="00260575">
        <w:rPr>
          <w:rStyle w:val="CETCaptionCarattere"/>
          <w:iCs/>
        </w:rPr>
        <w:t>methane</w:t>
      </w:r>
      <w:r>
        <w:rPr>
          <w:rStyle w:val="CETCaptionCarattere"/>
          <w:iCs/>
        </w:rPr>
        <w:t xml:space="preserve"> consumption</w:t>
      </w:r>
      <w:r w:rsidR="00C974F9">
        <w:rPr>
          <w:rStyle w:val="CETCaptionCarattere"/>
          <w:iCs/>
        </w:rPr>
        <w:t xml:space="preserve"> </w:t>
      </w:r>
      <w:r w:rsidR="00C974F9">
        <w:rPr>
          <w:rStyle w:val="CETCaptionCarattere"/>
          <w:iCs/>
        </w:rPr>
        <w:fldChar w:fldCharType="begin" w:fldLock="1"/>
      </w:r>
      <w:r w:rsidR="00C9548F">
        <w:rPr>
          <w:rStyle w:val="CETCaptionCarattere"/>
          <w:iCs/>
        </w:rPr>
        <w:instrText>ADDIN CSL_CITATION {"citationItems":[{"id":"ITEM-1","itemData":{"DOI":"10.3303/CET2293047","ISBN":"9788895608914","ISSN":"22839216","abstract":"Poly(3-hydroxybutyrate) (PHB) is a thermoplastic polyester that can be synthesised by many bacteria under unfavourable growth conditions. Among all its properties, biodegradability is the most attractive since it makes PHB a potential alternative to non-biodegradable plastics. However, the current market penetration of this polymer is limited by the high production costs, which accounts for approximately 40% of the total price, and the complexity in scaling-up the biological process. In this work, an innovative approach is presented, simulating the production of PHB through a double stage aerobic fermentation in which a Methylocystis strain grows and accumulates PHB granules. The effects of the reactor geometry on PHB yields were investigated in terms of aspect ratio (A), which was varied in the range 5-16 both at constant volume and variable volume: in the first case, the working volume was kept constant at 100 L and the diameter of the reactor was varied in the range 0.2-0.3 m; in the second case, the working volume was varied between 100 and 340L, keeping constant the diameter at 0.3 m. The effect of the geometry on transition parameters was evaluated as well. Results show that a maximum transition superficial gas velocity (Ut) of 0.05 ms-1 was obtained at A=16; while the productivity of PHB ranged between 0.12 and 0.25 kgm-3d-1","author":[{"dropping-particle":"","family":"Amabile","given":"Claudia","non-dropping-particle":"","parse-names":false,"suffix":""},{"dropping-particle":"","family":"Abate","given":"Teresa","non-dropping-particle":"","parse-names":false,"suffix":""},{"dropping-particle":"","family":"Crescenzo","given":"Carmen","non-dropping-particle":"De","parse-names":false,"suffix":""},{"dropping-particle":"","family":"Sabbarese","given":"Simona","non-dropping-particle":"","parse-names":false,"suffix":""},{"dropping-particle":"","family":"Capece","given":"Giuseppe","non-dropping-particle":"","parse-names":false,"suffix":""},{"dropping-particle":"","family":"Ciampa","given":"Renato","non-dropping-particle":"","parse-names":false,"suffix":""},{"dropping-particle":"","family":"Chianese","given":"Simeone","non-dropping-particle":"","parse-names":false,"suffix":""},{"dropping-particle":"","family":"Musmarra","given":"Dino","non-dropping-particle":"","parse-names":false,"suffix":""}],"container-title":"Chemical Engineering Transactions","id":"ITEM-1","issue":"November 2021","issued":{"date-parts":[["2022"]]},"page":"277-282","title":"Enhancing Poly(3-hydroxybutyrate) Production through the Optimization of Reactor Geometry","type":"article-journal","volume":"93"},"uris":["http://www.mendeley.com/documents/?uuid=408981a2-4b09-45f9-985b-adf082e3a8c4"]}],"mendeley":{"formattedCitation":"(Amabile et al., 2022b)","plainTextFormattedCitation":"(Amabile et al., 2022b)","previouslyFormattedCitation":"(Amabile et al., 2022c)"},"properties":{"noteIndex":0},"schema":"https://github.com/citation-style-language/schema/raw/master/csl-citation.json"}</w:instrText>
      </w:r>
      <w:r w:rsidR="00C974F9">
        <w:rPr>
          <w:rStyle w:val="CETCaptionCarattere"/>
          <w:iCs/>
        </w:rPr>
        <w:fldChar w:fldCharType="separate"/>
      </w:r>
      <w:r w:rsidR="00C9548F" w:rsidRPr="00C9548F">
        <w:rPr>
          <w:rStyle w:val="CETCaptionCarattere"/>
          <w:iCs/>
          <w:noProof/>
        </w:rPr>
        <w:t>(Amabile et al., 2022b)</w:t>
      </w:r>
      <w:r w:rsidR="00C974F9">
        <w:rPr>
          <w:rStyle w:val="CETCaptionCarattere"/>
          <w:iCs/>
        </w:rPr>
        <w:fldChar w:fldCharType="end"/>
      </w:r>
      <w:r>
        <w:rPr>
          <w:rStyle w:val="CETCaptionCarattere"/>
          <w:iCs/>
        </w:rPr>
        <w:t xml:space="preserve">. These results suggest that </w:t>
      </w:r>
      <w:r w:rsidR="00991D97">
        <w:rPr>
          <w:rStyle w:val="CETCaptionCarattere"/>
          <w:iCs/>
        </w:rPr>
        <w:t>alternative</w:t>
      </w:r>
      <w:r w:rsidR="00223A1E">
        <w:rPr>
          <w:rStyle w:val="CETCaptionCarattere"/>
          <w:iCs/>
        </w:rPr>
        <w:t xml:space="preserve"> strategies to</w:t>
      </w:r>
      <w:r w:rsidR="00991D97">
        <w:rPr>
          <w:rStyle w:val="CETCaptionCarattere"/>
          <w:iCs/>
        </w:rPr>
        <w:t xml:space="preserve"> boost the mass</w:t>
      </w:r>
      <w:r w:rsidR="00223A1E">
        <w:rPr>
          <w:rStyle w:val="CETCaptionCarattere"/>
          <w:iCs/>
        </w:rPr>
        <w:t xml:space="preserve"> transfer </w:t>
      </w:r>
      <w:r w:rsidR="006D1B69">
        <w:rPr>
          <w:rStyle w:val="CETCaptionCarattere"/>
          <w:iCs/>
        </w:rPr>
        <w:t xml:space="preserve">of </w:t>
      </w:r>
      <w:r w:rsidR="00223A1E">
        <w:rPr>
          <w:rStyle w:val="CETCaptionCarattere"/>
          <w:iCs/>
        </w:rPr>
        <w:t xml:space="preserve">methane and oxygen to the liquid phase should be evaluated when using larger volumes to </w:t>
      </w:r>
      <w:r w:rsidR="00B45ECF">
        <w:rPr>
          <w:rStyle w:val="CETCaptionCarattere"/>
          <w:iCs/>
        </w:rPr>
        <w:t>improve</w:t>
      </w:r>
      <w:r w:rsidR="00223A1E">
        <w:rPr>
          <w:rStyle w:val="CETCaptionCarattere"/>
          <w:iCs/>
        </w:rPr>
        <w:t xml:space="preserve"> the biopolymer production in bioreactors</w:t>
      </w:r>
      <w:r w:rsidR="00795B7F">
        <w:rPr>
          <w:rStyle w:val="CETCaptionCarattere"/>
          <w:iCs/>
        </w:rPr>
        <w:t xml:space="preserve"> at larger scales</w:t>
      </w:r>
      <w:r w:rsidR="00223A1E">
        <w:rPr>
          <w:rStyle w:val="CETCaptionCarattere"/>
          <w:iCs/>
        </w:rPr>
        <w:t>.</w:t>
      </w:r>
      <w:r w:rsidR="00795B7F">
        <w:rPr>
          <w:rStyle w:val="CETCaptionCarattere"/>
          <w:iCs/>
        </w:rPr>
        <w:t xml:space="preserve"> In this context, also other scale-up aspects, such as the study of the reactor geometry, the reduction of sterility conditions and the possibility of using low-cost substrates</w:t>
      </w:r>
      <w:r w:rsidR="006D1B69">
        <w:rPr>
          <w:rStyle w:val="CETCaptionCarattere"/>
          <w:iCs/>
        </w:rPr>
        <w:t>,</w:t>
      </w:r>
      <w:r w:rsidR="00795B7F">
        <w:rPr>
          <w:rStyle w:val="CETCaptionCarattere"/>
          <w:iCs/>
        </w:rPr>
        <w:t xml:space="preserve"> should be evaluated.</w:t>
      </w:r>
    </w:p>
    <w:p w14:paraId="68D26B83" w14:textId="4FFDA699" w:rsidR="00600535" w:rsidRDefault="00600535" w:rsidP="00600535">
      <w:pPr>
        <w:pStyle w:val="CETHeading1"/>
        <w:rPr>
          <w:lang w:val="en-GB"/>
        </w:rPr>
      </w:pPr>
      <w:r w:rsidRPr="00B57B36">
        <w:rPr>
          <w:lang w:val="en-GB"/>
        </w:rPr>
        <w:t>Conclusions</w:t>
      </w:r>
    </w:p>
    <w:p w14:paraId="50ED24B5" w14:textId="3C29996F" w:rsidR="00AF42E3" w:rsidRPr="00AF42E3" w:rsidRDefault="00AF42E3" w:rsidP="00AF42E3">
      <w:pPr>
        <w:pStyle w:val="CETBodytext"/>
        <w:rPr>
          <w:lang w:val="en-GB"/>
        </w:rPr>
      </w:pPr>
      <w:r>
        <w:rPr>
          <w:lang w:val="en-GB"/>
        </w:rPr>
        <w:t xml:space="preserve">The process to produce PHB-co-HV from methane was simulated in </w:t>
      </w:r>
      <w:r w:rsidRPr="00B45ECF">
        <w:rPr>
          <w:i/>
          <w:iCs/>
          <w:lang w:val="en-GB"/>
        </w:rPr>
        <w:t>AspenPlus</w:t>
      </w:r>
      <w:r>
        <w:rPr>
          <w:lang w:val="en-GB"/>
        </w:rPr>
        <w:t>. A mixed microbial methanotrophic strain was used since it requires low sterility and could be a valuable option to reduce</w:t>
      </w:r>
      <w:r w:rsidR="00DA700A">
        <w:rPr>
          <w:lang w:val="en-GB"/>
        </w:rPr>
        <w:t xml:space="preserve"> </w:t>
      </w:r>
      <w:r w:rsidR="00260575">
        <w:rPr>
          <w:lang w:val="en-GB"/>
        </w:rPr>
        <w:t xml:space="preserve">production </w:t>
      </w:r>
      <w:r w:rsidR="00DA700A">
        <w:rPr>
          <w:lang w:val="en-GB"/>
        </w:rPr>
        <w:t>costs. Two bubble column bioreactors with 1</w:t>
      </w:r>
      <w:r w:rsidR="00260575">
        <w:rPr>
          <w:lang w:val="en-GB"/>
        </w:rPr>
        <w:t xml:space="preserve"> </w:t>
      </w:r>
      <w:r w:rsidR="00DA700A">
        <w:rPr>
          <w:lang w:val="en-GB"/>
        </w:rPr>
        <w:t>m</w:t>
      </w:r>
      <w:r w:rsidR="00DA700A" w:rsidRPr="00DA700A">
        <w:rPr>
          <w:vertAlign w:val="superscript"/>
          <w:lang w:val="en-GB"/>
        </w:rPr>
        <w:t>3</w:t>
      </w:r>
      <w:r w:rsidR="00DA700A">
        <w:rPr>
          <w:lang w:val="en-GB"/>
        </w:rPr>
        <w:t xml:space="preserve"> of working volume were implemented to perform the growth phase and the accumulation step. This latter was conducted with the addition of valeric acid as </w:t>
      </w:r>
      <w:r w:rsidR="00260575">
        <w:rPr>
          <w:lang w:val="en-GB"/>
        </w:rPr>
        <w:t xml:space="preserve">a </w:t>
      </w:r>
      <w:r w:rsidR="00DA700A">
        <w:rPr>
          <w:lang w:val="en-GB"/>
        </w:rPr>
        <w:t>co</w:t>
      </w:r>
      <w:r w:rsidR="00260575">
        <w:rPr>
          <w:lang w:val="en-GB"/>
        </w:rPr>
        <w:t>-</w:t>
      </w:r>
      <w:r w:rsidR="00DA700A">
        <w:rPr>
          <w:lang w:val="en-GB"/>
        </w:rPr>
        <w:t>substrate, which was fed at low (100 ppm) and high (400 ppm) concentrations</w:t>
      </w:r>
      <w:r w:rsidR="008621E5">
        <w:rPr>
          <w:lang w:val="en-GB"/>
        </w:rPr>
        <w:t xml:space="preserve"> in order to understand if the mass </w:t>
      </w:r>
      <w:r w:rsidR="00565DE9">
        <w:rPr>
          <w:lang w:val="en-GB"/>
        </w:rPr>
        <w:t xml:space="preserve">loss </w:t>
      </w:r>
      <w:r w:rsidR="008621E5">
        <w:rPr>
          <w:lang w:val="en-GB"/>
        </w:rPr>
        <w:t>of PHB-co-HV at 400ppm could be compensated by the highest HV fraction</w:t>
      </w:r>
      <w:r w:rsidR="00DA700A">
        <w:rPr>
          <w:lang w:val="en-GB"/>
        </w:rPr>
        <w:t>.</w:t>
      </w:r>
      <w:r w:rsidR="008621E5">
        <w:rPr>
          <w:lang w:val="en-GB"/>
        </w:rPr>
        <w:t xml:space="preserve"> The results show that all the concentrations in the range 100-400ppm of valerate could be taken into account</w:t>
      </w:r>
      <w:r w:rsidR="00DA700A">
        <w:rPr>
          <w:lang w:val="en-GB"/>
        </w:rPr>
        <w:t xml:space="preserve"> </w:t>
      </w:r>
      <w:r w:rsidR="008621E5">
        <w:rPr>
          <w:lang w:val="en-GB"/>
        </w:rPr>
        <w:t xml:space="preserve">for PHB-co-HV production. </w:t>
      </w:r>
      <w:r w:rsidR="00B14D84">
        <w:rPr>
          <w:lang w:val="en-GB"/>
        </w:rPr>
        <w:t>The addition of</w:t>
      </w:r>
      <w:r w:rsidR="00DA700A">
        <w:rPr>
          <w:lang w:val="en-GB"/>
        </w:rPr>
        <w:t xml:space="preserve"> low amounts of valeric acid does not modify the microbial activity, thus allowing the incorporation of 3-HV monomers without threatening the total production yields. On the other hand, </w:t>
      </w:r>
      <w:r w:rsidR="00260575">
        <w:rPr>
          <w:lang w:val="en-GB"/>
        </w:rPr>
        <w:t xml:space="preserve">a </w:t>
      </w:r>
      <w:r w:rsidR="00DA700A">
        <w:rPr>
          <w:lang w:val="en-GB"/>
        </w:rPr>
        <w:t xml:space="preserve">higher amount of valerate can inhibit microbial activity, thus inducing the formation of 3-HV granules but reducing the amount of polymer produced at the end of the cycle. </w:t>
      </w:r>
    </w:p>
    <w:p w14:paraId="52DAFDE0" w14:textId="40BB2726" w:rsidR="001D0CFB" w:rsidRDefault="001D0CFB" w:rsidP="009C6642">
      <w:pPr>
        <w:pStyle w:val="CETBodytext"/>
        <w:rPr>
          <w:lang w:val="en-GB"/>
        </w:rPr>
      </w:pP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7A8848AB" w14:textId="2E55D899" w:rsidR="00DE4392" w:rsidRDefault="00DE4392" w:rsidP="00DE4392">
      <w:pPr>
        <w:pStyle w:val="CETCaption"/>
        <w:spacing w:before="0" w:after="0"/>
        <w:rPr>
          <w:rFonts w:eastAsia="SimSun"/>
        </w:rPr>
      </w:pPr>
      <w:r>
        <w:rPr>
          <w:rFonts w:eastAsia="SimSun"/>
        </w:rPr>
        <w:t>d</w:t>
      </w:r>
      <w:r w:rsidRPr="00B45ECF">
        <w:rPr>
          <w:rFonts w:eastAsia="SimSun"/>
          <w:vertAlign w:val="subscript"/>
        </w:rPr>
        <w:t>b</w:t>
      </w:r>
      <w:r w:rsidR="00280FAF" w:rsidRPr="00280FAF">
        <w:rPr>
          <w:rFonts w:eastAsia="SimSun"/>
        </w:rPr>
        <w:t xml:space="preserve"> – </w:t>
      </w:r>
      <w:r>
        <w:rPr>
          <w:rFonts w:eastAsia="SimSun"/>
        </w:rPr>
        <w:t>bubbles diameter</w:t>
      </w:r>
      <w:r w:rsidR="00341602">
        <w:rPr>
          <w:rFonts w:eastAsia="SimSun"/>
        </w:rPr>
        <w:t xml:space="preserve"> [mm]</w:t>
      </w:r>
    </w:p>
    <w:p w14:paraId="5B185173" w14:textId="5A83A046" w:rsidR="00DE4392" w:rsidRDefault="00DE4392" w:rsidP="00DE4392">
      <w:pPr>
        <w:pStyle w:val="CETCaption"/>
        <w:spacing w:before="0" w:after="0"/>
        <w:rPr>
          <w:rFonts w:eastAsia="SimSun"/>
        </w:rPr>
      </w:pPr>
      <w:r>
        <w:rPr>
          <w:rFonts w:eastAsia="SimSun"/>
        </w:rPr>
        <w:t>kla – gas-liquid volumetric mass tranfer coefficient</w:t>
      </w:r>
      <w:r w:rsidR="00341602">
        <w:rPr>
          <w:rFonts w:eastAsia="SimSun"/>
        </w:rPr>
        <w:t xml:space="preserve"> [s</w:t>
      </w:r>
      <w:r w:rsidR="00341602" w:rsidRPr="00341602">
        <w:rPr>
          <w:rFonts w:eastAsia="SimSun"/>
          <w:vertAlign w:val="superscript"/>
        </w:rPr>
        <w:t>-1</w:t>
      </w:r>
      <w:r w:rsidR="00341602">
        <w:rPr>
          <w:rFonts w:eastAsia="SimSun"/>
        </w:rPr>
        <w:t>]</w:t>
      </w:r>
    </w:p>
    <w:p w14:paraId="7AEEAE18" w14:textId="71F1C7D5" w:rsidR="00B45ECF" w:rsidRDefault="00B45ECF" w:rsidP="00DE4392">
      <w:pPr>
        <w:pStyle w:val="CETCaption"/>
        <w:spacing w:before="0" w:after="0"/>
        <w:rPr>
          <w:rFonts w:eastAsia="SimSun"/>
        </w:rPr>
      </w:pPr>
      <w:r>
        <w:rPr>
          <w:rFonts w:eastAsia="SimSun"/>
        </w:rPr>
        <w:t>PHB – Poly(3-hydroxybutyrate)</w:t>
      </w:r>
    </w:p>
    <w:p w14:paraId="638C1BAE" w14:textId="51A2C0FE" w:rsidR="00B45ECF" w:rsidRDefault="00B45ECF" w:rsidP="00DE4392">
      <w:pPr>
        <w:pStyle w:val="CETCaption"/>
        <w:spacing w:before="0" w:after="0"/>
        <w:rPr>
          <w:rFonts w:eastAsia="SimSun"/>
        </w:rPr>
      </w:pPr>
      <w:r>
        <w:rPr>
          <w:rFonts w:eastAsia="SimSun"/>
        </w:rPr>
        <w:t>PHB-co-HV – Poly(3-hydroxybutyrate-co-3-hydroxyvalerate)</w:t>
      </w:r>
    </w:p>
    <w:p w14:paraId="6BD2A4DD" w14:textId="3723FBC7" w:rsidR="00B45ECF" w:rsidRDefault="00B45ECF" w:rsidP="00DE4392">
      <w:pPr>
        <w:pStyle w:val="CETCaption"/>
        <w:spacing w:before="0" w:after="0"/>
        <w:rPr>
          <w:rFonts w:eastAsia="SimSun"/>
        </w:rPr>
      </w:pPr>
      <w:r>
        <w:rPr>
          <w:rFonts w:eastAsia="SimSun"/>
        </w:rPr>
        <w:t>M – molecular mass</w:t>
      </w:r>
      <w:r w:rsidR="00341602">
        <w:rPr>
          <w:rFonts w:eastAsia="SimSun"/>
        </w:rPr>
        <w:t xml:space="preserve"> [g mol</w:t>
      </w:r>
      <w:r w:rsidR="00341602" w:rsidRPr="00341602">
        <w:rPr>
          <w:rFonts w:eastAsia="SimSun"/>
          <w:vertAlign w:val="superscript"/>
        </w:rPr>
        <w:t>-1</w:t>
      </w:r>
      <w:r w:rsidR="00341602">
        <w:rPr>
          <w:rFonts w:eastAsia="SimSun"/>
        </w:rPr>
        <w:t>]</w:t>
      </w:r>
    </w:p>
    <w:p w14:paraId="55D6C4E0" w14:textId="40537143" w:rsidR="00B45ECF" w:rsidRDefault="00B45ECF" w:rsidP="00DE4392">
      <w:pPr>
        <w:pStyle w:val="CETCaption"/>
        <w:spacing w:before="0" w:after="0"/>
        <w:rPr>
          <w:rFonts w:eastAsia="SimSun"/>
        </w:rPr>
      </w:pPr>
      <w:r>
        <w:rPr>
          <w:rFonts w:eastAsia="SimSun" w:cs="Arial"/>
        </w:rPr>
        <w:t xml:space="preserve">ρ </w:t>
      </w:r>
      <w:r w:rsidR="00341602">
        <w:rPr>
          <w:rFonts w:eastAsia="SimSun" w:cs="Arial"/>
        </w:rPr>
        <w:t>–</w:t>
      </w:r>
      <w:r>
        <w:rPr>
          <w:rFonts w:eastAsia="SimSun" w:cs="Arial"/>
        </w:rPr>
        <w:t xml:space="preserve"> density</w:t>
      </w:r>
      <w:r w:rsidR="00341602">
        <w:rPr>
          <w:rFonts w:eastAsia="SimSun" w:cs="Arial"/>
        </w:rPr>
        <w:t xml:space="preserve"> [kg m</w:t>
      </w:r>
      <w:r w:rsidR="00341602" w:rsidRPr="00341602">
        <w:rPr>
          <w:rFonts w:eastAsia="SimSun" w:cs="Arial"/>
          <w:vertAlign w:val="superscript"/>
        </w:rPr>
        <w:t>-3</w:t>
      </w:r>
      <w:r w:rsidR="00341602">
        <w:rPr>
          <w:rFonts w:eastAsia="SimSun" w:cs="Arial"/>
        </w:rPr>
        <w:t>]</w:t>
      </w:r>
    </w:p>
    <w:p w14:paraId="7B1BC40C" w14:textId="77777777" w:rsidR="00DE4392" w:rsidRDefault="00DE4392" w:rsidP="00DE4392">
      <w:pPr>
        <w:pStyle w:val="CETCaption"/>
        <w:spacing w:before="0" w:after="0"/>
        <w:rPr>
          <w:rFonts w:eastAsia="SimSun"/>
        </w:rPr>
      </w:pPr>
      <w:r>
        <w:rPr>
          <w:rFonts w:eastAsia="SimSun"/>
        </w:rPr>
        <w:t>3-HV – 3-hydroxyvalerate</w:t>
      </w:r>
    </w:p>
    <w:p w14:paraId="36445CB5" w14:textId="30B7220C" w:rsidR="00C974F9" w:rsidRPr="00C974F9" w:rsidRDefault="00DE4392" w:rsidP="00C974F9">
      <w:pPr>
        <w:pStyle w:val="CETCaption"/>
        <w:spacing w:before="0" w:after="0"/>
        <w:rPr>
          <w:rFonts w:eastAsia="SimSun"/>
        </w:rPr>
      </w:pPr>
      <w:r>
        <w:rPr>
          <w:rFonts w:eastAsia="SimSun"/>
        </w:rPr>
        <w:t>p-PHB-co-HV – volumetric productivity per day</w:t>
      </w:r>
    </w:p>
    <w:p w14:paraId="7DFFBF41" w14:textId="4358D0D1" w:rsidR="00C974F9" w:rsidRPr="00DE4392" w:rsidRDefault="00C974F9" w:rsidP="00C974F9">
      <w:pPr>
        <w:pStyle w:val="CETBodytext"/>
        <w:sectPr w:rsidR="00C974F9" w:rsidRPr="00DE4392" w:rsidSect="0077098D">
          <w:type w:val="continuous"/>
          <w:pgSz w:w="11906" w:h="16838" w:code="9"/>
          <w:pgMar w:top="1701" w:right="1418" w:bottom="1701" w:left="1701" w:header="1701" w:footer="0" w:gutter="0"/>
          <w:cols w:space="708"/>
          <w:formProt w:val="0"/>
          <w:titlePg/>
          <w:docGrid w:linePitch="360"/>
        </w:sectPr>
      </w:pPr>
      <w:r>
        <w:t>U</w:t>
      </w:r>
      <w:r w:rsidRPr="00B45ECF">
        <w:rPr>
          <w:vertAlign w:val="subscript"/>
        </w:rPr>
        <w:t>g</w:t>
      </w:r>
      <w:r>
        <w:t xml:space="preserve"> – superficial gas velocity</w:t>
      </w:r>
      <w:r w:rsidR="00341602">
        <w:t xml:space="preserve"> [m s</w:t>
      </w:r>
      <w:r w:rsidR="00341602" w:rsidRPr="00341602">
        <w:rPr>
          <w:vertAlign w:val="superscript"/>
        </w:rPr>
        <w:t>-1</w:t>
      </w:r>
      <w:r w:rsidR="00341602">
        <w:t>]</w:t>
      </w:r>
    </w:p>
    <w:p w14:paraId="38BFE636" w14:textId="30315F35" w:rsidR="00280FAF" w:rsidRPr="00E377D0" w:rsidRDefault="00280FAF" w:rsidP="00670F26">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p>
    <w:p w14:paraId="459D05E6" w14:textId="7592C77B" w:rsidR="00600535" w:rsidRDefault="00600535" w:rsidP="00600535">
      <w:pPr>
        <w:pStyle w:val="CETAcknowledgementstitle"/>
      </w:pPr>
      <w:r w:rsidRPr="00B57B36">
        <w:t>Acknowledgments</w:t>
      </w:r>
    </w:p>
    <w:p w14:paraId="1AFBB11F" w14:textId="368F5EED" w:rsidR="004F7085" w:rsidRPr="004F7085" w:rsidRDefault="004F7085" w:rsidP="004F7085">
      <w:pPr>
        <w:pStyle w:val="CETBodytext"/>
      </w:pPr>
      <w:r>
        <w:t>This work was supported by the Ministry of Economic Development through the “Fondo per lo Sportello Sostenibile – Sportello “Agrifood” PON I&amp;C 2014-2020”, di cui al D.M. 5 marzo 2018 Capo III. Prof. n. F/200125/01-03/X45. The authors would like to thank VALERE “VAnviteLli pEr la RicErca”” PROGRAMME by the University of Campania “Luigi Vanvitelli”. The Regional Government of Castilla y Leon and the EU-FEDER (CLU 2017-09, CL-EI-2021-07, and UIC 315) are also gratefully acknowled</w:t>
      </w:r>
      <w:r w:rsidR="009C6642">
        <w:t>ged.</w:t>
      </w:r>
    </w:p>
    <w:p w14:paraId="4F1327F8" w14:textId="609FB2D8" w:rsidR="00600535" w:rsidRPr="00CE738F" w:rsidRDefault="00600535" w:rsidP="00C9548F">
      <w:pPr>
        <w:pStyle w:val="CETReference"/>
        <w:rPr>
          <w:lang w:val="it-IT"/>
        </w:rPr>
      </w:pPr>
      <w:r w:rsidRPr="00750910">
        <w:rPr>
          <w:lang w:val="it-IT"/>
        </w:rPr>
        <w:t>References</w:t>
      </w:r>
    </w:p>
    <w:p w14:paraId="59D02B10" w14:textId="1DDDF33B" w:rsidR="00C9548F" w:rsidRPr="00CE738F" w:rsidRDefault="00C9548F" w:rsidP="00C9548F">
      <w:pPr>
        <w:pStyle w:val="CETReferencetext"/>
        <w:rPr>
          <w:lang w:val="it-IT"/>
        </w:rPr>
      </w:pPr>
      <w:r w:rsidRPr="00C9548F">
        <w:lastRenderedPageBreak/>
        <w:fldChar w:fldCharType="begin" w:fldLock="1"/>
      </w:r>
      <w:r w:rsidRPr="00CE738F">
        <w:rPr>
          <w:lang w:val="it-IT"/>
        </w:rPr>
        <w:instrText xml:space="preserve">ADDIN Mendeley Bibliography CSL_BIBLIOGRAPHY </w:instrText>
      </w:r>
      <w:r w:rsidRPr="00C9548F">
        <w:fldChar w:fldCharType="separate"/>
      </w:r>
      <w:r w:rsidRPr="00CE738F">
        <w:rPr>
          <w:lang w:val="it-IT"/>
        </w:rPr>
        <w:t xml:space="preserve">Abate, T., Amabile, C., De Crescenzo, C., Sabbarese, S., Capece, G., Ciampa, R., Chianese, S., Musmarra, D., 2022. </w:t>
      </w:r>
      <w:r w:rsidRPr="00C9548F">
        <w:t xml:space="preserve">Alternative Polyhydroxybutyrate Solvent Extraction: a Process Simulation Study. Chem. Eng. </w:t>
      </w:r>
      <w:r w:rsidRPr="00CE738F">
        <w:rPr>
          <w:lang w:val="it-IT"/>
        </w:rPr>
        <w:t>Trans. 92, 265–270. https://doi.org/10.3303/CET2292045</w:t>
      </w:r>
    </w:p>
    <w:p w14:paraId="2210DDAE" w14:textId="77777777" w:rsidR="00C9548F" w:rsidRPr="00CE738F" w:rsidRDefault="00C9548F" w:rsidP="00C9548F">
      <w:pPr>
        <w:pStyle w:val="CETReferencetext"/>
        <w:rPr>
          <w:lang w:val="it-IT"/>
        </w:rPr>
      </w:pPr>
      <w:r w:rsidRPr="00CE738F">
        <w:rPr>
          <w:lang w:val="it-IT"/>
        </w:rPr>
        <w:t xml:space="preserve">Amabile, C., Abate, T., Crescenzo, C. De, Sabbarese, S., Migliaccio, A., Chianese, S., Musmarra, D., De Crescenzo, C., Sabbarese, S., Migliaccio, A., Chianese, S., Musmarra, D., 2022a. </w:t>
      </w:r>
      <w:r w:rsidRPr="00C9548F">
        <w:t xml:space="preserve">Poly(3-hydroxybutyrate) production from methane in bubble column bioreactors: Process simulation and design optimization. </w:t>
      </w:r>
      <w:r w:rsidRPr="00CE738F">
        <w:rPr>
          <w:lang w:val="it-IT"/>
        </w:rPr>
        <w:t>N. Biotechnol. 70, 39–48. https://doi.org/10.1016/j.nbt.2022.04.004</w:t>
      </w:r>
    </w:p>
    <w:p w14:paraId="7C152005" w14:textId="77777777" w:rsidR="00C9548F" w:rsidRPr="00CE738F" w:rsidRDefault="00C9548F" w:rsidP="00C9548F">
      <w:pPr>
        <w:pStyle w:val="CETReferencetext"/>
        <w:rPr>
          <w:lang w:val="it-IT"/>
        </w:rPr>
      </w:pPr>
      <w:r w:rsidRPr="00CE738F">
        <w:rPr>
          <w:lang w:val="it-IT"/>
        </w:rPr>
        <w:t xml:space="preserve">Amabile, C., Abate, T., De Crescenzo, C., Sabbarese, S., Capece, G., Ciampa, R., Chianese, S., Musmarra, D., 2022b. </w:t>
      </w:r>
      <w:r w:rsidRPr="00C9548F">
        <w:t xml:space="preserve">Enhancing Poly(3-hydroxybutyrate) Production through the Optimization of Reactor Geometry. </w:t>
      </w:r>
      <w:r w:rsidRPr="00CE738F">
        <w:rPr>
          <w:lang w:val="it-IT"/>
        </w:rPr>
        <w:t>Chem. Eng. Trans. 93, 277–282. https://doi.org/10.3303/CET2293047</w:t>
      </w:r>
    </w:p>
    <w:p w14:paraId="517A486A" w14:textId="77777777" w:rsidR="00C9548F" w:rsidRPr="00C9548F" w:rsidRDefault="00C9548F" w:rsidP="00C9548F">
      <w:pPr>
        <w:pStyle w:val="CETReferencetext"/>
      </w:pPr>
      <w:r w:rsidRPr="00CE738F">
        <w:rPr>
          <w:lang w:val="it-IT"/>
        </w:rPr>
        <w:t xml:space="preserve">Amabile, C., Abate, T., De Crescenzo, C., Sabbarese, S., Muñoz, R., Chianese, S., Musmarra, D., 2022c. </w:t>
      </w:r>
      <w:r w:rsidRPr="00C9548F">
        <w:t>Sustainable Process for the Production of Poly(3-hydroxybutyrate- co-3-hydroxyvalerate) from Renewable Resources: A Simulation Study. ACS Sustain. Chem. Eng. 10, 14230–14239. https://doi.org/10.1021/acssuschemeng.2c04111</w:t>
      </w:r>
    </w:p>
    <w:p w14:paraId="59CD53D3" w14:textId="77777777" w:rsidR="00C9548F" w:rsidRPr="00C9548F" w:rsidRDefault="00C9548F" w:rsidP="00C9548F">
      <w:pPr>
        <w:pStyle w:val="CETReferencetext"/>
      </w:pPr>
      <w:r w:rsidRPr="00C9548F">
        <w:t>Fergala, A., Alsayed, A., Khattab, S., Ramirez, M., Eldyasti, A., 2018. Development of Methane-Utilizing Mixed Cultures for the Production of Polyhydroxyalkanoates (PHAs) from Anaerobic Digester Sludge. Environ. Sci. Technol. 52, 12376–12387. https://doi.org/10.1021/acs.est.8b04142</w:t>
      </w:r>
    </w:p>
    <w:p w14:paraId="3515B48C" w14:textId="77777777" w:rsidR="00C9548F" w:rsidRPr="00C9548F" w:rsidRDefault="00C9548F" w:rsidP="00C9548F">
      <w:pPr>
        <w:pStyle w:val="CETReferencetext"/>
      </w:pPr>
      <w:r w:rsidRPr="00C9548F">
        <w:t>García-Pérez, T., López, J.C., Passos, F., Lebrero, R., Revah, S., Muñoz, R., García-Pérez Teresa, C.López Juan, Passos Fabiana, Lebrero Raquel, Revah Sergio, M.R., 2018. Simultaneous methane abatement and PHB production by Methylocystis hirsuta in a novel gas-recycling bubble column bioreactor. Chem. Eng. J. 334, 691–697. https://doi.org/10.1016/j.cej.2017.10.106</w:t>
      </w:r>
    </w:p>
    <w:p w14:paraId="1CBC321B" w14:textId="77777777" w:rsidR="00C9548F" w:rsidRPr="00C9548F" w:rsidRDefault="00C9548F" w:rsidP="00C9548F">
      <w:pPr>
        <w:pStyle w:val="CETReferencetext"/>
      </w:pPr>
      <w:r w:rsidRPr="00C9548F">
        <w:t>Koller, M., Salerno, A., Dias, M., Reiterer, A., Braunegg, G., 2010. Modern biotechnological polymer synthesis: A review. Food Technol. Biotechnol. 48, 255–269.</w:t>
      </w:r>
    </w:p>
    <w:p w14:paraId="7ADB0814" w14:textId="77777777" w:rsidR="00C9548F" w:rsidRPr="00C9548F" w:rsidRDefault="00C9548F" w:rsidP="00C9548F">
      <w:pPr>
        <w:pStyle w:val="CETReferencetext"/>
      </w:pPr>
      <w:r w:rsidRPr="00C9548F">
        <w:t>Liu, L.Y., Xie, G.J., Xing, D.F., Liu, B.F., Ding, J., Ren, N.Q., 2020. Biological conversion of methane to polyhydroxyalkanoates: Current advances, challenges, and perspectives. Environ. Sci. Ecotechnology 2. https://doi.org/10.1016/j.ese.2020.100029</w:t>
      </w:r>
    </w:p>
    <w:p w14:paraId="3FD1D20A" w14:textId="77777777" w:rsidR="00C9548F" w:rsidRPr="00C9548F" w:rsidRDefault="00C9548F" w:rsidP="00C9548F">
      <w:pPr>
        <w:pStyle w:val="CETReferencetext"/>
      </w:pPr>
      <w:r w:rsidRPr="00C9548F">
        <w:t>López, J.C., Arnáiz, E., Merchán, L., Lebrero, R., Muñoz, R., 2018. Biogas-based polyhydroxyalkanoates production by Methylocystis hirsuta: A step further in anaerobic digestion biorefineries. Chem. Eng. J. 333, 529–536. https://doi.org/10.1016/j.cej.2017.09.185</w:t>
      </w:r>
    </w:p>
    <w:p w14:paraId="6F739D53" w14:textId="77777777" w:rsidR="00C9548F" w:rsidRPr="00C9548F" w:rsidRDefault="00C9548F" w:rsidP="00C9548F">
      <w:pPr>
        <w:pStyle w:val="CETReferencetext"/>
      </w:pPr>
      <w:r w:rsidRPr="00C9548F">
        <w:t>Madison, L.L., Huisman, G.W., 1999. Metabolic Engineering of Poly(3-Hydroxyalkanoates): From DNA to Plastic. Microbiol. Mol. Biol. Rev. 63, 21–53. https://doi.org/10.1128/mmbr.63.1.21-53.1999</w:t>
      </w:r>
    </w:p>
    <w:p w14:paraId="4167753C" w14:textId="77777777" w:rsidR="00C9548F" w:rsidRPr="00C9548F" w:rsidRDefault="00C9548F" w:rsidP="00C9548F">
      <w:pPr>
        <w:pStyle w:val="CETReferencetext"/>
      </w:pPr>
      <w:r w:rsidRPr="00C9548F">
        <w:t>Myung, J., Flanagan, J.C.A., Waymouth, R.M., Criddle, C.S., 2016. Methane or methanol-oxidation dependent synthesis of poly(3-hydroxybutyrate-co-3-hydroxyvalerate) by obligate type II methanotrophs. Process Biochem. 51, 561–567. https://doi.org/10.1016/j.procbio.2016.02.005</w:t>
      </w:r>
    </w:p>
    <w:p w14:paraId="390950D8" w14:textId="77777777" w:rsidR="00C9548F" w:rsidRPr="00CE738F" w:rsidRDefault="00C9548F" w:rsidP="00C9548F">
      <w:pPr>
        <w:pStyle w:val="CETReferencetext"/>
        <w:rPr>
          <w:lang w:val="it-IT"/>
        </w:rPr>
      </w:pPr>
      <w:r w:rsidRPr="00C9548F">
        <w:t xml:space="preserve">Myung, J., Galega, W.M., Van Nostrand, J.D., Yuan, T., Zhou, J., Criddle, C.S., 2015. Long-term cultivation of a stable Methylocystis-dominated methanotrophic enrichment enabling tailored production of poly(3-hydroxybutyrate-co-3-hydroxyvalerate). </w:t>
      </w:r>
      <w:r w:rsidRPr="00CE738F">
        <w:rPr>
          <w:lang w:val="it-IT"/>
        </w:rPr>
        <w:t>Bioresour. Technol. 198, 811–818. https://doi.org/10.1016/j.biortech.2015.09.094</w:t>
      </w:r>
    </w:p>
    <w:p w14:paraId="356F4456" w14:textId="77777777" w:rsidR="00C9548F" w:rsidRPr="00C9548F" w:rsidRDefault="00C9548F" w:rsidP="00C9548F">
      <w:pPr>
        <w:pStyle w:val="CETReferencetext"/>
      </w:pPr>
      <w:r w:rsidRPr="00CE738F">
        <w:rPr>
          <w:lang w:val="it-IT"/>
        </w:rPr>
        <w:t xml:space="preserve">Policastro, G., Panico, A., Fabbricino, M., 2021. </w:t>
      </w:r>
      <w:r w:rsidRPr="00C9548F">
        <w:t>Improving biological production of poly ( 3-hydroxybutyrate- co -3-hydroxyvalerate ) ( PHBV ) co-polymer : a critical review, Reviews in Environmental Science and Bio/Technology. Springer Netherlands. https://doi.org/10.1007/s11157-021-09575-z</w:t>
      </w:r>
    </w:p>
    <w:p w14:paraId="089D773B" w14:textId="77777777" w:rsidR="00C9548F" w:rsidRPr="00C9548F" w:rsidRDefault="00C9548F" w:rsidP="00C9548F">
      <w:pPr>
        <w:pStyle w:val="CETReferencetext"/>
      </w:pPr>
      <w:r w:rsidRPr="00C9548F">
        <w:t>Rossetti, I., Conte, F., Ramis, G., 2021. Kinetic Modelling of Biodegradability Data of Commercial Polymers Obtained under Aerobic Composting Conditions. Eng 2, 54–68. https://doi.org/10.3390/eng2010005</w:t>
      </w:r>
    </w:p>
    <w:p w14:paraId="1BF3B9B3" w14:textId="77777777" w:rsidR="00C9548F" w:rsidRPr="00C9548F" w:rsidRDefault="00C9548F" w:rsidP="00C9548F">
      <w:pPr>
        <w:pStyle w:val="CETReferencetext"/>
      </w:pPr>
      <w:r w:rsidRPr="00C9548F">
        <w:t>Rostkowski, K.H., Pfluger, A.R., Criddle, C.S., 2013. Stoichiometry and kinetics of the PHB-producing Type II methanotrophs Methylosinus trichosporium OB3b and Methylocystis parvus OBBP. Bioresour. Technol. 132, 71–77. https://doi.org/10.1016/j.biortech.2012.12.129</w:t>
      </w:r>
    </w:p>
    <w:p w14:paraId="7027C265" w14:textId="77777777" w:rsidR="00C9548F" w:rsidRPr="00C9548F" w:rsidRDefault="00C9548F" w:rsidP="00C9548F">
      <w:pPr>
        <w:pStyle w:val="CETReferencetext"/>
      </w:pPr>
      <w:r w:rsidRPr="00C9548F">
        <w:t>Sipkema, E.M., De Koning, W., Ganzeveld, K.J., Janssen, D.B., Beenackers, A.A.C.M., 1998. Experimental pulse technique for the study of microbial kinetics in continuous culture. J. Biotechnol. 64, 159–176. https://doi.org/10.1016/S0168-1656(98)00076-5</w:t>
      </w:r>
    </w:p>
    <w:p w14:paraId="405989A3" w14:textId="77777777" w:rsidR="00C9548F" w:rsidRPr="00C9548F" w:rsidRDefault="00C9548F" w:rsidP="00C9548F">
      <w:pPr>
        <w:pStyle w:val="CETReferencetext"/>
      </w:pPr>
      <w:r w:rsidRPr="00C9548F">
        <w:t>Weng, Y.X., Wang, X.L., Wang, Y.Z., 2011. Biodegradation behavior of PHAs with different chemical structures under controlled composting conditions. Polym. Test. 30, 372–380. https://doi.org/10.1016/j.polymertesting.2011.02.001</w:t>
      </w:r>
    </w:p>
    <w:p w14:paraId="19C4FC68" w14:textId="7CEC759A" w:rsidR="004628D2" w:rsidRPr="00C9548F" w:rsidRDefault="00C9548F" w:rsidP="00C9548F">
      <w:pPr>
        <w:pStyle w:val="CETReferencetext"/>
        <w:rPr>
          <w:lang w:val="it-IT"/>
        </w:rPr>
      </w:pPr>
      <w:r w:rsidRPr="00C9548F">
        <w:fldChar w:fldCharType="end"/>
      </w:r>
    </w:p>
    <w:sectPr w:rsidR="004628D2" w:rsidRPr="00C9548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9A33" w14:textId="77777777" w:rsidR="00E1344B" w:rsidRDefault="00E1344B" w:rsidP="004F5E36">
      <w:r>
        <w:separator/>
      </w:r>
    </w:p>
  </w:endnote>
  <w:endnote w:type="continuationSeparator" w:id="0">
    <w:p w14:paraId="6EE71F94" w14:textId="77777777" w:rsidR="00E1344B" w:rsidRDefault="00E134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42D2" w14:textId="77777777" w:rsidR="00E1344B" w:rsidRDefault="00E1344B" w:rsidP="004F5E36">
      <w:r>
        <w:separator/>
      </w:r>
    </w:p>
  </w:footnote>
  <w:footnote w:type="continuationSeparator" w:id="0">
    <w:p w14:paraId="52224F1B" w14:textId="77777777" w:rsidR="00E1344B" w:rsidRDefault="00E1344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9460432">
    <w:abstractNumId w:val="10"/>
  </w:num>
  <w:num w:numId="2" w16cid:durableId="445120539">
    <w:abstractNumId w:val="8"/>
  </w:num>
  <w:num w:numId="3" w16cid:durableId="996231242">
    <w:abstractNumId w:val="3"/>
  </w:num>
  <w:num w:numId="4" w16cid:durableId="1555652338">
    <w:abstractNumId w:val="2"/>
  </w:num>
  <w:num w:numId="5" w16cid:durableId="1104575213">
    <w:abstractNumId w:val="1"/>
  </w:num>
  <w:num w:numId="6" w16cid:durableId="1720548818">
    <w:abstractNumId w:val="0"/>
  </w:num>
  <w:num w:numId="7" w16cid:durableId="1162623601">
    <w:abstractNumId w:val="9"/>
  </w:num>
  <w:num w:numId="8" w16cid:durableId="615332690">
    <w:abstractNumId w:val="7"/>
  </w:num>
  <w:num w:numId="9" w16cid:durableId="1423186796">
    <w:abstractNumId w:val="6"/>
  </w:num>
  <w:num w:numId="10" w16cid:durableId="119493290">
    <w:abstractNumId w:val="5"/>
  </w:num>
  <w:num w:numId="11" w16cid:durableId="721252729">
    <w:abstractNumId w:val="4"/>
  </w:num>
  <w:num w:numId="12" w16cid:durableId="509687512">
    <w:abstractNumId w:val="17"/>
  </w:num>
  <w:num w:numId="13" w16cid:durableId="1194490831">
    <w:abstractNumId w:val="12"/>
  </w:num>
  <w:num w:numId="14" w16cid:durableId="188761123">
    <w:abstractNumId w:val="18"/>
  </w:num>
  <w:num w:numId="15" w16cid:durableId="1375038388">
    <w:abstractNumId w:val="20"/>
  </w:num>
  <w:num w:numId="16" w16cid:durableId="1733502385">
    <w:abstractNumId w:val="19"/>
  </w:num>
  <w:num w:numId="17" w16cid:durableId="1890341155">
    <w:abstractNumId w:val="11"/>
  </w:num>
  <w:num w:numId="18" w16cid:durableId="179054815">
    <w:abstractNumId w:val="12"/>
    <w:lvlOverride w:ilvl="0">
      <w:startOverride w:val="1"/>
    </w:lvlOverride>
  </w:num>
  <w:num w:numId="19" w16cid:durableId="762452126">
    <w:abstractNumId w:val="16"/>
  </w:num>
  <w:num w:numId="20" w16cid:durableId="1236211084">
    <w:abstractNumId w:val="15"/>
  </w:num>
  <w:num w:numId="21" w16cid:durableId="705179307">
    <w:abstractNumId w:val="14"/>
  </w:num>
  <w:num w:numId="22" w16cid:durableId="269439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2F1C"/>
    <w:rsid w:val="000052FB"/>
    <w:rsid w:val="000117CB"/>
    <w:rsid w:val="000219B6"/>
    <w:rsid w:val="0003148D"/>
    <w:rsid w:val="00031EEC"/>
    <w:rsid w:val="00051566"/>
    <w:rsid w:val="00053BEE"/>
    <w:rsid w:val="000562A9"/>
    <w:rsid w:val="00062A9A"/>
    <w:rsid w:val="00065058"/>
    <w:rsid w:val="00086C39"/>
    <w:rsid w:val="000A03B2"/>
    <w:rsid w:val="000B4AA1"/>
    <w:rsid w:val="000D0268"/>
    <w:rsid w:val="000D34BE"/>
    <w:rsid w:val="000E102F"/>
    <w:rsid w:val="000E36F1"/>
    <w:rsid w:val="000E3A73"/>
    <w:rsid w:val="000E414A"/>
    <w:rsid w:val="000F093C"/>
    <w:rsid w:val="000F4461"/>
    <w:rsid w:val="000F75B7"/>
    <w:rsid w:val="000F787B"/>
    <w:rsid w:val="001012FA"/>
    <w:rsid w:val="0012091F"/>
    <w:rsid w:val="00126BC2"/>
    <w:rsid w:val="001308B6"/>
    <w:rsid w:val="0013121F"/>
    <w:rsid w:val="00131FE6"/>
    <w:rsid w:val="0013263F"/>
    <w:rsid w:val="001331DF"/>
    <w:rsid w:val="00134DE4"/>
    <w:rsid w:val="001362B6"/>
    <w:rsid w:val="0014034D"/>
    <w:rsid w:val="00144D16"/>
    <w:rsid w:val="00150E59"/>
    <w:rsid w:val="00152DE3"/>
    <w:rsid w:val="00153D0C"/>
    <w:rsid w:val="001556F8"/>
    <w:rsid w:val="00164CF9"/>
    <w:rsid w:val="001667A6"/>
    <w:rsid w:val="00184AD6"/>
    <w:rsid w:val="00192D84"/>
    <w:rsid w:val="001A171C"/>
    <w:rsid w:val="001A4AF7"/>
    <w:rsid w:val="001B0349"/>
    <w:rsid w:val="001B078C"/>
    <w:rsid w:val="001B1E93"/>
    <w:rsid w:val="001B65C1"/>
    <w:rsid w:val="001C684B"/>
    <w:rsid w:val="001D0CFB"/>
    <w:rsid w:val="001D21AF"/>
    <w:rsid w:val="001D53FC"/>
    <w:rsid w:val="001F42A5"/>
    <w:rsid w:val="001F7B9D"/>
    <w:rsid w:val="00201C93"/>
    <w:rsid w:val="00214EF7"/>
    <w:rsid w:val="002224B4"/>
    <w:rsid w:val="002236AD"/>
    <w:rsid w:val="00223A1E"/>
    <w:rsid w:val="002447EF"/>
    <w:rsid w:val="00246395"/>
    <w:rsid w:val="00251550"/>
    <w:rsid w:val="00251998"/>
    <w:rsid w:val="00260575"/>
    <w:rsid w:val="00263A00"/>
    <w:rsid w:val="00263B05"/>
    <w:rsid w:val="0027221A"/>
    <w:rsid w:val="00275B61"/>
    <w:rsid w:val="00280FAF"/>
    <w:rsid w:val="00282656"/>
    <w:rsid w:val="0028384D"/>
    <w:rsid w:val="00291177"/>
    <w:rsid w:val="00296B83"/>
    <w:rsid w:val="002B4015"/>
    <w:rsid w:val="002B5D8F"/>
    <w:rsid w:val="002B78CE"/>
    <w:rsid w:val="002C2FB6"/>
    <w:rsid w:val="002C35B8"/>
    <w:rsid w:val="002E5FA7"/>
    <w:rsid w:val="002E795A"/>
    <w:rsid w:val="002F3309"/>
    <w:rsid w:val="003008CE"/>
    <w:rsid w:val="003009B7"/>
    <w:rsid w:val="00300E56"/>
    <w:rsid w:val="0030152C"/>
    <w:rsid w:val="0030469C"/>
    <w:rsid w:val="00321CA6"/>
    <w:rsid w:val="00323763"/>
    <w:rsid w:val="00323C5F"/>
    <w:rsid w:val="00334C09"/>
    <w:rsid w:val="00341602"/>
    <w:rsid w:val="003678BE"/>
    <w:rsid w:val="003723D4"/>
    <w:rsid w:val="00381905"/>
    <w:rsid w:val="00384CC8"/>
    <w:rsid w:val="003871FD"/>
    <w:rsid w:val="003A1E30"/>
    <w:rsid w:val="003A2829"/>
    <w:rsid w:val="003A3450"/>
    <w:rsid w:val="003A7D1C"/>
    <w:rsid w:val="003B304B"/>
    <w:rsid w:val="003B3146"/>
    <w:rsid w:val="003F015E"/>
    <w:rsid w:val="003F2751"/>
    <w:rsid w:val="00400414"/>
    <w:rsid w:val="004039C4"/>
    <w:rsid w:val="0041446B"/>
    <w:rsid w:val="0044071E"/>
    <w:rsid w:val="0044329C"/>
    <w:rsid w:val="00446AE8"/>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4F7085"/>
    <w:rsid w:val="00507B47"/>
    <w:rsid w:val="00507BEF"/>
    <w:rsid w:val="00507CC9"/>
    <w:rsid w:val="005119A5"/>
    <w:rsid w:val="005278B7"/>
    <w:rsid w:val="00532016"/>
    <w:rsid w:val="005346C8"/>
    <w:rsid w:val="0053712D"/>
    <w:rsid w:val="00541FF7"/>
    <w:rsid w:val="00543E7D"/>
    <w:rsid w:val="00547A68"/>
    <w:rsid w:val="005531C9"/>
    <w:rsid w:val="00565DE9"/>
    <w:rsid w:val="005664F5"/>
    <w:rsid w:val="00567BBF"/>
    <w:rsid w:val="00570C43"/>
    <w:rsid w:val="005B2110"/>
    <w:rsid w:val="005B4C1F"/>
    <w:rsid w:val="005B61E6"/>
    <w:rsid w:val="005C77E1"/>
    <w:rsid w:val="005D668A"/>
    <w:rsid w:val="005D6A2F"/>
    <w:rsid w:val="005E1A82"/>
    <w:rsid w:val="005E794C"/>
    <w:rsid w:val="005F0A28"/>
    <w:rsid w:val="005F0E5E"/>
    <w:rsid w:val="005F3734"/>
    <w:rsid w:val="00600535"/>
    <w:rsid w:val="00610CD6"/>
    <w:rsid w:val="00620DEE"/>
    <w:rsid w:val="00620DF2"/>
    <w:rsid w:val="00621F92"/>
    <w:rsid w:val="0062280A"/>
    <w:rsid w:val="00625639"/>
    <w:rsid w:val="00631B33"/>
    <w:rsid w:val="0064184D"/>
    <w:rsid w:val="006422CC"/>
    <w:rsid w:val="00660E3E"/>
    <w:rsid w:val="00662E74"/>
    <w:rsid w:val="00663493"/>
    <w:rsid w:val="00670874"/>
    <w:rsid w:val="00670F26"/>
    <w:rsid w:val="00680C23"/>
    <w:rsid w:val="0068421A"/>
    <w:rsid w:val="006852B1"/>
    <w:rsid w:val="00685953"/>
    <w:rsid w:val="00693766"/>
    <w:rsid w:val="006A3281"/>
    <w:rsid w:val="006B4888"/>
    <w:rsid w:val="006C1AC6"/>
    <w:rsid w:val="006C2E45"/>
    <w:rsid w:val="006C359C"/>
    <w:rsid w:val="006C5579"/>
    <w:rsid w:val="006D1B69"/>
    <w:rsid w:val="006D6E8B"/>
    <w:rsid w:val="006E737D"/>
    <w:rsid w:val="00713973"/>
    <w:rsid w:val="00720A24"/>
    <w:rsid w:val="00732386"/>
    <w:rsid w:val="0073514D"/>
    <w:rsid w:val="007447F3"/>
    <w:rsid w:val="00750910"/>
    <w:rsid w:val="0075499F"/>
    <w:rsid w:val="007661C8"/>
    <w:rsid w:val="0077098D"/>
    <w:rsid w:val="00787D7F"/>
    <w:rsid w:val="007931FA"/>
    <w:rsid w:val="00795B7F"/>
    <w:rsid w:val="007A4861"/>
    <w:rsid w:val="007A7BBA"/>
    <w:rsid w:val="007B0C50"/>
    <w:rsid w:val="007B48F9"/>
    <w:rsid w:val="007C1A43"/>
    <w:rsid w:val="007D0951"/>
    <w:rsid w:val="007D127F"/>
    <w:rsid w:val="007D7C70"/>
    <w:rsid w:val="0080013E"/>
    <w:rsid w:val="008013FB"/>
    <w:rsid w:val="00803649"/>
    <w:rsid w:val="00813288"/>
    <w:rsid w:val="008168FC"/>
    <w:rsid w:val="008260F1"/>
    <w:rsid w:val="00830996"/>
    <w:rsid w:val="008345F1"/>
    <w:rsid w:val="008621E5"/>
    <w:rsid w:val="00865B07"/>
    <w:rsid w:val="008667EA"/>
    <w:rsid w:val="0087637F"/>
    <w:rsid w:val="00886ADE"/>
    <w:rsid w:val="00892AD5"/>
    <w:rsid w:val="008A1512"/>
    <w:rsid w:val="008A7CD9"/>
    <w:rsid w:val="008B276D"/>
    <w:rsid w:val="008D32B9"/>
    <w:rsid w:val="008D433B"/>
    <w:rsid w:val="008D4A16"/>
    <w:rsid w:val="008E566E"/>
    <w:rsid w:val="0090161A"/>
    <w:rsid w:val="00901EB6"/>
    <w:rsid w:val="00904C62"/>
    <w:rsid w:val="00922BA8"/>
    <w:rsid w:val="00924DAC"/>
    <w:rsid w:val="00927058"/>
    <w:rsid w:val="00930301"/>
    <w:rsid w:val="00942750"/>
    <w:rsid w:val="009450CE"/>
    <w:rsid w:val="009459BB"/>
    <w:rsid w:val="00947179"/>
    <w:rsid w:val="0095164B"/>
    <w:rsid w:val="00954090"/>
    <w:rsid w:val="009573E7"/>
    <w:rsid w:val="00963E05"/>
    <w:rsid w:val="00964A45"/>
    <w:rsid w:val="00967843"/>
    <w:rsid w:val="00967D54"/>
    <w:rsid w:val="00971028"/>
    <w:rsid w:val="00984FDD"/>
    <w:rsid w:val="00991D97"/>
    <w:rsid w:val="00993B84"/>
    <w:rsid w:val="00996483"/>
    <w:rsid w:val="00996F5A"/>
    <w:rsid w:val="009B041A"/>
    <w:rsid w:val="009B55E2"/>
    <w:rsid w:val="009C37C3"/>
    <w:rsid w:val="009C6642"/>
    <w:rsid w:val="009C7C86"/>
    <w:rsid w:val="009D2FF7"/>
    <w:rsid w:val="009E7884"/>
    <w:rsid w:val="009E788A"/>
    <w:rsid w:val="009F0E08"/>
    <w:rsid w:val="009F1339"/>
    <w:rsid w:val="00A1763D"/>
    <w:rsid w:val="00A17CEC"/>
    <w:rsid w:val="00A24BCF"/>
    <w:rsid w:val="00A27EF0"/>
    <w:rsid w:val="00A42361"/>
    <w:rsid w:val="00A4279F"/>
    <w:rsid w:val="00A50B20"/>
    <w:rsid w:val="00A51390"/>
    <w:rsid w:val="00A60D13"/>
    <w:rsid w:val="00A66051"/>
    <w:rsid w:val="00A7223D"/>
    <w:rsid w:val="00A72745"/>
    <w:rsid w:val="00A76EFC"/>
    <w:rsid w:val="00A87D50"/>
    <w:rsid w:val="00A91010"/>
    <w:rsid w:val="00A97F29"/>
    <w:rsid w:val="00AA257B"/>
    <w:rsid w:val="00AA702E"/>
    <w:rsid w:val="00AA7D26"/>
    <w:rsid w:val="00AB0964"/>
    <w:rsid w:val="00AB5011"/>
    <w:rsid w:val="00AC4321"/>
    <w:rsid w:val="00AC6897"/>
    <w:rsid w:val="00AC7368"/>
    <w:rsid w:val="00AD16B9"/>
    <w:rsid w:val="00AE377D"/>
    <w:rsid w:val="00AE4301"/>
    <w:rsid w:val="00AF0EBA"/>
    <w:rsid w:val="00AF42E3"/>
    <w:rsid w:val="00B02C8A"/>
    <w:rsid w:val="00B14D84"/>
    <w:rsid w:val="00B17FBD"/>
    <w:rsid w:val="00B315A6"/>
    <w:rsid w:val="00B31813"/>
    <w:rsid w:val="00B33365"/>
    <w:rsid w:val="00B45ECF"/>
    <w:rsid w:val="00B57B36"/>
    <w:rsid w:val="00B57E6F"/>
    <w:rsid w:val="00B6611A"/>
    <w:rsid w:val="00B75D8A"/>
    <w:rsid w:val="00B8686D"/>
    <w:rsid w:val="00B93F69"/>
    <w:rsid w:val="00BB1DDC"/>
    <w:rsid w:val="00BC30C9"/>
    <w:rsid w:val="00BD077D"/>
    <w:rsid w:val="00BE3E58"/>
    <w:rsid w:val="00C01616"/>
    <w:rsid w:val="00C0162B"/>
    <w:rsid w:val="00C068ED"/>
    <w:rsid w:val="00C22E0C"/>
    <w:rsid w:val="00C345B1"/>
    <w:rsid w:val="00C40142"/>
    <w:rsid w:val="00C422CC"/>
    <w:rsid w:val="00C42B73"/>
    <w:rsid w:val="00C52C3C"/>
    <w:rsid w:val="00C534B0"/>
    <w:rsid w:val="00C57182"/>
    <w:rsid w:val="00C57863"/>
    <w:rsid w:val="00C603F8"/>
    <w:rsid w:val="00C640AF"/>
    <w:rsid w:val="00C655FD"/>
    <w:rsid w:val="00C75407"/>
    <w:rsid w:val="00C870A8"/>
    <w:rsid w:val="00C94434"/>
    <w:rsid w:val="00C9548F"/>
    <w:rsid w:val="00C974F9"/>
    <w:rsid w:val="00CA0D75"/>
    <w:rsid w:val="00CA1C95"/>
    <w:rsid w:val="00CA5A9C"/>
    <w:rsid w:val="00CC4C20"/>
    <w:rsid w:val="00CD3517"/>
    <w:rsid w:val="00CD5FE2"/>
    <w:rsid w:val="00CE738F"/>
    <w:rsid w:val="00CE7C68"/>
    <w:rsid w:val="00D02B4C"/>
    <w:rsid w:val="00D040C4"/>
    <w:rsid w:val="00D20AD1"/>
    <w:rsid w:val="00D372BB"/>
    <w:rsid w:val="00D46B7E"/>
    <w:rsid w:val="00D51C57"/>
    <w:rsid w:val="00D57C84"/>
    <w:rsid w:val="00D6057D"/>
    <w:rsid w:val="00D71640"/>
    <w:rsid w:val="00D836C5"/>
    <w:rsid w:val="00D84576"/>
    <w:rsid w:val="00DA1399"/>
    <w:rsid w:val="00DA24C6"/>
    <w:rsid w:val="00DA4D7B"/>
    <w:rsid w:val="00DA51F7"/>
    <w:rsid w:val="00DA700A"/>
    <w:rsid w:val="00DB4892"/>
    <w:rsid w:val="00DD271C"/>
    <w:rsid w:val="00DE264A"/>
    <w:rsid w:val="00DE4392"/>
    <w:rsid w:val="00DF5072"/>
    <w:rsid w:val="00DF56CC"/>
    <w:rsid w:val="00E02D18"/>
    <w:rsid w:val="00E041E7"/>
    <w:rsid w:val="00E04DFE"/>
    <w:rsid w:val="00E1344B"/>
    <w:rsid w:val="00E23CA1"/>
    <w:rsid w:val="00E35F1E"/>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50DE"/>
    <w:rsid w:val="00ED06E4"/>
    <w:rsid w:val="00EE0131"/>
    <w:rsid w:val="00EE17B0"/>
    <w:rsid w:val="00EE5E95"/>
    <w:rsid w:val="00EF06D9"/>
    <w:rsid w:val="00F3049E"/>
    <w:rsid w:val="00F30C64"/>
    <w:rsid w:val="00F32BA2"/>
    <w:rsid w:val="00F32CDB"/>
    <w:rsid w:val="00F551F3"/>
    <w:rsid w:val="00F565FE"/>
    <w:rsid w:val="00F63A70"/>
    <w:rsid w:val="00F63D8C"/>
    <w:rsid w:val="00F7534E"/>
    <w:rsid w:val="00F777C2"/>
    <w:rsid w:val="00F84A7B"/>
    <w:rsid w:val="00F85368"/>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Stile4">
    <w:name w:val="Stile4"/>
    <w:basedOn w:val="Normale"/>
    <w:link w:val="Stile4Carattere"/>
    <w:qFormat/>
    <w:rsid w:val="00F777C2"/>
    <w:pPr>
      <w:tabs>
        <w:tab w:val="clear" w:pos="7100"/>
        <w:tab w:val="left" w:pos="425"/>
      </w:tabs>
      <w:spacing w:after="200" w:line="360" w:lineRule="auto"/>
      <w:ind w:firstLine="425"/>
    </w:pPr>
    <w:rPr>
      <w:rFonts w:ascii="Times New Roman" w:eastAsiaTheme="minorEastAsia" w:hAnsi="Times New Roman"/>
      <w:sz w:val="20"/>
      <w:szCs w:val="24"/>
      <w:lang w:bidi="en-US"/>
    </w:rPr>
  </w:style>
  <w:style w:type="character" w:customStyle="1" w:styleId="Stile4Carattere">
    <w:name w:val="Stile4 Carattere"/>
    <w:basedOn w:val="Carpredefinitoparagrafo"/>
    <w:link w:val="Stile4"/>
    <w:rsid w:val="00F777C2"/>
    <w:rPr>
      <w:rFonts w:ascii="Times New Roman" w:eastAsiaTheme="minorEastAsia" w:hAnsi="Times New Roman" w:cs="Times New Roman"/>
      <w:sz w:val="20"/>
      <w:szCs w:val="24"/>
      <w:lang w:val="en-GB" w:bidi="en-US"/>
    </w:rPr>
  </w:style>
  <w:style w:type="paragraph" w:styleId="Revisione">
    <w:name w:val="Revision"/>
    <w:hidden/>
    <w:uiPriority w:val="99"/>
    <w:semiHidden/>
    <w:rsid w:val="0080364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3879-6C3C-4861-896D-ABAB6D2B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9812</Words>
  <Characters>55935</Characters>
  <Application>Microsoft Office Word</Application>
  <DocSecurity>0</DocSecurity>
  <Lines>466</Lines>
  <Paragraphs>131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Claudia Amabile</cp:lastModifiedBy>
  <cp:revision>2</cp:revision>
  <cp:lastPrinted>2015-05-12T18:31:00Z</cp:lastPrinted>
  <dcterms:created xsi:type="dcterms:W3CDTF">2023-03-29T22:01:00Z</dcterms:created>
  <dcterms:modified xsi:type="dcterms:W3CDTF">2023-03-29T22:01:00Z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94ff78b2-1262-36cb-8649-3925b4fff616</vt:lpwstr>
  </property>
  <property fmtid="{D5CDD505-2E9C-101B-9397-08002B2CF9AE}" pid="6" name="Mendeley Citation Style_1">
    <vt:lpwstr>http://www.zotero.org/styles/elsevier-harvard</vt:lpwstr>
  </property>
  <property fmtid="{D5CDD505-2E9C-101B-9397-08002B2CF9AE}" pid="7" name="Mendeley Recent Style Id 0_1">
    <vt:lpwstr>http://www.zotero.org/styles/acs-sustainable-chemistry-and-engineering</vt:lpwstr>
  </property>
  <property fmtid="{D5CDD505-2E9C-101B-9397-08002B2CF9AE}" pid="8" name="Mendeley Recent Style Name 0_1">
    <vt:lpwstr>ACS Sustainable Chemistry &amp; Engineering</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http://www.zotero.org/styles/elsevier-harvard</vt:lpwstr>
  </property>
  <property fmtid="{D5CDD505-2E9C-101B-9397-08002B2CF9AE}" pid="18" name="Mendeley Recent Style Name 5_1">
    <vt:lpwstr>Elsevier - Harvard (with titles)</vt:lpwstr>
  </property>
  <property fmtid="{D5CDD505-2E9C-101B-9397-08002B2CF9AE}" pid="19" name="Mendeley Recent Style Id 6_1">
    <vt:lpwstr>http://www.zotero.org/styles/elsevier-harvard2</vt:lpwstr>
  </property>
  <property fmtid="{D5CDD505-2E9C-101B-9397-08002B2CF9AE}" pid="20" name="Mendeley Recent Style Name 6_1">
    <vt:lpwstr>Elsevier - Harvard 2</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http://www.zotero.org/styles/journal-of-cleaner-production</vt:lpwstr>
  </property>
  <property fmtid="{D5CDD505-2E9C-101B-9397-08002B2CF9AE}" pid="24" name="Mendeley Recent Style Name 8_1">
    <vt:lpwstr>Journal of Cleaner Production</vt:lpwstr>
  </property>
  <property fmtid="{D5CDD505-2E9C-101B-9397-08002B2CF9AE}" pid="25" name="Mendeley Recent Style Id 9_1">
    <vt:lpwstr>http://www.zotero.org/styles/modern-humanities-research-association</vt:lpwstr>
  </property>
  <property fmtid="{D5CDD505-2E9C-101B-9397-08002B2CF9AE}" pid="26" name="Mendeley Recent Style Name 9_1">
    <vt:lpwstr>Modern Humanities Research Association 3rd edition (note with bibliography)</vt:lpwstr>
  </property>
</Properties>
</file>