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53FD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53FD1" w:rsidRDefault="000A03B2" w:rsidP="00DE264A">
            <w:pPr>
              <w:tabs>
                <w:tab w:val="left" w:pos="-108"/>
              </w:tabs>
              <w:ind w:left="-108"/>
              <w:jc w:val="left"/>
              <w:rPr>
                <w:rFonts w:cs="Arial"/>
                <w:b/>
                <w:bCs/>
                <w:i/>
                <w:iCs/>
                <w:color w:val="000066"/>
                <w:sz w:val="12"/>
                <w:szCs w:val="12"/>
                <w:lang w:val="en-US" w:eastAsia="it-IT"/>
              </w:rPr>
            </w:pPr>
            <w:r w:rsidRPr="00A53FD1">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53FD1">
              <w:rPr>
                <w:rFonts w:ascii="AdvP6960" w:hAnsi="AdvP6960" w:cs="AdvP6960"/>
                <w:color w:val="241F20"/>
                <w:szCs w:val="18"/>
                <w:lang w:val="en-US" w:eastAsia="it-IT"/>
              </w:rPr>
              <w:t xml:space="preserve"> </w:t>
            </w:r>
            <w:r w:rsidRPr="00A53FD1">
              <w:rPr>
                <w:rFonts w:cs="Arial"/>
                <w:b/>
                <w:bCs/>
                <w:i/>
                <w:iCs/>
                <w:color w:val="000066"/>
                <w:sz w:val="24"/>
                <w:szCs w:val="24"/>
                <w:lang w:val="en-US" w:eastAsia="it-IT"/>
              </w:rPr>
              <w:t>CHEMICAL ENGINEERING</w:t>
            </w:r>
            <w:r w:rsidRPr="00A53FD1">
              <w:rPr>
                <w:rFonts w:cs="Arial"/>
                <w:b/>
                <w:bCs/>
                <w:i/>
                <w:iCs/>
                <w:color w:val="0033FF"/>
                <w:sz w:val="24"/>
                <w:szCs w:val="24"/>
                <w:lang w:val="en-US" w:eastAsia="it-IT"/>
              </w:rPr>
              <w:t xml:space="preserve"> </w:t>
            </w:r>
            <w:r w:rsidRPr="00A53FD1">
              <w:rPr>
                <w:rFonts w:cs="Arial"/>
                <w:b/>
                <w:bCs/>
                <w:i/>
                <w:iCs/>
                <w:color w:val="666666"/>
                <w:sz w:val="24"/>
                <w:szCs w:val="24"/>
                <w:lang w:val="en-US" w:eastAsia="it-IT"/>
              </w:rPr>
              <w:t>TRANSACTIONS</w:t>
            </w:r>
            <w:r w:rsidRPr="00A53FD1">
              <w:rPr>
                <w:color w:val="333333"/>
                <w:sz w:val="24"/>
                <w:szCs w:val="24"/>
                <w:lang w:val="en-US" w:eastAsia="it-IT"/>
              </w:rPr>
              <w:t xml:space="preserve"> </w:t>
            </w:r>
            <w:r w:rsidRPr="00A53FD1">
              <w:rPr>
                <w:rFonts w:cs="Arial"/>
                <w:b/>
                <w:bCs/>
                <w:i/>
                <w:iCs/>
                <w:color w:val="000066"/>
                <w:sz w:val="27"/>
                <w:szCs w:val="27"/>
                <w:lang w:val="en-US" w:eastAsia="it-IT"/>
              </w:rPr>
              <w:br/>
            </w:r>
          </w:p>
          <w:p w14:paraId="4B780582" w14:textId="530285EB" w:rsidR="000A03B2" w:rsidRPr="00A53FD1" w:rsidRDefault="00A76EFC" w:rsidP="001D21AF">
            <w:pPr>
              <w:tabs>
                <w:tab w:val="left" w:pos="-108"/>
              </w:tabs>
              <w:ind w:left="-108"/>
              <w:rPr>
                <w:rFonts w:cs="Arial"/>
                <w:b/>
                <w:bCs/>
                <w:i/>
                <w:iCs/>
                <w:color w:val="000066"/>
                <w:sz w:val="22"/>
                <w:szCs w:val="22"/>
                <w:lang w:val="en-US" w:eastAsia="it-IT"/>
              </w:rPr>
            </w:pPr>
            <w:r w:rsidRPr="00A53FD1">
              <w:rPr>
                <w:rFonts w:cs="Arial"/>
                <w:b/>
                <w:bCs/>
                <w:i/>
                <w:iCs/>
                <w:color w:val="000066"/>
                <w:sz w:val="22"/>
                <w:szCs w:val="22"/>
                <w:lang w:val="en-US" w:eastAsia="it-IT"/>
              </w:rPr>
              <w:t xml:space="preserve">VOL. </w:t>
            </w:r>
            <w:r w:rsidR="0030152C" w:rsidRPr="00A53FD1">
              <w:rPr>
                <w:rFonts w:cs="Arial"/>
                <w:b/>
                <w:bCs/>
                <w:i/>
                <w:iCs/>
                <w:color w:val="000066"/>
                <w:sz w:val="22"/>
                <w:szCs w:val="22"/>
                <w:lang w:val="en-US" w:eastAsia="it-IT"/>
              </w:rPr>
              <w:t xml:space="preserve"> </w:t>
            </w:r>
            <w:proofErr w:type="gramStart"/>
            <w:r w:rsidR="0030152C" w:rsidRPr="00A53FD1">
              <w:rPr>
                <w:rFonts w:cs="Arial"/>
                <w:b/>
                <w:bCs/>
                <w:i/>
                <w:iCs/>
                <w:color w:val="000066"/>
                <w:sz w:val="22"/>
                <w:szCs w:val="22"/>
                <w:lang w:val="en-US" w:eastAsia="it-IT"/>
              </w:rPr>
              <w:t xml:space="preserve">  </w:t>
            </w:r>
            <w:r w:rsidR="007B48F9" w:rsidRPr="00A53FD1">
              <w:rPr>
                <w:rFonts w:cs="Arial"/>
                <w:b/>
                <w:bCs/>
                <w:i/>
                <w:iCs/>
                <w:color w:val="000066"/>
                <w:sz w:val="22"/>
                <w:szCs w:val="22"/>
                <w:lang w:val="en-US" w:eastAsia="it-IT"/>
              </w:rPr>
              <w:t>,</w:t>
            </w:r>
            <w:proofErr w:type="gramEnd"/>
            <w:r w:rsidR="00FA5F5F" w:rsidRPr="00A53FD1">
              <w:rPr>
                <w:rFonts w:cs="Arial"/>
                <w:b/>
                <w:bCs/>
                <w:i/>
                <w:iCs/>
                <w:color w:val="000066"/>
                <w:sz w:val="22"/>
                <w:szCs w:val="22"/>
                <w:lang w:val="en-US" w:eastAsia="it-IT"/>
              </w:rPr>
              <w:t xml:space="preserve"> </w:t>
            </w:r>
            <w:r w:rsidR="0030152C" w:rsidRPr="00A53FD1">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A53FD1" w:rsidRDefault="000A03B2" w:rsidP="00CD5FE2">
            <w:pPr>
              <w:spacing w:line="140" w:lineRule="atLeast"/>
              <w:jc w:val="right"/>
              <w:rPr>
                <w:rFonts w:cs="Arial"/>
                <w:sz w:val="14"/>
                <w:szCs w:val="14"/>
                <w:lang w:val="en-US"/>
              </w:rPr>
            </w:pPr>
            <w:r w:rsidRPr="00A53FD1">
              <w:rPr>
                <w:rFonts w:cs="Arial"/>
                <w:sz w:val="14"/>
                <w:szCs w:val="14"/>
                <w:lang w:val="en-US"/>
              </w:rPr>
              <w:t>A publication of</w:t>
            </w:r>
          </w:p>
          <w:p w14:paraId="599E5441" w14:textId="77777777" w:rsidR="000A03B2" w:rsidRPr="00A53FD1" w:rsidRDefault="000A03B2" w:rsidP="00CD5FE2">
            <w:pPr>
              <w:jc w:val="right"/>
              <w:rPr>
                <w:lang w:val="en-US"/>
              </w:rPr>
            </w:pPr>
            <w:r w:rsidRPr="00A53FD1">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53FD1" w14:paraId="380FA3CD" w14:textId="77777777" w:rsidTr="00DE264A">
        <w:trPr>
          <w:trHeight w:val="567"/>
          <w:jc w:val="center"/>
        </w:trPr>
        <w:tc>
          <w:tcPr>
            <w:tcW w:w="6946" w:type="dxa"/>
            <w:vMerge/>
            <w:tcBorders>
              <w:right w:val="single" w:sz="4" w:space="0" w:color="auto"/>
            </w:tcBorders>
          </w:tcPr>
          <w:p w14:paraId="39E5E4C1" w14:textId="77777777" w:rsidR="000A03B2" w:rsidRPr="00A53FD1"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A53FD1" w:rsidRDefault="000A03B2" w:rsidP="00CD5FE2">
            <w:pPr>
              <w:spacing w:line="140" w:lineRule="atLeast"/>
              <w:jc w:val="right"/>
              <w:rPr>
                <w:rFonts w:cs="Arial"/>
                <w:sz w:val="14"/>
                <w:szCs w:val="14"/>
                <w:lang w:val="en-US"/>
              </w:rPr>
            </w:pPr>
            <w:r w:rsidRPr="00A53FD1">
              <w:rPr>
                <w:rFonts w:cs="Arial"/>
                <w:sz w:val="14"/>
                <w:szCs w:val="14"/>
                <w:lang w:val="en-US"/>
              </w:rPr>
              <w:t>The Italian Association</w:t>
            </w:r>
          </w:p>
          <w:p w14:paraId="7522B1D2" w14:textId="77777777" w:rsidR="000A03B2" w:rsidRPr="00A53FD1" w:rsidRDefault="000A03B2" w:rsidP="00CD5FE2">
            <w:pPr>
              <w:spacing w:line="140" w:lineRule="atLeast"/>
              <w:jc w:val="right"/>
              <w:rPr>
                <w:rFonts w:cs="Arial"/>
                <w:sz w:val="14"/>
                <w:szCs w:val="14"/>
                <w:lang w:val="en-US"/>
              </w:rPr>
            </w:pPr>
            <w:r w:rsidRPr="00A53FD1">
              <w:rPr>
                <w:rFonts w:cs="Arial"/>
                <w:sz w:val="14"/>
                <w:szCs w:val="14"/>
                <w:lang w:val="en-US"/>
              </w:rPr>
              <w:t>of Chemical Engineering</w:t>
            </w:r>
          </w:p>
          <w:p w14:paraId="4F0CC5DE" w14:textId="47FDB2FC" w:rsidR="000A03B2" w:rsidRPr="00A53FD1" w:rsidRDefault="000D0268" w:rsidP="00CD5FE2">
            <w:pPr>
              <w:spacing w:line="140" w:lineRule="atLeast"/>
              <w:jc w:val="right"/>
              <w:rPr>
                <w:rFonts w:cs="Arial"/>
                <w:sz w:val="13"/>
                <w:szCs w:val="13"/>
                <w:lang w:val="en-US"/>
              </w:rPr>
            </w:pPr>
            <w:r w:rsidRPr="00A53FD1">
              <w:rPr>
                <w:rFonts w:cs="Arial"/>
                <w:sz w:val="13"/>
                <w:szCs w:val="13"/>
                <w:lang w:val="en-US"/>
              </w:rPr>
              <w:t>Online at www.cetjournal.it</w:t>
            </w:r>
          </w:p>
        </w:tc>
      </w:tr>
      <w:tr w:rsidR="000A03B2" w:rsidRPr="00A53FD1" w14:paraId="2D1B7169" w14:textId="77777777" w:rsidTr="00DE264A">
        <w:trPr>
          <w:trHeight w:val="68"/>
          <w:jc w:val="center"/>
        </w:trPr>
        <w:tc>
          <w:tcPr>
            <w:tcW w:w="8789" w:type="dxa"/>
            <w:gridSpan w:val="2"/>
          </w:tcPr>
          <w:p w14:paraId="1D8DD3C9" w14:textId="77777777" w:rsidR="00AA7D26" w:rsidRPr="00A53FD1" w:rsidRDefault="00AA7D26" w:rsidP="00AA7D26">
            <w:pPr>
              <w:ind w:left="-107"/>
              <w:outlineLvl w:val="2"/>
              <w:rPr>
                <w:rFonts w:ascii="Tahoma" w:hAnsi="Tahoma" w:cs="Tahoma"/>
                <w:bCs/>
                <w:color w:val="000000"/>
                <w:sz w:val="14"/>
                <w:szCs w:val="14"/>
                <w:lang w:val="en-US" w:eastAsia="it-IT"/>
              </w:rPr>
            </w:pPr>
            <w:r w:rsidRPr="00A53FD1">
              <w:rPr>
                <w:rFonts w:ascii="Tahoma" w:hAnsi="Tahoma" w:cs="Tahoma"/>
                <w:iCs/>
                <w:color w:val="333333"/>
                <w:sz w:val="14"/>
                <w:szCs w:val="14"/>
                <w:lang w:val="en-US" w:eastAsia="it-IT"/>
              </w:rPr>
              <w:t>Guest Editors:</w:t>
            </w:r>
            <w:r w:rsidRPr="00A53FD1">
              <w:rPr>
                <w:rFonts w:ascii="Tahoma" w:hAnsi="Tahoma" w:cs="Tahoma"/>
                <w:color w:val="000000"/>
                <w:sz w:val="14"/>
                <w:szCs w:val="14"/>
                <w:shd w:val="clear" w:color="auto" w:fill="FFFFFF"/>
                <w:lang w:val="en-US"/>
              </w:rPr>
              <w:t xml:space="preserve"> </w:t>
            </w:r>
            <w:proofErr w:type="spellStart"/>
            <w:r w:rsidRPr="00A53FD1">
              <w:rPr>
                <w:rFonts w:ascii="Tahoma" w:hAnsi="Tahoma" w:cs="Tahoma"/>
                <w:sz w:val="14"/>
                <w:szCs w:val="14"/>
                <w:lang w:val="en-US"/>
              </w:rPr>
              <w:t>Sauro</w:t>
            </w:r>
            <w:proofErr w:type="spellEnd"/>
            <w:r w:rsidRPr="00A53FD1">
              <w:rPr>
                <w:rFonts w:ascii="Tahoma" w:hAnsi="Tahoma" w:cs="Tahoma"/>
                <w:sz w:val="14"/>
                <w:szCs w:val="14"/>
                <w:lang w:val="en-US"/>
              </w:rPr>
              <w:t xml:space="preserve"> </w:t>
            </w:r>
            <w:proofErr w:type="spellStart"/>
            <w:r w:rsidRPr="00A53FD1">
              <w:rPr>
                <w:rFonts w:ascii="Tahoma" w:hAnsi="Tahoma" w:cs="Tahoma"/>
                <w:sz w:val="14"/>
                <w:szCs w:val="14"/>
                <w:lang w:val="en-US"/>
              </w:rPr>
              <w:t>Pierucci</w:t>
            </w:r>
            <w:proofErr w:type="spellEnd"/>
            <w:r w:rsidRPr="00A53FD1">
              <w:rPr>
                <w:rFonts w:ascii="Tahoma" w:hAnsi="Tahoma" w:cs="Tahoma"/>
                <w:sz w:val="14"/>
                <w:szCs w:val="14"/>
                <w:lang w:val="en-US"/>
              </w:rPr>
              <w:t xml:space="preserve">, </w:t>
            </w:r>
            <w:proofErr w:type="spellStart"/>
            <w:r w:rsidRPr="00A53FD1">
              <w:rPr>
                <w:rFonts w:ascii="Tahoma" w:hAnsi="Tahoma" w:cs="Tahoma"/>
                <w:sz w:val="14"/>
                <w:szCs w:val="14"/>
                <w:shd w:val="clear" w:color="auto" w:fill="FFFFFF"/>
                <w:lang w:val="en-US"/>
              </w:rPr>
              <w:t>Jiří</w:t>
            </w:r>
            <w:proofErr w:type="spellEnd"/>
            <w:r w:rsidRPr="00A53FD1">
              <w:rPr>
                <w:rFonts w:ascii="Tahoma" w:hAnsi="Tahoma" w:cs="Tahoma"/>
                <w:sz w:val="14"/>
                <w:szCs w:val="14"/>
                <w:shd w:val="clear" w:color="auto" w:fill="FFFFFF"/>
                <w:lang w:val="en-US"/>
              </w:rPr>
              <w:t xml:space="preserve"> Jaromír </w:t>
            </w:r>
            <w:proofErr w:type="spellStart"/>
            <w:r w:rsidRPr="00A53FD1">
              <w:rPr>
                <w:rFonts w:ascii="Tahoma" w:hAnsi="Tahoma" w:cs="Tahoma"/>
                <w:sz w:val="14"/>
                <w:szCs w:val="14"/>
                <w:shd w:val="clear" w:color="auto" w:fill="FFFFFF"/>
                <w:lang w:val="en-US"/>
              </w:rPr>
              <w:t>Klemeš</w:t>
            </w:r>
            <w:proofErr w:type="spellEnd"/>
          </w:p>
          <w:p w14:paraId="1B0F1814" w14:textId="650290B9" w:rsidR="000A03B2" w:rsidRPr="00A53FD1" w:rsidRDefault="00AA7D26" w:rsidP="00AA7D26">
            <w:pPr>
              <w:tabs>
                <w:tab w:val="left" w:pos="-108"/>
              </w:tabs>
              <w:spacing w:line="140" w:lineRule="atLeast"/>
              <w:ind w:left="-107"/>
              <w:jc w:val="left"/>
              <w:rPr>
                <w:lang w:val="en-US"/>
              </w:rPr>
            </w:pPr>
            <w:r w:rsidRPr="00A53FD1">
              <w:rPr>
                <w:rFonts w:ascii="Tahoma" w:hAnsi="Tahoma" w:cs="Tahoma"/>
                <w:iCs/>
                <w:color w:val="333333"/>
                <w:sz w:val="14"/>
                <w:szCs w:val="14"/>
                <w:lang w:val="en-US" w:eastAsia="it-IT"/>
              </w:rPr>
              <w:t xml:space="preserve">Copyright © 2023, AIDIC </w:t>
            </w:r>
            <w:proofErr w:type="spellStart"/>
            <w:r w:rsidRPr="00A53FD1">
              <w:rPr>
                <w:rFonts w:ascii="Tahoma" w:hAnsi="Tahoma" w:cs="Tahoma"/>
                <w:iCs/>
                <w:color w:val="333333"/>
                <w:sz w:val="14"/>
                <w:szCs w:val="14"/>
                <w:lang w:val="en-US" w:eastAsia="it-IT"/>
              </w:rPr>
              <w:t>Servizi</w:t>
            </w:r>
            <w:proofErr w:type="spellEnd"/>
            <w:r w:rsidRPr="00A53FD1">
              <w:rPr>
                <w:rFonts w:ascii="Tahoma" w:hAnsi="Tahoma" w:cs="Tahoma"/>
                <w:iCs/>
                <w:color w:val="333333"/>
                <w:sz w:val="14"/>
                <w:szCs w:val="14"/>
                <w:lang w:val="en-US" w:eastAsia="it-IT"/>
              </w:rPr>
              <w:t xml:space="preserve"> </w:t>
            </w:r>
            <w:proofErr w:type="spellStart"/>
            <w:r w:rsidRPr="00A53FD1">
              <w:rPr>
                <w:rFonts w:ascii="Tahoma" w:hAnsi="Tahoma" w:cs="Tahoma"/>
                <w:iCs/>
                <w:color w:val="333333"/>
                <w:sz w:val="14"/>
                <w:szCs w:val="14"/>
                <w:lang w:val="en-US" w:eastAsia="it-IT"/>
              </w:rPr>
              <w:t>S.r.l</w:t>
            </w:r>
            <w:proofErr w:type="spellEnd"/>
            <w:r w:rsidRPr="00A53FD1">
              <w:rPr>
                <w:rFonts w:ascii="Tahoma" w:hAnsi="Tahoma" w:cs="Tahoma"/>
                <w:iCs/>
                <w:color w:val="333333"/>
                <w:sz w:val="14"/>
                <w:szCs w:val="14"/>
                <w:lang w:val="en-US" w:eastAsia="it-IT"/>
              </w:rPr>
              <w:t>.</w:t>
            </w:r>
            <w:r w:rsidRPr="00A53FD1">
              <w:rPr>
                <w:rFonts w:ascii="Tahoma" w:hAnsi="Tahoma" w:cs="Tahoma"/>
                <w:iCs/>
                <w:color w:val="333333"/>
                <w:sz w:val="14"/>
                <w:szCs w:val="14"/>
                <w:lang w:val="en-US" w:eastAsia="it-IT"/>
              </w:rPr>
              <w:br/>
            </w:r>
            <w:r w:rsidRPr="00A53FD1">
              <w:rPr>
                <w:rFonts w:ascii="Tahoma" w:hAnsi="Tahoma" w:cs="Tahoma"/>
                <w:b/>
                <w:iCs/>
                <w:color w:val="000000"/>
                <w:sz w:val="14"/>
                <w:szCs w:val="14"/>
                <w:lang w:val="en-US" w:eastAsia="it-IT"/>
              </w:rPr>
              <w:t>ISBN</w:t>
            </w:r>
            <w:r w:rsidRPr="00A53FD1">
              <w:rPr>
                <w:rFonts w:ascii="Tahoma" w:hAnsi="Tahoma" w:cs="Tahoma"/>
                <w:iCs/>
                <w:color w:val="000000"/>
                <w:sz w:val="14"/>
                <w:szCs w:val="14"/>
                <w:lang w:val="en-US" w:eastAsia="it-IT"/>
              </w:rPr>
              <w:t xml:space="preserve"> </w:t>
            </w:r>
            <w:r w:rsidRPr="00A53FD1">
              <w:rPr>
                <w:rFonts w:ascii="Tahoma" w:hAnsi="Tahoma" w:cs="Tahoma"/>
                <w:sz w:val="14"/>
                <w:szCs w:val="14"/>
                <w:lang w:val="en-US"/>
              </w:rPr>
              <w:t>978-88-95608-98-3</w:t>
            </w:r>
            <w:r w:rsidRPr="00A53FD1">
              <w:rPr>
                <w:rFonts w:ascii="Tahoma" w:hAnsi="Tahoma" w:cs="Tahoma"/>
                <w:iCs/>
                <w:color w:val="333333"/>
                <w:sz w:val="14"/>
                <w:szCs w:val="14"/>
                <w:lang w:val="en-US" w:eastAsia="it-IT"/>
              </w:rPr>
              <w:t xml:space="preserve">; </w:t>
            </w:r>
            <w:r w:rsidRPr="00A53FD1">
              <w:rPr>
                <w:rFonts w:ascii="Tahoma" w:hAnsi="Tahoma" w:cs="Tahoma"/>
                <w:b/>
                <w:iCs/>
                <w:color w:val="333333"/>
                <w:sz w:val="14"/>
                <w:szCs w:val="14"/>
                <w:lang w:val="en-US" w:eastAsia="it-IT"/>
              </w:rPr>
              <w:t>ISSN</w:t>
            </w:r>
            <w:r w:rsidRPr="00A53FD1">
              <w:rPr>
                <w:rFonts w:ascii="Tahoma" w:hAnsi="Tahoma" w:cs="Tahoma"/>
                <w:iCs/>
                <w:color w:val="333333"/>
                <w:sz w:val="14"/>
                <w:szCs w:val="14"/>
                <w:lang w:val="en-US" w:eastAsia="it-IT"/>
              </w:rPr>
              <w:t xml:space="preserve"> 2283-9216</w:t>
            </w:r>
          </w:p>
        </w:tc>
      </w:tr>
    </w:tbl>
    <w:p w14:paraId="2E667253" w14:textId="10BA496C" w:rsidR="00E978D0" w:rsidRPr="00A53FD1" w:rsidRDefault="00313D12" w:rsidP="00E978D0">
      <w:pPr>
        <w:pStyle w:val="CETTitle"/>
        <w:rPr>
          <w:lang w:val="en-US"/>
        </w:rPr>
      </w:pPr>
      <w:r w:rsidRPr="00A53FD1">
        <w:rPr>
          <w:lang w:val="en-US"/>
        </w:rPr>
        <w:t>In</w:t>
      </w:r>
      <w:r w:rsidRPr="00A53FD1">
        <w:rPr>
          <w:vertAlign w:val="subscript"/>
          <w:lang w:val="en-US"/>
        </w:rPr>
        <w:t>2</w:t>
      </w:r>
      <w:r w:rsidRPr="00A53FD1">
        <w:rPr>
          <w:lang w:val="en-US"/>
        </w:rPr>
        <w:t>O</w:t>
      </w:r>
      <w:r w:rsidRPr="00A53FD1">
        <w:rPr>
          <w:vertAlign w:val="subscript"/>
          <w:lang w:val="en-US"/>
        </w:rPr>
        <w:t>3</w:t>
      </w:r>
      <w:r w:rsidRPr="00A53FD1">
        <w:rPr>
          <w:lang w:val="en-US"/>
        </w:rPr>
        <w:t>-ZrO</w:t>
      </w:r>
      <w:r w:rsidRPr="00A53FD1">
        <w:rPr>
          <w:vertAlign w:val="subscript"/>
          <w:lang w:val="en-US"/>
        </w:rPr>
        <w:t>2</w:t>
      </w:r>
      <w:r w:rsidR="00047F69" w:rsidRPr="00A53FD1">
        <w:rPr>
          <w:lang w:val="en-US"/>
        </w:rPr>
        <w:t xml:space="preserve"> </w:t>
      </w:r>
      <w:r w:rsidR="004F6708" w:rsidRPr="00A53FD1">
        <w:rPr>
          <w:lang w:val="en-US"/>
        </w:rPr>
        <w:t xml:space="preserve">as Alternative to Cu-based Catalysts </w:t>
      </w:r>
      <w:r w:rsidR="00047F69" w:rsidRPr="00A53FD1">
        <w:rPr>
          <w:lang w:val="en-US"/>
        </w:rPr>
        <w:t xml:space="preserve">for Methanol </w:t>
      </w:r>
      <w:r w:rsidR="00DF586D">
        <w:rPr>
          <w:lang w:val="en-US"/>
        </w:rPr>
        <w:t>Production Step i</w:t>
      </w:r>
      <w:r w:rsidR="00FA1E56">
        <w:rPr>
          <w:lang w:val="en-US"/>
        </w:rPr>
        <w:t>n</w:t>
      </w:r>
      <w:r w:rsidR="00047F69" w:rsidRPr="00A53FD1">
        <w:rPr>
          <w:lang w:val="en-US"/>
        </w:rPr>
        <w:t xml:space="preserve"> the CO</w:t>
      </w:r>
      <w:r w:rsidR="00047F69" w:rsidRPr="00A53FD1">
        <w:rPr>
          <w:vertAlign w:val="subscript"/>
          <w:lang w:val="en-US"/>
        </w:rPr>
        <w:t>2</w:t>
      </w:r>
      <w:r w:rsidR="00047F69" w:rsidRPr="00A53FD1">
        <w:rPr>
          <w:lang w:val="en-US"/>
        </w:rPr>
        <w:t xml:space="preserve"> to Hydrocarbon Process</w:t>
      </w:r>
    </w:p>
    <w:p w14:paraId="0488FED2" w14:textId="331B751C" w:rsidR="00B57E6F" w:rsidRPr="00A53FD1" w:rsidRDefault="00047F69" w:rsidP="00B57E6F">
      <w:pPr>
        <w:pStyle w:val="CETAuthors"/>
        <w:rPr>
          <w:lang w:val="es-ES"/>
        </w:rPr>
      </w:pPr>
      <w:r w:rsidRPr="00A53FD1">
        <w:rPr>
          <w:lang w:val="es-ES"/>
        </w:rPr>
        <w:t>Onintze Parra*, Ander Portillo</w:t>
      </w:r>
      <w:r w:rsidR="008A336A">
        <w:rPr>
          <w:lang w:val="es-ES"/>
        </w:rPr>
        <w:t>,</w:t>
      </w:r>
      <w:r w:rsidRPr="00A53FD1">
        <w:rPr>
          <w:lang w:val="es-ES"/>
        </w:rPr>
        <w:t xml:space="preserve"> </w:t>
      </w:r>
      <w:r w:rsidR="00822A70">
        <w:rPr>
          <w:lang w:val="es-ES"/>
        </w:rPr>
        <w:t>Javier Ereña</w:t>
      </w:r>
      <w:r w:rsidR="002D6748">
        <w:rPr>
          <w:lang w:val="es-ES"/>
        </w:rPr>
        <w:t>,</w:t>
      </w:r>
      <w:r w:rsidR="008A336A" w:rsidRPr="00A53FD1">
        <w:rPr>
          <w:lang w:val="es-ES"/>
        </w:rPr>
        <w:t xml:space="preserve"> </w:t>
      </w:r>
      <w:r w:rsidRPr="00A53FD1">
        <w:rPr>
          <w:lang w:val="es-ES"/>
        </w:rPr>
        <w:t>Ainara Ateka</w:t>
      </w:r>
      <w:r w:rsidR="003C6D4C">
        <w:rPr>
          <w:lang w:val="es-ES"/>
        </w:rPr>
        <w:t>, Javier Bilbao</w:t>
      </w:r>
    </w:p>
    <w:p w14:paraId="6B2D21B3" w14:textId="0257A38D" w:rsidR="00B57E6F" w:rsidRPr="00A53FD1" w:rsidRDefault="00047F69" w:rsidP="00B57E6F">
      <w:pPr>
        <w:pStyle w:val="CETAddress"/>
        <w:rPr>
          <w:lang w:val="en-US"/>
        </w:rPr>
      </w:pPr>
      <w:r w:rsidRPr="00A53FD1">
        <w:rPr>
          <w:lang w:val="en-US"/>
        </w:rPr>
        <w:t>Department of Chemical Engineering, University of the Basque Country, UPV/EHU, P.O. Box 644, 48080 Bilbao, Spain</w:t>
      </w:r>
    </w:p>
    <w:p w14:paraId="73F1267A" w14:textId="6250A43A" w:rsidR="00B57E6F" w:rsidRPr="00A53FD1" w:rsidRDefault="00D46A1C" w:rsidP="00047F69">
      <w:pPr>
        <w:pStyle w:val="CETemail"/>
        <w:rPr>
          <w:lang w:val="en-US"/>
        </w:rPr>
      </w:pPr>
      <w:hyperlink r:id="rId13" w:history="1">
        <w:r w:rsidR="00047F69" w:rsidRPr="00A53FD1">
          <w:rPr>
            <w:rStyle w:val="Hipervnculo"/>
            <w:color w:val="auto"/>
            <w:u w:val="none"/>
            <w:lang w:val="en-US"/>
          </w:rPr>
          <w:t>onintze.parra@ehu.eus</w:t>
        </w:r>
      </w:hyperlink>
      <w:r w:rsidR="00047F69" w:rsidRPr="00A53FD1">
        <w:rPr>
          <w:lang w:val="en-US"/>
        </w:rPr>
        <w:t xml:space="preserve"> </w:t>
      </w:r>
    </w:p>
    <w:p w14:paraId="7E17A46A" w14:textId="0C234E9B" w:rsidR="006C31B1" w:rsidRDefault="006C31B1" w:rsidP="006C31B1">
      <w:pPr>
        <w:pStyle w:val="CETBodytext"/>
      </w:pPr>
      <w:proofErr w:type="gramStart"/>
      <w:r>
        <w:t>As a consequence of</w:t>
      </w:r>
      <w:proofErr w:type="gramEnd"/>
      <w:r>
        <w:t xml:space="preserve"> the increasing greenhouse gas emissions, CO</w:t>
      </w:r>
      <w:r w:rsidRPr="006C31B1">
        <w:rPr>
          <w:vertAlign w:val="subscript"/>
        </w:rPr>
        <w:t>2</w:t>
      </w:r>
      <w:r>
        <w:t xml:space="preserve"> </w:t>
      </w:r>
      <w:r w:rsidR="00FA1E56">
        <w:t>valorization</w:t>
      </w:r>
      <w:r>
        <w:t xml:space="preserve"> processes are gaining importance in the last decades. Amongst th</w:t>
      </w:r>
      <w:r w:rsidR="00822A70">
        <w:t xml:space="preserve">e most attractive processes for </w:t>
      </w:r>
      <w:r>
        <w:t>CO</w:t>
      </w:r>
      <w:r w:rsidRPr="006C31B1">
        <w:rPr>
          <w:vertAlign w:val="subscript"/>
        </w:rPr>
        <w:t>2</w:t>
      </w:r>
      <w:r w:rsidR="00822A70">
        <w:t xml:space="preserve"> utilization</w:t>
      </w:r>
      <w:r>
        <w:t xml:space="preserve">, its conversion into hydrocarbons </w:t>
      </w:r>
      <w:r w:rsidR="000506EC">
        <w:t>stands out</w:t>
      </w:r>
      <w:r>
        <w:t xml:space="preserve">, in particular </w:t>
      </w:r>
      <w:r w:rsidR="00FA1E56">
        <w:t xml:space="preserve">by means of catalytic processes </w:t>
      </w:r>
      <w:r>
        <w:t>with syngas co-feeding. With this purpose, an In</w:t>
      </w:r>
      <w:r w:rsidRPr="006C31B1">
        <w:rPr>
          <w:vertAlign w:val="subscript"/>
        </w:rPr>
        <w:t>2</w:t>
      </w:r>
      <w:r>
        <w:t>O</w:t>
      </w:r>
      <w:r w:rsidRPr="006C31B1">
        <w:rPr>
          <w:vertAlign w:val="subscript"/>
        </w:rPr>
        <w:t>3</w:t>
      </w:r>
      <w:r>
        <w:t>-ZrO</w:t>
      </w:r>
      <w:r w:rsidRPr="006C31B1">
        <w:rPr>
          <w:vertAlign w:val="subscript"/>
        </w:rPr>
        <w:t>2</w:t>
      </w:r>
      <w:r w:rsidR="008F3E30">
        <w:t xml:space="preserve"> (</w:t>
      </w:r>
      <w:proofErr w:type="spellStart"/>
      <w:r w:rsidR="008F3E30">
        <w:t>InZr</w:t>
      </w:r>
      <w:proofErr w:type="spellEnd"/>
      <w:r w:rsidR="008F3E30">
        <w:t>)</w:t>
      </w:r>
      <w:r>
        <w:t xml:space="preserve"> catalyst alternative to the traditional Cu-ZnO-ZrO</w:t>
      </w:r>
      <w:r w:rsidRPr="006C31B1">
        <w:rPr>
          <w:vertAlign w:val="subscript"/>
        </w:rPr>
        <w:t>2</w:t>
      </w:r>
      <w:r w:rsidR="008F3E30">
        <w:t xml:space="preserve"> (</w:t>
      </w:r>
      <w:proofErr w:type="spellStart"/>
      <w:r w:rsidR="008F3E30">
        <w:t>CuZnZr</w:t>
      </w:r>
      <w:proofErr w:type="spellEnd"/>
      <w:r w:rsidR="008F3E30">
        <w:t>)</w:t>
      </w:r>
      <w:r>
        <w:t xml:space="preserve"> for methanol synthesis (as the first stage of the direct synthesis of </w:t>
      </w:r>
      <w:r w:rsidR="00A43ED4">
        <w:t>hydrocarbons</w:t>
      </w:r>
      <w:r>
        <w:t xml:space="preserve"> from CO</w:t>
      </w:r>
      <w:r w:rsidRPr="006C31B1">
        <w:rPr>
          <w:vertAlign w:val="subscript"/>
        </w:rPr>
        <w:t>2</w:t>
      </w:r>
      <w:r>
        <w:t xml:space="preserve">/CO hydrogenation) was assessed. Afterwards, both catalysts were tested in tandem with HZM-5 zeolite </w:t>
      </w:r>
      <w:proofErr w:type="gramStart"/>
      <w:r>
        <w:t>for the production of</w:t>
      </w:r>
      <w:proofErr w:type="gramEnd"/>
      <w:r>
        <w:t xml:space="preserve"> </w:t>
      </w:r>
      <w:r w:rsidR="00FA1E56">
        <w:t>fuel</w:t>
      </w:r>
      <w:r>
        <w:t>-range hydrocarbons.</w:t>
      </w:r>
      <w:r w:rsidR="008F3E30">
        <w:t xml:space="preserve"> The catalysts were characterized by several techniques and ascertained by means of reaction runs at different operating conditions, aiming to assess the effect of temperature </w:t>
      </w:r>
      <w:r w:rsidR="00313833">
        <w:t>on</w:t>
      </w:r>
      <w:r w:rsidR="008F3E30">
        <w:t xml:space="preserve"> the performance. Even if </w:t>
      </w:r>
      <w:proofErr w:type="spellStart"/>
      <w:r w:rsidR="008F3E30">
        <w:t>CuZnZr</w:t>
      </w:r>
      <w:proofErr w:type="spellEnd"/>
      <w:r w:rsidR="008F3E30">
        <w:t xml:space="preserve"> resulted in higher methanol production, </w:t>
      </w:r>
      <w:proofErr w:type="spellStart"/>
      <w:r w:rsidR="008F3E30">
        <w:t>InZr</w:t>
      </w:r>
      <w:proofErr w:type="spellEnd"/>
      <w:r w:rsidR="008F3E30">
        <w:t xml:space="preserve"> catalyst proved to be the most </w:t>
      </w:r>
      <w:r w:rsidR="00FA1E56">
        <w:t>adequate</w:t>
      </w:r>
      <w:r w:rsidR="008F3E30">
        <w:t xml:space="preserve"> catalyst for the integrated process, since </w:t>
      </w:r>
      <w:proofErr w:type="spellStart"/>
      <w:r w:rsidR="008F3E30">
        <w:t>CuZnZr</w:t>
      </w:r>
      <w:proofErr w:type="spellEnd"/>
      <w:r w:rsidR="008F3E30">
        <w:t xml:space="preserve"> s</w:t>
      </w:r>
      <w:r w:rsidR="008E68DD">
        <w:t>intered at temperatures above 30</w:t>
      </w:r>
      <w:r w:rsidR="008F3E30">
        <w:t xml:space="preserve">0 ºC (needed for the conversion of methanol to hydrocarbons). With </w:t>
      </w:r>
      <w:proofErr w:type="spellStart"/>
      <w:r w:rsidR="008F3E30">
        <w:t>InZr</w:t>
      </w:r>
      <w:proofErr w:type="spellEnd"/>
      <w:r w:rsidR="008F3E30">
        <w:t xml:space="preserve">/HZSM-5 catalyst, </w:t>
      </w:r>
      <w:r w:rsidR="00FA1E56">
        <w:t>C</w:t>
      </w:r>
      <w:r w:rsidR="00FA1E56" w:rsidRPr="00FA1E56">
        <w:rPr>
          <w:vertAlign w:val="subscript"/>
        </w:rPr>
        <w:t>5+</w:t>
      </w:r>
      <w:r w:rsidR="00FA1E56">
        <w:t xml:space="preserve"> </w:t>
      </w:r>
      <w:r w:rsidR="008F3E30">
        <w:t xml:space="preserve">hydrocarbon yield near 20% was obtained at 420 ºC and 50 bar, with a </w:t>
      </w:r>
      <w:proofErr w:type="spellStart"/>
      <w:r w:rsidR="008F3E30">
        <w:t>CO</w:t>
      </w:r>
      <w:r w:rsidR="008F3E30" w:rsidRPr="008F3E30">
        <w:rPr>
          <w:vertAlign w:val="subscript"/>
        </w:rPr>
        <w:t>x</w:t>
      </w:r>
      <w:proofErr w:type="spellEnd"/>
      <w:r w:rsidR="008F3E30">
        <w:t xml:space="preserve"> conversion of 23%, </w:t>
      </w:r>
      <w:r w:rsidR="00FA1E56">
        <w:t xml:space="preserve">by feeding a </w:t>
      </w:r>
      <w:r w:rsidR="008F3E30">
        <w:t>CO</w:t>
      </w:r>
      <w:r w:rsidR="008F3E30" w:rsidRPr="008F3E30">
        <w:rPr>
          <w:vertAlign w:val="subscript"/>
        </w:rPr>
        <w:t>2</w:t>
      </w:r>
      <w:r w:rsidR="00FA1E56">
        <w:t>/CO equimolar mixture, and with a H</w:t>
      </w:r>
      <w:r w:rsidR="00FA1E56" w:rsidRPr="00FA1E56">
        <w:rPr>
          <w:vertAlign w:val="subscript"/>
        </w:rPr>
        <w:t>2</w:t>
      </w:r>
      <w:r w:rsidR="00FA1E56">
        <w:t>/</w:t>
      </w:r>
      <w:proofErr w:type="spellStart"/>
      <w:r w:rsidR="00FA1E56">
        <w:t>CO</w:t>
      </w:r>
      <w:r w:rsidR="00FA1E56" w:rsidRPr="00FA1E56">
        <w:rPr>
          <w:vertAlign w:val="subscript"/>
        </w:rPr>
        <w:t>x</w:t>
      </w:r>
      <w:proofErr w:type="spellEnd"/>
      <w:r w:rsidR="00FA1E56">
        <w:t xml:space="preserve"> ratio of 3.</w:t>
      </w:r>
    </w:p>
    <w:p w14:paraId="64A1E133" w14:textId="7F11E5C0" w:rsidR="007931FA" w:rsidRPr="00A53FD1" w:rsidRDefault="00600535" w:rsidP="00C77DC0">
      <w:pPr>
        <w:pStyle w:val="CETHeading1"/>
      </w:pPr>
      <w:r w:rsidRPr="00A53FD1">
        <w:t>Introduction</w:t>
      </w:r>
    </w:p>
    <w:p w14:paraId="15C6FDDA" w14:textId="395980DE" w:rsidR="00247511" w:rsidRPr="00A53FD1" w:rsidRDefault="00C77DC0" w:rsidP="00C77DC0">
      <w:pPr>
        <w:pStyle w:val="CETBodytext"/>
      </w:pPr>
      <w:r w:rsidRPr="00A53FD1">
        <w:t xml:space="preserve">Climate change, rising </w:t>
      </w:r>
      <w:r w:rsidR="00CF67EF" w:rsidRPr="00A53FD1">
        <w:t>CO</w:t>
      </w:r>
      <w:r w:rsidR="00CF67EF" w:rsidRPr="00A53FD1">
        <w:rPr>
          <w:vertAlign w:val="subscript"/>
        </w:rPr>
        <w:t>2</w:t>
      </w:r>
      <w:r w:rsidRPr="00A53FD1">
        <w:t xml:space="preserve"> emissions and global warming have put carbon capture and utilization (CCU) technologies in the spotlight. Among the most attractive </w:t>
      </w:r>
      <w:r w:rsidR="00CF67EF" w:rsidRPr="00A53FD1">
        <w:t>CO</w:t>
      </w:r>
      <w:r w:rsidR="00CF67EF" w:rsidRPr="00A53FD1">
        <w:rPr>
          <w:vertAlign w:val="subscript"/>
        </w:rPr>
        <w:t>2</w:t>
      </w:r>
      <w:r w:rsidRPr="00A53FD1">
        <w:t xml:space="preserve"> utilization processes, its </w:t>
      </w:r>
      <w:r w:rsidR="005A0F3E">
        <w:t xml:space="preserve">conversion </w:t>
      </w:r>
      <w:r w:rsidRPr="00A53FD1">
        <w:t>into hydrocarbons stands out (</w:t>
      </w:r>
      <w:proofErr w:type="spellStart"/>
      <w:r w:rsidRPr="00A53FD1">
        <w:t>Saeidi</w:t>
      </w:r>
      <w:proofErr w:type="spellEnd"/>
      <w:r w:rsidRPr="00A53FD1">
        <w:t xml:space="preserve"> et a</w:t>
      </w:r>
      <w:r w:rsidR="00145AE6">
        <w:t>l., 2021</w:t>
      </w:r>
      <w:r w:rsidR="005A0F3E">
        <w:t>), especially through catalytic processes</w:t>
      </w:r>
      <w:r w:rsidRPr="00A53FD1">
        <w:t xml:space="preserve">, which can also be performed </w:t>
      </w:r>
      <w:r w:rsidR="00637E23" w:rsidRPr="00A53FD1">
        <w:rPr>
          <w:lang w:val="en-GB"/>
        </w:rPr>
        <w:t xml:space="preserve">co-feeding </w:t>
      </w:r>
      <w:r w:rsidR="005A0F3E">
        <w:rPr>
          <w:lang w:val="en-GB"/>
        </w:rPr>
        <w:t xml:space="preserve">sustainably obtained </w:t>
      </w:r>
      <w:r w:rsidR="00637E23" w:rsidRPr="00A53FD1">
        <w:rPr>
          <w:lang w:val="en-GB"/>
        </w:rPr>
        <w:t>syngas</w:t>
      </w:r>
      <w:r w:rsidR="005A0F3E">
        <w:rPr>
          <w:lang w:val="en-GB"/>
        </w:rPr>
        <w:t xml:space="preserve"> (from biomass or waste)</w:t>
      </w:r>
      <w:r w:rsidRPr="00A53FD1">
        <w:t xml:space="preserve">. </w:t>
      </w:r>
      <w:r w:rsidR="00C7109F" w:rsidRPr="00A53FD1">
        <w:t xml:space="preserve">Currently, addressing the need </w:t>
      </w:r>
      <w:r w:rsidR="0032357E" w:rsidRPr="00A53FD1">
        <w:t xml:space="preserve">for </w:t>
      </w:r>
      <w:r w:rsidR="00C7109F" w:rsidRPr="00A53FD1">
        <w:t xml:space="preserve">using sustainably sourced fuels as consequence of the fossil fuels scarcity, research is </w:t>
      </w:r>
      <w:r w:rsidR="00400F72" w:rsidRPr="00A53FD1">
        <w:t>focused</w:t>
      </w:r>
      <w:r w:rsidR="00C7109F" w:rsidRPr="00A53FD1">
        <w:t xml:space="preserve"> on the production of hydrocarbons by </w:t>
      </w:r>
      <w:r w:rsidR="00CF67EF" w:rsidRPr="00A53FD1">
        <w:t>CO</w:t>
      </w:r>
      <w:r w:rsidR="00CF67EF" w:rsidRPr="00A53FD1">
        <w:rPr>
          <w:vertAlign w:val="subscript"/>
        </w:rPr>
        <w:t>2</w:t>
      </w:r>
      <w:r w:rsidR="00247511" w:rsidRPr="00A53FD1">
        <w:t>/CO</w:t>
      </w:r>
      <w:r w:rsidR="00C7109F" w:rsidRPr="00A53FD1">
        <w:t xml:space="preserve"> hydrogenation.</w:t>
      </w:r>
      <w:r w:rsidR="00CE50BF" w:rsidRPr="00A53FD1">
        <w:t xml:space="preserve"> These processes may be conducted following</w:t>
      </w:r>
      <w:r w:rsidR="00801BA3">
        <w:t>:</w:t>
      </w:r>
      <w:r w:rsidR="00005FC7" w:rsidRPr="00A53FD1">
        <w:t xml:space="preserve"> (</w:t>
      </w:r>
      <w:proofErr w:type="spellStart"/>
      <w:r w:rsidR="00005FC7" w:rsidRPr="00A53FD1">
        <w:t>i</w:t>
      </w:r>
      <w:proofErr w:type="spellEnd"/>
      <w:r w:rsidR="00005FC7" w:rsidRPr="00A53FD1">
        <w:t>)</w:t>
      </w:r>
      <w:r w:rsidR="00CE50BF" w:rsidRPr="00A53FD1">
        <w:t xml:space="preserve"> the Modified Fischer </w:t>
      </w:r>
      <w:proofErr w:type="spellStart"/>
      <w:r w:rsidR="00CE50BF" w:rsidRPr="00A53FD1">
        <w:t>Tropsch</w:t>
      </w:r>
      <w:proofErr w:type="spellEnd"/>
      <w:r w:rsidR="00CE50BF" w:rsidRPr="00A53FD1">
        <w:t xml:space="preserve"> Route (Kim et al., 2022)</w:t>
      </w:r>
      <w:r w:rsidR="00005FC7" w:rsidRPr="00A53FD1">
        <w:t xml:space="preserve">, in which </w:t>
      </w:r>
      <w:r w:rsidR="00CF67EF" w:rsidRPr="00A53FD1">
        <w:t>CO</w:t>
      </w:r>
      <w:r w:rsidR="00CF67EF" w:rsidRPr="00A53FD1">
        <w:rPr>
          <w:vertAlign w:val="subscript"/>
        </w:rPr>
        <w:t>2</w:t>
      </w:r>
      <w:r w:rsidR="00005FC7" w:rsidRPr="00A53FD1">
        <w:t xml:space="preserve"> is firstly converted to CO</w:t>
      </w:r>
      <w:r w:rsidR="0032357E" w:rsidRPr="00A53FD1">
        <w:t xml:space="preserve"> (through the </w:t>
      </w:r>
      <w:proofErr w:type="spellStart"/>
      <w:r w:rsidR="0032357E" w:rsidRPr="00A53FD1">
        <w:t>rWGS</w:t>
      </w:r>
      <w:proofErr w:type="spellEnd"/>
      <w:r w:rsidR="0032357E" w:rsidRPr="00A53FD1">
        <w:t xml:space="preserve"> reaction)</w:t>
      </w:r>
      <w:r w:rsidR="00005FC7" w:rsidRPr="00A53FD1">
        <w:t xml:space="preserve">, and </w:t>
      </w:r>
      <w:r w:rsidR="0032357E" w:rsidRPr="00A53FD1">
        <w:t xml:space="preserve">later </w:t>
      </w:r>
      <w:r w:rsidR="00005FC7" w:rsidRPr="00A53FD1">
        <w:t>convert</w:t>
      </w:r>
      <w:r w:rsidR="0032357E" w:rsidRPr="00A53FD1">
        <w:t>ed</w:t>
      </w:r>
      <w:r w:rsidR="00005FC7" w:rsidRPr="00A53FD1">
        <w:t xml:space="preserve"> into hydrocarbons by the traditional Fischer </w:t>
      </w:r>
      <w:proofErr w:type="spellStart"/>
      <w:r w:rsidR="00005FC7" w:rsidRPr="00A53FD1">
        <w:t>Tropsch</w:t>
      </w:r>
      <w:proofErr w:type="spellEnd"/>
      <w:r w:rsidR="00005FC7" w:rsidRPr="00A53FD1">
        <w:t xml:space="preserve"> synthesis; and (ii) the route with oxygenates (</w:t>
      </w:r>
      <w:r w:rsidR="0088050E" w:rsidRPr="00A53FD1">
        <w:t>methanol/DME) as intermediates (</w:t>
      </w:r>
      <w:proofErr w:type="spellStart"/>
      <w:r w:rsidR="0088050E" w:rsidRPr="00A53FD1">
        <w:t>Ateka</w:t>
      </w:r>
      <w:proofErr w:type="spellEnd"/>
      <w:r w:rsidR="0088050E" w:rsidRPr="00A53FD1">
        <w:t xml:space="preserve"> et al., 2022).</w:t>
      </w:r>
      <w:r w:rsidR="00F50E9B" w:rsidRPr="00A53FD1">
        <w:t xml:space="preserve"> Meanwhile, the latter can be performed through indirect or direct route</w:t>
      </w:r>
      <w:r w:rsidR="0032357E" w:rsidRPr="00A53FD1">
        <w:t>s</w:t>
      </w:r>
      <w:r w:rsidR="00F50E9B" w:rsidRPr="00A53FD1">
        <w:t>. The indirect synthesis consists of two reaction stages: (</w:t>
      </w:r>
      <w:proofErr w:type="spellStart"/>
      <w:r w:rsidR="00F50E9B" w:rsidRPr="00A53FD1">
        <w:t>i</w:t>
      </w:r>
      <w:proofErr w:type="spellEnd"/>
      <w:r w:rsidR="00F50E9B" w:rsidRPr="00A53FD1">
        <w:t xml:space="preserve">) the synthesis of methanol by </w:t>
      </w:r>
      <w:r w:rsidR="00CF67EF" w:rsidRPr="00A53FD1">
        <w:t>CO</w:t>
      </w:r>
      <w:r w:rsidR="00CF67EF" w:rsidRPr="00A53FD1">
        <w:rPr>
          <w:vertAlign w:val="subscript"/>
        </w:rPr>
        <w:t>2</w:t>
      </w:r>
      <w:r w:rsidR="00247511" w:rsidRPr="00A53FD1">
        <w:t>/CO</w:t>
      </w:r>
      <w:r w:rsidR="00F50E9B" w:rsidRPr="00A53FD1">
        <w:t xml:space="preserve"> hydrogenation (</w:t>
      </w:r>
      <w:proofErr w:type="spellStart"/>
      <w:r w:rsidR="00F50E9B" w:rsidRPr="00A53FD1">
        <w:t>Eq</w:t>
      </w:r>
      <w:r w:rsidR="005A0F3E">
        <w:t>s</w:t>
      </w:r>
      <w:proofErr w:type="spellEnd"/>
      <w:r w:rsidR="005A0F3E">
        <w:t xml:space="preserve"> </w:t>
      </w:r>
      <w:r w:rsidR="00F50E9B" w:rsidRPr="00A53FD1">
        <w:t xml:space="preserve">(1) </w:t>
      </w:r>
      <w:r w:rsidR="00247511" w:rsidRPr="00A53FD1">
        <w:t>and (2)) in a first stage and (ii) its subsequent conversion to higher hydrocarbons.</w:t>
      </w:r>
    </w:p>
    <w:p w14:paraId="20E0CEA2" w14:textId="77777777" w:rsidR="00247511" w:rsidRPr="00A53FD1" w:rsidRDefault="00247511" w:rsidP="00C77DC0">
      <w:pPr>
        <w:pStyle w:val="CETBodytext"/>
      </w:pPr>
    </w:p>
    <w:tbl>
      <w:tblPr>
        <w:tblW w:w="5000" w:type="pct"/>
        <w:tblLook w:val="04A0" w:firstRow="1" w:lastRow="0" w:firstColumn="1" w:lastColumn="0" w:noHBand="0" w:noVBand="1"/>
      </w:tblPr>
      <w:tblGrid>
        <w:gridCol w:w="7983"/>
        <w:gridCol w:w="804"/>
      </w:tblGrid>
      <w:tr w:rsidR="00247511" w:rsidRPr="00A53FD1" w14:paraId="05B3A586" w14:textId="77777777" w:rsidTr="00247511">
        <w:tc>
          <w:tcPr>
            <w:tcW w:w="7983" w:type="dxa"/>
            <w:shd w:val="clear" w:color="auto" w:fill="auto"/>
            <w:vAlign w:val="center"/>
          </w:tcPr>
          <w:p w14:paraId="3CA480CE" w14:textId="0F952A41" w:rsidR="00247511" w:rsidRPr="00A53FD1" w:rsidRDefault="00247511" w:rsidP="00247511">
            <w:pPr>
              <w:pStyle w:val="CETEquation"/>
              <w:rPr>
                <w:lang w:val="en-US"/>
              </w:rPr>
            </w:pPr>
            <m:oMathPara>
              <m:oMath>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2</m:t>
                    </m:r>
                  </m:sub>
                </m:sSub>
                <m:r>
                  <m:rPr>
                    <m:sty m:val="p"/>
                  </m:rPr>
                  <w:rPr>
                    <w:rFonts w:ascii="Cambria Math" w:hAnsi="Cambria Math"/>
                    <w:lang w:val="en-US"/>
                  </w:rPr>
                  <m:t>+3</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3</m:t>
                    </m:r>
                  </m:sub>
                </m:sSub>
                <m:r>
                  <m:rPr>
                    <m:sty m:val="p"/>
                  </m:rPr>
                  <w:rPr>
                    <w:rFonts w:ascii="Cambria Math" w:hAnsi="Cambria Math"/>
                    <w:lang w:val="en-US"/>
                  </w:rPr>
                  <m:t>OH+</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O  </m:t>
                </m:r>
              </m:oMath>
            </m:oMathPara>
          </w:p>
        </w:tc>
        <w:tc>
          <w:tcPr>
            <w:tcW w:w="804" w:type="dxa"/>
            <w:shd w:val="clear" w:color="auto" w:fill="auto"/>
            <w:vAlign w:val="center"/>
          </w:tcPr>
          <w:p w14:paraId="0DEE2FFD" w14:textId="77777777" w:rsidR="00247511" w:rsidRPr="00A53FD1" w:rsidRDefault="00247511" w:rsidP="00062643">
            <w:pPr>
              <w:pStyle w:val="CETEquation"/>
              <w:jc w:val="right"/>
              <w:rPr>
                <w:lang w:val="en-US"/>
              </w:rPr>
            </w:pPr>
            <w:r w:rsidRPr="00A53FD1">
              <w:rPr>
                <w:lang w:val="en-US"/>
              </w:rPr>
              <w:t>(1)</w:t>
            </w:r>
          </w:p>
        </w:tc>
      </w:tr>
      <w:tr w:rsidR="00247511" w:rsidRPr="00A53FD1" w14:paraId="58F5D2C5" w14:textId="77777777" w:rsidTr="00247511">
        <w:tc>
          <w:tcPr>
            <w:tcW w:w="7983" w:type="dxa"/>
            <w:shd w:val="clear" w:color="auto" w:fill="auto"/>
            <w:vAlign w:val="center"/>
          </w:tcPr>
          <w:p w14:paraId="0EBFA8B7" w14:textId="154E68E9" w:rsidR="00247511" w:rsidRPr="00A53FD1" w:rsidRDefault="00247511" w:rsidP="00247511">
            <w:pPr>
              <w:pStyle w:val="CETEquation"/>
              <w:rPr>
                <w:rFonts w:ascii="Cambria Math" w:hAnsi="Cambria Math"/>
                <w:lang w:val="en-US"/>
                <w:oMath/>
              </w:rPr>
            </w:pPr>
            <m:oMathPara>
              <m:oMath>
                <m:r>
                  <m:rPr>
                    <m:sty m:val="p"/>
                  </m:rPr>
                  <w:rPr>
                    <w:rFonts w:ascii="Cambria Math" w:hAnsi="Cambria Math"/>
                    <w:lang w:val="en-US"/>
                  </w:rPr>
                  <m:t>CO+2</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3</m:t>
                    </m:r>
                  </m:sub>
                </m:sSub>
                <m:r>
                  <m:rPr>
                    <m:sty m:val="p"/>
                  </m:rPr>
                  <w:rPr>
                    <w:rFonts w:ascii="Cambria Math" w:hAnsi="Cambria Math"/>
                    <w:lang w:val="en-US"/>
                  </w:rPr>
                  <m:t xml:space="preserve">OH  </m:t>
                </m:r>
              </m:oMath>
            </m:oMathPara>
          </w:p>
        </w:tc>
        <w:tc>
          <w:tcPr>
            <w:tcW w:w="804" w:type="dxa"/>
            <w:shd w:val="clear" w:color="auto" w:fill="auto"/>
            <w:vAlign w:val="center"/>
          </w:tcPr>
          <w:p w14:paraId="69B8287A" w14:textId="3DDA888A" w:rsidR="00247511" w:rsidRPr="00A53FD1" w:rsidRDefault="00247511" w:rsidP="00062643">
            <w:pPr>
              <w:pStyle w:val="CETEquation"/>
              <w:jc w:val="right"/>
              <w:rPr>
                <w:lang w:val="en-US"/>
              </w:rPr>
            </w:pPr>
            <w:r w:rsidRPr="00A53FD1">
              <w:rPr>
                <w:lang w:val="en-US"/>
              </w:rPr>
              <w:t>(2)</w:t>
            </w:r>
          </w:p>
        </w:tc>
      </w:tr>
    </w:tbl>
    <w:p w14:paraId="45821E65" w14:textId="77777777" w:rsidR="00247511" w:rsidRPr="00A53FD1" w:rsidRDefault="00247511" w:rsidP="00C77DC0">
      <w:pPr>
        <w:pStyle w:val="CETBodytext"/>
      </w:pPr>
    </w:p>
    <w:p w14:paraId="41342C95" w14:textId="6F53E902" w:rsidR="00247511" w:rsidRPr="00A53FD1" w:rsidRDefault="00247511" w:rsidP="00C77DC0">
      <w:pPr>
        <w:pStyle w:val="CETBodytext"/>
      </w:pPr>
      <w:r w:rsidRPr="00A53FD1">
        <w:t>Methano</w:t>
      </w:r>
      <w:r w:rsidR="00AC23C6">
        <w:t xml:space="preserve">l synthesis </w:t>
      </w:r>
      <w:r w:rsidR="00740B6B">
        <w:t xml:space="preserve">is attributed to the reaction mechanism with </w:t>
      </w:r>
      <w:proofErr w:type="spellStart"/>
      <w:r w:rsidR="00740B6B">
        <w:t>formate</w:t>
      </w:r>
      <w:proofErr w:type="spellEnd"/>
      <w:r w:rsidR="00740B6B">
        <w:t xml:space="preserve"> ions (HCOO*) as intermediate species, and to the further hydrogenation of CO</w:t>
      </w:r>
      <w:r w:rsidR="00740B6B" w:rsidRPr="00740B6B">
        <w:rPr>
          <w:vertAlign w:val="subscript"/>
        </w:rPr>
        <w:t>2</w:t>
      </w:r>
      <w:r w:rsidR="00740B6B">
        <w:t xml:space="preserve"> (Grabow and </w:t>
      </w:r>
      <w:proofErr w:type="spellStart"/>
      <w:r w:rsidR="00740B6B">
        <w:t>Mavrikakis</w:t>
      </w:r>
      <w:proofErr w:type="spellEnd"/>
      <w:r w:rsidR="00740B6B">
        <w:t>, 2011). These reactions are exothermic, and thus, they</w:t>
      </w:r>
      <w:r w:rsidRPr="00A53FD1">
        <w:t xml:space="preserve"> </w:t>
      </w:r>
      <w:r w:rsidR="00740B6B">
        <w:t xml:space="preserve">are </w:t>
      </w:r>
      <w:r w:rsidRPr="00A53FD1">
        <w:t>favored at low temperature and high pressure, demanding highly active catalysts working in these reaction conditions (Zhang et al., 2021).</w:t>
      </w:r>
      <w:r w:rsidR="00930CA8" w:rsidRPr="00A53FD1">
        <w:t xml:space="preserve"> In this field, metallic oxides are </w:t>
      </w:r>
      <w:r w:rsidR="00944F80">
        <w:t xml:space="preserve">the most suitable alternatives, although </w:t>
      </w:r>
      <w:r w:rsidR="00930CA8" w:rsidRPr="00A53FD1">
        <w:t>temperature above 250 ºC is needed in order to favor the reaction rate of methanol formation (</w:t>
      </w:r>
      <w:proofErr w:type="spellStart"/>
      <w:r w:rsidR="00930CA8" w:rsidRPr="00A53FD1">
        <w:t>Samiee</w:t>
      </w:r>
      <w:proofErr w:type="spellEnd"/>
      <w:r w:rsidR="00930CA8" w:rsidRPr="00A53FD1">
        <w:t xml:space="preserve"> and </w:t>
      </w:r>
      <w:proofErr w:type="spellStart"/>
      <w:r w:rsidR="00930CA8" w:rsidRPr="00A53FD1">
        <w:lastRenderedPageBreak/>
        <w:t>Gandzha</w:t>
      </w:r>
      <w:proofErr w:type="spellEnd"/>
      <w:r w:rsidR="00930CA8" w:rsidRPr="00A53FD1">
        <w:t>, 2019)</w:t>
      </w:r>
      <w:r w:rsidR="00BE3839" w:rsidRPr="00A53FD1">
        <w:t>. Nonetheless, it</w:t>
      </w:r>
      <w:r w:rsidR="00930CA8" w:rsidRPr="00A53FD1">
        <w:t xml:space="preserve"> will also boost the side formation of CO by the reverse Water Gas Shift (</w:t>
      </w:r>
      <w:proofErr w:type="spellStart"/>
      <w:r w:rsidR="00930CA8" w:rsidRPr="00A53FD1">
        <w:t>rWGS</w:t>
      </w:r>
      <w:proofErr w:type="spellEnd"/>
      <w:r w:rsidR="00930CA8" w:rsidRPr="00A53FD1">
        <w:t>) reaction (Eq</w:t>
      </w:r>
      <w:r w:rsidR="00944F80">
        <w:t xml:space="preserve"> </w:t>
      </w:r>
      <w:r w:rsidR="00930CA8" w:rsidRPr="00A53FD1">
        <w:t>(3)) and the methanation reactions (</w:t>
      </w:r>
      <w:proofErr w:type="spellStart"/>
      <w:r w:rsidR="00930CA8" w:rsidRPr="00A53FD1">
        <w:t>Eq</w:t>
      </w:r>
      <w:r w:rsidR="00944F80">
        <w:t>s</w:t>
      </w:r>
      <w:proofErr w:type="spellEnd"/>
      <w:r w:rsidR="00944F80">
        <w:t xml:space="preserve"> </w:t>
      </w:r>
      <w:r w:rsidR="00930CA8" w:rsidRPr="00A53FD1">
        <w:t>(4) and (5)).</w:t>
      </w:r>
      <w:r w:rsidR="00313D12" w:rsidRPr="00A53FD1">
        <w:t xml:space="preserve"> </w:t>
      </w:r>
    </w:p>
    <w:tbl>
      <w:tblPr>
        <w:tblW w:w="5000" w:type="pct"/>
        <w:tblLook w:val="04A0" w:firstRow="1" w:lastRow="0" w:firstColumn="1" w:lastColumn="0" w:noHBand="0" w:noVBand="1"/>
      </w:tblPr>
      <w:tblGrid>
        <w:gridCol w:w="7983"/>
        <w:gridCol w:w="804"/>
      </w:tblGrid>
      <w:tr w:rsidR="00CF67EF" w:rsidRPr="00A53FD1" w14:paraId="71BF714E" w14:textId="77777777" w:rsidTr="00062643">
        <w:tc>
          <w:tcPr>
            <w:tcW w:w="7983" w:type="dxa"/>
            <w:shd w:val="clear" w:color="auto" w:fill="auto"/>
            <w:vAlign w:val="center"/>
          </w:tcPr>
          <w:p w14:paraId="6AFE3CFA" w14:textId="6B36E436" w:rsidR="00CF67EF" w:rsidRPr="00A53FD1" w:rsidRDefault="00D46A1C" w:rsidP="00CF67EF">
            <w:pPr>
              <w:pStyle w:val="CETEquation"/>
              <w:rPr>
                <w:lang w:val="en-US"/>
              </w:rPr>
            </w:pPr>
            <m:oMathPara>
              <m:oMath>
                <m:sSub>
                  <m:sSubPr>
                    <m:ctrlPr>
                      <w:rPr>
                        <w:rFonts w:ascii="Cambria Math" w:hAnsi="Cambria Math"/>
                        <w:lang w:val="en-US"/>
                      </w:rPr>
                    </m:ctrlPr>
                  </m:sSubPr>
                  <m:e>
                    <m:r>
                      <m:rPr>
                        <m:sty m:val="p"/>
                      </m:rPr>
                      <w:rPr>
                        <w:rFonts w:ascii="Cambria Math" w:hAnsi="Cambria Math"/>
                        <w:lang w:val="en-US"/>
                      </w:rPr>
                      <m:t>CO</m:t>
                    </m:r>
                  </m:e>
                  <m:sub>
                    <m:r>
                      <m:rPr>
                        <m:sty m:val="p"/>
                      </m:rPr>
                      <w:rPr>
                        <w:rFonts w:ascii="Cambria Math" w:hAnsi="Cambria Math"/>
                        <w:lang w:val="en-US"/>
                      </w:rPr>
                      <m:t>2</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 ↔CO+</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m:t>
                </m:r>
              </m:oMath>
            </m:oMathPara>
          </w:p>
        </w:tc>
        <w:tc>
          <w:tcPr>
            <w:tcW w:w="804" w:type="dxa"/>
            <w:shd w:val="clear" w:color="auto" w:fill="auto"/>
            <w:vAlign w:val="center"/>
          </w:tcPr>
          <w:p w14:paraId="3676419A" w14:textId="075ED6F9" w:rsidR="00CF67EF" w:rsidRPr="00A53FD1" w:rsidRDefault="00CF67EF" w:rsidP="00062643">
            <w:pPr>
              <w:pStyle w:val="CETEquation"/>
              <w:jc w:val="right"/>
              <w:rPr>
                <w:lang w:val="en-US"/>
              </w:rPr>
            </w:pPr>
            <w:r w:rsidRPr="00A53FD1">
              <w:rPr>
                <w:lang w:val="en-US"/>
              </w:rPr>
              <w:t>(3)</w:t>
            </w:r>
          </w:p>
        </w:tc>
      </w:tr>
      <w:tr w:rsidR="00CF67EF" w:rsidRPr="00A53FD1" w14:paraId="21AE3454" w14:textId="77777777" w:rsidTr="00062643">
        <w:tc>
          <w:tcPr>
            <w:tcW w:w="7983" w:type="dxa"/>
            <w:shd w:val="clear" w:color="auto" w:fill="auto"/>
            <w:vAlign w:val="center"/>
          </w:tcPr>
          <w:p w14:paraId="586ABEA9" w14:textId="4718734F" w:rsidR="00CF67EF" w:rsidRPr="00A53FD1" w:rsidRDefault="00D46A1C" w:rsidP="00CF67EF">
            <w:pPr>
              <w:pStyle w:val="CETEquation"/>
              <w:rPr>
                <w:rFonts w:ascii="Cambria Math" w:hAnsi="Cambria Math"/>
                <w:lang w:val="en-US"/>
                <w:oMath/>
              </w:rPr>
            </w:pPr>
            <m:oMathPara>
              <m:oMath>
                <m:sSub>
                  <m:sSubPr>
                    <m:ctrlPr>
                      <w:rPr>
                        <w:rFonts w:ascii="Cambria Math" w:hAnsi="Cambria Math"/>
                        <w:lang w:val="en-US"/>
                      </w:rPr>
                    </m:ctrlPr>
                  </m:sSubPr>
                  <m:e>
                    <m:r>
                      <m:rPr>
                        <m:sty m:val="p"/>
                      </m:rPr>
                      <w:rPr>
                        <w:rFonts w:ascii="Cambria Math" w:hAnsi="Cambria Math"/>
                        <w:lang w:val="en-US"/>
                      </w:rPr>
                      <m:t>CO</m:t>
                    </m:r>
                  </m:e>
                  <m:sub>
                    <m:r>
                      <m:rPr>
                        <m:sty m:val="p"/>
                      </m:rPr>
                      <w:rPr>
                        <w:rFonts w:ascii="Cambria Math" w:hAnsi="Cambria Math"/>
                        <w:lang w:val="en-US"/>
                      </w:rPr>
                      <m:t>2</m:t>
                    </m:r>
                  </m:sub>
                </m:sSub>
                <m:r>
                  <m:rPr>
                    <m:sty m:val="p"/>
                  </m:rPr>
                  <w:rPr>
                    <w:rFonts w:ascii="Cambria Math" w:hAnsi="Cambria Math"/>
                    <w:lang w:val="en-US"/>
                  </w:rPr>
                  <m:t>+4</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+2</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m:t>
                </m:r>
              </m:oMath>
            </m:oMathPara>
          </w:p>
        </w:tc>
        <w:tc>
          <w:tcPr>
            <w:tcW w:w="804" w:type="dxa"/>
            <w:shd w:val="clear" w:color="auto" w:fill="auto"/>
            <w:vAlign w:val="center"/>
          </w:tcPr>
          <w:p w14:paraId="12214705" w14:textId="7EC25726" w:rsidR="00CF67EF" w:rsidRPr="00A53FD1" w:rsidRDefault="00CF67EF" w:rsidP="00062643">
            <w:pPr>
              <w:pStyle w:val="CETEquation"/>
              <w:jc w:val="right"/>
              <w:rPr>
                <w:lang w:val="en-US"/>
              </w:rPr>
            </w:pPr>
            <w:r w:rsidRPr="00A53FD1">
              <w:rPr>
                <w:lang w:val="en-US"/>
              </w:rPr>
              <w:t>(4)</w:t>
            </w:r>
          </w:p>
        </w:tc>
      </w:tr>
      <w:tr w:rsidR="00CF67EF" w:rsidRPr="00A53FD1" w14:paraId="0065A4DD" w14:textId="77777777" w:rsidTr="00CF67EF">
        <w:tc>
          <w:tcPr>
            <w:tcW w:w="7983" w:type="dxa"/>
            <w:shd w:val="clear" w:color="auto" w:fill="auto"/>
            <w:vAlign w:val="center"/>
          </w:tcPr>
          <w:p w14:paraId="3448A61C" w14:textId="415E172D" w:rsidR="00CF67EF" w:rsidRPr="00A53FD1" w:rsidRDefault="00CF67EF" w:rsidP="00CF67EF">
            <w:pPr>
              <w:pStyle w:val="CETEquation"/>
              <w:rPr>
                <w:rFonts w:ascii="Cambria Math" w:hAnsi="Cambria Math"/>
                <w:lang w:val="en-US"/>
                <w:oMath/>
              </w:rPr>
            </w:pPr>
            <m:oMathPara>
              <m:oMath>
                <m:r>
                  <m:rPr>
                    <m:sty m:val="p"/>
                  </m:rPr>
                  <w:rPr>
                    <w:rFonts w:ascii="Cambria Math" w:hAnsi="Cambria Math"/>
                    <w:lang w:val="en-US"/>
                  </w:rPr>
                  <m:t>CO+3</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 xml:space="preserve"> ↔</m:t>
                </m:r>
                <m:sSub>
                  <m:sSubPr>
                    <m:ctrlPr>
                      <w:rPr>
                        <w:rFonts w:ascii="Cambria Math" w:hAnsi="Cambria Math"/>
                        <w:lang w:val="en-US"/>
                      </w:rPr>
                    </m:ctrlPr>
                  </m:sSubPr>
                  <m:e>
                    <m:r>
                      <m:rPr>
                        <m:sty m:val="p"/>
                      </m:rPr>
                      <w:rPr>
                        <w:rFonts w:ascii="Cambria Math" w:hAnsi="Cambria Math"/>
                        <w:lang w:val="en-US"/>
                      </w:rPr>
                      <m:t>CH</m:t>
                    </m:r>
                  </m:e>
                  <m:sub>
                    <m:r>
                      <m:rPr>
                        <m:sty m:val="p"/>
                      </m:rPr>
                      <w:rPr>
                        <w:rFonts w:ascii="Cambria Math" w:hAnsi="Cambria Math"/>
                        <w:lang w:val="en-US"/>
                      </w:rPr>
                      <m:t>4</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2</m:t>
                    </m:r>
                  </m:sub>
                </m:sSub>
                <m:r>
                  <m:rPr>
                    <m:sty m:val="p"/>
                  </m:rPr>
                  <w:rPr>
                    <w:rFonts w:ascii="Cambria Math" w:hAnsi="Cambria Math"/>
                    <w:lang w:val="en-US"/>
                  </w:rPr>
                  <m:t>O</m:t>
                </m:r>
              </m:oMath>
            </m:oMathPara>
          </w:p>
        </w:tc>
        <w:tc>
          <w:tcPr>
            <w:tcW w:w="804" w:type="dxa"/>
            <w:shd w:val="clear" w:color="auto" w:fill="auto"/>
            <w:vAlign w:val="center"/>
          </w:tcPr>
          <w:p w14:paraId="621951D8" w14:textId="1BFD12D0" w:rsidR="00CF67EF" w:rsidRPr="00A53FD1" w:rsidRDefault="00CF67EF" w:rsidP="00062643">
            <w:pPr>
              <w:pStyle w:val="CETEquation"/>
              <w:jc w:val="right"/>
              <w:rPr>
                <w:lang w:val="en-US"/>
              </w:rPr>
            </w:pPr>
            <w:r w:rsidRPr="00A53FD1">
              <w:rPr>
                <w:lang w:val="en-US"/>
              </w:rPr>
              <w:t>(5)</w:t>
            </w:r>
          </w:p>
        </w:tc>
      </w:tr>
    </w:tbl>
    <w:p w14:paraId="5C7E97ED" w14:textId="77777777" w:rsidR="00944F80" w:rsidRDefault="00944F80" w:rsidP="00C77DC0">
      <w:pPr>
        <w:pStyle w:val="CETBodytext"/>
      </w:pPr>
      <w:r>
        <w:t>The</w:t>
      </w:r>
      <w:r w:rsidR="00044186" w:rsidRPr="00A53FD1">
        <w:t xml:space="preserve"> </w:t>
      </w:r>
      <w:r w:rsidRPr="00A53FD1">
        <w:t xml:space="preserve">synthesized </w:t>
      </w:r>
      <w:r w:rsidR="00044186" w:rsidRPr="00A53FD1">
        <w:t xml:space="preserve">methanol is converted into hydrocarbons by means of an acid catalyst, </w:t>
      </w:r>
      <w:r w:rsidR="00BE3839" w:rsidRPr="00A53FD1">
        <w:t xml:space="preserve">typically </w:t>
      </w:r>
      <w:r w:rsidR="00044186" w:rsidRPr="00A53FD1">
        <w:t>zeolites. This reaction stage</w:t>
      </w:r>
      <w:r>
        <w:t xml:space="preserve"> (Eq (6))</w:t>
      </w:r>
      <w:r w:rsidR="00044186" w:rsidRPr="00A53FD1">
        <w:t xml:space="preserve"> is favored at high t</w:t>
      </w:r>
      <w:r>
        <w:t>emperature (&gt;300 ºC) and takes places by way of the dual cycle mechanism with olefins and arenes as intermediates.</w:t>
      </w:r>
    </w:p>
    <w:tbl>
      <w:tblPr>
        <w:tblW w:w="5000" w:type="pct"/>
        <w:tblLook w:val="04A0" w:firstRow="1" w:lastRow="0" w:firstColumn="1" w:lastColumn="0" w:noHBand="0" w:noVBand="1"/>
      </w:tblPr>
      <w:tblGrid>
        <w:gridCol w:w="7983"/>
        <w:gridCol w:w="804"/>
      </w:tblGrid>
      <w:tr w:rsidR="007B1570" w:rsidRPr="00A53FD1" w14:paraId="29E6006A" w14:textId="77777777" w:rsidTr="008A5736">
        <w:tc>
          <w:tcPr>
            <w:tcW w:w="7983" w:type="dxa"/>
            <w:shd w:val="clear" w:color="auto" w:fill="auto"/>
            <w:vAlign w:val="center"/>
          </w:tcPr>
          <w:p w14:paraId="7F80F2C6" w14:textId="0E6C5443" w:rsidR="007B1570" w:rsidRPr="00A53FD1" w:rsidRDefault="007B1570" w:rsidP="008A5736">
            <w:pPr>
              <w:pStyle w:val="CETEquation"/>
              <w:rPr>
                <w:lang w:val="en-US"/>
              </w:rPr>
            </w:pPr>
            <m:oMathPara>
              <m:oMath>
                <m:r>
                  <w:rPr>
                    <w:rFonts w:ascii="Cambria Math" w:hAnsi="Cambria Math"/>
                  </w:rPr>
                  <m:t>2C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m:t>
                </m:r>
                <m:limUpp>
                  <m:limUppPr>
                    <m:ctrlPr>
                      <w:rPr>
                        <w:rFonts w:ascii="Cambria Math" w:hAnsi="Cambria Math"/>
                        <w:i/>
                      </w:rPr>
                    </m:ctrlPr>
                  </m:limUppPr>
                  <m:e>
                    <m:groupChr>
                      <m:groupChrPr>
                        <m:chr m:val="⇋"/>
                        <m:pos m:val="top"/>
                        <m:ctrlPr>
                          <w:rPr>
                            <w:rFonts w:ascii="Cambria Math" w:hAnsi="Cambria Math"/>
                            <w:i/>
                          </w:rPr>
                        </m:ctrlPr>
                      </m:groupChrPr>
                      <m:e>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groupChr>
                  </m:e>
                  <m:li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lim>
                </m:limUpp>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OC</m:t>
                </m:r>
                <m:sSub>
                  <m:sSubPr>
                    <m:ctrlPr>
                      <w:rPr>
                        <w:rFonts w:ascii="Cambria Math" w:hAnsi="Cambria Math"/>
                        <w:i/>
                      </w:rPr>
                    </m:ctrlPr>
                  </m:sSubPr>
                  <m:e>
                    <m:r>
                      <w:rPr>
                        <w:rFonts w:ascii="Cambria Math" w:hAnsi="Cambria Math"/>
                      </w:rPr>
                      <m:t>H</m:t>
                    </m:r>
                  </m:e>
                  <m:sub>
                    <m:r>
                      <w:rPr>
                        <w:rFonts w:ascii="Cambria Math" w:hAnsi="Cambria Math"/>
                      </w:rPr>
                      <m:t>3</m:t>
                    </m:r>
                  </m:sub>
                </m:sSub>
                <m:groupChr>
                  <m:groupChrPr>
                    <m:chr m:val="→"/>
                    <m:vertJc m:val="bot"/>
                    <m:ctrlPr>
                      <w:rPr>
                        <w:rFonts w:ascii="Cambria Math" w:hAnsi="Cambria Math"/>
                        <w:i/>
                      </w:rPr>
                    </m:ctrlPr>
                  </m:groupChrPr>
                  <m:e>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groupChr>
                <m:r>
                  <w:rPr>
                    <w:rFonts w:ascii="Cambria Math" w:hAnsi="Cambria Math"/>
                  </w:rPr>
                  <m:t xml:space="preserve">Light Olefins⟶ </m:t>
                </m:r>
                <m:m>
                  <m:mPr>
                    <m:mcs>
                      <m:mc>
                        <m:mcPr>
                          <m:count m:val="1"/>
                          <m:mcJc m:val="center"/>
                        </m:mcPr>
                      </m:mc>
                    </m:mcs>
                    <m:ctrlPr>
                      <w:rPr>
                        <w:rFonts w:ascii="Cambria Math" w:hAnsi="Cambria Math"/>
                        <w:i/>
                        <w:lang w:val="en-US"/>
                      </w:rPr>
                    </m:ctrlPr>
                  </m:mPr>
                  <m:mr>
                    <m:e>
                      <m:r>
                        <w:rPr>
                          <w:rFonts w:ascii="Cambria Math" w:hAnsi="Cambria Math"/>
                        </w:rPr>
                        <m:t>n/isoparaffins</m:t>
                      </m:r>
                    </m:e>
                  </m:mr>
                  <m:mr>
                    <m:e>
                      <m:r>
                        <w:rPr>
                          <w:rFonts w:ascii="Cambria Math" w:hAnsi="Cambria Math"/>
                        </w:rPr>
                        <m:t>Higher Olefins</m:t>
                      </m:r>
                    </m:e>
                  </m:mr>
                  <m:mr>
                    <m:e>
                      <m:r>
                        <w:rPr>
                          <w:rFonts w:ascii="Cambria Math" w:hAnsi="Cambria Math"/>
                        </w:rPr>
                        <m:t xml:space="preserve">Aromatics/napthenes </m:t>
                      </m:r>
                    </m:e>
                  </m:mr>
                </m:m>
              </m:oMath>
            </m:oMathPara>
          </w:p>
        </w:tc>
        <w:tc>
          <w:tcPr>
            <w:tcW w:w="804" w:type="dxa"/>
            <w:shd w:val="clear" w:color="auto" w:fill="auto"/>
            <w:vAlign w:val="center"/>
          </w:tcPr>
          <w:p w14:paraId="10EE880C" w14:textId="75D167A6" w:rsidR="007B1570" w:rsidRPr="00A53FD1" w:rsidRDefault="007B1570" w:rsidP="007B1570">
            <w:pPr>
              <w:pStyle w:val="CETEquation"/>
              <w:jc w:val="right"/>
              <w:rPr>
                <w:lang w:val="en-US"/>
              </w:rPr>
            </w:pPr>
            <w:r w:rsidRPr="00A53FD1">
              <w:rPr>
                <w:lang w:val="en-US"/>
              </w:rPr>
              <w:t>(</w:t>
            </w:r>
            <w:r>
              <w:rPr>
                <w:lang w:val="en-US"/>
              </w:rPr>
              <w:t>6</w:t>
            </w:r>
            <w:r w:rsidRPr="00A53FD1">
              <w:rPr>
                <w:lang w:val="en-US"/>
              </w:rPr>
              <w:t>)</w:t>
            </w:r>
          </w:p>
        </w:tc>
      </w:tr>
    </w:tbl>
    <w:p w14:paraId="3DA1B3F1" w14:textId="77777777" w:rsidR="007B1570" w:rsidRDefault="007B1570" w:rsidP="00C77DC0">
      <w:pPr>
        <w:pStyle w:val="CETBodytext"/>
      </w:pPr>
    </w:p>
    <w:p w14:paraId="4B2F9FEF" w14:textId="629F508E" w:rsidR="00CF67EF" w:rsidRPr="00A53FD1" w:rsidRDefault="00044186" w:rsidP="00C77DC0">
      <w:pPr>
        <w:pStyle w:val="CETBodytext"/>
      </w:pPr>
      <w:r w:rsidRPr="00A53FD1">
        <w:t>As pointed out above, the hydrogenation of CO</w:t>
      </w:r>
      <w:r w:rsidRPr="00A53FD1">
        <w:rPr>
          <w:vertAlign w:val="subscript"/>
        </w:rPr>
        <w:t>2</w:t>
      </w:r>
      <w:r w:rsidRPr="00A53FD1">
        <w:t>/CO can be also carried out by the direct route</w:t>
      </w:r>
      <w:r w:rsidR="00BE3839" w:rsidRPr="00A53FD1">
        <w:t>, integrating both reaction stages</w:t>
      </w:r>
      <w:r w:rsidR="007B1570">
        <w:t xml:space="preserve"> in the same reactor</w:t>
      </w:r>
      <w:r w:rsidRPr="00A53FD1">
        <w:t xml:space="preserve">. For this purpose, tandem catalysts, consisting of a metallic oxide and a </w:t>
      </w:r>
      <w:proofErr w:type="spellStart"/>
      <w:r w:rsidRPr="00A53FD1">
        <w:t>zeotype</w:t>
      </w:r>
      <w:proofErr w:type="spellEnd"/>
      <w:r w:rsidRPr="00A53FD1">
        <w:t>, are used.</w:t>
      </w:r>
      <w:r w:rsidR="00313D12" w:rsidRPr="00A53FD1">
        <w:t xml:space="preserve"> In order to achieve high conversion, optimiz</w:t>
      </w:r>
      <w:r w:rsidR="004C50DA" w:rsidRPr="00A53FD1">
        <w:t>ing</w:t>
      </w:r>
      <w:r w:rsidR="00313D12" w:rsidRPr="00A53FD1">
        <w:t xml:space="preserve"> the operating conditions</w:t>
      </w:r>
      <w:r w:rsidR="004C50DA" w:rsidRPr="00A53FD1">
        <w:t xml:space="preserve"> is fundamental </w:t>
      </w:r>
      <w:r w:rsidR="00313D12" w:rsidRPr="00A53FD1">
        <w:t xml:space="preserve">for ensuring both high methanol synthesis and </w:t>
      </w:r>
      <w:r w:rsidR="004C50DA" w:rsidRPr="00A53FD1">
        <w:t xml:space="preserve">consequently, </w:t>
      </w:r>
      <w:r w:rsidR="00313D12" w:rsidRPr="00A53FD1">
        <w:t>high formation of hydrocarbons. Therefore</w:t>
      </w:r>
      <w:r w:rsidRPr="00A53FD1">
        <w:t xml:space="preserve">, the thermal limitation of Cu-based catalysts due to the sintering of Cu </w:t>
      </w:r>
      <w:r w:rsidR="00313D12" w:rsidRPr="00A53FD1">
        <w:t xml:space="preserve">in the conditions required for the integrated </w:t>
      </w:r>
      <w:r w:rsidR="004C50DA" w:rsidRPr="00A53FD1">
        <w:t>process</w:t>
      </w:r>
      <w:r w:rsidR="00313D12" w:rsidRPr="00A53FD1">
        <w:t xml:space="preserve"> makes the screening of an active and stable catalyst a key </w:t>
      </w:r>
      <w:r w:rsidR="004C50DA" w:rsidRPr="00A53FD1">
        <w:t xml:space="preserve">target </w:t>
      </w:r>
      <w:r w:rsidR="00313D12" w:rsidRPr="00A53FD1">
        <w:t>for enhancing the direct synthesis of hydrocarbons from CO</w:t>
      </w:r>
      <w:r w:rsidR="00313D12" w:rsidRPr="00A53FD1">
        <w:rPr>
          <w:vertAlign w:val="subscript"/>
        </w:rPr>
        <w:t>2</w:t>
      </w:r>
      <w:r w:rsidR="00313D12" w:rsidRPr="00A53FD1">
        <w:t xml:space="preserve">/CO hydrogenation. </w:t>
      </w:r>
    </w:p>
    <w:p w14:paraId="4D7C9AA4" w14:textId="7E8F1C0A" w:rsidR="00313D12" w:rsidRPr="00A53FD1" w:rsidRDefault="00313D12" w:rsidP="00C77DC0">
      <w:pPr>
        <w:pStyle w:val="CETBodytext"/>
      </w:pPr>
    </w:p>
    <w:p w14:paraId="55C47164" w14:textId="6AA451D4" w:rsidR="009C7C22" w:rsidRPr="00A53FD1" w:rsidRDefault="00313D12" w:rsidP="00C77DC0">
      <w:pPr>
        <w:pStyle w:val="CETBodytext"/>
      </w:pPr>
      <w:r w:rsidRPr="00A53FD1">
        <w:t>In this regard, this work aims to deepen in the study of an alternative I</w:t>
      </w:r>
      <w:r w:rsidR="000E5934" w:rsidRPr="00A53FD1">
        <w:t>n</w:t>
      </w:r>
      <w:r w:rsidRPr="00A53FD1">
        <w:rPr>
          <w:vertAlign w:val="subscript"/>
        </w:rPr>
        <w:t>2</w:t>
      </w:r>
      <w:r w:rsidRPr="00A53FD1">
        <w:t>O</w:t>
      </w:r>
      <w:r w:rsidRPr="00A53FD1">
        <w:rPr>
          <w:vertAlign w:val="subscript"/>
        </w:rPr>
        <w:t>3</w:t>
      </w:r>
      <w:r w:rsidRPr="00A53FD1">
        <w:t>-ZrO</w:t>
      </w:r>
      <w:r w:rsidRPr="00A53FD1">
        <w:rPr>
          <w:vertAlign w:val="subscript"/>
        </w:rPr>
        <w:t>2</w:t>
      </w:r>
      <w:r w:rsidRPr="00A53FD1">
        <w:t xml:space="preserve"> metallic catalyst for methanol synthesis, and in the optimization of the operating conditions, </w:t>
      </w:r>
      <w:r w:rsidR="00637E23" w:rsidRPr="00A53FD1">
        <w:t xml:space="preserve">pursuing </w:t>
      </w:r>
      <w:r w:rsidRPr="00A53FD1">
        <w:t>the avoidance of sintering and the feasibility in the integrated CO and CO</w:t>
      </w:r>
      <w:r w:rsidRPr="00A53FD1">
        <w:rPr>
          <w:vertAlign w:val="subscript"/>
        </w:rPr>
        <w:t>2</w:t>
      </w:r>
      <w:r w:rsidRPr="00A53FD1">
        <w:t xml:space="preserve"> hydrogenation into hydrocarbons. For that, I</w:t>
      </w:r>
      <w:r w:rsidR="000E5934" w:rsidRPr="00A53FD1">
        <w:t>n</w:t>
      </w:r>
      <w:r w:rsidRPr="00A53FD1">
        <w:rPr>
          <w:vertAlign w:val="subscript"/>
        </w:rPr>
        <w:t>2</w:t>
      </w:r>
      <w:r w:rsidRPr="00A53FD1">
        <w:t>O</w:t>
      </w:r>
      <w:r w:rsidRPr="00A53FD1">
        <w:rPr>
          <w:vertAlign w:val="subscript"/>
        </w:rPr>
        <w:t>3</w:t>
      </w:r>
      <w:r w:rsidRPr="00A53FD1">
        <w:t>-ZrO</w:t>
      </w:r>
      <w:r w:rsidRPr="00A53FD1">
        <w:rPr>
          <w:vertAlign w:val="subscript"/>
        </w:rPr>
        <w:t>2</w:t>
      </w:r>
      <w:r w:rsidRPr="00A53FD1">
        <w:t xml:space="preserve"> (</w:t>
      </w:r>
      <w:proofErr w:type="spellStart"/>
      <w:r w:rsidRPr="00A53FD1">
        <w:t>I</w:t>
      </w:r>
      <w:r w:rsidR="0013478C" w:rsidRPr="00A53FD1">
        <w:t>n</w:t>
      </w:r>
      <w:r w:rsidRPr="00A53FD1">
        <w:t>Z</w:t>
      </w:r>
      <w:r w:rsidR="0013478C" w:rsidRPr="00A53FD1">
        <w:t>r</w:t>
      </w:r>
      <w:proofErr w:type="spellEnd"/>
      <w:r w:rsidRPr="00A53FD1">
        <w:t>) and CuO-ZnO-ZrO</w:t>
      </w:r>
      <w:r w:rsidRPr="00A53FD1">
        <w:rPr>
          <w:vertAlign w:val="subscript"/>
        </w:rPr>
        <w:t>2</w:t>
      </w:r>
      <w:r w:rsidRPr="00A53FD1">
        <w:t xml:space="preserve"> (</w:t>
      </w:r>
      <w:proofErr w:type="spellStart"/>
      <w:r w:rsidRPr="00A53FD1">
        <w:t>C</w:t>
      </w:r>
      <w:r w:rsidR="0013478C" w:rsidRPr="00A53FD1">
        <w:t>u</w:t>
      </w:r>
      <w:r w:rsidRPr="00A53FD1">
        <w:t>Z</w:t>
      </w:r>
      <w:r w:rsidR="0013478C" w:rsidRPr="00A53FD1">
        <w:t>n</w:t>
      </w:r>
      <w:r w:rsidRPr="00A53FD1">
        <w:t>Z</w:t>
      </w:r>
      <w:r w:rsidR="0013478C" w:rsidRPr="00A53FD1">
        <w:t>r</w:t>
      </w:r>
      <w:proofErr w:type="spellEnd"/>
      <w:r w:rsidRPr="00A53FD1">
        <w:t xml:space="preserve">) catalysts were tested initially under several operating conditions, in order to compare their effectiveness in methanol synthesis step. Afterwards, the catalysts were </w:t>
      </w:r>
      <w:r w:rsidR="00D209AD" w:rsidRPr="00A53FD1">
        <w:t>assessed</w:t>
      </w:r>
      <w:r w:rsidR="00637E23" w:rsidRPr="00A53FD1">
        <w:t xml:space="preserve"> </w:t>
      </w:r>
      <w:r w:rsidRPr="00A53FD1">
        <w:t>in tandem with HZSM-5 zeolite (</w:t>
      </w:r>
      <w:proofErr w:type="spellStart"/>
      <w:r w:rsidRPr="00A53FD1">
        <w:t>I</w:t>
      </w:r>
      <w:r w:rsidR="0013478C" w:rsidRPr="00A53FD1">
        <w:t>n</w:t>
      </w:r>
      <w:r w:rsidRPr="00A53FD1">
        <w:t>Z</w:t>
      </w:r>
      <w:r w:rsidR="0013478C" w:rsidRPr="00A53FD1">
        <w:t>r</w:t>
      </w:r>
      <w:proofErr w:type="spellEnd"/>
      <w:r w:rsidRPr="00A53FD1">
        <w:t xml:space="preserve">/H5 and </w:t>
      </w:r>
      <w:proofErr w:type="spellStart"/>
      <w:r w:rsidRPr="00A53FD1">
        <w:t>C</w:t>
      </w:r>
      <w:r w:rsidR="008B1957" w:rsidRPr="00A53FD1">
        <w:t>u</w:t>
      </w:r>
      <w:r w:rsidRPr="00A53FD1">
        <w:t>Z</w:t>
      </w:r>
      <w:r w:rsidR="008B1957" w:rsidRPr="00A53FD1">
        <w:t>n</w:t>
      </w:r>
      <w:r w:rsidRPr="00A53FD1">
        <w:t>Z</w:t>
      </w:r>
      <w:r w:rsidR="008B1957" w:rsidRPr="00A53FD1">
        <w:t>r</w:t>
      </w:r>
      <w:proofErr w:type="spellEnd"/>
      <w:r w:rsidRPr="00A53FD1">
        <w:t>/H5)</w:t>
      </w:r>
      <w:r w:rsidR="0099404F" w:rsidRPr="00A53FD1">
        <w:t xml:space="preserve"> as to observe the effect of operating in the integrated process.</w:t>
      </w:r>
    </w:p>
    <w:p w14:paraId="53339BCD" w14:textId="2D82EFE0" w:rsidR="00313D12" w:rsidRPr="00A53FD1" w:rsidRDefault="0099404F" w:rsidP="009C7C22">
      <w:pPr>
        <w:pStyle w:val="CETHeading1"/>
      </w:pPr>
      <w:r w:rsidRPr="00A53FD1">
        <w:t xml:space="preserve"> </w:t>
      </w:r>
      <w:r w:rsidR="009C7C22" w:rsidRPr="00A53FD1">
        <w:t>Experimental Section</w:t>
      </w:r>
    </w:p>
    <w:p w14:paraId="1339299D" w14:textId="48B9C087" w:rsidR="009C7C22" w:rsidRPr="00A53FD1" w:rsidRDefault="009C7C22" w:rsidP="009C7C22">
      <w:pPr>
        <w:pStyle w:val="CETheadingx"/>
      </w:pPr>
      <w:r w:rsidRPr="00A53FD1">
        <w:t xml:space="preserve">Preparation </w:t>
      </w:r>
      <w:r w:rsidR="008F6A5F" w:rsidRPr="00A53FD1">
        <w:t xml:space="preserve">and Characterization </w:t>
      </w:r>
      <w:r w:rsidRPr="00A53FD1">
        <w:t>of the Catalysts</w:t>
      </w:r>
    </w:p>
    <w:p w14:paraId="28999F84" w14:textId="3AF0B4BF" w:rsidR="008F6A5F" w:rsidRPr="00D46A1C" w:rsidRDefault="009C7C22" w:rsidP="009C7C22">
      <w:pPr>
        <w:pStyle w:val="CETBodytext"/>
      </w:pPr>
      <w:r w:rsidRPr="00A53FD1">
        <w:t>The metallic catalysts (</w:t>
      </w:r>
      <w:proofErr w:type="spellStart"/>
      <w:r w:rsidRPr="00A53FD1">
        <w:t>C</w:t>
      </w:r>
      <w:r w:rsidR="008B1957" w:rsidRPr="00A53FD1">
        <w:t>u</w:t>
      </w:r>
      <w:r w:rsidRPr="00A53FD1">
        <w:t>Z</w:t>
      </w:r>
      <w:r w:rsidR="008B1957" w:rsidRPr="00A53FD1">
        <w:t>n</w:t>
      </w:r>
      <w:r w:rsidRPr="00A53FD1">
        <w:t>Z</w:t>
      </w:r>
      <w:r w:rsidR="008B1957" w:rsidRPr="00A53FD1">
        <w:t>r</w:t>
      </w:r>
      <w:proofErr w:type="spellEnd"/>
      <w:r w:rsidR="00AD52C8" w:rsidRPr="00A53FD1">
        <w:t xml:space="preserve"> and </w:t>
      </w:r>
      <w:proofErr w:type="spellStart"/>
      <w:r w:rsidR="00AD52C8" w:rsidRPr="00A53FD1">
        <w:t>InZr</w:t>
      </w:r>
      <w:proofErr w:type="spellEnd"/>
      <w:r w:rsidRPr="00A53FD1">
        <w:t>) used for the methanol synthesis step were synthesized by co-precipitation</w:t>
      </w:r>
      <w:r w:rsidR="00822A70">
        <w:t>, following the methods proposed by Sanchez-Contador et al. (2018) and Portillo et al. (2022)</w:t>
      </w:r>
      <w:r w:rsidR="00AD52C8" w:rsidRPr="00A53FD1">
        <w:t xml:space="preserve">. For preparing </w:t>
      </w:r>
      <w:proofErr w:type="spellStart"/>
      <w:r w:rsidR="00AD52C8" w:rsidRPr="00A53FD1">
        <w:t>CuZnZr</w:t>
      </w:r>
      <w:proofErr w:type="spellEnd"/>
      <w:r w:rsidR="00AD52C8" w:rsidRPr="00A53FD1">
        <w:t xml:space="preserve"> catalyst,</w:t>
      </w:r>
      <w:r w:rsidR="00AA6AE8" w:rsidRPr="00A53FD1">
        <w:t xml:space="preserve"> with a </w:t>
      </w:r>
      <w:proofErr w:type="spellStart"/>
      <w:proofErr w:type="gramStart"/>
      <w:r w:rsidR="00AA6AE8" w:rsidRPr="00A53FD1">
        <w:t>Cu:Zn</w:t>
      </w:r>
      <w:proofErr w:type="gramEnd"/>
      <w:r w:rsidR="00AA6AE8" w:rsidRPr="00A53FD1">
        <w:t>:Zr</w:t>
      </w:r>
      <w:proofErr w:type="spellEnd"/>
      <w:r w:rsidR="00AA6AE8" w:rsidRPr="00A53FD1">
        <w:t xml:space="preserve"> ratio of 2/1/1,</w:t>
      </w:r>
      <w:r w:rsidR="00AD52C8" w:rsidRPr="00A53FD1">
        <w:t xml:space="preserve"> </w:t>
      </w:r>
      <w:r w:rsidR="00AA6AE8" w:rsidRPr="00A53FD1">
        <w:t>an aqueous solution of Cu(NO</w:t>
      </w:r>
      <w:r w:rsidR="00AA6AE8" w:rsidRPr="00A53FD1">
        <w:rPr>
          <w:vertAlign w:val="subscript"/>
        </w:rPr>
        <w:t>3</w:t>
      </w:r>
      <w:r w:rsidR="00AA6AE8" w:rsidRPr="00A53FD1">
        <w:t>)</w:t>
      </w:r>
      <w:r w:rsidR="00AA6AE8" w:rsidRPr="00A53FD1">
        <w:rPr>
          <w:vertAlign w:val="subscript"/>
        </w:rPr>
        <w:t>2</w:t>
      </w:r>
      <w:r w:rsidR="00AA6AE8" w:rsidRPr="00A53FD1">
        <w:t>, Zn(NO</w:t>
      </w:r>
      <w:r w:rsidR="00AA6AE8" w:rsidRPr="00A53FD1">
        <w:rPr>
          <w:vertAlign w:val="subscript"/>
        </w:rPr>
        <w:t>3</w:t>
      </w:r>
      <w:r w:rsidR="00AA6AE8" w:rsidRPr="00A53FD1">
        <w:t>)</w:t>
      </w:r>
      <w:r w:rsidR="00AA6AE8" w:rsidRPr="00A53FD1">
        <w:rPr>
          <w:vertAlign w:val="subscript"/>
        </w:rPr>
        <w:t>2</w:t>
      </w:r>
      <w:r w:rsidR="00AA6AE8" w:rsidRPr="00A53FD1">
        <w:t xml:space="preserve"> and </w:t>
      </w:r>
      <w:proofErr w:type="spellStart"/>
      <w:r w:rsidR="00AA6AE8" w:rsidRPr="00A53FD1">
        <w:t>ZrO</w:t>
      </w:r>
      <w:proofErr w:type="spellEnd"/>
      <w:r w:rsidR="00AA6AE8" w:rsidRPr="00A53FD1">
        <w:t>(NO</w:t>
      </w:r>
      <w:r w:rsidR="00AA6AE8" w:rsidRPr="00A53FD1">
        <w:rPr>
          <w:vertAlign w:val="subscript"/>
        </w:rPr>
        <w:t>3</w:t>
      </w:r>
      <w:r w:rsidR="00AA6AE8" w:rsidRPr="00A53FD1">
        <w:t>)</w:t>
      </w:r>
      <w:r w:rsidR="00AA6AE8" w:rsidRPr="00A53FD1">
        <w:rPr>
          <w:vertAlign w:val="subscript"/>
        </w:rPr>
        <w:t>2</w:t>
      </w:r>
      <w:r w:rsidR="00AA6AE8" w:rsidRPr="00A53FD1">
        <w:t xml:space="preserve"> </w:t>
      </w:r>
      <w:r w:rsidR="00400F72" w:rsidRPr="00A53FD1">
        <w:t xml:space="preserve">(1 M) </w:t>
      </w:r>
      <w:r w:rsidR="00AA6AE8" w:rsidRPr="00A53FD1">
        <w:t>and an aqueous solution of Na</w:t>
      </w:r>
      <w:r w:rsidR="00AA6AE8" w:rsidRPr="00A53FD1">
        <w:rPr>
          <w:vertAlign w:val="subscript"/>
        </w:rPr>
        <w:t>2</w:t>
      </w:r>
      <w:r w:rsidR="00AA6AE8" w:rsidRPr="00A53FD1">
        <w:t>CO</w:t>
      </w:r>
      <w:r w:rsidR="00AA6AE8" w:rsidRPr="00A53FD1">
        <w:rPr>
          <w:vertAlign w:val="subscript"/>
        </w:rPr>
        <w:t>3</w:t>
      </w:r>
      <w:r w:rsidR="00AA6AE8" w:rsidRPr="00A53FD1">
        <w:t xml:space="preserve"> </w:t>
      </w:r>
      <w:r w:rsidR="00400F72" w:rsidRPr="00A53FD1">
        <w:t xml:space="preserve">(1 M) </w:t>
      </w:r>
      <w:r w:rsidR="00AA6AE8" w:rsidRPr="00A53FD1">
        <w:t xml:space="preserve">as precipitant agent were prepared, and added dropwise over distilled water at a constant temperature of 70 ºC and a pH of 7. After the co-precipitation, the catalyst was aged at the </w:t>
      </w:r>
      <w:proofErr w:type="gramStart"/>
      <w:r w:rsidR="00AA6AE8" w:rsidRPr="00A53FD1">
        <w:t>aforementioned conditions</w:t>
      </w:r>
      <w:proofErr w:type="gramEnd"/>
      <w:r w:rsidR="00AA6AE8" w:rsidRPr="00A53FD1">
        <w:t xml:space="preserve"> for 1 h, filtered and washed to eliminate Na</w:t>
      </w:r>
      <w:r w:rsidR="00AA6AE8" w:rsidRPr="00A53FD1">
        <w:rPr>
          <w:vertAlign w:val="superscript"/>
        </w:rPr>
        <w:t>+</w:t>
      </w:r>
      <w:r w:rsidR="00AA6AE8" w:rsidRPr="00A53FD1">
        <w:t xml:space="preserve"> ions. Afterwards, the obtained </w:t>
      </w:r>
      <w:r w:rsidR="00AA6AE8" w:rsidRPr="00D46A1C">
        <w:t xml:space="preserve">solution </w:t>
      </w:r>
      <w:r w:rsidR="000E5934" w:rsidRPr="00D46A1C">
        <w:t xml:space="preserve">was </w:t>
      </w:r>
      <w:r w:rsidR="00AA6AE8" w:rsidRPr="00D46A1C">
        <w:t xml:space="preserve">dried at room temperature for 12 h, and another 12 h at 110 ºC. Finally, the obtained catalyst was calcined at 300 ºC for 10 h. As for the </w:t>
      </w:r>
      <w:proofErr w:type="spellStart"/>
      <w:r w:rsidR="00AA6AE8" w:rsidRPr="00D46A1C">
        <w:t>InZr</w:t>
      </w:r>
      <w:proofErr w:type="spellEnd"/>
      <w:r w:rsidR="00AA6AE8" w:rsidRPr="00D46A1C">
        <w:t xml:space="preserve"> catalyst, with an atomic </w:t>
      </w:r>
      <w:proofErr w:type="spellStart"/>
      <w:proofErr w:type="gramStart"/>
      <w:r w:rsidR="00AA6AE8" w:rsidRPr="00D46A1C">
        <w:t>In</w:t>
      </w:r>
      <w:proofErr w:type="gramEnd"/>
      <w:r w:rsidR="00AA6AE8" w:rsidRPr="00D46A1C">
        <w:t>:Zr</w:t>
      </w:r>
      <w:proofErr w:type="spellEnd"/>
      <w:r w:rsidR="00AA6AE8" w:rsidRPr="00D46A1C">
        <w:t xml:space="preserve"> ratio of 2/1, the procedure was similar as outlined above. In this case, </w:t>
      </w:r>
      <w:proofErr w:type="gramStart"/>
      <w:r w:rsidR="00AA6AE8" w:rsidRPr="00D46A1C">
        <w:t>In(</w:t>
      </w:r>
      <w:proofErr w:type="gramEnd"/>
      <w:r w:rsidR="00AA6AE8" w:rsidRPr="00D46A1C">
        <w:t>NO</w:t>
      </w:r>
      <w:r w:rsidR="00AA6AE8" w:rsidRPr="00D46A1C">
        <w:rPr>
          <w:vertAlign w:val="subscript"/>
        </w:rPr>
        <w:t>3</w:t>
      </w:r>
      <w:r w:rsidR="00AA6AE8" w:rsidRPr="00D46A1C">
        <w:t>)</w:t>
      </w:r>
      <w:r w:rsidR="00AA6AE8" w:rsidRPr="00D46A1C">
        <w:rPr>
          <w:vertAlign w:val="subscript"/>
        </w:rPr>
        <w:t>3</w:t>
      </w:r>
      <w:r w:rsidR="00AA6AE8" w:rsidRPr="00D46A1C">
        <w:t xml:space="preserve"> and Zr(NO</w:t>
      </w:r>
      <w:r w:rsidR="00AA6AE8" w:rsidRPr="00D46A1C">
        <w:rPr>
          <w:vertAlign w:val="subscript"/>
        </w:rPr>
        <w:t>3</w:t>
      </w:r>
      <w:r w:rsidR="00AA6AE8" w:rsidRPr="00D46A1C">
        <w:t>)</w:t>
      </w:r>
      <w:r w:rsidR="00AA6AE8" w:rsidRPr="00D46A1C">
        <w:rPr>
          <w:vertAlign w:val="subscript"/>
        </w:rPr>
        <w:t>4</w:t>
      </w:r>
      <w:r w:rsidR="00AA6AE8" w:rsidRPr="00D46A1C">
        <w:t xml:space="preserve"> nitrates were employed, and (NH</w:t>
      </w:r>
      <w:r w:rsidR="00AA6AE8" w:rsidRPr="00D46A1C">
        <w:rPr>
          <w:vertAlign w:val="subscript"/>
        </w:rPr>
        <w:t>4</w:t>
      </w:r>
      <w:r w:rsidR="00AA6AE8" w:rsidRPr="00D46A1C">
        <w:t>)</w:t>
      </w:r>
      <w:r w:rsidR="00AA6AE8" w:rsidRPr="00D46A1C">
        <w:rPr>
          <w:vertAlign w:val="subscript"/>
        </w:rPr>
        <w:t>2</w:t>
      </w:r>
      <w:r w:rsidR="00AA6AE8" w:rsidRPr="00D46A1C">
        <w:t>CO</w:t>
      </w:r>
      <w:r w:rsidR="00AA6AE8" w:rsidRPr="00D46A1C">
        <w:rPr>
          <w:vertAlign w:val="subscript"/>
        </w:rPr>
        <w:t>3</w:t>
      </w:r>
      <w:r w:rsidR="00AA6AE8" w:rsidRPr="00D46A1C">
        <w:t xml:space="preserve"> was used as precipitating agent. After aging, filtering and washing, the obtained solution was dried and calcined at 500 ºC for 1 h. The acid catalyst was a commercial HZSM-5 (obtained by </w:t>
      </w:r>
      <w:proofErr w:type="spellStart"/>
      <w:r w:rsidR="00AA6AE8" w:rsidRPr="00D46A1C">
        <w:t>Zeolyst</w:t>
      </w:r>
      <w:proofErr w:type="spellEnd"/>
      <w:r w:rsidR="00AA6AE8" w:rsidRPr="00D46A1C">
        <w:t xml:space="preserve"> International) with a Si/Al ratio of 140. The zeolite was obtained in ammonium form and calcined at 575 ºC for 2 hours</w:t>
      </w:r>
      <w:r w:rsidR="004C50DA" w:rsidRPr="00D46A1C">
        <w:t xml:space="preserve"> for obtaining the acidic form</w:t>
      </w:r>
      <w:r w:rsidR="00AA6AE8" w:rsidRPr="00D46A1C">
        <w:t>. The tandem catalysts (</w:t>
      </w:r>
      <w:proofErr w:type="spellStart"/>
      <w:r w:rsidR="00AA6AE8" w:rsidRPr="00D46A1C">
        <w:t>InZr</w:t>
      </w:r>
      <w:proofErr w:type="spellEnd"/>
      <w:r w:rsidR="00AA6AE8" w:rsidRPr="00D46A1C">
        <w:t xml:space="preserve">/H5 and </w:t>
      </w:r>
      <w:proofErr w:type="spellStart"/>
      <w:r w:rsidR="00AA6AE8" w:rsidRPr="00D46A1C">
        <w:t>CuZnZr</w:t>
      </w:r>
      <w:proofErr w:type="spellEnd"/>
      <w:r w:rsidR="00AA6AE8" w:rsidRPr="00D46A1C">
        <w:t xml:space="preserve">/H5) were prepared by physical mixture of the metallic and acid catalyst, with a </w:t>
      </w:r>
      <w:proofErr w:type="spellStart"/>
      <w:r w:rsidR="00AA6AE8" w:rsidRPr="00D46A1C">
        <w:t>meta</w:t>
      </w:r>
      <w:r w:rsidR="00DF586D" w:rsidRPr="00D46A1C">
        <w:t>li</w:t>
      </w:r>
      <w:r w:rsidR="00AA6AE8" w:rsidRPr="00D46A1C">
        <w:t>l</w:t>
      </w:r>
      <w:r w:rsidR="008E68DD" w:rsidRPr="00D46A1C">
        <w:t>c</w:t>
      </w:r>
      <w:proofErr w:type="spellEnd"/>
      <w:r w:rsidR="00AA6AE8" w:rsidRPr="00D46A1C">
        <w:t>/acid mass ratio of</w:t>
      </w:r>
      <w:r w:rsidR="004A3380" w:rsidRPr="00D46A1C">
        <w:t xml:space="preserve"> 1</w:t>
      </w:r>
      <w:r w:rsidR="00AA6AE8" w:rsidRPr="00D46A1C">
        <w:t xml:space="preserve">/1. </w:t>
      </w:r>
      <w:r w:rsidR="00DF3234" w:rsidRPr="00D46A1C">
        <w:t>This configuration was selected t</w:t>
      </w:r>
      <w:r w:rsidR="004A3380" w:rsidRPr="00D46A1C">
        <w:t>o shift the equilibrium of the first reaction-stage (methanol synthesis) by favoring the synergy between the metallic and the acid catalyst when physically mixing them.</w:t>
      </w:r>
    </w:p>
    <w:p w14:paraId="0F9B364C" w14:textId="52F04CFA" w:rsidR="008F6A5F" w:rsidRPr="00D46A1C" w:rsidRDefault="008F6A5F" w:rsidP="008F6A5F">
      <w:pPr>
        <w:pStyle w:val="CETheadingx"/>
      </w:pPr>
      <w:r w:rsidRPr="00D46A1C">
        <w:t>Reaction and Analysis Equipment</w:t>
      </w:r>
    </w:p>
    <w:p w14:paraId="67C5FD71" w14:textId="5BBD08B2" w:rsidR="008F6A5F" w:rsidRPr="00D46A1C" w:rsidRDefault="008F6A5F" w:rsidP="008F6A5F">
      <w:pPr>
        <w:pStyle w:val="CETBodytext"/>
      </w:pPr>
      <w:r w:rsidRPr="00D46A1C">
        <w:t xml:space="preserve">The catalytic reactions were carried out in an automated reaction equipment (PID Eng &amp; Tech </w:t>
      </w:r>
      <w:proofErr w:type="spellStart"/>
      <w:r w:rsidRPr="00D46A1C">
        <w:t>Microactivity</w:t>
      </w:r>
      <w:proofErr w:type="spellEnd"/>
      <w:r w:rsidRPr="00D46A1C">
        <w:t xml:space="preserve"> Reference) provided with an isothermal fixed bed reactor made of stainless steel and with an internal ceramic coating. The catalytic bed consisted of a mixture of the </w:t>
      </w:r>
      <w:r w:rsidRPr="00A53FD1">
        <w:t xml:space="preserve">catalyst and an inert </w:t>
      </w:r>
      <w:proofErr w:type="spellStart"/>
      <w:r w:rsidRPr="00A53FD1">
        <w:t>SiC</w:t>
      </w:r>
      <w:proofErr w:type="spellEnd"/>
      <w:r w:rsidRPr="00A53FD1">
        <w:t xml:space="preserve"> solid, with the aim of avoiding preferential flow paths and ensuring </w:t>
      </w:r>
      <w:r w:rsidR="004C50DA" w:rsidRPr="00A53FD1">
        <w:t>isothermal conditions in</w:t>
      </w:r>
      <w:r w:rsidRPr="00A53FD1">
        <w:t xml:space="preserve"> the bed. </w:t>
      </w:r>
      <w:r w:rsidR="0013478C" w:rsidRPr="00A53FD1">
        <w:t xml:space="preserve">The feed and products streams were analyzed on-line by means of a Varian CP-4900 (Agilent) micro chromatograph, equipped with three analytical </w:t>
      </w:r>
      <w:r w:rsidR="0013478C" w:rsidRPr="00D46A1C">
        <w:lastRenderedPageBreak/>
        <w:t xml:space="preserve">modules with TCD detectors: molecular sieve (MS-5), </w:t>
      </w:r>
      <w:proofErr w:type="spellStart"/>
      <w:r w:rsidR="0013478C" w:rsidRPr="00D46A1C">
        <w:t>Porapak</w:t>
      </w:r>
      <w:proofErr w:type="spellEnd"/>
      <w:r w:rsidR="0013478C" w:rsidRPr="00D46A1C">
        <w:t xml:space="preserve"> Q (PPQ) and 5 CB column (</w:t>
      </w:r>
      <w:proofErr w:type="spellStart"/>
      <w:r w:rsidR="0013478C" w:rsidRPr="00D46A1C">
        <w:t>CPSiL</w:t>
      </w:r>
      <w:proofErr w:type="spellEnd"/>
      <w:r w:rsidR="0013478C" w:rsidRPr="00D46A1C">
        <w:t>).</w:t>
      </w:r>
      <w:r w:rsidR="00A31196" w:rsidRPr="00D46A1C">
        <w:t xml:space="preserve"> A more detailed configuration of the experimental setup is described elsewhere (</w:t>
      </w:r>
      <w:proofErr w:type="spellStart"/>
      <w:r w:rsidR="00A31196" w:rsidRPr="00D46A1C">
        <w:t>Ateka</w:t>
      </w:r>
      <w:proofErr w:type="spellEnd"/>
      <w:r w:rsidR="00A31196" w:rsidRPr="00D46A1C">
        <w:t>, 2016)</w:t>
      </w:r>
      <w:r w:rsidR="005B16DD" w:rsidRPr="00D46A1C">
        <w:t>.</w:t>
      </w:r>
    </w:p>
    <w:p w14:paraId="1B149C74" w14:textId="61026737" w:rsidR="0013478C" w:rsidRPr="00D46A1C" w:rsidRDefault="0013478C" w:rsidP="008F6A5F">
      <w:pPr>
        <w:pStyle w:val="CETBodytext"/>
      </w:pPr>
    </w:p>
    <w:p w14:paraId="46ADD63E" w14:textId="569DA3ED" w:rsidR="004E27FD" w:rsidRPr="00D46A1C" w:rsidRDefault="0013478C" w:rsidP="008F6A5F">
      <w:pPr>
        <w:pStyle w:val="CETBodytext"/>
        <w:rPr>
          <w:lang w:val="en-GB"/>
        </w:rPr>
      </w:pPr>
      <w:r w:rsidRPr="00D46A1C">
        <w:t xml:space="preserve">The reaction runs with the metallic catalysts were performed under the </w:t>
      </w:r>
      <w:r w:rsidR="00814EB3" w:rsidRPr="00D46A1C">
        <w:t>succeeding conditions: 3</w:t>
      </w:r>
      <w:r w:rsidR="008971FC" w:rsidRPr="00D46A1C">
        <w:t>1</w:t>
      </w:r>
      <w:r w:rsidR="00814EB3" w:rsidRPr="00D46A1C">
        <w:t>0-4</w:t>
      </w:r>
      <w:r w:rsidR="008971FC" w:rsidRPr="00D46A1C">
        <w:t>3</w:t>
      </w:r>
      <w:r w:rsidR="00814EB3" w:rsidRPr="00D46A1C">
        <w:t xml:space="preserve">0 ºC; 50 </w:t>
      </w:r>
      <w:proofErr w:type="gramStart"/>
      <w:r w:rsidR="00814EB3" w:rsidRPr="00D46A1C">
        <w:t>bar</w:t>
      </w:r>
      <w:proofErr w:type="gramEnd"/>
      <w:r w:rsidR="00814EB3" w:rsidRPr="00D46A1C">
        <w:t>; CO</w:t>
      </w:r>
      <w:r w:rsidR="00814EB3" w:rsidRPr="00D46A1C">
        <w:rPr>
          <w:vertAlign w:val="subscript"/>
        </w:rPr>
        <w:t>2</w:t>
      </w:r>
      <w:r w:rsidR="00814EB3" w:rsidRPr="00D46A1C">
        <w:t>/(CO+CO</w:t>
      </w:r>
      <w:r w:rsidR="00814EB3" w:rsidRPr="00D46A1C">
        <w:rPr>
          <w:vertAlign w:val="subscript"/>
        </w:rPr>
        <w:t>2</w:t>
      </w:r>
      <w:r w:rsidR="00814EB3" w:rsidRPr="00D46A1C">
        <w:t>) ratio, 0.5; H</w:t>
      </w:r>
      <w:r w:rsidR="00814EB3" w:rsidRPr="00D46A1C">
        <w:rPr>
          <w:vertAlign w:val="subscript"/>
        </w:rPr>
        <w:t>2</w:t>
      </w:r>
      <w:r w:rsidR="00814EB3" w:rsidRPr="00D46A1C">
        <w:t>/(CO+CO</w:t>
      </w:r>
      <w:r w:rsidR="00814EB3" w:rsidRPr="00D46A1C">
        <w:rPr>
          <w:vertAlign w:val="subscript"/>
        </w:rPr>
        <w:t>2</w:t>
      </w:r>
      <w:r w:rsidR="00814EB3" w:rsidRPr="00D46A1C">
        <w:t>) ratio, 3</w:t>
      </w:r>
      <w:r w:rsidR="00A31196" w:rsidRPr="00D46A1C">
        <w:t xml:space="preserve">; space time, </w:t>
      </w:r>
      <w:r w:rsidR="001B4220" w:rsidRPr="00D46A1C">
        <w:t>6</w:t>
      </w:r>
      <w:r w:rsidR="00A31196" w:rsidRPr="00D46A1C">
        <w:t xml:space="preserve"> </w:t>
      </w:r>
      <w:proofErr w:type="spellStart"/>
      <w:r w:rsidR="00A31196" w:rsidRPr="00D46A1C">
        <w:t>g</w:t>
      </w:r>
      <w:r w:rsidR="00A31196" w:rsidRPr="00D46A1C">
        <w:rPr>
          <w:vertAlign w:val="subscript"/>
        </w:rPr>
        <w:t>cat</w:t>
      </w:r>
      <w:proofErr w:type="spellEnd"/>
      <w:r w:rsidR="00A31196" w:rsidRPr="00D46A1C">
        <w:t xml:space="preserve"> h mol</w:t>
      </w:r>
      <w:r w:rsidR="00A31196" w:rsidRPr="00D46A1C">
        <w:rPr>
          <w:vertAlign w:val="subscript"/>
        </w:rPr>
        <w:t>C</w:t>
      </w:r>
      <w:r w:rsidR="00A31196" w:rsidRPr="00D46A1C">
        <w:rPr>
          <w:vertAlign w:val="superscript"/>
        </w:rPr>
        <w:t>-1</w:t>
      </w:r>
      <w:r w:rsidR="004A3380" w:rsidRPr="00D46A1C">
        <w:rPr>
          <w:vertAlign w:val="superscript"/>
        </w:rPr>
        <w:t xml:space="preserve"> </w:t>
      </w:r>
      <w:r w:rsidR="00A31196" w:rsidRPr="00D46A1C">
        <w:t>(only metallic catalyst).</w:t>
      </w:r>
      <w:r w:rsidR="00814EB3" w:rsidRPr="00D46A1C">
        <w:t xml:space="preserve"> Regarding the reactions with the tandem catalysts, the reactions were carried out under the following conditions: 3</w:t>
      </w:r>
      <w:r w:rsidR="008971FC" w:rsidRPr="00D46A1C">
        <w:t>4</w:t>
      </w:r>
      <w:r w:rsidR="00814EB3" w:rsidRPr="00D46A1C">
        <w:t>0 ºC, 3</w:t>
      </w:r>
      <w:r w:rsidR="008971FC" w:rsidRPr="00D46A1C">
        <w:t>8</w:t>
      </w:r>
      <w:r w:rsidR="00814EB3" w:rsidRPr="00D46A1C">
        <w:t>0 ºC and 4</w:t>
      </w:r>
      <w:r w:rsidR="008971FC" w:rsidRPr="00D46A1C">
        <w:t>2</w:t>
      </w:r>
      <w:r w:rsidR="00814EB3" w:rsidRPr="00D46A1C">
        <w:t xml:space="preserve">0 ºC; 50 </w:t>
      </w:r>
      <w:proofErr w:type="gramStart"/>
      <w:r w:rsidR="00814EB3" w:rsidRPr="00D46A1C">
        <w:t>bar</w:t>
      </w:r>
      <w:proofErr w:type="gramEnd"/>
      <w:r w:rsidR="00EF40F8" w:rsidRPr="00D46A1C">
        <w:t>; CO</w:t>
      </w:r>
      <w:r w:rsidR="00EF40F8" w:rsidRPr="00D46A1C">
        <w:rPr>
          <w:vertAlign w:val="subscript"/>
        </w:rPr>
        <w:t>2</w:t>
      </w:r>
      <w:r w:rsidR="00EF40F8" w:rsidRPr="00D46A1C">
        <w:t>/(CO+CO</w:t>
      </w:r>
      <w:r w:rsidR="00EF40F8" w:rsidRPr="00D46A1C">
        <w:rPr>
          <w:vertAlign w:val="subscript"/>
        </w:rPr>
        <w:t>2</w:t>
      </w:r>
      <w:r w:rsidR="00EF40F8" w:rsidRPr="00D46A1C">
        <w:t>) ratio, 0.5; H</w:t>
      </w:r>
      <w:r w:rsidR="00EF40F8" w:rsidRPr="00D46A1C">
        <w:rPr>
          <w:vertAlign w:val="subscript"/>
        </w:rPr>
        <w:t>2</w:t>
      </w:r>
      <w:r w:rsidR="00EF40F8" w:rsidRPr="00D46A1C">
        <w:t>/(CO+CO</w:t>
      </w:r>
      <w:r w:rsidR="00EF40F8" w:rsidRPr="00D46A1C">
        <w:rPr>
          <w:vertAlign w:val="subscript"/>
        </w:rPr>
        <w:t>2</w:t>
      </w:r>
      <w:r w:rsidR="00A31196" w:rsidRPr="00D46A1C">
        <w:t>) ratio, 3; space time, 1</w:t>
      </w:r>
      <w:r w:rsidR="00CB1A8F" w:rsidRPr="00D46A1C">
        <w:t>2</w:t>
      </w:r>
      <w:r w:rsidR="00A31196" w:rsidRPr="00D46A1C">
        <w:t xml:space="preserve"> </w:t>
      </w:r>
      <w:proofErr w:type="spellStart"/>
      <w:r w:rsidR="00A31196" w:rsidRPr="00D46A1C">
        <w:t>g</w:t>
      </w:r>
      <w:r w:rsidR="00A31196" w:rsidRPr="00D46A1C">
        <w:rPr>
          <w:vertAlign w:val="subscript"/>
        </w:rPr>
        <w:t>cat</w:t>
      </w:r>
      <w:proofErr w:type="spellEnd"/>
      <w:r w:rsidR="00A31196" w:rsidRPr="00D46A1C">
        <w:t xml:space="preserve"> h mol</w:t>
      </w:r>
      <w:r w:rsidR="00A31196" w:rsidRPr="00D46A1C">
        <w:rPr>
          <w:vertAlign w:val="subscript"/>
        </w:rPr>
        <w:t>C</w:t>
      </w:r>
      <w:r w:rsidR="00A31196" w:rsidRPr="00D46A1C">
        <w:rPr>
          <w:vertAlign w:val="superscript"/>
        </w:rPr>
        <w:t xml:space="preserve">-1 </w:t>
      </w:r>
      <w:r w:rsidR="00A31196" w:rsidRPr="00D46A1C">
        <w:t xml:space="preserve">(metallic and acid catalysts). The results of the reactions are the </w:t>
      </w:r>
      <w:r w:rsidR="004A3380" w:rsidRPr="00D46A1C">
        <w:rPr>
          <w:lang w:val="en-GB"/>
        </w:rPr>
        <w:t>average value of three tested reactions, in which carbon balance was closed above 95%.</w:t>
      </w:r>
    </w:p>
    <w:p w14:paraId="23C4D68B" w14:textId="0F909E37" w:rsidR="004E27FD" w:rsidRPr="00A53FD1" w:rsidRDefault="004E27FD" w:rsidP="004E27FD">
      <w:pPr>
        <w:pStyle w:val="CETheadingx"/>
      </w:pPr>
      <w:r w:rsidRPr="00A53FD1">
        <w:t>Reaction Indices</w:t>
      </w:r>
    </w:p>
    <w:p w14:paraId="3A126073" w14:textId="0155398C" w:rsidR="004E27FD" w:rsidRPr="00A53FD1" w:rsidRDefault="00D65296" w:rsidP="004E27FD">
      <w:pPr>
        <w:pStyle w:val="CETBodytext"/>
      </w:pPr>
      <w:r w:rsidRPr="00A53FD1">
        <w:t>The conversion of CO</w:t>
      </w:r>
      <w:r w:rsidRPr="00A53FD1">
        <w:rPr>
          <w:vertAlign w:val="subscript"/>
        </w:rPr>
        <w:t>2</w:t>
      </w:r>
      <w:r w:rsidRPr="00A53FD1">
        <w:t xml:space="preserve"> and </w:t>
      </w:r>
      <w:proofErr w:type="spellStart"/>
      <w:r w:rsidRPr="00A53FD1">
        <w:t>CO</w:t>
      </w:r>
      <w:r w:rsidRPr="00A53FD1">
        <w:rPr>
          <w:vertAlign w:val="subscript"/>
        </w:rPr>
        <w:t>x</w:t>
      </w:r>
      <w:proofErr w:type="spellEnd"/>
      <w:r w:rsidRPr="00A53FD1">
        <w:t xml:space="preserve"> (CO</w:t>
      </w:r>
      <w:r w:rsidRPr="00A53FD1">
        <w:rPr>
          <w:vertAlign w:val="subscript"/>
        </w:rPr>
        <w:t>2</w:t>
      </w:r>
      <w:r w:rsidRPr="00A53FD1">
        <w:t xml:space="preserve">+CO) were calculated in accordance with the following expressions: </w:t>
      </w:r>
    </w:p>
    <w:tbl>
      <w:tblPr>
        <w:tblW w:w="5000" w:type="pct"/>
        <w:tblLook w:val="04A0" w:firstRow="1" w:lastRow="0" w:firstColumn="1" w:lastColumn="0" w:noHBand="0" w:noVBand="1"/>
      </w:tblPr>
      <w:tblGrid>
        <w:gridCol w:w="7983"/>
        <w:gridCol w:w="804"/>
      </w:tblGrid>
      <w:tr w:rsidR="00D65296" w:rsidRPr="00A53FD1" w14:paraId="41DC1115" w14:textId="77777777" w:rsidTr="007B5CF0">
        <w:tc>
          <w:tcPr>
            <w:tcW w:w="7983" w:type="dxa"/>
            <w:shd w:val="clear" w:color="auto" w:fill="auto"/>
            <w:vAlign w:val="center"/>
          </w:tcPr>
          <w:p w14:paraId="59213CCE" w14:textId="44F9F5B8" w:rsidR="00D65296" w:rsidRPr="00A53FD1" w:rsidRDefault="00D46A1C" w:rsidP="00D65296">
            <w:pPr>
              <w:pStyle w:val="CETEquation"/>
              <w:rPr>
                <w:lang w:val="en-US"/>
              </w:rPr>
            </w:pPr>
            <m:oMathPara>
              <m:oMath>
                <m:sSub>
                  <m:sSubPr>
                    <m:ctrlPr>
                      <w:rPr>
                        <w:rFonts w:ascii="Cambria Math" w:hAnsi="Cambria Math"/>
                        <w:lang w:val="en-US"/>
                      </w:rPr>
                    </m:ctrlPr>
                  </m:sSubPr>
                  <m:e>
                    <m:r>
                      <m:rPr>
                        <m:sty m:val="p"/>
                      </m:rPr>
                      <w:rPr>
                        <w:rFonts w:ascii="Cambria Math" w:hAnsi="Cambria Math"/>
                        <w:lang w:val="en-US"/>
                      </w:rPr>
                      <m:t>X</m:t>
                    </m:r>
                  </m:e>
                  <m:sub>
                    <m:sSub>
                      <m:sSubPr>
                        <m:ctrlPr>
                          <w:rPr>
                            <w:rFonts w:ascii="Cambria Math" w:hAnsi="Cambria Math"/>
                            <w:lang w:val="en-US"/>
                          </w:rPr>
                        </m:ctrlPr>
                      </m:sSubPr>
                      <m:e>
                        <m:r>
                          <m:rPr>
                            <m:sty m:val="p"/>
                          </m:rPr>
                          <w:rPr>
                            <w:rFonts w:ascii="Cambria Math" w:hAnsi="Cambria Math"/>
                            <w:lang w:val="en-US"/>
                          </w:rPr>
                          <m:t>CO</m:t>
                        </m:r>
                      </m:e>
                      <m:sub>
                        <m:r>
                          <m:rPr>
                            <m:sty m:val="p"/>
                          </m:rPr>
                          <w:rPr>
                            <w:rFonts w:ascii="Cambria Math" w:hAnsi="Cambria Math"/>
                            <w:lang w:val="en-US"/>
                          </w:rPr>
                          <m:t>2</m:t>
                        </m:r>
                      </m:sub>
                    </m:sSub>
                  </m:sub>
                </m:sSub>
                <m:r>
                  <m:rPr>
                    <m:sty m:val="p"/>
                  </m:rPr>
                  <w:rPr>
                    <w:rFonts w:ascii="Cambria Math" w:hAnsi="Cambria Math"/>
                    <w:lang w:val="en-US"/>
                  </w:rPr>
                  <m:t>=</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2</m:t>
                            </m:r>
                          </m:sub>
                        </m:sSub>
                      </m:sub>
                      <m:sup>
                        <m:r>
                          <m:rPr>
                            <m:sty m:val="p"/>
                          </m:rPr>
                          <w:rPr>
                            <w:rFonts w:ascii="Cambria Math" w:hAnsi="Cambria Math"/>
                            <w:lang w:val="en-US"/>
                          </w:rPr>
                          <m:t>0</m:t>
                        </m:r>
                      </m:sup>
                    </m:sSubSup>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2</m:t>
                            </m:r>
                          </m:sub>
                        </m:sSub>
                      </m:sub>
                    </m:sSub>
                  </m:num>
                  <m:den>
                    <m:sSubSup>
                      <m:sSubSupPr>
                        <m:ctrlPr>
                          <w:rPr>
                            <w:rFonts w:ascii="Cambria Math" w:hAnsi="Cambria Math"/>
                            <w:lang w:val="en-US"/>
                          </w:rPr>
                        </m:ctrlPr>
                      </m:sSubSup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2</m:t>
                            </m:r>
                          </m:sub>
                        </m:sSub>
                      </m:sub>
                      <m:sup>
                        <m:r>
                          <m:rPr>
                            <m:sty m:val="p"/>
                          </m:rPr>
                          <w:rPr>
                            <w:rFonts w:ascii="Cambria Math" w:hAnsi="Cambria Math"/>
                            <w:lang w:val="en-US"/>
                          </w:rPr>
                          <m:t>0</m:t>
                        </m:r>
                      </m:sup>
                    </m:sSubSup>
                  </m:den>
                </m:f>
              </m:oMath>
            </m:oMathPara>
          </w:p>
        </w:tc>
        <w:tc>
          <w:tcPr>
            <w:tcW w:w="804" w:type="dxa"/>
            <w:shd w:val="clear" w:color="auto" w:fill="auto"/>
            <w:vAlign w:val="center"/>
          </w:tcPr>
          <w:p w14:paraId="6B2692D6" w14:textId="169225BC" w:rsidR="00D65296" w:rsidRPr="00A53FD1" w:rsidRDefault="00D65296" w:rsidP="007B5CF0">
            <w:pPr>
              <w:pStyle w:val="CETEquation"/>
              <w:jc w:val="right"/>
              <w:rPr>
                <w:lang w:val="en-US"/>
              </w:rPr>
            </w:pPr>
            <w:r w:rsidRPr="00A53FD1">
              <w:rPr>
                <w:lang w:val="en-US"/>
              </w:rPr>
              <w:t>(</w:t>
            </w:r>
            <w:r w:rsidR="00633D5B" w:rsidRPr="00A53FD1">
              <w:rPr>
                <w:lang w:val="en-US"/>
              </w:rPr>
              <w:t>6</w:t>
            </w:r>
            <w:r w:rsidRPr="00A53FD1">
              <w:rPr>
                <w:lang w:val="en-US"/>
              </w:rPr>
              <w:t>)</w:t>
            </w:r>
          </w:p>
        </w:tc>
      </w:tr>
      <w:tr w:rsidR="00D65296" w:rsidRPr="00A53FD1" w14:paraId="74183DB4" w14:textId="77777777" w:rsidTr="007B5CF0">
        <w:tc>
          <w:tcPr>
            <w:tcW w:w="7983" w:type="dxa"/>
            <w:shd w:val="clear" w:color="auto" w:fill="auto"/>
            <w:vAlign w:val="center"/>
          </w:tcPr>
          <w:p w14:paraId="3288177D" w14:textId="436E0183" w:rsidR="00D65296" w:rsidRPr="00A53FD1" w:rsidRDefault="00D46A1C" w:rsidP="00633D5B">
            <w:pPr>
              <w:pStyle w:val="CETEquation"/>
              <w:rPr>
                <w:rFonts w:ascii="Cambria Math" w:hAnsi="Cambria Math"/>
                <w:lang w:val="en-US"/>
                <w:oMath/>
              </w:rPr>
            </w:pPr>
            <m:oMathPara>
              <m:oMath>
                <m:sSub>
                  <m:sSubPr>
                    <m:ctrlPr>
                      <w:rPr>
                        <w:rFonts w:ascii="Cambria Math" w:hAnsi="Cambria Math"/>
                        <w:lang w:val="en-US"/>
                      </w:rPr>
                    </m:ctrlPr>
                  </m:sSubPr>
                  <m:e>
                    <m:r>
                      <m:rPr>
                        <m:sty m:val="p"/>
                      </m:rPr>
                      <w:rPr>
                        <w:rFonts w:ascii="Cambria Math" w:hAnsi="Cambria Math"/>
                        <w:lang w:val="en-US"/>
                      </w:rPr>
                      <m:t>X</m:t>
                    </m:r>
                  </m:e>
                  <m:sub>
                    <m:sSub>
                      <m:sSubPr>
                        <m:ctrlPr>
                          <w:rPr>
                            <w:rFonts w:ascii="Cambria Math" w:hAnsi="Cambria Math"/>
                            <w:lang w:val="en-US"/>
                          </w:rPr>
                        </m:ctrlPr>
                      </m:sSubPr>
                      <m:e>
                        <m:r>
                          <m:rPr>
                            <m:sty m:val="p"/>
                          </m:rPr>
                          <w:rPr>
                            <w:rFonts w:ascii="Cambria Math" w:hAnsi="Cambria Math"/>
                            <w:lang w:val="en-US"/>
                          </w:rPr>
                          <m:t>CO</m:t>
                        </m:r>
                      </m:e>
                      <m:sub>
                        <m:r>
                          <m:rPr>
                            <m:sty m:val="p"/>
                          </m:rPr>
                          <w:rPr>
                            <w:rFonts w:ascii="Cambria Math" w:hAnsi="Cambria Math"/>
                            <w:lang w:val="en-US"/>
                          </w:rPr>
                          <m:t>x</m:t>
                        </m:r>
                      </m:sub>
                    </m:sSub>
                  </m:sub>
                </m:sSub>
                <m:r>
                  <m:rPr>
                    <m:sty m:val="p"/>
                  </m:rPr>
                  <w:rPr>
                    <w:rFonts w:ascii="Cambria Math" w:hAnsi="Cambria Math"/>
                    <w:lang w:val="en-US"/>
                  </w:rPr>
                  <m:t>=</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x</m:t>
                            </m:r>
                          </m:sub>
                        </m:sSub>
                      </m:sub>
                      <m:sup>
                        <m:r>
                          <m:rPr>
                            <m:sty m:val="p"/>
                          </m:rPr>
                          <w:rPr>
                            <w:rFonts w:ascii="Cambria Math" w:hAnsi="Cambria Math"/>
                            <w:lang w:val="en-US"/>
                          </w:rPr>
                          <m:t>0</m:t>
                        </m:r>
                      </m:sup>
                    </m:sSubSup>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x</m:t>
                            </m:r>
                          </m:sub>
                        </m:sSub>
                      </m:sub>
                    </m:sSub>
                  </m:num>
                  <m:den>
                    <m:sSubSup>
                      <m:sSubSupPr>
                        <m:ctrlPr>
                          <w:rPr>
                            <w:rFonts w:ascii="Cambria Math" w:hAnsi="Cambria Math"/>
                            <w:lang w:val="en-US"/>
                          </w:rPr>
                        </m:ctrlPr>
                      </m:sSubSup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x</m:t>
                            </m:r>
                          </m:sub>
                        </m:sSub>
                      </m:sub>
                      <m:sup>
                        <m:r>
                          <m:rPr>
                            <m:sty m:val="p"/>
                          </m:rPr>
                          <w:rPr>
                            <w:rFonts w:ascii="Cambria Math" w:hAnsi="Cambria Math"/>
                            <w:lang w:val="en-US"/>
                          </w:rPr>
                          <m:t>0</m:t>
                        </m:r>
                      </m:sup>
                    </m:sSubSup>
                  </m:den>
                </m:f>
              </m:oMath>
            </m:oMathPara>
          </w:p>
        </w:tc>
        <w:tc>
          <w:tcPr>
            <w:tcW w:w="804" w:type="dxa"/>
            <w:shd w:val="clear" w:color="auto" w:fill="auto"/>
            <w:vAlign w:val="center"/>
          </w:tcPr>
          <w:p w14:paraId="29F9ED7A" w14:textId="3F6D05DE" w:rsidR="00D65296" w:rsidRPr="00A53FD1" w:rsidRDefault="00D65296" w:rsidP="007B5CF0">
            <w:pPr>
              <w:pStyle w:val="CETEquation"/>
              <w:jc w:val="right"/>
              <w:rPr>
                <w:lang w:val="en-US"/>
              </w:rPr>
            </w:pPr>
            <w:r w:rsidRPr="00A53FD1">
              <w:rPr>
                <w:lang w:val="en-US"/>
              </w:rPr>
              <w:t>(</w:t>
            </w:r>
            <w:r w:rsidR="00633D5B" w:rsidRPr="00A53FD1">
              <w:rPr>
                <w:lang w:val="en-US"/>
              </w:rPr>
              <w:t>7</w:t>
            </w:r>
            <w:r w:rsidRPr="00A53FD1">
              <w:rPr>
                <w:lang w:val="en-US"/>
              </w:rPr>
              <w:t>)</w:t>
            </w:r>
          </w:p>
        </w:tc>
      </w:tr>
    </w:tbl>
    <w:p w14:paraId="3D8D63C9" w14:textId="77777777" w:rsidR="00D65296" w:rsidRPr="00A53FD1" w:rsidRDefault="00D65296" w:rsidP="004E27FD">
      <w:pPr>
        <w:pStyle w:val="CETBodytext"/>
      </w:pPr>
    </w:p>
    <w:p w14:paraId="7B638678" w14:textId="30A92BED" w:rsidR="00D65296" w:rsidRPr="00A53FD1" w:rsidRDefault="00633D5B" w:rsidP="004E27FD">
      <w:pPr>
        <w:pStyle w:val="CETBodytext"/>
      </w:pPr>
      <w:r w:rsidRPr="00A53FD1">
        <w:t xml:space="preserve">where </w:t>
      </w:r>
      <w:r w:rsidRPr="00A53FD1">
        <w:rPr>
          <w:i/>
        </w:rPr>
        <w:t>F</w:t>
      </w:r>
      <w:r w:rsidRPr="00A53FD1">
        <w:rPr>
          <w:i/>
          <w:vertAlign w:val="superscript"/>
        </w:rPr>
        <w:t>0</w:t>
      </w:r>
      <w:r w:rsidRPr="00A53FD1">
        <w:rPr>
          <w:i/>
          <w:vertAlign w:val="subscript"/>
        </w:rPr>
        <w:t>CO2</w:t>
      </w:r>
      <w:r w:rsidRPr="00A53FD1">
        <w:t xml:space="preserve"> and </w:t>
      </w:r>
      <w:r w:rsidRPr="00A53FD1">
        <w:rPr>
          <w:i/>
        </w:rPr>
        <w:t>F</w:t>
      </w:r>
      <w:r w:rsidRPr="00A53FD1">
        <w:rPr>
          <w:i/>
          <w:vertAlign w:val="superscript"/>
        </w:rPr>
        <w:t>0</w:t>
      </w:r>
      <w:r w:rsidRPr="00A53FD1">
        <w:rPr>
          <w:i/>
          <w:vertAlign w:val="subscript"/>
        </w:rPr>
        <w:t>COx</w:t>
      </w:r>
      <w:r w:rsidRPr="00A53FD1">
        <w:t xml:space="preserve"> are the inlet molar flow rates in content of C atoms of CO</w:t>
      </w:r>
      <w:r w:rsidRPr="00A53FD1">
        <w:rPr>
          <w:vertAlign w:val="subscript"/>
        </w:rPr>
        <w:t>2</w:t>
      </w:r>
      <w:r w:rsidRPr="00A53FD1">
        <w:t xml:space="preserve"> and </w:t>
      </w:r>
      <w:proofErr w:type="spellStart"/>
      <w:r w:rsidRPr="00A53FD1">
        <w:t>CO</w:t>
      </w:r>
      <w:r w:rsidRPr="00A53FD1">
        <w:rPr>
          <w:vertAlign w:val="subscript"/>
        </w:rPr>
        <w:t>x</w:t>
      </w:r>
      <w:proofErr w:type="spellEnd"/>
      <w:r w:rsidRPr="00A53FD1">
        <w:t xml:space="preserve">, respectively, and </w:t>
      </w:r>
      <w:r w:rsidRPr="00A53FD1">
        <w:rPr>
          <w:i/>
        </w:rPr>
        <w:t>F</w:t>
      </w:r>
      <w:r w:rsidRPr="00A53FD1">
        <w:rPr>
          <w:i/>
          <w:vertAlign w:val="subscript"/>
        </w:rPr>
        <w:t>CO2</w:t>
      </w:r>
      <w:r w:rsidRPr="00A53FD1">
        <w:t xml:space="preserve"> and </w:t>
      </w:r>
      <w:proofErr w:type="spellStart"/>
      <w:r w:rsidRPr="00A53FD1">
        <w:rPr>
          <w:i/>
        </w:rPr>
        <w:t>F</w:t>
      </w:r>
      <w:r w:rsidRPr="00A53FD1">
        <w:rPr>
          <w:i/>
          <w:vertAlign w:val="subscript"/>
        </w:rPr>
        <w:t>COx</w:t>
      </w:r>
      <w:proofErr w:type="spellEnd"/>
      <w:r w:rsidRPr="00A53FD1">
        <w:t xml:space="preserve"> are the outlet molar flow rates in content of C atoms of CO</w:t>
      </w:r>
      <w:r w:rsidRPr="00A53FD1">
        <w:rPr>
          <w:vertAlign w:val="subscript"/>
        </w:rPr>
        <w:t>2</w:t>
      </w:r>
      <w:r w:rsidRPr="00A53FD1">
        <w:t xml:space="preserve"> and </w:t>
      </w:r>
      <w:proofErr w:type="spellStart"/>
      <w:r w:rsidRPr="00A53FD1">
        <w:t>CO</w:t>
      </w:r>
      <w:r w:rsidRPr="00A53FD1">
        <w:rPr>
          <w:vertAlign w:val="subscript"/>
        </w:rPr>
        <w:t>x</w:t>
      </w:r>
      <w:proofErr w:type="spellEnd"/>
      <w:r w:rsidRPr="00A53FD1">
        <w:t xml:space="preserve"> respectively. </w:t>
      </w:r>
    </w:p>
    <w:p w14:paraId="6506EE2D" w14:textId="28C29D00" w:rsidR="00633D5B" w:rsidRPr="00A53FD1" w:rsidRDefault="00633D5B" w:rsidP="004E27FD">
      <w:pPr>
        <w:pStyle w:val="CETBodytext"/>
      </w:pPr>
    </w:p>
    <w:p w14:paraId="4D0DBF06" w14:textId="43F67387" w:rsidR="00633D5B" w:rsidRPr="00A53FD1" w:rsidRDefault="00633D5B" w:rsidP="004E27FD">
      <w:pPr>
        <w:pStyle w:val="CETBodytext"/>
      </w:pPr>
      <w:r w:rsidRPr="00A53FD1">
        <w:t xml:space="preserve">The yield of each </w:t>
      </w:r>
      <w:proofErr w:type="spellStart"/>
      <w:r w:rsidRPr="00A53FD1">
        <w:rPr>
          <w:i/>
        </w:rPr>
        <w:t>i</w:t>
      </w:r>
      <w:proofErr w:type="spellEnd"/>
      <w:r w:rsidRPr="00A53FD1">
        <w:rPr>
          <w:i/>
        </w:rPr>
        <w:t xml:space="preserve"> </w:t>
      </w:r>
      <w:r w:rsidRPr="00A53FD1">
        <w:t>product (Y</w:t>
      </w:r>
      <w:r w:rsidRPr="00A53FD1">
        <w:rPr>
          <w:vertAlign w:val="subscript"/>
        </w:rPr>
        <w:t>i</w:t>
      </w:r>
      <w:r w:rsidRPr="00A53FD1">
        <w:t>, except for CO and CO</w:t>
      </w:r>
      <w:r w:rsidRPr="00A53FD1">
        <w:rPr>
          <w:vertAlign w:val="subscript"/>
        </w:rPr>
        <w:t>2</w:t>
      </w:r>
      <w:r w:rsidRPr="00A53FD1">
        <w:t>) was measured as follows:</w:t>
      </w:r>
    </w:p>
    <w:p w14:paraId="1F1CADBE" w14:textId="49E47ABB" w:rsidR="00633D5B" w:rsidRPr="00A53FD1" w:rsidRDefault="00633D5B" w:rsidP="004E27FD">
      <w:pPr>
        <w:pStyle w:val="CETBodytext"/>
      </w:pPr>
    </w:p>
    <w:tbl>
      <w:tblPr>
        <w:tblW w:w="5000" w:type="pct"/>
        <w:tblLook w:val="04A0" w:firstRow="1" w:lastRow="0" w:firstColumn="1" w:lastColumn="0" w:noHBand="0" w:noVBand="1"/>
      </w:tblPr>
      <w:tblGrid>
        <w:gridCol w:w="7983"/>
        <w:gridCol w:w="804"/>
      </w:tblGrid>
      <w:tr w:rsidR="00633D5B" w:rsidRPr="00A53FD1" w14:paraId="38E8A8C3" w14:textId="77777777" w:rsidTr="007B5CF0">
        <w:tc>
          <w:tcPr>
            <w:tcW w:w="7983" w:type="dxa"/>
            <w:shd w:val="clear" w:color="auto" w:fill="auto"/>
            <w:vAlign w:val="center"/>
          </w:tcPr>
          <w:p w14:paraId="6AB67330" w14:textId="58C1B75F" w:rsidR="00633D5B" w:rsidRPr="00A53FD1" w:rsidRDefault="00D46A1C" w:rsidP="00633D5B">
            <w:pPr>
              <w:pStyle w:val="CETEquation"/>
              <w:rPr>
                <w:lang w:val="en-US"/>
              </w:rPr>
            </w:pPr>
            <m:oMathPara>
              <m:oMath>
                <m:sSub>
                  <m:sSubPr>
                    <m:ctrlPr>
                      <w:rPr>
                        <w:rFonts w:ascii="Cambria Math" w:hAnsi="Cambria Math"/>
                        <w:lang w:val="en-US"/>
                      </w:rPr>
                    </m:ctrlPr>
                  </m:sSubPr>
                  <m:e>
                    <m:r>
                      <m:rPr>
                        <m:sty m:val="p"/>
                      </m:rPr>
                      <w:rPr>
                        <w:rFonts w:ascii="Cambria Math" w:hAnsi="Cambria Math"/>
                        <w:lang w:val="en-US"/>
                      </w:rPr>
                      <m:t>Y</m:t>
                    </m:r>
                  </m:e>
                  <m:sub>
                    <m:r>
                      <m:rPr>
                        <m:sty m:val="p"/>
                      </m:rPr>
                      <w:rPr>
                        <w:rFonts w:ascii="Cambria Math" w:hAnsi="Cambria Math"/>
                        <w:lang w:val="en-US"/>
                      </w:rPr>
                      <m:t>i</m:t>
                    </m:r>
                  </m:sub>
                </m:sSub>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n</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i</m:t>
                        </m:r>
                      </m:sub>
                    </m:sSub>
                  </m:num>
                  <m:den>
                    <m:sSubSup>
                      <m:sSubSupPr>
                        <m:ctrlPr>
                          <w:rPr>
                            <w:rFonts w:ascii="Cambria Math" w:hAnsi="Cambria Math"/>
                            <w:lang w:val="en-US"/>
                          </w:rPr>
                        </m:ctrlPr>
                      </m:sSubSupPr>
                      <m:e>
                        <m:r>
                          <m:rPr>
                            <m:sty m:val="p"/>
                          </m:rPr>
                          <w:rPr>
                            <w:rFonts w:ascii="Cambria Math" w:hAnsi="Cambria Math"/>
                            <w:lang w:val="en-US"/>
                          </w:rPr>
                          <m:t>F</m:t>
                        </m:r>
                      </m:e>
                      <m:sub>
                        <m:r>
                          <m:rPr>
                            <m:sty m:val="p"/>
                          </m:rPr>
                          <w:rPr>
                            <w:rFonts w:ascii="Cambria Math" w:hAnsi="Cambria Math"/>
                            <w:lang w:val="en-US"/>
                          </w:rPr>
                          <m:t>C</m:t>
                        </m:r>
                        <m:sSub>
                          <m:sSubPr>
                            <m:ctrlPr>
                              <w:rPr>
                                <w:rFonts w:ascii="Cambria Math" w:hAnsi="Cambria Math"/>
                                <w:lang w:val="en-US"/>
                              </w:rPr>
                            </m:ctrlPr>
                          </m:sSubPr>
                          <m:e>
                            <m:r>
                              <m:rPr>
                                <m:sty m:val="p"/>
                              </m:rPr>
                              <w:rPr>
                                <w:rFonts w:ascii="Cambria Math" w:hAnsi="Cambria Math"/>
                                <w:lang w:val="en-US"/>
                              </w:rPr>
                              <m:t>O</m:t>
                            </m:r>
                          </m:e>
                          <m:sub>
                            <m:r>
                              <m:rPr>
                                <m:sty m:val="p"/>
                              </m:rPr>
                              <w:rPr>
                                <w:rFonts w:ascii="Cambria Math" w:hAnsi="Cambria Math"/>
                                <w:lang w:val="en-US"/>
                              </w:rPr>
                              <m:t>x</m:t>
                            </m:r>
                          </m:sub>
                        </m:sSub>
                      </m:sub>
                      <m:sup>
                        <m:r>
                          <m:rPr>
                            <m:sty m:val="p"/>
                          </m:rPr>
                          <w:rPr>
                            <w:rFonts w:ascii="Cambria Math" w:hAnsi="Cambria Math"/>
                            <w:lang w:val="en-US"/>
                          </w:rPr>
                          <m:t>0</m:t>
                        </m:r>
                      </m:sup>
                    </m:sSubSup>
                  </m:den>
                </m:f>
                <m:r>
                  <m:rPr>
                    <m:sty m:val="p"/>
                  </m:rPr>
                  <w:rPr>
                    <w:rFonts w:ascii="Cambria Math" w:hAnsi="Cambria Math"/>
                    <w:lang w:val="en-US"/>
                  </w:rPr>
                  <m:t>·100</m:t>
                </m:r>
              </m:oMath>
            </m:oMathPara>
          </w:p>
        </w:tc>
        <w:tc>
          <w:tcPr>
            <w:tcW w:w="804" w:type="dxa"/>
            <w:shd w:val="clear" w:color="auto" w:fill="auto"/>
            <w:vAlign w:val="center"/>
          </w:tcPr>
          <w:p w14:paraId="746DF1F8" w14:textId="4E5FDA4C" w:rsidR="00633D5B" w:rsidRPr="00A53FD1" w:rsidRDefault="00633D5B" w:rsidP="00633D5B">
            <w:pPr>
              <w:pStyle w:val="CETEquation"/>
              <w:jc w:val="right"/>
              <w:rPr>
                <w:lang w:val="en-US"/>
              </w:rPr>
            </w:pPr>
            <w:r w:rsidRPr="00A53FD1">
              <w:rPr>
                <w:lang w:val="en-US"/>
              </w:rPr>
              <w:t>(8)</w:t>
            </w:r>
          </w:p>
        </w:tc>
      </w:tr>
    </w:tbl>
    <w:p w14:paraId="5D4546C0" w14:textId="5E3C256F" w:rsidR="00633D5B" w:rsidRPr="00A53FD1" w:rsidRDefault="00633D5B" w:rsidP="004E27FD">
      <w:pPr>
        <w:pStyle w:val="CETBodytext"/>
      </w:pPr>
      <w:r w:rsidRPr="00A53FD1">
        <w:t xml:space="preserve">where </w:t>
      </w:r>
      <w:proofErr w:type="spellStart"/>
      <w:r w:rsidRPr="00A53FD1">
        <w:rPr>
          <w:i/>
        </w:rPr>
        <w:t>n</w:t>
      </w:r>
      <w:r w:rsidRPr="00A53FD1">
        <w:rPr>
          <w:i/>
          <w:vertAlign w:val="subscript"/>
        </w:rPr>
        <w:t>i</w:t>
      </w:r>
      <w:proofErr w:type="spellEnd"/>
      <w:r w:rsidRPr="00A53FD1">
        <w:rPr>
          <w:i/>
          <w:vertAlign w:val="subscript"/>
        </w:rPr>
        <w:t xml:space="preserve"> </w:t>
      </w:r>
      <w:r w:rsidRPr="00A53FD1">
        <w:t>is the number of carbon atoms fo</w:t>
      </w:r>
      <w:r w:rsidR="004C50DA" w:rsidRPr="00A53FD1">
        <w:t>r</w:t>
      </w:r>
      <w:r w:rsidRPr="00A53FD1">
        <w:t xml:space="preserve"> the </w:t>
      </w:r>
      <w:proofErr w:type="spellStart"/>
      <w:r w:rsidRPr="00A53FD1">
        <w:rPr>
          <w:i/>
        </w:rPr>
        <w:t>i</w:t>
      </w:r>
      <w:proofErr w:type="spellEnd"/>
      <w:r w:rsidRPr="00A53FD1">
        <w:rPr>
          <w:i/>
        </w:rPr>
        <w:t xml:space="preserve"> </w:t>
      </w:r>
      <w:r w:rsidRPr="00A53FD1">
        <w:t xml:space="preserve">product and </w:t>
      </w:r>
      <w:r w:rsidRPr="00A53FD1">
        <w:rPr>
          <w:i/>
        </w:rPr>
        <w:t>F</w:t>
      </w:r>
      <w:r w:rsidRPr="00A53FD1">
        <w:rPr>
          <w:i/>
          <w:vertAlign w:val="subscript"/>
        </w:rPr>
        <w:t>i</w:t>
      </w:r>
      <w:r w:rsidRPr="00A53FD1">
        <w:rPr>
          <w:i/>
        </w:rPr>
        <w:t xml:space="preserve"> </w:t>
      </w:r>
      <w:r w:rsidRPr="00A53FD1">
        <w:t xml:space="preserve">the molar flow rate of the </w:t>
      </w:r>
      <w:proofErr w:type="spellStart"/>
      <w:r w:rsidRPr="00A53FD1">
        <w:rPr>
          <w:i/>
        </w:rPr>
        <w:t>i</w:t>
      </w:r>
      <w:proofErr w:type="spellEnd"/>
      <w:r w:rsidRPr="00A53FD1">
        <w:t xml:space="preserve"> in the products stream.</w:t>
      </w:r>
    </w:p>
    <w:p w14:paraId="181499E7" w14:textId="104A28B2" w:rsidR="002E59F1" w:rsidRPr="00A53FD1" w:rsidRDefault="00EA4897" w:rsidP="00EA4897">
      <w:pPr>
        <w:pStyle w:val="CETHeading1"/>
      </w:pPr>
      <w:r w:rsidRPr="00A53FD1">
        <w:t>Results</w:t>
      </w:r>
    </w:p>
    <w:p w14:paraId="0807FE19" w14:textId="0B2B83A2" w:rsidR="00EA4897" w:rsidRPr="00A53FD1" w:rsidRDefault="00EA4897" w:rsidP="00EA4897">
      <w:pPr>
        <w:pStyle w:val="CETheadingx"/>
      </w:pPr>
      <w:r w:rsidRPr="00A53FD1">
        <w:t>Alternative Catalyst</w:t>
      </w:r>
      <w:r w:rsidR="00AC12FB" w:rsidRPr="00A53FD1">
        <w:t>s</w:t>
      </w:r>
      <w:r w:rsidRPr="00A53FD1">
        <w:t xml:space="preserve"> for Methanol Synthesis</w:t>
      </w:r>
    </w:p>
    <w:p w14:paraId="39191E87" w14:textId="747B8084" w:rsidR="00EF0785" w:rsidRPr="00A53FD1" w:rsidRDefault="00935495" w:rsidP="00C77DC0">
      <w:pPr>
        <w:pStyle w:val="CETBodytext"/>
      </w:pPr>
      <w:r w:rsidRPr="00A53FD1">
        <w:t xml:space="preserve">In this section, a comparison of the traditional </w:t>
      </w:r>
      <w:proofErr w:type="spellStart"/>
      <w:r w:rsidRPr="00A53FD1">
        <w:t>CuZnZr</w:t>
      </w:r>
      <w:proofErr w:type="spellEnd"/>
      <w:r w:rsidRPr="00A53FD1">
        <w:t xml:space="preserve"> and the alternative </w:t>
      </w:r>
      <w:proofErr w:type="spellStart"/>
      <w:r w:rsidRPr="00A53FD1">
        <w:t>InZr</w:t>
      </w:r>
      <w:proofErr w:type="spellEnd"/>
      <w:r w:rsidRPr="00A53FD1">
        <w:t xml:space="preserve"> metallic catalysts was performed. As stated above, the integrated process requires </w:t>
      </w:r>
      <w:r w:rsidR="00EF0785" w:rsidRPr="00A53FD1">
        <w:t>higher temperature to yield hydrocarbons. Accordingly, reaction runs were performed between 3</w:t>
      </w:r>
      <w:r w:rsidR="00DF586D">
        <w:t>1</w:t>
      </w:r>
      <w:r w:rsidR="00EF0785" w:rsidRPr="00A53FD1">
        <w:t>0 ºC and 4</w:t>
      </w:r>
      <w:r w:rsidR="00DF586D">
        <w:t>3</w:t>
      </w:r>
      <w:r w:rsidR="00EF0785" w:rsidRPr="00A53FD1">
        <w:t>0 ºC. Figure</w:t>
      </w:r>
      <w:r w:rsidR="00822A70">
        <w:t>s</w:t>
      </w:r>
      <w:r w:rsidR="00EF0785" w:rsidRPr="00A53FD1">
        <w:t xml:space="preserve"> 1</w:t>
      </w:r>
      <w:r w:rsidR="003D5022">
        <w:t>a</w:t>
      </w:r>
      <w:r w:rsidR="00072A44" w:rsidRPr="00A53FD1">
        <w:t xml:space="preserve"> and </w:t>
      </w:r>
      <w:r w:rsidR="003D5022">
        <w:t>1b</w:t>
      </w:r>
      <w:r w:rsidR="00072A44" w:rsidRPr="00A53FD1">
        <w:t xml:space="preserve"> show</w:t>
      </w:r>
      <w:r w:rsidR="00EF0785" w:rsidRPr="00A53FD1">
        <w:t xml:space="preserve"> the effect of the temperature on methanol </w:t>
      </w:r>
      <w:r w:rsidR="00637E23" w:rsidRPr="00A53FD1">
        <w:t>and on undesired</w:t>
      </w:r>
      <w:r w:rsidR="00EF0785" w:rsidRPr="00A53FD1">
        <w:t xml:space="preserve"> methane yield</w:t>
      </w:r>
      <w:r w:rsidR="00072A44" w:rsidRPr="00A53FD1">
        <w:t>, respectively.</w:t>
      </w:r>
    </w:p>
    <w:p w14:paraId="3CB24560" w14:textId="777920E0" w:rsidR="008E3AB6" w:rsidRPr="00A53FD1" w:rsidRDefault="008E3AB6" w:rsidP="00C77DC0">
      <w:pPr>
        <w:pStyle w:val="CETBodytext"/>
      </w:pPr>
    </w:p>
    <w:p w14:paraId="4F6E5404" w14:textId="79B03100" w:rsidR="00072A44" w:rsidRDefault="00072A44" w:rsidP="00C77DC0">
      <w:pPr>
        <w:pStyle w:val="CETBodytext"/>
      </w:pPr>
      <w:r w:rsidRPr="00A53FD1">
        <w:t>As seen in Figure 1</w:t>
      </w:r>
      <w:r w:rsidR="0037086F">
        <w:t>a</w:t>
      </w:r>
      <w:r w:rsidRPr="00A53FD1">
        <w:t>, t</w:t>
      </w:r>
      <w:r w:rsidR="008E3AB6" w:rsidRPr="00A53FD1">
        <w:t xml:space="preserve">he traditional </w:t>
      </w:r>
      <w:proofErr w:type="spellStart"/>
      <w:r w:rsidR="008E3AB6" w:rsidRPr="00A53FD1">
        <w:t>CuZnZr</w:t>
      </w:r>
      <w:proofErr w:type="spellEnd"/>
      <w:r w:rsidR="008E3AB6" w:rsidRPr="00A53FD1">
        <w:t xml:space="preserve"> catalyst exhibited higher methanol yield than the alternative </w:t>
      </w:r>
      <w:proofErr w:type="spellStart"/>
      <w:r w:rsidR="008E3AB6" w:rsidRPr="00A53FD1">
        <w:t>InZr</w:t>
      </w:r>
      <w:proofErr w:type="spellEnd"/>
      <w:r w:rsidR="008E3AB6" w:rsidRPr="00A53FD1">
        <w:t xml:space="preserve"> catalyst at lower temperature (1</w:t>
      </w:r>
      <w:r w:rsidR="00C57390" w:rsidRPr="00A53FD1">
        <w:t>4.5</w:t>
      </w:r>
      <w:r w:rsidR="008E3AB6" w:rsidRPr="00A53FD1">
        <w:t xml:space="preserve"> % vs. </w:t>
      </w:r>
      <w:r w:rsidR="00C57390" w:rsidRPr="00A53FD1">
        <w:t>3.6</w:t>
      </w:r>
      <w:r w:rsidR="008E3AB6" w:rsidRPr="00A53FD1">
        <w:t xml:space="preserve"> % at 3</w:t>
      </w:r>
      <w:r w:rsidR="00C57390" w:rsidRPr="00A53FD1">
        <w:t>1</w:t>
      </w:r>
      <w:r w:rsidR="008E3AB6" w:rsidRPr="00A53FD1">
        <w:t>0 ºC</w:t>
      </w:r>
      <w:r w:rsidR="0037086F">
        <w:t>). At this temperature</w:t>
      </w:r>
      <w:r w:rsidR="00E449F5" w:rsidRPr="00A53FD1">
        <w:t xml:space="preserve">, </w:t>
      </w:r>
      <w:proofErr w:type="spellStart"/>
      <w:r w:rsidR="00E449F5" w:rsidRPr="00A53FD1">
        <w:t>InZr</w:t>
      </w:r>
      <w:proofErr w:type="spellEnd"/>
      <w:r w:rsidR="00E449F5" w:rsidRPr="00A53FD1">
        <w:t xml:space="preserve"> catalyst is not as active as </w:t>
      </w:r>
      <w:proofErr w:type="spellStart"/>
      <w:r w:rsidR="00E449F5" w:rsidRPr="00A53FD1">
        <w:t>CuZnZr</w:t>
      </w:r>
      <w:proofErr w:type="spellEnd"/>
      <w:r w:rsidR="00E449F5" w:rsidRPr="00A53FD1">
        <w:t>, and thus</w:t>
      </w:r>
      <w:r w:rsidR="00AC12FB" w:rsidRPr="00A53FD1">
        <w:t xml:space="preserve"> it</w:t>
      </w:r>
      <w:r w:rsidR="00E449F5" w:rsidRPr="00A53FD1">
        <w:t xml:space="preserve"> required higher reaction temperature to increase methanol yield, leading to </w:t>
      </w:r>
      <w:r w:rsidR="00AC12FB" w:rsidRPr="00A53FD1">
        <w:t xml:space="preserve">the </w:t>
      </w:r>
      <w:r w:rsidR="00E449F5" w:rsidRPr="00A53FD1">
        <w:t>maximum yield at 3</w:t>
      </w:r>
      <w:r w:rsidR="008F2107" w:rsidRPr="00A53FD1">
        <w:t>40</w:t>
      </w:r>
      <w:r w:rsidR="00E449F5" w:rsidRPr="00A53FD1">
        <w:t xml:space="preserve"> ºC. However, even at this temperature, </w:t>
      </w:r>
      <w:proofErr w:type="spellStart"/>
      <w:r w:rsidR="00E449F5" w:rsidRPr="00A53FD1">
        <w:t>CuZnZr</w:t>
      </w:r>
      <w:proofErr w:type="spellEnd"/>
      <w:r w:rsidR="00E449F5" w:rsidRPr="00A53FD1">
        <w:t xml:space="preserve"> showed better results than </w:t>
      </w:r>
      <w:proofErr w:type="spellStart"/>
      <w:r w:rsidR="00E449F5" w:rsidRPr="00A53FD1">
        <w:t>InZr</w:t>
      </w:r>
      <w:proofErr w:type="spellEnd"/>
      <w:r w:rsidR="00E449F5" w:rsidRPr="00A53FD1">
        <w:t xml:space="preserve">. </w:t>
      </w:r>
      <w:r w:rsidR="004C50DA" w:rsidRPr="00A53FD1">
        <w:t>Nonetheless</w:t>
      </w:r>
      <w:r w:rsidR="00E449F5" w:rsidRPr="00A53FD1">
        <w:t xml:space="preserve">, with </w:t>
      </w:r>
      <w:proofErr w:type="spellStart"/>
      <w:r w:rsidR="00E449F5" w:rsidRPr="00A53FD1">
        <w:t>CuZnZr</w:t>
      </w:r>
      <w:proofErr w:type="spellEnd"/>
      <w:r w:rsidR="00E449F5" w:rsidRPr="00A53FD1">
        <w:t xml:space="preserve"> catalyst, methanol yield decreased at high</w:t>
      </w:r>
      <w:r w:rsidR="00CA2758" w:rsidRPr="00A53FD1">
        <w:t>er</w:t>
      </w:r>
      <w:r w:rsidR="00E449F5" w:rsidRPr="00A53FD1">
        <w:t xml:space="preserve"> temperature</w:t>
      </w:r>
      <w:r w:rsidR="0037086F">
        <w:t xml:space="preserve"> (due to the thermodynamic limitation)</w:t>
      </w:r>
      <w:r w:rsidR="00E449F5" w:rsidRPr="00A53FD1">
        <w:t>, driving the methanol yield to less than 1 % at 4</w:t>
      </w:r>
      <w:r w:rsidR="00136422" w:rsidRPr="00A53FD1">
        <w:t>3</w:t>
      </w:r>
      <w:r w:rsidR="00E449F5" w:rsidRPr="00A53FD1">
        <w:t>0 ºC. Cu-based catalysts are known to sinter at temperatures above 300 ºC</w:t>
      </w:r>
      <w:r w:rsidR="00FD554C" w:rsidRPr="00A53FD1">
        <w:t xml:space="preserve"> (Sanchez-Contador, 2018)</w:t>
      </w:r>
      <w:r w:rsidR="00E449F5" w:rsidRPr="00A53FD1">
        <w:t>, which makes them unsuitable for process requiring high temperatures.</w:t>
      </w:r>
      <w:r w:rsidR="00400F72" w:rsidRPr="00A53FD1">
        <w:t xml:space="preserve"> Therefore, </w:t>
      </w:r>
      <w:proofErr w:type="spellStart"/>
      <w:r w:rsidR="00400F72" w:rsidRPr="00A53FD1">
        <w:t>CuZnZr</w:t>
      </w:r>
      <w:proofErr w:type="spellEnd"/>
      <w:r w:rsidR="00400F72" w:rsidRPr="00A53FD1">
        <w:t xml:space="preserve"> better activity might not be so significant at the temperatures required for the integrated process</w:t>
      </w:r>
      <w:r w:rsidR="0037086F">
        <w:t>, in which a stable catalyst is required.</w:t>
      </w:r>
    </w:p>
    <w:p w14:paraId="7754D511" w14:textId="77777777" w:rsidR="0037086F" w:rsidRDefault="0037086F" w:rsidP="00C77DC0">
      <w:pPr>
        <w:pStyle w:val="CETBodytext"/>
      </w:pPr>
    </w:p>
    <w:p w14:paraId="338B14F8" w14:textId="7F8F0CED" w:rsidR="0037086F" w:rsidRPr="00A53FD1" w:rsidRDefault="0037086F" w:rsidP="0037086F">
      <w:pPr>
        <w:pStyle w:val="CETBodytext"/>
      </w:pPr>
      <w:r w:rsidRPr="00A53FD1">
        <w:t xml:space="preserve">As for the methane yield, Figure </w:t>
      </w:r>
      <w:r>
        <w:t>1b</w:t>
      </w:r>
      <w:r w:rsidRPr="00A53FD1">
        <w:t xml:space="preserve">, with both </w:t>
      </w:r>
      <w:proofErr w:type="gramStart"/>
      <w:r w:rsidRPr="00A53FD1">
        <w:t>catalysts</w:t>
      </w:r>
      <w:proofErr w:type="gramEnd"/>
      <w:r w:rsidRPr="00A53FD1">
        <w:t xml:space="preserve"> methane increased with rising temperature. This occurred as a result of the cracking of olefins and the decomposition of methanol (Portillo et al., 2022), and the methane production accounted for almost 1.5 % at 430 ºC, almost doubling methanol yield (0.8 %). The rising trend of methane production is nearly the same for both catalysts, allowing concluding that the tendency is related to the operating conditions, regardless the catalyst used.</w:t>
      </w:r>
    </w:p>
    <w:p w14:paraId="766B4107" w14:textId="77777777" w:rsidR="0037086F" w:rsidRDefault="0037086F" w:rsidP="00C77DC0">
      <w:pPr>
        <w:pStyle w:val="CETBodytext"/>
      </w:pPr>
    </w:p>
    <w:p w14:paraId="1738C03E" w14:textId="7EFEE5C3" w:rsidR="0037086F" w:rsidRDefault="0037086F" w:rsidP="00C77DC0">
      <w:pPr>
        <w:pStyle w:val="CETBodytext"/>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37086F" w14:paraId="28043E57" w14:textId="77777777" w:rsidTr="0037086F">
        <w:trPr>
          <w:jc w:val="center"/>
        </w:trPr>
        <w:tc>
          <w:tcPr>
            <w:tcW w:w="4388" w:type="dxa"/>
            <w:vAlign w:val="center"/>
          </w:tcPr>
          <w:p w14:paraId="01514673" w14:textId="1F10B5D7" w:rsidR="0037086F" w:rsidRDefault="0037086F" w:rsidP="0037086F">
            <w:pPr>
              <w:pStyle w:val="CETBodytext"/>
              <w:jc w:val="center"/>
            </w:pPr>
            <w:r>
              <w:rPr>
                <w:noProof/>
                <w:lang w:val="es-ES" w:eastAsia="es-ES"/>
              </w:rPr>
              <w:lastRenderedPageBreak/>
              <mc:AlternateContent>
                <mc:Choice Requires="wps">
                  <w:drawing>
                    <wp:anchor distT="45720" distB="45720" distL="114300" distR="114300" simplePos="0" relativeHeight="251659264" behindDoc="0" locked="0" layoutInCell="1" allowOverlap="1" wp14:anchorId="1B498C79" wp14:editId="44B8BE1E">
                      <wp:simplePos x="0" y="0"/>
                      <wp:positionH relativeFrom="column">
                        <wp:posOffset>672465</wp:posOffset>
                      </wp:positionH>
                      <wp:positionV relativeFrom="paragraph">
                        <wp:posOffset>1739900</wp:posOffset>
                      </wp:positionV>
                      <wp:extent cx="344805"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04620"/>
                              </a:xfrm>
                              <a:prstGeom prst="rect">
                                <a:avLst/>
                              </a:prstGeom>
                              <a:solidFill>
                                <a:srgbClr val="FFFFFF"/>
                              </a:solidFill>
                              <a:ln w="9525">
                                <a:noFill/>
                                <a:miter lim="800000"/>
                                <a:headEnd/>
                                <a:tailEnd/>
                              </a:ln>
                            </wps:spPr>
                            <wps:txbx>
                              <w:txbxContent>
                                <w:p w14:paraId="4C88777A" w14:textId="779CB0EC" w:rsidR="0037086F" w:rsidRPr="0037086F" w:rsidRDefault="0037086F">
                                  <w:pPr>
                                    <w:rPr>
                                      <w:b/>
                                      <w:lang w:val="es-ES"/>
                                    </w:rPr>
                                  </w:pPr>
                                  <w:r w:rsidRPr="0037086F">
                                    <w:rPr>
                                      <w:b/>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498C79" id="_x0000_t202" coordsize="21600,21600" o:spt="202" path="m,l,21600r21600,l21600,xe">
                      <v:stroke joinstyle="miter"/>
                      <v:path gradientshapeok="t" o:connecttype="rect"/>
                    </v:shapetype>
                    <v:shape id="Cuadro de texto 2" o:spid="_x0000_s1026" type="#_x0000_t202" style="position:absolute;left:0;text-align:left;margin-left:52.95pt;margin-top:137pt;width:27.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WDQIAAPY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" stroked="f">
                      <v:textbox style="mso-fit-shape-to-text:t">
                        <w:txbxContent>
                          <w:p w14:paraId="4C88777A" w14:textId="779CB0EC" w:rsidR="0037086F" w:rsidRPr="0037086F" w:rsidRDefault="0037086F">
                            <w:pPr>
                              <w:rPr>
                                <w:b/>
                                <w:lang w:val="es-ES"/>
                              </w:rPr>
                            </w:pPr>
                            <w:r w:rsidRPr="0037086F">
                              <w:rPr>
                                <w:b/>
                              </w:rPr>
                              <w:t>a)</w:t>
                            </w:r>
                          </w:p>
                        </w:txbxContent>
                      </v:textbox>
                    </v:shape>
                  </w:pict>
                </mc:Fallback>
              </mc:AlternateContent>
            </w:r>
            <w:r w:rsidRPr="00A53FD1">
              <w:rPr>
                <w:noProof/>
                <w:lang w:val="es-ES" w:eastAsia="es-ES"/>
              </w:rPr>
              <w:drawing>
                <wp:inline distT="0" distB="0" distL="0" distR="0" wp14:anchorId="21345631" wp14:editId="1F04A361">
                  <wp:extent cx="2446474" cy="2458085"/>
                  <wp:effectExtent l="0" t="0" r="0" b="0"/>
                  <wp:docPr id="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líneas&#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11986" r="15018" b="2629"/>
                          <a:stretch/>
                        </pic:blipFill>
                        <pic:spPr bwMode="auto">
                          <a:xfrm>
                            <a:off x="0" y="0"/>
                            <a:ext cx="2446474" cy="24580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9" w:type="dxa"/>
            <w:vAlign w:val="center"/>
          </w:tcPr>
          <w:p w14:paraId="2608507B" w14:textId="16FC26FC" w:rsidR="0037086F" w:rsidRDefault="0037086F" w:rsidP="0037086F">
            <w:pPr>
              <w:pStyle w:val="CETBodytext"/>
              <w:jc w:val="center"/>
            </w:pPr>
            <w:r>
              <w:rPr>
                <w:noProof/>
                <w:lang w:val="es-ES" w:eastAsia="es-ES"/>
              </w:rPr>
              <mc:AlternateContent>
                <mc:Choice Requires="wps">
                  <w:drawing>
                    <wp:anchor distT="45720" distB="45720" distL="114300" distR="114300" simplePos="0" relativeHeight="251661312" behindDoc="0" locked="0" layoutInCell="1" allowOverlap="1" wp14:anchorId="0D90FA95" wp14:editId="6D17D0E6">
                      <wp:simplePos x="0" y="0"/>
                      <wp:positionH relativeFrom="column">
                        <wp:posOffset>2083435</wp:posOffset>
                      </wp:positionH>
                      <wp:positionV relativeFrom="paragraph">
                        <wp:posOffset>1693545</wp:posOffset>
                      </wp:positionV>
                      <wp:extent cx="344805" cy="1404620"/>
                      <wp:effectExtent l="0" t="0" r="0" b="254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404620"/>
                              </a:xfrm>
                              <a:prstGeom prst="rect">
                                <a:avLst/>
                              </a:prstGeom>
                              <a:solidFill>
                                <a:srgbClr val="FFFFFF"/>
                              </a:solidFill>
                              <a:ln w="9525">
                                <a:noFill/>
                                <a:miter lim="800000"/>
                                <a:headEnd/>
                                <a:tailEnd/>
                              </a:ln>
                            </wps:spPr>
                            <wps:txbx>
                              <w:txbxContent>
                                <w:p w14:paraId="03FD998E" w14:textId="3D6DFDF9" w:rsidR="0037086F" w:rsidRPr="0037086F" w:rsidRDefault="0037086F" w:rsidP="0037086F">
                                  <w:pPr>
                                    <w:jc w:val="right"/>
                                    <w:rPr>
                                      <w:b/>
                                      <w:lang w:val="es-ES"/>
                                    </w:rPr>
                                  </w:pPr>
                                  <w:r>
                                    <w:rPr>
                                      <w:b/>
                                      <w:lang w:val="es-E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90FA95" id="_x0000_s1027" type="#_x0000_t202" style="position:absolute;left:0;text-align:left;margin-left:164.05pt;margin-top:133.35pt;width:27.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" stroked="f">
                      <v:textbox style="mso-fit-shape-to-text:t">
                        <w:txbxContent>
                          <w:p w14:paraId="03FD998E" w14:textId="3D6DFDF9" w:rsidR="0037086F" w:rsidRPr="0037086F" w:rsidRDefault="0037086F" w:rsidP="0037086F">
                            <w:pPr>
                              <w:jc w:val="right"/>
                              <w:rPr>
                                <w:b/>
                                <w:lang w:val="es-ES"/>
                              </w:rPr>
                            </w:pPr>
                            <w:r>
                              <w:rPr>
                                <w:b/>
                                <w:lang w:val="es-ES"/>
                              </w:rPr>
                              <w:t>b)</w:t>
                            </w:r>
                          </w:p>
                        </w:txbxContent>
                      </v:textbox>
                    </v:shape>
                  </w:pict>
                </mc:Fallback>
              </mc:AlternateContent>
            </w:r>
            <w:r w:rsidRPr="00A53FD1">
              <w:rPr>
                <w:noProof/>
                <w:lang w:val="es-ES" w:eastAsia="es-ES"/>
              </w:rPr>
              <w:drawing>
                <wp:inline distT="0" distB="0" distL="0" distR="0" wp14:anchorId="067AFD72" wp14:editId="18ED5805">
                  <wp:extent cx="2482808" cy="2427943"/>
                  <wp:effectExtent l="0" t="0" r="0" b="0"/>
                  <wp:docPr id="2"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líneas&#10;&#10;Descripción generada automá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t="12827" r="13765" b="2842"/>
                          <a:stretch/>
                        </pic:blipFill>
                        <pic:spPr bwMode="auto">
                          <a:xfrm>
                            <a:off x="0" y="0"/>
                            <a:ext cx="2482808" cy="24279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3A6DE7" w14:textId="6D1FC87F" w:rsidR="00AA6AE8" w:rsidRPr="00A53FD1" w:rsidRDefault="00AA6AE8" w:rsidP="007F18B7">
      <w:pPr>
        <w:pStyle w:val="CETTabletitle"/>
      </w:pPr>
      <w:r w:rsidRPr="00A53FD1">
        <w:t xml:space="preserve">Figure 1: </w:t>
      </w:r>
      <w:r w:rsidR="00BF0054" w:rsidRPr="00A53FD1">
        <w:t xml:space="preserve">Effect of the temperature on </w:t>
      </w:r>
      <w:r w:rsidR="0037086F">
        <w:t xml:space="preserve">(a) </w:t>
      </w:r>
      <w:r w:rsidR="00BF0054" w:rsidRPr="00A53FD1">
        <w:t>methanol yield</w:t>
      </w:r>
      <w:r w:rsidR="0037086F">
        <w:t xml:space="preserve"> and (b) methane yield</w:t>
      </w:r>
      <w:r w:rsidR="00BF0054" w:rsidRPr="00A53FD1">
        <w:t xml:space="preserve"> with </w:t>
      </w:r>
      <w:proofErr w:type="spellStart"/>
      <w:r w:rsidR="00BF0054" w:rsidRPr="00A53FD1">
        <w:t>CuZnZr</w:t>
      </w:r>
      <w:proofErr w:type="spellEnd"/>
      <w:r w:rsidR="00BF0054" w:rsidRPr="00A53FD1">
        <w:t xml:space="preserve"> and </w:t>
      </w:r>
      <w:proofErr w:type="spellStart"/>
      <w:r w:rsidR="00BF0054" w:rsidRPr="00A53FD1">
        <w:t>InZr</w:t>
      </w:r>
      <w:proofErr w:type="spellEnd"/>
      <w:r w:rsidR="00BF0054" w:rsidRPr="00A53FD1">
        <w:t xml:space="preserve"> metallic</w:t>
      </w:r>
      <w:r w:rsidR="00CA2758" w:rsidRPr="00A53FD1">
        <w:t xml:space="preserve"> oxide</w:t>
      </w:r>
      <w:r w:rsidR="00BF0054" w:rsidRPr="00A53FD1">
        <w:t xml:space="preserve"> catalysts.</w:t>
      </w:r>
      <w:r w:rsidR="0037086F" w:rsidRPr="0037086F">
        <w:rPr>
          <w:noProof/>
        </w:rPr>
        <w:t xml:space="preserve"> </w:t>
      </w:r>
      <w:r w:rsidR="007F18B7">
        <w:t xml:space="preserve">Reaction conditions: 50 </w:t>
      </w:r>
      <w:proofErr w:type="gramStart"/>
      <w:r w:rsidR="007F18B7">
        <w:t>bar</w:t>
      </w:r>
      <w:proofErr w:type="gramEnd"/>
      <w:r w:rsidR="007F18B7">
        <w:t xml:space="preserve">; space time, </w:t>
      </w:r>
      <w:r w:rsidR="00687345">
        <w:t>6</w:t>
      </w:r>
      <w:r w:rsidR="007F18B7">
        <w:t xml:space="preserve"> </w:t>
      </w:r>
      <w:proofErr w:type="spellStart"/>
      <w:r w:rsidR="007F18B7">
        <w:t>g</w:t>
      </w:r>
      <w:r w:rsidR="007F18B7" w:rsidRPr="007F18B7">
        <w:rPr>
          <w:vertAlign w:val="subscript"/>
        </w:rPr>
        <w:t>cat</w:t>
      </w:r>
      <w:proofErr w:type="spellEnd"/>
      <w:r w:rsidR="007F18B7">
        <w:t xml:space="preserve"> h mol</w:t>
      </w:r>
      <w:r w:rsidR="007F18B7" w:rsidRPr="007F18B7">
        <w:rPr>
          <w:vertAlign w:val="subscript"/>
        </w:rPr>
        <w:t>C</w:t>
      </w:r>
      <w:r w:rsidR="007F18B7">
        <w:rPr>
          <w:vertAlign w:val="superscript"/>
        </w:rPr>
        <w:t>-1</w:t>
      </w:r>
      <w:r w:rsidR="007F18B7">
        <w:t>; H</w:t>
      </w:r>
      <w:r w:rsidR="007F18B7" w:rsidRPr="007F18B7">
        <w:rPr>
          <w:vertAlign w:val="subscript"/>
        </w:rPr>
        <w:t>2</w:t>
      </w:r>
      <w:r w:rsidR="007F18B7">
        <w:t>/</w:t>
      </w:r>
      <w:proofErr w:type="spellStart"/>
      <w:r w:rsidR="007F18B7">
        <w:t>CO</w:t>
      </w:r>
      <w:r w:rsidR="007F18B7" w:rsidRPr="007F18B7">
        <w:rPr>
          <w:vertAlign w:val="subscript"/>
        </w:rPr>
        <w:t>x</w:t>
      </w:r>
      <w:proofErr w:type="spellEnd"/>
      <w:r w:rsidR="007F18B7">
        <w:t>, 3.</w:t>
      </w:r>
    </w:p>
    <w:p w14:paraId="53F6FCC4" w14:textId="072A9FEB" w:rsidR="00BF0054" w:rsidRPr="00A53FD1" w:rsidRDefault="00BF0054" w:rsidP="0037086F">
      <w:pPr>
        <w:pStyle w:val="CETBodytext"/>
        <w:jc w:val="left"/>
      </w:pPr>
    </w:p>
    <w:p w14:paraId="7748BB4D" w14:textId="0381BD0A" w:rsidR="006A037C" w:rsidRPr="00A53FD1" w:rsidRDefault="00AC12FB" w:rsidP="009B6B16">
      <w:pPr>
        <w:pStyle w:val="CETheadingx"/>
      </w:pPr>
      <w:r w:rsidRPr="00A53FD1">
        <w:t>Alternative Tandem</w:t>
      </w:r>
      <w:r w:rsidR="009B6B16" w:rsidRPr="00A53FD1">
        <w:t xml:space="preserve"> Catalyst</w:t>
      </w:r>
      <w:r w:rsidRPr="00A53FD1">
        <w:t>s</w:t>
      </w:r>
      <w:r w:rsidR="009B6B16" w:rsidRPr="00A53FD1">
        <w:t xml:space="preserve"> </w:t>
      </w:r>
      <w:proofErr w:type="gramStart"/>
      <w:r w:rsidR="009B6B16" w:rsidRPr="00A53FD1">
        <w:t>For</w:t>
      </w:r>
      <w:proofErr w:type="gramEnd"/>
      <w:r w:rsidR="009B6B16" w:rsidRPr="00A53FD1">
        <w:t xml:space="preserve"> Hydrocarbons Synthesis</w:t>
      </w:r>
    </w:p>
    <w:p w14:paraId="3215B749" w14:textId="58E96F01" w:rsidR="009B6B16" w:rsidRPr="00A53FD1" w:rsidRDefault="00FD554C" w:rsidP="009B6B16">
      <w:pPr>
        <w:pStyle w:val="CETBodytext"/>
      </w:pPr>
      <w:r w:rsidRPr="00A53FD1">
        <w:t xml:space="preserve">As mentioned above, </w:t>
      </w:r>
      <w:r w:rsidR="008E68DD">
        <w:t xml:space="preserve">working in a single stage has several benefits, such as a lower economic investment </w:t>
      </w:r>
      <w:r w:rsidR="008E68DD" w:rsidRPr="008E68DD">
        <w:t>due</w:t>
      </w:r>
      <w:r w:rsidR="008E68DD">
        <w:t xml:space="preserve"> to the use of a single reactor. Nonetheless, </w:t>
      </w:r>
      <w:r w:rsidRPr="00A53FD1">
        <w:t>the</w:t>
      </w:r>
      <w:r w:rsidR="00031DF1" w:rsidRPr="00A53FD1">
        <w:t xml:space="preserve"> main advantage of working in a single stage is the shifting of the equilibrium, as methanol immediately </w:t>
      </w:r>
      <w:r w:rsidR="0060088E" w:rsidRPr="00A53FD1">
        <w:t>converts</w:t>
      </w:r>
      <w:r w:rsidR="00031DF1" w:rsidRPr="00A53FD1">
        <w:t xml:space="preserve"> into higher hydrocarbons when operating in the same reactor.</w:t>
      </w:r>
      <w:r w:rsidR="00463E35" w:rsidRPr="00A53FD1">
        <w:t xml:space="preserve"> This way, the role of the synergy</w:t>
      </w:r>
      <w:r w:rsidR="009E7843" w:rsidRPr="00A53FD1">
        <w:t xml:space="preserve"> between the metallic and the acid catalyst becomes an essential aspect. Therefore, </w:t>
      </w:r>
      <w:proofErr w:type="spellStart"/>
      <w:r w:rsidR="009E7843" w:rsidRPr="00A53FD1">
        <w:t>CuZnZr</w:t>
      </w:r>
      <w:proofErr w:type="spellEnd"/>
      <w:r w:rsidR="009E7843" w:rsidRPr="00A53FD1">
        <w:t xml:space="preserve"> and </w:t>
      </w:r>
      <w:proofErr w:type="spellStart"/>
      <w:r w:rsidR="009E7843" w:rsidRPr="00A53FD1">
        <w:t>InZr</w:t>
      </w:r>
      <w:proofErr w:type="spellEnd"/>
      <w:r w:rsidR="009E7843" w:rsidRPr="00A53FD1">
        <w:t xml:space="preserve"> were tested in tandem with HZSM-5 zeolite (</w:t>
      </w:r>
      <w:proofErr w:type="spellStart"/>
      <w:r w:rsidR="00307F7D" w:rsidRPr="00A53FD1">
        <w:t>CuZnZr</w:t>
      </w:r>
      <w:proofErr w:type="spellEnd"/>
      <w:r w:rsidR="00307F7D" w:rsidRPr="00A53FD1">
        <w:t xml:space="preserve">/H5 and </w:t>
      </w:r>
      <w:proofErr w:type="spellStart"/>
      <w:r w:rsidR="00307F7D" w:rsidRPr="00A53FD1">
        <w:t>InZr</w:t>
      </w:r>
      <w:proofErr w:type="spellEnd"/>
      <w:r w:rsidR="00307F7D" w:rsidRPr="00A53FD1">
        <w:t>/H5</w:t>
      </w:r>
      <w:r w:rsidR="009E7843" w:rsidRPr="00A53FD1">
        <w:t xml:space="preserve">), as to prove whether these </w:t>
      </w:r>
      <w:r w:rsidR="00DF3218" w:rsidRPr="00A53FD1">
        <w:t>metallic</w:t>
      </w:r>
      <w:r w:rsidR="00824C6D" w:rsidRPr="00A53FD1">
        <w:t xml:space="preserve"> oxide</w:t>
      </w:r>
      <w:r w:rsidR="00DF3218" w:rsidRPr="00A53FD1">
        <w:t xml:space="preserve"> </w:t>
      </w:r>
      <w:r w:rsidR="009E7843" w:rsidRPr="00A53FD1">
        <w:t xml:space="preserve">catalysts </w:t>
      </w:r>
      <w:r w:rsidR="00AC12FB" w:rsidRPr="00A53FD1">
        <w:t>were</w:t>
      </w:r>
      <w:r w:rsidR="009E7843" w:rsidRPr="00A53FD1">
        <w:t xml:space="preserve"> feasible for operating in the integrated </w:t>
      </w:r>
      <w:proofErr w:type="spellStart"/>
      <w:r w:rsidR="009E7843" w:rsidRPr="00A53FD1">
        <w:t>CO</w:t>
      </w:r>
      <w:r w:rsidR="009E7843" w:rsidRPr="00A53FD1">
        <w:rPr>
          <w:vertAlign w:val="subscript"/>
        </w:rPr>
        <w:t>x</w:t>
      </w:r>
      <w:proofErr w:type="spellEnd"/>
      <w:r w:rsidR="009E7843" w:rsidRPr="00A53FD1">
        <w:t xml:space="preserve"> to hydrocarbons process.</w:t>
      </w:r>
      <w:r w:rsidR="005B07BD" w:rsidRPr="00A53FD1">
        <w:t xml:space="preserve"> Since</w:t>
      </w:r>
      <w:r w:rsidR="00DD7BA0" w:rsidRPr="00A53FD1">
        <w:t xml:space="preserve"> methanol synthesis ste</w:t>
      </w:r>
      <w:r w:rsidR="00AC12FB" w:rsidRPr="00A53FD1">
        <w:t>p is favored at low temperature</w:t>
      </w:r>
      <w:r w:rsidR="00DD7BA0" w:rsidRPr="00A53FD1">
        <w:t xml:space="preserve"> </w:t>
      </w:r>
      <w:r w:rsidR="00824C6D" w:rsidRPr="00A53FD1">
        <w:t xml:space="preserve">(and high pressure) </w:t>
      </w:r>
      <w:r w:rsidR="00DD7BA0" w:rsidRPr="00A53FD1">
        <w:t xml:space="preserve">and </w:t>
      </w:r>
      <w:r w:rsidR="005B07BD" w:rsidRPr="00A53FD1">
        <w:t xml:space="preserve">methanol to hydrocarbons (MTH) reactions </w:t>
      </w:r>
      <w:r w:rsidR="00AC12FB" w:rsidRPr="00A53FD1">
        <w:t>are favored at high temperature</w:t>
      </w:r>
      <w:r w:rsidR="005B07BD" w:rsidRPr="00A53FD1">
        <w:t xml:space="preserve">, optimizing the operating conditions </w:t>
      </w:r>
      <w:r w:rsidR="00DD7BA0" w:rsidRPr="00A53FD1">
        <w:t>for boosting the whole process</w:t>
      </w:r>
      <w:r w:rsidR="0009092D" w:rsidRPr="00A53FD1">
        <w:t xml:space="preserve"> in a single stage</w:t>
      </w:r>
      <w:r w:rsidR="00DD7BA0" w:rsidRPr="00A53FD1">
        <w:t xml:space="preserve"> is a key</w:t>
      </w:r>
      <w:r w:rsidR="00824C6D" w:rsidRPr="00A53FD1">
        <w:t xml:space="preserve"> feature</w:t>
      </w:r>
      <w:r w:rsidR="00DD7BA0" w:rsidRPr="00A53FD1">
        <w:t>.</w:t>
      </w:r>
      <w:r w:rsidR="0009092D" w:rsidRPr="00A53FD1">
        <w:t xml:space="preserve"> </w:t>
      </w:r>
    </w:p>
    <w:p w14:paraId="22289E9C" w14:textId="3E8B3DF6" w:rsidR="0009092D" w:rsidRPr="00A53FD1" w:rsidRDefault="0009092D" w:rsidP="009B6B16">
      <w:pPr>
        <w:pStyle w:val="CETBodytext"/>
      </w:pPr>
    </w:p>
    <w:p w14:paraId="68D4C0BA" w14:textId="61105CFB" w:rsidR="0071024E" w:rsidRDefault="0009092D" w:rsidP="00C3683E">
      <w:pPr>
        <w:pStyle w:val="Textocomentario"/>
      </w:pPr>
      <w:r w:rsidRPr="00A53FD1">
        <w:t>Figure</w:t>
      </w:r>
      <w:r w:rsidR="00822A70">
        <w:t>s</w:t>
      </w:r>
      <w:r w:rsidRPr="00A53FD1">
        <w:t xml:space="preserve"> </w:t>
      </w:r>
      <w:r w:rsidR="00C66855" w:rsidRPr="00A53FD1">
        <w:t>3 and 4</w:t>
      </w:r>
      <w:r w:rsidRPr="00A53FD1">
        <w:t xml:space="preserve"> display the yield of the desired product</w:t>
      </w:r>
      <w:r w:rsidR="00824C6D" w:rsidRPr="00A53FD1">
        <w:t>s</w:t>
      </w:r>
      <w:r w:rsidRPr="00A53FD1">
        <w:t xml:space="preserve">, i.e., methanol when the reactions were carried out with the metallic </w:t>
      </w:r>
      <w:proofErr w:type="spellStart"/>
      <w:r w:rsidR="00824C6D" w:rsidRPr="00A53FD1">
        <w:t>CuZnZr</w:t>
      </w:r>
      <w:proofErr w:type="spellEnd"/>
      <w:r w:rsidR="00824C6D" w:rsidRPr="00A53FD1">
        <w:t xml:space="preserve"> and </w:t>
      </w:r>
      <w:proofErr w:type="spellStart"/>
      <w:r w:rsidR="00824C6D" w:rsidRPr="00A53FD1">
        <w:t>InZr</w:t>
      </w:r>
      <w:proofErr w:type="spellEnd"/>
      <w:r w:rsidR="00824C6D" w:rsidRPr="00A53FD1">
        <w:t xml:space="preserve"> </w:t>
      </w:r>
      <w:r w:rsidRPr="00A53FD1">
        <w:t xml:space="preserve">catalysts and </w:t>
      </w:r>
      <w:r w:rsidR="00A43ED4">
        <w:t>fuel</w:t>
      </w:r>
      <w:r w:rsidRPr="00A53FD1">
        <w:t>-range hydrocarbons (C</w:t>
      </w:r>
      <w:r w:rsidRPr="00A53FD1">
        <w:rPr>
          <w:vertAlign w:val="subscript"/>
        </w:rPr>
        <w:t>5+</w:t>
      </w:r>
      <w:r w:rsidRPr="00A53FD1">
        <w:t xml:space="preserve"> hydrocarbons) wh</w:t>
      </w:r>
      <w:r w:rsidR="00AD52C8" w:rsidRPr="00A53FD1">
        <w:t>en tandem catalysts were tested.</w:t>
      </w:r>
      <w:r w:rsidR="00BF0054" w:rsidRPr="00A53FD1">
        <w:t xml:space="preserve"> </w:t>
      </w:r>
      <w:r w:rsidR="00400F72" w:rsidRPr="00A53FD1">
        <w:rPr>
          <w:lang w:val="en-US"/>
        </w:rPr>
        <w:t xml:space="preserve">It can be observed that, as concluded before, obtaining a higher methanol production with the </w:t>
      </w:r>
      <w:proofErr w:type="spellStart"/>
      <w:r w:rsidR="00400F72" w:rsidRPr="00A53FD1">
        <w:rPr>
          <w:lang w:val="en-US"/>
        </w:rPr>
        <w:t>CuZnZr</w:t>
      </w:r>
      <w:proofErr w:type="spellEnd"/>
      <w:r w:rsidR="00400F72" w:rsidRPr="00A53FD1">
        <w:rPr>
          <w:lang w:val="en-US"/>
        </w:rPr>
        <w:t xml:space="preserve"> than with </w:t>
      </w:r>
      <w:proofErr w:type="spellStart"/>
      <w:r w:rsidR="00400F72" w:rsidRPr="00A53FD1">
        <w:rPr>
          <w:lang w:val="en-US"/>
        </w:rPr>
        <w:t>InZr</w:t>
      </w:r>
      <w:proofErr w:type="spellEnd"/>
      <w:r w:rsidR="00400F72" w:rsidRPr="00A53FD1">
        <w:rPr>
          <w:lang w:val="en-US"/>
        </w:rPr>
        <w:t xml:space="preserve"> </w:t>
      </w:r>
      <w:r w:rsidR="00C3683E" w:rsidRPr="00A53FD1">
        <w:rPr>
          <w:lang w:val="en-US"/>
        </w:rPr>
        <w:t>did</w:t>
      </w:r>
      <w:r w:rsidR="00400F72" w:rsidRPr="00A53FD1">
        <w:rPr>
          <w:lang w:val="en-US"/>
        </w:rPr>
        <w:t xml:space="preserve"> not result in a better performance </w:t>
      </w:r>
      <w:r w:rsidR="00C3683E" w:rsidRPr="00A53FD1">
        <w:rPr>
          <w:lang w:val="en-US"/>
        </w:rPr>
        <w:t>with</w:t>
      </w:r>
      <w:r w:rsidR="00400F72" w:rsidRPr="00A53FD1">
        <w:rPr>
          <w:lang w:val="en-US"/>
        </w:rPr>
        <w:t xml:space="preserve"> tandem configuration, evidencing that achieving a successful synergy among catalysts is more significant than combining the best catalysts in the same conditions.</w:t>
      </w:r>
      <w:r w:rsidR="00C3683E" w:rsidRPr="00A53FD1">
        <w:rPr>
          <w:lang w:val="en-US"/>
        </w:rPr>
        <w:t xml:space="preserve"> </w:t>
      </w:r>
      <w:r w:rsidR="00C3683E" w:rsidRPr="00A53FD1">
        <w:t>In fact</w:t>
      </w:r>
      <w:r w:rsidR="00AC12FB" w:rsidRPr="00A53FD1">
        <w:t xml:space="preserve">, </w:t>
      </w:r>
      <w:r w:rsidR="00824C6D" w:rsidRPr="00A53FD1">
        <w:t>as</w:t>
      </w:r>
      <w:r w:rsidR="00AC12FB" w:rsidRPr="00A53FD1">
        <w:t xml:space="preserve"> observed in Figure 3</w:t>
      </w:r>
      <w:r w:rsidR="0071024E" w:rsidRPr="00A53FD1">
        <w:t xml:space="preserve">, even if at low </w:t>
      </w:r>
      <w:r w:rsidR="00824C6D" w:rsidRPr="00A53FD1">
        <w:t>temperature,</w:t>
      </w:r>
      <w:r w:rsidR="0071024E" w:rsidRPr="00A53FD1">
        <w:t xml:space="preserve"> high methanol production was obtained, virtually no hydrocarbons were yielded at 3</w:t>
      </w:r>
      <w:r w:rsidR="00CA3E01" w:rsidRPr="00A53FD1">
        <w:t>4</w:t>
      </w:r>
      <w:r w:rsidR="0071024E" w:rsidRPr="00A53FD1">
        <w:t xml:space="preserve">0 ºC </w:t>
      </w:r>
      <w:r w:rsidR="00964C16" w:rsidRPr="00A53FD1">
        <w:t>(~0.1</w:t>
      </w:r>
      <w:r w:rsidR="00EE71C8" w:rsidRPr="00A53FD1">
        <w:t xml:space="preserve"> %). At this temperature, the methanol was selectively dehydrated to dimethyl ether over </w:t>
      </w:r>
      <w:r w:rsidR="009D59A5" w:rsidRPr="00A53FD1">
        <w:t xml:space="preserve">the </w:t>
      </w:r>
      <w:r w:rsidR="00EE71C8" w:rsidRPr="00A53FD1">
        <w:t>HZSM-5 zeolite and the hydrocarbon pool mechanism did require higher temperature to activate. As temperature increased, hydrocarbons started to form over the zeolite (mainly C</w:t>
      </w:r>
      <w:r w:rsidR="00EE71C8" w:rsidRPr="00A53FD1">
        <w:rPr>
          <w:vertAlign w:val="subscript"/>
        </w:rPr>
        <w:t>2</w:t>
      </w:r>
      <w:r w:rsidR="00EE71C8" w:rsidRPr="00A53FD1">
        <w:t>-C</w:t>
      </w:r>
      <w:r w:rsidR="00EE71C8" w:rsidRPr="00A53FD1">
        <w:rPr>
          <w:vertAlign w:val="subscript"/>
        </w:rPr>
        <w:t>4</w:t>
      </w:r>
      <w:r w:rsidR="00EE71C8" w:rsidRPr="00A53FD1">
        <w:t xml:space="preserve"> paraffins). However, </w:t>
      </w:r>
      <w:proofErr w:type="gramStart"/>
      <w:r w:rsidR="00EE71C8" w:rsidRPr="00A53FD1">
        <w:t>as a consequence of</w:t>
      </w:r>
      <w:proofErr w:type="gramEnd"/>
      <w:r w:rsidR="00EE71C8" w:rsidRPr="00A53FD1">
        <w:t xml:space="preserve"> the decline of the </w:t>
      </w:r>
      <w:proofErr w:type="spellStart"/>
      <w:r w:rsidR="00EE71C8" w:rsidRPr="00A53FD1">
        <w:t>CuZnZr</w:t>
      </w:r>
      <w:proofErr w:type="spellEnd"/>
      <w:r w:rsidR="00EE71C8" w:rsidRPr="00A53FD1">
        <w:t xml:space="preserve"> catalyst due to the thermal sintering, the C</w:t>
      </w:r>
      <w:r w:rsidR="00EE71C8" w:rsidRPr="00A53FD1">
        <w:rPr>
          <w:vertAlign w:val="subscript"/>
        </w:rPr>
        <w:t>5+</w:t>
      </w:r>
      <w:r w:rsidR="00EE71C8" w:rsidRPr="00A53FD1">
        <w:t xml:space="preserve"> hydrocarbons yield did not exceed 3 % in any case. It can be thus concluded that </w:t>
      </w:r>
      <w:proofErr w:type="spellStart"/>
      <w:r w:rsidR="00EE71C8" w:rsidRPr="00A53FD1">
        <w:t>CuZnZr</w:t>
      </w:r>
      <w:proofErr w:type="spellEnd"/>
      <w:r w:rsidR="00EE71C8" w:rsidRPr="00A53FD1">
        <w:t xml:space="preserve">/H5 tandem catalyst is a feasible catalyst for </w:t>
      </w:r>
      <w:r w:rsidR="00822A70">
        <w:t>dimethyl ether</w:t>
      </w:r>
      <w:r w:rsidR="00EE71C8" w:rsidRPr="00A53FD1">
        <w:t xml:space="preserve"> production, but it is not a good choice for </w:t>
      </w:r>
      <w:r w:rsidR="00A43ED4">
        <w:t>fuel</w:t>
      </w:r>
      <w:r w:rsidR="00EE71C8" w:rsidRPr="00A53FD1">
        <w:t>-range hydrocarbons production</w:t>
      </w:r>
      <w:r w:rsidR="009D59A5" w:rsidRPr="00A53FD1">
        <w:t xml:space="preserve"> as targeted.</w:t>
      </w:r>
    </w:p>
    <w:p w14:paraId="4BCBF35B" w14:textId="77777777" w:rsidR="003D5022" w:rsidRDefault="003D5022" w:rsidP="00C3683E">
      <w:pPr>
        <w:pStyle w:val="Textocomentario"/>
      </w:pPr>
    </w:p>
    <w:p w14:paraId="25A7A030" w14:textId="77777777" w:rsidR="003D5022" w:rsidRPr="00A53FD1" w:rsidRDefault="003D5022" w:rsidP="003D5022">
      <w:pPr>
        <w:pStyle w:val="CETBodytext"/>
      </w:pPr>
      <w:r w:rsidRPr="00A53FD1">
        <w:t xml:space="preserve">On the other hand, the results completely differed with </w:t>
      </w:r>
      <w:proofErr w:type="spellStart"/>
      <w:r w:rsidRPr="00A53FD1">
        <w:t>InZr</w:t>
      </w:r>
      <w:proofErr w:type="spellEnd"/>
      <w:r w:rsidRPr="00A53FD1">
        <w:t xml:space="preserve">/H5 tandem catalyst. As exhibited in Figure 4, considerably lower methanol yield was obtained with </w:t>
      </w:r>
      <w:proofErr w:type="spellStart"/>
      <w:r w:rsidRPr="00A53FD1">
        <w:t>InZr</w:t>
      </w:r>
      <w:proofErr w:type="spellEnd"/>
      <w:r w:rsidRPr="00A53FD1">
        <w:t xml:space="preserve"> metallic catalyst as compared with </w:t>
      </w:r>
      <w:proofErr w:type="spellStart"/>
      <w:r w:rsidRPr="00A53FD1">
        <w:t>CuZnZr</w:t>
      </w:r>
      <w:proofErr w:type="spellEnd"/>
      <w:r w:rsidRPr="00A53FD1">
        <w:t xml:space="preserve">. Nevertheless, </w:t>
      </w:r>
      <w:proofErr w:type="spellStart"/>
      <w:r w:rsidRPr="00A53FD1">
        <w:t>InZr</w:t>
      </w:r>
      <w:proofErr w:type="spellEnd"/>
      <w:r w:rsidRPr="00A53FD1">
        <w:t xml:space="preserve"> did not suffer any thermal sintering, leading to highly enhanced results. Even at low temperature, the C</w:t>
      </w:r>
      <w:r w:rsidRPr="00A53FD1">
        <w:rPr>
          <w:vertAlign w:val="subscript"/>
        </w:rPr>
        <w:t>5+</w:t>
      </w:r>
      <w:r w:rsidRPr="00A53FD1">
        <w:t xml:space="preserve"> hydrocarbon yield was higher than the maximum obtained with </w:t>
      </w:r>
      <w:proofErr w:type="spellStart"/>
      <w:r w:rsidRPr="00A53FD1">
        <w:t>CuZnZr</w:t>
      </w:r>
      <w:proofErr w:type="spellEnd"/>
      <w:r w:rsidRPr="00A53FD1">
        <w:t>/H5 (4.9% vs. 2.9 %). As temperature was risen, owing to the favored MTH reactions, hydrocarbon production sharply increased. In fact, at 420 ºC, the C</w:t>
      </w:r>
      <w:r w:rsidRPr="00A53FD1">
        <w:rPr>
          <w:vertAlign w:val="subscript"/>
        </w:rPr>
        <w:t>5+</w:t>
      </w:r>
      <w:r w:rsidRPr="00A53FD1">
        <w:t xml:space="preserve"> yield reached 17 %. Even if almost no methanol was produced only with the metallic catalyst at these conditions, the high hydrocarbons production was obtained by dint of the displaced equilibrium of the first step in the integrated process. The great thermodynamic advantage of operating in a single stage is therefore evidenced. Moreover, with the </w:t>
      </w:r>
      <w:proofErr w:type="spellStart"/>
      <w:r w:rsidRPr="00A53FD1">
        <w:t>InZr</w:t>
      </w:r>
      <w:proofErr w:type="spellEnd"/>
      <w:r w:rsidRPr="00A53FD1">
        <w:t>/H5 tandem catalyst, the conversion of CO</w:t>
      </w:r>
      <w:r w:rsidRPr="00A53FD1">
        <w:rPr>
          <w:vertAlign w:val="subscript"/>
        </w:rPr>
        <w:t>2</w:t>
      </w:r>
      <w:r w:rsidRPr="00A53FD1">
        <w:t xml:space="preserve">/CO hydrogenation rocketed from 1.8 % when operating just with the metallic catalyst to 23 % in the integrated process. </w:t>
      </w:r>
    </w:p>
    <w:p w14:paraId="602608EF" w14:textId="77777777" w:rsidR="003D5022" w:rsidRPr="00A53FD1" w:rsidRDefault="003D5022" w:rsidP="00C3683E">
      <w:pPr>
        <w:pStyle w:val="Textocomentario"/>
        <w:rPr>
          <w:lang w:val="en-US"/>
        </w:rPr>
      </w:pPr>
    </w:p>
    <w:p w14:paraId="7ED4EB1A" w14:textId="26C15374" w:rsidR="0009092D" w:rsidRPr="00A53FD1" w:rsidRDefault="00960F17" w:rsidP="00BF0054">
      <w:pPr>
        <w:pStyle w:val="CETBodytext"/>
      </w:pPr>
      <w:r w:rsidRPr="00A53FD1">
        <w:rPr>
          <w:noProof/>
          <w:lang w:val="es-ES" w:eastAsia="es-ES"/>
        </w:rPr>
        <w:lastRenderedPageBreak/>
        <w:drawing>
          <wp:inline distT="0" distB="0" distL="0" distR="0" wp14:anchorId="05E25BAA" wp14:editId="25445D53">
            <wp:extent cx="2878455" cy="2409602"/>
            <wp:effectExtent l="0" t="0" r="0" b="0"/>
            <wp:docPr id="3" name="Imagen 3"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 Histogram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t="14089" b="2199"/>
                    <a:stretch/>
                  </pic:blipFill>
                  <pic:spPr bwMode="auto">
                    <a:xfrm>
                      <a:off x="0" y="0"/>
                      <a:ext cx="2878455" cy="2409602"/>
                    </a:xfrm>
                    <a:prstGeom prst="rect">
                      <a:avLst/>
                    </a:prstGeom>
                    <a:noFill/>
                    <a:ln>
                      <a:noFill/>
                    </a:ln>
                    <a:extLst>
                      <a:ext uri="{53640926-AAD7-44D8-BBD7-CCE9431645EC}">
                        <a14:shadowObscured xmlns:a14="http://schemas.microsoft.com/office/drawing/2010/main"/>
                      </a:ext>
                    </a:extLst>
                  </pic:spPr>
                </pic:pic>
              </a:graphicData>
            </a:graphic>
          </wp:inline>
        </w:drawing>
      </w:r>
    </w:p>
    <w:p w14:paraId="50190508" w14:textId="13F60671" w:rsidR="00BF0054" w:rsidRPr="00A53FD1" w:rsidRDefault="00BF0054" w:rsidP="00BF0054">
      <w:pPr>
        <w:pStyle w:val="CETCaption"/>
      </w:pPr>
      <w:r w:rsidRPr="00A53FD1">
        <w:t>Figure 3. Effect of the temperature on the yield of the desired product fraction: (</w:t>
      </w:r>
      <w:proofErr w:type="spellStart"/>
      <w:r w:rsidRPr="00A53FD1">
        <w:t>i</w:t>
      </w:r>
      <w:proofErr w:type="spellEnd"/>
      <w:r w:rsidRPr="00A53FD1">
        <w:t xml:space="preserve">) methanol (with </w:t>
      </w:r>
      <w:proofErr w:type="spellStart"/>
      <w:r w:rsidRPr="00A53FD1">
        <w:t>CuZnZr</w:t>
      </w:r>
      <w:proofErr w:type="spellEnd"/>
      <w:r w:rsidRPr="00A53FD1">
        <w:t xml:space="preserve"> metallic catalyst) and (ii) C</w:t>
      </w:r>
      <w:r w:rsidRPr="00A53FD1">
        <w:rPr>
          <w:vertAlign w:val="subscript"/>
        </w:rPr>
        <w:t>5+</w:t>
      </w:r>
      <w:r w:rsidRPr="00A53FD1">
        <w:t xml:space="preserve"> hydrocarbons (with </w:t>
      </w:r>
      <w:proofErr w:type="spellStart"/>
      <w:r w:rsidRPr="00A53FD1">
        <w:t>CuZnZr</w:t>
      </w:r>
      <w:proofErr w:type="spellEnd"/>
      <w:r w:rsidRPr="00A53FD1">
        <w:t>/H5 tandem catalyst).</w:t>
      </w:r>
      <w:r w:rsidR="007F18B7">
        <w:t xml:space="preserve"> Reaction conditions: 50 </w:t>
      </w:r>
      <w:proofErr w:type="gramStart"/>
      <w:r w:rsidR="007F18B7">
        <w:t>bar</w:t>
      </w:r>
      <w:proofErr w:type="gramEnd"/>
      <w:r w:rsidR="007F18B7">
        <w:t xml:space="preserve">; space time, </w:t>
      </w:r>
      <w:r w:rsidR="00687345">
        <w:t>6</w:t>
      </w:r>
      <w:r w:rsidR="00CB1A8F">
        <w:t xml:space="preserve"> and </w:t>
      </w:r>
      <w:r w:rsidR="007F18B7">
        <w:t>1</w:t>
      </w:r>
      <w:r w:rsidR="00CB1A8F">
        <w:t>2</w:t>
      </w:r>
      <w:r w:rsidR="007F18B7">
        <w:t xml:space="preserve"> </w:t>
      </w:r>
      <w:proofErr w:type="spellStart"/>
      <w:r w:rsidR="007F18B7">
        <w:t>g</w:t>
      </w:r>
      <w:r w:rsidR="007F18B7" w:rsidRPr="007F18B7">
        <w:rPr>
          <w:vertAlign w:val="subscript"/>
        </w:rPr>
        <w:t>cat</w:t>
      </w:r>
      <w:proofErr w:type="spellEnd"/>
      <w:r w:rsidR="007F18B7">
        <w:t xml:space="preserve"> h mol</w:t>
      </w:r>
      <w:r w:rsidR="007F18B7" w:rsidRPr="007F18B7">
        <w:rPr>
          <w:vertAlign w:val="subscript"/>
        </w:rPr>
        <w:t>C</w:t>
      </w:r>
      <w:r w:rsidR="007F18B7">
        <w:rPr>
          <w:vertAlign w:val="superscript"/>
        </w:rPr>
        <w:t>-1</w:t>
      </w:r>
      <w:r w:rsidR="007F18B7">
        <w:t>; H</w:t>
      </w:r>
      <w:r w:rsidR="007F18B7" w:rsidRPr="007F18B7">
        <w:rPr>
          <w:vertAlign w:val="subscript"/>
        </w:rPr>
        <w:t>2</w:t>
      </w:r>
      <w:r w:rsidR="007F18B7">
        <w:t>/</w:t>
      </w:r>
      <w:proofErr w:type="spellStart"/>
      <w:r w:rsidR="007F18B7">
        <w:t>CO</w:t>
      </w:r>
      <w:r w:rsidR="007F18B7" w:rsidRPr="007F18B7">
        <w:rPr>
          <w:vertAlign w:val="subscript"/>
        </w:rPr>
        <w:t>x</w:t>
      </w:r>
      <w:proofErr w:type="spellEnd"/>
      <w:r w:rsidR="007F18B7">
        <w:t>, 3.</w:t>
      </w:r>
    </w:p>
    <w:p w14:paraId="726B1294" w14:textId="77777777" w:rsidR="00C66855" w:rsidRPr="00A53FD1" w:rsidRDefault="00C66855" w:rsidP="00C66855">
      <w:pPr>
        <w:pStyle w:val="CETBodytextItalic"/>
        <w:rPr>
          <w:lang w:val="en-US"/>
        </w:rPr>
      </w:pPr>
    </w:p>
    <w:p w14:paraId="5CBC34DA" w14:textId="13ABB605" w:rsidR="00AD52C8" w:rsidRPr="00A53FD1" w:rsidRDefault="00960F17" w:rsidP="00BF0054">
      <w:pPr>
        <w:pStyle w:val="CETBodytext"/>
        <w:jc w:val="left"/>
      </w:pPr>
      <w:r w:rsidRPr="00A53FD1">
        <w:rPr>
          <w:noProof/>
          <w:lang w:val="es-ES" w:eastAsia="es-ES"/>
        </w:rPr>
        <w:drawing>
          <wp:inline distT="0" distB="0" distL="0" distR="0" wp14:anchorId="031EB099" wp14:editId="24883773">
            <wp:extent cx="2879090" cy="2462270"/>
            <wp:effectExtent l="0" t="0" r="0" b="0"/>
            <wp:docPr id="4" name="Imagen 4"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 Histograma&#10;&#10;Descripción generada automáticamente"/>
                    <pic:cNvPicPr>
                      <a:picLocks noChangeAspect="1" noChangeArrowheads="1"/>
                    </pic:cNvPicPr>
                  </pic:nvPicPr>
                  <pic:blipFill rotWithShape="1">
                    <a:blip r:embed="rId17">
                      <a:extLst>
                        <a:ext uri="{28A0092B-C50C-407E-A947-70E740481C1C}">
                          <a14:useLocalDpi xmlns:a14="http://schemas.microsoft.com/office/drawing/2010/main" val="0"/>
                        </a:ext>
                      </a:extLst>
                    </a:blip>
                    <a:srcRect t="13039" b="1438"/>
                    <a:stretch/>
                  </pic:blipFill>
                  <pic:spPr bwMode="auto">
                    <a:xfrm>
                      <a:off x="0" y="0"/>
                      <a:ext cx="2880000" cy="2463048"/>
                    </a:xfrm>
                    <a:prstGeom prst="rect">
                      <a:avLst/>
                    </a:prstGeom>
                    <a:noFill/>
                    <a:ln>
                      <a:noFill/>
                    </a:ln>
                    <a:extLst>
                      <a:ext uri="{53640926-AAD7-44D8-BBD7-CCE9431645EC}">
                        <a14:shadowObscured xmlns:a14="http://schemas.microsoft.com/office/drawing/2010/main"/>
                      </a:ext>
                    </a:extLst>
                  </pic:spPr>
                </pic:pic>
              </a:graphicData>
            </a:graphic>
          </wp:inline>
        </w:drawing>
      </w:r>
    </w:p>
    <w:p w14:paraId="1A7CCD15" w14:textId="4503D6CA" w:rsidR="00BF0054" w:rsidRDefault="00BF0054" w:rsidP="00BF0054">
      <w:pPr>
        <w:pStyle w:val="CETCaption"/>
      </w:pPr>
      <w:r w:rsidRPr="00A53FD1">
        <w:t>Figure 4. Effect of the temperature on the yield of the desired product fraction: (</w:t>
      </w:r>
      <w:proofErr w:type="spellStart"/>
      <w:r w:rsidRPr="00A53FD1">
        <w:t>i</w:t>
      </w:r>
      <w:proofErr w:type="spellEnd"/>
      <w:r w:rsidRPr="00A53FD1">
        <w:t xml:space="preserve">) methanol (with </w:t>
      </w:r>
      <w:proofErr w:type="spellStart"/>
      <w:r w:rsidRPr="00A53FD1">
        <w:t>InZr</w:t>
      </w:r>
      <w:proofErr w:type="spellEnd"/>
      <w:r w:rsidRPr="00A53FD1">
        <w:t xml:space="preserve"> metallic catalyst) and (ii) C</w:t>
      </w:r>
      <w:r w:rsidRPr="00A53FD1">
        <w:rPr>
          <w:vertAlign w:val="subscript"/>
        </w:rPr>
        <w:t>5+</w:t>
      </w:r>
      <w:r w:rsidRPr="00A53FD1">
        <w:t xml:space="preserve"> hydrocarbons (with </w:t>
      </w:r>
      <w:proofErr w:type="spellStart"/>
      <w:r w:rsidRPr="00A53FD1">
        <w:t>InZr</w:t>
      </w:r>
      <w:proofErr w:type="spellEnd"/>
      <w:r w:rsidRPr="00A53FD1">
        <w:t>/H5 tandem catalyst).</w:t>
      </w:r>
      <w:r w:rsidR="007F18B7">
        <w:t xml:space="preserve"> Reaction conditions: 50 </w:t>
      </w:r>
      <w:proofErr w:type="gramStart"/>
      <w:r w:rsidR="007F18B7">
        <w:t>bar</w:t>
      </w:r>
      <w:proofErr w:type="gramEnd"/>
      <w:r w:rsidR="007F18B7">
        <w:t>; space time,</w:t>
      </w:r>
      <w:r w:rsidR="00CB1A8F">
        <w:t xml:space="preserve"> 6 and</w:t>
      </w:r>
      <w:r w:rsidR="007F18B7">
        <w:t xml:space="preserve"> 1</w:t>
      </w:r>
      <w:r w:rsidR="00CB1A8F">
        <w:t>2</w:t>
      </w:r>
      <w:r w:rsidR="007F18B7">
        <w:t xml:space="preserve"> </w:t>
      </w:r>
      <w:proofErr w:type="spellStart"/>
      <w:r w:rsidR="007F18B7">
        <w:t>g</w:t>
      </w:r>
      <w:r w:rsidR="007F18B7" w:rsidRPr="007F18B7">
        <w:rPr>
          <w:vertAlign w:val="subscript"/>
        </w:rPr>
        <w:t>cat</w:t>
      </w:r>
      <w:proofErr w:type="spellEnd"/>
      <w:r w:rsidR="007F18B7">
        <w:t xml:space="preserve"> h mol</w:t>
      </w:r>
      <w:r w:rsidR="007F18B7" w:rsidRPr="007F18B7">
        <w:rPr>
          <w:vertAlign w:val="subscript"/>
        </w:rPr>
        <w:t>C</w:t>
      </w:r>
      <w:r w:rsidR="007F18B7">
        <w:rPr>
          <w:vertAlign w:val="superscript"/>
        </w:rPr>
        <w:t>-1</w:t>
      </w:r>
      <w:r w:rsidR="007F18B7">
        <w:t>; H</w:t>
      </w:r>
      <w:r w:rsidR="007F18B7" w:rsidRPr="007F18B7">
        <w:rPr>
          <w:vertAlign w:val="subscript"/>
        </w:rPr>
        <w:t>2</w:t>
      </w:r>
      <w:r w:rsidR="007F18B7">
        <w:t>/</w:t>
      </w:r>
      <w:proofErr w:type="spellStart"/>
      <w:r w:rsidR="007F18B7">
        <w:t>CO</w:t>
      </w:r>
      <w:r w:rsidR="007F18B7" w:rsidRPr="007F18B7">
        <w:rPr>
          <w:vertAlign w:val="subscript"/>
        </w:rPr>
        <w:t>x</w:t>
      </w:r>
      <w:proofErr w:type="spellEnd"/>
      <w:r w:rsidR="007F18B7">
        <w:t>, 3.</w:t>
      </w:r>
    </w:p>
    <w:p w14:paraId="15F57EE1" w14:textId="7EEB006B" w:rsidR="00CC6DFE" w:rsidRPr="00D46A1C" w:rsidRDefault="00CC6DFE" w:rsidP="00CC6DFE">
      <w:pPr>
        <w:pStyle w:val="CETBodytext"/>
      </w:pPr>
      <w:r>
        <w:t xml:space="preserve">Table 1 shows the distribution of the obtained hydrocarbons at 420 ºC. </w:t>
      </w:r>
      <w:proofErr w:type="spellStart"/>
      <w:r>
        <w:t>Isoparaffins</w:t>
      </w:r>
      <w:proofErr w:type="spellEnd"/>
      <w:r>
        <w:t xml:space="preserve"> in the C</w:t>
      </w:r>
      <w:r w:rsidRPr="00CC6DFE">
        <w:rPr>
          <w:vertAlign w:val="subscript"/>
        </w:rPr>
        <w:t>4</w:t>
      </w:r>
      <w:r>
        <w:t>-C</w:t>
      </w:r>
      <w:r w:rsidRPr="00CC6DFE">
        <w:rPr>
          <w:vertAlign w:val="subscript"/>
        </w:rPr>
        <w:t>6</w:t>
      </w:r>
      <w:r>
        <w:t xml:space="preserve"> range turned out to be the most numerous produced hydrocarbons, accounting for more than half of the obtained hydrocarbon products. Almost no </w:t>
      </w:r>
      <w:r w:rsidRPr="00D46A1C">
        <w:t>aromatics were produced, and olefins did not reach 15%. This composition is very suitable for its incorporation into the gasoline-pool. Because, when mixed with streams with high aromatic (such as those from the FCC) or olefin content</w:t>
      </w:r>
      <w:r w:rsidR="007B6716" w:rsidRPr="00D46A1C">
        <w:t>, it would help meet environmental requirements. In addition, it is remarkable that the produced hydrocarbons do not contain S or N, pollutants present in refinery streams. On the other hand, its commercial application is interesting for the CO</w:t>
      </w:r>
      <w:r w:rsidR="007B6716" w:rsidRPr="00D46A1C">
        <w:rPr>
          <w:vertAlign w:val="subscript"/>
        </w:rPr>
        <w:t>2</w:t>
      </w:r>
      <w:r w:rsidR="007B6716" w:rsidRPr="00D46A1C">
        <w:t xml:space="preserve"> valorization policies aimed at </w:t>
      </w:r>
      <w:r w:rsidR="00703A67" w:rsidRPr="00D46A1C">
        <w:t xml:space="preserve">synthesizing </w:t>
      </w:r>
      <w:r w:rsidR="007B6716" w:rsidRPr="00D46A1C">
        <w:t>products of commercial interest that partially compensate the costs of CO</w:t>
      </w:r>
      <w:r w:rsidR="007B6716" w:rsidRPr="00D46A1C">
        <w:rPr>
          <w:vertAlign w:val="subscript"/>
        </w:rPr>
        <w:t>2</w:t>
      </w:r>
      <w:r w:rsidR="007B6716" w:rsidRPr="00D46A1C">
        <w:t xml:space="preserve"> capture technologies</w:t>
      </w:r>
      <w:r w:rsidR="00A31196" w:rsidRPr="00D46A1C">
        <w:t xml:space="preserve"> and the higher cost of indium</w:t>
      </w:r>
      <w:r w:rsidR="004A3380" w:rsidRPr="00D46A1C">
        <w:t>-based catalysts</w:t>
      </w:r>
      <w:r w:rsidR="007B6716" w:rsidRPr="00D46A1C">
        <w:t>.</w:t>
      </w:r>
      <w:r w:rsidR="00DF3234" w:rsidRPr="00D46A1C">
        <w:t xml:space="preserve"> It is noteworthy that the hydrocarbons obtained with </w:t>
      </w:r>
      <w:proofErr w:type="spellStart"/>
      <w:r w:rsidR="00DF3234" w:rsidRPr="00D46A1C">
        <w:t>CuZnZr</w:t>
      </w:r>
      <w:proofErr w:type="spellEnd"/>
      <w:r w:rsidR="00DF3234" w:rsidRPr="00D46A1C">
        <w:t>/H5 were mainly 5 carbon number paraffins, with almost no presence of naphthenic or aromatic compounds.</w:t>
      </w:r>
    </w:p>
    <w:p w14:paraId="1FFB93BE" w14:textId="77777777" w:rsidR="003D5022" w:rsidRDefault="003D5022" w:rsidP="00CC6DFE">
      <w:pPr>
        <w:pStyle w:val="CETBodytext"/>
      </w:pPr>
    </w:p>
    <w:p w14:paraId="06606BEC" w14:textId="240DD6C5" w:rsidR="002D4698" w:rsidRPr="00D46A1C" w:rsidRDefault="007F18B7" w:rsidP="007F18B7">
      <w:pPr>
        <w:pStyle w:val="CETTabletitle"/>
      </w:pPr>
      <w:r w:rsidRPr="00D46A1C">
        <w:lastRenderedPageBreak/>
        <w:t>Table 1: Distribution of hydrocarbons by product fraction and carbon number (mol %)</w:t>
      </w:r>
      <w:r w:rsidR="004D12A1" w:rsidRPr="00D46A1C">
        <w:t xml:space="preserve"> obtained with </w:t>
      </w:r>
      <w:proofErr w:type="spellStart"/>
      <w:r w:rsidR="004D12A1" w:rsidRPr="00D46A1C">
        <w:t>InZr</w:t>
      </w:r>
      <w:proofErr w:type="spellEnd"/>
      <w:r w:rsidR="004D12A1" w:rsidRPr="00D46A1C">
        <w:t>/H5 catalyst</w:t>
      </w:r>
      <w:r w:rsidRPr="00D46A1C">
        <w:t xml:space="preserve">. Reaction conditions: 420 ºC; 50 </w:t>
      </w:r>
      <w:proofErr w:type="gramStart"/>
      <w:r w:rsidRPr="00D46A1C">
        <w:t>bar</w:t>
      </w:r>
      <w:proofErr w:type="gramEnd"/>
      <w:r w:rsidRPr="00D46A1C">
        <w:t>; space time, 1</w:t>
      </w:r>
      <w:r w:rsidR="00687345" w:rsidRPr="00D46A1C">
        <w:t>2</w:t>
      </w:r>
      <w:r w:rsidRPr="00D46A1C">
        <w:t xml:space="preserve"> </w:t>
      </w:r>
      <w:proofErr w:type="spellStart"/>
      <w:r w:rsidRPr="00D46A1C">
        <w:t>g</w:t>
      </w:r>
      <w:r w:rsidRPr="00D46A1C">
        <w:rPr>
          <w:vertAlign w:val="subscript"/>
        </w:rPr>
        <w:t>cat</w:t>
      </w:r>
      <w:proofErr w:type="spellEnd"/>
      <w:r w:rsidRPr="00D46A1C">
        <w:t xml:space="preserve"> h mol</w:t>
      </w:r>
      <w:r w:rsidRPr="00D46A1C">
        <w:rPr>
          <w:vertAlign w:val="subscript"/>
        </w:rPr>
        <w:t>C</w:t>
      </w:r>
      <w:r w:rsidRPr="00D46A1C">
        <w:rPr>
          <w:vertAlign w:val="superscript"/>
        </w:rPr>
        <w:t>-1</w:t>
      </w:r>
      <w:r w:rsidRPr="00D46A1C">
        <w:t>; H</w:t>
      </w:r>
      <w:r w:rsidRPr="00D46A1C">
        <w:rPr>
          <w:vertAlign w:val="subscript"/>
        </w:rPr>
        <w:t>2</w:t>
      </w:r>
      <w:r w:rsidRPr="00D46A1C">
        <w:t>/</w:t>
      </w:r>
      <w:proofErr w:type="spellStart"/>
      <w:r w:rsidRPr="00D46A1C">
        <w:t>CO</w:t>
      </w:r>
      <w:r w:rsidRPr="00D46A1C">
        <w:rPr>
          <w:vertAlign w:val="subscript"/>
        </w:rPr>
        <w:t>x</w:t>
      </w:r>
      <w:proofErr w:type="spellEnd"/>
      <w:r w:rsidRPr="00D46A1C">
        <w:t>, 3.</w:t>
      </w:r>
      <w:r w:rsidR="00703A67" w:rsidRPr="00D46A1C">
        <w:t xml:space="preserve"> The remainder to reach 100% corresponds to oxygenate fraction.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850"/>
        <w:gridCol w:w="1134"/>
        <w:gridCol w:w="1134"/>
        <w:gridCol w:w="1134"/>
        <w:gridCol w:w="1134"/>
      </w:tblGrid>
      <w:tr w:rsidR="00D46A1C" w:rsidRPr="00D46A1C" w14:paraId="67EA758F" w14:textId="77777777" w:rsidTr="007F18B7">
        <w:tc>
          <w:tcPr>
            <w:tcW w:w="1418" w:type="dxa"/>
            <w:shd w:val="clear" w:color="auto" w:fill="FFFFFF"/>
          </w:tcPr>
          <w:p w14:paraId="45C43E36" w14:textId="41D67B44" w:rsidR="002D4698" w:rsidRPr="00D46A1C" w:rsidRDefault="002D4698" w:rsidP="008A5736">
            <w:pPr>
              <w:pStyle w:val="CETBodytext"/>
              <w:rPr>
                <w:lang w:val="en-GB"/>
              </w:rPr>
            </w:pPr>
            <w:r w:rsidRPr="00D46A1C">
              <w:rPr>
                <w:lang w:val="en-GB"/>
              </w:rPr>
              <w:t xml:space="preserve">Carbon number </w:t>
            </w:r>
          </w:p>
        </w:tc>
        <w:tc>
          <w:tcPr>
            <w:tcW w:w="850" w:type="dxa"/>
            <w:shd w:val="clear" w:color="auto" w:fill="FFFFFF"/>
          </w:tcPr>
          <w:p w14:paraId="1493811E" w14:textId="773424E9" w:rsidR="002D4698" w:rsidRPr="00D46A1C" w:rsidRDefault="002D4698" w:rsidP="002D4698">
            <w:pPr>
              <w:pStyle w:val="CETBodytext"/>
              <w:rPr>
                <w:lang w:val="en-GB"/>
              </w:rPr>
            </w:pPr>
            <w:r w:rsidRPr="00D46A1C">
              <w:rPr>
                <w:lang w:val="en-GB"/>
              </w:rPr>
              <w:t>n-paraffin</w:t>
            </w:r>
          </w:p>
        </w:tc>
        <w:tc>
          <w:tcPr>
            <w:tcW w:w="1134" w:type="dxa"/>
            <w:shd w:val="clear" w:color="auto" w:fill="FFFFFF"/>
          </w:tcPr>
          <w:p w14:paraId="79CD087A" w14:textId="6ADA705A" w:rsidR="002D4698" w:rsidRPr="00D46A1C" w:rsidRDefault="002D4698" w:rsidP="008A5736">
            <w:pPr>
              <w:pStyle w:val="CETBodytext"/>
              <w:rPr>
                <w:lang w:val="en-GB"/>
              </w:rPr>
            </w:pPr>
            <w:proofErr w:type="spellStart"/>
            <w:r w:rsidRPr="00D46A1C">
              <w:rPr>
                <w:lang w:val="en-GB"/>
              </w:rPr>
              <w:t>Isoparaffin</w:t>
            </w:r>
            <w:proofErr w:type="spellEnd"/>
          </w:p>
        </w:tc>
        <w:tc>
          <w:tcPr>
            <w:tcW w:w="1134" w:type="dxa"/>
            <w:shd w:val="clear" w:color="auto" w:fill="FFFFFF"/>
          </w:tcPr>
          <w:p w14:paraId="49CB3372" w14:textId="734C890A" w:rsidR="002D4698" w:rsidRPr="00D46A1C" w:rsidRDefault="002D4698" w:rsidP="008A5736">
            <w:pPr>
              <w:pStyle w:val="CETBodytext"/>
              <w:ind w:right="-1"/>
              <w:rPr>
                <w:rFonts w:cs="Arial"/>
                <w:szCs w:val="18"/>
                <w:lang w:val="en-GB"/>
              </w:rPr>
            </w:pPr>
            <w:r w:rsidRPr="00D46A1C">
              <w:rPr>
                <w:rFonts w:cs="Arial"/>
                <w:szCs w:val="18"/>
                <w:lang w:val="en-GB"/>
              </w:rPr>
              <w:t>Olefin</w:t>
            </w:r>
          </w:p>
        </w:tc>
        <w:tc>
          <w:tcPr>
            <w:tcW w:w="1134" w:type="dxa"/>
            <w:shd w:val="clear" w:color="auto" w:fill="FFFFFF"/>
          </w:tcPr>
          <w:p w14:paraId="3F5B2656" w14:textId="573810AA" w:rsidR="002D4698" w:rsidRPr="00D46A1C" w:rsidRDefault="002D4698" w:rsidP="008A5736">
            <w:pPr>
              <w:pStyle w:val="CETBodytext"/>
              <w:ind w:right="-1"/>
              <w:rPr>
                <w:rFonts w:cs="Arial"/>
                <w:szCs w:val="18"/>
                <w:lang w:val="en-GB"/>
              </w:rPr>
            </w:pPr>
            <w:r w:rsidRPr="00D46A1C">
              <w:rPr>
                <w:rFonts w:cs="Arial"/>
                <w:szCs w:val="18"/>
                <w:lang w:val="en-GB"/>
              </w:rPr>
              <w:t>Naphthene</w:t>
            </w:r>
          </w:p>
        </w:tc>
        <w:tc>
          <w:tcPr>
            <w:tcW w:w="1134" w:type="dxa"/>
            <w:shd w:val="clear" w:color="auto" w:fill="FFFFFF"/>
          </w:tcPr>
          <w:p w14:paraId="13817176" w14:textId="54BF0622" w:rsidR="002D4698" w:rsidRPr="00D46A1C" w:rsidRDefault="002D4698" w:rsidP="008A5736">
            <w:pPr>
              <w:pStyle w:val="CETBodytext"/>
              <w:ind w:right="-1"/>
              <w:rPr>
                <w:rFonts w:cs="Arial"/>
                <w:szCs w:val="18"/>
                <w:lang w:val="en-GB"/>
              </w:rPr>
            </w:pPr>
            <w:r w:rsidRPr="00D46A1C">
              <w:rPr>
                <w:rFonts w:cs="Arial"/>
                <w:szCs w:val="18"/>
                <w:lang w:val="en-GB"/>
              </w:rPr>
              <w:t>Aromatic</w:t>
            </w:r>
          </w:p>
        </w:tc>
      </w:tr>
      <w:tr w:rsidR="002D4698" w:rsidRPr="00B57B36" w14:paraId="2CA77467" w14:textId="77777777" w:rsidTr="007F18B7">
        <w:tc>
          <w:tcPr>
            <w:tcW w:w="1418" w:type="dxa"/>
            <w:shd w:val="clear" w:color="auto" w:fill="FFFFFF"/>
          </w:tcPr>
          <w:p w14:paraId="28ACE9E9" w14:textId="1DC4B7C4" w:rsidR="002D4698" w:rsidRPr="00B57B36" w:rsidRDefault="002D4698" w:rsidP="008A5736">
            <w:pPr>
              <w:pStyle w:val="CETBodytext"/>
              <w:rPr>
                <w:lang w:val="en-GB"/>
              </w:rPr>
            </w:pPr>
            <w:r>
              <w:rPr>
                <w:lang w:val="en-GB"/>
              </w:rPr>
              <w:t>C</w:t>
            </w:r>
            <w:r w:rsidRPr="002D4698">
              <w:rPr>
                <w:vertAlign w:val="subscript"/>
                <w:lang w:val="en-GB"/>
              </w:rPr>
              <w:t>1</w:t>
            </w:r>
          </w:p>
        </w:tc>
        <w:tc>
          <w:tcPr>
            <w:tcW w:w="850" w:type="dxa"/>
            <w:shd w:val="clear" w:color="auto" w:fill="FFFFFF"/>
          </w:tcPr>
          <w:p w14:paraId="0C9645E5" w14:textId="37D8906D" w:rsidR="002D4698" w:rsidRPr="00B57B36" w:rsidRDefault="007F18B7" w:rsidP="008A5736">
            <w:pPr>
              <w:pStyle w:val="CETBodytext"/>
              <w:rPr>
                <w:lang w:val="en-GB"/>
              </w:rPr>
            </w:pPr>
            <w:r>
              <w:rPr>
                <w:lang w:val="en-GB"/>
              </w:rPr>
              <w:t>8.8</w:t>
            </w:r>
          </w:p>
        </w:tc>
        <w:tc>
          <w:tcPr>
            <w:tcW w:w="1134" w:type="dxa"/>
            <w:shd w:val="clear" w:color="auto" w:fill="FFFFFF"/>
          </w:tcPr>
          <w:p w14:paraId="7C042925" w14:textId="0A2969DC" w:rsidR="002D4698" w:rsidRPr="00B57B36" w:rsidRDefault="007F18B7" w:rsidP="008A5736">
            <w:pPr>
              <w:pStyle w:val="CETBodytext"/>
              <w:rPr>
                <w:lang w:val="en-GB"/>
              </w:rPr>
            </w:pPr>
            <w:r>
              <w:rPr>
                <w:lang w:val="en-GB"/>
              </w:rPr>
              <w:t>-</w:t>
            </w:r>
          </w:p>
        </w:tc>
        <w:tc>
          <w:tcPr>
            <w:tcW w:w="1134" w:type="dxa"/>
            <w:shd w:val="clear" w:color="auto" w:fill="FFFFFF"/>
          </w:tcPr>
          <w:p w14:paraId="46AB712B" w14:textId="0801FE78"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2AB463AE" w14:textId="628F9DE7"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3A215ADC" w14:textId="69AAC599"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3594F030" w14:textId="77777777" w:rsidTr="007F18B7">
        <w:tc>
          <w:tcPr>
            <w:tcW w:w="1418" w:type="dxa"/>
            <w:shd w:val="clear" w:color="auto" w:fill="FFFFFF"/>
          </w:tcPr>
          <w:p w14:paraId="3C43C3E4" w14:textId="38E27391" w:rsidR="002D4698" w:rsidRDefault="002D4698" w:rsidP="008A5736">
            <w:pPr>
              <w:pStyle w:val="CETBodytext"/>
              <w:ind w:right="-1"/>
              <w:rPr>
                <w:lang w:val="en-GB"/>
              </w:rPr>
            </w:pPr>
            <w:r>
              <w:rPr>
                <w:lang w:val="en-GB"/>
              </w:rPr>
              <w:t>C</w:t>
            </w:r>
            <w:r>
              <w:rPr>
                <w:vertAlign w:val="subscript"/>
                <w:lang w:val="en-GB"/>
              </w:rPr>
              <w:t>2</w:t>
            </w:r>
          </w:p>
        </w:tc>
        <w:tc>
          <w:tcPr>
            <w:tcW w:w="850" w:type="dxa"/>
            <w:shd w:val="clear" w:color="auto" w:fill="FFFFFF"/>
          </w:tcPr>
          <w:p w14:paraId="0EBEDA06" w14:textId="2E47D105" w:rsidR="002D4698" w:rsidRPr="00B57B36" w:rsidRDefault="007F18B7" w:rsidP="008A5736">
            <w:pPr>
              <w:pStyle w:val="CETBodytext"/>
              <w:ind w:right="-1"/>
              <w:rPr>
                <w:rFonts w:cs="Arial"/>
                <w:szCs w:val="18"/>
                <w:lang w:val="en-GB"/>
              </w:rPr>
            </w:pPr>
            <w:r>
              <w:rPr>
                <w:rFonts w:cs="Arial"/>
                <w:szCs w:val="18"/>
                <w:lang w:val="en-GB"/>
              </w:rPr>
              <w:t>3.0</w:t>
            </w:r>
          </w:p>
        </w:tc>
        <w:tc>
          <w:tcPr>
            <w:tcW w:w="1134" w:type="dxa"/>
            <w:shd w:val="clear" w:color="auto" w:fill="FFFFFF"/>
          </w:tcPr>
          <w:p w14:paraId="4ABEC3A3" w14:textId="142A7A26"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13642B8B" w14:textId="2F620F21" w:rsidR="002D4698" w:rsidRPr="00B57B36" w:rsidRDefault="007F18B7" w:rsidP="008A5736">
            <w:pPr>
              <w:pStyle w:val="CETBodytext"/>
              <w:ind w:right="-1"/>
              <w:rPr>
                <w:rFonts w:cs="Arial"/>
                <w:szCs w:val="18"/>
                <w:lang w:val="en-GB"/>
              </w:rPr>
            </w:pPr>
            <w:r>
              <w:rPr>
                <w:rFonts w:cs="Arial"/>
                <w:szCs w:val="18"/>
                <w:lang w:val="en-GB"/>
              </w:rPr>
              <w:t>3.4</w:t>
            </w:r>
          </w:p>
        </w:tc>
        <w:tc>
          <w:tcPr>
            <w:tcW w:w="1134" w:type="dxa"/>
            <w:shd w:val="clear" w:color="auto" w:fill="FFFFFF"/>
          </w:tcPr>
          <w:p w14:paraId="4E567835" w14:textId="5FEB39F5"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04E7397C" w14:textId="6136B88F"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2D11B691" w14:textId="77777777" w:rsidTr="007F18B7">
        <w:tc>
          <w:tcPr>
            <w:tcW w:w="1418" w:type="dxa"/>
            <w:shd w:val="clear" w:color="auto" w:fill="FFFFFF"/>
          </w:tcPr>
          <w:p w14:paraId="27E10B94" w14:textId="59406F8B" w:rsidR="002D4698" w:rsidRDefault="002D4698" w:rsidP="008A5736">
            <w:pPr>
              <w:pStyle w:val="CETBodytext"/>
              <w:ind w:right="-1"/>
              <w:rPr>
                <w:lang w:val="en-GB"/>
              </w:rPr>
            </w:pPr>
            <w:r>
              <w:rPr>
                <w:lang w:val="en-GB"/>
              </w:rPr>
              <w:t>C</w:t>
            </w:r>
            <w:r>
              <w:rPr>
                <w:vertAlign w:val="subscript"/>
                <w:lang w:val="en-GB"/>
              </w:rPr>
              <w:t>3</w:t>
            </w:r>
          </w:p>
        </w:tc>
        <w:tc>
          <w:tcPr>
            <w:tcW w:w="850" w:type="dxa"/>
            <w:shd w:val="clear" w:color="auto" w:fill="FFFFFF"/>
          </w:tcPr>
          <w:p w14:paraId="7F85F538" w14:textId="6852EE89" w:rsidR="002D4698" w:rsidRPr="00B57B36" w:rsidRDefault="007F18B7" w:rsidP="008A5736">
            <w:pPr>
              <w:pStyle w:val="CETBodytext"/>
              <w:ind w:right="-1"/>
              <w:rPr>
                <w:rFonts w:cs="Arial"/>
                <w:szCs w:val="18"/>
                <w:lang w:val="en-GB"/>
              </w:rPr>
            </w:pPr>
            <w:r>
              <w:rPr>
                <w:rFonts w:cs="Arial"/>
                <w:szCs w:val="18"/>
                <w:lang w:val="en-GB"/>
              </w:rPr>
              <w:t>5.4</w:t>
            </w:r>
          </w:p>
        </w:tc>
        <w:tc>
          <w:tcPr>
            <w:tcW w:w="1134" w:type="dxa"/>
            <w:shd w:val="clear" w:color="auto" w:fill="FFFFFF"/>
          </w:tcPr>
          <w:p w14:paraId="511D57FC" w14:textId="5095FC96"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6DC53516" w14:textId="2E063AD5" w:rsidR="002D4698" w:rsidRPr="00B57B36" w:rsidRDefault="007F18B7" w:rsidP="008A5736">
            <w:pPr>
              <w:pStyle w:val="CETBodytext"/>
              <w:ind w:right="-1"/>
              <w:rPr>
                <w:rFonts w:cs="Arial"/>
                <w:szCs w:val="18"/>
                <w:lang w:val="en-GB"/>
              </w:rPr>
            </w:pPr>
            <w:r>
              <w:rPr>
                <w:rFonts w:cs="Arial"/>
                <w:szCs w:val="18"/>
                <w:lang w:val="en-GB"/>
              </w:rPr>
              <w:t>3.4</w:t>
            </w:r>
          </w:p>
        </w:tc>
        <w:tc>
          <w:tcPr>
            <w:tcW w:w="1134" w:type="dxa"/>
            <w:shd w:val="clear" w:color="auto" w:fill="FFFFFF"/>
          </w:tcPr>
          <w:p w14:paraId="6A9DC5F9" w14:textId="400BD139"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41928554" w14:textId="51DB1F79"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1885E68B" w14:textId="77777777" w:rsidTr="007F18B7">
        <w:tc>
          <w:tcPr>
            <w:tcW w:w="1418" w:type="dxa"/>
            <w:shd w:val="clear" w:color="auto" w:fill="FFFFFF"/>
          </w:tcPr>
          <w:p w14:paraId="25335C69" w14:textId="16D06974" w:rsidR="002D4698" w:rsidRDefault="002D4698" w:rsidP="008A5736">
            <w:pPr>
              <w:pStyle w:val="CETBodytext"/>
              <w:ind w:right="-1"/>
              <w:rPr>
                <w:lang w:val="en-GB"/>
              </w:rPr>
            </w:pPr>
            <w:r>
              <w:rPr>
                <w:lang w:val="en-GB"/>
              </w:rPr>
              <w:t>C</w:t>
            </w:r>
            <w:r>
              <w:rPr>
                <w:vertAlign w:val="subscript"/>
                <w:lang w:val="en-GB"/>
              </w:rPr>
              <w:t>4</w:t>
            </w:r>
          </w:p>
        </w:tc>
        <w:tc>
          <w:tcPr>
            <w:tcW w:w="850" w:type="dxa"/>
            <w:shd w:val="clear" w:color="auto" w:fill="FFFFFF"/>
          </w:tcPr>
          <w:p w14:paraId="3E6CE2F7" w14:textId="0574805D"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724BE7C2" w14:textId="043B48B5" w:rsidR="002D4698" w:rsidRPr="00B57B36" w:rsidRDefault="007F18B7" w:rsidP="007F18B7">
            <w:pPr>
              <w:pStyle w:val="CETBodytext"/>
              <w:ind w:right="-1"/>
              <w:rPr>
                <w:rFonts w:cs="Arial"/>
                <w:szCs w:val="18"/>
                <w:lang w:val="en-GB"/>
              </w:rPr>
            </w:pPr>
            <w:r>
              <w:rPr>
                <w:rFonts w:cs="Arial"/>
                <w:szCs w:val="18"/>
                <w:lang w:val="en-GB"/>
              </w:rPr>
              <w:t>11.2</w:t>
            </w:r>
          </w:p>
        </w:tc>
        <w:tc>
          <w:tcPr>
            <w:tcW w:w="1134" w:type="dxa"/>
            <w:shd w:val="clear" w:color="auto" w:fill="FFFFFF"/>
          </w:tcPr>
          <w:p w14:paraId="6506E8FF" w14:textId="617F4EB5" w:rsidR="002D4698" w:rsidRPr="00B57B36" w:rsidRDefault="007F18B7" w:rsidP="008A5736">
            <w:pPr>
              <w:pStyle w:val="CETBodytext"/>
              <w:ind w:right="-1"/>
              <w:rPr>
                <w:rFonts w:cs="Arial"/>
                <w:szCs w:val="18"/>
                <w:lang w:val="en-GB"/>
              </w:rPr>
            </w:pPr>
            <w:r>
              <w:rPr>
                <w:rFonts w:cs="Arial"/>
                <w:szCs w:val="18"/>
                <w:lang w:val="en-GB"/>
              </w:rPr>
              <w:t>5.4</w:t>
            </w:r>
          </w:p>
        </w:tc>
        <w:tc>
          <w:tcPr>
            <w:tcW w:w="1134" w:type="dxa"/>
            <w:shd w:val="clear" w:color="auto" w:fill="FFFFFF"/>
          </w:tcPr>
          <w:p w14:paraId="1B1A560F" w14:textId="19D41C6D"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552571A7" w14:textId="79533BAA"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0CB496D5" w14:textId="77777777" w:rsidTr="007F18B7">
        <w:tc>
          <w:tcPr>
            <w:tcW w:w="1418" w:type="dxa"/>
            <w:shd w:val="clear" w:color="auto" w:fill="FFFFFF"/>
          </w:tcPr>
          <w:p w14:paraId="72E11AEE" w14:textId="6A2BEB78" w:rsidR="002D4698" w:rsidRDefault="002D4698" w:rsidP="008A5736">
            <w:pPr>
              <w:pStyle w:val="CETBodytext"/>
              <w:ind w:right="-1"/>
              <w:rPr>
                <w:lang w:val="en-GB"/>
              </w:rPr>
            </w:pPr>
            <w:r>
              <w:rPr>
                <w:lang w:val="en-GB"/>
              </w:rPr>
              <w:t>C</w:t>
            </w:r>
            <w:r>
              <w:rPr>
                <w:vertAlign w:val="subscript"/>
                <w:lang w:val="en-GB"/>
              </w:rPr>
              <w:t>5</w:t>
            </w:r>
          </w:p>
        </w:tc>
        <w:tc>
          <w:tcPr>
            <w:tcW w:w="850" w:type="dxa"/>
            <w:shd w:val="clear" w:color="auto" w:fill="FFFFFF"/>
          </w:tcPr>
          <w:p w14:paraId="40D2FED8" w14:textId="5C1AC5E6" w:rsidR="002D4698" w:rsidRPr="00B57B36" w:rsidRDefault="007F18B7" w:rsidP="008A5736">
            <w:pPr>
              <w:pStyle w:val="CETBodytext"/>
              <w:ind w:right="-1"/>
              <w:rPr>
                <w:rFonts w:cs="Arial"/>
                <w:szCs w:val="18"/>
                <w:lang w:val="en-GB"/>
              </w:rPr>
            </w:pPr>
            <w:r>
              <w:rPr>
                <w:rFonts w:cs="Arial"/>
                <w:szCs w:val="18"/>
                <w:lang w:val="en-GB"/>
              </w:rPr>
              <w:t>3.2</w:t>
            </w:r>
          </w:p>
        </w:tc>
        <w:tc>
          <w:tcPr>
            <w:tcW w:w="1134" w:type="dxa"/>
            <w:shd w:val="clear" w:color="auto" w:fill="FFFFFF"/>
          </w:tcPr>
          <w:p w14:paraId="79876AF9" w14:textId="4B79C907" w:rsidR="002D4698" w:rsidRPr="00B57B36" w:rsidRDefault="007F18B7" w:rsidP="007F18B7">
            <w:pPr>
              <w:pStyle w:val="CETBodytext"/>
              <w:ind w:right="-1"/>
              <w:rPr>
                <w:rFonts w:cs="Arial"/>
                <w:szCs w:val="18"/>
                <w:lang w:val="en-GB"/>
              </w:rPr>
            </w:pPr>
            <w:r>
              <w:rPr>
                <w:rFonts w:cs="Arial"/>
                <w:szCs w:val="18"/>
                <w:lang w:val="en-GB"/>
              </w:rPr>
              <w:t>21.3</w:t>
            </w:r>
          </w:p>
        </w:tc>
        <w:tc>
          <w:tcPr>
            <w:tcW w:w="1134" w:type="dxa"/>
            <w:shd w:val="clear" w:color="auto" w:fill="FFFFFF"/>
          </w:tcPr>
          <w:p w14:paraId="5B1FCFBC" w14:textId="1A21F277"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0BB2BA64" w14:textId="111AAF9B" w:rsidR="002D4698" w:rsidRPr="00B57B36" w:rsidRDefault="007F18B7" w:rsidP="008A5736">
            <w:pPr>
              <w:pStyle w:val="CETBodytext"/>
              <w:ind w:right="-1"/>
              <w:rPr>
                <w:rFonts w:cs="Arial"/>
                <w:szCs w:val="18"/>
                <w:lang w:val="en-GB"/>
              </w:rPr>
            </w:pPr>
            <w:r>
              <w:rPr>
                <w:rFonts w:cs="Arial"/>
                <w:szCs w:val="18"/>
                <w:lang w:val="en-GB"/>
              </w:rPr>
              <w:t>0.8</w:t>
            </w:r>
          </w:p>
        </w:tc>
        <w:tc>
          <w:tcPr>
            <w:tcW w:w="1134" w:type="dxa"/>
            <w:shd w:val="clear" w:color="auto" w:fill="FFFFFF"/>
          </w:tcPr>
          <w:p w14:paraId="6E71541C" w14:textId="47CF7A7D"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351CD466" w14:textId="77777777" w:rsidTr="007F18B7">
        <w:tc>
          <w:tcPr>
            <w:tcW w:w="1418" w:type="dxa"/>
            <w:shd w:val="clear" w:color="auto" w:fill="FFFFFF"/>
          </w:tcPr>
          <w:p w14:paraId="613D2F29" w14:textId="09A94525" w:rsidR="002D4698" w:rsidRDefault="002D4698" w:rsidP="008A5736">
            <w:pPr>
              <w:pStyle w:val="CETBodytext"/>
              <w:ind w:right="-1"/>
              <w:rPr>
                <w:lang w:val="en-GB"/>
              </w:rPr>
            </w:pPr>
            <w:r>
              <w:rPr>
                <w:lang w:val="en-GB"/>
              </w:rPr>
              <w:t>C</w:t>
            </w:r>
            <w:r>
              <w:rPr>
                <w:vertAlign w:val="subscript"/>
                <w:lang w:val="en-GB"/>
              </w:rPr>
              <w:t>6</w:t>
            </w:r>
          </w:p>
        </w:tc>
        <w:tc>
          <w:tcPr>
            <w:tcW w:w="850" w:type="dxa"/>
            <w:shd w:val="clear" w:color="auto" w:fill="FFFFFF"/>
          </w:tcPr>
          <w:p w14:paraId="034731F6" w14:textId="66CFEAB1" w:rsidR="002D4698" w:rsidRPr="00B57B36" w:rsidRDefault="007F18B7" w:rsidP="008A5736">
            <w:pPr>
              <w:pStyle w:val="CETBodytext"/>
              <w:ind w:right="-1"/>
              <w:rPr>
                <w:rFonts w:cs="Arial"/>
                <w:szCs w:val="18"/>
                <w:lang w:val="en-GB"/>
              </w:rPr>
            </w:pPr>
            <w:r>
              <w:rPr>
                <w:rFonts w:cs="Arial"/>
                <w:szCs w:val="18"/>
                <w:lang w:val="en-GB"/>
              </w:rPr>
              <w:t>2.2</w:t>
            </w:r>
          </w:p>
        </w:tc>
        <w:tc>
          <w:tcPr>
            <w:tcW w:w="1134" w:type="dxa"/>
            <w:shd w:val="clear" w:color="auto" w:fill="FFFFFF"/>
          </w:tcPr>
          <w:p w14:paraId="5D544A5C" w14:textId="5173175E" w:rsidR="002D4698" w:rsidRPr="00B57B36" w:rsidRDefault="007F18B7" w:rsidP="008A5736">
            <w:pPr>
              <w:pStyle w:val="CETBodytext"/>
              <w:ind w:right="-1"/>
              <w:rPr>
                <w:rFonts w:cs="Arial"/>
                <w:szCs w:val="18"/>
                <w:lang w:val="en-GB"/>
              </w:rPr>
            </w:pPr>
            <w:r>
              <w:rPr>
                <w:rFonts w:cs="Arial"/>
                <w:szCs w:val="18"/>
                <w:lang w:val="en-GB"/>
              </w:rPr>
              <w:t>20.1</w:t>
            </w:r>
          </w:p>
        </w:tc>
        <w:tc>
          <w:tcPr>
            <w:tcW w:w="1134" w:type="dxa"/>
            <w:shd w:val="clear" w:color="auto" w:fill="FFFFFF"/>
          </w:tcPr>
          <w:p w14:paraId="05B59AC6" w14:textId="47544FDC"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7BEDEA12" w14:textId="4CC59F5D" w:rsidR="002D4698" w:rsidRPr="00B57B36" w:rsidRDefault="007F18B7" w:rsidP="008A5736">
            <w:pPr>
              <w:pStyle w:val="CETBodytext"/>
              <w:ind w:right="-1"/>
              <w:rPr>
                <w:rFonts w:cs="Arial"/>
                <w:szCs w:val="18"/>
                <w:lang w:val="en-GB"/>
              </w:rPr>
            </w:pPr>
            <w:r>
              <w:rPr>
                <w:rFonts w:cs="Arial"/>
                <w:szCs w:val="18"/>
                <w:lang w:val="en-GB"/>
              </w:rPr>
              <w:t>2.4</w:t>
            </w:r>
          </w:p>
        </w:tc>
        <w:tc>
          <w:tcPr>
            <w:tcW w:w="1134" w:type="dxa"/>
            <w:shd w:val="clear" w:color="auto" w:fill="FFFFFF"/>
          </w:tcPr>
          <w:p w14:paraId="22FF3EE6" w14:textId="547F95C4" w:rsidR="002D4698" w:rsidRPr="00B57B36" w:rsidRDefault="007F18B7" w:rsidP="008A5736">
            <w:pPr>
              <w:pStyle w:val="CETBodytext"/>
              <w:ind w:right="-1"/>
              <w:rPr>
                <w:rFonts w:cs="Arial"/>
                <w:szCs w:val="18"/>
                <w:lang w:val="en-GB"/>
              </w:rPr>
            </w:pPr>
            <w:r>
              <w:rPr>
                <w:rFonts w:cs="Arial"/>
                <w:szCs w:val="18"/>
                <w:lang w:val="en-GB"/>
              </w:rPr>
              <w:t>-</w:t>
            </w:r>
          </w:p>
        </w:tc>
      </w:tr>
      <w:tr w:rsidR="002D4698" w:rsidRPr="00B57B36" w14:paraId="6BEE769F" w14:textId="77777777" w:rsidTr="007F18B7">
        <w:tc>
          <w:tcPr>
            <w:tcW w:w="1418" w:type="dxa"/>
            <w:shd w:val="clear" w:color="auto" w:fill="FFFFFF"/>
          </w:tcPr>
          <w:p w14:paraId="2F295C06" w14:textId="31FFEC22" w:rsidR="002D4698" w:rsidRPr="00B57B36" w:rsidRDefault="002D4698" w:rsidP="008A5736">
            <w:pPr>
              <w:pStyle w:val="CETBodytext"/>
              <w:ind w:right="-1"/>
              <w:rPr>
                <w:rFonts w:cs="Arial"/>
                <w:szCs w:val="18"/>
                <w:lang w:val="en-GB"/>
              </w:rPr>
            </w:pPr>
            <w:r>
              <w:rPr>
                <w:lang w:val="en-GB"/>
              </w:rPr>
              <w:t>C</w:t>
            </w:r>
            <w:r>
              <w:rPr>
                <w:vertAlign w:val="subscript"/>
                <w:lang w:val="en-GB"/>
              </w:rPr>
              <w:t>7+</w:t>
            </w:r>
          </w:p>
        </w:tc>
        <w:tc>
          <w:tcPr>
            <w:tcW w:w="850" w:type="dxa"/>
            <w:shd w:val="clear" w:color="auto" w:fill="FFFFFF"/>
          </w:tcPr>
          <w:p w14:paraId="60BC2C64" w14:textId="1CC63377" w:rsidR="002D4698" w:rsidRPr="00B57B36" w:rsidRDefault="007F18B7" w:rsidP="008A5736">
            <w:pPr>
              <w:pStyle w:val="CETBodytext"/>
              <w:ind w:right="-1"/>
              <w:rPr>
                <w:rFonts w:cs="Arial"/>
                <w:szCs w:val="18"/>
                <w:lang w:val="en-GB"/>
              </w:rPr>
            </w:pPr>
            <w:r>
              <w:rPr>
                <w:rFonts w:cs="Arial"/>
                <w:szCs w:val="18"/>
                <w:lang w:val="en-GB"/>
              </w:rPr>
              <w:t>-</w:t>
            </w:r>
          </w:p>
        </w:tc>
        <w:tc>
          <w:tcPr>
            <w:tcW w:w="1134" w:type="dxa"/>
            <w:shd w:val="clear" w:color="auto" w:fill="FFFFFF"/>
          </w:tcPr>
          <w:p w14:paraId="2DFFECD8" w14:textId="5C8736A4" w:rsidR="002D4698" w:rsidRPr="00B57B36" w:rsidRDefault="007F18B7" w:rsidP="008A5736">
            <w:pPr>
              <w:pStyle w:val="CETBodytext"/>
              <w:ind w:right="-1"/>
              <w:rPr>
                <w:rFonts w:cs="Arial"/>
                <w:szCs w:val="18"/>
                <w:lang w:val="en-GB"/>
              </w:rPr>
            </w:pPr>
            <w:r>
              <w:rPr>
                <w:rFonts w:cs="Arial"/>
                <w:szCs w:val="18"/>
                <w:lang w:val="en-GB"/>
              </w:rPr>
              <w:t>1.4</w:t>
            </w:r>
          </w:p>
        </w:tc>
        <w:tc>
          <w:tcPr>
            <w:tcW w:w="1134" w:type="dxa"/>
            <w:shd w:val="clear" w:color="auto" w:fill="FFFFFF"/>
          </w:tcPr>
          <w:p w14:paraId="4E2DDF41" w14:textId="6F16943B" w:rsidR="002D4698" w:rsidRPr="00B57B36" w:rsidRDefault="007F18B7" w:rsidP="007F18B7">
            <w:pPr>
              <w:pStyle w:val="CETBodytext"/>
              <w:ind w:right="-1"/>
              <w:rPr>
                <w:rFonts w:cs="Arial"/>
                <w:szCs w:val="18"/>
                <w:lang w:val="en-GB"/>
              </w:rPr>
            </w:pPr>
            <w:r>
              <w:rPr>
                <w:rFonts w:cs="Arial"/>
                <w:szCs w:val="18"/>
                <w:lang w:val="en-GB"/>
              </w:rPr>
              <w:t>-</w:t>
            </w:r>
          </w:p>
        </w:tc>
        <w:tc>
          <w:tcPr>
            <w:tcW w:w="1134" w:type="dxa"/>
            <w:shd w:val="clear" w:color="auto" w:fill="FFFFFF"/>
          </w:tcPr>
          <w:p w14:paraId="4B484C42" w14:textId="30E46035" w:rsidR="002D4698" w:rsidRPr="00B57B36" w:rsidRDefault="007F18B7" w:rsidP="008A5736">
            <w:pPr>
              <w:pStyle w:val="CETBodytext"/>
              <w:ind w:right="-1"/>
              <w:rPr>
                <w:rFonts w:cs="Arial"/>
                <w:szCs w:val="18"/>
                <w:lang w:val="en-GB"/>
              </w:rPr>
            </w:pPr>
            <w:r>
              <w:rPr>
                <w:rFonts w:cs="Arial"/>
                <w:szCs w:val="18"/>
                <w:lang w:val="en-GB"/>
              </w:rPr>
              <w:t>4.7</w:t>
            </w:r>
          </w:p>
        </w:tc>
        <w:tc>
          <w:tcPr>
            <w:tcW w:w="1134" w:type="dxa"/>
            <w:shd w:val="clear" w:color="auto" w:fill="FFFFFF"/>
          </w:tcPr>
          <w:p w14:paraId="50DA90B6" w14:textId="59696B9F" w:rsidR="002D4698" w:rsidRPr="00B57B36" w:rsidRDefault="007F18B7" w:rsidP="008A5736">
            <w:pPr>
              <w:pStyle w:val="CETBodytext"/>
              <w:ind w:right="-1"/>
              <w:rPr>
                <w:rFonts w:cs="Arial"/>
                <w:szCs w:val="18"/>
                <w:lang w:val="en-GB"/>
              </w:rPr>
            </w:pPr>
            <w:r>
              <w:rPr>
                <w:rFonts w:cs="Arial"/>
                <w:szCs w:val="18"/>
                <w:lang w:val="en-GB"/>
              </w:rPr>
              <w:t>2.2</w:t>
            </w:r>
          </w:p>
        </w:tc>
      </w:tr>
    </w:tbl>
    <w:p w14:paraId="41DE2E1E" w14:textId="71B0DBD6" w:rsidR="00C468C6" w:rsidRPr="00A53FD1" w:rsidRDefault="00C468C6" w:rsidP="00516349">
      <w:pPr>
        <w:pStyle w:val="CETAcknowledgementstitle"/>
        <w:rPr>
          <w:lang w:val="en-US"/>
        </w:rPr>
      </w:pPr>
      <w:r w:rsidRPr="00A53FD1">
        <w:rPr>
          <w:lang w:val="en-US"/>
        </w:rPr>
        <w:t xml:space="preserve">Conclusions </w:t>
      </w:r>
    </w:p>
    <w:p w14:paraId="28EE93C2" w14:textId="32BFED8F" w:rsidR="00C468C6" w:rsidRPr="00A53FD1" w:rsidRDefault="00441FDC" w:rsidP="00C468C6">
      <w:pPr>
        <w:pStyle w:val="CETBodytext"/>
      </w:pPr>
      <w:r w:rsidRPr="00A53FD1">
        <w:t>The production of C</w:t>
      </w:r>
      <w:r w:rsidRPr="00A53FD1">
        <w:rPr>
          <w:vertAlign w:val="subscript"/>
        </w:rPr>
        <w:t>5+</w:t>
      </w:r>
      <w:r w:rsidRPr="00A53FD1">
        <w:t xml:space="preserve"> </w:t>
      </w:r>
      <w:r w:rsidR="00A43ED4">
        <w:t>fuel</w:t>
      </w:r>
      <w:r w:rsidRPr="00A53FD1">
        <w:t>-range hydrocarbons from CO</w:t>
      </w:r>
      <w:r w:rsidRPr="00A53FD1">
        <w:rPr>
          <w:vertAlign w:val="subscript"/>
        </w:rPr>
        <w:t>2</w:t>
      </w:r>
      <w:r w:rsidRPr="00A53FD1">
        <w:t>/CO hydrogenation is an interesting process for CO</w:t>
      </w:r>
      <w:r w:rsidRPr="00A53FD1">
        <w:rPr>
          <w:vertAlign w:val="subscript"/>
        </w:rPr>
        <w:t>2</w:t>
      </w:r>
      <w:r w:rsidRPr="00A53FD1">
        <w:t xml:space="preserve"> valorization and synthesis of sustainably sourced fuels. </w:t>
      </w:r>
      <w:r w:rsidR="009B02F5" w:rsidRPr="00A53FD1">
        <w:t>Two metallic catalysts (Cu</w:t>
      </w:r>
      <w:r w:rsidR="00C3683E" w:rsidRPr="00A53FD1">
        <w:t>O-</w:t>
      </w:r>
      <w:r w:rsidR="009B02F5" w:rsidRPr="00A53FD1">
        <w:t>Zn</w:t>
      </w:r>
      <w:r w:rsidR="00C3683E" w:rsidRPr="00A53FD1">
        <w:t>O-</w:t>
      </w:r>
      <w:r w:rsidR="009B02F5" w:rsidRPr="00A53FD1">
        <w:t>Zr</w:t>
      </w:r>
      <w:r w:rsidR="00C3683E" w:rsidRPr="00A53FD1">
        <w:t>O</w:t>
      </w:r>
      <w:r w:rsidR="00C3683E" w:rsidRPr="00A53FD1">
        <w:rPr>
          <w:vertAlign w:val="subscript"/>
        </w:rPr>
        <w:t>2</w:t>
      </w:r>
      <w:r w:rsidR="009B02F5" w:rsidRPr="00A53FD1">
        <w:t xml:space="preserve"> and In</w:t>
      </w:r>
      <w:r w:rsidR="00C3683E" w:rsidRPr="00A53FD1">
        <w:rPr>
          <w:vertAlign w:val="subscript"/>
        </w:rPr>
        <w:t>2</w:t>
      </w:r>
      <w:r w:rsidR="00C3683E" w:rsidRPr="00A53FD1">
        <w:t>O</w:t>
      </w:r>
      <w:r w:rsidR="00C3683E" w:rsidRPr="00A53FD1">
        <w:rPr>
          <w:vertAlign w:val="subscript"/>
        </w:rPr>
        <w:t>3</w:t>
      </w:r>
      <w:r w:rsidR="00C3683E" w:rsidRPr="00A53FD1">
        <w:t>-</w:t>
      </w:r>
      <w:r w:rsidR="009B02F5" w:rsidRPr="00A53FD1">
        <w:t>Zr</w:t>
      </w:r>
      <w:r w:rsidR="00C3683E" w:rsidRPr="00A53FD1">
        <w:t>O</w:t>
      </w:r>
      <w:r w:rsidR="00C3683E" w:rsidRPr="00A53FD1">
        <w:rPr>
          <w:vertAlign w:val="subscript"/>
        </w:rPr>
        <w:t>2</w:t>
      </w:r>
      <w:r w:rsidR="009B02F5" w:rsidRPr="00A53FD1">
        <w:t>) were tested under different operating conditions on CO</w:t>
      </w:r>
      <w:r w:rsidR="009B02F5" w:rsidRPr="00A53FD1">
        <w:rPr>
          <w:vertAlign w:val="subscript"/>
        </w:rPr>
        <w:t>2</w:t>
      </w:r>
      <w:r w:rsidR="009B02F5" w:rsidRPr="00A53FD1">
        <w:t xml:space="preserve">/CO hydrogenation to methanol. </w:t>
      </w:r>
      <w:r w:rsidR="009D59A5" w:rsidRPr="00A53FD1">
        <w:t xml:space="preserve">Even </w:t>
      </w:r>
      <w:r w:rsidR="00C123BB" w:rsidRPr="00A53FD1">
        <w:t>CuO-ZnO-ZrO</w:t>
      </w:r>
      <w:r w:rsidR="00C123BB" w:rsidRPr="00A53FD1">
        <w:rPr>
          <w:vertAlign w:val="subscript"/>
        </w:rPr>
        <w:t>2</w:t>
      </w:r>
      <w:r w:rsidR="00C123BB" w:rsidRPr="00A53FD1">
        <w:t xml:space="preserve"> </w:t>
      </w:r>
      <w:r w:rsidR="009D59A5" w:rsidRPr="00A53FD1">
        <w:t>seemed a good</w:t>
      </w:r>
      <w:r w:rsidR="009B02F5" w:rsidRPr="00A53FD1">
        <w:t xml:space="preserve"> alternative</w:t>
      </w:r>
      <w:r w:rsidR="009D59A5" w:rsidRPr="00A53FD1">
        <w:t xml:space="preserve"> attending the</w:t>
      </w:r>
      <w:r w:rsidR="009B02F5" w:rsidRPr="00A53FD1">
        <w:t xml:space="preserve"> high methanol yield </w:t>
      </w:r>
      <w:r w:rsidR="009D59A5" w:rsidRPr="00A53FD1">
        <w:t xml:space="preserve">obtained </w:t>
      </w:r>
      <w:r w:rsidR="009B02F5" w:rsidRPr="00A53FD1">
        <w:t>at low temperature</w:t>
      </w:r>
      <w:r w:rsidR="009D59A5" w:rsidRPr="00A53FD1">
        <w:t>, the catalyst suffered</w:t>
      </w:r>
      <w:r w:rsidR="009B02F5" w:rsidRPr="00A53FD1">
        <w:t xml:space="preserve"> Cu sintered at temperature above 300 ºC, leading to high methane production and lower methanol yield</w:t>
      </w:r>
      <w:r w:rsidR="009D59A5" w:rsidRPr="00A53FD1">
        <w:t xml:space="preserve"> in the </w:t>
      </w:r>
      <w:r w:rsidR="00C123BB" w:rsidRPr="00A53FD1">
        <w:t>conditions</w:t>
      </w:r>
      <w:r w:rsidR="009D59A5" w:rsidRPr="00A53FD1">
        <w:t xml:space="preserve"> required for the integrated process</w:t>
      </w:r>
      <w:r w:rsidR="009B02F5" w:rsidRPr="00A53FD1">
        <w:t xml:space="preserve">. On the other hand, </w:t>
      </w:r>
      <w:r w:rsidR="006A20C2" w:rsidRPr="00A53FD1">
        <w:t xml:space="preserve">besides the </w:t>
      </w:r>
      <w:r w:rsidR="009D59A5" w:rsidRPr="00A53FD1">
        <w:t>limited methanol yield</w:t>
      </w:r>
      <w:r w:rsidR="006A20C2" w:rsidRPr="00A53FD1">
        <w:t xml:space="preserve"> </w:t>
      </w:r>
      <w:r w:rsidR="009D59A5" w:rsidRPr="00A53FD1">
        <w:t>(</w:t>
      </w:r>
      <w:r w:rsidR="00145AE6">
        <w:t>5</w:t>
      </w:r>
      <w:r w:rsidR="009B02F5" w:rsidRPr="00A53FD1">
        <w:t>%</w:t>
      </w:r>
      <w:r w:rsidR="009D59A5" w:rsidRPr="00A53FD1">
        <w:t>)</w:t>
      </w:r>
      <w:r w:rsidR="006A20C2" w:rsidRPr="00A53FD1">
        <w:t xml:space="preserve"> obtained with </w:t>
      </w:r>
      <w:r w:rsidR="00C123BB" w:rsidRPr="00A53FD1">
        <w:t>In</w:t>
      </w:r>
      <w:r w:rsidR="00C123BB" w:rsidRPr="00A53FD1">
        <w:rPr>
          <w:vertAlign w:val="subscript"/>
        </w:rPr>
        <w:t>2</w:t>
      </w:r>
      <w:r w:rsidR="00C123BB" w:rsidRPr="00A53FD1">
        <w:t>O</w:t>
      </w:r>
      <w:r w:rsidR="00C123BB" w:rsidRPr="00A53FD1">
        <w:rPr>
          <w:vertAlign w:val="subscript"/>
        </w:rPr>
        <w:t>3</w:t>
      </w:r>
      <w:r w:rsidR="00C123BB" w:rsidRPr="00A53FD1">
        <w:t>-ZrO</w:t>
      </w:r>
      <w:r w:rsidR="00C123BB" w:rsidRPr="00A53FD1">
        <w:rPr>
          <w:vertAlign w:val="subscript"/>
        </w:rPr>
        <w:t xml:space="preserve">2 </w:t>
      </w:r>
      <w:r w:rsidR="009B02F5" w:rsidRPr="00A53FD1">
        <w:t>at low temperature, at which hydrogenation reactions are favored</w:t>
      </w:r>
      <w:r w:rsidR="006A20C2" w:rsidRPr="00A53FD1">
        <w:t xml:space="preserve">, </w:t>
      </w:r>
      <w:r w:rsidR="009B02F5" w:rsidRPr="00A53FD1">
        <w:t>operating in tandem with a zeolite</w:t>
      </w:r>
      <w:r w:rsidR="006A20C2" w:rsidRPr="00A53FD1">
        <w:t xml:space="preserve"> favorably displaced the thermodynamic equilibrium of methanol formation and </w:t>
      </w:r>
      <w:r w:rsidR="00C123BB" w:rsidRPr="00A53FD1">
        <w:t>In</w:t>
      </w:r>
      <w:r w:rsidR="00C123BB" w:rsidRPr="00A53FD1">
        <w:rPr>
          <w:vertAlign w:val="subscript"/>
        </w:rPr>
        <w:t>2</w:t>
      </w:r>
      <w:r w:rsidR="00C123BB" w:rsidRPr="00A53FD1">
        <w:t>O</w:t>
      </w:r>
      <w:r w:rsidR="00C123BB" w:rsidRPr="00A53FD1">
        <w:rPr>
          <w:vertAlign w:val="subscript"/>
        </w:rPr>
        <w:t>3</w:t>
      </w:r>
      <w:r w:rsidR="00C123BB" w:rsidRPr="00A53FD1">
        <w:t>-ZrO</w:t>
      </w:r>
      <w:r w:rsidR="00C123BB" w:rsidRPr="00A53FD1">
        <w:rPr>
          <w:vertAlign w:val="subscript"/>
        </w:rPr>
        <w:t>2</w:t>
      </w:r>
      <w:r w:rsidR="009B02F5" w:rsidRPr="00A53FD1">
        <w:t>/H</w:t>
      </w:r>
      <w:r w:rsidR="00822A70">
        <w:t>ZSM-</w:t>
      </w:r>
      <w:r w:rsidR="009B02F5" w:rsidRPr="00A53FD1">
        <w:t xml:space="preserve">5 proved to be an excellent catalyst for </w:t>
      </w:r>
      <w:r w:rsidR="00A43ED4">
        <w:t>fuel</w:t>
      </w:r>
      <w:r w:rsidR="009B02F5" w:rsidRPr="00A53FD1">
        <w:t>-range hydrocarbons</w:t>
      </w:r>
      <w:r w:rsidR="00AC12FB" w:rsidRPr="00A53FD1">
        <w:t xml:space="preserve"> production</w:t>
      </w:r>
      <w:r w:rsidR="009B02F5" w:rsidRPr="00A53FD1">
        <w:t>. The C</w:t>
      </w:r>
      <w:r w:rsidR="009B02F5" w:rsidRPr="00A53FD1">
        <w:rPr>
          <w:vertAlign w:val="subscript"/>
        </w:rPr>
        <w:t>5+</w:t>
      </w:r>
      <w:r w:rsidR="009B02F5" w:rsidRPr="00A53FD1">
        <w:t xml:space="preserve"> yield at high temperature (4</w:t>
      </w:r>
      <w:r w:rsidR="00DF586D">
        <w:t>2</w:t>
      </w:r>
      <w:r w:rsidR="00145AE6">
        <w:t>0 ºC) reached almost 20</w:t>
      </w:r>
      <w:r w:rsidR="009B02F5" w:rsidRPr="00A53FD1">
        <w:t xml:space="preserve">%, and the </w:t>
      </w:r>
      <w:r w:rsidR="00145AE6">
        <w:t>conversion was boosted from 1.8</w:t>
      </w:r>
      <w:r w:rsidR="009B02F5" w:rsidRPr="00A53FD1">
        <w:t xml:space="preserve">% (with just </w:t>
      </w:r>
      <w:r w:rsidR="00C123BB" w:rsidRPr="00A53FD1">
        <w:t>In</w:t>
      </w:r>
      <w:r w:rsidR="00C123BB" w:rsidRPr="00A53FD1">
        <w:rPr>
          <w:vertAlign w:val="subscript"/>
        </w:rPr>
        <w:t>2</w:t>
      </w:r>
      <w:r w:rsidR="00C123BB" w:rsidRPr="00A53FD1">
        <w:t>O</w:t>
      </w:r>
      <w:r w:rsidR="00C123BB" w:rsidRPr="00A53FD1">
        <w:rPr>
          <w:vertAlign w:val="subscript"/>
        </w:rPr>
        <w:t>3</w:t>
      </w:r>
      <w:r w:rsidR="00C123BB" w:rsidRPr="00A53FD1">
        <w:t>-ZrO</w:t>
      </w:r>
      <w:r w:rsidR="00C123BB" w:rsidRPr="00A53FD1">
        <w:rPr>
          <w:vertAlign w:val="subscript"/>
        </w:rPr>
        <w:t xml:space="preserve">2 </w:t>
      </w:r>
      <w:r w:rsidR="00145AE6">
        <w:t>metallic catalyst) to 23</w:t>
      </w:r>
      <w:r w:rsidR="009B02F5" w:rsidRPr="00A53FD1">
        <w:t>% in the integrated process (with In</w:t>
      </w:r>
      <w:r w:rsidR="00C123BB" w:rsidRPr="00A53FD1">
        <w:rPr>
          <w:vertAlign w:val="subscript"/>
        </w:rPr>
        <w:t>2</w:t>
      </w:r>
      <w:r w:rsidR="00C123BB" w:rsidRPr="00A53FD1">
        <w:t>O</w:t>
      </w:r>
      <w:r w:rsidR="00C123BB" w:rsidRPr="00A53FD1">
        <w:rPr>
          <w:vertAlign w:val="subscript"/>
        </w:rPr>
        <w:t>3</w:t>
      </w:r>
      <w:r w:rsidR="00C123BB" w:rsidRPr="00A53FD1">
        <w:t>-</w:t>
      </w:r>
      <w:r w:rsidR="009B02F5" w:rsidRPr="00A53FD1">
        <w:t>Zr</w:t>
      </w:r>
      <w:r w:rsidR="004B70B0" w:rsidRPr="00A53FD1">
        <w:t>O</w:t>
      </w:r>
      <w:r w:rsidR="004B70B0" w:rsidRPr="00A53FD1">
        <w:rPr>
          <w:vertAlign w:val="subscript"/>
        </w:rPr>
        <w:t>2</w:t>
      </w:r>
      <w:r w:rsidR="009B02F5" w:rsidRPr="00A53FD1">
        <w:t>/H</w:t>
      </w:r>
      <w:r w:rsidR="00145AE6">
        <w:t>ZSM-</w:t>
      </w:r>
      <w:r w:rsidR="009B02F5" w:rsidRPr="00A53FD1">
        <w:t>5 tandem catalyst).</w:t>
      </w:r>
      <w:r w:rsidR="00A43ED4">
        <w:t xml:space="preserve"> In addition, the obtained hydrocarbon stream was rich in isoparaffinic compounds, and contained low aromatic and olefin content, resulting in an adequate product for its incorporation into the refinery gasoline-pool.</w:t>
      </w:r>
    </w:p>
    <w:p w14:paraId="37380DA7" w14:textId="05EF2153" w:rsidR="00516349" w:rsidRPr="00A53FD1" w:rsidRDefault="00516349" w:rsidP="00516349">
      <w:pPr>
        <w:pStyle w:val="CETAcknowledgementstitle"/>
        <w:rPr>
          <w:lang w:val="en-US"/>
        </w:rPr>
      </w:pPr>
      <w:r w:rsidRPr="00A53FD1">
        <w:rPr>
          <w:lang w:val="en-US"/>
        </w:rPr>
        <w:t>Acknowledgments</w:t>
      </w:r>
    </w:p>
    <w:p w14:paraId="6B1377A7" w14:textId="1969DA31" w:rsidR="00516349" w:rsidRPr="00A53FD1" w:rsidRDefault="00516349" w:rsidP="00516349">
      <w:pPr>
        <w:pStyle w:val="CETBodytext"/>
      </w:pPr>
      <w:r w:rsidRPr="00A53FD1">
        <w:t>This work has been carried out with the financial support of the</w:t>
      </w:r>
      <w:r w:rsidR="00145AE6">
        <w:t xml:space="preserve"> MICINN</w:t>
      </w:r>
      <w:r w:rsidRPr="00A53FD1">
        <w:t xml:space="preserve"> </w:t>
      </w:r>
      <w:r w:rsidR="00145AE6">
        <w:t xml:space="preserve">of </w:t>
      </w:r>
      <w:r w:rsidRPr="00A53FD1">
        <w:t>Spanish Government (PID2019-108448RB-100); the Basque Government (IT1645-22), the European Regional Development Funds (ERDF). O. Parra is grateful for the financial support of the grant of the Basque Government (PRE_2021_1_0014)</w:t>
      </w:r>
      <w:r w:rsidR="000506EC">
        <w:t>.</w:t>
      </w:r>
    </w:p>
    <w:p w14:paraId="417249FB" w14:textId="62C477B4" w:rsidR="00C77DC0" w:rsidRPr="00D46A1C" w:rsidRDefault="00C77DC0" w:rsidP="003D5022">
      <w:pPr>
        <w:pStyle w:val="CETReference"/>
        <w:rPr>
          <w:lang w:val="en-US"/>
        </w:rPr>
      </w:pPr>
      <w:r w:rsidRPr="00D46A1C">
        <w:rPr>
          <w:lang w:val="en-US"/>
        </w:rPr>
        <w:t>References</w:t>
      </w:r>
    </w:p>
    <w:p w14:paraId="26310F21" w14:textId="12C4451B" w:rsidR="00E92388" w:rsidRPr="00D46A1C" w:rsidRDefault="00E92388" w:rsidP="00E92388">
      <w:pPr>
        <w:pStyle w:val="CETReferencetext"/>
        <w:rPr>
          <w:lang w:val="en-US"/>
        </w:rPr>
      </w:pPr>
      <w:proofErr w:type="spellStart"/>
      <w:r w:rsidRPr="00D46A1C">
        <w:rPr>
          <w:lang w:val="en-US"/>
        </w:rPr>
        <w:t>Ateka</w:t>
      </w:r>
      <w:proofErr w:type="spellEnd"/>
      <w:r w:rsidRPr="00D46A1C">
        <w:rPr>
          <w:lang w:val="en-US"/>
        </w:rPr>
        <w:t xml:space="preserve"> A., Sierra I., </w:t>
      </w:r>
      <w:proofErr w:type="spellStart"/>
      <w:r w:rsidRPr="00D46A1C">
        <w:rPr>
          <w:lang w:val="en-US"/>
        </w:rPr>
        <w:t>Ereña</w:t>
      </w:r>
      <w:proofErr w:type="spellEnd"/>
      <w:r w:rsidRPr="00D46A1C">
        <w:rPr>
          <w:lang w:val="en-US"/>
        </w:rPr>
        <w:t xml:space="preserve"> J., Bilbao J., Aguayo A.T., 2016, Performance of </w:t>
      </w:r>
      <w:proofErr w:type="spellStart"/>
      <w:r w:rsidRPr="00D46A1C">
        <w:rPr>
          <w:lang w:val="en-US"/>
        </w:rPr>
        <w:t>CuO</w:t>
      </w:r>
      <w:proofErr w:type="spellEnd"/>
      <w:r w:rsidRPr="00D46A1C">
        <w:rPr>
          <w:lang w:val="en-US"/>
        </w:rPr>
        <w:t>–</w:t>
      </w:r>
      <w:proofErr w:type="spellStart"/>
      <w:r w:rsidRPr="00D46A1C">
        <w:rPr>
          <w:lang w:val="en-US"/>
        </w:rPr>
        <w:t>ZnO</w:t>
      </w:r>
      <w:proofErr w:type="spellEnd"/>
      <w:r w:rsidRPr="00D46A1C">
        <w:rPr>
          <w:lang w:val="en-US"/>
        </w:rPr>
        <w:t>–ZrO</w:t>
      </w:r>
      <w:r w:rsidRPr="00D46A1C">
        <w:rPr>
          <w:vertAlign w:val="subscript"/>
          <w:lang w:val="en-US"/>
        </w:rPr>
        <w:t>2</w:t>
      </w:r>
      <w:r w:rsidRPr="00D46A1C">
        <w:rPr>
          <w:lang w:val="en-US"/>
        </w:rPr>
        <w:t xml:space="preserve"> and </w:t>
      </w:r>
      <w:proofErr w:type="spellStart"/>
      <w:r w:rsidRPr="00D46A1C">
        <w:rPr>
          <w:lang w:val="en-US"/>
        </w:rPr>
        <w:t>CuO</w:t>
      </w:r>
      <w:proofErr w:type="spellEnd"/>
      <w:r w:rsidRPr="00D46A1C">
        <w:rPr>
          <w:lang w:val="en-US"/>
        </w:rPr>
        <w:t>–</w:t>
      </w:r>
      <w:proofErr w:type="spellStart"/>
      <w:r w:rsidRPr="00D46A1C">
        <w:rPr>
          <w:lang w:val="en-US"/>
        </w:rPr>
        <w:t>ZnO</w:t>
      </w:r>
      <w:proofErr w:type="spellEnd"/>
      <w:r w:rsidRPr="00D46A1C">
        <w:rPr>
          <w:lang w:val="en-US"/>
        </w:rPr>
        <w:t>–</w:t>
      </w:r>
      <w:proofErr w:type="spellStart"/>
      <w:r w:rsidRPr="00D46A1C">
        <w:rPr>
          <w:lang w:val="en-US"/>
        </w:rPr>
        <w:t>MnO</w:t>
      </w:r>
      <w:proofErr w:type="spellEnd"/>
      <w:r w:rsidRPr="00D46A1C">
        <w:rPr>
          <w:lang w:val="en-US"/>
        </w:rPr>
        <w:t xml:space="preserve"> as metallic functions and SAPO-18 as acid function of the catalyst for the synthesis of DME co-feeding CO</w:t>
      </w:r>
      <w:r w:rsidRPr="00D46A1C">
        <w:rPr>
          <w:vertAlign w:val="subscript"/>
          <w:lang w:val="en-US"/>
        </w:rPr>
        <w:t>2</w:t>
      </w:r>
      <w:r w:rsidRPr="00D46A1C">
        <w:rPr>
          <w:lang w:val="en-US"/>
        </w:rPr>
        <w:t>. Fuel Processing Technology, 152, 34-45.</w:t>
      </w:r>
    </w:p>
    <w:p w14:paraId="319EAEC9" w14:textId="62F6E29C" w:rsidR="0088050E" w:rsidRPr="00D46A1C" w:rsidRDefault="0088050E" w:rsidP="00600535">
      <w:pPr>
        <w:pStyle w:val="CETReferencetext"/>
        <w:rPr>
          <w:lang w:val="en-US"/>
        </w:rPr>
      </w:pPr>
      <w:proofErr w:type="spellStart"/>
      <w:r w:rsidRPr="00D46A1C">
        <w:rPr>
          <w:lang w:val="en-US"/>
        </w:rPr>
        <w:t>Ateka</w:t>
      </w:r>
      <w:proofErr w:type="spellEnd"/>
      <w:r w:rsidRPr="00D46A1C">
        <w:rPr>
          <w:lang w:val="en-US"/>
        </w:rPr>
        <w:t xml:space="preserve"> A., Rodriguez-Vega P., </w:t>
      </w:r>
      <w:proofErr w:type="spellStart"/>
      <w:r w:rsidRPr="00D46A1C">
        <w:rPr>
          <w:lang w:val="en-US"/>
        </w:rPr>
        <w:t>Ereña</w:t>
      </w:r>
      <w:proofErr w:type="spellEnd"/>
      <w:r w:rsidRPr="00D46A1C">
        <w:rPr>
          <w:lang w:val="en-US"/>
        </w:rPr>
        <w:t xml:space="preserve"> J., Aguayo A.T., Bilbao J., 2022, A review on the valorization of </w:t>
      </w:r>
      <w:r w:rsidR="00CF67EF" w:rsidRPr="00D46A1C">
        <w:rPr>
          <w:lang w:val="en-US"/>
        </w:rPr>
        <w:t>CO</w:t>
      </w:r>
      <w:r w:rsidR="00CF67EF" w:rsidRPr="00D46A1C">
        <w:rPr>
          <w:vertAlign w:val="subscript"/>
          <w:lang w:val="en-US"/>
        </w:rPr>
        <w:t>2</w:t>
      </w:r>
      <w:r w:rsidRPr="00D46A1C">
        <w:rPr>
          <w:lang w:val="en-US"/>
        </w:rPr>
        <w:t>. Focusing on the thermodynamics and catalyst design studies of the direct synthesis of dimethyl ether, Fuel Processing Technology, 233, 107310.</w:t>
      </w:r>
    </w:p>
    <w:p w14:paraId="5A0EED6C" w14:textId="022B9F30" w:rsidR="00740B6B" w:rsidRPr="00A53FD1" w:rsidRDefault="00740B6B" w:rsidP="00600535">
      <w:pPr>
        <w:pStyle w:val="CETReferencetext"/>
        <w:rPr>
          <w:lang w:val="en-US"/>
        </w:rPr>
      </w:pPr>
      <w:r>
        <w:rPr>
          <w:lang w:val="en-US"/>
        </w:rPr>
        <w:t xml:space="preserve">Grabow L.C., </w:t>
      </w:r>
      <w:proofErr w:type="spellStart"/>
      <w:r>
        <w:rPr>
          <w:lang w:val="en-US"/>
        </w:rPr>
        <w:t>Mavrikakis</w:t>
      </w:r>
      <w:proofErr w:type="spellEnd"/>
      <w:r>
        <w:rPr>
          <w:lang w:val="en-US"/>
        </w:rPr>
        <w:t xml:space="preserve"> M., 2011, Mechanism of methanol synthesis on Cu through CO</w:t>
      </w:r>
      <w:r w:rsidRPr="00740B6B">
        <w:rPr>
          <w:vertAlign w:val="subscript"/>
          <w:lang w:val="en-US"/>
        </w:rPr>
        <w:t>2</w:t>
      </w:r>
      <w:r>
        <w:rPr>
          <w:vertAlign w:val="subscript"/>
          <w:lang w:val="en-US"/>
        </w:rPr>
        <w:t xml:space="preserve"> </w:t>
      </w:r>
      <w:r>
        <w:rPr>
          <w:lang w:val="en-US"/>
        </w:rPr>
        <w:t>and CO hydrogenation, ACS Catalysis, 1, 365-384.</w:t>
      </w:r>
    </w:p>
    <w:p w14:paraId="20D5675B" w14:textId="181BFB24" w:rsidR="00CE50BF" w:rsidRPr="00A53FD1" w:rsidRDefault="00CE50BF" w:rsidP="00600535">
      <w:pPr>
        <w:pStyle w:val="CETReferencetext"/>
        <w:rPr>
          <w:lang w:val="en-US"/>
        </w:rPr>
      </w:pPr>
      <w:r w:rsidRPr="00A53FD1">
        <w:rPr>
          <w:lang w:val="en-US"/>
        </w:rPr>
        <w:t xml:space="preserve">Kim H.D., Song H., </w:t>
      </w:r>
      <w:proofErr w:type="spellStart"/>
      <w:r w:rsidRPr="00A53FD1">
        <w:rPr>
          <w:lang w:val="en-US"/>
        </w:rPr>
        <w:t>Fazeli</w:t>
      </w:r>
      <w:proofErr w:type="spellEnd"/>
      <w:r w:rsidRPr="00A53FD1">
        <w:rPr>
          <w:lang w:val="en-US"/>
        </w:rPr>
        <w:t xml:space="preserve"> A., </w:t>
      </w:r>
      <w:proofErr w:type="spellStart"/>
      <w:r w:rsidRPr="00A53FD1">
        <w:rPr>
          <w:lang w:val="en-US"/>
        </w:rPr>
        <w:t>Eslami</w:t>
      </w:r>
      <w:proofErr w:type="spellEnd"/>
      <w:r w:rsidRPr="00A53FD1">
        <w:rPr>
          <w:lang w:val="en-US"/>
        </w:rPr>
        <w:t xml:space="preserve"> A.A., Noh Y.S., </w:t>
      </w:r>
      <w:proofErr w:type="spellStart"/>
      <w:r w:rsidRPr="00A53FD1">
        <w:rPr>
          <w:lang w:val="en-US"/>
        </w:rPr>
        <w:t>Saeidabad</w:t>
      </w:r>
      <w:proofErr w:type="spellEnd"/>
      <w:r w:rsidRPr="00A53FD1">
        <w:rPr>
          <w:lang w:val="en-US"/>
        </w:rPr>
        <w:t xml:space="preserve"> N.G., Lee K., Moon D. J., 2022, CO/</w:t>
      </w:r>
      <w:r w:rsidR="00CF67EF" w:rsidRPr="00A53FD1">
        <w:rPr>
          <w:lang w:val="en-US"/>
        </w:rPr>
        <w:t>CO</w:t>
      </w:r>
      <w:r w:rsidR="00CF67EF" w:rsidRPr="00A53FD1">
        <w:rPr>
          <w:vertAlign w:val="subscript"/>
          <w:lang w:val="en-US"/>
        </w:rPr>
        <w:t>2</w:t>
      </w:r>
      <w:r w:rsidRPr="00A53FD1">
        <w:rPr>
          <w:lang w:val="en-US"/>
        </w:rPr>
        <w:t xml:space="preserve"> hydrogenation </w:t>
      </w:r>
      <w:proofErr w:type="gramStart"/>
      <w:r w:rsidRPr="00A53FD1">
        <w:rPr>
          <w:lang w:val="en-US"/>
        </w:rPr>
        <w:t>for the production of</w:t>
      </w:r>
      <w:proofErr w:type="gramEnd"/>
      <w:r w:rsidRPr="00A53FD1">
        <w:rPr>
          <w:lang w:val="en-US"/>
        </w:rPr>
        <w:t xml:space="preserve"> lighter hydrocarbons over SAPO-34 modified hybrid FTS catalysts, Catalysis Today, 388-389, 410-416.</w:t>
      </w:r>
    </w:p>
    <w:p w14:paraId="047E4217" w14:textId="65793A24" w:rsidR="004E27FD" w:rsidRPr="00A53FD1" w:rsidRDefault="004E27FD" w:rsidP="00600535">
      <w:pPr>
        <w:pStyle w:val="CETReferencetext"/>
        <w:rPr>
          <w:lang w:val="en-US"/>
        </w:rPr>
      </w:pPr>
      <w:r w:rsidRPr="00A53FD1">
        <w:rPr>
          <w:lang w:val="en-US"/>
        </w:rPr>
        <w:t xml:space="preserve">Portillo A., </w:t>
      </w:r>
      <w:proofErr w:type="spellStart"/>
      <w:r w:rsidRPr="00A53FD1">
        <w:rPr>
          <w:lang w:val="en-US"/>
        </w:rPr>
        <w:t>Ateka</w:t>
      </w:r>
      <w:proofErr w:type="spellEnd"/>
      <w:r w:rsidRPr="00A53FD1">
        <w:rPr>
          <w:lang w:val="en-US"/>
        </w:rPr>
        <w:t xml:space="preserve"> A., </w:t>
      </w:r>
      <w:proofErr w:type="spellStart"/>
      <w:r w:rsidRPr="00A53FD1">
        <w:rPr>
          <w:lang w:val="en-US"/>
        </w:rPr>
        <w:t>Ereña</w:t>
      </w:r>
      <w:proofErr w:type="spellEnd"/>
      <w:r w:rsidRPr="00A53FD1">
        <w:rPr>
          <w:lang w:val="en-US"/>
        </w:rPr>
        <w:t xml:space="preserve"> J., Aguayo A.T., Bilbao J., 2022, Conditions for the joint conversion of CO</w:t>
      </w:r>
      <w:r w:rsidRPr="00A53FD1">
        <w:rPr>
          <w:vertAlign w:val="subscript"/>
          <w:lang w:val="en-US"/>
        </w:rPr>
        <w:t>2</w:t>
      </w:r>
      <w:r w:rsidRPr="00A53FD1">
        <w:rPr>
          <w:lang w:val="en-US"/>
        </w:rPr>
        <w:t xml:space="preserve"> and syngas in the direct synthesis of light olefins using In</w:t>
      </w:r>
      <w:r w:rsidRPr="00A53FD1">
        <w:rPr>
          <w:vertAlign w:val="subscript"/>
          <w:lang w:val="en-US"/>
        </w:rPr>
        <w:t>2</w:t>
      </w:r>
      <w:r w:rsidRPr="00A53FD1">
        <w:rPr>
          <w:lang w:val="en-US"/>
        </w:rPr>
        <w:t>O</w:t>
      </w:r>
      <w:r w:rsidRPr="00A53FD1">
        <w:rPr>
          <w:vertAlign w:val="subscript"/>
          <w:lang w:val="en-US"/>
        </w:rPr>
        <w:t>3</w:t>
      </w:r>
      <w:r w:rsidRPr="00A53FD1">
        <w:rPr>
          <w:lang w:val="en-US"/>
        </w:rPr>
        <w:t>-ZrO</w:t>
      </w:r>
      <w:r w:rsidRPr="00A53FD1">
        <w:rPr>
          <w:vertAlign w:val="subscript"/>
          <w:lang w:val="en-US"/>
        </w:rPr>
        <w:t>2</w:t>
      </w:r>
      <w:r w:rsidRPr="00A53FD1">
        <w:rPr>
          <w:lang w:val="en-US"/>
        </w:rPr>
        <w:t>/SAPO-34 catalyst, Industrial &amp; Engineering Chemistry Research, 61, 10365-10376.</w:t>
      </w:r>
    </w:p>
    <w:p w14:paraId="64B8C415" w14:textId="48CC1791" w:rsidR="00C77DC0" w:rsidRPr="00A53FD1" w:rsidRDefault="00C77DC0" w:rsidP="00600535">
      <w:pPr>
        <w:pStyle w:val="CETReferencetext"/>
        <w:rPr>
          <w:lang w:val="en-US"/>
        </w:rPr>
      </w:pPr>
      <w:proofErr w:type="spellStart"/>
      <w:r w:rsidRPr="00A53FD1">
        <w:rPr>
          <w:lang w:val="en-US"/>
        </w:rPr>
        <w:t>Saeidi</w:t>
      </w:r>
      <w:proofErr w:type="spellEnd"/>
      <w:r w:rsidRPr="00A53FD1">
        <w:rPr>
          <w:lang w:val="en-US"/>
        </w:rPr>
        <w:t xml:space="preserve"> S., </w:t>
      </w:r>
      <w:proofErr w:type="spellStart"/>
      <w:r w:rsidRPr="00A53FD1">
        <w:rPr>
          <w:lang w:val="en-US"/>
        </w:rPr>
        <w:t>Najari</w:t>
      </w:r>
      <w:proofErr w:type="spellEnd"/>
      <w:r w:rsidRPr="00A53FD1">
        <w:rPr>
          <w:lang w:val="en-US"/>
        </w:rPr>
        <w:t xml:space="preserve"> S., Hessel V., Wilson K., Keil F.J., Concepción P., </w:t>
      </w:r>
      <w:proofErr w:type="spellStart"/>
      <w:r w:rsidRPr="00A53FD1">
        <w:rPr>
          <w:lang w:val="en-US"/>
        </w:rPr>
        <w:t>Suib</w:t>
      </w:r>
      <w:proofErr w:type="spellEnd"/>
      <w:r w:rsidRPr="00A53FD1">
        <w:rPr>
          <w:lang w:val="en-US"/>
        </w:rPr>
        <w:t xml:space="preserve"> S.L., Rodrigues A.E., 2021, Recent advances in </w:t>
      </w:r>
      <w:r w:rsidR="00CF67EF" w:rsidRPr="00A53FD1">
        <w:rPr>
          <w:lang w:val="en-US"/>
        </w:rPr>
        <w:t>CO</w:t>
      </w:r>
      <w:r w:rsidR="00CF67EF" w:rsidRPr="00A53FD1">
        <w:rPr>
          <w:vertAlign w:val="subscript"/>
          <w:lang w:val="en-US"/>
        </w:rPr>
        <w:t>2</w:t>
      </w:r>
      <w:r w:rsidRPr="00A53FD1">
        <w:rPr>
          <w:lang w:val="en-US"/>
        </w:rPr>
        <w:t xml:space="preserve"> hydrogenation to value-added products — Current challenges and future directions, Progress in Energy and Combustion Science, 85, 100905.</w:t>
      </w:r>
    </w:p>
    <w:p w14:paraId="47FC7E52" w14:textId="6E0AE5A7" w:rsidR="00930CA8" w:rsidRPr="00A53FD1" w:rsidRDefault="00930CA8" w:rsidP="00600535">
      <w:pPr>
        <w:pStyle w:val="CETReferencetext"/>
        <w:rPr>
          <w:lang w:val="en-US"/>
        </w:rPr>
      </w:pPr>
      <w:proofErr w:type="spellStart"/>
      <w:r w:rsidRPr="00A53FD1">
        <w:rPr>
          <w:lang w:val="en-US"/>
        </w:rPr>
        <w:t>Samiee</w:t>
      </w:r>
      <w:proofErr w:type="spellEnd"/>
      <w:r w:rsidRPr="00A53FD1">
        <w:rPr>
          <w:lang w:val="en-US"/>
        </w:rPr>
        <w:t xml:space="preserve"> L., </w:t>
      </w:r>
      <w:proofErr w:type="spellStart"/>
      <w:r w:rsidRPr="00A53FD1">
        <w:rPr>
          <w:lang w:val="en-US"/>
        </w:rPr>
        <w:t>Ganszha</w:t>
      </w:r>
      <w:proofErr w:type="spellEnd"/>
      <w:r w:rsidRPr="00A53FD1">
        <w:rPr>
          <w:lang w:val="en-US"/>
        </w:rPr>
        <w:t xml:space="preserve"> S., 2019, Power to methanol technologies via </w:t>
      </w:r>
      <w:r w:rsidR="00CF67EF" w:rsidRPr="00A53FD1">
        <w:rPr>
          <w:lang w:val="en-US"/>
        </w:rPr>
        <w:t>CO</w:t>
      </w:r>
      <w:r w:rsidR="00CF67EF" w:rsidRPr="00A53FD1">
        <w:rPr>
          <w:vertAlign w:val="subscript"/>
          <w:lang w:val="en-US"/>
        </w:rPr>
        <w:t>2</w:t>
      </w:r>
      <w:r w:rsidRPr="00A53FD1">
        <w:rPr>
          <w:lang w:val="en-US"/>
        </w:rPr>
        <w:t xml:space="preserve"> recovery: </w:t>
      </w:r>
      <w:r w:rsidR="00CF67EF" w:rsidRPr="00A53FD1">
        <w:rPr>
          <w:lang w:val="en-US"/>
        </w:rPr>
        <w:t>CO</w:t>
      </w:r>
      <w:r w:rsidR="00CF67EF" w:rsidRPr="00A53FD1">
        <w:rPr>
          <w:vertAlign w:val="subscript"/>
          <w:lang w:val="en-US"/>
        </w:rPr>
        <w:t>2</w:t>
      </w:r>
      <w:r w:rsidRPr="00A53FD1">
        <w:rPr>
          <w:lang w:val="en-US"/>
        </w:rPr>
        <w:t xml:space="preserve"> hydrogenation and electrocatalytic routes. Reviews in Chemical Engineering, 37, 619-641.</w:t>
      </w:r>
    </w:p>
    <w:p w14:paraId="33193B9E" w14:textId="55318862" w:rsidR="004E27FD" w:rsidRPr="00A53FD1" w:rsidRDefault="004E27FD" w:rsidP="00600535">
      <w:pPr>
        <w:pStyle w:val="CETReferencetext"/>
        <w:rPr>
          <w:lang w:val="en-US"/>
        </w:rPr>
      </w:pPr>
      <w:r w:rsidRPr="00A53FD1">
        <w:rPr>
          <w:lang w:val="en-US"/>
        </w:rPr>
        <w:t xml:space="preserve">Sánchez-Contador M., </w:t>
      </w:r>
      <w:proofErr w:type="spellStart"/>
      <w:r w:rsidRPr="00A53FD1">
        <w:rPr>
          <w:lang w:val="en-US"/>
        </w:rPr>
        <w:t>Ateka</w:t>
      </w:r>
      <w:proofErr w:type="spellEnd"/>
      <w:r w:rsidRPr="00A53FD1">
        <w:rPr>
          <w:lang w:val="en-US"/>
        </w:rPr>
        <w:t xml:space="preserve"> A., Rodriguez-Vega P., Bilbao J., Aguayo A.T., 2018, Optimization of the Zr content in the CuO-ZnO-ZrO</w:t>
      </w:r>
      <w:r w:rsidRPr="00A53FD1">
        <w:rPr>
          <w:vertAlign w:val="subscript"/>
          <w:lang w:val="en-US"/>
        </w:rPr>
        <w:t>2</w:t>
      </w:r>
      <w:r w:rsidRPr="00A53FD1">
        <w:rPr>
          <w:lang w:val="en-US"/>
        </w:rPr>
        <w:t>/SAPO-11 catalyst fo</w:t>
      </w:r>
      <w:r w:rsidR="00C354C5" w:rsidRPr="00A53FD1">
        <w:rPr>
          <w:lang w:val="en-US"/>
        </w:rPr>
        <w:t>r</w:t>
      </w:r>
      <w:r w:rsidRPr="00A53FD1">
        <w:rPr>
          <w:lang w:val="en-US"/>
        </w:rPr>
        <w:t xml:space="preserve"> the selective hydrogenation of CO+CO</w:t>
      </w:r>
      <w:r w:rsidRPr="00A53FD1">
        <w:rPr>
          <w:vertAlign w:val="subscript"/>
          <w:lang w:val="en-US"/>
        </w:rPr>
        <w:t>2</w:t>
      </w:r>
      <w:r w:rsidRPr="00A53FD1">
        <w:rPr>
          <w:lang w:val="en-US"/>
        </w:rPr>
        <w:t xml:space="preserve"> mixtures in the direct synthesis of dimethyl ether, Industrial &amp; Engineering Chemistry Research, 57, 1169-1178.</w:t>
      </w:r>
    </w:p>
    <w:p w14:paraId="1CCCCD11" w14:textId="7938862B" w:rsidR="00E92388" w:rsidRPr="00044186" w:rsidRDefault="00247511" w:rsidP="00DF3234">
      <w:pPr>
        <w:pStyle w:val="CETReferencetext"/>
        <w:rPr>
          <w:lang w:val="en-US"/>
        </w:rPr>
      </w:pPr>
      <w:r w:rsidRPr="00A53FD1">
        <w:rPr>
          <w:lang w:val="en-US"/>
        </w:rPr>
        <w:t xml:space="preserve">Zhang S., Wu Z., Liu X., Hua K., Shao Z., Wei B., Huang C., Wang H., Sun Y., 2021, A short review of recent advances in direct </w:t>
      </w:r>
      <w:r w:rsidR="00CF67EF" w:rsidRPr="00A53FD1">
        <w:rPr>
          <w:lang w:val="en-US"/>
        </w:rPr>
        <w:t>CO</w:t>
      </w:r>
      <w:r w:rsidR="00CF67EF" w:rsidRPr="00A53FD1">
        <w:rPr>
          <w:vertAlign w:val="subscript"/>
          <w:lang w:val="en-US"/>
        </w:rPr>
        <w:t>2</w:t>
      </w:r>
      <w:r w:rsidRPr="00A53FD1">
        <w:rPr>
          <w:lang w:val="en-US"/>
        </w:rPr>
        <w:t xml:space="preserve"> hydrogenation to alcohols, Topics in Catalysis, 64, 371-394.</w:t>
      </w:r>
    </w:p>
    <w:sectPr w:rsidR="00E92388" w:rsidRPr="0004418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F27E" w14:textId="77777777" w:rsidR="006B3E13" w:rsidRDefault="006B3E13" w:rsidP="004F5E36">
      <w:r>
        <w:separator/>
      </w:r>
    </w:p>
  </w:endnote>
  <w:endnote w:type="continuationSeparator" w:id="0">
    <w:p w14:paraId="295C27A4" w14:textId="77777777" w:rsidR="006B3E13" w:rsidRDefault="006B3E1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FA3E" w14:textId="77777777" w:rsidR="006B3E13" w:rsidRDefault="006B3E13" w:rsidP="004F5E36">
      <w:r>
        <w:separator/>
      </w:r>
    </w:p>
  </w:footnote>
  <w:footnote w:type="continuationSeparator" w:id="0">
    <w:p w14:paraId="4F6F1D46" w14:textId="77777777" w:rsidR="006B3E13" w:rsidRDefault="006B3E1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1865695">
    <w:abstractNumId w:val="10"/>
  </w:num>
  <w:num w:numId="2" w16cid:durableId="120459115">
    <w:abstractNumId w:val="8"/>
  </w:num>
  <w:num w:numId="3" w16cid:durableId="1812551819">
    <w:abstractNumId w:val="3"/>
  </w:num>
  <w:num w:numId="4" w16cid:durableId="1821994213">
    <w:abstractNumId w:val="2"/>
  </w:num>
  <w:num w:numId="5" w16cid:durableId="2019193711">
    <w:abstractNumId w:val="1"/>
  </w:num>
  <w:num w:numId="6" w16cid:durableId="1423141455">
    <w:abstractNumId w:val="0"/>
  </w:num>
  <w:num w:numId="7" w16cid:durableId="1294755032">
    <w:abstractNumId w:val="9"/>
  </w:num>
  <w:num w:numId="8" w16cid:durableId="843397600">
    <w:abstractNumId w:val="7"/>
  </w:num>
  <w:num w:numId="9" w16cid:durableId="606470877">
    <w:abstractNumId w:val="6"/>
  </w:num>
  <w:num w:numId="10" w16cid:durableId="1912041310">
    <w:abstractNumId w:val="5"/>
  </w:num>
  <w:num w:numId="11" w16cid:durableId="433597147">
    <w:abstractNumId w:val="4"/>
  </w:num>
  <w:num w:numId="12" w16cid:durableId="378748411">
    <w:abstractNumId w:val="17"/>
  </w:num>
  <w:num w:numId="13" w16cid:durableId="2094887224">
    <w:abstractNumId w:val="12"/>
  </w:num>
  <w:num w:numId="14" w16cid:durableId="1839079930">
    <w:abstractNumId w:val="18"/>
  </w:num>
  <w:num w:numId="15" w16cid:durableId="1730765946">
    <w:abstractNumId w:val="20"/>
  </w:num>
  <w:num w:numId="16" w16cid:durableId="796990629">
    <w:abstractNumId w:val="19"/>
  </w:num>
  <w:num w:numId="17" w16cid:durableId="1658420291">
    <w:abstractNumId w:val="11"/>
  </w:num>
  <w:num w:numId="18" w16cid:durableId="1812944034">
    <w:abstractNumId w:val="12"/>
    <w:lvlOverride w:ilvl="0">
      <w:startOverride w:val="1"/>
    </w:lvlOverride>
  </w:num>
  <w:num w:numId="19" w16cid:durableId="420952286">
    <w:abstractNumId w:val="16"/>
  </w:num>
  <w:num w:numId="20" w16cid:durableId="856433168">
    <w:abstractNumId w:val="15"/>
  </w:num>
  <w:num w:numId="21" w16cid:durableId="1024090338">
    <w:abstractNumId w:val="14"/>
  </w:num>
  <w:num w:numId="22" w16cid:durableId="971447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FC7"/>
    <w:rsid w:val="000101B1"/>
    <w:rsid w:val="000117CB"/>
    <w:rsid w:val="0003148D"/>
    <w:rsid w:val="00031DF1"/>
    <w:rsid w:val="00031EEC"/>
    <w:rsid w:val="00044186"/>
    <w:rsid w:val="00047F69"/>
    <w:rsid w:val="000506EC"/>
    <w:rsid w:val="00051566"/>
    <w:rsid w:val="000562A9"/>
    <w:rsid w:val="00056AA5"/>
    <w:rsid w:val="00062A9A"/>
    <w:rsid w:val="00065058"/>
    <w:rsid w:val="00072A44"/>
    <w:rsid w:val="00086C39"/>
    <w:rsid w:val="0009092D"/>
    <w:rsid w:val="000A03B2"/>
    <w:rsid w:val="000D0268"/>
    <w:rsid w:val="000D34BE"/>
    <w:rsid w:val="000E102F"/>
    <w:rsid w:val="000E36F1"/>
    <w:rsid w:val="000E3A73"/>
    <w:rsid w:val="000E414A"/>
    <w:rsid w:val="000E5934"/>
    <w:rsid w:val="000F093C"/>
    <w:rsid w:val="000F787B"/>
    <w:rsid w:val="001205DD"/>
    <w:rsid w:val="0012091F"/>
    <w:rsid w:val="00121A61"/>
    <w:rsid w:val="00126BC2"/>
    <w:rsid w:val="001308B6"/>
    <w:rsid w:val="0013121F"/>
    <w:rsid w:val="00131FE6"/>
    <w:rsid w:val="0013263F"/>
    <w:rsid w:val="001331DF"/>
    <w:rsid w:val="0013478C"/>
    <w:rsid w:val="00134DE4"/>
    <w:rsid w:val="00136422"/>
    <w:rsid w:val="0014034D"/>
    <w:rsid w:val="00144D16"/>
    <w:rsid w:val="00145AE6"/>
    <w:rsid w:val="00150E59"/>
    <w:rsid w:val="00152DE3"/>
    <w:rsid w:val="00160728"/>
    <w:rsid w:val="00164CF9"/>
    <w:rsid w:val="001667A6"/>
    <w:rsid w:val="00172151"/>
    <w:rsid w:val="0018451C"/>
    <w:rsid w:val="00184AD6"/>
    <w:rsid w:val="001A4AF7"/>
    <w:rsid w:val="001B0349"/>
    <w:rsid w:val="001B1E93"/>
    <w:rsid w:val="001B4220"/>
    <w:rsid w:val="001B65C1"/>
    <w:rsid w:val="001C684B"/>
    <w:rsid w:val="001D0CFB"/>
    <w:rsid w:val="001D21AF"/>
    <w:rsid w:val="001D53FC"/>
    <w:rsid w:val="001F16F0"/>
    <w:rsid w:val="001F42A5"/>
    <w:rsid w:val="001F7B9D"/>
    <w:rsid w:val="00201C93"/>
    <w:rsid w:val="002224B4"/>
    <w:rsid w:val="00235B70"/>
    <w:rsid w:val="002447EF"/>
    <w:rsid w:val="00247511"/>
    <w:rsid w:val="00251550"/>
    <w:rsid w:val="00263B05"/>
    <w:rsid w:val="0027221A"/>
    <w:rsid w:val="00275B61"/>
    <w:rsid w:val="00280B5B"/>
    <w:rsid w:val="00280FAF"/>
    <w:rsid w:val="00282656"/>
    <w:rsid w:val="00296B83"/>
    <w:rsid w:val="002B3805"/>
    <w:rsid w:val="002B4015"/>
    <w:rsid w:val="002B78CE"/>
    <w:rsid w:val="002C2FB6"/>
    <w:rsid w:val="002D4698"/>
    <w:rsid w:val="002D6748"/>
    <w:rsid w:val="002E1281"/>
    <w:rsid w:val="002E59F1"/>
    <w:rsid w:val="002E5FA7"/>
    <w:rsid w:val="002F3309"/>
    <w:rsid w:val="003008CE"/>
    <w:rsid w:val="003009B7"/>
    <w:rsid w:val="00300E56"/>
    <w:rsid w:val="0030152C"/>
    <w:rsid w:val="0030469C"/>
    <w:rsid w:val="00307F7D"/>
    <w:rsid w:val="00313833"/>
    <w:rsid w:val="00313D12"/>
    <w:rsid w:val="00321CA6"/>
    <w:rsid w:val="0032357E"/>
    <w:rsid w:val="00323763"/>
    <w:rsid w:val="00323C5F"/>
    <w:rsid w:val="00334C09"/>
    <w:rsid w:val="0037086F"/>
    <w:rsid w:val="003723D4"/>
    <w:rsid w:val="003754C1"/>
    <w:rsid w:val="00381905"/>
    <w:rsid w:val="00384CC8"/>
    <w:rsid w:val="003871FD"/>
    <w:rsid w:val="003A1E30"/>
    <w:rsid w:val="003A2829"/>
    <w:rsid w:val="003A2FCA"/>
    <w:rsid w:val="003A7D1C"/>
    <w:rsid w:val="003B304B"/>
    <w:rsid w:val="003B3146"/>
    <w:rsid w:val="003C6D4C"/>
    <w:rsid w:val="003D5022"/>
    <w:rsid w:val="003F015E"/>
    <w:rsid w:val="00400414"/>
    <w:rsid w:val="00400F72"/>
    <w:rsid w:val="0041446B"/>
    <w:rsid w:val="0044071E"/>
    <w:rsid w:val="00441FDC"/>
    <w:rsid w:val="0044329C"/>
    <w:rsid w:val="00453E24"/>
    <w:rsid w:val="00457456"/>
    <w:rsid w:val="004577FE"/>
    <w:rsid w:val="00457B9C"/>
    <w:rsid w:val="0046164A"/>
    <w:rsid w:val="004628D2"/>
    <w:rsid w:val="00462DCD"/>
    <w:rsid w:val="00463E35"/>
    <w:rsid w:val="004648AD"/>
    <w:rsid w:val="004701CE"/>
    <w:rsid w:val="004703A9"/>
    <w:rsid w:val="00471C29"/>
    <w:rsid w:val="004760DE"/>
    <w:rsid w:val="004763D7"/>
    <w:rsid w:val="004976B9"/>
    <w:rsid w:val="004A004E"/>
    <w:rsid w:val="004A24CF"/>
    <w:rsid w:val="004A3380"/>
    <w:rsid w:val="004B70B0"/>
    <w:rsid w:val="004C3D1D"/>
    <w:rsid w:val="004C3D84"/>
    <w:rsid w:val="004C50DA"/>
    <w:rsid w:val="004C7913"/>
    <w:rsid w:val="004D12A1"/>
    <w:rsid w:val="004E27FD"/>
    <w:rsid w:val="004E4DD6"/>
    <w:rsid w:val="004F5E36"/>
    <w:rsid w:val="004F6708"/>
    <w:rsid w:val="00507B47"/>
    <w:rsid w:val="00507BEF"/>
    <w:rsid w:val="00507CC9"/>
    <w:rsid w:val="005119A5"/>
    <w:rsid w:val="00516349"/>
    <w:rsid w:val="00526666"/>
    <w:rsid w:val="005278B7"/>
    <w:rsid w:val="00532016"/>
    <w:rsid w:val="005346C8"/>
    <w:rsid w:val="00543238"/>
    <w:rsid w:val="00543E7D"/>
    <w:rsid w:val="00547A68"/>
    <w:rsid w:val="005531C9"/>
    <w:rsid w:val="00570C43"/>
    <w:rsid w:val="00587B37"/>
    <w:rsid w:val="005A0F3E"/>
    <w:rsid w:val="005B07BD"/>
    <w:rsid w:val="005B16DD"/>
    <w:rsid w:val="005B2110"/>
    <w:rsid w:val="005B61E6"/>
    <w:rsid w:val="005B761C"/>
    <w:rsid w:val="005C77E1"/>
    <w:rsid w:val="005D668A"/>
    <w:rsid w:val="005D6A2F"/>
    <w:rsid w:val="005E1A82"/>
    <w:rsid w:val="005E794C"/>
    <w:rsid w:val="005F0A28"/>
    <w:rsid w:val="005F0E5E"/>
    <w:rsid w:val="00600535"/>
    <w:rsid w:val="0060088E"/>
    <w:rsid w:val="00610CD6"/>
    <w:rsid w:val="00620DEE"/>
    <w:rsid w:val="00621F92"/>
    <w:rsid w:val="0062280A"/>
    <w:rsid w:val="00625639"/>
    <w:rsid w:val="00631B33"/>
    <w:rsid w:val="00633D5B"/>
    <w:rsid w:val="00637E23"/>
    <w:rsid w:val="0064184D"/>
    <w:rsid w:val="006422CC"/>
    <w:rsid w:val="00660E3E"/>
    <w:rsid w:val="00662E74"/>
    <w:rsid w:val="00673FCB"/>
    <w:rsid w:val="006767CD"/>
    <w:rsid w:val="00680C23"/>
    <w:rsid w:val="00687345"/>
    <w:rsid w:val="00691EE8"/>
    <w:rsid w:val="00693766"/>
    <w:rsid w:val="006A037C"/>
    <w:rsid w:val="006A20C2"/>
    <w:rsid w:val="006A3281"/>
    <w:rsid w:val="006B3E13"/>
    <w:rsid w:val="006B44BF"/>
    <w:rsid w:val="006B4888"/>
    <w:rsid w:val="006B6B7D"/>
    <w:rsid w:val="006C2E45"/>
    <w:rsid w:val="006C31B1"/>
    <w:rsid w:val="006C359C"/>
    <w:rsid w:val="006C5579"/>
    <w:rsid w:val="006D6E8B"/>
    <w:rsid w:val="006E37AA"/>
    <w:rsid w:val="006E737D"/>
    <w:rsid w:val="006F1BBA"/>
    <w:rsid w:val="00703A67"/>
    <w:rsid w:val="0071024E"/>
    <w:rsid w:val="00713973"/>
    <w:rsid w:val="00720A24"/>
    <w:rsid w:val="00732386"/>
    <w:rsid w:val="00732A85"/>
    <w:rsid w:val="0073514D"/>
    <w:rsid w:val="00740B6B"/>
    <w:rsid w:val="007447F3"/>
    <w:rsid w:val="0075499F"/>
    <w:rsid w:val="007661C8"/>
    <w:rsid w:val="0077098D"/>
    <w:rsid w:val="0077264D"/>
    <w:rsid w:val="007905B5"/>
    <w:rsid w:val="007931FA"/>
    <w:rsid w:val="007A4861"/>
    <w:rsid w:val="007A7BBA"/>
    <w:rsid w:val="007B0C50"/>
    <w:rsid w:val="007B1570"/>
    <w:rsid w:val="007B48F9"/>
    <w:rsid w:val="007B6716"/>
    <w:rsid w:val="007C1A43"/>
    <w:rsid w:val="007D0951"/>
    <w:rsid w:val="007F18B7"/>
    <w:rsid w:val="0080013E"/>
    <w:rsid w:val="00801BA3"/>
    <w:rsid w:val="00813288"/>
    <w:rsid w:val="00814EB3"/>
    <w:rsid w:val="008168FC"/>
    <w:rsid w:val="00822A70"/>
    <w:rsid w:val="00824C6D"/>
    <w:rsid w:val="00830996"/>
    <w:rsid w:val="008345F1"/>
    <w:rsid w:val="00865B07"/>
    <w:rsid w:val="008667EA"/>
    <w:rsid w:val="0087637F"/>
    <w:rsid w:val="00876AC4"/>
    <w:rsid w:val="0088050E"/>
    <w:rsid w:val="00892AD5"/>
    <w:rsid w:val="008971FC"/>
    <w:rsid w:val="008A1512"/>
    <w:rsid w:val="008A336A"/>
    <w:rsid w:val="008B1957"/>
    <w:rsid w:val="008D32B9"/>
    <w:rsid w:val="008D433B"/>
    <w:rsid w:val="008D4A16"/>
    <w:rsid w:val="008E3AB6"/>
    <w:rsid w:val="008E566E"/>
    <w:rsid w:val="008E68DD"/>
    <w:rsid w:val="008F2107"/>
    <w:rsid w:val="008F3E30"/>
    <w:rsid w:val="008F6A5F"/>
    <w:rsid w:val="0090161A"/>
    <w:rsid w:val="00901EB6"/>
    <w:rsid w:val="00904C62"/>
    <w:rsid w:val="0090528D"/>
    <w:rsid w:val="00922BA8"/>
    <w:rsid w:val="00924DAC"/>
    <w:rsid w:val="00927058"/>
    <w:rsid w:val="00930CA8"/>
    <w:rsid w:val="00935495"/>
    <w:rsid w:val="00942750"/>
    <w:rsid w:val="00944F80"/>
    <w:rsid w:val="009450CE"/>
    <w:rsid w:val="009459BB"/>
    <w:rsid w:val="00947179"/>
    <w:rsid w:val="0095164B"/>
    <w:rsid w:val="00954090"/>
    <w:rsid w:val="009573E7"/>
    <w:rsid w:val="00960F17"/>
    <w:rsid w:val="00963E05"/>
    <w:rsid w:val="00964A45"/>
    <w:rsid w:val="00964C16"/>
    <w:rsid w:val="00967843"/>
    <w:rsid w:val="00967D54"/>
    <w:rsid w:val="00970CF6"/>
    <w:rsid w:val="00971028"/>
    <w:rsid w:val="009846AA"/>
    <w:rsid w:val="00993B84"/>
    <w:rsid w:val="0099404F"/>
    <w:rsid w:val="00996483"/>
    <w:rsid w:val="00996F5A"/>
    <w:rsid w:val="009B02F5"/>
    <w:rsid w:val="009B041A"/>
    <w:rsid w:val="009B6B16"/>
    <w:rsid w:val="009C37C3"/>
    <w:rsid w:val="009C7C22"/>
    <w:rsid w:val="009C7C86"/>
    <w:rsid w:val="009D2FF7"/>
    <w:rsid w:val="009D59A5"/>
    <w:rsid w:val="009D7C4B"/>
    <w:rsid w:val="009E5D54"/>
    <w:rsid w:val="009E7843"/>
    <w:rsid w:val="009E7884"/>
    <w:rsid w:val="009E788A"/>
    <w:rsid w:val="009F0E08"/>
    <w:rsid w:val="00A1763D"/>
    <w:rsid w:val="00A17CEC"/>
    <w:rsid w:val="00A27EF0"/>
    <w:rsid w:val="00A31196"/>
    <w:rsid w:val="00A42361"/>
    <w:rsid w:val="00A43ED4"/>
    <w:rsid w:val="00A50B20"/>
    <w:rsid w:val="00A51390"/>
    <w:rsid w:val="00A53FD1"/>
    <w:rsid w:val="00A60D13"/>
    <w:rsid w:val="00A7223D"/>
    <w:rsid w:val="00A72745"/>
    <w:rsid w:val="00A76EFC"/>
    <w:rsid w:val="00A87D50"/>
    <w:rsid w:val="00A91010"/>
    <w:rsid w:val="00A97F29"/>
    <w:rsid w:val="00AA404A"/>
    <w:rsid w:val="00AA6AE8"/>
    <w:rsid w:val="00AA702E"/>
    <w:rsid w:val="00AA7D26"/>
    <w:rsid w:val="00AB0964"/>
    <w:rsid w:val="00AB5011"/>
    <w:rsid w:val="00AC12FB"/>
    <w:rsid w:val="00AC23C6"/>
    <w:rsid w:val="00AC7368"/>
    <w:rsid w:val="00AD16B9"/>
    <w:rsid w:val="00AD52C8"/>
    <w:rsid w:val="00AE377D"/>
    <w:rsid w:val="00AF0EBA"/>
    <w:rsid w:val="00B02C8A"/>
    <w:rsid w:val="00B17FBD"/>
    <w:rsid w:val="00B315A6"/>
    <w:rsid w:val="00B31813"/>
    <w:rsid w:val="00B33365"/>
    <w:rsid w:val="00B338F3"/>
    <w:rsid w:val="00B57B36"/>
    <w:rsid w:val="00B57E6F"/>
    <w:rsid w:val="00B82361"/>
    <w:rsid w:val="00B8686D"/>
    <w:rsid w:val="00B93F69"/>
    <w:rsid w:val="00BB08C9"/>
    <w:rsid w:val="00BB1DDC"/>
    <w:rsid w:val="00BC30C9"/>
    <w:rsid w:val="00BD077D"/>
    <w:rsid w:val="00BE3839"/>
    <w:rsid w:val="00BE3E58"/>
    <w:rsid w:val="00BE4C6C"/>
    <w:rsid w:val="00BF0054"/>
    <w:rsid w:val="00C01616"/>
    <w:rsid w:val="00C0162B"/>
    <w:rsid w:val="00C068ED"/>
    <w:rsid w:val="00C123BB"/>
    <w:rsid w:val="00C1753A"/>
    <w:rsid w:val="00C22E0C"/>
    <w:rsid w:val="00C345B1"/>
    <w:rsid w:val="00C354C5"/>
    <w:rsid w:val="00C3683E"/>
    <w:rsid w:val="00C40142"/>
    <w:rsid w:val="00C468C6"/>
    <w:rsid w:val="00C52C3C"/>
    <w:rsid w:val="00C57182"/>
    <w:rsid w:val="00C57390"/>
    <w:rsid w:val="00C57863"/>
    <w:rsid w:val="00C640AF"/>
    <w:rsid w:val="00C655FD"/>
    <w:rsid w:val="00C66855"/>
    <w:rsid w:val="00C7109F"/>
    <w:rsid w:val="00C75407"/>
    <w:rsid w:val="00C77DC0"/>
    <w:rsid w:val="00C870A8"/>
    <w:rsid w:val="00C94434"/>
    <w:rsid w:val="00CA0D75"/>
    <w:rsid w:val="00CA1C95"/>
    <w:rsid w:val="00CA2758"/>
    <w:rsid w:val="00CA3E01"/>
    <w:rsid w:val="00CA5A9C"/>
    <w:rsid w:val="00CB1A8F"/>
    <w:rsid w:val="00CC4C20"/>
    <w:rsid w:val="00CC6DFE"/>
    <w:rsid w:val="00CD3517"/>
    <w:rsid w:val="00CD5FE2"/>
    <w:rsid w:val="00CE50BF"/>
    <w:rsid w:val="00CE7C68"/>
    <w:rsid w:val="00CF67EF"/>
    <w:rsid w:val="00D02B4C"/>
    <w:rsid w:val="00D040C4"/>
    <w:rsid w:val="00D209AD"/>
    <w:rsid w:val="00D20AD1"/>
    <w:rsid w:val="00D34770"/>
    <w:rsid w:val="00D46A1C"/>
    <w:rsid w:val="00D46B7E"/>
    <w:rsid w:val="00D57C84"/>
    <w:rsid w:val="00D6057D"/>
    <w:rsid w:val="00D65296"/>
    <w:rsid w:val="00D71640"/>
    <w:rsid w:val="00D836C5"/>
    <w:rsid w:val="00D84576"/>
    <w:rsid w:val="00D849DE"/>
    <w:rsid w:val="00DA1399"/>
    <w:rsid w:val="00DA24C6"/>
    <w:rsid w:val="00DA4D7B"/>
    <w:rsid w:val="00DB4915"/>
    <w:rsid w:val="00DD271C"/>
    <w:rsid w:val="00DD7BA0"/>
    <w:rsid w:val="00DE264A"/>
    <w:rsid w:val="00DF3218"/>
    <w:rsid w:val="00DF3234"/>
    <w:rsid w:val="00DF5072"/>
    <w:rsid w:val="00DF586D"/>
    <w:rsid w:val="00E02D18"/>
    <w:rsid w:val="00E041E7"/>
    <w:rsid w:val="00E23CA1"/>
    <w:rsid w:val="00E409A8"/>
    <w:rsid w:val="00E40C5D"/>
    <w:rsid w:val="00E449F5"/>
    <w:rsid w:val="00E50C12"/>
    <w:rsid w:val="00E65B91"/>
    <w:rsid w:val="00E7209D"/>
    <w:rsid w:val="00E72EAD"/>
    <w:rsid w:val="00E77223"/>
    <w:rsid w:val="00E8528B"/>
    <w:rsid w:val="00E85B94"/>
    <w:rsid w:val="00E92388"/>
    <w:rsid w:val="00E96C2D"/>
    <w:rsid w:val="00E978D0"/>
    <w:rsid w:val="00E97CA3"/>
    <w:rsid w:val="00EA4613"/>
    <w:rsid w:val="00EA4897"/>
    <w:rsid w:val="00EA7F91"/>
    <w:rsid w:val="00EB1523"/>
    <w:rsid w:val="00EC0E49"/>
    <w:rsid w:val="00EC101F"/>
    <w:rsid w:val="00EC1D9F"/>
    <w:rsid w:val="00EC3155"/>
    <w:rsid w:val="00EE0131"/>
    <w:rsid w:val="00EE17B0"/>
    <w:rsid w:val="00EE71C8"/>
    <w:rsid w:val="00EF06D9"/>
    <w:rsid w:val="00EF0785"/>
    <w:rsid w:val="00EF40F8"/>
    <w:rsid w:val="00F3049E"/>
    <w:rsid w:val="00F30C64"/>
    <w:rsid w:val="00F32BA2"/>
    <w:rsid w:val="00F32CDB"/>
    <w:rsid w:val="00F50E9B"/>
    <w:rsid w:val="00F565FE"/>
    <w:rsid w:val="00F63A70"/>
    <w:rsid w:val="00F63D8C"/>
    <w:rsid w:val="00F649F4"/>
    <w:rsid w:val="00F7534E"/>
    <w:rsid w:val="00F93EDF"/>
    <w:rsid w:val="00FA1802"/>
    <w:rsid w:val="00FA1E56"/>
    <w:rsid w:val="00FA21D0"/>
    <w:rsid w:val="00FA5F5F"/>
    <w:rsid w:val="00FB730C"/>
    <w:rsid w:val="00FC2695"/>
    <w:rsid w:val="00FC3E03"/>
    <w:rsid w:val="00FC3FC1"/>
    <w:rsid w:val="00FD554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247511"/>
    <w:rPr>
      <w:color w:val="808080"/>
    </w:rPr>
  </w:style>
  <w:style w:type="character" w:customStyle="1" w:styleId="link-annotation-unknown-block-id-2012126391">
    <w:name w:val="link-annotation-unknown-block-id-2012126391"/>
    <w:basedOn w:val="Fuentedeprrafopredeter"/>
    <w:rsid w:val="005B761C"/>
  </w:style>
  <w:style w:type="character" w:customStyle="1" w:styleId="notion-enable-hover">
    <w:name w:val="notion-enable-hover"/>
    <w:basedOn w:val="Fuentedeprrafopredeter"/>
    <w:rsid w:val="005B761C"/>
  </w:style>
  <w:style w:type="paragraph" w:customStyle="1" w:styleId="Default">
    <w:name w:val="Default"/>
    <w:rsid w:val="0018451C"/>
    <w:pPr>
      <w:autoSpaceDE w:val="0"/>
      <w:autoSpaceDN w:val="0"/>
      <w:adjustRightInd w:val="0"/>
      <w:spacing w:after="0" w:line="240" w:lineRule="auto"/>
    </w:pPr>
    <w:rPr>
      <w:rFonts w:ascii="Charis SIL" w:hAnsi="Charis SIL" w:cs="Charis SI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intze.parra@ehu.e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e11642c8-7297-4291-8b63-c9cd4e963bd2" xsi:nil="true"/>
    <_activity xmlns="e11642c8-7297-4291-8b63-c9cd4e963bd2" xsi:nil="true"/>
    <CultureName xmlns="e11642c8-7297-4291-8b63-c9cd4e963bd2" xsi:nil="true"/>
    <Owner xmlns="e11642c8-7297-4291-8b63-c9cd4e963bd2">
      <UserInfo>
        <DisplayName/>
        <AccountId xsi:nil="true"/>
        <AccountType/>
      </UserInfo>
    </Owner>
    <AppVersion xmlns="e11642c8-7297-4291-8b63-c9cd4e963bd2" xsi:nil="true"/>
    <Invited_Leaders xmlns="e11642c8-7297-4291-8b63-c9cd4e963bd2" xsi:nil="true"/>
    <IsNotebookLocked xmlns="e11642c8-7297-4291-8b63-c9cd4e963bd2" xsi:nil="true"/>
    <DefaultSectionNames xmlns="e11642c8-7297-4291-8b63-c9cd4e963bd2" xsi:nil="true"/>
    <Is_Collaboration_Space_Locked xmlns="e11642c8-7297-4291-8b63-c9cd4e963bd2" xsi:nil="true"/>
    <Members xmlns="e11642c8-7297-4291-8b63-c9cd4e963bd2">
      <UserInfo>
        <DisplayName/>
        <AccountId xsi:nil="true"/>
        <AccountType/>
      </UserInfo>
    </Members>
    <NotebookType xmlns="e11642c8-7297-4291-8b63-c9cd4e963bd2" xsi:nil="true"/>
    <TeamsChannelId xmlns="e11642c8-7297-4291-8b63-c9cd4e963bd2" xsi:nil="true"/>
    <Teams_Channel_Section_Location xmlns="e11642c8-7297-4291-8b63-c9cd4e963bd2" xsi:nil="true"/>
    <Templates xmlns="e11642c8-7297-4291-8b63-c9cd4e963bd2" xsi:nil="true"/>
    <Member_Groups xmlns="e11642c8-7297-4291-8b63-c9cd4e963bd2">
      <UserInfo>
        <DisplayName/>
        <AccountId xsi:nil="true"/>
        <AccountType/>
      </UserInfo>
    </Member_Groups>
    <Has_Leaders_Only_SectionGroup xmlns="e11642c8-7297-4291-8b63-c9cd4e963bd2" xsi:nil="true"/>
    <Distribution_Groups xmlns="e11642c8-7297-4291-8b63-c9cd4e963bd2" xsi:nil="true"/>
    <Math_Settings xmlns="e11642c8-7297-4291-8b63-c9cd4e963bd2" xsi:nil="true"/>
    <Self_Registration_Enabled xmlns="e11642c8-7297-4291-8b63-c9cd4e963bd2" xsi:nil="true"/>
    <Leaders xmlns="e11642c8-7297-4291-8b63-c9cd4e963bd2">
      <UserInfo>
        <DisplayName/>
        <AccountId xsi:nil="true"/>
        <AccountType/>
      </UserInfo>
    </Leaders>
    <Invited_Members xmlns="e11642c8-7297-4291-8b63-c9cd4e963bd2" xsi:nil="true"/>
    <FolderType xmlns="e11642c8-7297-4291-8b63-c9cd4e963b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DAA9968C4534C9ABBF0F849C63B11" ma:contentTypeVersion="34" ma:contentTypeDescription="Crear nuevo documento." ma:contentTypeScope="" ma:versionID="853f55797c161a7b1be29a8c65002f95">
  <xsd:schema xmlns:xsd="http://www.w3.org/2001/XMLSchema" xmlns:xs="http://www.w3.org/2001/XMLSchema" xmlns:p="http://schemas.microsoft.com/office/2006/metadata/properties" xmlns:ns3="e11642c8-7297-4291-8b63-c9cd4e963bd2" xmlns:ns4="74c7f90a-f746-4239-82ed-8a298e06f1e7" targetNamespace="http://schemas.microsoft.com/office/2006/metadata/properties" ma:root="true" ma:fieldsID="e4d7b9f1985145772097eca6bf65aa64" ns3:_="" ns4:_="">
    <xsd:import namespace="e11642c8-7297-4291-8b63-c9cd4e963bd2"/>
    <xsd:import namespace="74c7f90a-f746-4239-82ed-8a298e06f1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642c8-7297-4291-8b63-c9cd4e963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_activity" ma:index="4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c7f90a-f746-4239-82ed-8a298e06f1e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25CF-B1E5-4973-9253-A2B75FD2C17F}">
  <ds:schemaRefs>
    <ds:schemaRef ds:uri="http://schemas.microsoft.com/office/2006/documentManagement/types"/>
    <ds:schemaRef ds:uri="http://schemas.openxmlformats.org/package/2006/metadata/core-properties"/>
    <ds:schemaRef ds:uri="e11642c8-7297-4291-8b63-c9cd4e963bd2"/>
    <ds:schemaRef ds:uri="http://purl.org/dc/elements/1.1/"/>
    <ds:schemaRef ds:uri="http://schemas.microsoft.com/office/2006/metadata/properties"/>
    <ds:schemaRef ds:uri="http://purl.org/dc/terms/"/>
    <ds:schemaRef ds:uri="74c7f90a-f746-4239-82ed-8a298e06f1e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CAF0D34-166C-425B-A420-E3EDEC5CE90E}">
  <ds:schemaRefs>
    <ds:schemaRef ds:uri="http://schemas.microsoft.com/sharepoint/v3/contenttype/forms"/>
  </ds:schemaRefs>
</ds:datastoreItem>
</file>

<file path=customXml/itemProps3.xml><?xml version="1.0" encoding="utf-8"?>
<ds:datastoreItem xmlns:ds="http://schemas.openxmlformats.org/officeDocument/2006/customXml" ds:itemID="{9ED15FEF-390A-4F2F-8A5F-CCC4B51B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642c8-7297-4291-8b63-c9cd4e963bd2"/>
    <ds:schemaRef ds:uri="74c7f90a-f746-4239-82ed-8a298e06f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0DEAF-8C34-447B-86C5-A90EF4A2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6</Pages>
  <Words>3219</Words>
  <Characters>17708</Characters>
  <Application>Microsoft Office Word</Application>
  <DocSecurity>0</DocSecurity>
  <Lines>147</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Onintze PARRA</cp:lastModifiedBy>
  <cp:revision>19</cp:revision>
  <cp:lastPrinted>2015-05-12T18:31:00Z</cp:lastPrinted>
  <dcterms:created xsi:type="dcterms:W3CDTF">2022-11-22T09:01:00Z</dcterms:created>
  <dcterms:modified xsi:type="dcterms:W3CDTF">2023-03-20T11:04:00Z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0x010100F19DAA9968C4534C9ABBF0F849C63B11</vt:lpwstr>
  </property>
</Properties>
</file>