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235EF6" w14:paraId="2A131A54" w14:textId="77777777" w:rsidTr="00692049">
        <w:trPr>
          <w:trHeight w:val="852"/>
          <w:jc w:val="center"/>
        </w:trPr>
        <w:tc>
          <w:tcPr>
            <w:tcW w:w="6940" w:type="dxa"/>
            <w:vMerge w:val="restart"/>
            <w:tcBorders>
              <w:right w:val="single" w:sz="4" w:space="0" w:color="auto"/>
            </w:tcBorders>
          </w:tcPr>
          <w:p w14:paraId="38C3D2BA" w14:textId="77777777" w:rsidR="000A03B2" w:rsidRPr="00235EF6" w:rsidRDefault="000A03B2" w:rsidP="00DE264A">
            <w:pPr>
              <w:tabs>
                <w:tab w:val="left" w:pos="-108"/>
              </w:tabs>
              <w:ind w:left="-108"/>
              <w:jc w:val="left"/>
              <w:rPr>
                <w:rFonts w:cs="Arial"/>
                <w:b/>
                <w:bCs/>
                <w:i/>
                <w:iCs/>
                <w:color w:val="000066"/>
                <w:sz w:val="12"/>
                <w:szCs w:val="12"/>
                <w:lang w:eastAsia="it-IT"/>
              </w:rPr>
            </w:pPr>
            <w:r w:rsidRPr="00235EF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35EF6">
              <w:rPr>
                <w:rFonts w:ascii="AdvP6960" w:hAnsi="AdvP6960" w:cs="AdvP6960"/>
                <w:color w:val="241F20"/>
                <w:szCs w:val="18"/>
                <w:lang w:eastAsia="it-IT"/>
              </w:rPr>
              <w:t xml:space="preserve"> </w:t>
            </w:r>
            <w:r w:rsidRPr="00235EF6">
              <w:rPr>
                <w:rFonts w:cs="Arial"/>
                <w:b/>
                <w:bCs/>
                <w:i/>
                <w:iCs/>
                <w:color w:val="000066"/>
                <w:sz w:val="24"/>
                <w:szCs w:val="24"/>
                <w:lang w:eastAsia="it-IT"/>
              </w:rPr>
              <w:t>CHEMICAL ENGINEERING</w:t>
            </w:r>
            <w:r w:rsidRPr="00235EF6">
              <w:rPr>
                <w:rFonts w:cs="Arial"/>
                <w:b/>
                <w:bCs/>
                <w:i/>
                <w:iCs/>
                <w:color w:val="0033FF"/>
                <w:sz w:val="24"/>
                <w:szCs w:val="24"/>
                <w:lang w:eastAsia="it-IT"/>
              </w:rPr>
              <w:t xml:space="preserve"> </w:t>
            </w:r>
            <w:r w:rsidRPr="00235EF6">
              <w:rPr>
                <w:rFonts w:cs="Arial"/>
                <w:b/>
                <w:bCs/>
                <w:i/>
                <w:iCs/>
                <w:color w:val="666666"/>
                <w:sz w:val="24"/>
                <w:szCs w:val="24"/>
                <w:lang w:eastAsia="it-IT"/>
              </w:rPr>
              <w:t>TRANSACTIONS</w:t>
            </w:r>
            <w:r w:rsidRPr="00235EF6">
              <w:rPr>
                <w:color w:val="333333"/>
                <w:sz w:val="24"/>
                <w:szCs w:val="24"/>
                <w:lang w:eastAsia="it-IT"/>
              </w:rPr>
              <w:t xml:space="preserve"> </w:t>
            </w:r>
            <w:r w:rsidRPr="00235EF6">
              <w:rPr>
                <w:rFonts w:cs="Arial"/>
                <w:b/>
                <w:bCs/>
                <w:i/>
                <w:iCs/>
                <w:color w:val="000066"/>
                <w:sz w:val="27"/>
                <w:szCs w:val="27"/>
                <w:lang w:eastAsia="it-IT"/>
              </w:rPr>
              <w:br/>
            </w:r>
          </w:p>
          <w:p w14:paraId="4B780582" w14:textId="530285EB" w:rsidR="000A03B2" w:rsidRPr="00235EF6" w:rsidRDefault="00A76EFC" w:rsidP="001D21AF">
            <w:pPr>
              <w:tabs>
                <w:tab w:val="left" w:pos="-108"/>
              </w:tabs>
              <w:ind w:left="-108"/>
              <w:rPr>
                <w:rFonts w:cs="Arial"/>
                <w:b/>
                <w:bCs/>
                <w:i/>
                <w:iCs/>
                <w:color w:val="000066"/>
                <w:sz w:val="22"/>
                <w:szCs w:val="22"/>
                <w:lang w:eastAsia="it-IT"/>
              </w:rPr>
            </w:pPr>
            <w:r w:rsidRPr="00235EF6">
              <w:rPr>
                <w:rFonts w:cs="Arial"/>
                <w:b/>
                <w:bCs/>
                <w:i/>
                <w:iCs/>
                <w:color w:val="000066"/>
                <w:sz w:val="22"/>
                <w:szCs w:val="22"/>
                <w:lang w:eastAsia="it-IT"/>
              </w:rPr>
              <w:t xml:space="preserve">VOL. </w:t>
            </w:r>
            <w:r w:rsidR="0030152C" w:rsidRPr="00235EF6">
              <w:rPr>
                <w:rFonts w:cs="Arial"/>
                <w:b/>
                <w:bCs/>
                <w:i/>
                <w:iCs/>
                <w:color w:val="000066"/>
                <w:sz w:val="22"/>
                <w:szCs w:val="22"/>
                <w:lang w:eastAsia="it-IT"/>
              </w:rPr>
              <w:t xml:space="preserve">   </w:t>
            </w:r>
            <w:r w:rsidR="007B48F9" w:rsidRPr="00235EF6">
              <w:rPr>
                <w:rFonts w:cs="Arial"/>
                <w:b/>
                <w:bCs/>
                <w:i/>
                <w:iCs/>
                <w:color w:val="000066"/>
                <w:sz w:val="22"/>
                <w:szCs w:val="22"/>
                <w:lang w:eastAsia="it-IT"/>
              </w:rPr>
              <w:t>,</w:t>
            </w:r>
            <w:r w:rsidR="00FA5F5F" w:rsidRPr="00235EF6">
              <w:rPr>
                <w:rFonts w:cs="Arial"/>
                <w:b/>
                <w:bCs/>
                <w:i/>
                <w:iCs/>
                <w:color w:val="000066"/>
                <w:sz w:val="22"/>
                <w:szCs w:val="22"/>
                <w:lang w:eastAsia="it-IT"/>
              </w:rPr>
              <w:t xml:space="preserve"> </w:t>
            </w:r>
            <w:r w:rsidR="0030152C" w:rsidRPr="00235EF6">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235EF6" w:rsidRDefault="000A03B2" w:rsidP="00CD5FE2">
            <w:pPr>
              <w:spacing w:line="140" w:lineRule="atLeast"/>
              <w:jc w:val="right"/>
              <w:rPr>
                <w:rFonts w:cs="Arial"/>
                <w:sz w:val="14"/>
                <w:szCs w:val="14"/>
              </w:rPr>
            </w:pPr>
            <w:r w:rsidRPr="00235EF6">
              <w:rPr>
                <w:rFonts w:cs="Arial"/>
                <w:sz w:val="14"/>
                <w:szCs w:val="14"/>
              </w:rPr>
              <w:t>A publication of</w:t>
            </w:r>
          </w:p>
          <w:p w14:paraId="599E5441" w14:textId="77777777" w:rsidR="000A03B2" w:rsidRPr="00235EF6" w:rsidRDefault="000A03B2" w:rsidP="00CD5FE2">
            <w:pPr>
              <w:jc w:val="right"/>
            </w:pPr>
            <w:r w:rsidRPr="00235EF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35EF6" w14:paraId="380FA3CD" w14:textId="77777777" w:rsidTr="00692049">
        <w:trPr>
          <w:trHeight w:val="567"/>
          <w:jc w:val="center"/>
        </w:trPr>
        <w:tc>
          <w:tcPr>
            <w:tcW w:w="6940" w:type="dxa"/>
            <w:vMerge/>
            <w:tcBorders>
              <w:right w:val="single" w:sz="4" w:space="0" w:color="auto"/>
            </w:tcBorders>
          </w:tcPr>
          <w:p w14:paraId="39E5E4C1" w14:textId="77777777" w:rsidR="000A03B2" w:rsidRPr="00235EF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235EF6" w:rsidRDefault="000A03B2" w:rsidP="00CD5FE2">
            <w:pPr>
              <w:spacing w:line="140" w:lineRule="atLeast"/>
              <w:jc w:val="right"/>
              <w:rPr>
                <w:rFonts w:cs="Arial"/>
                <w:sz w:val="14"/>
                <w:szCs w:val="14"/>
              </w:rPr>
            </w:pPr>
            <w:r w:rsidRPr="00235EF6">
              <w:rPr>
                <w:rFonts w:cs="Arial"/>
                <w:sz w:val="14"/>
                <w:szCs w:val="14"/>
              </w:rPr>
              <w:t>The Italian Association</w:t>
            </w:r>
          </w:p>
          <w:p w14:paraId="7522B1D2" w14:textId="77777777" w:rsidR="000A03B2" w:rsidRPr="00235EF6" w:rsidRDefault="000A03B2" w:rsidP="00CD5FE2">
            <w:pPr>
              <w:spacing w:line="140" w:lineRule="atLeast"/>
              <w:jc w:val="right"/>
              <w:rPr>
                <w:rFonts w:cs="Arial"/>
                <w:sz w:val="14"/>
                <w:szCs w:val="14"/>
              </w:rPr>
            </w:pPr>
            <w:r w:rsidRPr="00235EF6">
              <w:rPr>
                <w:rFonts w:cs="Arial"/>
                <w:sz w:val="14"/>
                <w:szCs w:val="14"/>
              </w:rPr>
              <w:t>of Chemical Engineering</w:t>
            </w:r>
          </w:p>
          <w:p w14:paraId="4F0CC5DE" w14:textId="47FDB2FC" w:rsidR="000A03B2" w:rsidRPr="00235EF6" w:rsidRDefault="000D0268" w:rsidP="00CD5FE2">
            <w:pPr>
              <w:spacing w:line="140" w:lineRule="atLeast"/>
              <w:jc w:val="right"/>
              <w:rPr>
                <w:rFonts w:cs="Arial"/>
                <w:sz w:val="13"/>
                <w:szCs w:val="13"/>
              </w:rPr>
            </w:pPr>
            <w:r w:rsidRPr="00235EF6">
              <w:rPr>
                <w:rFonts w:cs="Arial"/>
                <w:sz w:val="13"/>
                <w:szCs w:val="13"/>
              </w:rPr>
              <w:t>Online at www.cetjournal.it</w:t>
            </w:r>
          </w:p>
        </w:tc>
      </w:tr>
      <w:tr w:rsidR="000A03B2" w:rsidRPr="00235EF6" w14:paraId="2D1B7169" w14:textId="77777777" w:rsidTr="00692049">
        <w:trPr>
          <w:trHeight w:val="68"/>
          <w:jc w:val="center"/>
        </w:trPr>
        <w:tc>
          <w:tcPr>
            <w:tcW w:w="8782" w:type="dxa"/>
            <w:gridSpan w:val="2"/>
          </w:tcPr>
          <w:p w14:paraId="1D8DD3C9" w14:textId="77777777" w:rsidR="00AA7D26" w:rsidRPr="00235EF6" w:rsidRDefault="00AA7D26" w:rsidP="00AA7D26">
            <w:pPr>
              <w:ind w:left="-107"/>
              <w:outlineLvl w:val="2"/>
              <w:rPr>
                <w:rFonts w:ascii="Tahoma" w:hAnsi="Tahoma" w:cs="Tahoma"/>
                <w:bCs/>
                <w:color w:val="000000"/>
                <w:sz w:val="14"/>
                <w:szCs w:val="14"/>
                <w:lang w:eastAsia="it-IT"/>
              </w:rPr>
            </w:pPr>
            <w:r w:rsidRPr="00235EF6">
              <w:rPr>
                <w:rFonts w:ascii="Tahoma" w:hAnsi="Tahoma" w:cs="Tahoma"/>
                <w:iCs/>
                <w:color w:val="333333"/>
                <w:sz w:val="14"/>
                <w:szCs w:val="14"/>
                <w:lang w:eastAsia="it-IT"/>
              </w:rPr>
              <w:t>Guest Editors:</w:t>
            </w:r>
            <w:r w:rsidRPr="00235EF6">
              <w:rPr>
                <w:rFonts w:ascii="Tahoma" w:hAnsi="Tahoma" w:cs="Tahoma"/>
                <w:color w:val="000000"/>
                <w:sz w:val="14"/>
                <w:szCs w:val="14"/>
                <w:shd w:val="clear" w:color="auto" w:fill="FFFFFF"/>
              </w:rPr>
              <w:t xml:space="preserve"> </w:t>
            </w:r>
            <w:proofErr w:type="spellStart"/>
            <w:r w:rsidRPr="00235EF6">
              <w:rPr>
                <w:rFonts w:ascii="Tahoma" w:hAnsi="Tahoma" w:cs="Tahoma"/>
                <w:sz w:val="14"/>
                <w:szCs w:val="14"/>
              </w:rPr>
              <w:t>Sauro</w:t>
            </w:r>
            <w:proofErr w:type="spellEnd"/>
            <w:r w:rsidRPr="00235EF6">
              <w:rPr>
                <w:rFonts w:ascii="Tahoma" w:hAnsi="Tahoma" w:cs="Tahoma"/>
                <w:sz w:val="14"/>
                <w:szCs w:val="14"/>
              </w:rPr>
              <w:t xml:space="preserve"> </w:t>
            </w:r>
            <w:proofErr w:type="spellStart"/>
            <w:r w:rsidRPr="00235EF6">
              <w:rPr>
                <w:rFonts w:ascii="Tahoma" w:hAnsi="Tahoma" w:cs="Tahoma"/>
                <w:sz w:val="14"/>
                <w:szCs w:val="14"/>
              </w:rPr>
              <w:t>Pierucci</w:t>
            </w:r>
            <w:proofErr w:type="spellEnd"/>
            <w:r w:rsidRPr="00235EF6">
              <w:rPr>
                <w:rFonts w:ascii="Tahoma" w:hAnsi="Tahoma" w:cs="Tahoma"/>
                <w:sz w:val="14"/>
                <w:szCs w:val="14"/>
              </w:rPr>
              <w:t xml:space="preserve">, </w:t>
            </w:r>
            <w:proofErr w:type="spellStart"/>
            <w:r w:rsidRPr="00235EF6">
              <w:rPr>
                <w:rFonts w:ascii="Tahoma" w:hAnsi="Tahoma" w:cs="Tahoma"/>
                <w:sz w:val="14"/>
                <w:szCs w:val="14"/>
                <w:shd w:val="clear" w:color="auto" w:fill="FFFFFF"/>
              </w:rPr>
              <w:t>Jiří</w:t>
            </w:r>
            <w:proofErr w:type="spellEnd"/>
            <w:r w:rsidRPr="00235EF6">
              <w:rPr>
                <w:rFonts w:ascii="Tahoma" w:hAnsi="Tahoma" w:cs="Tahoma"/>
                <w:sz w:val="14"/>
                <w:szCs w:val="14"/>
                <w:shd w:val="clear" w:color="auto" w:fill="FFFFFF"/>
              </w:rPr>
              <w:t xml:space="preserve"> </w:t>
            </w:r>
            <w:proofErr w:type="spellStart"/>
            <w:r w:rsidRPr="00235EF6">
              <w:rPr>
                <w:rFonts w:ascii="Tahoma" w:hAnsi="Tahoma" w:cs="Tahoma"/>
                <w:sz w:val="14"/>
                <w:szCs w:val="14"/>
                <w:shd w:val="clear" w:color="auto" w:fill="FFFFFF"/>
              </w:rPr>
              <w:t>Jaromír</w:t>
            </w:r>
            <w:proofErr w:type="spellEnd"/>
            <w:r w:rsidRPr="00235EF6">
              <w:rPr>
                <w:rFonts w:ascii="Tahoma" w:hAnsi="Tahoma" w:cs="Tahoma"/>
                <w:sz w:val="14"/>
                <w:szCs w:val="14"/>
                <w:shd w:val="clear" w:color="auto" w:fill="FFFFFF"/>
              </w:rPr>
              <w:t xml:space="preserve"> </w:t>
            </w:r>
            <w:proofErr w:type="spellStart"/>
            <w:r w:rsidRPr="00235EF6">
              <w:rPr>
                <w:rFonts w:ascii="Tahoma" w:hAnsi="Tahoma" w:cs="Tahoma"/>
                <w:sz w:val="14"/>
                <w:szCs w:val="14"/>
                <w:shd w:val="clear" w:color="auto" w:fill="FFFFFF"/>
              </w:rPr>
              <w:t>Klemeš</w:t>
            </w:r>
            <w:proofErr w:type="spellEnd"/>
          </w:p>
          <w:p w14:paraId="1B0F1814" w14:textId="650290B9" w:rsidR="000A03B2" w:rsidRPr="00235EF6" w:rsidRDefault="00AA7D26" w:rsidP="00AA7D26">
            <w:pPr>
              <w:tabs>
                <w:tab w:val="left" w:pos="-108"/>
              </w:tabs>
              <w:spacing w:line="140" w:lineRule="atLeast"/>
              <w:ind w:left="-107"/>
              <w:jc w:val="left"/>
            </w:pPr>
            <w:r w:rsidRPr="00235EF6">
              <w:rPr>
                <w:rFonts w:ascii="Tahoma" w:hAnsi="Tahoma" w:cs="Tahoma"/>
                <w:iCs/>
                <w:color w:val="333333"/>
                <w:sz w:val="14"/>
                <w:szCs w:val="14"/>
                <w:lang w:eastAsia="it-IT"/>
              </w:rPr>
              <w:t xml:space="preserve">Copyright © 2023, AIDIC </w:t>
            </w:r>
            <w:proofErr w:type="spellStart"/>
            <w:r w:rsidRPr="00235EF6">
              <w:rPr>
                <w:rFonts w:ascii="Tahoma" w:hAnsi="Tahoma" w:cs="Tahoma"/>
                <w:iCs/>
                <w:color w:val="333333"/>
                <w:sz w:val="14"/>
                <w:szCs w:val="14"/>
                <w:lang w:eastAsia="it-IT"/>
              </w:rPr>
              <w:t>Servizi</w:t>
            </w:r>
            <w:proofErr w:type="spellEnd"/>
            <w:r w:rsidRPr="00235EF6">
              <w:rPr>
                <w:rFonts w:ascii="Tahoma" w:hAnsi="Tahoma" w:cs="Tahoma"/>
                <w:iCs/>
                <w:color w:val="333333"/>
                <w:sz w:val="14"/>
                <w:szCs w:val="14"/>
                <w:lang w:eastAsia="it-IT"/>
              </w:rPr>
              <w:t xml:space="preserve"> </w:t>
            </w:r>
            <w:proofErr w:type="spellStart"/>
            <w:r w:rsidRPr="00235EF6">
              <w:rPr>
                <w:rFonts w:ascii="Tahoma" w:hAnsi="Tahoma" w:cs="Tahoma"/>
                <w:iCs/>
                <w:color w:val="333333"/>
                <w:sz w:val="14"/>
                <w:szCs w:val="14"/>
                <w:lang w:eastAsia="it-IT"/>
              </w:rPr>
              <w:t>S.r.l</w:t>
            </w:r>
            <w:proofErr w:type="spellEnd"/>
            <w:r w:rsidRPr="00235EF6">
              <w:rPr>
                <w:rFonts w:ascii="Tahoma" w:hAnsi="Tahoma" w:cs="Tahoma"/>
                <w:iCs/>
                <w:color w:val="333333"/>
                <w:sz w:val="14"/>
                <w:szCs w:val="14"/>
                <w:lang w:eastAsia="it-IT"/>
              </w:rPr>
              <w:t>.</w:t>
            </w:r>
            <w:r w:rsidRPr="00235EF6">
              <w:rPr>
                <w:rFonts w:ascii="Tahoma" w:hAnsi="Tahoma" w:cs="Tahoma"/>
                <w:iCs/>
                <w:color w:val="333333"/>
                <w:sz w:val="14"/>
                <w:szCs w:val="14"/>
                <w:lang w:eastAsia="it-IT"/>
              </w:rPr>
              <w:br/>
            </w:r>
            <w:r w:rsidRPr="00235EF6">
              <w:rPr>
                <w:rFonts w:ascii="Tahoma" w:hAnsi="Tahoma" w:cs="Tahoma"/>
                <w:b/>
                <w:iCs/>
                <w:color w:val="000000"/>
                <w:sz w:val="14"/>
                <w:szCs w:val="14"/>
                <w:lang w:eastAsia="it-IT"/>
              </w:rPr>
              <w:t>ISBN</w:t>
            </w:r>
            <w:r w:rsidRPr="00235EF6">
              <w:rPr>
                <w:rFonts w:ascii="Tahoma" w:hAnsi="Tahoma" w:cs="Tahoma"/>
                <w:iCs/>
                <w:color w:val="000000"/>
                <w:sz w:val="14"/>
                <w:szCs w:val="14"/>
                <w:lang w:eastAsia="it-IT"/>
              </w:rPr>
              <w:t xml:space="preserve"> </w:t>
            </w:r>
            <w:r w:rsidRPr="00235EF6">
              <w:rPr>
                <w:rFonts w:ascii="Tahoma" w:hAnsi="Tahoma" w:cs="Tahoma"/>
                <w:sz w:val="14"/>
                <w:szCs w:val="14"/>
              </w:rPr>
              <w:t>978-88-95608-98-3</w:t>
            </w:r>
            <w:r w:rsidRPr="00235EF6">
              <w:rPr>
                <w:rFonts w:ascii="Tahoma" w:hAnsi="Tahoma" w:cs="Tahoma"/>
                <w:iCs/>
                <w:color w:val="333333"/>
                <w:sz w:val="14"/>
                <w:szCs w:val="14"/>
                <w:lang w:eastAsia="it-IT"/>
              </w:rPr>
              <w:t xml:space="preserve">; </w:t>
            </w:r>
            <w:r w:rsidRPr="00235EF6">
              <w:rPr>
                <w:rFonts w:ascii="Tahoma" w:hAnsi="Tahoma" w:cs="Tahoma"/>
                <w:b/>
                <w:iCs/>
                <w:color w:val="333333"/>
                <w:sz w:val="14"/>
                <w:szCs w:val="14"/>
                <w:lang w:eastAsia="it-IT"/>
              </w:rPr>
              <w:t>ISSN</w:t>
            </w:r>
            <w:r w:rsidRPr="00235EF6">
              <w:rPr>
                <w:rFonts w:ascii="Tahoma" w:hAnsi="Tahoma" w:cs="Tahoma"/>
                <w:iCs/>
                <w:color w:val="333333"/>
                <w:sz w:val="14"/>
                <w:szCs w:val="14"/>
                <w:lang w:eastAsia="it-IT"/>
              </w:rPr>
              <w:t xml:space="preserve"> 2283-9216</w:t>
            </w:r>
          </w:p>
        </w:tc>
      </w:tr>
    </w:tbl>
    <w:p w14:paraId="2E667253" w14:textId="3E9C4751" w:rsidR="00E978D0" w:rsidRPr="00235EF6" w:rsidRDefault="00692049" w:rsidP="00E978D0">
      <w:pPr>
        <w:pStyle w:val="CETTitle"/>
      </w:pPr>
      <w:r w:rsidRPr="00235EF6">
        <w:t>Optimized renewable energy mixes: facing energy scarcity in remote islands</w:t>
      </w:r>
    </w:p>
    <w:p w14:paraId="0488FED2" w14:textId="6391737F" w:rsidR="00B57E6F" w:rsidRPr="001C1647" w:rsidRDefault="00692049" w:rsidP="00692049">
      <w:pPr>
        <w:pStyle w:val="CETAuthors"/>
        <w:rPr>
          <w:lang w:val="it-IT"/>
        </w:rPr>
      </w:pPr>
      <w:r w:rsidRPr="001C1647">
        <w:rPr>
          <w:lang w:val="it-IT"/>
        </w:rPr>
        <w:t>M. Cipolletta</w:t>
      </w:r>
      <w:r w:rsidRPr="001C1647">
        <w:rPr>
          <w:vertAlign w:val="superscript"/>
          <w:lang w:val="it-IT"/>
        </w:rPr>
        <w:t>a,b,</w:t>
      </w:r>
      <w:r w:rsidRPr="001C1647">
        <w:rPr>
          <w:lang w:val="it-IT"/>
        </w:rPr>
        <w:t>*, E. Dialyna</w:t>
      </w:r>
      <w:r w:rsidRPr="001C1647">
        <w:rPr>
          <w:vertAlign w:val="superscript"/>
          <w:lang w:val="it-IT"/>
        </w:rPr>
        <w:t>b</w:t>
      </w:r>
      <w:r w:rsidRPr="001C1647">
        <w:rPr>
          <w:lang w:val="it-IT"/>
        </w:rPr>
        <w:t>, L. Bozzoli</w:t>
      </w:r>
      <w:r w:rsidRPr="001C1647">
        <w:rPr>
          <w:vertAlign w:val="superscript"/>
          <w:lang w:val="it-IT"/>
        </w:rPr>
        <w:t>a</w:t>
      </w:r>
      <w:r w:rsidRPr="001C1647">
        <w:rPr>
          <w:lang w:val="it-IT"/>
        </w:rPr>
        <w:t>, V. Casson Moreno</w:t>
      </w:r>
      <w:r w:rsidRPr="001C1647">
        <w:rPr>
          <w:vertAlign w:val="superscript"/>
          <w:lang w:val="it-IT"/>
        </w:rPr>
        <w:t>a</w:t>
      </w:r>
      <w:r w:rsidRPr="001C1647">
        <w:rPr>
          <w:lang w:val="it-IT"/>
        </w:rPr>
        <w:t>, T. Tsoutsos</w:t>
      </w:r>
      <w:r w:rsidRPr="001C1647">
        <w:rPr>
          <w:vertAlign w:val="superscript"/>
          <w:lang w:val="it-IT"/>
        </w:rPr>
        <w:t>b</w:t>
      </w:r>
      <w:r w:rsidRPr="001C1647">
        <w:rPr>
          <w:lang w:val="it-IT"/>
        </w:rPr>
        <w:t>, V. Cozzani</w:t>
      </w:r>
      <w:r w:rsidRPr="001C1647">
        <w:rPr>
          <w:vertAlign w:val="superscript"/>
          <w:lang w:val="it-IT"/>
        </w:rPr>
        <w:t>a</w:t>
      </w:r>
    </w:p>
    <w:p w14:paraId="71053EFE" w14:textId="77777777" w:rsidR="00692049" w:rsidRPr="00235EF6" w:rsidRDefault="00692049" w:rsidP="00692049">
      <w:pPr>
        <w:pStyle w:val="CETAddress"/>
      </w:pPr>
      <w:r w:rsidRPr="00235EF6">
        <w:rPr>
          <w:vertAlign w:val="superscript"/>
        </w:rPr>
        <w:t>a</w:t>
      </w:r>
      <w:r w:rsidRPr="00235EF6">
        <w:t xml:space="preserve"> Laboratory of Industrial Safety and Environmental Sustainability – DICAM, University of Bologna, Bologna, Italy </w:t>
      </w:r>
    </w:p>
    <w:p w14:paraId="714E7F18" w14:textId="77777777" w:rsidR="00692049" w:rsidRPr="00235EF6" w:rsidRDefault="00692049" w:rsidP="00692049">
      <w:pPr>
        <w:pStyle w:val="CETAddress"/>
      </w:pPr>
      <w:r w:rsidRPr="00235EF6">
        <w:rPr>
          <w:vertAlign w:val="superscript"/>
        </w:rPr>
        <w:t>b</w:t>
      </w:r>
      <w:r w:rsidRPr="00235EF6">
        <w:t xml:space="preserve"> Renewable and Sustainable Energy Systems Lab - School of Chemical and Environmental Engineering, Technical University of Crete, Chania, Greece</w:t>
      </w:r>
    </w:p>
    <w:p w14:paraId="765A2350" w14:textId="1E9720B2" w:rsidR="00692049" w:rsidRPr="00235EF6" w:rsidRDefault="00692049" w:rsidP="00692049">
      <w:pPr>
        <w:pStyle w:val="CETAddress"/>
      </w:pPr>
      <w:r w:rsidRPr="00235EF6">
        <w:t>* mariasole.cipolletta@unibo.it</w:t>
      </w:r>
    </w:p>
    <w:p w14:paraId="26CE2156" w14:textId="77777777" w:rsidR="00692049" w:rsidRPr="00235EF6" w:rsidRDefault="00692049" w:rsidP="00692049">
      <w:pPr>
        <w:pStyle w:val="CETAddress"/>
      </w:pPr>
    </w:p>
    <w:p w14:paraId="0C35B45E" w14:textId="78CF9415" w:rsidR="005526D0" w:rsidRPr="00235EF6" w:rsidRDefault="00692049" w:rsidP="00692049">
      <w:pPr>
        <w:pStyle w:val="CETBodytext"/>
        <w:rPr>
          <w:lang w:val="en-GB"/>
        </w:rPr>
      </w:pPr>
      <w:r w:rsidRPr="00235EF6">
        <w:rPr>
          <w:lang w:val="en-GB"/>
        </w:rPr>
        <w:t>The actual energy transition calls for the highest ever engagement of institutions and private sectors in the adoption of renewable energy systems in order to decarbonize all production chains. The high potential of renewable energy sources (RESs) in several locations worldwide is looked at as an important opportunity to both limit the energy supply issues and shift towards a greener society</w:t>
      </w:r>
      <w:r w:rsidR="002033ED">
        <w:rPr>
          <w:lang w:val="en-GB"/>
        </w:rPr>
        <w:t>. O</w:t>
      </w:r>
      <w:r w:rsidRPr="00235EF6">
        <w:rPr>
          <w:lang w:val="en-GB"/>
        </w:rPr>
        <w:t xml:space="preserve">n the other hand, it is also accompanied by the issues of resource variability, forecasting need and difficult management of the energy surpluses. </w:t>
      </w:r>
    </w:p>
    <w:p w14:paraId="6F8A04D1" w14:textId="18891D1D" w:rsidR="00692049" w:rsidRPr="00235EF6" w:rsidRDefault="00692049" w:rsidP="00692049">
      <w:pPr>
        <w:pStyle w:val="CETBodytext"/>
        <w:rPr>
          <w:lang w:val="en-GB"/>
        </w:rPr>
      </w:pPr>
      <w:r w:rsidRPr="00235EF6">
        <w:rPr>
          <w:lang w:val="en-GB"/>
        </w:rPr>
        <w:t xml:space="preserve">The contemporary exploitation of multiple RESs in a hybrid renewable energy system (HRES) is a strategic initiative aimed at reducing the energy supply risk in a specific location, while decarbonizing the power generation facilities that satisfy specific energy requests. By means of systems optimally designed that </w:t>
      </w:r>
      <w:proofErr w:type="spellStart"/>
      <w:r w:rsidR="00BE3E01" w:rsidRPr="00235EF6">
        <w:rPr>
          <w:lang w:val="en-GB"/>
        </w:rPr>
        <w:t>valorize</w:t>
      </w:r>
      <w:proofErr w:type="spellEnd"/>
      <w:r w:rsidRPr="00235EF6">
        <w:rPr>
          <w:lang w:val="en-GB"/>
        </w:rPr>
        <w:t xml:space="preserve"> the RESs site-specific features and time trends, it is possible to comply with the identified energy demands while obtaining increased reliability.</w:t>
      </w:r>
      <w:r w:rsidR="005526D0" w:rsidRPr="00235EF6">
        <w:rPr>
          <w:lang w:val="en-GB"/>
        </w:rPr>
        <w:t xml:space="preserve"> </w:t>
      </w:r>
      <w:r w:rsidRPr="00235EF6">
        <w:rPr>
          <w:lang w:val="en-GB"/>
        </w:rPr>
        <w:t xml:space="preserve">This contribution </w:t>
      </w:r>
      <w:r w:rsidR="00BE3E01" w:rsidRPr="00235EF6">
        <w:rPr>
          <w:lang w:val="en-GB"/>
        </w:rPr>
        <w:t xml:space="preserve">introduces an approach for the preliminary design of HRESs </w:t>
      </w:r>
      <w:r w:rsidR="005526D0" w:rsidRPr="00235EF6">
        <w:rPr>
          <w:lang w:val="en-GB"/>
        </w:rPr>
        <w:t>which is</w:t>
      </w:r>
      <w:r w:rsidR="00BE3E01" w:rsidRPr="00235EF6">
        <w:rPr>
          <w:lang w:val="en-GB"/>
        </w:rPr>
        <w:t xml:space="preserve"> capable of accounting for the specific geographical constraints </w:t>
      </w:r>
      <w:r w:rsidR="005526D0" w:rsidRPr="00235EF6">
        <w:rPr>
          <w:lang w:val="en-GB"/>
        </w:rPr>
        <w:t>and the</w:t>
      </w:r>
      <w:r w:rsidR="00BE3E01" w:rsidRPr="00235EF6">
        <w:rPr>
          <w:lang w:val="en-GB"/>
        </w:rPr>
        <w:t xml:space="preserve"> energy </w:t>
      </w:r>
      <w:r w:rsidR="005526D0" w:rsidRPr="00235EF6">
        <w:rPr>
          <w:lang w:val="en-GB"/>
        </w:rPr>
        <w:t>requests</w:t>
      </w:r>
      <w:r w:rsidR="00BE3E01" w:rsidRPr="00235EF6">
        <w:rPr>
          <w:lang w:val="en-GB"/>
        </w:rPr>
        <w:t xml:space="preserve"> to be fulfilled. The approach is simulation</w:t>
      </w:r>
      <w:r w:rsidR="005526D0" w:rsidRPr="00235EF6">
        <w:rPr>
          <w:lang w:val="en-GB"/>
        </w:rPr>
        <w:t>-based, thus analyses</w:t>
      </w:r>
      <w:r w:rsidR="00BE3E01" w:rsidRPr="00235EF6">
        <w:rPr>
          <w:lang w:val="en-GB"/>
        </w:rPr>
        <w:t xml:space="preserve"> the performance of all the possible </w:t>
      </w:r>
      <w:r w:rsidR="005526D0" w:rsidRPr="00235EF6">
        <w:rPr>
          <w:lang w:val="en-GB"/>
        </w:rPr>
        <w:t>combinations</w:t>
      </w:r>
      <w:r w:rsidR="00BE3E01" w:rsidRPr="00235EF6">
        <w:rPr>
          <w:lang w:val="en-GB"/>
        </w:rPr>
        <w:t xml:space="preserve"> of renewable energy conversion technologies</w:t>
      </w:r>
      <w:r w:rsidR="005526D0" w:rsidRPr="00235EF6">
        <w:rPr>
          <w:lang w:val="en-GB"/>
        </w:rPr>
        <w:t xml:space="preserve"> in terms of supply reliability</w:t>
      </w:r>
      <w:r w:rsidR="00BE3E01" w:rsidRPr="00235EF6">
        <w:rPr>
          <w:lang w:val="en-GB"/>
        </w:rPr>
        <w:t xml:space="preserve"> and assesses their sustainability profile through </w:t>
      </w:r>
      <w:r w:rsidR="005526D0" w:rsidRPr="00235EF6">
        <w:rPr>
          <w:lang w:val="en-GB"/>
        </w:rPr>
        <w:t xml:space="preserve">key </w:t>
      </w:r>
      <w:r w:rsidR="00BE3E01" w:rsidRPr="00235EF6">
        <w:rPr>
          <w:lang w:val="en-GB"/>
        </w:rPr>
        <w:t xml:space="preserve">indicators. The application of the method </w:t>
      </w:r>
      <w:r w:rsidR="005526D0" w:rsidRPr="00235EF6">
        <w:rPr>
          <w:lang w:val="en-GB"/>
        </w:rPr>
        <w:t xml:space="preserve">is exemplified through a case study located </w:t>
      </w:r>
      <w:r w:rsidR="00317B71" w:rsidRPr="00235EF6">
        <w:rPr>
          <w:lang w:val="en-GB"/>
        </w:rPr>
        <w:t xml:space="preserve">on </w:t>
      </w:r>
      <w:r w:rsidR="005526D0" w:rsidRPr="00235EF6">
        <w:rPr>
          <w:lang w:val="en-GB"/>
        </w:rPr>
        <w:t xml:space="preserve">the island of Crete, Greece, for </w:t>
      </w:r>
      <w:r w:rsidRPr="00235EF6">
        <w:rPr>
          <w:lang w:val="en-GB"/>
        </w:rPr>
        <w:t xml:space="preserve">the </w:t>
      </w:r>
      <w:proofErr w:type="spellStart"/>
      <w:r w:rsidR="005526D0" w:rsidRPr="00235EF6">
        <w:rPr>
          <w:lang w:val="en-GB"/>
        </w:rPr>
        <w:t>valorization</w:t>
      </w:r>
      <w:proofErr w:type="spellEnd"/>
      <w:r w:rsidR="005526D0" w:rsidRPr="00235EF6">
        <w:rPr>
          <w:lang w:val="en-GB"/>
        </w:rPr>
        <w:t xml:space="preserve"> of the combined exploitation of</w:t>
      </w:r>
      <w:r w:rsidRPr="00235EF6">
        <w:rPr>
          <w:lang w:val="en-GB"/>
        </w:rPr>
        <w:t xml:space="preserve"> offshore wind and wave energy</w:t>
      </w:r>
      <w:r w:rsidR="005526D0" w:rsidRPr="00235EF6">
        <w:rPr>
          <w:lang w:val="en-GB"/>
        </w:rPr>
        <w:t>.</w:t>
      </w:r>
      <w:r w:rsidR="00AE19FB">
        <w:rPr>
          <w:lang w:val="en-GB"/>
        </w:rPr>
        <w:t xml:space="preserve"> The most sustainable designs of the HRES in the site foresee the</w:t>
      </w:r>
      <w:r w:rsidR="002033ED">
        <w:rPr>
          <w:lang w:val="en-GB"/>
        </w:rPr>
        <w:t xml:space="preserve"> installation of</w:t>
      </w:r>
      <w:r w:rsidR="00AE19FB">
        <w:rPr>
          <w:lang w:val="en-GB"/>
        </w:rPr>
        <w:t xml:space="preserve"> 12 offshore wind turbines and maximum 10 wave energy converters for an overall system potentiality higher than 110 MW.</w:t>
      </w:r>
    </w:p>
    <w:p w14:paraId="1CE7C109" w14:textId="77777777" w:rsidR="00692049" w:rsidRPr="00235EF6" w:rsidRDefault="00692049" w:rsidP="00692049">
      <w:pPr>
        <w:pStyle w:val="CETHeading1"/>
        <w:rPr>
          <w:lang w:val="en-GB"/>
        </w:rPr>
      </w:pPr>
      <w:r w:rsidRPr="00235EF6">
        <w:rPr>
          <w:lang w:val="en-GB"/>
        </w:rPr>
        <w:t>Introduction</w:t>
      </w:r>
    </w:p>
    <w:p w14:paraId="52033917" w14:textId="4E70E0B0" w:rsidR="00692049" w:rsidRPr="00235EF6" w:rsidRDefault="00692049" w:rsidP="00692049">
      <w:pPr>
        <w:pStyle w:val="CETBodytext"/>
        <w:rPr>
          <w:lang w:val="en-GB"/>
        </w:rPr>
      </w:pPr>
      <w:r w:rsidRPr="00235EF6">
        <w:rPr>
          <w:lang w:val="en-GB"/>
        </w:rPr>
        <w:t xml:space="preserve">To ensure a sustainable future despite the impacts of climate change, the European Commission adopted a European Climate Law with the goal of achieving net zero </w:t>
      </w:r>
      <w:proofErr w:type="spellStart"/>
      <w:r w:rsidRPr="00235EF6">
        <w:rPr>
          <w:lang w:val="en-GB"/>
        </w:rPr>
        <w:t>GreenHouse</w:t>
      </w:r>
      <w:proofErr w:type="spellEnd"/>
      <w:r w:rsidRPr="00235EF6">
        <w:rPr>
          <w:lang w:val="en-GB"/>
        </w:rPr>
        <w:t xml:space="preserve"> Gas (GHG) emissions in the EU by 2050 and </w:t>
      </w:r>
      <w:r w:rsidR="00B41C37">
        <w:rPr>
          <w:lang w:val="en-GB"/>
        </w:rPr>
        <w:t xml:space="preserve">a reduction </w:t>
      </w:r>
      <w:r w:rsidRPr="00235EF6">
        <w:rPr>
          <w:lang w:val="en-GB"/>
        </w:rPr>
        <w:t xml:space="preserve">of at least 55 % by 2030 in comparison with 1990 levels </w:t>
      </w:r>
      <w:r w:rsidRPr="00235EF6">
        <w:fldChar w:fldCharType="begin" w:fldLock="1"/>
      </w:r>
      <w:r w:rsidR="00D25F7E">
        <w:rPr>
          <w:lang w:val="en-GB"/>
        </w:rPr>
        <w:instrText>ADDIN CSL_CITATION {"citationItems":[{"id":"ITEM-1","itemData":{"URL":"https://ec.europa.eu/clima/eu-action/european-green-deal/european-climate-law_en","accessed":{"date-parts":[["2022","5","22"]]},"author":[{"dropping-particle":"","family":"European Commission","given":"","non-dropping-particle":"","parse-names":false,"suffix":""}],"id":"ITEM-1","issued":{"date-parts":[["2022"]]},"title":"European Climate Law","type":"webpage"},"uris":["http://www.mendeley.com/documents/?uuid=1dab3ea1-a6e9-40ba-8b60-64fbf194dbae"]}],"mendeley":{"formattedCitation":"(European Commission, 2022)","plainTextFormattedCitation":"(European Commission, 2022)","previouslyFormattedCitation":"(European Commission, 2022)"},"properties":{"noteIndex":0},"schema":"https://github.com/citation-style-language/schema/raw/master/csl-citation.json"}</w:instrText>
      </w:r>
      <w:r w:rsidRPr="00235EF6">
        <w:fldChar w:fldCharType="separate"/>
      </w:r>
      <w:r w:rsidR="00D25F7E" w:rsidRPr="00D25F7E">
        <w:rPr>
          <w:noProof/>
          <w:lang w:val="en-GB"/>
        </w:rPr>
        <w:t>(European Commission, 2022)</w:t>
      </w:r>
      <w:r w:rsidRPr="00235EF6">
        <w:fldChar w:fldCharType="end"/>
      </w:r>
      <w:r w:rsidRPr="00235EF6">
        <w:rPr>
          <w:lang w:val="en-GB"/>
        </w:rPr>
        <w:t xml:space="preserve">. For the accomplishment of these targets, the energy transition to renewable energies is essential. Indeed, the </w:t>
      </w:r>
      <w:proofErr w:type="spellStart"/>
      <w:r w:rsidRPr="00235EF6">
        <w:rPr>
          <w:lang w:val="en-GB"/>
        </w:rPr>
        <w:t>valorization</w:t>
      </w:r>
      <w:proofErr w:type="spellEnd"/>
      <w:r w:rsidRPr="00235EF6">
        <w:rPr>
          <w:lang w:val="en-GB"/>
        </w:rPr>
        <w:t xml:space="preserve"> of all the available RESs in a region can ensure energy s</w:t>
      </w:r>
      <w:r w:rsidR="009E2C91" w:rsidRPr="00235EF6">
        <w:rPr>
          <w:lang w:val="en-GB"/>
        </w:rPr>
        <w:t>ecurity</w:t>
      </w:r>
      <w:r w:rsidRPr="00235EF6">
        <w:rPr>
          <w:lang w:val="en-GB"/>
        </w:rPr>
        <w:t xml:space="preserve"> while minimizing the uptake of fossil fuels, especially </w:t>
      </w:r>
      <w:r w:rsidR="009E2C91" w:rsidRPr="00235EF6">
        <w:rPr>
          <w:lang w:val="en-GB"/>
        </w:rPr>
        <w:t>in</w:t>
      </w:r>
      <w:r w:rsidRPr="00235EF6">
        <w:rPr>
          <w:lang w:val="en-GB"/>
        </w:rPr>
        <w:t xml:space="preserve"> isolated systems.</w:t>
      </w:r>
      <w:r w:rsidR="002015ED">
        <w:rPr>
          <w:lang w:val="en-GB"/>
        </w:rPr>
        <w:t xml:space="preserve"> </w:t>
      </w:r>
      <w:r w:rsidRPr="00235EF6">
        <w:rPr>
          <w:lang w:val="en-GB"/>
        </w:rPr>
        <w:t xml:space="preserve">Nevertheless, the </w:t>
      </w:r>
      <w:proofErr w:type="spellStart"/>
      <w:r w:rsidRPr="00235EF6">
        <w:rPr>
          <w:lang w:val="en-GB"/>
        </w:rPr>
        <w:t>decarbonization</w:t>
      </w:r>
      <w:proofErr w:type="spellEnd"/>
      <w:r w:rsidRPr="00235EF6">
        <w:rPr>
          <w:lang w:val="en-GB"/>
        </w:rPr>
        <w:t xml:space="preserve"> of islands is a more complex issue than</w:t>
      </w:r>
      <w:r w:rsidR="009E2C91" w:rsidRPr="00235EF6">
        <w:rPr>
          <w:lang w:val="en-GB"/>
        </w:rPr>
        <w:t xml:space="preserve"> that</w:t>
      </w:r>
      <w:r w:rsidRPr="00235EF6">
        <w:rPr>
          <w:lang w:val="en-GB"/>
        </w:rPr>
        <w:t xml:space="preserve"> of mainland systems because of the vulnerable stability of islands’ electricity grids</w:t>
      </w:r>
      <w:r w:rsidR="009E2C91" w:rsidRPr="00235EF6">
        <w:rPr>
          <w:lang w:val="en-GB"/>
        </w:rPr>
        <w:t>,</w:t>
      </w:r>
      <w:r w:rsidRPr="00235EF6">
        <w:rPr>
          <w:lang w:val="en-GB"/>
        </w:rPr>
        <w:t xml:space="preserve"> </w:t>
      </w:r>
      <w:r w:rsidR="009E2C91" w:rsidRPr="00235EF6">
        <w:rPr>
          <w:lang w:val="en-GB"/>
        </w:rPr>
        <w:t>which</w:t>
      </w:r>
      <w:r w:rsidRPr="00235EF6">
        <w:rPr>
          <w:lang w:val="en-GB"/>
        </w:rPr>
        <w:t xml:space="preserve"> makes </w:t>
      </w:r>
      <w:r w:rsidR="00C23019">
        <w:rPr>
          <w:lang w:val="en-GB"/>
        </w:rPr>
        <w:t xml:space="preserve">its </w:t>
      </w:r>
      <w:r w:rsidR="00317B71" w:rsidRPr="00235EF6">
        <w:rPr>
          <w:lang w:val="en-GB"/>
        </w:rPr>
        <w:t xml:space="preserve">coupling </w:t>
      </w:r>
      <w:r w:rsidR="00C23019" w:rsidRPr="00235EF6">
        <w:rPr>
          <w:lang w:val="en-GB"/>
        </w:rPr>
        <w:t xml:space="preserve">with the intermittent nature of RESs </w:t>
      </w:r>
      <w:r w:rsidR="00C23019">
        <w:rPr>
          <w:lang w:val="en-GB"/>
        </w:rPr>
        <w:t xml:space="preserve">very </w:t>
      </w:r>
      <w:r w:rsidR="00317B71" w:rsidRPr="00235EF6">
        <w:rPr>
          <w:lang w:val="en-GB"/>
        </w:rPr>
        <w:t>difficult</w:t>
      </w:r>
      <w:r w:rsidRPr="00235EF6">
        <w:rPr>
          <w:lang w:val="en-GB"/>
        </w:rPr>
        <w:t xml:space="preserve"> </w:t>
      </w:r>
      <w:r w:rsidRPr="00235EF6">
        <w:rPr>
          <w:lang w:val="en-GB"/>
        </w:rPr>
        <w:fldChar w:fldCharType="begin" w:fldLock="1"/>
      </w:r>
      <w:r w:rsidR="00D25F7E">
        <w:rPr>
          <w:lang w:val="en-GB"/>
        </w:rPr>
        <w:instrText>ADDIN CSL_CITATION {"citationItems":[{"id":"ITEM-1","itemData":{"DOI":"10.1016/j.renene.2021.04.044","ISSN":"09601481","author":[{"dropping-particle":"","family":"Dallavalle","given":"Elisa","non-dropping-particle":"","parse-names":false,"suffix":""},{"dropping-particle":"","family":"Cipolletta","given":"Mariasole","non-dropping-particle":"","parse-names":false,"suffix":""},{"dropping-particle":"","family":"Casson Moreno","given":"Valeria","non-dropping-particle":"","parse-names":false,"suffix":""},{"dropping-particle":"","family":"Cozzani","given":"Valerio","non-dropping-particle":"","parse-names":false,"suffix":""},{"dropping-particle":"","family":"Zanuttigh","given":"Barbara","non-dropping-particle":"","parse-names":false,"suffix":""}],"container-title":"Renewable Energy","id":"ITEM-1","issued":{"date-parts":[["2021"]]},"page":"426-443","publisher":"Elsevier Ltd","title":"Towards green transition of touristic islands through hybrid renewable energy systems. A case study in Tenerife, Canary Islands","type":"article-journal","volume":"174"},"uris":["http://www.mendeley.com/documents/?uuid=9c8fa122-0e8c-4e67-856e-57a2f554fdc8"]}],"mendeley":{"formattedCitation":"(Dallavalle et al., 2021)","plainTextFormattedCitation":"(Dallavalle et al., 2021)","previouslyFormattedCitation":"(Dallavalle et al., 2021)"},"properties":{"noteIndex":0},"schema":"https://github.com/citation-style-language/schema/raw/master/csl-citation.json"}</w:instrText>
      </w:r>
      <w:r w:rsidRPr="00235EF6">
        <w:rPr>
          <w:lang w:val="en-GB"/>
        </w:rPr>
        <w:fldChar w:fldCharType="separate"/>
      </w:r>
      <w:r w:rsidR="00D25F7E" w:rsidRPr="00D25F7E">
        <w:rPr>
          <w:noProof/>
          <w:lang w:val="en-GB"/>
        </w:rPr>
        <w:t>(Dallavalle et al., 2021)</w:t>
      </w:r>
      <w:r w:rsidRPr="00235EF6">
        <w:rPr>
          <w:lang w:val="en-GB"/>
        </w:rPr>
        <w:fldChar w:fldCharType="end"/>
      </w:r>
      <w:r w:rsidRPr="00235EF6">
        <w:rPr>
          <w:lang w:val="en-GB"/>
        </w:rPr>
        <w:t xml:space="preserve">. HRESs are a viable alternative for islands and the exploitation of multiple RESs can improve supply reliability </w:t>
      </w:r>
      <w:r w:rsidRPr="00235EF6">
        <w:rPr>
          <w:lang w:val="en-GB"/>
        </w:rPr>
        <w:fldChar w:fldCharType="begin" w:fldLock="1"/>
      </w:r>
      <w:r w:rsidR="00D25F7E">
        <w:rPr>
          <w:lang w:val="en-GB"/>
        </w:rPr>
        <w:instrText>ADDIN CSL_CITATION {"citationItems":[{"id":"ITEM-1","itemData":{"DOI":"10.1016/j.rser.2017.09.063","ISSN":"18790690","abstract":"The energy systems of isolated areas are different from the stable energy systems of mainland areas. The particularity of isolated areas creates more risks for their energy systems planning, and the isolated areas can be considered to be a more specific analysis target than mainland areas. Various energy models and systems have been developed and applied in isolated areas. The major objective of this study is to provide a comprehensive literature review to identify, classify, evaluate and analyze the performance of different methodologies, models and energy systems for isolated areas. Therefore, effective information could be provided to support decision-making toward to appropriate energy models and systems for isolated areas with different scales and demands. This paper reviewed the forecasting techniques of energy demand and renewable energy (RE) resources, energy models, application of hybrid RE systems (HRESs), and management of energy planning for two most representative isolated areas: islands and remote villages. The uncertainty analysis of energy systems of isolated areas is also discussed. It is evident that the indigenous RE resources show great potentials for the energy system of isolated areas, especially the solar and wind resources. The various combinations of photovoltaic (PV), wind, diesel and batteries have been proven more competitive. Also, it is necessary to develop sophisticated models that are more applicable to isolated areas and that consider the distinctive characteristics, practical needs and uncertainties of isolated areas.","author":[{"dropping-particle":"","family":"Liu","given":"Yanfeng","non-dropping-particle":"","parse-names":false,"suffix":""},{"dropping-particle":"","family":"Yu","given":"Sisi","non-dropping-particle":"","parse-names":false,"suffix":""},{"dropping-particle":"","family":"Zhu","given":"Ying","non-dropping-particle":"","parse-names":false,"suffix":""},{"dropping-particle":"","family":"Wang","given":"Dengjia","non-dropping-particle":"","parse-names":false,"suffix":""},{"dropping-particle":"","family":"Liu","given":"Jiaping","non-dropping-particle":"","parse-names":false,"suffix":""}],"container-title":"Renewable and Sustainable Energy Reviews","id":"ITEM-1","issue":"September 2017","issued":{"date-parts":[["2018"]]},"page":"460-470","publisher":"Elsevier Ltd","title":"Modeling, planning, application and management of energy systems for isolated areas: A review","type":"article-journal","volume":"82"},"uris":["http://www.mendeley.com/documents/?uuid=4caf5c5b-4748-4677-9334-99b2f2073323"]}],"mendeley":{"formattedCitation":"(Liu et al., 2018)","plainTextFormattedCitation":"(Liu et al., 2018)","previouslyFormattedCitation":"(Liu et al., 2018)"},"properties":{"noteIndex":0},"schema":"https://github.com/citation-style-language/schema/raw/master/csl-citation.json"}</w:instrText>
      </w:r>
      <w:r w:rsidRPr="00235EF6">
        <w:rPr>
          <w:lang w:val="en-GB"/>
        </w:rPr>
        <w:fldChar w:fldCharType="separate"/>
      </w:r>
      <w:r w:rsidR="00D25F7E" w:rsidRPr="00D25F7E">
        <w:rPr>
          <w:noProof/>
          <w:lang w:val="en-GB"/>
        </w:rPr>
        <w:t>(Liu et al., 2018)</w:t>
      </w:r>
      <w:r w:rsidRPr="00235EF6">
        <w:rPr>
          <w:lang w:val="en-GB"/>
        </w:rPr>
        <w:fldChar w:fldCharType="end"/>
      </w:r>
      <w:r w:rsidRPr="00235EF6">
        <w:rPr>
          <w:lang w:val="en-GB"/>
        </w:rPr>
        <w:t>.</w:t>
      </w:r>
    </w:p>
    <w:p w14:paraId="60B1FE59" w14:textId="5A7DCF52" w:rsidR="00692049" w:rsidRPr="00235EF6" w:rsidRDefault="00692049" w:rsidP="00692049">
      <w:pPr>
        <w:pStyle w:val="CETBodytext"/>
        <w:rPr>
          <w:highlight w:val="yellow"/>
          <w:lang w:val="en-GB"/>
        </w:rPr>
      </w:pPr>
      <w:r w:rsidRPr="00235EF6">
        <w:rPr>
          <w:lang w:val="en-GB"/>
        </w:rPr>
        <w:t xml:space="preserve">Greece, being made </w:t>
      </w:r>
      <w:r w:rsidR="009E2C91" w:rsidRPr="00235EF6">
        <w:rPr>
          <w:lang w:val="en-GB"/>
        </w:rPr>
        <w:t xml:space="preserve">up </w:t>
      </w:r>
      <w:r w:rsidRPr="00235EF6">
        <w:rPr>
          <w:lang w:val="en-GB"/>
        </w:rPr>
        <w:t xml:space="preserve">of a plethora of islands, represents a special case for </w:t>
      </w:r>
      <w:proofErr w:type="spellStart"/>
      <w:r w:rsidRPr="00235EF6">
        <w:rPr>
          <w:lang w:val="en-GB"/>
        </w:rPr>
        <w:t>decarbonization</w:t>
      </w:r>
      <w:proofErr w:type="spellEnd"/>
      <w:r w:rsidRPr="00235EF6">
        <w:rPr>
          <w:lang w:val="en-GB"/>
        </w:rPr>
        <w:t xml:space="preserve"> applications</w:t>
      </w:r>
      <w:r w:rsidR="002033ED">
        <w:rPr>
          <w:lang w:val="en-GB"/>
        </w:rPr>
        <w:t>.</w:t>
      </w:r>
      <w:r w:rsidRPr="00235EF6">
        <w:rPr>
          <w:lang w:val="en-GB"/>
        </w:rPr>
        <w:t xml:space="preserve"> </w:t>
      </w:r>
      <w:r w:rsidR="002033ED">
        <w:rPr>
          <w:lang w:val="en-GB"/>
        </w:rPr>
        <w:t>T</w:t>
      </w:r>
      <w:r w:rsidRPr="00235EF6">
        <w:rPr>
          <w:lang w:val="en-GB"/>
        </w:rPr>
        <w:t>he islands suffer from the high cost of energy generation and pollution from</w:t>
      </w:r>
      <w:r w:rsidR="00317B71" w:rsidRPr="00235EF6">
        <w:rPr>
          <w:lang w:val="en-GB"/>
        </w:rPr>
        <w:t xml:space="preserve"> the</w:t>
      </w:r>
      <w:r w:rsidRPr="00235EF6">
        <w:rPr>
          <w:lang w:val="en-GB"/>
        </w:rPr>
        <w:t xml:space="preserve"> import and combustion of fossil fuels. On the other hand, the availability of sea</w:t>
      </w:r>
      <w:r w:rsidR="009E2C91" w:rsidRPr="00235EF6">
        <w:rPr>
          <w:lang w:val="en-GB"/>
        </w:rPr>
        <w:t>s</w:t>
      </w:r>
      <w:r w:rsidRPr="00235EF6">
        <w:rPr>
          <w:lang w:val="en-GB"/>
        </w:rPr>
        <w:t xml:space="preserve"> and oceans pushes towards the exploitation of marine energies. Specifically, wave energy has been often investigated in the last years in combination with other RESs, due to its technological immaturity </w:t>
      </w:r>
      <w:r w:rsidRPr="00235EF6">
        <w:rPr>
          <w:lang w:val="en-GB"/>
        </w:rPr>
        <w:fldChar w:fldCharType="begin" w:fldLock="1"/>
      </w:r>
      <w:r w:rsidR="00D25F7E">
        <w:rPr>
          <w:lang w:val="en-GB"/>
        </w:rPr>
        <w:instrText>ADDIN CSL_CITATION {"citationItems":[{"id":"ITEM-1","itemData":{"DOI":"10.3390/en14164764","ISBN":"3028210290","ISSN":"19961073","abstract":"A detailed review of wave energy resource assessment and the state</w:instrText>
      </w:r>
      <w:r w:rsidR="00D25F7E">
        <w:rPr>
          <w:rFonts w:ascii="Cambria Math" w:hAnsi="Cambria Math" w:cs="Cambria Math"/>
          <w:lang w:val="en-GB"/>
        </w:rPr>
        <w:instrText>‐</w:instrText>
      </w:r>
      <w:r w:rsidR="00D25F7E">
        <w:rPr>
          <w:lang w:val="en-GB"/>
        </w:rPr>
        <w:instrText>of</w:instrText>
      </w:r>
      <w:r w:rsidR="00D25F7E">
        <w:rPr>
          <w:rFonts w:ascii="Cambria Math" w:hAnsi="Cambria Math" w:cs="Cambria Math"/>
          <w:lang w:val="en-GB"/>
        </w:rPr>
        <w:instrText>‐</w:instrText>
      </w:r>
      <w:r w:rsidR="00D25F7E">
        <w:rPr>
          <w:lang w:val="en-GB"/>
        </w:rPr>
        <w:instrText>the</w:instrText>
      </w:r>
      <w:r w:rsidR="00D25F7E">
        <w:rPr>
          <w:rFonts w:ascii="Cambria Math" w:hAnsi="Cambria Math" w:cs="Cambria Math"/>
          <w:lang w:val="en-GB"/>
        </w:rPr>
        <w:instrText>‐</w:instrText>
      </w:r>
      <w:r w:rsidR="00D25F7E">
        <w:rPr>
          <w:lang w:val="en-GB"/>
        </w:rPr>
        <w:instrText>art of deployed wave energy converters (WECs) in real environmental conditions in the Mediterranean Sea have been analysed in this study. The installed power of the several deployed WECs in the Mediterranean Sea varies between 3–2500 kW. Ten project cases of deployed WECs in the basin are presented, with their analysis of the essential features. Five different types of WEC have already been tested under real environmental conditions in Italy, Greece, Israel and Gibraltar, with Italy being the Mediterranean country with the most deployed WECs. The main questions of the relevant studies were the ongoing trends, the examination of WECs in combination with other renewable sources, the utilis-ing of WECs for desalination, and the prospects of wave energy in the Mediterranean islands and ports. This paper is the first comprehensive study that overviews the recent significant develop-ments in the wave energy sector in the Mediterranean countries. The research concludes that the advances of the wave energy sector in the Mediterranean Sea are significant. However, in order to commercialise WECs and wave energy exploitation to become profitable, more development is nec-essary.","author":[{"dropping-particle":"","family":"Dialyna","given":"Evangelia","non-dropping-particle":"","parse-names":false,"suffix":""},{"dropping-particle":"","family":"Tsoutsos","given":"Theocharis","non-dropping-particle":"","parse-names":false,"suffix":""}],"container-title":"Energies","id":"ITEM-1","issue":"16","issued":{"date-parts":[["2021"]]},"title":"Wave energy in the mediterranean sea: Resource assessment, deployed wecs and prospects","type":"article-journal","volume":"14"},"uris":["http://www.mendeley.com/documents/?uuid=67caf82e-dee5-419b-b21e-26e8a8c03010"]}],"mendeley":{"formattedCitation":"(Dialyna and Tsoutsos, 2021)","plainTextFormattedCitation":"(Dialyna and Tsoutsos, 2021)","previouslyFormattedCitation":"(Dialyna and Tsoutsos, 2021)"},"properties":{"noteIndex":0},"schema":"https://github.com/citation-style-language/schema/raw/master/csl-citation.json"}</w:instrText>
      </w:r>
      <w:r w:rsidRPr="00235EF6">
        <w:rPr>
          <w:lang w:val="en-GB"/>
        </w:rPr>
        <w:fldChar w:fldCharType="separate"/>
      </w:r>
      <w:r w:rsidR="00D25F7E" w:rsidRPr="00D25F7E">
        <w:rPr>
          <w:noProof/>
          <w:lang w:val="en-GB"/>
        </w:rPr>
        <w:t>(Dialyna and Tsoutsos, 2021)</w:t>
      </w:r>
      <w:r w:rsidRPr="00235EF6">
        <w:rPr>
          <w:lang w:val="en-GB"/>
        </w:rPr>
        <w:fldChar w:fldCharType="end"/>
      </w:r>
      <w:r w:rsidRPr="00235EF6">
        <w:rPr>
          <w:lang w:val="en-GB"/>
        </w:rPr>
        <w:t xml:space="preserve">. Several authors searched for the most energetic areas in Greece for harvesting wave and offshore wind energy, </w:t>
      </w:r>
      <w:r w:rsidRPr="00235EF6">
        <w:rPr>
          <w:lang w:val="en-GB"/>
        </w:rPr>
        <w:fldChar w:fldCharType="begin" w:fldLock="1"/>
      </w:r>
      <w:r w:rsidR="00D25F7E">
        <w:rPr>
          <w:lang w:val="en-GB"/>
        </w:rPr>
        <w:instrText>ADDIN CSL_CITATION {"citationItems":[{"id":"ITEM-1","itemData":{"DOI":"10.1016/j.renene.2016.01.031","ISSN":"18790682","abstract":"Nowadays, renewable energy resources are one of the top priority issues for the environmental and political community. In particular, wind and wave energy are two of the most promising solutions, with great potential from research and technological point of view. In this work, an integrated high resolution platform, consisting of state-of-the-art wind-wave numerical models, has been utilized and produced a 10-year database containing all the relevant environmental parameters for a detailed resource assessment over the Greek seas. The results of the atmospheric and sea wave numerical models concerning the environmental parameters that directly affect the wave energy potential were evaluated. High resolution maps for the coastal and offshore areas of Greece present sea wave and wind climatological characteristics, as well as the relevant distribution of the wave energy potential. A number of statistical indices have been employed for analyzing the output of the models, including the potential impact of extreme values and the corresponding distribution of the above parameters, which optimally describe the spatial and temporal analysis of the wave power potential over the area of interest. It is shown that the regions with increased wave energy potential are mainly the western and southern seas of Greece, which are usually exposed to swell from central and south Mediterranean Sea.","author":[{"dropping-particle":"","family":"Emmanouil","given":"George","non-dropping-particle":"","parse-names":false,"suffix":""},{"dropping-particle":"","family":"Galanis","given":"George","non-dropping-particle":"","parse-names":false,"suffix":""},{"dropping-particle":"","family":"Kalogeri","given":"Christina","non-dropping-particle":"","parse-names":false,"suffix":""},{"dropping-particle":"","family":"Zodiatis","given":"George","non-dropping-particle":"","parse-names":false,"suffix":""},{"dropping-particle":"","family":"Kallos","given":"George","non-dropping-particle":"","parse-names":false,"suffix":""}],"container-title":"Renewable Energy","id":"ITEM-1","issued":{"date-parts":[["2016"]]},"page":"399-419","publisher":"Elsevier Ltd","title":"10-year high resolution study of wind, sea waves and wave energy assessment in the Greek offshore areas","type":"article-journal","volume":"90"},"uris":["http://www.mendeley.com/documents/?uuid=b18eaa47-a639-4502-9450-0de05c04bff3"]}],"mendeley":{"formattedCitation":"(Emmanouil et al., 2016)","manualFormatting":"Emmanouil et al. (2016)","plainTextFormattedCitation":"(Emmanouil et al., 2016)","previouslyFormattedCitation":"(Emmanouil et al., 2016)"},"properties":{"noteIndex":0},"schema":"https://github.com/citation-style-language/schema/raw/master/csl-citation.json"}</w:instrText>
      </w:r>
      <w:r w:rsidRPr="00235EF6">
        <w:rPr>
          <w:lang w:val="en-GB"/>
        </w:rPr>
        <w:fldChar w:fldCharType="separate"/>
      </w:r>
      <w:r w:rsidRPr="00235EF6">
        <w:rPr>
          <w:noProof/>
          <w:lang w:val="en-GB"/>
        </w:rPr>
        <w:t>Emmanouil et al. (2016)</w:t>
      </w:r>
      <w:r w:rsidRPr="00235EF6">
        <w:rPr>
          <w:lang w:val="en-GB"/>
        </w:rPr>
        <w:fldChar w:fldCharType="end"/>
      </w:r>
      <w:r w:rsidRPr="00235EF6">
        <w:rPr>
          <w:lang w:val="en-GB"/>
        </w:rPr>
        <w:t xml:space="preserve"> among others. </w:t>
      </w:r>
    </w:p>
    <w:p w14:paraId="277788C1" w14:textId="7147CFFA" w:rsidR="00692049" w:rsidRPr="00235EF6" w:rsidRDefault="00692049" w:rsidP="00692049">
      <w:pPr>
        <w:pStyle w:val="CETBodytext"/>
        <w:rPr>
          <w:lang w:val="en-GB"/>
        </w:rPr>
      </w:pPr>
      <w:r w:rsidRPr="00235EF6">
        <w:rPr>
          <w:lang w:val="en-GB"/>
        </w:rPr>
        <w:lastRenderedPageBreak/>
        <w:t>In this study, a sustainability-based approach is applied to identify the optimal energy mix of technologies exploiting multiple RESs. The method accounts for the features of the location where an integrated energy system might be implemented, in order to propose realistic alternative HRESs. Furthermore, the method was conceptualized to tune the optimal energy mixes on the basis of</w:t>
      </w:r>
      <w:r w:rsidR="002033ED">
        <w:rPr>
          <w:lang w:val="en-GB"/>
        </w:rPr>
        <w:t>:</w:t>
      </w:r>
      <w:r w:rsidRPr="00235EF6">
        <w:rPr>
          <w:lang w:val="en-GB"/>
        </w:rPr>
        <w:t xml:space="preserve"> the RESs energy potentials in the sites, their capability of dynamic integration with respect to an assigned power load</w:t>
      </w:r>
      <w:r w:rsidR="002033ED">
        <w:rPr>
          <w:lang w:val="en-GB"/>
        </w:rPr>
        <w:t>,</w:t>
      </w:r>
      <w:r w:rsidRPr="00235EF6">
        <w:rPr>
          <w:lang w:val="en-GB"/>
        </w:rPr>
        <w:t xml:space="preserve"> and the </w:t>
      </w:r>
      <w:r w:rsidR="002033ED" w:rsidRPr="00235EF6">
        <w:rPr>
          <w:lang w:val="en-GB"/>
        </w:rPr>
        <w:t>technological, economic and environmental</w:t>
      </w:r>
      <w:r w:rsidR="002033ED" w:rsidRPr="00235EF6" w:rsidDel="002033ED">
        <w:rPr>
          <w:lang w:val="en-GB"/>
        </w:rPr>
        <w:t xml:space="preserve"> </w:t>
      </w:r>
      <w:r w:rsidRPr="00235EF6">
        <w:rPr>
          <w:lang w:val="en-GB"/>
        </w:rPr>
        <w:t xml:space="preserve">criteria. The application of the approach is exemplified through a case study localized </w:t>
      </w:r>
      <w:r w:rsidR="00317B71" w:rsidRPr="00235EF6">
        <w:rPr>
          <w:lang w:val="en-GB"/>
        </w:rPr>
        <w:t xml:space="preserve">on </w:t>
      </w:r>
      <w:r w:rsidRPr="00235EF6">
        <w:rPr>
          <w:lang w:val="en-GB"/>
        </w:rPr>
        <w:t>the island of Crete, Greece.</w:t>
      </w:r>
    </w:p>
    <w:p w14:paraId="2FC62796" w14:textId="77777777" w:rsidR="00692049" w:rsidRPr="00235EF6" w:rsidRDefault="00692049" w:rsidP="00692049">
      <w:pPr>
        <w:pStyle w:val="CETHeading1"/>
        <w:rPr>
          <w:lang w:val="en-GB"/>
        </w:rPr>
      </w:pPr>
      <w:r w:rsidRPr="00235EF6">
        <w:rPr>
          <w:lang w:val="en-GB"/>
        </w:rPr>
        <w:t>Methodology</w:t>
      </w:r>
    </w:p>
    <w:p w14:paraId="17535A39" w14:textId="6B029E1B" w:rsidR="002015ED" w:rsidRPr="00235EF6" w:rsidRDefault="00692049" w:rsidP="00692049">
      <w:pPr>
        <w:pStyle w:val="CETBodytext"/>
        <w:rPr>
          <w:lang w:val="en-GB"/>
        </w:rPr>
      </w:pPr>
      <w:r w:rsidRPr="00235EF6">
        <w:rPr>
          <w:lang w:val="en-GB"/>
        </w:rPr>
        <w:t xml:space="preserve">The opportunity to </w:t>
      </w:r>
      <w:proofErr w:type="spellStart"/>
      <w:r w:rsidRPr="00235EF6">
        <w:rPr>
          <w:lang w:val="en-GB"/>
        </w:rPr>
        <w:t>valorize</w:t>
      </w:r>
      <w:proofErr w:type="spellEnd"/>
      <w:r w:rsidRPr="00235EF6">
        <w:rPr>
          <w:lang w:val="en-GB"/>
        </w:rPr>
        <w:t xml:space="preserve"> multiple RESs is expressed by identifying the most sustainable energy mixes that might be designed in locations where there is a claimed potential for the exploitation of multiple RESs. The main steps are explained in the following.</w:t>
      </w:r>
      <w:r w:rsidR="002015ED">
        <w:rPr>
          <w:lang w:val="en-GB"/>
        </w:rPr>
        <w:t xml:space="preserve"> </w:t>
      </w:r>
    </w:p>
    <w:p w14:paraId="18069CC0" w14:textId="340A2DD1" w:rsidR="00692049" w:rsidRPr="00235EF6" w:rsidRDefault="00692049" w:rsidP="00692049">
      <w:pPr>
        <w:pStyle w:val="CETBodytext"/>
        <w:rPr>
          <w:lang w:val="en-GB"/>
        </w:rPr>
      </w:pPr>
      <w:r w:rsidRPr="00235EF6">
        <w:rPr>
          <w:lang w:val="en-GB"/>
        </w:rPr>
        <w:t>First (step 1), locations where the potential of multiple RESs is acknowledged are selected</w:t>
      </w:r>
      <w:r w:rsidR="001F1DC7">
        <w:rPr>
          <w:lang w:val="en-GB"/>
        </w:rPr>
        <w:t>.</w:t>
      </w:r>
      <w:r w:rsidRPr="00235EF6">
        <w:rPr>
          <w:lang w:val="en-GB"/>
        </w:rPr>
        <w:t xml:space="preserve"> </w:t>
      </w:r>
      <w:r w:rsidR="001F1DC7">
        <w:rPr>
          <w:lang w:val="en-GB"/>
        </w:rPr>
        <w:t>A</w:t>
      </w:r>
      <w:r w:rsidRPr="00235EF6">
        <w:rPr>
          <w:lang w:val="en-GB"/>
        </w:rPr>
        <w:t xml:space="preserve"> set of information that can represent constraints for the application of the methodology</w:t>
      </w:r>
      <w:r w:rsidR="001F1DC7">
        <w:rPr>
          <w:lang w:val="en-GB"/>
        </w:rPr>
        <w:t xml:space="preserve"> are verified</w:t>
      </w:r>
      <w:r w:rsidRPr="00235EF6">
        <w:rPr>
          <w:lang w:val="en-GB"/>
        </w:rPr>
        <w:t xml:space="preserve">, </w:t>
      </w:r>
      <w:r w:rsidR="00903B1A" w:rsidRPr="00235EF6">
        <w:rPr>
          <w:lang w:val="en-GB"/>
        </w:rPr>
        <w:t xml:space="preserve">such </w:t>
      </w:r>
      <w:r w:rsidRPr="00235EF6">
        <w:rPr>
          <w:lang w:val="en-GB"/>
        </w:rPr>
        <w:t xml:space="preserve">as surface limitations, location features (orography, bathymetry, seabed, offshore distance), regulations in force and the eventual presence of protected areas or wildlife species. </w:t>
      </w:r>
    </w:p>
    <w:p w14:paraId="0F2BD3F6" w14:textId="17DEA3A8" w:rsidR="00692049" w:rsidRPr="00235EF6" w:rsidRDefault="00692049" w:rsidP="00692049">
      <w:pPr>
        <w:pStyle w:val="CETBodytext"/>
        <w:rPr>
          <w:lang w:val="en-GB"/>
        </w:rPr>
      </w:pPr>
      <w:r w:rsidRPr="00235EF6">
        <w:rPr>
          <w:lang w:val="en-GB"/>
        </w:rPr>
        <w:t xml:space="preserve">In the selected location, </w:t>
      </w:r>
      <w:proofErr w:type="spellStart"/>
      <w:r w:rsidRPr="00235EF6">
        <w:rPr>
          <w:lang w:val="en-GB"/>
        </w:rPr>
        <w:t>meteo</w:t>
      </w:r>
      <w:proofErr w:type="spellEnd"/>
      <w:r w:rsidRPr="00235EF6">
        <w:rPr>
          <w:lang w:val="en-GB"/>
        </w:rPr>
        <w:t xml:space="preserve">-climatic data describing the energy potential of the RESs of interest are collected on a reference period (step 2), with </w:t>
      </w:r>
      <w:r w:rsidR="00317B71" w:rsidRPr="00235EF6">
        <w:rPr>
          <w:lang w:val="en-GB"/>
        </w:rPr>
        <w:t xml:space="preserve">a </w:t>
      </w:r>
      <w:r w:rsidRPr="00235EF6">
        <w:rPr>
          <w:lang w:val="en-GB"/>
        </w:rPr>
        <w:t xml:space="preserve">preference towards </w:t>
      </w:r>
      <w:r w:rsidR="00235EF6" w:rsidRPr="00235EF6">
        <w:rPr>
          <w:lang w:val="en-GB"/>
        </w:rPr>
        <w:t>real</w:t>
      </w:r>
      <w:r w:rsidR="00235EF6">
        <w:rPr>
          <w:lang w:val="en-GB"/>
        </w:rPr>
        <w:t>-</w:t>
      </w:r>
      <w:r w:rsidRPr="00235EF6">
        <w:rPr>
          <w:lang w:val="en-GB"/>
        </w:rPr>
        <w:t xml:space="preserve">time trends of site parameters, as measurement data. In the </w:t>
      </w:r>
      <w:r w:rsidR="001F1DC7">
        <w:rPr>
          <w:lang w:val="en-GB"/>
        </w:rPr>
        <w:t>considered</w:t>
      </w:r>
      <w:r w:rsidR="001F1DC7" w:rsidRPr="00235EF6">
        <w:rPr>
          <w:lang w:val="en-GB"/>
        </w:rPr>
        <w:t xml:space="preserve"> </w:t>
      </w:r>
      <w:r w:rsidRPr="00235EF6">
        <w:rPr>
          <w:lang w:val="en-GB"/>
        </w:rPr>
        <w:t xml:space="preserve">region, socio-economic and energy-use characteristics of the inhabitant population are gathered, in order to select the target duty to be supplied by the integrated energy system (step 3). The load can be either steady, as when related to the operation of a facility, or variable, related to the local energy demand. The time pace of </w:t>
      </w:r>
      <w:proofErr w:type="spellStart"/>
      <w:r w:rsidRPr="00235EF6">
        <w:rPr>
          <w:lang w:val="en-GB"/>
        </w:rPr>
        <w:t>meteo</w:t>
      </w:r>
      <w:proofErr w:type="spellEnd"/>
      <w:r w:rsidRPr="00235EF6">
        <w:rPr>
          <w:lang w:val="en-GB"/>
        </w:rPr>
        <w:t>-climatic and load data should be the same and in the range of one or three hours as to observe the coupling capability of the resources with loads of different types, even those</w:t>
      </w:r>
      <w:r w:rsidR="00AB18EA" w:rsidRPr="00235EF6">
        <w:rPr>
          <w:lang w:val="en-GB"/>
        </w:rPr>
        <w:t xml:space="preserve"> </w:t>
      </w:r>
      <w:r w:rsidR="00903B1A" w:rsidRPr="00235EF6">
        <w:rPr>
          <w:lang w:val="en-GB"/>
        </w:rPr>
        <w:t>that</w:t>
      </w:r>
      <w:r w:rsidRPr="00235EF6">
        <w:rPr>
          <w:lang w:val="en-GB"/>
        </w:rPr>
        <w:t xml:space="preserve"> var</w:t>
      </w:r>
      <w:r w:rsidR="00903B1A" w:rsidRPr="00235EF6">
        <w:rPr>
          <w:lang w:val="en-GB"/>
        </w:rPr>
        <w:t>y</w:t>
      </w:r>
      <w:r w:rsidRPr="00235EF6">
        <w:rPr>
          <w:lang w:val="en-GB"/>
        </w:rPr>
        <w:t xml:space="preserve"> in the daily frame. If not possible, either load data or </w:t>
      </w:r>
      <w:proofErr w:type="spellStart"/>
      <w:r w:rsidRPr="00235EF6">
        <w:rPr>
          <w:lang w:val="en-GB"/>
        </w:rPr>
        <w:t>meteo</w:t>
      </w:r>
      <w:proofErr w:type="spellEnd"/>
      <w:r w:rsidRPr="00235EF6">
        <w:rPr>
          <w:lang w:val="en-GB"/>
        </w:rPr>
        <w:t xml:space="preserve">-climatic data need to be reworked to enable a proper comparison in each time step. On the basis of </w:t>
      </w:r>
      <w:r w:rsidR="00C23019">
        <w:rPr>
          <w:lang w:val="en-GB"/>
        </w:rPr>
        <w:t xml:space="preserve">both </w:t>
      </w:r>
      <w:r w:rsidRPr="00235EF6">
        <w:rPr>
          <w:lang w:val="en-GB"/>
        </w:rPr>
        <w:t xml:space="preserve">the analysis of RESs potentials </w:t>
      </w:r>
      <w:r w:rsidR="00903B1A" w:rsidRPr="00235EF6">
        <w:rPr>
          <w:lang w:val="en-GB"/>
        </w:rPr>
        <w:t>at</w:t>
      </w:r>
      <w:r w:rsidRPr="00235EF6">
        <w:rPr>
          <w:lang w:val="en-GB"/>
        </w:rPr>
        <w:t xml:space="preserve"> the site and the location features from steps 1 and 2, a set of proper conversion technologies is selected and concur</w:t>
      </w:r>
      <w:r w:rsidR="00903B1A" w:rsidRPr="00235EF6">
        <w:rPr>
          <w:lang w:val="en-GB"/>
        </w:rPr>
        <w:t>s</w:t>
      </w:r>
      <w:r w:rsidRPr="00235EF6">
        <w:rPr>
          <w:lang w:val="en-GB"/>
        </w:rPr>
        <w:t xml:space="preserve"> in the determination of the optimal energy mix (step 4). For each technology, the relative specifications related to</w:t>
      </w:r>
      <w:r w:rsidR="00903B1A" w:rsidRPr="00235EF6">
        <w:rPr>
          <w:lang w:val="en-GB"/>
        </w:rPr>
        <w:t xml:space="preserve"> the</w:t>
      </w:r>
      <w:r w:rsidRPr="00235EF6">
        <w:rPr>
          <w:lang w:val="en-GB"/>
        </w:rPr>
        <w:t xml:space="preserve"> operating principle, operation constraints (cut-in/cut-off), performance, expected lifetime and primary costs (CAPEX and OPEX) are gathered. Additionally, Global Warming Potential (GWP) data related to the lifecycle of each considered technology are retrieved in order to estimate the environmental impact referred to GHG emissions associable with any considered integrated energy system. Step 5 sees the identification of the possible energy mixes. On the basis of the areas considered available after step 1, the maximum number of devices with respect to each technology considered is found through the application of specific spacing rules. All the possible combinations of devices</w:t>
      </w:r>
      <w:r w:rsidR="00317B71" w:rsidRPr="00235EF6">
        <w:rPr>
          <w:lang w:val="en-GB"/>
        </w:rPr>
        <w:t>,</w:t>
      </w:r>
      <w:r w:rsidRPr="00235EF6">
        <w:rPr>
          <w:lang w:val="en-GB"/>
        </w:rPr>
        <w:t xml:space="preserve"> </w:t>
      </w:r>
      <w:proofErr w:type="gramStart"/>
      <w:r w:rsidRPr="00235EF6">
        <w:rPr>
          <w:lang w:val="en-GB"/>
        </w:rPr>
        <w:t>either in type, number and exploited resource</w:t>
      </w:r>
      <w:r w:rsidR="00317B71" w:rsidRPr="00235EF6">
        <w:rPr>
          <w:lang w:val="en-GB"/>
        </w:rPr>
        <w:t>,</w:t>
      </w:r>
      <w:r w:rsidRPr="00235EF6">
        <w:rPr>
          <w:lang w:val="en-GB"/>
        </w:rPr>
        <w:t xml:space="preserve"> are defined and</w:t>
      </w:r>
      <w:proofErr w:type="gramEnd"/>
      <w:r w:rsidRPr="00235EF6">
        <w:rPr>
          <w:lang w:val="en-GB"/>
        </w:rPr>
        <w:t xml:space="preserve"> tagged with unique numbers. In step 6, the power generation of each energy mix is simulated through computations on the reference period according to the performance information available from step 4. The power generated by each energy mix is compared with the load tenor </w:t>
      </w:r>
      <m:oMath>
        <m:sSub>
          <m:sSubPr>
            <m:ctrlPr>
              <w:rPr>
                <w:rFonts w:ascii="Cambria Math" w:eastAsia="Arial Unicode MS" w:hAnsi="Cambria Math"/>
                <w:lang w:val="en-GB"/>
              </w:rPr>
            </m:ctrlPr>
          </m:sSubPr>
          <m:e>
            <m:r>
              <w:rPr>
                <w:rFonts w:ascii="Cambria Math" w:eastAsia="Arial Unicode MS" w:hAnsi="Cambria Math"/>
                <w:lang w:val="en-GB"/>
              </w:rPr>
              <m:t>P</m:t>
            </m:r>
          </m:e>
          <m:sub>
            <m:r>
              <w:rPr>
                <w:rFonts w:ascii="Cambria Math" w:eastAsia="Arial Unicode MS" w:hAnsi="Cambria Math"/>
                <w:lang w:val="en-GB"/>
              </w:rPr>
              <m:t>LOAD</m:t>
            </m:r>
          </m:sub>
        </m:sSub>
      </m:oMath>
      <w:r w:rsidRPr="00235EF6">
        <w:rPr>
          <w:lang w:val="en-GB"/>
        </w:rPr>
        <w:t xml:space="preserve"> to be supplied in each time step. </w:t>
      </w:r>
    </w:p>
    <w:p w14:paraId="1F6F3E10" w14:textId="0C81909C" w:rsidR="00692049" w:rsidRPr="00235EF6" w:rsidRDefault="00692049" w:rsidP="00692049">
      <w:pPr>
        <w:pStyle w:val="CETBodytext"/>
        <w:rPr>
          <w:lang w:val="en-GB"/>
        </w:rPr>
      </w:pPr>
      <w:r w:rsidRPr="00235EF6">
        <w:rPr>
          <w:lang w:val="en-GB"/>
        </w:rPr>
        <w:t xml:space="preserve">Through step 7, three sustainability indicators are derived. The “energy mix coverage ratio”, </w:t>
      </w:r>
      <m:oMath>
        <m:sSub>
          <m:sSubPr>
            <m:ctrlPr>
              <w:rPr>
                <w:rFonts w:ascii="Cambria Math" w:eastAsia="Arial Unicode MS" w:hAnsi="Cambria Math"/>
                <w:lang w:val="en-GB"/>
              </w:rPr>
            </m:ctrlPr>
          </m:sSubPr>
          <m:e>
            <m:r>
              <w:rPr>
                <w:rFonts w:ascii="Cambria Math" w:eastAsia="Arial Unicode MS" w:hAnsi="Cambria Math"/>
                <w:lang w:val="en-GB"/>
              </w:rPr>
              <m:t>COV</m:t>
            </m:r>
          </m:e>
          <m:sub>
            <m:r>
              <w:rPr>
                <w:rFonts w:ascii="Cambria Math" w:eastAsia="Arial Unicode MS" w:hAnsi="Cambria Math"/>
                <w:lang w:val="en-GB"/>
              </w:rPr>
              <m:t>MIX</m:t>
            </m:r>
          </m:sub>
        </m:sSub>
      </m:oMath>
      <w:r w:rsidRPr="00235EF6">
        <w:rPr>
          <w:lang w:val="en-GB"/>
        </w:rPr>
        <w:t xml:space="preserve">, quantifies the performance of each energy mix in satisfying the energy demand according to Eq(1), where </w:t>
      </w:r>
      <m:oMath>
        <m:r>
          <w:rPr>
            <w:rFonts w:ascii="Cambria Math" w:hAnsi="Cambria Math"/>
            <w:lang w:val="en-GB"/>
          </w:rPr>
          <m:t>T</m:t>
        </m:r>
      </m:oMath>
      <w:r w:rsidRPr="00235EF6">
        <w:rPr>
          <w:iCs/>
          <w:lang w:val="en-GB"/>
        </w:rPr>
        <w:t xml:space="preserve"> is the number of time points in the reference period </w:t>
      </w:r>
      <w:r w:rsidRPr="00235EF6">
        <w:rPr>
          <w:iCs/>
          <w:lang w:val="en-GB"/>
        </w:rPr>
        <w:fldChar w:fldCharType="begin" w:fldLock="1"/>
      </w:r>
      <w:r w:rsidR="00D25F7E">
        <w:rPr>
          <w:iCs/>
          <w:lang w:val="en-GB"/>
        </w:rPr>
        <w:instrText>ADDIN CSL_CITATION {"citationItems":[{"id":"ITEM-1","itemData":{"DOI":"10.3303/CET2186035","ISBN":"9788895608846","ISSN":"22839216","abstract":"Worldwide, several locations are characterized by abundance of natural energy sources, prone to be converted in power for electricity generation and process-related duties. However, the discontinuity of such renewable energy sources (RES) coupled with their conversion difficulties, results in moderate advantages when a steady power demand has to be satisfied using a single energy source. To overcome the forehead mentioned limitations, profitable renewable energy harvesting can be reached by exploiting multiple RES at once. Such possibility is, in principle, very versatile, thanks to the modularity of the integrated power generation plant, that can be designed based on the energy availability and investment options. In the present work, the approach of integrating multiple RES was used to assess the technical feasibility of harvesting solar (via photovoltaic panels) and wave energy (via wave energy converters) to supply a desalination unit for the production of irrigation water in Tenerife (Canary Islands, Spain). The available energy from RES was evaluated through the elaboration of weather-climate hourly data, offered by open-access databases. Then, the proper conversion technologies were selected and single production curves were obtained. The integrated system was conceptually designed overlapping the hourly power generations; its performance was assessed with respect to possible duties of the desalination unit. The self-sustainment level of the integrated system was evaluated by calculating the percentage of time that RES can cover the requested power. Based on this, the selection of the most sustainable RES mixing was set, determining, in turn, the final productivity of the desalination facility. The results demonstrated that the integration of different RES represents a reliable and environmentally sustainable solution, especially for remote areas dependent on fossil fuels importation.","author":[{"dropping-particle":"","family":"Cipolletta","given":"Mariasole","non-dropping-particle":"","parse-names":false,"suffix":""},{"dropping-particle":"","family":"Casson Moreno","given":"Valeria","non-dropping-particle":"","parse-names":false,"suffix":""},{"dropping-particle":"","family":"Dallavalle","given":"Elisa","non-dropping-particle":"","parse-names":false,"suffix":""},{"dropping-particle":"","family":"Zanuttigh","given":"Barbara","non-dropping-particle":"","parse-names":false,"suffix":""},{"dropping-particle":"","family":"Cozzani","given":"Valerio","non-dropping-particle":"","parse-names":false,"suffix":""}],"container-title":"Chemical Engineering Transactions","id":"ITEM-1","issue":"February","issued":{"date-parts":[["2021"]]},"page":"205-210","title":"Aiding water production in isolated islands using integrated renewable energies sources","type":"article-journal","volume":"86"},"uris":["http://www.mendeley.com/documents/?uuid=9cab2328-f9c5-4dc7-a7b6-7686aa9e1bc8"]}],"mendeley":{"formattedCitation":"(Cipolletta et al., 2021)","plainTextFormattedCitation":"(Cipolletta et al., 2021)","previouslyFormattedCitation":"(Cipolletta et al., 2021)"},"properties":{"noteIndex":0},"schema":"https://github.com/citation-style-language/schema/raw/master/csl-citation.json"}</w:instrText>
      </w:r>
      <w:r w:rsidRPr="00235EF6">
        <w:rPr>
          <w:iCs/>
          <w:lang w:val="en-GB"/>
        </w:rPr>
        <w:fldChar w:fldCharType="separate"/>
      </w:r>
      <w:r w:rsidR="00D25F7E" w:rsidRPr="00D25F7E">
        <w:rPr>
          <w:iCs/>
          <w:noProof/>
          <w:lang w:val="en-GB"/>
        </w:rPr>
        <w:t>(Cipolletta et al., 2021)</w:t>
      </w:r>
      <w:r w:rsidRPr="00235EF6">
        <w:rPr>
          <w:iCs/>
          <w:lang w:val="en-GB"/>
        </w:rPr>
        <w:fldChar w:fldCharType="end"/>
      </w:r>
      <w:r w:rsidRPr="00235EF6">
        <w:rPr>
          <w:lang w:val="en-GB"/>
        </w:rPr>
        <w:t>.</w:t>
      </w:r>
    </w:p>
    <w:tbl>
      <w:tblPr>
        <w:tblW w:w="5000" w:type="pct"/>
        <w:tblLook w:val="04A0" w:firstRow="1" w:lastRow="0" w:firstColumn="1" w:lastColumn="0" w:noHBand="0" w:noVBand="1"/>
      </w:tblPr>
      <w:tblGrid>
        <w:gridCol w:w="7986"/>
        <w:gridCol w:w="801"/>
      </w:tblGrid>
      <w:tr w:rsidR="00692049" w:rsidRPr="00235EF6" w14:paraId="0FC013A7" w14:textId="77777777" w:rsidTr="00FF7EFD">
        <w:tc>
          <w:tcPr>
            <w:tcW w:w="8188" w:type="dxa"/>
            <w:shd w:val="clear" w:color="auto" w:fill="auto"/>
            <w:vAlign w:val="center"/>
          </w:tcPr>
          <w:p w14:paraId="09ACC069" w14:textId="637C756A" w:rsidR="00692049" w:rsidRPr="00235EF6" w:rsidRDefault="00A05EA3" w:rsidP="00692049">
            <w:pPr>
              <w:pStyle w:val="CETEquation"/>
              <w:rPr>
                <w:rFonts w:eastAsia="Arial Unicode MS"/>
              </w:rPr>
            </w:pPr>
            <m:oMathPara>
              <m:oMathParaPr>
                <m:jc m:val="left"/>
              </m:oMathParaPr>
              <m:oMath>
                <m:sSub>
                  <m:sSubPr>
                    <m:ctrlPr>
                      <w:rPr>
                        <w:rFonts w:ascii="Cambria Math" w:hAnsi="Cambria Math"/>
                      </w:rPr>
                    </m:ctrlPr>
                  </m:sSubPr>
                  <m:e>
                    <m:r>
                      <w:rPr>
                        <w:rFonts w:ascii="Cambria Math" w:eastAsia="Arial Unicode MS" w:hAnsi="Cambria Math"/>
                      </w:rPr>
                      <m:t>COV</m:t>
                    </m:r>
                  </m:e>
                  <m:sub>
                    <m:r>
                      <w:rPr>
                        <w:rFonts w:ascii="Cambria Math" w:eastAsia="Arial Unicode MS" w:hAnsi="Cambria Math"/>
                      </w:rPr>
                      <m:t>MIX</m:t>
                    </m:r>
                  </m:sub>
                </m:sSub>
                <m:r>
                  <m:rPr>
                    <m:sty m:val="p"/>
                  </m:rPr>
                  <w:rPr>
                    <w:rFonts w:ascii="Cambria Math" w:eastAsia="Arial Unicode MS" w:hAnsi="Cambria Math"/>
                  </w:rPr>
                  <m:t xml:space="preserve">= </m:t>
                </m:r>
                <m:f>
                  <m:fPr>
                    <m:ctrlPr>
                      <w:rPr>
                        <w:rFonts w:ascii="Cambria Math" w:hAnsi="Cambria Math"/>
                      </w:rPr>
                    </m:ctrlPr>
                  </m:fPr>
                  <m:num>
                    <m:nary>
                      <m:naryPr>
                        <m:chr m:val="∑"/>
                        <m:limLoc m:val="undOvr"/>
                        <m:ctrlPr>
                          <w:rPr>
                            <w:rFonts w:ascii="Cambria Math" w:hAnsi="Cambria Math"/>
                          </w:rPr>
                        </m:ctrlPr>
                      </m:naryPr>
                      <m:sub>
                        <m:r>
                          <w:rPr>
                            <w:rFonts w:ascii="Cambria Math" w:eastAsia="Arial Unicode MS" w:hAnsi="Cambria Math"/>
                          </w:rPr>
                          <m:t>t</m:t>
                        </m:r>
                        <m:r>
                          <m:rPr>
                            <m:sty m:val="p"/>
                          </m:rPr>
                          <w:rPr>
                            <w:rFonts w:ascii="Cambria Math" w:eastAsia="Arial Unicode MS" w:hAnsi="Cambria Math"/>
                          </w:rPr>
                          <m:t>=1</m:t>
                        </m:r>
                      </m:sub>
                      <m:sup>
                        <m:r>
                          <w:rPr>
                            <w:rFonts w:ascii="Cambria Math" w:eastAsia="Arial Unicode MS" w:hAnsi="Cambria Math"/>
                          </w:rPr>
                          <m:t>T</m:t>
                        </m:r>
                      </m:sup>
                      <m:e>
                        <m:r>
                          <m:rPr>
                            <m:sty m:val="p"/>
                          </m:rPr>
                          <w:rPr>
                            <w:rFonts w:ascii="Cambria Math" w:eastAsia="Arial Unicode MS" w:hAnsi="Cambria Math"/>
                          </w:rPr>
                          <m:t xml:space="preserve">   </m:t>
                        </m:r>
                        <m:r>
                          <w:rPr>
                            <w:rFonts w:ascii="Cambria Math" w:eastAsia="Arial Unicode MS" w:hAnsi="Cambria Math"/>
                          </w:rPr>
                          <m:t>t</m:t>
                        </m:r>
                        <m:r>
                          <m:rPr>
                            <m:sty m:val="p"/>
                          </m:rPr>
                          <w:rPr>
                            <w:rFonts w:ascii="Cambria Math" w:eastAsia="Arial Unicode MS" w:hAnsi="Cambria Math"/>
                          </w:rPr>
                          <m:t>:</m:t>
                        </m:r>
                        <m:sSub>
                          <m:sSubPr>
                            <m:ctrlPr>
                              <w:rPr>
                                <w:rFonts w:ascii="Cambria Math" w:hAnsi="Cambria Math"/>
                              </w:rPr>
                            </m:ctrlPr>
                          </m:sSubPr>
                          <m:e>
                            <m:r>
                              <m:rPr>
                                <m:sty m:val="p"/>
                              </m:rPr>
                              <w:rPr>
                                <w:rFonts w:ascii="Cambria Math" w:eastAsia="Arial Unicode MS" w:hAnsi="Cambria Math"/>
                              </w:rPr>
                              <m:t xml:space="preserve">      </m:t>
                            </m:r>
                            <m:r>
                              <w:rPr>
                                <w:rFonts w:ascii="Cambria Math" w:eastAsia="Arial Unicode MS" w:hAnsi="Cambria Math"/>
                              </w:rPr>
                              <m:t>P</m:t>
                            </m:r>
                          </m:e>
                          <m:sub>
                            <m:r>
                              <w:rPr>
                                <w:rFonts w:ascii="Cambria Math" w:eastAsia="Arial Unicode MS" w:hAnsi="Cambria Math"/>
                              </w:rPr>
                              <m:t>MIX</m:t>
                            </m:r>
                            <m:r>
                              <m:rPr>
                                <m:sty m:val="p"/>
                              </m:rPr>
                              <w:rPr>
                                <w:rFonts w:ascii="Cambria Math" w:eastAsia="Arial Unicode MS" w:hAnsi="Cambria Math"/>
                              </w:rPr>
                              <m:t xml:space="preserve"> </m:t>
                            </m:r>
                          </m:sub>
                        </m:sSub>
                        <m:d>
                          <m:dPr>
                            <m:ctrlPr>
                              <w:rPr>
                                <w:rFonts w:ascii="Cambria Math" w:hAnsi="Cambria Math"/>
                              </w:rPr>
                            </m:ctrlPr>
                          </m:dPr>
                          <m:e>
                            <m:r>
                              <w:rPr>
                                <w:rFonts w:ascii="Cambria Math" w:eastAsia="Arial Unicode MS" w:hAnsi="Cambria Math"/>
                              </w:rPr>
                              <m:t>t</m:t>
                            </m:r>
                          </m:e>
                        </m:d>
                        <m:r>
                          <m:rPr>
                            <m:sty m:val="p"/>
                          </m:rPr>
                          <w:rPr>
                            <w:rFonts w:ascii="Cambria Math" w:eastAsia="Arial Unicode MS" w:hAnsi="Cambria Math"/>
                          </w:rPr>
                          <m:t>&gt;</m:t>
                        </m:r>
                        <m:sSub>
                          <m:sSubPr>
                            <m:ctrlPr>
                              <w:rPr>
                                <w:rFonts w:ascii="Cambria Math" w:hAnsi="Cambria Math"/>
                              </w:rPr>
                            </m:ctrlPr>
                          </m:sSubPr>
                          <m:e>
                            <m:r>
                              <w:rPr>
                                <w:rFonts w:ascii="Cambria Math" w:eastAsia="Arial Unicode MS" w:hAnsi="Cambria Math"/>
                              </w:rPr>
                              <m:t>P</m:t>
                            </m:r>
                          </m:e>
                          <m:sub>
                            <m:r>
                              <w:rPr>
                                <w:rFonts w:ascii="Cambria Math" w:eastAsia="Arial Unicode MS" w:hAnsi="Cambria Math"/>
                              </w:rPr>
                              <m:t>LOAD</m:t>
                            </m:r>
                          </m:sub>
                        </m:sSub>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e>
                    </m:nary>
                  </m:num>
                  <m:den>
                    <m:r>
                      <w:rPr>
                        <w:rFonts w:ascii="Cambria Math" w:eastAsia="Arial Unicode MS" w:hAnsi="Cambria Math"/>
                      </w:rPr>
                      <m:t>T</m:t>
                    </m:r>
                  </m:den>
                </m:f>
              </m:oMath>
            </m:oMathPara>
          </w:p>
        </w:tc>
        <w:tc>
          <w:tcPr>
            <w:tcW w:w="815" w:type="dxa"/>
            <w:shd w:val="clear" w:color="auto" w:fill="auto"/>
            <w:vAlign w:val="center"/>
          </w:tcPr>
          <w:p w14:paraId="435E3265" w14:textId="77777777" w:rsidR="00692049" w:rsidRPr="00235EF6" w:rsidRDefault="00692049" w:rsidP="00692049">
            <w:pPr>
              <w:pStyle w:val="CETEquation"/>
            </w:pPr>
            <w:r w:rsidRPr="00235EF6">
              <w:t>(1)</w:t>
            </w:r>
          </w:p>
        </w:tc>
      </w:tr>
    </w:tbl>
    <w:p w14:paraId="6A4CF935" w14:textId="0B8F7B4E" w:rsidR="00692049" w:rsidRPr="00235EF6" w:rsidRDefault="00692049" w:rsidP="00692049">
      <w:pPr>
        <w:pStyle w:val="CETBodytext"/>
        <w:rPr>
          <w:lang w:val="en-GB"/>
        </w:rPr>
      </w:pPr>
      <w:r w:rsidRPr="00235EF6">
        <w:rPr>
          <w:highlight w:val="yellow"/>
          <w:lang w:val="en-GB"/>
        </w:rPr>
        <w:fldChar w:fldCharType="begin"/>
      </w:r>
      <w:r w:rsidRPr="00235EF6">
        <w:rPr>
          <w:highlight w:val="yellow"/>
          <w:lang w:val="en-GB"/>
        </w:rPr>
        <w:instrText xml:space="preserve"> QUOTE  </w:instrText>
      </w:r>
      <w:r w:rsidRPr="00235EF6">
        <w:rPr>
          <w:highlight w:val="yellow"/>
          <w:lang w:val="en-GB"/>
        </w:rPr>
        <w:fldChar w:fldCharType="end"/>
      </w:r>
      <w:r w:rsidRPr="00235EF6">
        <w:rPr>
          <w:lang w:val="en-GB"/>
        </w:rPr>
        <w:t>The economic performance of each mix is assessed through its “</w:t>
      </w:r>
      <w:proofErr w:type="spellStart"/>
      <w:r w:rsidRPr="00235EF6">
        <w:rPr>
          <w:lang w:val="en-GB"/>
        </w:rPr>
        <w:t>levelized</w:t>
      </w:r>
      <w:proofErr w:type="spellEnd"/>
      <w:r w:rsidRPr="00235EF6">
        <w:rPr>
          <w:lang w:val="en-GB"/>
        </w:rPr>
        <w:t xml:space="preserve"> cost of energy” </w:t>
      </w:r>
      <m:oMath>
        <m:sSub>
          <m:sSubPr>
            <m:ctrlPr>
              <w:rPr>
                <w:rFonts w:ascii="Cambria Math" w:hAnsi="Cambria Math"/>
                <w:lang w:val="en-GB"/>
              </w:rPr>
            </m:ctrlPr>
          </m:sSubPr>
          <m:e>
            <m:r>
              <w:rPr>
                <w:rFonts w:ascii="Cambria Math" w:hAnsi="Cambria Math"/>
                <w:lang w:val="en-GB"/>
              </w:rPr>
              <m:t>LCOE</m:t>
            </m:r>
          </m:e>
          <m:sub>
            <m:r>
              <w:rPr>
                <w:rFonts w:ascii="Cambria Math" w:hAnsi="Cambria Math"/>
                <w:lang w:val="en-GB"/>
              </w:rPr>
              <m:t>MIX</m:t>
            </m:r>
          </m:sub>
        </m:sSub>
      </m:oMath>
      <w:r w:rsidRPr="00235EF6">
        <w:rPr>
          <w:lang w:val="en-GB"/>
        </w:rPr>
        <w:t xml:space="preserve"> as in Eq(2) where </w:t>
      </w:r>
      <m:oMath>
        <m:sSub>
          <m:sSubPr>
            <m:ctrlPr>
              <w:rPr>
                <w:rFonts w:ascii="Cambria Math" w:hAnsi="Cambria Math"/>
                <w:lang w:val="en-GB"/>
              </w:rPr>
            </m:ctrlPr>
          </m:sSubPr>
          <m:e>
            <m:r>
              <w:rPr>
                <w:rFonts w:ascii="Cambria Math" w:hAnsi="Cambria Math"/>
                <w:lang w:val="en-GB"/>
              </w:rPr>
              <m:t>CAPEX</m:t>
            </m:r>
          </m:e>
          <m:sub>
            <m:r>
              <w:rPr>
                <w:rFonts w:ascii="Cambria Math" w:hAnsi="Cambria Math"/>
                <w:lang w:val="en-GB"/>
              </w:rPr>
              <m:t>MIX</m:t>
            </m:r>
          </m:sub>
        </m:sSub>
      </m:oMath>
      <w:r w:rsidRPr="00235EF6">
        <w:rPr>
          <w:lang w:val="en-GB"/>
        </w:rPr>
        <w:t xml:space="preserve"> and </w:t>
      </w:r>
      <m:oMath>
        <m:sSub>
          <m:sSubPr>
            <m:ctrlPr>
              <w:rPr>
                <w:rFonts w:ascii="Cambria Math" w:hAnsi="Cambria Math"/>
                <w:lang w:val="en-GB"/>
              </w:rPr>
            </m:ctrlPr>
          </m:sSubPr>
          <m:e>
            <m:r>
              <w:rPr>
                <w:rFonts w:ascii="Cambria Math" w:hAnsi="Cambria Math"/>
                <w:lang w:val="en-GB"/>
              </w:rPr>
              <m:t>OPEX</m:t>
            </m:r>
          </m:e>
          <m:sub>
            <m:r>
              <w:rPr>
                <w:rFonts w:ascii="Cambria Math" w:hAnsi="Cambria Math"/>
                <w:lang w:val="en-GB"/>
              </w:rPr>
              <m:t>MIX</m:t>
            </m:r>
          </m:sub>
        </m:sSub>
      </m:oMath>
      <w:r w:rsidRPr="00235EF6">
        <w:rPr>
          <w:lang w:val="en-GB"/>
        </w:rPr>
        <w:t xml:space="preserve"> are the overall capital and operative costs of each energy mix</w:t>
      </w:r>
      <w:r w:rsidR="00317B71" w:rsidRPr="00235EF6">
        <w:rPr>
          <w:lang w:val="en-GB"/>
        </w:rPr>
        <w:t>,</w:t>
      </w:r>
      <w:r w:rsidRPr="00235EF6">
        <w:rPr>
          <w:lang w:val="en-GB"/>
        </w:rPr>
        <w:t xml:space="preserve"> respectively</w:t>
      </w:r>
      <w:r w:rsidR="00317B71" w:rsidRPr="00235EF6">
        <w:rPr>
          <w:lang w:val="en-GB"/>
        </w:rPr>
        <w:t>,</w:t>
      </w:r>
      <w:r w:rsidRPr="00235EF6">
        <w:rPr>
          <w:lang w:val="en-GB"/>
        </w:rPr>
        <w:t xml:space="preserve"> and </w:t>
      </w:r>
      <m:oMath>
        <m:r>
          <w:rPr>
            <w:rFonts w:ascii="Cambria Math" w:hAnsi="Cambria Math"/>
            <w:lang w:val="en-GB"/>
          </w:rPr>
          <m:t>L</m:t>
        </m:r>
      </m:oMath>
      <w:r w:rsidRPr="00235EF6">
        <w:rPr>
          <w:lang w:val="en-GB"/>
        </w:rPr>
        <w:t xml:space="preserve"> is the number of time steps in the lifetime of the integrated system.</w:t>
      </w:r>
    </w:p>
    <w:tbl>
      <w:tblPr>
        <w:tblW w:w="5000" w:type="pct"/>
        <w:tblLook w:val="04A0" w:firstRow="1" w:lastRow="0" w:firstColumn="1" w:lastColumn="0" w:noHBand="0" w:noVBand="1"/>
      </w:tblPr>
      <w:tblGrid>
        <w:gridCol w:w="7986"/>
        <w:gridCol w:w="801"/>
      </w:tblGrid>
      <w:tr w:rsidR="00692049" w:rsidRPr="00235EF6" w14:paraId="0251A47E" w14:textId="77777777" w:rsidTr="00FF7EFD">
        <w:tc>
          <w:tcPr>
            <w:tcW w:w="8188" w:type="dxa"/>
            <w:shd w:val="clear" w:color="auto" w:fill="auto"/>
            <w:vAlign w:val="center"/>
          </w:tcPr>
          <w:p w14:paraId="26014929" w14:textId="30D6DB18" w:rsidR="00692049" w:rsidRPr="00235EF6" w:rsidRDefault="00A05EA3" w:rsidP="00692049">
            <w:pPr>
              <w:pStyle w:val="CETEquation"/>
              <w:rPr>
                <w:rFonts w:eastAsia="Arial Unicode MS"/>
              </w:rPr>
            </w:pPr>
            <m:oMathPara>
              <m:oMathParaPr>
                <m:jc m:val="left"/>
              </m:oMathParaPr>
              <m:oMath>
                <m:sSub>
                  <m:sSubPr>
                    <m:ctrlPr>
                      <w:rPr>
                        <w:rFonts w:ascii="Cambria Math" w:hAnsi="Cambria Math"/>
                      </w:rPr>
                    </m:ctrlPr>
                  </m:sSubPr>
                  <m:e>
                    <m:r>
                      <w:rPr>
                        <w:rFonts w:ascii="Cambria Math" w:hAnsi="Cambria Math"/>
                      </w:rPr>
                      <m:t>LCOE</m:t>
                    </m:r>
                  </m:e>
                  <m:sub>
                    <m:r>
                      <w:rPr>
                        <w:rFonts w:ascii="Cambria Math" w:hAnsi="Cambria Math"/>
                      </w:rPr>
                      <m:t>MIX</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CAPEX</m:t>
                        </m:r>
                      </m:e>
                      <m:sub>
                        <m:r>
                          <w:rPr>
                            <w:rFonts w:ascii="Cambria Math" w:hAnsi="Cambria Math"/>
                          </w:rPr>
                          <m:t>MIX</m:t>
                        </m:r>
                      </m:sub>
                    </m:sSub>
                    <m:r>
                      <m:rPr>
                        <m:sty m:val="p"/>
                      </m:rPr>
                      <w:rPr>
                        <w:rFonts w:ascii="Cambria Math" w:hAnsi="Cambria Math"/>
                      </w:rPr>
                      <m:t xml:space="preserve">+ </m:t>
                    </m:r>
                    <m:nary>
                      <m:naryPr>
                        <m:chr m:val="∑"/>
                        <m:limLoc m:val="subSup"/>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L</m:t>
                        </m:r>
                      </m:sup>
                      <m:e>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OPEX</m:t>
                                    </m:r>
                                  </m:e>
                                  <m:sub>
                                    <m:r>
                                      <w:rPr>
                                        <w:rFonts w:ascii="Cambria Math" w:hAnsi="Cambria Math"/>
                                      </w:rPr>
                                      <m:t>MIX</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r</m:t>
                                            </m:r>
                                          </m:num>
                                          <m:den>
                                            <m:r>
                                              <w:rPr>
                                                <w:rFonts w:ascii="Cambria Math" w:hAnsi="Cambria Math"/>
                                              </w:rPr>
                                              <m:t>T</m:t>
                                            </m:r>
                                          </m:den>
                                        </m:f>
                                      </m:e>
                                    </m:d>
                                  </m:e>
                                  <m:sup>
                                    <m:r>
                                      <w:rPr>
                                        <w:rFonts w:ascii="Cambria Math" w:hAnsi="Cambria Math"/>
                                      </w:rPr>
                                      <m:t>T</m:t>
                                    </m:r>
                                  </m:sup>
                                </m:sSup>
                              </m:den>
                            </m:f>
                          </m:e>
                        </m:d>
                      </m:e>
                    </m:nary>
                  </m:e>
                </m:d>
                <m:r>
                  <m:rPr>
                    <m:sty m:val="p"/>
                  </m:rPr>
                  <w:rPr>
                    <w:rFonts w:ascii="Cambria Math" w:hAnsi="Cambria Math"/>
                  </w:rPr>
                  <m:t>/</m:t>
                </m:r>
                <m:d>
                  <m:dPr>
                    <m:ctrlPr>
                      <w:rPr>
                        <w:rFonts w:ascii="Cambria Math" w:hAnsi="Cambria Math"/>
                      </w:rPr>
                    </m:ctrlPr>
                  </m:dPr>
                  <m:e>
                    <m:nary>
                      <m:naryPr>
                        <m:chr m:val="∑"/>
                        <m:limLoc m:val="undOvr"/>
                        <m:ctrlPr>
                          <w:rPr>
                            <w:rFonts w:ascii="Cambria Math" w:hAnsi="Cambria Math"/>
                          </w:rPr>
                        </m:ctrlPr>
                      </m:naryPr>
                      <m:sub>
                        <m:argPr>
                          <m:argSz m:val="1"/>
                        </m:argPr>
                        <m:r>
                          <w:rPr>
                            <w:rFonts w:ascii="Cambria Math" w:hAnsi="Cambria Math"/>
                          </w:rPr>
                          <m:t>t</m:t>
                        </m:r>
                        <m:r>
                          <m:rPr>
                            <m:sty m:val="p"/>
                          </m:rPr>
                          <w:rPr>
                            <w:rFonts w:ascii="Cambria Math" w:hAnsi="Cambria Math"/>
                          </w:rPr>
                          <m:t>=1</m:t>
                        </m:r>
                      </m:sub>
                      <m:sup>
                        <m:argPr>
                          <m:argSz m:val="1"/>
                        </m:argPr>
                        <m:r>
                          <w:rPr>
                            <w:rFonts w:ascii="Cambria Math" w:hAnsi="Cambria Math"/>
                          </w:rPr>
                          <m:t>L</m:t>
                        </m:r>
                      </m:sup>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MIX</m:t>
                                    </m:r>
                                  </m:sub>
                                </m:sSub>
                                <m:d>
                                  <m:dPr>
                                    <m:ctrlPr>
                                      <w:rPr>
                                        <w:rFonts w:ascii="Cambria Math" w:hAnsi="Cambria Math"/>
                                      </w:rPr>
                                    </m:ctrlPr>
                                  </m:dPr>
                                  <m:e>
                                    <m:r>
                                      <w:rPr>
                                        <w:rFonts w:ascii="Cambria Math" w:hAnsi="Cambria Math"/>
                                      </w:rPr>
                                      <m:t>t</m:t>
                                    </m:r>
                                  </m:e>
                                </m:d>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r</m:t>
                                            </m:r>
                                          </m:num>
                                          <m:den>
                                            <m:r>
                                              <w:rPr>
                                                <w:rFonts w:ascii="Cambria Math" w:hAnsi="Cambria Math"/>
                                              </w:rPr>
                                              <m:t>T</m:t>
                                            </m:r>
                                          </m:den>
                                        </m:f>
                                      </m:e>
                                    </m:d>
                                  </m:e>
                                  <m:sup>
                                    <m:r>
                                      <w:rPr>
                                        <w:rFonts w:ascii="Cambria Math" w:hAnsi="Cambria Math"/>
                                      </w:rPr>
                                      <m:t>T</m:t>
                                    </m:r>
                                  </m:sup>
                                </m:sSup>
                              </m:den>
                            </m:f>
                          </m:e>
                        </m:d>
                      </m:e>
                    </m:nary>
                  </m:e>
                </m:d>
              </m:oMath>
            </m:oMathPara>
          </w:p>
        </w:tc>
        <w:tc>
          <w:tcPr>
            <w:tcW w:w="815" w:type="dxa"/>
            <w:shd w:val="clear" w:color="auto" w:fill="auto"/>
            <w:vAlign w:val="center"/>
          </w:tcPr>
          <w:p w14:paraId="1A607ABF" w14:textId="77777777" w:rsidR="00692049" w:rsidRPr="00235EF6" w:rsidRDefault="00692049" w:rsidP="00692049">
            <w:pPr>
              <w:pStyle w:val="CETEquation"/>
            </w:pPr>
            <w:r w:rsidRPr="00235EF6">
              <w:t>(2)</w:t>
            </w:r>
          </w:p>
        </w:tc>
      </w:tr>
      <w:tr w:rsidR="00692049" w:rsidRPr="00235EF6" w14:paraId="583BA1E8" w14:textId="77777777" w:rsidTr="00FF7EFD">
        <w:tc>
          <w:tcPr>
            <w:tcW w:w="8188" w:type="dxa"/>
            <w:shd w:val="clear" w:color="auto" w:fill="auto"/>
            <w:vAlign w:val="center"/>
          </w:tcPr>
          <w:p w14:paraId="1120249B" w14:textId="60002EEC" w:rsidR="00692049" w:rsidRPr="00235EF6" w:rsidRDefault="00A05EA3" w:rsidP="00692049">
            <w:pPr>
              <w:pStyle w:val="CETEquation"/>
            </w:pPr>
            <m:oMathPara>
              <m:oMathParaPr>
                <m:jc m:val="left"/>
              </m:oMathParaPr>
              <m:oMath>
                <m:sSub>
                  <m:sSubPr>
                    <m:ctrlPr>
                      <w:rPr>
                        <w:rFonts w:ascii="Cambria Math" w:hAnsi="Cambria Math"/>
                      </w:rPr>
                    </m:ctrlPr>
                  </m:sSubPr>
                  <m:e>
                    <m:r>
                      <w:rPr>
                        <w:rFonts w:ascii="Cambria Math" w:hAnsi="Cambria Math"/>
                      </w:rPr>
                      <m:t>GWP</m:t>
                    </m:r>
                  </m:e>
                  <m:sub>
                    <m:r>
                      <w:rPr>
                        <w:rFonts w:ascii="Cambria Math" w:hAnsi="Cambria Math"/>
                      </w:rPr>
                      <m:t>MIX</m:t>
                    </m:r>
                  </m:sub>
                </m:sSub>
                <m:r>
                  <m:rPr>
                    <m:sty m:val="p"/>
                  </m:rPr>
                  <w:rPr>
                    <w:rFonts w:ascii="Cambria Math" w:hAnsi="Cambria Math"/>
                  </w:rPr>
                  <m:t xml:space="preserve">= </m:t>
                </m:r>
                <m:d>
                  <m:dPr>
                    <m:ctrlPr>
                      <w:rPr>
                        <w:rFonts w:ascii="Cambria Math" w:hAnsi="Cambria Math"/>
                      </w:rPr>
                    </m:ctrlPr>
                  </m:dPr>
                  <m:e>
                    <m:nary>
                      <m:naryPr>
                        <m:chr m:val="∑"/>
                        <m:limLoc m:val="undOvr"/>
                        <m:ctrlPr>
                          <w:rPr>
                            <w:rFonts w:ascii="Cambria Math" w:hAnsi="Cambria Math"/>
                          </w:rPr>
                        </m:ctrlPr>
                      </m:naryPr>
                      <m:sub>
                        <m:argPr>
                          <m:argSz m:val="1"/>
                        </m:argPr>
                        <m:r>
                          <w:rPr>
                            <w:rFonts w:ascii="Cambria Math" w:hAnsi="Cambria Math"/>
                          </w:rPr>
                          <m:t>s</m:t>
                        </m:r>
                        <m:r>
                          <m:rPr>
                            <m:sty m:val="p"/>
                          </m:rPr>
                          <w:rPr>
                            <w:rFonts w:ascii="Cambria Math" w:hAnsi="Cambria Math"/>
                          </w:rPr>
                          <m:t>=1</m:t>
                        </m:r>
                      </m:sub>
                      <m:sup>
                        <m:argPr>
                          <m:argSz m:val="1"/>
                        </m:argPr>
                        <m:r>
                          <w:rPr>
                            <w:rFonts w:ascii="Cambria Math" w:hAnsi="Cambria Math"/>
                          </w:rPr>
                          <m:t>n</m:t>
                        </m:r>
                      </m:sup>
                      <m:e>
                        <m:sSub>
                          <m:sSubPr>
                            <m:ctrlPr>
                              <w:rPr>
                                <w:rFonts w:ascii="Cambria Math" w:hAnsi="Cambria Math"/>
                              </w:rPr>
                            </m:ctrlPr>
                          </m:sSubPr>
                          <m:e>
                            <m:r>
                              <w:rPr>
                                <w:rFonts w:ascii="Cambria Math" w:hAnsi="Cambria Math"/>
                              </w:rPr>
                              <m:t>GWP</m:t>
                            </m:r>
                          </m:e>
                          <m:sub>
                            <m:r>
                              <w:rPr>
                                <w:rFonts w:ascii="Cambria Math" w:hAnsi="Cambria Math"/>
                              </w:rPr>
                              <m:t>s</m:t>
                            </m:r>
                          </m:sub>
                        </m:sSub>
                      </m:e>
                    </m:nary>
                  </m:e>
                </m:d>
                <m:r>
                  <m:rPr>
                    <m:sty m:val="p"/>
                  </m:rPr>
                  <w:rPr>
                    <w:rFonts w:ascii="Cambria Math" w:hAnsi="Cambria Math"/>
                  </w:rPr>
                  <m:t>/</m:t>
                </m:r>
                <m:d>
                  <m:dPr>
                    <m:ctrlPr>
                      <w:rPr>
                        <w:rFonts w:ascii="Cambria Math" w:hAnsi="Cambria Math"/>
                      </w:rPr>
                    </m:ctrlPr>
                  </m:dPr>
                  <m:e>
                    <m:nary>
                      <m:naryPr>
                        <m:chr m:val="∑"/>
                        <m:limLoc m:val="undOvr"/>
                        <m:ctrlPr>
                          <w:rPr>
                            <w:rFonts w:ascii="Cambria Math" w:hAnsi="Cambria Math"/>
                          </w:rPr>
                        </m:ctrlPr>
                      </m:naryPr>
                      <m:sub>
                        <m:argPr>
                          <m:argSz m:val="1"/>
                        </m:argPr>
                        <m:r>
                          <w:rPr>
                            <w:rFonts w:ascii="Cambria Math" w:hAnsi="Cambria Math"/>
                          </w:rPr>
                          <m:t>t</m:t>
                        </m:r>
                        <m:r>
                          <m:rPr>
                            <m:sty m:val="p"/>
                          </m:rPr>
                          <w:rPr>
                            <w:rFonts w:ascii="Cambria Math" w:hAnsi="Cambria Math"/>
                          </w:rPr>
                          <m:t>=1</m:t>
                        </m:r>
                      </m:sub>
                      <m:sup>
                        <m:argPr>
                          <m:argSz m:val="1"/>
                        </m:argPr>
                        <m:r>
                          <w:rPr>
                            <w:rFonts w:ascii="Cambria Math" w:hAnsi="Cambria Math"/>
                          </w:rPr>
                          <m:t>L</m:t>
                        </m:r>
                      </m:sup>
                      <m:e>
                        <m:sSub>
                          <m:sSubPr>
                            <m:ctrlPr>
                              <w:rPr>
                                <w:rFonts w:ascii="Cambria Math" w:hAnsi="Cambria Math"/>
                              </w:rPr>
                            </m:ctrlPr>
                          </m:sSubPr>
                          <m:e>
                            <m:r>
                              <w:rPr>
                                <w:rFonts w:ascii="Cambria Math" w:hAnsi="Cambria Math"/>
                              </w:rPr>
                              <m:t>P</m:t>
                            </m:r>
                          </m:e>
                          <m:sub>
                            <m:r>
                              <w:rPr>
                                <w:rFonts w:ascii="Cambria Math" w:hAnsi="Cambria Math"/>
                              </w:rPr>
                              <m:t>MIX</m:t>
                            </m:r>
                          </m:sub>
                        </m:sSub>
                        <m:d>
                          <m:dPr>
                            <m:ctrlPr>
                              <w:rPr>
                                <w:rFonts w:ascii="Cambria Math" w:hAnsi="Cambria Math"/>
                              </w:rPr>
                            </m:ctrlPr>
                          </m:dPr>
                          <m:e>
                            <m:r>
                              <w:rPr>
                                <w:rFonts w:ascii="Cambria Math" w:hAnsi="Cambria Math"/>
                              </w:rPr>
                              <m:t>t</m:t>
                            </m:r>
                          </m:e>
                        </m:d>
                      </m:e>
                    </m:nary>
                  </m:e>
                </m:d>
              </m:oMath>
            </m:oMathPara>
          </w:p>
        </w:tc>
        <w:tc>
          <w:tcPr>
            <w:tcW w:w="815" w:type="dxa"/>
            <w:shd w:val="clear" w:color="auto" w:fill="auto"/>
            <w:vAlign w:val="center"/>
          </w:tcPr>
          <w:p w14:paraId="192915F2" w14:textId="77777777" w:rsidR="00692049" w:rsidRPr="00235EF6" w:rsidRDefault="00692049" w:rsidP="00692049">
            <w:pPr>
              <w:pStyle w:val="CETEquation"/>
            </w:pPr>
            <w:r w:rsidRPr="00235EF6">
              <w:t>(3)</w:t>
            </w:r>
          </w:p>
        </w:tc>
      </w:tr>
    </w:tbl>
    <w:p w14:paraId="77AB8F80" w14:textId="349C0093" w:rsidR="00692049" w:rsidRPr="00235EF6" w:rsidRDefault="00692049" w:rsidP="00692049">
      <w:pPr>
        <w:pStyle w:val="CETBodytext"/>
        <w:rPr>
          <w:lang w:val="en-GB"/>
        </w:rPr>
      </w:pPr>
      <w:r w:rsidRPr="00235EF6">
        <w:rPr>
          <w:lang w:val="en-GB"/>
        </w:rPr>
        <w:t>The environmental indicator employed per each energy mix is the “</w:t>
      </w:r>
      <w:proofErr w:type="spellStart"/>
      <w:r w:rsidRPr="00235EF6">
        <w:rPr>
          <w:lang w:val="en-GB"/>
        </w:rPr>
        <w:t>levelized</w:t>
      </w:r>
      <w:proofErr w:type="spellEnd"/>
      <w:r w:rsidRPr="00235EF6">
        <w:rPr>
          <w:lang w:val="en-GB"/>
        </w:rPr>
        <w:t xml:space="preserve"> global warming potential” </w:t>
      </w:r>
      <m:oMath>
        <m:sSub>
          <m:sSubPr>
            <m:ctrlPr>
              <w:rPr>
                <w:rFonts w:ascii="Cambria Math" w:hAnsi="Cambria Math"/>
                <w:lang w:val="en-GB"/>
              </w:rPr>
            </m:ctrlPr>
          </m:sSubPr>
          <m:e>
            <m:r>
              <w:rPr>
                <w:rFonts w:ascii="Cambria Math" w:hAnsi="Cambria Math"/>
                <w:lang w:val="en-GB"/>
              </w:rPr>
              <m:t>GWP</m:t>
            </m:r>
          </m:e>
          <m:sub>
            <m:r>
              <w:rPr>
                <w:rFonts w:ascii="Cambria Math" w:hAnsi="Cambria Math"/>
                <w:lang w:val="en-GB"/>
              </w:rPr>
              <m:t>MIX</m:t>
            </m:r>
          </m:sub>
        </m:sSub>
      </m:oMath>
      <w:r w:rsidRPr="00235EF6">
        <w:rPr>
          <w:lang w:val="en-GB"/>
        </w:rPr>
        <w:t xml:space="preserve"> in </w:t>
      </w:r>
      <w:proofErr w:type="spellStart"/>
      <w:proofErr w:type="gramStart"/>
      <w:r w:rsidRPr="00235EF6">
        <w:rPr>
          <w:lang w:val="en-GB"/>
        </w:rPr>
        <w:t>Eq</w:t>
      </w:r>
      <w:proofErr w:type="spellEnd"/>
      <w:r w:rsidRPr="00235EF6">
        <w:rPr>
          <w:lang w:val="en-GB"/>
        </w:rPr>
        <w:t>(</w:t>
      </w:r>
      <w:proofErr w:type="gramEnd"/>
      <w:r w:rsidRPr="00235EF6">
        <w:rPr>
          <w:lang w:val="en-GB"/>
        </w:rPr>
        <w:t>3)</w:t>
      </w:r>
      <w:r w:rsidR="001F1DC7">
        <w:rPr>
          <w:lang w:val="en-GB"/>
        </w:rPr>
        <w:t>.</w:t>
      </w:r>
      <w:r w:rsidRPr="00235EF6">
        <w:rPr>
          <w:lang w:val="en-GB"/>
        </w:rPr>
        <w:t xml:space="preserve"> </w:t>
      </w:r>
      <w:r w:rsidR="001F1DC7">
        <w:rPr>
          <w:lang w:val="en-GB"/>
        </w:rPr>
        <w:t>It</w:t>
      </w:r>
      <w:r w:rsidR="001F1DC7" w:rsidRPr="00235EF6">
        <w:rPr>
          <w:lang w:val="en-GB"/>
        </w:rPr>
        <w:t xml:space="preserve"> </w:t>
      </w:r>
      <w:r w:rsidRPr="00235EF6">
        <w:rPr>
          <w:lang w:val="en-GB"/>
        </w:rPr>
        <w:t xml:space="preserve">reports the environmental impacts with respect to the cradle-to-grave GHG emissions associated with the generation of 1 MWh of electricity, where </w:t>
      </w:r>
      <m:oMath>
        <m:r>
          <w:rPr>
            <w:rFonts w:ascii="Cambria Math" w:hAnsi="Cambria Math"/>
            <w:lang w:val="en-GB"/>
          </w:rPr>
          <m:t>n</m:t>
        </m:r>
      </m:oMath>
      <w:r w:rsidRPr="00235EF6">
        <w:rPr>
          <w:lang w:val="en-GB"/>
        </w:rPr>
        <w:t xml:space="preserve"> indicates the number of renewable systems within the </w:t>
      </w:r>
      <w:r w:rsidRPr="00235EF6">
        <w:rPr>
          <w:lang w:val="en-GB"/>
        </w:rPr>
        <w:lastRenderedPageBreak/>
        <w:t>energy mix.</w:t>
      </w:r>
      <w:r w:rsidR="00202D2B">
        <w:rPr>
          <w:lang w:val="en-GB"/>
        </w:rPr>
        <w:t xml:space="preserve"> </w:t>
      </w:r>
      <w:r w:rsidRPr="00235EF6">
        <w:rPr>
          <w:lang w:val="en-GB"/>
        </w:rPr>
        <w:t xml:space="preserve">Step 8 foresees the identification of the optimal energy mix. The three sustainability indicators, derived </w:t>
      </w:r>
      <w:r w:rsidR="00903B1A" w:rsidRPr="00235EF6">
        <w:rPr>
          <w:lang w:val="en-GB"/>
        </w:rPr>
        <w:t>from</w:t>
      </w:r>
      <w:r w:rsidRPr="00235EF6">
        <w:rPr>
          <w:lang w:val="en-GB"/>
        </w:rPr>
        <w:t xml:space="preserve"> the simulation of each energy mix, can be used separately to produce three different rankings of all the energy mixes defined. In order to address the three aspects of sustainability (technological, economic and environmental)</w:t>
      </w:r>
      <w:r w:rsidR="00317B71" w:rsidRPr="00235EF6">
        <w:rPr>
          <w:lang w:val="en-GB"/>
        </w:rPr>
        <w:t xml:space="preserve"> simultaneously</w:t>
      </w:r>
      <w:r w:rsidRPr="00235EF6">
        <w:rPr>
          <w:lang w:val="en-GB"/>
        </w:rPr>
        <w:t xml:space="preserve">, the three indicators are linearly normalized in their internal existence ranges in order to become comparable and have the same directionality (1 – desired result, 0 – undesired result). The three normalization ranges are defined by the minimum and maximum figures obtained </w:t>
      </w:r>
      <w:proofErr w:type="gramStart"/>
      <w:r w:rsidRPr="00235EF6">
        <w:rPr>
          <w:lang w:val="en-GB"/>
        </w:rPr>
        <w:t xml:space="preserve">for </w:t>
      </w:r>
      <w:proofErr w:type="gramEnd"/>
      <m:oMath>
        <m:sSub>
          <m:sSubPr>
            <m:ctrlPr>
              <w:rPr>
                <w:rFonts w:ascii="Cambria Math" w:hAnsi="Cambria Math"/>
                <w:lang w:val="en-GB"/>
              </w:rPr>
            </m:ctrlPr>
          </m:sSubPr>
          <m:e>
            <m:r>
              <w:rPr>
                <w:rFonts w:ascii="Cambria Math" w:eastAsia="Arial Unicode MS" w:hAnsi="Cambria Math"/>
                <w:lang w:val="en-GB"/>
              </w:rPr>
              <m:t>COV</m:t>
            </m:r>
          </m:e>
          <m:sub>
            <m:r>
              <w:rPr>
                <w:rFonts w:ascii="Cambria Math" w:eastAsia="Arial Unicode MS" w:hAnsi="Cambria Math"/>
                <w:lang w:val="en-GB"/>
              </w:rPr>
              <m:t>MIX</m:t>
            </m:r>
          </m:sub>
        </m:sSub>
      </m:oMath>
      <w:r w:rsidRPr="00235EF6">
        <w:rPr>
          <w:lang w:val="en-GB"/>
        </w:rPr>
        <w:t xml:space="preserve">, </w:t>
      </w:r>
      <m:oMath>
        <m:sSub>
          <m:sSubPr>
            <m:ctrlPr>
              <w:rPr>
                <w:rFonts w:ascii="Cambria Math" w:hAnsi="Cambria Math"/>
                <w:lang w:val="en-GB"/>
              </w:rPr>
            </m:ctrlPr>
          </m:sSubPr>
          <m:e>
            <m:r>
              <w:rPr>
                <w:rFonts w:ascii="Cambria Math" w:hAnsi="Cambria Math"/>
                <w:lang w:val="en-GB"/>
              </w:rPr>
              <m:t>LCOE</m:t>
            </m:r>
          </m:e>
          <m:sub>
            <m:r>
              <w:rPr>
                <w:rFonts w:ascii="Cambria Math" w:hAnsi="Cambria Math"/>
                <w:lang w:val="en-GB"/>
              </w:rPr>
              <m:t>MIX</m:t>
            </m:r>
          </m:sub>
        </m:sSub>
      </m:oMath>
      <w:r w:rsidRPr="00235EF6">
        <w:rPr>
          <w:lang w:val="en-GB"/>
        </w:rPr>
        <w:t xml:space="preserve"> and </w:t>
      </w:r>
      <m:oMath>
        <m:sSub>
          <m:sSubPr>
            <m:ctrlPr>
              <w:rPr>
                <w:rFonts w:ascii="Cambria Math" w:hAnsi="Cambria Math"/>
                <w:lang w:val="en-GB"/>
              </w:rPr>
            </m:ctrlPr>
          </m:sSubPr>
          <m:e>
            <m:r>
              <w:rPr>
                <w:rFonts w:ascii="Cambria Math" w:hAnsi="Cambria Math"/>
                <w:lang w:val="en-GB"/>
              </w:rPr>
              <m:t>GWP</m:t>
            </m:r>
          </m:e>
          <m:sub>
            <m:r>
              <w:rPr>
                <w:rFonts w:ascii="Cambria Math" w:hAnsi="Cambria Math"/>
                <w:lang w:val="en-GB"/>
              </w:rPr>
              <m:t>MIX</m:t>
            </m:r>
          </m:sub>
        </m:sSub>
      </m:oMath>
      <w:r w:rsidRPr="00235EF6">
        <w:rPr>
          <w:lang w:val="en-GB"/>
        </w:rPr>
        <w:t xml:space="preserve"> from the simulations of all energy mixes. The normalization converts </w:t>
      </w:r>
      <m:oMath>
        <m:sSub>
          <m:sSubPr>
            <m:ctrlPr>
              <w:rPr>
                <w:rFonts w:ascii="Cambria Math" w:hAnsi="Cambria Math"/>
                <w:lang w:val="en-GB"/>
              </w:rPr>
            </m:ctrlPr>
          </m:sSubPr>
          <m:e>
            <m:r>
              <w:rPr>
                <w:rFonts w:ascii="Cambria Math" w:eastAsia="Arial Unicode MS" w:hAnsi="Cambria Math"/>
                <w:lang w:val="en-GB"/>
              </w:rPr>
              <m:t>COV</m:t>
            </m:r>
          </m:e>
          <m:sub>
            <m:r>
              <w:rPr>
                <w:rFonts w:ascii="Cambria Math" w:eastAsia="Arial Unicode MS" w:hAnsi="Cambria Math"/>
                <w:lang w:val="en-GB"/>
              </w:rPr>
              <m:t>MIX</m:t>
            </m:r>
          </m:sub>
        </m:sSub>
      </m:oMath>
      <w:r w:rsidRPr="00235EF6">
        <w:rPr>
          <w:lang w:val="en-GB"/>
        </w:rPr>
        <w:t xml:space="preserve"> </w:t>
      </w:r>
      <w:proofErr w:type="gramStart"/>
      <w:r w:rsidRPr="00235EF6">
        <w:rPr>
          <w:lang w:val="en-GB"/>
        </w:rPr>
        <w:t xml:space="preserve">in </w:t>
      </w:r>
      <w:proofErr w:type="gramEnd"/>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TEC</m:t>
            </m:r>
            <m:r>
              <m:rPr>
                <m:sty m:val="p"/>
              </m:rPr>
              <w:rPr>
                <w:rFonts w:ascii="Cambria Math" w:hAnsi="Cambria Math"/>
                <w:lang w:val="en-GB"/>
              </w:rPr>
              <m:t>,</m:t>
            </m:r>
            <m:r>
              <w:rPr>
                <w:rFonts w:ascii="Cambria Math" w:hAnsi="Cambria Math"/>
                <w:lang w:val="en-GB"/>
              </w:rPr>
              <m:t>MIX</m:t>
            </m:r>
          </m:sub>
        </m:sSub>
      </m:oMath>
      <w:r w:rsidRPr="00235EF6">
        <w:rPr>
          <w:lang w:val="en-GB"/>
        </w:rPr>
        <w:t xml:space="preserve">, </w:t>
      </w:r>
      <m:oMath>
        <m:sSub>
          <m:sSubPr>
            <m:ctrlPr>
              <w:rPr>
                <w:rFonts w:ascii="Cambria Math" w:hAnsi="Cambria Math"/>
                <w:lang w:val="en-GB"/>
              </w:rPr>
            </m:ctrlPr>
          </m:sSubPr>
          <m:e>
            <m:r>
              <w:rPr>
                <w:rFonts w:ascii="Cambria Math" w:hAnsi="Cambria Math"/>
                <w:lang w:val="en-GB"/>
              </w:rPr>
              <m:t>LCOE</m:t>
            </m:r>
          </m:e>
          <m:sub>
            <m:r>
              <w:rPr>
                <w:rFonts w:ascii="Cambria Math" w:hAnsi="Cambria Math"/>
                <w:lang w:val="en-GB"/>
              </w:rPr>
              <m:t>MIX</m:t>
            </m:r>
          </m:sub>
        </m:sSub>
      </m:oMath>
      <w:r w:rsidRPr="00235EF6">
        <w:rPr>
          <w:lang w:val="en-GB"/>
        </w:rPr>
        <w:t xml:space="preserve"> in </w:t>
      </w: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ECO</m:t>
            </m:r>
            <m:r>
              <m:rPr>
                <m:sty m:val="p"/>
              </m:rPr>
              <w:rPr>
                <w:rFonts w:ascii="Cambria Math" w:hAnsi="Cambria Math"/>
                <w:lang w:val="en-GB"/>
              </w:rPr>
              <m:t>,</m:t>
            </m:r>
            <m:r>
              <w:rPr>
                <w:rFonts w:ascii="Cambria Math" w:hAnsi="Cambria Math"/>
                <w:lang w:val="en-GB"/>
              </w:rPr>
              <m:t>MIX</m:t>
            </m:r>
          </m:sub>
        </m:sSub>
      </m:oMath>
      <w:r w:rsidRPr="00235EF6">
        <w:rPr>
          <w:lang w:val="en-GB"/>
        </w:rPr>
        <w:t xml:space="preserve">, </w:t>
      </w:r>
      <m:oMath>
        <m:sSub>
          <m:sSubPr>
            <m:ctrlPr>
              <w:rPr>
                <w:rFonts w:ascii="Cambria Math" w:hAnsi="Cambria Math"/>
                <w:lang w:val="en-GB"/>
              </w:rPr>
            </m:ctrlPr>
          </m:sSubPr>
          <m:e>
            <m:r>
              <w:rPr>
                <w:rFonts w:ascii="Cambria Math" w:hAnsi="Cambria Math"/>
                <w:lang w:val="en-GB"/>
              </w:rPr>
              <m:t>GWP</m:t>
            </m:r>
          </m:e>
          <m:sub>
            <m:r>
              <w:rPr>
                <w:rFonts w:ascii="Cambria Math" w:hAnsi="Cambria Math"/>
                <w:lang w:val="en-GB"/>
              </w:rPr>
              <m:t>MIX</m:t>
            </m:r>
          </m:sub>
        </m:sSub>
      </m:oMath>
      <w:r w:rsidRPr="00235EF6">
        <w:rPr>
          <w:lang w:val="en-GB"/>
        </w:rPr>
        <w:t xml:space="preserve"> in </w:t>
      </w: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ENV</m:t>
            </m:r>
            <m:r>
              <m:rPr>
                <m:sty m:val="p"/>
              </m:rPr>
              <w:rPr>
                <w:rFonts w:ascii="Cambria Math" w:hAnsi="Cambria Math"/>
                <w:lang w:val="en-GB"/>
              </w:rPr>
              <m:t>,</m:t>
            </m:r>
            <m:r>
              <w:rPr>
                <w:rFonts w:ascii="Cambria Math" w:hAnsi="Cambria Math"/>
                <w:lang w:val="en-GB"/>
              </w:rPr>
              <m:t>MIX</m:t>
            </m:r>
          </m:sub>
        </m:sSub>
      </m:oMath>
      <w:r w:rsidRPr="00235EF6">
        <w:rPr>
          <w:lang w:val="en-GB"/>
        </w:rPr>
        <w:t xml:space="preserve">. Finally, the normalized indicators related to each mix are aggregated by means of arithmetical average, resulting in the final </w:t>
      </w:r>
      <w:proofErr w:type="gramStart"/>
      <w:r w:rsidRPr="00235EF6">
        <w:rPr>
          <w:lang w:val="en-GB"/>
        </w:rPr>
        <w:t xml:space="preserve">metric </w:t>
      </w:r>
      <w:proofErr w:type="gramEnd"/>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AGG</m:t>
            </m:r>
            <m:r>
              <m:rPr>
                <m:sty m:val="p"/>
              </m:rPr>
              <w:rPr>
                <w:rFonts w:ascii="Cambria Math" w:hAnsi="Cambria Math"/>
                <w:lang w:val="en-GB"/>
              </w:rPr>
              <m:t>,</m:t>
            </m:r>
            <m:r>
              <w:rPr>
                <w:rFonts w:ascii="Cambria Math" w:hAnsi="Cambria Math"/>
                <w:lang w:val="en-GB"/>
              </w:rPr>
              <m:t>MIX</m:t>
            </m:r>
          </m:sub>
        </m:sSub>
      </m:oMath>
      <w:r w:rsidRPr="00235EF6">
        <w:rPr>
          <w:lang w:val="en-GB"/>
        </w:rPr>
        <w:t>.</w:t>
      </w:r>
    </w:p>
    <w:p w14:paraId="0BAD1F4F" w14:textId="77777777" w:rsidR="00692049" w:rsidRPr="00235EF6" w:rsidRDefault="00692049" w:rsidP="00692049">
      <w:pPr>
        <w:pStyle w:val="CETHeading1"/>
        <w:rPr>
          <w:lang w:val="en-GB"/>
        </w:rPr>
      </w:pPr>
      <w:r w:rsidRPr="00235EF6">
        <w:rPr>
          <w:lang w:val="en-GB"/>
        </w:rPr>
        <w:t>Results from the case study application</w:t>
      </w:r>
    </w:p>
    <w:p w14:paraId="0B96E335" w14:textId="3268214E" w:rsidR="00692049" w:rsidRPr="00235EF6" w:rsidRDefault="00692049" w:rsidP="00692049">
      <w:pPr>
        <w:pStyle w:val="CETBodytext"/>
        <w:rPr>
          <w:lang w:val="en-GB"/>
        </w:rPr>
      </w:pPr>
      <w:r w:rsidRPr="00235EF6">
        <w:rPr>
          <w:lang w:val="en-GB"/>
        </w:rPr>
        <w:t xml:space="preserve">Crete is Greece's largest island and the fifth-largest island in the Mediterranean Sea. The impact of tourism creates intense seasonal fluctuations in population and in the island's energy needs. </w:t>
      </w:r>
    </w:p>
    <w:p w14:paraId="5F267A0F" w14:textId="5FCED63A" w:rsidR="00692049" w:rsidRPr="00235EF6" w:rsidRDefault="00317B71" w:rsidP="00692049">
      <w:pPr>
        <w:pStyle w:val="CETBodytext"/>
        <w:rPr>
          <w:lang w:val="en-GB"/>
        </w:rPr>
      </w:pPr>
      <w:r w:rsidRPr="00235EF6">
        <w:rPr>
          <w:lang w:val="en-GB"/>
        </w:rPr>
        <w:t>E</w:t>
      </w:r>
      <w:r w:rsidR="00692049" w:rsidRPr="00235EF6">
        <w:rPr>
          <w:lang w:val="en-GB"/>
        </w:rPr>
        <w:t xml:space="preserve">lectricity consumption reaches </w:t>
      </w:r>
      <w:r w:rsidR="00903B1A" w:rsidRPr="00235EF6">
        <w:rPr>
          <w:lang w:val="en-GB"/>
        </w:rPr>
        <w:t>its</w:t>
      </w:r>
      <w:r w:rsidR="00692049" w:rsidRPr="00235EF6">
        <w:rPr>
          <w:lang w:val="en-GB"/>
        </w:rPr>
        <w:t xml:space="preserve"> highest peaks during summer due to both tourism and the need for cooling, while a modest </w:t>
      </w:r>
      <w:r w:rsidR="001E0DED">
        <w:rPr>
          <w:lang w:val="en-GB"/>
        </w:rPr>
        <w:t>electricity demand</w:t>
      </w:r>
      <w:r w:rsidR="001E0DED" w:rsidRPr="00235EF6">
        <w:rPr>
          <w:lang w:val="en-GB"/>
        </w:rPr>
        <w:t xml:space="preserve"> </w:t>
      </w:r>
      <w:r w:rsidR="00692049" w:rsidRPr="00235EF6">
        <w:rPr>
          <w:lang w:val="en-GB"/>
        </w:rPr>
        <w:t>is observed during winter. In 2019</w:t>
      </w:r>
      <w:r w:rsidR="00F95C0D" w:rsidRPr="00235EF6">
        <w:rPr>
          <w:lang w:val="en-GB"/>
        </w:rPr>
        <w:t>,</w:t>
      </w:r>
      <w:r w:rsidR="00692049" w:rsidRPr="00235EF6">
        <w:rPr>
          <w:lang w:val="en-GB"/>
        </w:rPr>
        <w:t xml:space="preserve"> the share of RESs in Crete</w:t>
      </w:r>
      <w:r w:rsidR="00903B1A" w:rsidRPr="00235EF6">
        <w:rPr>
          <w:lang w:val="en-GB"/>
        </w:rPr>
        <w:t>’</w:t>
      </w:r>
      <w:r w:rsidR="00692049" w:rsidRPr="00235EF6">
        <w:rPr>
          <w:lang w:val="en-GB"/>
        </w:rPr>
        <w:t>s electricity production was 21 %, made</w:t>
      </w:r>
      <w:r w:rsidR="00903B1A" w:rsidRPr="00235EF6">
        <w:rPr>
          <w:lang w:val="en-GB"/>
        </w:rPr>
        <w:t xml:space="preserve"> up</w:t>
      </w:r>
      <w:r w:rsidR="00692049" w:rsidRPr="00235EF6">
        <w:rPr>
          <w:lang w:val="en-GB"/>
        </w:rPr>
        <w:t xml:space="preserve"> of onshore wind energy (16.6 %) and solar photovoltaic energy (residual 4.4 %) </w:t>
      </w:r>
      <w:r w:rsidR="00692049" w:rsidRPr="00235EF6">
        <w:rPr>
          <w:lang w:val="en-GB"/>
        </w:rPr>
        <w:fldChar w:fldCharType="begin" w:fldLock="1"/>
      </w:r>
      <w:r w:rsidR="00D55679">
        <w:rPr>
          <w:lang w:val="en-GB"/>
        </w:rPr>
        <w:instrText>ADDIN CSL_CITATION {"citationItems":[{"id":"ITEM-1","itemData":{"DOI":"10.3390/en15093010","ISSN":"19961073","abstract":"This article proposes a mixture of actions for the development of an effective and rational energy transition plan for all sectors and for all types of onshore final energy use in Crete. Energy transition is initiated with an appropriate capacity building campaign. The plan is based on the introduction of energy saving measures and the exploitation of all the locally available energy resources (wind, solar, geothermal potential, biomass), integrated in a cluster of centralized and decentralized power plants and smart grids to produce electricity and heat and for the transition to e-mobility. The core of the energy transition in Crete will be a set of 14 wind parks and Pumped Hydro Storage systems (PHS) for electricity generation and 12 Combined Heat and Power plants, properly designed and dispersed in the insular territory. Economic analysis is executed for the proposed essential power plants on the island. Biomass, solar and geothermal potential can cover the heating demand in Crete several times. Heat can be produced with a specific cost of 0.05 EUR/kWhth from cogeneration plants fired with solid biomass and biogas. The wind parks-PHS systems exhibit payback periods of approximately 10 years with a final electricity selling price at 0.12 EUR/kWhel. The article shows that 100% energy transition in Crete constitutes a feasible target.","author":[{"dropping-particle":"Al","family":"Katsaprakakis","given":"Dimitris","non-dropping-particle":"","parse-names":false,"suffix":""},{"dropping-particle":"","family":"Michopoulos","given":"Apostolos","non-dropping-particle":"","parse-names":false,"suffix":""},{"dropping-particle":"","family":"Skoulou","given":"Vasiliki","non-dropping-particle":"","parse-names":false,"suffix":""},{"dropping-particle":"","family":"Dakanali","given":"Eirini","non-dropping-particle":"","parse-names":false,"suffix":""},{"dropping-particle":"","family":"Maragkaki","given":"Aggeliki","non-dropping-particle":"","parse-names":false,"suffix":""},{"dropping-particle":"","family":"Pappa","given":"Stavroula","non-dropping-particle":"","parse-names":false,"suffix":""},{"dropping-particle":"","family":"Antonakakis","given":"Ioannis","non-dropping-particle":"","parse-names":false,"suffix":""},{"dropping-particle":"","family":"Christakis","given":"Dimitris","non-dropping-particle":"","parse-names":false,"suffix":""},{"dropping-particle":"","family":"Condaxakis","given":"Constantinos","non-dropping-particle":"","parse-names":false,"suffix":""}],"container-title":"Energies","id":"ITEM-1","issue":"9","issued":{"date-parts":[["2022"]]},"title":"A Multidisciplinary Approach for an Effective and Rational Energy Transition in Crete Island, Greece","type":"article-journal","volume":"15"},"uris":["http://www.mendeley.com/documents/?uuid=8da284ed-ecc7-4627-8d11-9b479427dcac"]}],"mendeley":{"formattedCitation":"(Katsaprakakis et al., 2022)","plainTextFormattedCitation":"(Katsaprakakis et al., 2022)","previouslyFormattedCitation":"(Al. Katsaprakakis et al., 2022)"},"properties":{"noteIndex":0},"schema":"https://github.com/citation-style-language/schema/raw/master/csl-citation.json"}</w:instrText>
      </w:r>
      <w:r w:rsidR="00692049" w:rsidRPr="00235EF6">
        <w:rPr>
          <w:lang w:val="en-GB"/>
        </w:rPr>
        <w:fldChar w:fldCharType="separate"/>
      </w:r>
      <w:r w:rsidR="00D55679" w:rsidRPr="00D55679">
        <w:rPr>
          <w:noProof/>
          <w:lang w:val="en-GB"/>
        </w:rPr>
        <w:t>(Katsaprakakis et al., 2022)</w:t>
      </w:r>
      <w:r w:rsidR="00692049" w:rsidRPr="00235EF6">
        <w:rPr>
          <w:lang w:val="en-GB"/>
        </w:rPr>
        <w:fldChar w:fldCharType="end"/>
      </w:r>
      <w:r w:rsidR="00692049" w:rsidRPr="00235EF6">
        <w:rPr>
          <w:lang w:val="en-GB"/>
        </w:rPr>
        <w:t xml:space="preserve">. Most of the electricity remains generated by thermal power plants using fuel oil and diesel </w:t>
      </w:r>
      <w:r w:rsidR="00692049" w:rsidRPr="00235EF6">
        <w:rPr>
          <w:lang w:val="en-GB"/>
        </w:rPr>
        <w:fldChar w:fldCharType="begin" w:fldLock="1"/>
      </w:r>
      <w:r w:rsidR="00D25F7E">
        <w:rPr>
          <w:lang w:val="en-GB"/>
        </w:rPr>
        <w:instrText>ADDIN CSL_CITATION {"citationItems":[{"id":"ITEM-1","itemData":{"DOI":"10.24018/ejgeo.2021.2.1.116","abstract":"European islands are pioneers in the development of renewable energy technologies. Aim of the current research is to investigate the possibility of zeroing the net annual carbon emissions due to electricity generation in the island of Crete, Greece. Crete, with population 634,930 permanent residents, has abundant solar and wind energy resources while electricity generation from solar-PV systems and wind farms is highly profitable. The electric grid of Crete was autonomous so far but currently its interconnection with the grid of continental Greece is under construction. This will allow soon the transfer of large amounts of electricity between Crete and the mainland. When excess electricity will be generated by solar and wind energy systems in the island it could be transferred in mainland and vice-versa. Carbon neutrality due to electricity generation in Crete can be achieved with local generation of “green solar and wind electricity” combined with electricity transfer via two electric cables with the mainland. Annual electricity generation in Crete is currently at 3,043 GWh while 21.22% of it is generated by renewable energies. Carbon emissions due to electricity generation are calculated at 3.22 tnCO2/capita. It has been estimated that the required size of solar-PV systems generating annually the electricity currently produced by fossil fuels in Crete is at 1,698 MWp while their cost is at 2.04 bil. €. The required size of wind farms generating annually the electricity currently produced by fossil fuels is at 950.6 MWel while their cost is at 0.914 bil. €. It is concluded that carbon neutrality due to electricity generation in Crete is technically and economically feasible.","author":[{"dropping-particle":"","family":"Vourdoubas","given":"John","non-dropping-particle":"","parse-names":false,"suffix":""}],"container-title":"European Journal of Environment and Earth Sciences","id":"ITEM-1","issue":"1","issued":{"date-parts":[["2021"]]},"page":"37-43","title":"Islands with Zero Net Carbon Footprint due to Electricity Use. The Case of Crete, Greece","type":"article-journal","volume":"2"},"uris":["http://www.mendeley.com/documents/?uuid=ba27d6f0-a7fb-476f-991b-493689b2e131"]}],"mendeley":{"formattedCitation":"(Vourdoubas, 2021)","plainTextFormattedCitation":"(Vourdoubas, 2021)","previouslyFormattedCitation":"(Vourdoubas, 2021)"},"properties":{"noteIndex":0},"schema":"https://github.com/citation-style-language/schema/raw/master/csl-citation.json"}</w:instrText>
      </w:r>
      <w:r w:rsidR="00692049" w:rsidRPr="00235EF6">
        <w:rPr>
          <w:lang w:val="en-GB"/>
        </w:rPr>
        <w:fldChar w:fldCharType="separate"/>
      </w:r>
      <w:r w:rsidR="00D25F7E" w:rsidRPr="00D25F7E">
        <w:rPr>
          <w:noProof/>
          <w:lang w:val="en-GB"/>
        </w:rPr>
        <w:t>(Vourdoubas, 2021)</w:t>
      </w:r>
      <w:r w:rsidR="00692049" w:rsidRPr="00235EF6">
        <w:rPr>
          <w:lang w:val="en-GB"/>
        </w:rPr>
        <w:fldChar w:fldCharType="end"/>
      </w:r>
      <w:r w:rsidR="00692049" w:rsidRPr="00235EF6">
        <w:rPr>
          <w:lang w:val="en-GB"/>
        </w:rPr>
        <w:t xml:space="preserve">. In recent years, there have been two considerable efforts to connect Crete to Greece's mainland grid </w:t>
      </w:r>
      <w:r w:rsidR="00692049" w:rsidRPr="00235EF6">
        <w:rPr>
          <w:lang w:val="en-GB"/>
        </w:rPr>
        <w:fldChar w:fldCharType="begin" w:fldLock="1"/>
      </w:r>
      <w:r w:rsidR="00D25F7E">
        <w:rPr>
          <w:lang w:val="en-GB"/>
        </w:rPr>
        <w:instrText>ADDIN CSL_CITATION {"citationItems":[{"id":"ITEM-1","itemData":{"URL":"https://www.admie.gr/en/erga/erga-diasyndeseis/diasyndesi-tis-kritis-me-tin-peloponniso","accessed":{"date-parts":[["2022","4","30"]]},"author":[{"dropping-particle":"","family":"IPTO","given":"","non-dropping-particle":"","parse-names":false,"suffix":""}],"container-title":"Independent Power Transmission Operator","id":"ITEM-1","issued":{"date-parts":[["2021"]]},"title":"Interconnection of Crete with Peloponnese","type":"webpage"},"uris":["http://www.mendeley.com/documents/?uuid=96bc9295-24f9-417f-afd1-ddd2980d6575"]}],"mendeley":{"formattedCitation":"(IPTO, 2021)","plainTextFormattedCitation":"(IPTO, 2021)","previouslyFormattedCitation":"(IPTO, 2021)"},"properties":{"noteIndex":0},"schema":"https://github.com/citation-style-language/schema/raw/master/csl-citation.json"}</w:instrText>
      </w:r>
      <w:r w:rsidR="00692049" w:rsidRPr="00235EF6">
        <w:rPr>
          <w:lang w:val="en-GB"/>
        </w:rPr>
        <w:fldChar w:fldCharType="separate"/>
      </w:r>
      <w:r w:rsidR="00D25F7E" w:rsidRPr="00D25F7E">
        <w:rPr>
          <w:noProof/>
          <w:lang w:val="en-GB"/>
        </w:rPr>
        <w:t>(IPTO, 2021)</w:t>
      </w:r>
      <w:r w:rsidR="00692049" w:rsidRPr="00235EF6">
        <w:rPr>
          <w:lang w:val="en-GB"/>
        </w:rPr>
        <w:fldChar w:fldCharType="end"/>
      </w:r>
      <w:r w:rsidR="00692049" w:rsidRPr="00235EF6">
        <w:rPr>
          <w:lang w:val="en-GB"/>
        </w:rPr>
        <w:t>. However, the energy transition and the unsecured reliability of the sole interconnections lead to the need of increasing RESs penetration both</w:t>
      </w:r>
      <w:r w:rsidR="00692049" w:rsidRPr="00235EF6" w:rsidDel="000A48D4">
        <w:rPr>
          <w:lang w:val="en-GB"/>
        </w:rPr>
        <w:t xml:space="preserve"> </w:t>
      </w:r>
      <w:r w:rsidR="00692049" w:rsidRPr="00235EF6">
        <w:rPr>
          <w:lang w:val="en-GB"/>
        </w:rPr>
        <w:t xml:space="preserve">in the island energy mix and in off-grid systems and facilities. Several areas with significant offshore wind and wave potential were identified in Crete </w:t>
      </w:r>
      <w:r w:rsidR="00692049" w:rsidRPr="00235EF6">
        <w:rPr>
          <w:lang w:val="en-GB"/>
        </w:rPr>
        <w:fldChar w:fldCharType="begin" w:fldLock="1"/>
      </w:r>
      <w:r w:rsidR="00D25F7E">
        <w:rPr>
          <w:lang w:val="en-GB"/>
        </w:rPr>
        <w:instrText>ADDIN CSL_CITATION {"citationItems":[{"id":"ITEM-1","itemData":{"DOI":"10.3390/en11102741","ISSN":"19961073","abstract":"At autonomous electricity grids Renewable Energy (RE) contributes significantly to energy production. Offshore resources benefit from higher energy density, smaller visual impacts, and higher availability levels. Offshore locations at the West of Crete obtain wind availability ≈80%, combining this with the installation potential for large scale modern wind turbines (rated power) then expected annual benefits are immense. Temporal variability of production is a limiting factor for wider adaptation of large offshore farms. To this end multi-generation with wave energy can alleviate issues of non-generation for wind. Spatio-temporal correlation of wind and wave energy production exhibit that wind and wave hybrid stations can contribute significant amounts of clean energy, while at the same time reducing spatial constrains and public acceptance issues. Offshore technologies can be combined as co-located or not, altering contribution profiles of wave energy to non-operating wind turbine production. In this study a co-located option contributes up to 626 h per annum, while a non co-located solution is found to complement over 4000 h of a non-operative wind turbine. Findings indicate the opportunities associated not only in terms of capital expenditure reduction, but also in the ever important issue of renewable variability and grid stability.","author":[{"dropping-particle":"","family":"Lavidas","given":"George","non-dropping-particle":"","parse-names":false,"suffix":""},{"dropping-particle":"","family":"Venugopal","given":"Vengatesan","non-dropping-particle":"","parse-names":false,"suffix":""}],"container-title":"Energies","id":"ITEM-1","issue":"10","issued":{"date-parts":[["2018"]]},"page":"1-14","title":"Energy Production Benefits by Wind and Wave Energies for the Autonomous System of Crete","type":"article-journal","volume":"11"},"uris":["http://www.mendeley.com/documents/?uuid=4441c615-ecba-4ee6-bdcc-4661c105c14f"]}],"mendeley":{"formattedCitation":"(Lavidas and Venugopal, 2018)","plainTextFormattedCitation":"(Lavidas and Venugopal, 2018)","previouslyFormattedCitation":"(Lavidas and Venugopal, 2018)"},"properties":{"noteIndex":0},"schema":"https://github.com/citation-style-language/schema/raw/master/csl-citation.json"}</w:instrText>
      </w:r>
      <w:r w:rsidR="00692049" w:rsidRPr="00235EF6">
        <w:rPr>
          <w:lang w:val="en-GB"/>
        </w:rPr>
        <w:fldChar w:fldCharType="separate"/>
      </w:r>
      <w:r w:rsidR="00D25F7E" w:rsidRPr="00D25F7E">
        <w:rPr>
          <w:noProof/>
          <w:lang w:val="en-GB"/>
        </w:rPr>
        <w:t>(Lavidas and Venugopal, 2018)</w:t>
      </w:r>
      <w:r w:rsidR="00692049" w:rsidRPr="00235EF6">
        <w:rPr>
          <w:lang w:val="en-GB"/>
        </w:rPr>
        <w:fldChar w:fldCharType="end"/>
      </w:r>
      <w:r w:rsidR="00692049" w:rsidRPr="00235EF6">
        <w:rPr>
          <w:lang w:val="en-GB"/>
        </w:rPr>
        <w:t xml:space="preserve">. </w:t>
      </w:r>
      <w:r w:rsidR="00692049" w:rsidRPr="00235EF6">
        <w:rPr>
          <w:lang w:val="en-GB"/>
        </w:rPr>
        <w:fldChar w:fldCharType="begin" w:fldLock="1"/>
      </w:r>
      <w:r w:rsidR="00D25F7E">
        <w:rPr>
          <w:lang w:val="en-GB"/>
        </w:rPr>
        <w:instrText>ADDIN CSL_CITATION {"citationItems":[{"id":"ITEM-1","itemData":{"DOI":"10.1016/j.energy.2021.122296","ISSN":"03605442","abstract":"Land-use conflicts, along with the increasing demand for green energy and the unexploited offshore wind potential, intensify the necessity of the development of Offshore Wind Farms (OWFs). Their sustainable siting remains still a research gap to be further analysed due to: (i) the need of the insular energy self-efficiency; the great distances from the mainland); (ii) the freeing of land; and (iii) the high unexploited offshore wind potential. The Analytical Hierarchy Process method and Geographic Information Systems incorporating 14 exclusion and 16 evaluation criteria are employed tο identify sustainable siting. This research integrates the opinions of a wide range of local stakeholders and experts, considering the insular specific characteristics of Crete. The high suitable marine areas are evaluated according to their energy capacity, assessed with seven different commercially available models. Most respondents estimate that the distance from environmental interest areas is the most critical criterion. The analysis proved that the final available areas for OWFs siting are 205.5 km2; 126.25 km2 of high suitability with a high potential of 620–900 MW. Since the maximum annual energy demand of the island amounted to 676 MW (2019) this demand could actually be overcovered by four main OWFs near the island.","author":[{"dropping-particle":"","family":"Gkeka-Serpetsidaki","given":"Pandora","non-dropping-particle":"","parse-names":false,"suffix":""},{"dropping-particle":"","family":"Tsoutsos","given":"Theocharis","non-dropping-particle":"","parse-names":false,"suffix":""}],"container-title":"Energy","id":"ITEM-1","issued":{"date-parts":[["2022"]]},"page":"122296","publisher":"Elsevier Ltd","title":"A methodological framework for optimal siting of offshore wind farms: A case study on the island of Crete","type":"article-journal","volume":"239"},"uris":["http://www.mendeley.com/documents/?uuid=1587c290-a10b-4b2b-ac11-a330d835532e"]}],"mendeley":{"formattedCitation":"(Gkeka-Serpetsidaki and Tsoutsos, 2022)","manualFormatting":"Gkeka-Serpetsidaki and Tsoutsos (2022)","plainTextFormattedCitation":"(Gkeka-Serpetsidaki and Tsoutsos, 2022)","previouslyFormattedCitation":"(Gkeka-Serpetsidaki and Tsoutsos, 2022)"},"properties":{"noteIndex":0},"schema":"https://github.com/citation-style-language/schema/raw/master/csl-citation.json"}</w:instrText>
      </w:r>
      <w:r w:rsidR="00692049" w:rsidRPr="00235EF6">
        <w:rPr>
          <w:lang w:val="en-GB"/>
        </w:rPr>
        <w:fldChar w:fldCharType="separate"/>
      </w:r>
      <w:r w:rsidR="00692049" w:rsidRPr="00235EF6">
        <w:rPr>
          <w:noProof/>
          <w:lang w:val="en-GB"/>
        </w:rPr>
        <w:t>Gkeka-Serpetsidaki and Tsoutsos (2022)</w:t>
      </w:r>
      <w:r w:rsidR="00692049" w:rsidRPr="00235EF6">
        <w:rPr>
          <w:lang w:val="en-GB"/>
        </w:rPr>
        <w:fldChar w:fldCharType="end"/>
      </w:r>
      <w:r w:rsidR="00692049" w:rsidRPr="00235EF6">
        <w:rPr>
          <w:lang w:val="en-GB"/>
        </w:rPr>
        <w:t xml:space="preserve"> found the most sustainable locations in Crete for the development of fixed-bottom offshore wind farms through a multi-criteria analysis, among whom an area northwest of Heraklion is present. In this research, this area was selected for the possible installation of a wind-wave farm. The application of step 1 of the proposed methodology led to the exact identification of a sea area comprised between </w:t>
      </w:r>
      <w:proofErr w:type="spellStart"/>
      <w:r w:rsidR="00692049" w:rsidRPr="00235EF6">
        <w:rPr>
          <w:lang w:val="en-GB"/>
        </w:rPr>
        <w:t>Dia</w:t>
      </w:r>
      <w:proofErr w:type="spellEnd"/>
      <w:r w:rsidR="00692049" w:rsidRPr="00235EF6">
        <w:rPr>
          <w:lang w:val="en-GB"/>
        </w:rPr>
        <w:t xml:space="preserve"> </w:t>
      </w:r>
      <w:proofErr w:type="gramStart"/>
      <w:r w:rsidR="00692049" w:rsidRPr="00235EF6">
        <w:rPr>
          <w:lang w:val="en-GB"/>
        </w:rPr>
        <w:t>island</w:t>
      </w:r>
      <w:proofErr w:type="gramEnd"/>
      <w:r w:rsidR="00692049" w:rsidRPr="00235EF6">
        <w:rPr>
          <w:lang w:val="en-GB"/>
        </w:rPr>
        <w:t xml:space="preserve"> and Crete. </w:t>
      </w:r>
    </w:p>
    <w:p w14:paraId="01A9230C" w14:textId="77777777" w:rsidR="00621A31" w:rsidRPr="00235EF6" w:rsidRDefault="00621A31" w:rsidP="00692049">
      <w:pPr>
        <w:pStyle w:val="CETBodytext"/>
        <w:rPr>
          <w:lang w:val="en-GB"/>
        </w:rPr>
      </w:pPr>
    </w:p>
    <w:p w14:paraId="62258117" w14:textId="260AD3BA" w:rsidR="00692049" w:rsidRPr="00235EF6" w:rsidRDefault="00692049" w:rsidP="00692049">
      <w:pPr>
        <w:pStyle w:val="CETBodytextItalic"/>
        <w:keepNext/>
      </w:pPr>
      <w:r w:rsidRPr="00235EF6">
        <w:rPr>
          <w:noProof/>
          <w:lang w:eastAsia="en-GB"/>
        </w:rPr>
        <w:drawing>
          <wp:inline distT="0" distB="0" distL="0" distR="0" wp14:anchorId="78789B43" wp14:editId="4A75D8CB">
            <wp:extent cx="2560320" cy="1737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1737360"/>
                    </a:xfrm>
                    <a:prstGeom prst="rect">
                      <a:avLst/>
                    </a:prstGeom>
                    <a:noFill/>
                    <a:ln>
                      <a:noFill/>
                    </a:ln>
                  </pic:spPr>
                </pic:pic>
              </a:graphicData>
            </a:graphic>
          </wp:inline>
        </w:drawing>
      </w:r>
    </w:p>
    <w:p w14:paraId="53D641EC" w14:textId="77777777" w:rsidR="00692049" w:rsidRPr="00235EF6" w:rsidRDefault="00692049" w:rsidP="00692049">
      <w:pPr>
        <w:pStyle w:val="CETCaption"/>
      </w:pPr>
      <w:bookmarkStart w:id="0" w:name="_Ref124857999"/>
      <w:r w:rsidRPr="00235EF6">
        <w:t xml:space="preserve">Figure </w:t>
      </w:r>
      <w:r w:rsidRPr="00235EF6">
        <w:fldChar w:fldCharType="begin"/>
      </w:r>
      <w:r w:rsidRPr="00235EF6">
        <w:instrText xml:space="preserve"> SEQ Figure \* ARABIC </w:instrText>
      </w:r>
      <w:r w:rsidRPr="00235EF6">
        <w:fldChar w:fldCharType="separate"/>
      </w:r>
      <w:r w:rsidRPr="00235EF6">
        <w:t>1</w:t>
      </w:r>
      <w:r w:rsidRPr="00235EF6">
        <w:fldChar w:fldCharType="end"/>
      </w:r>
      <w:bookmarkEnd w:id="0"/>
      <w:r w:rsidRPr="00235EF6">
        <w:t>. Considered area for the possible installation of wind-wave farm.</w:t>
      </w:r>
    </w:p>
    <w:p w14:paraId="46AF0F6B" w14:textId="1068C824" w:rsidR="00692049" w:rsidRPr="00235EF6" w:rsidRDefault="00692049" w:rsidP="00D25F7E">
      <w:pPr>
        <w:pStyle w:val="CETBodytext"/>
        <w:rPr>
          <w:lang w:val="en-GB"/>
        </w:rPr>
      </w:pPr>
      <w:r w:rsidRPr="00235EF6">
        <w:rPr>
          <w:lang w:val="en-GB"/>
        </w:rPr>
        <w:t>In</w:t>
      </w:r>
      <w:r w:rsidRPr="00235EF6">
        <w:rPr>
          <w:b/>
          <w:lang w:val="en-GB"/>
        </w:rPr>
        <w:t xml:space="preserve"> </w:t>
      </w:r>
      <w:r w:rsidRPr="00235EF6">
        <w:rPr>
          <w:b/>
        </w:rPr>
        <w:fldChar w:fldCharType="begin"/>
      </w:r>
      <w:r w:rsidRPr="00235EF6">
        <w:rPr>
          <w:b/>
          <w:lang w:val="en-GB"/>
        </w:rPr>
        <w:instrText xml:space="preserve"> REF _Ref124857999 \h  \* MERGEFORMAT </w:instrText>
      </w:r>
      <w:r w:rsidRPr="00235EF6">
        <w:rPr>
          <w:b/>
        </w:rPr>
      </w:r>
      <w:r w:rsidRPr="00235EF6">
        <w:rPr>
          <w:b/>
        </w:rPr>
        <w:fldChar w:fldCharType="separate"/>
      </w:r>
      <w:r w:rsidRPr="00235EF6">
        <w:rPr>
          <w:lang w:val="en-GB"/>
        </w:rPr>
        <w:t>Figure 1</w:t>
      </w:r>
      <w:r w:rsidRPr="00235EF6">
        <w:rPr>
          <w:b/>
        </w:rPr>
        <w:fldChar w:fldCharType="end"/>
      </w:r>
      <w:r w:rsidRPr="00235EF6">
        <w:rPr>
          <w:lang w:val="en-GB"/>
        </w:rPr>
        <w:t>, the wind-wave farm site is displayed. The two blue parallelograms are the areas for the possible installation of Offshore Wind Turbines (OWTs), with a total surface of 9 km</w:t>
      </w:r>
      <w:r w:rsidRPr="00235EF6">
        <w:rPr>
          <w:vertAlign w:val="superscript"/>
          <w:lang w:val="en-GB"/>
        </w:rPr>
        <w:t>2</w:t>
      </w:r>
      <w:r w:rsidRPr="00235EF6">
        <w:rPr>
          <w:lang w:val="en-GB"/>
        </w:rPr>
        <w:t xml:space="preserve"> and water depths between 50 and 100 m. The red parallelogram is the suitable location for a farm of Wave Energy Converters (WECs), occupying a surface of 6 km</w:t>
      </w:r>
      <w:r w:rsidRPr="00235EF6">
        <w:rPr>
          <w:vertAlign w:val="superscript"/>
          <w:lang w:val="en-GB"/>
        </w:rPr>
        <w:t>2</w:t>
      </w:r>
      <w:r w:rsidRPr="00235EF6">
        <w:rPr>
          <w:lang w:val="en-GB"/>
        </w:rPr>
        <w:t xml:space="preserve"> in water depths between 100 and 150 m. By applying step 2, real wind and wave data were retrieved from the Poseidon moored buoy that is anchored north of the investigated wind-wave farm areas. The floating buoy records the needed </w:t>
      </w:r>
      <w:proofErr w:type="spellStart"/>
      <w:r w:rsidRPr="00235EF6">
        <w:rPr>
          <w:lang w:val="en-GB"/>
        </w:rPr>
        <w:t>meteo</w:t>
      </w:r>
      <w:proofErr w:type="spellEnd"/>
      <w:r w:rsidRPr="00235EF6">
        <w:rPr>
          <w:lang w:val="en-GB"/>
        </w:rPr>
        <w:t xml:space="preserve">-climatic parameters (wind speed, wind direction, significant wave height, maximum wave height, wave direction and peak wave period). The reference year selected for the analysis is 2018 due to its data completeness (90 %). According to step 3, the load to be used in the integrated system optimization procedure is a share (1 %) of the island’s electricity demand in 2019, </w:t>
      </w:r>
      <w:r w:rsidR="00317B71" w:rsidRPr="00235EF6">
        <w:rPr>
          <w:lang w:val="en-GB"/>
        </w:rPr>
        <w:t xml:space="preserve">a </w:t>
      </w:r>
      <w:r w:rsidRPr="00235EF6">
        <w:rPr>
          <w:lang w:val="en-GB"/>
        </w:rPr>
        <w:t>representative year before COVID-19</w:t>
      </w:r>
      <w:r w:rsidR="001F1DC7">
        <w:rPr>
          <w:lang w:val="en-GB"/>
        </w:rPr>
        <w:t>. The load</w:t>
      </w:r>
      <w:r w:rsidRPr="00235EF6">
        <w:rPr>
          <w:lang w:val="en-GB"/>
        </w:rPr>
        <w:t xml:space="preserve"> hourly data series were provided by the Hellenic Electricity Distribution Network Operator SA (HEDNO). In line with step 4 of the methodology, three OWTs models and three WECs models are examined for the definition of the energy mixes, having considered the RESs energy potentials, the technologies’ installation feasibility in the site and their specifications availability. The technologies’ features are summarized in </w:t>
      </w:r>
      <w:r w:rsidRPr="00235EF6">
        <w:fldChar w:fldCharType="begin"/>
      </w:r>
      <w:r w:rsidRPr="00235EF6">
        <w:rPr>
          <w:lang w:val="en-GB"/>
        </w:rPr>
        <w:instrText xml:space="preserve"> REF _Ref124928986 \h  \* MERGEFORMAT </w:instrText>
      </w:r>
      <w:r w:rsidRPr="00235EF6">
        <w:fldChar w:fldCharType="separate"/>
      </w:r>
      <w:r w:rsidRPr="00235EF6">
        <w:rPr>
          <w:lang w:val="en-GB"/>
        </w:rPr>
        <w:t xml:space="preserve">Table </w:t>
      </w:r>
      <w:r w:rsidRPr="00235EF6">
        <w:rPr>
          <w:noProof/>
          <w:lang w:val="en-GB"/>
        </w:rPr>
        <w:t>1</w:t>
      </w:r>
      <w:r w:rsidRPr="00235EF6">
        <w:fldChar w:fldCharType="end"/>
      </w:r>
      <w:r w:rsidRPr="00235EF6">
        <w:rPr>
          <w:lang w:val="en-GB"/>
        </w:rPr>
        <w:t xml:space="preserve"> and </w:t>
      </w:r>
      <w:r w:rsidRPr="00235EF6">
        <w:fldChar w:fldCharType="begin"/>
      </w:r>
      <w:r w:rsidRPr="00235EF6">
        <w:rPr>
          <w:lang w:val="en-GB"/>
        </w:rPr>
        <w:instrText xml:space="preserve"> REF _Ref124861435 \h  \* MERGEFORMAT </w:instrText>
      </w:r>
      <w:r w:rsidRPr="00235EF6">
        <w:fldChar w:fldCharType="separate"/>
      </w:r>
      <w:r w:rsidRPr="00235EF6">
        <w:rPr>
          <w:lang w:val="en-GB"/>
        </w:rPr>
        <w:t xml:space="preserve">Table </w:t>
      </w:r>
      <w:r w:rsidRPr="00235EF6">
        <w:rPr>
          <w:noProof/>
          <w:lang w:val="en-GB"/>
        </w:rPr>
        <w:t>2</w:t>
      </w:r>
      <w:r w:rsidRPr="00235EF6">
        <w:fldChar w:fldCharType="end"/>
      </w:r>
      <w:r w:rsidRPr="00235EF6">
        <w:rPr>
          <w:lang w:val="en-GB"/>
        </w:rPr>
        <w:t>. To define the possible energy systems (step 5), the maximum number of devices installable in the areas per conversion technology need</w:t>
      </w:r>
      <w:r w:rsidR="00317B71" w:rsidRPr="00235EF6">
        <w:rPr>
          <w:lang w:val="en-GB"/>
        </w:rPr>
        <w:t>s</w:t>
      </w:r>
      <w:r w:rsidRPr="00235EF6">
        <w:rPr>
          <w:lang w:val="en-GB"/>
        </w:rPr>
        <w:t xml:space="preserve"> to be identified. Thus, spacing factors are applied. For all models of OWTs, the crosswind and downwind distances are 5 and 7 times the OWT rotor </w:t>
      </w:r>
      <w:r w:rsidRPr="00235EF6">
        <w:rPr>
          <w:lang w:val="en-GB"/>
        </w:rPr>
        <w:lastRenderedPageBreak/>
        <w:t xml:space="preserve">diameter, respectively, as in previous studies </w:t>
      </w:r>
      <w:r w:rsidRPr="00235EF6">
        <w:fldChar w:fldCharType="begin" w:fldLock="1"/>
      </w:r>
      <w:r w:rsidR="00D25F7E">
        <w:rPr>
          <w:lang w:val="en-GB"/>
        </w:rPr>
        <w:instrText>ADDIN CSL_CITATION {"citationItems":[{"id":"ITEM-1","itemData":{"DOI":"10.1016/j.energy.2021.122296","ISSN":"03605442","abstract":"Land-use conflicts, along with the increasing demand for green energy and the unexploited offshore wind potential, intensify the necessity of the development of Offshore Wind Farms (OWFs). Their sustainable siting remains still a research gap to be further analysed due to: (i) the need of the insular energy self-efficiency; the great distances from the mainland); (ii) the freeing of land; and (iii) the high unexploited offshore wind potential. The Analytical Hierarchy Process method and Geographic Information Systems incorporating 14 exclusion and 16 evaluation criteria are employed tο identify sustainable siting. This research integrates the opinions of a wide range of local stakeholders and experts, considering the insular specific characteristics of Crete. The high suitable marine areas are evaluated according to their energy capacity, assessed with seven different commercially available models. Most respondents estimate that the distance from environmental interest areas is the most critical criterion. The analysis proved that the final available areas for OWFs siting are 205.5 km2; 126.25 km2 of high suitability with a high potential of 620–900 MW. Since the maximum annual energy demand of the island amounted to 676 MW (2019) this demand could actually be overcovered by four main OWFs near the island.","author":[{"dropping-particle":"","family":"Gkeka-Serpetsidaki","given":"Pandora","non-dropping-particle":"","parse-names":false,"suffix":""},{"dropping-particle":"","family":"Tsoutsos","given":"Theocharis","non-dropping-particle":"","parse-names":false,"suffix":""}],"container-title":"Energy","id":"ITEM-1","issued":{"date-parts":[["2022"]]},"page":"122296","publisher":"Elsevier Ltd","title":"A methodological framework for optimal siting of offshore wind farms: A case study on the island of Crete","type":"article-journal","volume":"239"},"uris":["http://www.mendeley.com/documents/?uuid=1587c290-a10b-4b2b-ac11-a330d835532e"]}],"mendeley":{"formattedCitation":"(Gkeka-Serpetsidaki and Tsoutsos, 2022)","plainTextFormattedCitation":"(Gkeka-Serpetsidaki and Tsoutsos, 2022)","previouslyFormattedCitation":"(Gkeka-Serpetsidaki and Tsoutsos, 2022)"},"properties":{"noteIndex":0},"schema":"https://github.com/citation-style-language/schema/raw/master/csl-citation.json"}</w:instrText>
      </w:r>
      <w:r w:rsidRPr="00235EF6">
        <w:fldChar w:fldCharType="separate"/>
      </w:r>
      <w:r w:rsidR="00D25F7E" w:rsidRPr="00D25F7E">
        <w:rPr>
          <w:noProof/>
          <w:lang w:val="en-GB"/>
        </w:rPr>
        <w:t>(Gkeka-Serpetsidaki and Tsoutsos, 2022)</w:t>
      </w:r>
      <w:r w:rsidRPr="00235EF6">
        <w:fldChar w:fldCharType="end"/>
      </w:r>
      <w:r w:rsidR="00E0001F">
        <w:rPr>
          <w:lang w:val="en-GB"/>
        </w:rPr>
        <w:t>.</w:t>
      </w:r>
      <w:r w:rsidRPr="00235EF6">
        <w:rPr>
          <w:lang w:val="en-GB"/>
        </w:rPr>
        <w:t xml:space="preserve"> </w:t>
      </w:r>
      <w:r w:rsidR="00E0001F">
        <w:rPr>
          <w:lang w:val="en-GB"/>
        </w:rPr>
        <w:t>I</w:t>
      </w:r>
      <w:r w:rsidRPr="00235EF6">
        <w:rPr>
          <w:lang w:val="en-GB"/>
        </w:rPr>
        <w:t xml:space="preserve">n the case of WECs, the reference minimum spacing distance for non-point absorber technologies was set as 150 m as in the study of the </w:t>
      </w:r>
      <w:proofErr w:type="spellStart"/>
      <w:r w:rsidRPr="00235EF6">
        <w:rPr>
          <w:lang w:val="en-GB"/>
        </w:rPr>
        <w:t>Pelamis</w:t>
      </w:r>
      <w:proofErr w:type="spellEnd"/>
      <w:r w:rsidRPr="00235EF6">
        <w:rPr>
          <w:lang w:val="en-GB"/>
        </w:rPr>
        <w:t xml:space="preserve"> wave farm </w:t>
      </w:r>
      <w:r w:rsidRPr="00235EF6">
        <w:fldChar w:fldCharType="begin" w:fldLock="1"/>
      </w:r>
      <w:r w:rsidR="00D25F7E">
        <w:rPr>
          <w:lang w:val="en-GB"/>
        </w:rPr>
        <w:instrText>ADDIN CSL_CITATION {"citationItems":[{"id":"ITEM-1","itemData":{"abstract":"The E2I an the EPRI propose two standards cost estimate methodologies, a utility genrator (UG) and a non utility generator (NUG) methodolog, including a set of financial assumptions, to evaluate the economics of offshore wave power plants. The E2I EPRI project team will use these methodologies to evaluate the economics of both a 1,500 MWhours electric per year pilot plant and a 300,000 MWhours per year commercial size plant (500 kW and 100 MW at 40 capacity factor respectively)","author":[{"dropping-particle":"","family":"Previsic","given":"M","non-dropping-particle":"","parse-names":false,"suffix":""},{"dropping-particle":"","family":"Siddiqui","given":"O","non-dropping-particle":"","parse-names":false,"suffix":""},{"dropping-particle":"","family":"Bedard","given":"R","non-dropping-particle":"","parse-names":false,"suffix":""},{"dropping-particle":"","family":"Hagerman","given":"G","non-dropping-particle":"","parse-names":false,"suffix":""}],"id":"ITEM-1","issued":{"date-parts":[["2004"]]},"number-of-pages":"1-63","publisher-place":"PALO ALTO, California, United States","title":"System level design, performance and costs for San Francisco California Pelamis offshore wave power plant","type":"report"},"uris":["http://www.mendeley.com/documents/?uuid=65b7db77-aa45-4cce-ab74-3bf3e2a5280a"]}],"mendeley":{"formattedCitation":"(Previsic et al., 2004)","plainTextFormattedCitation":"(Previsic et al., 2004)","previouslyFormattedCitation":"(Previsic et al., 2004)"},"properties":{"noteIndex":0},"schema":"https://github.com/citation-style-language/schema/raw/master/csl-citation.json"}</w:instrText>
      </w:r>
      <w:r w:rsidRPr="00235EF6">
        <w:fldChar w:fldCharType="separate"/>
      </w:r>
      <w:r w:rsidR="00D25F7E" w:rsidRPr="00D25F7E">
        <w:rPr>
          <w:noProof/>
          <w:lang w:val="en-GB"/>
        </w:rPr>
        <w:t>(Previsic et al., 2004)</w:t>
      </w:r>
      <w:r w:rsidRPr="00235EF6">
        <w:fldChar w:fldCharType="end"/>
      </w:r>
      <w:r w:rsidRPr="00235EF6">
        <w:rPr>
          <w:lang w:val="en-GB"/>
        </w:rPr>
        <w:t xml:space="preserve">. The maximum number of devices installable in the given areas </w:t>
      </w:r>
      <w:r w:rsidR="00317B71" w:rsidRPr="00235EF6">
        <w:rPr>
          <w:lang w:val="en-GB"/>
        </w:rPr>
        <w:t xml:space="preserve">is </w:t>
      </w:r>
      <w:r w:rsidRPr="00235EF6">
        <w:rPr>
          <w:lang w:val="en-GB"/>
        </w:rPr>
        <w:t xml:space="preserve">reported in the ending lines of </w:t>
      </w:r>
      <w:r w:rsidRPr="00235EF6">
        <w:fldChar w:fldCharType="begin"/>
      </w:r>
      <w:r w:rsidRPr="00235EF6">
        <w:rPr>
          <w:lang w:val="en-GB"/>
        </w:rPr>
        <w:instrText xml:space="preserve"> REF _Ref124928986 \h  \* MERGEFORMAT </w:instrText>
      </w:r>
      <w:r w:rsidRPr="00235EF6">
        <w:fldChar w:fldCharType="separate"/>
      </w:r>
      <w:r w:rsidRPr="00235EF6">
        <w:rPr>
          <w:lang w:val="en-GB"/>
        </w:rPr>
        <w:t>Table 1</w:t>
      </w:r>
      <w:r w:rsidRPr="00235EF6">
        <w:fldChar w:fldCharType="end"/>
      </w:r>
      <w:r w:rsidRPr="00235EF6">
        <w:rPr>
          <w:lang w:val="en-GB"/>
        </w:rPr>
        <w:t xml:space="preserve"> and </w:t>
      </w:r>
      <w:r w:rsidRPr="00235EF6">
        <w:fldChar w:fldCharType="begin"/>
      </w:r>
      <w:r w:rsidRPr="00235EF6">
        <w:rPr>
          <w:lang w:val="en-GB"/>
        </w:rPr>
        <w:instrText xml:space="preserve"> REF _Ref124861435 \h  \* MERGEFORMAT </w:instrText>
      </w:r>
      <w:r w:rsidRPr="00235EF6">
        <w:fldChar w:fldCharType="separate"/>
      </w:r>
      <w:r w:rsidRPr="00235EF6">
        <w:rPr>
          <w:lang w:val="en-GB"/>
        </w:rPr>
        <w:t>Table 2</w:t>
      </w:r>
      <w:r w:rsidRPr="00235EF6">
        <w:fldChar w:fldCharType="end"/>
      </w:r>
      <w:r w:rsidRPr="00235EF6">
        <w:rPr>
          <w:lang w:val="en-GB"/>
        </w:rPr>
        <w:t>. The combinations of devices representing all the possible designs of the wind-wave farm are 2,812 (combination of 37 OWTs and 76 WECs deployment choices).</w:t>
      </w:r>
      <w:r w:rsidR="002015ED">
        <w:rPr>
          <w:lang w:val="en-GB"/>
        </w:rPr>
        <w:t xml:space="preserve"> </w:t>
      </w:r>
    </w:p>
    <w:p w14:paraId="44EF6119" w14:textId="32D0349E" w:rsidR="00692049" w:rsidRPr="00235EF6" w:rsidRDefault="00692049" w:rsidP="00692049">
      <w:pPr>
        <w:pStyle w:val="CETTabletitle"/>
      </w:pPr>
      <w:bookmarkStart w:id="1" w:name="_Ref124928986"/>
      <w:r w:rsidRPr="00235EF6">
        <w:t xml:space="preserve">Table </w:t>
      </w:r>
      <w:r w:rsidRPr="00235EF6">
        <w:fldChar w:fldCharType="begin"/>
      </w:r>
      <w:r w:rsidRPr="00235EF6">
        <w:instrText xml:space="preserve"> SEQ Table \* ARABIC </w:instrText>
      </w:r>
      <w:r w:rsidRPr="00235EF6">
        <w:fldChar w:fldCharType="separate"/>
      </w:r>
      <w:r w:rsidRPr="00235EF6">
        <w:rPr>
          <w:noProof/>
        </w:rPr>
        <w:t>1</w:t>
      </w:r>
      <w:r w:rsidRPr="00235EF6">
        <w:fldChar w:fldCharType="end"/>
      </w:r>
      <w:bookmarkEnd w:id="1"/>
      <w:r w:rsidRPr="00235EF6">
        <w:t>: Features of the OWTs included in the assessment.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2138"/>
        <w:gridCol w:w="2138"/>
        <w:gridCol w:w="2103"/>
      </w:tblGrid>
      <w:tr w:rsidR="00692049" w:rsidRPr="00235EF6" w14:paraId="664BB046" w14:textId="77777777" w:rsidTr="00FF7EFD">
        <w:tc>
          <w:tcPr>
            <w:tcW w:w="2410" w:type="dxa"/>
            <w:tcBorders>
              <w:top w:val="single" w:sz="12" w:space="0" w:color="008000"/>
              <w:bottom w:val="single" w:sz="6" w:space="0" w:color="008000"/>
            </w:tcBorders>
            <w:shd w:val="clear" w:color="auto" w:fill="FFFFFF"/>
          </w:tcPr>
          <w:p w14:paraId="2E6CE522" w14:textId="77777777" w:rsidR="00692049" w:rsidRPr="00235EF6" w:rsidRDefault="00692049" w:rsidP="00FF7EFD">
            <w:pPr>
              <w:pStyle w:val="CETBodytext"/>
              <w:rPr>
                <w:lang w:val="en-GB"/>
              </w:rPr>
            </w:pPr>
            <w:r w:rsidRPr="00235EF6">
              <w:rPr>
                <w:lang w:val="en-GB"/>
              </w:rPr>
              <w:t>Model name (tag)</w:t>
            </w:r>
          </w:p>
        </w:tc>
        <w:tc>
          <w:tcPr>
            <w:tcW w:w="2138" w:type="dxa"/>
            <w:tcBorders>
              <w:top w:val="single" w:sz="12" w:space="0" w:color="008000"/>
              <w:bottom w:val="single" w:sz="6" w:space="0" w:color="008000"/>
            </w:tcBorders>
            <w:shd w:val="clear" w:color="auto" w:fill="FFFFFF"/>
          </w:tcPr>
          <w:p w14:paraId="229F1628" w14:textId="77777777" w:rsidR="00692049" w:rsidRPr="00235EF6" w:rsidRDefault="00692049" w:rsidP="00FF7EFD">
            <w:pPr>
              <w:pStyle w:val="CETBodytext"/>
              <w:rPr>
                <w:lang w:val="en-GB"/>
              </w:rPr>
            </w:pPr>
            <w:r w:rsidRPr="00235EF6">
              <w:rPr>
                <w:lang w:val="en-GB"/>
              </w:rPr>
              <w:t>V164 - 9.5 MW (1)</w:t>
            </w:r>
          </w:p>
        </w:tc>
        <w:tc>
          <w:tcPr>
            <w:tcW w:w="2138" w:type="dxa"/>
            <w:tcBorders>
              <w:top w:val="single" w:sz="12" w:space="0" w:color="008000"/>
              <w:bottom w:val="single" w:sz="6" w:space="0" w:color="008000"/>
            </w:tcBorders>
            <w:shd w:val="clear" w:color="auto" w:fill="FFFFFF"/>
          </w:tcPr>
          <w:p w14:paraId="4C21B6FA" w14:textId="77777777" w:rsidR="00692049" w:rsidRPr="00235EF6" w:rsidRDefault="00692049" w:rsidP="00FF7EFD">
            <w:pPr>
              <w:pStyle w:val="CETBodytext"/>
              <w:rPr>
                <w:lang w:val="en-GB"/>
              </w:rPr>
            </w:pPr>
            <w:r w:rsidRPr="00235EF6">
              <w:rPr>
                <w:lang w:val="en-GB"/>
              </w:rPr>
              <w:t>SG 8.0-167 DD (2)</w:t>
            </w:r>
          </w:p>
        </w:tc>
        <w:tc>
          <w:tcPr>
            <w:tcW w:w="2103" w:type="dxa"/>
            <w:tcBorders>
              <w:top w:val="single" w:sz="12" w:space="0" w:color="008000"/>
              <w:bottom w:val="single" w:sz="6" w:space="0" w:color="008000"/>
            </w:tcBorders>
            <w:shd w:val="clear" w:color="auto" w:fill="FFFFFF"/>
          </w:tcPr>
          <w:p w14:paraId="4475625F" w14:textId="77777777" w:rsidR="00692049" w:rsidRPr="00235EF6" w:rsidRDefault="00692049" w:rsidP="00FF7EFD">
            <w:pPr>
              <w:pStyle w:val="CETBodytext"/>
              <w:ind w:right="-1"/>
              <w:rPr>
                <w:rFonts w:cs="Arial"/>
                <w:szCs w:val="18"/>
                <w:lang w:val="en-GB"/>
              </w:rPr>
            </w:pPr>
            <w:r w:rsidRPr="00235EF6">
              <w:rPr>
                <w:lang w:val="en-GB"/>
              </w:rPr>
              <w:t>SWT-6.0-154 (3)</w:t>
            </w:r>
          </w:p>
        </w:tc>
      </w:tr>
      <w:tr w:rsidR="00BF091E" w:rsidRPr="00235EF6" w14:paraId="17739960" w14:textId="77777777" w:rsidTr="00D25F7E">
        <w:tc>
          <w:tcPr>
            <w:tcW w:w="2410" w:type="dxa"/>
            <w:shd w:val="clear" w:color="auto" w:fill="FFFFFF"/>
          </w:tcPr>
          <w:p w14:paraId="00B65E80" w14:textId="449FE5D2" w:rsidR="00BF091E" w:rsidRPr="00235EF6" w:rsidRDefault="006E7801" w:rsidP="001674E7">
            <w:pPr>
              <w:pStyle w:val="CETBodytext"/>
              <w:rPr>
                <w:lang w:val="en-GB"/>
              </w:rPr>
            </w:pPr>
            <w:r>
              <w:rPr>
                <w:lang w:val="en-GB"/>
              </w:rPr>
              <w:t>Data and power curves</w:t>
            </w:r>
            <w:r w:rsidR="00BF091E">
              <w:rPr>
                <w:lang w:val="en-GB"/>
              </w:rPr>
              <w:t xml:space="preserve"> </w:t>
            </w:r>
            <w:r w:rsidR="00BF091E" w:rsidRPr="00235EF6">
              <w:rPr>
                <w:lang w:val="en-GB"/>
              </w:rPr>
              <w:t>ref.</w:t>
            </w:r>
          </w:p>
        </w:tc>
        <w:tc>
          <w:tcPr>
            <w:tcW w:w="6379" w:type="dxa"/>
            <w:gridSpan w:val="3"/>
            <w:shd w:val="clear" w:color="auto" w:fill="FFFFFF"/>
            <w:vAlign w:val="center"/>
          </w:tcPr>
          <w:p w14:paraId="39B2B26C" w14:textId="6E5E496D" w:rsidR="00BF091E" w:rsidRPr="00235EF6" w:rsidRDefault="00BF091E" w:rsidP="00D15754">
            <w:pPr>
              <w:pStyle w:val="CETBodytext"/>
              <w:jc w:val="center"/>
              <w:rPr>
                <w:rFonts w:cs="Arial"/>
                <w:szCs w:val="18"/>
                <w:lang w:val="en-GB"/>
              </w:rPr>
            </w:pPr>
            <w:r w:rsidRPr="00235EF6">
              <w:fldChar w:fldCharType="begin" w:fldLock="1"/>
            </w:r>
            <w:r w:rsidR="00D25F7E">
              <w:rPr>
                <w:lang w:val="en-GB"/>
              </w:rPr>
              <w:instrText>ADDIN CSL_CITATION {"citationItems":[{"id":"ITEM-1","itemData":{"author":[{"dropping-particle":"","family":"The Wind Power","given":"","non-dropping-particle":"","parse-names":false,"suffix":""}],"id":"ITEM-1","issued":{"date-parts":[["2022"]]},"title":"Manufacturers and turbines","type":"article-journal"},"uris":["http://www.mendeley.com/documents/?uuid=9230268f-fe97-478c-87dd-32c025aade58"]}],"mendeley":{"formattedCitation":"(The Wind Power, 2022)","plainTextFormattedCitation":"(The Wind Power, 2022)","previouslyFormattedCitation":"(The Wind Power, 2022)"},"properties":{"noteIndex":0},"schema":"https://github.com/citation-style-language/schema/raw/master/csl-citation.json"}</w:instrText>
            </w:r>
            <w:r w:rsidRPr="00235EF6">
              <w:fldChar w:fldCharType="separate"/>
            </w:r>
            <w:r w:rsidR="00D25F7E" w:rsidRPr="00D25F7E">
              <w:rPr>
                <w:noProof/>
                <w:lang w:val="en-GB"/>
              </w:rPr>
              <w:t>(The Wind Power, 2022)</w:t>
            </w:r>
            <w:r w:rsidRPr="00235EF6">
              <w:fldChar w:fldCharType="end"/>
            </w:r>
          </w:p>
        </w:tc>
      </w:tr>
      <w:tr w:rsidR="00BF091E" w:rsidRPr="00235EF6" w14:paraId="475C7D7C" w14:textId="77777777" w:rsidTr="00FF7EFD">
        <w:tc>
          <w:tcPr>
            <w:tcW w:w="2410" w:type="dxa"/>
            <w:shd w:val="clear" w:color="auto" w:fill="FFFFFF"/>
          </w:tcPr>
          <w:p w14:paraId="46B8ADC6" w14:textId="3C6857A6" w:rsidR="00BF091E" w:rsidRPr="00235EF6" w:rsidRDefault="00BF091E" w:rsidP="00BF091E">
            <w:pPr>
              <w:pStyle w:val="CETBodytext"/>
              <w:rPr>
                <w:lang w:val="en-GB"/>
              </w:rPr>
            </w:pPr>
            <w:r w:rsidRPr="00235EF6">
              <w:rPr>
                <w:lang w:val="en-GB"/>
              </w:rPr>
              <w:t xml:space="preserve">Nominal power – </w:t>
            </w:r>
            <w:proofErr w:type="spellStart"/>
            <w:r w:rsidRPr="00235EF6">
              <w:rPr>
                <w:lang w:val="en-GB"/>
              </w:rPr>
              <w:t>P</w:t>
            </w:r>
            <w:r w:rsidRPr="00235EF6">
              <w:rPr>
                <w:vertAlign w:val="subscript"/>
                <w:lang w:val="en-GB"/>
              </w:rPr>
              <w:t>nom</w:t>
            </w:r>
            <w:proofErr w:type="spellEnd"/>
            <w:r w:rsidRPr="00235EF6">
              <w:rPr>
                <w:lang w:val="en-GB"/>
              </w:rPr>
              <w:t xml:space="preserve"> (kW)</w:t>
            </w:r>
          </w:p>
        </w:tc>
        <w:tc>
          <w:tcPr>
            <w:tcW w:w="2138" w:type="dxa"/>
            <w:shd w:val="clear" w:color="auto" w:fill="FFFFFF"/>
          </w:tcPr>
          <w:p w14:paraId="35EF6A9C" w14:textId="09F75D77" w:rsidR="00BF091E" w:rsidRPr="00235EF6" w:rsidRDefault="00BF091E" w:rsidP="00BF091E">
            <w:pPr>
              <w:pStyle w:val="CETBodytext"/>
              <w:rPr>
                <w:lang w:val="en-GB"/>
              </w:rPr>
            </w:pPr>
            <w:r w:rsidRPr="00235EF6">
              <w:rPr>
                <w:lang w:val="en-GB"/>
              </w:rPr>
              <w:t>9500</w:t>
            </w:r>
          </w:p>
        </w:tc>
        <w:tc>
          <w:tcPr>
            <w:tcW w:w="2138" w:type="dxa"/>
            <w:shd w:val="clear" w:color="auto" w:fill="FFFFFF"/>
          </w:tcPr>
          <w:p w14:paraId="3CD9A8CE" w14:textId="71C94FC1" w:rsidR="00BF091E" w:rsidRPr="00235EF6" w:rsidRDefault="00BF091E" w:rsidP="00BF091E">
            <w:pPr>
              <w:pStyle w:val="CETBodytext"/>
              <w:rPr>
                <w:lang w:val="en-GB"/>
              </w:rPr>
            </w:pPr>
            <w:r w:rsidRPr="00235EF6">
              <w:rPr>
                <w:lang w:val="en-GB"/>
              </w:rPr>
              <w:t>8000</w:t>
            </w:r>
          </w:p>
        </w:tc>
        <w:tc>
          <w:tcPr>
            <w:tcW w:w="2103" w:type="dxa"/>
            <w:shd w:val="clear" w:color="auto" w:fill="FFFFFF"/>
          </w:tcPr>
          <w:p w14:paraId="052DC147" w14:textId="5305A1CA" w:rsidR="00BF091E" w:rsidRPr="00235EF6" w:rsidRDefault="00BF091E" w:rsidP="00BF091E">
            <w:pPr>
              <w:pStyle w:val="CETBodytext"/>
              <w:ind w:right="-1"/>
              <w:rPr>
                <w:lang w:val="en-GB"/>
              </w:rPr>
            </w:pPr>
            <w:r w:rsidRPr="00235EF6">
              <w:rPr>
                <w:lang w:val="en-GB"/>
              </w:rPr>
              <w:t>6000</w:t>
            </w:r>
          </w:p>
        </w:tc>
      </w:tr>
      <w:tr w:rsidR="00BF091E" w:rsidRPr="00235EF6" w14:paraId="13E10CB0" w14:textId="77777777" w:rsidTr="00FF7EFD">
        <w:tc>
          <w:tcPr>
            <w:tcW w:w="2410" w:type="dxa"/>
            <w:shd w:val="clear" w:color="auto" w:fill="FFFFFF"/>
          </w:tcPr>
          <w:p w14:paraId="48CFBDEF" w14:textId="77777777" w:rsidR="00BF091E" w:rsidRPr="00235EF6" w:rsidRDefault="00BF091E" w:rsidP="00BF091E">
            <w:pPr>
              <w:pStyle w:val="CETBodytext"/>
              <w:ind w:right="-1"/>
              <w:rPr>
                <w:rFonts w:cs="Arial"/>
                <w:szCs w:val="18"/>
                <w:lang w:val="en-GB"/>
              </w:rPr>
            </w:pPr>
            <w:r w:rsidRPr="00235EF6">
              <w:rPr>
                <w:lang w:val="en-GB"/>
              </w:rPr>
              <w:t>Rotor diameter (m)</w:t>
            </w:r>
          </w:p>
        </w:tc>
        <w:tc>
          <w:tcPr>
            <w:tcW w:w="2138" w:type="dxa"/>
            <w:shd w:val="clear" w:color="auto" w:fill="FFFFFF"/>
          </w:tcPr>
          <w:p w14:paraId="64B64D4B" w14:textId="77777777" w:rsidR="00BF091E" w:rsidRPr="00235EF6" w:rsidRDefault="00BF091E" w:rsidP="00BF091E">
            <w:pPr>
              <w:pStyle w:val="CETBodytext"/>
              <w:ind w:right="-1"/>
              <w:rPr>
                <w:rFonts w:cs="Arial"/>
                <w:szCs w:val="18"/>
                <w:lang w:val="en-GB"/>
              </w:rPr>
            </w:pPr>
            <w:r w:rsidRPr="00235EF6">
              <w:rPr>
                <w:lang w:val="en-GB"/>
              </w:rPr>
              <w:t>164</w:t>
            </w:r>
          </w:p>
        </w:tc>
        <w:tc>
          <w:tcPr>
            <w:tcW w:w="2138" w:type="dxa"/>
            <w:shd w:val="clear" w:color="auto" w:fill="FFFFFF"/>
          </w:tcPr>
          <w:p w14:paraId="40C01D6C" w14:textId="77777777" w:rsidR="00BF091E" w:rsidRPr="00235EF6" w:rsidRDefault="00BF091E" w:rsidP="00BF091E">
            <w:pPr>
              <w:pStyle w:val="CETBodytext"/>
              <w:ind w:right="-1"/>
              <w:rPr>
                <w:rFonts w:cs="Arial"/>
                <w:szCs w:val="18"/>
                <w:lang w:val="en-GB"/>
              </w:rPr>
            </w:pPr>
            <w:r w:rsidRPr="00235EF6">
              <w:rPr>
                <w:lang w:val="en-GB"/>
              </w:rPr>
              <w:t>167</w:t>
            </w:r>
          </w:p>
        </w:tc>
        <w:tc>
          <w:tcPr>
            <w:tcW w:w="2103" w:type="dxa"/>
            <w:shd w:val="clear" w:color="auto" w:fill="FFFFFF"/>
          </w:tcPr>
          <w:p w14:paraId="253596A5" w14:textId="77777777" w:rsidR="00BF091E" w:rsidRPr="00235EF6" w:rsidRDefault="00BF091E" w:rsidP="00BF091E">
            <w:pPr>
              <w:pStyle w:val="CETBodytext"/>
              <w:ind w:right="-1"/>
              <w:rPr>
                <w:rFonts w:cs="Arial"/>
                <w:szCs w:val="18"/>
                <w:lang w:val="en-GB"/>
              </w:rPr>
            </w:pPr>
            <w:r w:rsidRPr="00235EF6">
              <w:rPr>
                <w:lang w:val="en-GB"/>
              </w:rPr>
              <w:t>154</w:t>
            </w:r>
          </w:p>
        </w:tc>
      </w:tr>
      <w:tr w:rsidR="00BF091E" w:rsidRPr="00235EF6" w14:paraId="308E8586" w14:textId="77777777" w:rsidTr="00FF7EFD">
        <w:tc>
          <w:tcPr>
            <w:tcW w:w="2410" w:type="dxa"/>
            <w:shd w:val="clear" w:color="auto" w:fill="FFFFFF"/>
          </w:tcPr>
          <w:p w14:paraId="3BB0801F" w14:textId="77777777" w:rsidR="00BF091E" w:rsidRPr="00235EF6" w:rsidRDefault="00BF091E" w:rsidP="00BF091E">
            <w:pPr>
              <w:pStyle w:val="CETBodytext"/>
              <w:ind w:right="-1"/>
              <w:rPr>
                <w:lang w:val="en-GB"/>
              </w:rPr>
            </w:pPr>
            <w:r w:rsidRPr="00235EF6">
              <w:rPr>
                <w:lang w:val="en-GB"/>
              </w:rPr>
              <w:t>Rotor height (m)</w:t>
            </w:r>
          </w:p>
        </w:tc>
        <w:tc>
          <w:tcPr>
            <w:tcW w:w="2138" w:type="dxa"/>
            <w:shd w:val="clear" w:color="auto" w:fill="FFFFFF"/>
          </w:tcPr>
          <w:p w14:paraId="7D300A56" w14:textId="77777777" w:rsidR="00BF091E" w:rsidRPr="00235EF6" w:rsidRDefault="00BF091E" w:rsidP="00BF091E">
            <w:pPr>
              <w:pStyle w:val="CETBodytext"/>
              <w:ind w:right="-1"/>
              <w:rPr>
                <w:lang w:val="en-GB"/>
              </w:rPr>
            </w:pPr>
            <w:r w:rsidRPr="00235EF6">
              <w:rPr>
                <w:lang w:val="en-GB"/>
              </w:rPr>
              <w:t>105</w:t>
            </w:r>
          </w:p>
        </w:tc>
        <w:tc>
          <w:tcPr>
            <w:tcW w:w="2138" w:type="dxa"/>
            <w:shd w:val="clear" w:color="auto" w:fill="FFFFFF"/>
          </w:tcPr>
          <w:p w14:paraId="370986B8" w14:textId="77777777" w:rsidR="00BF091E" w:rsidRPr="00235EF6" w:rsidRDefault="00BF091E" w:rsidP="00BF091E">
            <w:pPr>
              <w:pStyle w:val="CETBodytext"/>
              <w:ind w:right="-1"/>
              <w:rPr>
                <w:lang w:val="en-GB"/>
              </w:rPr>
            </w:pPr>
            <w:r w:rsidRPr="00235EF6">
              <w:rPr>
                <w:lang w:val="en-GB"/>
              </w:rPr>
              <w:t>92</w:t>
            </w:r>
          </w:p>
        </w:tc>
        <w:tc>
          <w:tcPr>
            <w:tcW w:w="2103" w:type="dxa"/>
            <w:shd w:val="clear" w:color="auto" w:fill="FFFFFF"/>
          </w:tcPr>
          <w:p w14:paraId="038215E4" w14:textId="77777777" w:rsidR="00BF091E" w:rsidRPr="00235EF6" w:rsidRDefault="00BF091E" w:rsidP="00BF091E">
            <w:pPr>
              <w:pStyle w:val="CETBodytext"/>
              <w:ind w:right="-1"/>
              <w:rPr>
                <w:lang w:val="en-GB"/>
              </w:rPr>
            </w:pPr>
            <w:r w:rsidRPr="00235EF6">
              <w:rPr>
                <w:lang w:val="en-GB"/>
              </w:rPr>
              <w:t>100</w:t>
            </w:r>
          </w:p>
        </w:tc>
      </w:tr>
      <w:tr w:rsidR="00BF091E" w:rsidRPr="00235EF6" w14:paraId="52B38D93" w14:textId="77777777" w:rsidTr="00FF7EFD">
        <w:tc>
          <w:tcPr>
            <w:tcW w:w="2410" w:type="dxa"/>
            <w:shd w:val="clear" w:color="auto" w:fill="FFFFFF"/>
          </w:tcPr>
          <w:p w14:paraId="20C87315" w14:textId="77777777" w:rsidR="00BF091E" w:rsidRPr="00235EF6" w:rsidRDefault="00BF091E" w:rsidP="00BF091E">
            <w:pPr>
              <w:pStyle w:val="CETBodytext"/>
              <w:ind w:right="-1"/>
              <w:rPr>
                <w:lang w:val="en-GB"/>
              </w:rPr>
            </w:pPr>
            <w:r w:rsidRPr="00235EF6">
              <w:rPr>
                <w:lang w:val="en-GB"/>
              </w:rPr>
              <w:t>CAPEX (</w:t>
            </w:r>
            <w:proofErr w:type="spellStart"/>
            <w:r w:rsidRPr="00235EF6">
              <w:rPr>
                <w:lang w:val="en-GB"/>
              </w:rPr>
              <w:t>Eur</w:t>
            </w:r>
            <w:proofErr w:type="spellEnd"/>
            <w:r w:rsidRPr="00235EF6">
              <w:rPr>
                <w:lang w:val="en-GB"/>
              </w:rPr>
              <w:t>)</w:t>
            </w:r>
          </w:p>
        </w:tc>
        <w:tc>
          <w:tcPr>
            <w:tcW w:w="6379" w:type="dxa"/>
            <w:gridSpan w:val="3"/>
            <w:shd w:val="clear" w:color="auto" w:fill="FFFFFF"/>
            <w:vAlign w:val="center"/>
          </w:tcPr>
          <w:p w14:paraId="44F3A952" w14:textId="107D93B6" w:rsidR="00BF091E" w:rsidRPr="00235EF6" w:rsidRDefault="00BF091E" w:rsidP="00BF091E">
            <w:pPr>
              <w:pStyle w:val="CETBodytext"/>
              <w:ind w:right="-1"/>
              <w:jc w:val="center"/>
              <w:rPr>
                <w:lang w:val="en-GB"/>
              </w:rPr>
            </w:pPr>
            <w:r w:rsidRPr="00235EF6">
              <w:rPr>
                <w:lang w:val="en-GB"/>
              </w:rPr>
              <w:t xml:space="preserve">following an adaptation of the cost model from </w:t>
            </w:r>
            <w:r w:rsidRPr="00235EF6">
              <w:rPr>
                <w:lang w:val="en-GB"/>
              </w:rPr>
              <w:fldChar w:fldCharType="begin" w:fldLock="1"/>
            </w:r>
            <w:r w:rsidR="00D25F7E">
              <w:rPr>
                <w:lang w:val="en-GB"/>
              </w:rPr>
              <w:instrText>ADDIN CSL_CITATION {"citationItems":[{"id":"ITEM-1","itemData":{"DOI":"10.1080/15567249.2018.1461150","ISSN":"15567257","abstract":"Installed wind energy capacity has been rapidly increasing over the last decade, with deployments in deeper waters and further offshore, with higher turbine ratings within new farms. Understanding the impact of different deployment factors on the overall cost of wind farms is pertinent toward benchmarking the potential of different investment decision alternatives. In this article, a set of parametric expressions for capital expenditure, operational expenditure, and levelized cost of energy are developed as a function of wind turbine capacity (P), water depth (WD), distance from port (D), and wind farm capacity (P). These expressions have been developed through a series of simulations based on a fully integrated, tested cost model which are then generalized through the application of appropriate nonlinear regression equations for a typical offshore wind farm investment and taking into account most current published cost figures. The effectiveness of the models are countersigned through a series of cases, estimating the predicted values with a maximum error of 3.3%. These expressions will be particularly useful for the preliminary assessment of available deployment sites, offering cost estimates based on global decision variables.","author":[{"dropping-particle":"","family":"Ioannou","given":"Anastasia","non-dropping-particle":"","parse-names":false,"suffix":""},{"dropping-particle":"","family":"Angus","given":"Andrew","non-dropping-particle":"","parse-names":false,"suffix":""},{"dropping-particle":"","family":"Brennan","given":"Feargal","non-dropping-particle":"","parse-names":false,"suffix":""}],"container-title":"Energy Sources, Part B: Economics, Planning and Policy","id":"ITEM-1","issue":"5","issued":{"date-parts":[["2018"]]},"page":"281-290","title":"Parametric CAPEX, OPEX, and LCOE expressions for offshore wind farms based on global deployment parameters","type":"article-journal","volume":"13"},"uris":["http://www.mendeley.com/documents/?uuid=4d14241b-3e01-4913-b677-cf204bde1932"]}],"mendeley":{"formattedCitation":"(Ioannou et al., 2018)","manualFormatting":"Ioannou et al. (2018)","plainTextFormattedCitation":"(Ioannou et al., 2018)","previouslyFormattedCitation":"(Ioannou et al., 2018)"},"properties":{"noteIndex":0},"schema":"https://github.com/citation-style-language/schema/raw/master/csl-citation.json"}</w:instrText>
            </w:r>
            <w:r w:rsidRPr="00235EF6">
              <w:rPr>
                <w:lang w:val="en-GB"/>
              </w:rPr>
              <w:fldChar w:fldCharType="separate"/>
            </w:r>
            <w:r>
              <w:rPr>
                <w:noProof/>
                <w:lang w:val="en-GB"/>
              </w:rPr>
              <w:t>Ioannou et al.</w:t>
            </w:r>
            <w:r w:rsidRPr="00235EF6">
              <w:rPr>
                <w:noProof/>
                <w:lang w:val="en-GB"/>
              </w:rPr>
              <w:t xml:space="preserve"> </w:t>
            </w:r>
            <w:r>
              <w:rPr>
                <w:noProof/>
                <w:lang w:val="en-GB"/>
              </w:rPr>
              <w:t>(</w:t>
            </w:r>
            <w:r w:rsidRPr="00235EF6">
              <w:rPr>
                <w:noProof/>
                <w:lang w:val="en-GB"/>
              </w:rPr>
              <w:t>2018)</w:t>
            </w:r>
            <w:r w:rsidRPr="00235EF6">
              <w:rPr>
                <w:lang w:val="en-GB"/>
              </w:rPr>
              <w:fldChar w:fldCharType="end"/>
            </w:r>
          </w:p>
        </w:tc>
      </w:tr>
      <w:tr w:rsidR="00BF091E" w:rsidRPr="00235EF6" w14:paraId="38CC5C21" w14:textId="77777777" w:rsidTr="00FF7EFD">
        <w:tc>
          <w:tcPr>
            <w:tcW w:w="2410" w:type="dxa"/>
            <w:shd w:val="clear" w:color="auto" w:fill="FFFFFF"/>
          </w:tcPr>
          <w:p w14:paraId="4D4B11A0" w14:textId="77777777" w:rsidR="00BF091E" w:rsidRPr="00235EF6" w:rsidRDefault="00BF091E" w:rsidP="00BF091E">
            <w:pPr>
              <w:pStyle w:val="CETBodytext"/>
              <w:ind w:right="-1"/>
              <w:rPr>
                <w:lang w:val="en-GB"/>
              </w:rPr>
            </w:pPr>
            <w:r w:rsidRPr="00235EF6">
              <w:rPr>
                <w:lang w:val="en-GB"/>
              </w:rPr>
              <w:t>OPEX (</w:t>
            </w:r>
            <w:proofErr w:type="spellStart"/>
            <w:r w:rsidRPr="00235EF6">
              <w:rPr>
                <w:lang w:val="en-GB"/>
              </w:rPr>
              <w:t>Eur</w:t>
            </w:r>
            <w:proofErr w:type="spellEnd"/>
            <w:r w:rsidRPr="00235EF6">
              <w:rPr>
                <w:lang w:val="en-GB"/>
              </w:rPr>
              <w:t>/y)</w:t>
            </w:r>
          </w:p>
        </w:tc>
        <w:tc>
          <w:tcPr>
            <w:tcW w:w="6379" w:type="dxa"/>
            <w:gridSpan w:val="3"/>
            <w:shd w:val="clear" w:color="auto" w:fill="FFFFFF"/>
            <w:vAlign w:val="center"/>
          </w:tcPr>
          <w:p w14:paraId="53EFFD11" w14:textId="50D7A119" w:rsidR="00BF091E" w:rsidRPr="00235EF6" w:rsidRDefault="00BF091E" w:rsidP="00BF091E">
            <w:pPr>
              <w:pStyle w:val="CETBodytext"/>
              <w:ind w:right="-1"/>
              <w:jc w:val="center"/>
              <w:rPr>
                <w:lang w:val="en-GB"/>
              </w:rPr>
            </w:pPr>
            <w:r w:rsidRPr="00235EF6">
              <w:rPr>
                <w:lang w:val="en-GB"/>
              </w:rPr>
              <w:t xml:space="preserve">following an adaptation of the cost model from </w:t>
            </w:r>
            <w:r w:rsidRPr="00235EF6">
              <w:rPr>
                <w:lang w:val="en-GB"/>
              </w:rPr>
              <w:fldChar w:fldCharType="begin" w:fldLock="1"/>
            </w:r>
            <w:r w:rsidR="00D25F7E">
              <w:rPr>
                <w:lang w:val="en-GB"/>
              </w:rPr>
              <w:instrText>ADDIN CSL_CITATION {"citationItems":[{"id":"ITEM-1","itemData":{"DOI":"10.1080/15567249.2018.1461150","ISSN":"15567257","abstract":"Installed wind energy capacity has been rapidly increasing over the last decade, with deployments in deeper waters and further offshore, with higher turbine ratings within new farms. Understanding the impact of different deployment factors on the overall cost of wind farms is pertinent toward benchmarking the potential of different investment decision alternatives. In this article, a set of parametric expressions for capital expenditure, operational expenditure, and levelized cost of energy are developed as a function of wind turbine capacity (P), water depth (WD), distance from port (D), and wind farm capacity (P). These expressions have been developed through a series of simulations based on a fully integrated, tested cost model which are then generalized through the application of appropriate nonlinear regression equations for a typical offshore wind farm investment and taking into account most current published cost figures. The effectiveness of the models are countersigned through a series of cases, estimating the predicted values with a maximum error of 3.3%. These expressions will be particularly useful for the preliminary assessment of available deployment sites, offering cost estimates based on global decision variables.","author":[{"dropping-particle":"","family":"Ioannou","given":"Anastasia","non-dropping-particle":"","parse-names":false,"suffix":""},{"dropping-particle":"","family":"Angus","given":"Andrew","non-dropping-particle":"","parse-names":false,"suffix":""},{"dropping-particle":"","family":"Brennan","given":"Feargal","non-dropping-particle":"","parse-names":false,"suffix":""}],"container-title":"Energy Sources, Part B: Economics, Planning and Policy","id":"ITEM-1","issue":"5","issued":{"date-parts":[["2018"]]},"page":"281-290","title":"Parametric CAPEX, OPEX, and LCOE expressions for offshore wind farms based on global deployment parameters","type":"article-journal","volume":"13"},"uris":["http://www.mendeley.com/documents/?uuid=4d14241b-3e01-4913-b677-cf204bde1932"]}],"mendeley":{"formattedCitation":"(Ioannou et al., 2018)","manualFormatting":"Ioannou et al. (2018)","plainTextFormattedCitation":"(Ioannou et al., 2018)","previouslyFormattedCitation":"(Ioannou et al., 2018)"},"properties":{"noteIndex":0},"schema":"https://github.com/citation-style-language/schema/raw/master/csl-citation.json"}</w:instrText>
            </w:r>
            <w:r w:rsidRPr="00235EF6">
              <w:rPr>
                <w:lang w:val="en-GB"/>
              </w:rPr>
              <w:fldChar w:fldCharType="separate"/>
            </w:r>
            <w:r>
              <w:rPr>
                <w:noProof/>
                <w:lang w:val="en-GB"/>
              </w:rPr>
              <w:t>Ioannou et al.</w:t>
            </w:r>
            <w:r w:rsidRPr="00235EF6">
              <w:rPr>
                <w:noProof/>
                <w:lang w:val="en-GB"/>
              </w:rPr>
              <w:t xml:space="preserve"> </w:t>
            </w:r>
            <w:r>
              <w:rPr>
                <w:noProof/>
                <w:lang w:val="en-GB"/>
              </w:rPr>
              <w:t>(</w:t>
            </w:r>
            <w:r w:rsidRPr="00235EF6">
              <w:rPr>
                <w:noProof/>
                <w:lang w:val="en-GB"/>
              </w:rPr>
              <w:t>2018)</w:t>
            </w:r>
            <w:r w:rsidRPr="00235EF6">
              <w:rPr>
                <w:lang w:val="en-GB"/>
              </w:rPr>
              <w:fldChar w:fldCharType="end"/>
            </w:r>
          </w:p>
        </w:tc>
      </w:tr>
      <w:tr w:rsidR="00BF091E" w:rsidRPr="00235EF6" w14:paraId="215CBA2A" w14:textId="77777777" w:rsidTr="00FF7EFD">
        <w:tc>
          <w:tcPr>
            <w:tcW w:w="2410" w:type="dxa"/>
            <w:shd w:val="clear" w:color="auto" w:fill="FFFFFF"/>
          </w:tcPr>
          <w:p w14:paraId="12F7277F" w14:textId="77777777" w:rsidR="00BF091E" w:rsidRPr="00235EF6" w:rsidRDefault="00BF091E" w:rsidP="00BF091E">
            <w:pPr>
              <w:pStyle w:val="CETBodytext"/>
              <w:ind w:right="-1"/>
              <w:rPr>
                <w:lang w:val="en-GB"/>
              </w:rPr>
            </w:pPr>
            <w:r w:rsidRPr="00235EF6">
              <w:rPr>
                <w:lang w:val="en-GB"/>
              </w:rPr>
              <w:t xml:space="preserve">GWP/ </w:t>
            </w:r>
            <w:proofErr w:type="spellStart"/>
            <w:r w:rsidRPr="00235EF6">
              <w:rPr>
                <w:lang w:val="en-GB"/>
              </w:rPr>
              <w:t>P</w:t>
            </w:r>
            <w:r w:rsidRPr="00235EF6">
              <w:rPr>
                <w:vertAlign w:val="subscript"/>
                <w:lang w:val="en-GB"/>
              </w:rPr>
              <w:t>nom</w:t>
            </w:r>
            <w:proofErr w:type="spellEnd"/>
            <w:r w:rsidRPr="00235EF6">
              <w:rPr>
                <w:lang w:val="en-GB"/>
              </w:rPr>
              <w:t xml:space="preserve"> (kgCO</w:t>
            </w:r>
            <w:r w:rsidRPr="00235EF6">
              <w:rPr>
                <w:vertAlign w:val="subscript"/>
                <w:lang w:val="en-GB"/>
              </w:rPr>
              <w:t>2</w:t>
            </w:r>
            <w:r w:rsidRPr="00235EF6">
              <w:rPr>
                <w:lang w:val="en-GB"/>
              </w:rPr>
              <w:t>/</w:t>
            </w:r>
            <w:proofErr w:type="spellStart"/>
            <w:r w:rsidRPr="00235EF6">
              <w:rPr>
                <w:lang w:val="en-GB"/>
              </w:rPr>
              <w:t>kWp</w:t>
            </w:r>
            <w:proofErr w:type="spellEnd"/>
            <w:r w:rsidRPr="00235EF6">
              <w:rPr>
                <w:lang w:val="en-GB"/>
              </w:rPr>
              <w:t>)</w:t>
            </w:r>
          </w:p>
        </w:tc>
        <w:tc>
          <w:tcPr>
            <w:tcW w:w="6379" w:type="dxa"/>
            <w:gridSpan w:val="3"/>
            <w:shd w:val="clear" w:color="auto" w:fill="FFFFFF"/>
          </w:tcPr>
          <w:p w14:paraId="2EB2EDE2" w14:textId="02E93CED" w:rsidR="00BF091E" w:rsidRPr="00235EF6" w:rsidRDefault="00BF091E" w:rsidP="00BF091E">
            <w:pPr>
              <w:pStyle w:val="CETBodytext"/>
              <w:ind w:right="-1"/>
              <w:jc w:val="center"/>
              <w:rPr>
                <w:lang w:val="en-GB"/>
              </w:rPr>
            </w:pPr>
            <w:r w:rsidRPr="00235EF6">
              <w:rPr>
                <w:lang w:val="en-GB"/>
              </w:rPr>
              <w:t xml:space="preserve">1.5E3 (adapted from </w:t>
            </w:r>
            <w:r w:rsidRPr="00235EF6">
              <w:rPr>
                <w:lang w:val="en-GB"/>
              </w:rPr>
              <w:fldChar w:fldCharType="begin" w:fldLock="1"/>
            </w:r>
            <w:r w:rsidR="00D25F7E">
              <w:rPr>
                <w:lang w:val="en-GB"/>
              </w:rPr>
              <w:instrText>ADDIN CSL_CITATION {"citationItems":[{"id":"ITEM-1","itemData":{"DOI":"10.1016/j.renene.2013.11.075","ISSN":"09601481","abstract":"This paper presents specific life cycle GHG emissions from wind power generation from six different 5MW offshore wind turbine conceptual designs. In addition, the energy performance, expressed by the energy indicators Energy Payback Ratio (EPR) Energy Payback Time (EPT), is calculated for each of the concepts.There are currently few LCA studies in existence which analyse offshore wind turbines with rated power as great as 5MW. The results, therefore, give valuable additional environmental information concerning large offshore wind power. The resulting GHG emissions vary between 18 and 31.4g CO2-equivalents per kWh while the energy performance, assessed as EPR and EPT, varies between 7.5 and 12.9, and 1.6 and 2.7 years, respectively. The relatively large ranges in GHG emissions and energy performance are chiefly the result of the differing steel masses required for the analysed platforms. One major conclusion from this study is that specific platform/foundation steel masses are important for the overall GHG emissions relating to offshore wind power. Other parameters of importance when comparing the environmental performance of offshore wind concepts are the lifetime of the turbines, wind conditions, distance to shore, and installation and decommissioning activities.Even though the GHG emissions from wind power vary to a relatively large degree, wind power can fully compete with other low GHG emission electricity technologies, such as nuclear, photovoltaic and hydro power. © 2013 Elsevier Ltd.","author":[{"dropping-particle":"","family":"Raadal","given":"Hanne Lerche","non-dropping-particle":"","parse-names":false,"suffix":""},{"dropping-particle":"","family":"Vold","given":"Bjørn Ivar","non-dropping-particle":"","parse-names":false,"suffix":""},{"dropping-particle":"","family":"Myhr","given":"Anders","non-dropping-particle":"","parse-names":false,"suffix":""},{"dropping-particle":"","family":"Nygaard","given":"Tor Anders","non-dropping-particle":"","parse-names":false,"suffix":""}],"container-title":"Renewable Energy","id":"ITEM-1","issued":{"date-parts":[["2014"]]},"page":"314-324","publisher":"Elsevier Ltd","title":"GHG emissions and energy performance of offshore wind power","type":"article-journal","volume":"66"},"uris":["http://www.mendeley.com/documents/?uuid=f7340fc7-f603-4f21-abe2-ef82257dd4eb"]}],"mendeley":{"formattedCitation":"(Raadal et al., 2014)","manualFormatting":"Raadal et al. (2014)","plainTextFormattedCitation":"(Raadal et al., 2014)","previouslyFormattedCitation":"(Raadal et al., 2014)"},"properties":{"noteIndex":0},"schema":"https://github.com/citation-style-language/schema/raw/master/csl-citation.json"}</w:instrText>
            </w:r>
            <w:r w:rsidRPr="00235EF6">
              <w:rPr>
                <w:lang w:val="en-GB"/>
              </w:rPr>
              <w:fldChar w:fldCharType="separate"/>
            </w:r>
            <w:r>
              <w:rPr>
                <w:noProof/>
                <w:lang w:val="en-GB"/>
              </w:rPr>
              <w:t>Raadal et al. (</w:t>
            </w:r>
            <w:r w:rsidRPr="00235EF6">
              <w:rPr>
                <w:noProof/>
                <w:lang w:val="en-GB"/>
              </w:rPr>
              <w:t>2014)</w:t>
            </w:r>
            <w:r w:rsidRPr="00235EF6">
              <w:rPr>
                <w:lang w:val="en-GB"/>
              </w:rPr>
              <w:fldChar w:fldCharType="end"/>
            </w:r>
            <w:r w:rsidRPr="00235EF6">
              <w:rPr>
                <w:lang w:val="en-GB"/>
              </w:rPr>
              <w:t>)</w:t>
            </w:r>
          </w:p>
        </w:tc>
      </w:tr>
      <w:tr w:rsidR="00BF091E" w:rsidRPr="00235EF6" w14:paraId="135F5674" w14:textId="77777777" w:rsidTr="00FF7EFD">
        <w:tc>
          <w:tcPr>
            <w:tcW w:w="2410" w:type="dxa"/>
            <w:shd w:val="clear" w:color="auto" w:fill="FFFFFF"/>
          </w:tcPr>
          <w:p w14:paraId="7D5EA689" w14:textId="77777777" w:rsidR="00BF091E" w:rsidRPr="00235EF6" w:rsidRDefault="00BF091E" w:rsidP="00BF091E">
            <w:pPr>
              <w:pStyle w:val="CETBodytext"/>
              <w:ind w:right="-1"/>
              <w:rPr>
                <w:lang w:val="en-GB"/>
              </w:rPr>
            </w:pPr>
            <w:r w:rsidRPr="00235EF6">
              <w:rPr>
                <w:lang w:val="en-GB"/>
              </w:rPr>
              <w:t>Maximum number of devices</w:t>
            </w:r>
          </w:p>
        </w:tc>
        <w:tc>
          <w:tcPr>
            <w:tcW w:w="2138" w:type="dxa"/>
            <w:shd w:val="clear" w:color="auto" w:fill="FFFFFF"/>
          </w:tcPr>
          <w:p w14:paraId="3327C856" w14:textId="77777777" w:rsidR="00BF091E" w:rsidRPr="00235EF6" w:rsidRDefault="00BF091E" w:rsidP="00BF091E">
            <w:pPr>
              <w:pStyle w:val="CETBodytext"/>
              <w:ind w:right="-1"/>
              <w:rPr>
                <w:lang w:val="en-GB"/>
              </w:rPr>
            </w:pPr>
            <w:r w:rsidRPr="00235EF6">
              <w:rPr>
                <w:lang w:val="en-GB"/>
              </w:rPr>
              <w:t>12</w:t>
            </w:r>
          </w:p>
        </w:tc>
        <w:tc>
          <w:tcPr>
            <w:tcW w:w="2138" w:type="dxa"/>
            <w:shd w:val="clear" w:color="auto" w:fill="FFFFFF"/>
          </w:tcPr>
          <w:p w14:paraId="183D5ABE" w14:textId="77777777" w:rsidR="00BF091E" w:rsidRPr="00235EF6" w:rsidRDefault="00BF091E" w:rsidP="00BF091E">
            <w:pPr>
              <w:pStyle w:val="CETBodytext"/>
              <w:ind w:right="-1"/>
              <w:rPr>
                <w:lang w:val="en-GB"/>
              </w:rPr>
            </w:pPr>
            <w:r w:rsidRPr="00235EF6">
              <w:rPr>
                <w:lang w:val="en-GB"/>
              </w:rPr>
              <w:t>12</w:t>
            </w:r>
          </w:p>
        </w:tc>
        <w:tc>
          <w:tcPr>
            <w:tcW w:w="2103" w:type="dxa"/>
            <w:shd w:val="clear" w:color="auto" w:fill="FFFFFF"/>
          </w:tcPr>
          <w:p w14:paraId="04CEFA27" w14:textId="77777777" w:rsidR="00BF091E" w:rsidRPr="00235EF6" w:rsidRDefault="00BF091E" w:rsidP="00BF091E">
            <w:pPr>
              <w:pStyle w:val="CETBodytext"/>
              <w:ind w:right="-1"/>
              <w:rPr>
                <w:lang w:val="en-GB"/>
              </w:rPr>
            </w:pPr>
            <w:r w:rsidRPr="00235EF6">
              <w:rPr>
                <w:lang w:val="en-GB"/>
              </w:rPr>
              <w:t>12</w:t>
            </w:r>
          </w:p>
        </w:tc>
      </w:tr>
    </w:tbl>
    <w:p w14:paraId="4B846107" w14:textId="77777777" w:rsidR="00692049" w:rsidRPr="00235EF6" w:rsidRDefault="00692049" w:rsidP="00692049">
      <w:pPr>
        <w:pStyle w:val="CETTabletitle"/>
      </w:pPr>
      <w:bookmarkStart w:id="2" w:name="_Ref124861435"/>
      <w:r w:rsidRPr="00235EF6">
        <w:t xml:space="preserve">Table </w:t>
      </w:r>
      <w:r w:rsidRPr="00235EF6">
        <w:fldChar w:fldCharType="begin"/>
      </w:r>
      <w:r w:rsidRPr="00235EF6">
        <w:instrText xml:space="preserve"> SEQ Table \* ARABIC </w:instrText>
      </w:r>
      <w:r w:rsidRPr="00235EF6">
        <w:fldChar w:fldCharType="separate"/>
      </w:r>
      <w:r w:rsidRPr="00235EF6">
        <w:rPr>
          <w:noProof/>
        </w:rPr>
        <w:t>2</w:t>
      </w:r>
      <w:r w:rsidRPr="00235EF6">
        <w:fldChar w:fldCharType="end"/>
      </w:r>
      <w:bookmarkEnd w:id="2"/>
      <w:r w:rsidRPr="00235EF6">
        <w:t>: Features of the WECs included in the assessment.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1985"/>
        <w:gridCol w:w="2693"/>
        <w:gridCol w:w="1701"/>
      </w:tblGrid>
      <w:tr w:rsidR="00692049" w:rsidRPr="00235EF6" w14:paraId="072A2E89" w14:textId="77777777" w:rsidTr="00D15754">
        <w:tc>
          <w:tcPr>
            <w:tcW w:w="2410" w:type="dxa"/>
            <w:tcBorders>
              <w:top w:val="single" w:sz="12" w:space="0" w:color="008000"/>
              <w:bottom w:val="single" w:sz="6" w:space="0" w:color="008000"/>
            </w:tcBorders>
            <w:shd w:val="clear" w:color="auto" w:fill="FFFFFF"/>
          </w:tcPr>
          <w:p w14:paraId="308B2EEC" w14:textId="77777777" w:rsidR="00692049" w:rsidRPr="00235EF6" w:rsidRDefault="00692049" w:rsidP="00FF7EFD">
            <w:pPr>
              <w:pStyle w:val="CETBodytext"/>
              <w:rPr>
                <w:lang w:val="en-GB"/>
              </w:rPr>
            </w:pPr>
            <w:r w:rsidRPr="00235EF6">
              <w:rPr>
                <w:lang w:val="en-GB"/>
              </w:rPr>
              <w:t>Model name (tag)</w:t>
            </w:r>
          </w:p>
        </w:tc>
        <w:tc>
          <w:tcPr>
            <w:tcW w:w="1985" w:type="dxa"/>
            <w:tcBorders>
              <w:top w:val="single" w:sz="12" w:space="0" w:color="008000"/>
              <w:bottom w:val="single" w:sz="6" w:space="0" w:color="008000"/>
            </w:tcBorders>
            <w:shd w:val="clear" w:color="auto" w:fill="FFFFFF"/>
          </w:tcPr>
          <w:p w14:paraId="6693E45B" w14:textId="77777777" w:rsidR="00692049" w:rsidRPr="00235EF6" w:rsidRDefault="00692049" w:rsidP="00FF7EFD">
            <w:pPr>
              <w:pStyle w:val="CETBodytext"/>
              <w:rPr>
                <w:lang w:val="en-GB"/>
              </w:rPr>
            </w:pPr>
            <w:r w:rsidRPr="00235EF6">
              <w:rPr>
                <w:lang w:val="en-GB"/>
              </w:rPr>
              <w:t>Wave Dragon 7 MW (1)</w:t>
            </w:r>
          </w:p>
        </w:tc>
        <w:tc>
          <w:tcPr>
            <w:tcW w:w="2693" w:type="dxa"/>
            <w:tcBorders>
              <w:top w:val="single" w:sz="12" w:space="0" w:color="008000"/>
              <w:bottom w:val="single" w:sz="6" w:space="0" w:color="008000"/>
            </w:tcBorders>
            <w:shd w:val="clear" w:color="auto" w:fill="FFFFFF"/>
          </w:tcPr>
          <w:p w14:paraId="52AC61FB" w14:textId="77777777" w:rsidR="00692049" w:rsidRPr="00235EF6" w:rsidRDefault="00692049" w:rsidP="00FF7EFD">
            <w:pPr>
              <w:pStyle w:val="CETBodytext"/>
              <w:rPr>
                <w:lang w:val="en-GB"/>
              </w:rPr>
            </w:pPr>
            <w:r w:rsidRPr="00235EF6">
              <w:rPr>
                <w:lang w:val="en-GB"/>
              </w:rPr>
              <w:t>Wave Dragon 1 MW (2)</w:t>
            </w:r>
          </w:p>
        </w:tc>
        <w:tc>
          <w:tcPr>
            <w:tcW w:w="1701" w:type="dxa"/>
            <w:tcBorders>
              <w:top w:val="single" w:sz="12" w:space="0" w:color="008000"/>
              <w:bottom w:val="single" w:sz="6" w:space="0" w:color="008000"/>
            </w:tcBorders>
            <w:shd w:val="clear" w:color="auto" w:fill="FFFFFF"/>
          </w:tcPr>
          <w:p w14:paraId="3A37BBBE" w14:textId="77777777" w:rsidR="00692049" w:rsidRPr="00235EF6" w:rsidRDefault="00692049" w:rsidP="00FF7EFD">
            <w:pPr>
              <w:pStyle w:val="CETBodytext"/>
              <w:ind w:right="-1"/>
              <w:rPr>
                <w:rFonts w:cs="Arial"/>
                <w:szCs w:val="18"/>
                <w:lang w:val="en-GB"/>
              </w:rPr>
            </w:pPr>
            <w:proofErr w:type="spellStart"/>
            <w:r w:rsidRPr="00235EF6">
              <w:rPr>
                <w:lang w:val="en-GB"/>
              </w:rPr>
              <w:t>Pelamis</w:t>
            </w:r>
            <w:proofErr w:type="spellEnd"/>
            <w:r w:rsidRPr="00235EF6">
              <w:rPr>
                <w:lang w:val="en-GB"/>
              </w:rPr>
              <w:t xml:space="preserve"> (3)</w:t>
            </w:r>
          </w:p>
        </w:tc>
      </w:tr>
      <w:tr w:rsidR="00692049" w:rsidRPr="00235EF6" w14:paraId="60491680" w14:textId="77777777" w:rsidTr="00D15754">
        <w:tc>
          <w:tcPr>
            <w:tcW w:w="2410" w:type="dxa"/>
            <w:shd w:val="clear" w:color="auto" w:fill="FFFFFF"/>
          </w:tcPr>
          <w:p w14:paraId="7847EE52" w14:textId="652066E0" w:rsidR="00692049" w:rsidRPr="00235EF6" w:rsidRDefault="00BF091E" w:rsidP="00FF7EFD">
            <w:pPr>
              <w:pStyle w:val="CETBodytext"/>
              <w:rPr>
                <w:lang w:val="en-GB"/>
              </w:rPr>
            </w:pPr>
            <w:r>
              <w:rPr>
                <w:lang w:val="en-GB"/>
              </w:rPr>
              <w:t>Data ref.</w:t>
            </w:r>
          </w:p>
        </w:tc>
        <w:tc>
          <w:tcPr>
            <w:tcW w:w="1985" w:type="dxa"/>
            <w:shd w:val="clear" w:color="auto" w:fill="FFFFFF"/>
          </w:tcPr>
          <w:p w14:paraId="7A8EB499" w14:textId="27179B88" w:rsidR="00692049" w:rsidRPr="00235EF6" w:rsidRDefault="00BF091E" w:rsidP="00FF7EFD">
            <w:pPr>
              <w:pStyle w:val="CETBodytext"/>
              <w:rPr>
                <w:lang w:val="en-GB"/>
              </w:rPr>
            </w:pPr>
            <w:r w:rsidRPr="00235EF6">
              <w:rPr>
                <w:lang w:val="en-GB"/>
              </w:rPr>
              <w:fldChar w:fldCharType="begin" w:fldLock="1"/>
            </w:r>
            <w:r w:rsidR="00D25F7E">
              <w:rPr>
                <w:lang w:val="en-GB"/>
              </w:rPr>
              <w:instrText>ADDIN CSL_CITATION {"citationItems":[{"id":"ITEM-1","itemData":{"DOI":"10.3390/en6031344","ISSN":"19961073","abstract":"The objective of the present work is to perform an evaluation of the performance provided by various technologies for wave energy conversion in the Portuguese continental coastal environment. The wave climate in the target area is first analyzed using the results from three years of simulations with a wave prediction system based on numerical models. Based on the above data, diagrams for the bivariate distributions of the sea states occurrences, defined by the significant wave height and the energy period, are designed for both winters and whole years. On this basis, the output of five different technologies for the conversion of wave energy is assessed in some relevant locations from the Portuguese nearshore. According to the results obtained, the Portuguese continental coastal environment appears to be appropriate for the wave energy extraction. At the same time, the present work shows that the output of the wave energy conversion devices does not depend only on the average wave energy but is also dependent on the distribution of the wave energy among the sea states of different periods. For this reason, a good agreement between the characteristics of the power matrices of the wave energy converters operating in a certain place and the diagrams for the bivariate distributions of the sea states occurrences corresponding to the considered location represents a key issue in selecting the most appropriate technology for wave energy conversion. © 2013 by the authors; licensee MDPI, Basel, Switzerland.","author":[{"dropping-particle":"","family":"Silva","given":"Dina","non-dropping-particle":"","parse-names":false,"suffix":""},{"dropping-particle":"","family":"Rusu","given":"Eugen","non-dropping-particle":"","parse-names":false,"suffix":""},{"dropping-particle":"","family":"Soares","given":"Carlos Guedes","non-dropping-particle":"","parse-names":false,"suffix":""}],"container-title":"Energies","id":"ITEM-1","issue":"3","issued":{"date-parts":[["2013"]]},"page":"1344-1364","title":"Evaluation of various technologies for wave energy conversion in the portuguese nearshore","type":"article-journal","volume":"6"},"uris":["http://www.mendeley.com/documents/?uuid=8bd8cc3b-9d6c-4d67-8d85-f3b32fe60f77"]}],"mendeley":{"formattedCitation":"(Silva et al., 2013)","plainTextFormattedCitation":"(Silva et al., 2013)","previouslyFormattedCitation":"(Silva et al., 2013)"},"properties":{"noteIndex":0},"schema":"https://github.com/citation-style-language/schema/raw/master/csl-citation.json"}</w:instrText>
            </w:r>
            <w:r w:rsidRPr="00235EF6">
              <w:rPr>
                <w:lang w:val="en-GB"/>
              </w:rPr>
              <w:fldChar w:fldCharType="separate"/>
            </w:r>
            <w:r w:rsidR="00D25F7E" w:rsidRPr="00D25F7E">
              <w:rPr>
                <w:noProof/>
                <w:lang w:val="en-GB"/>
              </w:rPr>
              <w:t>(Silva et al., 2013)</w:t>
            </w:r>
            <w:r w:rsidRPr="00235EF6">
              <w:rPr>
                <w:lang w:val="en-GB"/>
              </w:rPr>
              <w:fldChar w:fldCharType="end"/>
            </w:r>
          </w:p>
        </w:tc>
        <w:tc>
          <w:tcPr>
            <w:tcW w:w="2693" w:type="dxa"/>
            <w:shd w:val="clear" w:color="auto" w:fill="FFFFFF"/>
          </w:tcPr>
          <w:p w14:paraId="4FB358AD" w14:textId="4FB6896C" w:rsidR="00692049" w:rsidRPr="00235EF6" w:rsidRDefault="00D25F7E" w:rsidP="00FF7EFD">
            <w:pPr>
              <w:pStyle w:val="CETBodytext"/>
              <w:rPr>
                <w:lang w:val="en-GB"/>
              </w:rPr>
            </w:pPr>
            <w:r>
              <w:rPr>
                <w:lang w:val="en-GB"/>
              </w:rPr>
              <w:fldChar w:fldCharType="begin" w:fldLock="1"/>
            </w:r>
            <w:r>
              <w:rPr>
                <w:lang w:val="en-GB"/>
              </w:rPr>
              <w:instrText>ADDIN CSL_CITATION {"citationItems":[{"id":"ITEM-1","itemData":{"author":[{"dropping-particle":"","family":"Sørensen","given":"Hans Chr.","non-dropping-particle":"","parse-names":false,"suffix":""},{"dropping-particle":"","family":"Friis-Madsen","given":"Erik","non-dropping-particle":"","parse-names":false,"suffix":""}],"id":"ITEM-1","issue":"64010","issued":{"date-parts":[["2015"]]},"number-of-pages":"1-56","title":"Wave Dragon 1.5 MW North Sea Demonstrator - Phase 1","type":"report"},"uris":["http://www.mendeley.com/documents/?uuid=a19c83f5-a906-4588-9a79-945cbb92c847"]}],"mendeley":{"formattedCitation":"(Sørensen and Friis-Madsen, 2015)","plainTextFormattedCitation":"(Sørensen and Friis-Madsen, 2015)","previouslyFormattedCitation":"(Sørensen and Friis-Madsen, 2015)"},"properties":{"noteIndex":0},"schema":"https://github.com/citation-style-language/schema/raw/master/csl-citation.json"}</w:instrText>
            </w:r>
            <w:r>
              <w:rPr>
                <w:lang w:val="en-GB"/>
              </w:rPr>
              <w:fldChar w:fldCharType="separate"/>
            </w:r>
            <w:r w:rsidRPr="00D25F7E">
              <w:rPr>
                <w:noProof/>
                <w:lang w:val="en-GB"/>
              </w:rPr>
              <w:t>(Sørensen and Friis-Madsen, 2015)</w:t>
            </w:r>
            <w:r>
              <w:rPr>
                <w:lang w:val="en-GB"/>
              </w:rPr>
              <w:fldChar w:fldCharType="end"/>
            </w:r>
          </w:p>
        </w:tc>
        <w:tc>
          <w:tcPr>
            <w:tcW w:w="1701" w:type="dxa"/>
            <w:shd w:val="clear" w:color="auto" w:fill="FFFFFF"/>
          </w:tcPr>
          <w:p w14:paraId="2E5DD1DF" w14:textId="28C2C5FC" w:rsidR="00692049" w:rsidRPr="00235EF6" w:rsidRDefault="00BF091E" w:rsidP="00FF7EFD">
            <w:pPr>
              <w:pStyle w:val="CETBodytext"/>
              <w:ind w:right="-1"/>
              <w:rPr>
                <w:rFonts w:cs="Arial"/>
                <w:szCs w:val="18"/>
                <w:lang w:val="en-GB"/>
              </w:rPr>
            </w:pPr>
            <w:r w:rsidRPr="00235EF6">
              <w:rPr>
                <w:lang w:val="en-GB"/>
              </w:rPr>
              <w:fldChar w:fldCharType="begin" w:fldLock="1"/>
            </w:r>
            <w:r w:rsidR="00D25F7E">
              <w:rPr>
                <w:lang w:val="en-GB"/>
              </w:rPr>
              <w:instrText>ADDIN CSL_CITATION {"citationItems":[{"id":"ITEM-1","itemData":{"DOI":"10.3390/en6031344","ISSN":"19961073","abstract":"The objective of the present work is to perform an evaluation of the performance provided by various technologies for wave energy conversion in the Portuguese continental coastal environment. The wave climate in the target area is first analyzed using the results from three years of simulations with a wave prediction system based on numerical models. Based on the above data, diagrams for the bivariate distributions of the sea states occurrences, defined by the significant wave height and the energy period, are designed for both winters and whole years. On this basis, the output of five different technologies for the conversion of wave energy is assessed in some relevant locations from the Portuguese nearshore. According to the results obtained, the Portuguese continental coastal environment appears to be appropriate for the wave energy extraction. At the same time, the present work shows that the output of the wave energy conversion devices does not depend only on the average wave energy but is also dependent on the distribution of the wave energy among the sea states of different periods. For this reason, a good agreement between the characteristics of the power matrices of the wave energy converters operating in a certain place and the diagrams for the bivariate distributions of the sea states occurrences corresponding to the considered location represents a key issue in selecting the most appropriate technology for wave energy conversion. © 2013 by the authors; licensee MDPI, Basel, Switzerland.","author":[{"dropping-particle":"","family":"Silva","given":"Dina","non-dropping-particle":"","parse-names":false,"suffix":""},{"dropping-particle":"","family":"Rusu","given":"Eugen","non-dropping-particle":"","parse-names":false,"suffix":""},{"dropping-particle":"","family":"Soares","given":"Carlos Guedes","non-dropping-particle":"","parse-names":false,"suffix":""}],"container-title":"Energies","id":"ITEM-1","issue":"3","issued":{"date-parts":[["2013"]]},"page":"1344-1364","title":"Evaluation of various technologies for wave energy conversion in the portuguese nearshore","type":"article-journal","volume":"6"},"uris":["http://www.mendeley.com/documents/?uuid=8bd8cc3b-9d6c-4d67-8d85-f3b32fe60f77"]}],"mendeley":{"formattedCitation":"(Silva et al., 2013)","plainTextFormattedCitation":"(Silva et al., 2013)","previouslyFormattedCitation":"(Silva et al., 2013)"},"properties":{"noteIndex":0},"schema":"https://github.com/citation-style-language/schema/raw/master/csl-citation.json"}</w:instrText>
            </w:r>
            <w:r w:rsidRPr="00235EF6">
              <w:rPr>
                <w:lang w:val="en-GB"/>
              </w:rPr>
              <w:fldChar w:fldCharType="separate"/>
            </w:r>
            <w:r w:rsidR="00D25F7E" w:rsidRPr="00D25F7E">
              <w:rPr>
                <w:noProof/>
                <w:lang w:val="en-GB"/>
              </w:rPr>
              <w:t>(Silva et al., 2013)</w:t>
            </w:r>
            <w:r w:rsidRPr="00235EF6">
              <w:rPr>
                <w:lang w:val="en-GB"/>
              </w:rPr>
              <w:fldChar w:fldCharType="end"/>
            </w:r>
          </w:p>
        </w:tc>
      </w:tr>
      <w:tr w:rsidR="00BF091E" w:rsidRPr="00235EF6" w14:paraId="62126F48" w14:textId="77777777" w:rsidTr="00D15754">
        <w:tc>
          <w:tcPr>
            <w:tcW w:w="2410" w:type="dxa"/>
            <w:shd w:val="clear" w:color="auto" w:fill="FFFFFF"/>
          </w:tcPr>
          <w:p w14:paraId="3EDADACE" w14:textId="6FFDC82C" w:rsidR="00BF091E" w:rsidRPr="00D15754" w:rsidRDefault="00BF091E" w:rsidP="00BF091E">
            <w:pPr>
              <w:pStyle w:val="CETBodytext"/>
              <w:rPr>
                <w:b/>
                <w:lang w:val="en-GB"/>
              </w:rPr>
            </w:pPr>
            <w:r w:rsidRPr="00235EF6">
              <w:rPr>
                <w:lang w:val="en-GB"/>
              </w:rPr>
              <w:t xml:space="preserve">Nominal power - </w:t>
            </w:r>
            <w:proofErr w:type="spellStart"/>
            <w:r w:rsidRPr="00235EF6">
              <w:rPr>
                <w:lang w:val="en-GB"/>
              </w:rPr>
              <w:t>P</w:t>
            </w:r>
            <w:r w:rsidRPr="00235EF6">
              <w:rPr>
                <w:vertAlign w:val="subscript"/>
                <w:lang w:val="en-GB"/>
              </w:rPr>
              <w:t>nom</w:t>
            </w:r>
            <w:proofErr w:type="spellEnd"/>
            <w:r w:rsidRPr="00235EF6">
              <w:rPr>
                <w:lang w:val="en-GB"/>
              </w:rPr>
              <w:t xml:space="preserve"> (kW)</w:t>
            </w:r>
          </w:p>
        </w:tc>
        <w:tc>
          <w:tcPr>
            <w:tcW w:w="1985" w:type="dxa"/>
            <w:shd w:val="clear" w:color="auto" w:fill="FFFFFF"/>
          </w:tcPr>
          <w:p w14:paraId="6D08F2EA" w14:textId="75F53C23" w:rsidR="00BF091E" w:rsidRPr="00235EF6" w:rsidRDefault="00BF091E" w:rsidP="00BF091E">
            <w:pPr>
              <w:pStyle w:val="CETBodytext"/>
              <w:rPr>
                <w:lang w:val="en-GB"/>
              </w:rPr>
            </w:pPr>
            <w:r w:rsidRPr="00235EF6">
              <w:rPr>
                <w:lang w:val="en-GB"/>
              </w:rPr>
              <w:t>7000</w:t>
            </w:r>
          </w:p>
        </w:tc>
        <w:tc>
          <w:tcPr>
            <w:tcW w:w="2693" w:type="dxa"/>
            <w:shd w:val="clear" w:color="auto" w:fill="FFFFFF"/>
          </w:tcPr>
          <w:p w14:paraId="0B5BF24C" w14:textId="5C110A2B" w:rsidR="00BF091E" w:rsidRPr="00235EF6" w:rsidRDefault="00BF091E" w:rsidP="00BF091E">
            <w:pPr>
              <w:pStyle w:val="CETBodytext"/>
              <w:rPr>
                <w:lang w:val="en-GB"/>
              </w:rPr>
            </w:pPr>
            <w:r w:rsidRPr="00235EF6">
              <w:rPr>
                <w:lang w:val="en-GB"/>
              </w:rPr>
              <w:t>1000</w:t>
            </w:r>
          </w:p>
        </w:tc>
        <w:tc>
          <w:tcPr>
            <w:tcW w:w="1701" w:type="dxa"/>
            <w:shd w:val="clear" w:color="auto" w:fill="FFFFFF"/>
          </w:tcPr>
          <w:p w14:paraId="616B07AD" w14:textId="14BFEC6A" w:rsidR="00BF091E" w:rsidRPr="00235EF6" w:rsidRDefault="00BF091E" w:rsidP="00BF091E">
            <w:pPr>
              <w:pStyle w:val="CETBodytext"/>
              <w:ind w:right="-1"/>
              <w:rPr>
                <w:lang w:val="en-GB"/>
              </w:rPr>
            </w:pPr>
            <w:r w:rsidRPr="00235EF6">
              <w:rPr>
                <w:lang w:val="en-GB"/>
              </w:rPr>
              <w:t>750</w:t>
            </w:r>
          </w:p>
        </w:tc>
      </w:tr>
      <w:tr w:rsidR="00BF091E" w:rsidRPr="00235EF6" w14:paraId="4419CEFA" w14:textId="77777777" w:rsidTr="00D15754">
        <w:tc>
          <w:tcPr>
            <w:tcW w:w="2410" w:type="dxa"/>
            <w:shd w:val="clear" w:color="auto" w:fill="FFFFFF"/>
          </w:tcPr>
          <w:p w14:paraId="6EF11912" w14:textId="77777777" w:rsidR="00BF091E" w:rsidRPr="00235EF6" w:rsidRDefault="00BF091E" w:rsidP="00BF091E">
            <w:pPr>
              <w:pStyle w:val="CETBodytext"/>
              <w:ind w:right="-1"/>
              <w:rPr>
                <w:rFonts w:cs="Arial"/>
                <w:szCs w:val="18"/>
                <w:lang w:val="en-GB"/>
              </w:rPr>
            </w:pPr>
            <w:r w:rsidRPr="00235EF6">
              <w:rPr>
                <w:lang w:val="en-GB"/>
              </w:rPr>
              <w:t>Characteristic length (m)</w:t>
            </w:r>
          </w:p>
        </w:tc>
        <w:tc>
          <w:tcPr>
            <w:tcW w:w="1985" w:type="dxa"/>
            <w:shd w:val="clear" w:color="auto" w:fill="FFFFFF"/>
          </w:tcPr>
          <w:p w14:paraId="325BA8F2" w14:textId="77777777" w:rsidR="00BF091E" w:rsidRPr="00235EF6" w:rsidRDefault="00BF091E" w:rsidP="00BF091E">
            <w:pPr>
              <w:pStyle w:val="CETBodytext"/>
              <w:ind w:right="-1"/>
              <w:rPr>
                <w:rFonts w:cs="Arial"/>
                <w:szCs w:val="18"/>
                <w:lang w:val="en-GB"/>
              </w:rPr>
            </w:pPr>
            <w:r w:rsidRPr="00235EF6">
              <w:rPr>
                <w:lang w:val="en-GB"/>
              </w:rPr>
              <w:t>300</w:t>
            </w:r>
          </w:p>
        </w:tc>
        <w:tc>
          <w:tcPr>
            <w:tcW w:w="2693" w:type="dxa"/>
            <w:shd w:val="clear" w:color="auto" w:fill="FFFFFF"/>
          </w:tcPr>
          <w:p w14:paraId="016D2ADA" w14:textId="77777777" w:rsidR="00BF091E" w:rsidRPr="00235EF6" w:rsidRDefault="00BF091E" w:rsidP="00BF091E">
            <w:pPr>
              <w:pStyle w:val="CETBodytext"/>
              <w:ind w:right="-1"/>
              <w:rPr>
                <w:rFonts w:cs="Arial"/>
                <w:szCs w:val="18"/>
                <w:lang w:val="en-GB"/>
              </w:rPr>
            </w:pPr>
            <w:r w:rsidRPr="00235EF6">
              <w:rPr>
                <w:lang w:val="en-GB"/>
              </w:rPr>
              <w:t>170</w:t>
            </w:r>
          </w:p>
        </w:tc>
        <w:tc>
          <w:tcPr>
            <w:tcW w:w="1701" w:type="dxa"/>
            <w:shd w:val="clear" w:color="auto" w:fill="FFFFFF"/>
          </w:tcPr>
          <w:p w14:paraId="5411A5FD" w14:textId="77777777" w:rsidR="00BF091E" w:rsidRPr="00235EF6" w:rsidRDefault="00BF091E" w:rsidP="00BF091E">
            <w:pPr>
              <w:pStyle w:val="CETBodytext"/>
              <w:ind w:right="-1"/>
              <w:rPr>
                <w:rFonts w:cs="Arial"/>
                <w:szCs w:val="18"/>
                <w:lang w:val="en-GB"/>
              </w:rPr>
            </w:pPr>
            <w:r w:rsidRPr="00235EF6">
              <w:rPr>
                <w:lang w:val="en-GB"/>
              </w:rPr>
              <w:t>150</w:t>
            </w:r>
          </w:p>
        </w:tc>
      </w:tr>
      <w:tr w:rsidR="00BF091E" w:rsidRPr="00235EF6" w14:paraId="56557B77" w14:textId="77777777" w:rsidTr="00D15754">
        <w:tc>
          <w:tcPr>
            <w:tcW w:w="2410" w:type="dxa"/>
            <w:shd w:val="clear" w:color="auto" w:fill="FFFFFF"/>
          </w:tcPr>
          <w:p w14:paraId="2D2619A0" w14:textId="77777777" w:rsidR="00BF091E" w:rsidRPr="00235EF6" w:rsidRDefault="00BF091E" w:rsidP="00BF091E">
            <w:pPr>
              <w:pStyle w:val="CETBodytext"/>
              <w:ind w:right="-1"/>
              <w:rPr>
                <w:lang w:val="en-GB"/>
              </w:rPr>
            </w:pPr>
            <w:r w:rsidRPr="00235EF6">
              <w:rPr>
                <w:lang w:val="en-GB"/>
              </w:rPr>
              <w:t>Minimum dimension (m)</w:t>
            </w:r>
          </w:p>
        </w:tc>
        <w:tc>
          <w:tcPr>
            <w:tcW w:w="1985" w:type="dxa"/>
            <w:shd w:val="clear" w:color="auto" w:fill="FFFFFF"/>
          </w:tcPr>
          <w:p w14:paraId="29B1C992" w14:textId="77777777" w:rsidR="00BF091E" w:rsidRPr="00235EF6" w:rsidRDefault="00BF091E" w:rsidP="00BF091E">
            <w:pPr>
              <w:pStyle w:val="CETBodytext"/>
              <w:ind w:right="-1"/>
              <w:rPr>
                <w:lang w:val="en-GB"/>
              </w:rPr>
            </w:pPr>
            <w:r w:rsidRPr="00235EF6">
              <w:rPr>
                <w:lang w:val="en-GB"/>
              </w:rPr>
              <w:t>170</w:t>
            </w:r>
          </w:p>
        </w:tc>
        <w:tc>
          <w:tcPr>
            <w:tcW w:w="2693" w:type="dxa"/>
            <w:shd w:val="clear" w:color="auto" w:fill="FFFFFF"/>
          </w:tcPr>
          <w:p w14:paraId="248EB398" w14:textId="77777777" w:rsidR="00BF091E" w:rsidRPr="00235EF6" w:rsidRDefault="00BF091E" w:rsidP="00BF091E">
            <w:pPr>
              <w:pStyle w:val="CETBodytext"/>
              <w:ind w:right="-1"/>
              <w:rPr>
                <w:lang w:val="en-GB"/>
              </w:rPr>
            </w:pPr>
            <w:r w:rsidRPr="00235EF6">
              <w:rPr>
                <w:lang w:val="en-GB"/>
              </w:rPr>
              <w:t>96</w:t>
            </w:r>
          </w:p>
        </w:tc>
        <w:tc>
          <w:tcPr>
            <w:tcW w:w="1701" w:type="dxa"/>
            <w:shd w:val="clear" w:color="auto" w:fill="FFFFFF"/>
          </w:tcPr>
          <w:p w14:paraId="118C819F" w14:textId="77777777" w:rsidR="00BF091E" w:rsidRPr="00235EF6" w:rsidRDefault="00BF091E" w:rsidP="00BF091E">
            <w:pPr>
              <w:pStyle w:val="CETBodytext"/>
              <w:ind w:right="-1"/>
              <w:rPr>
                <w:lang w:val="en-GB"/>
              </w:rPr>
            </w:pPr>
            <w:r w:rsidRPr="00235EF6">
              <w:rPr>
                <w:lang w:val="en-GB"/>
              </w:rPr>
              <w:t>5</w:t>
            </w:r>
          </w:p>
        </w:tc>
      </w:tr>
      <w:tr w:rsidR="00BF091E" w:rsidRPr="00235EF6" w14:paraId="4A519279" w14:textId="77777777" w:rsidTr="00D15754">
        <w:tc>
          <w:tcPr>
            <w:tcW w:w="2410" w:type="dxa"/>
            <w:shd w:val="clear" w:color="auto" w:fill="FFFFFF"/>
          </w:tcPr>
          <w:p w14:paraId="286E61BE" w14:textId="4264B49A" w:rsidR="00BF091E" w:rsidRPr="00235EF6" w:rsidRDefault="00BF091E" w:rsidP="001674E7">
            <w:pPr>
              <w:pStyle w:val="CETBodytext"/>
              <w:ind w:right="-1"/>
              <w:rPr>
                <w:lang w:val="en-GB"/>
              </w:rPr>
            </w:pPr>
            <w:r w:rsidRPr="00235EF6">
              <w:rPr>
                <w:lang w:val="en-GB"/>
              </w:rPr>
              <w:t>P</w:t>
            </w:r>
            <w:r w:rsidR="006E7801">
              <w:rPr>
                <w:lang w:val="en-GB"/>
              </w:rPr>
              <w:t>ower matrices</w:t>
            </w:r>
            <w:r w:rsidRPr="00235EF6">
              <w:rPr>
                <w:lang w:val="en-GB"/>
              </w:rPr>
              <w:t xml:space="preserve"> ref.</w:t>
            </w:r>
          </w:p>
        </w:tc>
        <w:tc>
          <w:tcPr>
            <w:tcW w:w="1985" w:type="dxa"/>
            <w:shd w:val="clear" w:color="auto" w:fill="FFFFFF"/>
          </w:tcPr>
          <w:p w14:paraId="2DA883E0" w14:textId="442E0499" w:rsidR="00BF091E" w:rsidRPr="00235EF6" w:rsidRDefault="00BF091E" w:rsidP="00BF091E">
            <w:pPr>
              <w:pStyle w:val="CETBodytext"/>
              <w:ind w:right="-1"/>
              <w:rPr>
                <w:lang w:val="en-GB"/>
              </w:rPr>
            </w:pPr>
            <w:r w:rsidRPr="00235EF6">
              <w:rPr>
                <w:lang w:val="en-GB"/>
              </w:rPr>
              <w:fldChar w:fldCharType="begin" w:fldLock="1"/>
            </w:r>
            <w:r w:rsidR="00D25F7E">
              <w:rPr>
                <w:lang w:val="en-GB"/>
              </w:rPr>
              <w:instrText>ADDIN CSL_CITATION {"citationItems":[{"id":"ITEM-1","itemData":{"DOI":"10.3390/en6031344","ISSN":"19961073","abstract":"The objective of the present work is to perform an evaluation of the performance provided by various technologies for wave energy conversion in the Portuguese continental coastal environment. The wave climate in the target area is first analyzed using the results from three years of simulations with a wave prediction system based on numerical models. Based on the above data, diagrams for the bivariate distributions of the sea states occurrences, defined by the significant wave height and the energy period, are designed for both winters and whole years. On this basis, the output of five different technologies for the conversion of wave energy is assessed in some relevant locations from the Portuguese nearshore. According to the results obtained, the Portuguese continental coastal environment appears to be appropriate for the wave energy extraction. At the same time, the present work shows that the output of the wave energy conversion devices does not depend only on the average wave energy but is also dependent on the distribution of the wave energy among the sea states of different periods. For this reason, a good agreement between the characteristics of the power matrices of the wave energy converters operating in a certain place and the diagrams for the bivariate distributions of the sea states occurrences corresponding to the considered location represents a key issue in selecting the most appropriate technology for wave energy conversion. © 2013 by the authors; licensee MDPI, Basel, Switzerland.","author":[{"dropping-particle":"","family":"Silva","given":"Dina","non-dropping-particle":"","parse-names":false,"suffix":""},{"dropping-particle":"","family":"Rusu","given":"Eugen","non-dropping-particle":"","parse-names":false,"suffix":""},{"dropping-particle":"","family":"Soares","given":"Carlos Guedes","non-dropping-particle":"","parse-names":false,"suffix":""}],"container-title":"Energies","id":"ITEM-1","issue":"3","issued":{"date-parts":[["2013"]]},"page":"1344-1364","title":"Evaluation of various technologies for wave energy conversion in the portuguese nearshore","type":"article-journal","volume":"6"},"uris":["http://www.mendeley.com/documents/?uuid=8bd8cc3b-9d6c-4d67-8d85-f3b32fe60f77"]}],"mendeley":{"formattedCitation":"(Silva et al., 2013)","plainTextFormattedCitation":"(Silva et al., 2013)","previouslyFormattedCitation":"(Silva et al., 2013)"},"properties":{"noteIndex":0},"schema":"https://github.com/citation-style-language/schema/raw/master/csl-citation.json"}</w:instrText>
            </w:r>
            <w:r w:rsidRPr="00235EF6">
              <w:rPr>
                <w:lang w:val="en-GB"/>
              </w:rPr>
              <w:fldChar w:fldCharType="separate"/>
            </w:r>
            <w:r w:rsidR="00D25F7E" w:rsidRPr="00D25F7E">
              <w:rPr>
                <w:noProof/>
                <w:lang w:val="en-GB"/>
              </w:rPr>
              <w:t>(Silva et al., 2013)</w:t>
            </w:r>
            <w:r w:rsidRPr="00235EF6">
              <w:rPr>
                <w:lang w:val="en-GB"/>
              </w:rPr>
              <w:fldChar w:fldCharType="end"/>
            </w:r>
          </w:p>
        </w:tc>
        <w:tc>
          <w:tcPr>
            <w:tcW w:w="2693" w:type="dxa"/>
            <w:shd w:val="clear" w:color="auto" w:fill="FFFFFF"/>
          </w:tcPr>
          <w:p w14:paraId="34D7F7A6" w14:textId="7B7E50C3" w:rsidR="00BF091E" w:rsidRPr="00235EF6" w:rsidRDefault="00BF091E" w:rsidP="00BF091E">
            <w:pPr>
              <w:pStyle w:val="CETBodytext"/>
              <w:ind w:right="-1"/>
              <w:jc w:val="left"/>
              <w:rPr>
                <w:lang w:val="en-GB"/>
              </w:rPr>
            </w:pPr>
            <w:r w:rsidRPr="00235EF6">
              <w:rPr>
                <w:lang w:val="en-GB"/>
              </w:rPr>
              <w:t xml:space="preserve">downscaled as per </w:t>
            </w:r>
            <w:r w:rsidRPr="00235EF6">
              <w:rPr>
                <w:lang w:val="en-GB"/>
              </w:rPr>
              <w:fldChar w:fldCharType="begin" w:fldLock="1"/>
            </w:r>
            <w:r w:rsidR="00D25F7E">
              <w:rPr>
                <w:lang w:val="en-GB"/>
              </w:rPr>
              <w:instrText>ADDIN CSL_CITATION {"citationItems":[{"id":"ITEM-1","itemData":{"author":[{"dropping-particle":"","family":"Fernández-Chozas","given":"Julia","non-dropping-particle":"","parse-names":false,"suffix":""},{"dropping-particle":"","family":"Kofoed","given":"Jens Peter","non-dropping-particle":"","parse-names":false,"suffix":""},{"dropping-particle":"","family":"Jensen","given":"Niels Ejner Helstrup","non-dropping-particle":"","parse-names":false,"suffix":""}],"id":"ITEM-1","issue":"161","issued":{"date-parts":[["2014"]]},"publisher-place":"Allborg - Denmark","title":"User guide – COE Calculation tool for Wave Energy Converters ver. 1.6","type":"report"},"uris":["http://www.mendeley.com/documents/?uuid=5947c2e2-d980-4ac9-b667-cc35491cb0a3"]}],"mendeley":{"formattedCitation":"(Fernández-Chozas et al., 2014)","manualFormatting":"Fernández-Chozas et al. (2014)","plainTextFormattedCitation":"(Fernández-Chozas et al., 2014)","previouslyFormattedCitation":"(Fernández-Chozas et al., 2014)"},"properties":{"noteIndex":0},"schema":"https://github.com/citation-style-language/schema/raw/master/csl-citation.json"}</w:instrText>
            </w:r>
            <w:r w:rsidRPr="00235EF6">
              <w:rPr>
                <w:lang w:val="en-GB"/>
              </w:rPr>
              <w:fldChar w:fldCharType="separate"/>
            </w:r>
            <w:r w:rsidRPr="00235EF6">
              <w:rPr>
                <w:noProof/>
                <w:lang w:val="en-GB"/>
              </w:rPr>
              <w:t xml:space="preserve">Fernández-Chozas </w:t>
            </w:r>
            <w:r>
              <w:rPr>
                <w:noProof/>
                <w:lang w:val="en-GB"/>
              </w:rPr>
              <w:t>et al. (</w:t>
            </w:r>
            <w:r w:rsidRPr="00235EF6">
              <w:rPr>
                <w:noProof/>
                <w:lang w:val="en-GB"/>
              </w:rPr>
              <w:t>2014)</w:t>
            </w:r>
            <w:r w:rsidRPr="00235EF6">
              <w:rPr>
                <w:lang w:val="en-GB"/>
              </w:rPr>
              <w:fldChar w:fldCharType="end"/>
            </w:r>
          </w:p>
        </w:tc>
        <w:tc>
          <w:tcPr>
            <w:tcW w:w="1701" w:type="dxa"/>
            <w:shd w:val="clear" w:color="auto" w:fill="FFFFFF"/>
          </w:tcPr>
          <w:p w14:paraId="5C447BE3" w14:textId="69514040" w:rsidR="00BF091E" w:rsidRPr="00235EF6" w:rsidRDefault="00BF091E" w:rsidP="00BF091E">
            <w:pPr>
              <w:pStyle w:val="CETBodytext"/>
              <w:ind w:right="-1"/>
              <w:rPr>
                <w:lang w:val="en-GB"/>
              </w:rPr>
            </w:pPr>
            <w:r w:rsidRPr="00235EF6">
              <w:rPr>
                <w:lang w:val="en-GB"/>
              </w:rPr>
              <w:fldChar w:fldCharType="begin" w:fldLock="1"/>
            </w:r>
            <w:r w:rsidR="00D25F7E">
              <w:rPr>
                <w:lang w:val="en-GB"/>
              </w:rPr>
              <w:instrText>ADDIN CSL_CITATION {"citationItems":[{"id":"ITEM-1","itemData":{"DOI":"10.3390/en6031344","ISSN":"19961073","abstract":"The objective of the present work is to perform an evaluation of the performance provided by various technologies for wave energy conversion in the Portuguese continental coastal environment. The wave climate in the target area is first analyzed using the results from three years of simulations with a wave prediction system based on numerical models. Based on the above data, diagrams for the bivariate distributions of the sea states occurrences, defined by the significant wave height and the energy period, are designed for both winters and whole years. On this basis, the output of five different technologies for the conversion of wave energy is assessed in some relevant locations from the Portuguese nearshore. According to the results obtained, the Portuguese continental coastal environment appears to be appropriate for the wave energy extraction. At the same time, the present work shows that the output of the wave energy conversion devices does not depend only on the average wave energy but is also dependent on the distribution of the wave energy among the sea states of different periods. For this reason, a good agreement between the characteristics of the power matrices of the wave energy converters operating in a certain place and the diagrams for the bivariate distributions of the sea states occurrences corresponding to the considered location represents a key issue in selecting the most appropriate technology for wave energy conversion. © 2013 by the authors; licensee MDPI, Basel, Switzerland.","author":[{"dropping-particle":"","family":"Silva","given":"Dina","non-dropping-particle":"","parse-names":false,"suffix":""},{"dropping-particle":"","family":"Rusu","given":"Eugen","non-dropping-particle":"","parse-names":false,"suffix":""},{"dropping-particle":"","family":"Soares","given":"Carlos Guedes","non-dropping-particle":"","parse-names":false,"suffix":""}],"container-title":"Energies","id":"ITEM-1","issue":"3","issued":{"date-parts":[["2013"]]},"page":"1344-1364","title":"Evaluation of various technologies for wave energy conversion in the portuguese nearshore","type":"article-journal","volume":"6"},"uris":["http://www.mendeley.com/documents/?uuid=8bd8cc3b-9d6c-4d67-8d85-f3b32fe60f77"]}],"mendeley":{"formattedCitation":"(Silva et al., 2013)","manualFormatting":"(Silva et al. 2013)","plainTextFormattedCitation":"(Silva et al., 2013)","previouslyFormattedCitation":"(Silva et al., 2013)"},"properties":{"noteIndex":0},"schema":"https://github.com/citation-style-language/schema/raw/master/csl-citation.json"}</w:instrText>
            </w:r>
            <w:r w:rsidRPr="00235EF6">
              <w:rPr>
                <w:lang w:val="en-GB"/>
              </w:rPr>
              <w:fldChar w:fldCharType="separate"/>
            </w:r>
            <w:r>
              <w:rPr>
                <w:noProof/>
                <w:lang w:val="en-GB"/>
              </w:rPr>
              <w:t xml:space="preserve">(Silva et al. </w:t>
            </w:r>
            <w:r w:rsidRPr="00235EF6">
              <w:rPr>
                <w:noProof/>
                <w:lang w:val="en-GB"/>
              </w:rPr>
              <w:t>2013)</w:t>
            </w:r>
            <w:r w:rsidRPr="00235EF6">
              <w:rPr>
                <w:lang w:val="en-GB"/>
              </w:rPr>
              <w:fldChar w:fldCharType="end"/>
            </w:r>
          </w:p>
        </w:tc>
      </w:tr>
      <w:tr w:rsidR="003A654B" w:rsidRPr="00235EF6" w14:paraId="2431198B" w14:textId="77777777" w:rsidTr="00D15754">
        <w:tc>
          <w:tcPr>
            <w:tcW w:w="2410" w:type="dxa"/>
            <w:shd w:val="clear" w:color="auto" w:fill="FFFFFF"/>
          </w:tcPr>
          <w:p w14:paraId="29C357EA" w14:textId="69AA58DD" w:rsidR="003A654B" w:rsidRPr="00235EF6" w:rsidRDefault="003A654B" w:rsidP="006E7801">
            <w:pPr>
              <w:pStyle w:val="CETBodytext"/>
              <w:ind w:right="-1"/>
              <w:rPr>
                <w:lang w:val="en-GB"/>
              </w:rPr>
            </w:pPr>
            <w:r>
              <w:rPr>
                <w:lang w:val="en-GB"/>
              </w:rPr>
              <w:t>Costs ref.</w:t>
            </w:r>
          </w:p>
        </w:tc>
        <w:tc>
          <w:tcPr>
            <w:tcW w:w="1985" w:type="dxa"/>
            <w:shd w:val="clear" w:color="auto" w:fill="FFFFFF"/>
          </w:tcPr>
          <w:p w14:paraId="46108326" w14:textId="10936C4B" w:rsidR="003A654B" w:rsidRPr="00235EF6" w:rsidRDefault="00927BC8" w:rsidP="00BF091E">
            <w:pPr>
              <w:pStyle w:val="CETBodytext"/>
              <w:ind w:right="-1"/>
              <w:rPr>
                <w:lang w:val="en-GB"/>
              </w:rPr>
            </w:pPr>
            <w:r>
              <w:rPr>
                <w:lang w:val="en-GB"/>
              </w:rPr>
              <w:fldChar w:fldCharType="begin" w:fldLock="1"/>
            </w:r>
            <w:r>
              <w:rPr>
                <w:lang w:val="en-GB"/>
              </w:rPr>
              <w:instrText>ADDIN CSL_CITATION {"citationItems":[{"id":"ITEM-1","itemData":{"author":[{"dropping-particle":"","family":"Sørensen","given":"Hans Chr.","non-dropping-particle":"","parse-names":false,"suffix":""},{"dropping-particle":"","family":"Friis-Madsen","given":"Erik","non-dropping-particle":"","parse-names":false,"suffix":""}],"id":"ITEM-1","issue":"64010","issued":{"date-parts":[["2015"]]},"number-of-pages":"1-56","title":"Wave Dragon 1.5 MW North Sea Demonstrator - Phase 1","type":"report"},"uris":["http://www.mendeley.com/documents/?uuid=a19c83f5-a906-4588-9a79-945cbb92c847"]}],"mendeley":{"formattedCitation":"(Sørensen and Friis-Madsen, 2015)","plainTextFormattedCitation":"(Sørensen and Friis-Madsen, 2015)","previouslyFormattedCitation":"(Sørensen and Friis-Madsen, 2015)"},"properties":{"noteIndex":0},"schema":"https://github.com/citation-style-language/schema/raw/master/csl-citation.json"}</w:instrText>
            </w:r>
            <w:r>
              <w:rPr>
                <w:lang w:val="en-GB"/>
              </w:rPr>
              <w:fldChar w:fldCharType="separate"/>
            </w:r>
            <w:r w:rsidRPr="00D25F7E">
              <w:rPr>
                <w:noProof/>
                <w:lang w:val="en-GB"/>
              </w:rPr>
              <w:t>(Sørensen and Friis-Madsen, 2015)</w:t>
            </w:r>
            <w:r>
              <w:rPr>
                <w:lang w:val="en-GB"/>
              </w:rPr>
              <w:fldChar w:fldCharType="end"/>
            </w:r>
          </w:p>
        </w:tc>
        <w:tc>
          <w:tcPr>
            <w:tcW w:w="2693" w:type="dxa"/>
            <w:shd w:val="clear" w:color="auto" w:fill="FFFFFF"/>
          </w:tcPr>
          <w:p w14:paraId="02842C2A" w14:textId="71629424" w:rsidR="003A654B" w:rsidRPr="00235EF6" w:rsidRDefault="00D25F7E" w:rsidP="00BF091E">
            <w:pPr>
              <w:pStyle w:val="CETBodytext"/>
              <w:ind w:right="-1"/>
              <w:jc w:val="left"/>
              <w:rPr>
                <w:lang w:val="en-GB"/>
              </w:rPr>
            </w:pPr>
            <w:r>
              <w:rPr>
                <w:lang w:val="en-GB"/>
              </w:rPr>
              <w:fldChar w:fldCharType="begin" w:fldLock="1"/>
            </w:r>
            <w:r w:rsidR="00927BC8">
              <w:rPr>
                <w:lang w:val="en-GB"/>
              </w:rPr>
              <w:instrText>ADDIN CSL_CITATION {"citationItems":[{"id":"ITEM-1","itemData":{"author":[{"dropping-particle":"","family":"Sørensen","given":"Hans Chr.","non-dropping-particle":"","parse-names":false,"suffix":""},{"dropping-particle":"","family":"Friis-Madsen","given":"Erik","non-dropping-particle":"","parse-names":false,"suffix":""}],"id":"ITEM-1","issue":"64010","issued":{"date-parts":[["2015"]]},"number-of-pages":"1-56","title":"Wave Dragon 1.5 MW North Sea Demonstrator - Phase 1","type":"report"},"uris":["http://www.mendeley.com/documents/?uuid=a19c83f5-a906-4588-9a79-945cbb92c847"]}],"mendeley":{"formattedCitation":"(Sørensen and Friis-Madsen, 2015)","plainTextFormattedCitation":"(Sørensen and Friis-Madsen, 2015)","previouslyFormattedCitation":"(Sørensen and Friis-Madsen, 2015)"},"properties":{"noteIndex":0},"schema":"https://github.com/citation-style-language/schema/raw/master/csl-citation.json"}</w:instrText>
            </w:r>
            <w:r>
              <w:rPr>
                <w:lang w:val="en-GB"/>
              </w:rPr>
              <w:fldChar w:fldCharType="separate"/>
            </w:r>
            <w:r w:rsidRPr="00D25F7E">
              <w:rPr>
                <w:noProof/>
                <w:lang w:val="en-GB"/>
              </w:rPr>
              <w:t>(Sørensen and Friis-Madsen, 2015)</w:t>
            </w:r>
            <w:r>
              <w:rPr>
                <w:lang w:val="en-GB"/>
              </w:rPr>
              <w:fldChar w:fldCharType="end"/>
            </w:r>
          </w:p>
        </w:tc>
        <w:tc>
          <w:tcPr>
            <w:tcW w:w="1701" w:type="dxa"/>
            <w:shd w:val="clear" w:color="auto" w:fill="FFFFFF"/>
          </w:tcPr>
          <w:p w14:paraId="239EF531" w14:textId="12F9F7BB" w:rsidR="003A654B" w:rsidRPr="00235EF6" w:rsidRDefault="00927BC8" w:rsidP="00BF091E">
            <w:pPr>
              <w:pStyle w:val="CETBodytext"/>
              <w:ind w:right="-1"/>
              <w:rPr>
                <w:lang w:val="en-GB"/>
              </w:rPr>
            </w:pPr>
            <w:r>
              <w:rPr>
                <w:lang w:val="en-GB"/>
              </w:rPr>
              <w:fldChar w:fldCharType="begin" w:fldLock="1"/>
            </w:r>
            <w:r w:rsidR="001D3999">
              <w:rPr>
                <w:lang w:val="en-GB"/>
              </w:rPr>
              <w:instrText>ADDIN CSL_CITATION {"citationItems":[{"id":"ITEM-1","itemData":{"ISBN":"9789820009448","author":[{"dropping-particle":"","family":"Bosserelle","given":"Cyprien","non-dropping-particle":"","parse-names":false,"suffix":""},{"dropping-particle":"","family":"Reddy","given":"Sandeep Kaushal","non-dropping-particle":"","parse-names":false,"suffix":""},{"dropping-particle":"","family":"Kruger","given":"Jens","non-dropping-particle":"","parse-names":false,"suffix":""}],"id":"ITEM-1","issued":{"date-parts":[["2015"]]},"title":"Waves and Coasts in the Pacific","type":"book"},"uris":["http://www.mendeley.com/documents/?uuid=03cc638b-2cea-4be4-99d8-51da439fe031"]}],"mendeley":{"formattedCitation":"(Bosserelle et al., 2015)","plainTextFormattedCitation":"(Bosserelle et al., 2015)","previouslyFormattedCitation":"(Bosserelle et al., 2015)"},"properties":{"noteIndex":0},"schema":"https://github.com/citation-style-language/schema/raw/master/csl-citation.json"}</w:instrText>
            </w:r>
            <w:r>
              <w:rPr>
                <w:lang w:val="en-GB"/>
              </w:rPr>
              <w:fldChar w:fldCharType="separate"/>
            </w:r>
            <w:r w:rsidRPr="00927BC8">
              <w:rPr>
                <w:noProof/>
                <w:lang w:val="en-GB"/>
              </w:rPr>
              <w:t>(Bosserelle et al., 2015)</w:t>
            </w:r>
            <w:r>
              <w:rPr>
                <w:lang w:val="en-GB"/>
              </w:rPr>
              <w:fldChar w:fldCharType="end"/>
            </w:r>
          </w:p>
        </w:tc>
      </w:tr>
      <w:tr w:rsidR="00BF091E" w:rsidRPr="00235EF6" w14:paraId="6B3516C3" w14:textId="77777777" w:rsidTr="00D15754">
        <w:tc>
          <w:tcPr>
            <w:tcW w:w="2410" w:type="dxa"/>
            <w:shd w:val="clear" w:color="auto" w:fill="FFFFFF"/>
          </w:tcPr>
          <w:p w14:paraId="366D1216" w14:textId="4B7DD46B" w:rsidR="00BF091E" w:rsidRPr="00235EF6" w:rsidRDefault="00BF091E" w:rsidP="00BF091E">
            <w:pPr>
              <w:pStyle w:val="CETBodytext"/>
              <w:ind w:right="-1"/>
              <w:rPr>
                <w:lang w:val="en-GB"/>
              </w:rPr>
            </w:pPr>
            <w:r w:rsidRPr="00235EF6">
              <w:rPr>
                <w:lang w:val="en-GB"/>
              </w:rPr>
              <w:t xml:space="preserve">CAPEX (M </w:t>
            </w:r>
            <w:proofErr w:type="spellStart"/>
            <w:r w:rsidRPr="00235EF6">
              <w:rPr>
                <w:lang w:val="en-GB"/>
              </w:rPr>
              <w:t>Eur</w:t>
            </w:r>
            <w:proofErr w:type="spellEnd"/>
            <w:r w:rsidRPr="00235EF6">
              <w:rPr>
                <w:lang w:val="en-GB"/>
              </w:rPr>
              <w:t>)</w:t>
            </w:r>
            <w:r>
              <w:rPr>
                <w:lang w:val="en-GB"/>
              </w:rPr>
              <w:t xml:space="preserve"> </w:t>
            </w:r>
          </w:p>
        </w:tc>
        <w:tc>
          <w:tcPr>
            <w:tcW w:w="1985" w:type="dxa"/>
            <w:shd w:val="clear" w:color="auto" w:fill="FFFFFF"/>
          </w:tcPr>
          <w:p w14:paraId="115B9F93" w14:textId="6DAEE532" w:rsidR="00BF091E" w:rsidRPr="00235EF6" w:rsidRDefault="00BF091E" w:rsidP="00BF091E">
            <w:pPr>
              <w:pStyle w:val="CETBodytext"/>
              <w:ind w:right="-1"/>
              <w:rPr>
                <w:lang w:val="en-GB"/>
              </w:rPr>
            </w:pPr>
            <w:r w:rsidRPr="00235EF6">
              <w:rPr>
                <w:lang w:val="en-GB"/>
              </w:rPr>
              <w:t>23.6</w:t>
            </w:r>
            <w:r w:rsidR="003A654B">
              <w:rPr>
                <w:lang w:val="en-GB"/>
              </w:rPr>
              <w:t xml:space="preserve"> </w:t>
            </w:r>
            <w:r>
              <w:rPr>
                <w:lang w:val="en-GB"/>
              </w:rPr>
              <w:t xml:space="preserve"> </w:t>
            </w:r>
          </w:p>
        </w:tc>
        <w:tc>
          <w:tcPr>
            <w:tcW w:w="2693" w:type="dxa"/>
            <w:shd w:val="clear" w:color="auto" w:fill="FFFFFF"/>
          </w:tcPr>
          <w:p w14:paraId="03058C1E" w14:textId="77777777" w:rsidR="00BF091E" w:rsidRPr="00235EF6" w:rsidRDefault="00BF091E" w:rsidP="00BF091E">
            <w:pPr>
              <w:pStyle w:val="CETBodytext"/>
              <w:ind w:right="-1"/>
              <w:rPr>
                <w:lang w:val="en-GB"/>
              </w:rPr>
            </w:pPr>
            <w:r w:rsidRPr="00235EF6">
              <w:rPr>
                <w:lang w:val="en-GB"/>
              </w:rPr>
              <w:t>9.1</w:t>
            </w:r>
          </w:p>
        </w:tc>
        <w:tc>
          <w:tcPr>
            <w:tcW w:w="1701" w:type="dxa"/>
            <w:shd w:val="clear" w:color="auto" w:fill="FFFFFF"/>
          </w:tcPr>
          <w:p w14:paraId="06DD19D8" w14:textId="77777777" w:rsidR="00BF091E" w:rsidRPr="00235EF6" w:rsidRDefault="00BF091E" w:rsidP="00BF091E">
            <w:pPr>
              <w:pStyle w:val="CETBodytext"/>
              <w:ind w:right="-1"/>
              <w:rPr>
                <w:lang w:val="en-GB"/>
              </w:rPr>
            </w:pPr>
            <w:r w:rsidRPr="00235EF6">
              <w:rPr>
                <w:lang w:val="en-GB"/>
              </w:rPr>
              <w:t>2.8</w:t>
            </w:r>
          </w:p>
        </w:tc>
      </w:tr>
      <w:tr w:rsidR="00BF091E" w:rsidRPr="00235EF6" w14:paraId="0CC29A19" w14:textId="77777777" w:rsidTr="00D15754">
        <w:tc>
          <w:tcPr>
            <w:tcW w:w="2410" w:type="dxa"/>
            <w:shd w:val="clear" w:color="auto" w:fill="FFFFFF"/>
          </w:tcPr>
          <w:p w14:paraId="6EB71683" w14:textId="5493B38D" w:rsidR="00BF091E" w:rsidRPr="00235EF6" w:rsidRDefault="00BF091E" w:rsidP="00BF091E">
            <w:pPr>
              <w:pStyle w:val="CETBodytext"/>
              <w:ind w:right="-1"/>
              <w:rPr>
                <w:lang w:val="en-GB"/>
              </w:rPr>
            </w:pPr>
            <w:r w:rsidRPr="00235EF6">
              <w:rPr>
                <w:lang w:val="en-GB"/>
              </w:rPr>
              <w:t xml:space="preserve">OPEX (M </w:t>
            </w:r>
            <w:proofErr w:type="spellStart"/>
            <w:r w:rsidRPr="00235EF6">
              <w:rPr>
                <w:lang w:val="en-GB"/>
              </w:rPr>
              <w:t>Eur</w:t>
            </w:r>
            <w:proofErr w:type="spellEnd"/>
            <w:r w:rsidRPr="00235EF6">
              <w:rPr>
                <w:lang w:val="en-GB"/>
              </w:rPr>
              <w:t>/y)</w:t>
            </w:r>
            <w:r w:rsidR="003A654B">
              <w:rPr>
                <w:lang w:val="en-GB"/>
              </w:rPr>
              <w:t xml:space="preserve">  </w:t>
            </w:r>
          </w:p>
        </w:tc>
        <w:tc>
          <w:tcPr>
            <w:tcW w:w="1985" w:type="dxa"/>
            <w:shd w:val="clear" w:color="auto" w:fill="FFFFFF"/>
          </w:tcPr>
          <w:p w14:paraId="00E78EDD" w14:textId="77777777" w:rsidR="00BF091E" w:rsidRPr="00235EF6" w:rsidRDefault="00BF091E" w:rsidP="00BF091E">
            <w:pPr>
              <w:pStyle w:val="CETBodytext"/>
              <w:ind w:right="-1"/>
              <w:rPr>
                <w:lang w:val="en-GB"/>
              </w:rPr>
            </w:pPr>
            <w:r w:rsidRPr="00235EF6">
              <w:rPr>
                <w:lang w:val="en-GB"/>
              </w:rPr>
              <w:t>1.7</w:t>
            </w:r>
          </w:p>
        </w:tc>
        <w:tc>
          <w:tcPr>
            <w:tcW w:w="2693" w:type="dxa"/>
            <w:shd w:val="clear" w:color="auto" w:fill="FFFFFF"/>
          </w:tcPr>
          <w:p w14:paraId="4E605DB8" w14:textId="77777777" w:rsidR="00BF091E" w:rsidRPr="00235EF6" w:rsidRDefault="00BF091E" w:rsidP="00BF091E">
            <w:pPr>
              <w:pStyle w:val="CETBodytext"/>
              <w:ind w:right="-1"/>
              <w:rPr>
                <w:lang w:val="en-GB"/>
              </w:rPr>
            </w:pPr>
            <w:r w:rsidRPr="00235EF6">
              <w:rPr>
                <w:lang w:val="en-GB"/>
              </w:rPr>
              <w:t>0.6</w:t>
            </w:r>
          </w:p>
        </w:tc>
        <w:tc>
          <w:tcPr>
            <w:tcW w:w="1701" w:type="dxa"/>
            <w:shd w:val="clear" w:color="auto" w:fill="FFFFFF"/>
          </w:tcPr>
          <w:p w14:paraId="61F846D7" w14:textId="77777777" w:rsidR="00BF091E" w:rsidRPr="00235EF6" w:rsidRDefault="00BF091E" w:rsidP="00BF091E">
            <w:pPr>
              <w:pStyle w:val="CETBodytext"/>
              <w:ind w:right="-1"/>
              <w:rPr>
                <w:lang w:val="en-GB"/>
              </w:rPr>
            </w:pPr>
            <w:r w:rsidRPr="00235EF6">
              <w:rPr>
                <w:lang w:val="en-GB"/>
              </w:rPr>
              <w:t>0.1</w:t>
            </w:r>
          </w:p>
        </w:tc>
      </w:tr>
      <w:tr w:rsidR="003A654B" w:rsidRPr="00235EF6" w14:paraId="76BC77E7" w14:textId="77777777" w:rsidTr="00D15754">
        <w:tc>
          <w:tcPr>
            <w:tcW w:w="2410" w:type="dxa"/>
            <w:shd w:val="clear" w:color="auto" w:fill="FFFFFF"/>
          </w:tcPr>
          <w:p w14:paraId="69B0180E" w14:textId="6DBBA59B" w:rsidR="003A654B" w:rsidRPr="00235EF6" w:rsidRDefault="003A654B" w:rsidP="001674E7">
            <w:pPr>
              <w:pStyle w:val="CETBodytext"/>
              <w:ind w:right="-1"/>
              <w:rPr>
                <w:lang w:val="en-GB"/>
              </w:rPr>
            </w:pPr>
            <w:r>
              <w:rPr>
                <w:lang w:val="en-GB"/>
              </w:rPr>
              <w:t>GWP ref.</w:t>
            </w:r>
          </w:p>
        </w:tc>
        <w:tc>
          <w:tcPr>
            <w:tcW w:w="6379" w:type="dxa"/>
            <w:gridSpan w:val="3"/>
            <w:shd w:val="clear" w:color="auto" w:fill="FFFFFF"/>
          </w:tcPr>
          <w:p w14:paraId="6C00D371" w14:textId="6EC7CED2" w:rsidR="003A654B" w:rsidRPr="00235EF6" w:rsidRDefault="003A654B" w:rsidP="00D15754">
            <w:pPr>
              <w:pStyle w:val="CETBodytext"/>
              <w:ind w:right="-1"/>
              <w:jc w:val="center"/>
              <w:rPr>
                <w:lang w:val="en-GB"/>
              </w:rPr>
            </w:pPr>
            <w:r w:rsidRPr="00235EF6">
              <w:rPr>
                <w:lang w:val="en-GB"/>
              </w:rPr>
              <w:t xml:space="preserve">adapted from </w:t>
            </w:r>
            <w:r w:rsidRPr="00235EF6">
              <w:rPr>
                <w:lang w:val="en-GB"/>
              </w:rPr>
              <w:fldChar w:fldCharType="begin" w:fldLock="1"/>
            </w:r>
            <w:r w:rsidR="00D25F7E">
              <w:rPr>
                <w:lang w:val="en-GB"/>
              </w:rPr>
              <w:instrText>ADDIN CSL_CITATION {"citationItems":[{"id":"ITEM-1","itemData":{"DOI":"10.31018/jans.v5i2.364","ISSN":"0974-9411","abstract":"An analysis has been made as regards emission characteristics of ocean energy systems from life cycle assessment and scope of energy availability from energy accounting studies. Assessment tools developed and standardized were the indices like scope of Green house gases (GHG) emission per kWh power generation, percentage of CO2 saved compared to coal fired power station and the energy payback period. Emission characteristics of ocean energy systems were also compared with that from solar power, bio-fuels and wind energy systems. Four case studies were made comprising of wave energy converters, Ocean Thermal Energy Conversion (OTEC) system and tidal energy. It could be observed that CO2 emission percentage saved from ocean energy schemes were more than 95 per cent; and energy payback period varied between one year and a little higher than two years, depending on the type of the device.","author":[{"dropping-particle":"","family":"Banerjee","given":"Subhashish","non-dropping-particle":"","parse-names":false,"suffix":""},{"dropping-particle":"","family":"Duckers","given":"L.","non-dropping-particle":"","parse-names":false,"suffix":""},{"dropping-particle":"","family":"Blanchard","given":"R. E","non-dropping-particle":"","parse-names":false,"suffix":""}],"container-title":"Journal of Applied and Natural Science","id":"ITEM-1","issue":"2","issued":{"date-parts":[["2013"]]},"page":"535-540","title":"An overview on green house gas emission characteristics and energy evaluation of ocean energy systems from life cycle assessment and energy accounting studies","type":"article-journal","volume":"5"},"uris":["http://www.mendeley.com/documents/?uuid=00985887-ed51-41f9-8fa3-e3acf4d041c7"]}],"mendeley":{"formattedCitation":"(Banerjee et al., 2013)","manualFormatting":"Banerjee et al. (2013)","plainTextFormattedCitation":"(Banerjee et al., 2013)","previouslyFormattedCitation":"(Banerjee et al., 2013)"},"properties":{"noteIndex":0},"schema":"https://github.com/citation-style-language/schema/raw/master/csl-citation.json"}</w:instrText>
            </w:r>
            <w:r w:rsidRPr="00235EF6">
              <w:rPr>
                <w:lang w:val="en-GB"/>
              </w:rPr>
              <w:fldChar w:fldCharType="separate"/>
            </w:r>
            <w:r>
              <w:rPr>
                <w:noProof/>
                <w:lang w:val="en-GB"/>
              </w:rPr>
              <w:t>Banerjee et al. (</w:t>
            </w:r>
            <w:r w:rsidRPr="00235EF6">
              <w:rPr>
                <w:noProof/>
                <w:lang w:val="en-GB"/>
              </w:rPr>
              <w:t>2013)</w:t>
            </w:r>
            <w:r w:rsidRPr="00235EF6">
              <w:rPr>
                <w:lang w:val="en-GB"/>
              </w:rPr>
              <w:fldChar w:fldCharType="end"/>
            </w:r>
          </w:p>
        </w:tc>
      </w:tr>
      <w:tr w:rsidR="00BF091E" w:rsidRPr="00235EF6" w14:paraId="1F4A3644" w14:textId="77777777" w:rsidTr="00D15754">
        <w:tc>
          <w:tcPr>
            <w:tcW w:w="2410" w:type="dxa"/>
            <w:shd w:val="clear" w:color="auto" w:fill="FFFFFF"/>
          </w:tcPr>
          <w:p w14:paraId="209E6B74" w14:textId="3268F36F" w:rsidR="00BF091E" w:rsidRPr="00235EF6" w:rsidRDefault="00BF091E" w:rsidP="00BF091E">
            <w:pPr>
              <w:pStyle w:val="CETBodytext"/>
              <w:ind w:right="-1"/>
              <w:rPr>
                <w:lang w:val="en-GB"/>
              </w:rPr>
            </w:pPr>
            <w:r w:rsidRPr="00235EF6">
              <w:rPr>
                <w:lang w:val="en-GB"/>
              </w:rPr>
              <w:t>GWP/</w:t>
            </w:r>
            <w:proofErr w:type="spellStart"/>
            <w:r w:rsidRPr="00235EF6">
              <w:rPr>
                <w:lang w:val="en-GB"/>
              </w:rPr>
              <w:t>P</w:t>
            </w:r>
            <w:r w:rsidRPr="00235EF6">
              <w:rPr>
                <w:vertAlign w:val="subscript"/>
                <w:lang w:val="en-GB"/>
              </w:rPr>
              <w:t>nom</w:t>
            </w:r>
            <w:proofErr w:type="spellEnd"/>
            <w:r w:rsidRPr="00235EF6">
              <w:rPr>
                <w:lang w:val="en-GB"/>
              </w:rPr>
              <w:t xml:space="preserve"> (kgCO</w:t>
            </w:r>
            <w:r w:rsidRPr="00235EF6">
              <w:rPr>
                <w:vertAlign w:val="subscript"/>
                <w:lang w:val="en-GB"/>
              </w:rPr>
              <w:t>2</w:t>
            </w:r>
            <w:r w:rsidRPr="00235EF6">
              <w:rPr>
                <w:lang w:val="en-GB"/>
              </w:rPr>
              <w:t>/</w:t>
            </w:r>
            <w:proofErr w:type="spellStart"/>
            <w:r w:rsidRPr="00235EF6">
              <w:rPr>
                <w:lang w:val="en-GB"/>
              </w:rPr>
              <w:t>kWp</w:t>
            </w:r>
            <w:proofErr w:type="spellEnd"/>
            <w:r w:rsidRPr="00235EF6">
              <w:rPr>
                <w:lang w:val="en-GB"/>
              </w:rPr>
              <w:t>)</w:t>
            </w:r>
            <w:r w:rsidR="003A654B">
              <w:rPr>
                <w:lang w:val="en-GB"/>
              </w:rPr>
              <w:t xml:space="preserve"> </w:t>
            </w:r>
          </w:p>
        </w:tc>
        <w:tc>
          <w:tcPr>
            <w:tcW w:w="1985" w:type="dxa"/>
            <w:shd w:val="clear" w:color="auto" w:fill="FFFFFF"/>
          </w:tcPr>
          <w:p w14:paraId="788D07B8" w14:textId="77777777" w:rsidR="00BF091E" w:rsidRPr="00235EF6" w:rsidRDefault="00BF091E" w:rsidP="00BF091E">
            <w:pPr>
              <w:pStyle w:val="CETBodytext"/>
              <w:ind w:right="-1"/>
              <w:rPr>
                <w:lang w:val="en-GB"/>
              </w:rPr>
            </w:pPr>
            <w:r w:rsidRPr="00235EF6">
              <w:rPr>
                <w:lang w:val="en-GB"/>
              </w:rPr>
              <w:t xml:space="preserve">4.0E4 </w:t>
            </w:r>
          </w:p>
        </w:tc>
        <w:tc>
          <w:tcPr>
            <w:tcW w:w="2693" w:type="dxa"/>
            <w:shd w:val="clear" w:color="auto" w:fill="FFFFFF"/>
          </w:tcPr>
          <w:p w14:paraId="556E2217" w14:textId="77777777" w:rsidR="00BF091E" w:rsidRPr="00235EF6" w:rsidRDefault="00BF091E" w:rsidP="00BF091E">
            <w:pPr>
              <w:pStyle w:val="CETBodytext"/>
              <w:ind w:right="-1"/>
              <w:rPr>
                <w:lang w:val="en-GB"/>
              </w:rPr>
            </w:pPr>
            <w:r w:rsidRPr="00235EF6">
              <w:rPr>
                <w:lang w:val="en-GB"/>
              </w:rPr>
              <w:t xml:space="preserve">4.7E4 </w:t>
            </w:r>
          </w:p>
        </w:tc>
        <w:tc>
          <w:tcPr>
            <w:tcW w:w="1701" w:type="dxa"/>
            <w:shd w:val="clear" w:color="auto" w:fill="FFFFFF"/>
          </w:tcPr>
          <w:p w14:paraId="7D1EBD1F" w14:textId="77777777" w:rsidR="00BF091E" w:rsidRPr="00235EF6" w:rsidRDefault="00BF091E" w:rsidP="00BF091E">
            <w:pPr>
              <w:pStyle w:val="CETBodytext"/>
              <w:ind w:right="-1"/>
              <w:rPr>
                <w:lang w:val="en-GB"/>
              </w:rPr>
            </w:pPr>
            <w:r w:rsidRPr="00235EF6">
              <w:rPr>
                <w:lang w:val="en-GB"/>
              </w:rPr>
              <w:t xml:space="preserve">1.3E7 </w:t>
            </w:r>
          </w:p>
        </w:tc>
      </w:tr>
      <w:tr w:rsidR="00BF091E" w:rsidRPr="00235EF6" w14:paraId="5893D19E" w14:textId="77777777" w:rsidTr="00D15754">
        <w:tc>
          <w:tcPr>
            <w:tcW w:w="2410" w:type="dxa"/>
            <w:shd w:val="clear" w:color="auto" w:fill="FFFFFF"/>
          </w:tcPr>
          <w:p w14:paraId="6706427B" w14:textId="77777777" w:rsidR="00BF091E" w:rsidRPr="00235EF6" w:rsidRDefault="00BF091E" w:rsidP="00BF091E">
            <w:pPr>
              <w:pStyle w:val="CETBodytext"/>
              <w:ind w:right="-1"/>
              <w:jc w:val="left"/>
              <w:rPr>
                <w:lang w:val="en-GB"/>
              </w:rPr>
            </w:pPr>
            <w:r w:rsidRPr="00235EF6">
              <w:rPr>
                <w:lang w:val="en-GB"/>
              </w:rPr>
              <w:t>Maximum number of devices</w:t>
            </w:r>
          </w:p>
        </w:tc>
        <w:tc>
          <w:tcPr>
            <w:tcW w:w="1985" w:type="dxa"/>
            <w:shd w:val="clear" w:color="auto" w:fill="FFFFFF"/>
          </w:tcPr>
          <w:p w14:paraId="7631460B" w14:textId="77777777" w:rsidR="00BF091E" w:rsidRPr="00235EF6" w:rsidRDefault="00BF091E" w:rsidP="00BF091E">
            <w:pPr>
              <w:pStyle w:val="CETBodytext"/>
              <w:ind w:right="-1"/>
              <w:rPr>
                <w:lang w:val="en-GB"/>
              </w:rPr>
            </w:pPr>
            <w:r w:rsidRPr="00235EF6">
              <w:rPr>
                <w:lang w:val="en-GB"/>
              </w:rPr>
              <w:t>18</w:t>
            </w:r>
          </w:p>
        </w:tc>
        <w:tc>
          <w:tcPr>
            <w:tcW w:w="2693" w:type="dxa"/>
            <w:shd w:val="clear" w:color="auto" w:fill="FFFFFF"/>
          </w:tcPr>
          <w:p w14:paraId="5B58FA46" w14:textId="77777777" w:rsidR="00BF091E" w:rsidRPr="00235EF6" w:rsidRDefault="00BF091E" w:rsidP="00BF091E">
            <w:pPr>
              <w:pStyle w:val="CETBodytext"/>
              <w:ind w:right="-1"/>
              <w:rPr>
                <w:lang w:val="en-GB"/>
              </w:rPr>
            </w:pPr>
            <w:r w:rsidRPr="00235EF6">
              <w:rPr>
                <w:lang w:val="en-GB"/>
              </w:rPr>
              <w:t>27</w:t>
            </w:r>
          </w:p>
        </w:tc>
        <w:tc>
          <w:tcPr>
            <w:tcW w:w="1701" w:type="dxa"/>
            <w:shd w:val="clear" w:color="auto" w:fill="FFFFFF"/>
          </w:tcPr>
          <w:p w14:paraId="7F862704" w14:textId="77777777" w:rsidR="00BF091E" w:rsidRPr="00235EF6" w:rsidRDefault="00BF091E" w:rsidP="00BF091E">
            <w:pPr>
              <w:pStyle w:val="CETBodytext"/>
              <w:ind w:right="-1"/>
              <w:rPr>
                <w:lang w:val="en-GB"/>
              </w:rPr>
            </w:pPr>
            <w:r w:rsidRPr="00235EF6">
              <w:rPr>
                <w:lang w:val="en-GB"/>
              </w:rPr>
              <w:t>30</w:t>
            </w:r>
          </w:p>
        </w:tc>
      </w:tr>
    </w:tbl>
    <w:p w14:paraId="310A2C9A" w14:textId="77777777" w:rsidR="00927BC8" w:rsidRPr="00235EF6" w:rsidRDefault="00927BC8" w:rsidP="00927BC8">
      <w:pPr>
        <w:pStyle w:val="CETBodytext"/>
        <w:rPr>
          <w:lang w:val="en-GB"/>
        </w:rPr>
      </w:pPr>
      <w:r w:rsidRPr="00235EF6">
        <w:rPr>
          <w:lang w:val="en-GB"/>
        </w:rPr>
        <w:t>Their energy performances are simulated in the reference period (step 6), while the three sustainability indicators are calculated (step 7).</w:t>
      </w:r>
      <w:r>
        <w:rPr>
          <w:lang w:val="en-GB"/>
        </w:rPr>
        <w:t xml:space="preserve"> </w:t>
      </w:r>
      <w:r w:rsidRPr="00235EF6">
        <w:rPr>
          <w:lang w:val="en-GB"/>
        </w:rPr>
        <w:t xml:space="preserve">The separate application of the three criteria expressed by </w:t>
      </w:r>
      <w:proofErr w:type="spellStart"/>
      <w:r w:rsidRPr="00235EF6">
        <w:rPr>
          <w:lang w:val="en-GB"/>
        </w:rPr>
        <w:t>Eqs</w:t>
      </w:r>
      <w:proofErr w:type="spellEnd"/>
      <w:r w:rsidRPr="00235EF6">
        <w:rPr>
          <w:lang w:val="en-GB"/>
        </w:rPr>
        <w:t xml:space="preserve">(1-3) orders the energy mixes into three separate rankings, while their simultaneous application produces the final ranking based on </w:t>
      </w: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AGG</m:t>
            </m:r>
            <m:r>
              <m:rPr>
                <m:sty m:val="p"/>
              </m:rPr>
              <w:rPr>
                <w:rFonts w:ascii="Cambria Math" w:hAnsi="Cambria Math"/>
                <w:lang w:val="en-GB"/>
              </w:rPr>
              <m:t>,</m:t>
            </m:r>
            <m:r>
              <w:rPr>
                <w:rFonts w:ascii="Cambria Math" w:hAnsi="Cambria Math"/>
                <w:lang w:val="en-GB"/>
              </w:rPr>
              <m:t>MIX</m:t>
            </m:r>
          </m:sub>
        </m:sSub>
      </m:oMath>
      <w:r w:rsidRPr="00235EF6">
        <w:rPr>
          <w:lang w:val="en-GB"/>
        </w:rPr>
        <w:t xml:space="preserve"> (step 8).</w:t>
      </w:r>
    </w:p>
    <w:p w14:paraId="6E5DDEEB" w14:textId="77777777" w:rsidR="00927BC8" w:rsidRPr="00235EF6" w:rsidRDefault="00927BC8" w:rsidP="00927BC8">
      <w:pPr>
        <w:pStyle w:val="CETBodytext"/>
        <w:rPr>
          <w:lang w:val="en-GB"/>
        </w:rPr>
      </w:pPr>
      <w:r w:rsidRPr="00235EF6">
        <w:rPr>
          <w:lang w:val="en-GB"/>
        </w:rPr>
        <w:t xml:space="preserve">The top ten energy mixes of the four rankings are reported on the x-axis of the bar plots </w:t>
      </w:r>
      <w:r>
        <w:rPr>
          <w:lang w:val="en-GB"/>
        </w:rPr>
        <w:t xml:space="preserve">in </w:t>
      </w:r>
      <w:r>
        <w:rPr>
          <w:lang w:val="en-GB"/>
        </w:rPr>
        <w:fldChar w:fldCharType="begin"/>
      </w:r>
      <w:r>
        <w:rPr>
          <w:lang w:val="en-GB"/>
        </w:rPr>
        <w:instrText xml:space="preserve"> REF _Ref105751645 \h </w:instrText>
      </w:r>
      <w:r>
        <w:rPr>
          <w:lang w:val="en-GB"/>
        </w:rPr>
      </w:r>
      <w:r>
        <w:rPr>
          <w:lang w:val="en-GB"/>
        </w:rPr>
        <w:fldChar w:fldCharType="separate"/>
      </w:r>
      <w:r w:rsidRPr="00235EF6">
        <w:t>Figure 2</w:t>
      </w:r>
      <w:r>
        <w:rPr>
          <w:lang w:val="en-GB"/>
        </w:rPr>
        <w:fldChar w:fldCharType="end"/>
      </w:r>
      <w:r>
        <w:rPr>
          <w:lang w:val="en-GB"/>
        </w:rPr>
        <w:t xml:space="preserve"> and </w:t>
      </w:r>
      <w:r>
        <w:rPr>
          <w:lang w:val="en-GB"/>
        </w:rPr>
        <w:fldChar w:fldCharType="begin"/>
      </w:r>
      <w:r>
        <w:rPr>
          <w:lang w:val="en-GB"/>
        </w:rPr>
        <w:instrText xml:space="preserve"> REF _Ref105751655 \h </w:instrText>
      </w:r>
      <w:r>
        <w:rPr>
          <w:lang w:val="en-GB"/>
        </w:rPr>
      </w:r>
      <w:r>
        <w:rPr>
          <w:lang w:val="en-GB"/>
        </w:rPr>
        <w:fldChar w:fldCharType="separate"/>
      </w:r>
      <w:r w:rsidRPr="00235EF6">
        <w:t>Figure 3</w:t>
      </w:r>
      <w:r>
        <w:rPr>
          <w:lang w:val="en-GB"/>
        </w:rPr>
        <w:fldChar w:fldCharType="end"/>
      </w:r>
      <w:r w:rsidRPr="00235EF6">
        <w:rPr>
          <w:lang w:val="en-GB"/>
        </w:rPr>
        <w:t xml:space="preserve">, along with the value of their absolute indicators, their nominal power installed, the number and type of converters. As per the tags on the x-axis, it can be observed that the four sets of results are not aligned. </w:t>
      </w:r>
    </w:p>
    <w:p w14:paraId="223DC872" w14:textId="77777777" w:rsidR="00927BC8" w:rsidRDefault="00927BC8" w:rsidP="00927BC8">
      <w:pPr>
        <w:pStyle w:val="CETBodytext"/>
        <w:rPr>
          <w:lang w:val="en-GB"/>
        </w:rPr>
      </w:pPr>
      <w:r w:rsidRPr="00235EF6">
        <w:rPr>
          <w:lang w:val="en-GB"/>
        </w:rPr>
        <w:t xml:space="preserve">The maximum reached figures of </w:t>
      </w:r>
      <m:oMath>
        <m:sSub>
          <m:sSubPr>
            <m:ctrlPr>
              <w:rPr>
                <w:rFonts w:ascii="Cambria Math" w:hAnsi="Cambria Math"/>
                <w:lang w:val="en-GB"/>
              </w:rPr>
            </m:ctrlPr>
          </m:sSubPr>
          <m:e>
            <m:r>
              <w:rPr>
                <w:rFonts w:ascii="Cambria Math" w:hAnsi="Cambria Math"/>
                <w:lang w:val="en-GB"/>
              </w:rPr>
              <m:t>COV</m:t>
            </m:r>
          </m:e>
          <m:sub>
            <m:r>
              <w:rPr>
                <w:rFonts w:ascii="Cambria Math" w:hAnsi="Cambria Math"/>
                <w:lang w:val="en-GB"/>
              </w:rPr>
              <m:t>MIX</m:t>
            </m:r>
          </m:sub>
        </m:sSub>
      </m:oMath>
      <w:r w:rsidRPr="00235EF6">
        <w:rPr>
          <w:lang w:val="en-GB"/>
        </w:rPr>
        <w:t xml:space="preserve"> (reported in </w:t>
      </w:r>
      <w:r w:rsidRPr="00235EF6">
        <w:rPr>
          <w:lang w:val="en-GB"/>
        </w:rPr>
        <w:fldChar w:fldCharType="begin"/>
      </w:r>
      <w:r w:rsidRPr="00235EF6">
        <w:rPr>
          <w:lang w:val="en-GB"/>
        </w:rPr>
        <w:instrText xml:space="preserve"> REF _Ref105751645 \h  \* MERGEFORMAT </w:instrText>
      </w:r>
      <w:r w:rsidRPr="00235EF6">
        <w:rPr>
          <w:lang w:val="en-GB"/>
        </w:rPr>
      </w:r>
      <w:r w:rsidRPr="00235EF6">
        <w:rPr>
          <w:lang w:val="en-GB"/>
        </w:rPr>
        <w:fldChar w:fldCharType="separate"/>
      </w:r>
      <w:r w:rsidRPr="00235EF6">
        <w:rPr>
          <w:lang w:val="en-GB"/>
        </w:rPr>
        <w:t>Figure 2</w:t>
      </w:r>
      <w:r w:rsidRPr="00235EF6">
        <w:rPr>
          <w:lang w:val="en-GB"/>
        </w:rPr>
        <w:fldChar w:fldCharType="end"/>
      </w:r>
      <w:r w:rsidRPr="00235EF6">
        <w:rPr>
          <w:lang w:val="en-GB"/>
        </w:rPr>
        <w:t>-panel A) are around 80 % and prioritize those energy mixes mainly consisting of OWTs (over 100 MW installed vs less than 50 MW of WECs). According to this technological indicator, the optimal type and number of OWTs are the V164 - 9.5 MW OWT by Vestas (tag2) and 12, while for the WF the optimal device is the “2” (Wave Dragon 1 MW) in a variable number.</w:t>
      </w:r>
    </w:p>
    <w:p w14:paraId="23D6BE84" w14:textId="77777777" w:rsidR="00927BC8" w:rsidRPr="00235EF6" w:rsidRDefault="00927BC8" w:rsidP="00927BC8">
      <w:pPr>
        <w:pStyle w:val="CETBodytext"/>
        <w:rPr>
          <w:lang w:val="en-GB"/>
        </w:rPr>
      </w:pPr>
      <w:r w:rsidRPr="00235EF6">
        <w:rPr>
          <w:lang w:val="en-GB"/>
        </w:rPr>
        <w:t>When considering economics (</w:t>
      </w:r>
      <w:r w:rsidRPr="00235EF6">
        <w:rPr>
          <w:lang w:val="en-GB"/>
        </w:rPr>
        <w:fldChar w:fldCharType="begin"/>
      </w:r>
      <w:r w:rsidRPr="00235EF6">
        <w:rPr>
          <w:lang w:val="en-GB"/>
        </w:rPr>
        <w:instrText xml:space="preserve"> REF _Ref105751645 \h  \* MERGEFORMAT </w:instrText>
      </w:r>
      <w:r w:rsidRPr="00235EF6">
        <w:rPr>
          <w:lang w:val="en-GB"/>
        </w:rPr>
      </w:r>
      <w:r w:rsidRPr="00235EF6">
        <w:rPr>
          <w:lang w:val="en-GB"/>
        </w:rPr>
        <w:fldChar w:fldCharType="separate"/>
      </w:r>
      <w:r w:rsidRPr="00235EF6">
        <w:rPr>
          <w:lang w:val="en-GB"/>
        </w:rPr>
        <w:t>Figure 2</w:t>
      </w:r>
      <w:r w:rsidRPr="00235EF6">
        <w:rPr>
          <w:lang w:val="en-GB"/>
        </w:rPr>
        <w:fldChar w:fldCharType="end"/>
      </w:r>
      <w:r w:rsidRPr="00235EF6">
        <w:rPr>
          <w:lang w:val="en-GB"/>
        </w:rPr>
        <w:t xml:space="preserve">-panel B), the still high LCOE for wave energy make this option discarded, and the ranking is dominated by the mixes minimizing the installed WECs in </w:t>
      </w:r>
      <w:proofErr w:type="spellStart"/>
      <w:r w:rsidRPr="00235EF6">
        <w:rPr>
          <w:lang w:val="en-GB"/>
        </w:rPr>
        <w:t>favor</w:t>
      </w:r>
      <w:proofErr w:type="spellEnd"/>
      <w:r w:rsidRPr="00235EF6">
        <w:rPr>
          <w:lang w:val="en-GB"/>
        </w:rPr>
        <w:t xml:space="preserve"> of OWTs.</w:t>
      </w:r>
    </w:p>
    <w:p w14:paraId="00579451" w14:textId="77777777" w:rsidR="00927BC8" w:rsidRPr="00D25F7E" w:rsidRDefault="00927BC8" w:rsidP="00927BC8">
      <w:pPr>
        <w:pStyle w:val="CETBodytext"/>
        <w:rPr>
          <w:lang w:val="en-GB"/>
        </w:rPr>
      </w:pPr>
      <w:r w:rsidRPr="00235EF6">
        <w:rPr>
          <w:lang w:val="en-GB"/>
        </w:rPr>
        <w:t xml:space="preserve">From </w:t>
      </w:r>
      <w:r w:rsidRPr="00235EF6">
        <w:rPr>
          <w:lang w:val="en-GB"/>
        </w:rPr>
        <w:fldChar w:fldCharType="begin"/>
      </w:r>
      <w:r w:rsidRPr="00235EF6">
        <w:rPr>
          <w:lang w:val="en-GB"/>
        </w:rPr>
        <w:instrText xml:space="preserve"> REF _Ref105751655 \h  \* MERGEFORMAT </w:instrText>
      </w:r>
      <w:r w:rsidRPr="00235EF6">
        <w:rPr>
          <w:lang w:val="en-GB"/>
        </w:rPr>
      </w:r>
      <w:r w:rsidRPr="00235EF6">
        <w:rPr>
          <w:lang w:val="en-GB"/>
        </w:rPr>
        <w:fldChar w:fldCharType="separate"/>
      </w:r>
      <w:r w:rsidRPr="00235EF6">
        <w:rPr>
          <w:lang w:val="en-GB"/>
        </w:rPr>
        <w:t>Figure 3</w:t>
      </w:r>
      <w:r w:rsidRPr="00235EF6">
        <w:rPr>
          <w:lang w:val="en-GB"/>
        </w:rPr>
        <w:fldChar w:fldCharType="end"/>
      </w:r>
      <w:r w:rsidRPr="00235EF6">
        <w:rPr>
          <w:lang w:val="en-GB"/>
        </w:rPr>
        <w:t xml:space="preserve">-panel A, it can be noticed that the minimization of </w:t>
      </w:r>
      <m:oMath>
        <m:sSub>
          <m:sSubPr>
            <m:ctrlPr>
              <w:rPr>
                <w:rFonts w:ascii="Cambria Math" w:hAnsi="Cambria Math"/>
                <w:lang w:val="en-GB"/>
              </w:rPr>
            </m:ctrlPr>
          </m:sSubPr>
          <m:e>
            <m:r>
              <w:rPr>
                <w:rFonts w:ascii="Cambria Math" w:hAnsi="Cambria Math"/>
                <w:lang w:val="en-GB"/>
              </w:rPr>
              <m:t>GWP</m:t>
            </m:r>
          </m:e>
          <m:sub>
            <m:r>
              <w:rPr>
                <w:rFonts w:ascii="Cambria Math" w:hAnsi="Cambria Math"/>
                <w:lang w:val="en-GB"/>
              </w:rPr>
              <m:t>MIX</m:t>
            </m:r>
          </m:sub>
        </m:sSub>
      </m:oMath>
      <w:r w:rsidRPr="00235EF6">
        <w:rPr>
          <w:lang w:val="en-GB"/>
        </w:rPr>
        <w:t xml:space="preserve"> prioritizes energy mixes constituted solely by OWTs, given the still high impacts associated with the lifecycle of WECs, especially due to the significant employment of construction materials and the important energy expenses related to the installation phase </w:t>
      </w:r>
      <w:r w:rsidRPr="00235EF6">
        <w:rPr>
          <w:lang w:val="en-GB"/>
        </w:rPr>
        <w:fldChar w:fldCharType="begin" w:fldLock="1"/>
      </w:r>
      <w:r>
        <w:rPr>
          <w:lang w:val="en-GB"/>
        </w:rPr>
        <w:instrText>ADDIN CSL_CITATION {"citationItems":[{"id":"ITEM-1","itemData":{"DOI":"10.31018/jans.v5i2.364","ISSN":"0974-9411","abstract":"An analysis has been made as regards emission characteristics of ocean energy systems from life cycle assessment and scope of energy availability from energy accounting studies. Assessment tools developed and standardized were the indices like scope of Green house gases (GHG) emission per kWh power generation, percentage of CO2 saved compared to coal fired power station and the energy payback period. Emission characteristics of ocean energy systems were also compared with that from solar power, bio-fuels and wind energy systems. Four case studies were made comprising of wave energy converters, Ocean Thermal Energy Conversion (OTEC) system and tidal energy. It could be observed that CO2 emission percentage saved from ocean energy schemes were more than 95 per cent; and energy payback period varied between one year and a little higher than two years, depending on the type of the device.","author":[{"dropping-particle":"","family":"Banerjee","given":"Subhashish","non-dropping-particle":"","parse-names":false,"suffix":""},{"dropping-particle":"","family":"Duckers","given":"L.","non-dropping-particle":"","parse-names":false,"suffix":""},{"dropping-particle":"","family":"Blanchard","given":"R. E","non-dropping-particle":"","parse-names":false,"suffix":""}],"container-title":"Journal of Applied and Natural Science","id":"ITEM-1","issue":"2","issued":{"date-parts":[["2013"]]},"page":"535-540","title":"An overview on green house gas emission characteristics and energy evaluation of ocean energy systems from life cycle assessment and energy accounting studies","type":"article-journal","volume":"5"},"uris":["http://www.mendeley.com/documents/?uuid=00985887-ed51-41f9-8fa3-e3acf4d041c7"]}],"mendeley":{"formattedCitation":"(Banerjee et al., 2013)","plainTextFormattedCitation":"(Banerjee et al., 2013)","previouslyFormattedCitation":"(Banerjee et al., 2013)"},"properties":{"noteIndex":0},"schema":"https://github.com/citation-style-language/schema/raw/master/csl-citation.json"}</w:instrText>
      </w:r>
      <w:r w:rsidRPr="00235EF6">
        <w:rPr>
          <w:lang w:val="en-GB"/>
        </w:rPr>
        <w:fldChar w:fldCharType="separate"/>
      </w:r>
      <w:r w:rsidRPr="00D25F7E">
        <w:rPr>
          <w:noProof/>
          <w:lang w:val="en-GB"/>
        </w:rPr>
        <w:t>(Banerjee et al., 2013)</w:t>
      </w:r>
      <w:r w:rsidRPr="00235EF6">
        <w:rPr>
          <w:lang w:val="en-GB"/>
        </w:rPr>
        <w:fldChar w:fldCharType="end"/>
      </w:r>
      <w:r w:rsidRPr="00235EF6">
        <w:rPr>
          <w:lang w:val="en-GB"/>
        </w:rPr>
        <w:t xml:space="preserve">. Differently from the rankings produced by </w:t>
      </w:r>
      <m:oMath>
        <m:sSub>
          <m:sSubPr>
            <m:ctrlPr>
              <w:rPr>
                <w:rFonts w:ascii="Cambria Math" w:hAnsi="Cambria Math"/>
                <w:lang w:val="en-GB"/>
              </w:rPr>
            </m:ctrlPr>
          </m:sSubPr>
          <m:e>
            <m:r>
              <w:rPr>
                <w:rFonts w:ascii="Cambria Math" w:hAnsi="Cambria Math"/>
                <w:lang w:val="en-GB"/>
              </w:rPr>
              <m:t>COV</m:t>
            </m:r>
          </m:e>
          <m:sub>
            <m:r>
              <w:rPr>
                <w:rFonts w:ascii="Cambria Math" w:hAnsi="Cambria Math"/>
                <w:lang w:val="en-GB"/>
              </w:rPr>
              <m:t>MIX</m:t>
            </m:r>
          </m:sub>
        </m:sSub>
      </m:oMath>
      <w:r w:rsidRPr="00235EF6">
        <w:rPr>
          <w:lang w:val="en-GB"/>
        </w:rPr>
        <w:t xml:space="preserve"> and </w:t>
      </w:r>
      <m:oMath>
        <m:sSub>
          <m:sSubPr>
            <m:ctrlPr>
              <w:rPr>
                <w:rFonts w:ascii="Cambria Math" w:hAnsi="Cambria Math"/>
                <w:lang w:val="en-GB"/>
              </w:rPr>
            </m:ctrlPr>
          </m:sSubPr>
          <m:e>
            <m:r>
              <w:rPr>
                <w:rFonts w:ascii="Cambria Math" w:hAnsi="Cambria Math"/>
                <w:lang w:val="en-GB"/>
              </w:rPr>
              <m:t>LCOE</m:t>
            </m:r>
          </m:e>
          <m:sub>
            <m:r>
              <w:rPr>
                <w:rFonts w:ascii="Cambria Math" w:hAnsi="Cambria Math"/>
                <w:lang w:val="en-GB"/>
              </w:rPr>
              <m:t>MIX</m:t>
            </m:r>
          </m:sub>
        </m:sSub>
      </m:oMath>
      <w:r w:rsidRPr="00235EF6">
        <w:rPr>
          <w:lang w:val="en-GB"/>
        </w:rPr>
        <w:t>, the top ten less impacting energy mixes are characterized by lower installed capacities (50 MW in average) and the choice of another OWT model (tag3: SWT-6.0-154).</w:t>
      </w:r>
      <w:r>
        <w:rPr>
          <w:lang w:val="en-GB"/>
        </w:rPr>
        <w:t xml:space="preserve"> </w:t>
      </w:r>
      <w:r w:rsidRPr="00235EF6">
        <w:rPr>
          <w:lang w:val="en-GB"/>
        </w:rPr>
        <w:t xml:space="preserve">Finally, </w:t>
      </w: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AGG</m:t>
            </m:r>
            <m:r>
              <m:rPr>
                <m:sty m:val="p"/>
              </m:rPr>
              <w:rPr>
                <w:rFonts w:ascii="Cambria Math" w:hAnsi="Cambria Math"/>
                <w:lang w:val="en-GB"/>
              </w:rPr>
              <m:t>,</m:t>
            </m:r>
            <m:r>
              <w:rPr>
                <w:rFonts w:ascii="Cambria Math" w:hAnsi="Cambria Math"/>
                <w:lang w:val="en-GB"/>
              </w:rPr>
              <m:t>MIX</m:t>
            </m:r>
          </m:sub>
        </m:sSub>
      </m:oMath>
      <w:r w:rsidRPr="00235EF6">
        <w:rPr>
          <w:lang w:val="en-GB"/>
        </w:rPr>
        <w:t xml:space="preserve"> provides the sustainability-based ranking, which considers all three criteria simultaneously (</w:t>
      </w:r>
      <w:r w:rsidRPr="00235EF6">
        <w:rPr>
          <w:lang w:val="en-GB"/>
        </w:rPr>
        <w:fldChar w:fldCharType="begin"/>
      </w:r>
      <w:r w:rsidRPr="00235EF6">
        <w:rPr>
          <w:lang w:val="en-GB"/>
        </w:rPr>
        <w:instrText xml:space="preserve"> REF _Ref105751655 \h  \* MERGEFORMAT </w:instrText>
      </w:r>
      <w:r w:rsidRPr="00235EF6">
        <w:rPr>
          <w:lang w:val="en-GB"/>
        </w:rPr>
      </w:r>
      <w:r w:rsidRPr="00235EF6">
        <w:rPr>
          <w:lang w:val="en-GB"/>
        </w:rPr>
        <w:fldChar w:fldCharType="separate"/>
      </w:r>
      <w:r w:rsidRPr="00235EF6">
        <w:rPr>
          <w:lang w:val="en-GB"/>
        </w:rPr>
        <w:t>Figure 3</w:t>
      </w:r>
      <w:r w:rsidRPr="00235EF6">
        <w:rPr>
          <w:lang w:val="en-GB"/>
        </w:rPr>
        <w:fldChar w:fldCharType="end"/>
      </w:r>
      <w:r w:rsidRPr="00235EF6">
        <w:rPr>
          <w:lang w:val="en-GB"/>
        </w:rPr>
        <w:t xml:space="preserve"> – panel B).</w:t>
      </w:r>
      <w:r>
        <w:rPr>
          <w:lang w:val="en-GB"/>
        </w:rPr>
        <w:t xml:space="preserve"> </w:t>
      </w:r>
      <w:r w:rsidRPr="00235EF6">
        <w:rPr>
          <w:lang w:val="en-GB"/>
        </w:rPr>
        <w:t xml:space="preserve">The overall top ten energy mixes are characterized by very high scores of </w:t>
      </w: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ECO</m:t>
            </m:r>
            <m:r>
              <m:rPr>
                <m:sty m:val="p"/>
              </m:rPr>
              <w:rPr>
                <w:rFonts w:ascii="Cambria Math" w:hAnsi="Cambria Math"/>
                <w:lang w:val="en-GB"/>
              </w:rPr>
              <m:t>,</m:t>
            </m:r>
            <m:r>
              <w:rPr>
                <w:rFonts w:ascii="Cambria Math" w:hAnsi="Cambria Math"/>
                <w:lang w:val="en-GB"/>
              </w:rPr>
              <m:t>MIX</m:t>
            </m:r>
          </m:sub>
        </m:sSub>
      </m:oMath>
      <w:r w:rsidRPr="00235EF6">
        <w:rPr>
          <w:lang w:val="en-GB"/>
        </w:rPr>
        <w:t xml:space="preserve"> </w:t>
      </w:r>
      <w:proofErr w:type="gramStart"/>
      <w:r w:rsidRPr="00235EF6">
        <w:rPr>
          <w:lang w:val="en-GB"/>
        </w:rPr>
        <w:t xml:space="preserve">and </w:t>
      </w:r>
      <w:proofErr w:type="gramEnd"/>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ENV</m:t>
            </m:r>
            <m:r>
              <m:rPr>
                <m:sty m:val="p"/>
              </m:rPr>
              <w:rPr>
                <w:rFonts w:ascii="Cambria Math" w:hAnsi="Cambria Math"/>
                <w:lang w:val="en-GB"/>
              </w:rPr>
              <m:t>,</m:t>
            </m:r>
            <m:r>
              <w:rPr>
                <w:rFonts w:ascii="Cambria Math" w:hAnsi="Cambria Math"/>
                <w:lang w:val="en-GB"/>
              </w:rPr>
              <m:t>MIX</m:t>
            </m:r>
          </m:sub>
        </m:sSub>
      </m:oMath>
      <w:r w:rsidRPr="00235EF6">
        <w:rPr>
          <w:lang w:val="en-GB"/>
        </w:rPr>
        <w:t xml:space="preserve">, even presenting some tags in common with the </w:t>
      </w: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ECO</m:t>
            </m:r>
            <m:r>
              <m:rPr>
                <m:sty m:val="p"/>
              </m:rPr>
              <w:rPr>
                <w:rFonts w:ascii="Cambria Math" w:hAnsi="Cambria Math"/>
                <w:lang w:val="en-GB"/>
              </w:rPr>
              <m:t>,</m:t>
            </m:r>
            <m:r>
              <w:rPr>
                <w:rFonts w:ascii="Cambria Math" w:hAnsi="Cambria Math"/>
                <w:lang w:val="en-GB"/>
              </w:rPr>
              <m:t>MIX</m:t>
            </m:r>
          </m:sub>
        </m:sSub>
      </m:oMath>
      <w:r w:rsidRPr="00235EF6">
        <w:rPr>
          <w:lang w:val="en-GB"/>
        </w:rPr>
        <w:t xml:space="preserve"> ranking. Moreover, the wave farms’ sizes are limited to a maximum of 10 WECs, while the wind farm is maximized up to the number of OWTs feasible of installation in the identified areas.</w:t>
      </w:r>
    </w:p>
    <w:p w14:paraId="5FD96F90" w14:textId="77777777" w:rsidR="00927BC8" w:rsidRDefault="00927BC8" w:rsidP="00692049">
      <w:pPr>
        <w:pStyle w:val="CETBodytext"/>
        <w:rPr>
          <w:lang w:val="en-GB"/>
        </w:rPr>
      </w:pPr>
    </w:p>
    <w:p w14:paraId="6D794234" w14:textId="3965FE46" w:rsidR="002015ED" w:rsidRPr="00235EF6" w:rsidRDefault="002015ED" w:rsidP="002015ED">
      <w:pPr>
        <w:pStyle w:val="CETBodytext"/>
        <w:rPr>
          <w:lang w:val="en-GB"/>
        </w:rPr>
      </w:pPr>
      <w:r>
        <w:rPr>
          <w:noProof/>
          <w:lang w:val="en-GB" w:eastAsia="en-GB"/>
        </w:rPr>
        <w:lastRenderedPageBreak/>
        <w:drawing>
          <wp:inline distT="0" distB="0" distL="0" distR="0" wp14:anchorId="3DC091B6" wp14:editId="1FA2BF66">
            <wp:extent cx="5423487" cy="3420000"/>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3487" cy="3420000"/>
                    </a:xfrm>
                    <a:prstGeom prst="rect">
                      <a:avLst/>
                    </a:prstGeom>
                  </pic:spPr>
                </pic:pic>
              </a:graphicData>
            </a:graphic>
          </wp:inline>
        </w:drawing>
      </w:r>
      <w:bookmarkStart w:id="3" w:name="_GoBack"/>
      <w:bookmarkEnd w:id="3"/>
    </w:p>
    <w:p w14:paraId="5FEDB834" w14:textId="77777777" w:rsidR="002015ED" w:rsidRDefault="002015ED" w:rsidP="002015ED">
      <w:pPr>
        <w:pStyle w:val="CETCaption"/>
      </w:pPr>
      <w:r w:rsidRPr="00235EF6">
        <w:t xml:space="preserve">Figure </w:t>
      </w:r>
      <w:r w:rsidRPr="00235EF6">
        <w:fldChar w:fldCharType="begin"/>
      </w:r>
      <w:r w:rsidRPr="00235EF6">
        <w:instrText xml:space="preserve"> SEQ Figure \* ARABIC </w:instrText>
      </w:r>
      <w:r w:rsidRPr="00235EF6">
        <w:fldChar w:fldCharType="separate"/>
      </w:r>
      <w:r w:rsidRPr="00235EF6">
        <w:t>2</w:t>
      </w:r>
      <w:r w:rsidRPr="00235EF6">
        <w:fldChar w:fldCharType="end"/>
      </w:r>
      <w:r w:rsidRPr="00235EF6">
        <w:t xml:space="preserve">. Top ten energy mixes of the rankings obtained separately by </w:t>
      </w:r>
      <m:oMath>
        <m:sSub>
          <m:sSubPr>
            <m:ctrlPr>
              <w:rPr>
                <w:rFonts w:ascii="Cambria Math" w:hAnsi="Cambria Math"/>
                <w:noProof/>
              </w:rPr>
            </m:ctrlPr>
          </m:sSubPr>
          <m:e>
            <m:r>
              <w:rPr>
                <w:rFonts w:ascii="Cambria Math" w:hAnsi="Cambria Math"/>
                <w:noProof/>
              </w:rPr>
              <m:t>COV</m:t>
            </m:r>
          </m:e>
          <m:sub>
            <m:r>
              <w:rPr>
                <w:rFonts w:ascii="Cambria Math" w:hAnsi="Cambria Math"/>
              </w:rPr>
              <m:t>MIX</m:t>
            </m:r>
          </m:sub>
        </m:sSub>
      </m:oMath>
      <w:r w:rsidRPr="00235EF6">
        <w:t xml:space="preserve"> (A) and </w:t>
      </w:r>
      <m:oMath>
        <m:sSub>
          <m:sSubPr>
            <m:ctrlPr>
              <w:rPr>
                <w:rFonts w:ascii="Cambria Math" w:hAnsi="Cambria Math"/>
                <w:noProof/>
              </w:rPr>
            </m:ctrlPr>
          </m:sSubPr>
          <m:e>
            <m:r>
              <w:rPr>
                <w:rFonts w:ascii="Cambria Math" w:hAnsi="Cambria Math"/>
                <w:noProof/>
              </w:rPr>
              <m:t>LCOE</m:t>
            </m:r>
          </m:e>
          <m:sub>
            <m:r>
              <w:rPr>
                <w:rFonts w:ascii="Cambria Math" w:hAnsi="Cambria Math"/>
              </w:rPr>
              <m:t>MIX</m:t>
            </m:r>
          </m:sub>
        </m:sSub>
      </m:oMath>
      <w:r w:rsidRPr="00235EF6">
        <w:t xml:space="preserve"> (B).</w:t>
      </w:r>
    </w:p>
    <w:p w14:paraId="223AE90D" w14:textId="2C64DC95" w:rsidR="00007039" w:rsidRPr="00235EF6" w:rsidRDefault="00F96997" w:rsidP="00692049">
      <w:pPr>
        <w:pStyle w:val="CETBodytext"/>
        <w:rPr>
          <w:lang w:val="en-GB"/>
        </w:rPr>
      </w:pPr>
      <w:r w:rsidRPr="00F96997">
        <w:rPr>
          <w:noProof/>
          <w:lang w:val="en-GB" w:eastAsia="en-GB"/>
        </w:rPr>
        <w:drawing>
          <wp:inline distT="0" distB="0" distL="0" distR="0" wp14:anchorId="643923BF" wp14:editId="63E2DF1F">
            <wp:extent cx="5466303" cy="3419475"/>
            <wp:effectExtent l="0" t="0" r="1270" b="0"/>
            <wp:docPr id="9" name="Picture 9" descr="C:\Users\mariasole.cipollett2\Documents\PhD\RES-INTEGRATION OFFSHORE\OHRES_avSOLE\Divulgation of OHRES\Icheap16 - old ASHRAE\ICHEAP PREPARATION\New sims\f2-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sole.cipollett2\Documents\PhD\RES-INTEGRATION OFFSHORE\OHRES_avSOLE\Divulgation of OHRES\Icheap16 - old ASHRAE\ICHEAP PREPARATION\New sims\f2-vert.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826"/>
                    <a:stretch/>
                  </pic:blipFill>
                  <pic:spPr bwMode="auto">
                    <a:xfrm>
                      <a:off x="0" y="0"/>
                      <a:ext cx="5467142" cy="3420000"/>
                    </a:xfrm>
                    <a:prstGeom prst="rect">
                      <a:avLst/>
                    </a:prstGeom>
                    <a:noFill/>
                    <a:ln>
                      <a:noFill/>
                    </a:ln>
                    <a:extLst>
                      <a:ext uri="{53640926-AAD7-44D8-BBD7-CCE9431645EC}">
                        <a14:shadowObscured xmlns:a14="http://schemas.microsoft.com/office/drawing/2010/main"/>
                      </a:ext>
                    </a:extLst>
                  </pic:spPr>
                </pic:pic>
              </a:graphicData>
            </a:graphic>
          </wp:inline>
        </w:drawing>
      </w:r>
      <w:r w:rsidRPr="00F96997" w:rsidDel="00007039">
        <w:rPr>
          <w:highlight w:val="yellow"/>
          <w:lang w:val="en-GB"/>
        </w:rPr>
        <w:t xml:space="preserve"> </w:t>
      </w:r>
    </w:p>
    <w:p w14:paraId="37AD4002" w14:textId="77D7593F" w:rsidR="00692049" w:rsidRPr="00235EF6" w:rsidRDefault="00692049" w:rsidP="00692049">
      <w:pPr>
        <w:pStyle w:val="CETCaption"/>
      </w:pPr>
      <w:bookmarkStart w:id="4" w:name="_Ref105751655"/>
      <w:r w:rsidRPr="00235EF6">
        <w:t xml:space="preserve">Figure </w:t>
      </w:r>
      <w:r w:rsidRPr="00235EF6">
        <w:fldChar w:fldCharType="begin"/>
      </w:r>
      <w:r w:rsidRPr="00235EF6">
        <w:instrText xml:space="preserve"> SEQ Figure \* ARABIC </w:instrText>
      </w:r>
      <w:r w:rsidRPr="00235EF6">
        <w:fldChar w:fldCharType="separate"/>
      </w:r>
      <w:r w:rsidRPr="00235EF6">
        <w:t>3</w:t>
      </w:r>
      <w:r w:rsidRPr="00235EF6">
        <w:fldChar w:fldCharType="end"/>
      </w:r>
      <w:bookmarkEnd w:id="4"/>
      <w:r w:rsidRPr="00235EF6">
        <w:t xml:space="preserve">. Top ten energy mixes of the rankings obtained according to </w:t>
      </w:r>
      <m:oMath>
        <m:sSub>
          <m:sSubPr>
            <m:ctrlPr>
              <w:rPr>
                <w:rFonts w:ascii="Cambria Math" w:hAnsi="Cambria Math"/>
                <w:noProof/>
              </w:rPr>
            </m:ctrlPr>
          </m:sSubPr>
          <m:e>
            <m:r>
              <w:rPr>
                <w:rFonts w:ascii="Cambria Math" w:hAnsi="Cambria Math"/>
                <w:noProof/>
              </w:rPr>
              <m:t>GWP</m:t>
            </m:r>
          </m:e>
          <m:sub>
            <m:r>
              <w:rPr>
                <w:rFonts w:ascii="Cambria Math" w:hAnsi="Cambria Math"/>
              </w:rPr>
              <m:t>MIX</m:t>
            </m:r>
          </m:sub>
        </m:sSub>
      </m:oMath>
      <w:r w:rsidRPr="00235EF6">
        <w:t xml:space="preserve"> (A) and </w:t>
      </w:r>
      <m:oMath>
        <m:sSub>
          <m:sSubPr>
            <m:ctrlPr>
              <w:rPr>
                <w:rFonts w:ascii="Cambria Math" w:hAnsi="Cambria Math"/>
                <w:noProof/>
              </w:rPr>
            </m:ctrlPr>
          </m:sSubPr>
          <m:e>
            <m:r>
              <w:rPr>
                <w:rFonts w:ascii="Cambria Math" w:hAnsi="Cambria Math"/>
                <w:noProof/>
              </w:rPr>
              <m:t>I</m:t>
            </m:r>
          </m:e>
          <m:sub>
            <m:r>
              <w:rPr>
                <w:rFonts w:ascii="Cambria Math" w:hAnsi="Cambria Math"/>
              </w:rPr>
              <m:t>AGG,MIX</m:t>
            </m:r>
          </m:sub>
        </m:sSub>
      </m:oMath>
      <w:r w:rsidRPr="00235EF6">
        <w:t xml:space="preserve"> (B).</w:t>
      </w:r>
    </w:p>
    <w:p w14:paraId="0C7D6E49" w14:textId="77777777" w:rsidR="00692049" w:rsidRPr="00235EF6" w:rsidRDefault="00692049" w:rsidP="00692049">
      <w:pPr>
        <w:pStyle w:val="CETHeading1"/>
        <w:rPr>
          <w:lang w:val="en-GB"/>
        </w:rPr>
      </w:pPr>
      <w:r w:rsidRPr="00235EF6">
        <w:rPr>
          <w:lang w:val="en-GB"/>
        </w:rPr>
        <w:t>Conclusions</w:t>
      </w:r>
    </w:p>
    <w:p w14:paraId="176355F4" w14:textId="5DDD8B61" w:rsidR="00621A31" w:rsidRPr="00235EF6" w:rsidRDefault="00692049" w:rsidP="00692049">
      <w:pPr>
        <w:pStyle w:val="CETBodytext"/>
        <w:rPr>
          <w:lang w:val="en-GB"/>
        </w:rPr>
      </w:pPr>
      <w:r w:rsidRPr="00235EF6">
        <w:rPr>
          <w:lang w:val="en-GB"/>
        </w:rPr>
        <w:t xml:space="preserve">The study demonstrated the potential of a straightforward approach for the optimized design of HRESs </w:t>
      </w:r>
      <w:r w:rsidR="00202D2B">
        <w:rPr>
          <w:lang w:val="en-GB"/>
        </w:rPr>
        <w:t>capturing</w:t>
      </w:r>
      <w:r w:rsidRPr="00235EF6">
        <w:rPr>
          <w:lang w:val="en-GB"/>
        </w:rPr>
        <w:t xml:space="preserve"> the site’s features</w:t>
      </w:r>
      <w:r w:rsidR="00202D2B">
        <w:rPr>
          <w:lang w:val="en-GB"/>
        </w:rPr>
        <w:t xml:space="preserve">. </w:t>
      </w:r>
      <w:r w:rsidRPr="00235EF6">
        <w:rPr>
          <w:lang w:val="en-GB"/>
        </w:rPr>
        <w:t xml:space="preserve">The simultaneous consideration of sustainability metrics, </w:t>
      </w:r>
      <w:r w:rsidR="00317B71" w:rsidRPr="00235EF6">
        <w:rPr>
          <w:lang w:val="en-GB"/>
        </w:rPr>
        <w:t xml:space="preserve">such </w:t>
      </w:r>
      <w:r w:rsidRPr="00235EF6">
        <w:rPr>
          <w:lang w:val="en-GB"/>
        </w:rPr>
        <w:t xml:space="preserve">as costs and environmental impacts, together with the crucial need </w:t>
      </w:r>
      <w:r w:rsidR="00317B71" w:rsidRPr="00235EF6">
        <w:rPr>
          <w:lang w:val="en-GB"/>
        </w:rPr>
        <w:t>to meet</w:t>
      </w:r>
      <w:r w:rsidRPr="00235EF6">
        <w:rPr>
          <w:lang w:val="en-GB"/>
        </w:rPr>
        <w:t xml:space="preserve"> </w:t>
      </w:r>
      <w:r w:rsidR="00202D2B">
        <w:rPr>
          <w:lang w:val="en-GB"/>
        </w:rPr>
        <w:t xml:space="preserve">the </w:t>
      </w:r>
      <w:r w:rsidRPr="00235EF6">
        <w:rPr>
          <w:lang w:val="en-GB"/>
        </w:rPr>
        <w:t>defined load demand</w:t>
      </w:r>
      <w:r w:rsidR="00317B71" w:rsidRPr="00235EF6">
        <w:rPr>
          <w:lang w:val="en-GB"/>
        </w:rPr>
        <w:t>,</w:t>
      </w:r>
      <w:r w:rsidRPr="00235EF6">
        <w:rPr>
          <w:lang w:val="en-GB"/>
        </w:rPr>
        <w:t xml:space="preserve"> boosts the exploitation of consolidated </w:t>
      </w:r>
      <w:r w:rsidRPr="00235EF6">
        <w:rPr>
          <w:lang w:val="en-GB"/>
        </w:rPr>
        <w:lastRenderedPageBreak/>
        <w:t xml:space="preserve">technologies but also encourages, even if </w:t>
      </w:r>
      <w:r w:rsidR="00317B71" w:rsidRPr="00235EF6">
        <w:rPr>
          <w:lang w:val="en-GB"/>
        </w:rPr>
        <w:t xml:space="preserve">to </w:t>
      </w:r>
      <w:r w:rsidRPr="00235EF6">
        <w:rPr>
          <w:lang w:val="en-GB"/>
        </w:rPr>
        <w:t>a lower extent, the deployment of more immature conversion devices</w:t>
      </w:r>
      <w:r w:rsidR="00202D2B">
        <w:rPr>
          <w:lang w:val="en-GB"/>
        </w:rPr>
        <w:t>,</w:t>
      </w:r>
      <w:r w:rsidRPr="00235EF6">
        <w:rPr>
          <w:lang w:val="en-GB"/>
        </w:rPr>
        <w:t xml:space="preserve"> as WECs</w:t>
      </w:r>
      <w:r w:rsidR="00202D2B">
        <w:rPr>
          <w:lang w:val="en-GB"/>
        </w:rPr>
        <w:t>, in hybrid systems</w:t>
      </w:r>
      <w:r w:rsidRPr="00235EF6">
        <w:rPr>
          <w:lang w:val="en-GB"/>
        </w:rPr>
        <w:t>.</w:t>
      </w:r>
      <w:r w:rsidR="00202D2B">
        <w:rPr>
          <w:lang w:val="en-GB"/>
        </w:rPr>
        <w:t xml:space="preserve"> The sustainability-based conceptual design </w:t>
      </w:r>
      <w:r w:rsidR="00202D2B" w:rsidRPr="00235EF6">
        <w:rPr>
          <w:lang w:val="en-GB"/>
        </w:rPr>
        <w:t>in</w:t>
      </w:r>
      <w:r w:rsidR="00202D2B">
        <w:rPr>
          <w:lang w:val="en-GB"/>
        </w:rPr>
        <w:t xml:space="preserve"> the region of Heraklion, Crete, mainly drives towards the installation of a </w:t>
      </w:r>
      <w:r w:rsidR="00AE19FB">
        <w:rPr>
          <w:lang w:val="en-GB"/>
        </w:rPr>
        <w:t>11</w:t>
      </w:r>
      <w:r w:rsidR="00202D2B">
        <w:rPr>
          <w:lang w:val="en-GB"/>
        </w:rPr>
        <w:t xml:space="preserve">0 MW wind farm and maximum 10 </w:t>
      </w:r>
      <w:proofErr w:type="spellStart"/>
      <w:r w:rsidR="00202D2B">
        <w:rPr>
          <w:lang w:val="en-GB"/>
        </w:rPr>
        <w:t>Pelamis</w:t>
      </w:r>
      <w:proofErr w:type="spellEnd"/>
      <w:r w:rsidR="00202D2B">
        <w:rPr>
          <w:lang w:val="en-GB"/>
        </w:rPr>
        <w:t xml:space="preserve"> WECs</w:t>
      </w:r>
      <w:r w:rsidR="001674E7">
        <w:rPr>
          <w:lang w:val="en-GB"/>
        </w:rPr>
        <w:t xml:space="preserve"> to sustain 1 % of the island electricity consumption</w:t>
      </w:r>
      <w:r w:rsidR="00202D2B">
        <w:rPr>
          <w:lang w:val="en-GB"/>
        </w:rPr>
        <w:t xml:space="preserve">. </w:t>
      </w:r>
      <w:r w:rsidRPr="00235EF6">
        <w:rPr>
          <w:lang w:val="en-GB"/>
        </w:rPr>
        <w:t xml:space="preserve">Aspects deserving deeper investigation are the possibility of storage in the case of off-grid applications of the integrated energy system as well as the </w:t>
      </w:r>
      <w:r w:rsidR="00D60D59">
        <w:rPr>
          <w:lang w:val="en-GB"/>
        </w:rPr>
        <w:t>possibility to integrate in the presented approach</w:t>
      </w:r>
      <w:r w:rsidR="00D60D59" w:rsidRPr="00235EF6">
        <w:rPr>
          <w:lang w:val="en-GB"/>
        </w:rPr>
        <w:t xml:space="preserve"> </w:t>
      </w:r>
      <w:r w:rsidR="00D60D59">
        <w:rPr>
          <w:lang w:val="en-GB"/>
        </w:rPr>
        <w:t xml:space="preserve">a detailed </w:t>
      </w:r>
      <w:r w:rsidRPr="00235EF6">
        <w:rPr>
          <w:lang w:val="en-GB"/>
        </w:rPr>
        <w:t>impact evaluation</w:t>
      </w:r>
      <w:r w:rsidR="00D60D59">
        <w:rPr>
          <w:lang w:val="en-GB"/>
        </w:rPr>
        <w:t xml:space="preserve"> of the considered energy mixes at the </w:t>
      </w:r>
      <w:r w:rsidRPr="00235EF6">
        <w:rPr>
          <w:lang w:val="en-GB"/>
        </w:rPr>
        <w:t xml:space="preserve">site </w:t>
      </w:r>
      <w:r w:rsidR="00D60D59">
        <w:rPr>
          <w:lang w:val="en-GB"/>
        </w:rPr>
        <w:t>of interest.</w:t>
      </w:r>
    </w:p>
    <w:p w14:paraId="24500929" w14:textId="77777777" w:rsidR="00692049" w:rsidRPr="00235EF6" w:rsidRDefault="00692049" w:rsidP="00692049">
      <w:pPr>
        <w:pStyle w:val="CETAcknowledgementstitle"/>
        <w:rPr>
          <w:rFonts w:ascii="Garamond" w:hAnsi="Garamond"/>
        </w:rPr>
      </w:pPr>
      <w:r w:rsidRPr="00235EF6">
        <w:t>Acknowledgments</w:t>
      </w:r>
    </w:p>
    <w:p w14:paraId="2D7C307A" w14:textId="77777777" w:rsidR="00692049" w:rsidRPr="00235EF6" w:rsidRDefault="00692049" w:rsidP="00692049">
      <w:pPr>
        <w:pStyle w:val="CETBodytext"/>
        <w:rPr>
          <w:lang w:val="en-GB"/>
        </w:rPr>
      </w:pPr>
      <w:r w:rsidRPr="00235EF6">
        <w:rPr>
          <w:lang w:val="en-GB"/>
        </w:rPr>
        <w:t>The authors thank HCMR POSEIDON system for providing the wind and wave data and the Hellenic Electricity Distribution Network Operator SA (HEDNO) for providing the energy demand data.</w:t>
      </w:r>
    </w:p>
    <w:p w14:paraId="105C9635" w14:textId="56510196" w:rsidR="00692049" w:rsidRPr="00235EF6" w:rsidRDefault="00692049" w:rsidP="00692049">
      <w:pPr>
        <w:pStyle w:val="CETReference"/>
      </w:pPr>
      <w:r w:rsidRPr="00235EF6">
        <w:t>References</w:t>
      </w:r>
    </w:p>
    <w:p w14:paraId="4196E97D" w14:textId="77777777" w:rsidR="000A42CC" w:rsidRPr="00235EF6" w:rsidRDefault="000A42CC" w:rsidP="00692049">
      <w:pPr>
        <w:pStyle w:val="CETReferencetext"/>
      </w:pPr>
      <w:r w:rsidRPr="00235EF6">
        <w:t xml:space="preserve">Banerjee S., Duckers L., Blanchard R.E., 2013, </w:t>
      </w:r>
      <w:proofErr w:type="gramStart"/>
      <w:r w:rsidRPr="00235EF6">
        <w:t>An</w:t>
      </w:r>
      <w:proofErr w:type="gramEnd"/>
      <w:r w:rsidRPr="00235EF6">
        <w:t xml:space="preserve"> overview on greenhouse gas emission characteristics and energy evaluation of ocean energy systems from life cycle assessment and energy accounting studies, Journal of Applied and Natural Science, 5, 535–540.</w:t>
      </w:r>
    </w:p>
    <w:p w14:paraId="55882CD6" w14:textId="77777777" w:rsidR="000A42CC" w:rsidRDefault="000A42CC" w:rsidP="001D3999">
      <w:pPr>
        <w:pStyle w:val="CETReferencetext"/>
      </w:pPr>
      <w:proofErr w:type="spellStart"/>
      <w:r w:rsidRPr="000A42CC">
        <w:t>Bosserelle</w:t>
      </w:r>
      <w:proofErr w:type="spellEnd"/>
      <w:r w:rsidRPr="000A42CC">
        <w:t xml:space="preserve"> C., Reddy S.K., Kruger J., 2015, Waves and Coasts in the Pacific, Report, </w:t>
      </w:r>
      <w:r>
        <w:t>Pacific Community,</w:t>
      </w:r>
      <w:r w:rsidRPr="00597C11">
        <w:t xml:space="preserve"> Suva, Fiji Islands</w:t>
      </w:r>
      <w:r w:rsidRPr="000A42CC">
        <w:t>.</w:t>
      </w:r>
    </w:p>
    <w:p w14:paraId="642CF212" w14:textId="77777777" w:rsidR="000A42CC" w:rsidRPr="00235EF6" w:rsidRDefault="000A42CC" w:rsidP="00692049">
      <w:pPr>
        <w:pStyle w:val="CETReferencetext"/>
      </w:pPr>
      <w:r w:rsidRPr="00235EF6">
        <w:t xml:space="preserve">Cipolletta M., </w:t>
      </w:r>
      <w:proofErr w:type="spellStart"/>
      <w:r w:rsidRPr="00235EF6">
        <w:t>Casson</w:t>
      </w:r>
      <w:proofErr w:type="spellEnd"/>
      <w:r w:rsidRPr="00235EF6">
        <w:t xml:space="preserve"> Moreno V., </w:t>
      </w:r>
      <w:proofErr w:type="spellStart"/>
      <w:r w:rsidRPr="00235EF6">
        <w:t>Dallavalle</w:t>
      </w:r>
      <w:proofErr w:type="spellEnd"/>
      <w:r w:rsidRPr="00235EF6">
        <w:t xml:space="preserve"> E., </w:t>
      </w:r>
      <w:proofErr w:type="spellStart"/>
      <w:r w:rsidRPr="00235EF6">
        <w:t>Zanuttigh</w:t>
      </w:r>
      <w:proofErr w:type="spellEnd"/>
      <w:r w:rsidRPr="00235EF6">
        <w:t xml:space="preserve"> B., </w:t>
      </w:r>
      <w:proofErr w:type="spellStart"/>
      <w:r w:rsidRPr="00235EF6">
        <w:t>Cozzani</w:t>
      </w:r>
      <w:proofErr w:type="spellEnd"/>
      <w:r w:rsidRPr="00235EF6">
        <w:t xml:space="preserve"> V., 2021, Aiding water production in isolated islands using integrated renewable energies sources, Chemical Engineering Transactions, 86, 205–210. </w:t>
      </w:r>
    </w:p>
    <w:p w14:paraId="2B4F7EB2" w14:textId="77777777" w:rsidR="000A42CC" w:rsidRPr="00235EF6" w:rsidRDefault="000A42CC" w:rsidP="00692049">
      <w:pPr>
        <w:pStyle w:val="CETReferencetext"/>
      </w:pPr>
      <w:proofErr w:type="spellStart"/>
      <w:r w:rsidRPr="00235EF6">
        <w:t>Dallavalle</w:t>
      </w:r>
      <w:proofErr w:type="spellEnd"/>
      <w:r w:rsidRPr="00235EF6">
        <w:t xml:space="preserve"> E., Cipolletta M., </w:t>
      </w:r>
      <w:proofErr w:type="spellStart"/>
      <w:r w:rsidRPr="00235EF6">
        <w:t>Casson</w:t>
      </w:r>
      <w:proofErr w:type="spellEnd"/>
      <w:r w:rsidRPr="00235EF6">
        <w:t xml:space="preserve"> Moreno V., </w:t>
      </w:r>
      <w:proofErr w:type="spellStart"/>
      <w:r w:rsidRPr="00235EF6">
        <w:t>Cozzani</w:t>
      </w:r>
      <w:proofErr w:type="spellEnd"/>
      <w:r w:rsidRPr="00235EF6">
        <w:t xml:space="preserve"> V., </w:t>
      </w:r>
      <w:proofErr w:type="spellStart"/>
      <w:r w:rsidRPr="00235EF6">
        <w:t>Zanuttigh</w:t>
      </w:r>
      <w:proofErr w:type="spellEnd"/>
      <w:r w:rsidRPr="00235EF6">
        <w:t xml:space="preserve"> B., 2021, </w:t>
      </w:r>
      <w:proofErr w:type="gramStart"/>
      <w:r w:rsidRPr="00235EF6">
        <w:t>Towards</w:t>
      </w:r>
      <w:proofErr w:type="gramEnd"/>
      <w:r w:rsidRPr="00235EF6">
        <w:t xml:space="preserve"> green transition of touristic islands through hybrid renewable energy systems. A case study in Tenerife, Canary Islands, Renewable Energy, 174, 426–443.</w:t>
      </w:r>
    </w:p>
    <w:p w14:paraId="23BC4A8F" w14:textId="77777777" w:rsidR="000A42CC" w:rsidRPr="00235EF6" w:rsidRDefault="000A42CC" w:rsidP="00692049">
      <w:pPr>
        <w:pStyle w:val="CETReferencetext"/>
      </w:pPr>
      <w:proofErr w:type="spellStart"/>
      <w:r w:rsidRPr="00235EF6">
        <w:t>Dialyna</w:t>
      </w:r>
      <w:proofErr w:type="spellEnd"/>
      <w:r w:rsidRPr="00235EF6">
        <w:t xml:space="preserve"> E., </w:t>
      </w:r>
      <w:proofErr w:type="spellStart"/>
      <w:r w:rsidRPr="00235EF6">
        <w:t>Tsoutsos</w:t>
      </w:r>
      <w:proofErr w:type="spellEnd"/>
      <w:r w:rsidRPr="00235EF6">
        <w:t xml:space="preserve"> T., 2021, Wave energy in the </w:t>
      </w:r>
      <w:proofErr w:type="spellStart"/>
      <w:proofErr w:type="gramStart"/>
      <w:r w:rsidRPr="00235EF6">
        <w:t>mediterranean</w:t>
      </w:r>
      <w:proofErr w:type="spellEnd"/>
      <w:r w:rsidRPr="00235EF6">
        <w:t xml:space="preserve"> sea</w:t>
      </w:r>
      <w:proofErr w:type="gramEnd"/>
      <w:r w:rsidRPr="00235EF6">
        <w:t xml:space="preserve">: Resource assessment, deployed </w:t>
      </w:r>
      <w:proofErr w:type="spellStart"/>
      <w:r w:rsidRPr="00235EF6">
        <w:t>wecs</w:t>
      </w:r>
      <w:proofErr w:type="spellEnd"/>
      <w:r w:rsidRPr="00235EF6">
        <w:t xml:space="preserve"> and prospects, Energies 14, 1-18.</w:t>
      </w:r>
    </w:p>
    <w:p w14:paraId="098505E7" w14:textId="77777777" w:rsidR="000A42CC" w:rsidRPr="00235EF6" w:rsidRDefault="000A42CC" w:rsidP="00692049">
      <w:pPr>
        <w:pStyle w:val="CETReferencetext"/>
      </w:pPr>
      <w:proofErr w:type="spellStart"/>
      <w:r w:rsidRPr="00235EF6">
        <w:t>Emmanouil</w:t>
      </w:r>
      <w:proofErr w:type="spellEnd"/>
      <w:r w:rsidRPr="00235EF6">
        <w:t xml:space="preserve"> G., </w:t>
      </w:r>
      <w:proofErr w:type="spellStart"/>
      <w:r w:rsidRPr="00235EF6">
        <w:t>Galanis</w:t>
      </w:r>
      <w:proofErr w:type="spellEnd"/>
      <w:r w:rsidRPr="00235EF6">
        <w:t xml:space="preserve"> G., </w:t>
      </w:r>
      <w:proofErr w:type="spellStart"/>
      <w:r w:rsidRPr="00235EF6">
        <w:t>Kalogeri</w:t>
      </w:r>
      <w:proofErr w:type="spellEnd"/>
      <w:r w:rsidRPr="00235EF6">
        <w:t xml:space="preserve"> C., </w:t>
      </w:r>
      <w:proofErr w:type="spellStart"/>
      <w:r w:rsidRPr="00235EF6">
        <w:t>Zodiatis</w:t>
      </w:r>
      <w:proofErr w:type="spellEnd"/>
      <w:r w:rsidRPr="00235EF6">
        <w:t xml:space="preserve"> G., </w:t>
      </w:r>
      <w:proofErr w:type="spellStart"/>
      <w:r w:rsidRPr="00235EF6">
        <w:t>Kallos</w:t>
      </w:r>
      <w:proofErr w:type="spellEnd"/>
      <w:r w:rsidRPr="00235EF6">
        <w:t xml:space="preserve"> G., 2016, 10-year high resolution study of wind, sea waves and wave energy assessment in the Greek offshore areas, Renewable Energy, 90, 399–419. </w:t>
      </w:r>
    </w:p>
    <w:p w14:paraId="4F401A00" w14:textId="77777777" w:rsidR="000A42CC" w:rsidRPr="00235EF6" w:rsidRDefault="000A42CC" w:rsidP="00692049">
      <w:pPr>
        <w:pStyle w:val="CETReferencetext"/>
      </w:pPr>
      <w:r w:rsidRPr="00235EF6">
        <w:t>European Commission, 2022, European Climate Law, EC, &lt;ec.europa.eu/clima/eu-action/european-green-deal/european-climate-law_en&gt; accessed 5.22.22.</w:t>
      </w:r>
    </w:p>
    <w:p w14:paraId="69325CD8" w14:textId="77777777" w:rsidR="000A42CC" w:rsidRPr="00235EF6" w:rsidRDefault="000A42CC" w:rsidP="00692049">
      <w:pPr>
        <w:pStyle w:val="CETReferencetext"/>
      </w:pPr>
      <w:proofErr w:type="spellStart"/>
      <w:r w:rsidRPr="00235EF6">
        <w:t>Fernández-Chozas</w:t>
      </w:r>
      <w:proofErr w:type="spellEnd"/>
      <w:r w:rsidRPr="00235EF6">
        <w:t xml:space="preserve"> J., </w:t>
      </w:r>
      <w:proofErr w:type="spellStart"/>
      <w:r w:rsidRPr="00235EF6">
        <w:t>Kofoed</w:t>
      </w:r>
      <w:proofErr w:type="spellEnd"/>
      <w:r w:rsidRPr="00235EF6">
        <w:t xml:space="preserve"> J.P., Jensen N.E.H., 2014, User guide – COE Calculation tool for Wave Energy Converters ver. 1.6, Report, Aalborg University, Aalborg, Denmark.</w:t>
      </w:r>
    </w:p>
    <w:p w14:paraId="4C20CB6B" w14:textId="77777777" w:rsidR="000A42CC" w:rsidRPr="00235EF6" w:rsidRDefault="000A42CC" w:rsidP="00692049">
      <w:pPr>
        <w:pStyle w:val="CETReferencetext"/>
      </w:pPr>
      <w:proofErr w:type="spellStart"/>
      <w:r w:rsidRPr="00235EF6">
        <w:t>Gkeka-Serpetsidaki</w:t>
      </w:r>
      <w:proofErr w:type="spellEnd"/>
      <w:r w:rsidRPr="00235EF6">
        <w:t xml:space="preserve"> P., </w:t>
      </w:r>
      <w:proofErr w:type="spellStart"/>
      <w:r w:rsidRPr="00235EF6">
        <w:t>Tsoutsos</w:t>
      </w:r>
      <w:proofErr w:type="spellEnd"/>
      <w:r w:rsidRPr="00235EF6">
        <w:t xml:space="preserve"> T., 2022, </w:t>
      </w:r>
      <w:proofErr w:type="gramStart"/>
      <w:r w:rsidRPr="00235EF6">
        <w:t>A</w:t>
      </w:r>
      <w:proofErr w:type="gramEnd"/>
      <w:r w:rsidRPr="00235EF6">
        <w:t xml:space="preserve"> methodological framework for optimal siting of offshore wind farms: A case study on the island of Crete, Energy, 239, 1-19.</w:t>
      </w:r>
    </w:p>
    <w:p w14:paraId="2128B8DD" w14:textId="77777777" w:rsidR="000A42CC" w:rsidRPr="00235EF6" w:rsidRDefault="000A42CC" w:rsidP="00692049">
      <w:pPr>
        <w:pStyle w:val="CETReferencetext"/>
      </w:pPr>
      <w:proofErr w:type="spellStart"/>
      <w:r w:rsidRPr="00235EF6">
        <w:t>Ioannou</w:t>
      </w:r>
      <w:proofErr w:type="spellEnd"/>
      <w:r w:rsidRPr="00235EF6">
        <w:t xml:space="preserve"> A., Angus A., Brennan F., 2018, Parametric CAPEX, OPEX, and LCOE expressions for offshore wind farms based on global deployment parameters. Energy Sources, Part B: Economics, Planning and Policy, 13, 281–290. </w:t>
      </w:r>
    </w:p>
    <w:p w14:paraId="3248CCD4" w14:textId="77777777" w:rsidR="000A42CC" w:rsidRPr="00235EF6" w:rsidRDefault="000A42CC" w:rsidP="00692049">
      <w:pPr>
        <w:pStyle w:val="CETReferencetext"/>
      </w:pPr>
      <w:r w:rsidRPr="00235EF6">
        <w:t xml:space="preserve">IPTO, 2021, Interconnection of Crete with Peloponnese, Independent Power Transmission Operator, </w:t>
      </w:r>
      <w:proofErr w:type="gramStart"/>
      <w:r w:rsidRPr="00235EF6">
        <w:t>&lt;</w:t>
      </w:r>
      <w:proofErr w:type="gramEnd"/>
      <w:r w:rsidRPr="00235EF6">
        <w:t>admie.gr/en/erga/erga-diasyndeseis/diasyndesi-tis-kritis-me-tin-peloponniso&gt; accessed 4.30.22.</w:t>
      </w:r>
    </w:p>
    <w:p w14:paraId="2DE6B2FD" w14:textId="77777777" w:rsidR="000A42CC" w:rsidRPr="00235EF6" w:rsidRDefault="000A42CC" w:rsidP="00692049">
      <w:pPr>
        <w:pStyle w:val="CETReferencetext"/>
      </w:pPr>
      <w:proofErr w:type="spellStart"/>
      <w:r w:rsidRPr="00235EF6">
        <w:t>Katsaprakakis</w:t>
      </w:r>
      <w:proofErr w:type="spellEnd"/>
      <w:r w:rsidRPr="00235EF6">
        <w:t xml:space="preserve"> D.</w:t>
      </w:r>
      <w:r>
        <w:t xml:space="preserve"> A.</w:t>
      </w:r>
      <w:r w:rsidRPr="00235EF6">
        <w:t xml:space="preserve">, </w:t>
      </w:r>
      <w:proofErr w:type="spellStart"/>
      <w:r w:rsidRPr="00235EF6">
        <w:t>Michopoulos</w:t>
      </w:r>
      <w:proofErr w:type="spellEnd"/>
      <w:r w:rsidRPr="00235EF6">
        <w:t xml:space="preserve"> A., </w:t>
      </w:r>
      <w:proofErr w:type="spellStart"/>
      <w:r w:rsidRPr="00235EF6">
        <w:t>Skoulou</w:t>
      </w:r>
      <w:proofErr w:type="spellEnd"/>
      <w:r w:rsidRPr="00235EF6">
        <w:t xml:space="preserve"> V., </w:t>
      </w:r>
      <w:proofErr w:type="spellStart"/>
      <w:r w:rsidRPr="00235EF6">
        <w:t>Dakanali</w:t>
      </w:r>
      <w:proofErr w:type="spellEnd"/>
      <w:r w:rsidRPr="00235EF6">
        <w:t xml:space="preserve"> E., </w:t>
      </w:r>
      <w:proofErr w:type="spellStart"/>
      <w:r w:rsidRPr="00235EF6">
        <w:t>Maragkaki</w:t>
      </w:r>
      <w:proofErr w:type="spellEnd"/>
      <w:r w:rsidRPr="00235EF6">
        <w:t xml:space="preserve"> A., </w:t>
      </w:r>
      <w:proofErr w:type="spellStart"/>
      <w:r w:rsidRPr="00235EF6">
        <w:t>Pappa</w:t>
      </w:r>
      <w:proofErr w:type="spellEnd"/>
      <w:r w:rsidRPr="00235EF6">
        <w:t xml:space="preserve"> S., </w:t>
      </w:r>
      <w:proofErr w:type="spellStart"/>
      <w:r w:rsidRPr="00235EF6">
        <w:t>Antonakakis</w:t>
      </w:r>
      <w:proofErr w:type="spellEnd"/>
      <w:r w:rsidRPr="00235EF6">
        <w:t xml:space="preserve"> I., Christakis D., </w:t>
      </w:r>
      <w:proofErr w:type="spellStart"/>
      <w:r w:rsidRPr="00235EF6">
        <w:t>Condaxakis</w:t>
      </w:r>
      <w:proofErr w:type="spellEnd"/>
      <w:r w:rsidRPr="00235EF6">
        <w:t xml:space="preserve"> C., 2022, A Multidisciplinary Approach for an Effective and Rational Energy Transition in Crete Island, Greece, Energies, 15, 1-49.</w:t>
      </w:r>
    </w:p>
    <w:p w14:paraId="066D62D0" w14:textId="77777777" w:rsidR="000A42CC" w:rsidRPr="00235EF6" w:rsidRDefault="000A42CC" w:rsidP="00692049">
      <w:pPr>
        <w:pStyle w:val="CETReferencetext"/>
      </w:pPr>
      <w:proofErr w:type="spellStart"/>
      <w:r w:rsidRPr="00235EF6">
        <w:t>Lavidas</w:t>
      </w:r>
      <w:proofErr w:type="spellEnd"/>
      <w:r w:rsidRPr="00235EF6">
        <w:t xml:space="preserve"> G., </w:t>
      </w:r>
      <w:proofErr w:type="spellStart"/>
      <w:r w:rsidRPr="00235EF6">
        <w:t>Venugopal</w:t>
      </w:r>
      <w:proofErr w:type="spellEnd"/>
      <w:r w:rsidRPr="00235EF6">
        <w:t xml:space="preserve"> V., 2018, Energy Production Benefits by Wind and Wave Energies for the Autonomous System of Crete, Energies, 11, 1–14. </w:t>
      </w:r>
    </w:p>
    <w:p w14:paraId="2D74834E" w14:textId="77777777" w:rsidR="000A42CC" w:rsidRPr="00235EF6" w:rsidRDefault="000A42CC" w:rsidP="00692049">
      <w:pPr>
        <w:pStyle w:val="CETReferencetext"/>
      </w:pPr>
      <w:r w:rsidRPr="00235EF6">
        <w:t xml:space="preserve">Liu Y., Yu S., Zhu Y., Wang D., Liu J., 2018, </w:t>
      </w:r>
      <w:proofErr w:type="spellStart"/>
      <w:proofErr w:type="gramStart"/>
      <w:r w:rsidRPr="00235EF6">
        <w:t>Modeling</w:t>
      </w:r>
      <w:proofErr w:type="spellEnd"/>
      <w:proofErr w:type="gramEnd"/>
      <w:r w:rsidRPr="00235EF6">
        <w:t xml:space="preserve">, planning, application and management of energy systems for isolated areas: A review, Renewable and Sustainable Energy Reviews, 82, 460–470. </w:t>
      </w:r>
    </w:p>
    <w:p w14:paraId="69DE1496" w14:textId="77777777" w:rsidR="000A42CC" w:rsidRPr="00235EF6" w:rsidRDefault="000A42CC" w:rsidP="00692049">
      <w:pPr>
        <w:pStyle w:val="CETReferencetext"/>
      </w:pPr>
      <w:proofErr w:type="spellStart"/>
      <w:r w:rsidRPr="00235EF6">
        <w:t>Previsic</w:t>
      </w:r>
      <w:proofErr w:type="spellEnd"/>
      <w:r w:rsidRPr="00235EF6">
        <w:t xml:space="preserve"> M., Siddiqui O., </w:t>
      </w:r>
      <w:proofErr w:type="spellStart"/>
      <w:r w:rsidRPr="00235EF6">
        <w:t>Bedard</w:t>
      </w:r>
      <w:proofErr w:type="spellEnd"/>
      <w:r w:rsidRPr="00235EF6">
        <w:t xml:space="preserve"> R., Hagerman G., 2004, System level design, performance and costs for San Francisco California </w:t>
      </w:r>
      <w:proofErr w:type="spellStart"/>
      <w:r w:rsidRPr="00235EF6">
        <w:t>Pelamis</w:t>
      </w:r>
      <w:proofErr w:type="spellEnd"/>
      <w:r w:rsidRPr="00235EF6">
        <w:t xml:space="preserve"> offshore wave power plant, Report, Electricity Innovation Institute, Palo Alto, US.</w:t>
      </w:r>
    </w:p>
    <w:p w14:paraId="07C8A2C0" w14:textId="77777777" w:rsidR="000A42CC" w:rsidRPr="00235EF6" w:rsidRDefault="000A42CC" w:rsidP="00692049">
      <w:pPr>
        <w:pStyle w:val="CETReferencetext"/>
      </w:pPr>
      <w:proofErr w:type="spellStart"/>
      <w:r w:rsidRPr="00235EF6">
        <w:t>Raadal</w:t>
      </w:r>
      <w:proofErr w:type="spellEnd"/>
      <w:r w:rsidRPr="00235EF6">
        <w:t xml:space="preserve"> H.L., </w:t>
      </w:r>
      <w:proofErr w:type="spellStart"/>
      <w:r w:rsidRPr="00235EF6">
        <w:t>Vold</w:t>
      </w:r>
      <w:proofErr w:type="spellEnd"/>
      <w:r w:rsidRPr="00235EF6">
        <w:t xml:space="preserve"> B.I., </w:t>
      </w:r>
      <w:proofErr w:type="spellStart"/>
      <w:r w:rsidRPr="00235EF6">
        <w:t>Myhr</w:t>
      </w:r>
      <w:proofErr w:type="spellEnd"/>
      <w:r w:rsidRPr="00235EF6">
        <w:t xml:space="preserve"> A., </w:t>
      </w:r>
      <w:proofErr w:type="spellStart"/>
      <w:r w:rsidRPr="00235EF6">
        <w:t>Nygaard</w:t>
      </w:r>
      <w:proofErr w:type="spellEnd"/>
      <w:r w:rsidRPr="00235EF6">
        <w:t xml:space="preserve"> T.A., 2014, GHG emissions and energy performance of offshore wind power, Renewable Energy, 66, 314–324. </w:t>
      </w:r>
    </w:p>
    <w:p w14:paraId="37185493" w14:textId="77777777" w:rsidR="000A42CC" w:rsidRPr="00235EF6" w:rsidRDefault="000A42CC" w:rsidP="00692049">
      <w:pPr>
        <w:pStyle w:val="CETReferencetext"/>
      </w:pPr>
      <w:r w:rsidRPr="00235EF6">
        <w:t xml:space="preserve">Silva D., </w:t>
      </w:r>
      <w:proofErr w:type="spellStart"/>
      <w:r w:rsidRPr="00235EF6">
        <w:t>Rusu</w:t>
      </w:r>
      <w:proofErr w:type="spellEnd"/>
      <w:r w:rsidRPr="00235EF6">
        <w:t xml:space="preserve"> E., </w:t>
      </w:r>
      <w:proofErr w:type="spellStart"/>
      <w:r w:rsidRPr="00235EF6">
        <w:t>Soares</w:t>
      </w:r>
      <w:proofErr w:type="spellEnd"/>
      <w:r w:rsidRPr="00235EF6">
        <w:t xml:space="preserve"> C.G., 2013, Evaluation of various technologies for wave energy conversion in the </w:t>
      </w:r>
      <w:proofErr w:type="spellStart"/>
      <w:r w:rsidRPr="00235EF6">
        <w:t>portuguese</w:t>
      </w:r>
      <w:proofErr w:type="spellEnd"/>
      <w:r w:rsidRPr="00235EF6">
        <w:t xml:space="preserve"> nearshore, Energies, 6, 1344–1364. </w:t>
      </w:r>
    </w:p>
    <w:p w14:paraId="3B71676A" w14:textId="77777777" w:rsidR="000A42CC" w:rsidRPr="000A42CC" w:rsidRDefault="000A42CC" w:rsidP="001D3999">
      <w:pPr>
        <w:pStyle w:val="CETReferencetext"/>
      </w:pPr>
      <w:proofErr w:type="spellStart"/>
      <w:r w:rsidRPr="000A42CC">
        <w:t>Sørensen</w:t>
      </w:r>
      <w:proofErr w:type="spellEnd"/>
      <w:r w:rsidRPr="000A42CC">
        <w:t xml:space="preserve"> H.C., </w:t>
      </w:r>
      <w:proofErr w:type="spellStart"/>
      <w:r w:rsidRPr="000A42CC">
        <w:t>Friis</w:t>
      </w:r>
      <w:proofErr w:type="spellEnd"/>
      <w:r w:rsidRPr="000A42CC">
        <w:t xml:space="preserve">-Madsen E., 2015, Wave Dragon 1.5 MW North Sea Demonstrator - Phase 1, Report, Aalborg University, </w:t>
      </w:r>
      <w:proofErr w:type="spellStart"/>
      <w:r w:rsidRPr="000A42CC">
        <w:t>Copenaghen</w:t>
      </w:r>
      <w:proofErr w:type="spellEnd"/>
      <w:r w:rsidRPr="000A42CC">
        <w:t>, Denmark.</w:t>
      </w:r>
    </w:p>
    <w:p w14:paraId="08992973" w14:textId="77777777" w:rsidR="000A42CC" w:rsidRPr="00235EF6" w:rsidRDefault="000A42CC" w:rsidP="00692049">
      <w:pPr>
        <w:pStyle w:val="CETReferencetext"/>
      </w:pPr>
      <w:r w:rsidRPr="00235EF6">
        <w:t>The Wind Power, 2022, Manufacturers and turbines, &lt;thewindpower.net/</w:t>
      </w:r>
      <w:proofErr w:type="spellStart"/>
      <w:r w:rsidRPr="00235EF6">
        <w:t>store_manufacturers_turbines_view_all_en.php</w:t>
      </w:r>
      <w:proofErr w:type="spellEnd"/>
      <w:r w:rsidRPr="00235EF6">
        <w:t>&gt; accessed 21.07.2022.</w:t>
      </w:r>
    </w:p>
    <w:p w14:paraId="36AF9DE7" w14:textId="701431CB" w:rsidR="00D446E3" w:rsidRPr="00235EF6" w:rsidRDefault="000A42CC" w:rsidP="000A42CC">
      <w:pPr>
        <w:pStyle w:val="CETReferencetext"/>
      </w:pPr>
      <w:proofErr w:type="spellStart"/>
      <w:r w:rsidRPr="00235EF6">
        <w:t>Vourdoubas</w:t>
      </w:r>
      <w:proofErr w:type="spellEnd"/>
      <w:r w:rsidRPr="00235EF6">
        <w:t xml:space="preserve"> J., 2021, Islands with Zero Net Carbon Footprint due to Electricity Use. The Case of Crete, Greece, European Journal of Environment and Earth Sciences, 2, 37–43.</w:t>
      </w:r>
    </w:p>
    <w:sectPr w:rsidR="00D446E3" w:rsidRPr="00235EF6" w:rsidSect="000A42CC">
      <w:footerReference w:type="default" r:id="rId13"/>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ED2E" w16cex:dateUtc="2023-01-31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18D5FA" w16cid:durableId="2783ED2E"/>
  <w16cid:commentId w16cid:paraId="66DE3B4C" w16cid:durableId="278B5E39"/>
  <w16cid:commentId w16cid:paraId="015BC754" w16cid:durableId="2787B52B"/>
  <w16cid:commentId w16cid:paraId="396FAC95" w16cid:durableId="2787B1F3"/>
  <w16cid:commentId w16cid:paraId="200773B5" w16cid:durableId="2787B1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F7C69" w14:textId="77777777" w:rsidR="00A05EA3" w:rsidRDefault="00A05EA3" w:rsidP="004F5E36">
      <w:r>
        <w:separator/>
      </w:r>
    </w:p>
  </w:endnote>
  <w:endnote w:type="continuationSeparator" w:id="0">
    <w:p w14:paraId="2AA1A37F" w14:textId="77777777" w:rsidR="00A05EA3" w:rsidRDefault="00A05EA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FB9CC" w14:textId="77777777" w:rsidR="00D25F7E" w:rsidRDefault="00D25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805A3" w14:textId="77777777" w:rsidR="00A05EA3" w:rsidRDefault="00A05EA3" w:rsidP="004F5E36">
      <w:r>
        <w:separator/>
      </w:r>
    </w:p>
  </w:footnote>
  <w:footnote w:type="continuationSeparator" w:id="0">
    <w:p w14:paraId="7532D496" w14:textId="77777777" w:rsidR="00A05EA3" w:rsidRDefault="00A05EA3"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52FB"/>
    <w:rsid w:val="00007039"/>
    <w:rsid w:val="000117CB"/>
    <w:rsid w:val="0001792E"/>
    <w:rsid w:val="0003148D"/>
    <w:rsid w:val="00031EEC"/>
    <w:rsid w:val="00051566"/>
    <w:rsid w:val="00054F6B"/>
    <w:rsid w:val="000562A9"/>
    <w:rsid w:val="00062A9A"/>
    <w:rsid w:val="00063853"/>
    <w:rsid w:val="00065058"/>
    <w:rsid w:val="00065430"/>
    <w:rsid w:val="00086C39"/>
    <w:rsid w:val="000A03B2"/>
    <w:rsid w:val="000A42CC"/>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3221"/>
    <w:rsid w:val="00144D16"/>
    <w:rsid w:val="00150E59"/>
    <w:rsid w:val="00152DE3"/>
    <w:rsid w:val="00164CF9"/>
    <w:rsid w:val="0016531F"/>
    <w:rsid w:val="001667A6"/>
    <w:rsid w:val="001674E7"/>
    <w:rsid w:val="00184AD6"/>
    <w:rsid w:val="001A4AF7"/>
    <w:rsid w:val="001B0349"/>
    <w:rsid w:val="001B1E93"/>
    <w:rsid w:val="001B65C1"/>
    <w:rsid w:val="001C1647"/>
    <w:rsid w:val="001C684B"/>
    <w:rsid w:val="001D0CFB"/>
    <w:rsid w:val="001D21AF"/>
    <w:rsid w:val="001D3999"/>
    <w:rsid w:val="001D53FC"/>
    <w:rsid w:val="001E0DED"/>
    <w:rsid w:val="001F1DC7"/>
    <w:rsid w:val="001F42A5"/>
    <w:rsid w:val="001F7B9D"/>
    <w:rsid w:val="002015ED"/>
    <w:rsid w:val="00201C93"/>
    <w:rsid w:val="00202D2B"/>
    <w:rsid w:val="002033ED"/>
    <w:rsid w:val="002224B4"/>
    <w:rsid w:val="002234F2"/>
    <w:rsid w:val="00225223"/>
    <w:rsid w:val="00235EF6"/>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17B71"/>
    <w:rsid w:val="00321CA6"/>
    <w:rsid w:val="00323763"/>
    <w:rsid w:val="00323C5F"/>
    <w:rsid w:val="00334C09"/>
    <w:rsid w:val="00357A05"/>
    <w:rsid w:val="003723D4"/>
    <w:rsid w:val="00381905"/>
    <w:rsid w:val="00384CC8"/>
    <w:rsid w:val="003871FD"/>
    <w:rsid w:val="003875FD"/>
    <w:rsid w:val="003A1E30"/>
    <w:rsid w:val="003A2829"/>
    <w:rsid w:val="003A654B"/>
    <w:rsid w:val="003A7D1C"/>
    <w:rsid w:val="003B304B"/>
    <w:rsid w:val="003B3146"/>
    <w:rsid w:val="003E0EE6"/>
    <w:rsid w:val="003E7826"/>
    <w:rsid w:val="003F015E"/>
    <w:rsid w:val="00400414"/>
    <w:rsid w:val="0041446B"/>
    <w:rsid w:val="00435466"/>
    <w:rsid w:val="0044071E"/>
    <w:rsid w:val="0044329C"/>
    <w:rsid w:val="00453E24"/>
    <w:rsid w:val="00457456"/>
    <w:rsid w:val="004577FE"/>
    <w:rsid w:val="00457B9C"/>
    <w:rsid w:val="0046164A"/>
    <w:rsid w:val="004628D2"/>
    <w:rsid w:val="00462DCD"/>
    <w:rsid w:val="004647D1"/>
    <w:rsid w:val="004648AD"/>
    <w:rsid w:val="004703A9"/>
    <w:rsid w:val="004760DE"/>
    <w:rsid w:val="004763D7"/>
    <w:rsid w:val="004A004E"/>
    <w:rsid w:val="004A24CF"/>
    <w:rsid w:val="004C3D1D"/>
    <w:rsid w:val="004C3D84"/>
    <w:rsid w:val="004C7913"/>
    <w:rsid w:val="004E4DD6"/>
    <w:rsid w:val="004F2359"/>
    <w:rsid w:val="004F5E36"/>
    <w:rsid w:val="00507B47"/>
    <w:rsid w:val="00507BEF"/>
    <w:rsid w:val="00507CC9"/>
    <w:rsid w:val="005119A5"/>
    <w:rsid w:val="0051579F"/>
    <w:rsid w:val="005278B7"/>
    <w:rsid w:val="00532016"/>
    <w:rsid w:val="005346C8"/>
    <w:rsid w:val="00543E7D"/>
    <w:rsid w:val="00547A68"/>
    <w:rsid w:val="005526D0"/>
    <w:rsid w:val="005531C9"/>
    <w:rsid w:val="00570C43"/>
    <w:rsid w:val="00597C11"/>
    <w:rsid w:val="005B2110"/>
    <w:rsid w:val="005B61E6"/>
    <w:rsid w:val="005C77E1"/>
    <w:rsid w:val="005D668A"/>
    <w:rsid w:val="005D6A2F"/>
    <w:rsid w:val="005E1A82"/>
    <w:rsid w:val="005E794C"/>
    <w:rsid w:val="005F0A28"/>
    <w:rsid w:val="005F0E5E"/>
    <w:rsid w:val="00600535"/>
    <w:rsid w:val="00610CD6"/>
    <w:rsid w:val="00620DEE"/>
    <w:rsid w:val="00621A31"/>
    <w:rsid w:val="00621F92"/>
    <w:rsid w:val="0062280A"/>
    <w:rsid w:val="00625639"/>
    <w:rsid w:val="00631B33"/>
    <w:rsid w:val="0064184D"/>
    <w:rsid w:val="006422CC"/>
    <w:rsid w:val="006429C5"/>
    <w:rsid w:val="0064485F"/>
    <w:rsid w:val="00660E3E"/>
    <w:rsid w:val="00662E74"/>
    <w:rsid w:val="00665792"/>
    <w:rsid w:val="00667BB8"/>
    <w:rsid w:val="00680C23"/>
    <w:rsid w:val="00692049"/>
    <w:rsid w:val="00693766"/>
    <w:rsid w:val="006A3281"/>
    <w:rsid w:val="006A7A57"/>
    <w:rsid w:val="006B4888"/>
    <w:rsid w:val="006C2E45"/>
    <w:rsid w:val="006C359C"/>
    <w:rsid w:val="006C5579"/>
    <w:rsid w:val="006C5D18"/>
    <w:rsid w:val="006D6E8B"/>
    <w:rsid w:val="006E737D"/>
    <w:rsid w:val="006E7801"/>
    <w:rsid w:val="00713973"/>
    <w:rsid w:val="00720A24"/>
    <w:rsid w:val="00732386"/>
    <w:rsid w:val="0073514D"/>
    <w:rsid w:val="007447F3"/>
    <w:rsid w:val="0075499F"/>
    <w:rsid w:val="007661C8"/>
    <w:rsid w:val="0077098D"/>
    <w:rsid w:val="007846DE"/>
    <w:rsid w:val="007931FA"/>
    <w:rsid w:val="007A4861"/>
    <w:rsid w:val="007A7BBA"/>
    <w:rsid w:val="007B0C50"/>
    <w:rsid w:val="007B48F9"/>
    <w:rsid w:val="007C1A43"/>
    <w:rsid w:val="007D0951"/>
    <w:rsid w:val="007E5844"/>
    <w:rsid w:val="007F79C1"/>
    <w:rsid w:val="0080013E"/>
    <w:rsid w:val="00813288"/>
    <w:rsid w:val="008168FC"/>
    <w:rsid w:val="00821AC1"/>
    <w:rsid w:val="00830996"/>
    <w:rsid w:val="008345F1"/>
    <w:rsid w:val="00845BD3"/>
    <w:rsid w:val="00865B07"/>
    <w:rsid w:val="008667EA"/>
    <w:rsid w:val="0087637F"/>
    <w:rsid w:val="00892AD5"/>
    <w:rsid w:val="008A1512"/>
    <w:rsid w:val="008D32B9"/>
    <w:rsid w:val="008D433B"/>
    <w:rsid w:val="008D4A16"/>
    <w:rsid w:val="008E566E"/>
    <w:rsid w:val="008F3D5D"/>
    <w:rsid w:val="0090161A"/>
    <w:rsid w:val="00901EB6"/>
    <w:rsid w:val="00903B1A"/>
    <w:rsid w:val="00904C62"/>
    <w:rsid w:val="00922BA8"/>
    <w:rsid w:val="00924DAC"/>
    <w:rsid w:val="00927058"/>
    <w:rsid w:val="00927BC8"/>
    <w:rsid w:val="00942750"/>
    <w:rsid w:val="009450CE"/>
    <w:rsid w:val="009459BB"/>
    <w:rsid w:val="00947179"/>
    <w:rsid w:val="0095164B"/>
    <w:rsid w:val="00954090"/>
    <w:rsid w:val="009573E7"/>
    <w:rsid w:val="00963E05"/>
    <w:rsid w:val="00964A45"/>
    <w:rsid w:val="00967843"/>
    <w:rsid w:val="00967D54"/>
    <w:rsid w:val="00971028"/>
    <w:rsid w:val="00993B84"/>
    <w:rsid w:val="00996103"/>
    <w:rsid w:val="00996483"/>
    <w:rsid w:val="00996F5A"/>
    <w:rsid w:val="009B041A"/>
    <w:rsid w:val="009B383A"/>
    <w:rsid w:val="009B7C42"/>
    <w:rsid w:val="009C37C3"/>
    <w:rsid w:val="009C5EAE"/>
    <w:rsid w:val="009C7C86"/>
    <w:rsid w:val="009D2FF7"/>
    <w:rsid w:val="009E2C91"/>
    <w:rsid w:val="009E7884"/>
    <w:rsid w:val="009E788A"/>
    <w:rsid w:val="009F0E08"/>
    <w:rsid w:val="00A05EA3"/>
    <w:rsid w:val="00A1763D"/>
    <w:rsid w:val="00A17CEC"/>
    <w:rsid w:val="00A27EF0"/>
    <w:rsid w:val="00A42361"/>
    <w:rsid w:val="00A43E62"/>
    <w:rsid w:val="00A50B20"/>
    <w:rsid w:val="00A51390"/>
    <w:rsid w:val="00A60D13"/>
    <w:rsid w:val="00A7223D"/>
    <w:rsid w:val="00A72745"/>
    <w:rsid w:val="00A76EFC"/>
    <w:rsid w:val="00A87D50"/>
    <w:rsid w:val="00A91010"/>
    <w:rsid w:val="00A97F29"/>
    <w:rsid w:val="00AA702E"/>
    <w:rsid w:val="00AA7D26"/>
    <w:rsid w:val="00AB0964"/>
    <w:rsid w:val="00AB18EA"/>
    <w:rsid w:val="00AB5011"/>
    <w:rsid w:val="00AC7368"/>
    <w:rsid w:val="00AD16B9"/>
    <w:rsid w:val="00AD218F"/>
    <w:rsid w:val="00AE19FB"/>
    <w:rsid w:val="00AE377D"/>
    <w:rsid w:val="00AF0EBA"/>
    <w:rsid w:val="00B02C8A"/>
    <w:rsid w:val="00B17FBD"/>
    <w:rsid w:val="00B315A6"/>
    <w:rsid w:val="00B31813"/>
    <w:rsid w:val="00B33365"/>
    <w:rsid w:val="00B35A71"/>
    <w:rsid w:val="00B41C37"/>
    <w:rsid w:val="00B5580D"/>
    <w:rsid w:val="00B57B36"/>
    <w:rsid w:val="00B57E6F"/>
    <w:rsid w:val="00B8686D"/>
    <w:rsid w:val="00B93F69"/>
    <w:rsid w:val="00BB1DDC"/>
    <w:rsid w:val="00BC30C9"/>
    <w:rsid w:val="00BD077D"/>
    <w:rsid w:val="00BE3E01"/>
    <w:rsid w:val="00BE3E58"/>
    <w:rsid w:val="00BE7347"/>
    <w:rsid w:val="00BF091E"/>
    <w:rsid w:val="00C01616"/>
    <w:rsid w:val="00C0162B"/>
    <w:rsid w:val="00C03472"/>
    <w:rsid w:val="00C068ED"/>
    <w:rsid w:val="00C22E0C"/>
    <w:rsid w:val="00C23019"/>
    <w:rsid w:val="00C345B1"/>
    <w:rsid w:val="00C40142"/>
    <w:rsid w:val="00C52C3C"/>
    <w:rsid w:val="00C57182"/>
    <w:rsid w:val="00C57863"/>
    <w:rsid w:val="00C630F8"/>
    <w:rsid w:val="00C640AF"/>
    <w:rsid w:val="00C655FD"/>
    <w:rsid w:val="00C75407"/>
    <w:rsid w:val="00C870A8"/>
    <w:rsid w:val="00C94434"/>
    <w:rsid w:val="00CA0D75"/>
    <w:rsid w:val="00CA1C95"/>
    <w:rsid w:val="00CA5A9C"/>
    <w:rsid w:val="00CB6268"/>
    <w:rsid w:val="00CC4C20"/>
    <w:rsid w:val="00CD3517"/>
    <w:rsid w:val="00CD5FE2"/>
    <w:rsid w:val="00CE7C68"/>
    <w:rsid w:val="00D02B4C"/>
    <w:rsid w:val="00D040C4"/>
    <w:rsid w:val="00D15754"/>
    <w:rsid w:val="00D20AD1"/>
    <w:rsid w:val="00D25F7E"/>
    <w:rsid w:val="00D446E3"/>
    <w:rsid w:val="00D46B7E"/>
    <w:rsid w:val="00D55679"/>
    <w:rsid w:val="00D57C84"/>
    <w:rsid w:val="00D6057D"/>
    <w:rsid w:val="00D60D59"/>
    <w:rsid w:val="00D71640"/>
    <w:rsid w:val="00D836C5"/>
    <w:rsid w:val="00D84576"/>
    <w:rsid w:val="00DA1399"/>
    <w:rsid w:val="00DA24C6"/>
    <w:rsid w:val="00DA255F"/>
    <w:rsid w:val="00DA4D7B"/>
    <w:rsid w:val="00DC4114"/>
    <w:rsid w:val="00DC56E4"/>
    <w:rsid w:val="00DD271C"/>
    <w:rsid w:val="00DE264A"/>
    <w:rsid w:val="00DF5072"/>
    <w:rsid w:val="00E0001F"/>
    <w:rsid w:val="00E02D18"/>
    <w:rsid w:val="00E041E7"/>
    <w:rsid w:val="00E14A9D"/>
    <w:rsid w:val="00E23CA1"/>
    <w:rsid w:val="00E32E6B"/>
    <w:rsid w:val="00E409A8"/>
    <w:rsid w:val="00E50C12"/>
    <w:rsid w:val="00E65B91"/>
    <w:rsid w:val="00E7209D"/>
    <w:rsid w:val="00E72EAD"/>
    <w:rsid w:val="00E77223"/>
    <w:rsid w:val="00E8528B"/>
    <w:rsid w:val="00E85B94"/>
    <w:rsid w:val="00E9059A"/>
    <w:rsid w:val="00E978D0"/>
    <w:rsid w:val="00EA4613"/>
    <w:rsid w:val="00EA7F91"/>
    <w:rsid w:val="00EB1523"/>
    <w:rsid w:val="00EC0E49"/>
    <w:rsid w:val="00EC101F"/>
    <w:rsid w:val="00EC1D9F"/>
    <w:rsid w:val="00EE0131"/>
    <w:rsid w:val="00EE17B0"/>
    <w:rsid w:val="00EF06D9"/>
    <w:rsid w:val="00F0401E"/>
    <w:rsid w:val="00F07185"/>
    <w:rsid w:val="00F3049E"/>
    <w:rsid w:val="00F30C64"/>
    <w:rsid w:val="00F32BA2"/>
    <w:rsid w:val="00F32CDB"/>
    <w:rsid w:val="00F565FE"/>
    <w:rsid w:val="00F63A70"/>
    <w:rsid w:val="00F63D8C"/>
    <w:rsid w:val="00F7534E"/>
    <w:rsid w:val="00F93EDF"/>
    <w:rsid w:val="00F95C0D"/>
    <w:rsid w:val="00F96997"/>
    <w:rsid w:val="00FA1802"/>
    <w:rsid w:val="00FA21D0"/>
    <w:rsid w:val="00FA5F5F"/>
    <w:rsid w:val="00FB730C"/>
    <w:rsid w:val="00FC2695"/>
    <w:rsid w:val="00FC3E03"/>
    <w:rsid w:val="00FC3FC1"/>
    <w:rsid w:val="00FF7613"/>
    <w:rsid w:val="00FF7EF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styleId="Revision">
    <w:name w:val="Revision"/>
    <w:hidden/>
    <w:uiPriority w:val="99"/>
    <w:semiHidden/>
    <w:rsid w:val="004647D1"/>
    <w:pPr>
      <w:spacing w:after="0" w:line="240" w:lineRule="auto"/>
    </w:pPr>
    <w:rPr>
      <w:rFonts w:ascii="Arial" w:eastAsia="Times New Roman" w:hAnsi="Arial" w:cs="Times New Roman"/>
      <w:sz w:val="18"/>
      <w:szCs w:val="20"/>
      <w:lang w:val="en-GB"/>
    </w:rPr>
  </w:style>
  <w:style w:type="character" w:styleId="LineNumber">
    <w:name w:val="line number"/>
    <w:basedOn w:val="DefaultParagraphFont"/>
    <w:uiPriority w:val="99"/>
    <w:semiHidden/>
    <w:unhideWhenUsed/>
    <w:rsid w:val="0084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90FC1-1B36-4277-801E-9D3C14C9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6</Pages>
  <Words>12103</Words>
  <Characters>68991</Characters>
  <Application>Microsoft Office Word</Application>
  <DocSecurity>0</DocSecurity>
  <Lines>574</Lines>
  <Paragraphs>161</Paragraphs>
  <ScaleCrop>false</ScaleCrop>
  <HeadingPairs>
    <vt:vector size="6" baseType="variant">
      <vt:variant>
        <vt:lpstr>Title</vt:lpstr>
      </vt:variant>
      <vt:variant>
        <vt:i4>1</vt:i4>
      </vt:variant>
      <vt:variant>
        <vt:lpstr>Titolo</vt:lpstr>
      </vt:variant>
      <vt:variant>
        <vt:i4>1</vt:i4>
      </vt:variant>
      <vt:variant>
        <vt:lpstr>Τίτλος</vt:lpstr>
      </vt:variant>
      <vt:variant>
        <vt:i4>1</vt:i4>
      </vt:variant>
    </vt:vector>
  </HeadingPairs>
  <TitlesOfParts>
    <vt:vector size="3" baseType="lpstr">
      <vt:lpstr/>
      <vt:lpstr/>
      <vt:lpstr/>
    </vt:vector>
  </TitlesOfParts>
  <Company>Dipartimento CMIC - Politecnico di Milano</Company>
  <LinksUpToDate>false</LinksUpToDate>
  <CharactersWithSpaces>80933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Mariasole Cipolletta</cp:lastModifiedBy>
  <cp:revision>47</cp:revision>
  <cp:lastPrinted>2015-05-12T18:31:00Z</cp:lastPrinted>
  <dcterms:created xsi:type="dcterms:W3CDTF">2023-02-01T17:41:00Z</dcterms:created>
  <dcterms:modified xsi:type="dcterms:W3CDTF">2023-03-31T15:19:00Z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893baf5b5eda686d6b1762afdabcb18ec98cd8743d8efded8459cf36464923b5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http://www.zotero.org/styles/applied-energy</vt:lpwstr>
  </property>
  <property fmtid="{D5CDD505-2E9C-101B-9397-08002B2CF9AE}" pid="10" name="Mendeley Recent Style Name 2_1">
    <vt:lpwstr>Applied Energy</vt:lpwstr>
  </property>
  <property fmtid="{D5CDD505-2E9C-101B-9397-08002B2CF9AE}" pid="11" name="Mendeley Recent Style Id 3_1">
    <vt:lpwstr>http://www.zotero.org/styles/elsevier-harvard2</vt:lpwstr>
  </property>
  <property fmtid="{D5CDD505-2E9C-101B-9397-08002B2CF9AE}" pid="12" name="Mendeley Recent Style Name 3_1">
    <vt:lpwstr>Elsevier - Harvard 2</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http://www.zotero.org/styles/journal-of-cleaner-production</vt:lpwstr>
  </property>
  <property fmtid="{D5CDD505-2E9C-101B-9397-08002B2CF9AE}" pid="18" name="Mendeley Recent Style Name 6_1">
    <vt:lpwstr>Journal of Cleaner Production</vt:lpwstr>
  </property>
  <property fmtid="{D5CDD505-2E9C-101B-9397-08002B2CF9AE}" pid="19" name="Mendeley Recent Style Id 7_1">
    <vt:lpwstr>http://www.zotero.org/styles/journal-of-loss-prevention-in-the-process-industries</vt:lpwstr>
  </property>
  <property fmtid="{D5CDD505-2E9C-101B-9397-08002B2CF9AE}" pid="20" name="Mendeley Recent Style Name 7_1">
    <vt:lpwstr>Journal of Loss Prevention in the Process Industries</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http://www.zotero.org/styles/renewable-energy</vt:lpwstr>
  </property>
  <property fmtid="{D5CDD505-2E9C-101B-9397-08002B2CF9AE}" pid="24" name="Mendeley Recent Style Name 9_1">
    <vt:lpwstr>Renewable Energy</vt:lpwstr>
  </property>
  <property fmtid="{D5CDD505-2E9C-101B-9397-08002B2CF9AE}" pid="25" name="Mendeley Document_1">
    <vt:lpwstr>True</vt:lpwstr>
  </property>
  <property fmtid="{D5CDD505-2E9C-101B-9397-08002B2CF9AE}" pid="26" name="Mendeley Unique User Id_1">
    <vt:lpwstr>9fe1af85-1e63-3bf6-b2e8-40d07e8012c1</vt:lpwstr>
  </property>
  <property fmtid="{D5CDD505-2E9C-101B-9397-08002B2CF9AE}" pid="27" name="Mendeley Citation Style_1">
    <vt:lpwstr>http://www.zotero.org/styles/journal-of-cleaner-production</vt:lpwstr>
  </property>
</Properties>
</file>