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3A33" w14:textId="77777777" w:rsidR="00301B42" w:rsidRDefault="00301B42"/>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386D6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B8111C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386D6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386D6E">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AD28BCA" w:rsidR="00E978D0" w:rsidRPr="00B57B36" w:rsidRDefault="00386D6E" w:rsidP="00C82826">
      <w:pPr>
        <w:pStyle w:val="CETTitle"/>
        <w:jc w:val="both"/>
      </w:pPr>
      <w:r w:rsidRPr="00386D6E">
        <w:t xml:space="preserve">Roadmap </w:t>
      </w:r>
      <w:r w:rsidR="00220DB4">
        <w:t>T</w:t>
      </w:r>
      <w:r w:rsidRPr="00386D6E">
        <w:t>owards Clean Coal Technology for</w:t>
      </w:r>
      <w:r w:rsidR="00667C44" w:rsidRPr="00667C44">
        <w:t xml:space="preserve"> </w:t>
      </w:r>
      <w:r w:rsidR="0040610A">
        <w:t>S</w:t>
      </w:r>
      <w:r w:rsidR="00667C44" w:rsidRPr="00667C44">
        <w:t xml:space="preserve">ustainable </w:t>
      </w:r>
      <w:r w:rsidR="0040610A">
        <w:t>P</w:t>
      </w:r>
      <w:r w:rsidR="00667C44" w:rsidRPr="00667C44">
        <w:t xml:space="preserve">ower </w:t>
      </w:r>
      <w:r w:rsidR="0040610A">
        <w:t>S</w:t>
      </w:r>
      <w:r w:rsidR="00667C44" w:rsidRPr="00667C44">
        <w:t xml:space="preserve">ector in </w:t>
      </w:r>
      <w:r w:rsidR="00644EDE">
        <w:t>S</w:t>
      </w:r>
      <w:r w:rsidR="00C04E91">
        <w:t>outh Africa</w:t>
      </w:r>
    </w:p>
    <w:p w14:paraId="0488FED2" w14:textId="1110A12E" w:rsidR="00B57E6F" w:rsidRPr="00B57B36" w:rsidRDefault="00C82826" w:rsidP="00B57E6F">
      <w:pPr>
        <w:pStyle w:val="CETAuthors"/>
      </w:pPr>
      <w:r w:rsidRPr="00C82826">
        <w:t>Seshibe S. Makgato</w:t>
      </w:r>
      <w:r w:rsidRPr="00804F3A">
        <w:rPr>
          <w:vertAlign w:val="superscript"/>
        </w:rPr>
        <w:t>1</w:t>
      </w:r>
      <w:r w:rsidRPr="00C82826">
        <w:t>*</w:t>
      </w:r>
    </w:p>
    <w:p w14:paraId="24A52497" w14:textId="186AF14D" w:rsidR="00C82826" w:rsidRPr="00B57B36" w:rsidRDefault="00C82826" w:rsidP="00C82826">
      <w:pPr>
        <w:pStyle w:val="CETAddress"/>
      </w:pPr>
      <w:r w:rsidRPr="00B066E4">
        <w:rPr>
          <w:vertAlign w:val="superscript"/>
        </w:rPr>
        <w:t>1</w:t>
      </w:r>
      <w:r w:rsidRPr="0000430C">
        <w:t>Department of Chemical Engineering, College of Science, Engineering and Technology, University of South Africa (UNISA), c/o Christiaan de Wet &amp; Pioneer Avenue, Florida Campus 1710, Johannesburg, South Africa.</w:t>
      </w:r>
    </w:p>
    <w:p w14:paraId="6E7977EA" w14:textId="77777777" w:rsidR="00C82826" w:rsidRPr="00B57B36" w:rsidRDefault="00C82826" w:rsidP="00C82826">
      <w:pPr>
        <w:pStyle w:val="CETemail"/>
      </w:pPr>
      <w:r>
        <w:t>C</w:t>
      </w:r>
      <w:r w:rsidRPr="0000430C">
        <w:t>o</w:t>
      </w:r>
      <w:r>
        <w:t xml:space="preserve">rresponding: </w:t>
      </w:r>
      <w:hyperlink r:id="rId10" w:history="1">
        <w:r w:rsidRPr="00DC2C35">
          <w:rPr>
            <w:rStyle w:val="Hyperlink"/>
          </w:rPr>
          <w:t>makgato2001@yahoo.com</w:t>
        </w:r>
      </w:hyperlink>
      <w:r>
        <w:t xml:space="preserve">  </w:t>
      </w:r>
    </w:p>
    <w:p w14:paraId="6B2D21B3" w14:textId="44FA3BA7" w:rsidR="00B57E6F" w:rsidRPr="00B57B36" w:rsidRDefault="00B57E6F" w:rsidP="00B57E6F">
      <w:pPr>
        <w:pStyle w:val="CETAddress"/>
      </w:pPr>
    </w:p>
    <w:p w14:paraId="00C3CDC3" w14:textId="187A9400" w:rsidR="00EA4613" w:rsidRDefault="009B5976" w:rsidP="00681515">
      <w:pPr>
        <w:pStyle w:val="CETBodytext"/>
        <w:rPr>
          <w:lang w:val="en-GB"/>
        </w:rPr>
      </w:pPr>
      <w:r w:rsidRPr="009B5976">
        <w:rPr>
          <w:lang w:val="en-GB"/>
        </w:rPr>
        <w:t xml:space="preserve">South Africa has sufficient coal resources to meet future demand. However, using this local energy resource presents several environmental compliance concerns. The export market's need for high-quality coal results in a decline in coal quality, which results in increased environmental regulation non-compliance. In this study, five samples of coal covering a wide range of qualities obtained from mine stockpiles supplying power plants were collected, and standardized processes were used to prepare them for various analyses. Based on the results of coal characterization and resultant emissions, a wide range of technology options should be made available for different types of coal, and all these technologies are presented in the current study. </w:t>
      </w:r>
      <w:r w:rsidR="00C1617B">
        <w:rPr>
          <w:lang w:val="en-GB"/>
        </w:rPr>
        <w:t xml:space="preserve">Therefore, </w:t>
      </w:r>
      <w:r w:rsidRPr="009B5976">
        <w:rPr>
          <w:lang w:val="en-GB"/>
        </w:rPr>
        <w:t>South Africa will likely have to take a hybrid approach to reduce emissions and address electricity supply and demand issues. South Africa's ag</w:t>
      </w:r>
      <w:r w:rsidR="00220DB4">
        <w:rPr>
          <w:lang w:val="en-GB"/>
        </w:rPr>
        <w:t>e</w:t>
      </w:r>
      <w:r w:rsidRPr="009B5976">
        <w:rPr>
          <w:lang w:val="en-GB"/>
        </w:rPr>
        <w:t xml:space="preserve">ing electricity generation infrastructure, sluggish economic development, and water shortages support this. </w:t>
      </w:r>
      <w:proofErr w:type="gramStart"/>
      <w:r w:rsidRPr="009B5976">
        <w:rPr>
          <w:lang w:val="en-GB"/>
        </w:rPr>
        <w:t>In order to</w:t>
      </w:r>
      <w:proofErr w:type="gramEnd"/>
      <w:r w:rsidRPr="009B5976">
        <w:rPr>
          <w:lang w:val="en-GB"/>
        </w:rPr>
        <w:t xml:space="preserve"> find solutions that will satisfy the demands of coal users for dependable, tried-and-true technology while also meeting environmental criteria, various limitations were used to sort through the available technologies.</w:t>
      </w:r>
      <w:r w:rsidR="00220DB4">
        <w:rPr>
          <w:lang w:val="en-GB"/>
        </w:rPr>
        <w:t xml:space="preserve"> </w:t>
      </w:r>
      <w:r w:rsidRPr="009B5976">
        <w:rPr>
          <w:lang w:val="en-GB"/>
        </w:rPr>
        <w:t>The coal roadmap proposes three possible routes, ranging from business-as-usual physical methods to chemical methods and biological methods. Such processing methods could drastically reduce power sector SO</w:t>
      </w:r>
      <w:r w:rsidRPr="005C7B0B">
        <w:rPr>
          <w:vertAlign w:val="subscript"/>
          <w:lang w:val="en-GB"/>
        </w:rPr>
        <w:t>2</w:t>
      </w:r>
      <w:r w:rsidRPr="009B5976">
        <w:rPr>
          <w:lang w:val="en-GB"/>
        </w:rPr>
        <w:t xml:space="preserve"> emissions if they are commercially feasible. This roadmap outlines the challenges that the power sector must overcome and provides an overview of potential treatment initiatives for the power sector that South Africa may implement over the coming years.</w:t>
      </w:r>
      <w:bookmarkStart w:id="0" w:name="_Hlk495475023"/>
    </w:p>
    <w:p w14:paraId="142EBF48" w14:textId="77142733" w:rsidR="00681515" w:rsidRDefault="00681515" w:rsidP="00681515">
      <w:pPr>
        <w:pStyle w:val="CETBodytext"/>
        <w:rPr>
          <w:lang w:val="en-GB"/>
        </w:rPr>
      </w:pPr>
    </w:p>
    <w:p w14:paraId="0DCFF7CF" w14:textId="03236587" w:rsidR="00681515" w:rsidRPr="00681515" w:rsidRDefault="00681515" w:rsidP="00681515">
      <w:bookmarkStart w:id="1" w:name="_Hlk127525820"/>
      <w:bookmarkEnd w:id="0"/>
      <w:r w:rsidRPr="00681515">
        <w:rPr>
          <w:b/>
          <w:bCs/>
        </w:rPr>
        <w:t>Keywords:</w:t>
      </w:r>
      <w:r w:rsidRPr="00681515">
        <w:t xml:space="preserve"> Technology; Clean</w:t>
      </w:r>
      <w:r w:rsidR="005C7B0B">
        <w:t xml:space="preserve"> c</w:t>
      </w:r>
      <w:r w:rsidRPr="00681515">
        <w:t>oal; Roadmap;</w:t>
      </w:r>
      <w:r w:rsidR="00D15AE6">
        <w:t xml:space="preserve"> Emissions </w:t>
      </w:r>
    </w:p>
    <w:bookmarkEnd w:id="1"/>
    <w:p w14:paraId="7E62855B" w14:textId="77777777" w:rsidR="00681515" w:rsidRPr="00681515" w:rsidRDefault="00681515" w:rsidP="00681515">
      <w:pPr>
        <w:keepNext/>
        <w:numPr>
          <w:ilvl w:val="1"/>
          <w:numId w:val="1"/>
        </w:numPr>
        <w:tabs>
          <w:tab w:val="clear" w:pos="7100"/>
        </w:tabs>
        <w:suppressAutoHyphens/>
        <w:spacing w:before="240" w:after="120" w:line="240" w:lineRule="auto"/>
        <w:jc w:val="left"/>
        <w:rPr>
          <w:b/>
          <w:sz w:val="20"/>
        </w:rPr>
      </w:pPr>
      <w:r w:rsidRPr="00681515">
        <w:rPr>
          <w:b/>
          <w:sz w:val="20"/>
        </w:rPr>
        <w:t>Introduction</w:t>
      </w:r>
    </w:p>
    <w:p w14:paraId="6BBDE339" w14:textId="5F2F9C16" w:rsidR="00CD6569" w:rsidRDefault="005C7B0B" w:rsidP="005105C3">
      <w:r w:rsidRPr="005C7B0B">
        <w:t xml:space="preserve">Energy drives the country's </w:t>
      </w:r>
      <w:proofErr w:type="gramStart"/>
      <w:r w:rsidRPr="005C7B0B">
        <w:t>economy,</w:t>
      </w:r>
      <w:proofErr w:type="gramEnd"/>
      <w:r w:rsidRPr="005C7B0B">
        <w:t xml:space="preserve"> therefore, meeting demand is crucial to economic growth. South Africa, like many other emerging economies, struggles to provide electricity for a growing population while reducing emissions. A high-capacity demand is placed on South Africa's aged coal-fired generation fleet. </w:t>
      </w:r>
      <w:proofErr w:type="gramStart"/>
      <w:r w:rsidRPr="005C7B0B">
        <w:t>In order to</w:t>
      </w:r>
      <w:proofErr w:type="gramEnd"/>
      <w:r w:rsidRPr="005C7B0B">
        <w:t xml:space="preserve"> meet the country's energy needs and the growing African grid, most generation facilities must operate at full capacity. Although two new coal plants are being built, delays on one of them while the other is operating at reduced capacity due to design and commissioning challenges put more pressure on the existing generation units, making it harder to take them offline for maintenance, upgrading, or retrofitting. Although there is a strong trend toward renewable energy, these technologies are not yet ready to offer baseload capacity for such a big and growing nation as the Republic of South Africa.</w:t>
      </w:r>
      <w:r w:rsidR="00CD6569" w:rsidRPr="00CD6569">
        <w:t xml:space="preserve"> </w:t>
      </w:r>
    </w:p>
    <w:p w14:paraId="4AB9F2FB" w14:textId="77777777" w:rsidR="00CD6569" w:rsidRDefault="00CD6569" w:rsidP="005105C3"/>
    <w:p w14:paraId="24A2E700" w14:textId="23234206" w:rsidR="00681515" w:rsidRDefault="00B478F9" w:rsidP="00C844EF">
      <w:r w:rsidRPr="00B478F9">
        <w:t>Global climate change is the most significant environmental problem of the 21st century worldwide. South Africa has huge wind, solar, and biomass energy potential. However, coal, a cheap but environmentally harmful fuel, is its main source. To address these serious environmental and socioeconomic challenges, the South African Ministry of Environmental Affairs (DEA) will enforce SO</w:t>
      </w:r>
      <w:r w:rsidRPr="00B478F9">
        <w:rPr>
          <w:vertAlign w:val="subscript"/>
        </w:rPr>
        <w:t>2</w:t>
      </w:r>
      <w:r w:rsidRPr="00B478F9">
        <w:t xml:space="preserve"> minimum emissions standards. South Africa is now faced with the problem of high SO</w:t>
      </w:r>
      <w:r w:rsidRPr="00B478F9">
        <w:rPr>
          <w:vertAlign w:val="subscript"/>
        </w:rPr>
        <w:t>2</w:t>
      </w:r>
      <w:r w:rsidRPr="00B478F9">
        <w:t xml:space="preserve"> emissions in recent years following the passing of SO</w:t>
      </w:r>
      <w:r w:rsidRPr="00B478F9">
        <w:rPr>
          <w:vertAlign w:val="subscript"/>
        </w:rPr>
        <w:t>2</w:t>
      </w:r>
      <w:r w:rsidRPr="00B478F9">
        <w:t xml:space="preserve"> Minimum Emissions Standards. All coal and liquid fuel-fired power stations must meet Section 21's Minimum Emission Standards </w:t>
      </w:r>
      <w:r w:rsidRPr="00B478F9">
        <w:lastRenderedPageBreak/>
        <w:t>(MES) under the National Environmental Management: Air Quality Act, 2004 (Act No. 39 of 2004). Hence, it is necessary to promote efficient clean coal technologies and the utilization of coal as a source of energy to reduce emissions. Therefore, advances in clean coal technology are driven by pollution requirements. The depletion of existing coal mines along with the ag</w:t>
      </w:r>
      <w:r w:rsidR="00F15481">
        <w:t>e</w:t>
      </w:r>
      <w:r w:rsidRPr="00B478F9">
        <w:t>ing of the existing coal-fired generation fleet, the economic drivers for exporting high-rank coal to the international market, and a 10-year lapse since the first unit of the last new power plant was commissioned provide significant challenges for scaling up to a 4.4% annual load growth (Song et al., 2017). Therefore, if coal is to remain the most important fuel for power generation in developed countries, the methods of pre-combustion, combustion, and post-combustion must advance towards zero or near-zero emissions, which is an important issue in the development of clean coal technologies.</w:t>
      </w:r>
      <w:r w:rsidR="0026698F">
        <w:t xml:space="preserve"> </w:t>
      </w:r>
      <w:r w:rsidR="00225427">
        <w:t xml:space="preserve"> </w:t>
      </w:r>
    </w:p>
    <w:p w14:paraId="4FCFF66B" w14:textId="77777777" w:rsidR="006A5CA0" w:rsidRDefault="006A5CA0" w:rsidP="00C844EF"/>
    <w:p w14:paraId="24B25C1C" w14:textId="0CC59881" w:rsidR="00681515" w:rsidRPr="00681515" w:rsidRDefault="00B478F9" w:rsidP="009417FE">
      <w:r w:rsidRPr="00B478F9">
        <w:t>Coal burning creates CO</w:t>
      </w:r>
      <w:r w:rsidRPr="00B478F9">
        <w:rPr>
          <w:vertAlign w:val="subscript"/>
        </w:rPr>
        <w:t>2</w:t>
      </w:r>
      <w:r w:rsidRPr="00B478F9">
        <w:t xml:space="preserve">, the main greenhouse gas (GHG) in the South African power sector. </w:t>
      </w:r>
      <w:r w:rsidR="00F768C5" w:rsidRPr="00B478F9">
        <w:t>the South African power sector</w:t>
      </w:r>
      <w:r w:rsidR="00F768C5" w:rsidRPr="00B478F9">
        <w:t xml:space="preserve"> </w:t>
      </w:r>
      <w:r w:rsidRPr="00B478F9">
        <w:t>discharged 223.4 Mt of CO</w:t>
      </w:r>
      <w:r w:rsidRPr="00B478F9">
        <w:rPr>
          <w:vertAlign w:val="subscript"/>
        </w:rPr>
        <w:t>2</w:t>
      </w:r>
      <w:r w:rsidRPr="00B478F9">
        <w:t xml:space="preserve"> in 2015, down 4% from 2014 (</w:t>
      </w:r>
      <w:proofErr w:type="spellStart"/>
      <w:r w:rsidR="00F768C5" w:rsidRPr="00F768C5">
        <w:t>Akinbami</w:t>
      </w:r>
      <w:proofErr w:type="spellEnd"/>
      <w:r w:rsidR="00F768C5" w:rsidRPr="00F768C5">
        <w:t xml:space="preserve"> </w:t>
      </w:r>
      <w:r w:rsidR="00F768C5">
        <w:t xml:space="preserve"> et al., 2021</w:t>
      </w:r>
      <w:r w:rsidRPr="00B478F9">
        <w:t xml:space="preserve">). </w:t>
      </w:r>
      <w:r w:rsidR="00F768C5">
        <w:t xml:space="preserve">In addition, </w:t>
      </w:r>
      <w:r w:rsidR="00F768C5" w:rsidRPr="00B478F9">
        <w:t>the South African power sector</w:t>
      </w:r>
      <w:r w:rsidR="00F768C5" w:rsidRPr="00B478F9">
        <w:t xml:space="preserve"> </w:t>
      </w:r>
      <w:r w:rsidRPr="00B478F9">
        <w:t>emitted 2919 t of N</w:t>
      </w:r>
      <w:r w:rsidRPr="00B478F9">
        <w:rPr>
          <w:vertAlign w:val="subscript"/>
        </w:rPr>
        <w:t>2</w:t>
      </w:r>
      <w:r w:rsidRPr="00B478F9">
        <w:t>O, a greenhouse gas 298 times more potent than CO</w:t>
      </w:r>
      <w:r w:rsidRPr="00B478F9">
        <w:rPr>
          <w:vertAlign w:val="subscript"/>
        </w:rPr>
        <w:t>2</w:t>
      </w:r>
      <w:r w:rsidRPr="00B478F9">
        <w:t>. Coal-fired power plants emit particulates, SO</w:t>
      </w:r>
      <w:r w:rsidRPr="00B478F9">
        <w:rPr>
          <w:vertAlign w:val="subscript"/>
        </w:rPr>
        <w:t>2</w:t>
      </w:r>
      <w:r w:rsidRPr="00B478F9">
        <w:t>, and NO</w:t>
      </w:r>
      <w:r w:rsidRPr="00B478F9">
        <w:rPr>
          <w:vertAlign w:val="subscript"/>
        </w:rPr>
        <w:t>2</w:t>
      </w:r>
      <w:r w:rsidRPr="00B478F9">
        <w:t xml:space="preserve"> (</w:t>
      </w:r>
      <w:proofErr w:type="spellStart"/>
      <w:r w:rsidRPr="00B478F9">
        <w:t>Akinbami</w:t>
      </w:r>
      <w:proofErr w:type="spellEnd"/>
      <w:r w:rsidRPr="00B478F9">
        <w:t xml:space="preserve"> et al., 2021). Many researchers worldwide have established a technical method for constructing an air quality improvement roadmap, offering the scientific underpinning and technical aid for mid and long-term air quality management policy-making. Researchers have explored clean coal technologies for CO</w:t>
      </w:r>
      <w:r w:rsidRPr="00B478F9">
        <w:rPr>
          <w:vertAlign w:val="subscript"/>
        </w:rPr>
        <w:t>2</w:t>
      </w:r>
      <w:r w:rsidRPr="00B478F9">
        <w:t>, NOx, and particulate matter</w:t>
      </w:r>
      <w:r>
        <w:t xml:space="preserve"> </w:t>
      </w:r>
      <w:r w:rsidRPr="00B478F9">
        <w:t xml:space="preserve">reduction, but no detailed method has been offered for </w:t>
      </w:r>
      <w:proofErr w:type="spellStart"/>
      <w:r w:rsidRPr="00B478F9">
        <w:t>SOx</w:t>
      </w:r>
      <w:proofErr w:type="spellEnd"/>
      <w:r w:rsidRPr="00B478F9">
        <w:t xml:space="preserve"> technology deployments depending on coal characteristics in the power sector. The cost of any proposed technology was not considered for economic assessment. Thus, </w:t>
      </w:r>
      <w:r w:rsidR="00B02DA8">
        <w:t xml:space="preserve"> the objective of the current </w:t>
      </w:r>
      <w:r w:rsidRPr="00B478F9">
        <w:t xml:space="preserve">study </w:t>
      </w:r>
      <w:r w:rsidR="00B02DA8">
        <w:t xml:space="preserve">is to </w:t>
      </w:r>
      <w:r w:rsidRPr="00B478F9">
        <w:t>identif</w:t>
      </w:r>
      <w:r w:rsidR="00B02DA8">
        <w:t xml:space="preserve">y </w:t>
      </w:r>
      <w:r w:rsidRPr="00B478F9">
        <w:t>the power sector roadmap to satisfy South Africa's energy-saving and emission-reduction criteria in 20 years. All studies employed five power plant coal samples. Standardized procedures collected and prepared these coal samples for analysis.</w:t>
      </w:r>
    </w:p>
    <w:p w14:paraId="69846E91" w14:textId="77777777" w:rsidR="00681515" w:rsidRPr="00681515" w:rsidRDefault="00681515" w:rsidP="00681515">
      <w:pPr>
        <w:keepNext/>
        <w:numPr>
          <w:ilvl w:val="1"/>
          <w:numId w:val="1"/>
        </w:numPr>
        <w:tabs>
          <w:tab w:val="clear" w:pos="7100"/>
        </w:tabs>
        <w:suppressAutoHyphens/>
        <w:spacing w:before="240" w:after="120" w:line="240" w:lineRule="auto"/>
        <w:jc w:val="left"/>
        <w:rPr>
          <w:b/>
          <w:sz w:val="20"/>
        </w:rPr>
      </w:pPr>
      <w:r w:rsidRPr="00681515">
        <w:rPr>
          <w:b/>
          <w:sz w:val="20"/>
        </w:rPr>
        <w:t>Materials and methods</w:t>
      </w:r>
    </w:p>
    <w:p w14:paraId="1892AD0F" w14:textId="77777777" w:rsidR="00681515" w:rsidRPr="008C67DA" w:rsidRDefault="00681515" w:rsidP="00681515">
      <w:pPr>
        <w:autoSpaceDE w:val="0"/>
        <w:autoSpaceDN w:val="0"/>
        <w:adjustRightInd w:val="0"/>
        <w:spacing w:line="240" w:lineRule="auto"/>
        <w:contextualSpacing/>
        <w:rPr>
          <w:b/>
          <w:bCs/>
          <w:lang w:val="en-US"/>
        </w:rPr>
      </w:pPr>
      <w:r w:rsidRPr="008C67DA">
        <w:rPr>
          <w:b/>
          <w:bCs/>
          <w:lang w:val="en-US"/>
        </w:rPr>
        <w:t>2.1 Coal samples</w:t>
      </w:r>
      <w:bookmarkStart w:id="2" w:name="_Hlk88775981"/>
    </w:p>
    <w:p w14:paraId="4E05E001" w14:textId="77777777" w:rsidR="00681515" w:rsidRPr="00681515" w:rsidRDefault="00681515" w:rsidP="00681515">
      <w:pPr>
        <w:autoSpaceDE w:val="0"/>
        <w:autoSpaceDN w:val="0"/>
        <w:adjustRightInd w:val="0"/>
        <w:spacing w:line="240" w:lineRule="auto"/>
        <w:contextualSpacing/>
        <w:rPr>
          <w:lang w:val="en-US"/>
        </w:rPr>
      </w:pPr>
      <w:r w:rsidRPr="00681515">
        <w:rPr>
          <w:lang w:val="en-US"/>
        </w:rPr>
        <w:t>All studies were conducted on five coal samples collected from various stockpiles of mines supplying power plants. These coal samples were collected and prepared for different analyses using standardized procedures.</w:t>
      </w:r>
    </w:p>
    <w:bookmarkEnd w:id="2"/>
    <w:p w14:paraId="18797DA8" w14:textId="77777777" w:rsidR="00681515" w:rsidRPr="00681515" w:rsidRDefault="00681515" w:rsidP="00681515">
      <w:pPr>
        <w:rPr>
          <w:lang w:val="en-US"/>
        </w:rPr>
      </w:pPr>
    </w:p>
    <w:p w14:paraId="07D65593" w14:textId="77777777" w:rsidR="00681515" w:rsidRPr="008C67DA" w:rsidRDefault="00681515" w:rsidP="00681515">
      <w:pPr>
        <w:rPr>
          <w:b/>
          <w:bCs/>
          <w:lang w:val="en-US"/>
        </w:rPr>
      </w:pPr>
      <w:r w:rsidRPr="008C67DA">
        <w:rPr>
          <w:b/>
          <w:bCs/>
          <w:lang w:val="en-US"/>
        </w:rPr>
        <w:t>2.2 Ultimate analyses</w:t>
      </w:r>
    </w:p>
    <w:p w14:paraId="449D9D14" w14:textId="77777777" w:rsidR="00681515" w:rsidRPr="00681515" w:rsidRDefault="00681515" w:rsidP="00681515">
      <w:pPr>
        <w:rPr>
          <w:lang w:val="en-US"/>
        </w:rPr>
      </w:pPr>
      <w:r w:rsidRPr="00681515">
        <w:rPr>
          <w:lang w:val="en-US"/>
        </w:rPr>
        <w:t xml:space="preserve">Ultimate analyses such as Carbon, Hydrogen and Nitrogen were determined using LECO-932 CHNS </w:t>
      </w:r>
      <w:proofErr w:type="spellStart"/>
      <w:r w:rsidRPr="00681515">
        <w:rPr>
          <w:lang w:val="en-US"/>
        </w:rPr>
        <w:t>Analyser</w:t>
      </w:r>
      <w:proofErr w:type="spellEnd"/>
      <w:r w:rsidRPr="00681515">
        <w:rPr>
          <w:lang w:val="en-US"/>
        </w:rPr>
        <w:t xml:space="preserve"> following ISO 12902 standard procedure. On the other hand, the total sulphur was determined in duplicates using </w:t>
      </w:r>
      <w:proofErr w:type="spellStart"/>
      <w:r w:rsidRPr="00681515">
        <w:rPr>
          <w:lang w:val="en-US"/>
        </w:rPr>
        <w:t>Leco</w:t>
      </w:r>
      <w:proofErr w:type="spellEnd"/>
      <w:r w:rsidRPr="00681515">
        <w:rPr>
          <w:lang w:val="en-US"/>
        </w:rPr>
        <w:t xml:space="preserve"> S-628 Elemental analyzer at 1350 °C following ASTM D4239-14 standard procedure. </w:t>
      </w:r>
    </w:p>
    <w:p w14:paraId="6D9FD657" w14:textId="77777777" w:rsidR="00681515" w:rsidRPr="00681515" w:rsidRDefault="00681515" w:rsidP="00681515">
      <w:pPr>
        <w:rPr>
          <w:lang w:val="en-US"/>
        </w:rPr>
      </w:pPr>
    </w:p>
    <w:p w14:paraId="27EEABC9" w14:textId="77777777" w:rsidR="00681515" w:rsidRPr="008C67DA" w:rsidRDefault="00681515" w:rsidP="00681515">
      <w:pPr>
        <w:rPr>
          <w:b/>
          <w:bCs/>
          <w:lang w:val="en-US"/>
        </w:rPr>
      </w:pPr>
      <w:r w:rsidRPr="008C67DA">
        <w:rPr>
          <w:b/>
          <w:bCs/>
          <w:lang w:val="en-US"/>
        </w:rPr>
        <w:t>2.3 Proximate analyses</w:t>
      </w:r>
    </w:p>
    <w:p w14:paraId="0A411251" w14:textId="0AC4523A" w:rsidR="00681515" w:rsidRPr="00681515" w:rsidRDefault="00DF7B40" w:rsidP="00681515">
      <w:pPr>
        <w:rPr>
          <w:lang w:val="en-US"/>
        </w:rPr>
      </w:pPr>
      <w:r w:rsidRPr="00DF7B40">
        <w:rPr>
          <w:lang w:val="en-US"/>
        </w:rPr>
        <w:t xml:space="preserve">The proximate analyses measure moisture, volatile matter, ash, and fixed carbon (by difference). The solids remaining after the determination of the volatile matter are the whole of the mineral matter and the non-volatile matter in the coal. Fixed carbon is non-volatile organic matter. In the proximate analysis, the fixed carbon is determined by subtracting the total percentage of moisture, volatile </w:t>
      </w:r>
      <w:proofErr w:type="gramStart"/>
      <w:r w:rsidRPr="00DF7B40">
        <w:rPr>
          <w:lang w:val="en-US"/>
        </w:rPr>
        <w:t>matter</w:t>
      </w:r>
      <w:proofErr w:type="gramEnd"/>
      <w:r w:rsidRPr="00DF7B40">
        <w:rPr>
          <w:lang w:val="en-US"/>
        </w:rPr>
        <w:t xml:space="preserve"> and ash from a hundred. As a result, fixed carbon gathers all errors from other variables (ash, moisture, and volatile matter) measurements. Moisture content in the coal was determined by establishing the mass loss of a coal sample after drying it in an oven with a set temperature of 150 ± 5 °C and forced air circulation following the ISO 11722 (2013) standard procedure. Ash is the residue that remains after all the organic matter has been driven off during combustion. Ash is determined in a furnace maintained at a temperature of 815 °C ± 10 °C using the ISO 1171 (2010) standard procedure. Volatile matter is determined in a carbonite furnace at a temperature of 1000 °C following the ISO 562 (2010) standard procedure.</w:t>
      </w:r>
    </w:p>
    <w:p w14:paraId="7D686E29" w14:textId="77777777" w:rsidR="00681515" w:rsidRPr="00681515" w:rsidRDefault="00681515" w:rsidP="00681515">
      <w:pPr>
        <w:rPr>
          <w:lang w:val="en-US"/>
        </w:rPr>
      </w:pPr>
    </w:p>
    <w:p w14:paraId="2A5718B3" w14:textId="77777777" w:rsidR="00681515" w:rsidRPr="008C67DA" w:rsidRDefault="00681515" w:rsidP="00681515">
      <w:pPr>
        <w:rPr>
          <w:b/>
          <w:bCs/>
          <w:lang w:val="en-US"/>
        </w:rPr>
      </w:pPr>
      <w:r w:rsidRPr="008C67DA">
        <w:rPr>
          <w:b/>
          <w:bCs/>
          <w:lang w:val="en-US"/>
        </w:rPr>
        <w:t>2.4 Determination of calorific value</w:t>
      </w:r>
    </w:p>
    <w:p w14:paraId="6A5B63F7" w14:textId="7F769582" w:rsidR="00681515" w:rsidRPr="00681515" w:rsidRDefault="00DF7B40" w:rsidP="00681515">
      <w:pPr>
        <w:rPr>
          <w:lang w:val="en-US"/>
        </w:rPr>
      </w:pPr>
      <w:r w:rsidRPr="00DF7B40">
        <w:rPr>
          <w:lang w:val="en-US"/>
        </w:rPr>
        <w:t>Coal samples were burned in a bomb calorimete</w:t>
      </w:r>
      <w:r>
        <w:rPr>
          <w:lang w:val="en-US"/>
        </w:rPr>
        <w:t xml:space="preserve">r </w:t>
      </w:r>
      <w:r w:rsidRPr="00DF7B40">
        <w:rPr>
          <w:lang w:val="en-US"/>
        </w:rPr>
        <w:t>and the calorific value was measured following the ISO 1928 (2009) method.</w:t>
      </w:r>
    </w:p>
    <w:p w14:paraId="4F16EBDF" w14:textId="77777777" w:rsidR="00681515" w:rsidRPr="00681515" w:rsidRDefault="00681515" w:rsidP="00681515">
      <w:pPr>
        <w:rPr>
          <w:lang w:val="en-US"/>
        </w:rPr>
      </w:pPr>
    </w:p>
    <w:p w14:paraId="3D63AE7E" w14:textId="77777777" w:rsidR="00681515" w:rsidRPr="008C67DA" w:rsidRDefault="00681515" w:rsidP="00681515">
      <w:pPr>
        <w:rPr>
          <w:b/>
          <w:bCs/>
          <w:lang w:val="en-US"/>
        </w:rPr>
      </w:pPr>
      <w:r w:rsidRPr="008C67DA">
        <w:rPr>
          <w:b/>
          <w:bCs/>
          <w:lang w:val="en-US"/>
        </w:rPr>
        <w:t>2.5 Ash oxides analysis oxides</w:t>
      </w:r>
    </w:p>
    <w:p w14:paraId="3429E181" w14:textId="77777777" w:rsidR="00681515" w:rsidRDefault="00681515" w:rsidP="00681515">
      <w:pPr>
        <w:rPr>
          <w:lang w:val="en-US"/>
        </w:rPr>
      </w:pPr>
      <w:r w:rsidRPr="00681515">
        <w:rPr>
          <w:lang w:val="en-US"/>
        </w:rPr>
        <w:t>X-ray Fluorescence (XRF) was used to determine the elemental composition of ash oxide following the ASTM D3682-13 method.</w:t>
      </w:r>
    </w:p>
    <w:p w14:paraId="3FF81222" w14:textId="77777777" w:rsidR="00B73696" w:rsidRDefault="00B73696" w:rsidP="00681515">
      <w:pPr>
        <w:rPr>
          <w:lang w:val="en-US"/>
        </w:rPr>
      </w:pPr>
    </w:p>
    <w:p w14:paraId="6FBFB301" w14:textId="05A9CA88" w:rsidR="00B73696" w:rsidRPr="008C67DA" w:rsidRDefault="00B73696" w:rsidP="00B73696">
      <w:pPr>
        <w:rPr>
          <w:b/>
          <w:bCs/>
          <w:lang w:val="en-US"/>
        </w:rPr>
      </w:pPr>
      <w:r w:rsidRPr="008C67DA">
        <w:rPr>
          <w:b/>
          <w:bCs/>
          <w:lang w:val="en-US"/>
        </w:rPr>
        <w:t>2.</w:t>
      </w:r>
      <w:r w:rsidR="00206486" w:rsidRPr="008C67DA">
        <w:rPr>
          <w:b/>
          <w:bCs/>
          <w:lang w:val="en-US"/>
        </w:rPr>
        <w:t>6</w:t>
      </w:r>
      <w:r w:rsidRPr="008C67DA">
        <w:rPr>
          <w:b/>
          <w:bCs/>
          <w:lang w:val="en-US"/>
        </w:rPr>
        <w:t xml:space="preserve"> </w:t>
      </w:r>
      <w:r w:rsidR="00365945" w:rsidRPr="008C67DA">
        <w:rPr>
          <w:b/>
          <w:bCs/>
          <w:lang w:val="en-US"/>
        </w:rPr>
        <w:t xml:space="preserve">Experimental </w:t>
      </w:r>
      <w:r w:rsidR="002F1ACB" w:rsidRPr="008C67DA">
        <w:rPr>
          <w:b/>
          <w:bCs/>
          <w:lang w:val="en-US"/>
        </w:rPr>
        <w:t>set-up</w:t>
      </w:r>
    </w:p>
    <w:p w14:paraId="68F3E5B1" w14:textId="03859563" w:rsidR="00B73696" w:rsidRPr="00681515" w:rsidRDefault="00DF7B40" w:rsidP="00681515">
      <w:pPr>
        <w:rPr>
          <w:lang w:val="en-US"/>
        </w:rPr>
      </w:pPr>
      <w:r w:rsidRPr="00DF7B40">
        <w:rPr>
          <w:lang w:val="en-US"/>
        </w:rPr>
        <w:t>The experiment was conducted on a typical 660 MW once-through Benson type steam boiler unit of a South African coal-fired power station.</w:t>
      </w:r>
    </w:p>
    <w:p w14:paraId="45BCE183" w14:textId="77777777" w:rsidR="00681515" w:rsidRPr="00681515" w:rsidRDefault="00681515" w:rsidP="00681515">
      <w:pPr>
        <w:keepNext/>
        <w:numPr>
          <w:ilvl w:val="1"/>
          <w:numId w:val="1"/>
        </w:numPr>
        <w:tabs>
          <w:tab w:val="clear" w:pos="7100"/>
        </w:tabs>
        <w:suppressAutoHyphens/>
        <w:spacing w:before="240" w:after="120" w:line="240" w:lineRule="auto"/>
        <w:jc w:val="left"/>
        <w:rPr>
          <w:b/>
          <w:sz w:val="20"/>
        </w:rPr>
      </w:pPr>
      <w:r w:rsidRPr="00681515">
        <w:rPr>
          <w:b/>
          <w:sz w:val="20"/>
        </w:rPr>
        <w:lastRenderedPageBreak/>
        <w:t xml:space="preserve">Results and Discussions </w:t>
      </w:r>
    </w:p>
    <w:p w14:paraId="7A243BA6" w14:textId="77777777" w:rsidR="00681515" w:rsidRPr="008C67DA" w:rsidRDefault="00681515" w:rsidP="00681515">
      <w:pPr>
        <w:rPr>
          <w:b/>
          <w:bCs/>
        </w:rPr>
      </w:pPr>
      <w:r w:rsidRPr="008C67DA">
        <w:rPr>
          <w:b/>
          <w:bCs/>
        </w:rPr>
        <w:t>3.1 Coal qualities trend</w:t>
      </w:r>
    </w:p>
    <w:p w14:paraId="5B114012" w14:textId="55F07192" w:rsidR="00681515" w:rsidRPr="00681515" w:rsidRDefault="00681515" w:rsidP="00681515">
      <w:pPr>
        <w:rPr>
          <w:lang w:val="en-US"/>
        </w:rPr>
      </w:pPr>
      <w:r w:rsidRPr="00681515">
        <w:rPr>
          <w:lang w:val="en-US"/>
        </w:rPr>
        <w:t>In Tables 1 - 2, the</w:t>
      </w:r>
      <w:r w:rsidR="00BE789C">
        <w:rPr>
          <w:lang w:val="en-US"/>
        </w:rPr>
        <w:t xml:space="preserve"> values </w:t>
      </w:r>
      <w:r w:rsidRPr="00681515">
        <w:rPr>
          <w:lang w:val="en-US"/>
        </w:rPr>
        <w:t xml:space="preserve">shown are of proximate analysis giving the moisture, </w:t>
      </w:r>
      <w:proofErr w:type="gramStart"/>
      <w:r w:rsidRPr="00681515">
        <w:rPr>
          <w:lang w:val="en-US"/>
        </w:rPr>
        <w:t>ash</w:t>
      </w:r>
      <w:proofErr w:type="gramEnd"/>
      <w:r w:rsidRPr="00681515">
        <w:rPr>
          <w:lang w:val="en-US"/>
        </w:rPr>
        <w:t xml:space="preserve"> and volatile matter, while the difference results in fixed carbon. Concerning coal qualities, the five coal samples may be described as follows. The hydrogen content of the coal samples is ranging </w:t>
      </w:r>
      <w:r w:rsidRPr="00EE75EE">
        <w:rPr>
          <w:lang w:val="en-US"/>
        </w:rPr>
        <w:t xml:space="preserve">from </w:t>
      </w:r>
      <w:r w:rsidR="00BE789C" w:rsidRPr="00EE75EE">
        <w:rPr>
          <w:lang w:val="en-US"/>
        </w:rPr>
        <w:t>3.02</w:t>
      </w:r>
      <w:r w:rsidRPr="00EE75EE">
        <w:rPr>
          <w:lang w:val="en-US"/>
        </w:rPr>
        <w:t xml:space="preserve"> – 3.</w:t>
      </w:r>
      <w:r w:rsidR="00BE789C" w:rsidRPr="00EE75EE">
        <w:rPr>
          <w:lang w:val="en-US"/>
        </w:rPr>
        <w:t xml:space="preserve">24 </w:t>
      </w:r>
      <w:r w:rsidRPr="00EE75EE">
        <w:rPr>
          <w:lang w:val="en-US"/>
        </w:rPr>
        <w:t>wt.% which is</w:t>
      </w:r>
      <w:r w:rsidRPr="00681515">
        <w:rPr>
          <w:lang w:val="en-US"/>
        </w:rPr>
        <w:t xml:space="preserve"> consistent with the range of coal samples within the </w:t>
      </w:r>
      <w:r w:rsidR="000556E8">
        <w:rPr>
          <w:lang w:val="en-US"/>
        </w:rPr>
        <w:t>R</w:t>
      </w:r>
      <w:r w:rsidRPr="00681515">
        <w:rPr>
          <w:lang w:val="en-US"/>
        </w:rPr>
        <w:t xml:space="preserve">epublic of South Africa. Nitrogen is a major coal component </w:t>
      </w:r>
      <w:r w:rsidR="0037571E" w:rsidRPr="00681515">
        <w:rPr>
          <w:lang w:val="en-US"/>
        </w:rPr>
        <w:t>inferior</w:t>
      </w:r>
      <w:r w:rsidRPr="00681515">
        <w:rPr>
          <w:lang w:val="en-US"/>
        </w:rPr>
        <w:t xml:space="preserve"> to sulphur in the hazard it poses to the environment. According to </w:t>
      </w:r>
      <w:proofErr w:type="spellStart"/>
      <w:r w:rsidRPr="00681515">
        <w:rPr>
          <w:lang w:val="en-US"/>
        </w:rPr>
        <w:t>Krzywanski</w:t>
      </w:r>
      <w:proofErr w:type="spellEnd"/>
      <w:r w:rsidRPr="00681515">
        <w:rPr>
          <w:lang w:val="en-US"/>
        </w:rPr>
        <w:t xml:space="preserve"> et al., (2018), coal generally contains nitrogen, and this becomes a source of NOx during combustion</w:t>
      </w:r>
      <w:r w:rsidR="00BE789C" w:rsidRPr="00681515">
        <w:rPr>
          <w:lang w:val="en-US"/>
        </w:rPr>
        <w:t xml:space="preserve">. </w:t>
      </w:r>
      <w:r w:rsidRPr="00681515">
        <w:rPr>
          <w:lang w:val="en-US"/>
        </w:rPr>
        <w:t xml:space="preserve">All samples have a nitrogen content </w:t>
      </w:r>
      <w:r w:rsidR="00362AFB" w:rsidRPr="00362AFB">
        <w:rPr>
          <w:lang w:val="en-US"/>
        </w:rPr>
        <w:t xml:space="preserve">in the range of greater than 1.30 wt.%. </w:t>
      </w:r>
      <w:r w:rsidRPr="00681515">
        <w:rPr>
          <w:lang w:val="en-US"/>
        </w:rPr>
        <w:t>A similar observation is also reported by Phiri et al. (2017) who found that nitrogen content in coal occurs in minor proportion in the order of 2% or less.</w:t>
      </w:r>
      <w:r w:rsidR="005F5AD3">
        <w:rPr>
          <w:lang w:val="en-US"/>
        </w:rPr>
        <w:t xml:space="preserve"> </w:t>
      </w:r>
      <w:proofErr w:type="gramStart"/>
      <w:r w:rsidR="00EE75EE" w:rsidRPr="00EE75EE">
        <w:rPr>
          <w:lang w:val="en-US"/>
        </w:rPr>
        <w:t>Similar to</w:t>
      </w:r>
      <w:proofErr w:type="gramEnd"/>
      <w:r w:rsidR="00EE75EE" w:rsidRPr="00EE75EE">
        <w:rPr>
          <w:lang w:val="en-US"/>
        </w:rPr>
        <w:t xml:space="preserve"> fixed carbon, oxygen gathers all errors from other variables tests. The oxygen content, which is inversely proportionate to the carbon content helps with the ignition of coal samples during combustion. Hence, coal samples containing oxygen content in the range of 3.45</w:t>
      </w:r>
      <w:r w:rsidR="00AF6BDE">
        <w:rPr>
          <w:lang w:val="en-US"/>
        </w:rPr>
        <w:t xml:space="preserve"> </w:t>
      </w:r>
      <w:r w:rsidR="00EE75EE" w:rsidRPr="00EE75EE">
        <w:rPr>
          <w:lang w:val="en-US"/>
        </w:rPr>
        <w:t>–</w:t>
      </w:r>
      <w:r w:rsidR="00AF6BDE">
        <w:rPr>
          <w:lang w:val="en-US"/>
        </w:rPr>
        <w:t xml:space="preserve"> </w:t>
      </w:r>
      <w:r w:rsidR="00EE75EE" w:rsidRPr="00EE75EE">
        <w:rPr>
          <w:lang w:val="en-US"/>
        </w:rPr>
        <w:t>7.68 wt.% studied are more prone to spontaneous combustion. Coal stacking, compacting and spraying water on stockpiles prevent spontaneous combustion.</w:t>
      </w:r>
    </w:p>
    <w:p w14:paraId="3FD3DA9D" w14:textId="77777777" w:rsidR="00681515" w:rsidRPr="00681515" w:rsidRDefault="00681515" w:rsidP="00681515">
      <w:pPr>
        <w:rPr>
          <w:lang w:val="en-US"/>
        </w:rPr>
      </w:pPr>
    </w:p>
    <w:p w14:paraId="33790900" w14:textId="0C4121D9" w:rsidR="00681515" w:rsidRPr="00681515" w:rsidRDefault="00681515" w:rsidP="00681515">
      <w:pPr>
        <w:rPr>
          <w:lang w:val="en-US"/>
        </w:rPr>
      </w:pPr>
      <w:r w:rsidRPr="00681515">
        <w:rPr>
          <w:lang w:val="en-US"/>
        </w:rPr>
        <w:t xml:space="preserve">The coal samples have roughly the moisture contents within the range of 8.00 – 8.20 wt.%. Usually, the higher moisture content in the coal is less desirable because moisture content reduces the heating value, and its weight adds to the transportation costs of </w:t>
      </w:r>
      <w:r w:rsidR="008238FF" w:rsidRPr="00681515">
        <w:rPr>
          <w:lang w:val="en-US"/>
        </w:rPr>
        <w:t>coal</w:t>
      </w:r>
      <w:r w:rsidR="005F5AD3">
        <w:rPr>
          <w:lang w:val="en-US"/>
        </w:rPr>
        <w:t xml:space="preserve"> in case of transportation</w:t>
      </w:r>
      <w:r w:rsidR="008238FF" w:rsidRPr="00681515">
        <w:rPr>
          <w:lang w:val="en-US"/>
        </w:rPr>
        <w:t>.</w:t>
      </w:r>
      <w:r w:rsidR="008238FF" w:rsidRPr="00804F3A">
        <w:rPr>
          <w:lang w:val="en-US"/>
        </w:rPr>
        <w:t xml:space="preserve"> It</w:t>
      </w:r>
      <w:r w:rsidR="00804F3A" w:rsidRPr="00804F3A">
        <w:rPr>
          <w:lang w:val="en-US"/>
        </w:rPr>
        <w:t xml:space="preserve"> was also observed that the percentage sulphur content in the five coal samples studied covered a range of sulphur content ranging from less than 1 wt.% </w:t>
      </w:r>
      <w:r w:rsidR="005F5AD3">
        <w:rPr>
          <w:lang w:val="en-US"/>
        </w:rPr>
        <w:t xml:space="preserve">(low-sulphur coal), greater than 1 wt.%  and less than 2 wt.% (medium-type coal) and </w:t>
      </w:r>
      <w:r w:rsidR="00804F3A" w:rsidRPr="00804F3A">
        <w:rPr>
          <w:lang w:val="en-US"/>
        </w:rPr>
        <w:t>to more than 2 wt.%</w:t>
      </w:r>
      <w:r w:rsidR="005F5AD3">
        <w:rPr>
          <w:lang w:val="en-US"/>
        </w:rPr>
        <w:t xml:space="preserve"> (high sulphur coal)</w:t>
      </w:r>
      <w:r w:rsidR="00804F3A" w:rsidRPr="00804F3A">
        <w:rPr>
          <w:lang w:val="en-US"/>
        </w:rPr>
        <w:t>, therefore, co-firing of these coal samples is expected to produce a range of SO</w:t>
      </w:r>
      <w:r w:rsidR="00804F3A" w:rsidRPr="005D75DB">
        <w:rPr>
          <w:vertAlign w:val="subscript"/>
          <w:lang w:val="en-US"/>
        </w:rPr>
        <w:t xml:space="preserve">2 </w:t>
      </w:r>
      <w:r w:rsidR="00804F3A" w:rsidRPr="00804F3A">
        <w:rPr>
          <w:lang w:val="en-US"/>
        </w:rPr>
        <w:t>emissions from the coals, and the choice of the</w:t>
      </w:r>
      <w:r w:rsidR="00CC0D77">
        <w:rPr>
          <w:lang w:val="en-US"/>
        </w:rPr>
        <w:t xml:space="preserve"> emissions reduction </w:t>
      </w:r>
      <w:r w:rsidR="00804F3A" w:rsidRPr="00804F3A">
        <w:rPr>
          <w:lang w:val="en-US"/>
        </w:rPr>
        <w:t>technology will be based on the emissions generated. Furthermore, high sul</w:t>
      </w:r>
      <w:r w:rsidR="0049089A">
        <w:rPr>
          <w:lang w:val="en-US"/>
        </w:rPr>
        <w:t>phu</w:t>
      </w:r>
      <w:r w:rsidR="00804F3A" w:rsidRPr="00804F3A">
        <w:rPr>
          <w:lang w:val="en-US"/>
        </w:rPr>
        <w:t>r content also affects the heating value</w:t>
      </w:r>
      <w:r w:rsidR="002C701C">
        <w:rPr>
          <w:lang w:val="en-US"/>
        </w:rPr>
        <w:t xml:space="preserve"> </w:t>
      </w:r>
      <w:r w:rsidR="00804F3A" w:rsidRPr="00804F3A">
        <w:rPr>
          <w:lang w:val="en-US"/>
        </w:rPr>
        <w:t xml:space="preserve">which </w:t>
      </w:r>
      <w:r w:rsidR="002C701C">
        <w:rPr>
          <w:lang w:val="en-US"/>
        </w:rPr>
        <w:t>is in consistent with the view of the current study</w:t>
      </w:r>
      <w:r w:rsidR="00804F3A" w:rsidRPr="00804F3A">
        <w:rPr>
          <w:lang w:val="en-US"/>
        </w:rPr>
        <w:t xml:space="preserve"> (Qi et al., 2019).</w:t>
      </w:r>
      <w:r w:rsidR="00BC4E21">
        <w:rPr>
          <w:lang w:val="en-US"/>
        </w:rPr>
        <w:t xml:space="preserve"> </w:t>
      </w:r>
      <w:r w:rsidRPr="00681515">
        <w:rPr>
          <w:lang w:val="en-US"/>
        </w:rPr>
        <w:t xml:space="preserve">Low-volatile coal accounts for about 40% of the total coal used in power station boilers (Adesina et al., 2022). Because of its poor reactivity, low-volatile coal is characterized by late ignition, unstable combustion, and insufficient burnout (Song et al., 2018). </w:t>
      </w:r>
      <w:r w:rsidR="0049089A">
        <w:rPr>
          <w:lang w:val="en-US"/>
        </w:rPr>
        <w:t>On the other hand, t</w:t>
      </w:r>
      <w:r w:rsidRPr="00681515">
        <w:rPr>
          <w:lang w:val="en-US"/>
        </w:rPr>
        <w:t xml:space="preserve">he volatile matter content varies </w:t>
      </w:r>
      <w:r w:rsidR="0049089A">
        <w:rPr>
          <w:lang w:val="en-US"/>
        </w:rPr>
        <w:t xml:space="preserve">within the range of 20 </w:t>
      </w:r>
      <w:r w:rsidRPr="00681515">
        <w:rPr>
          <w:lang w:val="en-US"/>
        </w:rPr>
        <w:t>wt.%.</w:t>
      </w:r>
    </w:p>
    <w:p w14:paraId="455B0F1B" w14:textId="77777777" w:rsidR="00681515" w:rsidRPr="00681515" w:rsidRDefault="00681515" w:rsidP="00681515">
      <w:pPr>
        <w:rPr>
          <w:lang w:val="en-US"/>
        </w:rPr>
      </w:pPr>
    </w:p>
    <w:p w14:paraId="515F4AEF" w14:textId="5C6D154D" w:rsidR="00681515" w:rsidRPr="00681515" w:rsidRDefault="00681515" w:rsidP="00681515">
      <w:pPr>
        <w:rPr>
          <w:b/>
          <w:bCs/>
        </w:rPr>
      </w:pPr>
      <w:r w:rsidRPr="00681515">
        <w:rPr>
          <w:lang w:val="en-US"/>
        </w:rPr>
        <w:t xml:space="preserve">In terms of calorific value, under the South African coal standard classification, the calorific values </w:t>
      </w:r>
      <w:r w:rsidR="00B12370">
        <w:rPr>
          <w:lang w:val="en-US"/>
        </w:rPr>
        <w:t>o</w:t>
      </w:r>
      <w:r w:rsidRPr="00681515">
        <w:rPr>
          <w:lang w:val="en-US"/>
        </w:rPr>
        <w:t xml:space="preserve">f the </w:t>
      </w:r>
      <w:r w:rsidR="002C701C" w:rsidRPr="00681515">
        <w:rPr>
          <w:lang w:val="en-US"/>
        </w:rPr>
        <w:t>coal</w:t>
      </w:r>
      <w:r w:rsidRPr="00681515">
        <w:rPr>
          <w:lang w:val="en-US"/>
        </w:rPr>
        <w:t xml:space="preserve"> samples were determined and found to be within the range of 19.96 – 20.11 MJ/kg</w:t>
      </w:r>
      <w:r w:rsidR="00B12370">
        <w:rPr>
          <w:lang w:val="en-US"/>
        </w:rPr>
        <w:t xml:space="preserve"> which is within the error of repeatability for </w:t>
      </w:r>
      <w:r w:rsidR="00AF6BDE">
        <w:rPr>
          <w:lang w:val="en-US"/>
        </w:rPr>
        <w:t>analysis</w:t>
      </w:r>
      <w:r w:rsidRPr="00681515">
        <w:rPr>
          <w:lang w:val="en-US"/>
        </w:rPr>
        <w:t>. All five coal samples are considered to have high ash contents ranging from 29.26 – 31.10 wt.% according to the ash yield classification of SANS 11760</w:t>
      </w:r>
      <w:r w:rsidR="00E97CE6">
        <w:rPr>
          <w:lang w:val="en-US"/>
        </w:rPr>
        <w:t xml:space="preserve"> (</w:t>
      </w:r>
      <w:r w:rsidRPr="00681515">
        <w:rPr>
          <w:lang w:val="en-US"/>
        </w:rPr>
        <w:t>2007</w:t>
      </w:r>
      <w:r w:rsidR="00E97CE6">
        <w:rPr>
          <w:lang w:val="en-US"/>
        </w:rPr>
        <w:t>)</w:t>
      </w:r>
      <w:r w:rsidRPr="00681515">
        <w:rPr>
          <w:lang w:val="en-US"/>
        </w:rPr>
        <w:t>.</w:t>
      </w:r>
    </w:p>
    <w:p w14:paraId="4FCAA1A4" w14:textId="77777777" w:rsidR="00681515" w:rsidRPr="00681515" w:rsidRDefault="00681515" w:rsidP="00681515">
      <w:pPr>
        <w:keepNext/>
        <w:tabs>
          <w:tab w:val="clear" w:pos="7100"/>
        </w:tabs>
        <w:spacing w:before="240" w:after="80" w:line="240" w:lineRule="exact"/>
        <w:jc w:val="left"/>
        <w:rPr>
          <w:i/>
        </w:rPr>
      </w:pPr>
      <w:r w:rsidRPr="00681515">
        <w:rPr>
          <w:i/>
        </w:rPr>
        <w:t xml:space="preserve">Table 1: Proximate analysis (wt.%, </w:t>
      </w:r>
      <w:proofErr w:type="spellStart"/>
      <w:r w:rsidRPr="00681515">
        <w:rPr>
          <w:i/>
        </w:rPr>
        <w:t>adb</w:t>
      </w:r>
      <w:proofErr w:type="spellEnd"/>
      <w:r w:rsidRPr="00681515">
        <w:rPr>
          <w:i/>
        </w:rPr>
        <w:t>)</w:t>
      </w:r>
    </w:p>
    <w:p w14:paraId="2BA80338" w14:textId="77777777" w:rsidR="00681515" w:rsidRPr="00681515" w:rsidRDefault="00681515" w:rsidP="00681515">
      <w:pPr>
        <w:rPr>
          <w:highlight w:val="yellow"/>
          <w:lang w:val="en-US"/>
        </w:rPr>
      </w:pPr>
    </w:p>
    <w:tbl>
      <w:tblPr>
        <w:tblpPr w:leftFromText="180" w:rightFromText="180" w:vertAnchor="text" w:horzAnchor="margin" w:tblpY="-27"/>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tblGrid>
      <w:tr w:rsidR="00681515" w:rsidRPr="00681515" w14:paraId="25D4E29A" w14:textId="77777777" w:rsidTr="00BE769C">
        <w:tc>
          <w:tcPr>
            <w:tcW w:w="1134" w:type="dxa"/>
            <w:tcBorders>
              <w:top w:val="single" w:sz="12" w:space="0" w:color="008000"/>
              <w:bottom w:val="single" w:sz="6" w:space="0" w:color="008000"/>
            </w:tcBorders>
            <w:shd w:val="clear" w:color="auto" w:fill="FFFFFF"/>
          </w:tcPr>
          <w:p w14:paraId="679051BC" w14:textId="77777777" w:rsidR="00681515" w:rsidRPr="00681515" w:rsidRDefault="00681515" w:rsidP="00681515">
            <w:r w:rsidRPr="00681515">
              <w:t>Properties</w:t>
            </w:r>
          </w:p>
        </w:tc>
        <w:tc>
          <w:tcPr>
            <w:tcW w:w="1134" w:type="dxa"/>
            <w:tcBorders>
              <w:top w:val="single" w:sz="12" w:space="0" w:color="008000"/>
              <w:bottom w:val="single" w:sz="6" w:space="0" w:color="008000"/>
            </w:tcBorders>
            <w:shd w:val="clear" w:color="auto" w:fill="FFFFFF"/>
          </w:tcPr>
          <w:p w14:paraId="269C83B2" w14:textId="77777777" w:rsidR="00681515" w:rsidRPr="00681515" w:rsidRDefault="00681515" w:rsidP="00681515">
            <w:r w:rsidRPr="00681515">
              <w:t>Sample 1</w:t>
            </w:r>
          </w:p>
        </w:tc>
        <w:tc>
          <w:tcPr>
            <w:tcW w:w="1134" w:type="dxa"/>
            <w:tcBorders>
              <w:top w:val="single" w:sz="12" w:space="0" w:color="008000"/>
              <w:bottom w:val="single" w:sz="6" w:space="0" w:color="008000"/>
            </w:tcBorders>
            <w:shd w:val="clear" w:color="auto" w:fill="FFFFFF"/>
          </w:tcPr>
          <w:p w14:paraId="5D751ACE" w14:textId="77777777" w:rsidR="00681515" w:rsidRPr="00681515" w:rsidRDefault="00681515" w:rsidP="00681515">
            <w:r w:rsidRPr="00681515">
              <w:t>Sample 2</w:t>
            </w:r>
          </w:p>
        </w:tc>
        <w:tc>
          <w:tcPr>
            <w:tcW w:w="1134" w:type="dxa"/>
            <w:tcBorders>
              <w:top w:val="single" w:sz="12" w:space="0" w:color="008000"/>
              <w:bottom w:val="single" w:sz="6" w:space="0" w:color="008000"/>
            </w:tcBorders>
            <w:shd w:val="clear" w:color="auto" w:fill="FFFFFF"/>
          </w:tcPr>
          <w:p w14:paraId="70923430" w14:textId="77777777" w:rsidR="00681515" w:rsidRPr="00681515" w:rsidRDefault="00681515" w:rsidP="00681515">
            <w:r w:rsidRPr="00681515">
              <w:t>Sample 3</w:t>
            </w:r>
          </w:p>
        </w:tc>
        <w:tc>
          <w:tcPr>
            <w:tcW w:w="1134" w:type="dxa"/>
            <w:tcBorders>
              <w:top w:val="single" w:sz="12" w:space="0" w:color="008000"/>
              <w:bottom w:val="single" w:sz="6" w:space="0" w:color="008000"/>
            </w:tcBorders>
            <w:shd w:val="clear" w:color="auto" w:fill="FFFFFF"/>
          </w:tcPr>
          <w:p w14:paraId="33E91019" w14:textId="77777777" w:rsidR="00681515" w:rsidRPr="00681515" w:rsidRDefault="00681515" w:rsidP="00681515">
            <w:pPr>
              <w:ind w:right="-1"/>
              <w:rPr>
                <w:rFonts w:cs="Arial"/>
                <w:szCs w:val="18"/>
              </w:rPr>
            </w:pPr>
            <w:r w:rsidRPr="00681515">
              <w:rPr>
                <w:rFonts w:cs="Arial"/>
                <w:szCs w:val="18"/>
              </w:rPr>
              <w:t xml:space="preserve">Sample 4 </w:t>
            </w:r>
          </w:p>
        </w:tc>
        <w:tc>
          <w:tcPr>
            <w:tcW w:w="1134" w:type="dxa"/>
            <w:tcBorders>
              <w:top w:val="single" w:sz="12" w:space="0" w:color="008000"/>
              <w:bottom w:val="single" w:sz="6" w:space="0" w:color="008000"/>
            </w:tcBorders>
            <w:shd w:val="clear" w:color="auto" w:fill="FFFFFF"/>
          </w:tcPr>
          <w:p w14:paraId="0F1B4FE6" w14:textId="77777777" w:rsidR="00681515" w:rsidRPr="00681515" w:rsidRDefault="00681515" w:rsidP="00681515">
            <w:pPr>
              <w:ind w:right="-1"/>
              <w:rPr>
                <w:rFonts w:cs="Arial"/>
                <w:szCs w:val="18"/>
              </w:rPr>
            </w:pPr>
            <w:r w:rsidRPr="00681515">
              <w:rPr>
                <w:rFonts w:cs="Arial"/>
                <w:szCs w:val="18"/>
              </w:rPr>
              <w:t>Sample 5</w:t>
            </w:r>
          </w:p>
        </w:tc>
      </w:tr>
      <w:tr w:rsidR="00681515" w:rsidRPr="00681515" w14:paraId="6AB141F1" w14:textId="77777777" w:rsidTr="00BE769C">
        <w:tc>
          <w:tcPr>
            <w:tcW w:w="1134" w:type="dxa"/>
            <w:shd w:val="clear" w:color="auto" w:fill="FFFFFF"/>
          </w:tcPr>
          <w:p w14:paraId="730602B0" w14:textId="77777777" w:rsidR="00681515" w:rsidRPr="00681515" w:rsidRDefault="00681515" w:rsidP="00681515">
            <w:r w:rsidRPr="00681515">
              <w:t>H</w:t>
            </w:r>
            <w:r w:rsidRPr="00681515">
              <w:rPr>
                <w:vertAlign w:val="subscript"/>
              </w:rPr>
              <w:t>2</w:t>
            </w:r>
            <w:r w:rsidRPr="00681515">
              <w:t>O</w:t>
            </w:r>
          </w:p>
          <w:p w14:paraId="48A2047C" w14:textId="77777777" w:rsidR="00681515" w:rsidRPr="00681515" w:rsidRDefault="00681515" w:rsidP="00681515">
            <w:r w:rsidRPr="00681515">
              <w:t>Ash</w:t>
            </w:r>
          </w:p>
          <w:p w14:paraId="0A92EE47" w14:textId="77777777" w:rsidR="00681515" w:rsidRPr="00681515" w:rsidRDefault="00681515" w:rsidP="00681515">
            <w:r w:rsidRPr="00681515">
              <w:t>FC (by diff.)</w:t>
            </w:r>
          </w:p>
          <w:p w14:paraId="41CBDC7B" w14:textId="77777777" w:rsidR="00681515" w:rsidRPr="00681515" w:rsidRDefault="00681515" w:rsidP="00681515">
            <w:r w:rsidRPr="00681515">
              <w:t>VM</w:t>
            </w:r>
          </w:p>
          <w:p w14:paraId="44D6277C" w14:textId="77777777" w:rsidR="00681515" w:rsidRPr="00681515" w:rsidRDefault="00681515" w:rsidP="00681515">
            <w:r w:rsidRPr="00681515">
              <w:t>Total</w:t>
            </w:r>
          </w:p>
        </w:tc>
        <w:tc>
          <w:tcPr>
            <w:tcW w:w="1134" w:type="dxa"/>
            <w:shd w:val="clear" w:color="auto" w:fill="FFFFFF"/>
          </w:tcPr>
          <w:p w14:paraId="66B5A0DA" w14:textId="0B4E5D38" w:rsidR="00681515" w:rsidRPr="00664600" w:rsidRDefault="00681515" w:rsidP="00681515">
            <w:r w:rsidRPr="00664600">
              <w:t>8.</w:t>
            </w:r>
            <w:r w:rsidR="00664600" w:rsidRPr="00664600">
              <w:t>1</w:t>
            </w:r>
            <w:r w:rsidRPr="00664600">
              <w:t>2</w:t>
            </w:r>
          </w:p>
          <w:p w14:paraId="60E8BF1C" w14:textId="03603554" w:rsidR="00681515" w:rsidRPr="00664600" w:rsidRDefault="00681515" w:rsidP="00681515">
            <w:r w:rsidRPr="00664600">
              <w:t>29.</w:t>
            </w:r>
            <w:r w:rsidR="00664600" w:rsidRPr="00664600">
              <w:t>89</w:t>
            </w:r>
          </w:p>
          <w:p w14:paraId="5BF86EEF" w14:textId="1F76C66C" w:rsidR="00681515" w:rsidRPr="00664600" w:rsidRDefault="00681515" w:rsidP="00681515">
            <w:r w:rsidRPr="00664600">
              <w:t>4</w:t>
            </w:r>
            <w:r w:rsidR="008F21E9">
              <w:t>1.83</w:t>
            </w:r>
          </w:p>
          <w:p w14:paraId="64C4B7E4" w14:textId="02602466" w:rsidR="00681515" w:rsidRPr="00681515" w:rsidRDefault="00681515" w:rsidP="00681515">
            <w:r w:rsidRPr="00664600">
              <w:t>20.</w:t>
            </w:r>
            <w:r w:rsidR="00664600">
              <w:t>16</w:t>
            </w:r>
          </w:p>
          <w:p w14:paraId="69CF8356" w14:textId="77777777" w:rsidR="00681515" w:rsidRPr="00681515" w:rsidRDefault="00681515" w:rsidP="00681515">
            <w:r w:rsidRPr="00681515">
              <w:t>100.00</w:t>
            </w:r>
          </w:p>
        </w:tc>
        <w:tc>
          <w:tcPr>
            <w:tcW w:w="1134" w:type="dxa"/>
            <w:shd w:val="clear" w:color="auto" w:fill="FFFFFF"/>
          </w:tcPr>
          <w:p w14:paraId="58EE6E74" w14:textId="77777777" w:rsidR="00681515" w:rsidRPr="00681515" w:rsidRDefault="00681515" w:rsidP="00681515">
            <w:r w:rsidRPr="00681515">
              <w:t>8.00</w:t>
            </w:r>
          </w:p>
          <w:p w14:paraId="4E104DC7" w14:textId="71A0B541" w:rsidR="00681515" w:rsidRPr="00681515" w:rsidRDefault="00681515" w:rsidP="00681515">
            <w:r w:rsidRPr="00664600">
              <w:t>3</w:t>
            </w:r>
            <w:r w:rsidR="00664600" w:rsidRPr="00664600">
              <w:t>0</w:t>
            </w:r>
            <w:r w:rsidRPr="00664600">
              <w:t>.</w:t>
            </w:r>
            <w:r w:rsidR="00664600" w:rsidRPr="00664600">
              <w:t>23</w:t>
            </w:r>
          </w:p>
          <w:p w14:paraId="6284ABE0" w14:textId="1A25BF37" w:rsidR="00681515" w:rsidRPr="00681515" w:rsidRDefault="00681515" w:rsidP="00681515">
            <w:r w:rsidRPr="00681515">
              <w:t>41.</w:t>
            </w:r>
            <w:r w:rsidR="008F21E9">
              <w:t>62</w:t>
            </w:r>
          </w:p>
          <w:p w14:paraId="16C28F63" w14:textId="77777777" w:rsidR="00681515" w:rsidRPr="00681515" w:rsidRDefault="00681515" w:rsidP="00681515">
            <w:r w:rsidRPr="00681515">
              <w:t>20.15</w:t>
            </w:r>
          </w:p>
          <w:p w14:paraId="410388BB" w14:textId="77777777" w:rsidR="00681515" w:rsidRPr="00681515" w:rsidRDefault="00681515" w:rsidP="00681515">
            <w:r w:rsidRPr="00681515">
              <w:t>100.00</w:t>
            </w:r>
          </w:p>
        </w:tc>
        <w:tc>
          <w:tcPr>
            <w:tcW w:w="1134" w:type="dxa"/>
            <w:shd w:val="clear" w:color="auto" w:fill="FFFFFF"/>
          </w:tcPr>
          <w:p w14:paraId="3FA13783" w14:textId="77777777" w:rsidR="00681515" w:rsidRPr="00681515" w:rsidRDefault="00681515" w:rsidP="00681515">
            <w:r w:rsidRPr="00681515">
              <w:t>8.10</w:t>
            </w:r>
          </w:p>
          <w:p w14:paraId="26DB84AB" w14:textId="77777777" w:rsidR="00681515" w:rsidRPr="00681515" w:rsidRDefault="00681515" w:rsidP="00681515">
            <w:r w:rsidRPr="00681515">
              <w:t>30.20</w:t>
            </w:r>
          </w:p>
          <w:p w14:paraId="4E7D530F" w14:textId="528A8D43" w:rsidR="00681515" w:rsidRPr="00681515" w:rsidRDefault="00681515" w:rsidP="00681515">
            <w:r w:rsidRPr="00681515">
              <w:t>41.</w:t>
            </w:r>
            <w:r w:rsidR="008F21E9">
              <w:t>52</w:t>
            </w:r>
          </w:p>
          <w:p w14:paraId="38E85678" w14:textId="77777777" w:rsidR="00681515" w:rsidRPr="00681515" w:rsidRDefault="00681515" w:rsidP="00681515">
            <w:r w:rsidRPr="00681515">
              <w:t>20.18</w:t>
            </w:r>
          </w:p>
          <w:p w14:paraId="444A0246" w14:textId="77777777" w:rsidR="00681515" w:rsidRPr="00681515" w:rsidRDefault="00681515" w:rsidP="00681515">
            <w:r w:rsidRPr="00681515">
              <w:t>100.00</w:t>
            </w:r>
          </w:p>
        </w:tc>
        <w:tc>
          <w:tcPr>
            <w:tcW w:w="1134" w:type="dxa"/>
            <w:shd w:val="clear" w:color="auto" w:fill="FFFFFF"/>
          </w:tcPr>
          <w:p w14:paraId="6646189C" w14:textId="22D96E00" w:rsidR="00681515" w:rsidRPr="00681515" w:rsidRDefault="00681515" w:rsidP="00681515">
            <w:pPr>
              <w:ind w:right="-1"/>
              <w:rPr>
                <w:rFonts w:cs="Arial"/>
                <w:szCs w:val="18"/>
              </w:rPr>
            </w:pPr>
            <w:r w:rsidRPr="00681515">
              <w:rPr>
                <w:rFonts w:cs="Arial"/>
                <w:szCs w:val="18"/>
              </w:rPr>
              <w:t>8.0</w:t>
            </w:r>
            <w:r w:rsidR="008F21E9">
              <w:rPr>
                <w:rFonts w:cs="Arial"/>
                <w:szCs w:val="18"/>
              </w:rPr>
              <w:t>9</w:t>
            </w:r>
          </w:p>
          <w:p w14:paraId="2A2B0911" w14:textId="77777777" w:rsidR="00681515" w:rsidRPr="00681515" w:rsidRDefault="00681515" w:rsidP="00681515">
            <w:pPr>
              <w:ind w:right="-1"/>
              <w:rPr>
                <w:rFonts w:cs="Arial"/>
                <w:szCs w:val="18"/>
              </w:rPr>
            </w:pPr>
            <w:r w:rsidRPr="00681515">
              <w:rPr>
                <w:rFonts w:cs="Arial"/>
                <w:szCs w:val="18"/>
              </w:rPr>
              <w:t>29.26</w:t>
            </w:r>
          </w:p>
          <w:p w14:paraId="50079655" w14:textId="74573829" w:rsidR="00681515" w:rsidRPr="00681515" w:rsidRDefault="00681515" w:rsidP="00681515">
            <w:pPr>
              <w:ind w:right="-1"/>
              <w:rPr>
                <w:rFonts w:cs="Arial"/>
                <w:szCs w:val="18"/>
              </w:rPr>
            </w:pPr>
            <w:r w:rsidRPr="00681515">
              <w:rPr>
                <w:rFonts w:cs="Arial"/>
                <w:szCs w:val="18"/>
              </w:rPr>
              <w:t>42.</w:t>
            </w:r>
            <w:r w:rsidR="008F21E9">
              <w:rPr>
                <w:rFonts w:cs="Arial"/>
                <w:szCs w:val="18"/>
              </w:rPr>
              <w:t>48</w:t>
            </w:r>
          </w:p>
          <w:p w14:paraId="4E1F2DD2" w14:textId="77777777" w:rsidR="00681515" w:rsidRPr="00681515" w:rsidRDefault="00681515" w:rsidP="00681515">
            <w:r w:rsidRPr="00681515">
              <w:t>20.17</w:t>
            </w:r>
          </w:p>
          <w:p w14:paraId="1D2D9D32" w14:textId="77777777" w:rsidR="00681515" w:rsidRPr="00681515" w:rsidRDefault="00681515" w:rsidP="00681515">
            <w:r w:rsidRPr="00681515">
              <w:t>100.00</w:t>
            </w:r>
          </w:p>
        </w:tc>
        <w:tc>
          <w:tcPr>
            <w:tcW w:w="1134" w:type="dxa"/>
            <w:shd w:val="clear" w:color="auto" w:fill="FFFFFF"/>
          </w:tcPr>
          <w:p w14:paraId="79F43AB6" w14:textId="77777777" w:rsidR="00681515" w:rsidRPr="00681515" w:rsidRDefault="00681515" w:rsidP="00681515">
            <w:pPr>
              <w:ind w:right="-1"/>
              <w:rPr>
                <w:rFonts w:cs="Arial"/>
                <w:szCs w:val="18"/>
              </w:rPr>
            </w:pPr>
            <w:r w:rsidRPr="00681515">
              <w:rPr>
                <w:rFonts w:cs="Arial"/>
                <w:szCs w:val="18"/>
              </w:rPr>
              <w:t>8.15</w:t>
            </w:r>
          </w:p>
          <w:p w14:paraId="297D571F" w14:textId="77777777" w:rsidR="00681515" w:rsidRPr="00681515" w:rsidRDefault="00681515" w:rsidP="00681515">
            <w:pPr>
              <w:ind w:right="-1"/>
              <w:rPr>
                <w:rFonts w:cs="Arial"/>
                <w:szCs w:val="18"/>
              </w:rPr>
            </w:pPr>
            <w:r w:rsidRPr="00681515">
              <w:rPr>
                <w:rFonts w:cs="Arial"/>
                <w:szCs w:val="18"/>
              </w:rPr>
              <w:t>30.46</w:t>
            </w:r>
          </w:p>
          <w:p w14:paraId="4884159B" w14:textId="62795C82" w:rsidR="00681515" w:rsidRPr="00681515" w:rsidRDefault="00681515" w:rsidP="00681515">
            <w:pPr>
              <w:ind w:right="-1"/>
              <w:rPr>
                <w:rFonts w:cs="Arial"/>
                <w:szCs w:val="18"/>
              </w:rPr>
            </w:pPr>
            <w:r w:rsidRPr="00681515">
              <w:rPr>
                <w:rFonts w:cs="Arial"/>
                <w:szCs w:val="18"/>
              </w:rPr>
              <w:t>41.</w:t>
            </w:r>
            <w:r w:rsidR="008F21E9">
              <w:rPr>
                <w:rFonts w:cs="Arial"/>
                <w:szCs w:val="18"/>
              </w:rPr>
              <w:t>21</w:t>
            </w:r>
          </w:p>
          <w:p w14:paraId="0E3DB0E1" w14:textId="77777777" w:rsidR="00681515" w:rsidRPr="00681515" w:rsidRDefault="00681515" w:rsidP="00681515">
            <w:r w:rsidRPr="00681515">
              <w:t>20.18</w:t>
            </w:r>
          </w:p>
          <w:p w14:paraId="6FB76BD8" w14:textId="77777777" w:rsidR="00681515" w:rsidRPr="00681515" w:rsidRDefault="00681515" w:rsidP="00681515">
            <w:r w:rsidRPr="00681515">
              <w:t>100.00</w:t>
            </w:r>
          </w:p>
        </w:tc>
      </w:tr>
    </w:tbl>
    <w:p w14:paraId="2D3B99C9" w14:textId="77777777" w:rsidR="00681515" w:rsidRPr="00681515" w:rsidRDefault="00681515" w:rsidP="00681515">
      <w:pPr>
        <w:rPr>
          <w:highlight w:val="yellow"/>
          <w:lang w:val="en-US"/>
        </w:rPr>
      </w:pPr>
    </w:p>
    <w:p w14:paraId="628788B0" w14:textId="77777777" w:rsidR="00681515" w:rsidRPr="00681515" w:rsidRDefault="00681515" w:rsidP="00681515">
      <w:pPr>
        <w:rPr>
          <w:highlight w:val="yellow"/>
          <w:lang w:val="en-US"/>
        </w:rPr>
      </w:pPr>
    </w:p>
    <w:p w14:paraId="0493AB85" w14:textId="77777777" w:rsidR="00681515" w:rsidRPr="00681515" w:rsidRDefault="00681515" w:rsidP="00681515">
      <w:pPr>
        <w:rPr>
          <w:highlight w:val="yellow"/>
          <w:lang w:val="en-US"/>
        </w:rPr>
      </w:pPr>
    </w:p>
    <w:p w14:paraId="3027D027" w14:textId="77777777" w:rsidR="00681515" w:rsidRPr="00681515" w:rsidRDefault="00681515" w:rsidP="00681515">
      <w:pPr>
        <w:rPr>
          <w:highlight w:val="yellow"/>
          <w:lang w:val="en-US"/>
        </w:rPr>
      </w:pPr>
    </w:p>
    <w:p w14:paraId="026942E9" w14:textId="77777777" w:rsidR="00681515" w:rsidRPr="00681515" w:rsidRDefault="00681515" w:rsidP="00681515">
      <w:pPr>
        <w:rPr>
          <w:highlight w:val="yellow"/>
          <w:lang w:val="en-US"/>
        </w:rPr>
      </w:pPr>
    </w:p>
    <w:p w14:paraId="1B3896D9" w14:textId="77777777" w:rsidR="00681515" w:rsidRPr="00681515" w:rsidRDefault="00681515" w:rsidP="00681515">
      <w:pPr>
        <w:rPr>
          <w:highlight w:val="yellow"/>
          <w:lang w:val="en-US"/>
        </w:rPr>
      </w:pPr>
    </w:p>
    <w:p w14:paraId="64FFD122" w14:textId="77777777" w:rsidR="00681515" w:rsidRPr="00681515" w:rsidRDefault="00681515" w:rsidP="00681515">
      <w:pPr>
        <w:rPr>
          <w:highlight w:val="yellow"/>
          <w:lang w:val="en-US"/>
        </w:rPr>
      </w:pPr>
    </w:p>
    <w:p w14:paraId="360E910E" w14:textId="77777777" w:rsidR="00681515" w:rsidRPr="00681515" w:rsidRDefault="00681515" w:rsidP="00681515">
      <w:pPr>
        <w:keepNext/>
        <w:tabs>
          <w:tab w:val="clear" w:pos="7100"/>
        </w:tabs>
        <w:spacing w:before="240" w:after="80" w:line="240" w:lineRule="exact"/>
        <w:jc w:val="left"/>
        <w:rPr>
          <w:i/>
        </w:rPr>
      </w:pPr>
      <w:r w:rsidRPr="00681515">
        <w:rPr>
          <w:i/>
        </w:rPr>
        <w:t xml:space="preserve">Table 2: Ultimate analysis (wt.%, </w:t>
      </w:r>
      <w:proofErr w:type="spellStart"/>
      <w:r w:rsidRPr="00681515">
        <w:rPr>
          <w:i/>
        </w:rPr>
        <w:t>adb</w:t>
      </w:r>
      <w:proofErr w:type="spellEnd"/>
      <w:r w:rsidRPr="00681515">
        <w:rPr>
          <w:i/>
        </w:rPr>
        <w:t>)</w:t>
      </w:r>
    </w:p>
    <w:p w14:paraId="67DFA82A" w14:textId="77777777" w:rsidR="00681515" w:rsidRPr="00681515" w:rsidRDefault="00681515" w:rsidP="00681515">
      <w:pPr>
        <w:rPr>
          <w:highlight w:val="yellow"/>
          <w:lang w:val="en-US"/>
        </w:rPr>
      </w:pPr>
    </w:p>
    <w:tbl>
      <w:tblPr>
        <w:tblpPr w:leftFromText="180" w:rightFromText="180" w:vertAnchor="text" w:horzAnchor="margin" w:tblpY="-27"/>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tblGrid>
      <w:tr w:rsidR="00681515" w:rsidRPr="00681515" w14:paraId="0DDEBC64" w14:textId="77777777" w:rsidTr="00BE769C">
        <w:tc>
          <w:tcPr>
            <w:tcW w:w="1134" w:type="dxa"/>
            <w:tcBorders>
              <w:top w:val="single" w:sz="12" w:space="0" w:color="008000"/>
              <w:bottom w:val="single" w:sz="6" w:space="0" w:color="008000"/>
            </w:tcBorders>
            <w:shd w:val="clear" w:color="auto" w:fill="FFFFFF"/>
          </w:tcPr>
          <w:p w14:paraId="0A434A8C" w14:textId="77777777" w:rsidR="00681515" w:rsidRPr="00681515" w:rsidRDefault="00681515" w:rsidP="00681515">
            <w:r w:rsidRPr="00681515">
              <w:t>Properties</w:t>
            </w:r>
          </w:p>
        </w:tc>
        <w:tc>
          <w:tcPr>
            <w:tcW w:w="1134" w:type="dxa"/>
            <w:tcBorders>
              <w:top w:val="single" w:sz="12" w:space="0" w:color="008000"/>
              <w:bottom w:val="single" w:sz="6" w:space="0" w:color="008000"/>
            </w:tcBorders>
            <w:shd w:val="clear" w:color="auto" w:fill="FFFFFF"/>
          </w:tcPr>
          <w:p w14:paraId="528F96EE" w14:textId="77777777" w:rsidR="00681515" w:rsidRPr="00681515" w:rsidRDefault="00681515" w:rsidP="00681515">
            <w:r w:rsidRPr="00681515">
              <w:t>Sample 1</w:t>
            </w:r>
          </w:p>
        </w:tc>
        <w:tc>
          <w:tcPr>
            <w:tcW w:w="1134" w:type="dxa"/>
            <w:tcBorders>
              <w:top w:val="single" w:sz="12" w:space="0" w:color="008000"/>
              <w:bottom w:val="single" w:sz="6" w:space="0" w:color="008000"/>
            </w:tcBorders>
            <w:shd w:val="clear" w:color="auto" w:fill="FFFFFF"/>
          </w:tcPr>
          <w:p w14:paraId="699DF988" w14:textId="77777777" w:rsidR="00681515" w:rsidRPr="00681515" w:rsidRDefault="00681515" w:rsidP="00681515">
            <w:r w:rsidRPr="00681515">
              <w:t>Sample 2</w:t>
            </w:r>
          </w:p>
        </w:tc>
        <w:tc>
          <w:tcPr>
            <w:tcW w:w="1134" w:type="dxa"/>
            <w:tcBorders>
              <w:top w:val="single" w:sz="12" w:space="0" w:color="008000"/>
              <w:bottom w:val="single" w:sz="6" w:space="0" w:color="008000"/>
            </w:tcBorders>
            <w:shd w:val="clear" w:color="auto" w:fill="FFFFFF"/>
          </w:tcPr>
          <w:p w14:paraId="6C7AC4C6" w14:textId="77777777" w:rsidR="00681515" w:rsidRPr="00681515" w:rsidRDefault="00681515" w:rsidP="00681515">
            <w:r w:rsidRPr="00681515">
              <w:t>Sample 3</w:t>
            </w:r>
          </w:p>
        </w:tc>
        <w:tc>
          <w:tcPr>
            <w:tcW w:w="1134" w:type="dxa"/>
            <w:tcBorders>
              <w:top w:val="single" w:sz="12" w:space="0" w:color="008000"/>
              <w:bottom w:val="single" w:sz="6" w:space="0" w:color="008000"/>
            </w:tcBorders>
            <w:shd w:val="clear" w:color="auto" w:fill="FFFFFF"/>
          </w:tcPr>
          <w:p w14:paraId="3CDBCF20" w14:textId="77777777" w:rsidR="00681515" w:rsidRPr="00681515" w:rsidRDefault="00681515" w:rsidP="00681515">
            <w:pPr>
              <w:ind w:right="-1"/>
              <w:rPr>
                <w:rFonts w:cs="Arial"/>
                <w:szCs w:val="18"/>
              </w:rPr>
            </w:pPr>
            <w:r w:rsidRPr="00681515">
              <w:rPr>
                <w:rFonts w:cs="Arial"/>
                <w:szCs w:val="18"/>
              </w:rPr>
              <w:t xml:space="preserve">Sample 4 </w:t>
            </w:r>
          </w:p>
        </w:tc>
        <w:tc>
          <w:tcPr>
            <w:tcW w:w="1134" w:type="dxa"/>
            <w:tcBorders>
              <w:top w:val="single" w:sz="12" w:space="0" w:color="008000"/>
              <w:bottom w:val="single" w:sz="6" w:space="0" w:color="008000"/>
            </w:tcBorders>
            <w:shd w:val="clear" w:color="auto" w:fill="FFFFFF"/>
          </w:tcPr>
          <w:p w14:paraId="57A5C761" w14:textId="77777777" w:rsidR="00681515" w:rsidRPr="00681515" w:rsidRDefault="00681515" w:rsidP="00681515">
            <w:pPr>
              <w:ind w:right="-1"/>
              <w:rPr>
                <w:rFonts w:cs="Arial"/>
                <w:szCs w:val="18"/>
              </w:rPr>
            </w:pPr>
            <w:r w:rsidRPr="00681515">
              <w:rPr>
                <w:rFonts w:cs="Arial"/>
                <w:szCs w:val="18"/>
              </w:rPr>
              <w:t>Sample 5</w:t>
            </w:r>
          </w:p>
        </w:tc>
      </w:tr>
      <w:tr w:rsidR="00681515" w:rsidRPr="00681515" w14:paraId="721D6C0F" w14:textId="77777777" w:rsidTr="00664600">
        <w:tc>
          <w:tcPr>
            <w:tcW w:w="1134" w:type="dxa"/>
            <w:shd w:val="clear" w:color="auto" w:fill="FFFFFF"/>
          </w:tcPr>
          <w:p w14:paraId="34EE0E3D" w14:textId="77777777" w:rsidR="00681515" w:rsidRPr="00681515" w:rsidRDefault="00681515" w:rsidP="00681515">
            <w:r w:rsidRPr="00681515">
              <w:t>H</w:t>
            </w:r>
            <w:r w:rsidRPr="00681515">
              <w:rPr>
                <w:vertAlign w:val="subscript"/>
              </w:rPr>
              <w:t>2</w:t>
            </w:r>
            <w:r w:rsidRPr="00681515">
              <w:t>O</w:t>
            </w:r>
          </w:p>
          <w:p w14:paraId="2BA4FFB2" w14:textId="77777777" w:rsidR="00681515" w:rsidRPr="00681515" w:rsidRDefault="00681515" w:rsidP="00681515">
            <w:r w:rsidRPr="00681515">
              <w:t>C</w:t>
            </w:r>
          </w:p>
          <w:p w14:paraId="73F218B7" w14:textId="77777777" w:rsidR="00681515" w:rsidRPr="00681515" w:rsidRDefault="00681515" w:rsidP="00681515">
            <w:r w:rsidRPr="00681515">
              <w:t>H</w:t>
            </w:r>
          </w:p>
          <w:p w14:paraId="29AB2881" w14:textId="77777777" w:rsidR="00681515" w:rsidRPr="00681515" w:rsidRDefault="00681515" w:rsidP="00681515">
            <w:r w:rsidRPr="00681515">
              <w:t>N</w:t>
            </w:r>
          </w:p>
          <w:p w14:paraId="263DB8CD" w14:textId="77777777" w:rsidR="00681515" w:rsidRPr="00681515" w:rsidRDefault="00681515" w:rsidP="00681515">
            <w:r w:rsidRPr="00681515">
              <w:t>S</w:t>
            </w:r>
          </w:p>
          <w:p w14:paraId="28E76571" w14:textId="77777777" w:rsidR="00681515" w:rsidRPr="00681515" w:rsidRDefault="00681515" w:rsidP="00681515">
            <w:r w:rsidRPr="00681515">
              <w:t>O (by diff.)</w:t>
            </w:r>
          </w:p>
          <w:p w14:paraId="502B7924" w14:textId="77777777" w:rsidR="00681515" w:rsidRPr="00681515" w:rsidRDefault="00681515" w:rsidP="00681515">
            <w:r w:rsidRPr="00681515">
              <w:t>Ash</w:t>
            </w:r>
          </w:p>
          <w:p w14:paraId="2ED332CB" w14:textId="77777777" w:rsidR="00681515" w:rsidRPr="00681515" w:rsidRDefault="00681515" w:rsidP="00681515">
            <w:r w:rsidRPr="00681515">
              <w:t>Total</w:t>
            </w:r>
          </w:p>
          <w:p w14:paraId="775071FB" w14:textId="77777777" w:rsidR="00681515" w:rsidRPr="00681515" w:rsidRDefault="00681515" w:rsidP="00681515">
            <w:r w:rsidRPr="00681515">
              <w:t>CV</w:t>
            </w:r>
          </w:p>
        </w:tc>
        <w:tc>
          <w:tcPr>
            <w:tcW w:w="1134" w:type="dxa"/>
            <w:shd w:val="clear" w:color="auto" w:fill="FFFFFF" w:themeFill="background1"/>
          </w:tcPr>
          <w:p w14:paraId="64319B06" w14:textId="55E2B974" w:rsidR="00681515" w:rsidRPr="00681515" w:rsidRDefault="00681515" w:rsidP="00681515">
            <w:r w:rsidRPr="00681515">
              <w:t>8.</w:t>
            </w:r>
            <w:r w:rsidR="00582519">
              <w:t>12</w:t>
            </w:r>
          </w:p>
          <w:p w14:paraId="5E15244C" w14:textId="77777777" w:rsidR="00681515" w:rsidRPr="00681515" w:rsidRDefault="00681515" w:rsidP="00681515">
            <w:r w:rsidRPr="00681515">
              <w:t>49.45</w:t>
            </w:r>
          </w:p>
          <w:p w14:paraId="6C1E5FC2" w14:textId="6EA0068D" w:rsidR="00681515" w:rsidRPr="00681515" w:rsidRDefault="00664600" w:rsidP="00681515">
            <w:r>
              <w:t>3.05</w:t>
            </w:r>
          </w:p>
          <w:p w14:paraId="644C81BF" w14:textId="77777777" w:rsidR="00681515" w:rsidRPr="00681515" w:rsidRDefault="00681515" w:rsidP="00681515">
            <w:r w:rsidRPr="00681515">
              <w:t>1.30</w:t>
            </w:r>
          </w:p>
          <w:p w14:paraId="661A685B" w14:textId="77777777" w:rsidR="00681515" w:rsidRPr="00681515" w:rsidRDefault="00681515" w:rsidP="00681515">
            <w:r w:rsidRPr="00681515">
              <w:t>0.51</w:t>
            </w:r>
          </w:p>
          <w:p w14:paraId="1E226173" w14:textId="7CE525A7" w:rsidR="00681515" w:rsidRPr="00681515" w:rsidRDefault="00F5141E" w:rsidP="00681515">
            <w:r>
              <w:t>7.68</w:t>
            </w:r>
          </w:p>
          <w:p w14:paraId="77E0916E" w14:textId="3032E8CD" w:rsidR="00664600" w:rsidRDefault="00582519" w:rsidP="00681515">
            <w:r>
              <w:t>29.89</w:t>
            </w:r>
          </w:p>
          <w:p w14:paraId="50000BCD" w14:textId="684D486E" w:rsidR="00681515" w:rsidRPr="00681515" w:rsidRDefault="00681515" w:rsidP="00681515">
            <w:pPr>
              <w:rPr>
                <w:b/>
                <w:bCs/>
              </w:rPr>
            </w:pPr>
            <w:r w:rsidRPr="00681515">
              <w:rPr>
                <w:b/>
                <w:bCs/>
              </w:rPr>
              <w:t>100.00</w:t>
            </w:r>
          </w:p>
          <w:p w14:paraId="2CD1A159" w14:textId="77777777" w:rsidR="00681515" w:rsidRPr="00681515" w:rsidRDefault="00681515" w:rsidP="00681515">
            <w:r w:rsidRPr="00681515">
              <w:t>19.96</w:t>
            </w:r>
          </w:p>
        </w:tc>
        <w:tc>
          <w:tcPr>
            <w:tcW w:w="1134" w:type="dxa"/>
            <w:shd w:val="clear" w:color="auto" w:fill="FFFFFF" w:themeFill="background1"/>
          </w:tcPr>
          <w:p w14:paraId="0127A010" w14:textId="77777777" w:rsidR="00681515" w:rsidRPr="00681515" w:rsidRDefault="00681515" w:rsidP="00681515">
            <w:r w:rsidRPr="00681515">
              <w:t>8.00</w:t>
            </w:r>
          </w:p>
          <w:p w14:paraId="68343949" w14:textId="77777777" w:rsidR="00681515" w:rsidRPr="00681515" w:rsidRDefault="00681515" w:rsidP="00681515">
            <w:r w:rsidRPr="00681515">
              <w:t>49.60</w:t>
            </w:r>
          </w:p>
          <w:p w14:paraId="36869D8F" w14:textId="77777777" w:rsidR="00681515" w:rsidRPr="00681515" w:rsidRDefault="00681515" w:rsidP="00681515">
            <w:r w:rsidRPr="00664600">
              <w:t>3.10</w:t>
            </w:r>
          </w:p>
          <w:p w14:paraId="65573570" w14:textId="77777777" w:rsidR="00681515" w:rsidRPr="00681515" w:rsidRDefault="00681515" w:rsidP="00681515">
            <w:r w:rsidRPr="00681515">
              <w:t>1.33</w:t>
            </w:r>
          </w:p>
          <w:p w14:paraId="5DA9F642" w14:textId="77777777" w:rsidR="00681515" w:rsidRPr="00681515" w:rsidRDefault="00681515" w:rsidP="00681515">
            <w:r w:rsidRPr="00681515">
              <w:t>0.78</w:t>
            </w:r>
          </w:p>
          <w:p w14:paraId="5C592362" w14:textId="730AE0B0" w:rsidR="00681515" w:rsidRPr="00681515" w:rsidRDefault="00681515" w:rsidP="00681515">
            <w:r w:rsidRPr="00681515">
              <w:t>6.</w:t>
            </w:r>
            <w:r w:rsidR="00F5141E">
              <w:t>96</w:t>
            </w:r>
          </w:p>
          <w:p w14:paraId="62AF4589" w14:textId="35033C36" w:rsidR="00681515" w:rsidRPr="00681515" w:rsidRDefault="00582519" w:rsidP="00681515">
            <w:r>
              <w:t>30.23</w:t>
            </w:r>
          </w:p>
          <w:p w14:paraId="790B77ED" w14:textId="77777777" w:rsidR="00681515" w:rsidRPr="00681515" w:rsidRDefault="00681515" w:rsidP="00681515">
            <w:pPr>
              <w:rPr>
                <w:b/>
                <w:bCs/>
              </w:rPr>
            </w:pPr>
            <w:r w:rsidRPr="00681515">
              <w:rPr>
                <w:b/>
                <w:bCs/>
              </w:rPr>
              <w:t>100.00</w:t>
            </w:r>
          </w:p>
          <w:p w14:paraId="4804B329" w14:textId="77777777" w:rsidR="00681515" w:rsidRPr="00681515" w:rsidRDefault="00681515" w:rsidP="00681515">
            <w:r w:rsidRPr="00681515">
              <w:t>20.03</w:t>
            </w:r>
          </w:p>
        </w:tc>
        <w:tc>
          <w:tcPr>
            <w:tcW w:w="1134" w:type="dxa"/>
            <w:shd w:val="clear" w:color="auto" w:fill="FFFFFF" w:themeFill="background1"/>
          </w:tcPr>
          <w:p w14:paraId="775A13AB" w14:textId="77777777" w:rsidR="00681515" w:rsidRPr="00681515" w:rsidRDefault="00681515" w:rsidP="00681515">
            <w:r w:rsidRPr="00681515">
              <w:t>8.10</w:t>
            </w:r>
          </w:p>
          <w:p w14:paraId="55B176EA" w14:textId="77777777" w:rsidR="00681515" w:rsidRPr="00681515" w:rsidRDefault="00681515" w:rsidP="00681515">
            <w:r w:rsidRPr="00681515">
              <w:t>49.78</w:t>
            </w:r>
          </w:p>
          <w:p w14:paraId="142BC926" w14:textId="77777777" w:rsidR="00681515" w:rsidRPr="00681515" w:rsidRDefault="00681515" w:rsidP="00681515">
            <w:r w:rsidRPr="00681515">
              <w:t>3.02</w:t>
            </w:r>
          </w:p>
          <w:p w14:paraId="6ED07DFC" w14:textId="77777777" w:rsidR="00681515" w:rsidRPr="00681515" w:rsidRDefault="00681515" w:rsidP="00681515">
            <w:r w:rsidRPr="00681515">
              <w:t>1.34</w:t>
            </w:r>
          </w:p>
          <w:p w14:paraId="4F7E1BD1" w14:textId="4B65B063" w:rsidR="00681515" w:rsidRPr="00681515" w:rsidRDefault="00685042" w:rsidP="00681515">
            <w:r>
              <w:t>1</w:t>
            </w:r>
            <w:r w:rsidR="00681515" w:rsidRPr="00681515">
              <w:t>.</w:t>
            </w:r>
            <w:r>
              <w:t>02</w:t>
            </w:r>
          </w:p>
          <w:p w14:paraId="33FDF0BA" w14:textId="328B8CAF" w:rsidR="00681515" w:rsidRPr="00681515" w:rsidRDefault="00681515" w:rsidP="00681515">
            <w:r w:rsidRPr="00681515">
              <w:t>6.</w:t>
            </w:r>
            <w:r w:rsidR="00F5141E">
              <w:t>54</w:t>
            </w:r>
          </w:p>
          <w:p w14:paraId="3008D435" w14:textId="77777777" w:rsidR="00681515" w:rsidRPr="00681515" w:rsidRDefault="00681515" w:rsidP="00681515">
            <w:r w:rsidRPr="00681515">
              <w:t>30.20</w:t>
            </w:r>
          </w:p>
          <w:p w14:paraId="5DC1B76A" w14:textId="77777777" w:rsidR="00681515" w:rsidRPr="00681515" w:rsidRDefault="00681515" w:rsidP="00681515">
            <w:r w:rsidRPr="00681515">
              <w:rPr>
                <w:b/>
                <w:bCs/>
              </w:rPr>
              <w:t>100.00</w:t>
            </w:r>
            <w:r w:rsidRPr="00681515">
              <w:br/>
              <w:t>20.11</w:t>
            </w:r>
          </w:p>
        </w:tc>
        <w:tc>
          <w:tcPr>
            <w:tcW w:w="1134" w:type="dxa"/>
            <w:shd w:val="clear" w:color="auto" w:fill="FFFFFF" w:themeFill="background1"/>
          </w:tcPr>
          <w:p w14:paraId="6BA64641" w14:textId="4C9BE6EE" w:rsidR="00681515" w:rsidRPr="00681515" w:rsidRDefault="00681515" w:rsidP="00681515">
            <w:pPr>
              <w:ind w:right="-1"/>
              <w:rPr>
                <w:rFonts w:cs="Arial"/>
                <w:szCs w:val="18"/>
              </w:rPr>
            </w:pPr>
            <w:r w:rsidRPr="00681515">
              <w:rPr>
                <w:rFonts w:cs="Arial"/>
                <w:szCs w:val="18"/>
              </w:rPr>
              <w:t>8.0</w:t>
            </w:r>
            <w:r w:rsidR="00582519">
              <w:rPr>
                <w:rFonts w:cs="Arial"/>
                <w:szCs w:val="18"/>
              </w:rPr>
              <w:t>9</w:t>
            </w:r>
          </w:p>
          <w:p w14:paraId="64E22944" w14:textId="77777777" w:rsidR="00681515" w:rsidRPr="00681515" w:rsidRDefault="00681515" w:rsidP="00681515">
            <w:pPr>
              <w:ind w:right="-1"/>
              <w:rPr>
                <w:rFonts w:cs="Arial"/>
                <w:szCs w:val="18"/>
              </w:rPr>
            </w:pPr>
            <w:r w:rsidRPr="00681515">
              <w:rPr>
                <w:rFonts w:cs="Arial"/>
                <w:szCs w:val="18"/>
              </w:rPr>
              <w:t>50.12</w:t>
            </w:r>
          </w:p>
          <w:p w14:paraId="53560712" w14:textId="77777777" w:rsidR="00681515" w:rsidRPr="00681515" w:rsidRDefault="00681515" w:rsidP="00681515">
            <w:pPr>
              <w:ind w:right="-1"/>
              <w:rPr>
                <w:rFonts w:cs="Arial"/>
                <w:szCs w:val="18"/>
              </w:rPr>
            </w:pPr>
            <w:r w:rsidRPr="00681515">
              <w:rPr>
                <w:rFonts w:cs="Arial"/>
                <w:szCs w:val="18"/>
              </w:rPr>
              <w:t>3.11</w:t>
            </w:r>
          </w:p>
          <w:p w14:paraId="265A1090" w14:textId="77777777" w:rsidR="00681515" w:rsidRPr="00681515" w:rsidRDefault="00681515" w:rsidP="00681515">
            <w:r w:rsidRPr="00681515">
              <w:t>1.35</w:t>
            </w:r>
          </w:p>
          <w:p w14:paraId="683A21AD" w14:textId="77777777" w:rsidR="00681515" w:rsidRPr="00681515" w:rsidRDefault="00681515" w:rsidP="00681515">
            <w:r w:rsidRPr="00681515">
              <w:t>1.54</w:t>
            </w:r>
          </w:p>
          <w:p w14:paraId="192AE0FD" w14:textId="54B76A34" w:rsidR="00681515" w:rsidRPr="00681515" w:rsidRDefault="00681515" w:rsidP="00681515">
            <w:r w:rsidRPr="00681515">
              <w:t>6.</w:t>
            </w:r>
            <w:r w:rsidR="00F5141E">
              <w:t>53</w:t>
            </w:r>
          </w:p>
          <w:p w14:paraId="1D05F60C" w14:textId="77777777" w:rsidR="00681515" w:rsidRPr="00681515" w:rsidRDefault="00681515" w:rsidP="00681515">
            <w:r w:rsidRPr="00681515">
              <w:t>29.26</w:t>
            </w:r>
          </w:p>
          <w:p w14:paraId="08BCDD50" w14:textId="77777777" w:rsidR="00681515" w:rsidRPr="00681515" w:rsidRDefault="00681515" w:rsidP="00681515">
            <w:pPr>
              <w:rPr>
                <w:b/>
                <w:bCs/>
              </w:rPr>
            </w:pPr>
            <w:r w:rsidRPr="00681515">
              <w:rPr>
                <w:b/>
                <w:bCs/>
              </w:rPr>
              <w:t>100.00</w:t>
            </w:r>
          </w:p>
          <w:p w14:paraId="50830D52" w14:textId="77777777" w:rsidR="00681515" w:rsidRPr="00681515" w:rsidRDefault="00681515" w:rsidP="00681515">
            <w:r w:rsidRPr="00681515">
              <w:t>20.07</w:t>
            </w:r>
          </w:p>
        </w:tc>
        <w:tc>
          <w:tcPr>
            <w:tcW w:w="1134" w:type="dxa"/>
            <w:shd w:val="clear" w:color="auto" w:fill="FFFFFF" w:themeFill="background1"/>
          </w:tcPr>
          <w:p w14:paraId="4EA2D2A9" w14:textId="77777777" w:rsidR="00681515" w:rsidRPr="00681515" w:rsidRDefault="00681515" w:rsidP="00681515">
            <w:pPr>
              <w:ind w:right="-1"/>
              <w:rPr>
                <w:rFonts w:cs="Arial"/>
                <w:szCs w:val="18"/>
              </w:rPr>
            </w:pPr>
            <w:r w:rsidRPr="00681515">
              <w:rPr>
                <w:rFonts w:cs="Arial"/>
                <w:szCs w:val="18"/>
              </w:rPr>
              <w:t>8.15</w:t>
            </w:r>
          </w:p>
          <w:p w14:paraId="57788F5C" w14:textId="77777777" w:rsidR="00681515" w:rsidRPr="00681515" w:rsidRDefault="00681515" w:rsidP="00681515">
            <w:pPr>
              <w:ind w:right="-1"/>
              <w:rPr>
                <w:rFonts w:cs="Arial"/>
                <w:szCs w:val="18"/>
              </w:rPr>
            </w:pPr>
            <w:r w:rsidRPr="00681515">
              <w:rPr>
                <w:rFonts w:cs="Arial"/>
                <w:szCs w:val="18"/>
              </w:rPr>
              <w:t>51.70</w:t>
            </w:r>
          </w:p>
          <w:p w14:paraId="4720A0D3" w14:textId="0EEB5FC5" w:rsidR="00681515" w:rsidRPr="00681515" w:rsidRDefault="0037571E" w:rsidP="00681515">
            <w:pPr>
              <w:ind w:right="-1"/>
              <w:rPr>
                <w:rFonts w:cs="Arial"/>
                <w:szCs w:val="18"/>
              </w:rPr>
            </w:pPr>
            <w:r>
              <w:rPr>
                <w:rFonts w:cs="Arial"/>
                <w:szCs w:val="18"/>
              </w:rPr>
              <w:t>3</w:t>
            </w:r>
            <w:r w:rsidR="00681515" w:rsidRPr="00681515">
              <w:rPr>
                <w:rFonts w:cs="Arial"/>
                <w:szCs w:val="18"/>
              </w:rPr>
              <w:t>.</w:t>
            </w:r>
            <w:r>
              <w:rPr>
                <w:rFonts w:cs="Arial"/>
                <w:szCs w:val="18"/>
              </w:rPr>
              <w:t>2</w:t>
            </w:r>
            <w:r w:rsidR="00681515" w:rsidRPr="00681515">
              <w:rPr>
                <w:rFonts w:cs="Arial"/>
                <w:szCs w:val="18"/>
              </w:rPr>
              <w:t>4</w:t>
            </w:r>
          </w:p>
          <w:p w14:paraId="49C6A7C7" w14:textId="77777777" w:rsidR="00681515" w:rsidRPr="00681515" w:rsidRDefault="00681515" w:rsidP="00681515">
            <w:r w:rsidRPr="00681515">
              <w:t>1.38</w:t>
            </w:r>
          </w:p>
          <w:p w14:paraId="651F5110" w14:textId="77777777" w:rsidR="00681515" w:rsidRPr="00681515" w:rsidRDefault="00681515" w:rsidP="00681515">
            <w:r w:rsidRPr="00681515">
              <w:t>2.03</w:t>
            </w:r>
          </w:p>
          <w:p w14:paraId="7D75AF7F" w14:textId="2B1B2860" w:rsidR="00681515" w:rsidRPr="00681515" w:rsidRDefault="0037571E" w:rsidP="00681515">
            <w:r>
              <w:t>3.45</w:t>
            </w:r>
          </w:p>
          <w:p w14:paraId="26DA8F6D" w14:textId="77777777" w:rsidR="00681515" w:rsidRPr="00681515" w:rsidRDefault="00681515" w:rsidP="00681515">
            <w:r w:rsidRPr="00681515">
              <w:t>30.46</w:t>
            </w:r>
          </w:p>
          <w:p w14:paraId="29BD1ED8" w14:textId="77777777" w:rsidR="00681515" w:rsidRPr="00681515" w:rsidRDefault="00681515" w:rsidP="00681515">
            <w:pPr>
              <w:rPr>
                <w:b/>
                <w:bCs/>
              </w:rPr>
            </w:pPr>
            <w:r w:rsidRPr="00681515">
              <w:rPr>
                <w:b/>
                <w:bCs/>
              </w:rPr>
              <w:t>100.00</w:t>
            </w:r>
          </w:p>
          <w:p w14:paraId="5754FA91" w14:textId="77777777" w:rsidR="00681515" w:rsidRPr="00681515" w:rsidRDefault="00681515" w:rsidP="00681515">
            <w:r w:rsidRPr="00681515">
              <w:t>20.05</w:t>
            </w:r>
          </w:p>
        </w:tc>
      </w:tr>
    </w:tbl>
    <w:p w14:paraId="6DC75E0D" w14:textId="77777777" w:rsidR="00681515" w:rsidRPr="00681515" w:rsidRDefault="00681515" w:rsidP="00681515">
      <w:pPr>
        <w:rPr>
          <w:highlight w:val="yellow"/>
          <w:lang w:val="en-US"/>
        </w:rPr>
      </w:pPr>
    </w:p>
    <w:p w14:paraId="14701A6D" w14:textId="77777777" w:rsidR="00681515" w:rsidRPr="00681515" w:rsidRDefault="00681515" w:rsidP="00681515">
      <w:pPr>
        <w:rPr>
          <w:highlight w:val="yellow"/>
          <w:lang w:val="en-US"/>
        </w:rPr>
      </w:pPr>
    </w:p>
    <w:p w14:paraId="2BB28B42" w14:textId="77777777" w:rsidR="00681515" w:rsidRPr="00681515" w:rsidRDefault="00681515" w:rsidP="00681515">
      <w:pPr>
        <w:rPr>
          <w:highlight w:val="yellow"/>
          <w:lang w:val="en-US"/>
        </w:rPr>
      </w:pPr>
    </w:p>
    <w:p w14:paraId="7B953DA3" w14:textId="77777777" w:rsidR="00681515" w:rsidRPr="00681515" w:rsidRDefault="00681515" w:rsidP="00681515">
      <w:pPr>
        <w:rPr>
          <w:highlight w:val="yellow"/>
          <w:lang w:val="en-US"/>
        </w:rPr>
      </w:pPr>
    </w:p>
    <w:p w14:paraId="276A8E2D" w14:textId="77777777" w:rsidR="00681515" w:rsidRPr="00681515" w:rsidRDefault="00681515" w:rsidP="00681515">
      <w:pPr>
        <w:rPr>
          <w:highlight w:val="yellow"/>
          <w:lang w:val="en-US"/>
        </w:rPr>
      </w:pPr>
    </w:p>
    <w:p w14:paraId="3DDD26D8" w14:textId="77777777" w:rsidR="00681515" w:rsidRPr="00681515" w:rsidRDefault="00681515" w:rsidP="00681515">
      <w:pPr>
        <w:rPr>
          <w:highlight w:val="yellow"/>
          <w:lang w:val="en-US"/>
        </w:rPr>
      </w:pPr>
    </w:p>
    <w:p w14:paraId="682805C8" w14:textId="77777777" w:rsidR="00681515" w:rsidRPr="00681515" w:rsidRDefault="00681515" w:rsidP="00681515">
      <w:pPr>
        <w:rPr>
          <w:highlight w:val="yellow"/>
          <w:lang w:val="en-US"/>
        </w:rPr>
      </w:pPr>
    </w:p>
    <w:p w14:paraId="6272B746" w14:textId="77777777" w:rsidR="00681515" w:rsidRPr="00681515" w:rsidRDefault="00681515" w:rsidP="00681515">
      <w:pPr>
        <w:rPr>
          <w:highlight w:val="yellow"/>
          <w:lang w:val="en-US"/>
        </w:rPr>
      </w:pPr>
    </w:p>
    <w:p w14:paraId="65EDEEAA" w14:textId="77777777" w:rsidR="00681515" w:rsidRPr="00681515" w:rsidRDefault="00681515" w:rsidP="00681515">
      <w:pPr>
        <w:rPr>
          <w:highlight w:val="yellow"/>
          <w:lang w:val="en-US"/>
        </w:rPr>
      </w:pPr>
    </w:p>
    <w:p w14:paraId="73E9E1B9" w14:textId="77777777" w:rsidR="00681515" w:rsidRPr="00681515" w:rsidRDefault="00681515" w:rsidP="00681515">
      <w:pPr>
        <w:rPr>
          <w:highlight w:val="yellow"/>
          <w:lang w:val="en-US"/>
        </w:rPr>
      </w:pPr>
    </w:p>
    <w:p w14:paraId="6E855A9C" w14:textId="77777777" w:rsidR="00681515" w:rsidRDefault="00681515" w:rsidP="00681515">
      <w:pPr>
        <w:rPr>
          <w:lang w:val="en-US"/>
        </w:rPr>
      </w:pPr>
    </w:p>
    <w:p w14:paraId="0CF1FBCD" w14:textId="77777777" w:rsidR="00681515" w:rsidRPr="008C67DA" w:rsidRDefault="00681515" w:rsidP="00681515">
      <w:pPr>
        <w:rPr>
          <w:b/>
          <w:bCs/>
          <w:lang w:val="en-US"/>
        </w:rPr>
      </w:pPr>
      <w:r w:rsidRPr="008C67DA">
        <w:rPr>
          <w:b/>
          <w:bCs/>
          <w:lang w:val="en-US"/>
        </w:rPr>
        <w:t>3.2 Ash oxides analysis</w:t>
      </w:r>
    </w:p>
    <w:p w14:paraId="3A5594F4" w14:textId="15DCF725" w:rsidR="00681515" w:rsidRPr="00681515" w:rsidRDefault="00DB7700" w:rsidP="00681515">
      <w:pPr>
        <w:rPr>
          <w:lang w:val="en-US"/>
        </w:rPr>
      </w:pPr>
      <w:r w:rsidRPr="00DB7700">
        <w:rPr>
          <w:lang w:val="en-US"/>
        </w:rPr>
        <w:lastRenderedPageBreak/>
        <w:t xml:space="preserve">Coal ash residue from burning coal contains silicon, </w:t>
      </w:r>
      <w:proofErr w:type="spellStart"/>
      <w:r w:rsidRPr="00DB7700">
        <w:rPr>
          <w:lang w:val="en-US"/>
        </w:rPr>
        <w:t>alumin</w:t>
      </w:r>
      <w:r w:rsidR="00F768C5">
        <w:rPr>
          <w:lang w:val="en-US"/>
        </w:rPr>
        <w:t>i</w:t>
      </w:r>
      <w:r w:rsidRPr="00DB7700">
        <w:rPr>
          <w:lang w:val="en-US"/>
        </w:rPr>
        <w:t>um</w:t>
      </w:r>
      <w:proofErr w:type="spellEnd"/>
      <w:r w:rsidRPr="00DB7700">
        <w:rPr>
          <w:lang w:val="en-US"/>
        </w:rPr>
        <w:t xml:space="preserve">, iron, calcium, magnesium, titanium, manganese, sodium, and potassium oxides partly mixed as silicates, sulphates, and phosphates. Ash composition helps anticipate ash and slag </w:t>
      </w:r>
      <w:proofErr w:type="spellStart"/>
      <w:r w:rsidRPr="00DB7700">
        <w:rPr>
          <w:lang w:val="en-US"/>
        </w:rPr>
        <w:t>behavio</w:t>
      </w:r>
      <w:r w:rsidR="00F768C5">
        <w:rPr>
          <w:lang w:val="en-US"/>
        </w:rPr>
        <w:t>u</w:t>
      </w:r>
      <w:r w:rsidRPr="00DB7700">
        <w:rPr>
          <w:lang w:val="en-US"/>
        </w:rPr>
        <w:t>r</w:t>
      </w:r>
      <w:proofErr w:type="spellEnd"/>
      <w:r w:rsidRPr="00DB7700">
        <w:rPr>
          <w:lang w:val="en-US"/>
        </w:rPr>
        <w:t xml:space="preserve"> during the combustion process and evaluate coal combustion ash use. The results are presented as oxide basis of which the sum approximates to 100%. Table 3 shows the five coal ash </w:t>
      </w:r>
      <w:proofErr w:type="gramStart"/>
      <w:r w:rsidRPr="00DB7700">
        <w:rPr>
          <w:lang w:val="en-US"/>
        </w:rPr>
        <w:t>samples</w:t>
      </w:r>
      <w:proofErr w:type="gramEnd"/>
      <w:r w:rsidRPr="00DB7700">
        <w:rPr>
          <w:lang w:val="en-US"/>
        </w:rPr>
        <w:t xml:space="preserve"> major minerals. Table 3 shows that silica (SiO</w:t>
      </w:r>
      <w:r w:rsidRPr="00DB7700">
        <w:rPr>
          <w:vertAlign w:val="subscript"/>
          <w:lang w:val="en-US"/>
        </w:rPr>
        <w:t>2</w:t>
      </w:r>
      <w:r w:rsidRPr="00DB7700">
        <w:rPr>
          <w:lang w:val="en-US"/>
        </w:rPr>
        <w:t>) and alumina (Al</w:t>
      </w:r>
      <w:r w:rsidRPr="00DB7700">
        <w:rPr>
          <w:vertAlign w:val="subscript"/>
          <w:lang w:val="en-US"/>
        </w:rPr>
        <w:t>2</w:t>
      </w:r>
      <w:r w:rsidRPr="00DB7700">
        <w:rPr>
          <w:lang w:val="en-US"/>
        </w:rPr>
        <w:t>O</w:t>
      </w:r>
      <w:r w:rsidRPr="00DB7700">
        <w:rPr>
          <w:vertAlign w:val="subscript"/>
          <w:lang w:val="en-US"/>
        </w:rPr>
        <w:t>3</w:t>
      </w:r>
      <w:r w:rsidRPr="00DB7700">
        <w:rPr>
          <w:lang w:val="en-US"/>
        </w:rPr>
        <w:t>) dominate at 58 and 22 wt.%, respectively. P</w:t>
      </w:r>
      <w:r w:rsidRPr="00DB7700">
        <w:rPr>
          <w:vertAlign w:val="subscript"/>
          <w:lang w:val="en-US"/>
        </w:rPr>
        <w:t>2</w:t>
      </w:r>
      <w:r w:rsidRPr="00DB7700">
        <w:rPr>
          <w:lang w:val="en-US"/>
        </w:rPr>
        <w:t>O</w:t>
      </w:r>
      <w:r w:rsidRPr="00DB7700">
        <w:rPr>
          <w:vertAlign w:val="subscript"/>
          <w:lang w:val="en-US"/>
        </w:rPr>
        <w:t>5</w:t>
      </w:r>
      <w:r w:rsidRPr="00DB7700">
        <w:rPr>
          <w:lang w:val="en-US"/>
        </w:rPr>
        <w:t>, Na</w:t>
      </w:r>
      <w:r w:rsidRPr="00DB7700">
        <w:rPr>
          <w:vertAlign w:val="subscript"/>
          <w:lang w:val="en-US"/>
        </w:rPr>
        <w:t>2</w:t>
      </w:r>
      <w:r w:rsidRPr="00DB7700">
        <w:rPr>
          <w:lang w:val="en-US"/>
        </w:rPr>
        <w:t>O, and K</w:t>
      </w:r>
      <w:r w:rsidRPr="00DB7700">
        <w:rPr>
          <w:vertAlign w:val="subscript"/>
          <w:lang w:val="en-US"/>
        </w:rPr>
        <w:t>2</w:t>
      </w:r>
      <w:r w:rsidRPr="00DB7700">
        <w:rPr>
          <w:lang w:val="en-US"/>
        </w:rPr>
        <w:t>O appear in minor proportions of 0.42, 0.60, and 0.79 wt.%, respectively. Makgato and Chirwa (2017) found comparable results.</w:t>
      </w:r>
    </w:p>
    <w:p w14:paraId="6D570A20" w14:textId="27EA2E17" w:rsidR="00681515" w:rsidRDefault="00C8776B" w:rsidP="00681515">
      <w:pPr>
        <w:rPr>
          <w:lang w:val="en-US"/>
        </w:rPr>
      </w:pPr>
      <w:r w:rsidRPr="00C8776B">
        <w:rPr>
          <w:lang w:val="en-US"/>
        </w:rPr>
        <w:t xml:space="preserve">Table 3: </w:t>
      </w:r>
      <w:r w:rsidR="00996D38" w:rsidRPr="00C8776B">
        <w:rPr>
          <w:lang w:val="en-US"/>
        </w:rPr>
        <w:t xml:space="preserve">Ash </w:t>
      </w:r>
      <w:r w:rsidR="00996D38">
        <w:rPr>
          <w:lang w:val="en-US"/>
        </w:rPr>
        <w:t>oxides</w:t>
      </w:r>
      <w:r w:rsidR="00805DB7">
        <w:rPr>
          <w:lang w:val="en-US"/>
        </w:rPr>
        <w:t xml:space="preserve"> </w:t>
      </w:r>
      <w:r w:rsidRPr="00C8776B">
        <w:rPr>
          <w:lang w:val="en-US"/>
        </w:rPr>
        <w:t xml:space="preserve">mineral analysis (wt.%, </w:t>
      </w:r>
      <w:proofErr w:type="spellStart"/>
      <w:r w:rsidRPr="00C8776B">
        <w:rPr>
          <w:lang w:val="en-US"/>
        </w:rPr>
        <w:t>adb</w:t>
      </w:r>
      <w:proofErr w:type="spellEnd"/>
      <w:r w:rsidRPr="00C8776B">
        <w:rPr>
          <w:lang w:val="en-US"/>
        </w:rPr>
        <w:t>)</w:t>
      </w:r>
    </w:p>
    <w:p w14:paraId="5BEF8379" w14:textId="77777777" w:rsidR="00BC4E21" w:rsidRPr="00681515" w:rsidRDefault="00BC4E21" w:rsidP="00681515">
      <w:pPr>
        <w:rPr>
          <w:highlight w:val="yellow"/>
          <w:lang w:val="en-US"/>
        </w:rPr>
      </w:pPr>
    </w:p>
    <w:tbl>
      <w:tblPr>
        <w:tblpPr w:leftFromText="180" w:rightFromText="180" w:vertAnchor="text" w:horzAnchor="margin" w:tblpY="-27"/>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tblGrid>
      <w:tr w:rsidR="00681515" w:rsidRPr="00681515" w14:paraId="19071195" w14:textId="77777777" w:rsidTr="00BE769C">
        <w:tc>
          <w:tcPr>
            <w:tcW w:w="1134" w:type="dxa"/>
            <w:tcBorders>
              <w:top w:val="single" w:sz="12" w:space="0" w:color="008000"/>
              <w:bottom w:val="single" w:sz="6" w:space="0" w:color="008000"/>
            </w:tcBorders>
            <w:shd w:val="clear" w:color="auto" w:fill="FFFFFF"/>
          </w:tcPr>
          <w:p w14:paraId="3F2C54F4" w14:textId="77777777" w:rsidR="00681515" w:rsidRPr="00681515" w:rsidRDefault="00681515" w:rsidP="00681515">
            <w:r w:rsidRPr="00681515">
              <w:t>Properties</w:t>
            </w:r>
          </w:p>
        </w:tc>
        <w:tc>
          <w:tcPr>
            <w:tcW w:w="1134" w:type="dxa"/>
            <w:tcBorders>
              <w:top w:val="single" w:sz="12" w:space="0" w:color="008000"/>
              <w:bottom w:val="single" w:sz="6" w:space="0" w:color="008000"/>
            </w:tcBorders>
            <w:shd w:val="clear" w:color="auto" w:fill="FFFFFF"/>
          </w:tcPr>
          <w:p w14:paraId="22C3DAB3" w14:textId="77777777" w:rsidR="00681515" w:rsidRPr="00FD4861" w:rsidRDefault="00681515" w:rsidP="00681515">
            <w:r w:rsidRPr="00FD4861">
              <w:t>Sample 1</w:t>
            </w:r>
          </w:p>
        </w:tc>
        <w:tc>
          <w:tcPr>
            <w:tcW w:w="1134" w:type="dxa"/>
            <w:tcBorders>
              <w:top w:val="single" w:sz="12" w:space="0" w:color="008000"/>
              <w:bottom w:val="single" w:sz="6" w:space="0" w:color="008000"/>
            </w:tcBorders>
            <w:shd w:val="clear" w:color="auto" w:fill="FFFFFF"/>
          </w:tcPr>
          <w:p w14:paraId="4EA9D87F" w14:textId="77777777" w:rsidR="00681515" w:rsidRPr="00681515" w:rsidRDefault="00681515" w:rsidP="00681515">
            <w:r w:rsidRPr="00681515">
              <w:t>Sample 2</w:t>
            </w:r>
          </w:p>
        </w:tc>
        <w:tc>
          <w:tcPr>
            <w:tcW w:w="1134" w:type="dxa"/>
            <w:tcBorders>
              <w:top w:val="single" w:sz="12" w:space="0" w:color="008000"/>
              <w:bottom w:val="single" w:sz="6" w:space="0" w:color="008000"/>
            </w:tcBorders>
            <w:shd w:val="clear" w:color="auto" w:fill="FFFFFF"/>
          </w:tcPr>
          <w:p w14:paraId="64E36750" w14:textId="77777777" w:rsidR="00681515" w:rsidRPr="00681515" w:rsidRDefault="00681515" w:rsidP="00681515">
            <w:r w:rsidRPr="00681515">
              <w:t>Sample 3</w:t>
            </w:r>
          </w:p>
        </w:tc>
        <w:tc>
          <w:tcPr>
            <w:tcW w:w="1134" w:type="dxa"/>
            <w:tcBorders>
              <w:top w:val="single" w:sz="12" w:space="0" w:color="008000"/>
              <w:bottom w:val="single" w:sz="6" w:space="0" w:color="008000"/>
            </w:tcBorders>
            <w:shd w:val="clear" w:color="auto" w:fill="FFFFFF"/>
          </w:tcPr>
          <w:p w14:paraId="02FF467A" w14:textId="77777777" w:rsidR="00681515" w:rsidRPr="00681515" w:rsidRDefault="00681515" w:rsidP="00681515">
            <w:pPr>
              <w:ind w:right="-1"/>
              <w:rPr>
                <w:rFonts w:cs="Arial"/>
                <w:szCs w:val="18"/>
              </w:rPr>
            </w:pPr>
            <w:r w:rsidRPr="00681515">
              <w:rPr>
                <w:rFonts w:cs="Arial"/>
                <w:szCs w:val="18"/>
              </w:rPr>
              <w:t xml:space="preserve">Sample 4 </w:t>
            </w:r>
          </w:p>
        </w:tc>
        <w:tc>
          <w:tcPr>
            <w:tcW w:w="1134" w:type="dxa"/>
            <w:tcBorders>
              <w:top w:val="single" w:sz="12" w:space="0" w:color="008000"/>
              <w:bottom w:val="single" w:sz="6" w:space="0" w:color="008000"/>
            </w:tcBorders>
            <w:shd w:val="clear" w:color="auto" w:fill="FFFFFF"/>
          </w:tcPr>
          <w:p w14:paraId="163F64B4" w14:textId="77777777" w:rsidR="00681515" w:rsidRPr="00681515" w:rsidRDefault="00681515" w:rsidP="00681515">
            <w:pPr>
              <w:ind w:right="-1"/>
              <w:rPr>
                <w:rFonts w:cs="Arial"/>
                <w:szCs w:val="18"/>
              </w:rPr>
            </w:pPr>
            <w:r w:rsidRPr="00681515">
              <w:rPr>
                <w:rFonts w:cs="Arial"/>
                <w:szCs w:val="18"/>
              </w:rPr>
              <w:t>Sample 5</w:t>
            </w:r>
          </w:p>
        </w:tc>
      </w:tr>
      <w:tr w:rsidR="00681515" w:rsidRPr="00681515" w14:paraId="43E366B6" w14:textId="77777777" w:rsidTr="00BE769C">
        <w:tc>
          <w:tcPr>
            <w:tcW w:w="1134" w:type="dxa"/>
            <w:shd w:val="clear" w:color="auto" w:fill="FFFFFF"/>
          </w:tcPr>
          <w:p w14:paraId="3F3A307C" w14:textId="77777777" w:rsidR="00681515" w:rsidRPr="00681515" w:rsidRDefault="00681515" w:rsidP="00681515">
            <w:r w:rsidRPr="00681515">
              <w:t>SiO</w:t>
            </w:r>
            <w:r w:rsidRPr="00681515">
              <w:rPr>
                <w:vertAlign w:val="subscript"/>
              </w:rPr>
              <w:t>2</w:t>
            </w:r>
          </w:p>
          <w:p w14:paraId="3662D718" w14:textId="77777777" w:rsidR="00681515" w:rsidRPr="00681515" w:rsidRDefault="00681515" w:rsidP="00681515">
            <w:r w:rsidRPr="00681515">
              <w:t>Al2O</w:t>
            </w:r>
            <w:r w:rsidRPr="00681515">
              <w:rPr>
                <w:vertAlign w:val="subscript"/>
              </w:rPr>
              <w:t>3</w:t>
            </w:r>
          </w:p>
          <w:p w14:paraId="08E28997" w14:textId="77777777" w:rsidR="00681515" w:rsidRPr="00681515" w:rsidRDefault="00681515" w:rsidP="00681515">
            <w:r w:rsidRPr="00681515">
              <w:t>Fe2O</w:t>
            </w:r>
            <w:r w:rsidRPr="00681515">
              <w:rPr>
                <w:vertAlign w:val="subscript"/>
              </w:rPr>
              <w:t>3</w:t>
            </w:r>
          </w:p>
          <w:p w14:paraId="75C51F79" w14:textId="77777777" w:rsidR="00681515" w:rsidRPr="00681515" w:rsidRDefault="00681515" w:rsidP="00681515">
            <w:r w:rsidRPr="00681515">
              <w:t>TiO</w:t>
            </w:r>
            <w:r w:rsidRPr="00681515">
              <w:rPr>
                <w:vertAlign w:val="subscript"/>
              </w:rPr>
              <w:t>2</w:t>
            </w:r>
          </w:p>
          <w:p w14:paraId="265558F3" w14:textId="77777777" w:rsidR="00681515" w:rsidRPr="00681515" w:rsidRDefault="00681515" w:rsidP="00681515">
            <w:r w:rsidRPr="00681515">
              <w:t>P</w:t>
            </w:r>
            <w:r w:rsidRPr="00681515">
              <w:rPr>
                <w:vertAlign w:val="subscript"/>
              </w:rPr>
              <w:t>2</w:t>
            </w:r>
            <w:r w:rsidRPr="00681515">
              <w:t>O</w:t>
            </w:r>
            <w:r w:rsidRPr="00681515">
              <w:rPr>
                <w:vertAlign w:val="subscript"/>
              </w:rPr>
              <w:t>5</w:t>
            </w:r>
          </w:p>
          <w:p w14:paraId="33421CA6" w14:textId="77777777" w:rsidR="00681515" w:rsidRPr="00681515" w:rsidRDefault="00681515" w:rsidP="00681515">
            <w:proofErr w:type="spellStart"/>
            <w:r w:rsidRPr="00681515">
              <w:t>CaO</w:t>
            </w:r>
            <w:proofErr w:type="spellEnd"/>
          </w:p>
          <w:p w14:paraId="0A51D2E4" w14:textId="77777777" w:rsidR="00681515" w:rsidRPr="00681515" w:rsidRDefault="00681515" w:rsidP="00681515">
            <w:r w:rsidRPr="00681515">
              <w:t>MgO</w:t>
            </w:r>
          </w:p>
          <w:p w14:paraId="00142C5B" w14:textId="77777777" w:rsidR="00681515" w:rsidRPr="00681515" w:rsidRDefault="00681515" w:rsidP="00681515">
            <w:r w:rsidRPr="00681515">
              <w:t>Na</w:t>
            </w:r>
            <w:r w:rsidRPr="00681515">
              <w:rPr>
                <w:vertAlign w:val="subscript"/>
              </w:rPr>
              <w:t>2</w:t>
            </w:r>
            <w:r w:rsidRPr="00681515">
              <w:t>O</w:t>
            </w:r>
          </w:p>
          <w:p w14:paraId="20F64307" w14:textId="77777777" w:rsidR="00681515" w:rsidRPr="00681515" w:rsidRDefault="00681515" w:rsidP="00681515">
            <w:r w:rsidRPr="00681515">
              <w:t>K</w:t>
            </w:r>
            <w:r w:rsidRPr="00681515">
              <w:rPr>
                <w:vertAlign w:val="subscript"/>
              </w:rPr>
              <w:t>2</w:t>
            </w:r>
            <w:r w:rsidRPr="00681515">
              <w:t>O</w:t>
            </w:r>
          </w:p>
          <w:p w14:paraId="22761E37" w14:textId="77777777" w:rsidR="00681515" w:rsidRPr="00681515" w:rsidRDefault="00681515" w:rsidP="00681515">
            <w:r w:rsidRPr="00681515">
              <w:t>SO</w:t>
            </w:r>
            <w:r w:rsidRPr="00681515">
              <w:rPr>
                <w:vertAlign w:val="subscript"/>
              </w:rPr>
              <w:t>3</w:t>
            </w:r>
          </w:p>
        </w:tc>
        <w:tc>
          <w:tcPr>
            <w:tcW w:w="1134" w:type="dxa"/>
            <w:shd w:val="clear" w:color="auto" w:fill="FFFFFF"/>
          </w:tcPr>
          <w:p w14:paraId="2871EDB6" w14:textId="21E3CCAB" w:rsidR="00681515" w:rsidRPr="00FD4861" w:rsidRDefault="00681515" w:rsidP="00681515">
            <w:r w:rsidRPr="00FD4861">
              <w:t>58.</w:t>
            </w:r>
            <w:r w:rsidR="00805DB7" w:rsidRPr="00FD4861">
              <w:t>36</w:t>
            </w:r>
          </w:p>
          <w:p w14:paraId="35B92EC4" w14:textId="1F2F67E5" w:rsidR="00681515" w:rsidRPr="00FD4861" w:rsidRDefault="00681515" w:rsidP="00681515">
            <w:r w:rsidRPr="00FD4861">
              <w:t>22.</w:t>
            </w:r>
            <w:r w:rsidR="00805DB7" w:rsidRPr="00FD4861">
              <w:t>31</w:t>
            </w:r>
          </w:p>
          <w:p w14:paraId="1C43F244" w14:textId="266D79EA" w:rsidR="00681515" w:rsidRPr="00FD4861" w:rsidRDefault="00805DB7" w:rsidP="00681515">
            <w:r w:rsidRPr="00FD4861">
              <w:t>4.00</w:t>
            </w:r>
          </w:p>
          <w:p w14:paraId="75B1E51B" w14:textId="2801CDB1" w:rsidR="00681515" w:rsidRPr="00FD4861" w:rsidRDefault="00681515" w:rsidP="00681515">
            <w:r w:rsidRPr="00FD4861">
              <w:t>1.</w:t>
            </w:r>
            <w:r w:rsidR="00805DB7" w:rsidRPr="00FD4861">
              <w:t>3</w:t>
            </w:r>
            <w:r w:rsidRPr="00FD4861">
              <w:t>0</w:t>
            </w:r>
          </w:p>
          <w:p w14:paraId="44AF24CF" w14:textId="36D1872E" w:rsidR="00681515" w:rsidRPr="00FD4861" w:rsidRDefault="00681515" w:rsidP="00681515">
            <w:r w:rsidRPr="00FD4861">
              <w:t>0.4</w:t>
            </w:r>
            <w:r w:rsidR="00805DB7" w:rsidRPr="00FD4861">
              <w:t>2</w:t>
            </w:r>
          </w:p>
          <w:p w14:paraId="0E23F78A" w14:textId="2A1C0653" w:rsidR="00681515" w:rsidRPr="00FD4861" w:rsidRDefault="00681515" w:rsidP="00681515">
            <w:r w:rsidRPr="00FD4861">
              <w:t>5.</w:t>
            </w:r>
            <w:r w:rsidR="00805DB7" w:rsidRPr="00FD4861">
              <w:t>4</w:t>
            </w:r>
            <w:r w:rsidRPr="00FD4861">
              <w:t>0</w:t>
            </w:r>
          </w:p>
          <w:p w14:paraId="14DC108C" w14:textId="619A97F7" w:rsidR="00681515" w:rsidRPr="00FD4861" w:rsidRDefault="00681515" w:rsidP="00681515">
            <w:r w:rsidRPr="00FD4861">
              <w:t>1.</w:t>
            </w:r>
            <w:r w:rsidR="00805DB7" w:rsidRPr="00FD4861">
              <w:t>1</w:t>
            </w:r>
            <w:r w:rsidRPr="00FD4861">
              <w:t>0</w:t>
            </w:r>
          </w:p>
          <w:p w14:paraId="5973932A" w14:textId="75D06A54" w:rsidR="00681515" w:rsidRPr="00FD4861" w:rsidRDefault="00681515" w:rsidP="00681515">
            <w:r w:rsidRPr="00FD4861">
              <w:t>0.</w:t>
            </w:r>
            <w:r w:rsidR="00805DB7" w:rsidRPr="00FD4861">
              <w:t>60</w:t>
            </w:r>
          </w:p>
          <w:p w14:paraId="41E196F6" w14:textId="77777777" w:rsidR="00681515" w:rsidRPr="00FD4861" w:rsidRDefault="00681515" w:rsidP="00681515">
            <w:r w:rsidRPr="00FD4861">
              <w:t>0.79</w:t>
            </w:r>
          </w:p>
          <w:p w14:paraId="06693A01" w14:textId="15830740" w:rsidR="00681515" w:rsidRPr="00FD4861" w:rsidRDefault="00FD4861" w:rsidP="00681515">
            <w:r w:rsidRPr="00FD4861">
              <w:t>2</w:t>
            </w:r>
            <w:r w:rsidR="00681515" w:rsidRPr="00FD4861">
              <w:t>.</w:t>
            </w:r>
            <w:r w:rsidRPr="00FD4861">
              <w:t>1</w:t>
            </w:r>
            <w:r w:rsidR="00681515" w:rsidRPr="00FD4861">
              <w:t>0</w:t>
            </w:r>
          </w:p>
        </w:tc>
        <w:tc>
          <w:tcPr>
            <w:tcW w:w="1134" w:type="dxa"/>
            <w:shd w:val="clear" w:color="auto" w:fill="FFFFFF"/>
          </w:tcPr>
          <w:p w14:paraId="0DE2FBA7" w14:textId="77777777" w:rsidR="00681515" w:rsidRPr="00681515" w:rsidRDefault="00681515" w:rsidP="00681515">
            <w:r w:rsidRPr="00681515">
              <w:t>58.11</w:t>
            </w:r>
          </w:p>
          <w:p w14:paraId="57DCED7D" w14:textId="77777777" w:rsidR="00681515" w:rsidRPr="00681515" w:rsidRDefault="00681515" w:rsidP="00681515">
            <w:r w:rsidRPr="00681515">
              <w:t>22.23</w:t>
            </w:r>
          </w:p>
          <w:p w14:paraId="518FBA9D" w14:textId="301BE097" w:rsidR="00681515" w:rsidRPr="00681515" w:rsidRDefault="00805DB7" w:rsidP="00681515">
            <w:r>
              <w:t>4.00</w:t>
            </w:r>
          </w:p>
          <w:p w14:paraId="11F6E996" w14:textId="7F3564D6" w:rsidR="00681515" w:rsidRPr="00681515" w:rsidRDefault="00681515" w:rsidP="00681515">
            <w:r w:rsidRPr="00681515">
              <w:t>1.</w:t>
            </w:r>
            <w:r w:rsidR="00805DB7">
              <w:t>3</w:t>
            </w:r>
            <w:r w:rsidRPr="00681515">
              <w:t>0</w:t>
            </w:r>
          </w:p>
          <w:p w14:paraId="486BDD15" w14:textId="525147AC" w:rsidR="00681515" w:rsidRPr="00681515" w:rsidRDefault="00681515" w:rsidP="00681515">
            <w:r w:rsidRPr="00681515">
              <w:t>0.4</w:t>
            </w:r>
            <w:r w:rsidR="00805DB7">
              <w:t>2</w:t>
            </w:r>
          </w:p>
          <w:p w14:paraId="6D0D544E" w14:textId="6CE3D13F" w:rsidR="00681515" w:rsidRPr="00681515" w:rsidRDefault="00681515" w:rsidP="00681515">
            <w:r w:rsidRPr="00681515">
              <w:t>5.</w:t>
            </w:r>
            <w:r w:rsidR="00805DB7">
              <w:t>4</w:t>
            </w:r>
            <w:r w:rsidRPr="00681515">
              <w:t>0</w:t>
            </w:r>
          </w:p>
          <w:p w14:paraId="336820D5" w14:textId="51F4B32C" w:rsidR="00681515" w:rsidRPr="00681515" w:rsidRDefault="00681515" w:rsidP="00681515">
            <w:r w:rsidRPr="00681515">
              <w:t>1.</w:t>
            </w:r>
            <w:r w:rsidR="00805DB7">
              <w:t>1</w:t>
            </w:r>
            <w:r w:rsidRPr="00681515">
              <w:t>0</w:t>
            </w:r>
          </w:p>
          <w:p w14:paraId="3CC065D1" w14:textId="23588CCF" w:rsidR="00681515" w:rsidRPr="00681515" w:rsidRDefault="00681515" w:rsidP="00681515">
            <w:r w:rsidRPr="00681515">
              <w:t>0.</w:t>
            </w:r>
            <w:r w:rsidR="00805DB7">
              <w:t>60</w:t>
            </w:r>
          </w:p>
          <w:p w14:paraId="3C0EE5FB" w14:textId="77777777" w:rsidR="00681515" w:rsidRPr="00681515" w:rsidRDefault="00681515" w:rsidP="00681515">
            <w:r w:rsidRPr="00681515">
              <w:t>0.79</w:t>
            </w:r>
          </w:p>
          <w:p w14:paraId="2299ACF8" w14:textId="362C77BE" w:rsidR="00681515" w:rsidRPr="00681515" w:rsidRDefault="00FD4861" w:rsidP="00681515">
            <w:r>
              <w:t>2.1</w:t>
            </w:r>
            <w:r w:rsidR="00681515" w:rsidRPr="00681515">
              <w:t>0</w:t>
            </w:r>
          </w:p>
        </w:tc>
        <w:tc>
          <w:tcPr>
            <w:tcW w:w="1134" w:type="dxa"/>
            <w:shd w:val="clear" w:color="auto" w:fill="FFFFFF"/>
          </w:tcPr>
          <w:p w14:paraId="7C8D7750" w14:textId="77777777" w:rsidR="00681515" w:rsidRPr="00681515" w:rsidRDefault="00681515" w:rsidP="00681515">
            <w:r w:rsidRPr="00681515">
              <w:t>58.34</w:t>
            </w:r>
          </w:p>
          <w:p w14:paraId="5A27345E" w14:textId="77777777" w:rsidR="00681515" w:rsidRPr="00681515" w:rsidRDefault="00681515" w:rsidP="00681515">
            <w:r w:rsidRPr="00681515">
              <w:t>22.34</w:t>
            </w:r>
          </w:p>
          <w:p w14:paraId="2D10E12D" w14:textId="48A07274" w:rsidR="00681515" w:rsidRPr="00681515" w:rsidRDefault="00805DB7" w:rsidP="00681515">
            <w:r>
              <w:t>4.00</w:t>
            </w:r>
          </w:p>
          <w:p w14:paraId="7B9B4BD1" w14:textId="11D8D20B" w:rsidR="00681515" w:rsidRPr="00681515" w:rsidRDefault="00681515" w:rsidP="00681515">
            <w:r w:rsidRPr="00681515">
              <w:t>1.</w:t>
            </w:r>
            <w:r w:rsidR="00805DB7">
              <w:t>3</w:t>
            </w:r>
            <w:r w:rsidRPr="00681515">
              <w:t>0</w:t>
            </w:r>
          </w:p>
          <w:p w14:paraId="0FB89447" w14:textId="50A71A9E" w:rsidR="00681515" w:rsidRPr="00681515" w:rsidRDefault="00681515" w:rsidP="00681515">
            <w:r w:rsidRPr="00681515">
              <w:t>0.4</w:t>
            </w:r>
            <w:r w:rsidR="00805DB7">
              <w:t>2</w:t>
            </w:r>
          </w:p>
          <w:p w14:paraId="371D2B4E" w14:textId="6551D3BA" w:rsidR="00681515" w:rsidRPr="00681515" w:rsidRDefault="00681515" w:rsidP="00681515">
            <w:r w:rsidRPr="00681515">
              <w:t>5.</w:t>
            </w:r>
            <w:r w:rsidR="00805DB7">
              <w:t>4</w:t>
            </w:r>
            <w:r w:rsidRPr="00681515">
              <w:t>0</w:t>
            </w:r>
          </w:p>
          <w:p w14:paraId="75131C0F" w14:textId="64CE025B" w:rsidR="00681515" w:rsidRPr="00681515" w:rsidRDefault="00681515" w:rsidP="00681515">
            <w:r w:rsidRPr="00681515">
              <w:t>1.</w:t>
            </w:r>
            <w:r w:rsidR="00805DB7">
              <w:t>1</w:t>
            </w:r>
            <w:r w:rsidRPr="00681515">
              <w:t>0</w:t>
            </w:r>
          </w:p>
          <w:p w14:paraId="79286BA6" w14:textId="4450808C" w:rsidR="00681515" w:rsidRPr="00681515" w:rsidRDefault="00681515" w:rsidP="00681515">
            <w:r w:rsidRPr="00681515">
              <w:t>0.</w:t>
            </w:r>
            <w:r w:rsidR="00805DB7">
              <w:t>60</w:t>
            </w:r>
          </w:p>
          <w:p w14:paraId="1EB6B76B" w14:textId="77777777" w:rsidR="00681515" w:rsidRPr="00681515" w:rsidRDefault="00681515" w:rsidP="00681515">
            <w:r w:rsidRPr="00681515">
              <w:t>0.79</w:t>
            </w:r>
          </w:p>
          <w:p w14:paraId="62A73DF0" w14:textId="1132087B" w:rsidR="00681515" w:rsidRPr="00681515" w:rsidRDefault="00FD4861" w:rsidP="00681515">
            <w:r>
              <w:t>2.1</w:t>
            </w:r>
            <w:r w:rsidR="00681515" w:rsidRPr="00681515">
              <w:t>0</w:t>
            </w:r>
          </w:p>
        </w:tc>
        <w:tc>
          <w:tcPr>
            <w:tcW w:w="1134" w:type="dxa"/>
            <w:shd w:val="clear" w:color="auto" w:fill="FFFFFF"/>
          </w:tcPr>
          <w:p w14:paraId="450017A0" w14:textId="77777777" w:rsidR="00681515" w:rsidRPr="00681515" w:rsidRDefault="00681515" w:rsidP="00681515">
            <w:pPr>
              <w:ind w:right="-1"/>
              <w:rPr>
                <w:rFonts w:cs="Arial"/>
                <w:szCs w:val="18"/>
              </w:rPr>
            </w:pPr>
            <w:r w:rsidRPr="00681515">
              <w:rPr>
                <w:rFonts w:cs="Arial"/>
                <w:szCs w:val="18"/>
              </w:rPr>
              <w:t>58.24</w:t>
            </w:r>
          </w:p>
          <w:p w14:paraId="2F971D22" w14:textId="77777777" w:rsidR="00681515" w:rsidRPr="00681515" w:rsidRDefault="00681515" w:rsidP="00681515">
            <w:pPr>
              <w:ind w:right="-1"/>
              <w:rPr>
                <w:rFonts w:cs="Arial"/>
                <w:szCs w:val="18"/>
              </w:rPr>
            </w:pPr>
            <w:r w:rsidRPr="00681515">
              <w:rPr>
                <w:rFonts w:cs="Arial"/>
                <w:szCs w:val="18"/>
              </w:rPr>
              <w:t>22.26</w:t>
            </w:r>
          </w:p>
          <w:p w14:paraId="53456A2E" w14:textId="070BEEC1" w:rsidR="00681515" w:rsidRPr="00681515" w:rsidRDefault="00805DB7" w:rsidP="00681515">
            <w:pPr>
              <w:ind w:right="-1"/>
              <w:rPr>
                <w:rFonts w:cs="Arial"/>
                <w:szCs w:val="18"/>
              </w:rPr>
            </w:pPr>
            <w:r>
              <w:rPr>
                <w:rFonts w:cs="Arial"/>
                <w:szCs w:val="18"/>
              </w:rPr>
              <w:t>4.00</w:t>
            </w:r>
          </w:p>
          <w:p w14:paraId="290755D5" w14:textId="5867215F" w:rsidR="00681515" w:rsidRPr="00681515" w:rsidRDefault="00681515" w:rsidP="00681515">
            <w:r w:rsidRPr="00681515">
              <w:t>1.</w:t>
            </w:r>
            <w:r w:rsidR="00805DB7">
              <w:t>3</w:t>
            </w:r>
            <w:r w:rsidRPr="00681515">
              <w:t>0</w:t>
            </w:r>
          </w:p>
          <w:p w14:paraId="19748E2B" w14:textId="79D335F3" w:rsidR="00681515" w:rsidRPr="00681515" w:rsidRDefault="00681515" w:rsidP="00681515">
            <w:r w:rsidRPr="00681515">
              <w:t>0.4</w:t>
            </w:r>
            <w:r w:rsidR="00805DB7">
              <w:t>2</w:t>
            </w:r>
          </w:p>
          <w:p w14:paraId="277ECD88" w14:textId="67A86AB6" w:rsidR="00681515" w:rsidRPr="00681515" w:rsidRDefault="00681515" w:rsidP="00681515">
            <w:r w:rsidRPr="00681515">
              <w:t>5.</w:t>
            </w:r>
            <w:r w:rsidR="00805DB7">
              <w:t>4</w:t>
            </w:r>
            <w:r w:rsidRPr="00681515">
              <w:t>0</w:t>
            </w:r>
          </w:p>
          <w:p w14:paraId="469F9FF1" w14:textId="21669994" w:rsidR="00681515" w:rsidRPr="00681515" w:rsidRDefault="00681515" w:rsidP="00681515">
            <w:r w:rsidRPr="00681515">
              <w:t>1.</w:t>
            </w:r>
            <w:r w:rsidR="00805DB7">
              <w:t>1</w:t>
            </w:r>
            <w:r w:rsidRPr="00681515">
              <w:t>0</w:t>
            </w:r>
          </w:p>
          <w:p w14:paraId="74C7A99A" w14:textId="76AAD025" w:rsidR="00681515" w:rsidRPr="00681515" w:rsidRDefault="00681515" w:rsidP="00681515">
            <w:r w:rsidRPr="00681515">
              <w:t>0.</w:t>
            </w:r>
            <w:r w:rsidR="00805DB7">
              <w:t>60</w:t>
            </w:r>
          </w:p>
          <w:p w14:paraId="2AC27CF8" w14:textId="77777777" w:rsidR="00681515" w:rsidRPr="00681515" w:rsidRDefault="00681515" w:rsidP="00681515">
            <w:r w:rsidRPr="00681515">
              <w:t>0.79</w:t>
            </w:r>
          </w:p>
          <w:p w14:paraId="02411209" w14:textId="22905A2C" w:rsidR="00681515" w:rsidRPr="00681515" w:rsidRDefault="00FD4861" w:rsidP="00681515">
            <w:pPr>
              <w:ind w:right="-1"/>
              <w:rPr>
                <w:rFonts w:cs="Arial"/>
                <w:szCs w:val="18"/>
              </w:rPr>
            </w:pPr>
            <w:r>
              <w:t>2.1</w:t>
            </w:r>
            <w:r w:rsidR="00681515" w:rsidRPr="00681515">
              <w:t>0</w:t>
            </w:r>
          </w:p>
        </w:tc>
        <w:tc>
          <w:tcPr>
            <w:tcW w:w="1134" w:type="dxa"/>
            <w:shd w:val="clear" w:color="auto" w:fill="FFFFFF"/>
          </w:tcPr>
          <w:p w14:paraId="155D91E1" w14:textId="77777777" w:rsidR="00681515" w:rsidRPr="00681515" w:rsidRDefault="00681515" w:rsidP="00681515">
            <w:pPr>
              <w:ind w:right="-1"/>
              <w:rPr>
                <w:rFonts w:cs="Arial"/>
                <w:szCs w:val="18"/>
              </w:rPr>
            </w:pPr>
            <w:r w:rsidRPr="00681515">
              <w:rPr>
                <w:rFonts w:cs="Arial"/>
                <w:szCs w:val="18"/>
              </w:rPr>
              <w:t>58.13</w:t>
            </w:r>
          </w:p>
          <w:p w14:paraId="41B21778" w14:textId="77777777" w:rsidR="00681515" w:rsidRPr="00681515" w:rsidRDefault="00681515" w:rsidP="00681515">
            <w:pPr>
              <w:ind w:right="-1"/>
              <w:rPr>
                <w:rFonts w:cs="Arial"/>
                <w:szCs w:val="18"/>
              </w:rPr>
            </w:pPr>
            <w:r w:rsidRPr="00681515">
              <w:rPr>
                <w:rFonts w:cs="Arial"/>
                <w:szCs w:val="18"/>
              </w:rPr>
              <w:t>22.46</w:t>
            </w:r>
          </w:p>
          <w:p w14:paraId="683B1FF2" w14:textId="6433C1C5" w:rsidR="00681515" w:rsidRPr="00681515" w:rsidRDefault="00805DB7" w:rsidP="00681515">
            <w:pPr>
              <w:ind w:right="-1"/>
              <w:rPr>
                <w:rFonts w:cs="Arial"/>
                <w:szCs w:val="18"/>
              </w:rPr>
            </w:pPr>
            <w:r>
              <w:rPr>
                <w:rFonts w:cs="Arial"/>
                <w:szCs w:val="18"/>
              </w:rPr>
              <w:t>4.00</w:t>
            </w:r>
          </w:p>
          <w:p w14:paraId="3F458073" w14:textId="28AFE5A6" w:rsidR="00681515" w:rsidRPr="00681515" w:rsidRDefault="00681515" w:rsidP="00681515">
            <w:r w:rsidRPr="00681515">
              <w:t>1.</w:t>
            </w:r>
            <w:r w:rsidR="00805DB7">
              <w:t>3</w:t>
            </w:r>
            <w:r w:rsidRPr="00681515">
              <w:t>0</w:t>
            </w:r>
          </w:p>
          <w:p w14:paraId="685D8714" w14:textId="7311D06D" w:rsidR="00681515" w:rsidRPr="00681515" w:rsidRDefault="00681515" w:rsidP="00681515">
            <w:r w:rsidRPr="00681515">
              <w:t>0.4</w:t>
            </w:r>
            <w:r w:rsidR="00805DB7">
              <w:t>2</w:t>
            </w:r>
          </w:p>
          <w:p w14:paraId="6713F928" w14:textId="3F37AA85" w:rsidR="00681515" w:rsidRPr="00681515" w:rsidRDefault="00681515" w:rsidP="00681515">
            <w:r w:rsidRPr="00681515">
              <w:t>5.</w:t>
            </w:r>
            <w:r w:rsidR="00805DB7">
              <w:t>4</w:t>
            </w:r>
            <w:r w:rsidRPr="00681515">
              <w:t>0</w:t>
            </w:r>
          </w:p>
          <w:p w14:paraId="044A6D25" w14:textId="440F95AB" w:rsidR="00681515" w:rsidRPr="00681515" w:rsidRDefault="00681515" w:rsidP="00681515">
            <w:r w:rsidRPr="00681515">
              <w:t>1.</w:t>
            </w:r>
            <w:r w:rsidR="00805DB7">
              <w:t>1</w:t>
            </w:r>
            <w:r w:rsidRPr="00681515">
              <w:t>0</w:t>
            </w:r>
          </w:p>
          <w:p w14:paraId="3649D05A" w14:textId="04724D23" w:rsidR="00681515" w:rsidRPr="00681515" w:rsidRDefault="00681515" w:rsidP="00681515">
            <w:r w:rsidRPr="00681515">
              <w:t>0.</w:t>
            </w:r>
            <w:r w:rsidR="00805DB7">
              <w:t>60</w:t>
            </w:r>
          </w:p>
          <w:p w14:paraId="48CAD11B" w14:textId="77777777" w:rsidR="00681515" w:rsidRPr="00681515" w:rsidRDefault="00681515" w:rsidP="00681515">
            <w:r w:rsidRPr="00681515">
              <w:t>0.79</w:t>
            </w:r>
          </w:p>
          <w:p w14:paraId="27C4CC6E" w14:textId="3E37F47B" w:rsidR="00681515" w:rsidRPr="00681515" w:rsidRDefault="00FD4861" w:rsidP="00681515">
            <w:pPr>
              <w:ind w:right="-1"/>
              <w:rPr>
                <w:rFonts w:cs="Arial"/>
                <w:szCs w:val="18"/>
              </w:rPr>
            </w:pPr>
            <w:r>
              <w:t>2.1</w:t>
            </w:r>
            <w:r w:rsidR="00681515" w:rsidRPr="00681515">
              <w:t>0</w:t>
            </w:r>
          </w:p>
        </w:tc>
      </w:tr>
      <w:tr w:rsidR="00681515" w:rsidRPr="00681515" w14:paraId="7226CD9A" w14:textId="77777777" w:rsidTr="00C8776B">
        <w:trPr>
          <w:trHeight w:val="68"/>
        </w:trPr>
        <w:tc>
          <w:tcPr>
            <w:tcW w:w="1134" w:type="dxa"/>
            <w:shd w:val="clear" w:color="auto" w:fill="FFFFFF"/>
          </w:tcPr>
          <w:p w14:paraId="05E82A4A" w14:textId="77777777" w:rsidR="00681515" w:rsidRPr="00681515" w:rsidRDefault="00681515" w:rsidP="00681515">
            <w:pPr>
              <w:ind w:right="-1"/>
              <w:rPr>
                <w:rFonts w:cs="Arial"/>
                <w:szCs w:val="18"/>
              </w:rPr>
            </w:pPr>
          </w:p>
        </w:tc>
        <w:tc>
          <w:tcPr>
            <w:tcW w:w="1134" w:type="dxa"/>
            <w:shd w:val="clear" w:color="auto" w:fill="FFFFFF"/>
          </w:tcPr>
          <w:p w14:paraId="36AB0803" w14:textId="77777777" w:rsidR="00681515" w:rsidRPr="00681515" w:rsidRDefault="00681515" w:rsidP="00681515">
            <w:pPr>
              <w:ind w:right="-1"/>
              <w:rPr>
                <w:rFonts w:cs="Arial"/>
                <w:szCs w:val="18"/>
              </w:rPr>
            </w:pPr>
          </w:p>
        </w:tc>
        <w:tc>
          <w:tcPr>
            <w:tcW w:w="1134" w:type="dxa"/>
            <w:shd w:val="clear" w:color="auto" w:fill="FFFFFF"/>
          </w:tcPr>
          <w:p w14:paraId="5A5F3E98" w14:textId="77777777" w:rsidR="00681515" w:rsidRPr="00681515" w:rsidRDefault="00681515" w:rsidP="00681515">
            <w:pPr>
              <w:ind w:right="-1"/>
              <w:rPr>
                <w:rFonts w:cs="Arial"/>
                <w:szCs w:val="18"/>
              </w:rPr>
            </w:pPr>
          </w:p>
        </w:tc>
        <w:tc>
          <w:tcPr>
            <w:tcW w:w="1134" w:type="dxa"/>
            <w:shd w:val="clear" w:color="auto" w:fill="FFFFFF"/>
          </w:tcPr>
          <w:p w14:paraId="12F12F74" w14:textId="77777777" w:rsidR="00681515" w:rsidRPr="00681515" w:rsidRDefault="00681515" w:rsidP="00681515">
            <w:pPr>
              <w:ind w:right="-1"/>
              <w:rPr>
                <w:rFonts w:cs="Arial"/>
                <w:szCs w:val="18"/>
              </w:rPr>
            </w:pPr>
          </w:p>
        </w:tc>
        <w:tc>
          <w:tcPr>
            <w:tcW w:w="1134" w:type="dxa"/>
            <w:shd w:val="clear" w:color="auto" w:fill="FFFFFF"/>
          </w:tcPr>
          <w:p w14:paraId="49B62DA3" w14:textId="77777777" w:rsidR="00681515" w:rsidRPr="00681515" w:rsidRDefault="00681515" w:rsidP="00681515">
            <w:pPr>
              <w:ind w:right="-1"/>
              <w:rPr>
                <w:rFonts w:cs="Arial"/>
                <w:szCs w:val="18"/>
              </w:rPr>
            </w:pPr>
          </w:p>
        </w:tc>
        <w:tc>
          <w:tcPr>
            <w:tcW w:w="1134" w:type="dxa"/>
            <w:shd w:val="clear" w:color="auto" w:fill="FFFFFF"/>
          </w:tcPr>
          <w:p w14:paraId="6D019E67" w14:textId="77777777" w:rsidR="00681515" w:rsidRPr="00681515" w:rsidRDefault="00681515" w:rsidP="00681515">
            <w:pPr>
              <w:ind w:right="-1"/>
              <w:rPr>
                <w:rFonts w:cs="Arial"/>
                <w:szCs w:val="18"/>
              </w:rPr>
            </w:pPr>
          </w:p>
        </w:tc>
      </w:tr>
    </w:tbl>
    <w:p w14:paraId="55AA7445" w14:textId="77777777" w:rsidR="00681515" w:rsidRPr="00681515" w:rsidRDefault="00681515" w:rsidP="00681515">
      <w:pPr>
        <w:rPr>
          <w:highlight w:val="yellow"/>
          <w:lang w:val="en-US"/>
        </w:rPr>
      </w:pPr>
    </w:p>
    <w:p w14:paraId="073B677E" w14:textId="77777777" w:rsidR="00681515" w:rsidRPr="00681515" w:rsidRDefault="00681515" w:rsidP="00681515">
      <w:pPr>
        <w:rPr>
          <w:highlight w:val="yellow"/>
          <w:lang w:val="en-US"/>
        </w:rPr>
      </w:pPr>
    </w:p>
    <w:p w14:paraId="0CFDF9E2" w14:textId="77777777" w:rsidR="00681515" w:rsidRPr="00681515" w:rsidRDefault="00681515" w:rsidP="00681515">
      <w:pPr>
        <w:rPr>
          <w:highlight w:val="yellow"/>
          <w:lang w:val="en-US"/>
        </w:rPr>
      </w:pPr>
    </w:p>
    <w:p w14:paraId="066813EB" w14:textId="77777777" w:rsidR="00681515" w:rsidRPr="00681515" w:rsidRDefault="00681515" w:rsidP="00681515">
      <w:pPr>
        <w:rPr>
          <w:highlight w:val="yellow"/>
          <w:lang w:val="en-US"/>
        </w:rPr>
      </w:pPr>
    </w:p>
    <w:p w14:paraId="61D0D66A" w14:textId="77777777" w:rsidR="00681515" w:rsidRPr="00681515" w:rsidRDefault="00681515" w:rsidP="00681515">
      <w:pPr>
        <w:rPr>
          <w:highlight w:val="yellow"/>
          <w:lang w:val="en-US"/>
        </w:rPr>
      </w:pPr>
    </w:p>
    <w:p w14:paraId="23BE9B9E" w14:textId="77777777" w:rsidR="00681515" w:rsidRPr="00681515" w:rsidRDefault="00681515" w:rsidP="00681515">
      <w:pPr>
        <w:rPr>
          <w:highlight w:val="yellow"/>
          <w:lang w:val="en-US"/>
        </w:rPr>
      </w:pPr>
    </w:p>
    <w:p w14:paraId="6264C095" w14:textId="77777777" w:rsidR="00681515" w:rsidRPr="00681515" w:rsidRDefault="00681515" w:rsidP="00681515">
      <w:pPr>
        <w:rPr>
          <w:highlight w:val="yellow"/>
          <w:lang w:val="en-US"/>
        </w:rPr>
      </w:pPr>
    </w:p>
    <w:p w14:paraId="4E3CF935" w14:textId="77777777" w:rsidR="00681515" w:rsidRPr="00681515" w:rsidRDefault="00681515" w:rsidP="00681515">
      <w:pPr>
        <w:rPr>
          <w:highlight w:val="yellow"/>
          <w:lang w:val="en-US"/>
        </w:rPr>
      </w:pPr>
    </w:p>
    <w:p w14:paraId="1431415F" w14:textId="77777777" w:rsidR="00681515" w:rsidRPr="00681515" w:rsidRDefault="00681515" w:rsidP="00681515">
      <w:pPr>
        <w:rPr>
          <w:highlight w:val="yellow"/>
          <w:lang w:val="en-US"/>
        </w:rPr>
      </w:pPr>
    </w:p>
    <w:p w14:paraId="40A58831" w14:textId="77777777" w:rsidR="00681515" w:rsidRPr="00681515" w:rsidRDefault="00681515" w:rsidP="00681515">
      <w:pPr>
        <w:rPr>
          <w:highlight w:val="yellow"/>
          <w:lang w:val="en-US"/>
        </w:rPr>
      </w:pPr>
    </w:p>
    <w:p w14:paraId="29669FDC" w14:textId="77777777" w:rsidR="00681515" w:rsidRPr="00681515" w:rsidRDefault="00681515" w:rsidP="00681515">
      <w:pPr>
        <w:rPr>
          <w:highlight w:val="yellow"/>
          <w:lang w:val="en-US"/>
        </w:rPr>
      </w:pPr>
    </w:p>
    <w:p w14:paraId="610F8F84" w14:textId="77777777" w:rsidR="00681515" w:rsidRPr="00681515" w:rsidRDefault="00681515" w:rsidP="00681515">
      <w:pPr>
        <w:rPr>
          <w:highlight w:val="yellow"/>
          <w:lang w:val="en-US"/>
        </w:rPr>
      </w:pPr>
    </w:p>
    <w:p w14:paraId="2D019791" w14:textId="77777777" w:rsidR="00681515" w:rsidRPr="00681515" w:rsidRDefault="00681515" w:rsidP="00681515">
      <w:pPr>
        <w:rPr>
          <w:highlight w:val="yellow"/>
          <w:lang w:val="en-US"/>
        </w:rPr>
      </w:pPr>
    </w:p>
    <w:p w14:paraId="418E8D37" w14:textId="6B8CF5BA" w:rsidR="00681515" w:rsidRPr="008C67DA" w:rsidRDefault="00681515" w:rsidP="00681515">
      <w:pPr>
        <w:rPr>
          <w:b/>
          <w:bCs/>
          <w:lang w:val="en-US"/>
        </w:rPr>
      </w:pPr>
      <w:r w:rsidRPr="008C67DA">
        <w:rPr>
          <w:b/>
          <w:bCs/>
          <w:lang w:val="en-US"/>
        </w:rPr>
        <w:t xml:space="preserve">3.3 </w:t>
      </w:r>
      <w:r w:rsidR="00641225" w:rsidRPr="008C67DA">
        <w:rPr>
          <w:b/>
          <w:bCs/>
          <w:lang w:val="en-US"/>
        </w:rPr>
        <w:t>SO</w:t>
      </w:r>
      <w:r w:rsidR="00641225" w:rsidRPr="008C67DA">
        <w:rPr>
          <w:b/>
          <w:bCs/>
          <w:vertAlign w:val="subscript"/>
          <w:lang w:val="en-US"/>
        </w:rPr>
        <w:t>2</w:t>
      </w:r>
      <w:r w:rsidR="00641225" w:rsidRPr="008C67DA">
        <w:rPr>
          <w:b/>
          <w:bCs/>
          <w:lang w:val="en-US"/>
        </w:rPr>
        <w:t xml:space="preserve"> </w:t>
      </w:r>
      <w:r w:rsidR="007842A8" w:rsidRPr="008C67DA">
        <w:rPr>
          <w:b/>
          <w:bCs/>
          <w:lang w:val="en-US"/>
        </w:rPr>
        <w:t>emissions for</w:t>
      </w:r>
      <w:r w:rsidR="00CB4CCF" w:rsidRPr="008C67DA">
        <w:rPr>
          <w:b/>
          <w:bCs/>
          <w:lang w:val="en-US"/>
        </w:rPr>
        <w:t xml:space="preserve"> various </w:t>
      </w:r>
      <w:r w:rsidR="00BE6A65" w:rsidRPr="008C67DA">
        <w:rPr>
          <w:b/>
          <w:bCs/>
          <w:lang w:val="en-US"/>
        </w:rPr>
        <w:t>coal qualities</w:t>
      </w:r>
    </w:p>
    <w:p w14:paraId="57F7FBC5" w14:textId="5F82A063" w:rsidR="00D54769" w:rsidRDefault="00D54769" w:rsidP="00681515">
      <w:pPr>
        <w:rPr>
          <w:vertAlign w:val="superscript"/>
          <w:lang w:val="en-US"/>
        </w:rPr>
      </w:pPr>
      <w:r w:rsidRPr="002545A9">
        <w:rPr>
          <w:lang w:val="en-US"/>
        </w:rPr>
        <w:t>Figure 1 depicts the SO</w:t>
      </w:r>
      <w:r w:rsidRPr="002545A9">
        <w:rPr>
          <w:vertAlign w:val="subscript"/>
          <w:lang w:val="en-US"/>
        </w:rPr>
        <w:t>2</w:t>
      </w:r>
      <w:r w:rsidRPr="002545A9">
        <w:rPr>
          <w:lang w:val="en-US"/>
        </w:rPr>
        <w:t xml:space="preserve"> emissions from the quality of coal, which vary by geographic region of coal production. It can be seen in Figure 1 that Sample 1 is 979 mg/Nm</w:t>
      </w:r>
      <w:r w:rsidRPr="002545A9">
        <w:rPr>
          <w:vertAlign w:val="superscript"/>
          <w:lang w:val="en-US"/>
        </w:rPr>
        <w:t>3</w:t>
      </w:r>
      <w:r w:rsidRPr="002545A9">
        <w:rPr>
          <w:lang w:val="en-US"/>
        </w:rPr>
        <w:t>, Sample 2 is 1498 mg/Nm</w:t>
      </w:r>
      <w:r w:rsidRPr="006478F3">
        <w:rPr>
          <w:vertAlign w:val="superscript"/>
          <w:lang w:val="en-US"/>
        </w:rPr>
        <w:t>3</w:t>
      </w:r>
      <w:r w:rsidRPr="002545A9">
        <w:rPr>
          <w:lang w:val="en-US"/>
        </w:rPr>
        <w:t>, Sample 3 is 2670 mg/Nm</w:t>
      </w:r>
      <w:r w:rsidRPr="006478F3">
        <w:rPr>
          <w:vertAlign w:val="superscript"/>
          <w:lang w:val="en-US"/>
        </w:rPr>
        <w:t>3</w:t>
      </w:r>
      <w:r w:rsidRPr="002545A9">
        <w:rPr>
          <w:lang w:val="en-US"/>
        </w:rPr>
        <w:t>, Sample 4 is 4032 mg/Nm</w:t>
      </w:r>
      <w:r w:rsidRPr="002545A9">
        <w:rPr>
          <w:vertAlign w:val="superscript"/>
          <w:lang w:val="en-US"/>
        </w:rPr>
        <w:t>3</w:t>
      </w:r>
      <w:r w:rsidRPr="002545A9">
        <w:rPr>
          <w:lang w:val="en-US"/>
        </w:rPr>
        <w:t>, and Sample 5 is 5215 mg/Nm</w:t>
      </w:r>
      <w:r w:rsidRPr="00176FC7">
        <w:rPr>
          <w:vertAlign w:val="superscript"/>
          <w:lang w:val="en-US"/>
        </w:rPr>
        <w:t>3</w:t>
      </w:r>
      <w:r w:rsidRPr="002545A9">
        <w:rPr>
          <w:lang w:val="en-US"/>
        </w:rPr>
        <w:t>. In summary, coal with a higher sulfur content of 2.03 wt.% leads to greater SO</w:t>
      </w:r>
      <w:r w:rsidRPr="00176FC7">
        <w:rPr>
          <w:vertAlign w:val="subscript"/>
          <w:lang w:val="en-US"/>
        </w:rPr>
        <w:t>2</w:t>
      </w:r>
      <w:r w:rsidRPr="002545A9">
        <w:rPr>
          <w:lang w:val="en-US"/>
        </w:rPr>
        <w:t xml:space="preserve"> emissions of 5215 mg/Nm</w:t>
      </w:r>
      <w:r w:rsidRPr="00176FC7">
        <w:rPr>
          <w:vertAlign w:val="superscript"/>
          <w:lang w:val="en-US"/>
        </w:rPr>
        <w:t>3</w:t>
      </w:r>
      <w:r w:rsidRPr="002545A9">
        <w:rPr>
          <w:lang w:val="en-US"/>
        </w:rPr>
        <w:t xml:space="preserve"> than coal with a lower sulfur content of 0.51 wt.%, leading to lower emissions of 979 mg/Nm</w:t>
      </w:r>
      <w:r w:rsidRPr="00176FC7">
        <w:rPr>
          <w:vertAlign w:val="superscript"/>
          <w:lang w:val="en-US"/>
        </w:rPr>
        <w:t>3</w:t>
      </w:r>
      <w:r w:rsidRPr="002545A9">
        <w:rPr>
          <w:lang w:val="en-US"/>
        </w:rPr>
        <w:t>. In general, the source of SO</w:t>
      </w:r>
      <w:r w:rsidRPr="00176FC7">
        <w:rPr>
          <w:vertAlign w:val="subscript"/>
          <w:lang w:val="en-US"/>
        </w:rPr>
        <w:t>2</w:t>
      </w:r>
      <w:r w:rsidRPr="002545A9">
        <w:rPr>
          <w:lang w:val="en-US"/>
        </w:rPr>
        <w:t xml:space="preserve"> emissions in the power sector originates from the sulfur content of coal. The current study agrees with Makgato and Chirwa (2017), who found that 1.37 wt.% and 0.20 wt.% sulfur content were needed to meet the minimum SO</w:t>
      </w:r>
      <w:r w:rsidRPr="00176FC7">
        <w:rPr>
          <w:vertAlign w:val="subscript"/>
          <w:lang w:val="en-US"/>
        </w:rPr>
        <w:t>2</w:t>
      </w:r>
      <w:r w:rsidRPr="002545A9">
        <w:rPr>
          <w:lang w:val="en-US"/>
        </w:rPr>
        <w:t xml:space="preserve"> emissions standards of 3500 mg/</w:t>
      </w:r>
      <w:proofErr w:type="gramStart"/>
      <w:r w:rsidRPr="002545A9">
        <w:rPr>
          <w:lang w:val="en-US"/>
        </w:rPr>
        <w:t>Nm</w:t>
      </w:r>
      <w:r w:rsidRPr="00176FC7">
        <w:rPr>
          <w:vertAlign w:val="superscript"/>
          <w:lang w:val="en-US"/>
        </w:rPr>
        <w:t>3</w:t>
      </w:r>
      <w:proofErr w:type="gramEnd"/>
    </w:p>
    <w:p w14:paraId="60146A4A" w14:textId="77777777" w:rsidR="00D54769" w:rsidRDefault="00D54769" w:rsidP="00681515">
      <w:pPr>
        <w:rPr>
          <w:lang w:val="en-US"/>
        </w:rPr>
      </w:pPr>
    </w:p>
    <w:p w14:paraId="093F9B57" w14:textId="66C3F3EF" w:rsidR="00D54769" w:rsidRDefault="00D54769" w:rsidP="00681515">
      <w:pPr>
        <w:rPr>
          <w:lang w:val="en-US"/>
        </w:rPr>
      </w:pPr>
      <w:r w:rsidRPr="00D54769">
        <w:drawing>
          <wp:inline distT="0" distB="0" distL="0" distR="0" wp14:anchorId="48B6E30A" wp14:editId="211CBE79">
            <wp:extent cx="5501640" cy="3710940"/>
            <wp:effectExtent l="0" t="0" r="3810" b="3810"/>
            <wp:docPr id="639102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1640" cy="3710940"/>
                    </a:xfrm>
                    <a:prstGeom prst="rect">
                      <a:avLst/>
                    </a:prstGeom>
                    <a:noFill/>
                    <a:ln>
                      <a:noFill/>
                    </a:ln>
                  </pic:spPr>
                </pic:pic>
              </a:graphicData>
            </a:graphic>
          </wp:inline>
        </w:drawing>
      </w:r>
    </w:p>
    <w:p w14:paraId="2216BBF8" w14:textId="77777777" w:rsidR="00D54769" w:rsidRPr="00681515" w:rsidRDefault="00D54769" w:rsidP="00681515">
      <w:pPr>
        <w:rPr>
          <w:lang w:val="en-US"/>
        </w:rPr>
      </w:pPr>
    </w:p>
    <w:p w14:paraId="1EA8FCA7" w14:textId="59020634" w:rsidR="00C2267F" w:rsidRDefault="00502ED3" w:rsidP="00681515">
      <w:pPr>
        <w:rPr>
          <w:lang w:val="en-US"/>
        </w:rPr>
      </w:pPr>
      <w:r>
        <w:rPr>
          <w:lang w:val="en-US"/>
        </w:rPr>
        <w:t>Figure</w:t>
      </w:r>
      <w:r w:rsidR="00F768C5">
        <w:rPr>
          <w:lang w:val="en-US"/>
        </w:rPr>
        <w:t xml:space="preserve"> </w:t>
      </w:r>
      <w:r>
        <w:rPr>
          <w:lang w:val="en-US"/>
        </w:rPr>
        <w:t>1: SO</w:t>
      </w:r>
      <w:r w:rsidRPr="00FC72D7">
        <w:rPr>
          <w:vertAlign w:val="subscript"/>
          <w:lang w:val="en-US"/>
        </w:rPr>
        <w:t xml:space="preserve">2 </w:t>
      </w:r>
      <w:r w:rsidR="00FC72D7">
        <w:rPr>
          <w:lang w:val="en-US"/>
        </w:rPr>
        <w:t xml:space="preserve">Emissions resulting from five coal </w:t>
      </w:r>
      <w:r w:rsidR="005A3D70">
        <w:rPr>
          <w:lang w:val="en-US"/>
        </w:rPr>
        <w:t>samples.</w:t>
      </w:r>
      <w:r w:rsidR="00FC72D7">
        <w:rPr>
          <w:lang w:val="en-US"/>
        </w:rPr>
        <w:t xml:space="preserve"> </w:t>
      </w:r>
    </w:p>
    <w:p w14:paraId="22611F7D" w14:textId="6410B0BF" w:rsidR="00793B62" w:rsidRDefault="002545A9" w:rsidP="00173B6D">
      <w:pPr>
        <w:rPr>
          <w:lang w:val="en-US"/>
        </w:rPr>
      </w:pPr>
      <w:r w:rsidRPr="002545A9">
        <w:rPr>
          <w:lang w:val="en-US"/>
        </w:rPr>
        <w:lastRenderedPageBreak/>
        <w:t>(Target 1) and 500 mg/Nm</w:t>
      </w:r>
      <w:r w:rsidRPr="006478F3">
        <w:rPr>
          <w:vertAlign w:val="superscript"/>
          <w:lang w:val="en-US"/>
        </w:rPr>
        <w:t>3</w:t>
      </w:r>
      <w:r w:rsidRPr="002545A9">
        <w:rPr>
          <w:lang w:val="en-US"/>
        </w:rPr>
        <w:t xml:space="preserve"> (Target 2). Target 1 and Target 2 differ owing to 2020 and 2025 minimum emissions requirements implementation. To comply with strict environmental rules, all coal qualities must minimize sulphur content through pre-combustion, combustion, or post-combustion.</w:t>
      </w:r>
    </w:p>
    <w:p w14:paraId="3B737EE2" w14:textId="77777777" w:rsidR="004906DA" w:rsidRDefault="004906DA" w:rsidP="00681515">
      <w:pPr>
        <w:rPr>
          <w:lang w:val="en-US"/>
        </w:rPr>
      </w:pPr>
    </w:p>
    <w:p w14:paraId="687DDA9D" w14:textId="60551B74" w:rsidR="00F54078" w:rsidRPr="008C67DA" w:rsidRDefault="00F54078" w:rsidP="00681515">
      <w:pPr>
        <w:rPr>
          <w:b/>
          <w:bCs/>
          <w:lang w:val="en-US"/>
        </w:rPr>
      </w:pPr>
      <w:r w:rsidRPr="008C67DA">
        <w:rPr>
          <w:b/>
          <w:bCs/>
          <w:lang w:val="en-US"/>
        </w:rPr>
        <w:t>3.</w:t>
      </w:r>
      <w:r w:rsidR="00BE6A65" w:rsidRPr="008C67DA">
        <w:rPr>
          <w:b/>
          <w:bCs/>
          <w:lang w:val="en-US"/>
        </w:rPr>
        <w:t>4</w:t>
      </w:r>
      <w:r w:rsidRPr="008C67DA">
        <w:rPr>
          <w:b/>
          <w:bCs/>
          <w:lang w:val="en-US"/>
        </w:rPr>
        <w:t xml:space="preserve"> Clean Coal Technology </w:t>
      </w:r>
      <w:r w:rsidR="00F768C5" w:rsidRPr="008C67DA">
        <w:rPr>
          <w:b/>
          <w:bCs/>
          <w:lang w:val="en-US"/>
        </w:rPr>
        <w:t>O</w:t>
      </w:r>
      <w:r w:rsidRPr="008C67DA">
        <w:rPr>
          <w:b/>
          <w:bCs/>
          <w:lang w:val="en-US"/>
        </w:rPr>
        <w:t>ptions</w:t>
      </w:r>
    </w:p>
    <w:p w14:paraId="25A06148" w14:textId="1068DD12" w:rsidR="00793B62" w:rsidRDefault="00FC04C7" w:rsidP="00681515">
      <w:pPr>
        <w:rPr>
          <w:color w:val="000000" w:themeColor="text1"/>
          <w:lang w:val="en-US"/>
        </w:rPr>
      </w:pPr>
      <w:r w:rsidRPr="00FC04C7">
        <w:rPr>
          <w:color w:val="000000" w:themeColor="text1"/>
          <w:lang w:val="en-US"/>
        </w:rPr>
        <w:t xml:space="preserve">Coal sulphur compounds can be removed by several desulphurization methods. This section categorizes these technologies, predicts advances between now and 2050, and describes environmental management options for each. This clean coal technology roadmap discusses South Africa's restrictions and coal power options accessible today or in the next 30 years. The coal's quality, structure, and mineral makeup affect the efficacy of physical, chemical, and biological clean coal technology processes. Figure 2 demonstrates clean coal technologies that meet economic and environmental emissions restrictions for South Africa. Water, </w:t>
      </w:r>
      <w:proofErr w:type="spellStart"/>
      <w:r w:rsidRPr="00FC04C7">
        <w:rPr>
          <w:color w:val="000000" w:themeColor="text1"/>
          <w:lang w:val="en-US"/>
        </w:rPr>
        <w:t>labo</w:t>
      </w:r>
      <w:r w:rsidR="00F768C5">
        <w:rPr>
          <w:color w:val="000000" w:themeColor="text1"/>
          <w:lang w:val="en-US"/>
        </w:rPr>
        <w:t>u</w:t>
      </w:r>
      <w:r w:rsidRPr="00FC04C7">
        <w:rPr>
          <w:color w:val="000000" w:themeColor="text1"/>
          <w:lang w:val="en-US"/>
        </w:rPr>
        <w:t>r</w:t>
      </w:r>
      <w:proofErr w:type="spellEnd"/>
      <w:r w:rsidRPr="00FC04C7">
        <w:rPr>
          <w:color w:val="000000" w:themeColor="text1"/>
          <w:lang w:val="en-US"/>
        </w:rPr>
        <w:t>, and emissions-control sorbent shortages will also drive technology selection. These restrictions are used to screen technologies to locate ones that suit the country's demand for reliable, proven technology and environmental criteria. The roadmap's worst-case scenario—rapid implementation of severe environmental criteria—would leave South Africa with few if any, coal power plant alternatives.</w:t>
      </w:r>
    </w:p>
    <w:p w14:paraId="43783505" w14:textId="77777777" w:rsidR="006478F3" w:rsidRDefault="006478F3" w:rsidP="00681515">
      <w:pPr>
        <w:rPr>
          <w:lang w:val="en-US"/>
        </w:rPr>
      </w:pPr>
    </w:p>
    <w:p w14:paraId="0DC1677A" w14:textId="4FAB6FC9" w:rsidR="00793B62" w:rsidRPr="00681515" w:rsidRDefault="00793B62" w:rsidP="00681515">
      <w:pPr>
        <w:rPr>
          <w:lang w:val="en-US"/>
        </w:rPr>
      </w:pPr>
      <w:r w:rsidRPr="005818F2">
        <w:rPr>
          <w:noProof/>
        </w:rPr>
        <w:drawing>
          <wp:inline distT="0" distB="0" distL="0" distR="0" wp14:anchorId="7EEC6242" wp14:editId="0A5DF595">
            <wp:extent cx="4617720" cy="5032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0887" cy="5057541"/>
                    </a:xfrm>
                    <a:prstGeom prst="rect">
                      <a:avLst/>
                    </a:prstGeom>
                    <a:noFill/>
                    <a:ln>
                      <a:noFill/>
                    </a:ln>
                  </pic:spPr>
                </pic:pic>
              </a:graphicData>
            </a:graphic>
          </wp:inline>
        </w:drawing>
      </w:r>
    </w:p>
    <w:p w14:paraId="7D9B9614" w14:textId="77777777" w:rsidR="00681515" w:rsidRPr="00681515" w:rsidRDefault="00681515" w:rsidP="00681515">
      <w:pPr>
        <w:rPr>
          <w:b/>
          <w:bCs/>
        </w:rPr>
      </w:pPr>
    </w:p>
    <w:p w14:paraId="49C2E515" w14:textId="77777777" w:rsidR="00681515" w:rsidRPr="00681515" w:rsidRDefault="00681515" w:rsidP="00681515">
      <w:pPr>
        <w:rPr>
          <w:i/>
        </w:rPr>
      </w:pPr>
      <w:r w:rsidRPr="00681515">
        <w:rPr>
          <w:i/>
        </w:rPr>
        <w:t>Figure 2: Clean coal technology roadmap</w:t>
      </w:r>
    </w:p>
    <w:p w14:paraId="54DB4080" w14:textId="77777777" w:rsidR="00681515" w:rsidRPr="00681515" w:rsidRDefault="00681515" w:rsidP="00681515">
      <w:pPr>
        <w:rPr>
          <w:i/>
        </w:rPr>
      </w:pPr>
    </w:p>
    <w:p w14:paraId="69C9577D" w14:textId="007689A9" w:rsidR="008E38D4" w:rsidRPr="00681515" w:rsidRDefault="00A41031" w:rsidP="00F46A80">
      <w:pPr>
        <w:rPr>
          <w:iCs/>
        </w:rPr>
      </w:pPr>
      <w:r w:rsidRPr="00A41031">
        <w:rPr>
          <w:iCs/>
        </w:rPr>
        <w:t>The Clean Coal Technology Roadmap provides a multi-scenario examination of local coal sector SO</w:t>
      </w:r>
      <w:r w:rsidRPr="00173B6D">
        <w:rPr>
          <w:iCs/>
          <w:vertAlign w:val="subscript"/>
        </w:rPr>
        <w:t xml:space="preserve">2 </w:t>
      </w:r>
      <w:r w:rsidRPr="00A41031">
        <w:rPr>
          <w:iCs/>
        </w:rPr>
        <w:t xml:space="preserve">emission reduction options. The coal roadmap recommends three methods: business-as-usual physical, chemical, and biological. South Africa will have to combine all possibilities to move toward a less coal-intensive society while addressing supply and demand issues. South Africa's aging electricity generation infrastructure, sluggish economic development, and water shortages support this. Thus, South Africa should conduct several feasibility </w:t>
      </w:r>
      <w:r w:rsidRPr="00A41031">
        <w:rPr>
          <w:iCs/>
        </w:rPr>
        <w:lastRenderedPageBreak/>
        <w:t>studies on some of Figure 2's sophisticated technologies' water consumption aspects. According to feasibility studies, South African water availability regions should stimulate innovative coal technologies that reduce water usage and emissions. New projects should use emission reduction techniques like flue gas desulfurization, while older infrastructure should use pre-combustion and combustion methods like sorbent injection.</w:t>
      </w:r>
      <w:r w:rsidR="00A71381">
        <w:rPr>
          <w:iCs/>
        </w:rPr>
        <w:t xml:space="preserve"> </w:t>
      </w:r>
    </w:p>
    <w:p w14:paraId="791AB7B1" w14:textId="77777777" w:rsidR="00681515" w:rsidRPr="00681515" w:rsidRDefault="00681515" w:rsidP="00681515">
      <w:pPr>
        <w:keepNext/>
        <w:numPr>
          <w:ilvl w:val="1"/>
          <w:numId w:val="1"/>
        </w:numPr>
        <w:tabs>
          <w:tab w:val="clear" w:pos="7100"/>
        </w:tabs>
        <w:suppressAutoHyphens/>
        <w:spacing w:before="240" w:after="120" w:line="240" w:lineRule="auto"/>
        <w:jc w:val="left"/>
        <w:rPr>
          <w:b/>
          <w:sz w:val="20"/>
        </w:rPr>
      </w:pPr>
      <w:r w:rsidRPr="00681515">
        <w:rPr>
          <w:b/>
          <w:sz w:val="20"/>
        </w:rPr>
        <w:t>Conclusions</w:t>
      </w:r>
    </w:p>
    <w:p w14:paraId="1105F96A" w14:textId="697022EA" w:rsidR="00681515" w:rsidRPr="00681515" w:rsidRDefault="00187EBB" w:rsidP="0008328D">
      <w:r w:rsidRPr="00187EBB">
        <w:t>The current study examines clean coal technologies that can help South Africa reduce SO</w:t>
      </w:r>
      <w:r w:rsidRPr="00173B6D">
        <w:rPr>
          <w:vertAlign w:val="subscript"/>
        </w:rPr>
        <w:t>2</w:t>
      </w:r>
      <w:r w:rsidRPr="00187EBB">
        <w:t xml:space="preserve"> emissions over the next 30 years. All studies were conducted on five coal samples collected from various stockpiles of mines supplying power plants in South Africa, covering a range of coal qualities. The main conclusions are summarized as follows: Coal with a higher sulphur content of 2.03 wt.% leads to greater SO</w:t>
      </w:r>
      <w:r w:rsidRPr="00173B6D">
        <w:rPr>
          <w:vertAlign w:val="subscript"/>
        </w:rPr>
        <w:t>2</w:t>
      </w:r>
      <w:r w:rsidRPr="00187EBB">
        <w:t xml:space="preserve"> emissions of 5215 mg/Nm</w:t>
      </w:r>
      <w:r w:rsidRPr="00173B6D">
        <w:rPr>
          <w:vertAlign w:val="superscript"/>
        </w:rPr>
        <w:t>3</w:t>
      </w:r>
      <w:r w:rsidRPr="00187EBB">
        <w:t xml:space="preserve"> than coal with a lower sulphur content of 0.51 wt.%, leading to lower emissions of 979 mg/Nm</w:t>
      </w:r>
      <w:r w:rsidRPr="00173B6D">
        <w:rPr>
          <w:vertAlign w:val="superscript"/>
        </w:rPr>
        <w:t>3</w:t>
      </w:r>
      <w:r w:rsidRPr="00187EBB">
        <w:t>. The coal roadmap proposes three possible routes, ranging from business-as-usual physical methods to chemical methods and biological methods. South Africa will likely have to take a hybrid approach to reduce emissions and address electricity supply and demand issues. The coal's quality, structure, and mineral makeup affect the efficacy of physical, chemical, and biological clean coal technology processes. South Africa also has water shortages or droughts. Thus, technology applications for an area should address all these difficulties. This study establishes benchmarks for a complete assessment of various technologies and a roadmap to clean coal technology for South Africa, focusing on SO</w:t>
      </w:r>
      <w:r w:rsidRPr="00173B6D">
        <w:rPr>
          <w:vertAlign w:val="subscript"/>
        </w:rPr>
        <w:t>2</w:t>
      </w:r>
      <w:r w:rsidRPr="00187EBB">
        <w:t xml:space="preserve"> emissions reduction.</w:t>
      </w:r>
      <w:r w:rsidR="00955CEE">
        <w:t xml:space="preserve"> </w:t>
      </w:r>
    </w:p>
    <w:p w14:paraId="2D3E1194" w14:textId="77777777" w:rsidR="00681515" w:rsidRPr="00681515" w:rsidRDefault="00681515" w:rsidP="00681515"/>
    <w:p w14:paraId="41352BD7" w14:textId="77777777" w:rsidR="00681515" w:rsidRPr="00681515" w:rsidRDefault="00681515" w:rsidP="00681515">
      <w:pPr>
        <w:keepNext/>
        <w:tabs>
          <w:tab w:val="clear" w:pos="7100"/>
        </w:tabs>
        <w:suppressAutoHyphens/>
        <w:spacing w:before="120" w:after="120" w:line="240" w:lineRule="auto"/>
        <w:jc w:val="left"/>
        <w:rPr>
          <w:b/>
        </w:rPr>
        <w:sectPr w:rsidR="00681515" w:rsidRPr="00681515" w:rsidSect="00B57E6F">
          <w:type w:val="continuous"/>
          <w:pgSz w:w="11906" w:h="16838" w:code="9"/>
          <w:pgMar w:top="1701" w:right="1418" w:bottom="1701" w:left="1701" w:header="1701" w:footer="0" w:gutter="0"/>
          <w:cols w:space="708"/>
          <w:formProt w:val="0"/>
          <w:titlePg/>
          <w:docGrid w:linePitch="360"/>
        </w:sectPr>
      </w:pPr>
      <w:r w:rsidRPr="00681515">
        <w:rPr>
          <w:b/>
          <w:lang w:val="en-US"/>
        </w:rPr>
        <w:t>Nomenclature</w:t>
      </w:r>
    </w:p>
    <w:p w14:paraId="2FDF9F1D" w14:textId="1B57229A" w:rsidR="00681515" w:rsidRPr="00681515" w:rsidRDefault="004A6BD1" w:rsidP="00681515">
      <w:pPr>
        <w:jc w:val="left"/>
        <w:rPr>
          <w:rFonts w:eastAsia="SimSun"/>
          <w:lang w:val="en-US"/>
        </w:rPr>
      </w:pPr>
      <w:r>
        <w:rPr>
          <w:rFonts w:eastAsia="SimSun"/>
          <w:lang w:val="en-US"/>
        </w:rPr>
        <w:t>F</w:t>
      </w:r>
      <w:r w:rsidR="00681515" w:rsidRPr="00681515">
        <w:rPr>
          <w:rFonts w:eastAsia="SimSun"/>
          <w:lang w:val="en-US"/>
        </w:rPr>
        <w:t xml:space="preserve">C – </w:t>
      </w:r>
      <w:r>
        <w:rPr>
          <w:rFonts w:eastAsia="SimSun"/>
          <w:lang w:val="en-US"/>
        </w:rPr>
        <w:t>F</w:t>
      </w:r>
      <w:r w:rsidR="00681515" w:rsidRPr="00681515">
        <w:rPr>
          <w:rFonts w:eastAsia="SimSun"/>
          <w:lang w:val="en-US"/>
        </w:rPr>
        <w:t>ixed carbon, wt.%</w:t>
      </w:r>
    </w:p>
    <w:p w14:paraId="30E7E45E" w14:textId="77777777" w:rsidR="00681515" w:rsidRPr="00681515" w:rsidRDefault="00681515" w:rsidP="00681515">
      <w:pPr>
        <w:jc w:val="left"/>
        <w:rPr>
          <w:rFonts w:eastAsia="SimSun"/>
          <w:lang w:val="en-US"/>
        </w:rPr>
        <w:sectPr w:rsidR="00681515" w:rsidRPr="00681515" w:rsidSect="0077098D">
          <w:type w:val="continuous"/>
          <w:pgSz w:w="11906" w:h="16838" w:code="9"/>
          <w:pgMar w:top="1701" w:right="1418" w:bottom="1701" w:left="1701" w:header="1701" w:footer="0" w:gutter="0"/>
          <w:cols w:space="708"/>
          <w:formProt w:val="0"/>
          <w:titlePg/>
          <w:docGrid w:linePitch="360"/>
        </w:sectPr>
      </w:pPr>
    </w:p>
    <w:p w14:paraId="4B30B2E7" w14:textId="3DF22E67" w:rsidR="00681515" w:rsidRPr="00681515" w:rsidRDefault="00681515" w:rsidP="00681515">
      <w:pPr>
        <w:jc w:val="left"/>
        <w:rPr>
          <w:rFonts w:eastAsia="SimSun"/>
          <w:lang w:val="en-US"/>
        </w:rPr>
      </w:pPr>
      <w:r w:rsidRPr="00681515">
        <w:rPr>
          <w:rFonts w:eastAsia="SimSun"/>
          <w:lang w:val="en-US"/>
        </w:rPr>
        <w:t xml:space="preserve">VM – </w:t>
      </w:r>
      <w:r w:rsidR="00B6460F">
        <w:rPr>
          <w:rFonts w:eastAsia="SimSun"/>
          <w:lang w:val="en-US"/>
        </w:rPr>
        <w:t>V</w:t>
      </w:r>
      <w:r w:rsidRPr="00681515">
        <w:rPr>
          <w:rFonts w:eastAsia="SimSun"/>
          <w:lang w:val="en-US"/>
        </w:rPr>
        <w:t>olatile matter, wt.%</w:t>
      </w:r>
    </w:p>
    <w:p w14:paraId="264C3012" w14:textId="02484D84" w:rsidR="00681515" w:rsidRPr="00681515" w:rsidRDefault="00681515" w:rsidP="00681515">
      <w:pPr>
        <w:jc w:val="left"/>
        <w:rPr>
          <w:rFonts w:eastAsia="SimSun"/>
          <w:lang w:val="en-US"/>
        </w:rPr>
      </w:pPr>
      <w:r w:rsidRPr="00681515">
        <w:rPr>
          <w:rFonts w:eastAsia="SimSun"/>
          <w:lang w:val="en-US"/>
        </w:rPr>
        <w:t xml:space="preserve">C – </w:t>
      </w:r>
      <w:r w:rsidR="00B6460F">
        <w:rPr>
          <w:rFonts w:eastAsia="SimSun"/>
          <w:lang w:val="en-US"/>
        </w:rPr>
        <w:t>C</w:t>
      </w:r>
      <w:r w:rsidRPr="00681515">
        <w:rPr>
          <w:rFonts w:eastAsia="SimSun"/>
          <w:lang w:val="en-US"/>
        </w:rPr>
        <w:t>arbon, wt.%</w:t>
      </w:r>
    </w:p>
    <w:p w14:paraId="53DCE872" w14:textId="65BE1DA9" w:rsidR="00681515" w:rsidRPr="00681515" w:rsidRDefault="00681515" w:rsidP="00681515">
      <w:pPr>
        <w:jc w:val="left"/>
        <w:rPr>
          <w:rFonts w:eastAsia="SimSun"/>
          <w:lang w:val="en-US"/>
        </w:rPr>
      </w:pPr>
      <w:r w:rsidRPr="00681515">
        <w:rPr>
          <w:rFonts w:eastAsia="SimSun"/>
          <w:lang w:val="en-US"/>
        </w:rPr>
        <w:t xml:space="preserve">H – </w:t>
      </w:r>
      <w:r w:rsidR="00B6460F">
        <w:rPr>
          <w:rFonts w:eastAsia="SimSun"/>
          <w:lang w:val="en-US"/>
        </w:rPr>
        <w:t>H</w:t>
      </w:r>
      <w:r w:rsidRPr="00681515">
        <w:rPr>
          <w:rFonts w:eastAsia="SimSun"/>
          <w:lang w:val="en-US"/>
        </w:rPr>
        <w:t>ydrogen, wt.%</w:t>
      </w:r>
    </w:p>
    <w:p w14:paraId="5CCE494F" w14:textId="06A2C731" w:rsidR="00681515" w:rsidRPr="00681515" w:rsidRDefault="00681515" w:rsidP="00681515">
      <w:pPr>
        <w:jc w:val="left"/>
        <w:rPr>
          <w:rFonts w:eastAsia="SimSun"/>
          <w:lang w:val="en-US"/>
        </w:rPr>
      </w:pPr>
      <w:r w:rsidRPr="00681515">
        <w:rPr>
          <w:rFonts w:eastAsia="SimSun"/>
          <w:lang w:val="en-US"/>
        </w:rPr>
        <w:t xml:space="preserve">N – </w:t>
      </w:r>
      <w:r w:rsidR="00B6460F">
        <w:rPr>
          <w:rFonts w:eastAsia="SimSun"/>
          <w:lang w:val="en-US"/>
        </w:rPr>
        <w:t>N</w:t>
      </w:r>
      <w:r w:rsidRPr="00681515">
        <w:rPr>
          <w:rFonts w:eastAsia="SimSun"/>
          <w:lang w:val="en-US"/>
        </w:rPr>
        <w:t>itrogen, wt.%</w:t>
      </w:r>
    </w:p>
    <w:p w14:paraId="70DF4B1D" w14:textId="3A9FF5DE" w:rsidR="00681515" w:rsidRPr="00681515" w:rsidRDefault="00681515" w:rsidP="00681515">
      <w:pPr>
        <w:jc w:val="left"/>
        <w:rPr>
          <w:rFonts w:eastAsia="SimSun"/>
          <w:lang w:val="en-US"/>
        </w:rPr>
      </w:pPr>
      <w:r w:rsidRPr="00681515">
        <w:rPr>
          <w:rFonts w:eastAsia="SimSun"/>
          <w:lang w:val="en-US"/>
        </w:rPr>
        <w:t xml:space="preserve">S – </w:t>
      </w:r>
      <w:r w:rsidR="00B6460F">
        <w:rPr>
          <w:rFonts w:eastAsia="SimSun"/>
          <w:lang w:val="en-US"/>
        </w:rPr>
        <w:t>S</w:t>
      </w:r>
      <w:r w:rsidRPr="00681515">
        <w:rPr>
          <w:rFonts w:eastAsia="SimSun"/>
          <w:lang w:val="en-US"/>
        </w:rPr>
        <w:t>ulphur content, wt.%</w:t>
      </w:r>
    </w:p>
    <w:p w14:paraId="41519B8F" w14:textId="47D466CA" w:rsidR="00681515" w:rsidRPr="00681515" w:rsidRDefault="00681515" w:rsidP="00681515">
      <w:pPr>
        <w:jc w:val="left"/>
        <w:rPr>
          <w:rFonts w:eastAsia="SimSun"/>
          <w:lang w:val="en-US"/>
        </w:rPr>
      </w:pPr>
      <w:r w:rsidRPr="00681515">
        <w:rPr>
          <w:rFonts w:eastAsia="SimSun"/>
          <w:lang w:val="en-US"/>
        </w:rPr>
        <w:t xml:space="preserve">O – </w:t>
      </w:r>
      <w:r w:rsidR="00B6460F">
        <w:rPr>
          <w:rFonts w:eastAsia="SimSun"/>
          <w:lang w:val="en-US"/>
        </w:rPr>
        <w:t>O</w:t>
      </w:r>
      <w:r w:rsidRPr="00681515">
        <w:rPr>
          <w:rFonts w:eastAsia="SimSun"/>
          <w:lang w:val="en-US"/>
        </w:rPr>
        <w:t>xygen, wt.%</w:t>
      </w:r>
    </w:p>
    <w:p w14:paraId="72C998E2" w14:textId="321216DC" w:rsidR="00681515" w:rsidRPr="00681515" w:rsidRDefault="00681515" w:rsidP="00681515">
      <w:pPr>
        <w:jc w:val="left"/>
        <w:rPr>
          <w:rFonts w:eastAsia="SimSun"/>
          <w:lang w:val="en-US"/>
        </w:rPr>
      </w:pPr>
      <w:proofErr w:type="spellStart"/>
      <w:r w:rsidRPr="00681515">
        <w:rPr>
          <w:rFonts w:eastAsia="SimSun"/>
          <w:lang w:val="en-US"/>
        </w:rPr>
        <w:t>adb</w:t>
      </w:r>
      <w:proofErr w:type="spellEnd"/>
      <w:r w:rsidRPr="00681515">
        <w:rPr>
          <w:rFonts w:eastAsia="SimSun"/>
          <w:lang w:val="en-US"/>
        </w:rPr>
        <w:t xml:space="preserve"> – </w:t>
      </w:r>
      <w:r w:rsidR="00B6460F">
        <w:rPr>
          <w:rFonts w:eastAsia="SimSun"/>
          <w:lang w:val="en-US"/>
        </w:rPr>
        <w:t>A</w:t>
      </w:r>
      <w:r w:rsidRPr="00681515">
        <w:rPr>
          <w:rFonts w:eastAsia="SimSun"/>
          <w:lang w:val="en-US"/>
        </w:rPr>
        <w:t>ir dried basis</w:t>
      </w:r>
    </w:p>
    <w:p w14:paraId="3AFB116F" w14:textId="5A2F9591" w:rsidR="00681515" w:rsidRPr="00681515" w:rsidRDefault="00681515" w:rsidP="00681515">
      <w:pPr>
        <w:jc w:val="left"/>
        <w:rPr>
          <w:rFonts w:eastAsia="SimSun"/>
          <w:lang w:val="en-US"/>
        </w:rPr>
      </w:pPr>
      <w:r w:rsidRPr="00681515">
        <w:rPr>
          <w:rFonts w:eastAsia="SimSun"/>
          <w:lang w:val="en-US"/>
        </w:rPr>
        <w:t xml:space="preserve">wt.% – </w:t>
      </w:r>
      <w:r w:rsidR="00B6460F">
        <w:rPr>
          <w:rFonts w:eastAsia="SimSun"/>
          <w:lang w:val="en-US"/>
        </w:rPr>
        <w:t>W</w:t>
      </w:r>
      <w:r w:rsidRPr="00681515">
        <w:rPr>
          <w:rFonts w:eastAsia="SimSun"/>
          <w:lang w:val="en-US"/>
        </w:rPr>
        <w:t>eighted percentage</w:t>
      </w:r>
    </w:p>
    <w:p w14:paraId="4CD8A890" w14:textId="3812621C" w:rsidR="00681515" w:rsidRPr="00681515" w:rsidRDefault="00681515" w:rsidP="00681515">
      <w:pPr>
        <w:jc w:val="left"/>
        <w:rPr>
          <w:rFonts w:eastAsia="SimSun"/>
          <w:lang w:val="en-US"/>
        </w:rPr>
      </w:pPr>
      <w:r w:rsidRPr="00681515">
        <w:rPr>
          <w:rFonts w:eastAsia="SimSun"/>
          <w:lang w:val="en-US"/>
        </w:rPr>
        <w:t xml:space="preserve">FGD – </w:t>
      </w:r>
      <w:r w:rsidR="00B6460F">
        <w:rPr>
          <w:rFonts w:eastAsia="SimSun"/>
          <w:lang w:val="en-US"/>
        </w:rPr>
        <w:t>F</w:t>
      </w:r>
      <w:r w:rsidRPr="00681515">
        <w:rPr>
          <w:rFonts w:eastAsia="SimSun"/>
          <w:lang w:val="en-US"/>
        </w:rPr>
        <w:t xml:space="preserve">lue </w:t>
      </w:r>
      <w:r w:rsidR="00B6460F">
        <w:rPr>
          <w:rFonts w:eastAsia="SimSun"/>
          <w:lang w:val="en-US"/>
        </w:rPr>
        <w:t>G</w:t>
      </w:r>
      <w:r w:rsidRPr="00681515">
        <w:rPr>
          <w:rFonts w:eastAsia="SimSun"/>
          <w:lang w:val="en-US"/>
        </w:rPr>
        <w:t xml:space="preserve">as </w:t>
      </w:r>
      <w:r w:rsidR="00B6460F">
        <w:rPr>
          <w:rFonts w:eastAsia="SimSun"/>
          <w:lang w:val="en-US"/>
        </w:rPr>
        <w:t>D</w:t>
      </w:r>
      <w:r w:rsidRPr="00681515">
        <w:rPr>
          <w:rFonts w:eastAsia="SimSun"/>
          <w:lang w:val="en-US"/>
        </w:rPr>
        <w:t>esulphurization</w:t>
      </w:r>
    </w:p>
    <w:p w14:paraId="2EC782F7" w14:textId="1730E85F" w:rsidR="00681515" w:rsidRPr="00681515" w:rsidRDefault="00681515" w:rsidP="00681515">
      <w:pPr>
        <w:jc w:val="left"/>
        <w:rPr>
          <w:rFonts w:eastAsia="SimSun"/>
          <w:lang w:val="en-US"/>
        </w:rPr>
      </w:pPr>
      <w:r w:rsidRPr="00681515">
        <w:rPr>
          <w:rFonts w:eastAsia="SimSun"/>
          <w:lang w:val="en-US"/>
        </w:rPr>
        <w:t xml:space="preserve">CV – </w:t>
      </w:r>
      <w:r w:rsidR="00B6460F">
        <w:rPr>
          <w:rFonts w:eastAsia="SimSun"/>
          <w:lang w:val="en-US"/>
        </w:rPr>
        <w:t>C</w:t>
      </w:r>
      <w:r w:rsidRPr="00681515">
        <w:rPr>
          <w:rFonts w:eastAsia="SimSun"/>
          <w:lang w:val="en-US"/>
        </w:rPr>
        <w:t xml:space="preserve">alorific </w:t>
      </w:r>
      <w:r w:rsidR="00B6460F">
        <w:rPr>
          <w:rFonts w:eastAsia="SimSun"/>
          <w:lang w:val="en-US"/>
        </w:rPr>
        <w:t>V</w:t>
      </w:r>
      <w:r w:rsidRPr="00681515">
        <w:rPr>
          <w:rFonts w:eastAsia="SimSun"/>
          <w:lang w:val="en-US"/>
        </w:rPr>
        <w:t>alue</w:t>
      </w:r>
    </w:p>
    <w:p w14:paraId="36F811BA" w14:textId="77777777" w:rsidR="00681515" w:rsidRPr="00681515" w:rsidRDefault="00681515" w:rsidP="00681515">
      <w:pPr>
        <w:jc w:val="left"/>
        <w:rPr>
          <w:rFonts w:eastAsia="SimSun"/>
          <w:lang w:val="en-US"/>
        </w:rPr>
        <w:sectPr w:rsidR="00681515" w:rsidRPr="00681515" w:rsidSect="00200ECB">
          <w:type w:val="continuous"/>
          <w:pgSz w:w="11906" w:h="16838" w:code="9"/>
          <w:pgMar w:top="1701" w:right="1418" w:bottom="1701" w:left="1701" w:header="1701" w:footer="0" w:gutter="0"/>
          <w:cols w:num="2" w:space="708"/>
          <w:formProt w:val="0"/>
          <w:titlePg/>
          <w:docGrid w:linePitch="360"/>
        </w:sectPr>
      </w:pPr>
    </w:p>
    <w:p w14:paraId="65CCD7CC" w14:textId="77777777" w:rsidR="00681515" w:rsidRPr="00681515" w:rsidRDefault="00681515" w:rsidP="00681515">
      <w:pPr>
        <w:tabs>
          <w:tab w:val="clear" w:pos="7100"/>
        </w:tabs>
        <w:spacing w:before="200" w:after="120" w:line="240" w:lineRule="auto"/>
        <w:jc w:val="left"/>
        <w:rPr>
          <w:b/>
        </w:rPr>
      </w:pPr>
      <w:r w:rsidRPr="00681515">
        <w:rPr>
          <w:b/>
        </w:rPr>
        <w:t>References</w:t>
      </w:r>
    </w:p>
    <w:p w14:paraId="7F8551A2" w14:textId="77777777" w:rsidR="00681515" w:rsidRPr="00681515" w:rsidRDefault="00681515" w:rsidP="00681515">
      <w:pPr>
        <w:tabs>
          <w:tab w:val="clear" w:pos="7100"/>
        </w:tabs>
        <w:ind w:left="284" w:hanging="284"/>
      </w:pPr>
      <w:r w:rsidRPr="00681515">
        <w:t xml:space="preserve">Adesina, J.AJ., </w:t>
      </w:r>
      <w:proofErr w:type="spellStart"/>
      <w:r w:rsidRPr="00681515">
        <w:t>Piketh</w:t>
      </w:r>
      <w:proofErr w:type="spellEnd"/>
      <w:r w:rsidRPr="00681515">
        <w:t>, S.J., Burger, R.P., Mkhatshwa, G., 2022, Assessment of criteria pollutants contributions from coal-fired plants and domestic solid fuel combustion at the South African industrial highveld, Cleaner Engineering and Technology 6, 100358.</w:t>
      </w:r>
    </w:p>
    <w:p w14:paraId="3899AC43" w14:textId="77777777" w:rsidR="00681515" w:rsidRPr="00681515" w:rsidRDefault="00681515" w:rsidP="00681515">
      <w:pPr>
        <w:tabs>
          <w:tab w:val="clear" w:pos="7100"/>
        </w:tabs>
        <w:ind w:left="284" w:hanging="284"/>
      </w:pPr>
      <w:proofErr w:type="spellStart"/>
      <w:r w:rsidRPr="00681515">
        <w:t>Akinbami</w:t>
      </w:r>
      <w:proofErr w:type="spellEnd"/>
      <w:r w:rsidRPr="00681515">
        <w:t xml:space="preserve"> O.M., </w:t>
      </w:r>
      <w:proofErr w:type="spellStart"/>
      <w:r w:rsidRPr="00681515">
        <w:t>Oke</w:t>
      </w:r>
      <w:proofErr w:type="spellEnd"/>
      <w:r w:rsidRPr="00681515">
        <w:t xml:space="preserve">, S.R., </w:t>
      </w:r>
      <w:proofErr w:type="spellStart"/>
      <w:r w:rsidRPr="00681515">
        <w:t>Bodunrin</w:t>
      </w:r>
      <w:proofErr w:type="spellEnd"/>
      <w:r w:rsidRPr="00681515">
        <w:t>, M.O, 2021. The state of renewable energy development in South Africa: An overview, Alexandria Engineering Journal, 60, 5077 – 5093.</w:t>
      </w:r>
    </w:p>
    <w:p w14:paraId="7A725C48" w14:textId="77777777" w:rsidR="00681515" w:rsidRPr="00681515" w:rsidRDefault="00681515" w:rsidP="00681515">
      <w:pPr>
        <w:tabs>
          <w:tab w:val="clear" w:pos="7100"/>
        </w:tabs>
        <w:ind w:left="284" w:hanging="284"/>
      </w:pPr>
      <w:proofErr w:type="spellStart"/>
      <w:r w:rsidRPr="00681515">
        <w:t>Krzywanski</w:t>
      </w:r>
      <w:proofErr w:type="spellEnd"/>
      <w:r w:rsidRPr="00681515">
        <w:t xml:space="preserve"> J, </w:t>
      </w:r>
      <w:proofErr w:type="spellStart"/>
      <w:r w:rsidRPr="00681515">
        <w:t>Czakiert</w:t>
      </w:r>
      <w:proofErr w:type="spellEnd"/>
      <w:r w:rsidRPr="00681515">
        <w:t xml:space="preserve"> T, Shimizu T, Majchrzak-</w:t>
      </w:r>
      <w:proofErr w:type="spellStart"/>
      <w:r w:rsidRPr="00681515">
        <w:t>Kuceba</w:t>
      </w:r>
      <w:proofErr w:type="spellEnd"/>
      <w:r w:rsidRPr="00681515">
        <w:t xml:space="preserve"> I, </w:t>
      </w:r>
      <w:proofErr w:type="spellStart"/>
      <w:r w:rsidRPr="00681515">
        <w:t>Shimazaki</w:t>
      </w:r>
      <w:proofErr w:type="spellEnd"/>
      <w:r w:rsidRPr="00681515">
        <w:t xml:space="preserve"> Y, </w:t>
      </w:r>
      <w:proofErr w:type="spellStart"/>
      <w:r w:rsidRPr="00681515">
        <w:t>Zylka</w:t>
      </w:r>
      <w:proofErr w:type="spellEnd"/>
      <w:r w:rsidRPr="00681515">
        <w:t xml:space="preserve"> A, Grabowska K, </w:t>
      </w:r>
      <w:proofErr w:type="spellStart"/>
      <w:r w:rsidRPr="00681515">
        <w:t>Sosnowski</w:t>
      </w:r>
      <w:proofErr w:type="spellEnd"/>
      <w:r w:rsidRPr="00681515">
        <w:t xml:space="preserve"> M. 2018. NOx Emissions from Regenerator of Calcium Looping Process. Energy Fuels 32, 6355 – 6362.</w:t>
      </w:r>
    </w:p>
    <w:p w14:paraId="104B1D1C" w14:textId="77777777" w:rsidR="00681515" w:rsidRPr="00681515" w:rsidRDefault="00681515" w:rsidP="00681515">
      <w:pPr>
        <w:tabs>
          <w:tab w:val="clear" w:pos="7100"/>
        </w:tabs>
        <w:ind w:left="284" w:hanging="284"/>
      </w:pPr>
      <w:r w:rsidRPr="00681515">
        <w:t>Makgato S.S., Chirwa E.M.N., 2017, Characteristics of Thermal Coal used by Power Plants in Waterberg Region of South Africa, Chemical Engineering Transactions, 57, 511–516.</w:t>
      </w:r>
    </w:p>
    <w:p w14:paraId="2CA884D4" w14:textId="77777777" w:rsidR="00681515" w:rsidRPr="00681515" w:rsidRDefault="00681515" w:rsidP="00681515">
      <w:pPr>
        <w:tabs>
          <w:tab w:val="clear" w:pos="7100"/>
        </w:tabs>
        <w:ind w:left="284" w:hanging="284"/>
      </w:pPr>
      <w:r w:rsidRPr="00681515">
        <w:t xml:space="preserve">Phiri Z, Everson RC, </w:t>
      </w:r>
      <w:proofErr w:type="spellStart"/>
      <w:r w:rsidRPr="00681515">
        <w:t>Neomagus</w:t>
      </w:r>
      <w:proofErr w:type="spellEnd"/>
      <w:r w:rsidRPr="00681515">
        <w:t xml:space="preserve"> HWJP, Wood BJ. 2017. The effect of acid demineralising bituminous coals and de-</w:t>
      </w:r>
      <w:proofErr w:type="spellStart"/>
      <w:r w:rsidRPr="00681515">
        <w:t>ashing</w:t>
      </w:r>
      <w:proofErr w:type="spellEnd"/>
      <w:r w:rsidRPr="00681515">
        <w:t xml:space="preserve"> the respective chars on nitrogen functional forms. Journal of Analytical and Applied Pyrolysis 125, 127–135.</w:t>
      </w:r>
    </w:p>
    <w:p w14:paraId="57FC81B2" w14:textId="77777777" w:rsidR="00681515" w:rsidRPr="00681515" w:rsidRDefault="00681515" w:rsidP="00681515">
      <w:pPr>
        <w:tabs>
          <w:tab w:val="clear" w:pos="7100"/>
        </w:tabs>
        <w:ind w:left="284" w:hanging="284"/>
      </w:pPr>
      <w:r w:rsidRPr="00681515">
        <w:t xml:space="preserve">Song, M., Zeng, L., Li, X., Liu, Y., Chen, Z., Li, Z, 2018, Effects of tertiary air damper opening on flow, combustion, and hopper near-wall temperature of a 600 MWe down-fired boiler with improved multiple-injection multiple-staging technology, Journal of the Energy Institute, 573 – 583. </w:t>
      </w:r>
    </w:p>
    <w:p w14:paraId="19C4FC68" w14:textId="75A3169A" w:rsidR="004628D2" w:rsidRDefault="00681515" w:rsidP="00681515">
      <w:pPr>
        <w:tabs>
          <w:tab w:val="clear" w:pos="7100"/>
        </w:tabs>
        <w:ind w:left="284" w:hanging="284"/>
      </w:pPr>
      <w:r w:rsidRPr="00681515">
        <w:t>Qi M, Luo H, Wei P, Fu Z. 2019. Estimation of low calorific value of blended coals based on support vector regression and sensitivity analysis in coal-fired power plants. Fuel 236, 1400–1407.</w:t>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B8D7" w14:textId="77777777" w:rsidR="000811A4" w:rsidRDefault="000811A4" w:rsidP="004F5E36">
      <w:r>
        <w:separator/>
      </w:r>
    </w:p>
  </w:endnote>
  <w:endnote w:type="continuationSeparator" w:id="0">
    <w:p w14:paraId="38B5B25E" w14:textId="77777777" w:rsidR="000811A4" w:rsidRDefault="000811A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EB8B" w14:textId="77777777" w:rsidR="000811A4" w:rsidRDefault="000811A4" w:rsidP="004F5E36">
      <w:r>
        <w:separator/>
      </w:r>
    </w:p>
  </w:footnote>
  <w:footnote w:type="continuationSeparator" w:id="0">
    <w:p w14:paraId="1A1EFCFA" w14:textId="77777777" w:rsidR="000811A4" w:rsidRDefault="000811A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218192">
    <w:abstractNumId w:val="10"/>
  </w:num>
  <w:num w:numId="2" w16cid:durableId="1190141385">
    <w:abstractNumId w:val="8"/>
  </w:num>
  <w:num w:numId="3" w16cid:durableId="1310282709">
    <w:abstractNumId w:val="3"/>
  </w:num>
  <w:num w:numId="4" w16cid:durableId="1681350481">
    <w:abstractNumId w:val="2"/>
  </w:num>
  <w:num w:numId="5" w16cid:durableId="481388057">
    <w:abstractNumId w:val="1"/>
  </w:num>
  <w:num w:numId="6" w16cid:durableId="1668367324">
    <w:abstractNumId w:val="0"/>
  </w:num>
  <w:num w:numId="7" w16cid:durableId="1730954182">
    <w:abstractNumId w:val="9"/>
  </w:num>
  <w:num w:numId="8" w16cid:durableId="1423573731">
    <w:abstractNumId w:val="7"/>
  </w:num>
  <w:num w:numId="9" w16cid:durableId="1075932879">
    <w:abstractNumId w:val="6"/>
  </w:num>
  <w:num w:numId="10" w16cid:durableId="731580307">
    <w:abstractNumId w:val="5"/>
  </w:num>
  <w:num w:numId="11" w16cid:durableId="1400326317">
    <w:abstractNumId w:val="4"/>
  </w:num>
  <w:num w:numId="12" w16cid:durableId="249434873">
    <w:abstractNumId w:val="17"/>
  </w:num>
  <w:num w:numId="13" w16cid:durableId="1881360655">
    <w:abstractNumId w:val="12"/>
  </w:num>
  <w:num w:numId="14" w16cid:durableId="573899238">
    <w:abstractNumId w:val="18"/>
  </w:num>
  <w:num w:numId="15" w16cid:durableId="1265264042">
    <w:abstractNumId w:val="20"/>
  </w:num>
  <w:num w:numId="16" w16cid:durableId="1155801666">
    <w:abstractNumId w:val="19"/>
  </w:num>
  <w:num w:numId="17" w16cid:durableId="1373535720">
    <w:abstractNumId w:val="11"/>
  </w:num>
  <w:num w:numId="18" w16cid:durableId="1601646698">
    <w:abstractNumId w:val="12"/>
    <w:lvlOverride w:ilvl="0">
      <w:startOverride w:val="1"/>
    </w:lvlOverride>
  </w:num>
  <w:num w:numId="19" w16cid:durableId="93326176">
    <w:abstractNumId w:val="16"/>
  </w:num>
  <w:num w:numId="20" w16cid:durableId="2106413756">
    <w:abstractNumId w:val="15"/>
  </w:num>
  <w:num w:numId="21" w16cid:durableId="662124079">
    <w:abstractNumId w:val="14"/>
  </w:num>
  <w:num w:numId="22" w16cid:durableId="4485970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5C06"/>
    <w:rsid w:val="00025E85"/>
    <w:rsid w:val="0003148D"/>
    <w:rsid w:val="00031EEC"/>
    <w:rsid w:val="00042F7E"/>
    <w:rsid w:val="00051566"/>
    <w:rsid w:val="000525F7"/>
    <w:rsid w:val="000556E8"/>
    <w:rsid w:val="000562A9"/>
    <w:rsid w:val="00062A9A"/>
    <w:rsid w:val="00065058"/>
    <w:rsid w:val="000811A4"/>
    <w:rsid w:val="0008328D"/>
    <w:rsid w:val="00083902"/>
    <w:rsid w:val="00086C39"/>
    <w:rsid w:val="00091C60"/>
    <w:rsid w:val="000A03B2"/>
    <w:rsid w:val="000C30CC"/>
    <w:rsid w:val="000D0268"/>
    <w:rsid w:val="000D2D4B"/>
    <w:rsid w:val="000D34BE"/>
    <w:rsid w:val="000E102F"/>
    <w:rsid w:val="000E2C9D"/>
    <w:rsid w:val="000E36F1"/>
    <w:rsid w:val="000E3A73"/>
    <w:rsid w:val="000E414A"/>
    <w:rsid w:val="000F093C"/>
    <w:rsid w:val="000F0AF9"/>
    <w:rsid w:val="000F29E3"/>
    <w:rsid w:val="000F4F92"/>
    <w:rsid w:val="000F7029"/>
    <w:rsid w:val="000F787B"/>
    <w:rsid w:val="000F79CA"/>
    <w:rsid w:val="000F7BCA"/>
    <w:rsid w:val="00100914"/>
    <w:rsid w:val="0012091F"/>
    <w:rsid w:val="00126BC2"/>
    <w:rsid w:val="001308B6"/>
    <w:rsid w:val="0013121F"/>
    <w:rsid w:val="00131FE6"/>
    <w:rsid w:val="0013263F"/>
    <w:rsid w:val="001331DF"/>
    <w:rsid w:val="00134DE4"/>
    <w:rsid w:val="00137CA0"/>
    <w:rsid w:val="0014034D"/>
    <w:rsid w:val="00144D16"/>
    <w:rsid w:val="00150E59"/>
    <w:rsid w:val="00152DE3"/>
    <w:rsid w:val="001564CE"/>
    <w:rsid w:val="00164CF9"/>
    <w:rsid w:val="0016679E"/>
    <w:rsid w:val="001667A6"/>
    <w:rsid w:val="00167129"/>
    <w:rsid w:val="00173B6D"/>
    <w:rsid w:val="00176FC7"/>
    <w:rsid w:val="00180E1B"/>
    <w:rsid w:val="00184AD6"/>
    <w:rsid w:val="00185693"/>
    <w:rsid w:val="00187EBB"/>
    <w:rsid w:val="00196543"/>
    <w:rsid w:val="001A4AF7"/>
    <w:rsid w:val="001A5ABB"/>
    <w:rsid w:val="001A7E89"/>
    <w:rsid w:val="001B0349"/>
    <w:rsid w:val="001B1E93"/>
    <w:rsid w:val="001B65C1"/>
    <w:rsid w:val="001C684B"/>
    <w:rsid w:val="001D0CFB"/>
    <w:rsid w:val="001D21AF"/>
    <w:rsid w:val="001D3F5F"/>
    <w:rsid w:val="001D53FC"/>
    <w:rsid w:val="001F42A5"/>
    <w:rsid w:val="001F5436"/>
    <w:rsid w:val="001F7B9D"/>
    <w:rsid w:val="00200E26"/>
    <w:rsid w:val="00201C93"/>
    <w:rsid w:val="002023F3"/>
    <w:rsid w:val="00203C9E"/>
    <w:rsid w:val="00206486"/>
    <w:rsid w:val="00207668"/>
    <w:rsid w:val="00220DB4"/>
    <w:rsid w:val="002224B4"/>
    <w:rsid w:val="00225427"/>
    <w:rsid w:val="002304C3"/>
    <w:rsid w:val="00235C19"/>
    <w:rsid w:val="00237B9F"/>
    <w:rsid w:val="002447EF"/>
    <w:rsid w:val="00251550"/>
    <w:rsid w:val="002545A9"/>
    <w:rsid w:val="00262B2B"/>
    <w:rsid w:val="00263B05"/>
    <w:rsid w:val="0026698F"/>
    <w:rsid w:val="0027221A"/>
    <w:rsid w:val="00275B61"/>
    <w:rsid w:val="00277967"/>
    <w:rsid w:val="00280FAF"/>
    <w:rsid w:val="00281BCC"/>
    <w:rsid w:val="00282656"/>
    <w:rsid w:val="002903BB"/>
    <w:rsid w:val="00296B83"/>
    <w:rsid w:val="002A1434"/>
    <w:rsid w:val="002B4015"/>
    <w:rsid w:val="002B69FE"/>
    <w:rsid w:val="002B78CE"/>
    <w:rsid w:val="002C2FB6"/>
    <w:rsid w:val="002C3E27"/>
    <w:rsid w:val="002C4F16"/>
    <w:rsid w:val="002C701C"/>
    <w:rsid w:val="002E1A15"/>
    <w:rsid w:val="002E5FA7"/>
    <w:rsid w:val="002F1ACB"/>
    <w:rsid w:val="002F3309"/>
    <w:rsid w:val="003008CE"/>
    <w:rsid w:val="003009B7"/>
    <w:rsid w:val="00300E56"/>
    <w:rsid w:val="0030152C"/>
    <w:rsid w:val="00301B42"/>
    <w:rsid w:val="0030469C"/>
    <w:rsid w:val="003049C2"/>
    <w:rsid w:val="00310BF3"/>
    <w:rsid w:val="00321CA6"/>
    <w:rsid w:val="00323763"/>
    <w:rsid w:val="00323C5F"/>
    <w:rsid w:val="00334C09"/>
    <w:rsid w:val="00334F93"/>
    <w:rsid w:val="003500F9"/>
    <w:rsid w:val="00362AFB"/>
    <w:rsid w:val="00365945"/>
    <w:rsid w:val="00370DC6"/>
    <w:rsid w:val="0037173E"/>
    <w:rsid w:val="003723D4"/>
    <w:rsid w:val="00374DF3"/>
    <w:rsid w:val="0037571E"/>
    <w:rsid w:val="00380072"/>
    <w:rsid w:val="00381905"/>
    <w:rsid w:val="00383EBB"/>
    <w:rsid w:val="003845D7"/>
    <w:rsid w:val="00384CC8"/>
    <w:rsid w:val="00386D6E"/>
    <w:rsid w:val="003871FD"/>
    <w:rsid w:val="003A1E30"/>
    <w:rsid w:val="003A2829"/>
    <w:rsid w:val="003A4854"/>
    <w:rsid w:val="003A4BC6"/>
    <w:rsid w:val="003A5B88"/>
    <w:rsid w:val="003A7D1C"/>
    <w:rsid w:val="003B304B"/>
    <w:rsid w:val="003B3146"/>
    <w:rsid w:val="003C0AA9"/>
    <w:rsid w:val="003C4A4A"/>
    <w:rsid w:val="003C55AC"/>
    <w:rsid w:val="003E1F6C"/>
    <w:rsid w:val="003E6903"/>
    <w:rsid w:val="003F015E"/>
    <w:rsid w:val="00400414"/>
    <w:rsid w:val="00402DEB"/>
    <w:rsid w:val="0040610A"/>
    <w:rsid w:val="0040694F"/>
    <w:rsid w:val="0041446B"/>
    <w:rsid w:val="004154BA"/>
    <w:rsid w:val="00427D0D"/>
    <w:rsid w:val="0044071E"/>
    <w:rsid w:val="0044329C"/>
    <w:rsid w:val="00445F36"/>
    <w:rsid w:val="00453E24"/>
    <w:rsid w:val="00457456"/>
    <w:rsid w:val="004577FE"/>
    <w:rsid w:val="00457B9C"/>
    <w:rsid w:val="0046164A"/>
    <w:rsid w:val="004628D2"/>
    <w:rsid w:val="00462DCD"/>
    <w:rsid w:val="00463FC6"/>
    <w:rsid w:val="004648AD"/>
    <w:rsid w:val="004703A9"/>
    <w:rsid w:val="0047055E"/>
    <w:rsid w:val="00470B42"/>
    <w:rsid w:val="004760DE"/>
    <w:rsid w:val="004763D7"/>
    <w:rsid w:val="0048113D"/>
    <w:rsid w:val="004906DA"/>
    <w:rsid w:val="0049089A"/>
    <w:rsid w:val="004A004E"/>
    <w:rsid w:val="004A24CF"/>
    <w:rsid w:val="004A6BD1"/>
    <w:rsid w:val="004C3D1D"/>
    <w:rsid w:val="004C3D84"/>
    <w:rsid w:val="004C7913"/>
    <w:rsid w:val="004D4D51"/>
    <w:rsid w:val="004E4DD6"/>
    <w:rsid w:val="004F5E36"/>
    <w:rsid w:val="004F6CAA"/>
    <w:rsid w:val="00502ED3"/>
    <w:rsid w:val="00507B47"/>
    <w:rsid w:val="00507BEF"/>
    <w:rsid w:val="00507CC9"/>
    <w:rsid w:val="005105C3"/>
    <w:rsid w:val="005119A5"/>
    <w:rsid w:val="005159EC"/>
    <w:rsid w:val="005278B7"/>
    <w:rsid w:val="00532016"/>
    <w:rsid w:val="005346C8"/>
    <w:rsid w:val="00543E05"/>
    <w:rsid w:val="00543E7D"/>
    <w:rsid w:val="00547A68"/>
    <w:rsid w:val="005531C9"/>
    <w:rsid w:val="00560295"/>
    <w:rsid w:val="00570193"/>
    <w:rsid w:val="00570C43"/>
    <w:rsid w:val="00570CFB"/>
    <w:rsid w:val="00577A96"/>
    <w:rsid w:val="00582519"/>
    <w:rsid w:val="00591A7F"/>
    <w:rsid w:val="005A1994"/>
    <w:rsid w:val="005A2D55"/>
    <w:rsid w:val="005A3D70"/>
    <w:rsid w:val="005A76F8"/>
    <w:rsid w:val="005B1353"/>
    <w:rsid w:val="005B2110"/>
    <w:rsid w:val="005B61E6"/>
    <w:rsid w:val="005C4F57"/>
    <w:rsid w:val="005C77E1"/>
    <w:rsid w:val="005C7B0B"/>
    <w:rsid w:val="005D51EC"/>
    <w:rsid w:val="005D668A"/>
    <w:rsid w:val="005D6A2F"/>
    <w:rsid w:val="005D75DB"/>
    <w:rsid w:val="005E1A82"/>
    <w:rsid w:val="005E5517"/>
    <w:rsid w:val="005E794C"/>
    <w:rsid w:val="005F0A28"/>
    <w:rsid w:val="005F0E5E"/>
    <w:rsid w:val="005F35C5"/>
    <w:rsid w:val="005F5AD3"/>
    <w:rsid w:val="00600535"/>
    <w:rsid w:val="0060281F"/>
    <w:rsid w:val="00610CD6"/>
    <w:rsid w:val="006116A0"/>
    <w:rsid w:val="00615398"/>
    <w:rsid w:val="00620DEE"/>
    <w:rsid w:val="00621F92"/>
    <w:rsid w:val="0062280A"/>
    <w:rsid w:val="00623EAE"/>
    <w:rsid w:val="006248D9"/>
    <w:rsid w:val="006255F0"/>
    <w:rsid w:val="00625639"/>
    <w:rsid w:val="00631B33"/>
    <w:rsid w:val="006407E5"/>
    <w:rsid w:val="00640CF7"/>
    <w:rsid w:val="00641225"/>
    <w:rsid w:val="0064184D"/>
    <w:rsid w:val="006422CC"/>
    <w:rsid w:val="00644EDE"/>
    <w:rsid w:val="006478F3"/>
    <w:rsid w:val="00650642"/>
    <w:rsid w:val="00660B40"/>
    <w:rsid w:val="00660E3E"/>
    <w:rsid w:val="00662E74"/>
    <w:rsid w:val="00664600"/>
    <w:rsid w:val="00665526"/>
    <w:rsid w:val="00667C44"/>
    <w:rsid w:val="00670378"/>
    <w:rsid w:val="0067542A"/>
    <w:rsid w:val="0068010E"/>
    <w:rsid w:val="00680C23"/>
    <w:rsid w:val="00681515"/>
    <w:rsid w:val="006839F5"/>
    <w:rsid w:val="00685042"/>
    <w:rsid w:val="00686BC0"/>
    <w:rsid w:val="00690105"/>
    <w:rsid w:val="0069237D"/>
    <w:rsid w:val="00693766"/>
    <w:rsid w:val="00696E11"/>
    <w:rsid w:val="006A3281"/>
    <w:rsid w:val="006A5CA0"/>
    <w:rsid w:val="006B27C1"/>
    <w:rsid w:val="006B4888"/>
    <w:rsid w:val="006C2E45"/>
    <w:rsid w:val="006C359C"/>
    <w:rsid w:val="006C5579"/>
    <w:rsid w:val="006D3C4D"/>
    <w:rsid w:val="006D6E8B"/>
    <w:rsid w:val="006E737D"/>
    <w:rsid w:val="00700456"/>
    <w:rsid w:val="007036F5"/>
    <w:rsid w:val="00713973"/>
    <w:rsid w:val="00720A24"/>
    <w:rsid w:val="00730A78"/>
    <w:rsid w:val="00732386"/>
    <w:rsid w:val="0073514D"/>
    <w:rsid w:val="007447F3"/>
    <w:rsid w:val="0075499F"/>
    <w:rsid w:val="00756DB2"/>
    <w:rsid w:val="007642D8"/>
    <w:rsid w:val="007661C8"/>
    <w:rsid w:val="0077098D"/>
    <w:rsid w:val="00771E02"/>
    <w:rsid w:val="007755AC"/>
    <w:rsid w:val="007806EB"/>
    <w:rsid w:val="007842A8"/>
    <w:rsid w:val="007931FA"/>
    <w:rsid w:val="00793B62"/>
    <w:rsid w:val="007A4861"/>
    <w:rsid w:val="007A7BBA"/>
    <w:rsid w:val="007B0C50"/>
    <w:rsid w:val="007B4448"/>
    <w:rsid w:val="007B48F9"/>
    <w:rsid w:val="007B4D28"/>
    <w:rsid w:val="007C1A43"/>
    <w:rsid w:val="007D0951"/>
    <w:rsid w:val="007D5196"/>
    <w:rsid w:val="007E7939"/>
    <w:rsid w:val="007F1783"/>
    <w:rsid w:val="0080013E"/>
    <w:rsid w:val="00804F3A"/>
    <w:rsid w:val="00805DB7"/>
    <w:rsid w:val="00812C71"/>
    <w:rsid w:val="00813288"/>
    <w:rsid w:val="008168FC"/>
    <w:rsid w:val="008223E9"/>
    <w:rsid w:val="008238FF"/>
    <w:rsid w:val="00826AC8"/>
    <w:rsid w:val="00830996"/>
    <w:rsid w:val="008345F1"/>
    <w:rsid w:val="00837658"/>
    <w:rsid w:val="00845B43"/>
    <w:rsid w:val="00861137"/>
    <w:rsid w:val="00865B07"/>
    <w:rsid w:val="00865EC6"/>
    <w:rsid w:val="008667EA"/>
    <w:rsid w:val="00867776"/>
    <w:rsid w:val="00871D70"/>
    <w:rsid w:val="0087637F"/>
    <w:rsid w:val="00892AD5"/>
    <w:rsid w:val="008A1512"/>
    <w:rsid w:val="008C1A60"/>
    <w:rsid w:val="008C4440"/>
    <w:rsid w:val="008C67DA"/>
    <w:rsid w:val="008C7DC4"/>
    <w:rsid w:val="008D32B9"/>
    <w:rsid w:val="008D433B"/>
    <w:rsid w:val="008D4A16"/>
    <w:rsid w:val="008D5C33"/>
    <w:rsid w:val="008D6E85"/>
    <w:rsid w:val="008E1B8A"/>
    <w:rsid w:val="008E38D4"/>
    <w:rsid w:val="008E566E"/>
    <w:rsid w:val="008F21E9"/>
    <w:rsid w:val="0090161A"/>
    <w:rsid w:val="00901EB6"/>
    <w:rsid w:val="00904C62"/>
    <w:rsid w:val="00905450"/>
    <w:rsid w:val="009202A1"/>
    <w:rsid w:val="009215B7"/>
    <w:rsid w:val="00922BA8"/>
    <w:rsid w:val="00924DAC"/>
    <w:rsid w:val="00927058"/>
    <w:rsid w:val="009417FE"/>
    <w:rsid w:val="00942750"/>
    <w:rsid w:val="009450CE"/>
    <w:rsid w:val="009459BB"/>
    <w:rsid w:val="00947179"/>
    <w:rsid w:val="0095164B"/>
    <w:rsid w:val="00954090"/>
    <w:rsid w:val="00955CEE"/>
    <w:rsid w:val="009573E7"/>
    <w:rsid w:val="00963E05"/>
    <w:rsid w:val="00964A45"/>
    <w:rsid w:val="00967843"/>
    <w:rsid w:val="00967D54"/>
    <w:rsid w:val="00970D42"/>
    <w:rsid w:val="00971028"/>
    <w:rsid w:val="0097464E"/>
    <w:rsid w:val="009801D3"/>
    <w:rsid w:val="00992C1E"/>
    <w:rsid w:val="00993B84"/>
    <w:rsid w:val="00996483"/>
    <w:rsid w:val="00996D38"/>
    <w:rsid w:val="00996F5A"/>
    <w:rsid w:val="009B041A"/>
    <w:rsid w:val="009B14C7"/>
    <w:rsid w:val="009B5976"/>
    <w:rsid w:val="009C37C3"/>
    <w:rsid w:val="009C7C86"/>
    <w:rsid w:val="009D22CA"/>
    <w:rsid w:val="009D2FF7"/>
    <w:rsid w:val="009E7884"/>
    <w:rsid w:val="009E788A"/>
    <w:rsid w:val="009F0E08"/>
    <w:rsid w:val="009F1339"/>
    <w:rsid w:val="009F2B86"/>
    <w:rsid w:val="009F7AE4"/>
    <w:rsid w:val="00A1152A"/>
    <w:rsid w:val="00A1619E"/>
    <w:rsid w:val="00A17340"/>
    <w:rsid w:val="00A1763D"/>
    <w:rsid w:val="00A17CEC"/>
    <w:rsid w:val="00A259B1"/>
    <w:rsid w:val="00A27EF0"/>
    <w:rsid w:val="00A41031"/>
    <w:rsid w:val="00A415CE"/>
    <w:rsid w:val="00A42361"/>
    <w:rsid w:val="00A50B20"/>
    <w:rsid w:val="00A51390"/>
    <w:rsid w:val="00A60D13"/>
    <w:rsid w:val="00A71381"/>
    <w:rsid w:val="00A7223D"/>
    <w:rsid w:val="00A72745"/>
    <w:rsid w:val="00A76EFC"/>
    <w:rsid w:val="00A8161B"/>
    <w:rsid w:val="00A87D50"/>
    <w:rsid w:val="00A91010"/>
    <w:rsid w:val="00A95A1C"/>
    <w:rsid w:val="00A97F29"/>
    <w:rsid w:val="00AA702E"/>
    <w:rsid w:val="00AA7D26"/>
    <w:rsid w:val="00AB0964"/>
    <w:rsid w:val="00AB3D17"/>
    <w:rsid w:val="00AB5011"/>
    <w:rsid w:val="00AC7368"/>
    <w:rsid w:val="00AD16B9"/>
    <w:rsid w:val="00AD6AC6"/>
    <w:rsid w:val="00AE377D"/>
    <w:rsid w:val="00AF0EBA"/>
    <w:rsid w:val="00AF6BDE"/>
    <w:rsid w:val="00B02C8A"/>
    <w:rsid w:val="00B02DA8"/>
    <w:rsid w:val="00B06CB1"/>
    <w:rsid w:val="00B12370"/>
    <w:rsid w:val="00B15EE7"/>
    <w:rsid w:val="00B17589"/>
    <w:rsid w:val="00B17FBD"/>
    <w:rsid w:val="00B21422"/>
    <w:rsid w:val="00B23756"/>
    <w:rsid w:val="00B315A6"/>
    <w:rsid w:val="00B31813"/>
    <w:rsid w:val="00B33365"/>
    <w:rsid w:val="00B3448D"/>
    <w:rsid w:val="00B37543"/>
    <w:rsid w:val="00B42760"/>
    <w:rsid w:val="00B478F9"/>
    <w:rsid w:val="00B532D6"/>
    <w:rsid w:val="00B57B36"/>
    <w:rsid w:val="00B57E6F"/>
    <w:rsid w:val="00B6460F"/>
    <w:rsid w:val="00B72A78"/>
    <w:rsid w:val="00B73696"/>
    <w:rsid w:val="00B8244D"/>
    <w:rsid w:val="00B8686D"/>
    <w:rsid w:val="00B93F69"/>
    <w:rsid w:val="00B9600B"/>
    <w:rsid w:val="00B96B69"/>
    <w:rsid w:val="00BB1DDC"/>
    <w:rsid w:val="00BC30C9"/>
    <w:rsid w:val="00BC44CE"/>
    <w:rsid w:val="00BC4E21"/>
    <w:rsid w:val="00BC6329"/>
    <w:rsid w:val="00BD077D"/>
    <w:rsid w:val="00BD0859"/>
    <w:rsid w:val="00BE3E58"/>
    <w:rsid w:val="00BE5C76"/>
    <w:rsid w:val="00BE6A65"/>
    <w:rsid w:val="00BE789C"/>
    <w:rsid w:val="00BF7AC0"/>
    <w:rsid w:val="00C01616"/>
    <w:rsid w:val="00C0162B"/>
    <w:rsid w:val="00C04E91"/>
    <w:rsid w:val="00C068ED"/>
    <w:rsid w:val="00C12A0C"/>
    <w:rsid w:val="00C1617B"/>
    <w:rsid w:val="00C2267F"/>
    <w:rsid w:val="00C22E0C"/>
    <w:rsid w:val="00C26957"/>
    <w:rsid w:val="00C345B1"/>
    <w:rsid w:val="00C40142"/>
    <w:rsid w:val="00C40BDC"/>
    <w:rsid w:val="00C42B73"/>
    <w:rsid w:val="00C46356"/>
    <w:rsid w:val="00C52C3C"/>
    <w:rsid w:val="00C56690"/>
    <w:rsid w:val="00C57182"/>
    <w:rsid w:val="00C57863"/>
    <w:rsid w:val="00C640AF"/>
    <w:rsid w:val="00C655FD"/>
    <w:rsid w:val="00C65DE5"/>
    <w:rsid w:val="00C65DE6"/>
    <w:rsid w:val="00C75407"/>
    <w:rsid w:val="00C774B6"/>
    <w:rsid w:val="00C82826"/>
    <w:rsid w:val="00C844EF"/>
    <w:rsid w:val="00C870A8"/>
    <w:rsid w:val="00C8769F"/>
    <w:rsid w:val="00C8776B"/>
    <w:rsid w:val="00C9129F"/>
    <w:rsid w:val="00C94010"/>
    <w:rsid w:val="00C94434"/>
    <w:rsid w:val="00CA0D75"/>
    <w:rsid w:val="00CA1C95"/>
    <w:rsid w:val="00CA5A9C"/>
    <w:rsid w:val="00CA67D8"/>
    <w:rsid w:val="00CB4CCF"/>
    <w:rsid w:val="00CC0D77"/>
    <w:rsid w:val="00CC4C20"/>
    <w:rsid w:val="00CD3517"/>
    <w:rsid w:val="00CD5838"/>
    <w:rsid w:val="00CD5FE2"/>
    <w:rsid w:val="00CD6066"/>
    <w:rsid w:val="00CD6569"/>
    <w:rsid w:val="00CE7C68"/>
    <w:rsid w:val="00CF1E39"/>
    <w:rsid w:val="00CF2ADF"/>
    <w:rsid w:val="00D02B4C"/>
    <w:rsid w:val="00D040C4"/>
    <w:rsid w:val="00D055E1"/>
    <w:rsid w:val="00D13A2B"/>
    <w:rsid w:val="00D14A70"/>
    <w:rsid w:val="00D15AE6"/>
    <w:rsid w:val="00D20AD1"/>
    <w:rsid w:val="00D25C97"/>
    <w:rsid w:val="00D42BBC"/>
    <w:rsid w:val="00D46B7E"/>
    <w:rsid w:val="00D47998"/>
    <w:rsid w:val="00D54769"/>
    <w:rsid w:val="00D55438"/>
    <w:rsid w:val="00D57C84"/>
    <w:rsid w:val="00D6057D"/>
    <w:rsid w:val="00D6387A"/>
    <w:rsid w:val="00D71640"/>
    <w:rsid w:val="00D77FEE"/>
    <w:rsid w:val="00D836C5"/>
    <w:rsid w:val="00D84576"/>
    <w:rsid w:val="00DA1399"/>
    <w:rsid w:val="00DA24C6"/>
    <w:rsid w:val="00DA4D7B"/>
    <w:rsid w:val="00DB55EB"/>
    <w:rsid w:val="00DB7700"/>
    <w:rsid w:val="00DC466C"/>
    <w:rsid w:val="00DD271C"/>
    <w:rsid w:val="00DE264A"/>
    <w:rsid w:val="00DF13CE"/>
    <w:rsid w:val="00DF5072"/>
    <w:rsid w:val="00DF702C"/>
    <w:rsid w:val="00DF7B40"/>
    <w:rsid w:val="00E02D18"/>
    <w:rsid w:val="00E041E7"/>
    <w:rsid w:val="00E23CA1"/>
    <w:rsid w:val="00E264AA"/>
    <w:rsid w:val="00E409A8"/>
    <w:rsid w:val="00E50C12"/>
    <w:rsid w:val="00E52346"/>
    <w:rsid w:val="00E54A42"/>
    <w:rsid w:val="00E60AEB"/>
    <w:rsid w:val="00E64FC9"/>
    <w:rsid w:val="00E65B91"/>
    <w:rsid w:val="00E7209D"/>
    <w:rsid w:val="00E7266F"/>
    <w:rsid w:val="00E72EAD"/>
    <w:rsid w:val="00E761FC"/>
    <w:rsid w:val="00E77223"/>
    <w:rsid w:val="00E8528B"/>
    <w:rsid w:val="00E85B94"/>
    <w:rsid w:val="00E96140"/>
    <w:rsid w:val="00E978D0"/>
    <w:rsid w:val="00E97CE6"/>
    <w:rsid w:val="00EA0EA5"/>
    <w:rsid w:val="00EA1B6F"/>
    <w:rsid w:val="00EA4613"/>
    <w:rsid w:val="00EA7F91"/>
    <w:rsid w:val="00EB0375"/>
    <w:rsid w:val="00EB1523"/>
    <w:rsid w:val="00EB3020"/>
    <w:rsid w:val="00EB32E9"/>
    <w:rsid w:val="00EC0E49"/>
    <w:rsid w:val="00EC101F"/>
    <w:rsid w:val="00EC1D9F"/>
    <w:rsid w:val="00ED174E"/>
    <w:rsid w:val="00ED3C30"/>
    <w:rsid w:val="00ED5055"/>
    <w:rsid w:val="00EE0131"/>
    <w:rsid w:val="00EE17B0"/>
    <w:rsid w:val="00EE4E6D"/>
    <w:rsid w:val="00EE75EE"/>
    <w:rsid w:val="00EF06D9"/>
    <w:rsid w:val="00F03CF7"/>
    <w:rsid w:val="00F071DB"/>
    <w:rsid w:val="00F15481"/>
    <w:rsid w:val="00F3049E"/>
    <w:rsid w:val="00F30C64"/>
    <w:rsid w:val="00F32BA2"/>
    <w:rsid w:val="00F32CDB"/>
    <w:rsid w:val="00F45EEB"/>
    <w:rsid w:val="00F46A80"/>
    <w:rsid w:val="00F5141E"/>
    <w:rsid w:val="00F54078"/>
    <w:rsid w:val="00F565FE"/>
    <w:rsid w:val="00F60484"/>
    <w:rsid w:val="00F63A70"/>
    <w:rsid w:val="00F63D8C"/>
    <w:rsid w:val="00F700C4"/>
    <w:rsid w:val="00F7534E"/>
    <w:rsid w:val="00F768C5"/>
    <w:rsid w:val="00F93EDF"/>
    <w:rsid w:val="00F974B1"/>
    <w:rsid w:val="00FA1802"/>
    <w:rsid w:val="00FA21D0"/>
    <w:rsid w:val="00FA5F5F"/>
    <w:rsid w:val="00FA6596"/>
    <w:rsid w:val="00FB2484"/>
    <w:rsid w:val="00FB34C8"/>
    <w:rsid w:val="00FB5FF8"/>
    <w:rsid w:val="00FB730C"/>
    <w:rsid w:val="00FC04C7"/>
    <w:rsid w:val="00FC2695"/>
    <w:rsid w:val="00FC3E03"/>
    <w:rsid w:val="00FC3FC1"/>
    <w:rsid w:val="00FC72D7"/>
    <w:rsid w:val="00FD35D3"/>
    <w:rsid w:val="00FD4861"/>
    <w:rsid w:val="00FE3FF2"/>
    <w:rsid w:val="00FE474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mailto:makgato2001@yaho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2919</Words>
  <Characters>16640</Characters>
  <Application>Microsoft Office Word</Application>
  <DocSecurity>0</DocSecurity>
  <Lines>138</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Makgato, Seshibe</cp:lastModifiedBy>
  <cp:revision>2</cp:revision>
  <cp:lastPrinted>2015-05-12T18:31:00Z</cp:lastPrinted>
  <dcterms:created xsi:type="dcterms:W3CDTF">2023-04-26T21:05:00Z</dcterms:created>
  <dcterms:modified xsi:type="dcterms:W3CDTF">2023-04-26T21:05:00Z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