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527A2F" w14:paraId="2A131A54" w14:textId="77777777" w:rsidTr="00A71C9E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527A2F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527A2F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A2F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527A2F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527A2F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527A2F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527A2F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527A2F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530285EB" w:rsidR="000A03B2" w:rsidRPr="00527A2F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527A2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30152C" w:rsidRPr="00527A2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proofErr w:type="gramStart"/>
            <w:r w:rsidR="0030152C" w:rsidRPr="00527A2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 </w:t>
            </w:r>
            <w:r w:rsidR="007B48F9" w:rsidRPr="00527A2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proofErr w:type="gramEnd"/>
            <w:r w:rsidR="00FA5F5F" w:rsidRPr="00527A2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 w:rsidRPr="00527A2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2023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527A2F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527A2F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527A2F" w:rsidRDefault="000A03B2" w:rsidP="00CD5FE2">
            <w:pPr>
              <w:jc w:val="right"/>
            </w:pPr>
            <w:r w:rsidRPr="00527A2F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527A2F" w14:paraId="380FA3CD" w14:textId="77777777" w:rsidTr="00A71C9E">
        <w:trPr>
          <w:trHeight w:val="567"/>
          <w:jc w:val="center"/>
        </w:trPr>
        <w:tc>
          <w:tcPr>
            <w:tcW w:w="6940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527A2F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527A2F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527A2F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527A2F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527A2F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527A2F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527A2F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527A2F" w14:paraId="2D1B7169" w14:textId="77777777" w:rsidTr="00A71C9E">
        <w:trPr>
          <w:trHeight w:val="68"/>
          <w:jc w:val="center"/>
        </w:trPr>
        <w:tc>
          <w:tcPr>
            <w:tcW w:w="8782" w:type="dxa"/>
            <w:gridSpan w:val="2"/>
          </w:tcPr>
          <w:p w14:paraId="1D8DD3C9" w14:textId="77777777" w:rsidR="00AA7D26" w:rsidRPr="00527A2F" w:rsidRDefault="00AA7D26" w:rsidP="00AA7D26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eastAsia="it-IT"/>
              </w:rPr>
            </w:pPr>
            <w:r w:rsidRPr="00527A2F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Guest Editors:</w:t>
            </w:r>
            <w:r w:rsidRPr="00527A2F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527A2F">
              <w:rPr>
                <w:rFonts w:ascii="Tahoma" w:hAnsi="Tahoma" w:cs="Tahoma"/>
                <w:sz w:val="14"/>
                <w:szCs w:val="14"/>
              </w:rPr>
              <w:t xml:space="preserve">Sauro Pierucci, </w:t>
            </w:r>
            <w:proofErr w:type="spellStart"/>
            <w:r w:rsidRPr="00527A2F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Jiří</w:t>
            </w:r>
            <w:proofErr w:type="spellEnd"/>
            <w:r w:rsidRPr="00527A2F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 xml:space="preserve"> Jaromír </w:t>
            </w:r>
            <w:proofErr w:type="spellStart"/>
            <w:r w:rsidRPr="00527A2F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Klemeš</w:t>
            </w:r>
            <w:proofErr w:type="spellEnd"/>
          </w:p>
          <w:p w14:paraId="1B0F1814" w14:textId="650290B9" w:rsidR="000A03B2" w:rsidRPr="00527A2F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 w:rsidRPr="00527A2F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Copyright © 2023, AIDIC </w:t>
            </w:r>
            <w:proofErr w:type="spellStart"/>
            <w:r w:rsidRPr="00527A2F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527A2F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527A2F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527A2F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527A2F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527A2F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527A2F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527A2F">
              <w:rPr>
                <w:rFonts w:ascii="Tahoma" w:hAnsi="Tahoma" w:cs="Tahoma"/>
                <w:sz w:val="14"/>
                <w:szCs w:val="14"/>
              </w:rPr>
              <w:t>978-88-95608-98-3</w:t>
            </w:r>
            <w:r w:rsidRPr="00527A2F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; </w:t>
            </w:r>
            <w:r w:rsidRPr="00527A2F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527A2F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2B18B7CD" w14:textId="77777777" w:rsidR="00A71C9E" w:rsidRPr="00527A2F" w:rsidRDefault="00A71C9E" w:rsidP="00A71C9E">
      <w:pPr>
        <w:pStyle w:val="CETTitle"/>
      </w:pPr>
      <w:r w:rsidRPr="00527A2F">
        <w:t>Copper oxide onto gas diffusion electrodes to enhance selectivity towards &gt;C1 chemicals in gas-phase CO</w:t>
      </w:r>
      <w:r w:rsidRPr="00527A2F">
        <w:rPr>
          <w:vertAlign w:val="subscript"/>
        </w:rPr>
        <w:t>2</w:t>
      </w:r>
      <w:r w:rsidRPr="00527A2F">
        <w:t xml:space="preserve"> electrocatalytic reduction</w:t>
      </w:r>
    </w:p>
    <w:p w14:paraId="01AC65A5" w14:textId="69D2104E" w:rsidR="00D6415A" w:rsidRPr="00917D91" w:rsidRDefault="00D6415A" w:rsidP="005119B5">
      <w:pPr>
        <w:pStyle w:val="CETAuthors"/>
        <w:rPr>
          <w:noProof w:val="0"/>
          <w:lang w:val="it-IT"/>
        </w:rPr>
      </w:pPr>
      <w:r w:rsidRPr="00917D91">
        <w:rPr>
          <w:noProof w:val="0"/>
          <w:lang w:val="it-IT"/>
        </w:rPr>
        <w:t xml:space="preserve">Daniele Giusi*, Francesco Tavella, Matteo Miceli, Angela Mercedes </w:t>
      </w:r>
      <w:proofErr w:type="spellStart"/>
      <w:r w:rsidRPr="00917D91">
        <w:rPr>
          <w:noProof w:val="0"/>
          <w:lang w:val="it-IT"/>
        </w:rPr>
        <w:t>Ronsisvalle</w:t>
      </w:r>
      <w:proofErr w:type="spellEnd"/>
      <w:r w:rsidRPr="00917D91">
        <w:rPr>
          <w:noProof w:val="0"/>
          <w:lang w:val="it-IT"/>
        </w:rPr>
        <w:t xml:space="preserve">, </w:t>
      </w:r>
      <w:r w:rsidR="00392D5D" w:rsidRPr="005919D6">
        <w:rPr>
          <w:noProof w:val="0"/>
          <w:lang w:val="it-IT"/>
        </w:rPr>
        <w:t xml:space="preserve">Veronica Costantino, </w:t>
      </w:r>
      <w:r w:rsidRPr="005919D6">
        <w:rPr>
          <w:noProof w:val="0"/>
          <w:lang w:val="it-IT"/>
        </w:rPr>
        <w:t xml:space="preserve">Claudio </w:t>
      </w:r>
      <w:proofErr w:type="spellStart"/>
      <w:r w:rsidRPr="005919D6">
        <w:rPr>
          <w:noProof w:val="0"/>
          <w:lang w:val="it-IT"/>
        </w:rPr>
        <w:t>Ampelli</w:t>
      </w:r>
      <w:proofErr w:type="spellEnd"/>
    </w:p>
    <w:p w14:paraId="662CDB6D" w14:textId="77777777" w:rsidR="00385E4A" w:rsidRPr="00527A2F" w:rsidRDefault="00385E4A" w:rsidP="00385E4A">
      <w:pPr>
        <w:pStyle w:val="CETAddress"/>
        <w:rPr>
          <w:noProof w:val="0"/>
        </w:rPr>
      </w:pPr>
      <w:r w:rsidRPr="00527A2F">
        <w:rPr>
          <w:noProof w:val="0"/>
        </w:rPr>
        <w:t>Department of Chemical, Biological, Pharmaceutical and Environmental Sciences (</w:t>
      </w:r>
      <w:proofErr w:type="spellStart"/>
      <w:r w:rsidRPr="00527A2F">
        <w:rPr>
          <w:noProof w:val="0"/>
        </w:rPr>
        <w:t>ChiBioFarAm</w:t>
      </w:r>
      <w:proofErr w:type="spellEnd"/>
      <w:r w:rsidRPr="00527A2F">
        <w:rPr>
          <w:noProof w:val="0"/>
        </w:rPr>
        <w:t xml:space="preserve">) – University of Messina, ERIC </w:t>
      </w:r>
      <w:proofErr w:type="spellStart"/>
      <w:r w:rsidRPr="00527A2F">
        <w:rPr>
          <w:noProof w:val="0"/>
        </w:rPr>
        <w:t>aisbl</w:t>
      </w:r>
      <w:proofErr w:type="spellEnd"/>
      <w:r w:rsidRPr="00527A2F">
        <w:rPr>
          <w:noProof w:val="0"/>
        </w:rPr>
        <w:t xml:space="preserve"> and CASPE/INSTM, </w:t>
      </w:r>
      <w:proofErr w:type="spellStart"/>
      <w:proofErr w:type="gramStart"/>
      <w:r w:rsidRPr="00527A2F">
        <w:rPr>
          <w:noProof w:val="0"/>
        </w:rPr>
        <w:t>v.le</w:t>
      </w:r>
      <w:proofErr w:type="spellEnd"/>
      <w:proofErr w:type="gramEnd"/>
      <w:r w:rsidRPr="00527A2F">
        <w:rPr>
          <w:noProof w:val="0"/>
        </w:rPr>
        <w:t xml:space="preserve"> F. Stagno </w:t>
      </w:r>
      <w:proofErr w:type="spellStart"/>
      <w:r w:rsidRPr="00527A2F">
        <w:rPr>
          <w:noProof w:val="0"/>
        </w:rPr>
        <w:t>d'Alcontres</w:t>
      </w:r>
      <w:proofErr w:type="spellEnd"/>
      <w:r w:rsidRPr="00527A2F">
        <w:rPr>
          <w:noProof w:val="0"/>
        </w:rPr>
        <w:t>, 31 – 98166 Messina, Italy</w:t>
      </w:r>
    </w:p>
    <w:p w14:paraId="101C89F5" w14:textId="21F21E8B" w:rsidR="00385E4A" w:rsidRPr="00527A2F" w:rsidRDefault="00385E4A" w:rsidP="005119B5">
      <w:pPr>
        <w:pStyle w:val="CETemail"/>
        <w:rPr>
          <w:noProof w:val="0"/>
        </w:rPr>
      </w:pPr>
      <w:r w:rsidRPr="00527A2F">
        <w:rPr>
          <w:noProof w:val="0"/>
        </w:rPr>
        <w:t>dgiusi@unime.it</w:t>
      </w:r>
    </w:p>
    <w:p w14:paraId="19A3924E" w14:textId="2FA3F1BA" w:rsidR="00E02285" w:rsidRPr="005919D6" w:rsidRDefault="00536DA1" w:rsidP="002372CE">
      <w:pPr>
        <w:pStyle w:val="CETBodytext"/>
        <w:tabs>
          <w:tab w:val="left" w:pos="6237"/>
        </w:tabs>
        <w:rPr>
          <w:lang w:val="en-GB"/>
        </w:rPr>
      </w:pPr>
      <w:r w:rsidRPr="005919D6">
        <w:rPr>
          <w:lang w:val="en-GB"/>
        </w:rPr>
        <w:t>We report here the electrocatalytic behaviour of an unconventional gas-phase reactor for the process of CO</w:t>
      </w:r>
      <w:r w:rsidRPr="005919D6">
        <w:rPr>
          <w:vertAlign w:val="subscript"/>
        </w:rPr>
        <w:t>2</w:t>
      </w:r>
      <w:r w:rsidRPr="005919D6">
        <w:rPr>
          <w:lang w:val="en-GB"/>
        </w:rPr>
        <w:t xml:space="preserve"> conversion. Conventional systems for</w:t>
      </w:r>
      <w:r w:rsidR="00511628" w:rsidRPr="005919D6">
        <w:rPr>
          <w:lang w:val="en-GB"/>
        </w:rPr>
        <w:t xml:space="preserve"> the CO</w:t>
      </w:r>
      <w:r w:rsidR="00511628" w:rsidRPr="005919D6">
        <w:rPr>
          <w:vertAlign w:val="subscript"/>
          <w:lang w:val="en-GB"/>
        </w:rPr>
        <w:t>2</w:t>
      </w:r>
      <w:r w:rsidR="00511628" w:rsidRPr="005919D6">
        <w:rPr>
          <w:lang w:val="en-GB"/>
        </w:rPr>
        <w:t xml:space="preserve"> electrocatalytic reduction </w:t>
      </w:r>
      <w:r w:rsidRPr="005919D6">
        <w:rPr>
          <w:lang w:val="en-GB"/>
        </w:rPr>
        <w:t xml:space="preserve">refer to </w:t>
      </w:r>
      <w:r w:rsidR="00D146E8" w:rsidRPr="005919D6">
        <w:rPr>
          <w:lang w:val="en-GB"/>
        </w:rPr>
        <w:t>electrodes</w:t>
      </w:r>
      <w:r w:rsidR="00511628" w:rsidRPr="005919D6">
        <w:rPr>
          <w:lang w:val="en-GB"/>
        </w:rPr>
        <w:t xml:space="preserve"> immersed in a liquid </w:t>
      </w:r>
      <w:r w:rsidR="00D146E8" w:rsidRPr="005919D6">
        <w:rPr>
          <w:lang w:val="en-GB"/>
        </w:rPr>
        <w:t>electrolyte, presenting many issues mainly related to the low solubility of CO</w:t>
      </w:r>
      <w:r w:rsidR="00D146E8" w:rsidRPr="005919D6">
        <w:rPr>
          <w:vertAlign w:val="subscript"/>
        </w:rPr>
        <w:t>2</w:t>
      </w:r>
      <w:r w:rsidR="00D146E8" w:rsidRPr="005919D6">
        <w:rPr>
          <w:lang w:val="en-GB"/>
        </w:rPr>
        <w:t xml:space="preserve"> in water.</w:t>
      </w:r>
      <w:r w:rsidR="00511628" w:rsidRPr="005919D6">
        <w:rPr>
          <w:lang w:val="en-GB"/>
        </w:rPr>
        <w:t xml:space="preserve"> </w:t>
      </w:r>
      <w:r w:rsidR="00A653E4" w:rsidRPr="005919D6">
        <w:rPr>
          <w:lang w:val="en-GB"/>
        </w:rPr>
        <w:t>In gas</w:t>
      </w:r>
      <w:r w:rsidR="00AB3515" w:rsidRPr="005919D6">
        <w:rPr>
          <w:lang w:val="en-GB"/>
        </w:rPr>
        <w:t>-</w:t>
      </w:r>
      <w:r w:rsidR="00A653E4" w:rsidRPr="005919D6">
        <w:rPr>
          <w:lang w:val="en-GB"/>
        </w:rPr>
        <w:t>phase</w:t>
      </w:r>
      <w:r w:rsidR="00D146E8" w:rsidRPr="005919D6">
        <w:rPr>
          <w:lang w:val="en-GB"/>
        </w:rPr>
        <w:t xml:space="preserve"> (or electrolyte-less conditions)</w:t>
      </w:r>
      <w:r w:rsidR="000F0EAE" w:rsidRPr="005919D6">
        <w:rPr>
          <w:lang w:val="en-GB"/>
        </w:rPr>
        <w:t xml:space="preserve"> </w:t>
      </w:r>
      <w:r w:rsidR="001509B6" w:rsidRPr="005919D6">
        <w:rPr>
          <w:lang w:val="en-GB"/>
        </w:rPr>
        <w:t xml:space="preserve">the </w:t>
      </w:r>
      <w:r w:rsidR="00A11DDD" w:rsidRPr="005919D6">
        <w:rPr>
          <w:lang w:val="en-GB"/>
        </w:rPr>
        <w:t xml:space="preserve">working </w:t>
      </w:r>
      <w:r w:rsidR="001509B6" w:rsidRPr="005919D6">
        <w:rPr>
          <w:lang w:val="en-GB"/>
        </w:rPr>
        <w:t>electrode</w:t>
      </w:r>
      <w:r w:rsidR="00A11DDD" w:rsidRPr="005919D6">
        <w:rPr>
          <w:lang w:val="en-GB"/>
        </w:rPr>
        <w:t xml:space="preserve"> </w:t>
      </w:r>
      <w:r w:rsidR="002C6ED4" w:rsidRPr="005919D6">
        <w:rPr>
          <w:lang w:val="en-GB"/>
        </w:rPr>
        <w:t>is engineered to be</w:t>
      </w:r>
      <w:r w:rsidR="00E02285" w:rsidRPr="005919D6">
        <w:rPr>
          <w:lang w:val="en-GB"/>
        </w:rPr>
        <w:t xml:space="preserve"> in direct contact </w:t>
      </w:r>
      <w:r w:rsidR="001509B6" w:rsidRPr="005919D6">
        <w:rPr>
          <w:lang w:val="en-GB"/>
        </w:rPr>
        <w:t xml:space="preserve">with </w:t>
      </w:r>
      <w:r w:rsidR="00D146E8" w:rsidRPr="005919D6">
        <w:rPr>
          <w:lang w:val="en-GB"/>
        </w:rPr>
        <w:t xml:space="preserve">an </w:t>
      </w:r>
      <w:r w:rsidR="00A653E4" w:rsidRPr="005919D6">
        <w:rPr>
          <w:lang w:val="en-GB"/>
        </w:rPr>
        <w:t xml:space="preserve">ion-exchange </w:t>
      </w:r>
      <w:r w:rsidR="00E02285" w:rsidRPr="005919D6">
        <w:rPr>
          <w:lang w:val="en-GB"/>
        </w:rPr>
        <w:t xml:space="preserve">membrane </w:t>
      </w:r>
      <w:r w:rsidR="009C0367" w:rsidRPr="005919D6">
        <w:rPr>
          <w:lang w:val="en-GB"/>
        </w:rPr>
        <w:t>(</w:t>
      </w:r>
      <w:r w:rsidR="00E02285" w:rsidRPr="005919D6">
        <w:rPr>
          <w:lang w:val="en-GB"/>
        </w:rPr>
        <w:t>forming a</w:t>
      </w:r>
      <w:r w:rsidR="000F0EAE" w:rsidRPr="005919D6">
        <w:rPr>
          <w:lang w:val="en-GB"/>
        </w:rPr>
        <w:t xml:space="preserve"> zero-gap system</w:t>
      </w:r>
      <w:r w:rsidR="009C0367" w:rsidRPr="005919D6">
        <w:rPr>
          <w:lang w:val="en-GB"/>
        </w:rPr>
        <w:t>) and</w:t>
      </w:r>
      <w:r w:rsidR="00A653E4" w:rsidRPr="005919D6">
        <w:rPr>
          <w:lang w:val="en-GB"/>
        </w:rPr>
        <w:t xml:space="preserve"> </w:t>
      </w:r>
      <w:r w:rsidR="00A86F76" w:rsidRPr="005919D6">
        <w:rPr>
          <w:lang w:val="en-GB"/>
        </w:rPr>
        <w:t>the CO</w:t>
      </w:r>
      <w:r w:rsidR="00A86F76" w:rsidRPr="005919D6">
        <w:rPr>
          <w:vertAlign w:val="subscript"/>
          <w:lang w:val="en-GB"/>
        </w:rPr>
        <w:t>2</w:t>
      </w:r>
      <w:r w:rsidR="00A86F76" w:rsidRPr="005919D6">
        <w:rPr>
          <w:lang w:val="en-GB"/>
        </w:rPr>
        <w:t xml:space="preserve"> flows </w:t>
      </w:r>
      <w:r w:rsidR="000773E6" w:rsidRPr="005919D6">
        <w:rPr>
          <w:lang w:val="en-GB"/>
        </w:rPr>
        <w:t xml:space="preserve">directly </w:t>
      </w:r>
      <w:r w:rsidR="00A86F76" w:rsidRPr="005919D6">
        <w:rPr>
          <w:lang w:val="en-GB"/>
        </w:rPr>
        <w:t xml:space="preserve">through the catalyst </w:t>
      </w:r>
      <w:r w:rsidR="000773E6" w:rsidRPr="005919D6">
        <w:rPr>
          <w:lang w:val="en-GB"/>
        </w:rPr>
        <w:t>with no</w:t>
      </w:r>
      <w:r w:rsidR="00A86F76" w:rsidRPr="005919D6">
        <w:rPr>
          <w:lang w:val="en-GB"/>
        </w:rPr>
        <w:t xml:space="preserve"> electrolyte</w:t>
      </w:r>
      <w:r w:rsidR="00A653E4" w:rsidRPr="005919D6">
        <w:rPr>
          <w:lang w:val="en-GB"/>
        </w:rPr>
        <w:t>.</w:t>
      </w:r>
      <w:r w:rsidR="000773E6" w:rsidRPr="005919D6">
        <w:rPr>
          <w:lang w:val="en-GB"/>
        </w:rPr>
        <w:t xml:space="preserve"> T</w:t>
      </w:r>
      <w:r w:rsidR="00D146E8" w:rsidRPr="005919D6">
        <w:rPr>
          <w:lang w:val="en-GB"/>
        </w:rPr>
        <w:t>he influence of the reactor design</w:t>
      </w:r>
      <w:r w:rsidR="000773E6" w:rsidRPr="005919D6">
        <w:rPr>
          <w:lang w:val="en-GB"/>
        </w:rPr>
        <w:t xml:space="preserve"> (gas- or liquid-phase) is discussed by processing the same kind of electrode based on copper oxide (</w:t>
      </w:r>
      <w:proofErr w:type="spellStart"/>
      <w:r w:rsidR="000773E6" w:rsidRPr="005919D6">
        <w:rPr>
          <w:lang w:val="en-GB"/>
        </w:rPr>
        <w:t>CuO</w:t>
      </w:r>
      <w:proofErr w:type="spellEnd"/>
      <w:r w:rsidR="000773E6" w:rsidRPr="005919D6">
        <w:rPr>
          <w:lang w:val="en-GB"/>
        </w:rPr>
        <w:t>) deposited on a gas diffusion layer to form a gas</w:t>
      </w:r>
      <w:r w:rsidR="00D1694A" w:rsidRPr="005919D6">
        <w:rPr>
          <w:lang w:val="en-GB"/>
        </w:rPr>
        <w:t>-</w:t>
      </w:r>
      <w:r w:rsidR="000773E6" w:rsidRPr="005919D6">
        <w:rPr>
          <w:lang w:val="en-GB"/>
        </w:rPr>
        <w:t>diffusion electrode (</w:t>
      </w:r>
      <w:r w:rsidR="00D146E8" w:rsidRPr="005919D6">
        <w:rPr>
          <w:lang w:val="en-GB"/>
        </w:rPr>
        <w:t xml:space="preserve">GDE). </w:t>
      </w:r>
      <w:r w:rsidR="002C6ED4" w:rsidRPr="005919D6">
        <w:rPr>
          <w:lang w:val="en-GB"/>
        </w:rPr>
        <w:t>R</w:t>
      </w:r>
      <w:r w:rsidR="00D146E8" w:rsidRPr="005919D6">
        <w:rPr>
          <w:lang w:val="en-GB"/>
        </w:rPr>
        <w:t>esults, in terms of &gt;C</w:t>
      </w:r>
      <w:r w:rsidR="00D146E8" w:rsidRPr="005919D6">
        <w:rPr>
          <w:vertAlign w:val="subscript"/>
          <w:lang w:val="en-GB"/>
        </w:rPr>
        <w:t>1</w:t>
      </w:r>
      <w:r w:rsidR="00D146E8" w:rsidRPr="005919D6">
        <w:rPr>
          <w:lang w:val="en-GB"/>
        </w:rPr>
        <w:t xml:space="preserve"> productivity</w:t>
      </w:r>
      <w:r w:rsidR="000773E6" w:rsidRPr="005919D6">
        <w:rPr>
          <w:lang w:val="en-GB"/>
        </w:rPr>
        <w:t xml:space="preserve"> and</w:t>
      </w:r>
      <w:r w:rsidR="00D146E8" w:rsidRPr="005919D6">
        <w:rPr>
          <w:lang w:val="en-GB"/>
        </w:rPr>
        <w:t xml:space="preserve"> supported by electrochemical characterizations</w:t>
      </w:r>
      <w:r w:rsidR="000773E6" w:rsidRPr="005919D6">
        <w:rPr>
          <w:lang w:val="en-GB"/>
        </w:rPr>
        <w:t xml:space="preserve"> (</w:t>
      </w:r>
      <w:r w:rsidR="00D146E8" w:rsidRPr="005919D6">
        <w:rPr>
          <w:lang w:val="en-GB"/>
        </w:rPr>
        <w:t xml:space="preserve">such as </w:t>
      </w:r>
      <w:r w:rsidR="000773E6" w:rsidRPr="005919D6">
        <w:rPr>
          <w:lang w:val="en-GB"/>
        </w:rPr>
        <w:t>E</w:t>
      </w:r>
      <w:r w:rsidR="00D146E8" w:rsidRPr="005919D6">
        <w:rPr>
          <w:lang w:val="en-GB"/>
        </w:rPr>
        <w:t xml:space="preserve">lectrochemical </w:t>
      </w:r>
      <w:r w:rsidR="000773E6" w:rsidRPr="005919D6">
        <w:rPr>
          <w:lang w:val="en-GB"/>
        </w:rPr>
        <w:t>I</w:t>
      </w:r>
      <w:r w:rsidR="00D146E8" w:rsidRPr="005919D6">
        <w:rPr>
          <w:lang w:val="en-GB"/>
        </w:rPr>
        <w:t xml:space="preserve">mpedance </w:t>
      </w:r>
      <w:r w:rsidR="000773E6" w:rsidRPr="005919D6">
        <w:rPr>
          <w:lang w:val="en-GB"/>
        </w:rPr>
        <w:t>S</w:t>
      </w:r>
      <w:r w:rsidR="00D146E8" w:rsidRPr="005919D6">
        <w:rPr>
          <w:lang w:val="en-GB"/>
        </w:rPr>
        <w:t xml:space="preserve">pectroscopy </w:t>
      </w:r>
      <w:r w:rsidR="000773E6" w:rsidRPr="005919D6">
        <w:rPr>
          <w:lang w:val="en-GB"/>
        </w:rPr>
        <w:t>-</w:t>
      </w:r>
      <w:r w:rsidR="00D146E8" w:rsidRPr="005919D6">
        <w:rPr>
          <w:lang w:val="en-GB"/>
        </w:rPr>
        <w:t>EIS), showed remarkable difference between the two systems and clarified the role of the proton-diffusion process at the catalyst interface.</w:t>
      </w:r>
      <w:r w:rsidR="000A530C" w:rsidRPr="005919D6">
        <w:rPr>
          <w:lang w:val="en-GB"/>
        </w:rPr>
        <w:t xml:space="preserve"> T</w:t>
      </w:r>
      <w:r w:rsidR="001509B6" w:rsidRPr="005919D6">
        <w:rPr>
          <w:lang w:val="en-GB"/>
        </w:rPr>
        <w:t>he reasons can</w:t>
      </w:r>
      <w:r w:rsidR="00E02285" w:rsidRPr="005919D6">
        <w:rPr>
          <w:lang w:val="en-GB"/>
        </w:rPr>
        <w:t xml:space="preserve"> be summarized as follows: </w:t>
      </w:r>
      <w:proofErr w:type="spellStart"/>
      <w:r w:rsidR="00655086" w:rsidRPr="005919D6">
        <w:rPr>
          <w:lang w:val="en-GB"/>
        </w:rPr>
        <w:t>i</w:t>
      </w:r>
      <w:proofErr w:type="spellEnd"/>
      <w:r w:rsidR="00E02285" w:rsidRPr="005919D6">
        <w:rPr>
          <w:lang w:val="en-GB"/>
        </w:rPr>
        <w:t xml:space="preserve">) </w:t>
      </w:r>
      <w:r w:rsidR="000F0EAE" w:rsidRPr="005919D6">
        <w:rPr>
          <w:lang w:val="en-GB"/>
        </w:rPr>
        <w:t>i</w:t>
      </w:r>
      <w:r w:rsidR="00E02285" w:rsidRPr="005919D6">
        <w:rPr>
          <w:lang w:val="en-GB"/>
        </w:rPr>
        <w:t xml:space="preserve">ncrease of the </w:t>
      </w:r>
      <w:r w:rsidR="00ED03AC" w:rsidRPr="005919D6">
        <w:rPr>
          <w:lang w:val="en-GB"/>
        </w:rPr>
        <w:t xml:space="preserve">local </w:t>
      </w:r>
      <w:r w:rsidR="001509B6" w:rsidRPr="005919D6">
        <w:rPr>
          <w:lang w:val="en-GB"/>
        </w:rPr>
        <w:t>CO</w:t>
      </w:r>
      <w:r w:rsidR="001509B6" w:rsidRPr="005919D6">
        <w:rPr>
          <w:vertAlign w:val="subscript"/>
          <w:lang w:val="en-GB"/>
        </w:rPr>
        <w:t xml:space="preserve">2 </w:t>
      </w:r>
      <w:r w:rsidR="00E02285" w:rsidRPr="005919D6">
        <w:rPr>
          <w:lang w:val="en-GB"/>
        </w:rPr>
        <w:t xml:space="preserve">concentration on the </w:t>
      </w:r>
      <w:r w:rsidR="00857DA3" w:rsidRPr="005919D6">
        <w:rPr>
          <w:lang w:val="en-GB"/>
        </w:rPr>
        <w:t xml:space="preserve">electrode </w:t>
      </w:r>
      <w:r w:rsidR="00E02285" w:rsidRPr="005919D6">
        <w:rPr>
          <w:lang w:val="en-GB"/>
        </w:rPr>
        <w:t>surface</w:t>
      </w:r>
      <w:r w:rsidR="00E973F6" w:rsidRPr="005919D6">
        <w:rPr>
          <w:lang w:val="en-GB"/>
        </w:rPr>
        <w:t xml:space="preserve">, overcoming </w:t>
      </w:r>
      <w:r w:rsidR="007C3146" w:rsidRPr="005919D6">
        <w:rPr>
          <w:lang w:val="en-GB"/>
        </w:rPr>
        <w:t>CO</w:t>
      </w:r>
      <w:r w:rsidR="007C3146" w:rsidRPr="005919D6">
        <w:rPr>
          <w:vertAlign w:val="subscript"/>
          <w:lang w:val="en-GB"/>
        </w:rPr>
        <w:t>2</w:t>
      </w:r>
      <w:r w:rsidR="007C3146" w:rsidRPr="005919D6">
        <w:rPr>
          <w:lang w:val="en-GB"/>
        </w:rPr>
        <w:t xml:space="preserve"> </w:t>
      </w:r>
      <w:r w:rsidR="00E973F6" w:rsidRPr="005919D6">
        <w:rPr>
          <w:lang w:val="en-GB"/>
        </w:rPr>
        <w:t xml:space="preserve">solubility limitations in </w:t>
      </w:r>
      <w:r w:rsidR="007C3146" w:rsidRPr="005919D6">
        <w:rPr>
          <w:lang w:val="en-GB"/>
        </w:rPr>
        <w:t>water-based solvents</w:t>
      </w:r>
      <w:r w:rsidR="00E02285" w:rsidRPr="005919D6">
        <w:rPr>
          <w:lang w:val="en-GB"/>
        </w:rPr>
        <w:t xml:space="preserve">; </w:t>
      </w:r>
      <w:r w:rsidR="00655086" w:rsidRPr="005919D6">
        <w:rPr>
          <w:lang w:val="en-GB"/>
        </w:rPr>
        <w:t>ii</w:t>
      </w:r>
      <w:r w:rsidR="008751B7" w:rsidRPr="005919D6">
        <w:rPr>
          <w:lang w:val="en-GB"/>
        </w:rPr>
        <w:t xml:space="preserve">) </w:t>
      </w:r>
      <w:r w:rsidR="002C6ED4" w:rsidRPr="005919D6">
        <w:rPr>
          <w:lang w:val="en-GB"/>
        </w:rPr>
        <w:t>control/limitation of the</w:t>
      </w:r>
      <w:r w:rsidR="008751B7" w:rsidRPr="005919D6">
        <w:rPr>
          <w:lang w:val="en-GB"/>
        </w:rPr>
        <w:t xml:space="preserve"> proton concentration </w:t>
      </w:r>
      <w:r w:rsidR="00341875" w:rsidRPr="005919D6">
        <w:rPr>
          <w:lang w:val="en-GB"/>
        </w:rPr>
        <w:t xml:space="preserve">on the catalyst surface due to </w:t>
      </w:r>
      <w:r w:rsidR="00857DA3" w:rsidRPr="005919D6">
        <w:rPr>
          <w:lang w:val="en-GB"/>
        </w:rPr>
        <w:t>the absence</w:t>
      </w:r>
      <w:r w:rsidR="008751B7" w:rsidRPr="005919D6">
        <w:rPr>
          <w:lang w:val="en-GB"/>
        </w:rPr>
        <w:t xml:space="preserve"> of </w:t>
      </w:r>
      <w:r w:rsidR="00064E0A" w:rsidRPr="005919D6">
        <w:rPr>
          <w:lang w:val="en-GB"/>
        </w:rPr>
        <w:t>aqueous</w:t>
      </w:r>
      <w:r w:rsidR="008751B7" w:rsidRPr="005919D6">
        <w:rPr>
          <w:lang w:val="en-GB"/>
        </w:rPr>
        <w:t xml:space="preserve"> electrolyte.</w:t>
      </w:r>
      <w:r w:rsidR="000F0EAE" w:rsidRPr="005919D6">
        <w:rPr>
          <w:lang w:val="en-GB"/>
        </w:rPr>
        <w:t xml:space="preserve"> </w:t>
      </w:r>
      <w:r w:rsidR="002C6ED4" w:rsidRPr="005919D6">
        <w:rPr>
          <w:lang w:val="en-GB"/>
        </w:rPr>
        <w:t>T</w:t>
      </w:r>
      <w:r w:rsidR="000F0EAE" w:rsidRPr="005919D6">
        <w:rPr>
          <w:lang w:val="en-GB"/>
        </w:rPr>
        <w:t xml:space="preserve">he </w:t>
      </w:r>
      <w:r w:rsidR="00857DA3" w:rsidRPr="005919D6">
        <w:rPr>
          <w:lang w:val="en-GB"/>
        </w:rPr>
        <w:t xml:space="preserve">process </w:t>
      </w:r>
      <w:r w:rsidR="000F0EAE" w:rsidRPr="005919D6">
        <w:rPr>
          <w:lang w:val="en-GB"/>
        </w:rPr>
        <w:t>selectivity</w:t>
      </w:r>
      <w:r w:rsidR="00857DA3" w:rsidRPr="005919D6">
        <w:rPr>
          <w:lang w:val="en-GB"/>
        </w:rPr>
        <w:t xml:space="preserve"> </w:t>
      </w:r>
      <w:r w:rsidR="002C6ED4" w:rsidRPr="005919D6">
        <w:rPr>
          <w:lang w:val="en-GB"/>
        </w:rPr>
        <w:t xml:space="preserve">is </w:t>
      </w:r>
      <w:r w:rsidR="000F0EAE" w:rsidRPr="005919D6">
        <w:rPr>
          <w:lang w:val="en-GB"/>
        </w:rPr>
        <w:t>strongly influenced by charge transport properties on the catalytic surface</w:t>
      </w:r>
      <w:r w:rsidR="00857DA3" w:rsidRPr="005919D6">
        <w:rPr>
          <w:lang w:val="en-GB"/>
        </w:rPr>
        <w:t xml:space="preserve"> beyond the properties of the </w:t>
      </w:r>
      <w:r w:rsidR="002C6ED4" w:rsidRPr="005919D6">
        <w:rPr>
          <w:lang w:val="en-GB"/>
        </w:rPr>
        <w:t>electro</w:t>
      </w:r>
      <w:r w:rsidR="00857DA3" w:rsidRPr="005919D6">
        <w:rPr>
          <w:lang w:val="en-GB"/>
        </w:rPr>
        <w:t>catalyst itself</w:t>
      </w:r>
      <w:r w:rsidR="000F0EAE" w:rsidRPr="005919D6">
        <w:rPr>
          <w:lang w:val="en-GB"/>
        </w:rPr>
        <w:t>.</w:t>
      </w:r>
      <w:r w:rsidR="00BB1A82" w:rsidRPr="005919D6">
        <w:rPr>
          <w:lang w:val="en-GB"/>
        </w:rPr>
        <w:t xml:space="preserve"> As a result, engineering of the reactor assumes a role no less important than the role of the electrocatalyst.</w:t>
      </w:r>
    </w:p>
    <w:p w14:paraId="476B2F2E" w14:textId="77777777" w:rsidR="00600535" w:rsidRPr="005919D6" w:rsidRDefault="00600535" w:rsidP="00600535">
      <w:pPr>
        <w:pStyle w:val="CETHeading1"/>
        <w:rPr>
          <w:lang w:val="en-GB"/>
        </w:rPr>
      </w:pPr>
      <w:r w:rsidRPr="005919D6">
        <w:rPr>
          <w:lang w:val="en-GB"/>
        </w:rPr>
        <w:t>Introduction</w:t>
      </w:r>
    </w:p>
    <w:p w14:paraId="49C87D88" w14:textId="3F7D4237" w:rsidR="000574F0" w:rsidRPr="005919D6" w:rsidRDefault="00084484" w:rsidP="00B62126">
      <w:pPr>
        <w:pStyle w:val="CETBodytext"/>
        <w:rPr>
          <w:lang w:val="en-GB"/>
        </w:rPr>
      </w:pPr>
      <w:r w:rsidRPr="005919D6">
        <w:rPr>
          <w:lang w:val="en-GB"/>
        </w:rPr>
        <w:t xml:space="preserve">The </w:t>
      </w:r>
      <w:r w:rsidR="00360391" w:rsidRPr="005919D6">
        <w:rPr>
          <w:lang w:val="en-GB"/>
        </w:rPr>
        <w:t xml:space="preserve">electrochemical </w:t>
      </w:r>
      <w:r w:rsidRPr="005919D6">
        <w:rPr>
          <w:lang w:val="en-GB"/>
        </w:rPr>
        <w:t>conversion of CO</w:t>
      </w:r>
      <w:r w:rsidRPr="005919D6">
        <w:rPr>
          <w:vertAlign w:val="subscript"/>
          <w:lang w:val="en-GB"/>
        </w:rPr>
        <w:t>2</w:t>
      </w:r>
      <w:r w:rsidR="00DD5980" w:rsidRPr="005919D6">
        <w:rPr>
          <w:lang w:val="en-GB"/>
        </w:rPr>
        <w:t xml:space="preserve"> into </w:t>
      </w:r>
      <w:r w:rsidR="00B62126" w:rsidRPr="005919D6">
        <w:rPr>
          <w:lang w:val="en-GB"/>
        </w:rPr>
        <w:t>value</w:t>
      </w:r>
      <w:r w:rsidR="00DD5980" w:rsidRPr="005919D6">
        <w:rPr>
          <w:lang w:val="en-GB"/>
        </w:rPr>
        <w:t>-</w:t>
      </w:r>
      <w:r w:rsidRPr="005919D6">
        <w:rPr>
          <w:lang w:val="en-GB"/>
        </w:rPr>
        <w:t xml:space="preserve">added </w:t>
      </w:r>
      <w:r w:rsidR="00392D5D" w:rsidRPr="005919D6">
        <w:rPr>
          <w:lang w:val="en-GB"/>
        </w:rPr>
        <w:t xml:space="preserve">chemicals and fuels </w:t>
      </w:r>
      <w:r w:rsidRPr="005919D6">
        <w:rPr>
          <w:lang w:val="en-GB"/>
        </w:rPr>
        <w:t>represents an important challenge in the field of renewable energies</w:t>
      </w:r>
      <w:r w:rsidR="002D31F7" w:rsidRPr="005919D6">
        <w:rPr>
          <w:lang w:val="en-GB"/>
        </w:rPr>
        <w:t xml:space="preserve"> (</w:t>
      </w:r>
      <w:proofErr w:type="spellStart"/>
      <w:r w:rsidR="002D31F7" w:rsidRPr="005919D6">
        <w:rPr>
          <w:lang w:val="en-GB"/>
        </w:rPr>
        <w:t>Nitopi</w:t>
      </w:r>
      <w:proofErr w:type="spellEnd"/>
      <w:r w:rsidR="002D31F7" w:rsidRPr="005919D6">
        <w:rPr>
          <w:lang w:val="en-GB"/>
        </w:rPr>
        <w:t xml:space="preserve"> et al., 2019)</w:t>
      </w:r>
      <w:r w:rsidRPr="005919D6">
        <w:rPr>
          <w:lang w:val="en-GB"/>
        </w:rPr>
        <w:t xml:space="preserve">. </w:t>
      </w:r>
      <w:r w:rsidR="00B62126" w:rsidRPr="005919D6">
        <w:rPr>
          <w:lang w:val="en-GB"/>
        </w:rPr>
        <w:t>L</w:t>
      </w:r>
      <w:r w:rsidR="009652DC" w:rsidRPr="005919D6">
        <w:rPr>
          <w:lang w:val="en-GB"/>
        </w:rPr>
        <w:t xml:space="preserve">iquid-phase </w:t>
      </w:r>
      <w:r w:rsidRPr="005919D6">
        <w:rPr>
          <w:lang w:val="en-GB"/>
        </w:rPr>
        <w:t xml:space="preserve">systems are </w:t>
      </w:r>
      <w:r w:rsidR="00B62126" w:rsidRPr="005919D6">
        <w:rPr>
          <w:lang w:val="en-GB"/>
        </w:rPr>
        <w:t xml:space="preserve">conventionally </w:t>
      </w:r>
      <w:r w:rsidRPr="005919D6">
        <w:rPr>
          <w:lang w:val="en-GB"/>
        </w:rPr>
        <w:t>used, in which a</w:t>
      </w:r>
      <w:r w:rsidR="00511229" w:rsidRPr="005919D6">
        <w:rPr>
          <w:lang w:val="en-GB"/>
        </w:rPr>
        <w:t>n</w:t>
      </w:r>
      <w:r w:rsidRPr="005919D6">
        <w:rPr>
          <w:lang w:val="en-GB"/>
        </w:rPr>
        <w:t xml:space="preserve"> </w:t>
      </w:r>
      <w:r w:rsidR="00914A1B" w:rsidRPr="005919D6">
        <w:rPr>
          <w:lang w:val="en-GB"/>
        </w:rPr>
        <w:t>ion</w:t>
      </w:r>
      <w:r w:rsidR="00B62126" w:rsidRPr="005919D6">
        <w:rPr>
          <w:lang w:val="en-GB"/>
        </w:rPr>
        <w:t>-</w:t>
      </w:r>
      <w:r w:rsidR="00914A1B" w:rsidRPr="005919D6">
        <w:rPr>
          <w:lang w:val="en-GB"/>
        </w:rPr>
        <w:t>exchange</w:t>
      </w:r>
      <w:r w:rsidR="00B62126" w:rsidRPr="005919D6">
        <w:rPr>
          <w:lang w:val="en-GB"/>
        </w:rPr>
        <w:t xml:space="preserve"> </w:t>
      </w:r>
      <w:r w:rsidRPr="005919D6">
        <w:rPr>
          <w:lang w:val="en-GB"/>
        </w:rPr>
        <w:t>membrane separates two compartments</w:t>
      </w:r>
      <w:r w:rsidR="009E63A1" w:rsidRPr="005919D6">
        <w:rPr>
          <w:lang w:val="en-GB"/>
        </w:rPr>
        <w:t xml:space="preserve"> (</w:t>
      </w:r>
      <w:r w:rsidRPr="005919D6">
        <w:rPr>
          <w:lang w:val="en-GB"/>
        </w:rPr>
        <w:t>anode and cathode</w:t>
      </w:r>
      <w:r w:rsidR="009E63A1" w:rsidRPr="005919D6">
        <w:rPr>
          <w:lang w:val="en-GB"/>
        </w:rPr>
        <w:t>)</w:t>
      </w:r>
      <w:r w:rsidRPr="005919D6">
        <w:rPr>
          <w:lang w:val="en-GB"/>
        </w:rPr>
        <w:t xml:space="preserve"> </w:t>
      </w:r>
      <w:r w:rsidR="003D6789" w:rsidRPr="005919D6">
        <w:rPr>
          <w:lang w:val="en-GB"/>
        </w:rPr>
        <w:t xml:space="preserve">for </w:t>
      </w:r>
      <w:r w:rsidRPr="005919D6">
        <w:rPr>
          <w:lang w:val="en-GB"/>
        </w:rPr>
        <w:t xml:space="preserve">the reactions of </w:t>
      </w:r>
      <w:r w:rsidR="00B62126" w:rsidRPr="005919D6">
        <w:rPr>
          <w:lang w:val="en-GB"/>
        </w:rPr>
        <w:t xml:space="preserve">water </w:t>
      </w:r>
      <w:r w:rsidRPr="005919D6">
        <w:rPr>
          <w:lang w:val="en-GB"/>
        </w:rPr>
        <w:t xml:space="preserve">oxidation and </w:t>
      </w:r>
      <w:r w:rsidR="00B62126" w:rsidRPr="005919D6">
        <w:rPr>
          <w:lang w:val="en-GB"/>
        </w:rPr>
        <w:t>CO</w:t>
      </w:r>
      <w:r w:rsidR="00B62126" w:rsidRPr="005919D6">
        <w:rPr>
          <w:vertAlign w:val="subscript"/>
          <w:lang w:val="en-GB"/>
        </w:rPr>
        <w:t>2</w:t>
      </w:r>
      <w:r w:rsidR="00B62126" w:rsidRPr="005919D6">
        <w:rPr>
          <w:lang w:val="en-GB"/>
        </w:rPr>
        <w:t xml:space="preserve"> </w:t>
      </w:r>
      <w:r w:rsidRPr="005919D6">
        <w:rPr>
          <w:lang w:val="en-GB"/>
        </w:rPr>
        <w:t>reduction</w:t>
      </w:r>
      <w:r w:rsidR="00B62126" w:rsidRPr="005919D6">
        <w:rPr>
          <w:lang w:val="en-GB"/>
        </w:rPr>
        <w:t>,</w:t>
      </w:r>
      <w:r w:rsidRPr="005919D6">
        <w:rPr>
          <w:lang w:val="en-GB"/>
        </w:rPr>
        <w:t xml:space="preserve"> respectively</w:t>
      </w:r>
      <w:r w:rsidR="00413929" w:rsidRPr="005919D6">
        <w:rPr>
          <w:lang w:val="en-GB"/>
        </w:rPr>
        <w:t xml:space="preserve"> (</w:t>
      </w:r>
      <w:proofErr w:type="spellStart"/>
      <w:r w:rsidR="0054080D" w:rsidRPr="005919D6">
        <w:rPr>
          <w:lang w:val="en-GB"/>
        </w:rPr>
        <w:t>Gawel</w:t>
      </w:r>
      <w:proofErr w:type="spellEnd"/>
      <w:r w:rsidR="00413929" w:rsidRPr="005919D6">
        <w:rPr>
          <w:lang w:val="en-GB"/>
        </w:rPr>
        <w:t xml:space="preserve"> et al., 2020)</w:t>
      </w:r>
      <w:r w:rsidRPr="005919D6">
        <w:rPr>
          <w:lang w:val="en-GB"/>
        </w:rPr>
        <w:t xml:space="preserve">. The </w:t>
      </w:r>
      <w:r w:rsidR="001D64C5" w:rsidRPr="005919D6">
        <w:rPr>
          <w:lang w:val="en-GB"/>
        </w:rPr>
        <w:t xml:space="preserve">reduction </w:t>
      </w:r>
      <w:r w:rsidRPr="005919D6">
        <w:rPr>
          <w:lang w:val="en-GB"/>
        </w:rPr>
        <w:t xml:space="preserve">catalyst, </w:t>
      </w:r>
      <w:r w:rsidR="00B77FFB" w:rsidRPr="005919D6">
        <w:rPr>
          <w:lang w:val="en-GB"/>
        </w:rPr>
        <w:t xml:space="preserve">usually </w:t>
      </w:r>
      <w:r w:rsidR="007050DA" w:rsidRPr="005919D6">
        <w:rPr>
          <w:lang w:val="en-GB"/>
        </w:rPr>
        <w:t xml:space="preserve">supported over a conductive </w:t>
      </w:r>
      <w:r w:rsidR="00360391" w:rsidRPr="005919D6">
        <w:rPr>
          <w:lang w:val="en-GB"/>
        </w:rPr>
        <w:t>substrate</w:t>
      </w:r>
      <w:r w:rsidR="007050DA" w:rsidRPr="005919D6">
        <w:rPr>
          <w:lang w:val="en-GB"/>
        </w:rPr>
        <w:t xml:space="preserve">, </w:t>
      </w:r>
      <w:r w:rsidRPr="005919D6">
        <w:rPr>
          <w:lang w:val="en-GB"/>
        </w:rPr>
        <w:t xml:space="preserve">is immersed in </w:t>
      </w:r>
      <w:r w:rsidR="00620117" w:rsidRPr="005919D6">
        <w:rPr>
          <w:lang w:val="en-GB"/>
        </w:rPr>
        <w:t xml:space="preserve">an </w:t>
      </w:r>
      <w:r w:rsidR="007050DA" w:rsidRPr="005919D6">
        <w:rPr>
          <w:lang w:val="en-GB"/>
        </w:rPr>
        <w:t xml:space="preserve">aqueous </w:t>
      </w:r>
      <w:r w:rsidRPr="005919D6">
        <w:rPr>
          <w:lang w:val="en-GB"/>
        </w:rPr>
        <w:t>electrolyte</w:t>
      </w:r>
      <w:r w:rsidR="003D6789" w:rsidRPr="005919D6">
        <w:rPr>
          <w:lang w:val="en-GB"/>
        </w:rPr>
        <w:t>. However,</w:t>
      </w:r>
      <w:r w:rsidRPr="005919D6">
        <w:rPr>
          <w:lang w:val="en-GB"/>
        </w:rPr>
        <w:t xml:space="preserve"> </w:t>
      </w:r>
      <w:r w:rsidR="003D6789" w:rsidRPr="005919D6">
        <w:rPr>
          <w:lang w:val="en-GB"/>
        </w:rPr>
        <w:t xml:space="preserve">the high concentration of protons in water </w:t>
      </w:r>
      <w:r w:rsidR="00C46F18" w:rsidRPr="005919D6">
        <w:rPr>
          <w:lang w:val="en-GB"/>
        </w:rPr>
        <w:t>lead</w:t>
      </w:r>
      <w:r w:rsidR="00DD5980" w:rsidRPr="005919D6">
        <w:rPr>
          <w:lang w:val="en-GB"/>
        </w:rPr>
        <w:t>s</w:t>
      </w:r>
      <w:r w:rsidRPr="005919D6">
        <w:rPr>
          <w:lang w:val="en-GB"/>
        </w:rPr>
        <w:t xml:space="preserve"> to parasitic reactions, such as the hyd</w:t>
      </w:r>
      <w:r w:rsidR="00914A1B" w:rsidRPr="005919D6">
        <w:rPr>
          <w:lang w:val="en-GB"/>
        </w:rPr>
        <w:t>rogen</w:t>
      </w:r>
      <w:r w:rsidR="007050DA" w:rsidRPr="005919D6">
        <w:rPr>
          <w:lang w:val="en-GB"/>
        </w:rPr>
        <w:t xml:space="preserve"> formation</w:t>
      </w:r>
      <w:r w:rsidR="00914A1B" w:rsidRPr="005919D6">
        <w:rPr>
          <w:lang w:val="en-GB"/>
        </w:rPr>
        <w:t>, which consumes electrons</w:t>
      </w:r>
      <w:r w:rsidRPr="005919D6">
        <w:rPr>
          <w:lang w:val="en-GB"/>
        </w:rPr>
        <w:t xml:space="preserve"> disadvantaging the formation of carbon-based compounds</w:t>
      </w:r>
      <w:r w:rsidR="008806EF" w:rsidRPr="005919D6">
        <w:rPr>
          <w:lang w:val="en-GB"/>
        </w:rPr>
        <w:t xml:space="preserve"> (Goyal et al., 2020)</w:t>
      </w:r>
      <w:r w:rsidRPr="005919D6">
        <w:rPr>
          <w:lang w:val="en-GB"/>
        </w:rPr>
        <w:t>.</w:t>
      </w:r>
    </w:p>
    <w:p w14:paraId="37272B89" w14:textId="4362030F" w:rsidR="007C637C" w:rsidRPr="005919D6" w:rsidRDefault="00276F13" w:rsidP="00EB74C0">
      <w:pPr>
        <w:pStyle w:val="CETBodytext"/>
        <w:rPr>
          <w:lang w:val="en-GB"/>
        </w:rPr>
      </w:pPr>
      <w:r w:rsidRPr="005919D6">
        <w:rPr>
          <w:lang w:val="en-GB"/>
        </w:rPr>
        <w:t>Recently, great attention has been given to gas-phase</w:t>
      </w:r>
      <w:r w:rsidR="007F2FAB" w:rsidRPr="005919D6">
        <w:rPr>
          <w:lang w:val="en-GB"/>
        </w:rPr>
        <w:t xml:space="preserve"> operating systems</w:t>
      </w:r>
      <w:r w:rsidRPr="005919D6">
        <w:rPr>
          <w:lang w:val="en-GB"/>
        </w:rPr>
        <w:t>, which allow</w:t>
      </w:r>
      <w:r w:rsidR="00324C03" w:rsidRPr="005919D6">
        <w:rPr>
          <w:lang w:val="en-GB"/>
        </w:rPr>
        <w:t>ed to obtain</w:t>
      </w:r>
      <w:r w:rsidRPr="005919D6">
        <w:rPr>
          <w:lang w:val="en-GB"/>
        </w:rPr>
        <w:t xml:space="preserve"> different performances compared to conventional liquid-phase systems</w:t>
      </w:r>
      <w:r w:rsidR="00E04C3A" w:rsidRPr="005919D6">
        <w:rPr>
          <w:lang w:val="en-GB"/>
        </w:rPr>
        <w:t xml:space="preserve"> (</w:t>
      </w:r>
      <w:proofErr w:type="spellStart"/>
      <w:r w:rsidR="00062FE8" w:rsidRPr="005919D6">
        <w:rPr>
          <w:lang w:val="en-GB"/>
        </w:rPr>
        <w:t>Giusi</w:t>
      </w:r>
      <w:proofErr w:type="spellEnd"/>
      <w:r w:rsidR="00062FE8" w:rsidRPr="005919D6">
        <w:rPr>
          <w:lang w:val="en-GB"/>
        </w:rPr>
        <w:t xml:space="preserve"> et al., 2022</w:t>
      </w:r>
      <w:r w:rsidR="00E04C3A" w:rsidRPr="005919D6">
        <w:rPr>
          <w:lang w:val="en-GB"/>
        </w:rPr>
        <w:t>)</w:t>
      </w:r>
      <w:r w:rsidRPr="005919D6">
        <w:rPr>
          <w:lang w:val="en-GB"/>
        </w:rPr>
        <w:t>.</w:t>
      </w:r>
      <w:r w:rsidR="00084484" w:rsidRPr="005919D6">
        <w:rPr>
          <w:lang w:val="en-GB"/>
        </w:rPr>
        <w:t xml:space="preserve"> </w:t>
      </w:r>
      <w:r w:rsidR="00C04DFF" w:rsidRPr="005919D6">
        <w:rPr>
          <w:lang w:val="en-GB"/>
        </w:rPr>
        <w:t xml:space="preserve">Among the most attractive </w:t>
      </w:r>
      <w:r w:rsidR="00D33862" w:rsidRPr="005919D6">
        <w:rPr>
          <w:lang w:val="en-GB"/>
        </w:rPr>
        <w:t xml:space="preserve">electrocatalysts </w:t>
      </w:r>
      <w:r w:rsidR="00C04DFF" w:rsidRPr="005919D6">
        <w:rPr>
          <w:lang w:val="en-GB"/>
        </w:rPr>
        <w:t>for CO</w:t>
      </w:r>
      <w:r w:rsidR="00C04DFF" w:rsidRPr="005919D6">
        <w:rPr>
          <w:vertAlign w:val="subscript"/>
          <w:lang w:val="en-GB"/>
        </w:rPr>
        <w:t>2</w:t>
      </w:r>
      <w:r w:rsidR="00C04DFF" w:rsidRPr="005919D6">
        <w:rPr>
          <w:lang w:val="en-GB"/>
        </w:rPr>
        <w:t xml:space="preserve"> reduction, copper oxides, both pure and in composite form, </w:t>
      </w:r>
      <w:r w:rsidR="00732700" w:rsidRPr="005919D6">
        <w:rPr>
          <w:lang w:val="en-GB"/>
        </w:rPr>
        <w:t xml:space="preserve">have been </w:t>
      </w:r>
      <w:r w:rsidR="00C04DFF" w:rsidRPr="005919D6">
        <w:rPr>
          <w:lang w:val="en-GB"/>
        </w:rPr>
        <w:t>the most used in the literature for their activity (</w:t>
      </w:r>
      <w:proofErr w:type="spellStart"/>
      <w:r w:rsidR="00C04DFF" w:rsidRPr="005919D6">
        <w:rPr>
          <w:lang w:val="en-GB"/>
        </w:rPr>
        <w:t>Mais</w:t>
      </w:r>
      <w:proofErr w:type="spellEnd"/>
      <w:r w:rsidR="00C04DFF" w:rsidRPr="005919D6">
        <w:rPr>
          <w:lang w:val="en-GB"/>
        </w:rPr>
        <w:t xml:space="preserve"> et al., 2019)</w:t>
      </w:r>
      <w:r w:rsidR="00245316" w:rsidRPr="005919D6">
        <w:rPr>
          <w:lang w:val="en-GB"/>
        </w:rPr>
        <w:t xml:space="preserve"> and because</w:t>
      </w:r>
      <w:r w:rsidR="00084484" w:rsidRPr="005919D6">
        <w:rPr>
          <w:lang w:val="en-GB"/>
        </w:rPr>
        <w:t xml:space="preserve"> allow the formation of long </w:t>
      </w:r>
      <w:r w:rsidR="00D84FA6" w:rsidRPr="005919D6">
        <w:rPr>
          <w:lang w:val="en-GB"/>
        </w:rPr>
        <w:t>carbon chains</w:t>
      </w:r>
      <w:r w:rsidR="00084484" w:rsidRPr="005919D6">
        <w:rPr>
          <w:lang w:val="en-GB"/>
        </w:rPr>
        <w:t>, going beyon</w:t>
      </w:r>
      <w:r w:rsidR="00B77FFB" w:rsidRPr="005919D6">
        <w:rPr>
          <w:lang w:val="en-GB"/>
        </w:rPr>
        <w:t>d the formation of CO</w:t>
      </w:r>
      <w:r w:rsidR="006A3C5C" w:rsidRPr="005919D6">
        <w:rPr>
          <w:lang w:val="en-GB"/>
        </w:rPr>
        <w:t xml:space="preserve"> </w:t>
      </w:r>
      <w:r w:rsidR="00B77FFB" w:rsidRPr="005919D6">
        <w:rPr>
          <w:lang w:val="en-GB"/>
        </w:rPr>
        <w:t>and HCOOH</w:t>
      </w:r>
      <w:r w:rsidR="00C04DFF" w:rsidRPr="005919D6">
        <w:rPr>
          <w:lang w:val="en-GB"/>
        </w:rPr>
        <w:t xml:space="preserve"> </w:t>
      </w:r>
      <w:r w:rsidR="00496E32" w:rsidRPr="005919D6">
        <w:rPr>
          <w:lang w:val="en-GB"/>
        </w:rPr>
        <w:t>(</w:t>
      </w:r>
      <w:proofErr w:type="spellStart"/>
      <w:r w:rsidR="00496E32" w:rsidRPr="005919D6">
        <w:rPr>
          <w:lang w:val="en-GB"/>
        </w:rPr>
        <w:t>Duarah</w:t>
      </w:r>
      <w:proofErr w:type="spellEnd"/>
      <w:r w:rsidR="00496E32" w:rsidRPr="005919D6">
        <w:rPr>
          <w:lang w:val="en-GB"/>
        </w:rPr>
        <w:t xml:space="preserve"> et al. 2021)</w:t>
      </w:r>
      <w:r w:rsidR="00B77FFB" w:rsidRPr="005919D6">
        <w:rPr>
          <w:lang w:val="en-GB"/>
        </w:rPr>
        <w:t>. The</w:t>
      </w:r>
      <w:r w:rsidR="00245316" w:rsidRPr="005919D6">
        <w:rPr>
          <w:lang w:val="en-GB"/>
        </w:rPr>
        <w:t xml:space="preserve"> latter </w:t>
      </w:r>
      <w:r w:rsidR="00084484" w:rsidRPr="005919D6">
        <w:rPr>
          <w:lang w:val="en-GB"/>
        </w:rPr>
        <w:t>are the simplest products to obtain</w:t>
      </w:r>
      <w:r w:rsidR="00245316" w:rsidRPr="005919D6">
        <w:rPr>
          <w:lang w:val="en-GB"/>
        </w:rPr>
        <w:t xml:space="preserve"> because </w:t>
      </w:r>
      <w:r w:rsidR="00732700" w:rsidRPr="005919D6">
        <w:rPr>
          <w:lang w:val="en-GB"/>
        </w:rPr>
        <w:t>they need only</w:t>
      </w:r>
      <w:r w:rsidR="00245316" w:rsidRPr="005919D6">
        <w:rPr>
          <w:lang w:val="en-GB"/>
        </w:rPr>
        <w:t xml:space="preserve"> two electrons for their formatio</w:t>
      </w:r>
      <w:r w:rsidR="00732700" w:rsidRPr="005919D6">
        <w:rPr>
          <w:lang w:val="en-GB"/>
        </w:rPr>
        <w:t>n</w:t>
      </w:r>
      <w:r w:rsidR="00245316" w:rsidRPr="005919D6">
        <w:rPr>
          <w:lang w:val="en-GB"/>
        </w:rPr>
        <w:t>,</w:t>
      </w:r>
      <w:r w:rsidR="00084484" w:rsidRPr="005919D6">
        <w:rPr>
          <w:lang w:val="en-GB"/>
        </w:rPr>
        <w:t xml:space="preserve"> but less interesting from an industr</w:t>
      </w:r>
      <w:r w:rsidR="00DD5980" w:rsidRPr="005919D6">
        <w:rPr>
          <w:lang w:val="en-GB"/>
        </w:rPr>
        <w:t>ial point of view</w:t>
      </w:r>
      <w:r w:rsidR="00784797" w:rsidRPr="005919D6">
        <w:rPr>
          <w:lang w:val="en-GB"/>
        </w:rPr>
        <w:t xml:space="preserve">, </w:t>
      </w:r>
      <w:r w:rsidR="00E4719F" w:rsidRPr="005919D6">
        <w:rPr>
          <w:lang w:val="en-GB"/>
        </w:rPr>
        <w:t>in the field of renewable fuels</w:t>
      </w:r>
      <w:r w:rsidR="008D35A6" w:rsidRPr="005919D6">
        <w:rPr>
          <w:lang w:val="en-GB"/>
        </w:rPr>
        <w:t>.</w:t>
      </w:r>
      <w:r w:rsidR="0064471F" w:rsidRPr="005919D6">
        <w:rPr>
          <w:lang w:val="en-GB"/>
        </w:rPr>
        <w:t xml:space="preserve"> </w:t>
      </w:r>
      <w:r w:rsidR="00732700" w:rsidRPr="005919D6">
        <w:rPr>
          <w:lang w:val="en-GB"/>
        </w:rPr>
        <w:t xml:space="preserve">C&gt;1 </w:t>
      </w:r>
      <w:proofErr w:type="gramStart"/>
      <w:r w:rsidR="00732700" w:rsidRPr="005919D6">
        <w:rPr>
          <w:lang w:val="en-GB"/>
        </w:rPr>
        <w:t>compounds</w:t>
      </w:r>
      <w:proofErr w:type="gramEnd"/>
      <w:r w:rsidR="00732700" w:rsidRPr="005919D6">
        <w:rPr>
          <w:lang w:val="en-GB"/>
        </w:rPr>
        <w:t xml:space="preserve">, instead, </w:t>
      </w:r>
      <w:r w:rsidR="0064471F" w:rsidRPr="005919D6">
        <w:rPr>
          <w:lang w:val="en-GB"/>
        </w:rPr>
        <w:t>offer interesting opportunities for long-term and large-scale renewable energy storage</w:t>
      </w:r>
      <w:r w:rsidR="009164C6" w:rsidRPr="005919D6">
        <w:rPr>
          <w:lang w:val="en-GB"/>
        </w:rPr>
        <w:t xml:space="preserve"> and green-c</w:t>
      </w:r>
      <w:r w:rsidR="008D35A6" w:rsidRPr="005919D6">
        <w:rPr>
          <w:lang w:val="en-GB"/>
        </w:rPr>
        <w:t xml:space="preserve">hemical </w:t>
      </w:r>
      <w:r w:rsidR="0064471F" w:rsidRPr="005919D6">
        <w:rPr>
          <w:lang w:val="en-GB"/>
        </w:rPr>
        <w:t>production</w:t>
      </w:r>
      <w:r w:rsidR="008D35A6" w:rsidRPr="005919D6">
        <w:rPr>
          <w:lang w:val="en-GB"/>
        </w:rPr>
        <w:t>, especially if their production is obtained with renewable energy, such as sol</w:t>
      </w:r>
      <w:r w:rsidR="007050DA" w:rsidRPr="005919D6">
        <w:rPr>
          <w:lang w:val="en-GB"/>
        </w:rPr>
        <w:t>ar</w:t>
      </w:r>
      <w:r w:rsidR="00360391" w:rsidRPr="005919D6">
        <w:rPr>
          <w:lang w:val="en-GB"/>
        </w:rPr>
        <w:t xml:space="preserve"> energy</w:t>
      </w:r>
      <w:r w:rsidR="007050DA" w:rsidRPr="005919D6">
        <w:rPr>
          <w:lang w:val="en-GB"/>
        </w:rPr>
        <w:t xml:space="preserve"> through photovoltaic systems </w:t>
      </w:r>
      <w:r w:rsidR="0077663A" w:rsidRPr="005919D6">
        <w:rPr>
          <w:lang w:val="en-GB"/>
        </w:rPr>
        <w:t>(</w:t>
      </w:r>
      <w:proofErr w:type="spellStart"/>
      <w:r w:rsidR="0077663A" w:rsidRPr="005919D6">
        <w:rPr>
          <w:lang w:val="en-GB"/>
        </w:rPr>
        <w:t>Giusi</w:t>
      </w:r>
      <w:proofErr w:type="spellEnd"/>
      <w:r w:rsidR="0077663A" w:rsidRPr="005919D6">
        <w:rPr>
          <w:lang w:val="en-GB"/>
        </w:rPr>
        <w:t xml:space="preserve"> et al.</w:t>
      </w:r>
      <w:r w:rsidR="009652DC" w:rsidRPr="005919D6">
        <w:rPr>
          <w:lang w:val="en-GB"/>
        </w:rPr>
        <w:t>,</w:t>
      </w:r>
      <w:r w:rsidR="0077663A" w:rsidRPr="005919D6">
        <w:rPr>
          <w:lang w:val="en-GB"/>
        </w:rPr>
        <w:t xml:space="preserve"> 2021</w:t>
      </w:r>
      <w:r w:rsidR="00B67441" w:rsidRPr="005919D6">
        <w:rPr>
          <w:lang w:val="en-GB"/>
        </w:rPr>
        <w:t>a</w:t>
      </w:r>
      <w:r w:rsidR="0077663A" w:rsidRPr="005919D6">
        <w:rPr>
          <w:lang w:val="en-GB"/>
        </w:rPr>
        <w:t>)</w:t>
      </w:r>
      <w:r w:rsidR="00084484" w:rsidRPr="005919D6">
        <w:rPr>
          <w:lang w:val="en-GB"/>
        </w:rPr>
        <w:t>.</w:t>
      </w:r>
      <w:r w:rsidR="00C46F18" w:rsidRPr="005919D6">
        <w:rPr>
          <w:lang w:val="en-GB"/>
        </w:rPr>
        <w:t xml:space="preserve"> </w:t>
      </w:r>
      <w:r w:rsidR="00620117" w:rsidRPr="005919D6">
        <w:rPr>
          <w:lang w:val="en-GB"/>
        </w:rPr>
        <w:t xml:space="preserve">Numerous studies have highlighted the importance of the operating conditions, for example </w:t>
      </w:r>
      <w:r w:rsidR="00451E29" w:rsidRPr="005919D6">
        <w:rPr>
          <w:lang w:val="en-GB"/>
        </w:rPr>
        <w:t>showing</w:t>
      </w:r>
      <w:r w:rsidR="00620117" w:rsidRPr="005919D6">
        <w:rPr>
          <w:lang w:val="en-GB"/>
        </w:rPr>
        <w:t xml:space="preserve"> how the distribution of the </w:t>
      </w:r>
      <w:r w:rsidR="00620117" w:rsidRPr="005919D6">
        <w:rPr>
          <w:lang w:val="en-GB"/>
        </w:rPr>
        <w:lastRenderedPageBreak/>
        <w:t>products is dependent on the applied current density (</w:t>
      </w:r>
      <w:proofErr w:type="spellStart"/>
      <w:r w:rsidR="00B67441" w:rsidRPr="005919D6">
        <w:rPr>
          <w:lang w:val="en-GB"/>
        </w:rPr>
        <w:t>Giusi</w:t>
      </w:r>
      <w:proofErr w:type="spellEnd"/>
      <w:r w:rsidR="00B67441" w:rsidRPr="005919D6">
        <w:rPr>
          <w:lang w:val="en-GB"/>
        </w:rPr>
        <w:t xml:space="preserve"> et al., 2021</w:t>
      </w:r>
      <w:r w:rsidR="00A43CE8" w:rsidRPr="005919D6">
        <w:rPr>
          <w:lang w:val="en-GB"/>
        </w:rPr>
        <w:t>b</w:t>
      </w:r>
      <w:r w:rsidR="00620117" w:rsidRPr="005919D6">
        <w:rPr>
          <w:lang w:val="en-GB"/>
        </w:rPr>
        <w:t xml:space="preserve">). </w:t>
      </w:r>
      <w:r w:rsidR="00B67441" w:rsidRPr="005919D6">
        <w:rPr>
          <w:lang w:val="en-GB"/>
        </w:rPr>
        <w:t xml:space="preserve">High </w:t>
      </w:r>
      <w:r w:rsidR="00C46F18" w:rsidRPr="005919D6">
        <w:rPr>
          <w:lang w:val="en-GB"/>
        </w:rPr>
        <w:t xml:space="preserve">importance is often given to </w:t>
      </w:r>
      <w:r w:rsidR="0064471F" w:rsidRPr="005919D6">
        <w:rPr>
          <w:lang w:val="en-GB"/>
        </w:rPr>
        <w:t>tailoring</w:t>
      </w:r>
      <w:r w:rsidR="00C46F18" w:rsidRPr="005919D6">
        <w:rPr>
          <w:lang w:val="en-GB"/>
        </w:rPr>
        <w:t xml:space="preserve"> the electrocatalyst</w:t>
      </w:r>
      <w:r w:rsidR="0064471F" w:rsidRPr="005919D6">
        <w:rPr>
          <w:lang w:val="en-GB"/>
        </w:rPr>
        <w:t xml:space="preserve"> propert</w:t>
      </w:r>
      <w:r w:rsidR="008B09A2" w:rsidRPr="005919D6">
        <w:rPr>
          <w:lang w:val="en-GB"/>
        </w:rPr>
        <w:t>ies</w:t>
      </w:r>
      <w:r w:rsidR="00C46F18" w:rsidRPr="005919D6">
        <w:rPr>
          <w:lang w:val="en-GB"/>
        </w:rPr>
        <w:t xml:space="preserve">, underestimating the influence of the </w:t>
      </w:r>
      <w:r w:rsidR="00732700" w:rsidRPr="005919D6">
        <w:rPr>
          <w:lang w:val="en-GB"/>
        </w:rPr>
        <w:t xml:space="preserve">electrode and reactor </w:t>
      </w:r>
      <w:r w:rsidR="00C46F18" w:rsidRPr="005919D6">
        <w:rPr>
          <w:lang w:val="en-GB"/>
        </w:rPr>
        <w:t xml:space="preserve">design in determining the </w:t>
      </w:r>
      <w:r w:rsidR="00360391" w:rsidRPr="005919D6">
        <w:rPr>
          <w:lang w:val="en-GB"/>
        </w:rPr>
        <w:t>process</w:t>
      </w:r>
      <w:r w:rsidR="00C46F18" w:rsidRPr="005919D6">
        <w:rPr>
          <w:lang w:val="en-GB"/>
        </w:rPr>
        <w:t xml:space="preserve"> selectivity</w:t>
      </w:r>
      <w:r w:rsidR="00CD1E7E" w:rsidRPr="005919D6">
        <w:rPr>
          <w:lang w:val="en-GB"/>
        </w:rPr>
        <w:t xml:space="preserve"> (Gao et al., 2020)</w:t>
      </w:r>
      <w:r w:rsidR="00C46F18" w:rsidRPr="005919D6">
        <w:rPr>
          <w:lang w:val="en-GB"/>
        </w:rPr>
        <w:t>.</w:t>
      </w:r>
      <w:r w:rsidR="007C637C" w:rsidRPr="005919D6">
        <w:rPr>
          <w:lang w:val="en-GB"/>
        </w:rPr>
        <w:t xml:space="preserve"> </w:t>
      </w:r>
      <w:r w:rsidR="00C46F18" w:rsidRPr="005919D6">
        <w:rPr>
          <w:lang w:val="en-GB"/>
        </w:rPr>
        <w:t xml:space="preserve">The </w:t>
      </w:r>
      <w:r w:rsidR="008B09A2" w:rsidRPr="005919D6">
        <w:rPr>
          <w:lang w:val="en-GB"/>
        </w:rPr>
        <w:t xml:space="preserve">control </w:t>
      </w:r>
      <w:r w:rsidR="00C46F18" w:rsidRPr="005919D6">
        <w:rPr>
          <w:lang w:val="en-GB"/>
        </w:rPr>
        <w:t>of the proton ionic mobility in the cathodic compartment is therefore decisive in mitigating the diffusion on the catalytic surface</w:t>
      </w:r>
      <w:r w:rsidR="007C637C" w:rsidRPr="005919D6">
        <w:rPr>
          <w:lang w:val="en-GB"/>
        </w:rPr>
        <w:t xml:space="preserve"> and limiting the </w:t>
      </w:r>
      <w:r w:rsidR="00C46F18" w:rsidRPr="005919D6">
        <w:rPr>
          <w:lang w:val="en-GB"/>
        </w:rPr>
        <w:t>formation of hydrogen</w:t>
      </w:r>
      <w:r w:rsidR="00AF2342" w:rsidRPr="005919D6">
        <w:rPr>
          <w:lang w:val="en-GB"/>
        </w:rPr>
        <w:t xml:space="preserve"> (</w:t>
      </w:r>
      <w:proofErr w:type="spellStart"/>
      <w:r w:rsidR="00B663E7" w:rsidRPr="005919D6">
        <w:rPr>
          <w:lang w:val="en-GB"/>
        </w:rPr>
        <w:t>Ampelli</w:t>
      </w:r>
      <w:proofErr w:type="spellEnd"/>
      <w:r w:rsidR="00AF2342" w:rsidRPr="005919D6">
        <w:rPr>
          <w:lang w:val="en-GB"/>
        </w:rPr>
        <w:t>, 202</w:t>
      </w:r>
      <w:r w:rsidR="00B663E7" w:rsidRPr="005919D6">
        <w:rPr>
          <w:lang w:val="en-GB"/>
        </w:rPr>
        <w:t>0</w:t>
      </w:r>
      <w:r w:rsidR="00AF2342" w:rsidRPr="005919D6">
        <w:rPr>
          <w:lang w:val="en-GB"/>
        </w:rPr>
        <w:t>)</w:t>
      </w:r>
      <w:r w:rsidR="00C46F18" w:rsidRPr="005919D6">
        <w:rPr>
          <w:lang w:val="en-GB"/>
        </w:rPr>
        <w:t>.</w:t>
      </w:r>
    </w:p>
    <w:p w14:paraId="67A51E49" w14:textId="4301770A" w:rsidR="005811BC" w:rsidRPr="005919D6" w:rsidRDefault="00C46F18" w:rsidP="00EB74C0">
      <w:pPr>
        <w:pStyle w:val="CETBodytext"/>
        <w:rPr>
          <w:lang w:val="en-GB"/>
        </w:rPr>
      </w:pPr>
      <w:r w:rsidRPr="005919D6">
        <w:rPr>
          <w:lang w:val="en-GB"/>
        </w:rPr>
        <w:t>Th</w:t>
      </w:r>
      <w:r w:rsidR="007C637C" w:rsidRPr="005919D6">
        <w:rPr>
          <w:lang w:val="en-GB"/>
        </w:rPr>
        <w:t xml:space="preserve">e </w:t>
      </w:r>
      <w:r w:rsidR="004F169C" w:rsidRPr="005919D6">
        <w:rPr>
          <w:lang w:val="en-GB"/>
        </w:rPr>
        <w:t xml:space="preserve">unconventional </w:t>
      </w:r>
      <w:r w:rsidR="007C637C" w:rsidRPr="005919D6">
        <w:rPr>
          <w:lang w:val="en-GB"/>
        </w:rPr>
        <w:t>gas-phase conditions (also called electrolyte-less or zero-gap conditions)</w:t>
      </w:r>
      <w:r w:rsidRPr="005919D6">
        <w:rPr>
          <w:lang w:val="en-GB"/>
        </w:rPr>
        <w:t xml:space="preserve"> can be achieved by </w:t>
      </w:r>
      <w:r w:rsidR="00B663E7" w:rsidRPr="005919D6">
        <w:rPr>
          <w:lang w:val="en-GB"/>
        </w:rPr>
        <w:t>developing</w:t>
      </w:r>
      <w:r w:rsidRPr="005919D6">
        <w:rPr>
          <w:lang w:val="en-GB"/>
        </w:rPr>
        <w:t xml:space="preserve"> </w:t>
      </w:r>
      <w:r w:rsidR="000A32D3" w:rsidRPr="005919D6">
        <w:rPr>
          <w:lang w:val="en-GB"/>
        </w:rPr>
        <w:t>a</w:t>
      </w:r>
      <w:r w:rsidRPr="005919D6">
        <w:rPr>
          <w:lang w:val="en-GB"/>
        </w:rPr>
        <w:t xml:space="preserve"> </w:t>
      </w:r>
      <w:r w:rsidR="00360391" w:rsidRPr="005919D6">
        <w:rPr>
          <w:lang w:val="en-GB"/>
        </w:rPr>
        <w:t>membrane electrode assembly (</w:t>
      </w:r>
      <w:r w:rsidRPr="005919D6">
        <w:rPr>
          <w:lang w:val="en-GB"/>
        </w:rPr>
        <w:t>MEA</w:t>
      </w:r>
      <w:r w:rsidR="00360391" w:rsidRPr="005919D6">
        <w:rPr>
          <w:lang w:val="en-GB"/>
        </w:rPr>
        <w:t>)</w:t>
      </w:r>
      <w:r w:rsidRPr="005919D6">
        <w:rPr>
          <w:lang w:val="en-GB"/>
        </w:rPr>
        <w:t xml:space="preserve">, </w:t>
      </w:r>
      <w:r w:rsidR="00360391" w:rsidRPr="005919D6">
        <w:rPr>
          <w:lang w:val="en-GB"/>
        </w:rPr>
        <w:t>similar to</w:t>
      </w:r>
      <w:r w:rsidR="007C637C" w:rsidRPr="005919D6">
        <w:rPr>
          <w:lang w:val="en-GB"/>
        </w:rPr>
        <w:t xml:space="preserve"> that used in</w:t>
      </w:r>
      <w:r w:rsidR="00360391" w:rsidRPr="005919D6">
        <w:rPr>
          <w:lang w:val="en-GB"/>
        </w:rPr>
        <w:t xml:space="preserve"> fuel cell technology, </w:t>
      </w:r>
      <w:r w:rsidRPr="005919D6">
        <w:rPr>
          <w:lang w:val="en-GB"/>
        </w:rPr>
        <w:t>coupling the catalyst with a</w:t>
      </w:r>
      <w:r w:rsidR="00B663E7" w:rsidRPr="005919D6">
        <w:rPr>
          <w:lang w:val="en-GB"/>
        </w:rPr>
        <w:t>n ion</w:t>
      </w:r>
      <w:r w:rsidR="0061127B" w:rsidRPr="005919D6">
        <w:rPr>
          <w:lang w:val="en-GB"/>
        </w:rPr>
        <w:t>-</w:t>
      </w:r>
      <w:r w:rsidRPr="005919D6">
        <w:rPr>
          <w:lang w:val="en-GB"/>
        </w:rPr>
        <w:t>exchange membrane to create a solid electrolyte</w:t>
      </w:r>
      <w:r w:rsidR="00B663E7" w:rsidRPr="005919D6">
        <w:rPr>
          <w:lang w:val="en-GB"/>
        </w:rPr>
        <w:t>,</w:t>
      </w:r>
      <w:r w:rsidR="007C637C" w:rsidRPr="005919D6">
        <w:rPr>
          <w:lang w:val="en-GB"/>
        </w:rPr>
        <w:t xml:space="preserve"> </w:t>
      </w:r>
      <w:r w:rsidR="00360391" w:rsidRPr="005919D6">
        <w:rPr>
          <w:lang w:val="en-GB"/>
        </w:rPr>
        <w:t xml:space="preserve">thus </w:t>
      </w:r>
      <w:r w:rsidRPr="005919D6">
        <w:rPr>
          <w:lang w:val="en-GB"/>
        </w:rPr>
        <w:t>replac</w:t>
      </w:r>
      <w:r w:rsidR="00360391" w:rsidRPr="005919D6">
        <w:rPr>
          <w:lang w:val="en-GB"/>
        </w:rPr>
        <w:t>ing</w:t>
      </w:r>
      <w:r w:rsidRPr="005919D6">
        <w:rPr>
          <w:lang w:val="en-GB"/>
        </w:rPr>
        <w:t xml:space="preserve"> the liquid </w:t>
      </w:r>
      <w:r w:rsidR="00360391" w:rsidRPr="005919D6">
        <w:rPr>
          <w:lang w:val="en-GB"/>
        </w:rPr>
        <w:t>cathodic compartment</w:t>
      </w:r>
      <w:r w:rsidR="00126E16" w:rsidRPr="005919D6">
        <w:rPr>
          <w:lang w:val="en-GB"/>
        </w:rPr>
        <w:t xml:space="preserve"> (Park et al., 2023)</w:t>
      </w:r>
      <w:r w:rsidRPr="005919D6">
        <w:rPr>
          <w:lang w:val="en-GB"/>
        </w:rPr>
        <w:t xml:space="preserve">. Factors such as </w:t>
      </w:r>
      <w:proofErr w:type="spellStart"/>
      <w:r w:rsidRPr="005919D6">
        <w:rPr>
          <w:lang w:val="en-GB"/>
        </w:rPr>
        <w:t>i</w:t>
      </w:r>
      <w:proofErr w:type="spellEnd"/>
      <w:r w:rsidRPr="005919D6">
        <w:rPr>
          <w:lang w:val="en-GB"/>
        </w:rPr>
        <w:t>) high</w:t>
      </w:r>
      <w:r w:rsidR="00360391" w:rsidRPr="005919D6">
        <w:rPr>
          <w:lang w:val="en-GB"/>
        </w:rPr>
        <w:t>er</w:t>
      </w:r>
      <w:r w:rsidRPr="005919D6">
        <w:rPr>
          <w:lang w:val="en-GB"/>
        </w:rPr>
        <w:t xml:space="preserve"> concentration of CO</w:t>
      </w:r>
      <w:r w:rsidRPr="005919D6">
        <w:rPr>
          <w:vertAlign w:val="subscript"/>
          <w:lang w:val="en-GB"/>
        </w:rPr>
        <w:t>2</w:t>
      </w:r>
      <w:r w:rsidRPr="005919D6">
        <w:rPr>
          <w:lang w:val="en-GB"/>
        </w:rPr>
        <w:t xml:space="preserve"> on the </w:t>
      </w:r>
      <w:r w:rsidR="00360391" w:rsidRPr="005919D6">
        <w:rPr>
          <w:lang w:val="en-GB"/>
        </w:rPr>
        <w:t xml:space="preserve">electrode surface </w:t>
      </w:r>
      <w:r w:rsidRPr="005919D6">
        <w:rPr>
          <w:lang w:val="en-GB"/>
        </w:rPr>
        <w:t xml:space="preserve">and ii) </w:t>
      </w:r>
      <w:r w:rsidR="00B702D3" w:rsidRPr="005919D6">
        <w:rPr>
          <w:lang w:val="en-GB"/>
        </w:rPr>
        <w:t xml:space="preserve">controlled </w:t>
      </w:r>
      <w:r w:rsidRPr="005919D6">
        <w:rPr>
          <w:lang w:val="en-GB"/>
        </w:rPr>
        <w:t xml:space="preserve">proton mobility </w:t>
      </w:r>
      <w:r w:rsidR="00B702D3" w:rsidRPr="005919D6">
        <w:rPr>
          <w:lang w:val="en-GB"/>
        </w:rPr>
        <w:t>in</w:t>
      </w:r>
      <w:r w:rsidRPr="005919D6">
        <w:rPr>
          <w:lang w:val="en-GB"/>
        </w:rPr>
        <w:t xml:space="preserve"> the catalyst/membrane interface</w:t>
      </w:r>
      <w:r w:rsidR="00360391" w:rsidRPr="005919D6">
        <w:rPr>
          <w:lang w:val="en-GB"/>
        </w:rPr>
        <w:t>, allow</w:t>
      </w:r>
      <w:r w:rsidRPr="005919D6">
        <w:rPr>
          <w:lang w:val="en-GB"/>
        </w:rPr>
        <w:t xml:space="preserve"> to </w:t>
      </w:r>
      <w:r w:rsidR="005D1B0D" w:rsidRPr="005919D6">
        <w:rPr>
          <w:lang w:val="en-GB"/>
        </w:rPr>
        <w:t>address</w:t>
      </w:r>
      <w:r w:rsidRPr="005919D6">
        <w:rPr>
          <w:lang w:val="en-GB"/>
        </w:rPr>
        <w:t xml:space="preserve"> the catalytic </w:t>
      </w:r>
      <w:r w:rsidR="00B702D3" w:rsidRPr="005919D6">
        <w:rPr>
          <w:lang w:val="en-GB"/>
        </w:rPr>
        <w:t xml:space="preserve">surface </w:t>
      </w:r>
      <w:r w:rsidR="00360391" w:rsidRPr="005919D6">
        <w:rPr>
          <w:lang w:val="en-GB"/>
        </w:rPr>
        <w:t xml:space="preserve">reactions </w:t>
      </w:r>
      <w:r w:rsidRPr="005919D6">
        <w:rPr>
          <w:lang w:val="en-GB"/>
        </w:rPr>
        <w:t xml:space="preserve">towards the formation of long carbonaceous chains, limiting the production of </w:t>
      </w:r>
      <w:r w:rsidR="00992BEF" w:rsidRPr="005919D6">
        <w:rPr>
          <w:lang w:val="en-GB"/>
        </w:rPr>
        <w:t>hydrogen (</w:t>
      </w:r>
      <w:r w:rsidR="00360391" w:rsidRPr="005919D6">
        <w:rPr>
          <w:lang w:val="en-GB"/>
        </w:rPr>
        <w:t>H</w:t>
      </w:r>
      <w:r w:rsidR="00360391" w:rsidRPr="005919D6">
        <w:rPr>
          <w:vertAlign w:val="subscript"/>
          <w:lang w:val="en-GB"/>
        </w:rPr>
        <w:t>2</w:t>
      </w:r>
      <w:r w:rsidR="00992BEF" w:rsidRPr="005919D6">
        <w:rPr>
          <w:lang w:val="en-GB"/>
        </w:rPr>
        <w:t>), carbon monoxide</w:t>
      </w:r>
      <w:r w:rsidR="00360391" w:rsidRPr="005919D6">
        <w:rPr>
          <w:lang w:val="en-GB"/>
        </w:rPr>
        <w:t xml:space="preserve"> </w:t>
      </w:r>
      <w:r w:rsidR="00992BEF" w:rsidRPr="005919D6">
        <w:rPr>
          <w:lang w:val="en-GB"/>
        </w:rPr>
        <w:t>(</w:t>
      </w:r>
      <w:r w:rsidRPr="005919D6">
        <w:rPr>
          <w:lang w:val="en-GB"/>
        </w:rPr>
        <w:t>CO</w:t>
      </w:r>
      <w:r w:rsidR="00992BEF" w:rsidRPr="005919D6">
        <w:rPr>
          <w:lang w:val="en-GB"/>
        </w:rPr>
        <w:t>)</w:t>
      </w:r>
      <w:r w:rsidRPr="005919D6">
        <w:rPr>
          <w:lang w:val="en-GB"/>
        </w:rPr>
        <w:t xml:space="preserve"> and </w:t>
      </w:r>
      <w:r w:rsidR="00992BEF" w:rsidRPr="005919D6">
        <w:rPr>
          <w:lang w:val="en-GB"/>
        </w:rPr>
        <w:t>formic acid/</w:t>
      </w:r>
      <w:proofErr w:type="spellStart"/>
      <w:r w:rsidR="00992BEF" w:rsidRPr="005919D6">
        <w:rPr>
          <w:lang w:val="en-GB"/>
        </w:rPr>
        <w:t>formate</w:t>
      </w:r>
      <w:proofErr w:type="spellEnd"/>
      <w:r w:rsidR="00992BEF" w:rsidRPr="005919D6">
        <w:rPr>
          <w:lang w:val="en-GB"/>
        </w:rPr>
        <w:t xml:space="preserve"> (</w:t>
      </w:r>
      <w:r w:rsidRPr="005919D6">
        <w:rPr>
          <w:lang w:val="en-GB"/>
        </w:rPr>
        <w:t>HCOOH</w:t>
      </w:r>
      <w:r w:rsidR="00992BEF" w:rsidRPr="005919D6">
        <w:rPr>
          <w:lang w:val="en-GB"/>
        </w:rPr>
        <w:t>/HCOO</w:t>
      </w:r>
      <w:r w:rsidR="00992BEF" w:rsidRPr="005919D6">
        <w:rPr>
          <w:vertAlign w:val="superscript"/>
          <w:lang w:val="en-GB"/>
        </w:rPr>
        <w:t>-</w:t>
      </w:r>
      <w:r w:rsidR="00992BEF" w:rsidRPr="005919D6">
        <w:rPr>
          <w:lang w:val="en-GB"/>
        </w:rPr>
        <w:t>)</w:t>
      </w:r>
      <w:r w:rsidR="00EB74C0" w:rsidRPr="005919D6">
        <w:rPr>
          <w:lang w:val="en-GB"/>
        </w:rPr>
        <w:t xml:space="preserve"> (</w:t>
      </w:r>
      <w:proofErr w:type="spellStart"/>
      <w:r w:rsidR="003B0016" w:rsidRPr="005919D6">
        <w:rPr>
          <w:lang w:val="en-GB"/>
        </w:rPr>
        <w:t>Giusi</w:t>
      </w:r>
      <w:proofErr w:type="spellEnd"/>
      <w:r w:rsidR="003B0016" w:rsidRPr="005919D6">
        <w:rPr>
          <w:lang w:val="en-GB"/>
        </w:rPr>
        <w:t xml:space="preserve"> et al., 2022</w:t>
      </w:r>
      <w:r w:rsidR="00EB74C0" w:rsidRPr="005919D6">
        <w:rPr>
          <w:lang w:val="en-GB"/>
        </w:rPr>
        <w:t>).</w:t>
      </w:r>
    </w:p>
    <w:p w14:paraId="4163A1D8" w14:textId="2E7B184C" w:rsidR="000A4C4F" w:rsidRPr="005919D6" w:rsidRDefault="00CE297D" w:rsidP="00B62126">
      <w:pPr>
        <w:pStyle w:val="CETBodytext"/>
        <w:rPr>
          <w:lang w:val="en-GB"/>
        </w:rPr>
      </w:pPr>
      <w:r w:rsidRPr="005919D6">
        <w:rPr>
          <w:lang w:val="en-GB"/>
        </w:rPr>
        <w:t xml:space="preserve">The engineering of the system is therefore able to drastically modify the selectivity of the process, making a catalyst selective towards the </w:t>
      </w:r>
      <w:r w:rsidR="00360391" w:rsidRPr="005919D6">
        <w:rPr>
          <w:lang w:val="en-GB"/>
        </w:rPr>
        <w:t xml:space="preserve">formation of </w:t>
      </w:r>
      <w:r w:rsidR="009652DC" w:rsidRPr="005919D6">
        <w:rPr>
          <w:lang w:val="en-GB"/>
        </w:rPr>
        <w:t>&gt;</w:t>
      </w:r>
      <w:r w:rsidRPr="005919D6">
        <w:rPr>
          <w:lang w:val="en-GB"/>
        </w:rPr>
        <w:t>C</w:t>
      </w:r>
      <w:r w:rsidR="009652DC" w:rsidRPr="005919D6">
        <w:rPr>
          <w:lang w:val="en-GB"/>
        </w:rPr>
        <w:t>1</w:t>
      </w:r>
      <w:r w:rsidRPr="005919D6">
        <w:rPr>
          <w:lang w:val="en-GB"/>
        </w:rPr>
        <w:t xml:space="preserve"> species without </w:t>
      </w:r>
      <w:r w:rsidR="00360391" w:rsidRPr="005919D6">
        <w:rPr>
          <w:lang w:val="en-GB"/>
        </w:rPr>
        <w:t xml:space="preserve">any </w:t>
      </w:r>
      <w:r w:rsidRPr="005919D6">
        <w:rPr>
          <w:lang w:val="en-GB"/>
        </w:rPr>
        <w:t>modif</w:t>
      </w:r>
      <w:r w:rsidR="00360391" w:rsidRPr="005919D6">
        <w:rPr>
          <w:lang w:val="en-GB"/>
        </w:rPr>
        <w:t>ications</w:t>
      </w:r>
      <w:r w:rsidRPr="005919D6">
        <w:rPr>
          <w:lang w:val="en-GB"/>
        </w:rPr>
        <w:t xml:space="preserve">, </w:t>
      </w:r>
      <w:r w:rsidR="00360391" w:rsidRPr="005919D6">
        <w:rPr>
          <w:lang w:val="en-GB"/>
        </w:rPr>
        <w:t xml:space="preserve">i.e. </w:t>
      </w:r>
      <w:r w:rsidRPr="005919D6">
        <w:rPr>
          <w:lang w:val="en-GB"/>
        </w:rPr>
        <w:t xml:space="preserve">the addition of expensive doping elements or the </w:t>
      </w:r>
      <w:r w:rsidR="00360391" w:rsidRPr="005919D6">
        <w:rPr>
          <w:lang w:val="en-GB"/>
        </w:rPr>
        <w:t xml:space="preserve">use </w:t>
      </w:r>
      <w:r w:rsidRPr="005919D6">
        <w:rPr>
          <w:lang w:val="en-GB"/>
        </w:rPr>
        <w:t xml:space="preserve">of alloys and </w:t>
      </w:r>
      <w:r w:rsidR="001944E9" w:rsidRPr="005919D6">
        <w:rPr>
          <w:lang w:val="en-GB"/>
        </w:rPr>
        <w:t>bimetallic system</w:t>
      </w:r>
      <w:r w:rsidR="00E11F9E" w:rsidRPr="005919D6">
        <w:rPr>
          <w:lang w:val="en-GB"/>
        </w:rPr>
        <w:t xml:space="preserve"> (</w:t>
      </w:r>
      <w:proofErr w:type="spellStart"/>
      <w:r w:rsidR="00E11F9E" w:rsidRPr="005919D6">
        <w:rPr>
          <w:lang w:val="en-GB"/>
        </w:rPr>
        <w:t>Marepally</w:t>
      </w:r>
      <w:proofErr w:type="spellEnd"/>
      <w:r w:rsidR="00E11F9E" w:rsidRPr="005919D6">
        <w:rPr>
          <w:lang w:val="en-GB"/>
        </w:rPr>
        <w:t xml:space="preserve"> et al.</w:t>
      </w:r>
      <w:r w:rsidR="00CD1E7E" w:rsidRPr="005919D6">
        <w:rPr>
          <w:lang w:val="en-GB"/>
        </w:rPr>
        <w:t>,</w:t>
      </w:r>
      <w:r w:rsidR="00E11F9E" w:rsidRPr="005919D6">
        <w:rPr>
          <w:lang w:val="en-GB"/>
        </w:rPr>
        <w:t xml:space="preserve"> 20</w:t>
      </w:r>
      <w:r w:rsidR="00360391" w:rsidRPr="005919D6">
        <w:rPr>
          <w:lang w:val="en-GB"/>
        </w:rPr>
        <w:t>17</w:t>
      </w:r>
      <w:r w:rsidR="00E11F9E" w:rsidRPr="005919D6">
        <w:rPr>
          <w:lang w:val="en-GB"/>
        </w:rPr>
        <w:t>)</w:t>
      </w:r>
      <w:r w:rsidRPr="005919D6">
        <w:rPr>
          <w:lang w:val="en-GB"/>
        </w:rPr>
        <w:t>.</w:t>
      </w:r>
      <w:r w:rsidR="00901657" w:rsidRPr="005919D6">
        <w:rPr>
          <w:lang w:val="en-GB"/>
        </w:rPr>
        <w:t xml:space="preserve"> This does not mean that the electrocatalyst itself is unimportant, but that the catalytic </w:t>
      </w:r>
      <w:r w:rsidR="00D33862" w:rsidRPr="005919D6">
        <w:rPr>
          <w:lang w:val="en-GB"/>
        </w:rPr>
        <w:t>behaviour</w:t>
      </w:r>
      <w:r w:rsidR="00901657" w:rsidRPr="005919D6">
        <w:rPr>
          <w:lang w:val="en-GB"/>
        </w:rPr>
        <w:t xml:space="preserve"> is dominated by the reactor characteristics, determined mainly by transport phenomena and surface population by </w:t>
      </w:r>
      <w:proofErr w:type="spellStart"/>
      <w:r w:rsidR="00901657" w:rsidRPr="005919D6">
        <w:rPr>
          <w:lang w:val="en-GB"/>
        </w:rPr>
        <w:t>adspecies</w:t>
      </w:r>
      <w:proofErr w:type="spellEnd"/>
      <w:r w:rsidR="00901657" w:rsidRPr="005919D6">
        <w:rPr>
          <w:lang w:val="en-GB"/>
        </w:rPr>
        <w:t xml:space="preserve"> at the electrode surface</w:t>
      </w:r>
      <w:r w:rsidR="00E876A9" w:rsidRPr="005919D6">
        <w:rPr>
          <w:lang w:val="en-GB"/>
        </w:rPr>
        <w:t xml:space="preserve"> (Pan</w:t>
      </w:r>
      <w:r w:rsidR="004A511A" w:rsidRPr="005919D6">
        <w:rPr>
          <w:lang w:val="en-GB"/>
        </w:rPr>
        <w:t xml:space="preserve"> and </w:t>
      </w:r>
      <w:proofErr w:type="spellStart"/>
      <w:r w:rsidR="004A511A" w:rsidRPr="005919D6">
        <w:rPr>
          <w:lang w:val="en-GB"/>
        </w:rPr>
        <w:t>Mauzeroll</w:t>
      </w:r>
      <w:proofErr w:type="spellEnd"/>
      <w:r w:rsidR="00C76F4B" w:rsidRPr="005919D6">
        <w:rPr>
          <w:lang w:val="en-GB"/>
        </w:rPr>
        <w:t xml:space="preserve">, </w:t>
      </w:r>
      <w:r w:rsidR="00E876A9" w:rsidRPr="005919D6">
        <w:rPr>
          <w:lang w:val="en-GB"/>
        </w:rPr>
        <w:t>2020)</w:t>
      </w:r>
      <w:r w:rsidR="00901657" w:rsidRPr="005919D6">
        <w:rPr>
          <w:lang w:val="en-GB"/>
        </w:rPr>
        <w:t>.</w:t>
      </w:r>
    </w:p>
    <w:p w14:paraId="638BA41F" w14:textId="002CD8FB" w:rsidR="00794E1A" w:rsidRPr="00527A2F" w:rsidRDefault="001944E9" w:rsidP="00B62126">
      <w:pPr>
        <w:pStyle w:val="CETBodytext"/>
        <w:rPr>
          <w:lang w:val="en-GB"/>
        </w:rPr>
      </w:pPr>
      <w:r w:rsidRPr="005919D6">
        <w:rPr>
          <w:lang w:val="en-GB"/>
        </w:rPr>
        <w:t>In this work</w:t>
      </w:r>
      <w:r w:rsidR="00DD5980" w:rsidRPr="005919D6">
        <w:rPr>
          <w:lang w:val="en-GB"/>
        </w:rPr>
        <w:t>,</w:t>
      </w:r>
      <w:r w:rsidRPr="005919D6">
        <w:rPr>
          <w:lang w:val="en-GB"/>
        </w:rPr>
        <w:t xml:space="preserve"> the comparison of the electrochemical performances of a</w:t>
      </w:r>
      <w:r w:rsidR="00B702D3" w:rsidRPr="005919D6">
        <w:rPr>
          <w:lang w:val="en-GB"/>
        </w:rPr>
        <w:t>n unconventional</w:t>
      </w:r>
      <w:r w:rsidRPr="005919D6">
        <w:rPr>
          <w:lang w:val="en-GB"/>
        </w:rPr>
        <w:t xml:space="preserve"> gas-phase system </w:t>
      </w:r>
      <w:r w:rsidR="00B702D3" w:rsidRPr="005919D6">
        <w:rPr>
          <w:lang w:val="en-GB"/>
        </w:rPr>
        <w:t>with</w:t>
      </w:r>
      <w:r w:rsidRPr="005919D6">
        <w:rPr>
          <w:lang w:val="en-GB"/>
        </w:rPr>
        <w:t xml:space="preserve"> a </w:t>
      </w:r>
      <w:r w:rsidR="00B702D3" w:rsidRPr="005919D6">
        <w:rPr>
          <w:lang w:val="en-GB"/>
        </w:rPr>
        <w:t>common</w:t>
      </w:r>
      <w:r w:rsidRPr="005919D6">
        <w:rPr>
          <w:lang w:val="en-GB"/>
        </w:rPr>
        <w:t xml:space="preserve"> liquid-</w:t>
      </w:r>
      <w:r w:rsidR="00901657" w:rsidRPr="005919D6">
        <w:rPr>
          <w:lang w:val="en-GB"/>
        </w:rPr>
        <w:t>phase reactor</w:t>
      </w:r>
      <w:r w:rsidRPr="005919D6">
        <w:rPr>
          <w:lang w:val="en-GB"/>
        </w:rPr>
        <w:t xml:space="preserve"> using the same electrocatalyst (</w:t>
      </w:r>
      <w:r w:rsidR="00901657" w:rsidRPr="005919D6">
        <w:rPr>
          <w:lang w:val="en-GB"/>
        </w:rPr>
        <w:t xml:space="preserve">i.e. </w:t>
      </w:r>
      <w:proofErr w:type="spellStart"/>
      <w:r w:rsidRPr="005919D6">
        <w:rPr>
          <w:lang w:val="en-GB"/>
        </w:rPr>
        <w:t>CuO</w:t>
      </w:r>
      <w:proofErr w:type="spellEnd"/>
      <w:r w:rsidR="005E0EBE" w:rsidRPr="005919D6">
        <w:rPr>
          <w:lang w:val="en-GB"/>
        </w:rPr>
        <w:t>)</w:t>
      </w:r>
      <w:r w:rsidRPr="005919D6">
        <w:rPr>
          <w:lang w:val="en-GB"/>
        </w:rPr>
        <w:t xml:space="preserve"> </w:t>
      </w:r>
      <w:r w:rsidR="00A80CD7" w:rsidRPr="005919D6">
        <w:rPr>
          <w:lang w:val="en-GB"/>
        </w:rPr>
        <w:t>was studied, and the reasons of the different electrochemical behaviours were unveiled by electrochemical impedance spectroscopy (EIS) analysis.</w:t>
      </w:r>
      <w:r w:rsidR="00FB39BC" w:rsidRPr="005919D6">
        <w:rPr>
          <w:lang w:val="en-GB"/>
        </w:rPr>
        <w:t xml:space="preserve"> </w:t>
      </w:r>
      <w:r w:rsidR="000902B4" w:rsidRPr="005919D6">
        <w:rPr>
          <w:lang w:val="en-GB"/>
        </w:rPr>
        <w:t xml:space="preserve">The </w:t>
      </w:r>
      <w:r w:rsidR="00154C00" w:rsidRPr="005919D6">
        <w:rPr>
          <w:lang w:val="en-GB"/>
        </w:rPr>
        <w:t xml:space="preserve">obtained </w:t>
      </w:r>
      <w:r w:rsidR="000902B4" w:rsidRPr="005919D6">
        <w:rPr>
          <w:lang w:val="en-GB"/>
        </w:rPr>
        <w:t xml:space="preserve">productivity, </w:t>
      </w:r>
      <w:r w:rsidR="007D1F67" w:rsidRPr="005919D6">
        <w:rPr>
          <w:lang w:val="en-GB"/>
        </w:rPr>
        <w:t>supported</w:t>
      </w:r>
      <w:r w:rsidR="000902B4" w:rsidRPr="005919D6">
        <w:rPr>
          <w:lang w:val="en-GB"/>
        </w:rPr>
        <w:t xml:space="preserve"> </w:t>
      </w:r>
      <w:r w:rsidR="007D1F67" w:rsidRPr="005919D6">
        <w:rPr>
          <w:lang w:val="en-GB"/>
        </w:rPr>
        <w:t>by</w:t>
      </w:r>
      <w:r w:rsidR="000902B4" w:rsidRPr="005919D6">
        <w:rPr>
          <w:lang w:val="en-GB"/>
        </w:rPr>
        <w:t xml:space="preserve"> EIS</w:t>
      </w:r>
      <w:r w:rsidR="00154C00" w:rsidRPr="005919D6">
        <w:rPr>
          <w:lang w:val="en-GB"/>
        </w:rPr>
        <w:t xml:space="preserve"> characterization</w:t>
      </w:r>
      <w:r w:rsidR="000902B4" w:rsidRPr="005919D6">
        <w:rPr>
          <w:lang w:val="en-GB"/>
        </w:rPr>
        <w:t>, ha</w:t>
      </w:r>
      <w:r w:rsidR="00154C00" w:rsidRPr="005919D6">
        <w:rPr>
          <w:lang w:val="en-GB"/>
        </w:rPr>
        <w:t>s</w:t>
      </w:r>
      <w:r w:rsidR="000902B4" w:rsidRPr="005919D6">
        <w:rPr>
          <w:lang w:val="en-GB"/>
        </w:rPr>
        <w:t xml:space="preserve"> highlighted how the process is controlled by the diffusion of CO</w:t>
      </w:r>
      <w:r w:rsidR="000902B4" w:rsidRPr="005919D6">
        <w:rPr>
          <w:vertAlign w:val="subscript"/>
          <w:lang w:val="en-GB"/>
        </w:rPr>
        <w:t>2</w:t>
      </w:r>
      <w:r w:rsidR="000902B4" w:rsidRPr="005919D6">
        <w:rPr>
          <w:lang w:val="en-GB"/>
        </w:rPr>
        <w:t xml:space="preserve"> species at the catalyst/membrane interface rather than by kinetic factors, which in turn is conditioned by the applied potential.</w:t>
      </w:r>
      <w:r w:rsidR="005447A3" w:rsidRPr="005919D6">
        <w:rPr>
          <w:lang w:val="en-GB"/>
        </w:rPr>
        <w:t xml:space="preserve"> </w:t>
      </w:r>
      <w:r w:rsidR="00FB39BC" w:rsidRPr="005919D6">
        <w:rPr>
          <w:lang w:val="en-GB"/>
        </w:rPr>
        <w:t>We have</w:t>
      </w:r>
      <w:r w:rsidR="007D1F67" w:rsidRPr="005919D6">
        <w:rPr>
          <w:lang w:val="en-GB"/>
        </w:rPr>
        <w:t xml:space="preserve"> also</w:t>
      </w:r>
      <w:r w:rsidR="00FB39BC" w:rsidRPr="005919D6">
        <w:rPr>
          <w:lang w:val="en-GB"/>
        </w:rPr>
        <w:t xml:space="preserve"> demonstrated how the high concentration of CO</w:t>
      </w:r>
      <w:r w:rsidR="00FB39BC" w:rsidRPr="005919D6">
        <w:rPr>
          <w:vertAlign w:val="subscript"/>
          <w:lang w:val="en-GB"/>
        </w:rPr>
        <w:t>2</w:t>
      </w:r>
      <w:r w:rsidR="00FB39BC" w:rsidRPr="005919D6">
        <w:rPr>
          <w:lang w:val="en-GB"/>
        </w:rPr>
        <w:t xml:space="preserve"> species in the catalyst surface drastically modifie</w:t>
      </w:r>
      <w:r w:rsidR="00154C00" w:rsidRPr="005919D6">
        <w:rPr>
          <w:lang w:val="en-GB"/>
        </w:rPr>
        <w:t>d</w:t>
      </w:r>
      <w:r w:rsidR="00FB39BC" w:rsidRPr="005919D6">
        <w:rPr>
          <w:lang w:val="en-GB"/>
        </w:rPr>
        <w:t xml:space="preserve"> the selectivity of the process. In gas-phase operations, the membrane acts as a sort of solid electrolyte, </w:t>
      </w:r>
      <w:r w:rsidR="00154C00" w:rsidRPr="005919D6">
        <w:rPr>
          <w:lang w:val="en-GB"/>
        </w:rPr>
        <w:t>favouring</w:t>
      </w:r>
      <w:r w:rsidR="00FB39BC" w:rsidRPr="005919D6">
        <w:rPr>
          <w:lang w:val="en-GB"/>
        </w:rPr>
        <w:t xml:space="preserve"> the ion migration through the catalyst, closing the ionic circuit between the electrodes. This configuration, in addition to allowing a continuous supply of CO</w:t>
      </w:r>
      <w:r w:rsidR="00FB39BC" w:rsidRPr="005919D6">
        <w:rPr>
          <w:vertAlign w:val="subscript"/>
          <w:lang w:val="en-GB"/>
        </w:rPr>
        <w:t>2</w:t>
      </w:r>
      <w:r w:rsidR="00FB39BC" w:rsidRPr="005919D6">
        <w:rPr>
          <w:lang w:val="en-GB"/>
        </w:rPr>
        <w:t xml:space="preserve"> species on</w:t>
      </w:r>
      <w:r w:rsidR="00154C00" w:rsidRPr="005919D6">
        <w:rPr>
          <w:lang w:val="en-GB"/>
        </w:rPr>
        <w:t>to</w:t>
      </w:r>
      <w:r w:rsidR="00FB39BC" w:rsidRPr="005919D6">
        <w:rPr>
          <w:lang w:val="en-GB"/>
        </w:rPr>
        <w:t xml:space="preserve"> the </w:t>
      </w:r>
      <w:r w:rsidR="00154C00" w:rsidRPr="005919D6">
        <w:rPr>
          <w:lang w:val="en-GB"/>
        </w:rPr>
        <w:t>electro</w:t>
      </w:r>
      <w:r w:rsidR="00FB39BC" w:rsidRPr="005919D6">
        <w:rPr>
          <w:lang w:val="en-GB"/>
        </w:rPr>
        <w:t xml:space="preserve">catalytic surface, has the advantage of </w:t>
      </w:r>
      <w:proofErr w:type="spellStart"/>
      <w:r w:rsidR="00FB39BC" w:rsidRPr="005919D6">
        <w:rPr>
          <w:lang w:val="en-GB"/>
        </w:rPr>
        <w:t>i</w:t>
      </w:r>
      <w:proofErr w:type="spellEnd"/>
      <w:r w:rsidR="00FB39BC" w:rsidRPr="005919D6">
        <w:rPr>
          <w:lang w:val="en-GB"/>
        </w:rPr>
        <w:t xml:space="preserve">) allowing </w:t>
      </w:r>
      <w:r w:rsidR="00154C00" w:rsidRPr="005919D6">
        <w:rPr>
          <w:lang w:val="en-GB"/>
        </w:rPr>
        <w:t>to</w:t>
      </w:r>
      <w:r w:rsidR="00FB39BC" w:rsidRPr="005919D6">
        <w:rPr>
          <w:lang w:val="en-GB"/>
        </w:rPr>
        <w:t xml:space="preserve"> design compact and scalable systems </w:t>
      </w:r>
      <w:r w:rsidR="00154C00" w:rsidRPr="005919D6">
        <w:rPr>
          <w:lang w:val="en-GB"/>
        </w:rPr>
        <w:t xml:space="preserve">to </w:t>
      </w:r>
      <w:r w:rsidR="00FB39BC" w:rsidRPr="005919D6">
        <w:rPr>
          <w:lang w:val="en-GB"/>
        </w:rPr>
        <w:t>an industrial level; ii) limiting the diffusion processes present in the liquid phase and iii) easy recovering of the liquid products.</w:t>
      </w:r>
    </w:p>
    <w:p w14:paraId="6BF95418" w14:textId="22B30FFA" w:rsidR="00AC7775" w:rsidRPr="00527A2F" w:rsidRDefault="00AC7775" w:rsidP="00AC7775">
      <w:pPr>
        <w:pStyle w:val="CETHeading1"/>
        <w:rPr>
          <w:lang w:val="en-GB"/>
        </w:rPr>
      </w:pPr>
      <w:r w:rsidRPr="00527A2F">
        <w:rPr>
          <w:lang w:val="en-GB"/>
        </w:rPr>
        <w:t>Experimental</w:t>
      </w:r>
    </w:p>
    <w:p w14:paraId="26FF67A5" w14:textId="1F12BFCB" w:rsidR="008A13C6" w:rsidRPr="00527A2F" w:rsidRDefault="008A13C6" w:rsidP="004502ED">
      <w:pPr>
        <w:pStyle w:val="CETheadingx"/>
        <w:rPr>
          <w:lang w:val="en-GB"/>
        </w:rPr>
      </w:pPr>
      <w:proofErr w:type="spellStart"/>
      <w:r w:rsidRPr="00527A2F">
        <w:rPr>
          <w:lang w:val="en-GB"/>
        </w:rPr>
        <w:t>CuO</w:t>
      </w:r>
      <w:proofErr w:type="spellEnd"/>
      <w:r w:rsidRPr="00527A2F">
        <w:rPr>
          <w:lang w:val="en-GB"/>
        </w:rPr>
        <w:t xml:space="preserve"> </w:t>
      </w:r>
      <w:proofErr w:type="spellStart"/>
      <w:r w:rsidRPr="00527A2F">
        <w:rPr>
          <w:lang w:val="en-GB"/>
        </w:rPr>
        <w:t>nanocubes</w:t>
      </w:r>
      <w:proofErr w:type="spellEnd"/>
    </w:p>
    <w:p w14:paraId="28DD7D03" w14:textId="58B40CD3" w:rsidR="00794E1A" w:rsidRPr="00527A2F" w:rsidRDefault="00E95723" w:rsidP="00600535">
      <w:pPr>
        <w:pStyle w:val="CETBodytext"/>
        <w:rPr>
          <w:lang w:val="en-GB"/>
        </w:rPr>
      </w:pPr>
      <w:proofErr w:type="spellStart"/>
      <w:r w:rsidRPr="00527A2F">
        <w:rPr>
          <w:lang w:val="en-GB"/>
        </w:rPr>
        <w:t>CuO</w:t>
      </w:r>
      <w:proofErr w:type="spellEnd"/>
      <w:r w:rsidR="008A13C6" w:rsidRPr="00527A2F">
        <w:rPr>
          <w:lang w:val="en-GB"/>
        </w:rPr>
        <w:t xml:space="preserve"> </w:t>
      </w:r>
      <w:proofErr w:type="spellStart"/>
      <w:r w:rsidR="008A13C6" w:rsidRPr="00527A2F">
        <w:rPr>
          <w:lang w:val="en-GB"/>
        </w:rPr>
        <w:t>nanocubes</w:t>
      </w:r>
      <w:proofErr w:type="spellEnd"/>
      <w:r w:rsidRPr="00527A2F">
        <w:rPr>
          <w:lang w:val="en-GB"/>
        </w:rPr>
        <w:t xml:space="preserve"> </w:t>
      </w:r>
      <w:r w:rsidR="00F8159C" w:rsidRPr="00527A2F">
        <w:rPr>
          <w:lang w:val="en-GB"/>
        </w:rPr>
        <w:t>were</w:t>
      </w:r>
      <w:r w:rsidRPr="00527A2F">
        <w:rPr>
          <w:lang w:val="en-GB"/>
        </w:rPr>
        <w:t xml:space="preserve"> synthesized t</w:t>
      </w:r>
      <w:r w:rsidR="008D3F18" w:rsidRPr="00527A2F">
        <w:rPr>
          <w:lang w:val="en-GB"/>
        </w:rPr>
        <w:t xml:space="preserve">hrough a </w:t>
      </w:r>
      <w:r w:rsidR="00E76F21" w:rsidRPr="00527A2F">
        <w:rPr>
          <w:lang w:val="en-GB"/>
        </w:rPr>
        <w:t xml:space="preserve">facile </w:t>
      </w:r>
      <w:r w:rsidR="008D3F18" w:rsidRPr="00527A2F">
        <w:rPr>
          <w:lang w:val="en-GB"/>
        </w:rPr>
        <w:t xml:space="preserve">hydrothermal </w:t>
      </w:r>
      <w:r w:rsidR="008D3F18" w:rsidRPr="00BB10CF">
        <w:rPr>
          <w:lang w:val="en-GB"/>
        </w:rPr>
        <w:t>synthesis</w:t>
      </w:r>
      <w:r w:rsidR="002E4A36" w:rsidRPr="00BB10CF">
        <w:rPr>
          <w:lang w:val="en-GB"/>
        </w:rPr>
        <w:t xml:space="preserve"> (Liu et al., 2016)</w:t>
      </w:r>
      <w:r w:rsidR="00E6141A" w:rsidRPr="00BB10CF">
        <w:rPr>
          <w:lang w:val="en-GB"/>
        </w:rPr>
        <w:t xml:space="preserve"> by</w:t>
      </w:r>
      <w:r w:rsidRPr="00BB10CF">
        <w:rPr>
          <w:lang w:val="en-GB"/>
        </w:rPr>
        <w:t xml:space="preserve"> dissolving</w:t>
      </w:r>
      <w:r w:rsidRPr="00527A2F">
        <w:rPr>
          <w:lang w:val="en-GB"/>
        </w:rPr>
        <w:t xml:space="preserve"> 0.85 g of CuCl</w:t>
      </w:r>
      <w:r w:rsidRPr="00527A2F">
        <w:rPr>
          <w:vertAlign w:val="subscript"/>
          <w:lang w:val="en-GB"/>
        </w:rPr>
        <w:t>2</w:t>
      </w:r>
      <w:r w:rsidR="005E0EBE" w:rsidRPr="00527A2F">
        <w:rPr>
          <w:rFonts w:cs="Arial"/>
          <w:lang w:val="en-GB"/>
        </w:rPr>
        <w:t>∙</w:t>
      </w:r>
      <w:r w:rsidRPr="00527A2F">
        <w:rPr>
          <w:lang w:val="en-GB"/>
        </w:rPr>
        <w:t>2H</w:t>
      </w:r>
      <w:r w:rsidRPr="00527A2F">
        <w:rPr>
          <w:vertAlign w:val="subscript"/>
          <w:lang w:val="en-GB"/>
        </w:rPr>
        <w:t>2</w:t>
      </w:r>
      <w:r w:rsidR="008D3F18" w:rsidRPr="00527A2F">
        <w:rPr>
          <w:lang w:val="en-GB"/>
        </w:rPr>
        <w:t xml:space="preserve">O in 500 mL of </w:t>
      </w:r>
      <w:r w:rsidR="005E0EBE" w:rsidRPr="00527A2F">
        <w:rPr>
          <w:lang w:val="en-GB"/>
        </w:rPr>
        <w:t>ultrapure</w:t>
      </w:r>
      <w:r w:rsidRPr="00527A2F">
        <w:rPr>
          <w:lang w:val="en-GB"/>
        </w:rPr>
        <w:t xml:space="preserve"> water.</w:t>
      </w:r>
      <w:r w:rsidR="00DD5757" w:rsidRPr="00527A2F">
        <w:rPr>
          <w:lang w:val="en-GB"/>
        </w:rPr>
        <w:t xml:space="preserve"> </w:t>
      </w:r>
      <w:r w:rsidRPr="00527A2F">
        <w:rPr>
          <w:lang w:val="en-GB"/>
        </w:rPr>
        <w:t>Subsequently, 50 mL of 2 M NaOH</w:t>
      </w:r>
      <w:r w:rsidR="008522FA" w:rsidRPr="00527A2F">
        <w:rPr>
          <w:lang w:val="en-GB"/>
        </w:rPr>
        <w:t xml:space="preserve"> solution</w:t>
      </w:r>
      <w:r w:rsidRPr="00527A2F">
        <w:rPr>
          <w:lang w:val="en-GB"/>
        </w:rPr>
        <w:t xml:space="preserve"> </w:t>
      </w:r>
      <w:r w:rsidR="005E0EBE" w:rsidRPr="00527A2F">
        <w:rPr>
          <w:lang w:val="en-GB"/>
        </w:rPr>
        <w:t xml:space="preserve">were added </w:t>
      </w:r>
      <w:r w:rsidRPr="00527A2F">
        <w:rPr>
          <w:lang w:val="en-GB"/>
        </w:rPr>
        <w:t xml:space="preserve">and the resulting solution </w:t>
      </w:r>
      <w:r w:rsidR="008D3F18" w:rsidRPr="00527A2F">
        <w:rPr>
          <w:lang w:val="en-GB"/>
        </w:rPr>
        <w:t>was stirred</w:t>
      </w:r>
      <w:r w:rsidRPr="00527A2F">
        <w:rPr>
          <w:lang w:val="en-GB"/>
        </w:rPr>
        <w:t xml:space="preserve"> for 30 min</w:t>
      </w:r>
      <w:r w:rsidR="008D3F18" w:rsidRPr="00527A2F">
        <w:rPr>
          <w:lang w:val="en-GB"/>
        </w:rPr>
        <w:t xml:space="preserve"> at room temperature. Then, 5</w:t>
      </w:r>
      <w:r w:rsidRPr="00527A2F">
        <w:rPr>
          <w:lang w:val="en-GB"/>
        </w:rPr>
        <w:t>0 mL of a 0.6 M</w:t>
      </w:r>
      <w:r w:rsidR="008D3F18" w:rsidRPr="00527A2F">
        <w:rPr>
          <w:lang w:val="en-GB"/>
        </w:rPr>
        <w:t xml:space="preserve"> solution of ascorbic acid were </w:t>
      </w:r>
      <w:r w:rsidRPr="00527A2F">
        <w:rPr>
          <w:lang w:val="en-GB"/>
        </w:rPr>
        <w:t xml:space="preserve">slowly added, until </w:t>
      </w:r>
      <w:r w:rsidR="00105E36" w:rsidRPr="00527A2F">
        <w:rPr>
          <w:lang w:val="en-GB"/>
        </w:rPr>
        <w:t>formation of a red</w:t>
      </w:r>
      <w:r w:rsidRPr="00527A2F">
        <w:rPr>
          <w:lang w:val="en-GB"/>
        </w:rPr>
        <w:t xml:space="preserve"> </w:t>
      </w:r>
      <w:r w:rsidR="00E76F21" w:rsidRPr="00527A2F">
        <w:rPr>
          <w:lang w:val="en-GB"/>
        </w:rPr>
        <w:t>precipitate</w:t>
      </w:r>
      <w:r w:rsidR="00105E36" w:rsidRPr="00527A2F">
        <w:rPr>
          <w:lang w:val="en-GB"/>
        </w:rPr>
        <w:t>;</w:t>
      </w:r>
      <w:r w:rsidRPr="00527A2F">
        <w:rPr>
          <w:lang w:val="en-GB"/>
        </w:rPr>
        <w:t xml:space="preserve"> the mixture was left at 60</w:t>
      </w:r>
      <w:r w:rsidR="00DD5757" w:rsidRPr="00527A2F">
        <w:rPr>
          <w:lang w:val="en-GB"/>
        </w:rPr>
        <w:t xml:space="preserve"> </w:t>
      </w:r>
      <w:r w:rsidRPr="00527A2F">
        <w:rPr>
          <w:lang w:val="en-GB"/>
        </w:rPr>
        <w:t>°C under stirring for 30 min. The obtained precipitate was separated by centrifugation and washed three times with water</w:t>
      </w:r>
      <w:r w:rsidR="00E76F21" w:rsidRPr="00527A2F">
        <w:rPr>
          <w:lang w:val="en-GB"/>
        </w:rPr>
        <w:t xml:space="preserve"> to remove the impurity</w:t>
      </w:r>
      <w:r w:rsidRPr="00527A2F">
        <w:rPr>
          <w:lang w:val="en-GB"/>
        </w:rPr>
        <w:t>. Finally</w:t>
      </w:r>
      <w:r w:rsidR="00C95CFA" w:rsidRPr="00527A2F">
        <w:rPr>
          <w:lang w:val="en-GB"/>
        </w:rPr>
        <w:t>,</w:t>
      </w:r>
      <w:r w:rsidRPr="00527A2F">
        <w:rPr>
          <w:lang w:val="en-GB"/>
        </w:rPr>
        <w:t xml:space="preserve"> it was dried un</w:t>
      </w:r>
      <w:r w:rsidR="00E046B7" w:rsidRPr="00527A2F">
        <w:rPr>
          <w:lang w:val="en-GB"/>
        </w:rPr>
        <w:t>der vacuum at 60</w:t>
      </w:r>
      <w:r w:rsidR="00DD5757" w:rsidRPr="00527A2F">
        <w:rPr>
          <w:lang w:val="en-GB"/>
        </w:rPr>
        <w:t xml:space="preserve"> </w:t>
      </w:r>
      <w:r w:rsidR="00E046B7" w:rsidRPr="00527A2F">
        <w:rPr>
          <w:lang w:val="en-GB"/>
        </w:rPr>
        <w:t>°C for 24 h</w:t>
      </w:r>
      <w:r w:rsidR="006D3C22" w:rsidRPr="00527A2F">
        <w:rPr>
          <w:lang w:val="en-GB"/>
        </w:rPr>
        <w:t xml:space="preserve"> and then </w:t>
      </w:r>
      <w:r w:rsidR="00E6141A" w:rsidRPr="00527A2F">
        <w:rPr>
          <w:lang w:val="en-GB"/>
        </w:rPr>
        <w:t xml:space="preserve">calcinated at 450 °C for 1 h (ramp of 10 </w:t>
      </w:r>
      <w:r w:rsidR="00E6141A" w:rsidRPr="005919D6">
        <w:rPr>
          <w:lang w:val="en-GB"/>
        </w:rPr>
        <w:t>°C min</w:t>
      </w:r>
      <w:r w:rsidR="00E6141A" w:rsidRPr="005919D6">
        <w:rPr>
          <w:vertAlign w:val="superscript"/>
          <w:lang w:val="en-GB"/>
        </w:rPr>
        <w:t>-1</w:t>
      </w:r>
      <w:r w:rsidR="00E6141A" w:rsidRPr="005919D6">
        <w:rPr>
          <w:lang w:val="en-GB"/>
        </w:rPr>
        <w:t>) to transform Cu</w:t>
      </w:r>
      <w:r w:rsidR="00E6141A" w:rsidRPr="005919D6">
        <w:rPr>
          <w:vertAlign w:val="subscript"/>
          <w:lang w:val="en-GB"/>
        </w:rPr>
        <w:t>2</w:t>
      </w:r>
      <w:r w:rsidR="00E6141A" w:rsidRPr="005919D6">
        <w:rPr>
          <w:lang w:val="en-GB"/>
        </w:rPr>
        <w:t xml:space="preserve">O into </w:t>
      </w:r>
      <w:proofErr w:type="spellStart"/>
      <w:r w:rsidR="00E6141A" w:rsidRPr="005919D6">
        <w:rPr>
          <w:lang w:val="en-GB"/>
        </w:rPr>
        <w:t>CuO</w:t>
      </w:r>
      <w:proofErr w:type="spellEnd"/>
      <w:r w:rsidR="000F0A3C" w:rsidRPr="005919D6">
        <w:rPr>
          <w:lang w:val="en-GB"/>
        </w:rPr>
        <w:t xml:space="preserve">. </w:t>
      </w:r>
      <w:r w:rsidR="00EC745B" w:rsidRPr="005919D6">
        <w:rPr>
          <w:lang w:val="en-GB"/>
        </w:rPr>
        <w:t>This material was proved active for multi</w:t>
      </w:r>
      <w:r w:rsidR="006E29AA" w:rsidRPr="005919D6">
        <w:rPr>
          <w:lang w:val="en-GB"/>
        </w:rPr>
        <w:t xml:space="preserve">-electron transfer in the </w:t>
      </w:r>
      <w:r w:rsidR="00EC745B" w:rsidRPr="005919D6">
        <w:rPr>
          <w:lang w:val="en-GB"/>
        </w:rPr>
        <w:t>CO</w:t>
      </w:r>
      <w:r w:rsidR="00EC745B" w:rsidRPr="005919D6">
        <w:rPr>
          <w:vertAlign w:val="subscript"/>
          <w:lang w:val="en-GB"/>
        </w:rPr>
        <w:t>2</w:t>
      </w:r>
      <w:r w:rsidR="00EC745B" w:rsidRPr="005919D6">
        <w:rPr>
          <w:lang w:val="en-GB"/>
        </w:rPr>
        <w:t xml:space="preserve"> reduction in gas-phase operations</w:t>
      </w:r>
      <w:r w:rsidR="0072596E" w:rsidRPr="005919D6">
        <w:rPr>
          <w:lang w:val="en-GB"/>
        </w:rPr>
        <w:t>, due to the presence of Cu</w:t>
      </w:r>
      <w:r w:rsidR="0072596E" w:rsidRPr="005919D6">
        <w:rPr>
          <w:vertAlign w:val="superscript"/>
          <w:lang w:val="en-GB"/>
        </w:rPr>
        <w:t>+</w:t>
      </w:r>
      <w:r w:rsidR="0072596E" w:rsidRPr="005919D6">
        <w:rPr>
          <w:lang w:val="en-GB"/>
        </w:rPr>
        <w:t>/Cu</w:t>
      </w:r>
      <w:r w:rsidR="00446E13" w:rsidRPr="005919D6">
        <w:rPr>
          <w:vertAlign w:val="superscript"/>
          <w:lang w:val="en-GB"/>
        </w:rPr>
        <w:t>0</w:t>
      </w:r>
      <w:r w:rsidR="0072596E" w:rsidRPr="005919D6">
        <w:rPr>
          <w:lang w:val="en-GB"/>
        </w:rPr>
        <w:t xml:space="preserve"> sites</w:t>
      </w:r>
      <w:r w:rsidR="00EC745B" w:rsidRPr="005919D6">
        <w:rPr>
          <w:lang w:val="en-GB"/>
        </w:rPr>
        <w:t xml:space="preserve"> (</w:t>
      </w:r>
      <w:proofErr w:type="spellStart"/>
      <w:r w:rsidR="00EC745B" w:rsidRPr="005919D6">
        <w:rPr>
          <w:lang w:val="en-GB"/>
        </w:rPr>
        <w:t>Giusi</w:t>
      </w:r>
      <w:proofErr w:type="spellEnd"/>
      <w:r w:rsidR="00EC745B" w:rsidRPr="005919D6">
        <w:rPr>
          <w:lang w:val="en-GB"/>
        </w:rPr>
        <w:t xml:space="preserve"> et al., 2022)</w:t>
      </w:r>
      <w:r w:rsidR="00E6141A" w:rsidRPr="005919D6">
        <w:rPr>
          <w:lang w:val="en-GB"/>
        </w:rPr>
        <w:t>.</w:t>
      </w:r>
    </w:p>
    <w:p w14:paraId="6CA22507" w14:textId="7F0FE6B8" w:rsidR="00694E67" w:rsidRPr="00527A2F" w:rsidRDefault="0061127B" w:rsidP="004502ED">
      <w:pPr>
        <w:pStyle w:val="CETheadingx"/>
        <w:rPr>
          <w:lang w:val="en-GB"/>
        </w:rPr>
      </w:pPr>
      <w:r w:rsidRPr="00527A2F">
        <w:rPr>
          <w:lang w:val="en-GB"/>
        </w:rPr>
        <w:t>Electrode preparation</w:t>
      </w:r>
    </w:p>
    <w:p w14:paraId="4B966B43" w14:textId="027CA84E" w:rsidR="000574F0" w:rsidRPr="00527A2F" w:rsidRDefault="00255B75" w:rsidP="00290910">
      <w:pPr>
        <w:pStyle w:val="CETBodytext"/>
        <w:rPr>
          <w:lang w:val="en-GB"/>
        </w:rPr>
      </w:pPr>
      <w:r w:rsidRPr="00527A2F">
        <w:rPr>
          <w:lang w:val="en-GB"/>
        </w:rPr>
        <w:t xml:space="preserve">The working electrode was </w:t>
      </w:r>
      <w:r w:rsidR="00C97839" w:rsidRPr="00527A2F">
        <w:rPr>
          <w:lang w:val="en-GB"/>
        </w:rPr>
        <w:t xml:space="preserve">prepared </w:t>
      </w:r>
      <w:r w:rsidR="00C95CFA" w:rsidRPr="00527A2F">
        <w:rPr>
          <w:lang w:val="en-GB"/>
        </w:rPr>
        <w:t xml:space="preserve">by </w:t>
      </w:r>
      <w:r w:rsidR="00C97839" w:rsidRPr="00527A2F">
        <w:rPr>
          <w:lang w:val="en-GB"/>
        </w:rPr>
        <w:t>depositing</w:t>
      </w:r>
      <w:r w:rsidRPr="00527A2F">
        <w:rPr>
          <w:lang w:val="en-GB"/>
        </w:rPr>
        <w:t xml:space="preserve"> the </w:t>
      </w:r>
      <w:proofErr w:type="spellStart"/>
      <w:r w:rsidRPr="00527A2F">
        <w:rPr>
          <w:lang w:val="en-GB"/>
        </w:rPr>
        <w:t>CuO</w:t>
      </w:r>
      <w:proofErr w:type="spellEnd"/>
      <w:r w:rsidRPr="00527A2F">
        <w:rPr>
          <w:lang w:val="en-GB"/>
        </w:rPr>
        <w:t xml:space="preserve"> powder on a carbon</w:t>
      </w:r>
      <w:r w:rsidR="0061127B" w:rsidRPr="00527A2F">
        <w:rPr>
          <w:lang w:val="en-GB"/>
        </w:rPr>
        <w:t xml:space="preserve"> gas</w:t>
      </w:r>
      <w:r w:rsidRPr="00527A2F">
        <w:rPr>
          <w:lang w:val="en-GB"/>
        </w:rPr>
        <w:t xml:space="preserve">-diffusion layer (GDL, </w:t>
      </w:r>
      <w:proofErr w:type="spellStart"/>
      <w:r w:rsidRPr="00527A2F">
        <w:rPr>
          <w:lang w:val="en-GB"/>
        </w:rPr>
        <w:t>Sigracet</w:t>
      </w:r>
      <w:proofErr w:type="spellEnd"/>
      <w:r w:rsidRPr="00527A2F">
        <w:rPr>
          <w:lang w:val="en-GB"/>
        </w:rPr>
        <w:t xml:space="preserve">® 29 </w:t>
      </w:r>
      <w:r w:rsidR="00C97839" w:rsidRPr="00527A2F">
        <w:rPr>
          <w:lang w:val="en-GB"/>
        </w:rPr>
        <w:t>BCE, supplied by Ion Power</w:t>
      </w:r>
      <w:r w:rsidRPr="00527A2F">
        <w:rPr>
          <w:lang w:val="en-GB"/>
        </w:rPr>
        <w:t>)</w:t>
      </w:r>
      <w:r w:rsidR="00C97839" w:rsidRPr="00527A2F">
        <w:rPr>
          <w:lang w:val="en-GB"/>
        </w:rPr>
        <w:t xml:space="preserve"> by spray-coating</w:t>
      </w:r>
      <w:r w:rsidR="003B5BA1" w:rsidRPr="00527A2F">
        <w:rPr>
          <w:lang w:val="en-GB"/>
        </w:rPr>
        <w:t xml:space="preserve"> technique</w:t>
      </w:r>
      <w:r w:rsidRPr="00527A2F">
        <w:rPr>
          <w:lang w:val="en-GB"/>
        </w:rPr>
        <w:t xml:space="preserve">. </w:t>
      </w:r>
      <w:r w:rsidR="00C97839" w:rsidRPr="00527A2F">
        <w:rPr>
          <w:lang w:val="en-GB"/>
        </w:rPr>
        <w:t xml:space="preserve">The support was </w:t>
      </w:r>
      <w:r w:rsidR="003B5BA1" w:rsidRPr="00527A2F">
        <w:rPr>
          <w:lang w:val="en-GB"/>
        </w:rPr>
        <w:t>heated</w:t>
      </w:r>
      <w:r w:rsidRPr="00527A2F">
        <w:rPr>
          <w:lang w:val="en-GB"/>
        </w:rPr>
        <w:t xml:space="preserve"> during the operation in order to allow the evaporation of the organic solvent. The ink was made by sonicating a</w:t>
      </w:r>
      <w:r w:rsidR="00B32638" w:rsidRPr="00527A2F">
        <w:rPr>
          <w:lang w:val="en-GB"/>
        </w:rPr>
        <w:t xml:space="preserve"> mixture of a</w:t>
      </w:r>
      <w:r w:rsidRPr="00527A2F">
        <w:rPr>
          <w:lang w:val="en-GB"/>
        </w:rPr>
        <w:t xml:space="preserve"> </w:t>
      </w:r>
      <w:r w:rsidR="00B32638" w:rsidRPr="00527A2F">
        <w:rPr>
          <w:lang w:val="en-GB"/>
        </w:rPr>
        <w:t>proper</w:t>
      </w:r>
      <w:r w:rsidRPr="00527A2F">
        <w:rPr>
          <w:lang w:val="en-GB"/>
        </w:rPr>
        <w:t xml:space="preserve"> amount of catalyst, 10 mL of isopropanol and 50 </w:t>
      </w:r>
      <w:r w:rsidR="00B712A7" w:rsidRPr="00527A2F">
        <w:rPr>
          <w:lang w:val="en-GB"/>
        </w:rPr>
        <w:t>µ</w:t>
      </w:r>
      <w:r w:rsidRPr="00527A2F">
        <w:rPr>
          <w:lang w:val="en-GB"/>
        </w:rPr>
        <w:t xml:space="preserve">L of 5 wt. % </w:t>
      </w:r>
      <w:proofErr w:type="spellStart"/>
      <w:r w:rsidRPr="00527A2F">
        <w:rPr>
          <w:lang w:val="en-GB"/>
        </w:rPr>
        <w:t>Nafion</w:t>
      </w:r>
      <w:proofErr w:type="spellEnd"/>
      <w:r w:rsidRPr="00527A2F">
        <w:rPr>
          <w:lang w:val="en-GB"/>
        </w:rPr>
        <w:t xml:space="preserve"> </w:t>
      </w:r>
      <w:proofErr w:type="spellStart"/>
      <w:r w:rsidRPr="00527A2F">
        <w:rPr>
          <w:lang w:val="en-GB"/>
        </w:rPr>
        <w:t>perfluorinated</w:t>
      </w:r>
      <w:proofErr w:type="spellEnd"/>
      <w:r w:rsidRPr="00527A2F">
        <w:rPr>
          <w:lang w:val="en-GB"/>
        </w:rPr>
        <w:t xml:space="preserve"> solution for about 15 min until a stable and homogeneous suspension </w:t>
      </w:r>
      <w:r w:rsidR="0061127B" w:rsidRPr="00527A2F">
        <w:rPr>
          <w:lang w:val="en-GB"/>
        </w:rPr>
        <w:t>wa</w:t>
      </w:r>
      <w:r w:rsidRPr="00527A2F">
        <w:rPr>
          <w:lang w:val="en-GB"/>
        </w:rPr>
        <w:t>s formed. T</w:t>
      </w:r>
      <w:r w:rsidR="00B421B2" w:rsidRPr="00527A2F">
        <w:rPr>
          <w:lang w:val="en-GB"/>
        </w:rPr>
        <w:t>he catalyst</w:t>
      </w:r>
      <w:r w:rsidR="003B5BA1" w:rsidRPr="00527A2F">
        <w:rPr>
          <w:lang w:val="en-GB"/>
        </w:rPr>
        <w:t>s</w:t>
      </w:r>
      <w:r w:rsidR="00B421B2" w:rsidRPr="00527A2F">
        <w:rPr>
          <w:lang w:val="en-GB"/>
        </w:rPr>
        <w:t xml:space="preserve"> </w:t>
      </w:r>
      <w:r w:rsidR="003B5BA1" w:rsidRPr="00527A2F">
        <w:rPr>
          <w:lang w:val="en-GB"/>
        </w:rPr>
        <w:t>were</w:t>
      </w:r>
      <w:r w:rsidR="00B421B2" w:rsidRPr="00527A2F">
        <w:rPr>
          <w:lang w:val="en-GB"/>
        </w:rPr>
        <w:t xml:space="preserve"> deposited </w:t>
      </w:r>
      <w:r w:rsidR="003B5BA1" w:rsidRPr="00527A2F">
        <w:rPr>
          <w:lang w:val="en-GB"/>
        </w:rPr>
        <w:t xml:space="preserve">on the GDL </w:t>
      </w:r>
      <w:r w:rsidRPr="00527A2F">
        <w:rPr>
          <w:lang w:val="en-GB"/>
        </w:rPr>
        <w:t xml:space="preserve">to obtain a </w:t>
      </w:r>
      <w:r w:rsidR="003B5BA1" w:rsidRPr="00527A2F">
        <w:rPr>
          <w:lang w:val="en-GB"/>
        </w:rPr>
        <w:t xml:space="preserve">final loading </w:t>
      </w:r>
      <w:r w:rsidRPr="00527A2F">
        <w:rPr>
          <w:lang w:val="en-GB"/>
        </w:rPr>
        <w:t xml:space="preserve">of about </w:t>
      </w:r>
      <w:r w:rsidR="00B712A7" w:rsidRPr="00527A2F">
        <w:rPr>
          <w:lang w:val="en-GB"/>
        </w:rPr>
        <w:t>1</w:t>
      </w:r>
      <w:r w:rsidRPr="00527A2F">
        <w:rPr>
          <w:lang w:val="en-GB"/>
        </w:rPr>
        <w:t xml:space="preserve"> mg cm</w:t>
      </w:r>
      <w:r w:rsidRPr="00527A2F">
        <w:rPr>
          <w:vertAlign w:val="superscript"/>
          <w:lang w:val="en-GB"/>
        </w:rPr>
        <w:t>-2</w:t>
      </w:r>
      <w:r w:rsidR="00C97839" w:rsidRPr="00527A2F">
        <w:rPr>
          <w:lang w:val="en-GB"/>
        </w:rPr>
        <w:t>.</w:t>
      </w:r>
    </w:p>
    <w:p w14:paraId="5CF7572B" w14:textId="3BF2AFE3" w:rsidR="00290910" w:rsidRPr="00527A2F" w:rsidRDefault="00C211FA" w:rsidP="00290910">
      <w:pPr>
        <w:pStyle w:val="CETBodytext"/>
        <w:rPr>
          <w:lang w:val="en-GB"/>
        </w:rPr>
      </w:pPr>
      <w:r w:rsidRPr="00527A2F">
        <w:rPr>
          <w:lang w:val="en-GB"/>
        </w:rPr>
        <w:t xml:space="preserve">The electrode used in the gas-phase system was prepared </w:t>
      </w:r>
      <w:r w:rsidR="0061127B" w:rsidRPr="00527A2F">
        <w:rPr>
          <w:lang w:val="en-GB"/>
        </w:rPr>
        <w:t xml:space="preserve">in the form of a </w:t>
      </w:r>
      <w:r w:rsidRPr="00527A2F">
        <w:rPr>
          <w:lang w:val="en-GB"/>
        </w:rPr>
        <w:t>MEA, a technology widely used for fuel</w:t>
      </w:r>
      <w:r w:rsidR="0061127B" w:rsidRPr="00527A2F">
        <w:rPr>
          <w:lang w:val="en-GB"/>
        </w:rPr>
        <w:t xml:space="preserve"> </w:t>
      </w:r>
      <w:r w:rsidRPr="00527A2F">
        <w:rPr>
          <w:lang w:val="en-GB"/>
        </w:rPr>
        <w:t>cells, by hot pressing (130</w:t>
      </w:r>
      <w:r w:rsidR="0061127B" w:rsidRPr="00527A2F">
        <w:rPr>
          <w:lang w:val="en-GB"/>
        </w:rPr>
        <w:t xml:space="preserve"> </w:t>
      </w:r>
      <w:r w:rsidRPr="00527A2F">
        <w:rPr>
          <w:lang w:val="en-GB"/>
        </w:rPr>
        <w:t xml:space="preserve">°C) the catalyst deposited on </w:t>
      </w:r>
      <w:r w:rsidR="0061127B" w:rsidRPr="00527A2F">
        <w:rPr>
          <w:lang w:val="en-GB"/>
        </w:rPr>
        <w:t xml:space="preserve">GDL </w:t>
      </w:r>
      <w:r w:rsidRPr="00527A2F">
        <w:rPr>
          <w:lang w:val="en-GB"/>
        </w:rPr>
        <w:t xml:space="preserve">with a </w:t>
      </w:r>
      <w:proofErr w:type="spellStart"/>
      <w:r w:rsidRPr="00527A2F">
        <w:rPr>
          <w:lang w:val="en-GB"/>
        </w:rPr>
        <w:t>Nafion</w:t>
      </w:r>
      <w:proofErr w:type="spellEnd"/>
      <w:r w:rsidRPr="00527A2F">
        <w:rPr>
          <w:lang w:val="en-GB"/>
        </w:rPr>
        <w:t xml:space="preserve">® </w:t>
      </w:r>
      <w:r w:rsidR="008578EF" w:rsidRPr="00527A2F">
        <w:rPr>
          <w:lang w:val="en-GB"/>
        </w:rPr>
        <w:t>N-1</w:t>
      </w:r>
      <w:r w:rsidRPr="00527A2F">
        <w:rPr>
          <w:lang w:val="en-GB"/>
        </w:rPr>
        <w:t>15</w:t>
      </w:r>
      <w:r w:rsidR="00F616F0" w:rsidRPr="00527A2F">
        <w:rPr>
          <w:lang w:val="en-GB"/>
        </w:rPr>
        <w:t xml:space="preserve"> membrane</w:t>
      </w:r>
      <w:r w:rsidRPr="00527A2F">
        <w:rPr>
          <w:lang w:val="en-GB"/>
        </w:rPr>
        <w:t xml:space="preserve"> (provided by </w:t>
      </w:r>
      <w:r w:rsidR="0061127B" w:rsidRPr="00527A2F">
        <w:rPr>
          <w:lang w:val="en-GB"/>
        </w:rPr>
        <w:t>I</w:t>
      </w:r>
      <w:r w:rsidRPr="00527A2F">
        <w:rPr>
          <w:lang w:val="en-GB"/>
        </w:rPr>
        <w:t xml:space="preserve">on </w:t>
      </w:r>
      <w:r w:rsidR="0061127B" w:rsidRPr="00527A2F">
        <w:rPr>
          <w:lang w:val="en-GB"/>
        </w:rPr>
        <w:t>P</w:t>
      </w:r>
      <w:r w:rsidRPr="00527A2F">
        <w:rPr>
          <w:lang w:val="en-GB"/>
        </w:rPr>
        <w:t>ower).</w:t>
      </w:r>
      <w:r w:rsidR="00940122" w:rsidRPr="00527A2F">
        <w:rPr>
          <w:lang w:val="en-GB"/>
        </w:rPr>
        <w:t xml:space="preserve"> </w:t>
      </w:r>
      <w:r w:rsidR="007F1FF3" w:rsidRPr="00527A2F">
        <w:rPr>
          <w:lang w:val="en-GB"/>
        </w:rPr>
        <w:t>The proton-</w:t>
      </w:r>
      <w:r w:rsidR="00940122" w:rsidRPr="00527A2F">
        <w:rPr>
          <w:lang w:val="en-GB"/>
        </w:rPr>
        <w:t>exchange membrane</w:t>
      </w:r>
      <w:r w:rsidR="00F616F0" w:rsidRPr="00527A2F">
        <w:rPr>
          <w:lang w:val="en-GB"/>
        </w:rPr>
        <w:t>,</w:t>
      </w:r>
      <w:r w:rsidR="00940122" w:rsidRPr="00527A2F">
        <w:rPr>
          <w:lang w:val="en-GB"/>
        </w:rPr>
        <w:t xml:space="preserve"> in direct contact with the catalytic layer</w:t>
      </w:r>
      <w:r w:rsidR="00F616F0" w:rsidRPr="00527A2F">
        <w:rPr>
          <w:lang w:val="en-GB"/>
        </w:rPr>
        <w:t>,</w:t>
      </w:r>
      <w:r w:rsidR="00940122" w:rsidRPr="00527A2F">
        <w:rPr>
          <w:lang w:val="en-GB"/>
        </w:rPr>
        <w:t xml:space="preserve"> allows efficient transport of charges (protons) and has the function of separating the cathodic </w:t>
      </w:r>
      <w:r w:rsidR="00F616F0" w:rsidRPr="00527A2F">
        <w:rPr>
          <w:lang w:val="en-GB"/>
        </w:rPr>
        <w:t xml:space="preserve">and anodic </w:t>
      </w:r>
      <w:r w:rsidR="00940122" w:rsidRPr="00527A2F">
        <w:rPr>
          <w:lang w:val="en-GB"/>
        </w:rPr>
        <w:t>compartment</w:t>
      </w:r>
      <w:r w:rsidR="00F616F0" w:rsidRPr="00527A2F">
        <w:rPr>
          <w:lang w:val="en-GB"/>
        </w:rPr>
        <w:t>s</w:t>
      </w:r>
      <w:r w:rsidR="00940122" w:rsidRPr="00527A2F">
        <w:rPr>
          <w:lang w:val="en-GB"/>
        </w:rPr>
        <w:t>.</w:t>
      </w:r>
    </w:p>
    <w:p w14:paraId="01EB88B3" w14:textId="0306372B" w:rsidR="0061127B" w:rsidRPr="00527A2F" w:rsidRDefault="0061127B" w:rsidP="004502ED">
      <w:pPr>
        <w:pStyle w:val="CETheadingx"/>
        <w:rPr>
          <w:lang w:val="en-GB"/>
        </w:rPr>
      </w:pPr>
      <w:r w:rsidRPr="00527A2F">
        <w:rPr>
          <w:lang w:val="en-GB"/>
        </w:rPr>
        <w:t>Electrochemical device</w:t>
      </w:r>
    </w:p>
    <w:p w14:paraId="106E0C81" w14:textId="538CCA3B" w:rsidR="005811BC" w:rsidRPr="00527A2F" w:rsidRDefault="00B1621E" w:rsidP="005811BC">
      <w:pPr>
        <w:pStyle w:val="CETBodytext"/>
        <w:rPr>
          <w:lang w:val="en-GB"/>
        </w:rPr>
      </w:pPr>
      <w:r w:rsidRPr="00527A2F">
        <w:rPr>
          <w:lang w:val="en-GB"/>
        </w:rPr>
        <w:t xml:space="preserve">The gas-phase </w:t>
      </w:r>
      <w:r w:rsidR="00C33877" w:rsidRPr="00527A2F">
        <w:rPr>
          <w:lang w:val="en-GB"/>
        </w:rPr>
        <w:t>device</w:t>
      </w:r>
      <w:r w:rsidRPr="00527A2F">
        <w:rPr>
          <w:lang w:val="en-GB"/>
        </w:rPr>
        <w:t xml:space="preserve"> consists of </w:t>
      </w:r>
      <w:proofErr w:type="spellStart"/>
      <w:r w:rsidR="003B62B0" w:rsidRPr="00527A2F">
        <w:rPr>
          <w:lang w:val="en-GB"/>
        </w:rPr>
        <w:t>i</w:t>
      </w:r>
      <w:proofErr w:type="spellEnd"/>
      <w:r w:rsidR="003B62B0" w:rsidRPr="00527A2F">
        <w:rPr>
          <w:lang w:val="en-GB"/>
        </w:rPr>
        <w:t xml:space="preserve">) </w:t>
      </w:r>
      <w:r w:rsidRPr="00527A2F">
        <w:rPr>
          <w:lang w:val="en-GB"/>
        </w:rPr>
        <w:t>a cathode compartment</w:t>
      </w:r>
      <w:r w:rsidR="009B6D96" w:rsidRPr="00527A2F">
        <w:rPr>
          <w:lang w:val="en-GB"/>
        </w:rPr>
        <w:t>,</w:t>
      </w:r>
      <w:r w:rsidR="003B62B0" w:rsidRPr="00527A2F">
        <w:rPr>
          <w:lang w:val="en-GB"/>
        </w:rPr>
        <w:t xml:space="preserve"> i.e.</w:t>
      </w:r>
      <w:r w:rsidR="009B6D96" w:rsidRPr="00527A2F">
        <w:rPr>
          <w:lang w:val="en-GB"/>
        </w:rPr>
        <w:t xml:space="preserve"> a </w:t>
      </w:r>
      <w:r w:rsidR="008F7D37" w:rsidRPr="00527A2F">
        <w:rPr>
          <w:lang w:val="en-GB"/>
        </w:rPr>
        <w:t>gas-</w:t>
      </w:r>
      <w:r w:rsidR="00823822" w:rsidRPr="00527A2F">
        <w:rPr>
          <w:lang w:val="en-GB"/>
        </w:rPr>
        <w:t xml:space="preserve">chamber </w:t>
      </w:r>
      <w:r w:rsidRPr="00527A2F">
        <w:rPr>
          <w:lang w:val="en-GB"/>
        </w:rPr>
        <w:t xml:space="preserve">in which the </w:t>
      </w:r>
      <w:r w:rsidR="00CC226E" w:rsidRPr="00527A2F">
        <w:rPr>
          <w:lang w:val="en-GB"/>
        </w:rPr>
        <w:t>CO</w:t>
      </w:r>
      <w:r w:rsidR="00CC226E" w:rsidRPr="00527A2F">
        <w:rPr>
          <w:vertAlign w:val="subscript"/>
          <w:lang w:val="en-GB"/>
        </w:rPr>
        <w:t xml:space="preserve">2 </w:t>
      </w:r>
      <w:r w:rsidR="00CC226E" w:rsidRPr="00527A2F">
        <w:rPr>
          <w:lang w:val="en-GB"/>
        </w:rPr>
        <w:t xml:space="preserve">flows through the </w:t>
      </w:r>
      <w:r w:rsidR="00F616F0" w:rsidRPr="00527A2F">
        <w:rPr>
          <w:lang w:val="en-GB"/>
        </w:rPr>
        <w:t>GDL</w:t>
      </w:r>
      <w:r w:rsidR="00CC226E" w:rsidRPr="00527A2F">
        <w:rPr>
          <w:lang w:val="en-GB"/>
        </w:rPr>
        <w:t xml:space="preserve">, </w:t>
      </w:r>
      <w:r w:rsidR="003B62B0" w:rsidRPr="00527A2F">
        <w:rPr>
          <w:lang w:val="en-GB"/>
        </w:rPr>
        <w:t xml:space="preserve">ii) </w:t>
      </w:r>
      <w:r w:rsidR="00CC226E" w:rsidRPr="00527A2F">
        <w:rPr>
          <w:lang w:val="en-GB"/>
        </w:rPr>
        <w:t xml:space="preserve">the catalyst </w:t>
      </w:r>
      <w:r w:rsidRPr="00527A2F">
        <w:rPr>
          <w:lang w:val="en-GB"/>
        </w:rPr>
        <w:t xml:space="preserve">and </w:t>
      </w:r>
      <w:r w:rsidR="003B62B0" w:rsidRPr="00527A2F">
        <w:rPr>
          <w:lang w:val="en-GB"/>
        </w:rPr>
        <w:t xml:space="preserve">iii) </w:t>
      </w:r>
      <w:r w:rsidRPr="00527A2F">
        <w:rPr>
          <w:lang w:val="en-GB"/>
        </w:rPr>
        <w:t>the p</w:t>
      </w:r>
      <w:r w:rsidR="005D13C0" w:rsidRPr="00527A2F">
        <w:rPr>
          <w:lang w:val="en-GB"/>
        </w:rPr>
        <w:t>roton-</w:t>
      </w:r>
      <w:r w:rsidRPr="00527A2F">
        <w:rPr>
          <w:lang w:val="en-GB"/>
        </w:rPr>
        <w:t>exchange membrane (Nafion®115)</w:t>
      </w:r>
      <w:r w:rsidR="00CC226E" w:rsidRPr="00527A2F">
        <w:rPr>
          <w:lang w:val="en-GB"/>
        </w:rPr>
        <w:t xml:space="preserve">, assembled </w:t>
      </w:r>
      <w:r w:rsidR="003B5BA1" w:rsidRPr="00527A2F">
        <w:rPr>
          <w:lang w:val="en-GB"/>
        </w:rPr>
        <w:t xml:space="preserve">to form </w:t>
      </w:r>
      <w:r w:rsidR="002401C0" w:rsidRPr="00527A2F">
        <w:rPr>
          <w:lang w:val="en-GB"/>
        </w:rPr>
        <w:t>the MEA (</w:t>
      </w:r>
      <w:r w:rsidR="00F616F0" w:rsidRPr="00527A2F">
        <w:rPr>
          <w:lang w:val="en-GB"/>
        </w:rPr>
        <w:t xml:space="preserve">see </w:t>
      </w:r>
      <w:r w:rsidR="002401C0" w:rsidRPr="00527A2F">
        <w:rPr>
          <w:lang w:val="en-GB"/>
        </w:rPr>
        <w:t>Figure 1).</w:t>
      </w:r>
      <w:r w:rsidR="003B62B0" w:rsidRPr="00527A2F">
        <w:rPr>
          <w:lang w:val="en-GB"/>
        </w:rPr>
        <w:t xml:space="preserve"> </w:t>
      </w:r>
      <w:r w:rsidR="005811BC" w:rsidRPr="00527A2F">
        <w:rPr>
          <w:lang w:val="en-GB"/>
        </w:rPr>
        <w:t>The CO</w:t>
      </w:r>
      <w:r w:rsidR="005811BC" w:rsidRPr="00527A2F">
        <w:rPr>
          <w:vertAlign w:val="subscript"/>
          <w:lang w:val="en-GB"/>
        </w:rPr>
        <w:t xml:space="preserve">2 </w:t>
      </w:r>
      <w:r w:rsidR="005811BC" w:rsidRPr="00527A2F">
        <w:rPr>
          <w:lang w:val="en-GB"/>
        </w:rPr>
        <w:t>adsorb</w:t>
      </w:r>
      <w:r w:rsidR="00F616F0" w:rsidRPr="00527A2F">
        <w:rPr>
          <w:lang w:val="en-GB"/>
        </w:rPr>
        <w:t>s</w:t>
      </w:r>
      <w:r w:rsidR="005811BC" w:rsidRPr="00527A2F">
        <w:rPr>
          <w:lang w:val="en-GB"/>
        </w:rPr>
        <w:t xml:space="preserve"> </w:t>
      </w:r>
      <w:r w:rsidR="003B62B0" w:rsidRPr="00527A2F">
        <w:rPr>
          <w:lang w:val="en-GB"/>
        </w:rPr>
        <w:t>o</w:t>
      </w:r>
      <w:r w:rsidR="005811BC" w:rsidRPr="00527A2F">
        <w:rPr>
          <w:lang w:val="en-GB"/>
        </w:rPr>
        <w:t xml:space="preserve">n the catalyst surface and reacts with the protons diffusing from the proton-exchange membrane. The membrane guarantees separation with the anodic compartment, </w:t>
      </w:r>
      <w:r w:rsidR="003B62B0" w:rsidRPr="00527A2F">
        <w:rPr>
          <w:lang w:val="en-GB"/>
        </w:rPr>
        <w:t>the latter filled with</w:t>
      </w:r>
      <w:r w:rsidR="005811BC" w:rsidRPr="00527A2F">
        <w:rPr>
          <w:lang w:val="en-GB"/>
        </w:rPr>
        <w:t xml:space="preserve"> </w:t>
      </w:r>
      <w:r w:rsidR="005811BC" w:rsidRPr="00527A2F">
        <w:rPr>
          <w:lang w:val="en-GB"/>
        </w:rPr>
        <w:lastRenderedPageBreak/>
        <w:t xml:space="preserve">a </w:t>
      </w:r>
      <w:r w:rsidR="003B62B0" w:rsidRPr="00527A2F">
        <w:rPr>
          <w:lang w:val="en-GB"/>
        </w:rPr>
        <w:t>CO</w:t>
      </w:r>
      <w:r w:rsidR="003B62B0" w:rsidRPr="007554BD">
        <w:rPr>
          <w:vertAlign w:val="subscript"/>
          <w:lang w:val="en-GB"/>
        </w:rPr>
        <w:t>2</w:t>
      </w:r>
      <w:r w:rsidR="003B62B0" w:rsidRPr="00527A2F">
        <w:rPr>
          <w:lang w:val="en-GB"/>
        </w:rPr>
        <w:t>-</w:t>
      </w:r>
      <w:r w:rsidR="005811BC" w:rsidRPr="00527A2F">
        <w:rPr>
          <w:lang w:val="en-GB"/>
        </w:rPr>
        <w:t>saturate</w:t>
      </w:r>
      <w:r w:rsidR="003B62B0" w:rsidRPr="00527A2F">
        <w:rPr>
          <w:lang w:val="en-GB"/>
        </w:rPr>
        <w:t>d</w:t>
      </w:r>
      <w:r w:rsidR="005811BC" w:rsidRPr="00527A2F">
        <w:rPr>
          <w:lang w:val="en-GB"/>
        </w:rPr>
        <w:t xml:space="preserve"> KHCO</w:t>
      </w:r>
      <w:r w:rsidR="005811BC" w:rsidRPr="00527A2F">
        <w:rPr>
          <w:vertAlign w:val="subscript"/>
          <w:lang w:val="en-GB"/>
        </w:rPr>
        <w:t xml:space="preserve">3 </w:t>
      </w:r>
      <w:r w:rsidR="005811BC" w:rsidRPr="00527A2F">
        <w:rPr>
          <w:lang w:val="en-GB"/>
        </w:rPr>
        <w:t xml:space="preserve">solution in which the anode, a commercial Pt electrode and an Ag/AgCl reference electrode (3 M </w:t>
      </w:r>
      <w:proofErr w:type="spellStart"/>
      <w:r w:rsidR="005811BC" w:rsidRPr="00527A2F">
        <w:rPr>
          <w:lang w:val="en-GB"/>
        </w:rPr>
        <w:t>KCl</w:t>
      </w:r>
      <w:proofErr w:type="spellEnd"/>
      <w:r w:rsidR="005811BC" w:rsidRPr="00527A2F">
        <w:rPr>
          <w:lang w:val="en-GB"/>
        </w:rPr>
        <w:t>) are immersed.</w:t>
      </w:r>
      <w:r w:rsidR="00597FA6">
        <w:rPr>
          <w:lang w:val="en-GB"/>
        </w:rPr>
        <w:t xml:space="preserve"> </w:t>
      </w:r>
      <w:r w:rsidR="005811BC" w:rsidRPr="00527A2F">
        <w:rPr>
          <w:lang w:val="en-GB"/>
        </w:rPr>
        <w:t xml:space="preserve">The </w:t>
      </w:r>
      <w:r w:rsidR="00F616F0" w:rsidRPr="00527A2F">
        <w:rPr>
          <w:lang w:val="en-GB"/>
        </w:rPr>
        <w:t xml:space="preserve">gas </w:t>
      </w:r>
      <w:r w:rsidR="005811BC" w:rsidRPr="00527A2F">
        <w:rPr>
          <w:lang w:val="en-GB"/>
        </w:rPr>
        <w:t>products diffuse back into the gas chamber and are absorbed in a dilute solution of sulfuric acid (0.001 M). At the end of the test</w:t>
      </w:r>
      <w:r w:rsidR="00F616F0" w:rsidRPr="00527A2F">
        <w:rPr>
          <w:lang w:val="en-GB"/>
        </w:rPr>
        <w:t>,</w:t>
      </w:r>
      <w:r w:rsidR="005811BC" w:rsidRPr="00527A2F">
        <w:rPr>
          <w:lang w:val="en-GB"/>
        </w:rPr>
        <w:t xml:space="preserve"> this solution was </w:t>
      </w:r>
      <w:proofErr w:type="spellStart"/>
      <w:r w:rsidR="005811BC" w:rsidRPr="00527A2F">
        <w:rPr>
          <w:lang w:val="en-GB"/>
        </w:rPr>
        <w:t>analyzed</w:t>
      </w:r>
      <w:proofErr w:type="spellEnd"/>
      <w:r w:rsidR="005811BC" w:rsidRPr="00527A2F">
        <w:rPr>
          <w:lang w:val="en-GB"/>
        </w:rPr>
        <w:t xml:space="preserve"> by Gas Chromatography-Mass Spectrometry (GC–MS, </w:t>
      </w:r>
      <w:r w:rsidR="00F616F0" w:rsidRPr="00527A2F">
        <w:rPr>
          <w:lang w:val="en-GB"/>
        </w:rPr>
        <w:t xml:space="preserve">equipped with </w:t>
      </w:r>
      <w:proofErr w:type="spellStart"/>
      <w:r w:rsidR="005811BC" w:rsidRPr="00527A2F">
        <w:rPr>
          <w:lang w:val="en-GB"/>
        </w:rPr>
        <w:t>Stabilwax</w:t>
      </w:r>
      <w:proofErr w:type="spellEnd"/>
      <w:r w:rsidR="005811BC" w:rsidRPr="00527A2F">
        <w:rPr>
          <w:lang w:val="en-GB"/>
        </w:rPr>
        <w:t xml:space="preserve"> column, with He as</w:t>
      </w:r>
      <w:r w:rsidR="00F616F0" w:rsidRPr="00527A2F">
        <w:rPr>
          <w:lang w:val="en-GB"/>
        </w:rPr>
        <w:t xml:space="preserve"> the</w:t>
      </w:r>
      <w:r w:rsidR="005811BC" w:rsidRPr="00527A2F">
        <w:rPr>
          <w:lang w:val="en-GB"/>
        </w:rPr>
        <w:t xml:space="preserve"> carrier gas) to check the formation of ethanol, methanol and other alcohols, and by Ion Chromatography (IC, column organic acids) to detect organic acids. Gaseous products were </w:t>
      </w:r>
      <w:r w:rsidR="00F616F0" w:rsidRPr="00527A2F">
        <w:rPr>
          <w:lang w:val="en-GB"/>
        </w:rPr>
        <w:t xml:space="preserve">periodically </w:t>
      </w:r>
      <w:r w:rsidR="005811BC" w:rsidRPr="00527A2F">
        <w:rPr>
          <w:lang w:val="en-GB"/>
        </w:rPr>
        <w:t xml:space="preserve">taken from the gas chamber and </w:t>
      </w:r>
      <w:proofErr w:type="spellStart"/>
      <w:r w:rsidR="005811BC" w:rsidRPr="00527A2F">
        <w:rPr>
          <w:lang w:val="en-GB"/>
        </w:rPr>
        <w:t>analyzed</w:t>
      </w:r>
      <w:proofErr w:type="spellEnd"/>
      <w:r w:rsidR="005811BC" w:rsidRPr="00527A2F">
        <w:rPr>
          <w:lang w:val="en-GB"/>
        </w:rPr>
        <w:t xml:space="preserve"> by Gas Chromatograph (</w:t>
      </w:r>
      <w:proofErr w:type="spellStart"/>
      <w:r w:rsidR="005811BC" w:rsidRPr="00527A2F">
        <w:rPr>
          <w:lang w:val="en-GB"/>
        </w:rPr>
        <w:t>MicroGC</w:t>
      </w:r>
      <w:proofErr w:type="spellEnd"/>
      <w:r w:rsidR="005811BC" w:rsidRPr="00527A2F">
        <w:rPr>
          <w:lang w:val="en-GB"/>
        </w:rPr>
        <w:t xml:space="preserve"> GCX Pollution Analytic Equipment).</w:t>
      </w:r>
    </w:p>
    <w:p w14:paraId="372B418D" w14:textId="490ED17C" w:rsidR="003305C8" w:rsidRPr="00527A2F" w:rsidRDefault="00713021" w:rsidP="00EE55AD">
      <w:pPr>
        <w:pStyle w:val="CETBodytext"/>
        <w:jc w:val="left"/>
        <w:rPr>
          <w:lang w:val="en-GB"/>
        </w:rPr>
      </w:pPr>
      <w:r w:rsidRPr="00527A2F">
        <w:rPr>
          <w:noProof/>
          <w:lang w:val="it-IT" w:eastAsia="it-IT"/>
        </w:rPr>
        <w:drawing>
          <wp:inline distT="0" distB="0" distL="0" distR="0" wp14:anchorId="1FE50822" wp14:editId="0B3A2632">
            <wp:extent cx="1804061" cy="1390100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94"/>
                    <a:stretch/>
                  </pic:blipFill>
                  <pic:spPr bwMode="auto">
                    <a:xfrm>
                      <a:off x="0" y="0"/>
                      <a:ext cx="1893998" cy="14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21467F" w14:textId="553F0ACA" w:rsidR="003305C8" w:rsidRPr="00527A2F" w:rsidRDefault="003305C8" w:rsidP="00EE55AD">
      <w:pPr>
        <w:pStyle w:val="CETCaption"/>
      </w:pPr>
      <w:r w:rsidRPr="00527A2F">
        <w:t xml:space="preserve">Figure </w:t>
      </w:r>
      <w:r w:rsidR="002401C0" w:rsidRPr="00527A2F">
        <w:t>1: Gas-phase assembly.</w:t>
      </w:r>
      <w:r w:rsidR="002F77F0" w:rsidRPr="00527A2F">
        <w:t xml:space="preserve"> Black, yellow and red </w:t>
      </w:r>
      <w:r w:rsidR="006E1FB0" w:rsidRPr="00527A2F">
        <w:t xml:space="preserve">circles </w:t>
      </w:r>
      <w:r w:rsidR="002F77F0" w:rsidRPr="00527A2F">
        <w:t>refer to GDL, catalyst and membrane, respectively</w:t>
      </w:r>
      <w:r w:rsidR="006E1FB0" w:rsidRPr="00527A2F">
        <w:t xml:space="preserve"> (the formation of ethanol was reported as model).</w:t>
      </w:r>
    </w:p>
    <w:p w14:paraId="393D96D5" w14:textId="68CDE18D" w:rsidR="004F7E2C" w:rsidRPr="00527A2F" w:rsidRDefault="000A4D42" w:rsidP="004F7E2C">
      <w:pPr>
        <w:pStyle w:val="CETBodytext"/>
        <w:rPr>
          <w:lang w:val="en-GB"/>
        </w:rPr>
      </w:pPr>
      <w:r w:rsidRPr="00527A2F">
        <w:rPr>
          <w:lang w:val="en-GB"/>
        </w:rPr>
        <w:t xml:space="preserve">The liquid-phase </w:t>
      </w:r>
      <w:r w:rsidR="00FE26DB" w:rsidRPr="00527A2F">
        <w:rPr>
          <w:lang w:val="en-GB"/>
        </w:rPr>
        <w:t xml:space="preserve">system </w:t>
      </w:r>
      <w:r w:rsidRPr="00527A2F">
        <w:rPr>
          <w:lang w:val="en-GB"/>
        </w:rPr>
        <w:t xml:space="preserve">is a conventional three-electrode cell consisting of two liquid compartments, anode and cathode, separated by a proton-exchange membrane (Nafion®324). This has the function of separating the two chambers, preventing the mixing of the reaction products and allowing the protons, </w:t>
      </w:r>
      <w:r w:rsidR="003B62B0" w:rsidRPr="00527A2F">
        <w:rPr>
          <w:lang w:val="en-GB"/>
        </w:rPr>
        <w:t xml:space="preserve">produced </w:t>
      </w:r>
      <w:r w:rsidRPr="00527A2F">
        <w:rPr>
          <w:lang w:val="en-GB"/>
        </w:rPr>
        <w:t>from the water oxidat</w:t>
      </w:r>
      <w:r w:rsidR="004F7E2C" w:rsidRPr="00527A2F">
        <w:rPr>
          <w:lang w:val="en-GB"/>
        </w:rPr>
        <w:t>ion, to diffuse to the cathode</w:t>
      </w:r>
      <w:r w:rsidR="00FE26DB" w:rsidRPr="00527A2F">
        <w:rPr>
          <w:lang w:val="en-GB"/>
        </w:rPr>
        <w:t xml:space="preserve"> through the liquid solution</w:t>
      </w:r>
      <w:r w:rsidRPr="00527A2F">
        <w:rPr>
          <w:lang w:val="en-GB"/>
        </w:rPr>
        <w:t>. Aqueous solutions of 0.1 M KHCO</w:t>
      </w:r>
      <w:r w:rsidRPr="00527A2F">
        <w:rPr>
          <w:vertAlign w:val="subscript"/>
          <w:lang w:val="en-GB"/>
        </w:rPr>
        <w:t>3</w:t>
      </w:r>
      <w:r w:rsidRPr="00527A2F">
        <w:rPr>
          <w:lang w:val="en-GB"/>
        </w:rPr>
        <w:t xml:space="preserve"> and 1 M KOH are continuously recirculated by a </w:t>
      </w:r>
      <w:r w:rsidR="00C95CFA" w:rsidRPr="00527A2F">
        <w:rPr>
          <w:lang w:val="en-GB"/>
        </w:rPr>
        <w:t xml:space="preserve">peristaltic pump </w:t>
      </w:r>
      <w:r w:rsidRPr="00527A2F">
        <w:rPr>
          <w:lang w:val="en-GB"/>
        </w:rPr>
        <w:t>in the cathodic and anodic compartments</w:t>
      </w:r>
      <w:r w:rsidR="00C95CFA" w:rsidRPr="00527A2F">
        <w:rPr>
          <w:lang w:val="en-GB"/>
        </w:rPr>
        <w:t>, respectively</w:t>
      </w:r>
      <w:r w:rsidRPr="00527A2F">
        <w:rPr>
          <w:lang w:val="en-GB"/>
        </w:rPr>
        <w:t xml:space="preserve">. The bicarbonate solution is pre-saturated </w:t>
      </w:r>
      <w:r w:rsidR="003B62B0" w:rsidRPr="00527A2F">
        <w:rPr>
          <w:lang w:val="en-GB"/>
        </w:rPr>
        <w:t>with CO</w:t>
      </w:r>
      <w:r w:rsidR="003B62B0" w:rsidRPr="007554BD">
        <w:rPr>
          <w:vertAlign w:val="subscript"/>
          <w:lang w:val="en-GB"/>
        </w:rPr>
        <w:t>2</w:t>
      </w:r>
      <w:r w:rsidR="003B62B0" w:rsidRPr="00527A2F">
        <w:rPr>
          <w:lang w:val="en-GB"/>
        </w:rPr>
        <w:t xml:space="preserve"> </w:t>
      </w:r>
      <w:r w:rsidRPr="00527A2F">
        <w:rPr>
          <w:lang w:val="en-GB"/>
        </w:rPr>
        <w:t>before the test until pH 6.8 is reached, while the CO</w:t>
      </w:r>
      <w:r w:rsidRPr="00527A2F">
        <w:rPr>
          <w:vertAlign w:val="subscript"/>
          <w:lang w:val="en-GB"/>
        </w:rPr>
        <w:t>2</w:t>
      </w:r>
      <w:r w:rsidRPr="00527A2F">
        <w:rPr>
          <w:lang w:val="en-GB"/>
        </w:rPr>
        <w:t xml:space="preserve"> is flushed throughout the test in the cathodic electrolyte with a flow of 20 mL min</w:t>
      </w:r>
      <w:r w:rsidRPr="00527A2F">
        <w:rPr>
          <w:vertAlign w:val="superscript"/>
          <w:lang w:val="en-GB"/>
        </w:rPr>
        <w:t>-1</w:t>
      </w:r>
      <w:r w:rsidRPr="00527A2F">
        <w:rPr>
          <w:lang w:val="en-GB"/>
        </w:rPr>
        <w:t>.</w:t>
      </w:r>
    </w:p>
    <w:p w14:paraId="55E25885" w14:textId="11086D36" w:rsidR="004F7E2C" w:rsidRPr="00527A2F" w:rsidRDefault="004F7E2C" w:rsidP="004F7E2C">
      <w:pPr>
        <w:pStyle w:val="CETBodytext"/>
        <w:rPr>
          <w:lang w:val="en-GB"/>
        </w:rPr>
      </w:pPr>
      <w:r w:rsidRPr="00527A2F">
        <w:rPr>
          <w:lang w:val="en-GB"/>
        </w:rPr>
        <w:t xml:space="preserve">The </w:t>
      </w:r>
      <w:r w:rsidR="005A2F29" w:rsidRPr="00527A2F">
        <w:rPr>
          <w:lang w:val="en-GB"/>
        </w:rPr>
        <w:t xml:space="preserve">electrodes </w:t>
      </w:r>
      <w:r w:rsidRPr="00527A2F">
        <w:rPr>
          <w:lang w:val="en-GB"/>
        </w:rPr>
        <w:t>used in liquid- and gas-phase have</w:t>
      </w:r>
      <w:r w:rsidR="005A2F29" w:rsidRPr="00527A2F">
        <w:rPr>
          <w:lang w:val="en-GB"/>
        </w:rPr>
        <w:t xml:space="preserve"> a surface geometrical </w:t>
      </w:r>
      <w:r w:rsidRPr="00527A2F">
        <w:rPr>
          <w:lang w:val="en-GB"/>
        </w:rPr>
        <w:t>area of 1 and 2 cm</w:t>
      </w:r>
      <w:r w:rsidRPr="00527A2F">
        <w:rPr>
          <w:vertAlign w:val="superscript"/>
          <w:lang w:val="en-GB"/>
        </w:rPr>
        <w:t>2</w:t>
      </w:r>
      <w:r w:rsidRPr="00527A2F">
        <w:rPr>
          <w:lang w:val="en-GB"/>
        </w:rPr>
        <w:t xml:space="preserve"> respectively, and </w:t>
      </w:r>
      <w:r w:rsidR="003B62B0" w:rsidRPr="00527A2F">
        <w:rPr>
          <w:lang w:val="en-GB"/>
        </w:rPr>
        <w:t xml:space="preserve">they </w:t>
      </w:r>
      <w:r w:rsidRPr="00527A2F">
        <w:rPr>
          <w:lang w:val="en-GB"/>
        </w:rPr>
        <w:t xml:space="preserve">both have a </w:t>
      </w:r>
      <w:proofErr w:type="spellStart"/>
      <w:r w:rsidRPr="00527A2F">
        <w:rPr>
          <w:lang w:val="en-GB"/>
        </w:rPr>
        <w:t>CuO</w:t>
      </w:r>
      <w:proofErr w:type="spellEnd"/>
      <w:r w:rsidRPr="00527A2F">
        <w:rPr>
          <w:lang w:val="en-GB"/>
        </w:rPr>
        <w:t xml:space="preserve"> loading of 5 mg cm</w:t>
      </w:r>
      <w:r w:rsidRPr="00527A2F">
        <w:rPr>
          <w:vertAlign w:val="superscript"/>
          <w:lang w:val="en-GB"/>
        </w:rPr>
        <w:t>-2</w:t>
      </w:r>
      <w:r w:rsidRPr="00527A2F">
        <w:rPr>
          <w:lang w:val="en-GB"/>
        </w:rPr>
        <w:t>.</w:t>
      </w:r>
    </w:p>
    <w:p w14:paraId="7476634E" w14:textId="72973108" w:rsidR="00D11494" w:rsidRPr="00527A2F" w:rsidRDefault="00266C18" w:rsidP="005A652D">
      <w:pPr>
        <w:pStyle w:val="CETHeading1"/>
        <w:rPr>
          <w:lang w:val="en-GB"/>
        </w:rPr>
      </w:pPr>
      <w:r w:rsidRPr="00527A2F">
        <w:rPr>
          <w:lang w:val="en-GB"/>
        </w:rPr>
        <w:t>Results and Discussion</w:t>
      </w:r>
    </w:p>
    <w:p w14:paraId="0DCDC648" w14:textId="24375411" w:rsidR="005A652D" w:rsidRPr="00527A2F" w:rsidRDefault="005A652D" w:rsidP="004502ED">
      <w:pPr>
        <w:pStyle w:val="CETheadingx"/>
        <w:rPr>
          <w:lang w:val="en-GB"/>
        </w:rPr>
      </w:pPr>
      <w:r w:rsidRPr="00527A2F">
        <w:rPr>
          <w:lang w:val="en-GB"/>
        </w:rPr>
        <w:t xml:space="preserve">X-Ray diffraction </w:t>
      </w:r>
      <w:r w:rsidR="004502ED" w:rsidRPr="00527A2F">
        <w:rPr>
          <w:lang w:val="en-GB"/>
        </w:rPr>
        <w:t>(XRD) analysis</w:t>
      </w:r>
    </w:p>
    <w:p w14:paraId="4194E75C" w14:textId="3D52DF06" w:rsidR="00991A1D" w:rsidRPr="00527A2F" w:rsidRDefault="00991A1D" w:rsidP="005B5D6D">
      <w:pPr>
        <w:pStyle w:val="CETBodytext"/>
        <w:rPr>
          <w:lang w:val="en-GB"/>
        </w:rPr>
      </w:pPr>
      <w:r w:rsidRPr="00527A2F">
        <w:rPr>
          <w:lang w:val="en-GB"/>
        </w:rPr>
        <w:t>X-</w:t>
      </w:r>
      <w:r w:rsidR="003A3945" w:rsidRPr="00527A2F">
        <w:rPr>
          <w:lang w:val="en-GB"/>
        </w:rPr>
        <w:t>R</w:t>
      </w:r>
      <w:r w:rsidRPr="00527A2F">
        <w:rPr>
          <w:lang w:val="en-GB"/>
        </w:rPr>
        <w:t xml:space="preserve">ay </w:t>
      </w:r>
      <w:r w:rsidR="003A3945" w:rsidRPr="00527A2F">
        <w:rPr>
          <w:lang w:val="en-GB"/>
        </w:rPr>
        <w:t xml:space="preserve">Diffraction (XRD) </w:t>
      </w:r>
      <w:r w:rsidRPr="00527A2F">
        <w:rPr>
          <w:lang w:val="en-GB"/>
        </w:rPr>
        <w:t>crystallography was carried out to determine the purity of the obtained material and its degree of crystallinity</w:t>
      </w:r>
      <w:r w:rsidR="003E3BA9" w:rsidRPr="00527A2F">
        <w:rPr>
          <w:lang w:val="en-GB"/>
        </w:rPr>
        <w:t xml:space="preserve"> (</w:t>
      </w:r>
      <w:r w:rsidR="003B62B0" w:rsidRPr="00527A2F">
        <w:rPr>
          <w:lang w:val="en-GB"/>
        </w:rPr>
        <w:t xml:space="preserve">see </w:t>
      </w:r>
      <w:r w:rsidR="003E3BA9" w:rsidRPr="00527A2F">
        <w:rPr>
          <w:lang w:val="en-GB"/>
        </w:rPr>
        <w:t>Figure 2).</w:t>
      </w:r>
    </w:p>
    <w:p w14:paraId="295142E5" w14:textId="52C607DB" w:rsidR="005A652D" w:rsidRPr="00527A2F" w:rsidRDefault="00290224" w:rsidP="00EE55AD">
      <w:pPr>
        <w:pStyle w:val="CETBodytext"/>
        <w:jc w:val="left"/>
        <w:rPr>
          <w:lang w:val="en-GB"/>
        </w:rPr>
      </w:pPr>
      <w:r w:rsidRPr="00527A2F">
        <w:rPr>
          <w:noProof/>
          <w:lang w:val="it-IT" w:eastAsia="it-IT"/>
        </w:rPr>
        <w:drawing>
          <wp:inline distT="0" distB="0" distL="0" distR="0" wp14:anchorId="5BFB4487" wp14:editId="06C215CD">
            <wp:extent cx="2595205" cy="2107298"/>
            <wp:effectExtent l="0" t="0" r="0" b="762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141" cy="2259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F0C03" w14:textId="2F42CC3C" w:rsidR="005A652D" w:rsidRPr="00527A2F" w:rsidRDefault="005A652D" w:rsidP="00EE55AD">
      <w:pPr>
        <w:pStyle w:val="CETCaption"/>
      </w:pPr>
      <w:r w:rsidRPr="00527A2F">
        <w:t xml:space="preserve">Figure </w:t>
      </w:r>
      <w:r w:rsidR="003305C8" w:rsidRPr="00527A2F">
        <w:t>2</w:t>
      </w:r>
      <w:r w:rsidRPr="00527A2F">
        <w:t xml:space="preserve">: XRD </w:t>
      </w:r>
      <w:r w:rsidR="003B62B0" w:rsidRPr="00527A2F">
        <w:t xml:space="preserve">pattern </w:t>
      </w:r>
      <w:r w:rsidRPr="00527A2F">
        <w:t xml:space="preserve">for </w:t>
      </w:r>
      <w:proofErr w:type="spellStart"/>
      <w:r w:rsidR="000A3564" w:rsidRPr="00527A2F">
        <w:t>CuO</w:t>
      </w:r>
      <w:proofErr w:type="spellEnd"/>
      <w:r w:rsidR="000A3564" w:rsidRPr="00527A2F">
        <w:t>.</w:t>
      </w:r>
    </w:p>
    <w:p w14:paraId="2528E1D0" w14:textId="6874991F" w:rsidR="000A4C4F" w:rsidRPr="00527A2F" w:rsidRDefault="000A4C4F" w:rsidP="00EE55AD">
      <w:pPr>
        <w:pStyle w:val="CETCaption"/>
        <w:rPr>
          <w:i w:val="0"/>
        </w:rPr>
      </w:pPr>
      <w:r w:rsidRPr="00527A2F">
        <w:rPr>
          <w:i w:val="0"/>
        </w:rPr>
        <w:t xml:space="preserve">The following peaks were found: 32.6, 35.6, 38.8, 48.8, 53.5, 58.2, 61.6, 66.3, 68.3, 72.5, 75.4 ° referring to the crystalline </w:t>
      </w:r>
      <w:proofErr w:type="spellStart"/>
      <w:r w:rsidRPr="00527A2F">
        <w:rPr>
          <w:i w:val="0"/>
        </w:rPr>
        <w:t>CuO</w:t>
      </w:r>
      <w:proofErr w:type="spellEnd"/>
      <w:r w:rsidRPr="00527A2F">
        <w:rPr>
          <w:i w:val="0"/>
        </w:rPr>
        <w:t xml:space="preserve"> planes (110), (-111), (111), (-202), (020), (202), (-113), (-311), (220), (311), (-222), respectively. No impurities were found in the material.</w:t>
      </w:r>
    </w:p>
    <w:p w14:paraId="41FC5A44" w14:textId="7DCD4703" w:rsidR="005A652D" w:rsidRPr="00527A2F" w:rsidRDefault="00A807EF" w:rsidP="00D11494">
      <w:pPr>
        <w:pStyle w:val="CETHeading1"/>
        <w:numPr>
          <w:ilvl w:val="0"/>
          <w:numId w:val="0"/>
        </w:numPr>
        <w:rPr>
          <w:lang w:val="en-GB"/>
        </w:rPr>
      </w:pPr>
      <w:r w:rsidRPr="00527A2F">
        <w:rPr>
          <w:sz w:val="18"/>
          <w:lang w:val="en-GB"/>
        </w:rPr>
        <w:lastRenderedPageBreak/>
        <w:t>3.2</w:t>
      </w:r>
      <w:r w:rsidR="00D11494" w:rsidRPr="00527A2F">
        <w:rPr>
          <w:sz w:val="18"/>
          <w:lang w:val="en-GB"/>
        </w:rPr>
        <w:t xml:space="preserve"> </w:t>
      </w:r>
      <w:r w:rsidRPr="00527A2F">
        <w:rPr>
          <w:sz w:val="18"/>
          <w:lang w:val="en-GB"/>
        </w:rPr>
        <w:t>Reduction test</w:t>
      </w:r>
      <w:r w:rsidR="003A3945" w:rsidRPr="00527A2F">
        <w:rPr>
          <w:sz w:val="18"/>
          <w:lang w:val="en-GB"/>
        </w:rPr>
        <w:t>s</w:t>
      </w:r>
    </w:p>
    <w:p w14:paraId="31744A67" w14:textId="5D1B87D8" w:rsidR="008B59BD" w:rsidRPr="005919D6" w:rsidRDefault="00F3588B" w:rsidP="00290910">
      <w:pPr>
        <w:pStyle w:val="CETBodytext"/>
        <w:rPr>
          <w:lang w:val="en-GB"/>
        </w:rPr>
      </w:pPr>
      <w:r w:rsidRPr="00527A2F">
        <w:rPr>
          <w:lang w:val="en-GB"/>
        </w:rPr>
        <w:t xml:space="preserve">The </w:t>
      </w:r>
      <w:proofErr w:type="spellStart"/>
      <w:r w:rsidRPr="00527A2F">
        <w:rPr>
          <w:lang w:val="en-GB"/>
        </w:rPr>
        <w:t>CuO</w:t>
      </w:r>
      <w:proofErr w:type="spellEnd"/>
      <w:r w:rsidRPr="00527A2F">
        <w:rPr>
          <w:lang w:val="en-GB"/>
        </w:rPr>
        <w:t>/</w:t>
      </w:r>
      <w:r w:rsidR="0045732F" w:rsidRPr="00527A2F">
        <w:rPr>
          <w:lang w:val="en-GB"/>
        </w:rPr>
        <w:t xml:space="preserve">GDL </w:t>
      </w:r>
      <w:r w:rsidR="00260E95" w:rsidRPr="00527A2F">
        <w:rPr>
          <w:lang w:val="en-GB"/>
        </w:rPr>
        <w:t>electrode</w:t>
      </w:r>
      <w:r w:rsidR="002D6F47" w:rsidRPr="00527A2F">
        <w:rPr>
          <w:lang w:val="en-GB"/>
        </w:rPr>
        <w:t xml:space="preserve"> was t</w:t>
      </w:r>
      <w:r w:rsidRPr="00527A2F">
        <w:rPr>
          <w:lang w:val="en-GB"/>
        </w:rPr>
        <w:t xml:space="preserve">ested in the gas-phase system and </w:t>
      </w:r>
      <w:r w:rsidR="00A01A18" w:rsidRPr="00527A2F">
        <w:rPr>
          <w:lang w:val="en-GB"/>
        </w:rPr>
        <w:t>its</w:t>
      </w:r>
      <w:r w:rsidR="00C95CFA" w:rsidRPr="00527A2F">
        <w:rPr>
          <w:lang w:val="en-GB"/>
        </w:rPr>
        <w:t xml:space="preserve"> performance</w:t>
      </w:r>
      <w:r w:rsidRPr="00527A2F">
        <w:rPr>
          <w:lang w:val="en-GB"/>
        </w:rPr>
        <w:t xml:space="preserve"> </w:t>
      </w:r>
      <w:r w:rsidR="00A4070F" w:rsidRPr="00527A2F">
        <w:rPr>
          <w:lang w:val="en-GB"/>
        </w:rPr>
        <w:t>was</w:t>
      </w:r>
      <w:r w:rsidRPr="00527A2F">
        <w:rPr>
          <w:lang w:val="en-GB"/>
        </w:rPr>
        <w:t xml:space="preserve"> compared with </w:t>
      </w:r>
      <w:r w:rsidR="00A4070F" w:rsidRPr="00527A2F">
        <w:rPr>
          <w:lang w:val="en-GB"/>
        </w:rPr>
        <w:t xml:space="preserve">that </w:t>
      </w:r>
      <w:r w:rsidR="000A2F9E" w:rsidRPr="00527A2F">
        <w:rPr>
          <w:lang w:val="en-GB"/>
        </w:rPr>
        <w:t xml:space="preserve">in </w:t>
      </w:r>
      <w:r w:rsidR="00260E95" w:rsidRPr="00527A2F">
        <w:rPr>
          <w:lang w:val="en-GB"/>
        </w:rPr>
        <w:t xml:space="preserve">a conventional </w:t>
      </w:r>
      <w:r w:rsidRPr="00527A2F">
        <w:rPr>
          <w:lang w:val="en-GB"/>
        </w:rPr>
        <w:t>liquid-</w:t>
      </w:r>
      <w:r w:rsidR="000A2F9E" w:rsidRPr="00527A2F">
        <w:rPr>
          <w:lang w:val="en-GB"/>
        </w:rPr>
        <w:t xml:space="preserve">phase </w:t>
      </w:r>
      <w:r w:rsidRPr="00527A2F">
        <w:rPr>
          <w:lang w:val="en-GB"/>
        </w:rPr>
        <w:t xml:space="preserve">system. In both </w:t>
      </w:r>
      <w:r w:rsidR="000A2F9E" w:rsidRPr="00527A2F">
        <w:rPr>
          <w:lang w:val="en-GB"/>
        </w:rPr>
        <w:t>reactors,</w:t>
      </w:r>
      <w:r w:rsidRPr="00527A2F">
        <w:rPr>
          <w:lang w:val="en-GB"/>
        </w:rPr>
        <w:t xml:space="preserve"> </w:t>
      </w:r>
      <w:r w:rsidR="000A2F9E" w:rsidRPr="00527A2F">
        <w:rPr>
          <w:lang w:val="en-GB"/>
        </w:rPr>
        <w:t xml:space="preserve">the </w:t>
      </w:r>
      <w:r w:rsidRPr="00527A2F">
        <w:rPr>
          <w:lang w:val="en-GB"/>
        </w:rPr>
        <w:t xml:space="preserve">tests were </w:t>
      </w:r>
      <w:r w:rsidR="00260E95" w:rsidRPr="00527A2F">
        <w:rPr>
          <w:lang w:val="en-GB"/>
        </w:rPr>
        <w:t>performed</w:t>
      </w:r>
      <w:r w:rsidRPr="00527A2F">
        <w:rPr>
          <w:lang w:val="en-GB"/>
        </w:rPr>
        <w:t xml:space="preserve"> </w:t>
      </w:r>
      <w:r w:rsidR="0045732F" w:rsidRPr="00527A2F">
        <w:rPr>
          <w:lang w:val="en-GB"/>
        </w:rPr>
        <w:t xml:space="preserve">following </w:t>
      </w:r>
      <w:r w:rsidRPr="00527A2F">
        <w:rPr>
          <w:lang w:val="en-GB"/>
        </w:rPr>
        <w:t>a</w:t>
      </w:r>
      <w:r w:rsidR="000A2F9E" w:rsidRPr="00527A2F">
        <w:rPr>
          <w:lang w:val="en-GB"/>
        </w:rPr>
        <w:t xml:space="preserve"> rigid</w:t>
      </w:r>
      <w:r w:rsidRPr="00527A2F">
        <w:rPr>
          <w:lang w:val="en-GB"/>
        </w:rPr>
        <w:t xml:space="preserve"> electrochemical </w:t>
      </w:r>
      <w:r w:rsidR="00695DB7" w:rsidRPr="00527A2F">
        <w:rPr>
          <w:lang w:val="en-GB"/>
        </w:rPr>
        <w:t xml:space="preserve">protocol </w:t>
      </w:r>
      <w:r w:rsidR="0045732F" w:rsidRPr="00527A2F">
        <w:rPr>
          <w:lang w:val="en-GB"/>
        </w:rPr>
        <w:t xml:space="preserve">consisting of </w:t>
      </w:r>
      <w:proofErr w:type="spellStart"/>
      <w:r w:rsidR="0045732F" w:rsidRPr="00527A2F">
        <w:rPr>
          <w:lang w:val="en-GB"/>
        </w:rPr>
        <w:t>i</w:t>
      </w:r>
      <w:proofErr w:type="spellEnd"/>
      <w:r w:rsidR="0045732F" w:rsidRPr="00527A2F">
        <w:rPr>
          <w:lang w:val="en-GB"/>
        </w:rPr>
        <w:t xml:space="preserve">) </w:t>
      </w:r>
      <w:r w:rsidRPr="00527A2F">
        <w:rPr>
          <w:lang w:val="en-GB"/>
        </w:rPr>
        <w:t xml:space="preserve">a series of </w:t>
      </w:r>
      <w:hyperlink r:id="rId12" w:history="1">
        <w:r w:rsidR="00260E95" w:rsidRPr="00527A2F">
          <w:rPr>
            <w:lang w:val="en-GB"/>
          </w:rPr>
          <w:t>cyclic voltammetry</w:t>
        </w:r>
      </w:hyperlink>
      <w:r w:rsidR="00260E95" w:rsidRPr="00527A2F">
        <w:rPr>
          <w:lang w:val="en-GB"/>
        </w:rPr>
        <w:t xml:space="preserve"> (</w:t>
      </w:r>
      <w:r w:rsidRPr="00527A2F">
        <w:rPr>
          <w:lang w:val="en-GB"/>
        </w:rPr>
        <w:t>CV</w:t>
      </w:r>
      <w:r w:rsidRPr="002372CE">
        <w:rPr>
          <w:vertAlign w:val="subscript"/>
        </w:rPr>
        <w:t>s</w:t>
      </w:r>
      <w:r w:rsidR="00260E95" w:rsidRPr="00527A2F">
        <w:rPr>
          <w:lang w:val="en-GB"/>
        </w:rPr>
        <w:t>)</w:t>
      </w:r>
      <w:r w:rsidRPr="00527A2F">
        <w:rPr>
          <w:lang w:val="en-GB"/>
        </w:rPr>
        <w:t xml:space="preserve"> to stabilize the catalyst up to the potential </w:t>
      </w:r>
      <w:r w:rsidR="000A2F9E" w:rsidRPr="00527A2F">
        <w:rPr>
          <w:lang w:val="en-GB"/>
        </w:rPr>
        <w:t xml:space="preserve">of the </w:t>
      </w:r>
      <w:r w:rsidR="000A2F9E" w:rsidRPr="005919D6">
        <w:rPr>
          <w:lang w:val="en-GB"/>
        </w:rPr>
        <w:t>reaction test</w:t>
      </w:r>
      <w:r w:rsidRPr="005919D6">
        <w:rPr>
          <w:lang w:val="en-GB"/>
        </w:rPr>
        <w:t xml:space="preserve">, and </w:t>
      </w:r>
      <w:r w:rsidR="0045732F" w:rsidRPr="005919D6">
        <w:rPr>
          <w:lang w:val="en-GB"/>
        </w:rPr>
        <w:t xml:space="preserve">ii) </w:t>
      </w:r>
      <w:r w:rsidRPr="005919D6">
        <w:rPr>
          <w:lang w:val="en-GB"/>
        </w:rPr>
        <w:t>a chrono-amperometry</w:t>
      </w:r>
      <w:r w:rsidR="00260E95" w:rsidRPr="005919D6">
        <w:rPr>
          <w:lang w:val="en-GB"/>
        </w:rPr>
        <w:t xml:space="preserve"> (CA)</w:t>
      </w:r>
      <w:r w:rsidRPr="005919D6">
        <w:rPr>
          <w:lang w:val="en-GB"/>
        </w:rPr>
        <w:t xml:space="preserve"> at the desired </w:t>
      </w:r>
      <w:r w:rsidR="0045732F" w:rsidRPr="005919D6">
        <w:rPr>
          <w:lang w:val="en-GB"/>
        </w:rPr>
        <w:t>set potential</w:t>
      </w:r>
      <w:r w:rsidR="001C44F9" w:rsidRPr="005919D6">
        <w:rPr>
          <w:lang w:val="en-GB"/>
        </w:rPr>
        <w:t xml:space="preserve"> (</w:t>
      </w:r>
      <w:proofErr w:type="spellStart"/>
      <w:r w:rsidR="001C44F9" w:rsidRPr="005919D6">
        <w:rPr>
          <w:lang w:val="en-GB"/>
        </w:rPr>
        <w:t>Giusi</w:t>
      </w:r>
      <w:proofErr w:type="spellEnd"/>
      <w:r w:rsidR="001C44F9" w:rsidRPr="005919D6">
        <w:rPr>
          <w:lang w:val="en-GB"/>
        </w:rPr>
        <w:t xml:space="preserve"> et al., 2022)</w:t>
      </w:r>
      <w:r w:rsidRPr="005919D6">
        <w:rPr>
          <w:lang w:val="en-GB"/>
        </w:rPr>
        <w:t>.</w:t>
      </w:r>
      <w:r w:rsidR="00945522" w:rsidRPr="005919D6">
        <w:rPr>
          <w:lang w:val="en-GB"/>
        </w:rPr>
        <w:t xml:space="preserve"> </w:t>
      </w:r>
      <w:r w:rsidRPr="005919D6">
        <w:rPr>
          <w:lang w:val="en-GB"/>
        </w:rPr>
        <w:t xml:space="preserve">The potentials investigated were </w:t>
      </w:r>
      <w:r w:rsidR="0045732F" w:rsidRPr="005919D6">
        <w:rPr>
          <w:lang w:val="en-GB"/>
        </w:rPr>
        <w:t>–</w:t>
      </w:r>
      <w:r w:rsidRPr="005919D6">
        <w:rPr>
          <w:lang w:val="en-GB"/>
        </w:rPr>
        <w:t>0.4</w:t>
      </w:r>
      <w:r w:rsidR="0045732F" w:rsidRPr="005919D6">
        <w:rPr>
          <w:lang w:val="en-GB"/>
        </w:rPr>
        <w:t xml:space="preserve"> and</w:t>
      </w:r>
      <w:r w:rsidRPr="005919D6">
        <w:rPr>
          <w:lang w:val="en-GB"/>
        </w:rPr>
        <w:t xml:space="preserve"> </w:t>
      </w:r>
      <w:r w:rsidR="0045732F" w:rsidRPr="005919D6">
        <w:rPr>
          <w:lang w:val="en-GB"/>
        </w:rPr>
        <w:t>–</w:t>
      </w:r>
      <w:r w:rsidRPr="005919D6">
        <w:rPr>
          <w:lang w:val="en-GB"/>
        </w:rPr>
        <w:t>0.6</w:t>
      </w:r>
      <w:r w:rsidR="00163552" w:rsidRPr="005919D6">
        <w:rPr>
          <w:lang w:val="en-GB"/>
        </w:rPr>
        <w:t xml:space="preserve"> V</w:t>
      </w:r>
      <w:r w:rsidRPr="005919D6">
        <w:rPr>
          <w:lang w:val="en-GB"/>
        </w:rPr>
        <w:t xml:space="preserve"> </w:t>
      </w:r>
      <w:r w:rsidR="00260E95" w:rsidRPr="005919D6">
        <w:rPr>
          <w:lang w:val="en-GB"/>
        </w:rPr>
        <w:t>vs</w:t>
      </w:r>
      <w:r w:rsidR="0045732F" w:rsidRPr="005919D6">
        <w:rPr>
          <w:lang w:val="en-GB"/>
        </w:rPr>
        <w:t>.</w:t>
      </w:r>
      <w:r w:rsidR="00260E95" w:rsidRPr="005919D6">
        <w:rPr>
          <w:lang w:val="en-GB"/>
        </w:rPr>
        <w:t xml:space="preserve"> RHE for the liquid-</w:t>
      </w:r>
      <w:r w:rsidR="00163552" w:rsidRPr="005919D6">
        <w:rPr>
          <w:lang w:val="en-GB"/>
        </w:rPr>
        <w:t>phase system</w:t>
      </w:r>
      <w:r w:rsidR="0045732F" w:rsidRPr="005919D6">
        <w:rPr>
          <w:lang w:val="en-GB"/>
        </w:rPr>
        <w:t xml:space="preserve">, </w:t>
      </w:r>
      <w:r w:rsidR="00163552" w:rsidRPr="005919D6">
        <w:rPr>
          <w:lang w:val="en-GB"/>
        </w:rPr>
        <w:t xml:space="preserve">and </w:t>
      </w:r>
      <w:r w:rsidR="0045732F" w:rsidRPr="005919D6">
        <w:rPr>
          <w:lang w:val="en-GB"/>
        </w:rPr>
        <w:t>–</w:t>
      </w:r>
      <w:r w:rsidR="00163552" w:rsidRPr="005919D6">
        <w:rPr>
          <w:lang w:val="en-GB"/>
        </w:rPr>
        <w:t>0.4</w:t>
      </w:r>
      <w:r w:rsidR="0045732F" w:rsidRPr="005919D6">
        <w:rPr>
          <w:lang w:val="en-GB"/>
        </w:rPr>
        <w:t xml:space="preserve"> and</w:t>
      </w:r>
      <w:r w:rsidR="00163552" w:rsidRPr="005919D6">
        <w:rPr>
          <w:lang w:val="en-GB"/>
        </w:rPr>
        <w:t xml:space="preserve"> </w:t>
      </w:r>
      <w:r w:rsidR="0045732F" w:rsidRPr="005919D6">
        <w:rPr>
          <w:lang w:val="en-GB"/>
        </w:rPr>
        <w:t>–</w:t>
      </w:r>
      <w:r w:rsidR="00163552" w:rsidRPr="005919D6">
        <w:rPr>
          <w:lang w:val="en-GB"/>
        </w:rPr>
        <w:t xml:space="preserve">1 </w:t>
      </w:r>
      <w:r w:rsidRPr="005919D6">
        <w:rPr>
          <w:lang w:val="en-GB"/>
        </w:rPr>
        <w:t>V vs</w:t>
      </w:r>
      <w:r w:rsidR="0045732F" w:rsidRPr="005919D6">
        <w:rPr>
          <w:lang w:val="en-GB"/>
        </w:rPr>
        <w:t>.</w:t>
      </w:r>
      <w:r w:rsidRPr="005919D6">
        <w:rPr>
          <w:lang w:val="en-GB"/>
        </w:rPr>
        <w:t xml:space="preserve"> RHE in the </w:t>
      </w:r>
      <w:r w:rsidR="00260E95" w:rsidRPr="005919D6">
        <w:rPr>
          <w:lang w:val="en-GB"/>
        </w:rPr>
        <w:t>gas-</w:t>
      </w:r>
      <w:r w:rsidRPr="005919D6">
        <w:rPr>
          <w:lang w:val="en-GB"/>
        </w:rPr>
        <w:t xml:space="preserve">phase system. </w:t>
      </w:r>
      <w:r w:rsidR="00EE2F4B" w:rsidRPr="005919D6">
        <w:rPr>
          <w:lang w:val="en-GB"/>
        </w:rPr>
        <w:t>This potential window</w:t>
      </w:r>
      <w:r w:rsidR="00FE6944" w:rsidRPr="005919D6">
        <w:rPr>
          <w:lang w:val="en-GB"/>
        </w:rPr>
        <w:t xml:space="preserve">, </w:t>
      </w:r>
      <w:r w:rsidR="007D0D16" w:rsidRPr="005919D6">
        <w:rPr>
          <w:lang w:val="en-GB"/>
        </w:rPr>
        <w:t>selected</w:t>
      </w:r>
      <w:r w:rsidR="00FE6944" w:rsidRPr="005919D6">
        <w:rPr>
          <w:lang w:val="en-GB"/>
        </w:rPr>
        <w:t xml:space="preserve"> </w:t>
      </w:r>
      <w:r w:rsidR="007D0D16" w:rsidRPr="005919D6">
        <w:rPr>
          <w:lang w:val="en-GB"/>
        </w:rPr>
        <w:t>after</w:t>
      </w:r>
      <w:r w:rsidR="00FE6944" w:rsidRPr="005919D6">
        <w:rPr>
          <w:lang w:val="en-GB"/>
        </w:rPr>
        <w:t xml:space="preserve"> the preliminary C</w:t>
      </w:r>
      <w:r w:rsidR="00D1694A" w:rsidRPr="005919D6">
        <w:rPr>
          <w:lang w:val="en-GB"/>
        </w:rPr>
        <w:t>V</w:t>
      </w:r>
      <w:r w:rsidR="00FE6944" w:rsidRPr="005919D6">
        <w:rPr>
          <w:vertAlign w:val="subscript"/>
          <w:lang w:val="en-GB"/>
        </w:rPr>
        <w:t>s</w:t>
      </w:r>
      <w:r w:rsidR="00FE6944" w:rsidRPr="005919D6">
        <w:rPr>
          <w:lang w:val="en-GB"/>
        </w:rPr>
        <w:t xml:space="preserve"> carried out in the two systems, </w:t>
      </w:r>
      <w:r w:rsidR="007D0D16" w:rsidRPr="005919D6">
        <w:rPr>
          <w:lang w:val="en-GB"/>
        </w:rPr>
        <w:t>allowed not to have too low or too high currents, with liquid quantification problems or excessive hydrogen formation</w:t>
      </w:r>
      <w:r w:rsidR="00FE6944" w:rsidRPr="005919D6">
        <w:rPr>
          <w:lang w:val="en-GB"/>
        </w:rPr>
        <w:t xml:space="preserve">. </w:t>
      </w:r>
      <w:r w:rsidRPr="005919D6">
        <w:rPr>
          <w:lang w:val="en-GB"/>
        </w:rPr>
        <w:t>The</w:t>
      </w:r>
      <w:r w:rsidR="0045732F" w:rsidRPr="005919D6">
        <w:rPr>
          <w:lang w:val="en-GB"/>
        </w:rPr>
        <w:t>se</w:t>
      </w:r>
      <w:r w:rsidRPr="005919D6">
        <w:rPr>
          <w:lang w:val="en-GB"/>
        </w:rPr>
        <w:t xml:space="preserve"> potentials </w:t>
      </w:r>
      <w:r w:rsidR="0045732F" w:rsidRPr="005919D6">
        <w:rPr>
          <w:lang w:val="en-GB"/>
        </w:rPr>
        <w:t xml:space="preserve">were </w:t>
      </w:r>
      <w:r w:rsidR="00FE6944" w:rsidRPr="005919D6">
        <w:rPr>
          <w:lang w:val="en-GB"/>
        </w:rPr>
        <w:t xml:space="preserve">also </w:t>
      </w:r>
      <w:r w:rsidRPr="005919D6">
        <w:rPr>
          <w:lang w:val="en-GB"/>
        </w:rPr>
        <w:t xml:space="preserve">chosen </w:t>
      </w:r>
      <w:r w:rsidR="0045732F" w:rsidRPr="005919D6">
        <w:rPr>
          <w:lang w:val="en-GB"/>
        </w:rPr>
        <w:t>in order to obtain the same current density</w:t>
      </w:r>
      <w:r w:rsidRPr="005919D6">
        <w:rPr>
          <w:lang w:val="en-GB"/>
        </w:rPr>
        <w:t xml:space="preserve"> in the two systems, due to the different cell geometries</w:t>
      </w:r>
      <w:r w:rsidR="0045732F" w:rsidRPr="005919D6">
        <w:rPr>
          <w:lang w:val="en-GB"/>
        </w:rPr>
        <w:t xml:space="preserve"> that lead to </w:t>
      </w:r>
      <w:r w:rsidR="00C272DE" w:rsidRPr="005919D6">
        <w:rPr>
          <w:lang w:val="en-GB"/>
        </w:rPr>
        <w:t>growing</w:t>
      </w:r>
      <w:r w:rsidR="0045732F" w:rsidRPr="005919D6">
        <w:rPr>
          <w:lang w:val="en-GB"/>
        </w:rPr>
        <w:t xml:space="preserve"> overpotential</w:t>
      </w:r>
      <w:r w:rsidR="00C272DE" w:rsidRPr="005919D6">
        <w:rPr>
          <w:lang w:val="en-GB"/>
        </w:rPr>
        <w:t xml:space="preserve"> by increasing the current</w:t>
      </w:r>
      <w:r w:rsidRPr="005919D6">
        <w:rPr>
          <w:lang w:val="en-GB"/>
        </w:rPr>
        <w:t>.</w:t>
      </w:r>
      <w:r w:rsidR="006136BE" w:rsidRPr="005919D6">
        <w:rPr>
          <w:lang w:val="en-GB"/>
        </w:rPr>
        <w:t xml:space="preserve"> The purpose of this work </w:t>
      </w:r>
      <w:r w:rsidR="000E55FE" w:rsidRPr="005919D6">
        <w:rPr>
          <w:lang w:val="en-GB"/>
        </w:rPr>
        <w:t>was</w:t>
      </w:r>
      <w:r w:rsidR="006136BE" w:rsidRPr="005919D6">
        <w:rPr>
          <w:lang w:val="en-GB"/>
        </w:rPr>
        <w:t xml:space="preserve"> not to investigate the performance at various potentials, but rather to compare the two systems under the most similar conditions.</w:t>
      </w:r>
      <w:r w:rsidRPr="005919D6">
        <w:rPr>
          <w:lang w:val="en-GB"/>
        </w:rPr>
        <w:t xml:space="preserve"> </w:t>
      </w:r>
      <w:r w:rsidR="0045732F" w:rsidRPr="005919D6">
        <w:rPr>
          <w:lang w:val="en-GB"/>
        </w:rPr>
        <w:t xml:space="preserve">Figure 3 </w:t>
      </w:r>
      <w:r w:rsidR="00984685" w:rsidRPr="005919D6">
        <w:rPr>
          <w:lang w:val="en-GB"/>
        </w:rPr>
        <w:t xml:space="preserve">compares the two reaction configurations showing </w:t>
      </w:r>
      <w:r w:rsidR="0045732F" w:rsidRPr="005919D6">
        <w:rPr>
          <w:lang w:val="en-GB"/>
        </w:rPr>
        <w:t>t</w:t>
      </w:r>
      <w:r w:rsidR="00163552" w:rsidRPr="005919D6">
        <w:rPr>
          <w:lang w:val="en-GB"/>
        </w:rPr>
        <w:t>he Faradaic efficiencies</w:t>
      </w:r>
      <w:r w:rsidR="003220DC" w:rsidRPr="005919D6">
        <w:rPr>
          <w:lang w:val="en-GB"/>
        </w:rPr>
        <w:t xml:space="preserve"> (FE)</w:t>
      </w:r>
      <w:r w:rsidR="00163552" w:rsidRPr="005919D6">
        <w:rPr>
          <w:lang w:val="en-GB"/>
        </w:rPr>
        <w:t xml:space="preserve"> </w:t>
      </w:r>
      <w:r w:rsidR="0045732F" w:rsidRPr="005919D6">
        <w:rPr>
          <w:lang w:val="en-GB"/>
        </w:rPr>
        <w:t>to</w:t>
      </w:r>
      <w:r w:rsidR="003220DC" w:rsidRPr="005919D6">
        <w:rPr>
          <w:lang w:val="en-GB"/>
        </w:rPr>
        <w:t xml:space="preserve"> cumulative</w:t>
      </w:r>
      <w:r w:rsidR="00163552" w:rsidRPr="005919D6">
        <w:rPr>
          <w:lang w:val="en-GB"/>
        </w:rPr>
        <w:t xml:space="preserve"> C</w:t>
      </w:r>
      <w:r w:rsidR="00163552" w:rsidRPr="005919D6">
        <w:rPr>
          <w:vertAlign w:val="subscript"/>
          <w:lang w:val="en-GB"/>
        </w:rPr>
        <w:t>1</w:t>
      </w:r>
      <w:r w:rsidR="00163552" w:rsidRPr="005919D6">
        <w:rPr>
          <w:lang w:val="en-GB"/>
        </w:rPr>
        <w:t xml:space="preserve"> and </w:t>
      </w:r>
      <w:r w:rsidR="00166B36" w:rsidRPr="005919D6">
        <w:rPr>
          <w:lang w:val="en-GB"/>
        </w:rPr>
        <w:t>&gt;</w:t>
      </w:r>
      <w:r w:rsidR="00163552" w:rsidRPr="005919D6">
        <w:rPr>
          <w:lang w:val="en-GB"/>
        </w:rPr>
        <w:t>C</w:t>
      </w:r>
      <w:r w:rsidR="00847D4A" w:rsidRPr="005919D6">
        <w:rPr>
          <w:vertAlign w:val="subscript"/>
          <w:lang w:val="en-GB"/>
        </w:rPr>
        <w:t>1</w:t>
      </w:r>
      <w:r w:rsidR="00163552" w:rsidRPr="005919D6">
        <w:rPr>
          <w:lang w:val="en-GB"/>
        </w:rPr>
        <w:t xml:space="preserve"> products plotted versus </w:t>
      </w:r>
      <w:r w:rsidR="003220DC" w:rsidRPr="005919D6">
        <w:rPr>
          <w:lang w:val="en-GB"/>
        </w:rPr>
        <w:t>the current density</w:t>
      </w:r>
      <w:r w:rsidR="003A3945" w:rsidRPr="005919D6">
        <w:rPr>
          <w:lang w:val="en-GB"/>
        </w:rPr>
        <w:t>.</w:t>
      </w:r>
    </w:p>
    <w:p w14:paraId="276828FA" w14:textId="08C9679D" w:rsidR="00B91942" w:rsidRPr="00527A2F" w:rsidRDefault="00B91942" w:rsidP="00290910">
      <w:pPr>
        <w:pStyle w:val="CETBodytext"/>
        <w:rPr>
          <w:lang w:val="en-GB"/>
        </w:rPr>
      </w:pPr>
      <w:r w:rsidRPr="005919D6">
        <w:rPr>
          <w:lang w:val="en-GB"/>
        </w:rPr>
        <w:t>All the tests reported here were repeated three times, with an analytical error within 5%.</w:t>
      </w:r>
    </w:p>
    <w:p w14:paraId="5E3875CD" w14:textId="2E73FAF6" w:rsidR="007E6370" w:rsidRPr="00527A2F" w:rsidRDefault="007E6370" w:rsidP="00290910">
      <w:pPr>
        <w:pStyle w:val="CETBodytext"/>
        <w:rPr>
          <w:lang w:val="en-GB"/>
        </w:rPr>
      </w:pPr>
    </w:p>
    <w:p w14:paraId="332E5B79" w14:textId="173D8715" w:rsidR="007E6370" w:rsidRPr="00527A2F" w:rsidRDefault="00B27D7D" w:rsidP="0037718A">
      <w:pPr>
        <w:pStyle w:val="CETBodytext"/>
        <w:tabs>
          <w:tab w:val="clear" w:pos="7100"/>
        </w:tabs>
        <w:ind w:left="720"/>
        <w:rPr>
          <w:lang w:val="en-GB"/>
        </w:rPr>
      </w:pPr>
      <w:r w:rsidRPr="00527A2F">
        <w:rPr>
          <w:noProof/>
          <w:lang w:val="it-IT" w:eastAsia="it-IT"/>
        </w:rPr>
        <w:drawing>
          <wp:inline distT="0" distB="0" distL="0" distR="0" wp14:anchorId="1801EAC7" wp14:editId="3821BA45">
            <wp:extent cx="1965533" cy="1585865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33" cy="158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6370" w:rsidRPr="00527A2F">
        <w:rPr>
          <w:noProof/>
          <w:lang w:val="it-IT" w:eastAsia="it-IT"/>
        </w:rPr>
        <w:drawing>
          <wp:inline distT="0" distB="0" distL="0" distR="0" wp14:anchorId="593808D4" wp14:editId="690E9AA7">
            <wp:extent cx="1939290" cy="1574292"/>
            <wp:effectExtent l="0" t="0" r="3810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574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E85D17" w14:textId="4C1212BF" w:rsidR="008B59BD" w:rsidRPr="00527A2F" w:rsidRDefault="008B59BD" w:rsidP="00EE55AD">
      <w:pPr>
        <w:pStyle w:val="CETCaption"/>
      </w:pPr>
      <w:r w:rsidRPr="00527A2F">
        <w:t xml:space="preserve">Figure </w:t>
      </w:r>
      <w:r w:rsidR="003305C8" w:rsidRPr="00527A2F">
        <w:t>3</w:t>
      </w:r>
      <w:r w:rsidRPr="00527A2F">
        <w:t xml:space="preserve">: </w:t>
      </w:r>
      <w:r w:rsidR="00414A27" w:rsidRPr="00527A2F">
        <w:t xml:space="preserve">Faradaic efficiency </w:t>
      </w:r>
      <w:r w:rsidR="000228C5" w:rsidRPr="00527A2F">
        <w:t xml:space="preserve">to </w:t>
      </w:r>
      <w:r w:rsidR="00414A27" w:rsidRPr="00527A2F">
        <w:t>C</w:t>
      </w:r>
      <w:r w:rsidR="00414A27" w:rsidRPr="00527A2F">
        <w:rPr>
          <w:vertAlign w:val="subscript"/>
        </w:rPr>
        <w:t>1</w:t>
      </w:r>
      <w:r w:rsidR="00414A27" w:rsidRPr="00527A2F">
        <w:t xml:space="preserve"> and </w:t>
      </w:r>
      <w:r w:rsidR="00166B36" w:rsidRPr="00527A2F">
        <w:t>&gt;</w:t>
      </w:r>
      <w:r w:rsidR="00414A27" w:rsidRPr="00527A2F">
        <w:t>C</w:t>
      </w:r>
      <w:r w:rsidR="00FD6CB8" w:rsidRPr="00527A2F">
        <w:rPr>
          <w:vertAlign w:val="subscript"/>
        </w:rPr>
        <w:t>1</w:t>
      </w:r>
      <w:r w:rsidR="00414A27" w:rsidRPr="00527A2F">
        <w:t xml:space="preserve"> products</w:t>
      </w:r>
      <w:r w:rsidRPr="00527A2F">
        <w:t xml:space="preserve"> </w:t>
      </w:r>
      <w:r w:rsidR="00414A27" w:rsidRPr="00527A2F">
        <w:t>at different current density</w:t>
      </w:r>
      <w:r w:rsidRPr="00527A2F">
        <w:t xml:space="preserve"> of a) </w:t>
      </w:r>
      <w:r w:rsidR="000228C5" w:rsidRPr="00527A2F">
        <w:t>liquid</w:t>
      </w:r>
      <w:r w:rsidRPr="00527A2F">
        <w:t xml:space="preserve">-phase and b) </w:t>
      </w:r>
      <w:r w:rsidR="000228C5" w:rsidRPr="00527A2F">
        <w:t>gas</w:t>
      </w:r>
      <w:r w:rsidRPr="00527A2F">
        <w:t>-phase systems.</w:t>
      </w:r>
    </w:p>
    <w:p w14:paraId="0A8D66FC" w14:textId="287D23BA" w:rsidR="00BD737C" w:rsidRPr="00527A2F" w:rsidRDefault="00F846A5" w:rsidP="00290910">
      <w:pPr>
        <w:pStyle w:val="CETBodytext"/>
        <w:rPr>
          <w:lang w:val="en-GB"/>
        </w:rPr>
      </w:pPr>
      <w:r w:rsidRPr="00527A2F">
        <w:rPr>
          <w:lang w:val="en-GB"/>
        </w:rPr>
        <w:t>The results showed that</w:t>
      </w:r>
      <w:r w:rsidR="00EC58BA" w:rsidRPr="00527A2F">
        <w:rPr>
          <w:lang w:val="en-GB"/>
        </w:rPr>
        <w:t>,</w:t>
      </w:r>
      <w:r w:rsidRPr="00527A2F">
        <w:rPr>
          <w:lang w:val="en-GB"/>
        </w:rPr>
        <w:t xml:space="preserve"> while in the liquid</w:t>
      </w:r>
      <w:r w:rsidR="00F307D1" w:rsidRPr="00527A2F">
        <w:rPr>
          <w:lang w:val="en-GB"/>
        </w:rPr>
        <w:t xml:space="preserve"> </w:t>
      </w:r>
      <w:r w:rsidRPr="00527A2F">
        <w:rPr>
          <w:lang w:val="en-GB"/>
        </w:rPr>
        <w:t>phase the main products obtained were formic acid and carbon monoxide</w:t>
      </w:r>
      <w:r w:rsidR="00DD5A9F" w:rsidRPr="00527A2F">
        <w:rPr>
          <w:lang w:val="en-GB"/>
        </w:rPr>
        <w:t xml:space="preserve"> (C1 products)</w:t>
      </w:r>
      <w:r w:rsidRPr="00527A2F">
        <w:rPr>
          <w:lang w:val="en-GB"/>
        </w:rPr>
        <w:t>, in the gas</w:t>
      </w:r>
      <w:r w:rsidR="00F307D1" w:rsidRPr="00527A2F">
        <w:rPr>
          <w:lang w:val="en-GB"/>
        </w:rPr>
        <w:t xml:space="preserve"> </w:t>
      </w:r>
      <w:r w:rsidRPr="00527A2F">
        <w:rPr>
          <w:lang w:val="en-GB"/>
        </w:rPr>
        <w:t xml:space="preserve">phase the distribution of the products </w:t>
      </w:r>
      <w:r w:rsidR="00F307D1" w:rsidRPr="00527A2F">
        <w:rPr>
          <w:lang w:val="en-GB"/>
        </w:rPr>
        <w:t xml:space="preserve">was strongly modified, </w:t>
      </w:r>
      <w:r w:rsidRPr="00527A2F">
        <w:rPr>
          <w:lang w:val="en-GB"/>
        </w:rPr>
        <w:t xml:space="preserve">leading to the formation of </w:t>
      </w:r>
      <w:r w:rsidR="00166B36" w:rsidRPr="00527A2F">
        <w:rPr>
          <w:lang w:val="en-GB"/>
        </w:rPr>
        <w:t>&gt;</w:t>
      </w:r>
      <w:r w:rsidRPr="00527A2F">
        <w:rPr>
          <w:lang w:val="en-GB"/>
        </w:rPr>
        <w:t>C</w:t>
      </w:r>
      <w:r w:rsidR="00166B36" w:rsidRPr="00527A2F">
        <w:rPr>
          <w:vertAlign w:val="subscript"/>
          <w:lang w:val="en-GB"/>
        </w:rPr>
        <w:t>1</w:t>
      </w:r>
      <w:r w:rsidRPr="00527A2F">
        <w:rPr>
          <w:vertAlign w:val="subscript"/>
          <w:lang w:val="en-GB"/>
        </w:rPr>
        <w:t xml:space="preserve"> </w:t>
      </w:r>
      <w:r w:rsidRPr="00527A2F">
        <w:rPr>
          <w:lang w:val="en-GB"/>
        </w:rPr>
        <w:t>carbon compounds.</w:t>
      </w:r>
      <w:r w:rsidR="00F307D1" w:rsidRPr="00527A2F">
        <w:rPr>
          <w:lang w:val="en-GB"/>
        </w:rPr>
        <w:t xml:space="preserve"> More in detail, i</w:t>
      </w:r>
      <w:r w:rsidR="00744A41" w:rsidRPr="00527A2F">
        <w:rPr>
          <w:lang w:val="en-GB"/>
        </w:rPr>
        <w:t>n gas</w:t>
      </w:r>
      <w:r w:rsidR="00F307D1" w:rsidRPr="00527A2F">
        <w:rPr>
          <w:lang w:val="en-GB"/>
        </w:rPr>
        <w:t xml:space="preserve"> </w:t>
      </w:r>
      <w:r w:rsidR="00744A41" w:rsidRPr="00527A2F">
        <w:rPr>
          <w:lang w:val="en-GB"/>
        </w:rPr>
        <w:t xml:space="preserve">phase, </w:t>
      </w:r>
      <w:r w:rsidR="00AD7A81" w:rsidRPr="00527A2F">
        <w:rPr>
          <w:lang w:val="en-GB"/>
        </w:rPr>
        <w:t>carbon monoxide, acetaldehyde, ethanol and traces of propionaldehyde, butanone and ace</w:t>
      </w:r>
      <w:r w:rsidR="004B3064" w:rsidRPr="00527A2F">
        <w:rPr>
          <w:lang w:val="en-GB"/>
        </w:rPr>
        <w:t xml:space="preserve">tic acid, </w:t>
      </w:r>
      <w:r w:rsidR="00F307D1" w:rsidRPr="00527A2F">
        <w:rPr>
          <w:lang w:val="en-GB"/>
        </w:rPr>
        <w:t>were detected. No &gt;C1 products were found in</w:t>
      </w:r>
      <w:r w:rsidR="004B3064" w:rsidRPr="00527A2F">
        <w:rPr>
          <w:lang w:val="en-GB"/>
        </w:rPr>
        <w:t xml:space="preserve"> the liquid-p</w:t>
      </w:r>
      <w:r w:rsidR="00AD7A81" w:rsidRPr="00527A2F">
        <w:rPr>
          <w:lang w:val="en-GB"/>
        </w:rPr>
        <w:t xml:space="preserve">hase </w:t>
      </w:r>
      <w:r w:rsidR="00F307D1" w:rsidRPr="00527A2F">
        <w:rPr>
          <w:lang w:val="en-GB"/>
        </w:rPr>
        <w:t>tests</w:t>
      </w:r>
      <w:r w:rsidR="004A6132" w:rsidRPr="00527A2F">
        <w:rPr>
          <w:lang w:val="en-GB"/>
        </w:rPr>
        <w:t>. The</w:t>
      </w:r>
      <w:r w:rsidR="00F307D1" w:rsidRPr="00527A2F">
        <w:rPr>
          <w:lang w:val="en-GB"/>
        </w:rPr>
        <w:t xml:space="preserve"> values of</w:t>
      </w:r>
      <w:r w:rsidR="004A6132" w:rsidRPr="00527A2F">
        <w:rPr>
          <w:lang w:val="en-GB"/>
        </w:rPr>
        <w:t xml:space="preserve"> carbon selectivity for both systems </w:t>
      </w:r>
      <w:r w:rsidR="00DD5A9F" w:rsidRPr="00527A2F">
        <w:rPr>
          <w:lang w:val="en-GB"/>
        </w:rPr>
        <w:t>at the two</w:t>
      </w:r>
      <w:r w:rsidR="004A6132" w:rsidRPr="00527A2F">
        <w:rPr>
          <w:lang w:val="en-GB"/>
        </w:rPr>
        <w:t xml:space="preserve"> </w:t>
      </w:r>
      <w:r w:rsidR="00FF19E9" w:rsidRPr="00527A2F">
        <w:rPr>
          <w:lang w:val="en-GB"/>
        </w:rPr>
        <w:t xml:space="preserve">applied </w:t>
      </w:r>
      <w:r w:rsidR="004A6132" w:rsidRPr="00527A2F">
        <w:rPr>
          <w:lang w:val="en-GB"/>
        </w:rPr>
        <w:t>current densit</w:t>
      </w:r>
      <w:r w:rsidR="00DD5A9F" w:rsidRPr="00527A2F">
        <w:rPr>
          <w:lang w:val="en-GB"/>
        </w:rPr>
        <w:t>ies</w:t>
      </w:r>
      <w:r w:rsidR="004A6132" w:rsidRPr="00527A2F">
        <w:rPr>
          <w:lang w:val="en-GB"/>
        </w:rPr>
        <w:t xml:space="preserve"> </w:t>
      </w:r>
      <w:r w:rsidR="00F307D1" w:rsidRPr="00527A2F">
        <w:rPr>
          <w:lang w:val="en-GB"/>
        </w:rPr>
        <w:t>(</w:t>
      </w:r>
      <w:r w:rsidR="00D179F7" w:rsidRPr="00527A2F">
        <w:rPr>
          <w:lang w:val="en-GB"/>
        </w:rPr>
        <w:t>2</w:t>
      </w:r>
      <w:r w:rsidR="00F307D1" w:rsidRPr="00527A2F">
        <w:rPr>
          <w:lang w:val="en-GB"/>
        </w:rPr>
        <w:t xml:space="preserve"> </w:t>
      </w:r>
      <w:r w:rsidR="00064D2C" w:rsidRPr="00527A2F">
        <w:rPr>
          <w:lang w:val="en-GB"/>
        </w:rPr>
        <w:t>and</w:t>
      </w:r>
      <w:r w:rsidR="00F307D1" w:rsidRPr="00527A2F">
        <w:rPr>
          <w:lang w:val="en-GB"/>
        </w:rPr>
        <w:t xml:space="preserve"> </w:t>
      </w:r>
      <w:r w:rsidR="00D179F7" w:rsidRPr="00527A2F">
        <w:rPr>
          <w:lang w:val="en-GB"/>
        </w:rPr>
        <w:t>5</w:t>
      </w:r>
      <w:r w:rsidR="00F307D1" w:rsidRPr="00527A2F">
        <w:rPr>
          <w:lang w:val="en-GB"/>
        </w:rPr>
        <w:t xml:space="preserve"> mA cm</w:t>
      </w:r>
      <w:r w:rsidR="00F307D1" w:rsidRPr="00527A2F">
        <w:rPr>
          <w:vertAlign w:val="superscript"/>
          <w:lang w:val="en-GB"/>
        </w:rPr>
        <w:t>-2</w:t>
      </w:r>
      <w:r w:rsidR="00F307D1" w:rsidRPr="00527A2F">
        <w:rPr>
          <w:lang w:val="en-GB"/>
        </w:rPr>
        <w:t>)</w:t>
      </w:r>
      <w:r w:rsidR="004A6132" w:rsidRPr="00527A2F">
        <w:rPr>
          <w:lang w:val="en-GB"/>
        </w:rPr>
        <w:t xml:space="preserve"> </w:t>
      </w:r>
      <w:r w:rsidR="00F307D1" w:rsidRPr="00527A2F">
        <w:rPr>
          <w:lang w:val="en-GB"/>
        </w:rPr>
        <w:t xml:space="preserve">are </w:t>
      </w:r>
      <w:r w:rsidR="004A6132" w:rsidRPr="00527A2F">
        <w:rPr>
          <w:lang w:val="en-GB"/>
        </w:rPr>
        <w:t>reported in Table 1</w:t>
      </w:r>
      <w:r w:rsidR="007601F7" w:rsidRPr="00527A2F">
        <w:rPr>
          <w:lang w:val="en-GB"/>
        </w:rPr>
        <w:t>.</w:t>
      </w:r>
    </w:p>
    <w:p w14:paraId="60B1306E" w14:textId="3C5131BC" w:rsidR="00BD737C" w:rsidRPr="00527A2F" w:rsidRDefault="00BD737C" w:rsidP="00EE55AD">
      <w:pPr>
        <w:pStyle w:val="CETTabletitle"/>
      </w:pPr>
      <w:r w:rsidRPr="00527A2F">
        <w:t xml:space="preserve">Table 1: </w:t>
      </w:r>
      <w:r w:rsidR="00FF19E9" w:rsidRPr="00527A2F">
        <w:t>Carbon selectivity</w:t>
      </w:r>
      <w:r w:rsidR="00530E1F" w:rsidRPr="00527A2F">
        <w:t xml:space="preserve"> (</w:t>
      </w:r>
      <w:proofErr w:type="spellStart"/>
      <w:r w:rsidR="00530E1F" w:rsidRPr="00527A2F">
        <w:t>C.sel</w:t>
      </w:r>
      <w:proofErr w:type="spellEnd"/>
      <w:r w:rsidR="004811D7" w:rsidRPr="00527A2F">
        <w:t>., %</w:t>
      </w:r>
      <w:r w:rsidR="00530E1F" w:rsidRPr="00527A2F">
        <w:t>)</w:t>
      </w:r>
      <w:r w:rsidR="00FF19E9" w:rsidRPr="00527A2F">
        <w:t xml:space="preserve"> </w:t>
      </w:r>
      <w:r w:rsidRPr="00527A2F">
        <w:t xml:space="preserve">obtained </w:t>
      </w:r>
      <w:r w:rsidR="00F307D1" w:rsidRPr="00527A2F">
        <w:t xml:space="preserve">from </w:t>
      </w:r>
      <w:r w:rsidRPr="00527A2F">
        <w:t>gas</w:t>
      </w:r>
      <w:r w:rsidR="00894C4B" w:rsidRPr="00527A2F">
        <w:t xml:space="preserve">-phase and liquid-phase </w:t>
      </w:r>
      <w:r w:rsidR="00F307D1" w:rsidRPr="00527A2F">
        <w:t xml:space="preserve">tests </w:t>
      </w:r>
      <w:r w:rsidR="00894C4B" w:rsidRPr="00527A2F">
        <w:t xml:space="preserve">at </w:t>
      </w:r>
      <w:r w:rsidR="00530E1F" w:rsidRPr="00527A2F">
        <w:t xml:space="preserve">2 and </w:t>
      </w:r>
      <w:r w:rsidR="000735FF" w:rsidRPr="00527A2F">
        <w:t>5 mA cm</w:t>
      </w:r>
      <w:r w:rsidR="000735FF" w:rsidRPr="00527A2F">
        <w:rPr>
          <w:vertAlign w:val="superscript"/>
        </w:rPr>
        <w:t>-2</w:t>
      </w:r>
      <w:r w:rsidR="00894C4B" w:rsidRPr="007554BD">
        <w:t xml:space="preserve"> </w:t>
      </w:r>
      <w:r w:rsidR="00527A2F" w:rsidRPr="007554BD">
        <w:t xml:space="preserve">current </w:t>
      </w:r>
      <w:r w:rsidR="00894C4B" w:rsidRPr="00527A2F">
        <w:t>density us</w:t>
      </w:r>
      <w:r w:rsidR="00F307D1" w:rsidRPr="00527A2F">
        <w:t xml:space="preserve">ing the same </w:t>
      </w:r>
      <w:proofErr w:type="spellStart"/>
      <w:r w:rsidR="00F307D1" w:rsidRPr="00527A2F">
        <w:t>CuO</w:t>
      </w:r>
      <w:proofErr w:type="spellEnd"/>
      <w:r w:rsidR="00F307D1" w:rsidRPr="00527A2F">
        <w:t>/GDL electrocatalyst.</w:t>
      </w:r>
    </w:p>
    <w:tbl>
      <w:tblPr>
        <w:tblW w:w="7533" w:type="dxa"/>
        <w:jc w:val="center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"/>
        <w:gridCol w:w="1827"/>
        <w:gridCol w:w="992"/>
        <w:gridCol w:w="1134"/>
        <w:gridCol w:w="1560"/>
        <w:gridCol w:w="992"/>
        <w:gridCol w:w="992"/>
        <w:gridCol w:w="20"/>
      </w:tblGrid>
      <w:tr w:rsidR="00A36F0D" w:rsidRPr="00527A2F" w14:paraId="5207C48C" w14:textId="77777777" w:rsidTr="00E63FCE">
        <w:trPr>
          <w:jc w:val="center"/>
        </w:trPr>
        <w:tc>
          <w:tcPr>
            <w:tcW w:w="1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13E3D52" w14:textId="77777777" w:rsidR="00A36F0D" w:rsidRPr="00527A2F" w:rsidRDefault="00A36F0D" w:rsidP="00EE1873">
            <w:pPr>
              <w:pStyle w:val="CETBodytext"/>
              <w:rPr>
                <w:szCs w:val="18"/>
                <w:lang w:val="en-GB"/>
              </w:rPr>
            </w:pPr>
          </w:p>
        </w:tc>
        <w:tc>
          <w:tcPr>
            <w:tcW w:w="182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BC3351A" w14:textId="77777777" w:rsidR="00A36F0D" w:rsidRPr="00527A2F" w:rsidRDefault="00A36F0D" w:rsidP="00EE1873">
            <w:pPr>
              <w:pStyle w:val="CETBodytext"/>
              <w:jc w:val="center"/>
              <w:rPr>
                <w:szCs w:val="18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AD8F6C6" w14:textId="77777777" w:rsidR="00A36F0D" w:rsidRPr="00527A2F" w:rsidRDefault="00A36F0D" w:rsidP="00EE1873">
            <w:pPr>
              <w:pStyle w:val="CETBodytext"/>
              <w:jc w:val="center"/>
              <w:rPr>
                <w:lang w:val="en-GB"/>
              </w:rPr>
            </w:pPr>
            <w:r w:rsidRPr="00527A2F">
              <w:rPr>
                <w:szCs w:val="18"/>
                <w:lang w:val="en-GB"/>
              </w:rPr>
              <w:t>Gas-phase</w:t>
            </w:r>
          </w:p>
        </w:tc>
        <w:tc>
          <w:tcPr>
            <w:tcW w:w="3544" w:type="dxa"/>
            <w:gridSpan w:val="3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07FBE15" w14:textId="77777777" w:rsidR="00A36F0D" w:rsidRPr="00527A2F" w:rsidRDefault="00A36F0D" w:rsidP="00EE1873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27A2F">
              <w:rPr>
                <w:szCs w:val="18"/>
                <w:lang w:val="en-GB"/>
              </w:rPr>
              <w:t>Liquid-phase</w:t>
            </w:r>
          </w:p>
        </w:tc>
        <w:tc>
          <w:tcPr>
            <w:tcW w:w="2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FABEF4B" w14:textId="77777777" w:rsidR="00A36F0D" w:rsidRPr="00527A2F" w:rsidRDefault="00A36F0D" w:rsidP="00EE187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A36F0D" w:rsidRPr="00527A2F" w14:paraId="4793BD52" w14:textId="77777777" w:rsidTr="00E63FCE">
        <w:trPr>
          <w:gridAfter w:val="1"/>
          <w:wAfter w:w="20" w:type="dxa"/>
          <w:trHeight w:val="263"/>
          <w:jc w:val="center"/>
        </w:trPr>
        <w:tc>
          <w:tcPr>
            <w:tcW w:w="1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F0C0076" w14:textId="77777777" w:rsidR="00A36F0D" w:rsidRPr="00527A2F" w:rsidRDefault="00A36F0D" w:rsidP="00EE1873">
            <w:pPr>
              <w:pStyle w:val="CETBodytext"/>
              <w:rPr>
                <w:szCs w:val="18"/>
                <w:lang w:val="en-GB"/>
              </w:rPr>
            </w:pPr>
          </w:p>
        </w:tc>
        <w:tc>
          <w:tcPr>
            <w:tcW w:w="182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5A7A5AEC" w14:textId="77777777" w:rsidR="00A36F0D" w:rsidRPr="00527A2F" w:rsidRDefault="00A36F0D" w:rsidP="00EE1873">
            <w:pPr>
              <w:pStyle w:val="CETBodytext"/>
              <w:jc w:val="center"/>
              <w:rPr>
                <w:szCs w:val="18"/>
                <w:lang w:val="en-GB"/>
              </w:rPr>
            </w:pPr>
            <w:r w:rsidRPr="00527A2F">
              <w:rPr>
                <w:szCs w:val="18"/>
                <w:lang w:val="en-GB"/>
              </w:rPr>
              <w:t>Products</w:t>
            </w:r>
          </w:p>
        </w:tc>
        <w:tc>
          <w:tcPr>
            <w:tcW w:w="99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2FF0872" w14:textId="77777777" w:rsidR="00A36F0D" w:rsidRPr="00527A2F" w:rsidRDefault="00A36F0D" w:rsidP="00EE1873">
            <w:pPr>
              <w:pStyle w:val="CETBodytext"/>
              <w:tabs>
                <w:tab w:val="left" w:pos="2835"/>
              </w:tabs>
              <w:jc w:val="center"/>
              <w:rPr>
                <w:b/>
                <w:bCs/>
                <w:szCs w:val="18"/>
                <w:lang w:val="en-GB"/>
              </w:rPr>
            </w:pPr>
            <w:proofErr w:type="spellStart"/>
            <w:r w:rsidRPr="00527A2F">
              <w:rPr>
                <w:b/>
                <w:bCs/>
                <w:szCs w:val="18"/>
                <w:lang w:val="en-GB"/>
              </w:rPr>
              <w:t>C.sel</w:t>
            </w:r>
            <w:proofErr w:type="spellEnd"/>
            <w:r w:rsidRPr="00527A2F">
              <w:rPr>
                <w:b/>
                <w:bCs/>
                <w:szCs w:val="18"/>
                <w:lang w:val="en-GB"/>
              </w:rPr>
              <w:t>., %</w:t>
            </w:r>
          </w:p>
          <w:p w14:paraId="2CF3C8CB" w14:textId="77777777" w:rsidR="00A36F0D" w:rsidRPr="00527A2F" w:rsidRDefault="00A36F0D" w:rsidP="00EE1873">
            <w:pPr>
              <w:pStyle w:val="CETBodytext"/>
              <w:jc w:val="center"/>
              <w:rPr>
                <w:szCs w:val="18"/>
                <w:lang w:val="en-GB"/>
              </w:rPr>
            </w:pPr>
            <w:r w:rsidRPr="00527A2F">
              <w:rPr>
                <w:b/>
                <w:bCs/>
                <w:szCs w:val="14"/>
                <w:lang w:val="en-GB"/>
              </w:rPr>
              <w:t>2 mA cm</w:t>
            </w:r>
            <w:r w:rsidRPr="00527A2F">
              <w:rPr>
                <w:b/>
                <w:bCs/>
                <w:szCs w:val="14"/>
                <w:vertAlign w:val="superscript"/>
                <w:lang w:val="en-GB"/>
              </w:rPr>
              <w:t>-2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1F6AE33F" w14:textId="77777777" w:rsidR="00A36F0D" w:rsidRPr="00527A2F" w:rsidRDefault="00A36F0D" w:rsidP="00EE1873">
            <w:pPr>
              <w:pStyle w:val="CETBodytext"/>
              <w:tabs>
                <w:tab w:val="left" w:pos="2835"/>
              </w:tabs>
              <w:jc w:val="center"/>
              <w:rPr>
                <w:b/>
                <w:bCs/>
                <w:szCs w:val="18"/>
                <w:lang w:val="en-GB"/>
              </w:rPr>
            </w:pPr>
            <w:proofErr w:type="spellStart"/>
            <w:r w:rsidRPr="00527A2F">
              <w:rPr>
                <w:b/>
                <w:bCs/>
                <w:szCs w:val="18"/>
                <w:lang w:val="en-GB"/>
              </w:rPr>
              <w:t>C.sel</w:t>
            </w:r>
            <w:proofErr w:type="spellEnd"/>
            <w:r w:rsidRPr="00527A2F">
              <w:rPr>
                <w:b/>
                <w:bCs/>
                <w:szCs w:val="18"/>
                <w:lang w:val="en-GB"/>
              </w:rPr>
              <w:t>., %</w:t>
            </w:r>
          </w:p>
          <w:p w14:paraId="629CB702" w14:textId="77777777" w:rsidR="00A36F0D" w:rsidRPr="00527A2F" w:rsidRDefault="00A36F0D" w:rsidP="00EE1873">
            <w:pPr>
              <w:pStyle w:val="CETBodytext"/>
              <w:jc w:val="center"/>
              <w:rPr>
                <w:szCs w:val="18"/>
                <w:lang w:val="en-GB"/>
              </w:rPr>
            </w:pPr>
            <w:r w:rsidRPr="00527A2F">
              <w:rPr>
                <w:b/>
                <w:bCs/>
                <w:szCs w:val="14"/>
                <w:lang w:val="en-GB"/>
              </w:rPr>
              <w:t>5 mA cm</w:t>
            </w:r>
            <w:r w:rsidRPr="00527A2F">
              <w:rPr>
                <w:b/>
                <w:bCs/>
                <w:szCs w:val="14"/>
                <w:vertAlign w:val="superscript"/>
                <w:lang w:val="en-GB"/>
              </w:rPr>
              <w:t>-2</w:t>
            </w:r>
          </w:p>
        </w:tc>
        <w:tc>
          <w:tcPr>
            <w:tcW w:w="156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3125C0BD" w14:textId="77777777" w:rsidR="00A36F0D" w:rsidRPr="00527A2F" w:rsidRDefault="00A36F0D" w:rsidP="00EE1873">
            <w:pPr>
              <w:pStyle w:val="CETBodytext"/>
              <w:jc w:val="center"/>
              <w:rPr>
                <w:szCs w:val="18"/>
                <w:lang w:val="en-GB"/>
              </w:rPr>
            </w:pPr>
            <w:r w:rsidRPr="00527A2F">
              <w:rPr>
                <w:szCs w:val="18"/>
                <w:lang w:val="en-GB"/>
              </w:rPr>
              <w:t>Products</w:t>
            </w:r>
          </w:p>
        </w:tc>
        <w:tc>
          <w:tcPr>
            <w:tcW w:w="99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105FD38D" w14:textId="77777777" w:rsidR="00A36F0D" w:rsidRPr="00527A2F" w:rsidRDefault="00A36F0D" w:rsidP="00EE1873">
            <w:pPr>
              <w:pStyle w:val="CETBodytext"/>
              <w:tabs>
                <w:tab w:val="left" w:pos="2835"/>
              </w:tabs>
              <w:jc w:val="center"/>
              <w:rPr>
                <w:b/>
                <w:bCs/>
                <w:szCs w:val="18"/>
                <w:lang w:val="en-GB"/>
              </w:rPr>
            </w:pPr>
            <w:proofErr w:type="spellStart"/>
            <w:r w:rsidRPr="00527A2F">
              <w:rPr>
                <w:b/>
                <w:bCs/>
                <w:szCs w:val="18"/>
                <w:lang w:val="en-GB"/>
              </w:rPr>
              <w:t>C.sel</w:t>
            </w:r>
            <w:proofErr w:type="spellEnd"/>
            <w:r w:rsidRPr="00527A2F">
              <w:rPr>
                <w:b/>
                <w:bCs/>
                <w:szCs w:val="18"/>
                <w:lang w:val="en-GB"/>
              </w:rPr>
              <w:t>., %</w:t>
            </w:r>
          </w:p>
          <w:p w14:paraId="4743873D" w14:textId="77777777" w:rsidR="00A36F0D" w:rsidRPr="00527A2F" w:rsidRDefault="00A36F0D" w:rsidP="00EE1873">
            <w:pPr>
              <w:pStyle w:val="CETBodytext"/>
              <w:jc w:val="center"/>
              <w:rPr>
                <w:szCs w:val="18"/>
                <w:lang w:val="en-GB"/>
              </w:rPr>
            </w:pPr>
            <w:r w:rsidRPr="00527A2F">
              <w:rPr>
                <w:b/>
                <w:bCs/>
                <w:szCs w:val="14"/>
                <w:lang w:val="en-GB"/>
              </w:rPr>
              <w:t>2 mA cm</w:t>
            </w:r>
            <w:r w:rsidRPr="00527A2F">
              <w:rPr>
                <w:b/>
                <w:bCs/>
                <w:szCs w:val="14"/>
                <w:vertAlign w:val="superscript"/>
                <w:lang w:val="en-GB"/>
              </w:rPr>
              <w:t>-2</w:t>
            </w:r>
          </w:p>
        </w:tc>
        <w:tc>
          <w:tcPr>
            <w:tcW w:w="99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04A7FFC9" w14:textId="77777777" w:rsidR="00A36F0D" w:rsidRPr="00527A2F" w:rsidRDefault="00A36F0D" w:rsidP="00EE1873">
            <w:pPr>
              <w:pStyle w:val="CETBodytext"/>
              <w:tabs>
                <w:tab w:val="left" w:pos="2835"/>
              </w:tabs>
              <w:jc w:val="center"/>
              <w:rPr>
                <w:b/>
                <w:bCs/>
                <w:szCs w:val="18"/>
                <w:lang w:val="en-GB"/>
              </w:rPr>
            </w:pPr>
            <w:proofErr w:type="spellStart"/>
            <w:r w:rsidRPr="00527A2F">
              <w:rPr>
                <w:b/>
                <w:bCs/>
                <w:szCs w:val="18"/>
                <w:lang w:val="en-GB"/>
              </w:rPr>
              <w:t>C.sel</w:t>
            </w:r>
            <w:proofErr w:type="spellEnd"/>
            <w:r w:rsidRPr="00527A2F">
              <w:rPr>
                <w:b/>
                <w:bCs/>
                <w:szCs w:val="18"/>
                <w:lang w:val="en-GB"/>
              </w:rPr>
              <w:t>., %</w:t>
            </w:r>
          </w:p>
          <w:p w14:paraId="3C0C8694" w14:textId="77777777" w:rsidR="00A36F0D" w:rsidRPr="00527A2F" w:rsidRDefault="00A36F0D" w:rsidP="00EE1873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27A2F">
              <w:rPr>
                <w:b/>
                <w:bCs/>
                <w:szCs w:val="14"/>
                <w:lang w:val="en-GB"/>
              </w:rPr>
              <w:t>5 mA cm</w:t>
            </w:r>
            <w:r w:rsidRPr="00527A2F">
              <w:rPr>
                <w:b/>
                <w:bCs/>
                <w:szCs w:val="14"/>
                <w:vertAlign w:val="superscript"/>
                <w:lang w:val="en-GB"/>
              </w:rPr>
              <w:t>-2</w:t>
            </w:r>
          </w:p>
        </w:tc>
      </w:tr>
      <w:tr w:rsidR="003D366E" w:rsidRPr="00527A2F" w14:paraId="4F0F0F73" w14:textId="77777777" w:rsidTr="00E63FCE">
        <w:trPr>
          <w:gridAfter w:val="1"/>
          <w:wAfter w:w="20" w:type="dxa"/>
          <w:jc w:val="center"/>
        </w:trPr>
        <w:tc>
          <w:tcPr>
            <w:tcW w:w="1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9D2DFAA" w14:textId="77777777" w:rsidR="003D366E" w:rsidRPr="00527A2F" w:rsidRDefault="003D366E" w:rsidP="003D366E">
            <w:pPr>
              <w:pStyle w:val="CETBodytext"/>
              <w:rPr>
                <w:lang w:val="en-GB"/>
              </w:rPr>
            </w:pPr>
          </w:p>
        </w:tc>
        <w:tc>
          <w:tcPr>
            <w:tcW w:w="1827" w:type="dxa"/>
            <w:tcBorders>
              <w:top w:val="single" w:sz="12" w:space="0" w:color="008000"/>
              <w:bottom w:val="nil"/>
            </w:tcBorders>
            <w:shd w:val="clear" w:color="auto" w:fill="FFFFFF"/>
            <w:vAlign w:val="center"/>
          </w:tcPr>
          <w:p w14:paraId="79DB2D4F" w14:textId="77777777" w:rsidR="003D366E" w:rsidRPr="00527A2F" w:rsidRDefault="003D366E" w:rsidP="003D366E">
            <w:pPr>
              <w:pStyle w:val="CETBodytext"/>
              <w:jc w:val="center"/>
              <w:rPr>
                <w:lang w:val="en-GB"/>
              </w:rPr>
            </w:pPr>
            <w:r w:rsidRPr="00527A2F">
              <w:rPr>
                <w:szCs w:val="14"/>
                <w:lang w:val="en-GB"/>
              </w:rPr>
              <w:t>Carbon monoxide</w:t>
            </w:r>
          </w:p>
        </w:tc>
        <w:tc>
          <w:tcPr>
            <w:tcW w:w="992" w:type="dxa"/>
            <w:tcBorders>
              <w:top w:val="single" w:sz="12" w:space="0" w:color="008000"/>
              <w:bottom w:val="nil"/>
            </w:tcBorders>
            <w:shd w:val="clear" w:color="auto" w:fill="FFFFFF"/>
            <w:vAlign w:val="center"/>
          </w:tcPr>
          <w:p w14:paraId="68662483" w14:textId="1C604731" w:rsidR="003D366E" w:rsidRPr="00527A2F" w:rsidRDefault="006B6607" w:rsidP="003D366E">
            <w:pPr>
              <w:pStyle w:val="CETBodytext"/>
              <w:jc w:val="center"/>
              <w:rPr>
                <w:lang w:val="en-GB"/>
              </w:rPr>
            </w:pPr>
            <w:r w:rsidRPr="00527A2F">
              <w:rPr>
                <w:bCs/>
                <w:szCs w:val="18"/>
                <w:lang w:val="en-GB"/>
              </w:rPr>
              <w:t>≈100</w:t>
            </w:r>
          </w:p>
        </w:tc>
        <w:tc>
          <w:tcPr>
            <w:tcW w:w="1134" w:type="dxa"/>
            <w:tcBorders>
              <w:top w:val="single" w:sz="12" w:space="0" w:color="008000"/>
              <w:bottom w:val="nil"/>
            </w:tcBorders>
            <w:shd w:val="clear" w:color="auto" w:fill="FFFFFF"/>
            <w:vAlign w:val="center"/>
          </w:tcPr>
          <w:p w14:paraId="31939653" w14:textId="12B53D8E" w:rsidR="003D366E" w:rsidRPr="00527A2F" w:rsidRDefault="003D366E" w:rsidP="003D366E">
            <w:pPr>
              <w:pStyle w:val="CETBodytext"/>
              <w:jc w:val="center"/>
              <w:rPr>
                <w:lang w:val="en-GB"/>
              </w:rPr>
            </w:pPr>
            <w:r w:rsidRPr="00527A2F">
              <w:rPr>
                <w:bCs/>
                <w:szCs w:val="18"/>
                <w:lang w:val="en-GB"/>
              </w:rPr>
              <w:t>58.7</w:t>
            </w:r>
          </w:p>
        </w:tc>
        <w:tc>
          <w:tcPr>
            <w:tcW w:w="1560" w:type="dxa"/>
            <w:tcBorders>
              <w:top w:val="single" w:sz="12" w:space="0" w:color="008000"/>
              <w:bottom w:val="nil"/>
            </w:tcBorders>
            <w:shd w:val="clear" w:color="auto" w:fill="FFFFFF"/>
            <w:vAlign w:val="center"/>
          </w:tcPr>
          <w:p w14:paraId="05FAB4BD" w14:textId="77777777" w:rsidR="003D366E" w:rsidRPr="00527A2F" w:rsidRDefault="003D366E" w:rsidP="003D366E">
            <w:pPr>
              <w:pStyle w:val="CETBodytext"/>
              <w:jc w:val="center"/>
              <w:rPr>
                <w:lang w:val="en-GB"/>
              </w:rPr>
            </w:pPr>
            <w:r w:rsidRPr="00527A2F">
              <w:rPr>
                <w:szCs w:val="18"/>
                <w:lang w:val="en-GB"/>
              </w:rPr>
              <w:t>Carbon monoxide</w:t>
            </w:r>
          </w:p>
        </w:tc>
        <w:tc>
          <w:tcPr>
            <w:tcW w:w="992" w:type="dxa"/>
            <w:tcBorders>
              <w:top w:val="single" w:sz="12" w:space="0" w:color="008000"/>
              <w:bottom w:val="nil"/>
            </w:tcBorders>
            <w:shd w:val="clear" w:color="auto" w:fill="FFFFFF"/>
            <w:vAlign w:val="center"/>
          </w:tcPr>
          <w:p w14:paraId="7DF46E2E" w14:textId="48946A36" w:rsidR="003D366E" w:rsidRPr="00527A2F" w:rsidRDefault="00A6583E" w:rsidP="003D366E">
            <w:pPr>
              <w:pStyle w:val="CETBodytext"/>
              <w:jc w:val="center"/>
              <w:rPr>
                <w:lang w:val="en-GB"/>
              </w:rPr>
            </w:pPr>
            <w:r w:rsidRPr="00527A2F">
              <w:rPr>
                <w:bCs/>
                <w:szCs w:val="18"/>
                <w:lang w:val="en-GB"/>
              </w:rPr>
              <w:t>34.5</w:t>
            </w:r>
          </w:p>
        </w:tc>
        <w:tc>
          <w:tcPr>
            <w:tcW w:w="992" w:type="dxa"/>
            <w:tcBorders>
              <w:top w:val="single" w:sz="12" w:space="0" w:color="008000"/>
              <w:bottom w:val="nil"/>
            </w:tcBorders>
            <w:shd w:val="clear" w:color="auto" w:fill="FFFFFF"/>
            <w:vAlign w:val="center"/>
          </w:tcPr>
          <w:p w14:paraId="2533CB68" w14:textId="111A9310" w:rsidR="003D366E" w:rsidRPr="00527A2F" w:rsidRDefault="003D366E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27A2F">
              <w:rPr>
                <w:bCs/>
                <w:szCs w:val="18"/>
                <w:lang w:val="en-GB"/>
              </w:rPr>
              <w:t>74.5</w:t>
            </w:r>
          </w:p>
        </w:tc>
      </w:tr>
      <w:tr w:rsidR="003D366E" w:rsidRPr="00527A2F" w14:paraId="553ED286" w14:textId="77777777" w:rsidTr="00E63FCE">
        <w:trPr>
          <w:gridAfter w:val="1"/>
          <w:wAfter w:w="20" w:type="dxa"/>
          <w:jc w:val="center"/>
        </w:trPr>
        <w:tc>
          <w:tcPr>
            <w:tcW w:w="16" w:type="dxa"/>
            <w:shd w:val="clear" w:color="auto" w:fill="FFFFFF"/>
          </w:tcPr>
          <w:p w14:paraId="0FD0913D" w14:textId="77777777" w:rsidR="003D366E" w:rsidRPr="00527A2F" w:rsidRDefault="003D366E" w:rsidP="003D366E">
            <w:pPr>
              <w:pStyle w:val="CETBodytext"/>
              <w:rPr>
                <w:lang w:val="en-GB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607832" w14:textId="77777777" w:rsidR="003D366E" w:rsidRPr="00527A2F" w:rsidRDefault="003D366E" w:rsidP="003D366E">
            <w:pPr>
              <w:pStyle w:val="CETBodytext"/>
              <w:jc w:val="center"/>
              <w:rPr>
                <w:lang w:val="en-GB"/>
              </w:rPr>
            </w:pPr>
            <w:r w:rsidRPr="00527A2F">
              <w:rPr>
                <w:szCs w:val="14"/>
                <w:lang w:val="en-GB"/>
              </w:rPr>
              <w:t>Formic acid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F0085B" w14:textId="41A54508" w:rsidR="003D366E" w:rsidRPr="00527A2F" w:rsidRDefault="006B6607" w:rsidP="002C0ABF">
            <w:pPr>
              <w:pStyle w:val="CETBodytext"/>
              <w:jc w:val="center"/>
              <w:rPr>
                <w:lang w:val="en-GB"/>
              </w:rPr>
            </w:pPr>
            <w:r w:rsidRPr="00527A2F">
              <w:rPr>
                <w:lang w:val="en-GB"/>
              </w:rPr>
              <w:t>traces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7D5E02" w14:textId="4571DC8B" w:rsidR="003D366E" w:rsidRPr="00527A2F" w:rsidRDefault="00996BC1" w:rsidP="003D366E">
            <w:pPr>
              <w:pStyle w:val="CETBodytext"/>
              <w:jc w:val="center"/>
              <w:rPr>
                <w:lang w:val="en-GB"/>
              </w:rPr>
            </w:pPr>
            <w:r w:rsidRPr="00527A2F">
              <w:rPr>
                <w:lang w:val="en-GB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8C2920" w14:textId="77777777" w:rsidR="003D366E" w:rsidRPr="00527A2F" w:rsidRDefault="003D366E" w:rsidP="003D366E">
            <w:pPr>
              <w:pStyle w:val="CETBodytext"/>
              <w:jc w:val="center"/>
              <w:rPr>
                <w:lang w:val="en-GB"/>
              </w:rPr>
            </w:pPr>
            <w:r w:rsidRPr="00527A2F">
              <w:rPr>
                <w:szCs w:val="18"/>
                <w:lang w:val="en-GB"/>
              </w:rPr>
              <w:t>Formic acid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128585" w14:textId="520744A1" w:rsidR="003D366E" w:rsidRPr="00527A2F" w:rsidRDefault="006B6607" w:rsidP="00A6583E">
            <w:pPr>
              <w:pStyle w:val="CETBodytext"/>
              <w:jc w:val="center"/>
              <w:rPr>
                <w:lang w:val="en-GB"/>
              </w:rPr>
            </w:pPr>
            <w:r w:rsidRPr="00527A2F">
              <w:rPr>
                <w:szCs w:val="18"/>
                <w:lang w:val="en-GB"/>
              </w:rPr>
              <w:t>65.</w:t>
            </w:r>
            <w:r w:rsidR="00A6583E" w:rsidRPr="00527A2F">
              <w:rPr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991170" w14:textId="6A491F0A" w:rsidR="003D366E" w:rsidRPr="00527A2F" w:rsidRDefault="003D366E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27A2F">
              <w:rPr>
                <w:szCs w:val="18"/>
                <w:lang w:val="en-GB"/>
              </w:rPr>
              <w:t>25.5</w:t>
            </w:r>
          </w:p>
        </w:tc>
      </w:tr>
      <w:tr w:rsidR="003D366E" w:rsidRPr="00527A2F" w14:paraId="5A646871" w14:textId="77777777" w:rsidTr="00E63FCE">
        <w:trPr>
          <w:gridAfter w:val="1"/>
          <w:wAfter w:w="20" w:type="dxa"/>
          <w:jc w:val="center"/>
        </w:trPr>
        <w:tc>
          <w:tcPr>
            <w:tcW w:w="16" w:type="dxa"/>
            <w:shd w:val="clear" w:color="auto" w:fill="FFFFFF"/>
          </w:tcPr>
          <w:p w14:paraId="661F3A8A" w14:textId="77777777" w:rsidR="003D366E" w:rsidRPr="00527A2F" w:rsidRDefault="003D366E" w:rsidP="003D366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827" w:type="dxa"/>
            <w:tcBorders>
              <w:top w:val="nil"/>
            </w:tcBorders>
            <w:shd w:val="clear" w:color="auto" w:fill="FFFFFF"/>
            <w:vAlign w:val="center"/>
          </w:tcPr>
          <w:p w14:paraId="5715B47F" w14:textId="77777777" w:rsidR="003D366E" w:rsidRPr="00527A2F" w:rsidRDefault="003D366E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27A2F">
              <w:rPr>
                <w:szCs w:val="14"/>
                <w:lang w:val="en-GB"/>
              </w:rPr>
              <w:t>Acetaldehyde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14:paraId="76BA4958" w14:textId="1A0045B2" w:rsidR="003D366E" w:rsidRPr="00527A2F" w:rsidRDefault="00996BC1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27A2F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639CB3AC" w14:textId="521F562B" w:rsidR="003D366E" w:rsidRPr="00527A2F" w:rsidRDefault="003D366E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27A2F">
              <w:rPr>
                <w:szCs w:val="18"/>
                <w:lang w:val="en-GB"/>
              </w:rPr>
              <w:t>6.6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FFFFF"/>
            <w:vAlign w:val="center"/>
          </w:tcPr>
          <w:p w14:paraId="0DA5AD52" w14:textId="77777777" w:rsidR="003D366E" w:rsidRPr="00527A2F" w:rsidRDefault="003D366E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14:paraId="27F6E27B" w14:textId="77777777" w:rsidR="003D366E" w:rsidRPr="00527A2F" w:rsidRDefault="003D366E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14:paraId="455B4B4B" w14:textId="77777777" w:rsidR="003D366E" w:rsidRPr="00527A2F" w:rsidRDefault="003D366E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</w:tr>
      <w:tr w:rsidR="003D366E" w:rsidRPr="00527A2F" w14:paraId="5A0EA0E0" w14:textId="77777777" w:rsidTr="00E63FCE">
        <w:trPr>
          <w:gridAfter w:val="1"/>
          <w:wAfter w:w="20" w:type="dxa"/>
          <w:jc w:val="center"/>
        </w:trPr>
        <w:tc>
          <w:tcPr>
            <w:tcW w:w="16" w:type="dxa"/>
            <w:shd w:val="clear" w:color="auto" w:fill="FFFFFF"/>
          </w:tcPr>
          <w:p w14:paraId="59079BFA" w14:textId="77777777" w:rsidR="003D366E" w:rsidRPr="00527A2F" w:rsidRDefault="003D366E" w:rsidP="003D366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827" w:type="dxa"/>
            <w:shd w:val="clear" w:color="auto" w:fill="FFFFFF"/>
            <w:vAlign w:val="center"/>
          </w:tcPr>
          <w:p w14:paraId="13F7B95D" w14:textId="77777777" w:rsidR="003D366E" w:rsidRPr="00527A2F" w:rsidRDefault="003D366E" w:rsidP="003D366E">
            <w:pPr>
              <w:pStyle w:val="CETBodytext"/>
              <w:ind w:right="-1"/>
              <w:jc w:val="center"/>
              <w:rPr>
                <w:szCs w:val="14"/>
                <w:lang w:val="en-GB"/>
              </w:rPr>
            </w:pPr>
            <w:r w:rsidRPr="00527A2F">
              <w:rPr>
                <w:szCs w:val="14"/>
                <w:lang w:val="en-GB"/>
              </w:rPr>
              <w:t>Ethanol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8EDBB6" w14:textId="177E6F7F" w:rsidR="003D366E" w:rsidRPr="00527A2F" w:rsidRDefault="00996BC1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27A2F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8F8E11" w14:textId="17399AD9" w:rsidR="003D366E" w:rsidRPr="00527A2F" w:rsidRDefault="003D366E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27A2F">
              <w:rPr>
                <w:szCs w:val="18"/>
                <w:lang w:val="en-GB"/>
              </w:rPr>
              <w:t>34.2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E49D774" w14:textId="77777777" w:rsidR="003D366E" w:rsidRPr="00527A2F" w:rsidRDefault="003D366E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1DB363E" w14:textId="77777777" w:rsidR="003D366E" w:rsidRPr="00527A2F" w:rsidRDefault="003D366E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1BC90E0" w14:textId="77777777" w:rsidR="003D366E" w:rsidRPr="00527A2F" w:rsidRDefault="003D366E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</w:tr>
      <w:tr w:rsidR="003D366E" w:rsidRPr="00527A2F" w14:paraId="192D49F8" w14:textId="77777777" w:rsidTr="002372CE">
        <w:trPr>
          <w:gridAfter w:val="1"/>
          <w:wAfter w:w="20" w:type="dxa"/>
          <w:trHeight w:val="315"/>
          <w:jc w:val="center"/>
        </w:trPr>
        <w:tc>
          <w:tcPr>
            <w:tcW w:w="16" w:type="dxa"/>
            <w:shd w:val="clear" w:color="auto" w:fill="FFFFFF"/>
          </w:tcPr>
          <w:p w14:paraId="7E3E9C1B" w14:textId="77777777" w:rsidR="003D366E" w:rsidRPr="00527A2F" w:rsidRDefault="003D366E" w:rsidP="003D366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827" w:type="dxa"/>
            <w:shd w:val="clear" w:color="auto" w:fill="FFFFFF"/>
            <w:vAlign w:val="center"/>
          </w:tcPr>
          <w:p w14:paraId="42F7C187" w14:textId="77777777" w:rsidR="003D366E" w:rsidRPr="00527A2F" w:rsidRDefault="003D366E" w:rsidP="003D366E">
            <w:pPr>
              <w:pStyle w:val="CETBodytext"/>
              <w:ind w:right="-1"/>
              <w:jc w:val="center"/>
              <w:rPr>
                <w:szCs w:val="14"/>
                <w:lang w:val="en-GB"/>
              </w:rPr>
            </w:pPr>
            <w:r w:rsidRPr="00527A2F">
              <w:rPr>
                <w:szCs w:val="14"/>
                <w:lang w:val="en-GB"/>
              </w:rPr>
              <w:t>Propionaldehyde, butanone, acetic acid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C82C7D" w14:textId="68880698" w:rsidR="003D366E" w:rsidRPr="00527A2F" w:rsidRDefault="00996BC1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27A2F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5F8615" w14:textId="17F63E8B" w:rsidR="003D366E" w:rsidRPr="00527A2F" w:rsidRDefault="003D366E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27A2F">
              <w:rPr>
                <w:szCs w:val="18"/>
                <w:lang w:val="en-GB"/>
              </w:rPr>
              <w:t>traces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A7C930" w14:textId="77777777" w:rsidR="003D366E" w:rsidRPr="00527A2F" w:rsidRDefault="003D366E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1DE366B" w14:textId="77777777" w:rsidR="003D366E" w:rsidRPr="00527A2F" w:rsidRDefault="003D366E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4DA63A4" w14:textId="77777777" w:rsidR="003D366E" w:rsidRPr="00527A2F" w:rsidRDefault="003D366E" w:rsidP="003D366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</w:tr>
    </w:tbl>
    <w:p w14:paraId="542ACBD3" w14:textId="08DA3925" w:rsidR="000735FF" w:rsidRPr="00527A2F" w:rsidRDefault="000735FF" w:rsidP="00A4070F">
      <w:pPr>
        <w:pStyle w:val="CETBodytext"/>
        <w:rPr>
          <w:lang w:val="en-GB"/>
        </w:rPr>
      </w:pPr>
    </w:p>
    <w:p w14:paraId="3F9027FB" w14:textId="6F595333" w:rsidR="000A4C4F" w:rsidRPr="00527A2F" w:rsidRDefault="000A4C4F" w:rsidP="000A4C4F">
      <w:pPr>
        <w:pStyle w:val="CETBodytext"/>
        <w:rPr>
          <w:lang w:val="en-GB"/>
        </w:rPr>
      </w:pPr>
      <w:r w:rsidRPr="00527A2F">
        <w:rPr>
          <w:lang w:val="en-GB"/>
        </w:rPr>
        <w:t xml:space="preserve">While at low currents, due to the </w:t>
      </w:r>
      <w:r w:rsidR="00527A2F" w:rsidRPr="00527A2F">
        <w:rPr>
          <w:lang w:val="en-GB"/>
        </w:rPr>
        <w:t xml:space="preserve">analytical </w:t>
      </w:r>
      <w:r w:rsidRPr="00527A2F">
        <w:rPr>
          <w:lang w:val="en-GB"/>
        </w:rPr>
        <w:t>detection limits, it was not possible to measure the amount of hydrogen, at 5 mA cm</w:t>
      </w:r>
      <w:r w:rsidRPr="00527A2F">
        <w:rPr>
          <w:vertAlign w:val="superscript"/>
          <w:lang w:val="en-GB"/>
        </w:rPr>
        <w:t>-2</w:t>
      </w:r>
      <w:r w:rsidRPr="00527A2F">
        <w:rPr>
          <w:lang w:val="en-GB"/>
        </w:rPr>
        <w:t xml:space="preserve"> the faradaic efficiency was 83% and 96% for the liquid- and gas-phase, respectively.</w:t>
      </w:r>
    </w:p>
    <w:p w14:paraId="4F194ECB" w14:textId="7CA13580" w:rsidR="0066263F" w:rsidRPr="00527A2F" w:rsidRDefault="00FF19E9" w:rsidP="00A4070F">
      <w:pPr>
        <w:pStyle w:val="CETBodytext"/>
        <w:rPr>
          <w:lang w:val="en-GB"/>
        </w:rPr>
      </w:pPr>
      <w:r w:rsidRPr="00527A2F">
        <w:rPr>
          <w:lang w:val="en-GB"/>
        </w:rPr>
        <w:t>At</w:t>
      </w:r>
      <w:r w:rsidR="0066263F" w:rsidRPr="00527A2F">
        <w:rPr>
          <w:lang w:val="en-GB"/>
        </w:rPr>
        <w:t xml:space="preserve"> low</w:t>
      </w:r>
      <w:r w:rsidRPr="00527A2F">
        <w:rPr>
          <w:lang w:val="en-GB"/>
        </w:rPr>
        <w:t>er</w:t>
      </w:r>
      <w:r w:rsidR="0066263F" w:rsidRPr="00527A2F">
        <w:rPr>
          <w:lang w:val="en-GB"/>
        </w:rPr>
        <w:t xml:space="preserve"> current</w:t>
      </w:r>
      <w:r w:rsidR="00804FDA" w:rsidRPr="00527A2F">
        <w:rPr>
          <w:lang w:val="en-GB"/>
        </w:rPr>
        <w:t xml:space="preserve"> density</w:t>
      </w:r>
      <w:r w:rsidRPr="00527A2F">
        <w:rPr>
          <w:lang w:val="en-GB"/>
        </w:rPr>
        <w:t>,</w:t>
      </w:r>
      <w:r w:rsidR="0066263F" w:rsidRPr="00527A2F">
        <w:rPr>
          <w:lang w:val="en-GB"/>
        </w:rPr>
        <w:t xml:space="preserve"> in the gas-phase system the productivity towards the C1 species (mainly CO) </w:t>
      </w:r>
      <w:r w:rsidRPr="00527A2F">
        <w:rPr>
          <w:lang w:val="en-GB"/>
        </w:rPr>
        <w:t>was</w:t>
      </w:r>
      <w:r w:rsidR="0066263F" w:rsidRPr="00527A2F">
        <w:rPr>
          <w:lang w:val="en-GB"/>
        </w:rPr>
        <w:t xml:space="preserve"> </w:t>
      </w:r>
      <w:r w:rsidR="00663058">
        <w:rPr>
          <w:lang w:val="en-GB"/>
        </w:rPr>
        <w:t>higher</w:t>
      </w:r>
      <w:r w:rsidR="00663058" w:rsidRPr="00527A2F">
        <w:rPr>
          <w:lang w:val="en-GB"/>
        </w:rPr>
        <w:t xml:space="preserve"> </w:t>
      </w:r>
      <w:r w:rsidR="0066263F" w:rsidRPr="00527A2F">
        <w:rPr>
          <w:lang w:val="en-GB"/>
        </w:rPr>
        <w:t xml:space="preserve">than that produced in the liquid-phase (CO and formic acid), while this proportion </w:t>
      </w:r>
      <w:r w:rsidRPr="00527A2F">
        <w:rPr>
          <w:lang w:val="en-GB"/>
        </w:rPr>
        <w:t>wa</w:t>
      </w:r>
      <w:r w:rsidR="0066263F" w:rsidRPr="00527A2F">
        <w:rPr>
          <w:lang w:val="en-GB"/>
        </w:rPr>
        <w:t>s reversed at high</w:t>
      </w:r>
      <w:r w:rsidRPr="00527A2F">
        <w:rPr>
          <w:lang w:val="en-GB"/>
        </w:rPr>
        <w:t>er</w:t>
      </w:r>
      <w:r w:rsidR="0066263F" w:rsidRPr="00527A2F">
        <w:rPr>
          <w:lang w:val="en-GB"/>
        </w:rPr>
        <w:t xml:space="preserve"> current</w:t>
      </w:r>
      <w:r w:rsidRPr="00527A2F">
        <w:rPr>
          <w:lang w:val="en-GB"/>
        </w:rPr>
        <w:t xml:space="preserve"> densities</w:t>
      </w:r>
      <w:r w:rsidR="0066263F" w:rsidRPr="00527A2F">
        <w:rPr>
          <w:lang w:val="en-GB"/>
        </w:rPr>
        <w:t xml:space="preserve">, </w:t>
      </w:r>
      <w:r w:rsidRPr="00527A2F">
        <w:rPr>
          <w:lang w:val="en-GB"/>
        </w:rPr>
        <w:t>leading to the</w:t>
      </w:r>
      <w:r w:rsidR="0066263F" w:rsidRPr="00527A2F">
        <w:rPr>
          <w:lang w:val="en-GB"/>
        </w:rPr>
        <w:t xml:space="preserve"> formation of </w:t>
      </w:r>
      <w:r w:rsidR="00166B36" w:rsidRPr="00527A2F">
        <w:rPr>
          <w:lang w:val="en-GB"/>
        </w:rPr>
        <w:t>&gt;</w:t>
      </w:r>
      <w:r w:rsidR="0066263F" w:rsidRPr="00527A2F">
        <w:rPr>
          <w:lang w:val="en-GB"/>
        </w:rPr>
        <w:t>C</w:t>
      </w:r>
      <w:r w:rsidR="00847D4A" w:rsidRPr="00527A2F">
        <w:rPr>
          <w:vertAlign w:val="subscript"/>
          <w:lang w:val="en-GB"/>
        </w:rPr>
        <w:t>1</w:t>
      </w:r>
      <w:r w:rsidR="0066263F" w:rsidRPr="00527A2F">
        <w:rPr>
          <w:lang w:val="en-GB"/>
        </w:rPr>
        <w:t xml:space="preserve"> species</w:t>
      </w:r>
      <w:r w:rsidRPr="00527A2F">
        <w:rPr>
          <w:lang w:val="en-GB"/>
        </w:rPr>
        <w:t xml:space="preserve"> only in the gas-phase reactor</w:t>
      </w:r>
      <w:r w:rsidR="0066263F" w:rsidRPr="00527A2F">
        <w:rPr>
          <w:lang w:val="en-GB"/>
        </w:rPr>
        <w:t xml:space="preserve">. </w:t>
      </w:r>
      <w:r w:rsidR="00A4070F" w:rsidRPr="00527A2F">
        <w:rPr>
          <w:lang w:val="en-GB"/>
        </w:rPr>
        <w:t>Considering that in the gas-phase</w:t>
      </w:r>
      <w:r w:rsidRPr="00527A2F">
        <w:rPr>
          <w:lang w:val="en-GB"/>
        </w:rPr>
        <w:t xml:space="preserve"> system</w:t>
      </w:r>
      <w:r w:rsidR="00A4070F" w:rsidRPr="00527A2F">
        <w:rPr>
          <w:lang w:val="en-GB"/>
        </w:rPr>
        <w:t xml:space="preserve"> the electrolyte </w:t>
      </w:r>
      <w:r w:rsidR="006F5C02" w:rsidRPr="00527A2F">
        <w:rPr>
          <w:lang w:val="en-GB"/>
        </w:rPr>
        <w:t>was</w:t>
      </w:r>
      <w:r w:rsidR="00A4070F" w:rsidRPr="00527A2F">
        <w:rPr>
          <w:lang w:val="en-GB"/>
        </w:rPr>
        <w:t xml:space="preserve"> absent</w:t>
      </w:r>
      <w:r w:rsidR="00804FDA" w:rsidRPr="00527A2F">
        <w:rPr>
          <w:lang w:val="en-GB"/>
        </w:rPr>
        <w:t>,</w:t>
      </w:r>
      <w:r w:rsidR="0066263F" w:rsidRPr="00527A2F">
        <w:rPr>
          <w:lang w:val="en-GB"/>
        </w:rPr>
        <w:t xml:space="preserve"> the mobility of the proton species and their surface concentration in the </w:t>
      </w:r>
      <w:r w:rsidR="006F5C02" w:rsidRPr="00527A2F">
        <w:rPr>
          <w:lang w:val="en-GB"/>
        </w:rPr>
        <w:t>GDL</w:t>
      </w:r>
      <w:r w:rsidR="0066263F" w:rsidRPr="00527A2F">
        <w:rPr>
          <w:lang w:val="en-GB"/>
        </w:rPr>
        <w:t xml:space="preserve">/catalyst/membrane interface </w:t>
      </w:r>
      <w:r w:rsidR="006F5C02" w:rsidRPr="00527A2F">
        <w:rPr>
          <w:lang w:val="en-GB"/>
        </w:rPr>
        <w:t>was</w:t>
      </w:r>
      <w:r w:rsidR="0066263F" w:rsidRPr="00527A2F">
        <w:rPr>
          <w:lang w:val="en-GB"/>
        </w:rPr>
        <w:t xml:space="preserve"> lower than in the liquid</w:t>
      </w:r>
      <w:r w:rsidR="006F5C02" w:rsidRPr="00527A2F">
        <w:rPr>
          <w:lang w:val="en-GB"/>
        </w:rPr>
        <w:t>-</w:t>
      </w:r>
      <w:r w:rsidR="0066263F" w:rsidRPr="00527A2F">
        <w:rPr>
          <w:lang w:val="en-GB"/>
        </w:rPr>
        <w:t>phase system</w:t>
      </w:r>
      <w:r w:rsidR="00A4070F" w:rsidRPr="00527A2F">
        <w:rPr>
          <w:lang w:val="en-GB"/>
        </w:rPr>
        <w:t>. The CO</w:t>
      </w:r>
      <w:r w:rsidR="0066263F" w:rsidRPr="00527A2F">
        <w:rPr>
          <w:lang w:val="en-GB"/>
        </w:rPr>
        <w:t xml:space="preserve">-CO coupling </w:t>
      </w:r>
      <w:r w:rsidR="006F5C02" w:rsidRPr="00527A2F">
        <w:rPr>
          <w:lang w:val="en-GB"/>
        </w:rPr>
        <w:lastRenderedPageBreak/>
        <w:t>reaction</w:t>
      </w:r>
      <w:r w:rsidR="00A4070F" w:rsidRPr="00527A2F">
        <w:rPr>
          <w:lang w:val="en-GB"/>
        </w:rPr>
        <w:t xml:space="preserve">, </w:t>
      </w:r>
      <w:r w:rsidR="00804FDA" w:rsidRPr="00527A2F">
        <w:rPr>
          <w:lang w:val="en-GB"/>
        </w:rPr>
        <w:t>which lead</w:t>
      </w:r>
      <w:r w:rsidR="006F5C02" w:rsidRPr="00527A2F">
        <w:rPr>
          <w:lang w:val="en-GB"/>
        </w:rPr>
        <w:t>s</w:t>
      </w:r>
      <w:r w:rsidR="0066263F" w:rsidRPr="00527A2F">
        <w:rPr>
          <w:lang w:val="en-GB"/>
        </w:rPr>
        <w:t xml:space="preserve"> to the formation of the C</w:t>
      </w:r>
      <w:r w:rsidR="0066263F" w:rsidRPr="00527A2F">
        <w:rPr>
          <w:vertAlign w:val="subscript"/>
          <w:lang w:val="en-GB"/>
        </w:rPr>
        <w:t>2+</w:t>
      </w:r>
      <w:r w:rsidR="0066263F" w:rsidRPr="00527A2F">
        <w:rPr>
          <w:lang w:val="en-GB"/>
        </w:rPr>
        <w:t xml:space="preserve"> species</w:t>
      </w:r>
      <w:r w:rsidR="006F5C02" w:rsidRPr="00527A2F">
        <w:rPr>
          <w:lang w:val="en-GB"/>
        </w:rPr>
        <w:t>,</w:t>
      </w:r>
      <w:r w:rsidR="00804FDA" w:rsidRPr="00527A2F">
        <w:rPr>
          <w:lang w:val="en-GB"/>
        </w:rPr>
        <w:t xml:space="preserve"> </w:t>
      </w:r>
      <w:r w:rsidR="006F5C02" w:rsidRPr="00527A2F">
        <w:rPr>
          <w:lang w:val="en-GB"/>
        </w:rPr>
        <w:t xml:space="preserve">occurred </w:t>
      </w:r>
      <w:r w:rsidR="00804FDA" w:rsidRPr="00527A2F">
        <w:rPr>
          <w:lang w:val="en-GB"/>
        </w:rPr>
        <w:t>more likely</w:t>
      </w:r>
      <w:r w:rsidR="00A4070F" w:rsidRPr="00527A2F">
        <w:rPr>
          <w:lang w:val="en-GB"/>
        </w:rPr>
        <w:t xml:space="preserve"> </w:t>
      </w:r>
      <w:r w:rsidR="0066263F" w:rsidRPr="00527A2F">
        <w:rPr>
          <w:lang w:val="en-GB"/>
        </w:rPr>
        <w:t xml:space="preserve">compared to the protonation of CO </w:t>
      </w:r>
      <w:r w:rsidR="006F5C02" w:rsidRPr="00527A2F">
        <w:rPr>
          <w:lang w:val="en-GB"/>
        </w:rPr>
        <w:t xml:space="preserve">that </w:t>
      </w:r>
      <w:r w:rsidR="00FF71FE" w:rsidRPr="00527A2F">
        <w:rPr>
          <w:lang w:val="en-GB"/>
        </w:rPr>
        <w:t>leads to formic acid</w:t>
      </w:r>
      <w:r w:rsidR="00A4070F" w:rsidRPr="00527A2F">
        <w:rPr>
          <w:lang w:val="en-GB"/>
        </w:rPr>
        <w:t xml:space="preserve"> (more present in liquid</w:t>
      </w:r>
      <w:r w:rsidR="006F5C02" w:rsidRPr="00527A2F">
        <w:rPr>
          <w:lang w:val="en-GB"/>
        </w:rPr>
        <w:t xml:space="preserve"> </w:t>
      </w:r>
      <w:r w:rsidR="00A4070F" w:rsidRPr="00527A2F">
        <w:rPr>
          <w:lang w:val="en-GB"/>
        </w:rPr>
        <w:t>phase</w:t>
      </w:r>
      <w:r w:rsidR="00804FDA" w:rsidRPr="00527A2F">
        <w:rPr>
          <w:lang w:val="en-GB"/>
        </w:rPr>
        <w:t>), especially at higher current density.</w:t>
      </w:r>
    </w:p>
    <w:p w14:paraId="07347370" w14:textId="4F8E594C" w:rsidR="00D53D50" w:rsidRPr="00527A2F" w:rsidRDefault="00411BAD" w:rsidP="00290910">
      <w:pPr>
        <w:pStyle w:val="CETBodytext"/>
        <w:rPr>
          <w:lang w:val="en-GB"/>
        </w:rPr>
      </w:pPr>
      <w:r w:rsidRPr="0014514A">
        <w:rPr>
          <w:lang w:val="en-GB"/>
        </w:rPr>
        <w:t>To support the catalytic productivity data and provide</w:t>
      </w:r>
      <w:r>
        <w:rPr>
          <w:lang w:val="en-GB"/>
        </w:rPr>
        <w:t xml:space="preserve"> an</w:t>
      </w:r>
      <w:r w:rsidR="00AD7A81" w:rsidRPr="00527A2F">
        <w:rPr>
          <w:lang w:val="en-GB"/>
        </w:rPr>
        <w:t xml:space="preserve"> explanation in qualitative terms of the phenomena occurring in the two systems and </w:t>
      </w:r>
      <w:r w:rsidR="006F5C02" w:rsidRPr="00527A2F">
        <w:rPr>
          <w:lang w:val="en-GB"/>
        </w:rPr>
        <w:t xml:space="preserve">to </w:t>
      </w:r>
      <w:r w:rsidR="004B3064" w:rsidRPr="00527A2F">
        <w:rPr>
          <w:lang w:val="en-GB"/>
        </w:rPr>
        <w:t xml:space="preserve">understand </w:t>
      </w:r>
      <w:r w:rsidR="006F5C02" w:rsidRPr="00527A2F">
        <w:rPr>
          <w:lang w:val="en-GB"/>
        </w:rPr>
        <w:t>wh</w:t>
      </w:r>
      <w:r w:rsidR="0046417E" w:rsidRPr="00527A2F">
        <w:rPr>
          <w:lang w:val="en-GB"/>
        </w:rPr>
        <w:t>ich factor</w:t>
      </w:r>
      <w:r w:rsidR="006F5C02" w:rsidRPr="00527A2F">
        <w:rPr>
          <w:lang w:val="en-GB"/>
        </w:rPr>
        <w:t xml:space="preserve"> </w:t>
      </w:r>
      <w:r w:rsidR="00AD7A81" w:rsidRPr="00527A2F">
        <w:rPr>
          <w:lang w:val="en-GB"/>
        </w:rPr>
        <w:t>determine</w:t>
      </w:r>
      <w:r w:rsidR="006F5C02" w:rsidRPr="00527A2F">
        <w:rPr>
          <w:lang w:val="en-GB"/>
        </w:rPr>
        <w:t>s</w:t>
      </w:r>
      <w:r w:rsidR="00AD7A81" w:rsidRPr="00527A2F">
        <w:rPr>
          <w:lang w:val="en-GB"/>
        </w:rPr>
        <w:t xml:space="preserve"> </w:t>
      </w:r>
      <w:r w:rsidR="00174FA4" w:rsidRPr="00527A2F">
        <w:rPr>
          <w:lang w:val="en-GB"/>
        </w:rPr>
        <w:t>this</w:t>
      </w:r>
      <w:r w:rsidR="00AD7A81" w:rsidRPr="00527A2F">
        <w:rPr>
          <w:lang w:val="en-GB"/>
        </w:rPr>
        <w:t xml:space="preserve"> </w:t>
      </w:r>
      <w:r w:rsidR="00174FA4" w:rsidRPr="00527A2F">
        <w:rPr>
          <w:lang w:val="en-GB"/>
        </w:rPr>
        <w:t>huge</w:t>
      </w:r>
      <w:r w:rsidR="00AD7A81" w:rsidRPr="00527A2F">
        <w:rPr>
          <w:lang w:val="en-GB"/>
        </w:rPr>
        <w:t xml:space="preserve"> difference in the </w:t>
      </w:r>
      <w:r w:rsidR="00310666" w:rsidRPr="00527A2F">
        <w:rPr>
          <w:lang w:val="en-GB"/>
        </w:rPr>
        <w:t>product distribution</w:t>
      </w:r>
      <w:r w:rsidR="00AD7A81" w:rsidRPr="00527A2F">
        <w:rPr>
          <w:lang w:val="en-GB"/>
        </w:rPr>
        <w:t xml:space="preserve">, </w:t>
      </w:r>
      <w:r w:rsidR="004B3064" w:rsidRPr="00527A2F">
        <w:rPr>
          <w:lang w:val="en-GB"/>
        </w:rPr>
        <w:t>the</w:t>
      </w:r>
      <w:r w:rsidR="00AD7A81" w:rsidRPr="00527A2F">
        <w:rPr>
          <w:lang w:val="en-GB"/>
        </w:rPr>
        <w:t xml:space="preserve"> </w:t>
      </w:r>
      <w:r w:rsidR="006F5C02" w:rsidRPr="00527A2F">
        <w:rPr>
          <w:lang w:val="en-GB"/>
        </w:rPr>
        <w:t>E</w:t>
      </w:r>
      <w:r w:rsidR="00AD7A81" w:rsidRPr="00527A2F">
        <w:rPr>
          <w:lang w:val="en-GB"/>
        </w:rPr>
        <w:t>lectrochemical Impedance Spectroscopy (EIS)</w:t>
      </w:r>
      <w:r w:rsidR="006F5C02" w:rsidRPr="00527A2F">
        <w:rPr>
          <w:lang w:val="en-GB"/>
        </w:rPr>
        <w:t xml:space="preserve"> was used</w:t>
      </w:r>
      <w:r w:rsidR="00AD7A81" w:rsidRPr="00527A2F">
        <w:rPr>
          <w:lang w:val="en-GB"/>
        </w:rPr>
        <w:t>.</w:t>
      </w:r>
      <w:r w:rsidR="007144EB" w:rsidRPr="00527A2F">
        <w:rPr>
          <w:lang w:val="en-GB"/>
        </w:rPr>
        <w:t xml:space="preserve"> </w:t>
      </w:r>
      <w:r w:rsidR="004B3064" w:rsidRPr="00527A2F">
        <w:rPr>
          <w:lang w:val="en-GB"/>
        </w:rPr>
        <w:t xml:space="preserve">This is very useful </w:t>
      </w:r>
      <w:r w:rsidR="006F5C02" w:rsidRPr="00527A2F">
        <w:rPr>
          <w:lang w:val="en-GB"/>
        </w:rPr>
        <w:t xml:space="preserve">tool </w:t>
      </w:r>
      <w:r w:rsidR="004B3064" w:rsidRPr="00527A2F">
        <w:rPr>
          <w:lang w:val="en-GB"/>
        </w:rPr>
        <w:t xml:space="preserve">because, by </w:t>
      </w:r>
      <w:r w:rsidR="0046417E" w:rsidRPr="00527A2F">
        <w:rPr>
          <w:lang w:val="en-GB"/>
        </w:rPr>
        <w:t xml:space="preserve">describing </w:t>
      </w:r>
      <w:r w:rsidR="004B3064" w:rsidRPr="00527A2F">
        <w:rPr>
          <w:lang w:val="en-GB"/>
        </w:rPr>
        <w:t xml:space="preserve">the system through a theoretical model, </w:t>
      </w:r>
      <w:r w:rsidR="00A4070F" w:rsidRPr="00527A2F">
        <w:rPr>
          <w:lang w:val="en-GB"/>
        </w:rPr>
        <w:t>information</w:t>
      </w:r>
      <w:r w:rsidR="004B3064" w:rsidRPr="00527A2F">
        <w:rPr>
          <w:lang w:val="en-GB"/>
        </w:rPr>
        <w:t xml:space="preserve"> such as th</w:t>
      </w:r>
      <w:r w:rsidR="00174FA4" w:rsidRPr="00527A2F">
        <w:rPr>
          <w:lang w:val="en-GB"/>
        </w:rPr>
        <w:t>e series-resistance (R</w:t>
      </w:r>
      <w:r w:rsidR="00174FA4" w:rsidRPr="00527A2F">
        <w:rPr>
          <w:vertAlign w:val="subscript"/>
          <w:lang w:val="en-GB"/>
        </w:rPr>
        <w:t>s</w:t>
      </w:r>
      <w:r w:rsidR="00174FA4" w:rsidRPr="00527A2F">
        <w:rPr>
          <w:lang w:val="en-GB"/>
        </w:rPr>
        <w:t>), the charge-</w:t>
      </w:r>
      <w:r w:rsidR="004B3064" w:rsidRPr="00527A2F">
        <w:rPr>
          <w:lang w:val="en-GB"/>
        </w:rPr>
        <w:t>transfer resistance</w:t>
      </w:r>
      <w:r w:rsidR="00174FA4" w:rsidRPr="00527A2F">
        <w:rPr>
          <w:lang w:val="en-GB"/>
        </w:rPr>
        <w:t xml:space="preserve"> (</w:t>
      </w:r>
      <w:proofErr w:type="spellStart"/>
      <w:r w:rsidR="00174FA4" w:rsidRPr="00527A2F">
        <w:rPr>
          <w:lang w:val="en-GB"/>
        </w:rPr>
        <w:t>R</w:t>
      </w:r>
      <w:r w:rsidR="00174FA4" w:rsidRPr="00527A2F">
        <w:rPr>
          <w:vertAlign w:val="subscript"/>
          <w:lang w:val="en-GB"/>
        </w:rPr>
        <w:t>ct</w:t>
      </w:r>
      <w:proofErr w:type="spellEnd"/>
      <w:r w:rsidR="00174FA4" w:rsidRPr="00527A2F">
        <w:rPr>
          <w:lang w:val="en-GB"/>
        </w:rPr>
        <w:t>)</w:t>
      </w:r>
      <w:r w:rsidR="004B3064" w:rsidRPr="00527A2F">
        <w:rPr>
          <w:lang w:val="en-GB"/>
        </w:rPr>
        <w:t xml:space="preserve"> and the capacitance</w:t>
      </w:r>
      <w:r w:rsidR="00174FA4" w:rsidRPr="00527A2F">
        <w:rPr>
          <w:lang w:val="en-GB"/>
        </w:rPr>
        <w:t xml:space="preserve"> (C)</w:t>
      </w:r>
      <w:r w:rsidR="0046417E" w:rsidRPr="00527A2F">
        <w:rPr>
          <w:lang w:val="en-GB"/>
        </w:rPr>
        <w:t xml:space="preserve"> can be obtained</w:t>
      </w:r>
      <w:r w:rsidR="004B3064" w:rsidRPr="00527A2F">
        <w:rPr>
          <w:lang w:val="en-GB"/>
        </w:rPr>
        <w:t xml:space="preserve">. The </w:t>
      </w:r>
      <w:r w:rsidR="00E8284C" w:rsidRPr="00527A2F">
        <w:rPr>
          <w:lang w:val="en-GB"/>
        </w:rPr>
        <w:t>R</w:t>
      </w:r>
      <w:r w:rsidR="00E8284C" w:rsidRPr="00527A2F">
        <w:rPr>
          <w:vertAlign w:val="subscript"/>
          <w:lang w:val="en-GB"/>
        </w:rPr>
        <w:t>s</w:t>
      </w:r>
      <w:r w:rsidR="004B3064" w:rsidRPr="00527A2F">
        <w:rPr>
          <w:lang w:val="en-GB"/>
        </w:rPr>
        <w:t xml:space="preserve"> is mainly determined by the electrolyte</w:t>
      </w:r>
      <w:r w:rsidR="00E8284C" w:rsidRPr="00527A2F">
        <w:rPr>
          <w:lang w:val="en-GB"/>
        </w:rPr>
        <w:t xml:space="preserve"> </w:t>
      </w:r>
      <w:r w:rsidR="00954C00" w:rsidRPr="00527A2F">
        <w:rPr>
          <w:lang w:val="en-GB"/>
        </w:rPr>
        <w:t xml:space="preserve">composition, </w:t>
      </w:r>
      <w:r w:rsidR="00DE00AB" w:rsidRPr="00527A2F">
        <w:rPr>
          <w:lang w:val="en-GB"/>
        </w:rPr>
        <w:t xml:space="preserve">while </w:t>
      </w:r>
      <w:proofErr w:type="spellStart"/>
      <w:r w:rsidR="00DE00AB" w:rsidRPr="00527A2F">
        <w:rPr>
          <w:lang w:val="en-GB"/>
        </w:rPr>
        <w:t>R</w:t>
      </w:r>
      <w:r w:rsidR="00DE00AB" w:rsidRPr="00527A2F">
        <w:rPr>
          <w:vertAlign w:val="subscript"/>
          <w:lang w:val="en-GB"/>
        </w:rPr>
        <w:t>ct</w:t>
      </w:r>
      <w:proofErr w:type="spellEnd"/>
      <w:r w:rsidR="00DE00AB" w:rsidRPr="00527A2F">
        <w:rPr>
          <w:lang w:val="en-GB"/>
        </w:rPr>
        <w:t xml:space="preserve"> </w:t>
      </w:r>
      <w:r w:rsidR="004B3064" w:rsidRPr="00527A2F">
        <w:rPr>
          <w:lang w:val="en-GB"/>
        </w:rPr>
        <w:t>is determined by the difficulty that a charge</w:t>
      </w:r>
      <w:r w:rsidR="00954C00" w:rsidRPr="00527A2F">
        <w:rPr>
          <w:lang w:val="en-GB"/>
        </w:rPr>
        <w:t xml:space="preserve"> </w:t>
      </w:r>
      <w:r w:rsidR="00C95CFA" w:rsidRPr="00527A2F">
        <w:rPr>
          <w:lang w:val="en-GB"/>
        </w:rPr>
        <w:t>has</w:t>
      </w:r>
      <w:r w:rsidR="004B3064" w:rsidRPr="00527A2F">
        <w:rPr>
          <w:lang w:val="en-GB"/>
        </w:rPr>
        <w:t xml:space="preserve"> </w:t>
      </w:r>
      <w:r w:rsidR="0055142A" w:rsidRPr="00527A2F">
        <w:rPr>
          <w:lang w:val="en-GB"/>
        </w:rPr>
        <w:t xml:space="preserve">to transfer to </w:t>
      </w:r>
      <w:r w:rsidR="00502FAE" w:rsidRPr="00527A2F">
        <w:rPr>
          <w:lang w:val="en-GB"/>
        </w:rPr>
        <w:t>a</w:t>
      </w:r>
      <w:r w:rsidR="00310666" w:rsidRPr="00527A2F">
        <w:rPr>
          <w:lang w:val="en-GB"/>
        </w:rPr>
        <w:t>n</w:t>
      </w:r>
      <w:r w:rsidR="00502FAE" w:rsidRPr="00527A2F">
        <w:rPr>
          <w:lang w:val="en-GB"/>
        </w:rPr>
        <w:t xml:space="preserve"> electrically charged surface</w:t>
      </w:r>
      <w:r w:rsidR="004B3064" w:rsidRPr="00527A2F">
        <w:rPr>
          <w:lang w:val="en-GB"/>
        </w:rPr>
        <w:t>.</w:t>
      </w:r>
      <w:r w:rsidR="00D53D50" w:rsidRPr="00527A2F">
        <w:rPr>
          <w:lang w:val="en-GB"/>
        </w:rPr>
        <w:t xml:space="preserve"> </w:t>
      </w:r>
      <w:r w:rsidR="00954C00" w:rsidRPr="00527A2F">
        <w:rPr>
          <w:lang w:val="en-GB"/>
        </w:rPr>
        <w:t xml:space="preserve">The EIS </w:t>
      </w:r>
      <w:r w:rsidR="0046417E" w:rsidRPr="00527A2F">
        <w:rPr>
          <w:lang w:val="en-GB"/>
        </w:rPr>
        <w:t>analyses</w:t>
      </w:r>
      <w:r w:rsidR="00954C00" w:rsidRPr="00527A2F">
        <w:rPr>
          <w:lang w:val="en-GB"/>
        </w:rPr>
        <w:t xml:space="preserve"> were performed in the</w:t>
      </w:r>
      <w:r w:rsidR="00214466" w:rsidRPr="00527A2F">
        <w:rPr>
          <w:lang w:val="en-GB"/>
        </w:rPr>
        <w:t xml:space="preserve"> </w:t>
      </w:r>
      <w:r w:rsidR="00954C00" w:rsidRPr="00527A2F">
        <w:rPr>
          <w:lang w:val="en-GB"/>
        </w:rPr>
        <w:t xml:space="preserve">two </w:t>
      </w:r>
      <w:r w:rsidR="00214466" w:rsidRPr="00527A2F">
        <w:rPr>
          <w:lang w:val="en-GB"/>
        </w:rPr>
        <w:t xml:space="preserve">systems at </w:t>
      </w:r>
      <w:r w:rsidR="0046417E" w:rsidRPr="00527A2F">
        <w:rPr>
          <w:lang w:val="en-GB"/>
        </w:rPr>
        <w:t>–</w:t>
      </w:r>
      <w:r w:rsidR="00214466" w:rsidRPr="00527A2F">
        <w:rPr>
          <w:lang w:val="en-GB"/>
        </w:rPr>
        <w:t xml:space="preserve">0.4, </w:t>
      </w:r>
      <w:r w:rsidR="0046417E" w:rsidRPr="00527A2F">
        <w:rPr>
          <w:lang w:val="en-GB"/>
        </w:rPr>
        <w:t>–</w:t>
      </w:r>
      <w:r w:rsidR="00214466" w:rsidRPr="00527A2F">
        <w:rPr>
          <w:lang w:val="en-GB"/>
        </w:rPr>
        <w:t>0.6</w:t>
      </w:r>
      <w:r w:rsidR="0012274E" w:rsidRPr="00527A2F">
        <w:rPr>
          <w:lang w:val="en-GB"/>
        </w:rPr>
        <w:t xml:space="preserve">, </w:t>
      </w:r>
      <w:r w:rsidR="0046417E" w:rsidRPr="00527A2F">
        <w:rPr>
          <w:lang w:val="en-GB"/>
        </w:rPr>
        <w:t>–</w:t>
      </w:r>
      <w:r w:rsidR="00954C00" w:rsidRPr="00527A2F">
        <w:rPr>
          <w:lang w:val="en-GB"/>
        </w:rPr>
        <w:t xml:space="preserve">0.8 and </w:t>
      </w:r>
      <w:r w:rsidR="0046417E" w:rsidRPr="00527A2F">
        <w:rPr>
          <w:lang w:val="en-GB"/>
        </w:rPr>
        <w:t>–</w:t>
      </w:r>
      <w:r w:rsidR="00954C00" w:rsidRPr="00527A2F">
        <w:rPr>
          <w:lang w:val="en-GB"/>
        </w:rPr>
        <w:t>1</w:t>
      </w:r>
      <w:r w:rsidR="0046417E" w:rsidRPr="00527A2F">
        <w:rPr>
          <w:lang w:val="en-GB"/>
        </w:rPr>
        <w:t>.0</w:t>
      </w:r>
      <w:r w:rsidR="00954C00" w:rsidRPr="00527A2F">
        <w:rPr>
          <w:lang w:val="en-GB"/>
        </w:rPr>
        <w:t xml:space="preserve"> V vs</w:t>
      </w:r>
      <w:r w:rsidR="0046417E" w:rsidRPr="00527A2F">
        <w:rPr>
          <w:lang w:val="en-GB"/>
        </w:rPr>
        <w:t>.</w:t>
      </w:r>
      <w:r w:rsidR="00954C00" w:rsidRPr="00527A2F">
        <w:rPr>
          <w:lang w:val="en-GB"/>
        </w:rPr>
        <w:t xml:space="preserve"> RHE </w:t>
      </w:r>
      <w:r w:rsidR="0046417E" w:rsidRPr="00527A2F">
        <w:rPr>
          <w:lang w:val="en-GB"/>
        </w:rPr>
        <w:t>under the</w:t>
      </w:r>
      <w:r w:rsidR="00954C00" w:rsidRPr="00527A2F">
        <w:rPr>
          <w:lang w:val="en-GB"/>
        </w:rPr>
        <w:t xml:space="preserve"> same operati</w:t>
      </w:r>
      <w:r w:rsidR="0046417E" w:rsidRPr="00527A2F">
        <w:rPr>
          <w:lang w:val="en-GB"/>
        </w:rPr>
        <w:t>ng</w:t>
      </w:r>
      <w:r w:rsidR="00954C00" w:rsidRPr="00527A2F">
        <w:rPr>
          <w:lang w:val="en-GB"/>
        </w:rPr>
        <w:t xml:space="preserve"> conditions of the CO</w:t>
      </w:r>
      <w:r w:rsidR="00954C00" w:rsidRPr="00527A2F">
        <w:rPr>
          <w:vertAlign w:val="subscript"/>
          <w:lang w:val="en-GB"/>
        </w:rPr>
        <w:t>2</w:t>
      </w:r>
      <w:r w:rsidR="00954C00" w:rsidRPr="00527A2F">
        <w:rPr>
          <w:lang w:val="en-GB"/>
        </w:rPr>
        <w:t xml:space="preserve"> reduction test</w:t>
      </w:r>
      <w:r w:rsidR="0046417E" w:rsidRPr="00527A2F">
        <w:rPr>
          <w:lang w:val="en-GB"/>
        </w:rPr>
        <w:t>s</w:t>
      </w:r>
      <w:r w:rsidR="00214466" w:rsidRPr="00527A2F">
        <w:rPr>
          <w:lang w:val="en-GB"/>
        </w:rPr>
        <w:t xml:space="preserve">. </w:t>
      </w:r>
      <w:r w:rsidR="00A6419A" w:rsidRPr="00527A2F">
        <w:rPr>
          <w:lang w:val="en-GB"/>
        </w:rPr>
        <w:t>In</w:t>
      </w:r>
      <w:r w:rsidR="00214466" w:rsidRPr="00527A2F">
        <w:rPr>
          <w:lang w:val="en-GB"/>
        </w:rPr>
        <w:t xml:space="preserve"> the gas-phase system</w:t>
      </w:r>
      <w:r w:rsidR="0046417E" w:rsidRPr="00527A2F">
        <w:rPr>
          <w:lang w:val="en-GB"/>
        </w:rPr>
        <w:t>,</w:t>
      </w:r>
      <w:r w:rsidR="00214466" w:rsidRPr="00527A2F">
        <w:rPr>
          <w:lang w:val="en-GB"/>
        </w:rPr>
        <w:t xml:space="preserve"> the </w:t>
      </w:r>
      <w:proofErr w:type="spellStart"/>
      <w:r w:rsidR="00214466" w:rsidRPr="00527A2F">
        <w:rPr>
          <w:lang w:val="en-GB"/>
        </w:rPr>
        <w:t>R</w:t>
      </w:r>
      <w:r w:rsidR="00214466" w:rsidRPr="00527A2F">
        <w:rPr>
          <w:vertAlign w:val="subscript"/>
          <w:lang w:val="en-GB"/>
        </w:rPr>
        <w:t>ct</w:t>
      </w:r>
      <w:proofErr w:type="spellEnd"/>
      <w:r w:rsidR="00214466" w:rsidRPr="00527A2F">
        <w:rPr>
          <w:lang w:val="en-GB"/>
        </w:rPr>
        <w:t xml:space="preserve"> </w:t>
      </w:r>
      <w:r w:rsidR="0046417E" w:rsidRPr="00527A2F">
        <w:rPr>
          <w:lang w:val="en-GB"/>
        </w:rPr>
        <w:t xml:space="preserve">values </w:t>
      </w:r>
      <w:r w:rsidR="00214466" w:rsidRPr="00527A2F">
        <w:rPr>
          <w:lang w:val="en-GB"/>
        </w:rPr>
        <w:t xml:space="preserve">were </w:t>
      </w:r>
      <w:r w:rsidR="002D051F" w:rsidRPr="00527A2F">
        <w:rPr>
          <w:lang w:val="en-GB"/>
        </w:rPr>
        <w:t>lower</w:t>
      </w:r>
      <w:r w:rsidR="00214466" w:rsidRPr="00527A2F">
        <w:rPr>
          <w:lang w:val="en-GB"/>
        </w:rPr>
        <w:t xml:space="preserve"> than in the l</w:t>
      </w:r>
      <w:r w:rsidR="00A6419A" w:rsidRPr="00527A2F">
        <w:rPr>
          <w:lang w:val="en-GB"/>
        </w:rPr>
        <w:t>iquid</w:t>
      </w:r>
      <w:r w:rsidR="0046417E" w:rsidRPr="00527A2F">
        <w:rPr>
          <w:lang w:val="en-GB"/>
        </w:rPr>
        <w:t xml:space="preserve"> </w:t>
      </w:r>
      <w:r w:rsidR="008F27D9" w:rsidRPr="00527A2F">
        <w:rPr>
          <w:lang w:val="en-GB"/>
        </w:rPr>
        <w:t xml:space="preserve">phase for </w:t>
      </w:r>
      <w:r w:rsidR="0046417E" w:rsidRPr="00527A2F">
        <w:rPr>
          <w:lang w:val="en-GB"/>
        </w:rPr>
        <w:t xml:space="preserve">each </w:t>
      </w:r>
      <w:r w:rsidR="00A6419A" w:rsidRPr="00527A2F">
        <w:rPr>
          <w:lang w:val="en-GB"/>
        </w:rPr>
        <w:t xml:space="preserve">applied </w:t>
      </w:r>
      <w:r w:rsidR="008F27D9" w:rsidRPr="00527A2F">
        <w:rPr>
          <w:lang w:val="en-GB"/>
        </w:rPr>
        <w:t>potential</w:t>
      </w:r>
      <w:r w:rsidR="002A5D5F" w:rsidRPr="00527A2F">
        <w:rPr>
          <w:lang w:val="en-GB"/>
        </w:rPr>
        <w:t xml:space="preserve"> (especially at low potentials)</w:t>
      </w:r>
      <w:r w:rsidR="00310666" w:rsidRPr="00527A2F">
        <w:rPr>
          <w:lang w:val="en-GB"/>
        </w:rPr>
        <w:t xml:space="preserve">, as </w:t>
      </w:r>
      <w:r w:rsidR="00C95CFA" w:rsidRPr="00527A2F">
        <w:rPr>
          <w:lang w:val="en-GB"/>
        </w:rPr>
        <w:t>shown</w:t>
      </w:r>
      <w:r w:rsidR="00310666" w:rsidRPr="00527A2F">
        <w:rPr>
          <w:lang w:val="en-GB"/>
        </w:rPr>
        <w:t xml:space="preserve"> in Figure </w:t>
      </w:r>
      <w:r w:rsidR="0046417E" w:rsidRPr="00527A2F">
        <w:rPr>
          <w:lang w:val="en-GB"/>
        </w:rPr>
        <w:t>4</w:t>
      </w:r>
      <w:r w:rsidR="00821B79" w:rsidRPr="00527A2F">
        <w:rPr>
          <w:lang w:val="en-GB"/>
        </w:rPr>
        <w:t>a</w:t>
      </w:r>
      <w:r w:rsidR="002D051F" w:rsidRPr="00527A2F">
        <w:rPr>
          <w:lang w:val="en-GB"/>
        </w:rPr>
        <w:t xml:space="preserve"> </w:t>
      </w:r>
      <w:r w:rsidR="0046417E" w:rsidRPr="00527A2F">
        <w:rPr>
          <w:lang w:val="en-GB"/>
        </w:rPr>
        <w:t xml:space="preserve">reporting the ratio of the </w:t>
      </w:r>
      <w:r w:rsidR="00FF06FD">
        <w:rPr>
          <w:lang w:val="en-GB"/>
        </w:rPr>
        <w:t xml:space="preserve">liquid- and gas-phase </w:t>
      </w:r>
      <w:proofErr w:type="spellStart"/>
      <w:r w:rsidR="0046417E" w:rsidRPr="00527A2F">
        <w:rPr>
          <w:lang w:val="en-GB"/>
        </w:rPr>
        <w:t>R</w:t>
      </w:r>
      <w:r w:rsidR="0046417E" w:rsidRPr="00527A2F">
        <w:rPr>
          <w:vertAlign w:val="subscript"/>
          <w:lang w:val="en-GB"/>
        </w:rPr>
        <w:t>ct</w:t>
      </w:r>
      <w:proofErr w:type="spellEnd"/>
      <w:r w:rsidR="0046417E" w:rsidRPr="00527A2F">
        <w:rPr>
          <w:lang w:val="en-GB"/>
        </w:rPr>
        <w:t xml:space="preserve"> values in the two conditions.</w:t>
      </w:r>
    </w:p>
    <w:p w14:paraId="03B0CF26" w14:textId="5C5DF408" w:rsidR="00D53D50" w:rsidRPr="00527A2F" w:rsidRDefault="00086877" w:rsidP="00290910">
      <w:pPr>
        <w:pStyle w:val="CETBodytext"/>
        <w:rPr>
          <w:lang w:val="en-GB"/>
        </w:rPr>
      </w:pPr>
      <w:r w:rsidRPr="00527A2F">
        <w:rPr>
          <w:noProof/>
          <w:lang w:val="it-IT" w:eastAsia="it-IT"/>
        </w:rPr>
        <w:drawing>
          <wp:anchor distT="0" distB="0" distL="114300" distR="114300" simplePos="0" relativeHeight="251662336" behindDoc="0" locked="0" layoutInCell="1" allowOverlap="1" wp14:anchorId="05401FF1" wp14:editId="1DFB98BB">
            <wp:simplePos x="0" y="0"/>
            <wp:positionH relativeFrom="column">
              <wp:posOffset>1208970</wp:posOffset>
            </wp:positionH>
            <wp:positionV relativeFrom="paragraph">
              <wp:posOffset>520065</wp:posOffset>
            </wp:positionV>
            <wp:extent cx="725992" cy="445764"/>
            <wp:effectExtent l="19050" t="19050" r="17145" b="12065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92" cy="44576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A2F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59D7AFA9" wp14:editId="7B9652C0">
                <wp:simplePos x="0" y="0"/>
                <wp:positionH relativeFrom="column">
                  <wp:posOffset>839239</wp:posOffset>
                </wp:positionH>
                <wp:positionV relativeFrom="paragraph">
                  <wp:posOffset>215081</wp:posOffset>
                </wp:positionV>
                <wp:extent cx="1097280" cy="1404620"/>
                <wp:effectExtent l="0" t="0" r="26670" b="1778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CFCF2" w14:textId="65F6D57D" w:rsidR="00F433DB" w:rsidRPr="001627FF" w:rsidRDefault="007D0718" w:rsidP="00F433DB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Basic EIS </w:t>
                            </w:r>
                            <w:r w:rsidR="00F433DB" w:rsidRPr="001627FF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D7AFA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6.1pt;margin-top:16.95pt;width:86.4pt;height:110.6pt;z-index:25166131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" strokecolor="#4f81bd [3204]" strokeweight="1pt">
                <v:fill opacity="0"/>
                <v:textbox style="mso-fit-shape-to-text:t">
                  <w:txbxContent>
                    <w:p w14:paraId="31BCFCF2" w14:textId="65F6D57D" w:rsidR="00F433DB" w:rsidRPr="001627FF" w:rsidRDefault="007D0718" w:rsidP="00F433DB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Basic EIS </w:t>
                      </w:r>
                      <w:r w:rsidR="00F433DB" w:rsidRPr="001627FF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</w:t>
                      </w:r>
                    </w:p>
                  </w:txbxContent>
                </v:textbox>
              </v:shape>
            </w:pict>
          </mc:Fallback>
        </mc:AlternateContent>
      </w:r>
      <w:r w:rsidR="006E7A57" w:rsidRPr="00527A2F">
        <w:rPr>
          <w:noProof/>
          <w:lang w:val="it-IT" w:eastAsia="it-IT"/>
        </w:rPr>
        <w:drawing>
          <wp:inline distT="0" distB="0" distL="0" distR="0" wp14:anchorId="7E740E0E" wp14:editId="2D2125D5">
            <wp:extent cx="2174050" cy="1866119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92" cy="1874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4787" w:rsidRPr="00527A2F">
        <w:rPr>
          <w:noProof/>
          <w:lang w:val="it-IT" w:eastAsia="it-IT"/>
        </w:rPr>
        <w:drawing>
          <wp:inline distT="0" distB="0" distL="0" distR="0" wp14:anchorId="4F53A03D" wp14:editId="1D602625">
            <wp:extent cx="2180522" cy="1820254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693" cy="1822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89F81" w14:textId="16BF5A82" w:rsidR="00D53D50" w:rsidRPr="00527A2F" w:rsidRDefault="00D53D50" w:rsidP="007554BD">
      <w:pPr>
        <w:pStyle w:val="CETCaption"/>
      </w:pPr>
      <w:r w:rsidRPr="00527A2F">
        <w:t>Figure 4:</w:t>
      </w:r>
      <w:r w:rsidR="00077956" w:rsidRPr="00527A2F">
        <w:t xml:space="preserve"> </w:t>
      </w:r>
      <w:r w:rsidR="00C535C5">
        <w:t xml:space="preserve">a) </w:t>
      </w:r>
      <w:r w:rsidRPr="00527A2F">
        <w:t xml:space="preserve">Liquid- and gas-phase charge-transfer resistance ratio </w:t>
      </w:r>
      <w:r w:rsidR="00C535C5" w:rsidRPr="00527A2F">
        <w:t>(</w:t>
      </w:r>
      <w:proofErr w:type="spellStart"/>
      <w:r w:rsidR="00C535C5" w:rsidRPr="00527A2F">
        <w:t>R</w:t>
      </w:r>
      <w:r w:rsidR="00C535C5" w:rsidRPr="00527A2F">
        <w:rPr>
          <w:vertAlign w:val="subscript"/>
        </w:rPr>
        <w:t>ct</w:t>
      </w:r>
      <w:proofErr w:type="spellEnd"/>
      <w:r w:rsidR="00C535C5" w:rsidRPr="00527A2F">
        <w:t>)</w:t>
      </w:r>
      <w:r w:rsidR="00C535C5">
        <w:t xml:space="preserve"> </w:t>
      </w:r>
      <w:r w:rsidR="00077956" w:rsidRPr="00527A2F">
        <w:t>and</w:t>
      </w:r>
      <w:r w:rsidR="001627FF" w:rsidRPr="00527A2F">
        <w:t xml:space="preserve"> </w:t>
      </w:r>
      <w:r w:rsidR="003E1CF4" w:rsidRPr="00527A2F">
        <w:t>b)</w:t>
      </w:r>
      <w:r w:rsidR="00C535C5">
        <w:t xml:space="preserve"> charge-transfer resistance </w:t>
      </w:r>
      <w:r w:rsidR="00821B79" w:rsidRPr="00527A2F">
        <w:t>in liquid and gas-phase</w:t>
      </w:r>
      <w:r w:rsidR="00EC2A35" w:rsidRPr="00527A2F">
        <w:t xml:space="preserve"> devices</w:t>
      </w:r>
      <w:r w:rsidR="00821B79" w:rsidRPr="00527A2F">
        <w:t xml:space="preserve">, </w:t>
      </w:r>
      <w:r w:rsidR="003B083A" w:rsidRPr="00527A2F">
        <w:t>in presence of</w:t>
      </w:r>
      <w:r w:rsidR="00821B79" w:rsidRPr="00527A2F">
        <w:t xml:space="preserve"> CO</w:t>
      </w:r>
      <w:r w:rsidR="00821B79" w:rsidRPr="00527A2F">
        <w:rPr>
          <w:vertAlign w:val="subscript"/>
        </w:rPr>
        <w:t>2</w:t>
      </w:r>
      <w:r w:rsidR="00821B79" w:rsidRPr="00527A2F">
        <w:t xml:space="preserve"> </w:t>
      </w:r>
      <w:r w:rsidR="003B083A" w:rsidRPr="00527A2F">
        <w:t>or</w:t>
      </w:r>
      <w:r w:rsidR="00821B79" w:rsidRPr="00527A2F">
        <w:t xml:space="preserve"> N</w:t>
      </w:r>
      <w:r w:rsidR="00821B79" w:rsidRPr="00527A2F">
        <w:rPr>
          <w:vertAlign w:val="subscript"/>
        </w:rPr>
        <w:t>2</w:t>
      </w:r>
      <w:r w:rsidR="00C535C5">
        <w:t xml:space="preserve"> </w:t>
      </w:r>
      <w:r w:rsidR="00C535C5" w:rsidRPr="00527A2F">
        <w:t>at different voltages</w:t>
      </w:r>
      <w:r w:rsidR="00C535C5">
        <w:t>.</w:t>
      </w:r>
    </w:p>
    <w:p w14:paraId="00C94F45" w14:textId="3F551DF7" w:rsidR="00182A9E" w:rsidRPr="005919D6" w:rsidRDefault="0043299A" w:rsidP="007554BD">
      <w:pPr>
        <w:pStyle w:val="CETBodytext"/>
        <w:rPr>
          <w:lang w:val="en-GB"/>
        </w:rPr>
      </w:pPr>
      <w:r>
        <w:rPr>
          <w:lang w:val="en-GB"/>
        </w:rPr>
        <w:t>Increasing the potential</w:t>
      </w:r>
      <w:r w:rsidR="00D53D50" w:rsidRPr="00527A2F">
        <w:rPr>
          <w:lang w:val="en-GB"/>
        </w:rPr>
        <w:t xml:space="preserve">, the </w:t>
      </w:r>
      <w:proofErr w:type="spellStart"/>
      <w:r w:rsidR="00D53D50" w:rsidRPr="00527A2F">
        <w:rPr>
          <w:lang w:val="en-GB"/>
        </w:rPr>
        <w:t>R</w:t>
      </w:r>
      <w:r w:rsidR="00D53D50" w:rsidRPr="00527A2F">
        <w:rPr>
          <w:vertAlign w:val="subscript"/>
          <w:lang w:val="en-GB"/>
        </w:rPr>
        <w:t>ct</w:t>
      </w:r>
      <w:proofErr w:type="spellEnd"/>
      <w:r w:rsidR="00D53D50" w:rsidRPr="00527A2F">
        <w:rPr>
          <w:vertAlign w:val="subscript"/>
          <w:lang w:val="en-GB"/>
        </w:rPr>
        <w:t xml:space="preserve"> </w:t>
      </w:r>
      <w:r w:rsidR="00D53D50" w:rsidRPr="00527A2F">
        <w:rPr>
          <w:lang w:val="en-GB"/>
        </w:rPr>
        <w:t xml:space="preserve">values decrease </w:t>
      </w:r>
      <w:r w:rsidRPr="00527A2F">
        <w:rPr>
          <w:lang w:val="en-GB"/>
        </w:rPr>
        <w:t xml:space="preserve">in both cases, </w:t>
      </w:r>
      <w:r w:rsidR="00D53D50" w:rsidRPr="00527A2F">
        <w:rPr>
          <w:lang w:val="en-GB"/>
        </w:rPr>
        <w:t>and this</w:t>
      </w:r>
      <w:r>
        <w:rPr>
          <w:lang w:val="en-GB"/>
        </w:rPr>
        <w:t xml:space="preserve"> is to ascribe </w:t>
      </w:r>
      <w:r w:rsidR="00D53D50" w:rsidRPr="00527A2F">
        <w:rPr>
          <w:lang w:val="en-GB"/>
        </w:rPr>
        <w:t xml:space="preserve">to the fact that the charge-transfer process to the electrode interface is </w:t>
      </w:r>
      <w:r w:rsidR="001C32BE" w:rsidRPr="00527A2F">
        <w:rPr>
          <w:lang w:val="en-GB"/>
        </w:rPr>
        <w:t>favoured</w:t>
      </w:r>
      <w:r w:rsidR="00D53D50" w:rsidRPr="00527A2F">
        <w:rPr>
          <w:lang w:val="en-GB"/>
        </w:rPr>
        <w:t xml:space="preserve"> due to the faster charge mobility between the electrodes, </w:t>
      </w:r>
      <w:r w:rsidR="00D53D50" w:rsidRPr="005919D6">
        <w:rPr>
          <w:lang w:val="en-GB"/>
        </w:rPr>
        <w:t>thus decreasing the overall resistance.</w:t>
      </w:r>
      <w:r w:rsidR="0013622A" w:rsidRPr="005919D6">
        <w:rPr>
          <w:lang w:val="en-GB"/>
        </w:rPr>
        <w:t xml:space="preserve"> </w:t>
      </w:r>
      <w:r w:rsidR="00814D65" w:rsidRPr="005919D6">
        <w:rPr>
          <w:lang w:val="en-GB"/>
        </w:rPr>
        <w:t>In gas-phase</w:t>
      </w:r>
      <w:r w:rsidR="00E805E2" w:rsidRPr="005919D6">
        <w:rPr>
          <w:lang w:val="en-GB"/>
        </w:rPr>
        <w:t>,</w:t>
      </w:r>
      <w:r w:rsidR="00814D65" w:rsidRPr="005919D6">
        <w:rPr>
          <w:lang w:val="en-GB"/>
        </w:rPr>
        <w:t xml:space="preserve"> the concentration of CO</w:t>
      </w:r>
      <w:r w:rsidR="00814D65" w:rsidRPr="005919D6">
        <w:rPr>
          <w:vertAlign w:val="subscript"/>
          <w:lang w:val="en-GB"/>
        </w:rPr>
        <w:t>2</w:t>
      </w:r>
      <w:r w:rsidR="00814D65" w:rsidRPr="005919D6">
        <w:rPr>
          <w:lang w:val="en-GB"/>
        </w:rPr>
        <w:t xml:space="preserve"> at the electrolyte/electrode interface is much higher than in the liquid-phase system (where instead its availability is limited by the solubility), and this strongly influences the charge-transfer mechanism, thus reducing the </w:t>
      </w:r>
      <w:proofErr w:type="spellStart"/>
      <w:r w:rsidR="00814D65" w:rsidRPr="005919D6">
        <w:rPr>
          <w:lang w:val="en-GB"/>
        </w:rPr>
        <w:t>R</w:t>
      </w:r>
      <w:r w:rsidR="00814D65" w:rsidRPr="005919D6">
        <w:rPr>
          <w:vertAlign w:val="subscript"/>
          <w:lang w:val="en-GB"/>
        </w:rPr>
        <w:t>ct</w:t>
      </w:r>
      <w:proofErr w:type="spellEnd"/>
      <w:r w:rsidR="00814D65" w:rsidRPr="005919D6">
        <w:rPr>
          <w:lang w:val="en-GB"/>
        </w:rPr>
        <w:t xml:space="preserve"> in presence of CO</w:t>
      </w:r>
      <w:r w:rsidR="00814D65" w:rsidRPr="005919D6">
        <w:rPr>
          <w:vertAlign w:val="subscript"/>
          <w:lang w:val="en-GB"/>
        </w:rPr>
        <w:t>2</w:t>
      </w:r>
      <w:r w:rsidR="00814D65" w:rsidRPr="005919D6">
        <w:rPr>
          <w:lang w:val="en-GB"/>
        </w:rPr>
        <w:t xml:space="preserve"> (</w:t>
      </w:r>
      <w:proofErr w:type="spellStart"/>
      <w:r w:rsidR="00814D65" w:rsidRPr="005919D6">
        <w:rPr>
          <w:lang w:val="en-GB"/>
        </w:rPr>
        <w:t>Ampelli</w:t>
      </w:r>
      <w:proofErr w:type="spellEnd"/>
      <w:r w:rsidR="00814D65" w:rsidRPr="005919D6">
        <w:rPr>
          <w:lang w:val="en-GB"/>
        </w:rPr>
        <w:t xml:space="preserve"> et al., 201</w:t>
      </w:r>
      <w:r w:rsidR="00417DC7" w:rsidRPr="005919D6">
        <w:rPr>
          <w:lang w:val="en-GB"/>
        </w:rPr>
        <w:t>4</w:t>
      </w:r>
      <w:r w:rsidR="00814D65" w:rsidRPr="005919D6">
        <w:rPr>
          <w:lang w:val="en-GB"/>
        </w:rPr>
        <w:t>). The high CO</w:t>
      </w:r>
      <w:r w:rsidR="00814D65" w:rsidRPr="005919D6">
        <w:rPr>
          <w:vertAlign w:val="subscript"/>
          <w:lang w:val="en-GB"/>
        </w:rPr>
        <w:t>2</w:t>
      </w:r>
      <w:r w:rsidR="00814D65" w:rsidRPr="005919D6">
        <w:rPr>
          <w:lang w:val="en-GB"/>
        </w:rPr>
        <w:t xml:space="preserve"> concentration in gas phase limits the proton availability at the catalytic interface, slowing down the desorption of the -CO species, which through CO-CO coupling reactions lead to the formation of long carbon chains (</w:t>
      </w:r>
      <w:proofErr w:type="spellStart"/>
      <w:r w:rsidR="00814D65" w:rsidRPr="005919D6">
        <w:rPr>
          <w:lang w:val="en-GB"/>
        </w:rPr>
        <w:t>Giusi</w:t>
      </w:r>
      <w:proofErr w:type="spellEnd"/>
      <w:r w:rsidR="00814D65" w:rsidRPr="005919D6">
        <w:rPr>
          <w:lang w:val="en-GB"/>
        </w:rPr>
        <w:t xml:space="preserve"> et al., 2022).</w:t>
      </w:r>
      <w:r w:rsidR="00881D96" w:rsidRPr="005919D6">
        <w:rPr>
          <w:lang w:val="en-GB"/>
        </w:rPr>
        <w:t xml:space="preserve"> </w:t>
      </w:r>
      <w:r w:rsidR="00E919D9" w:rsidRPr="005919D6">
        <w:rPr>
          <w:lang w:val="en-GB"/>
        </w:rPr>
        <w:t>To</w:t>
      </w:r>
      <w:r w:rsidR="00965111" w:rsidRPr="005919D6">
        <w:rPr>
          <w:lang w:val="en-GB"/>
        </w:rPr>
        <w:t xml:space="preserve"> understand the phenomena that </w:t>
      </w:r>
      <w:r w:rsidR="009F2700" w:rsidRPr="005919D6">
        <w:rPr>
          <w:lang w:val="en-GB"/>
        </w:rPr>
        <w:t>address</w:t>
      </w:r>
      <w:r w:rsidR="00965111" w:rsidRPr="005919D6">
        <w:rPr>
          <w:lang w:val="en-GB"/>
        </w:rPr>
        <w:t xml:space="preserve"> the different diffusive </w:t>
      </w:r>
      <w:r w:rsidR="001C32BE" w:rsidRPr="005919D6">
        <w:rPr>
          <w:lang w:val="en-GB"/>
        </w:rPr>
        <w:t>behaviour</w:t>
      </w:r>
      <w:r w:rsidR="00965111" w:rsidRPr="005919D6">
        <w:rPr>
          <w:lang w:val="en-GB"/>
        </w:rPr>
        <w:t xml:space="preserve"> of protons</w:t>
      </w:r>
      <w:r w:rsidR="00336158" w:rsidRPr="005919D6">
        <w:rPr>
          <w:lang w:val="en-GB"/>
        </w:rPr>
        <w:t xml:space="preserve"> in the catalytic layer</w:t>
      </w:r>
      <w:r w:rsidR="00965111" w:rsidRPr="005919D6">
        <w:rPr>
          <w:lang w:val="en-GB"/>
        </w:rPr>
        <w:t xml:space="preserve">, EIS </w:t>
      </w:r>
      <w:r w:rsidR="0013622A" w:rsidRPr="005919D6">
        <w:rPr>
          <w:lang w:val="en-GB"/>
        </w:rPr>
        <w:t>analys</w:t>
      </w:r>
      <w:r w:rsidR="00E805E2" w:rsidRPr="005919D6">
        <w:rPr>
          <w:lang w:val="en-GB"/>
        </w:rPr>
        <w:t>e</w:t>
      </w:r>
      <w:r w:rsidR="0013622A" w:rsidRPr="005919D6">
        <w:rPr>
          <w:lang w:val="en-GB"/>
        </w:rPr>
        <w:t xml:space="preserve">s </w:t>
      </w:r>
      <w:r w:rsidR="003208E4" w:rsidRPr="005919D6">
        <w:rPr>
          <w:lang w:val="en-GB"/>
        </w:rPr>
        <w:t xml:space="preserve">were </w:t>
      </w:r>
      <w:r w:rsidR="00965111" w:rsidRPr="005919D6">
        <w:rPr>
          <w:lang w:val="en-GB"/>
        </w:rPr>
        <w:t>performed</w:t>
      </w:r>
      <w:r w:rsidR="00336158" w:rsidRPr="005919D6">
        <w:rPr>
          <w:lang w:val="en-GB"/>
        </w:rPr>
        <w:t xml:space="preserve"> in the two systems</w:t>
      </w:r>
      <w:r w:rsidR="00965111" w:rsidRPr="005919D6">
        <w:rPr>
          <w:lang w:val="en-GB"/>
        </w:rPr>
        <w:t xml:space="preserve"> in presence of CO</w:t>
      </w:r>
      <w:r w:rsidR="00965111" w:rsidRPr="005919D6">
        <w:rPr>
          <w:vertAlign w:val="subscript"/>
          <w:lang w:val="en-GB"/>
        </w:rPr>
        <w:t>2</w:t>
      </w:r>
      <w:r w:rsidR="00965111" w:rsidRPr="005919D6">
        <w:rPr>
          <w:lang w:val="en-GB"/>
        </w:rPr>
        <w:t xml:space="preserve"> </w:t>
      </w:r>
      <w:r w:rsidR="00904F9D" w:rsidRPr="005919D6">
        <w:rPr>
          <w:lang w:val="en-GB"/>
        </w:rPr>
        <w:t>or</w:t>
      </w:r>
      <w:r w:rsidR="00965111" w:rsidRPr="005919D6">
        <w:rPr>
          <w:lang w:val="en-GB"/>
        </w:rPr>
        <w:t xml:space="preserve"> N</w:t>
      </w:r>
      <w:r w:rsidR="00965111" w:rsidRPr="005919D6">
        <w:rPr>
          <w:vertAlign w:val="subscript"/>
          <w:lang w:val="en-GB"/>
        </w:rPr>
        <w:t>2</w:t>
      </w:r>
      <w:r w:rsidR="00904F9D" w:rsidRPr="005919D6">
        <w:rPr>
          <w:vertAlign w:val="subscript"/>
          <w:lang w:val="en-GB"/>
        </w:rPr>
        <w:t xml:space="preserve"> </w:t>
      </w:r>
      <w:r w:rsidR="008A4F84" w:rsidRPr="005919D6">
        <w:rPr>
          <w:lang w:val="en-GB"/>
        </w:rPr>
        <w:t xml:space="preserve">and the </w:t>
      </w:r>
      <w:proofErr w:type="spellStart"/>
      <w:r w:rsidR="00965111" w:rsidRPr="005919D6">
        <w:rPr>
          <w:lang w:val="en-GB"/>
        </w:rPr>
        <w:t>R</w:t>
      </w:r>
      <w:r w:rsidR="00965111" w:rsidRPr="005919D6">
        <w:rPr>
          <w:vertAlign w:val="subscript"/>
          <w:lang w:val="en-GB"/>
        </w:rPr>
        <w:t>ct</w:t>
      </w:r>
      <w:proofErr w:type="spellEnd"/>
      <w:r w:rsidR="008A4F84" w:rsidRPr="005919D6">
        <w:t xml:space="preserve"> </w:t>
      </w:r>
      <w:r w:rsidR="00182A9E" w:rsidRPr="005919D6">
        <w:t>values</w:t>
      </w:r>
      <w:r w:rsidR="00411BAD" w:rsidRPr="005919D6">
        <w:t xml:space="preserve"> </w:t>
      </w:r>
      <w:r w:rsidR="008A4F84" w:rsidRPr="005919D6">
        <w:rPr>
          <w:lang w:val="en-GB"/>
        </w:rPr>
        <w:t>were compared</w:t>
      </w:r>
      <w:r w:rsidR="00D53D50" w:rsidRPr="005919D6">
        <w:rPr>
          <w:vertAlign w:val="subscript"/>
          <w:lang w:val="en-GB"/>
        </w:rPr>
        <w:t xml:space="preserve"> </w:t>
      </w:r>
      <w:r w:rsidR="00D53D50" w:rsidRPr="005919D6">
        <w:rPr>
          <w:lang w:val="en-GB"/>
        </w:rPr>
        <w:t>(</w:t>
      </w:r>
      <w:r w:rsidR="0013622A" w:rsidRPr="005919D6">
        <w:rPr>
          <w:lang w:val="en-GB"/>
        </w:rPr>
        <w:t xml:space="preserve">see </w:t>
      </w:r>
      <w:r w:rsidR="00D53D50" w:rsidRPr="005919D6">
        <w:rPr>
          <w:lang w:val="en-GB"/>
        </w:rPr>
        <w:t xml:space="preserve">Figure </w:t>
      </w:r>
      <w:r w:rsidR="00821B79" w:rsidRPr="005919D6">
        <w:rPr>
          <w:lang w:val="en-GB"/>
        </w:rPr>
        <w:t>4b</w:t>
      </w:r>
      <w:r w:rsidR="00D53D50" w:rsidRPr="005919D6">
        <w:rPr>
          <w:lang w:val="en-GB"/>
        </w:rPr>
        <w:t>)</w:t>
      </w:r>
      <w:r w:rsidR="00965111" w:rsidRPr="005919D6">
        <w:rPr>
          <w:lang w:val="en-GB"/>
        </w:rPr>
        <w:t xml:space="preserve">. </w:t>
      </w:r>
      <w:r w:rsidR="006B2589" w:rsidRPr="005919D6">
        <w:rPr>
          <w:lang w:val="en-GB"/>
        </w:rPr>
        <w:t xml:space="preserve">The results </w:t>
      </w:r>
      <w:r w:rsidR="008A4F84" w:rsidRPr="005919D6">
        <w:rPr>
          <w:lang w:val="en-GB"/>
        </w:rPr>
        <w:t>show</w:t>
      </w:r>
      <w:r w:rsidR="006B2589" w:rsidRPr="005919D6">
        <w:rPr>
          <w:lang w:val="en-GB"/>
        </w:rPr>
        <w:t xml:space="preserve"> that in liquid-phase </w:t>
      </w:r>
      <w:r w:rsidR="00D06F17" w:rsidRPr="005919D6">
        <w:rPr>
          <w:lang w:val="en-GB"/>
        </w:rPr>
        <w:t xml:space="preserve">the </w:t>
      </w:r>
      <w:proofErr w:type="spellStart"/>
      <w:r w:rsidR="00D06F17" w:rsidRPr="005919D6">
        <w:rPr>
          <w:lang w:val="en-GB"/>
        </w:rPr>
        <w:t>R</w:t>
      </w:r>
      <w:r w:rsidR="00D06F17" w:rsidRPr="005919D6">
        <w:rPr>
          <w:vertAlign w:val="subscript"/>
          <w:lang w:val="en-GB"/>
        </w:rPr>
        <w:t>ct</w:t>
      </w:r>
      <w:proofErr w:type="spellEnd"/>
      <w:r w:rsidR="00D06F17" w:rsidRPr="005919D6">
        <w:rPr>
          <w:vertAlign w:val="subscript"/>
          <w:lang w:val="en-GB"/>
        </w:rPr>
        <w:t xml:space="preserve"> </w:t>
      </w:r>
      <w:r w:rsidR="00D06F17" w:rsidRPr="005919D6">
        <w:rPr>
          <w:lang w:val="en-GB"/>
        </w:rPr>
        <w:t xml:space="preserve">values </w:t>
      </w:r>
      <w:r w:rsidR="00AD415A" w:rsidRPr="005919D6">
        <w:rPr>
          <w:lang w:val="en-GB"/>
        </w:rPr>
        <w:t>were</w:t>
      </w:r>
      <w:r w:rsidR="006B2589" w:rsidRPr="005919D6">
        <w:rPr>
          <w:lang w:val="en-GB"/>
        </w:rPr>
        <w:t xml:space="preserve"> very similar </w:t>
      </w:r>
      <w:r w:rsidR="00D06F17" w:rsidRPr="005919D6">
        <w:rPr>
          <w:lang w:val="en-GB"/>
        </w:rPr>
        <w:t xml:space="preserve">in the presence </w:t>
      </w:r>
      <w:r w:rsidR="006B2589" w:rsidRPr="005919D6">
        <w:rPr>
          <w:lang w:val="en-GB"/>
        </w:rPr>
        <w:t xml:space="preserve">or absence </w:t>
      </w:r>
      <w:r w:rsidR="00D06F17" w:rsidRPr="005919D6">
        <w:rPr>
          <w:lang w:val="en-GB"/>
        </w:rPr>
        <w:t>of CO</w:t>
      </w:r>
      <w:r w:rsidR="00D06F17" w:rsidRPr="005919D6">
        <w:rPr>
          <w:vertAlign w:val="subscript"/>
          <w:lang w:val="en-GB"/>
        </w:rPr>
        <w:t>2</w:t>
      </w:r>
      <w:r w:rsidR="007A3F95" w:rsidRPr="005919D6">
        <w:rPr>
          <w:lang w:val="en-GB"/>
        </w:rPr>
        <w:t xml:space="preserve"> (CO</w:t>
      </w:r>
      <w:r w:rsidR="007A3F95" w:rsidRPr="005919D6">
        <w:rPr>
          <w:vertAlign w:val="subscript"/>
          <w:lang w:val="en-GB"/>
        </w:rPr>
        <w:t>2</w:t>
      </w:r>
      <w:r w:rsidR="007A3F95" w:rsidRPr="005919D6">
        <w:rPr>
          <w:lang w:val="en-GB"/>
        </w:rPr>
        <w:t xml:space="preserve"> vs. N</w:t>
      </w:r>
      <w:r w:rsidR="007A3F95" w:rsidRPr="005919D6">
        <w:rPr>
          <w:vertAlign w:val="subscript"/>
          <w:lang w:val="en-GB"/>
        </w:rPr>
        <w:t>2</w:t>
      </w:r>
      <w:r w:rsidR="007A3F95" w:rsidRPr="005919D6">
        <w:rPr>
          <w:lang w:val="en-GB"/>
        </w:rPr>
        <w:t>)</w:t>
      </w:r>
      <w:r w:rsidR="00E805E2" w:rsidRPr="005919D6">
        <w:rPr>
          <w:lang w:val="en-GB"/>
        </w:rPr>
        <w:t>. O</w:t>
      </w:r>
      <w:r w:rsidR="006B2589" w:rsidRPr="005919D6">
        <w:rPr>
          <w:lang w:val="en-GB"/>
        </w:rPr>
        <w:t xml:space="preserve">n the </w:t>
      </w:r>
      <w:r w:rsidR="00D30793" w:rsidRPr="005919D6">
        <w:rPr>
          <w:lang w:val="en-GB"/>
        </w:rPr>
        <w:t>contrary,</w:t>
      </w:r>
      <w:r w:rsidR="006B2589" w:rsidRPr="005919D6">
        <w:rPr>
          <w:lang w:val="en-GB"/>
        </w:rPr>
        <w:t xml:space="preserve"> </w:t>
      </w:r>
      <w:r w:rsidR="00D06F17" w:rsidRPr="005919D6">
        <w:rPr>
          <w:lang w:val="en-GB"/>
        </w:rPr>
        <w:t xml:space="preserve">a great difference </w:t>
      </w:r>
      <w:r w:rsidR="00AD415A" w:rsidRPr="005919D6">
        <w:rPr>
          <w:lang w:val="en-GB"/>
        </w:rPr>
        <w:t xml:space="preserve">was </w:t>
      </w:r>
      <w:r w:rsidR="006B2589" w:rsidRPr="005919D6">
        <w:rPr>
          <w:lang w:val="en-GB"/>
        </w:rPr>
        <w:t xml:space="preserve">obtained </w:t>
      </w:r>
      <w:r w:rsidR="00D06F17" w:rsidRPr="005919D6">
        <w:rPr>
          <w:lang w:val="en-GB"/>
        </w:rPr>
        <w:t>when operating in gas</w:t>
      </w:r>
      <w:r w:rsidR="00411BAD" w:rsidRPr="005919D6">
        <w:rPr>
          <w:lang w:val="en-GB"/>
        </w:rPr>
        <w:t>-</w:t>
      </w:r>
      <w:r w:rsidR="00D06F17" w:rsidRPr="005919D6">
        <w:rPr>
          <w:lang w:val="en-GB"/>
        </w:rPr>
        <w:t xml:space="preserve">phase. </w:t>
      </w:r>
      <w:r w:rsidR="00E2663E" w:rsidRPr="005919D6">
        <w:rPr>
          <w:lang w:val="en-GB"/>
        </w:rPr>
        <w:t>T</w:t>
      </w:r>
      <w:r w:rsidR="00D06F17" w:rsidRPr="005919D6">
        <w:rPr>
          <w:lang w:val="en-GB"/>
        </w:rPr>
        <w:t xml:space="preserve">he </w:t>
      </w:r>
      <w:r w:rsidR="00AD0F79" w:rsidRPr="005919D6">
        <w:rPr>
          <w:lang w:val="en-GB"/>
        </w:rPr>
        <w:t>gas</w:t>
      </w:r>
      <w:r w:rsidR="00182A9E" w:rsidRPr="005919D6">
        <w:rPr>
          <w:lang w:val="en-GB"/>
        </w:rPr>
        <w:t xml:space="preserve">-phase </w:t>
      </w:r>
      <w:proofErr w:type="spellStart"/>
      <w:r w:rsidR="00D06F17" w:rsidRPr="005919D6">
        <w:rPr>
          <w:lang w:val="en-GB"/>
        </w:rPr>
        <w:t>R</w:t>
      </w:r>
      <w:r w:rsidR="00D06F17" w:rsidRPr="005919D6">
        <w:rPr>
          <w:vertAlign w:val="subscript"/>
          <w:lang w:val="en-GB"/>
        </w:rPr>
        <w:t>ct</w:t>
      </w:r>
      <w:proofErr w:type="spellEnd"/>
      <w:r w:rsidR="00D06F17" w:rsidRPr="005919D6">
        <w:rPr>
          <w:lang w:val="en-GB"/>
        </w:rPr>
        <w:t xml:space="preserve"> </w:t>
      </w:r>
      <w:r w:rsidR="00182A9E" w:rsidRPr="005919D6">
        <w:rPr>
          <w:lang w:val="en-GB"/>
        </w:rPr>
        <w:t xml:space="preserve">values </w:t>
      </w:r>
      <w:r w:rsidR="0013622A" w:rsidRPr="005919D6">
        <w:rPr>
          <w:lang w:val="en-GB"/>
        </w:rPr>
        <w:t>under N</w:t>
      </w:r>
      <w:r w:rsidR="0013622A" w:rsidRPr="005919D6">
        <w:rPr>
          <w:vertAlign w:val="subscript"/>
          <w:lang w:val="en-GB"/>
        </w:rPr>
        <w:t>2</w:t>
      </w:r>
      <w:r w:rsidR="0013622A" w:rsidRPr="005919D6">
        <w:rPr>
          <w:lang w:val="en-GB"/>
        </w:rPr>
        <w:t xml:space="preserve"> flow </w:t>
      </w:r>
      <w:r w:rsidR="00E805E2" w:rsidRPr="005919D6">
        <w:rPr>
          <w:lang w:val="en-GB"/>
        </w:rPr>
        <w:t>were</w:t>
      </w:r>
      <w:r w:rsidR="00E2663E" w:rsidRPr="005919D6">
        <w:rPr>
          <w:lang w:val="en-GB"/>
        </w:rPr>
        <w:t xml:space="preserve">, in fact, </w:t>
      </w:r>
      <w:r w:rsidR="00D06F17" w:rsidRPr="005919D6">
        <w:rPr>
          <w:lang w:val="en-GB"/>
        </w:rPr>
        <w:t xml:space="preserve">much higher </w:t>
      </w:r>
      <w:r w:rsidR="00394855" w:rsidRPr="005919D6">
        <w:rPr>
          <w:lang w:val="en-GB"/>
        </w:rPr>
        <w:t>than under CO</w:t>
      </w:r>
      <w:r w:rsidR="00394855" w:rsidRPr="005919D6">
        <w:rPr>
          <w:vertAlign w:val="subscript"/>
          <w:lang w:val="en-GB"/>
        </w:rPr>
        <w:t>2</w:t>
      </w:r>
      <w:r w:rsidR="00394855" w:rsidRPr="005919D6">
        <w:rPr>
          <w:lang w:val="en-GB"/>
        </w:rPr>
        <w:t xml:space="preserve"> flow</w:t>
      </w:r>
      <w:r w:rsidR="00E2663E" w:rsidRPr="005919D6">
        <w:rPr>
          <w:lang w:val="en-GB"/>
        </w:rPr>
        <w:t xml:space="preserve">, </w:t>
      </w:r>
      <w:r w:rsidR="006B2589" w:rsidRPr="005919D6">
        <w:rPr>
          <w:lang w:val="en-GB"/>
        </w:rPr>
        <w:t>especially at lower potentials</w:t>
      </w:r>
      <w:r w:rsidR="00E2663E" w:rsidRPr="005919D6">
        <w:rPr>
          <w:lang w:val="en-GB"/>
        </w:rPr>
        <w:t>.</w:t>
      </w:r>
      <w:r w:rsidR="00A73092" w:rsidRPr="005919D6">
        <w:rPr>
          <w:lang w:val="en-GB"/>
        </w:rPr>
        <w:t xml:space="preserve"> This is a clear indication that in liquid-phase, due to higher diffusio</w:t>
      </w:r>
      <w:r w:rsidR="00814D65" w:rsidRPr="005919D6">
        <w:rPr>
          <w:lang w:val="en-GB"/>
        </w:rPr>
        <w:t>nal resistances than in the gas</w:t>
      </w:r>
      <w:r w:rsidR="00A73092" w:rsidRPr="005919D6">
        <w:rPr>
          <w:lang w:val="en-GB"/>
        </w:rPr>
        <w:t xml:space="preserve">-phase, the </w:t>
      </w:r>
      <w:proofErr w:type="spellStart"/>
      <w:r w:rsidR="00A73092" w:rsidRPr="005919D6">
        <w:rPr>
          <w:lang w:val="en-GB"/>
        </w:rPr>
        <w:t>R</w:t>
      </w:r>
      <w:r w:rsidR="00A73092" w:rsidRPr="005919D6">
        <w:rPr>
          <w:vertAlign w:val="subscript"/>
          <w:lang w:val="en-GB"/>
        </w:rPr>
        <w:t>ct</w:t>
      </w:r>
      <w:proofErr w:type="spellEnd"/>
      <w:r w:rsidR="00A73092" w:rsidRPr="005919D6">
        <w:rPr>
          <w:lang w:val="en-GB"/>
        </w:rPr>
        <w:t xml:space="preserve"> of the system is less affected by the presence of CO</w:t>
      </w:r>
      <w:r w:rsidR="00A73092" w:rsidRPr="005919D6">
        <w:rPr>
          <w:vertAlign w:val="subscript"/>
          <w:lang w:val="en-GB"/>
        </w:rPr>
        <w:t>2</w:t>
      </w:r>
      <w:r w:rsidR="00A73092" w:rsidRPr="005919D6">
        <w:rPr>
          <w:lang w:val="en-GB"/>
        </w:rPr>
        <w:t xml:space="preserve"> </w:t>
      </w:r>
      <w:r w:rsidR="003848B8" w:rsidRPr="005919D6">
        <w:rPr>
          <w:lang w:val="en-GB"/>
        </w:rPr>
        <w:t>or</w:t>
      </w:r>
      <w:r w:rsidR="00A73092" w:rsidRPr="005919D6">
        <w:rPr>
          <w:lang w:val="en-GB"/>
        </w:rPr>
        <w:t xml:space="preserve"> N</w:t>
      </w:r>
      <w:r w:rsidR="00A73092" w:rsidRPr="005919D6">
        <w:rPr>
          <w:vertAlign w:val="subscript"/>
          <w:lang w:val="en-GB"/>
        </w:rPr>
        <w:t>2</w:t>
      </w:r>
      <w:r w:rsidR="00A73092" w:rsidRPr="005919D6">
        <w:rPr>
          <w:lang w:val="en-GB"/>
        </w:rPr>
        <w:t>, as the high concentration of protons at the interface is dominant</w:t>
      </w:r>
      <w:r w:rsidR="00E805E2" w:rsidRPr="005919D6">
        <w:rPr>
          <w:lang w:val="en-GB"/>
        </w:rPr>
        <w:t>. T</w:t>
      </w:r>
      <w:r w:rsidR="00E169EC" w:rsidRPr="005919D6">
        <w:rPr>
          <w:lang w:val="en-GB"/>
        </w:rPr>
        <w:t xml:space="preserve">he </w:t>
      </w:r>
      <w:r w:rsidR="00814D65" w:rsidRPr="005919D6">
        <w:rPr>
          <w:lang w:val="en-GB"/>
        </w:rPr>
        <w:t>consequent competition in surface adsorption with respect to the intermediate species of CO</w:t>
      </w:r>
      <w:r w:rsidR="00814D65" w:rsidRPr="005919D6">
        <w:rPr>
          <w:vertAlign w:val="subscript"/>
          <w:lang w:val="en-GB"/>
        </w:rPr>
        <w:t>2</w:t>
      </w:r>
      <w:r w:rsidR="00814D65" w:rsidRPr="005919D6">
        <w:rPr>
          <w:lang w:val="en-GB"/>
        </w:rPr>
        <w:t xml:space="preserve"> </w:t>
      </w:r>
      <w:r w:rsidR="00E169EC" w:rsidRPr="005919D6">
        <w:rPr>
          <w:lang w:val="en-GB"/>
        </w:rPr>
        <w:t>leads</w:t>
      </w:r>
      <w:r w:rsidR="00814D65" w:rsidRPr="005919D6">
        <w:rPr>
          <w:lang w:val="en-GB"/>
        </w:rPr>
        <w:t xml:space="preserve"> mainly to the formation of carbon monoxide and formic acid (which requires only 2 electrons), thus favouring their rapid desorption</w:t>
      </w:r>
      <w:r w:rsidR="00E169EC" w:rsidRPr="005919D6">
        <w:rPr>
          <w:lang w:val="en-GB"/>
        </w:rPr>
        <w:t>.</w:t>
      </w:r>
    </w:p>
    <w:p w14:paraId="71839095" w14:textId="2FDF4F48" w:rsidR="00885862" w:rsidRPr="005919D6" w:rsidRDefault="00E72358" w:rsidP="00E72358">
      <w:pPr>
        <w:pStyle w:val="CETHeading1"/>
        <w:rPr>
          <w:lang w:val="en-GB"/>
        </w:rPr>
      </w:pPr>
      <w:r w:rsidRPr="005919D6">
        <w:rPr>
          <w:lang w:val="en-GB"/>
        </w:rPr>
        <w:t>Conclusion</w:t>
      </w:r>
      <w:r w:rsidR="00A110B5" w:rsidRPr="005919D6">
        <w:rPr>
          <w:lang w:val="en-GB"/>
        </w:rPr>
        <w:t>s</w:t>
      </w:r>
    </w:p>
    <w:p w14:paraId="6A6F8A48" w14:textId="2B920676" w:rsidR="00CE355B" w:rsidRPr="005919D6" w:rsidRDefault="000B525C" w:rsidP="00814D65">
      <w:pPr>
        <w:pStyle w:val="CETBodytext"/>
        <w:rPr>
          <w:lang w:val="en-GB"/>
        </w:rPr>
      </w:pPr>
      <w:r w:rsidRPr="005919D6">
        <w:rPr>
          <w:lang w:val="en-GB"/>
        </w:rPr>
        <w:t>In this work</w:t>
      </w:r>
      <w:r w:rsidR="00913D0B" w:rsidRPr="005919D6">
        <w:rPr>
          <w:lang w:val="en-GB"/>
        </w:rPr>
        <w:t>,</w:t>
      </w:r>
      <w:r w:rsidRPr="005919D6">
        <w:rPr>
          <w:lang w:val="en-GB"/>
        </w:rPr>
        <w:t xml:space="preserve"> </w:t>
      </w:r>
      <w:r w:rsidR="00174494" w:rsidRPr="005919D6">
        <w:rPr>
          <w:lang w:val="en-GB"/>
        </w:rPr>
        <w:t xml:space="preserve">the influence of </w:t>
      </w:r>
      <w:r w:rsidRPr="005919D6">
        <w:rPr>
          <w:lang w:val="en-GB"/>
        </w:rPr>
        <w:t xml:space="preserve">engineering of an </w:t>
      </w:r>
      <w:r w:rsidR="00A036E5" w:rsidRPr="005919D6">
        <w:rPr>
          <w:lang w:val="en-GB"/>
        </w:rPr>
        <w:t>electro</w:t>
      </w:r>
      <w:r w:rsidRPr="005919D6">
        <w:rPr>
          <w:lang w:val="en-GB"/>
        </w:rPr>
        <w:t xml:space="preserve">chemical device </w:t>
      </w:r>
      <w:r w:rsidR="00174494" w:rsidRPr="005919D6">
        <w:rPr>
          <w:lang w:val="en-GB"/>
        </w:rPr>
        <w:t>on CO</w:t>
      </w:r>
      <w:r w:rsidR="00174494" w:rsidRPr="005919D6">
        <w:rPr>
          <w:vertAlign w:val="subscript"/>
          <w:lang w:val="en-GB"/>
        </w:rPr>
        <w:t>2</w:t>
      </w:r>
      <w:r w:rsidR="00174494" w:rsidRPr="005919D6">
        <w:rPr>
          <w:lang w:val="en-GB"/>
        </w:rPr>
        <w:t xml:space="preserve"> reduction </w:t>
      </w:r>
      <w:r w:rsidRPr="005919D6">
        <w:rPr>
          <w:lang w:val="en-GB"/>
        </w:rPr>
        <w:t>selectivity</w:t>
      </w:r>
      <w:r w:rsidR="00174494" w:rsidRPr="005919D6">
        <w:rPr>
          <w:lang w:val="en-GB"/>
        </w:rPr>
        <w:t xml:space="preserve"> has been studied</w:t>
      </w:r>
      <w:r w:rsidRPr="005919D6">
        <w:rPr>
          <w:lang w:val="en-GB"/>
        </w:rPr>
        <w:t xml:space="preserve">. </w:t>
      </w:r>
      <w:r w:rsidR="008643E6" w:rsidRPr="005919D6">
        <w:rPr>
          <w:lang w:val="en-GB"/>
        </w:rPr>
        <w:t>Most of the works in the literature investigate the intrinsic properties of electrocatalysts, without focusing on the diffusion phenomena and the availability of CO</w:t>
      </w:r>
      <w:r w:rsidR="008643E6" w:rsidRPr="005919D6">
        <w:rPr>
          <w:vertAlign w:val="subscript"/>
          <w:lang w:val="en-GB"/>
        </w:rPr>
        <w:t>2</w:t>
      </w:r>
      <w:r w:rsidR="008643E6" w:rsidRPr="005919D6">
        <w:rPr>
          <w:lang w:val="en-GB"/>
        </w:rPr>
        <w:t xml:space="preserve"> species at the catalyst/electrolyte interface. </w:t>
      </w:r>
      <w:r w:rsidR="00352AEA" w:rsidRPr="005919D6">
        <w:rPr>
          <w:lang w:val="en-GB"/>
        </w:rPr>
        <w:t>We compared</w:t>
      </w:r>
      <w:r w:rsidR="00AC2ACF" w:rsidRPr="005919D6">
        <w:rPr>
          <w:lang w:val="en-GB"/>
        </w:rPr>
        <w:t xml:space="preserve"> the performances</w:t>
      </w:r>
      <w:r w:rsidR="00A036E5" w:rsidRPr="005919D6">
        <w:rPr>
          <w:lang w:val="en-GB"/>
        </w:rPr>
        <w:t xml:space="preserve"> obtained in a gas-phase system with a co</w:t>
      </w:r>
      <w:r w:rsidR="00AC2ACF" w:rsidRPr="005919D6">
        <w:rPr>
          <w:lang w:val="en-GB"/>
        </w:rPr>
        <w:t xml:space="preserve">nventional liquid-system, </w:t>
      </w:r>
      <w:r w:rsidR="00A036E5" w:rsidRPr="005919D6">
        <w:rPr>
          <w:lang w:val="en-GB"/>
        </w:rPr>
        <w:t>using a</w:t>
      </w:r>
      <w:r w:rsidR="00B15A73" w:rsidRPr="005919D6">
        <w:rPr>
          <w:lang w:val="en-GB"/>
        </w:rPr>
        <w:t xml:space="preserve"> </w:t>
      </w:r>
      <w:proofErr w:type="spellStart"/>
      <w:r w:rsidR="00A036E5" w:rsidRPr="005919D6">
        <w:rPr>
          <w:lang w:val="en-GB"/>
        </w:rPr>
        <w:t>CuO</w:t>
      </w:r>
      <w:proofErr w:type="spellEnd"/>
      <w:r w:rsidR="00A036E5" w:rsidRPr="005919D6">
        <w:rPr>
          <w:lang w:val="en-GB"/>
        </w:rPr>
        <w:t>/</w:t>
      </w:r>
      <w:r w:rsidR="0064639F" w:rsidRPr="005919D6">
        <w:rPr>
          <w:lang w:val="en-GB"/>
        </w:rPr>
        <w:t>GDL electrode</w:t>
      </w:r>
      <w:r w:rsidR="00A036E5" w:rsidRPr="005919D6">
        <w:rPr>
          <w:lang w:val="en-GB"/>
        </w:rPr>
        <w:t xml:space="preserve"> in both cases. </w:t>
      </w:r>
      <w:r w:rsidR="00645B36" w:rsidRPr="005919D6">
        <w:rPr>
          <w:lang w:val="en-GB"/>
        </w:rPr>
        <w:t>At higher currents, a lower production of C</w:t>
      </w:r>
      <w:r w:rsidR="00645B36" w:rsidRPr="005919D6">
        <w:rPr>
          <w:vertAlign w:val="subscript"/>
          <w:lang w:val="en-GB"/>
        </w:rPr>
        <w:t>1</w:t>
      </w:r>
      <w:r w:rsidR="00645B36" w:rsidRPr="005919D6">
        <w:rPr>
          <w:lang w:val="en-GB"/>
        </w:rPr>
        <w:t xml:space="preserve"> species was detected in the gas-phase system, together with the formation of </w:t>
      </w:r>
      <w:r w:rsidR="00166B36" w:rsidRPr="005919D6">
        <w:rPr>
          <w:lang w:val="en-GB"/>
        </w:rPr>
        <w:t>&gt;</w:t>
      </w:r>
      <w:r w:rsidR="00645B36" w:rsidRPr="005919D6">
        <w:rPr>
          <w:lang w:val="en-GB"/>
        </w:rPr>
        <w:t>C</w:t>
      </w:r>
      <w:r w:rsidR="00D424E5" w:rsidRPr="005919D6">
        <w:rPr>
          <w:vertAlign w:val="subscript"/>
          <w:lang w:val="en-GB"/>
        </w:rPr>
        <w:t>1</w:t>
      </w:r>
      <w:r w:rsidR="00645B36" w:rsidRPr="005919D6">
        <w:rPr>
          <w:lang w:val="en-GB"/>
        </w:rPr>
        <w:t xml:space="preserve"> compounds, such as acetaldehyde</w:t>
      </w:r>
      <w:r w:rsidR="0057122B" w:rsidRPr="005919D6">
        <w:rPr>
          <w:lang w:val="en-GB"/>
        </w:rPr>
        <w:t>,</w:t>
      </w:r>
      <w:r w:rsidR="00645B36" w:rsidRPr="005919D6">
        <w:rPr>
          <w:lang w:val="en-GB"/>
        </w:rPr>
        <w:t xml:space="preserve"> ethanol, propionaldehyde, butanone, </w:t>
      </w:r>
      <w:r w:rsidR="0064639F" w:rsidRPr="005919D6">
        <w:rPr>
          <w:lang w:val="en-GB"/>
        </w:rPr>
        <w:t xml:space="preserve">and </w:t>
      </w:r>
      <w:r w:rsidR="00645B36" w:rsidRPr="005919D6">
        <w:rPr>
          <w:lang w:val="en-GB"/>
        </w:rPr>
        <w:t>acetic acid</w:t>
      </w:r>
      <w:r w:rsidR="0057122B" w:rsidRPr="005919D6">
        <w:rPr>
          <w:lang w:val="en-GB"/>
        </w:rPr>
        <w:t>. These products were not produced</w:t>
      </w:r>
      <w:r w:rsidR="00645B36" w:rsidRPr="005919D6">
        <w:rPr>
          <w:lang w:val="en-GB"/>
        </w:rPr>
        <w:t xml:space="preserve"> in liquid-phase operations. </w:t>
      </w:r>
      <w:r w:rsidR="00B36A7B" w:rsidRPr="005919D6">
        <w:rPr>
          <w:lang w:val="en-GB"/>
        </w:rPr>
        <w:t xml:space="preserve">Under similar current density conditions, the CO carbon selectivity </w:t>
      </w:r>
      <w:r w:rsidR="00645B36" w:rsidRPr="005919D6">
        <w:rPr>
          <w:lang w:val="en-GB"/>
        </w:rPr>
        <w:t>shift</w:t>
      </w:r>
      <w:r w:rsidR="0064639F" w:rsidRPr="005919D6">
        <w:rPr>
          <w:lang w:val="en-GB"/>
        </w:rPr>
        <w:t>ed</w:t>
      </w:r>
      <w:r w:rsidR="00B36A7B" w:rsidRPr="005919D6">
        <w:rPr>
          <w:lang w:val="en-GB"/>
        </w:rPr>
        <w:t xml:space="preserve"> from 74% (the remaining </w:t>
      </w:r>
      <w:r w:rsidR="00352AEA" w:rsidRPr="005919D6">
        <w:rPr>
          <w:lang w:val="en-GB"/>
        </w:rPr>
        <w:t xml:space="preserve">was </w:t>
      </w:r>
      <w:r w:rsidR="00B36A7B" w:rsidRPr="005919D6">
        <w:rPr>
          <w:lang w:val="en-GB"/>
        </w:rPr>
        <w:t>formic acid) in liquid</w:t>
      </w:r>
      <w:r w:rsidR="0057122B" w:rsidRPr="005919D6">
        <w:rPr>
          <w:lang w:val="en-GB"/>
        </w:rPr>
        <w:t xml:space="preserve"> </w:t>
      </w:r>
      <w:r w:rsidR="00B36A7B" w:rsidRPr="005919D6">
        <w:rPr>
          <w:lang w:val="en-GB"/>
        </w:rPr>
        <w:t xml:space="preserve">phase to 58.7% in gas-phase, </w:t>
      </w:r>
      <w:r w:rsidR="003214ED" w:rsidRPr="005919D6">
        <w:rPr>
          <w:lang w:val="en-GB"/>
        </w:rPr>
        <w:t>while</w:t>
      </w:r>
      <w:r w:rsidR="00645B36" w:rsidRPr="005919D6">
        <w:rPr>
          <w:lang w:val="en-GB"/>
        </w:rPr>
        <w:t xml:space="preserve"> ethanol and acetaldehyde contribute</w:t>
      </w:r>
      <w:r w:rsidR="0064639F" w:rsidRPr="005919D6">
        <w:rPr>
          <w:lang w:val="en-GB"/>
        </w:rPr>
        <w:t>d</w:t>
      </w:r>
      <w:r w:rsidR="00645B36" w:rsidRPr="005919D6">
        <w:rPr>
          <w:lang w:val="en-GB"/>
        </w:rPr>
        <w:t xml:space="preserve"> for</w:t>
      </w:r>
      <w:r w:rsidR="003214ED" w:rsidRPr="005919D6">
        <w:rPr>
          <w:lang w:val="en-GB"/>
        </w:rPr>
        <w:t xml:space="preserve"> </w:t>
      </w:r>
      <w:r w:rsidR="00B36A7B" w:rsidRPr="005919D6">
        <w:rPr>
          <w:lang w:val="en-GB"/>
        </w:rPr>
        <w:t>34.</w:t>
      </w:r>
      <w:r w:rsidR="0057122B" w:rsidRPr="005919D6">
        <w:rPr>
          <w:lang w:val="en-GB"/>
        </w:rPr>
        <w:t>3</w:t>
      </w:r>
      <w:r w:rsidR="00B36A7B" w:rsidRPr="005919D6">
        <w:rPr>
          <w:lang w:val="en-GB"/>
        </w:rPr>
        <w:t xml:space="preserve">% </w:t>
      </w:r>
      <w:r w:rsidR="003214ED" w:rsidRPr="005919D6">
        <w:rPr>
          <w:lang w:val="en-GB"/>
        </w:rPr>
        <w:t xml:space="preserve">and </w:t>
      </w:r>
      <w:r w:rsidR="00B36A7B" w:rsidRPr="005919D6">
        <w:rPr>
          <w:lang w:val="en-GB"/>
        </w:rPr>
        <w:t>6.6%</w:t>
      </w:r>
      <w:r w:rsidR="005053E0" w:rsidRPr="005919D6">
        <w:rPr>
          <w:lang w:val="en-GB"/>
        </w:rPr>
        <w:t>,</w:t>
      </w:r>
      <w:r w:rsidR="00B36A7B" w:rsidRPr="005919D6">
        <w:rPr>
          <w:lang w:val="en-GB"/>
        </w:rPr>
        <w:t xml:space="preserve"> </w:t>
      </w:r>
      <w:r w:rsidR="003214ED" w:rsidRPr="005919D6">
        <w:rPr>
          <w:lang w:val="en-GB"/>
        </w:rPr>
        <w:t>respectively</w:t>
      </w:r>
      <w:r w:rsidR="00B36A7B" w:rsidRPr="005919D6">
        <w:rPr>
          <w:lang w:val="en-GB"/>
        </w:rPr>
        <w:t>.</w:t>
      </w:r>
      <w:r w:rsidR="00CF528E" w:rsidRPr="005919D6">
        <w:rPr>
          <w:lang w:val="en-GB"/>
        </w:rPr>
        <w:t xml:space="preserve"> </w:t>
      </w:r>
      <w:r w:rsidRPr="005919D6">
        <w:rPr>
          <w:lang w:val="en-GB"/>
        </w:rPr>
        <w:t xml:space="preserve">The catalytic production data were supported by EIS measurements, which highlighted </w:t>
      </w:r>
      <w:r w:rsidR="0057122B" w:rsidRPr="005919D6">
        <w:rPr>
          <w:lang w:val="en-GB"/>
        </w:rPr>
        <w:t xml:space="preserve">high </w:t>
      </w:r>
      <w:r w:rsidRPr="005919D6">
        <w:rPr>
          <w:lang w:val="en-GB"/>
        </w:rPr>
        <w:t xml:space="preserve">differences in terms of </w:t>
      </w:r>
      <w:r w:rsidRPr="005919D6">
        <w:rPr>
          <w:lang w:val="en-GB"/>
        </w:rPr>
        <w:lastRenderedPageBreak/>
        <w:t>charge transfer resistance (</w:t>
      </w:r>
      <w:proofErr w:type="spellStart"/>
      <w:r w:rsidRPr="005919D6">
        <w:rPr>
          <w:lang w:val="en-GB"/>
        </w:rPr>
        <w:t>R</w:t>
      </w:r>
      <w:r w:rsidRPr="005919D6">
        <w:rPr>
          <w:vertAlign w:val="subscript"/>
          <w:lang w:val="en-GB"/>
        </w:rPr>
        <w:t>ct</w:t>
      </w:r>
      <w:proofErr w:type="spellEnd"/>
      <w:r w:rsidRPr="005919D6">
        <w:rPr>
          <w:lang w:val="en-GB"/>
        </w:rPr>
        <w:t>) in the two systems</w:t>
      </w:r>
      <w:r w:rsidR="0057122B" w:rsidRPr="005919D6">
        <w:rPr>
          <w:lang w:val="en-GB"/>
        </w:rPr>
        <w:t xml:space="preserve"> varying</w:t>
      </w:r>
      <w:r w:rsidRPr="005919D6">
        <w:rPr>
          <w:lang w:val="en-GB"/>
        </w:rPr>
        <w:t xml:space="preserve"> the applied potential. </w:t>
      </w:r>
      <w:r w:rsidR="0057122B" w:rsidRPr="005919D6">
        <w:rPr>
          <w:lang w:val="en-GB"/>
        </w:rPr>
        <w:t>T</w:t>
      </w:r>
      <w:r w:rsidRPr="005919D6">
        <w:rPr>
          <w:lang w:val="en-GB"/>
        </w:rPr>
        <w:t>his val</w:t>
      </w:r>
      <w:r w:rsidR="00A036E5" w:rsidRPr="005919D6">
        <w:rPr>
          <w:lang w:val="en-GB"/>
        </w:rPr>
        <w:t>ue</w:t>
      </w:r>
      <w:r w:rsidR="0057122B" w:rsidRPr="005919D6">
        <w:rPr>
          <w:lang w:val="en-GB"/>
        </w:rPr>
        <w:t>, in fact,</w:t>
      </w:r>
      <w:r w:rsidR="00A036E5" w:rsidRPr="005919D6">
        <w:rPr>
          <w:lang w:val="en-GB"/>
        </w:rPr>
        <w:t xml:space="preserve"> </w:t>
      </w:r>
      <w:r w:rsidR="00352AEA" w:rsidRPr="005919D6">
        <w:rPr>
          <w:lang w:val="en-GB"/>
        </w:rPr>
        <w:t xml:space="preserve">was </w:t>
      </w:r>
      <w:r w:rsidR="00A036E5" w:rsidRPr="005919D6">
        <w:rPr>
          <w:lang w:val="en-GB"/>
        </w:rPr>
        <w:t xml:space="preserve">generally </w:t>
      </w:r>
      <w:r w:rsidR="00332953" w:rsidRPr="005919D6">
        <w:rPr>
          <w:lang w:val="en-GB"/>
        </w:rPr>
        <w:t>lower</w:t>
      </w:r>
      <w:r w:rsidR="00A036E5" w:rsidRPr="005919D6">
        <w:rPr>
          <w:lang w:val="en-GB"/>
        </w:rPr>
        <w:t xml:space="preserve"> in a gas-</w:t>
      </w:r>
      <w:r w:rsidRPr="005919D6">
        <w:rPr>
          <w:lang w:val="en-GB"/>
        </w:rPr>
        <w:t xml:space="preserve">phase system, in which the absence of electrolyte </w:t>
      </w:r>
      <w:r w:rsidR="0064639F" w:rsidRPr="005919D6">
        <w:rPr>
          <w:lang w:val="en-GB"/>
        </w:rPr>
        <w:t xml:space="preserve">caused </w:t>
      </w:r>
      <w:r w:rsidRPr="005919D6">
        <w:rPr>
          <w:lang w:val="en-GB"/>
        </w:rPr>
        <w:t xml:space="preserve">a lower proton concentration at the catalyst/membrane interface, together with a high concentration of </w:t>
      </w:r>
      <w:r w:rsidR="00B36A7B" w:rsidRPr="005919D6">
        <w:rPr>
          <w:lang w:val="en-GB"/>
        </w:rPr>
        <w:t>CO</w:t>
      </w:r>
      <w:r w:rsidR="00B36A7B" w:rsidRPr="005919D6">
        <w:rPr>
          <w:vertAlign w:val="subscript"/>
          <w:lang w:val="en-GB"/>
        </w:rPr>
        <w:t>2</w:t>
      </w:r>
      <w:r w:rsidR="00B36A7B" w:rsidRPr="005919D6">
        <w:rPr>
          <w:lang w:val="en-GB"/>
        </w:rPr>
        <w:t>, which</w:t>
      </w:r>
      <w:r w:rsidRPr="005919D6">
        <w:rPr>
          <w:lang w:val="en-GB"/>
        </w:rPr>
        <w:t xml:space="preserve"> is no longer limited by solubility </w:t>
      </w:r>
      <w:r w:rsidR="0057122B" w:rsidRPr="005919D6">
        <w:rPr>
          <w:lang w:val="en-GB"/>
        </w:rPr>
        <w:t xml:space="preserve">as </w:t>
      </w:r>
      <w:r w:rsidR="00352AEA" w:rsidRPr="005919D6">
        <w:rPr>
          <w:lang w:val="en-GB"/>
        </w:rPr>
        <w:t xml:space="preserve">occurs </w:t>
      </w:r>
      <w:r w:rsidRPr="005919D6">
        <w:rPr>
          <w:lang w:val="en-GB"/>
        </w:rPr>
        <w:t xml:space="preserve">in </w:t>
      </w:r>
      <w:r w:rsidR="00325142" w:rsidRPr="005919D6">
        <w:rPr>
          <w:lang w:val="en-GB"/>
        </w:rPr>
        <w:t xml:space="preserve">water-based </w:t>
      </w:r>
      <w:r w:rsidRPr="005919D6">
        <w:rPr>
          <w:lang w:val="en-GB"/>
        </w:rPr>
        <w:t>electrolyte</w:t>
      </w:r>
      <w:r w:rsidR="00325142" w:rsidRPr="005919D6">
        <w:rPr>
          <w:lang w:val="en-GB"/>
        </w:rPr>
        <w:t>s</w:t>
      </w:r>
      <w:r w:rsidRPr="005919D6">
        <w:rPr>
          <w:lang w:val="en-GB"/>
        </w:rPr>
        <w:t xml:space="preserve">. These </w:t>
      </w:r>
      <w:r w:rsidR="0057122B" w:rsidRPr="005919D6">
        <w:rPr>
          <w:lang w:val="en-GB"/>
        </w:rPr>
        <w:t>aspects</w:t>
      </w:r>
      <w:r w:rsidR="00A036E5" w:rsidRPr="005919D6">
        <w:rPr>
          <w:lang w:val="en-GB"/>
        </w:rPr>
        <w:t>, compared to a liquid-</w:t>
      </w:r>
      <w:r w:rsidRPr="005919D6">
        <w:rPr>
          <w:lang w:val="en-GB"/>
        </w:rPr>
        <w:t xml:space="preserve">phase system, determine </w:t>
      </w:r>
      <w:r w:rsidR="00894783" w:rsidRPr="005919D6">
        <w:rPr>
          <w:lang w:val="en-GB"/>
        </w:rPr>
        <w:t>great</w:t>
      </w:r>
      <w:r w:rsidRPr="005919D6">
        <w:rPr>
          <w:lang w:val="en-GB"/>
        </w:rPr>
        <w:t xml:space="preserve"> differences in terms of reaction intermediates and th</w:t>
      </w:r>
      <w:r w:rsidR="0057122B" w:rsidRPr="005919D6">
        <w:rPr>
          <w:lang w:val="en-GB"/>
        </w:rPr>
        <w:t>us</w:t>
      </w:r>
      <w:r w:rsidRPr="005919D6">
        <w:rPr>
          <w:lang w:val="en-GB"/>
        </w:rPr>
        <w:t xml:space="preserve"> of catalytic selectivity.</w:t>
      </w:r>
      <w:r w:rsidR="00AC2ACF" w:rsidRPr="005919D6">
        <w:rPr>
          <w:lang w:val="en-GB"/>
        </w:rPr>
        <w:t xml:space="preserve"> </w:t>
      </w:r>
      <w:r w:rsidR="00B15A73" w:rsidRPr="005919D6">
        <w:rPr>
          <w:lang w:val="en-GB"/>
        </w:rPr>
        <w:t>Th</w:t>
      </w:r>
      <w:r w:rsidR="0057122B" w:rsidRPr="005919D6">
        <w:rPr>
          <w:lang w:val="en-GB"/>
        </w:rPr>
        <w:t>ese</w:t>
      </w:r>
      <w:r w:rsidR="00B15A73" w:rsidRPr="005919D6">
        <w:rPr>
          <w:lang w:val="en-GB"/>
        </w:rPr>
        <w:t xml:space="preserve"> </w:t>
      </w:r>
      <w:r w:rsidR="00CD6B78" w:rsidRPr="005919D6">
        <w:rPr>
          <w:lang w:val="en-GB"/>
        </w:rPr>
        <w:t>result</w:t>
      </w:r>
      <w:r w:rsidR="0057122B" w:rsidRPr="005919D6">
        <w:rPr>
          <w:lang w:val="en-GB"/>
        </w:rPr>
        <w:t>s</w:t>
      </w:r>
      <w:r w:rsidR="00B15A73" w:rsidRPr="005919D6">
        <w:rPr>
          <w:lang w:val="en-GB"/>
        </w:rPr>
        <w:t xml:space="preserve"> highlight </w:t>
      </w:r>
      <w:r w:rsidR="0057122B" w:rsidRPr="005919D6">
        <w:rPr>
          <w:lang w:val="en-GB"/>
        </w:rPr>
        <w:t xml:space="preserve">the importance of </w:t>
      </w:r>
      <w:r w:rsidR="00B15A73" w:rsidRPr="005919D6">
        <w:rPr>
          <w:lang w:val="en-GB"/>
        </w:rPr>
        <w:t xml:space="preserve">the engineering of an electrochemical </w:t>
      </w:r>
      <w:r w:rsidR="0057122B" w:rsidRPr="005919D6">
        <w:rPr>
          <w:lang w:val="en-GB"/>
        </w:rPr>
        <w:t>reactor in</w:t>
      </w:r>
      <w:r w:rsidR="00B15A73" w:rsidRPr="005919D6">
        <w:rPr>
          <w:lang w:val="en-GB"/>
        </w:rPr>
        <w:t xml:space="preserve"> </w:t>
      </w:r>
      <w:r w:rsidR="0064639F" w:rsidRPr="005919D6">
        <w:rPr>
          <w:lang w:val="en-GB"/>
        </w:rPr>
        <w:t xml:space="preserve">addressing the process selectivity beyond the </w:t>
      </w:r>
      <w:r w:rsidR="00B15A73" w:rsidRPr="005919D6">
        <w:rPr>
          <w:lang w:val="en-GB"/>
        </w:rPr>
        <w:t>properties of the electrocatalyst</w:t>
      </w:r>
      <w:r w:rsidR="0064639F" w:rsidRPr="005919D6">
        <w:rPr>
          <w:lang w:val="en-GB"/>
        </w:rPr>
        <w:t xml:space="preserve"> itself</w:t>
      </w:r>
      <w:r w:rsidR="00B15A73" w:rsidRPr="005919D6">
        <w:rPr>
          <w:lang w:val="en-GB"/>
        </w:rPr>
        <w:t>.</w:t>
      </w:r>
      <w:r w:rsidR="002A7A45" w:rsidRPr="005919D6">
        <w:rPr>
          <w:lang w:val="en-GB"/>
        </w:rPr>
        <w:t xml:space="preserve"> </w:t>
      </w:r>
      <w:r w:rsidR="00CE355B" w:rsidRPr="005919D6">
        <w:rPr>
          <w:lang w:val="en-GB"/>
        </w:rPr>
        <w:t>To further increase the performance of CO</w:t>
      </w:r>
      <w:r w:rsidR="00CE355B" w:rsidRPr="005919D6">
        <w:rPr>
          <w:vertAlign w:val="subscript"/>
          <w:lang w:val="en-GB"/>
        </w:rPr>
        <w:t>2</w:t>
      </w:r>
      <w:r w:rsidR="00CE355B" w:rsidRPr="005919D6">
        <w:rPr>
          <w:lang w:val="en-GB"/>
        </w:rPr>
        <w:t xml:space="preserve"> electrocatalytic reduction in gas-phase, higher currents and pressures</w:t>
      </w:r>
      <w:r w:rsidR="00EA1B6C" w:rsidRPr="005919D6">
        <w:rPr>
          <w:lang w:val="en-GB"/>
        </w:rPr>
        <w:t xml:space="preserve"> could</w:t>
      </w:r>
      <w:r w:rsidR="00CE355B" w:rsidRPr="005919D6">
        <w:rPr>
          <w:lang w:val="en-GB"/>
        </w:rPr>
        <w:t xml:space="preserve"> be applied, but a more sophisticated control system would be required due to</w:t>
      </w:r>
      <w:r w:rsidR="00EA1B6C" w:rsidRPr="005919D6">
        <w:rPr>
          <w:lang w:val="en-GB"/>
        </w:rPr>
        <w:t xml:space="preserve"> </w:t>
      </w:r>
      <w:r w:rsidR="00CE355B" w:rsidRPr="005919D6">
        <w:rPr>
          <w:lang w:val="en-GB"/>
        </w:rPr>
        <w:t>increase</w:t>
      </w:r>
      <w:r w:rsidR="00EA1B6C" w:rsidRPr="005919D6">
        <w:rPr>
          <w:lang w:val="en-GB"/>
        </w:rPr>
        <w:t xml:space="preserve">d system </w:t>
      </w:r>
      <w:r w:rsidR="00CE355B" w:rsidRPr="005919D6">
        <w:rPr>
          <w:lang w:val="en-GB"/>
        </w:rPr>
        <w:t>complexity.</w:t>
      </w:r>
      <w:r w:rsidR="009869C1" w:rsidRPr="005919D6">
        <w:rPr>
          <w:lang w:val="en-GB"/>
        </w:rPr>
        <w:t xml:space="preserve"> Furthermore, the integration of the electrocatalytic reactor with photo-anodes (Ferreira de Brito et al., 2019) or external photovoltaic modules will allow a direct conversion of solar energy into sustainable carbon fuels.</w:t>
      </w:r>
    </w:p>
    <w:p w14:paraId="3ED8BB36" w14:textId="696B2964" w:rsidR="00E473BD" w:rsidRPr="005919D6" w:rsidRDefault="00E473BD" w:rsidP="00EE55AD">
      <w:pPr>
        <w:pStyle w:val="CETAcknowledgementstitle"/>
      </w:pPr>
      <w:r w:rsidRPr="005919D6">
        <w:t>Acknowledgements</w:t>
      </w:r>
    </w:p>
    <w:p w14:paraId="00F6890F" w14:textId="2A4B4356" w:rsidR="00756643" w:rsidRPr="005919D6" w:rsidRDefault="00E473BD" w:rsidP="00CE7754">
      <w:pPr>
        <w:pStyle w:val="CETBodytext"/>
        <w:rPr>
          <w:lang w:val="en-GB"/>
        </w:rPr>
      </w:pPr>
      <w:r w:rsidRPr="005919D6">
        <w:rPr>
          <w:lang w:val="en-GB"/>
        </w:rPr>
        <w:t>This work is funded by the European Union through the DECADE H2020 project (ID: 862030), which is gratefully acknowledged.</w:t>
      </w:r>
    </w:p>
    <w:p w14:paraId="7A16B9EF" w14:textId="65613F19" w:rsidR="002D31F7" w:rsidRPr="00527A2F" w:rsidRDefault="002D31F7" w:rsidP="00EE55AD">
      <w:pPr>
        <w:pStyle w:val="CETReference"/>
      </w:pPr>
      <w:r w:rsidRPr="005919D6">
        <w:t>References</w:t>
      </w:r>
    </w:p>
    <w:p w14:paraId="44B17F6E" w14:textId="5CE25E10" w:rsidR="00FD24D6" w:rsidRPr="00527A2F" w:rsidRDefault="00FD24D6" w:rsidP="00FD24D6">
      <w:pPr>
        <w:pStyle w:val="CETReferencetext"/>
      </w:pPr>
      <w:proofErr w:type="spellStart"/>
      <w:r w:rsidRPr="00527A2F">
        <w:t>Ampelli</w:t>
      </w:r>
      <w:proofErr w:type="spellEnd"/>
      <w:r w:rsidRPr="00527A2F">
        <w:t xml:space="preserve"> C., 2020, Electrode design for ammonia synthesis, Nature Catalysis, 3, 420–421.</w:t>
      </w:r>
    </w:p>
    <w:p w14:paraId="467CEE42" w14:textId="1DDBCB65" w:rsidR="003B0016" w:rsidRDefault="003B0016" w:rsidP="0094695E">
      <w:pPr>
        <w:pStyle w:val="CETReferencetext"/>
      </w:pPr>
      <w:proofErr w:type="spellStart"/>
      <w:r w:rsidRPr="007554BD">
        <w:rPr>
          <w:lang w:val="en-US"/>
        </w:rPr>
        <w:t>Ampelli</w:t>
      </w:r>
      <w:proofErr w:type="spellEnd"/>
      <w:r w:rsidRPr="007554BD">
        <w:rPr>
          <w:lang w:val="en-US"/>
        </w:rPr>
        <w:t xml:space="preserve"> C., Genovese C., </w:t>
      </w:r>
      <w:proofErr w:type="spellStart"/>
      <w:r w:rsidRPr="007554BD">
        <w:rPr>
          <w:lang w:val="en-US"/>
        </w:rPr>
        <w:t>Passalacqua</w:t>
      </w:r>
      <w:proofErr w:type="spellEnd"/>
      <w:r w:rsidRPr="007554BD">
        <w:rPr>
          <w:lang w:val="en-US"/>
        </w:rPr>
        <w:t xml:space="preserve"> R., </w:t>
      </w:r>
      <w:proofErr w:type="spellStart"/>
      <w:r w:rsidRPr="007554BD">
        <w:rPr>
          <w:lang w:val="en-US"/>
        </w:rPr>
        <w:t>Perathoner</w:t>
      </w:r>
      <w:proofErr w:type="spellEnd"/>
      <w:r w:rsidRPr="007554BD">
        <w:rPr>
          <w:lang w:val="en-US"/>
        </w:rPr>
        <w:t xml:space="preserve"> S., </w:t>
      </w:r>
      <w:proofErr w:type="spellStart"/>
      <w:r w:rsidRPr="007554BD">
        <w:rPr>
          <w:lang w:val="en-US"/>
        </w:rPr>
        <w:t>Centi</w:t>
      </w:r>
      <w:proofErr w:type="spellEnd"/>
      <w:r w:rsidRPr="007554BD">
        <w:rPr>
          <w:lang w:val="en-US"/>
        </w:rPr>
        <w:t xml:space="preserve"> G., 2014, </w:t>
      </w:r>
      <w:r w:rsidRPr="003B0016">
        <w:t>A gas-phase reactor powered by solar energy and ethanol for H</w:t>
      </w:r>
      <w:r w:rsidRPr="007554BD">
        <w:rPr>
          <w:vertAlign w:val="subscript"/>
        </w:rPr>
        <w:t>2</w:t>
      </w:r>
      <w:r w:rsidRPr="003B0016">
        <w:t xml:space="preserve"> production, Applied Thermal Engineering, 70, 1270</w:t>
      </w:r>
      <w:r w:rsidRPr="00527A2F">
        <w:t>–</w:t>
      </w:r>
      <w:r w:rsidRPr="003B0016">
        <w:t>1275</w:t>
      </w:r>
      <w:r>
        <w:t>.</w:t>
      </w:r>
    </w:p>
    <w:p w14:paraId="4D13872D" w14:textId="1B8389C1" w:rsidR="0094695E" w:rsidRPr="005919D6" w:rsidRDefault="0094695E" w:rsidP="0094695E">
      <w:pPr>
        <w:pStyle w:val="CETReferencetext"/>
      </w:pPr>
      <w:proofErr w:type="spellStart"/>
      <w:r w:rsidRPr="00527A2F">
        <w:t>Duarah</w:t>
      </w:r>
      <w:proofErr w:type="spellEnd"/>
      <w:r w:rsidRPr="00527A2F">
        <w:t xml:space="preserve"> P., </w:t>
      </w:r>
      <w:proofErr w:type="spellStart"/>
      <w:r w:rsidRPr="00527A2F">
        <w:t>Haldar</w:t>
      </w:r>
      <w:proofErr w:type="spellEnd"/>
      <w:r w:rsidRPr="00527A2F">
        <w:t xml:space="preserve"> D., Yadav VSK, </w:t>
      </w:r>
      <w:proofErr w:type="spellStart"/>
      <w:r w:rsidRPr="00527A2F">
        <w:t>Purkait</w:t>
      </w:r>
      <w:proofErr w:type="spellEnd"/>
      <w:r w:rsidRPr="00527A2F">
        <w:t xml:space="preserve"> MK., 2021, Progress in the electrochemical reduction of CO</w:t>
      </w:r>
      <w:r w:rsidRPr="00527A2F">
        <w:rPr>
          <w:vertAlign w:val="subscript"/>
        </w:rPr>
        <w:t>2</w:t>
      </w:r>
      <w:r w:rsidRPr="00527A2F">
        <w:t xml:space="preserve"> to formic acid: A review on current trends and future prospects, Journal of Environmental Chemical Engineering, 9, </w:t>
      </w:r>
      <w:r w:rsidRPr="005919D6">
        <w:t>6, 106394.</w:t>
      </w:r>
    </w:p>
    <w:p w14:paraId="0F9F6282" w14:textId="5FCB6B0F" w:rsidR="009869C1" w:rsidRDefault="009869C1" w:rsidP="009869C1">
      <w:pPr>
        <w:pStyle w:val="CETReferencetext"/>
      </w:pPr>
      <w:r w:rsidRPr="005919D6">
        <w:rPr>
          <w:lang w:val="en-US"/>
        </w:rPr>
        <w:t xml:space="preserve">Ferreira de Brito J., Genovese C., </w:t>
      </w:r>
      <w:proofErr w:type="spellStart"/>
      <w:r w:rsidRPr="005919D6">
        <w:rPr>
          <w:lang w:val="en-US"/>
        </w:rPr>
        <w:t>Tavella</w:t>
      </w:r>
      <w:proofErr w:type="spellEnd"/>
      <w:r w:rsidRPr="005919D6">
        <w:rPr>
          <w:lang w:val="en-US"/>
        </w:rPr>
        <w:t xml:space="preserve"> F., </w:t>
      </w:r>
      <w:proofErr w:type="spellStart"/>
      <w:r w:rsidRPr="005919D6">
        <w:rPr>
          <w:lang w:val="en-US"/>
        </w:rPr>
        <w:t>Ampelli</w:t>
      </w:r>
      <w:proofErr w:type="spellEnd"/>
      <w:r w:rsidRPr="005919D6">
        <w:rPr>
          <w:lang w:val="en-US"/>
        </w:rPr>
        <w:t xml:space="preserve"> C., </w:t>
      </w:r>
      <w:proofErr w:type="spellStart"/>
      <w:r w:rsidRPr="005919D6">
        <w:rPr>
          <w:lang w:val="en-US"/>
        </w:rPr>
        <w:t>Boldrin</w:t>
      </w:r>
      <w:proofErr w:type="spellEnd"/>
      <w:r w:rsidRPr="005919D6">
        <w:rPr>
          <w:lang w:val="en-US"/>
        </w:rPr>
        <w:t xml:space="preserve"> </w:t>
      </w:r>
      <w:proofErr w:type="spellStart"/>
      <w:r w:rsidRPr="005919D6">
        <w:rPr>
          <w:lang w:val="en-US"/>
        </w:rPr>
        <w:t>Zanoni</w:t>
      </w:r>
      <w:proofErr w:type="spellEnd"/>
      <w:r w:rsidRPr="005919D6">
        <w:rPr>
          <w:lang w:val="en-US"/>
        </w:rPr>
        <w:t xml:space="preserve"> M.V., </w:t>
      </w:r>
      <w:proofErr w:type="spellStart"/>
      <w:r w:rsidRPr="005919D6">
        <w:rPr>
          <w:lang w:val="en-US"/>
        </w:rPr>
        <w:t>Centi</w:t>
      </w:r>
      <w:proofErr w:type="spellEnd"/>
      <w:r w:rsidRPr="005919D6">
        <w:rPr>
          <w:lang w:val="en-US"/>
        </w:rPr>
        <w:t xml:space="preserve"> G., </w:t>
      </w:r>
      <w:proofErr w:type="spellStart"/>
      <w:r w:rsidRPr="005919D6">
        <w:rPr>
          <w:lang w:val="en-US"/>
        </w:rPr>
        <w:t>Perathoner</w:t>
      </w:r>
      <w:proofErr w:type="spellEnd"/>
      <w:r w:rsidRPr="005919D6">
        <w:rPr>
          <w:lang w:val="en-US"/>
        </w:rPr>
        <w:t xml:space="preserve"> S., 2019, </w:t>
      </w:r>
      <w:r w:rsidRPr="005919D6">
        <w:t>CO</w:t>
      </w:r>
      <w:r w:rsidRPr="005919D6">
        <w:rPr>
          <w:vertAlign w:val="subscript"/>
        </w:rPr>
        <w:t>2</w:t>
      </w:r>
      <w:r w:rsidRPr="005919D6">
        <w:t xml:space="preserve"> Reduction of Hybrid Cu</w:t>
      </w:r>
      <w:r w:rsidRPr="005919D6">
        <w:rPr>
          <w:vertAlign w:val="subscript"/>
        </w:rPr>
        <w:t>2</w:t>
      </w:r>
      <w:r w:rsidRPr="005919D6">
        <w:t xml:space="preserve">O–Cu/Gas Diffusion Layer Electrodes and their Integration in a Cu-based </w:t>
      </w:r>
      <w:proofErr w:type="spellStart"/>
      <w:r w:rsidRPr="005919D6">
        <w:t>Photoelectrocatalytic</w:t>
      </w:r>
      <w:proofErr w:type="spellEnd"/>
      <w:r w:rsidRPr="005919D6">
        <w:t xml:space="preserve"> Cell, </w:t>
      </w:r>
      <w:proofErr w:type="spellStart"/>
      <w:r w:rsidRPr="005919D6">
        <w:t>ChemSusChem</w:t>
      </w:r>
      <w:proofErr w:type="spellEnd"/>
      <w:r w:rsidRPr="005919D6">
        <w:t>, 12, 4274-4284.</w:t>
      </w:r>
      <w:bookmarkStart w:id="0" w:name="_GoBack"/>
      <w:bookmarkEnd w:id="0"/>
    </w:p>
    <w:p w14:paraId="63B5F8AD" w14:textId="6D12F6B7" w:rsidR="0094695E" w:rsidRPr="00527A2F" w:rsidRDefault="0094695E" w:rsidP="0094695E">
      <w:pPr>
        <w:pStyle w:val="CETReferencetext"/>
      </w:pPr>
      <w:r w:rsidRPr="00527A2F">
        <w:t>Gao F., Bao R.C., Gao M.R., Yu S.H., 2020, Electrochemical CO</w:t>
      </w:r>
      <w:r w:rsidRPr="00527A2F">
        <w:rPr>
          <w:vertAlign w:val="subscript"/>
        </w:rPr>
        <w:t>2</w:t>
      </w:r>
      <w:r w:rsidRPr="00527A2F">
        <w:t xml:space="preserve">-to-CO conversion: electrocatalysts, electrolytes, and </w:t>
      </w:r>
      <w:proofErr w:type="spellStart"/>
      <w:r w:rsidRPr="00527A2F">
        <w:t>electrolyzers</w:t>
      </w:r>
      <w:proofErr w:type="spellEnd"/>
      <w:r w:rsidRPr="00527A2F">
        <w:t>, J. Mater. Chem. A 8, 15458–15478.</w:t>
      </w:r>
    </w:p>
    <w:p w14:paraId="7C9D2121" w14:textId="2DDF1F06" w:rsidR="0094695E" w:rsidRPr="00527A2F" w:rsidRDefault="0094695E" w:rsidP="0094695E">
      <w:pPr>
        <w:pStyle w:val="CETReferencetext"/>
      </w:pPr>
      <w:proofErr w:type="spellStart"/>
      <w:r w:rsidRPr="00527A2F">
        <w:t>Gawel</w:t>
      </w:r>
      <w:proofErr w:type="spellEnd"/>
      <w:r w:rsidRPr="00527A2F">
        <w:t xml:space="preserve"> A., </w:t>
      </w:r>
      <w:proofErr w:type="spellStart"/>
      <w:r w:rsidRPr="00527A2F">
        <w:t>Jaster</w:t>
      </w:r>
      <w:proofErr w:type="spellEnd"/>
      <w:r w:rsidRPr="00527A2F">
        <w:t xml:space="preserve"> T., </w:t>
      </w:r>
      <w:proofErr w:type="spellStart"/>
      <w:r w:rsidRPr="00527A2F">
        <w:t>Siegmund</w:t>
      </w:r>
      <w:proofErr w:type="spellEnd"/>
      <w:r w:rsidRPr="00527A2F">
        <w:t xml:space="preserve"> D., </w:t>
      </w:r>
      <w:proofErr w:type="spellStart"/>
      <w:r w:rsidRPr="00527A2F">
        <w:t>Holzmann</w:t>
      </w:r>
      <w:proofErr w:type="spellEnd"/>
      <w:r w:rsidRPr="00527A2F">
        <w:t xml:space="preserve"> J., Lohmann H., Klemm E., </w:t>
      </w:r>
      <w:proofErr w:type="spellStart"/>
      <w:r w:rsidRPr="00527A2F">
        <w:t>Apfel</w:t>
      </w:r>
      <w:proofErr w:type="spellEnd"/>
      <w:r w:rsidRPr="00527A2F">
        <w:t xml:space="preserve"> U.P., Electrochemical CO</w:t>
      </w:r>
      <w:r w:rsidRPr="007554BD">
        <w:rPr>
          <w:vertAlign w:val="subscript"/>
        </w:rPr>
        <w:t>2</w:t>
      </w:r>
      <w:r w:rsidRPr="00527A2F">
        <w:t xml:space="preserve"> reduction - The macroscopic world of electrode design, reactor concepts &amp; economic aspects, </w:t>
      </w:r>
      <w:proofErr w:type="spellStart"/>
      <w:r w:rsidRPr="00527A2F">
        <w:t>iScience</w:t>
      </w:r>
      <w:proofErr w:type="spellEnd"/>
      <w:r w:rsidRPr="00527A2F">
        <w:t>, 25, 4, 2022, 104011.</w:t>
      </w:r>
    </w:p>
    <w:p w14:paraId="4BA98631" w14:textId="6CAF843A" w:rsidR="00494E9B" w:rsidRPr="00527A2F" w:rsidRDefault="00494E9B" w:rsidP="00494E9B">
      <w:pPr>
        <w:pStyle w:val="CETReferencetext"/>
      </w:pPr>
      <w:proofErr w:type="spellStart"/>
      <w:r w:rsidRPr="00527A2F">
        <w:t>Giusi</w:t>
      </w:r>
      <w:proofErr w:type="spellEnd"/>
      <w:r w:rsidRPr="00527A2F">
        <w:t xml:space="preserve"> D., </w:t>
      </w:r>
      <w:proofErr w:type="spellStart"/>
      <w:r w:rsidRPr="00527A2F">
        <w:t>Ampelli</w:t>
      </w:r>
      <w:proofErr w:type="spellEnd"/>
      <w:r w:rsidRPr="00527A2F">
        <w:t xml:space="preserve"> C., Genovese C., </w:t>
      </w:r>
      <w:proofErr w:type="spellStart"/>
      <w:r w:rsidRPr="00527A2F">
        <w:t>Perathoner</w:t>
      </w:r>
      <w:proofErr w:type="spellEnd"/>
      <w:r w:rsidRPr="00527A2F">
        <w:t xml:space="preserve"> S., </w:t>
      </w:r>
      <w:proofErr w:type="spellStart"/>
      <w:r w:rsidRPr="00527A2F">
        <w:t>Centi</w:t>
      </w:r>
      <w:proofErr w:type="spellEnd"/>
      <w:r w:rsidRPr="00527A2F">
        <w:t xml:space="preserve"> G., 2021a, A novel gas flow-through photocatalytic reactor based on copper-functionalized nanomembranes for the photoreduction of CO</w:t>
      </w:r>
      <w:r w:rsidRPr="00527A2F">
        <w:rPr>
          <w:vertAlign w:val="subscript"/>
        </w:rPr>
        <w:t>2</w:t>
      </w:r>
      <w:r w:rsidRPr="00527A2F">
        <w:t xml:space="preserve"> to C1-C2 carboxylic acids and C1-C3 alcohols, Chemical Engineering Journal, 408, 127250.</w:t>
      </w:r>
    </w:p>
    <w:p w14:paraId="4E7165D4" w14:textId="14532824" w:rsidR="007054B7" w:rsidRDefault="007054B7">
      <w:pPr>
        <w:pStyle w:val="CETReferencetext"/>
      </w:pPr>
      <w:proofErr w:type="spellStart"/>
      <w:r w:rsidRPr="00527A2F">
        <w:t>Giusi</w:t>
      </w:r>
      <w:proofErr w:type="spellEnd"/>
      <w:r w:rsidRPr="00527A2F">
        <w:t xml:space="preserve"> D., Miceli M., Genovese C., </w:t>
      </w:r>
      <w:proofErr w:type="spellStart"/>
      <w:r w:rsidRPr="00527A2F">
        <w:t>Centi</w:t>
      </w:r>
      <w:proofErr w:type="spellEnd"/>
      <w:r w:rsidRPr="00527A2F">
        <w:t xml:space="preserve"> G., </w:t>
      </w:r>
      <w:proofErr w:type="spellStart"/>
      <w:r w:rsidRPr="00527A2F">
        <w:t>Perathoner</w:t>
      </w:r>
      <w:proofErr w:type="spellEnd"/>
      <w:r w:rsidRPr="00527A2F">
        <w:t xml:space="preserve"> S., </w:t>
      </w:r>
      <w:proofErr w:type="spellStart"/>
      <w:r w:rsidRPr="00527A2F">
        <w:t>Ampelli</w:t>
      </w:r>
      <w:proofErr w:type="spellEnd"/>
      <w:r w:rsidRPr="00527A2F">
        <w:t xml:space="preserve"> C., 2022, In situ electrochemical characterization of </w:t>
      </w:r>
      <w:proofErr w:type="spellStart"/>
      <w:r w:rsidRPr="00527A2F">
        <w:t>Cu</w:t>
      </w:r>
      <w:r w:rsidRPr="00527A2F">
        <w:rPr>
          <w:vertAlign w:val="subscript"/>
        </w:rPr>
        <w:t>x</w:t>
      </w:r>
      <w:r w:rsidRPr="00527A2F">
        <w:t>O</w:t>
      </w:r>
      <w:proofErr w:type="spellEnd"/>
      <w:r w:rsidRPr="00527A2F">
        <w:t>-based gas-diffusion electrodes (GDEs) for CO</w:t>
      </w:r>
      <w:r w:rsidRPr="00527A2F">
        <w:rPr>
          <w:vertAlign w:val="subscript"/>
        </w:rPr>
        <w:t>2</w:t>
      </w:r>
      <w:r w:rsidRPr="00527A2F">
        <w:t xml:space="preserve"> electrocatalytic reduction in presence and absence of liquid electrolyte and relationship with C2+ products formation, Applied Catalysis B: Environmental, 318, 121845.</w:t>
      </w:r>
    </w:p>
    <w:p w14:paraId="3EE314E2" w14:textId="30DDF79F" w:rsidR="00062FE8" w:rsidRPr="00527A2F" w:rsidRDefault="00062FE8" w:rsidP="0094695E">
      <w:pPr>
        <w:pStyle w:val="CETReferencetext"/>
      </w:pPr>
      <w:proofErr w:type="spellStart"/>
      <w:r w:rsidRPr="00527A2F">
        <w:t>Giusi</w:t>
      </w:r>
      <w:proofErr w:type="spellEnd"/>
      <w:r w:rsidRPr="007554BD">
        <w:t xml:space="preserve"> D.</w:t>
      </w:r>
      <w:r w:rsidRPr="00527A2F">
        <w:t xml:space="preserve">, </w:t>
      </w:r>
      <w:proofErr w:type="spellStart"/>
      <w:r w:rsidRPr="00527A2F">
        <w:t>Tavella</w:t>
      </w:r>
      <w:proofErr w:type="spellEnd"/>
      <w:r w:rsidRPr="007554BD">
        <w:t xml:space="preserve"> F.</w:t>
      </w:r>
      <w:r w:rsidRPr="00527A2F">
        <w:t>, Miceli</w:t>
      </w:r>
      <w:r w:rsidRPr="007554BD">
        <w:t xml:space="preserve"> M.</w:t>
      </w:r>
      <w:r w:rsidRPr="00527A2F">
        <w:t xml:space="preserve">, </w:t>
      </w:r>
      <w:proofErr w:type="spellStart"/>
      <w:r w:rsidRPr="00527A2F">
        <w:t>Ampelli</w:t>
      </w:r>
      <w:proofErr w:type="spellEnd"/>
      <w:r w:rsidRPr="007554BD">
        <w:t xml:space="preserve"> C.,</w:t>
      </w:r>
      <w:r w:rsidRPr="00527A2F">
        <w:t xml:space="preserve"> </w:t>
      </w:r>
      <w:proofErr w:type="spellStart"/>
      <w:r w:rsidRPr="00527A2F">
        <w:t>Centi</w:t>
      </w:r>
      <w:proofErr w:type="spellEnd"/>
      <w:r w:rsidRPr="007554BD">
        <w:t xml:space="preserve"> G.</w:t>
      </w:r>
      <w:r w:rsidRPr="00527A2F">
        <w:t xml:space="preserve">, </w:t>
      </w:r>
      <w:proofErr w:type="spellStart"/>
      <w:r w:rsidRPr="00527A2F">
        <w:t>Cosio</w:t>
      </w:r>
      <w:proofErr w:type="spellEnd"/>
      <w:r w:rsidRPr="007554BD">
        <w:t xml:space="preserve"> D.</w:t>
      </w:r>
      <w:r w:rsidRPr="00527A2F">
        <w:t>, Genovese</w:t>
      </w:r>
      <w:r w:rsidR="00FF3848" w:rsidRPr="00527A2F">
        <w:t xml:space="preserve"> C.</w:t>
      </w:r>
      <w:r w:rsidRPr="00527A2F">
        <w:t xml:space="preserve">, </w:t>
      </w:r>
      <w:proofErr w:type="spellStart"/>
      <w:r w:rsidRPr="00527A2F">
        <w:t>Perathoner</w:t>
      </w:r>
      <w:proofErr w:type="spellEnd"/>
      <w:r w:rsidRPr="007554BD">
        <w:t xml:space="preserve"> S.</w:t>
      </w:r>
      <w:r w:rsidR="00FF3848" w:rsidRPr="00527A2F">
        <w:t>,</w:t>
      </w:r>
      <w:r w:rsidRPr="00527A2F">
        <w:t xml:space="preserve"> </w:t>
      </w:r>
      <w:r w:rsidR="00FF3848" w:rsidRPr="00527A2F">
        <w:t>2021</w:t>
      </w:r>
      <w:r w:rsidR="00494E9B" w:rsidRPr="00527A2F">
        <w:t>b</w:t>
      </w:r>
      <w:r w:rsidR="00FF3848" w:rsidRPr="00527A2F">
        <w:t xml:space="preserve">, </w:t>
      </w:r>
      <w:r w:rsidRPr="00527A2F">
        <w:t>Synergetic Electrocatalytic Effects of Cu</w:t>
      </w:r>
      <w:r w:rsidRPr="007554BD">
        <w:rPr>
          <w:vertAlign w:val="subscript"/>
        </w:rPr>
        <w:t>2</w:t>
      </w:r>
      <w:r w:rsidRPr="00527A2F">
        <w:t>O-TiO</w:t>
      </w:r>
      <w:r w:rsidRPr="007554BD">
        <w:rPr>
          <w:vertAlign w:val="subscript"/>
        </w:rPr>
        <w:t>2</w:t>
      </w:r>
      <w:r w:rsidRPr="00527A2F">
        <w:t xml:space="preserve"> Heterostructures in a Solar Driven PEC Device for CO</w:t>
      </w:r>
      <w:r w:rsidRPr="007554BD">
        <w:rPr>
          <w:vertAlign w:val="subscript"/>
        </w:rPr>
        <w:t>2</w:t>
      </w:r>
      <w:r w:rsidRPr="00527A2F">
        <w:t xml:space="preserve"> Reduction to &gt;C1 Chemicals, Chemical Engineering Transactions, 86</w:t>
      </w:r>
      <w:r w:rsidR="00FF3848" w:rsidRPr="00527A2F">
        <w:t>,</w:t>
      </w:r>
      <w:r w:rsidRPr="00527A2F">
        <w:t xml:space="preserve"> 1405</w:t>
      </w:r>
      <w:r w:rsidR="00FF3848" w:rsidRPr="00527A2F">
        <w:t>–</w:t>
      </w:r>
      <w:r w:rsidRPr="00527A2F">
        <w:t>1410</w:t>
      </w:r>
    </w:p>
    <w:p w14:paraId="23E743D4" w14:textId="1C2C19C0" w:rsidR="0094695E" w:rsidRPr="00527A2F" w:rsidRDefault="0094695E" w:rsidP="0094695E">
      <w:pPr>
        <w:pStyle w:val="CETReferencetext"/>
      </w:pPr>
      <w:r w:rsidRPr="00527A2F">
        <w:t xml:space="preserve">Goyal A., </w:t>
      </w:r>
      <w:proofErr w:type="spellStart"/>
      <w:r w:rsidRPr="00527A2F">
        <w:t>Marcandalli</w:t>
      </w:r>
      <w:proofErr w:type="spellEnd"/>
      <w:r w:rsidRPr="00527A2F">
        <w:t xml:space="preserve"> G., Mints V.A., and. Koper M.T.M., 2020, Competition between CO</w:t>
      </w:r>
      <w:r w:rsidRPr="00527A2F">
        <w:rPr>
          <w:vertAlign w:val="subscript"/>
        </w:rPr>
        <w:t>2</w:t>
      </w:r>
      <w:r w:rsidRPr="00527A2F">
        <w:t xml:space="preserve"> Reduction and Hydrogen Evolution on a Gold Electrode under Well-Defined Mass Transport Conditions, Journal of the American Chemical Society, 142</w:t>
      </w:r>
      <w:r w:rsidR="00F36FE3" w:rsidRPr="00527A2F">
        <w:t xml:space="preserve"> </w:t>
      </w:r>
      <w:r w:rsidRPr="00527A2F">
        <w:t>(9), 4154</w:t>
      </w:r>
      <w:r w:rsidR="00DC38FF" w:rsidRPr="00527A2F">
        <w:t>–</w:t>
      </w:r>
      <w:r w:rsidRPr="00527A2F">
        <w:t>4161</w:t>
      </w:r>
      <w:r w:rsidR="00F22AD0" w:rsidRPr="00527A2F">
        <w:t>.</w:t>
      </w:r>
    </w:p>
    <w:p w14:paraId="7F837689" w14:textId="77777777" w:rsidR="0094695E" w:rsidRPr="00527A2F" w:rsidRDefault="0094695E" w:rsidP="0094695E">
      <w:pPr>
        <w:pStyle w:val="CETReferencetext"/>
      </w:pPr>
      <w:r w:rsidRPr="00527A2F">
        <w:t xml:space="preserve">Liu H., Hu Z., Hu R., Liu B., </w:t>
      </w:r>
      <w:proofErr w:type="spellStart"/>
      <w:r w:rsidRPr="00527A2F">
        <w:t>Ruan</w:t>
      </w:r>
      <w:proofErr w:type="spellEnd"/>
      <w:r w:rsidRPr="00527A2F">
        <w:t xml:space="preserve"> H., Zhang L., Xiao W., 2016, Large-scale synthesis of Cu</w:t>
      </w:r>
      <w:r w:rsidRPr="00527A2F">
        <w:rPr>
          <w:vertAlign w:val="subscript"/>
        </w:rPr>
        <w:t>2</w:t>
      </w:r>
      <w:r w:rsidRPr="00527A2F">
        <w:t xml:space="preserve">O </w:t>
      </w:r>
      <w:proofErr w:type="spellStart"/>
      <w:r w:rsidRPr="00527A2F">
        <w:t>nanocubes</w:t>
      </w:r>
      <w:proofErr w:type="spellEnd"/>
      <w:r w:rsidRPr="00527A2F">
        <w:t xml:space="preserve"> and their electrochemical properties, International Journal of Electrochemical Science, 11, 2756–2761.</w:t>
      </w:r>
    </w:p>
    <w:p w14:paraId="1D9994C4" w14:textId="27ECD63B" w:rsidR="0094695E" w:rsidRPr="00527A2F" w:rsidRDefault="0094695E" w:rsidP="0094695E">
      <w:pPr>
        <w:pStyle w:val="CETReferencetext"/>
      </w:pPr>
      <w:proofErr w:type="spellStart"/>
      <w:r w:rsidRPr="00527A2F">
        <w:t>Mais</w:t>
      </w:r>
      <w:proofErr w:type="spellEnd"/>
      <w:r w:rsidRPr="00527A2F">
        <w:t xml:space="preserve"> L., Palmas S., Vacca A., </w:t>
      </w:r>
      <w:proofErr w:type="spellStart"/>
      <w:r w:rsidRPr="00527A2F">
        <w:t>Mascia</w:t>
      </w:r>
      <w:proofErr w:type="spellEnd"/>
      <w:r w:rsidRPr="00527A2F">
        <w:t xml:space="preserve"> M., Ferrara F., </w:t>
      </w:r>
      <w:proofErr w:type="spellStart"/>
      <w:r w:rsidRPr="00527A2F">
        <w:t>Pettinau</w:t>
      </w:r>
      <w:proofErr w:type="spellEnd"/>
      <w:r w:rsidRPr="00527A2F">
        <w:t>, A., 2019, Catalytic activity of Cu and Cu/Sn electrodes during CO</w:t>
      </w:r>
      <w:r w:rsidRPr="00527A2F">
        <w:rPr>
          <w:vertAlign w:val="subscript"/>
        </w:rPr>
        <w:t>2</w:t>
      </w:r>
      <w:r w:rsidRPr="00527A2F">
        <w:t xml:space="preserve"> reduction from aqueous media, Chemical Engineering Transactions, 73, 97–102.</w:t>
      </w:r>
    </w:p>
    <w:p w14:paraId="05731627" w14:textId="62E498A4" w:rsidR="0094695E" w:rsidRPr="00527A2F" w:rsidRDefault="0094695E" w:rsidP="0094695E">
      <w:pPr>
        <w:pStyle w:val="CETReferencetext"/>
      </w:pPr>
      <w:proofErr w:type="spellStart"/>
      <w:r w:rsidRPr="00527A2F">
        <w:t>Marepally</w:t>
      </w:r>
      <w:proofErr w:type="spellEnd"/>
      <w:r w:rsidRPr="00527A2F">
        <w:t xml:space="preserve"> B.C., </w:t>
      </w:r>
      <w:proofErr w:type="spellStart"/>
      <w:r w:rsidRPr="00527A2F">
        <w:t>Ampelli</w:t>
      </w:r>
      <w:proofErr w:type="spellEnd"/>
      <w:r w:rsidRPr="00527A2F">
        <w:t xml:space="preserve"> C., Genovese C., </w:t>
      </w:r>
      <w:proofErr w:type="spellStart"/>
      <w:r w:rsidRPr="00527A2F">
        <w:t>Saboo</w:t>
      </w:r>
      <w:proofErr w:type="spellEnd"/>
      <w:r w:rsidRPr="00527A2F">
        <w:t xml:space="preserve"> T., </w:t>
      </w:r>
      <w:proofErr w:type="spellStart"/>
      <w:r w:rsidRPr="00527A2F">
        <w:t>Perathoner</w:t>
      </w:r>
      <w:proofErr w:type="spellEnd"/>
      <w:r w:rsidRPr="00527A2F">
        <w:t xml:space="preserve"> S., </w:t>
      </w:r>
      <w:proofErr w:type="spellStart"/>
      <w:r w:rsidRPr="00527A2F">
        <w:t>Wisser</w:t>
      </w:r>
      <w:proofErr w:type="spellEnd"/>
      <w:r w:rsidRPr="00527A2F">
        <w:t xml:space="preserve"> F.M., </w:t>
      </w:r>
      <w:proofErr w:type="spellStart"/>
      <w:r w:rsidRPr="00527A2F">
        <w:t>Veyre</w:t>
      </w:r>
      <w:proofErr w:type="spellEnd"/>
      <w:r w:rsidRPr="00527A2F">
        <w:t xml:space="preserve"> L., </w:t>
      </w:r>
      <w:proofErr w:type="spellStart"/>
      <w:r w:rsidRPr="00527A2F">
        <w:t>Canivet</w:t>
      </w:r>
      <w:proofErr w:type="spellEnd"/>
      <w:r w:rsidRPr="00527A2F">
        <w:t xml:space="preserve"> J., Quadrelli E.A., </w:t>
      </w:r>
      <w:proofErr w:type="spellStart"/>
      <w:r w:rsidRPr="00527A2F">
        <w:t>Centi</w:t>
      </w:r>
      <w:proofErr w:type="spellEnd"/>
      <w:r w:rsidRPr="00527A2F">
        <w:t xml:space="preserve"> G., 2017, Enhanced formation of &gt;C1 Products in the Electroreduction of CO</w:t>
      </w:r>
      <w:r w:rsidRPr="00527A2F">
        <w:rPr>
          <w:vertAlign w:val="subscript"/>
        </w:rPr>
        <w:t>2</w:t>
      </w:r>
      <w:r w:rsidRPr="00527A2F">
        <w:t xml:space="preserve"> by Adding a CO</w:t>
      </w:r>
      <w:r w:rsidRPr="00527A2F">
        <w:rPr>
          <w:vertAlign w:val="subscript"/>
        </w:rPr>
        <w:t>2</w:t>
      </w:r>
      <w:r w:rsidRPr="00527A2F">
        <w:t xml:space="preserve"> Adsorption Component to a Gas-Diffusion Layer-Type Catalytic Electrode, </w:t>
      </w:r>
      <w:proofErr w:type="spellStart"/>
      <w:r w:rsidRPr="00527A2F">
        <w:t>ChemSusChem</w:t>
      </w:r>
      <w:proofErr w:type="spellEnd"/>
      <w:r w:rsidRPr="00527A2F">
        <w:t>, 10, 4442–4446.</w:t>
      </w:r>
    </w:p>
    <w:p w14:paraId="77048835" w14:textId="5983C566" w:rsidR="0094695E" w:rsidRPr="00527A2F" w:rsidRDefault="0094695E" w:rsidP="0094695E">
      <w:pPr>
        <w:pStyle w:val="CETReferencetext"/>
      </w:pPr>
      <w:proofErr w:type="spellStart"/>
      <w:r w:rsidRPr="00527A2F">
        <w:t>Nitopi</w:t>
      </w:r>
      <w:proofErr w:type="spellEnd"/>
      <w:r w:rsidRPr="00527A2F">
        <w:t xml:space="preserve"> S., </w:t>
      </w:r>
      <w:proofErr w:type="spellStart"/>
      <w:r w:rsidRPr="00527A2F">
        <w:t>Bertheussen</w:t>
      </w:r>
      <w:proofErr w:type="spellEnd"/>
      <w:r w:rsidRPr="00527A2F">
        <w:t xml:space="preserve"> E., Scott S.B., Liu X., </w:t>
      </w:r>
      <w:proofErr w:type="spellStart"/>
      <w:r w:rsidRPr="00527A2F">
        <w:t>Engstfeld</w:t>
      </w:r>
      <w:proofErr w:type="spellEnd"/>
      <w:r w:rsidRPr="00527A2F">
        <w:t xml:space="preserve"> A.K., </w:t>
      </w:r>
      <w:proofErr w:type="spellStart"/>
      <w:r w:rsidRPr="00527A2F">
        <w:t>Horch</w:t>
      </w:r>
      <w:proofErr w:type="spellEnd"/>
      <w:r w:rsidRPr="00527A2F">
        <w:t xml:space="preserve"> S., Seger B., Stephens I.E.L., Chan K., Hahn C., </w:t>
      </w:r>
      <w:proofErr w:type="spellStart"/>
      <w:r w:rsidRPr="00527A2F">
        <w:t>Nørskov</w:t>
      </w:r>
      <w:proofErr w:type="spellEnd"/>
      <w:r w:rsidRPr="00527A2F">
        <w:t xml:space="preserve"> J.K., Jaramillo T.F., </w:t>
      </w:r>
      <w:proofErr w:type="spellStart"/>
      <w:r w:rsidRPr="00527A2F">
        <w:t>Chorkendorff</w:t>
      </w:r>
      <w:proofErr w:type="spellEnd"/>
      <w:r w:rsidRPr="00527A2F">
        <w:t xml:space="preserve"> I., 2019, Progress and Perspectives of Electrochemical CO</w:t>
      </w:r>
      <w:r w:rsidRPr="00527A2F">
        <w:rPr>
          <w:vertAlign w:val="subscript"/>
        </w:rPr>
        <w:t>2</w:t>
      </w:r>
      <w:r w:rsidRPr="00527A2F">
        <w:t xml:space="preserve"> Reduction on Copper in Aqueous Electrolyte, Chemical Reviews, 119, 7610–7672.</w:t>
      </w:r>
    </w:p>
    <w:p w14:paraId="4E320960" w14:textId="77777777" w:rsidR="0094695E" w:rsidRPr="00527A2F" w:rsidRDefault="0094695E" w:rsidP="0094695E">
      <w:pPr>
        <w:pStyle w:val="CETReferencetext"/>
        <w:rPr>
          <w:rStyle w:val="text"/>
        </w:rPr>
      </w:pPr>
      <w:r w:rsidRPr="00527A2F">
        <w:rPr>
          <w:rStyle w:val="text"/>
        </w:rPr>
        <w:t xml:space="preserve">Pan Y., </w:t>
      </w:r>
      <w:proofErr w:type="spellStart"/>
      <w:r w:rsidRPr="00527A2F">
        <w:rPr>
          <w:rStyle w:val="text"/>
        </w:rPr>
        <w:t>Mauzeroll</w:t>
      </w:r>
      <w:proofErr w:type="spellEnd"/>
      <w:r w:rsidRPr="00527A2F">
        <w:rPr>
          <w:rStyle w:val="text"/>
        </w:rPr>
        <w:t xml:space="preserve"> J., 2020, Boosting CO</w:t>
      </w:r>
      <w:r w:rsidRPr="00527A2F">
        <w:rPr>
          <w:rStyle w:val="text"/>
          <w:vertAlign w:val="subscript"/>
        </w:rPr>
        <w:t>2</w:t>
      </w:r>
      <w:r w:rsidRPr="00527A2F">
        <w:rPr>
          <w:rStyle w:val="text"/>
        </w:rPr>
        <w:t xml:space="preserve"> Reduction: Creating an Efficient Path for Gas Transport, Joule, 4, 4, 712-714.</w:t>
      </w:r>
    </w:p>
    <w:p w14:paraId="0B2283D2" w14:textId="77777777" w:rsidR="0094695E" w:rsidRPr="00527A2F" w:rsidRDefault="0094695E" w:rsidP="0094695E">
      <w:pPr>
        <w:pStyle w:val="CETReferencetext"/>
      </w:pPr>
      <w:r w:rsidRPr="00527A2F">
        <w:t>Park J., Ko Y., Lim C., Kim H., Min B.K., Lee K.W., Koh J.H., Oh H.S., Lee W.H., 2023, Strategies for CO</w:t>
      </w:r>
      <w:r w:rsidRPr="00527A2F">
        <w:rPr>
          <w:vertAlign w:val="subscript"/>
        </w:rPr>
        <w:t>2</w:t>
      </w:r>
      <w:r w:rsidRPr="00527A2F">
        <w:t xml:space="preserve"> electroreduction in cation exchange membrane electrode assembly, Chemical Engineering Journal, 453.</w:t>
      </w:r>
    </w:p>
    <w:sectPr w:rsidR="0094695E" w:rsidRPr="00527A2F" w:rsidSect="00EF06D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E7675" w14:textId="77777777" w:rsidR="00932DA9" w:rsidRDefault="00932DA9" w:rsidP="004F5E36">
      <w:r>
        <w:separator/>
      </w:r>
    </w:p>
  </w:endnote>
  <w:endnote w:type="continuationSeparator" w:id="0">
    <w:p w14:paraId="5B4085FB" w14:textId="77777777" w:rsidR="00932DA9" w:rsidRDefault="00932DA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16DF9" w14:textId="77777777" w:rsidR="00932DA9" w:rsidRDefault="00932DA9" w:rsidP="004F5E36">
      <w:r>
        <w:separator/>
      </w:r>
    </w:p>
  </w:footnote>
  <w:footnote w:type="continuationSeparator" w:id="0">
    <w:p w14:paraId="1417233C" w14:textId="77777777" w:rsidR="00932DA9" w:rsidRDefault="00932DA9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F1A70"/>
    <w:multiLevelType w:val="hybridMultilevel"/>
    <w:tmpl w:val="9048B952"/>
    <w:lvl w:ilvl="0" w:tplc="4D3C6F8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8217E"/>
    <w:multiLevelType w:val="multilevel"/>
    <w:tmpl w:val="6852AEE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713D7B"/>
    <w:multiLevelType w:val="hybridMultilevel"/>
    <w:tmpl w:val="C41630B8"/>
    <w:lvl w:ilvl="0" w:tplc="0A7440F8">
      <w:start w:val="1"/>
      <w:numFmt w:val="lowerLetter"/>
      <w:lvlText w:val="%1)"/>
      <w:lvlJc w:val="left"/>
      <w:pPr>
        <w:ind w:left="881" w:hanging="456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86FA2"/>
    <w:multiLevelType w:val="hybridMultilevel"/>
    <w:tmpl w:val="B73AC760"/>
    <w:lvl w:ilvl="0" w:tplc="649A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4"/>
  </w:num>
  <w:num w:numId="14">
    <w:abstractNumId w:val="20"/>
  </w:num>
  <w:num w:numId="15">
    <w:abstractNumId w:val="22"/>
  </w:num>
  <w:num w:numId="16">
    <w:abstractNumId w:val="21"/>
  </w:num>
  <w:num w:numId="17">
    <w:abstractNumId w:val="13"/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7"/>
  </w:num>
  <w:num w:numId="21">
    <w:abstractNumId w:val="16"/>
  </w:num>
  <w:num w:numId="22">
    <w:abstractNumId w:val="15"/>
  </w:num>
  <w:num w:numId="23">
    <w:abstractNumId w:val="11"/>
  </w:num>
  <w:num w:numId="24">
    <w:abstractNumId w:val="11"/>
  </w:num>
  <w:num w:numId="25">
    <w:abstractNumId w:val="11"/>
  </w:num>
  <w:num w:numId="26">
    <w:abstractNumId w:val="23"/>
  </w:num>
  <w:num w:numId="27">
    <w:abstractNumId w:val="11"/>
  </w:num>
  <w:num w:numId="28">
    <w:abstractNumId w:val="10"/>
  </w:num>
  <w:num w:numId="29">
    <w:abstractNumId w:val="1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3641"/>
    <w:rsid w:val="00004358"/>
    <w:rsid w:val="000052FB"/>
    <w:rsid w:val="0000700E"/>
    <w:rsid w:val="000102E0"/>
    <w:rsid w:val="000117CB"/>
    <w:rsid w:val="000157C9"/>
    <w:rsid w:val="000228C5"/>
    <w:rsid w:val="000252D9"/>
    <w:rsid w:val="00026DAC"/>
    <w:rsid w:val="0003148D"/>
    <w:rsid w:val="00031EEC"/>
    <w:rsid w:val="00034AE1"/>
    <w:rsid w:val="0003747F"/>
    <w:rsid w:val="00042D34"/>
    <w:rsid w:val="0004627A"/>
    <w:rsid w:val="00051333"/>
    <w:rsid w:val="00051566"/>
    <w:rsid w:val="000562A9"/>
    <w:rsid w:val="000574F0"/>
    <w:rsid w:val="00062A9A"/>
    <w:rsid w:val="00062FE8"/>
    <w:rsid w:val="000640D0"/>
    <w:rsid w:val="00064D2C"/>
    <w:rsid w:val="00064E0A"/>
    <w:rsid w:val="00065058"/>
    <w:rsid w:val="00065F17"/>
    <w:rsid w:val="00066B97"/>
    <w:rsid w:val="000678F2"/>
    <w:rsid w:val="000730A0"/>
    <w:rsid w:val="000735FF"/>
    <w:rsid w:val="000773E6"/>
    <w:rsid w:val="00077956"/>
    <w:rsid w:val="00081D2E"/>
    <w:rsid w:val="00082983"/>
    <w:rsid w:val="00082E13"/>
    <w:rsid w:val="00084484"/>
    <w:rsid w:val="00086877"/>
    <w:rsid w:val="00086C39"/>
    <w:rsid w:val="000902B4"/>
    <w:rsid w:val="000905C3"/>
    <w:rsid w:val="000968B2"/>
    <w:rsid w:val="000A03B2"/>
    <w:rsid w:val="000A08B5"/>
    <w:rsid w:val="000A2F9E"/>
    <w:rsid w:val="000A32D3"/>
    <w:rsid w:val="000A3564"/>
    <w:rsid w:val="000A4C4F"/>
    <w:rsid w:val="000A4D42"/>
    <w:rsid w:val="000A530C"/>
    <w:rsid w:val="000B155B"/>
    <w:rsid w:val="000B525C"/>
    <w:rsid w:val="000B56BE"/>
    <w:rsid w:val="000B6D3F"/>
    <w:rsid w:val="000C2A8A"/>
    <w:rsid w:val="000C2F4E"/>
    <w:rsid w:val="000D0268"/>
    <w:rsid w:val="000D1BFA"/>
    <w:rsid w:val="000D34BE"/>
    <w:rsid w:val="000D5FED"/>
    <w:rsid w:val="000E102F"/>
    <w:rsid w:val="000E36F1"/>
    <w:rsid w:val="000E3A73"/>
    <w:rsid w:val="000E414A"/>
    <w:rsid w:val="000E55FE"/>
    <w:rsid w:val="000E5BE4"/>
    <w:rsid w:val="000F093C"/>
    <w:rsid w:val="000F0A3C"/>
    <w:rsid w:val="000F0EAE"/>
    <w:rsid w:val="000F43D7"/>
    <w:rsid w:val="000F787B"/>
    <w:rsid w:val="00101DCB"/>
    <w:rsid w:val="00105E36"/>
    <w:rsid w:val="001077D7"/>
    <w:rsid w:val="00110257"/>
    <w:rsid w:val="00111ECC"/>
    <w:rsid w:val="001147AD"/>
    <w:rsid w:val="001165A7"/>
    <w:rsid w:val="0012091F"/>
    <w:rsid w:val="0012274E"/>
    <w:rsid w:val="00126BC2"/>
    <w:rsid w:val="00126E16"/>
    <w:rsid w:val="001308B6"/>
    <w:rsid w:val="0013121F"/>
    <w:rsid w:val="00131FE6"/>
    <w:rsid w:val="0013263F"/>
    <w:rsid w:val="001331DF"/>
    <w:rsid w:val="00134DE4"/>
    <w:rsid w:val="00135382"/>
    <w:rsid w:val="0013622A"/>
    <w:rsid w:val="0014034D"/>
    <w:rsid w:val="0014343F"/>
    <w:rsid w:val="00144511"/>
    <w:rsid w:val="00144B4C"/>
    <w:rsid w:val="00144D16"/>
    <w:rsid w:val="0014514A"/>
    <w:rsid w:val="001509B6"/>
    <w:rsid w:val="00150E59"/>
    <w:rsid w:val="0015197B"/>
    <w:rsid w:val="00152DE3"/>
    <w:rsid w:val="0015394F"/>
    <w:rsid w:val="00154B3C"/>
    <w:rsid w:val="00154C00"/>
    <w:rsid w:val="00161F92"/>
    <w:rsid w:val="001627FF"/>
    <w:rsid w:val="00163552"/>
    <w:rsid w:val="00164CF9"/>
    <w:rsid w:val="001667A0"/>
    <w:rsid w:val="001667A6"/>
    <w:rsid w:val="00166B36"/>
    <w:rsid w:val="00171BE1"/>
    <w:rsid w:val="00174494"/>
    <w:rsid w:val="00174F71"/>
    <w:rsid w:val="00174FA4"/>
    <w:rsid w:val="00182A9E"/>
    <w:rsid w:val="00183B6E"/>
    <w:rsid w:val="00184AD6"/>
    <w:rsid w:val="00193B45"/>
    <w:rsid w:val="001944E9"/>
    <w:rsid w:val="001A4AF7"/>
    <w:rsid w:val="001A4CE5"/>
    <w:rsid w:val="001A63EA"/>
    <w:rsid w:val="001A6EF6"/>
    <w:rsid w:val="001A723A"/>
    <w:rsid w:val="001B0349"/>
    <w:rsid w:val="001B1E93"/>
    <w:rsid w:val="001B5465"/>
    <w:rsid w:val="001B65C1"/>
    <w:rsid w:val="001C1099"/>
    <w:rsid w:val="001C22D5"/>
    <w:rsid w:val="001C32BE"/>
    <w:rsid w:val="001C44F9"/>
    <w:rsid w:val="001C684B"/>
    <w:rsid w:val="001D0CFB"/>
    <w:rsid w:val="001D169E"/>
    <w:rsid w:val="001D21AF"/>
    <w:rsid w:val="001D53FC"/>
    <w:rsid w:val="001D64C5"/>
    <w:rsid w:val="001E3847"/>
    <w:rsid w:val="001E6B0A"/>
    <w:rsid w:val="001F15D3"/>
    <w:rsid w:val="001F42A5"/>
    <w:rsid w:val="001F7B9D"/>
    <w:rsid w:val="0020076F"/>
    <w:rsid w:val="00201C93"/>
    <w:rsid w:val="0020254E"/>
    <w:rsid w:val="00205F55"/>
    <w:rsid w:val="00214466"/>
    <w:rsid w:val="00222382"/>
    <w:rsid w:val="002224B4"/>
    <w:rsid w:val="00223A2C"/>
    <w:rsid w:val="00224139"/>
    <w:rsid w:val="002372CE"/>
    <w:rsid w:val="002401C0"/>
    <w:rsid w:val="002447EF"/>
    <w:rsid w:val="00245316"/>
    <w:rsid w:val="002508E4"/>
    <w:rsid w:val="00251550"/>
    <w:rsid w:val="00255B75"/>
    <w:rsid w:val="002568C7"/>
    <w:rsid w:val="00260E95"/>
    <w:rsid w:val="00263B05"/>
    <w:rsid w:val="00266C18"/>
    <w:rsid w:val="00270557"/>
    <w:rsid w:val="0027221A"/>
    <w:rsid w:val="002725CE"/>
    <w:rsid w:val="00274787"/>
    <w:rsid w:val="00275B61"/>
    <w:rsid w:val="00276F13"/>
    <w:rsid w:val="00280FAF"/>
    <w:rsid w:val="00282656"/>
    <w:rsid w:val="00286E44"/>
    <w:rsid w:val="00290224"/>
    <w:rsid w:val="00290910"/>
    <w:rsid w:val="00294064"/>
    <w:rsid w:val="00296B83"/>
    <w:rsid w:val="00297AF1"/>
    <w:rsid w:val="002A3F41"/>
    <w:rsid w:val="002A4CF0"/>
    <w:rsid w:val="002A5D5F"/>
    <w:rsid w:val="002A73D3"/>
    <w:rsid w:val="002A7A45"/>
    <w:rsid w:val="002B4015"/>
    <w:rsid w:val="002B78CE"/>
    <w:rsid w:val="002C0ABF"/>
    <w:rsid w:val="002C2FB6"/>
    <w:rsid w:val="002C6ED4"/>
    <w:rsid w:val="002D051F"/>
    <w:rsid w:val="002D31F7"/>
    <w:rsid w:val="002D372B"/>
    <w:rsid w:val="002D5503"/>
    <w:rsid w:val="002D6E29"/>
    <w:rsid w:val="002D6F47"/>
    <w:rsid w:val="002E123E"/>
    <w:rsid w:val="002E1AA0"/>
    <w:rsid w:val="002E225C"/>
    <w:rsid w:val="002E2349"/>
    <w:rsid w:val="002E4A36"/>
    <w:rsid w:val="002E5FA7"/>
    <w:rsid w:val="002E7C94"/>
    <w:rsid w:val="002E7D4E"/>
    <w:rsid w:val="002E7F73"/>
    <w:rsid w:val="002F06E5"/>
    <w:rsid w:val="002F3309"/>
    <w:rsid w:val="002F4D12"/>
    <w:rsid w:val="002F77F0"/>
    <w:rsid w:val="003008CE"/>
    <w:rsid w:val="003009B7"/>
    <w:rsid w:val="00300DBC"/>
    <w:rsid w:val="00300E56"/>
    <w:rsid w:val="0030152C"/>
    <w:rsid w:val="0030469C"/>
    <w:rsid w:val="00310666"/>
    <w:rsid w:val="003208E4"/>
    <w:rsid w:val="003214ED"/>
    <w:rsid w:val="00321CA6"/>
    <w:rsid w:val="003220DC"/>
    <w:rsid w:val="00323153"/>
    <w:rsid w:val="00323763"/>
    <w:rsid w:val="00323C5F"/>
    <w:rsid w:val="00324C03"/>
    <w:rsid w:val="00325142"/>
    <w:rsid w:val="003263CF"/>
    <w:rsid w:val="003305C8"/>
    <w:rsid w:val="00332953"/>
    <w:rsid w:val="00334C09"/>
    <w:rsid w:val="00336158"/>
    <w:rsid w:val="003372F9"/>
    <w:rsid w:val="00337CFD"/>
    <w:rsid w:val="00341875"/>
    <w:rsid w:val="0034348E"/>
    <w:rsid w:val="00345606"/>
    <w:rsid w:val="00350546"/>
    <w:rsid w:val="00352AEA"/>
    <w:rsid w:val="00360391"/>
    <w:rsid w:val="003723D4"/>
    <w:rsid w:val="00374E08"/>
    <w:rsid w:val="0037718A"/>
    <w:rsid w:val="00381905"/>
    <w:rsid w:val="003848B8"/>
    <w:rsid w:val="00384CC8"/>
    <w:rsid w:val="00385E4A"/>
    <w:rsid w:val="00385EEF"/>
    <w:rsid w:val="003871FD"/>
    <w:rsid w:val="00390CD3"/>
    <w:rsid w:val="00392D5D"/>
    <w:rsid w:val="0039330B"/>
    <w:rsid w:val="00394855"/>
    <w:rsid w:val="003A0857"/>
    <w:rsid w:val="003A1E30"/>
    <w:rsid w:val="003A2829"/>
    <w:rsid w:val="003A29D4"/>
    <w:rsid w:val="003A3945"/>
    <w:rsid w:val="003A6500"/>
    <w:rsid w:val="003A7D1C"/>
    <w:rsid w:val="003A7E30"/>
    <w:rsid w:val="003B0016"/>
    <w:rsid w:val="003B083A"/>
    <w:rsid w:val="003B1FC0"/>
    <w:rsid w:val="003B304B"/>
    <w:rsid w:val="003B3146"/>
    <w:rsid w:val="003B56F3"/>
    <w:rsid w:val="003B5BA1"/>
    <w:rsid w:val="003B62B0"/>
    <w:rsid w:val="003B7029"/>
    <w:rsid w:val="003C20E8"/>
    <w:rsid w:val="003C7EC2"/>
    <w:rsid w:val="003D366E"/>
    <w:rsid w:val="003D5A10"/>
    <w:rsid w:val="003D6789"/>
    <w:rsid w:val="003E11AC"/>
    <w:rsid w:val="003E1CF4"/>
    <w:rsid w:val="003E3BA9"/>
    <w:rsid w:val="003F015E"/>
    <w:rsid w:val="003F7F58"/>
    <w:rsid w:val="00400414"/>
    <w:rsid w:val="0040114B"/>
    <w:rsid w:val="00402EA1"/>
    <w:rsid w:val="004072E4"/>
    <w:rsid w:val="00407E30"/>
    <w:rsid w:val="00411BAD"/>
    <w:rsid w:val="00411C19"/>
    <w:rsid w:val="00413929"/>
    <w:rsid w:val="0041446B"/>
    <w:rsid w:val="00414A27"/>
    <w:rsid w:val="0041562B"/>
    <w:rsid w:val="00416DE5"/>
    <w:rsid w:val="00417DC7"/>
    <w:rsid w:val="00417E46"/>
    <w:rsid w:val="00420496"/>
    <w:rsid w:val="00421DB8"/>
    <w:rsid w:val="00424B0C"/>
    <w:rsid w:val="0043299A"/>
    <w:rsid w:val="004329B2"/>
    <w:rsid w:val="00433C4E"/>
    <w:rsid w:val="00437182"/>
    <w:rsid w:val="00437E72"/>
    <w:rsid w:val="0044071E"/>
    <w:rsid w:val="00441270"/>
    <w:rsid w:val="0044329C"/>
    <w:rsid w:val="00446E13"/>
    <w:rsid w:val="004502ED"/>
    <w:rsid w:val="00450C46"/>
    <w:rsid w:val="00451E29"/>
    <w:rsid w:val="004525B3"/>
    <w:rsid w:val="004525D8"/>
    <w:rsid w:val="00453E24"/>
    <w:rsid w:val="00454406"/>
    <w:rsid w:val="0045732F"/>
    <w:rsid w:val="00457456"/>
    <w:rsid w:val="00457567"/>
    <w:rsid w:val="004577FE"/>
    <w:rsid w:val="00457B9C"/>
    <w:rsid w:val="0046164A"/>
    <w:rsid w:val="00461D7E"/>
    <w:rsid w:val="004628D2"/>
    <w:rsid w:val="00462DCD"/>
    <w:rsid w:val="0046417E"/>
    <w:rsid w:val="00464424"/>
    <w:rsid w:val="004648AD"/>
    <w:rsid w:val="004663DB"/>
    <w:rsid w:val="004703A9"/>
    <w:rsid w:val="00471730"/>
    <w:rsid w:val="00472043"/>
    <w:rsid w:val="004760DE"/>
    <w:rsid w:val="004763D7"/>
    <w:rsid w:val="004811D7"/>
    <w:rsid w:val="004857DE"/>
    <w:rsid w:val="00485968"/>
    <w:rsid w:val="00494E9B"/>
    <w:rsid w:val="0049590A"/>
    <w:rsid w:val="00496E32"/>
    <w:rsid w:val="004972F1"/>
    <w:rsid w:val="00497E77"/>
    <w:rsid w:val="004A004E"/>
    <w:rsid w:val="004A24CF"/>
    <w:rsid w:val="004A28AF"/>
    <w:rsid w:val="004A3EEB"/>
    <w:rsid w:val="004A511A"/>
    <w:rsid w:val="004A6132"/>
    <w:rsid w:val="004B3064"/>
    <w:rsid w:val="004B53EB"/>
    <w:rsid w:val="004B7180"/>
    <w:rsid w:val="004B7FA0"/>
    <w:rsid w:val="004C034F"/>
    <w:rsid w:val="004C0D14"/>
    <w:rsid w:val="004C1D28"/>
    <w:rsid w:val="004C3D1D"/>
    <w:rsid w:val="004C3D84"/>
    <w:rsid w:val="004C68AA"/>
    <w:rsid w:val="004C7913"/>
    <w:rsid w:val="004D011F"/>
    <w:rsid w:val="004D308F"/>
    <w:rsid w:val="004D5455"/>
    <w:rsid w:val="004E225A"/>
    <w:rsid w:val="004E4DD6"/>
    <w:rsid w:val="004E7174"/>
    <w:rsid w:val="004E7F5C"/>
    <w:rsid w:val="004F0830"/>
    <w:rsid w:val="004F169C"/>
    <w:rsid w:val="004F5E36"/>
    <w:rsid w:val="004F7E2C"/>
    <w:rsid w:val="0050018F"/>
    <w:rsid w:val="00502FAE"/>
    <w:rsid w:val="00504EB8"/>
    <w:rsid w:val="005053E0"/>
    <w:rsid w:val="00506B97"/>
    <w:rsid w:val="00507B47"/>
    <w:rsid w:val="00507BEF"/>
    <w:rsid w:val="00507CC9"/>
    <w:rsid w:val="00511229"/>
    <w:rsid w:val="00511628"/>
    <w:rsid w:val="005119A5"/>
    <w:rsid w:val="005119B5"/>
    <w:rsid w:val="005210C5"/>
    <w:rsid w:val="00521110"/>
    <w:rsid w:val="005278B7"/>
    <w:rsid w:val="00527A2F"/>
    <w:rsid w:val="00530511"/>
    <w:rsid w:val="00530E1F"/>
    <w:rsid w:val="00532016"/>
    <w:rsid w:val="005322DB"/>
    <w:rsid w:val="005346C8"/>
    <w:rsid w:val="00535091"/>
    <w:rsid w:val="00536DA1"/>
    <w:rsid w:val="00537A37"/>
    <w:rsid w:val="0054080D"/>
    <w:rsid w:val="005409C4"/>
    <w:rsid w:val="00543E7D"/>
    <w:rsid w:val="005447A3"/>
    <w:rsid w:val="00546325"/>
    <w:rsid w:val="0054689C"/>
    <w:rsid w:val="00547A68"/>
    <w:rsid w:val="0055142A"/>
    <w:rsid w:val="005531C9"/>
    <w:rsid w:val="005539CE"/>
    <w:rsid w:val="00554FA3"/>
    <w:rsid w:val="00555ABF"/>
    <w:rsid w:val="00570C43"/>
    <w:rsid w:val="0057122B"/>
    <w:rsid w:val="00577506"/>
    <w:rsid w:val="00577526"/>
    <w:rsid w:val="005811BC"/>
    <w:rsid w:val="0058781C"/>
    <w:rsid w:val="00590110"/>
    <w:rsid w:val="005919D6"/>
    <w:rsid w:val="00593FF2"/>
    <w:rsid w:val="00597FA6"/>
    <w:rsid w:val="005A1FB8"/>
    <w:rsid w:val="005A2F29"/>
    <w:rsid w:val="005A4C21"/>
    <w:rsid w:val="005A652D"/>
    <w:rsid w:val="005B2110"/>
    <w:rsid w:val="005B5494"/>
    <w:rsid w:val="005B5D6D"/>
    <w:rsid w:val="005B61E6"/>
    <w:rsid w:val="005B6C84"/>
    <w:rsid w:val="005C2942"/>
    <w:rsid w:val="005C5D71"/>
    <w:rsid w:val="005C77E1"/>
    <w:rsid w:val="005D047A"/>
    <w:rsid w:val="005D13C0"/>
    <w:rsid w:val="005D1505"/>
    <w:rsid w:val="005D1B0D"/>
    <w:rsid w:val="005D4C81"/>
    <w:rsid w:val="005D668A"/>
    <w:rsid w:val="005D6A2F"/>
    <w:rsid w:val="005E0EBE"/>
    <w:rsid w:val="005E1A82"/>
    <w:rsid w:val="005E5ED3"/>
    <w:rsid w:val="005E6606"/>
    <w:rsid w:val="005E794C"/>
    <w:rsid w:val="005F0A28"/>
    <w:rsid w:val="005F0E5E"/>
    <w:rsid w:val="005F466D"/>
    <w:rsid w:val="00600535"/>
    <w:rsid w:val="00604250"/>
    <w:rsid w:val="006051F1"/>
    <w:rsid w:val="00610CD6"/>
    <w:rsid w:val="0061127B"/>
    <w:rsid w:val="006135E5"/>
    <w:rsid w:val="006136BE"/>
    <w:rsid w:val="00613F17"/>
    <w:rsid w:val="00620117"/>
    <w:rsid w:val="00620DEE"/>
    <w:rsid w:val="00621F92"/>
    <w:rsid w:val="0062280A"/>
    <w:rsid w:val="0062372C"/>
    <w:rsid w:val="00625639"/>
    <w:rsid w:val="006277C3"/>
    <w:rsid w:val="00631B33"/>
    <w:rsid w:val="0064184D"/>
    <w:rsid w:val="006422CC"/>
    <w:rsid w:val="0064471F"/>
    <w:rsid w:val="00644D7E"/>
    <w:rsid w:val="00645B36"/>
    <w:rsid w:val="0064639F"/>
    <w:rsid w:val="00646F0C"/>
    <w:rsid w:val="00647A96"/>
    <w:rsid w:val="00655086"/>
    <w:rsid w:val="00660E3E"/>
    <w:rsid w:val="0066263F"/>
    <w:rsid w:val="00662E74"/>
    <w:rsid w:val="00663058"/>
    <w:rsid w:val="00666C32"/>
    <w:rsid w:val="0067030D"/>
    <w:rsid w:val="006709B9"/>
    <w:rsid w:val="00672C84"/>
    <w:rsid w:val="00680C23"/>
    <w:rsid w:val="00682B8D"/>
    <w:rsid w:val="0068577C"/>
    <w:rsid w:val="00687EC4"/>
    <w:rsid w:val="00693766"/>
    <w:rsid w:val="00694E67"/>
    <w:rsid w:val="00694E91"/>
    <w:rsid w:val="00695DB7"/>
    <w:rsid w:val="00697001"/>
    <w:rsid w:val="006A3281"/>
    <w:rsid w:val="006A3C5C"/>
    <w:rsid w:val="006B1D29"/>
    <w:rsid w:val="006B2589"/>
    <w:rsid w:val="006B4888"/>
    <w:rsid w:val="006B6607"/>
    <w:rsid w:val="006C28ED"/>
    <w:rsid w:val="006C2E45"/>
    <w:rsid w:val="006C359C"/>
    <w:rsid w:val="006C5579"/>
    <w:rsid w:val="006C6DB2"/>
    <w:rsid w:val="006D3C22"/>
    <w:rsid w:val="006D3D7B"/>
    <w:rsid w:val="006D6E8B"/>
    <w:rsid w:val="006D779A"/>
    <w:rsid w:val="006E025F"/>
    <w:rsid w:val="006E03E5"/>
    <w:rsid w:val="006E0B71"/>
    <w:rsid w:val="006E1FB0"/>
    <w:rsid w:val="006E29AA"/>
    <w:rsid w:val="006E2E5E"/>
    <w:rsid w:val="006E737D"/>
    <w:rsid w:val="006E780B"/>
    <w:rsid w:val="006E7A57"/>
    <w:rsid w:val="006F06E2"/>
    <w:rsid w:val="006F5C02"/>
    <w:rsid w:val="006F6091"/>
    <w:rsid w:val="0070187C"/>
    <w:rsid w:val="007050DA"/>
    <w:rsid w:val="007054B7"/>
    <w:rsid w:val="00713021"/>
    <w:rsid w:val="00713973"/>
    <w:rsid w:val="007144EB"/>
    <w:rsid w:val="00716F43"/>
    <w:rsid w:val="00720A24"/>
    <w:rsid w:val="00723217"/>
    <w:rsid w:val="0072596E"/>
    <w:rsid w:val="00732386"/>
    <w:rsid w:val="007323DD"/>
    <w:rsid w:val="007324A7"/>
    <w:rsid w:val="00732700"/>
    <w:rsid w:val="0073514D"/>
    <w:rsid w:val="00741A77"/>
    <w:rsid w:val="00744155"/>
    <w:rsid w:val="007447F3"/>
    <w:rsid w:val="00744A41"/>
    <w:rsid w:val="00753DA7"/>
    <w:rsid w:val="0075499F"/>
    <w:rsid w:val="007554BD"/>
    <w:rsid w:val="00756643"/>
    <w:rsid w:val="007601F7"/>
    <w:rsid w:val="00764CDC"/>
    <w:rsid w:val="00765423"/>
    <w:rsid w:val="007659B9"/>
    <w:rsid w:val="007661C8"/>
    <w:rsid w:val="0077098D"/>
    <w:rsid w:val="0077268C"/>
    <w:rsid w:val="00775799"/>
    <w:rsid w:val="0077663A"/>
    <w:rsid w:val="00777B19"/>
    <w:rsid w:val="00784797"/>
    <w:rsid w:val="007851CC"/>
    <w:rsid w:val="00790E49"/>
    <w:rsid w:val="00792CFA"/>
    <w:rsid w:val="007931FA"/>
    <w:rsid w:val="007939FE"/>
    <w:rsid w:val="00794E1A"/>
    <w:rsid w:val="007A05E6"/>
    <w:rsid w:val="007A3F95"/>
    <w:rsid w:val="007A4861"/>
    <w:rsid w:val="007A7BBA"/>
    <w:rsid w:val="007B0C50"/>
    <w:rsid w:val="007B48F9"/>
    <w:rsid w:val="007C1A43"/>
    <w:rsid w:val="007C3146"/>
    <w:rsid w:val="007C46CE"/>
    <w:rsid w:val="007C637C"/>
    <w:rsid w:val="007D0718"/>
    <w:rsid w:val="007D0951"/>
    <w:rsid w:val="007D0D16"/>
    <w:rsid w:val="007D1F67"/>
    <w:rsid w:val="007D2611"/>
    <w:rsid w:val="007D3D13"/>
    <w:rsid w:val="007E2D55"/>
    <w:rsid w:val="007E4240"/>
    <w:rsid w:val="007E4E53"/>
    <w:rsid w:val="007E550C"/>
    <w:rsid w:val="007E609A"/>
    <w:rsid w:val="007E6370"/>
    <w:rsid w:val="007F1FF3"/>
    <w:rsid w:val="007F2FAB"/>
    <w:rsid w:val="007F765F"/>
    <w:rsid w:val="0080013E"/>
    <w:rsid w:val="00802584"/>
    <w:rsid w:val="00804FDA"/>
    <w:rsid w:val="00806D6B"/>
    <w:rsid w:val="00813288"/>
    <w:rsid w:val="00814D65"/>
    <w:rsid w:val="0081547F"/>
    <w:rsid w:val="008168FC"/>
    <w:rsid w:val="008177B9"/>
    <w:rsid w:val="008177CF"/>
    <w:rsid w:val="00821B79"/>
    <w:rsid w:val="00823822"/>
    <w:rsid w:val="008259F0"/>
    <w:rsid w:val="008272DF"/>
    <w:rsid w:val="00830996"/>
    <w:rsid w:val="008345F1"/>
    <w:rsid w:val="00845E0C"/>
    <w:rsid w:val="00847C82"/>
    <w:rsid w:val="00847D4A"/>
    <w:rsid w:val="008522FA"/>
    <w:rsid w:val="008526D8"/>
    <w:rsid w:val="00855F98"/>
    <w:rsid w:val="008578EF"/>
    <w:rsid w:val="00857DA3"/>
    <w:rsid w:val="0086243A"/>
    <w:rsid w:val="008643E6"/>
    <w:rsid w:val="00865B07"/>
    <w:rsid w:val="008667EA"/>
    <w:rsid w:val="00873F35"/>
    <w:rsid w:val="008751B7"/>
    <w:rsid w:val="0087637F"/>
    <w:rsid w:val="008806EF"/>
    <w:rsid w:val="00881D96"/>
    <w:rsid w:val="00884994"/>
    <w:rsid w:val="00885862"/>
    <w:rsid w:val="00892AD5"/>
    <w:rsid w:val="00894783"/>
    <w:rsid w:val="00894C4B"/>
    <w:rsid w:val="008A0ECC"/>
    <w:rsid w:val="008A1212"/>
    <w:rsid w:val="008A13C6"/>
    <w:rsid w:val="008A1512"/>
    <w:rsid w:val="008A4F84"/>
    <w:rsid w:val="008B09A2"/>
    <w:rsid w:val="008B33B2"/>
    <w:rsid w:val="008B59BD"/>
    <w:rsid w:val="008B6BA7"/>
    <w:rsid w:val="008B7656"/>
    <w:rsid w:val="008B7E19"/>
    <w:rsid w:val="008C6CBF"/>
    <w:rsid w:val="008C6EFF"/>
    <w:rsid w:val="008D32B9"/>
    <w:rsid w:val="008D35A6"/>
    <w:rsid w:val="008D3F18"/>
    <w:rsid w:val="008D433B"/>
    <w:rsid w:val="008D4A16"/>
    <w:rsid w:val="008E5334"/>
    <w:rsid w:val="008E566E"/>
    <w:rsid w:val="008E6E9A"/>
    <w:rsid w:val="008F27D9"/>
    <w:rsid w:val="008F7D37"/>
    <w:rsid w:val="00900490"/>
    <w:rsid w:val="0090161A"/>
    <w:rsid w:val="00901657"/>
    <w:rsid w:val="00901EB6"/>
    <w:rsid w:val="00904C62"/>
    <w:rsid w:val="00904F9D"/>
    <w:rsid w:val="00912978"/>
    <w:rsid w:val="00913D0B"/>
    <w:rsid w:val="00914A1B"/>
    <w:rsid w:val="009164C6"/>
    <w:rsid w:val="00917D91"/>
    <w:rsid w:val="0092127E"/>
    <w:rsid w:val="00922BA8"/>
    <w:rsid w:val="00924DAC"/>
    <w:rsid w:val="00927058"/>
    <w:rsid w:val="00932DA9"/>
    <w:rsid w:val="00933E9B"/>
    <w:rsid w:val="009346A0"/>
    <w:rsid w:val="00940122"/>
    <w:rsid w:val="00942750"/>
    <w:rsid w:val="009450CE"/>
    <w:rsid w:val="00945522"/>
    <w:rsid w:val="009459BB"/>
    <w:rsid w:val="0094695E"/>
    <w:rsid w:val="00947179"/>
    <w:rsid w:val="0095057A"/>
    <w:rsid w:val="0095164B"/>
    <w:rsid w:val="00954090"/>
    <w:rsid w:val="00954C00"/>
    <w:rsid w:val="009573E7"/>
    <w:rsid w:val="00963E05"/>
    <w:rsid w:val="00964A45"/>
    <w:rsid w:val="00965111"/>
    <w:rsid w:val="009652DC"/>
    <w:rsid w:val="00965449"/>
    <w:rsid w:val="00967843"/>
    <w:rsid w:val="00967D54"/>
    <w:rsid w:val="00971028"/>
    <w:rsid w:val="00981F16"/>
    <w:rsid w:val="00984548"/>
    <w:rsid w:val="00984685"/>
    <w:rsid w:val="009869C1"/>
    <w:rsid w:val="00986F3C"/>
    <w:rsid w:val="00991A1D"/>
    <w:rsid w:val="00992BEF"/>
    <w:rsid w:val="00993B84"/>
    <w:rsid w:val="00996483"/>
    <w:rsid w:val="00996BC1"/>
    <w:rsid w:val="00996F5A"/>
    <w:rsid w:val="0099776E"/>
    <w:rsid w:val="009A1582"/>
    <w:rsid w:val="009A740B"/>
    <w:rsid w:val="009B041A"/>
    <w:rsid w:val="009B4D2B"/>
    <w:rsid w:val="009B6D96"/>
    <w:rsid w:val="009C0367"/>
    <w:rsid w:val="009C308B"/>
    <w:rsid w:val="009C37C3"/>
    <w:rsid w:val="009C7C86"/>
    <w:rsid w:val="009D243D"/>
    <w:rsid w:val="009D2FF7"/>
    <w:rsid w:val="009E10B3"/>
    <w:rsid w:val="009E1FCC"/>
    <w:rsid w:val="009E5EA5"/>
    <w:rsid w:val="009E63A1"/>
    <w:rsid w:val="009E64B7"/>
    <w:rsid w:val="009E7884"/>
    <w:rsid w:val="009E788A"/>
    <w:rsid w:val="009F0E08"/>
    <w:rsid w:val="009F2700"/>
    <w:rsid w:val="009F7FD4"/>
    <w:rsid w:val="00A00D15"/>
    <w:rsid w:val="00A01A18"/>
    <w:rsid w:val="00A036E5"/>
    <w:rsid w:val="00A05998"/>
    <w:rsid w:val="00A110B5"/>
    <w:rsid w:val="00A11DDD"/>
    <w:rsid w:val="00A11EC3"/>
    <w:rsid w:val="00A1763D"/>
    <w:rsid w:val="00A17CEC"/>
    <w:rsid w:val="00A21F7D"/>
    <w:rsid w:val="00A2350B"/>
    <w:rsid w:val="00A24875"/>
    <w:rsid w:val="00A27DD5"/>
    <w:rsid w:val="00A27EF0"/>
    <w:rsid w:val="00A339F5"/>
    <w:rsid w:val="00A36F0D"/>
    <w:rsid w:val="00A4017E"/>
    <w:rsid w:val="00A4070F"/>
    <w:rsid w:val="00A42361"/>
    <w:rsid w:val="00A43CE8"/>
    <w:rsid w:val="00A44134"/>
    <w:rsid w:val="00A44903"/>
    <w:rsid w:val="00A4671A"/>
    <w:rsid w:val="00A50B20"/>
    <w:rsid w:val="00A51390"/>
    <w:rsid w:val="00A52892"/>
    <w:rsid w:val="00A53C8F"/>
    <w:rsid w:val="00A543DD"/>
    <w:rsid w:val="00A5691C"/>
    <w:rsid w:val="00A60979"/>
    <w:rsid w:val="00A60D13"/>
    <w:rsid w:val="00A6419A"/>
    <w:rsid w:val="00A653E4"/>
    <w:rsid w:val="00A6583E"/>
    <w:rsid w:val="00A6593E"/>
    <w:rsid w:val="00A71C9E"/>
    <w:rsid w:val="00A7223D"/>
    <w:rsid w:val="00A72745"/>
    <w:rsid w:val="00A73092"/>
    <w:rsid w:val="00A76EFC"/>
    <w:rsid w:val="00A80256"/>
    <w:rsid w:val="00A807EF"/>
    <w:rsid w:val="00A80CD7"/>
    <w:rsid w:val="00A86F76"/>
    <w:rsid w:val="00A87D50"/>
    <w:rsid w:val="00A87E5A"/>
    <w:rsid w:val="00A91010"/>
    <w:rsid w:val="00A940B9"/>
    <w:rsid w:val="00A97CDA"/>
    <w:rsid w:val="00A97F29"/>
    <w:rsid w:val="00AA702E"/>
    <w:rsid w:val="00AA7D26"/>
    <w:rsid w:val="00AB0022"/>
    <w:rsid w:val="00AB004D"/>
    <w:rsid w:val="00AB0964"/>
    <w:rsid w:val="00AB1BE1"/>
    <w:rsid w:val="00AB3515"/>
    <w:rsid w:val="00AB361E"/>
    <w:rsid w:val="00AB5011"/>
    <w:rsid w:val="00AB6F7D"/>
    <w:rsid w:val="00AC06DB"/>
    <w:rsid w:val="00AC2ACF"/>
    <w:rsid w:val="00AC7368"/>
    <w:rsid w:val="00AC7775"/>
    <w:rsid w:val="00AD0F79"/>
    <w:rsid w:val="00AD164E"/>
    <w:rsid w:val="00AD16B9"/>
    <w:rsid w:val="00AD415A"/>
    <w:rsid w:val="00AD4491"/>
    <w:rsid w:val="00AD7A81"/>
    <w:rsid w:val="00AE377D"/>
    <w:rsid w:val="00AE3CAD"/>
    <w:rsid w:val="00AE5ECE"/>
    <w:rsid w:val="00AF0EBA"/>
    <w:rsid w:val="00AF212F"/>
    <w:rsid w:val="00AF2342"/>
    <w:rsid w:val="00AF5807"/>
    <w:rsid w:val="00AF60AA"/>
    <w:rsid w:val="00B00634"/>
    <w:rsid w:val="00B02C8A"/>
    <w:rsid w:val="00B115AB"/>
    <w:rsid w:val="00B14B47"/>
    <w:rsid w:val="00B14F1F"/>
    <w:rsid w:val="00B15A73"/>
    <w:rsid w:val="00B1621E"/>
    <w:rsid w:val="00B17FBD"/>
    <w:rsid w:val="00B206D2"/>
    <w:rsid w:val="00B255E7"/>
    <w:rsid w:val="00B27D7D"/>
    <w:rsid w:val="00B315A6"/>
    <w:rsid w:val="00B31813"/>
    <w:rsid w:val="00B31934"/>
    <w:rsid w:val="00B32638"/>
    <w:rsid w:val="00B33365"/>
    <w:rsid w:val="00B34E75"/>
    <w:rsid w:val="00B3579B"/>
    <w:rsid w:val="00B36A7B"/>
    <w:rsid w:val="00B41C75"/>
    <w:rsid w:val="00B421B2"/>
    <w:rsid w:val="00B4467D"/>
    <w:rsid w:val="00B463D5"/>
    <w:rsid w:val="00B46DEA"/>
    <w:rsid w:val="00B47D8B"/>
    <w:rsid w:val="00B52806"/>
    <w:rsid w:val="00B57B36"/>
    <w:rsid w:val="00B57C53"/>
    <w:rsid w:val="00B57E6F"/>
    <w:rsid w:val="00B601CE"/>
    <w:rsid w:val="00B62126"/>
    <w:rsid w:val="00B663E7"/>
    <w:rsid w:val="00B67441"/>
    <w:rsid w:val="00B702D3"/>
    <w:rsid w:val="00B712A7"/>
    <w:rsid w:val="00B75974"/>
    <w:rsid w:val="00B770C7"/>
    <w:rsid w:val="00B77FFB"/>
    <w:rsid w:val="00B84835"/>
    <w:rsid w:val="00B8686D"/>
    <w:rsid w:val="00B86CA0"/>
    <w:rsid w:val="00B91942"/>
    <w:rsid w:val="00B93F69"/>
    <w:rsid w:val="00B96B5F"/>
    <w:rsid w:val="00B97CF7"/>
    <w:rsid w:val="00BA73FC"/>
    <w:rsid w:val="00BB0E4B"/>
    <w:rsid w:val="00BB10CF"/>
    <w:rsid w:val="00BB1A82"/>
    <w:rsid w:val="00BB1DDC"/>
    <w:rsid w:val="00BB537A"/>
    <w:rsid w:val="00BB5F25"/>
    <w:rsid w:val="00BB7C3A"/>
    <w:rsid w:val="00BC30C9"/>
    <w:rsid w:val="00BC43E8"/>
    <w:rsid w:val="00BD077D"/>
    <w:rsid w:val="00BD3DE4"/>
    <w:rsid w:val="00BD737C"/>
    <w:rsid w:val="00BE3E58"/>
    <w:rsid w:val="00BF3610"/>
    <w:rsid w:val="00BF478B"/>
    <w:rsid w:val="00BF679C"/>
    <w:rsid w:val="00C01616"/>
    <w:rsid w:val="00C0162B"/>
    <w:rsid w:val="00C02C7F"/>
    <w:rsid w:val="00C04DFF"/>
    <w:rsid w:val="00C068ED"/>
    <w:rsid w:val="00C07160"/>
    <w:rsid w:val="00C12709"/>
    <w:rsid w:val="00C211FA"/>
    <w:rsid w:val="00C22E0C"/>
    <w:rsid w:val="00C23FF8"/>
    <w:rsid w:val="00C272DE"/>
    <w:rsid w:val="00C27464"/>
    <w:rsid w:val="00C27979"/>
    <w:rsid w:val="00C27A64"/>
    <w:rsid w:val="00C33877"/>
    <w:rsid w:val="00C345B1"/>
    <w:rsid w:val="00C37DFF"/>
    <w:rsid w:val="00C40142"/>
    <w:rsid w:val="00C409B1"/>
    <w:rsid w:val="00C46F18"/>
    <w:rsid w:val="00C4782C"/>
    <w:rsid w:val="00C50969"/>
    <w:rsid w:val="00C52C3C"/>
    <w:rsid w:val="00C535C5"/>
    <w:rsid w:val="00C57182"/>
    <w:rsid w:val="00C57863"/>
    <w:rsid w:val="00C63741"/>
    <w:rsid w:val="00C640AF"/>
    <w:rsid w:val="00C655FD"/>
    <w:rsid w:val="00C66FA6"/>
    <w:rsid w:val="00C71D5E"/>
    <w:rsid w:val="00C74D2A"/>
    <w:rsid w:val="00C75161"/>
    <w:rsid w:val="00C75407"/>
    <w:rsid w:val="00C76F4B"/>
    <w:rsid w:val="00C77E29"/>
    <w:rsid w:val="00C870A8"/>
    <w:rsid w:val="00C921C0"/>
    <w:rsid w:val="00C92C25"/>
    <w:rsid w:val="00C931D5"/>
    <w:rsid w:val="00C94434"/>
    <w:rsid w:val="00C95CFA"/>
    <w:rsid w:val="00C97839"/>
    <w:rsid w:val="00CA0D75"/>
    <w:rsid w:val="00CA1BDE"/>
    <w:rsid w:val="00CA1C95"/>
    <w:rsid w:val="00CA2E83"/>
    <w:rsid w:val="00CA5A9C"/>
    <w:rsid w:val="00CC226E"/>
    <w:rsid w:val="00CC4800"/>
    <w:rsid w:val="00CC4C20"/>
    <w:rsid w:val="00CC6AF2"/>
    <w:rsid w:val="00CD12F2"/>
    <w:rsid w:val="00CD1E7E"/>
    <w:rsid w:val="00CD3517"/>
    <w:rsid w:val="00CD5FE2"/>
    <w:rsid w:val="00CD6B78"/>
    <w:rsid w:val="00CE13CF"/>
    <w:rsid w:val="00CE21FA"/>
    <w:rsid w:val="00CE297D"/>
    <w:rsid w:val="00CE355B"/>
    <w:rsid w:val="00CE63FB"/>
    <w:rsid w:val="00CE7754"/>
    <w:rsid w:val="00CE7C68"/>
    <w:rsid w:val="00CF260A"/>
    <w:rsid w:val="00CF3C6C"/>
    <w:rsid w:val="00CF528E"/>
    <w:rsid w:val="00D02B4C"/>
    <w:rsid w:val="00D040C4"/>
    <w:rsid w:val="00D042AA"/>
    <w:rsid w:val="00D04F1E"/>
    <w:rsid w:val="00D06F17"/>
    <w:rsid w:val="00D11494"/>
    <w:rsid w:val="00D146E8"/>
    <w:rsid w:val="00D1694A"/>
    <w:rsid w:val="00D179F7"/>
    <w:rsid w:val="00D17B2B"/>
    <w:rsid w:val="00D20AD1"/>
    <w:rsid w:val="00D216C9"/>
    <w:rsid w:val="00D25042"/>
    <w:rsid w:val="00D30284"/>
    <w:rsid w:val="00D30793"/>
    <w:rsid w:val="00D33862"/>
    <w:rsid w:val="00D34227"/>
    <w:rsid w:val="00D34ED1"/>
    <w:rsid w:val="00D424E5"/>
    <w:rsid w:val="00D44DC2"/>
    <w:rsid w:val="00D46B7E"/>
    <w:rsid w:val="00D47C87"/>
    <w:rsid w:val="00D53D50"/>
    <w:rsid w:val="00D57C84"/>
    <w:rsid w:val="00D6057D"/>
    <w:rsid w:val="00D6415A"/>
    <w:rsid w:val="00D6445D"/>
    <w:rsid w:val="00D71215"/>
    <w:rsid w:val="00D71640"/>
    <w:rsid w:val="00D760C8"/>
    <w:rsid w:val="00D836C5"/>
    <w:rsid w:val="00D83BC4"/>
    <w:rsid w:val="00D83CEE"/>
    <w:rsid w:val="00D83FBA"/>
    <w:rsid w:val="00D84576"/>
    <w:rsid w:val="00D84FA6"/>
    <w:rsid w:val="00D904DC"/>
    <w:rsid w:val="00DA108C"/>
    <w:rsid w:val="00DA1399"/>
    <w:rsid w:val="00DA24C6"/>
    <w:rsid w:val="00DA361E"/>
    <w:rsid w:val="00DA4D7B"/>
    <w:rsid w:val="00DA6349"/>
    <w:rsid w:val="00DB015C"/>
    <w:rsid w:val="00DB5E04"/>
    <w:rsid w:val="00DC2F1E"/>
    <w:rsid w:val="00DC38FF"/>
    <w:rsid w:val="00DC76F0"/>
    <w:rsid w:val="00DC7B31"/>
    <w:rsid w:val="00DD271C"/>
    <w:rsid w:val="00DD5757"/>
    <w:rsid w:val="00DD5980"/>
    <w:rsid w:val="00DD5A9F"/>
    <w:rsid w:val="00DD654D"/>
    <w:rsid w:val="00DE00AB"/>
    <w:rsid w:val="00DE264A"/>
    <w:rsid w:val="00DE5319"/>
    <w:rsid w:val="00DE6730"/>
    <w:rsid w:val="00DF5072"/>
    <w:rsid w:val="00DF601A"/>
    <w:rsid w:val="00E02285"/>
    <w:rsid w:val="00E0269F"/>
    <w:rsid w:val="00E02D18"/>
    <w:rsid w:val="00E041E7"/>
    <w:rsid w:val="00E046B7"/>
    <w:rsid w:val="00E04C3A"/>
    <w:rsid w:val="00E11F9E"/>
    <w:rsid w:val="00E169EC"/>
    <w:rsid w:val="00E222EC"/>
    <w:rsid w:val="00E23CA1"/>
    <w:rsid w:val="00E262E0"/>
    <w:rsid w:val="00E2663E"/>
    <w:rsid w:val="00E36047"/>
    <w:rsid w:val="00E409A8"/>
    <w:rsid w:val="00E4719F"/>
    <w:rsid w:val="00E473BD"/>
    <w:rsid w:val="00E50C12"/>
    <w:rsid w:val="00E53429"/>
    <w:rsid w:val="00E54F82"/>
    <w:rsid w:val="00E6141A"/>
    <w:rsid w:val="00E6289D"/>
    <w:rsid w:val="00E63FCE"/>
    <w:rsid w:val="00E64516"/>
    <w:rsid w:val="00E65B91"/>
    <w:rsid w:val="00E65E90"/>
    <w:rsid w:val="00E65F5C"/>
    <w:rsid w:val="00E6612B"/>
    <w:rsid w:val="00E66553"/>
    <w:rsid w:val="00E7209D"/>
    <w:rsid w:val="00E72358"/>
    <w:rsid w:val="00E72EAD"/>
    <w:rsid w:val="00E76F21"/>
    <w:rsid w:val="00E77223"/>
    <w:rsid w:val="00E805E2"/>
    <w:rsid w:val="00E81CA2"/>
    <w:rsid w:val="00E8284C"/>
    <w:rsid w:val="00E8528B"/>
    <w:rsid w:val="00E85299"/>
    <w:rsid w:val="00E85B94"/>
    <w:rsid w:val="00E876A9"/>
    <w:rsid w:val="00E919D9"/>
    <w:rsid w:val="00E926BC"/>
    <w:rsid w:val="00E95723"/>
    <w:rsid w:val="00E973F6"/>
    <w:rsid w:val="00E978D0"/>
    <w:rsid w:val="00EA1B6C"/>
    <w:rsid w:val="00EA4613"/>
    <w:rsid w:val="00EA74C2"/>
    <w:rsid w:val="00EA7F91"/>
    <w:rsid w:val="00EB1523"/>
    <w:rsid w:val="00EB2F56"/>
    <w:rsid w:val="00EB6768"/>
    <w:rsid w:val="00EB74C0"/>
    <w:rsid w:val="00EB7587"/>
    <w:rsid w:val="00EC0E49"/>
    <w:rsid w:val="00EC101F"/>
    <w:rsid w:val="00EC1C22"/>
    <w:rsid w:val="00EC1D9F"/>
    <w:rsid w:val="00EC2A35"/>
    <w:rsid w:val="00EC58BA"/>
    <w:rsid w:val="00EC745B"/>
    <w:rsid w:val="00ED03AC"/>
    <w:rsid w:val="00ED7A89"/>
    <w:rsid w:val="00EE0131"/>
    <w:rsid w:val="00EE17B0"/>
    <w:rsid w:val="00EE2F4B"/>
    <w:rsid w:val="00EE55AD"/>
    <w:rsid w:val="00EE7454"/>
    <w:rsid w:val="00EF06D9"/>
    <w:rsid w:val="00EF6D83"/>
    <w:rsid w:val="00F01427"/>
    <w:rsid w:val="00F0654D"/>
    <w:rsid w:val="00F1790D"/>
    <w:rsid w:val="00F22AD0"/>
    <w:rsid w:val="00F258B7"/>
    <w:rsid w:val="00F3049E"/>
    <w:rsid w:val="00F307D1"/>
    <w:rsid w:val="00F30C64"/>
    <w:rsid w:val="00F32BA2"/>
    <w:rsid w:val="00F32CDB"/>
    <w:rsid w:val="00F3325D"/>
    <w:rsid w:val="00F342AE"/>
    <w:rsid w:val="00F3588B"/>
    <w:rsid w:val="00F36B4F"/>
    <w:rsid w:val="00F36FE3"/>
    <w:rsid w:val="00F407F9"/>
    <w:rsid w:val="00F433DB"/>
    <w:rsid w:val="00F4443D"/>
    <w:rsid w:val="00F47D8E"/>
    <w:rsid w:val="00F505C7"/>
    <w:rsid w:val="00F51015"/>
    <w:rsid w:val="00F552CD"/>
    <w:rsid w:val="00F55B92"/>
    <w:rsid w:val="00F561B7"/>
    <w:rsid w:val="00F565FE"/>
    <w:rsid w:val="00F616F0"/>
    <w:rsid w:val="00F61F59"/>
    <w:rsid w:val="00F63A70"/>
    <w:rsid w:val="00F63D8C"/>
    <w:rsid w:val="00F65166"/>
    <w:rsid w:val="00F73092"/>
    <w:rsid w:val="00F7534E"/>
    <w:rsid w:val="00F80C0E"/>
    <w:rsid w:val="00F8159C"/>
    <w:rsid w:val="00F83D4E"/>
    <w:rsid w:val="00F846A5"/>
    <w:rsid w:val="00F84CF3"/>
    <w:rsid w:val="00F872FF"/>
    <w:rsid w:val="00F93EDF"/>
    <w:rsid w:val="00FA0ED9"/>
    <w:rsid w:val="00FA1802"/>
    <w:rsid w:val="00FA21D0"/>
    <w:rsid w:val="00FA2983"/>
    <w:rsid w:val="00FA548D"/>
    <w:rsid w:val="00FA5F5F"/>
    <w:rsid w:val="00FB39BC"/>
    <w:rsid w:val="00FB4E08"/>
    <w:rsid w:val="00FB5F17"/>
    <w:rsid w:val="00FB730C"/>
    <w:rsid w:val="00FC2695"/>
    <w:rsid w:val="00FC2D48"/>
    <w:rsid w:val="00FC3E03"/>
    <w:rsid w:val="00FC3FC1"/>
    <w:rsid w:val="00FC3FDA"/>
    <w:rsid w:val="00FC5789"/>
    <w:rsid w:val="00FD24D6"/>
    <w:rsid w:val="00FD3504"/>
    <w:rsid w:val="00FD5F30"/>
    <w:rsid w:val="00FD6689"/>
    <w:rsid w:val="00FD6CB8"/>
    <w:rsid w:val="00FE26DB"/>
    <w:rsid w:val="00FE6944"/>
    <w:rsid w:val="00FF06FD"/>
    <w:rsid w:val="00FF19E9"/>
    <w:rsid w:val="00FF3848"/>
    <w:rsid w:val="00FF540A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|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4502ED"/>
    <w:pPr>
      <w:keepNext/>
      <w:numPr>
        <w:ilvl w:val="2"/>
        <w:numId w:val="1"/>
      </w:numPr>
      <w:suppressAutoHyphens/>
      <w:spacing w:before="120" w:after="120" w:line="240" w:lineRule="auto"/>
      <w:ind w:left="0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4502ED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table" w:styleId="Tabellaelenco6acolori-colore3">
    <w:name w:val="List Table 6 Colorful Accent 3"/>
    <w:basedOn w:val="Tabellanormale"/>
    <w:uiPriority w:val="51"/>
    <w:rsid w:val="00297AF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Enfasicorsivo">
    <w:name w:val="Emphasis"/>
    <w:basedOn w:val="Carpredefinitoparagrafo"/>
    <w:uiPriority w:val="20"/>
    <w:qFormat/>
    <w:rsid w:val="00300DBC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F407F9"/>
    <w:rPr>
      <w:i/>
      <w:iCs/>
    </w:rPr>
  </w:style>
  <w:style w:type="character" w:styleId="Enfasigrassetto">
    <w:name w:val="Strong"/>
    <w:basedOn w:val="Carpredefinitoparagrafo"/>
    <w:uiPriority w:val="22"/>
    <w:qFormat/>
    <w:rsid w:val="00F407F9"/>
    <w:rPr>
      <w:b/>
      <w:bCs/>
    </w:rPr>
  </w:style>
  <w:style w:type="paragraph" w:styleId="Revisione">
    <w:name w:val="Revision"/>
    <w:hidden/>
    <w:uiPriority w:val="99"/>
    <w:semiHidden/>
    <w:rsid w:val="005119B5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85E4A"/>
    <w:rPr>
      <w:color w:val="605E5C"/>
      <w:shd w:val="clear" w:color="auto" w:fill="E1DFDD"/>
    </w:rPr>
  </w:style>
  <w:style w:type="character" w:customStyle="1" w:styleId="text">
    <w:name w:val="text"/>
    <w:basedOn w:val="Carpredefinitoparagrafo"/>
    <w:rsid w:val="00E876A9"/>
  </w:style>
  <w:style w:type="character" w:customStyle="1" w:styleId="author-ref">
    <w:name w:val="author-ref"/>
    <w:basedOn w:val="Carpredefinitoparagrafo"/>
    <w:rsid w:val="00E8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33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5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3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95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5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q=cyclic+voltammetry&amp;spell=1&amp;sa=X&amp;ved=2ahUKEwjn-JPJy8D8AhW2cfEDHToYDDQQkeECKAB6BAgIEAE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C2B84-C41E-4CA4-A290-0B83BEE9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3687</Words>
  <Characters>21017</Characters>
  <Application>Microsoft Office Word</Application>
  <DocSecurity>0</DocSecurity>
  <Lines>175</Lines>
  <Paragraphs>49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21</cp:revision>
  <cp:lastPrinted>2023-01-16T22:13:00Z</cp:lastPrinted>
  <dcterms:created xsi:type="dcterms:W3CDTF">2023-03-13T19:09:00Z</dcterms:created>
  <dcterms:modified xsi:type="dcterms:W3CDTF">2023-04-29T08:20:00Z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