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220A8C"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220A8C" w:rsidRDefault="000A03B2" w:rsidP="00DE264A">
            <w:pPr>
              <w:tabs>
                <w:tab w:val="left" w:pos="-108"/>
              </w:tabs>
              <w:ind w:left="-108"/>
              <w:jc w:val="left"/>
              <w:rPr>
                <w:rFonts w:cs="Arial"/>
                <w:b/>
                <w:bCs/>
                <w:i/>
                <w:iCs/>
                <w:color w:val="000066"/>
                <w:sz w:val="12"/>
                <w:szCs w:val="12"/>
                <w:lang w:val="en-US" w:eastAsia="it-IT"/>
              </w:rPr>
            </w:pPr>
            <w:r w:rsidRPr="00220A8C">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220A8C">
              <w:rPr>
                <w:rFonts w:ascii="AdvP6960" w:hAnsi="AdvP6960" w:cs="AdvP6960"/>
                <w:color w:val="241F20"/>
                <w:szCs w:val="18"/>
                <w:lang w:val="en-US" w:eastAsia="it-IT"/>
              </w:rPr>
              <w:t xml:space="preserve"> </w:t>
            </w:r>
            <w:r w:rsidRPr="00220A8C">
              <w:rPr>
                <w:rFonts w:cs="Arial"/>
                <w:b/>
                <w:bCs/>
                <w:i/>
                <w:iCs/>
                <w:color w:val="000066"/>
                <w:sz w:val="24"/>
                <w:szCs w:val="24"/>
                <w:lang w:val="en-US" w:eastAsia="it-IT"/>
              </w:rPr>
              <w:t>CHEMICAL ENGINEERING</w:t>
            </w:r>
            <w:r w:rsidRPr="00220A8C">
              <w:rPr>
                <w:rFonts w:cs="Arial"/>
                <w:b/>
                <w:bCs/>
                <w:i/>
                <w:iCs/>
                <w:color w:val="0033FF"/>
                <w:sz w:val="24"/>
                <w:szCs w:val="24"/>
                <w:lang w:val="en-US" w:eastAsia="it-IT"/>
              </w:rPr>
              <w:t xml:space="preserve"> </w:t>
            </w:r>
            <w:r w:rsidRPr="00220A8C">
              <w:rPr>
                <w:rFonts w:cs="Arial"/>
                <w:b/>
                <w:bCs/>
                <w:i/>
                <w:iCs/>
                <w:color w:val="666666"/>
                <w:sz w:val="24"/>
                <w:szCs w:val="24"/>
                <w:lang w:val="en-US" w:eastAsia="it-IT"/>
              </w:rPr>
              <w:t>TRANSACTIONS</w:t>
            </w:r>
            <w:r w:rsidRPr="00220A8C">
              <w:rPr>
                <w:color w:val="333333"/>
                <w:sz w:val="24"/>
                <w:szCs w:val="24"/>
                <w:lang w:val="en-US" w:eastAsia="it-IT"/>
              </w:rPr>
              <w:t xml:space="preserve"> </w:t>
            </w:r>
            <w:r w:rsidRPr="00220A8C">
              <w:rPr>
                <w:rFonts w:cs="Arial"/>
                <w:b/>
                <w:bCs/>
                <w:i/>
                <w:iCs/>
                <w:color w:val="000066"/>
                <w:sz w:val="27"/>
                <w:szCs w:val="27"/>
                <w:lang w:val="en-US" w:eastAsia="it-IT"/>
              </w:rPr>
              <w:br/>
            </w:r>
          </w:p>
          <w:p w14:paraId="4B780582" w14:textId="1EEF6F50" w:rsidR="000A03B2" w:rsidRPr="00220A8C" w:rsidRDefault="00A76EFC" w:rsidP="004C3D1D">
            <w:pPr>
              <w:tabs>
                <w:tab w:val="left" w:pos="-108"/>
              </w:tabs>
              <w:ind w:left="-108"/>
              <w:rPr>
                <w:rFonts w:cs="Arial"/>
                <w:b/>
                <w:bCs/>
                <w:i/>
                <w:iCs/>
                <w:color w:val="000066"/>
                <w:sz w:val="22"/>
                <w:szCs w:val="22"/>
                <w:lang w:val="en-US" w:eastAsia="it-IT"/>
              </w:rPr>
            </w:pPr>
            <w:r w:rsidRPr="00220A8C">
              <w:rPr>
                <w:rFonts w:cs="Arial"/>
                <w:b/>
                <w:bCs/>
                <w:i/>
                <w:iCs/>
                <w:color w:val="000066"/>
                <w:sz w:val="22"/>
                <w:szCs w:val="22"/>
                <w:lang w:val="en-US" w:eastAsia="it-IT"/>
              </w:rPr>
              <w:t xml:space="preserve">VOL. </w:t>
            </w:r>
          </w:p>
        </w:tc>
        <w:tc>
          <w:tcPr>
            <w:tcW w:w="1843" w:type="dxa"/>
            <w:tcBorders>
              <w:left w:val="single" w:sz="4" w:space="0" w:color="auto"/>
              <w:bottom w:val="nil"/>
              <w:right w:val="single" w:sz="4" w:space="0" w:color="auto"/>
            </w:tcBorders>
          </w:tcPr>
          <w:p w14:paraId="56782132" w14:textId="77777777" w:rsidR="000A03B2" w:rsidRPr="00220A8C" w:rsidRDefault="000A03B2" w:rsidP="00CD5FE2">
            <w:pPr>
              <w:spacing w:line="140" w:lineRule="atLeast"/>
              <w:jc w:val="right"/>
              <w:rPr>
                <w:rFonts w:cs="Arial"/>
                <w:sz w:val="14"/>
                <w:szCs w:val="14"/>
                <w:lang w:val="en-US"/>
              </w:rPr>
            </w:pPr>
            <w:r w:rsidRPr="00220A8C">
              <w:rPr>
                <w:rFonts w:cs="Arial"/>
                <w:sz w:val="14"/>
                <w:szCs w:val="14"/>
                <w:lang w:val="en-US"/>
              </w:rPr>
              <w:t>A publication of</w:t>
            </w:r>
          </w:p>
          <w:p w14:paraId="599E5441" w14:textId="77777777" w:rsidR="000A03B2" w:rsidRPr="00220A8C" w:rsidRDefault="000A03B2" w:rsidP="00CD5FE2">
            <w:pPr>
              <w:jc w:val="right"/>
              <w:rPr>
                <w:lang w:val="en-US"/>
              </w:rPr>
            </w:pPr>
            <w:r w:rsidRPr="00220A8C">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220A8C" w14:paraId="380FA3CD" w14:textId="77777777" w:rsidTr="00DE264A">
        <w:trPr>
          <w:trHeight w:val="567"/>
          <w:jc w:val="center"/>
        </w:trPr>
        <w:tc>
          <w:tcPr>
            <w:tcW w:w="6946" w:type="dxa"/>
            <w:vMerge/>
            <w:tcBorders>
              <w:right w:val="single" w:sz="4" w:space="0" w:color="auto"/>
            </w:tcBorders>
          </w:tcPr>
          <w:p w14:paraId="39E5E4C1" w14:textId="77777777" w:rsidR="000A03B2" w:rsidRPr="00220A8C" w:rsidRDefault="000A03B2" w:rsidP="00CD5FE2">
            <w:pPr>
              <w:tabs>
                <w:tab w:val="left" w:pos="-108"/>
              </w:tabs>
              <w:rPr>
                <w:lang w:val="en-US"/>
              </w:rPr>
            </w:pPr>
          </w:p>
        </w:tc>
        <w:tc>
          <w:tcPr>
            <w:tcW w:w="1843" w:type="dxa"/>
            <w:tcBorders>
              <w:left w:val="single" w:sz="4" w:space="0" w:color="auto"/>
              <w:bottom w:val="nil"/>
              <w:right w:val="single" w:sz="4" w:space="0" w:color="auto"/>
            </w:tcBorders>
          </w:tcPr>
          <w:p w14:paraId="43858A98" w14:textId="77777777" w:rsidR="000A03B2" w:rsidRPr="00220A8C" w:rsidRDefault="000A03B2" w:rsidP="00CD5FE2">
            <w:pPr>
              <w:spacing w:line="140" w:lineRule="atLeast"/>
              <w:jc w:val="right"/>
              <w:rPr>
                <w:rFonts w:cs="Arial"/>
                <w:sz w:val="14"/>
                <w:szCs w:val="14"/>
                <w:lang w:val="en-US"/>
              </w:rPr>
            </w:pPr>
            <w:r w:rsidRPr="00220A8C">
              <w:rPr>
                <w:rFonts w:cs="Arial"/>
                <w:sz w:val="14"/>
                <w:szCs w:val="14"/>
                <w:lang w:val="en-US"/>
              </w:rPr>
              <w:t>The Italian Association</w:t>
            </w:r>
          </w:p>
          <w:p w14:paraId="7522B1D2" w14:textId="77777777" w:rsidR="000A03B2" w:rsidRPr="00220A8C" w:rsidRDefault="000A03B2" w:rsidP="00CD5FE2">
            <w:pPr>
              <w:spacing w:line="140" w:lineRule="atLeast"/>
              <w:jc w:val="right"/>
              <w:rPr>
                <w:rFonts w:cs="Arial"/>
                <w:sz w:val="14"/>
                <w:szCs w:val="14"/>
                <w:lang w:val="en-US"/>
              </w:rPr>
            </w:pPr>
            <w:r w:rsidRPr="00220A8C">
              <w:rPr>
                <w:rFonts w:cs="Arial"/>
                <w:sz w:val="14"/>
                <w:szCs w:val="14"/>
                <w:lang w:val="en-US"/>
              </w:rPr>
              <w:t>of Chemical Engineering</w:t>
            </w:r>
          </w:p>
          <w:p w14:paraId="4F0CC5DE" w14:textId="35204533" w:rsidR="000A03B2" w:rsidRPr="00220A8C" w:rsidRDefault="005A3E9C" w:rsidP="00CD5FE2">
            <w:pPr>
              <w:spacing w:line="140" w:lineRule="atLeast"/>
              <w:jc w:val="right"/>
              <w:rPr>
                <w:rFonts w:cs="Arial"/>
                <w:sz w:val="14"/>
                <w:szCs w:val="14"/>
                <w:lang w:val="en-US"/>
              </w:rPr>
            </w:pPr>
            <w:r w:rsidRPr="00220A8C">
              <w:rPr>
                <w:rFonts w:cs="Arial"/>
                <w:sz w:val="13"/>
                <w:szCs w:val="13"/>
                <w:lang w:val="en-US"/>
              </w:rPr>
              <w:t>Online at www.cetjournal.it</w:t>
            </w:r>
          </w:p>
        </w:tc>
      </w:tr>
      <w:tr w:rsidR="000A03B2" w:rsidRPr="00220A8C" w14:paraId="2D1B7169" w14:textId="77777777" w:rsidTr="00DE264A">
        <w:trPr>
          <w:trHeight w:val="68"/>
          <w:jc w:val="center"/>
        </w:trPr>
        <w:tc>
          <w:tcPr>
            <w:tcW w:w="8789" w:type="dxa"/>
            <w:gridSpan w:val="2"/>
          </w:tcPr>
          <w:p w14:paraId="4B0BB442" w14:textId="7D24D70F" w:rsidR="00300E56" w:rsidRPr="00220A8C" w:rsidRDefault="00300E56" w:rsidP="00EC0E49">
            <w:pPr>
              <w:tabs>
                <w:tab w:val="left" w:pos="-108"/>
              </w:tabs>
              <w:spacing w:line="140" w:lineRule="atLeast"/>
              <w:ind w:left="-108"/>
              <w:jc w:val="left"/>
              <w:rPr>
                <w:rFonts w:ascii="Tahoma" w:hAnsi="Tahoma" w:cs="Tahoma"/>
                <w:iCs/>
                <w:color w:val="333333"/>
                <w:sz w:val="14"/>
                <w:szCs w:val="14"/>
                <w:lang w:val="en-US" w:eastAsia="it-IT"/>
              </w:rPr>
            </w:pPr>
            <w:r w:rsidRPr="00220A8C">
              <w:rPr>
                <w:rFonts w:ascii="Tahoma" w:hAnsi="Tahoma" w:cs="Tahoma"/>
                <w:iCs/>
                <w:color w:val="333333"/>
                <w:sz w:val="14"/>
                <w:szCs w:val="14"/>
                <w:lang w:val="en-US" w:eastAsia="it-IT"/>
              </w:rPr>
              <w:t>Guest Editors:</w:t>
            </w:r>
            <w:r w:rsidR="00904C62" w:rsidRPr="00220A8C">
              <w:rPr>
                <w:rFonts w:ascii="Tahoma" w:hAnsi="Tahoma" w:cs="Tahoma"/>
                <w:iCs/>
                <w:color w:val="333333"/>
                <w:sz w:val="14"/>
                <w:szCs w:val="14"/>
                <w:lang w:val="en-US" w:eastAsia="it-IT"/>
              </w:rPr>
              <w:t xml:space="preserve"> </w:t>
            </w:r>
          </w:p>
          <w:p w14:paraId="1B0F1814" w14:textId="6CE52C7C" w:rsidR="000A03B2" w:rsidRPr="00220A8C" w:rsidRDefault="0014464F" w:rsidP="00180860">
            <w:pPr>
              <w:tabs>
                <w:tab w:val="left" w:pos="-108"/>
              </w:tabs>
              <w:spacing w:line="140" w:lineRule="atLeast"/>
              <w:ind w:left="-108"/>
              <w:jc w:val="left"/>
              <w:rPr>
                <w:lang w:val="en-US"/>
              </w:rPr>
            </w:pPr>
            <w:r w:rsidRPr="00220A8C">
              <w:rPr>
                <w:rFonts w:ascii="Tahoma" w:hAnsi="Tahoma" w:cs="Tahoma"/>
                <w:iCs/>
                <w:color w:val="333333"/>
                <w:sz w:val="14"/>
                <w:szCs w:val="14"/>
                <w:lang w:val="en-US" w:eastAsia="it-IT"/>
              </w:rPr>
              <w:t xml:space="preserve">Copyright © </w:t>
            </w:r>
            <w:r w:rsidR="00904C62" w:rsidRPr="00220A8C">
              <w:rPr>
                <w:rFonts w:ascii="Tahoma" w:hAnsi="Tahoma" w:cs="Tahoma"/>
                <w:iCs/>
                <w:color w:val="333333"/>
                <w:sz w:val="14"/>
                <w:szCs w:val="14"/>
                <w:lang w:val="en-US" w:eastAsia="it-IT"/>
              </w:rPr>
              <w:t xml:space="preserve"> AIDIC Servizi S.r.l.</w:t>
            </w:r>
            <w:r w:rsidR="00300E56" w:rsidRPr="00220A8C">
              <w:rPr>
                <w:rFonts w:ascii="Tahoma" w:hAnsi="Tahoma" w:cs="Tahoma"/>
                <w:iCs/>
                <w:color w:val="333333"/>
                <w:sz w:val="14"/>
                <w:szCs w:val="14"/>
                <w:lang w:val="en-US" w:eastAsia="it-IT"/>
              </w:rPr>
              <w:br/>
            </w:r>
            <w:r w:rsidR="00180860" w:rsidRPr="00220A8C">
              <w:rPr>
                <w:rFonts w:ascii="Tahoma" w:hAnsi="Tahoma" w:cs="Tahoma"/>
                <w:b/>
                <w:iCs/>
                <w:color w:val="333333"/>
                <w:sz w:val="14"/>
                <w:szCs w:val="14"/>
                <w:lang w:val="en-US" w:eastAsia="it-IT"/>
              </w:rPr>
              <w:t xml:space="preserve">ISBN </w:t>
            </w:r>
            <w:r w:rsidR="00180860" w:rsidRPr="00220A8C">
              <w:rPr>
                <w:rFonts w:ascii="Tahoma" w:hAnsi="Tahoma" w:cs="Tahoma"/>
                <w:sz w:val="14"/>
                <w:szCs w:val="14"/>
                <w:lang w:val="en-US"/>
              </w:rPr>
              <w:t xml:space="preserve">978-88-95608-xx-x </w:t>
            </w:r>
            <w:r w:rsidR="00300E56" w:rsidRPr="00220A8C">
              <w:rPr>
                <w:rFonts w:ascii="Tahoma" w:hAnsi="Tahoma" w:cs="Tahoma"/>
                <w:b/>
                <w:iCs/>
                <w:color w:val="333333"/>
                <w:sz w:val="14"/>
                <w:szCs w:val="14"/>
                <w:lang w:val="en-US" w:eastAsia="it-IT"/>
              </w:rPr>
              <w:t>ISSN</w:t>
            </w:r>
            <w:r w:rsidR="00300E56" w:rsidRPr="00220A8C">
              <w:rPr>
                <w:rFonts w:ascii="Tahoma" w:hAnsi="Tahoma" w:cs="Tahoma"/>
                <w:iCs/>
                <w:color w:val="333333"/>
                <w:sz w:val="14"/>
                <w:szCs w:val="14"/>
                <w:lang w:val="en-US" w:eastAsia="it-IT"/>
              </w:rPr>
              <w:t xml:space="preserve"> 2283-9216</w:t>
            </w:r>
          </w:p>
        </w:tc>
      </w:tr>
    </w:tbl>
    <w:p w14:paraId="10DAA130" w14:textId="77777777" w:rsidR="000A03B2" w:rsidRPr="00220A8C" w:rsidRDefault="000A03B2" w:rsidP="000A03B2">
      <w:pPr>
        <w:pStyle w:val="CETAuthors"/>
        <w:rPr>
          <w:lang w:val="en-US"/>
        </w:rPr>
        <w:sectPr w:rsidR="000A03B2" w:rsidRPr="00220A8C" w:rsidSect="00CD5FE2">
          <w:type w:val="continuous"/>
          <w:pgSz w:w="11906" w:h="16838" w:code="9"/>
          <w:pgMar w:top="1701" w:right="1418" w:bottom="1701" w:left="1701" w:header="1701" w:footer="0" w:gutter="0"/>
          <w:cols w:space="708"/>
          <w:titlePg/>
          <w:docGrid w:linePitch="360"/>
        </w:sectPr>
      </w:pPr>
    </w:p>
    <w:p w14:paraId="2E667253" w14:textId="4305A44E" w:rsidR="00E978D0" w:rsidRPr="00220A8C" w:rsidRDefault="00230D45" w:rsidP="00E978D0">
      <w:pPr>
        <w:pStyle w:val="CETTitle"/>
        <w:rPr>
          <w:lang w:val="en-US"/>
        </w:rPr>
      </w:pPr>
      <w:r w:rsidRPr="00230D45">
        <w:rPr>
          <w:lang w:val="en-US"/>
        </w:rPr>
        <w:lastRenderedPageBreak/>
        <w:t>Li</w:t>
      </w:r>
      <w:r w:rsidRPr="00230D45">
        <w:rPr>
          <w:vertAlign w:val="subscript"/>
          <w:lang w:val="en-US"/>
        </w:rPr>
        <w:t>4</w:t>
      </w:r>
      <w:r w:rsidRPr="00230D45">
        <w:rPr>
          <w:lang w:val="en-US"/>
        </w:rPr>
        <w:t>SiO</w:t>
      </w:r>
      <w:r w:rsidRPr="00230D45">
        <w:rPr>
          <w:vertAlign w:val="subscript"/>
          <w:lang w:val="en-US"/>
        </w:rPr>
        <w:t>4</w:t>
      </w:r>
      <w:r w:rsidRPr="00230D45">
        <w:rPr>
          <w:lang w:val="en-US"/>
        </w:rPr>
        <w:t xml:space="preserve">-based </w:t>
      </w:r>
      <w:r w:rsidR="000D07EB">
        <w:rPr>
          <w:lang w:val="en-US"/>
        </w:rPr>
        <w:t>A</w:t>
      </w:r>
      <w:r w:rsidRPr="00230D45">
        <w:rPr>
          <w:lang w:val="en-US"/>
        </w:rPr>
        <w:t>dsorbents for CO</w:t>
      </w:r>
      <w:r w:rsidRPr="00230D45">
        <w:rPr>
          <w:vertAlign w:val="subscript"/>
          <w:lang w:val="en-US"/>
        </w:rPr>
        <w:t>2</w:t>
      </w:r>
      <w:r w:rsidRPr="00230D45">
        <w:rPr>
          <w:lang w:val="en-US"/>
        </w:rPr>
        <w:t xml:space="preserve"> </w:t>
      </w:r>
      <w:r w:rsidR="000D07EB">
        <w:rPr>
          <w:lang w:val="en-US"/>
        </w:rPr>
        <w:t>C</w:t>
      </w:r>
      <w:r w:rsidRPr="00230D45">
        <w:rPr>
          <w:lang w:val="en-US"/>
        </w:rPr>
        <w:t xml:space="preserve">apture at </w:t>
      </w:r>
      <w:r w:rsidR="000D07EB">
        <w:rPr>
          <w:lang w:val="en-US"/>
        </w:rPr>
        <w:t>H</w:t>
      </w:r>
      <w:r w:rsidRPr="00230D45">
        <w:rPr>
          <w:lang w:val="en-US"/>
        </w:rPr>
        <w:t xml:space="preserve">igh </w:t>
      </w:r>
      <w:r w:rsidR="000D07EB">
        <w:rPr>
          <w:lang w:val="en-US"/>
        </w:rPr>
        <w:t>T</w:t>
      </w:r>
      <w:r w:rsidRPr="00230D45">
        <w:rPr>
          <w:lang w:val="en-US"/>
        </w:rPr>
        <w:t xml:space="preserve">emperature: </w:t>
      </w:r>
      <w:r w:rsidR="00873301">
        <w:rPr>
          <w:lang w:val="en-US"/>
        </w:rPr>
        <w:t xml:space="preserve">Performance </w:t>
      </w:r>
      <w:r w:rsidR="000D07EB">
        <w:rPr>
          <w:lang w:val="en-US"/>
        </w:rPr>
        <w:t>E</w:t>
      </w:r>
      <w:r w:rsidR="00873301">
        <w:rPr>
          <w:lang w:val="en-US"/>
        </w:rPr>
        <w:t xml:space="preserve">nhancement by </w:t>
      </w:r>
      <w:r w:rsidR="000D07EB">
        <w:rPr>
          <w:lang w:val="en-US"/>
        </w:rPr>
        <w:t>B</w:t>
      </w:r>
      <w:r w:rsidR="00873301">
        <w:rPr>
          <w:lang w:val="en-US"/>
        </w:rPr>
        <w:t xml:space="preserve">all </w:t>
      </w:r>
      <w:r w:rsidR="000D07EB">
        <w:rPr>
          <w:lang w:val="en-US"/>
        </w:rPr>
        <w:t>M</w:t>
      </w:r>
      <w:r w:rsidRPr="00230D45">
        <w:rPr>
          <w:lang w:val="en-US"/>
        </w:rPr>
        <w:t xml:space="preserve">illing </w:t>
      </w:r>
      <w:r w:rsidR="000D07EB">
        <w:rPr>
          <w:lang w:val="en-US"/>
        </w:rPr>
        <w:t>P</w:t>
      </w:r>
      <w:r w:rsidRPr="00230D45">
        <w:rPr>
          <w:lang w:val="en-US"/>
        </w:rPr>
        <w:t>rocess</w:t>
      </w:r>
    </w:p>
    <w:p w14:paraId="2B3CA35C" w14:textId="7FD09785" w:rsidR="00E978D0" w:rsidRPr="008530F2" w:rsidRDefault="0099787B" w:rsidP="00AB5011">
      <w:pPr>
        <w:pStyle w:val="CETAuthors"/>
        <w:rPr>
          <w:lang w:val="it-IT"/>
        </w:rPr>
      </w:pPr>
      <w:r w:rsidRPr="008530F2">
        <w:rPr>
          <w:lang w:val="it-IT"/>
        </w:rPr>
        <w:t>Eleonora Stefanelli</w:t>
      </w:r>
      <w:r w:rsidRPr="008530F2">
        <w:rPr>
          <w:vertAlign w:val="superscript"/>
          <w:lang w:val="it-IT"/>
        </w:rPr>
        <w:t>a</w:t>
      </w:r>
      <w:r w:rsidRPr="008530F2">
        <w:rPr>
          <w:lang w:val="it-IT"/>
        </w:rPr>
        <w:t>, Sandra Vitolo</w:t>
      </w:r>
      <w:r w:rsidRPr="008530F2">
        <w:rPr>
          <w:vertAlign w:val="superscript"/>
          <w:lang w:val="it-IT"/>
        </w:rPr>
        <w:t>a</w:t>
      </w:r>
      <w:r w:rsidR="008530F2" w:rsidRPr="008530F2">
        <w:rPr>
          <w:lang w:val="it-IT"/>
        </w:rPr>
        <w:t xml:space="preserve">, </w:t>
      </w:r>
      <w:r w:rsidR="00230D45">
        <w:rPr>
          <w:lang w:val="it-IT"/>
        </w:rPr>
        <w:t>Stefano Malquori</w:t>
      </w:r>
      <w:r w:rsidR="008530F2" w:rsidRPr="008530F2">
        <w:rPr>
          <w:vertAlign w:val="superscript"/>
          <w:lang w:val="it-IT"/>
        </w:rPr>
        <w:t>b</w:t>
      </w:r>
      <w:r w:rsidR="008530F2">
        <w:rPr>
          <w:lang w:val="it-IT"/>
        </w:rPr>
        <w:t>,</w:t>
      </w:r>
      <w:r w:rsidR="008530F2" w:rsidRPr="008530F2">
        <w:rPr>
          <w:lang w:val="it-IT"/>
        </w:rPr>
        <w:t xml:space="preserve"> Monica Puccini</w:t>
      </w:r>
      <w:r w:rsidR="008530F2" w:rsidRPr="008530F2">
        <w:rPr>
          <w:vertAlign w:val="superscript"/>
          <w:lang w:val="it-IT"/>
        </w:rPr>
        <w:t>a*</w:t>
      </w:r>
    </w:p>
    <w:p w14:paraId="5053C5A8" w14:textId="0D021DD2" w:rsidR="00E978D0" w:rsidRPr="00391F63" w:rsidRDefault="00E978D0" w:rsidP="00E978D0">
      <w:pPr>
        <w:pStyle w:val="CETAddress"/>
        <w:rPr>
          <w:lang w:val="it-IT"/>
        </w:rPr>
      </w:pPr>
      <w:r w:rsidRPr="00391F63">
        <w:rPr>
          <w:vertAlign w:val="superscript"/>
          <w:lang w:val="it-IT"/>
        </w:rPr>
        <w:t>a</w:t>
      </w:r>
      <w:r w:rsidR="0099787B" w:rsidRPr="00391F63">
        <w:rPr>
          <w:lang w:val="it-IT"/>
        </w:rPr>
        <w:t xml:space="preserve"> Dipartimento di Ingegneria Civile e Industriale, University of Pisa, Largo Lucio Lazzarino 1, 56122 Pisa, Italy</w:t>
      </w:r>
      <w:r w:rsidRPr="00391F63">
        <w:rPr>
          <w:lang w:val="it-IT"/>
        </w:rPr>
        <w:t xml:space="preserve"> </w:t>
      </w:r>
    </w:p>
    <w:p w14:paraId="38D29194" w14:textId="005FFDC1" w:rsidR="00E978D0" w:rsidRPr="00230D45" w:rsidRDefault="00E978D0" w:rsidP="00E978D0">
      <w:pPr>
        <w:pStyle w:val="CETAddress"/>
        <w:rPr>
          <w:lang w:val="it-IT"/>
        </w:rPr>
      </w:pPr>
      <w:r w:rsidRPr="00230D45">
        <w:rPr>
          <w:vertAlign w:val="superscript"/>
          <w:lang w:val="it-IT"/>
        </w:rPr>
        <w:t>b</w:t>
      </w:r>
      <w:r w:rsidR="0099787B" w:rsidRPr="00230D45">
        <w:rPr>
          <w:lang w:val="it-IT"/>
        </w:rPr>
        <w:t xml:space="preserve"> </w:t>
      </w:r>
      <w:r w:rsidR="00230D45" w:rsidRPr="00230D45">
        <w:rPr>
          <w:lang w:val="it-IT"/>
        </w:rPr>
        <w:t>Industrie Bitossi S.p.A, via Pietramarina 53, 50059 Vinci (FI), Italy</w:t>
      </w:r>
    </w:p>
    <w:p w14:paraId="0127A28D" w14:textId="23F61A5C" w:rsidR="00E978D0" w:rsidRPr="00220A8C" w:rsidRDefault="00AB5011" w:rsidP="00E978D0">
      <w:pPr>
        <w:pStyle w:val="CETemail"/>
        <w:rPr>
          <w:lang w:val="en-US"/>
        </w:rPr>
      </w:pPr>
      <w:r w:rsidRPr="00230D45">
        <w:rPr>
          <w:lang w:val="it-IT"/>
        </w:rPr>
        <w:t xml:space="preserve"> </w:t>
      </w:r>
      <w:r w:rsidR="0099787B" w:rsidRPr="00220A8C">
        <w:rPr>
          <w:lang w:val="en-US"/>
        </w:rPr>
        <w:t>monica.puccini@unipi.it</w:t>
      </w:r>
    </w:p>
    <w:p w14:paraId="55396EB6" w14:textId="178F29B2" w:rsidR="006E4A81" w:rsidRDefault="00E9492D" w:rsidP="006E4A81">
      <w:pPr>
        <w:pStyle w:val="CETBodytext"/>
      </w:pPr>
      <w:r>
        <w:t>Post-combustion</w:t>
      </w:r>
      <w:r w:rsidRPr="00E9492D">
        <w:t xml:space="preserve"> capture technologies </w:t>
      </w:r>
      <w:r w:rsidRPr="00A6499D">
        <w:rPr>
          <w:rFonts w:eastAsiaTheme="minorHAnsi"/>
        </w:rPr>
        <w:t>based on regenerable solid sorbents</w:t>
      </w:r>
      <w:r w:rsidRPr="00E9492D">
        <w:t xml:space="preserve"> are attracting increasing attention as ways to reduce CO</w:t>
      </w:r>
      <w:r w:rsidRPr="00E9492D">
        <w:rPr>
          <w:vertAlign w:val="subscript"/>
        </w:rPr>
        <w:t>2</w:t>
      </w:r>
      <w:r w:rsidRPr="00E9492D">
        <w:t xml:space="preserve"> emissions</w:t>
      </w:r>
      <w:r>
        <w:t>.</w:t>
      </w:r>
      <w:r w:rsidR="004502E8">
        <w:t xml:space="preserve"> The present study</w:t>
      </w:r>
      <w:r w:rsidR="00E36148">
        <w:t xml:space="preserve"> </w:t>
      </w:r>
      <w:r w:rsidR="004502E8">
        <w:t xml:space="preserve">focused on </w:t>
      </w:r>
      <w:r w:rsidR="003A62E4">
        <w:t>the fabrication at industrial lab-scale of</w:t>
      </w:r>
      <w:r w:rsidR="004502E8">
        <w:t xml:space="preserve"> </w:t>
      </w:r>
      <w:r w:rsidR="004502E8">
        <w:rPr>
          <w:rFonts w:eastAsiaTheme="minorHAnsi"/>
        </w:rPr>
        <w:t>l</w:t>
      </w:r>
      <w:r w:rsidR="004502E8" w:rsidRPr="00A6499D">
        <w:rPr>
          <w:rFonts w:eastAsiaTheme="minorHAnsi"/>
        </w:rPr>
        <w:t>ithium orthosilicate</w:t>
      </w:r>
      <w:r w:rsidR="003A62E4">
        <w:t xml:space="preserve"> </w:t>
      </w:r>
      <w:r w:rsidR="004502E8">
        <w:t>(</w:t>
      </w:r>
      <w:r w:rsidR="004502E8" w:rsidRPr="005B1248">
        <w:t>Li</w:t>
      </w:r>
      <w:r w:rsidR="004502E8" w:rsidRPr="007E5B8C">
        <w:rPr>
          <w:vertAlign w:val="subscript"/>
        </w:rPr>
        <w:t>4</w:t>
      </w:r>
      <w:r w:rsidR="004502E8" w:rsidRPr="005B1248">
        <w:t>SiO</w:t>
      </w:r>
      <w:r w:rsidR="004502E8" w:rsidRPr="007E5B8C">
        <w:rPr>
          <w:vertAlign w:val="subscript"/>
        </w:rPr>
        <w:t>4</w:t>
      </w:r>
      <w:r w:rsidR="004502E8" w:rsidRPr="004502E8">
        <w:t>)</w:t>
      </w:r>
      <w:r w:rsidR="004502E8" w:rsidRPr="005B1248">
        <w:t xml:space="preserve"> </w:t>
      </w:r>
      <w:r w:rsidR="004502E8">
        <w:t>sorbents</w:t>
      </w:r>
      <w:r w:rsidR="004502E8" w:rsidRPr="004502E8">
        <w:t xml:space="preserve"> </w:t>
      </w:r>
      <w:r w:rsidR="004502E8" w:rsidRPr="005B1248">
        <w:t xml:space="preserve">for </w:t>
      </w:r>
      <w:r w:rsidR="004502E8" w:rsidRPr="00E9492D">
        <w:t>CO</w:t>
      </w:r>
      <w:r w:rsidR="004502E8" w:rsidRPr="00E9492D">
        <w:rPr>
          <w:vertAlign w:val="subscript"/>
        </w:rPr>
        <w:t>2</w:t>
      </w:r>
      <w:r w:rsidR="004502E8" w:rsidRPr="004502E8">
        <w:t xml:space="preserve"> </w:t>
      </w:r>
      <w:r w:rsidR="004502E8" w:rsidRPr="005B1248">
        <w:t>capture at high te</w:t>
      </w:r>
      <w:r w:rsidR="004502E8">
        <w:t>mperature and low concentration</w:t>
      </w:r>
      <w:r w:rsidR="00443840">
        <w:t xml:space="preserve">. </w:t>
      </w:r>
      <w:r w:rsidR="00691390">
        <w:t xml:space="preserve">The ball </w:t>
      </w:r>
      <w:r w:rsidR="003C7DB0" w:rsidRPr="007B10AC">
        <w:t xml:space="preserve">milling process was used during the </w:t>
      </w:r>
      <w:r w:rsidR="003C7DB0">
        <w:t>reagents</w:t>
      </w:r>
      <w:r w:rsidR="003C7DB0" w:rsidRPr="007B10AC">
        <w:t xml:space="preserve"> mixing phase to modify the microstructure of the obtained Li</w:t>
      </w:r>
      <w:r w:rsidR="003C7DB0" w:rsidRPr="003C7DB0">
        <w:rPr>
          <w:vertAlign w:val="subscript"/>
        </w:rPr>
        <w:t>4</w:t>
      </w:r>
      <w:r w:rsidR="003C7DB0" w:rsidRPr="007B10AC">
        <w:t>SiO</w:t>
      </w:r>
      <w:r w:rsidR="003C7DB0" w:rsidRPr="003C7DB0">
        <w:rPr>
          <w:vertAlign w:val="subscript"/>
        </w:rPr>
        <w:t>4</w:t>
      </w:r>
      <w:r w:rsidR="003C7DB0" w:rsidRPr="007B10AC">
        <w:t xml:space="preserve"> powders</w:t>
      </w:r>
      <w:r w:rsidR="003C7DB0">
        <w:t>.</w:t>
      </w:r>
      <w:r w:rsidR="003C7DB0" w:rsidRPr="007B10AC">
        <w:t xml:space="preserve"> </w:t>
      </w:r>
      <w:r w:rsidR="000E6146" w:rsidRPr="007B10AC">
        <w:t>The CO</w:t>
      </w:r>
      <w:r w:rsidR="000E6146" w:rsidRPr="00175178">
        <w:rPr>
          <w:vertAlign w:val="subscript"/>
        </w:rPr>
        <w:t>2</w:t>
      </w:r>
      <w:r w:rsidR="000E6146" w:rsidRPr="007B10AC">
        <w:t xml:space="preserve"> sorption properties of the sorbents were </w:t>
      </w:r>
      <w:r w:rsidR="000E6146">
        <w:t>studied</w:t>
      </w:r>
      <w:r w:rsidR="000E6146" w:rsidRPr="007B10AC">
        <w:t xml:space="preserve"> in a controlled gas flow environment at low CO</w:t>
      </w:r>
      <w:r w:rsidR="000E6146" w:rsidRPr="00CA67B0">
        <w:rPr>
          <w:vertAlign w:val="subscript"/>
        </w:rPr>
        <w:t>2</w:t>
      </w:r>
      <w:r w:rsidR="000E6146" w:rsidRPr="007B10AC">
        <w:t xml:space="preserve"> concentration (4 vol%)</w:t>
      </w:r>
      <w:r w:rsidR="000E6146">
        <w:t xml:space="preserve">. </w:t>
      </w:r>
      <w:r w:rsidR="003C7DB0" w:rsidRPr="007B10AC">
        <w:t xml:space="preserve">The effect of different milling times </w:t>
      </w:r>
      <w:r w:rsidR="00D878CB">
        <w:t xml:space="preserve">(0-120 min) </w:t>
      </w:r>
      <w:r w:rsidR="003C7DB0" w:rsidRPr="007B10AC">
        <w:t xml:space="preserve">on the sorption performance of the sorbents was investigated together with the effect of the adsorption temperature </w:t>
      </w:r>
      <w:r w:rsidR="00D878CB">
        <w:t xml:space="preserve">(470-570 °C) </w:t>
      </w:r>
      <w:r w:rsidR="003C7DB0" w:rsidRPr="007B10AC">
        <w:t xml:space="preserve">by using the </w:t>
      </w:r>
      <w:r w:rsidR="005A0692">
        <w:t>R</w:t>
      </w:r>
      <w:r w:rsidR="003C7DB0" w:rsidRPr="007B10AC">
        <w:t>es</w:t>
      </w:r>
      <w:r w:rsidR="00151A09">
        <w:t xml:space="preserve">ponse </w:t>
      </w:r>
      <w:r w:rsidR="005A0692">
        <w:t>S</w:t>
      </w:r>
      <w:r w:rsidR="00151A09">
        <w:t xml:space="preserve">urface </w:t>
      </w:r>
      <w:r w:rsidR="005A0692">
        <w:t>M</w:t>
      </w:r>
      <w:r w:rsidR="00151A09">
        <w:t xml:space="preserve">ethodology, and </w:t>
      </w:r>
      <w:r w:rsidR="005A0692">
        <w:t xml:space="preserve">predictive models for the </w:t>
      </w:r>
      <w:r w:rsidR="005A0692" w:rsidRPr="007B10AC">
        <w:t>Li</w:t>
      </w:r>
      <w:r w:rsidR="005A0692" w:rsidRPr="003C7DB0">
        <w:rPr>
          <w:vertAlign w:val="subscript"/>
        </w:rPr>
        <w:t>4</w:t>
      </w:r>
      <w:r w:rsidR="005A0692" w:rsidRPr="007B10AC">
        <w:t>SiO</w:t>
      </w:r>
      <w:r w:rsidR="005A0692" w:rsidRPr="003C7DB0">
        <w:rPr>
          <w:vertAlign w:val="subscript"/>
        </w:rPr>
        <w:t>4</w:t>
      </w:r>
      <w:r w:rsidR="005A0692">
        <w:t xml:space="preserve"> conversion and the adsorption rate were developed</w:t>
      </w:r>
      <w:r w:rsidR="000E6146">
        <w:t xml:space="preserve">. </w:t>
      </w:r>
      <w:r w:rsidR="00C12625">
        <w:t>T</w:t>
      </w:r>
      <w:r w:rsidR="00595C68">
        <w:t xml:space="preserve">he </w:t>
      </w:r>
      <w:r w:rsidR="007B10AC" w:rsidRPr="007B10AC">
        <w:t xml:space="preserve">results </w:t>
      </w:r>
      <w:r w:rsidR="00C12625">
        <w:t>evidenced</w:t>
      </w:r>
      <w:r w:rsidR="007B10AC" w:rsidRPr="007B10AC">
        <w:t xml:space="preserve"> that</w:t>
      </w:r>
      <w:r w:rsidR="006E4A81">
        <w:t xml:space="preserve"> the</w:t>
      </w:r>
      <w:r w:rsidR="007B10AC" w:rsidRPr="007B10AC">
        <w:t xml:space="preserve"> </w:t>
      </w:r>
      <w:r w:rsidR="006E4A81">
        <w:t xml:space="preserve">ball milling process </w:t>
      </w:r>
      <w:r w:rsidR="006E4A81" w:rsidRPr="006E4A81">
        <w:t>increase</w:t>
      </w:r>
      <w:r w:rsidR="006E4A81">
        <w:t>d</w:t>
      </w:r>
      <w:r w:rsidR="006E4A81" w:rsidRPr="006E4A81">
        <w:t xml:space="preserve"> the pure Li</w:t>
      </w:r>
      <w:r w:rsidR="006E4A81" w:rsidRPr="006E4A81">
        <w:rPr>
          <w:vertAlign w:val="subscript"/>
        </w:rPr>
        <w:t>4</w:t>
      </w:r>
      <w:r w:rsidR="006E4A81" w:rsidRPr="006E4A81">
        <w:t>SiO</w:t>
      </w:r>
      <w:r w:rsidR="006E4A81" w:rsidRPr="006E4A81">
        <w:rPr>
          <w:vertAlign w:val="subscript"/>
        </w:rPr>
        <w:t>4</w:t>
      </w:r>
      <w:r w:rsidR="006E4A81" w:rsidRPr="006E4A81">
        <w:t xml:space="preserve"> sorption performance</w:t>
      </w:r>
      <w:r w:rsidR="006E4A81">
        <w:t xml:space="preserve">, reaching a maximum </w:t>
      </w:r>
      <w:r w:rsidR="006E4A81" w:rsidRPr="007B10AC">
        <w:t>sorption capacity of 1</w:t>
      </w:r>
      <w:r w:rsidR="006E4A81">
        <w:t>56</w:t>
      </w:r>
      <w:r w:rsidR="006E4A81" w:rsidRPr="007B10AC">
        <w:t xml:space="preserve"> mg CO</w:t>
      </w:r>
      <w:r w:rsidR="006E4A81" w:rsidRPr="00595C68">
        <w:rPr>
          <w:vertAlign w:val="subscript"/>
        </w:rPr>
        <w:t>2</w:t>
      </w:r>
      <w:r w:rsidR="006E4A81" w:rsidRPr="007B10AC">
        <w:t>/g sorbent</w:t>
      </w:r>
      <w:r w:rsidR="006E4A81">
        <w:t xml:space="preserve"> for 80 min of</w:t>
      </w:r>
      <w:r w:rsidR="006E4A81" w:rsidRPr="007B10AC">
        <w:t xml:space="preserve"> milling </w:t>
      </w:r>
      <w:r w:rsidR="006E4A81">
        <w:t>and adsorption temperature of 515 °C.</w:t>
      </w:r>
    </w:p>
    <w:p w14:paraId="476B2F2E" w14:textId="77777777" w:rsidR="00600535" w:rsidRPr="00220A8C" w:rsidRDefault="00600535" w:rsidP="00600535">
      <w:pPr>
        <w:pStyle w:val="CETHeading1"/>
      </w:pPr>
      <w:r w:rsidRPr="00220A8C">
        <w:t>Introduction</w:t>
      </w:r>
    </w:p>
    <w:p w14:paraId="4D6EC26C" w14:textId="413D9594" w:rsidR="00DD1AAC" w:rsidRDefault="00F05A84" w:rsidP="00A6499D">
      <w:pPr>
        <w:pStyle w:val="CETBodytext"/>
        <w:rPr>
          <w:rFonts w:eastAsiaTheme="minorHAnsi"/>
        </w:rPr>
      </w:pPr>
      <w:r>
        <w:rPr>
          <w:rFonts w:eastAsiaTheme="minorHAnsi"/>
        </w:rPr>
        <w:t>Currently</w:t>
      </w:r>
      <w:r w:rsidR="00856B1D">
        <w:rPr>
          <w:rFonts w:eastAsiaTheme="minorHAnsi"/>
        </w:rPr>
        <w:t>,</w:t>
      </w:r>
      <w:r w:rsidRPr="00F05A84">
        <w:t xml:space="preserve"> </w:t>
      </w:r>
      <w:r>
        <w:rPr>
          <w:rFonts w:eastAsiaTheme="minorHAnsi"/>
        </w:rPr>
        <w:t>a</w:t>
      </w:r>
      <w:r w:rsidRPr="00F05A84">
        <w:rPr>
          <w:rFonts w:eastAsiaTheme="minorHAnsi"/>
        </w:rPr>
        <w:t xml:space="preserve"> lot of research efforts </w:t>
      </w:r>
      <w:r>
        <w:rPr>
          <w:rFonts w:eastAsiaTheme="minorHAnsi"/>
        </w:rPr>
        <w:t>are focusing</w:t>
      </w:r>
      <w:r w:rsidR="00856B1D">
        <w:rPr>
          <w:rFonts w:eastAsiaTheme="minorHAnsi"/>
        </w:rPr>
        <w:t xml:space="preserve"> </w:t>
      </w:r>
      <w:r>
        <w:rPr>
          <w:rFonts w:eastAsiaTheme="minorHAnsi"/>
        </w:rPr>
        <w:t xml:space="preserve">on </w:t>
      </w:r>
      <w:r w:rsidR="00856B1D">
        <w:rPr>
          <w:rFonts w:eastAsiaTheme="minorHAnsi"/>
        </w:rPr>
        <w:t>c</w:t>
      </w:r>
      <w:r w:rsidR="00A6499D" w:rsidRPr="00A6499D">
        <w:rPr>
          <w:rFonts w:eastAsiaTheme="minorHAnsi"/>
        </w:rPr>
        <w:t>arbon capture technologies as ways to reduce carbon dioxide (CO</w:t>
      </w:r>
      <w:r w:rsidR="00A6499D" w:rsidRPr="00E472D8">
        <w:rPr>
          <w:rFonts w:eastAsiaTheme="minorHAnsi"/>
          <w:vertAlign w:val="subscript"/>
        </w:rPr>
        <w:t>2</w:t>
      </w:r>
      <w:r w:rsidR="00A6499D" w:rsidRPr="00A6499D">
        <w:rPr>
          <w:rFonts w:eastAsiaTheme="minorHAnsi"/>
        </w:rPr>
        <w:t>) emissions since they can be applied to power generation and industrial processes using fossil fuels to lower their carbon intensity and improve thei</w:t>
      </w:r>
      <w:r w:rsidR="00F65424">
        <w:rPr>
          <w:rFonts w:eastAsiaTheme="minorHAnsi"/>
        </w:rPr>
        <w:t>r environmental sustainability</w:t>
      </w:r>
      <w:r w:rsidR="00EE5D5F">
        <w:rPr>
          <w:rFonts w:eastAsiaTheme="minorHAnsi"/>
        </w:rPr>
        <w:t>,</w:t>
      </w:r>
      <w:r w:rsidR="009C59CC">
        <w:rPr>
          <w:rFonts w:eastAsiaTheme="minorHAnsi"/>
        </w:rPr>
        <w:t xml:space="preserve"> </w:t>
      </w:r>
      <w:r w:rsidR="00440E6C">
        <w:rPr>
          <w:rFonts w:eastAsiaTheme="minorHAnsi"/>
        </w:rPr>
        <w:t>representing</w:t>
      </w:r>
      <w:r w:rsidR="00F65424">
        <w:rPr>
          <w:rFonts w:eastAsiaTheme="minorHAnsi"/>
        </w:rPr>
        <w:t xml:space="preserve"> one of the </w:t>
      </w:r>
      <w:r w:rsidR="009C59CC">
        <w:rPr>
          <w:rFonts w:eastAsiaTheme="minorHAnsi"/>
        </w:rPr>
        <w:t>mitigation</w:t>
      </w:r>
      <w:r w:rsidR="00F65424">
        <w:rPr>
          <w:rFonts w:eastAsiaTheme="minorHAnsi"/>
        </w:rPr>
        <w:t xml:space="preserve"> strategies of global energy transitions</w:t>
      </w:r>
      <w:r w:rsidR="008A5923">
        <w:rPr>
          <w:rFonts w:eastAsiaTheme="minorHAnsi"/>
        </w:rPr>
        <w:t xml:space="preserve"> </w:t>
      </w:r>
      <w:r w:rsidR="005F24A9">
        <w:rPr>
          <w:rFonts w:eastAsiaTheme="minorHAnsi"/>
        </w:rPr>
        <w:fldChar w:fldCharType="begin" w:fldLock="1"/>
      </w:r>
      <w:r w:rsidR="007A46CB">
        <w:rPr>
          <w:rFonts w:eastAsiaTheme="minorHAnsi"/>
        </w:rPr>
        <w:instrText>ADDIN CSL_CITATION {"citationItems":[{"id":"ITEM-1","itemData":{"abstract":"Aiming at meeting the global goals established for carbon dioxide (CO2) reduction, carbon capture and storage (CCS) plays a key role. In this framework, the adsorption-based CO2 post-combustion capture is considered one of the most promising approaches because it can provide remarkable energy savings with respect to the standard amine-based absorption capture. To date, most of the research effort has been devoted to the development of novel cutting-edge adsorbent materials with the primary purpose of enhancing the adsorption capacity and lifetime while reducing the heat of adsorption, thus lessening the energetic requirement of the sorbent regeneration. Anyway, other factors, beyond the sorbents, greatly affect the competitiveness of the CO2 capture based on the adsorption route, namely, the gas-solid contacting system, impacting the sorbent utilization efficiency, and the regeneration strategies, determining most of the global CO2 capture costs. This review describes the state-of-the-art and most recent progresses of the adsorption-based CO2 post-combustion capture. In particular, the first section describes the CO2 adsorption performances of different classes of solid sorbents on the basis of the most important evaluation parameters (equilibrium adsorption capacity, multi-cyclic stability, etc.). In the second section, the two main gas-solid contacting systems, i.e., fixed beds and fluidized beds, have been reviewed, pointing out their strengths and limitations. Finally, the third section provides a review on the different regeneration modes (temperature, pressure, or hybrid swings), with a focus on the possible strategies available to limit the energy penalty.","author":[{"dropping-particle":"","family":"Raganati","given":"Federica","non-dropping-particle":"","parse-names":false,"suffix":""},{"dropping-particle":"","family":"Miccio","given":"Francesco","non-dropping-particle":"","parse-names":false,"suffix":""},{"dropping-particle":"","family":"Ammendola","given":"Paola","non-dropping-particle":"","parse-names":false,"suffix":""}],"container-title":"Energy and Fuels","id":"ITEM-1","issue":"16","issued":{"date-parts":[["2021"]]},"page":"12845-12868","title":"Adsorption of Carbon Dioxide for Post-combustion Capture: A Review","type":"article-journal","volume":"35"},"uris":["http://www.mendeley.com/documents/?uuid=9d3c5c6f-1720-49e2-8478-5b0aa80824f5"]}],"mendeley":{"formattedCitation":"(Raganati et al., 2021)","plainTextFormattedCitation":"(Raganati et al., 2021)","previouslyFormattedCitation":"(Raganati et al., 2021)"},"properties":{"noteIndex":0},"schema":"https://github.com/citation-style-language/schema/raw/master/csl-citation.json"}</w:instrText>
      </w:r>
      <w:r w:rsidR="005F24A9">
        <w:rPr>
          <w:rFonts w:eastAsiaTheme="minorHAnsi"/>
        </w:rPr>
        <w:fldChar w:fldCharType="separate"/>
      </w:r>
      <w:r w:rsidR="005F24A9" w:rsidRPr="005F24A9">
        <w:rPr>
          <w:rFonts w:eastAsiaTheme="minorHAnsi"/>
          <w:noProof/>
        </w:rPr>
        <w:t>(Raganati et al., 2021)</w:t>
      </w:r>
      <w:r w:rsidR="005F24A9">
        <w:rPr>
          <w:rFonts w:eastAsiaTheme="minorHAnsi"/>
        </w:rPr>
        <w:fldChar w:fldCharType="end"/>
      </w:r>
      <w:r w:rsidR="00F65424">
        <w:rPr>
          <w:rFonts w:eastAsiaTheme="minorHAnsi"/>
        </w:rPr>
        <w:t>.</w:t>
      </w:r>
      <w:r w:rsidR="00B70536">
        <w:rPr>
          <w:rFonts w:eastAsiaTheme="minorHAnsi"/>
        </w:rPr>
        <w:t xml:space="preserve"> </w:t>
      </w:r>
      <w:r w:rsidR="00A6499D" w:rsidRPr="00A6499D">
        <w:rPr>
          <w:rFonts w:eastAsiaTheme="minorHAnsi"/>
        </w:rPr>
        <w:t>Post-combustion CO</w:t>
      </w:r>
      <w:r w:rsidR="00A6499D" w:rsidRPr="00C936FB">
        <w:rPr>
          <w:rFonts w:eastAsiaTheme="minorHAnsi"/>
          <w:vertAlign w:val="subscript"/>
        </w:rPr>
        <w:t>2</w:t>
      </w:r>
      <w:r w:rsidR="00A6499D" w:rsidRPr="00A6499D">
        <w:rPr>
          <w:rFonts w:eastAsiaTheme="minorHAnsi"/>
        </w:rPr>
        <w:t xml:space="preserve"> capture based on regenerable solid sorbents </w:t>
      </w:r>
      <w:r w:rsidR="00B70536">
        <w:rPr>
          <w:rFonts w:eastAsiaTheme="minorHAnsi"/>
        </w:rPr>
        <w:t>can be a feasible technology</w:t>
      </w:r>
      <w:r w:rsidR="00A6499D" w:rsidRPr="00A6499D">
        <w:rPr>
          <w:rFonts w:eastAsiaTheme="minorHAnsi"/>
        </w:rPr>
        <w:t xml:space="preserve"> for reducing CO</w:t>
      </w:r>
      <w:r w:rsidR="00A6499D" w:rsidRPr="00C936FB">
        <w:rPr>
          <w:rFonts w:eastAsiaTheme="minorHAnsi"/>
          <w:vertAlign w:val="subscript"/>
        </w:rPr>
        <w:t>2</w:t>
      </w:r>
      <w:r w:rsidR="00A6499D" w:rsidRPr="00A6499D">
        <w:rPr>
          <w:rFonts w:eastAsiaTheme="minorHAnsi"/>
        </w:rPr>
        <w:t xml:space="preserve"> emissions of power plants</w:t>
      </w:r>
      <w:r w:rsidR="00B70536">
        <w:rPr>
          <w:rFonts w:eastAsiaTheme="minorHAnsi"/>
        </w:rPr>
        <w:t xml:space="preserve">, </w:t>
      </w:r>
      <w:r w:rsidR="00BB3AC5">
        <w:rPr>
          <w:rFonts w:eastAsiaTheme="minorHAnsi"/>
        </w:rPr>
        <w:t xml:space="preserve">especially at low carbon content </w:t>
      </w:r>
      <w:r w:rsidR="007A46CB">
        <w:rPr>
          <w:rFonts w:eastAsiaTheme="minorHAnsi"/>
        </w:rPr>
        <w:fldChar w:fldCharType="begin" w:fldLock="1"/>
      </w:r>
      <w:r w:rsidR="00C924CA">
        <w:rPr>
          <w:rFonts w:eastAsiaTheme="minorHAnsi"/>
        </w:rPr>
        <w:instrText>ADDIN CSL_CITATION {"citationItems":[{"id":"ITEM-1","itemData":{"abstract":"This paper deals with gas separation by adsorption processes. The key objective is to investigate the adsorption suitability for Post-combustion Carbon Dioxide (CO2) Capture (PCC). Adsorption is a promising technology suitable for a high volume of diluted gas processing. Unlike commercialised amine-based absorption processes, adsorption seems to require less energy for sorbent regeneration and extends the sorbent lifetime. Two common industrial methods utilizing a difference in adsorption equilibrium of the gas components were investigated: 1) Pressure Swing Adsorption (PSA) including Vacuum Swing Adsorption (VSA), 2) Temperature Swing Adsorption (TSA). A comparison of their energy consumption, suitability for industrial use with consideration of Carbon Capture and Storage standards is evaluated. A complex mathematical model for the adsorption step of the fixed bed adsorber was proposed and solved by the structural programming. Three adsorbent materials: Mg-MOF-74, UTSA-16, and Zeolite 13X were evaluated based on their CO2 adsorption capacity, selectivity, and market availability. Zeolite 13X was further explored. As a benchmark case, a medium-sized natural gas cogeneration unit was used to study the potential of VSA unit. The lower limit of CO2 capture efficiency in simulations was 75 %. The results presented in this paper suggest that adsorption can be a feasible CO2 capture solution for a low-carbon emission power generation technologies. Optimal parameters for the adsorption step and column configuration are proposed.","author":[{"dropping-particle":"","family":"Nedoma","given":"Marek","non-dropping-particle":"","parse-names":false,"suffix":""},{"dropping-particle":"","family":"Netušil","given":"Michal","non-dropping-particle":"","parse-names":false,"suffix":""}],"container-title":"Chemical Engineering Transactions","id":"ITEM-1","issue":"May","issued":{"date-parts":[["2021"]]},"page":"421-426","title":"CO&lt;sub&gt;2&lt;/sub&gt; Separation from Flue Gases by Adsorption","type":"article-journal","volume":"88"},"uris":["http://www.mendeley.com/documents/?uuid=fa481a7f-e6b1-44c6-9469-0e6d5d995ba2"]}],"mendeley":{"formattedCitation":"(Nedoma and Netušil, 2021)","plainTextFormattedCitation":"(Nedoma and Netušil, 2021)","previouslyFormattedCitation":"(Nedoma and Netušil, 2021)"},"properties":{"noteIndex":0},"schema":"https://github.com/citation-style-language/schema/raw/master/csl-citation.json"}</w:instrText>
      </w:r>
      <w:r w:rsidR="007A46CB">
        <w:rPr>
          <w:rFonts w:eastAsiaTheme="minorHAnsi"/>
        </w:rPr>
        <w:fldChar w:fldCharType="separate"/>
      </w:r>
      <w:r w:rsidR="007A46CB" w:rsidRPr="007A46CB">
        <w:rPr>
          <w:rFonts w:eastAsiaTheme="minorHAnsi"/>
          <w:noProof/>
        </w:rPr>
        <w:t>(Nedoma and Netušil, 2021)</w:t>
      </w:r>
      <w:r w:rsidR="007A46CB">
        <w:rPr>
          <w:rFonts w:eastAsiaTheme="minorHAnsi"/>
        </w:rPr>
        <w:fldChar w:fldCharType="end"/>
      </w:r>
      <w:r w:rsidR="00A6499D" w:rsidRPr="00A6499D">
        <w:rPr>
          <w:rFonts w:eastAsiaTheme="minorHAnsi"/>
        </w:rPr>
        <w:t xml:space="preserve">. Among the emerging solid sorbents, </w:t>
      </w:r>
      <w:r w:rsidR="00453FAE">
        <w:rPr>
          <w:rFonts w:eastAsiaTheme="minorHAnsi"/>
        </w:rPr>
        <w:t>m</w:t>
      </w:r>
      <w:r w:rsidR="00453FAE" w:rsidRPr="00453FAE">
        <w:rPr>
          <w:rFonts w:eastAsiaTheme="minorHAnsi"/>
        </w:rPr>
        <w:t>etal-oxide-based ceramic</w:t>
      </w:r>
      <w:r w:rsidR="009D71AC">
        <w:rPr>
          <w:rFonts w:eastAsiaTheme="minorHAnsi"/>
        </w:rPr>
        <w:t xml:space="preserve">s </w:t>
      </w:r>
      <w:r w:rsidR="00A6499D" w:rsidRPr="00A6499D">
        <w:rPr>
          <w:rFonts w:eastAsiaTheme="minorHAnsi"/>
        </w:rPr>
        <w:t>allow the separation of CO</w:t>
      </w:r>
      <w:r w:rsidR="00A6499D" w:rsidRPr="00E159F6">
        <w:rPr>
          <w:rFonts w:eastAsiaTheme="minorHAnsi"/>
          <w:vertAlign w:val="subscript"/>
        </w:rPr>
        <w:t>2</w:t>
      </w:r>
      <w:r w:rsidR="00A6499D" w:rsidRPr="00A6499D">
        <w:rPr>
          <w:rFonts w:eastAsiaTheme="minorHAnsi"/>
        </w:rPr>
        <w:t xml:space="preserve"> at temperatures typical of a powe</w:t>
      </w:r>
      <w:r w:rsidR="00E042E1">
        <w:rPr>
          <w:rFonts w:eastAsiaTheme="minorHAnsi"/>
        </w:rPr>
        <w:t>r generation plant (450-750 °C) compared to zeolites, porous carbons, m</w:t>
      </w:r>
      <w:r w:rsidR="00E042E1" w:rsidRPr="00673955">
        <w:rPr>
          <w:rFonts w:eastAsiaTheme="minorHAnsi"/>
        </w:rPr>
        <w:t>etal organic frameworks</w:t>
      </w:r>
      <w:r w:rsidR="006B6B3C">
        <w:rPr>
          <w:rFonts w:eastAsiaTheme="minorHAnsi"/>
        </w:rPr>
        <w:t>,</w:t>
      </w:r>
      <w:r w:rsidR="00E042E1" w:rsidRPr="00673955">
        <w:rPr>
          <w:rFonts w:eastAsiaTheme="minorHAnsi"/>
        </w:rPr>
        <w:t xml:space="preserve"> </w:t>
      </w:r>
      <w:r w:rsidR="00E042E1">
        <w:rPr>
          <w:rFonts w:eastAsiaTheme="minorHAnsi"/>
        </w:rPr>
        <w:t>and</w:t>
      </w:r>
      <w:r w:rsidR="00E042E1" w:rsidRPr="00673955">
        <w:rPr>
          <w:rFonts w:eastAsiaTheme="minorHAnsi"/>
        </w:rPr>
        <w:t xml:space="preserve"> </w:t>
      </w:r>
      <w:r w:rsidR="00E042E1">
        <w:rPr>
          <w:rFonts w:eastAsiaTheme="minorHAnsi"/>
        </w:rPr>
        <w:t>a</w:t>
      </w:r>
      <w:r w:rsidR="00E042E1" w:rsidRPr="00673955">
        <w:rPr>
          <w:rFonts w:eastAsiaTheme="minorHAnsi"/>
        </w:rPr>
        <w:t>mine-fun</w:t>
      </w:r>
      <w:r w:rsidR="00E042E1">
        <w:rPr>
          <w:rFonts w:eastAsiaTheme="minorHAnsi"/>
        </w:rPr>
        <w:t>ct</w:t>
      </w:r>
      <w:r w:rsidR="00E042E1" w:rsidRPr="00673955">
        <w:rPr>
          <w:rFonts w:eastAsiaTheme="minorHAnsi"/>
        </w:rPr>
        <w:t>io</w:t>
      </w:r>
      <w:r w:rsidR="00E042E1">
        <w:rPr>
          <w:rFonts w:eastAsiaTheme="minorHAnsi"/>
        </w:rPr>
        <w:t>n</w:t>
      </w:r>
      <w:r w:rsidR="00E042E1" w:rsidRPr="00673955">
        <w:rPr>
          <w:rFonts w:eastAsiaTheme="minorHAnsi"/>
        </w:rPr>
        <w:t>alized adsorbents</w:t>
      </w:r>
      <w:r w:rsidR="00C74B14">
        <w:rPr>
          <w:rFonts w:eastAsiaTheme="minorHAnsi"/>
        </w:rPr>
        <w:t xml:space="preserve"> that operate</w:t>
      </w:r>
      <w:r w:rsidR="00E042E1">
        <w:rPr>
          <w:rFonts w:eastAsiaTheme="minorHAnsi"/>
        </w:rPr>
        <w:t xml:space="preserve"> only at low temperature</w:t>
      </w:r>
      <w:r w:rsidR="006B6B3C">
        <w:rPr>
          <w:rFonts w:eastAsiaTheme="minorHAnsi"/>
        </w:rPr>
        <w:t>s (from ambient to</w:t>
      </w:r>
      <w:r w:rsidR="00E042E1">
        <w:rPr>
          <w:rFonts w:eastAsiaTheme="minorHAnsi"/>
        </w:rPr>
        <w:t xml:space="preserve"> </w:t>
      </w:r>
      <w:r w:rsidR="006B6B3C">
        <w:rPr>
          <w:rFonts w:eastAsiaTheme="minorHAnsi"/>
        </w:rPr>
        <w:t xml:space="preserve">approximately </w:t>
      </w:r>
      <w:r w:rsidR="00E042E1">
        <w:rPr>
          <w:rFonts w:eastAsiaTheme="minorHAnsi"/>
        </w:rPr>
        <w:t>100 °C)</w:t>
      </w:r>
      <w:r w:rsidR="000A3C41">
        <w:rPr>
          <w:rFonts w:eastAsiaTheme="minorHAnsi"/>
        </w:rPr>
        <w:t xml:space="preserve"> </w:t>
      </w:r>
      <w:r w:rsidR="001A722C">
        <w:rPr>
          <w:rFonts w:eastAsiaTheme="minorHAnsi"/>
        </w:rPr>
        <w:fldChar w:fldCharType="begin" w:fldLock="1"/>
      </w:r>
      <w:r w:rsidR="006B15BF">
        <w:rPr>
          <w:rFonts w:eastAsiaTheme="minorHAnsi"/>
        </w:rPr>
        <w:instrText>ADDIN CSL_CITATION {"citationItems":[{"id":"ITEM-1","itemData":{"abstract":"Aiming at meeting the global goals established for carbon dioxide (CO2) reduction, carbon capture and storage (CCS) plays a key role. In this framework, the adsorption-based CO2 post-combustion capture is considered one of the most promising approaches because it can provide remarkable energy savings with respect to the standard amine-based absorption capture. To date, most of the research effort has been devoted to the development of novel cutting-edge adsorbent materials with the primary purpose of enhancing the adsorption capacity and lifetime while reducing the heat of adsorption, thus lessening the energetic requirement of the sorbent regeneration. Anyway, other factors, beyond the sorbents, greatly affect the competitiveness of the CO2 capture based on the adsorption route, namely, the gas-solid contacting system, impacting the sorbent utilization efficiency, and the regeneration strategies, determining most of the global CO2 capture costs. This review describes the state-of-the-art and most recent progresses of the adsorption-based CO2 post-combustion capture. In particular, the first section describes the CO2 adsorption performances of different classes of solid sorbents on the basis of the most important evaluation parameters (equilibrium adsorption capacity, multi-cyclic stability, etc.). In the second section, the two main gas-solid contacting systems, i.e., fixed beds and fluidized beds, have been reviewed, pointing out their strengths and limitations. Finally, the third section provides a review on the different regeneration modes (temperature, pressure, or hybrid swings), with a focus on the possible strategies available to limit the energy penalty.","author":[{"dropping-particle":"","family":"Raganati","given":"Federica","non-dropping-particle":"","parse-names":false,"suffix":""},{"dropping-particle":"","family":"Miccio","given":"Francesco","non-dropping-particle":"","parse-names":false,"suffix":""},{"dropping-particle":"","family":"Ammendola","given":"Paola","non-dropping-particle":"","parse-names":false,"suffix":""}],"container-title":"Energy and Fuels","id":"ITEM-1","issue":"16","issued":{"date-parts":[["2021"]]},"page":"12845-12868","title":"Adsorption of Carbon Dioxide for Post-combustion Capture: A Review","type":"article-journal","volume":"35"},"uris":["http://www.mendeley.com/documents/?uuid=9d3c5c6f-1720-49e2-8478-5b0aa80824f5"]},{"id":"ITEM-2","itemData":{"abstract":"Adsorption of CO2 using porous solid materials is one of the suitable separation techniques due to its low cost and simple operation. Porous carbon from urea-furfural has been prepared as a potential adsorbent for CO2 capture. In this work, urea-furfural carbon cryogel (CCUF) was prepared using a simple polymerisation reaction under ambient conditions with different water and acid loadings followed by a drying and calcination process. The effect of water and acid loadings on carbon synthesis were evaluated for carbon gel yield and CO2 adsorption performance in a fixed-bed adsorption study. The selected CCUF was characterised with N2 sorption isotherms, CO2 temperature-programmed desorption (CO2-TPD), Fourier transform infrared spectroscopy (FTIR), and focused ion beam-scanning electron microscopy coupled with energy dispersive X-ray (FIBSEMEDX) to understand the carbon surface structure and properties. The CCUF synthesised with 4 mL of water and 0.15 mL of acid loading was selected due to its high CO2 adsorption capacity (2.04 mmol/g) compared to other carbon gels synthesised in this work. The large specific surface area (160 m2/g) of CCUF with high microporosity and nitrogen content provide capabilities for CO2 adsorption under ambient conditions. The result shows that the N-enriched CCUF adsorbent has a potential for CO2 adsorption.","author":[{"dropping-particle":"","family":"Zainol","given":"Muzakkir Mohammad","non-dropping-particle":"","parse-names":false,"suffix":""},{"dropping-particle":"","family":"Hoe","given":"Tie Teck","non-dropping-particle":"","parse-names":false,"suffix":""},{"dropping-particle":"","family":"Yussuf","given":"Mohd Asmadi Mohammed","non-dropping-particle":"","parse-names":false,"suffix":""},{"dropping-particle":"","family":"Amin","given":"Nor Aishah Saidina","non-dropping-particle":"","parse-names":false,"suffix":""}],"container-title":"Chemical Engineering Transactions","id":"ITEM-2","issue":"November","issued":{"date-parts":[["2021"]]},"page":"187-192","title":"Carbon Cryogel Preparation via Urea-furfural Gel Synthesis as an Adsorbent for CO&lt;sub&gt;2&lt;/sub&gt; Capture Application","type":"article-journal","volume":"89"},"uris":["http://www.mendeley.com/documents/?uuid=faba0da1-f36d-4507-bf2f-5e456edd857a"]},{"id":"ITEM-3","itemData":{"abstract":"Hydrogel is a versatile material that vastly used in various applications. In this study, the carbon dioxide capture properties of hydrogels were further improved with the infusion of amine. Three types of superabsorbent hydrogel namely polyacrylic acid (AAc), sodium polyacrylate (SAP) and polyacrylamide (AAm) were synthesized via simple solution polymerization with the aid of ammonium peroxodisulphate (APS) as the initiator and N,N'- methylenebis (acrylamide)(MBA) as the crosslinker. Diethanolamine (DEA) loading AAm hydrogel has recorded 0.9 mmol CO2 captured/ g hydrogel and monoethaolamine (MEA) loading AAm hydrogel has captured 1.7 mmol CO2 / g hydrogel. An increment up to 2.2 mmol CO2 captured/ g hydrogel was obtained when the ratio of hydrogel to amine loading was increased to 1:4 from 1:1. In term of regeneration of the adsorbent, this amine infused hydrogels maintained its maximum adsorption capacity until third cycle. The amine infused hydrogel provide a facile platform for developing solid sorbents for CO2 capture.","author":[{"dropping-particle":"","family":"Ghani","given":"Siti Musliha Mat","non-dropping-particle":"","parse-names":false,"suffix":""},{"dropping-particle":"","family":"Chow","given":"Xi Enna","non-dropping-particle":"","parse-names":false,"suffix":""},{"dropping-particle":"","family":"Kumeressan","given":"Rowin","non-dropping-particle":"","parse-names":false,"suffix":""},{"dropping-particle":"","family":"Rabat","given":"Nurul Ekmi","non-dropping-particle":"","parse-names":false,"suffix":""}],"container-title":"Chemical Engineering Transactions","id":"ITEM-3","issue":"August","issued":{"date-parts":[["2022"]]},"page":"457-462","title":"Improved Hydrogel as Potential Carbon Dioxide Adsorbent","type":"article-journal","volume":"97"},"uris":["http://www.mendeley.com/documents/?uuid=c749c75a-836e-4e72-8233-0d4d0595887a"]}],"mendeley":{"formattedCitation":"(Ghani et al., 2022; Raganati et al., 2021; Zainol et al., 2021)","plainTextFormattedCitation":"(Ghani et al., 2022; Raganati et al., 2021; Zainol et al., 2021)","previouslyFormattedCitation":"(Ghani et al., 2022; Raganati et al., 2021; Zainol et al., 2021)"},"properties":{"noteIndex":0},"schema":"https://github.com/citation-style-language/schema/raw/master/csl-citation.json"}</w:instrText>
      </w:r>
      <w:r w:rsidR="001A722C">
        <w:rPr>
          <w:rFonts w:eastAsiaTheme="minorHAnsi"/>
        </w:rPr>
        <w:fldChar w:fldCharType="separate"/>
      </w:r>
      <w:r w:rsidR="001A722C" w:rsidRPr="001A722C">
        <w:rPr>
          <w:rFonts w:eastAsiaTheme="minorHAnsi"/>
          <w:noProof/>
        </w:rPr>
        <w:t>(Ghani et al., 2022; Raganati et al., 2021; Zainol et al., 2021)</w:t>
      </w:r>
      <w:r w:rsidR="001A722C">
        <w:rPr>
          <w:rFonts w:eastAsiaTheme="minorHAnsi"/>
        </w:rPr>
        <w:fldChar w:fldCharType="end"/>
      </w:r>
      <w:r w:rsidR="004E73FF">
        <w:rPr>
          <w:rFonts w:eastAsiaTheme="minorHAnsi"/>
        </w:rPr>
        <w:t>.</w:t>
      </w:r>
      <w:r w:rsidR="00B47BB6">
        <w:rPr>
          <w:rFonts w:eastAsiaTheme="minorHAnsi"/>
        </w:rPr>
        <w:t xml:space="preserve"> Operating at high temperatures</w:t>
      </w:r>
      <w:r w:rsidR="004A0F51">
        <w:rPr>
          <w:rFonts w:eastAsiaTheme="minorHAnsi"/>
        </w:rPr>
        <w:t>, they</w:t>
      </w:r>
      <w:r w:rsidR="00A6499D" w:rsidRPr="00A6499D">
        <w:rPr>
          <w:rFonts w:eastAsiaTheme="minorHAnsi"/>
        </w:rPr>
        <w:t xml:space="preserve"> do not require further cooling processes, overcoming the main disadvantages related to the most commonly used wet-absorption methods</w:t>
      </w:r>
      <w:r w:rsidR="004E73FF">
        <w:rPr>
          <w:rFonts w:eastAsiaTheme="minorHAnsi"/>
        </w:rPr>
        <w:t xml:space="preserve">. </w:t>
      </w:r>
      <w:r w:rsidR="00B47BB6">
        <w:rPr>
          <w:rFonts w:eastAsiaTheme="minorHAnsi"/>
        </w:rPr>
        <w:t>Moreover, t</w:t>
      </w:r>
      <w:r w:rsidR="00A6499D" w:rsidRPr="00A6499D">
        <w:rPr>
          <w:rFonts w:eastAsiaTheme="minorHAnsi"/>
        </w:rPr>
        <w:t>he regeneration of the sorbent allows the process to be conducted continuously and to reduce the production of wastes</w:t>
      </w:r>
      <w:r w:rsidR="00D9057A">
        <w:rPr>
          <w:rFonts w:eastAsiaTheme="minorHAnsi"/>
        </w:rPr>
        <w:t xml:space="preserve"> </w:t>
      </w:r>
      <w:r w:rsidR="006A7B65">
        <w:rPr>
          <w:rFonts w:eastAsiaTheme="minorHAnsi"/>
        </w:rPr>
        <w:fldChar w:fldCharType="begin" w:fldLock="1"/>
      </w:r>
      <w:r w:rsidR="00C924CA">
        <w:rPr>
          <w:rFonts w:eastAsiaTheme="minorHAnsi"/>
        </w:rPr>
        <w:instrText>ADDIN CSL_CITATION {"citationItems":[{"id":"ITEM-1","itemData":{"abstract":"CCS, Carbon Capture and Storage, is considered a promising technology to abate CO2 emissions from point sources. The present review deals with the principle of post-combustion capture techniques, including thermal or pressure swing principles, adsorption or absorption, and electrical swing or membrane separation processes. Opportunities and challenges are assessed. In the first section of absorption processes, several commercial technologies are compared and complemented by the aqueous or chilled ammonia (NH3) process, and a dual or strong alkali absorption. The second section deals with adsorption where fixed beds, circulating fluidized beds and counter-current bed configurations will be discussed, with particular focus on the different adsorbents ranging from zeolites or activated carbon, to more complex amine-functionalized adsorbents, nanotubes or metal organic frameworks (MOFs), and alkali-promoted oxides. Thirdly, membrane processes will be analysed. The review will finally summarize challenges and opportunities. Several research groups confirmed that absorption is the most mature post-combustion capture process: among the assessment of post-combustion CCS, 57% apply absorption, 14% rely on adsorption, 8% use membranes, and 21% apply mineralization or bio-fixation. This conclusion was in-line with expectations since absorption gas separation has been largely applied in various petrochemical industries. All other systems need further development prior to large scale application.","author":[{"dropping-particle":"","family":"Chao","given":"Cong","non-dropping-particle":"","parse-names":false,"suffix":""},{"dropping-particle":"","family":"Deng","given":"Yimin","non-dropping-particle":"","parse-names":false,"suffix":""},{"dropping-particle":"","family":"Dewil","given":"Raf","non-dropping-particle":"","parse-names":false,"suffix":""},{"dropping-particle":"","family":"Baeyens","given":"Jan","non-dropping-particle":"","parse-names":false,"suffix":""},{"dropping-particle":"","family":"Fan","given":"Xianfeng","non-dropping-particle":"","parse-names":false,"suffix":""}],"container-title":"Renewable and Sustainable Energy Reviews","id":"ITEM-1","issue":"October 2020","issued":{"date-parts":[["2021"]]},"page":"110490","publisher":"Elsevier Ltd","title":"Post-combustion carbon capture","type":"article-journal","volume":"138"},"uris":["http://www.mendeley.com/documents/?uuid=1945ab9f-0dce-4382-9a18-d7a017f71d13"]}],"mendeley":{"formattedCitation":"(Chao et al., 2021)","plainTextFormattedCitation":"(Chao et al., 2021)","previouslyFormattedCitation":"(Chao et al., 2021)"},"properties":{"noteIndex":0},"schema":"https://github.com/citation-style-language/schema/raw/master/csl-citation.json"}</w:instrText>
      </w:r>
      <w:r w:rsidR="006A7B65">
        <w:rPr>
          <w:rFonts w:eastAsiaTheme="minorHAnsi"/>
        </w:rPr>
        <w:fldChar w:fldCharType="separate"/>
      </w:r>
      <w:r w:rsidR="006A7B65" w:rsidRPr="006A7B65">
        <w:rPr>
          <w:rFonts w:eastAsiaTheme="minorHAnsi"/>
          <w:noProof/>
        </w:rPr>
        <w:t>(Chao et al., 2021)</w:t>
      </w:r>
      <w:r w:rsidR="006A7B65">
        <w:rPr>
          <w:rFonts w:eastAsiaTheme="minorHAnsi"/>
        </w:rPr>
        <w:fldChar w:fldCharType="end"/>
      </w:r>
      <w:r w:rsidR="00A6499D" w:rsidRPr="00A6499D">
        <w:rPr>
          <w:rFonts w:eastAsiaTheme="minorHAnsi"/>
        </w:rPr>
        <w:t>.</w:t>
      </w:r>
      <w:r w:rsidR="001203F6">
        <w:rPr>
          <w:rFonts w:eastAsiaTheme="minorHAnsi"/>
        </w:rPr>
        <w:t xml:space="preserve"> </w:t>
      </w:r>
      <w:r w:rsidR="00A6499D" w:rsidRPr="00715A3C">
        <w:rPr>
          <w:rFonts w:eastAsiaTheme="minorHAnsi"/>
        </w:rPr>
        <w:t>Lithium orthosilicate (Li</w:t>
      </w:r>
      <w:r w:rsidR="00A6499D" w:rsidRPr="00715A3C">
        <w:rPr>
          <w:rFonts w:eastAsiaTheme="minorHAnsi"/>
          <w:vertAlign w:val="subscript"/>
        </w:rPr>
        <w:t>4</w:t>
      </w:r>
      <w:r w:rsidR="00A6499D" w:rsidRPr="00715A3C">
        <w:rPr>
          <w:rFonts w:eastAsiaTheme="minorHAnsi"/>
        </w:rPr>
        <w:t>SiO</w:t>
      </w:r>
      <w:r w:rsidR="00A6499D" w:rsidRPr="00715A3C">
        <w:rPr>
          <w:rFonts w:eastAsiaTheme="minorHAnsi"/>
          <w:vertAlign w:val="subscript"/>
        </w:rPr>
        <w:t>4</w:t>
      </w:r>
      <w:r w:rsidR="00A6499D" w:rsidRPr="00715A3C">
        <w:rPr>
          <w:rFonts w:eastAsiaTheme="minorHAnsi"/>
        </w:rPr>
        <w:t>) is found as one of the most interesting</w:t>
      </w:r>
      <w:r w:rsidR="00220171" w:rsidRPr="00715A3C">
        <w:rPr>
          <w:rFonts w:eastAsiaTheme="minorHAnsi"/>
        </w:rPr>
        <w:t xml:space="preserve"> materials for this application</w:t>
      </w:r>
      <w:r w:rsidR="00877425" w:rsidRPr="00715A3C">
        <w:rPr>
          <w:rFonts w:eastAsiaTheme="minorHAnsi"/>
        </w:rPr>
        <w:t xml:space="preserve">, </w:t>
      </w:r>
      <w:r w:rsidR="00863F20" w:rsidRPr="00715A3C">
        <w:rPr>
          <w:rFonts w:eastAsiaTheme="minorHAnsi"/>
        </w:rPr>
        <w:t>showing potential use</w:t>
      </w:r>
      <w:r w:rsidR="003A7760" w:rsidRPr="00715A3C">
        <w:rPr>
          <w:rFonts w:eastAsiaTheme="minorHAnsi"/>
        </w:rPr>
        <w:t xml:space="preserve"> in integrated carbon capture and utilization (ICCU) processes for the in-situ CO</w:t>
      </w:r>
      <w:r w:rsidR="003A7760" w:rsidRPr="00715A3C">
        <w:rPr>
          <w:rFonts w:eastAsiaTheme="minorHAnsi"/>
          <w:vertAlign w:val="subscript"/>
        </w:rPr>
        <w:t>2</w:t>
      </w:r>
      <w:r w:rsidR="003A7760" w:rsidRPr="00715A3C">
        <w:rPr>
          <w:rFonts w:eastAsiaTheme="minorHAnsi"/>
        </w:rPr>
        <w:t xml:space="preserve"> removal and conversion in value-added products</w:t>
      </w:r>
      <w:r w:rsidR="000A5740" w:rsidRPr="00715A3C">
        <w:rPr>
          <w:rFonts w:eastAsiaTheme="minorHAnsi"/>
        </w:rPr>
        <w:t xml:space="preserve"> </w:t>
      </w:r>
      <w:r w:rsidR="000A5740" w:rsidRPr="00715A3C">
        <w:rPr>
          <w:rFonts w:eastAsiaTheme="minorHAnsi"/>
        </w:rPr>
        <w:fldChar w:fldCharType="begin" w:fldLock="1"/>
      </w:r>
      <w:r w:rsidR="00D17A5E">
        <w:rPr>
          <w:rFonts w:eastAsiaTheme="minorHAnsi"/>
        </w:rPr>
        <w:instrText>ADDIN CSL_CITATION {"citationItems":[{"id":"ITEM-1","itemData":{"abstract":"Carbon capture, utilization and storage (CCUS) is widely acknowledged as an essential route to mitigate CO2 emissions into atmosphere. Li4SiO4 as a sort of high-temperature CO2 sorbent has great potentials in CCUS applications, as well as being integrated with other high value-added processes like the integrated CO2 capture and utilization (ICCU). This review critically discusses the state-of-the-art researches on the CO2 capture by Li4SiO4 from the fundamental aspects of thermodynamic equilibrium, reaction mechanisms and kinetics, sorbent modifications, to potential applications. Difference between theoretical and practical CO2 adsorption/desorption equilibrium is emphasized, product layer distribution features and adsorption/desorption mechanisms are discussed, typical kinetic models and their applications in CO2 adsorption and desorption by Li4SiO4 are analyzed, and recent advances in high-efficient Li4SiO4-based sorbents are summarized. We hope this review can stimulate future studies on understanding the basic features and mechanism of CO2 capture process, developing low-cost and scalable sorbent manufacturing method, and establishing more integrated and effective systems for the high-value disposal of CO2.","author":[{"dropping-particle":"","family":"Tong","given":"Yichao","non-dropping-particle":"","parse-names":false,"suffix":""},{"dropping-particle":"","family":"Chen","given":"Shuzhen","non-dropping-particle":"","parse-names":false,"suffix":""},{"dropping-particle":"","family":"Huang","given":"Xin","non-dropping-particle":"","parse-names":false,"suffix":""},{"dropping-particle":"","family":"He","given":"Yong","non-dropping-particle":"","parse-names":false,"suffix":""},{"dropping-particle":"","family":"Chen","given":"Jie","non-dropping-particle":"","parse-names":false,"suffix":""},{"dropping-particle":"","family":"Qin","given":"Changlei","non-dropping-particle":"","parse-names":false,"suffix":""}],"container-title":"Separation and Purification Technology","id":"ITEM-1","issued":{"date-parts":[["2022","11","15"]]},"page":"121977","publisher":"Elsevier","title":"CO&lt;sub&gt;2&lt;/sub&gt; capture by Li&lt;sub&gt;4&lt;/sub&gt;SiO&lt;sub&gt;4&lt;/sub&gt; Sorbents: From fundamentals to applications","type":"article-journal","volume":"301"},"uris":["http://www.mendeley.com/documents/?uuid=02a74ffc-7088-35d3-b3d9-7b07d765e200"]}],"mendeley":{"formattedCitation":"(Tong et al., 2022)","plainTextFormattedCitation":"(Tong et al., 2022)","previouslyFormattedCitation":"(Tong et al., 2022)"},"properties":{"noteIndex":0},"schema":"https://github.com/citation-style-language/schema/raw/master/csl-citation.json"}</w:instrText>
      </w:r>
      <w:r w:rsidR="000A5740" w:rsidRPr="00715A3C">
        <w:rPr>
          <w:rFonts w:eastAsiaTheme="minorHAnsi"/>
        </w:rPr>
        <w:fldChar w:fldCharType="separate"/>
      </w:r>
      <w:r w:rsidR="000A5740" w:rsidRPr="00715A3C">
        <w:rPr>
          <w:rFonts w:eastAsiaTheme="minorHAnsi"/>
          <w:noProof/>
        </w:rPr>
        <w:t>(Tong et al., 2022)</w:t>
      </w:r>
      <w:r w:rsidR="000A5740" w:rsidRPr="00715A3C">
        <w:rPr>
          <w:rFonts w:eastAsiaTheme="minorHAnsi"/>
        </w:rPr>
        <w:fldChar w:fldCharType="end"/>
      </w:r>
      <w:r w:rsidR="00863F20" w:rsidRPr="00715A3C">
        <w:rPr>
          <w:rFonts w:eastAsiaTheme="minorHAnsi"/>
        </w:rPr>
        <w:t>.</w:t>
      </w:r>
      <w:r w:rsidR="000A5740" w:rsidRPr="00715A3C">
        <w:rPr>
          <w:rFonts w:eastAsiaTheme="minorHAnsi"/>
        </w:rPr>
        <w:t xml:space="preserve"> </w:t>
      </w:r>
      <w:r w:rsidR="00220171" w:rsidRPr="00715A3C">
        <w:rPr>
          <w:rFonts w:eastAsiaTheme="minorHAnsi"/>
        </w:rPr>
        <w:t>Li</w:t>
      </w:r>
      <w:r w:rsidR="00220171" w:rsidRPr="00715A3C">
        <w:rPr>
          <w:rFonts w:eastAsiaTheme="minorHAnsi"/>
          <w:vertAlign w:val="subscript"/>
        </w:rPr>
        <w:t>4</w:t>
      </w:r>
      <w:r w:rsidR="00220171" w:rsidRPr="00715A3C">
        <w:rPr>
          <w:rFonts w:eastAsiaTheme="minorHAnsi"/>
        </w:rPr>
        <w:t>SiO</w:t>
      </w:r>
      <w:r w:rsidR="00220171" w:rsidRPr="00715A3C">
        <w:rPr>
          <w:rFonts w:eastAsiaTheme="minorHAnsi"/>
          <w:vertAlign w:val="subscript"/>
        </w:rPr>
        <w:t>4</w:t>
      </w:r>
      <w:r w:rsidR="00220171" w:rsidRPr="00715A3C">
        <w:rPr>
          <w:rFonts w:eastAsiaTheme="minorHAnsi"/>
        </w:rPr>
        <w:t xml:space="preserve"> can capture reversibly</w:t>
      </w:r>
      <w:r w:rsidR="00A6499D" w:rsidRPr="00715A3C">
        <w:rPr>
          <w:rFonts w:eastAsiaTheme="minorHAnsi"/>
        </w:rPr>
        <w:t xml:space="preserve"> CO</w:t>
      </w:r>
      <w:r w:rsidR="00A6499D" w:rsidRPr="00715A3C">
        <w:rPr>
          <w:rFonts w:eastAsiaTheme="minorHAnsi"/>
          <w:vertAlign w:val="subscript"/>
        </w:rPr>
        <w:t>2</w:t>
      </w:r>
      <w:r w:rsidR="00A6499D" w:rsidRPr="00715A3C">
        <w:rPr>
          <w:rFonts w:eastAsiaTheme="minorHAnsi"/>
        </w:rPr>
        <w:t xml:space="preserve"> </w:t>
      </w:r>
      <w:r w:rsidR="00220171" w:rsidRPr="00715A3C">
        <w:rPr>
          <w:rFonts w:eastAsiaTheme="minorHAnsi"/>
        </w:rPr>
        <w:t>following the adsorption/desorption</w:t>
      </w:r>
      <w:r w:rsidR="00DD1AAC" w:rsidRPr="00715A3C">
        <w:rPr>
          <w:rFonts w:eastAsiaTheme="minorHAnsi"/>
        </w:rPr>
        <w:t xml:space="preserve"> </w:t>
      </w:r>
      <w:r w:rsidR="00F41804" w:rsidRPr="00715A3C">
        <w:rPr>
          <w:rFonts w:eastAsiaTheme="minorHAnsi"/>
        </w:rPr>
        <w:t>reaction</w:t>
      </w:r>
      <w:r w:rsidR="00220171" w:rsidRPr="00715A3C">
        <w:rPr>
          <w:rFonts w:eastAsiaTheme="minorHAnsi"/>
        </w:rPr>
        <w:t>:</w:t>
      </w:r>
    </w:p>
    <w:tbl>
      <w:tblPr>
        <w:tblW w:w="5000" w:type="pct"/>
        <w:tblLook w:val="04A0" w:firstRow="1" w:lastRow="0" w:firstColumn="1" w:lastColumn="0" w:noHBand="0" w:noVBand="1"/>
      </w:tblPr>
      <w:tblGrid>
        <w:gridCol w:w="7985"/>
        <w:gridCol w:w="802"/>
      </w:tblGrid>
      <w:tr w:rsidR="00DD1AAC" w:rsidRPr="00220A8C" w14:paraId="7C5DBBE1" w14:textId="77777777" w:rsidTr="00072372">
        <w:tc>
          <w:tcPr>
            <w:tcW w:w="7985" w:type="dxa"/>
            <w:shd w:val="clear" w:color="auto" w:fill="auto"/>
            <w:vAlign w:val="center"/>
          </w:tcPr>
          <w:p w14:paraId="5E60D932" w14:textId="218C4853" w:rsidR="00DD1AAC" w:rsidRPr="00220A8C" w:rsidRDefault="000000C3" w:rsidP="00670D0E">
            <w:pPr>
              <w:pStyle w:val="CETEquation"/>
              <w:spacing w:before="100" w:after="100"/>
              <w:rPr>
                <w:lang w:val="en-US"/>
              </w:rPr>
            </w:pPr>
            <w:r w:rsidRPr="003A14A6">
              <w:rPr>
                <w:szCs w:val="24"/>
              </w:rPr>
              <w:t>Li</w:t>
            </w:r>
            <w:r w:rsidRPr="003A14A6">
              <w:rPr>
                <w:szCs w:val="24"/>
                <w:vertAlign w:val="subscript"/>
              </w:rPr>
              <w:t>4</w:t>
            </w:r>
            <w:r w:rsidRPr="003A14A6">
              <w:rPr>
                <w:szCs w:val="24"/>
              </w:rPr>
              <w:t>SiO</w:t>
            </w:r>
            <w:r w:rsidRPr="003A14A6">
              <w:rPr>
                <w:szCs w:val="24"/>
                <w:vertAlign w:val="subscript"/>
              </w:rPr>
              <w:t>4 (s)</w:t>
            </w:r>
            <w:r w:rsidRPr="003A14A6">
              <w:rPr>
                <w:szCs w:val="24"/>
              </w:rPr>
              <w:t xml:space="preserve"> + CO</w:t>
            </w:r>
            <w:r w:rsidRPr="003A14A6">
              <w:rPr>
                <w:szCs w:val="24"/>
                <w:vertAlign w:val="subscript"/>
              </w:rPr>
              <w:t>2 (g)</w:t>
            </w:r>
            <w:r w:rsidRPr="003A14A6">
              <w:rPr>
                <w:szCs w:val="24"/>
              </w:rPr>
              <w:t xml:space="preserve"> ↔ Li</w:t>
            </w:r>
            <w:r w:rsidRPr="003A14A6">
              <w:rPr>
                <w:szCs w:val="24"/>
                <w:vertAlign w:val="subscript"/>
              </w:rPr>
              <w:t>2</w:t>
            </w:r>
            <w:r w:rsidRPr="003A14A6">
              <w:rPr>
                <w:szCs w:val="24"/>
              </w:rPr>
              <w:t>CO</w:t>
            </w:r>
            <w:r w:rsidRPr="003A14A6">
              <w:rPr>
                <w:szCs w:val="24"/>
                <w:vertAlign w:val="subscript"/>
              </w:rPr>
              <w:t>3 (s)</w:t>
            </w:r>
            <w:r w:rsidRPr="003A14A6">
              <w:rPr>
                <w:szCs w:val="24"/>
              </w:rPr>
              <w:t xml:space="preserve"> + Li</w:t>
            </w:r>
            <w:r w:rsidRPr="003A14A6">
              <w:rPr>
                <w:szCs w:val="24"/>
                <w:vertAlign w:val="subscript"/>
              </w:rPr>
              <w:t>2</w:t>
            </w:r>
            <w:r w:rsidRPr="003A14A6">
              <w:rPr>
                <w:szCs w:val="24"/>
              </w:rPr>
              <w:t>SiO</w:t>
            </w:r>
            <w:r w:rsidRPr="003A14A6">
              <w:rPr>
                <w:szCs w:val="24"/>
                <w:vertAlign w:val="subscript"/>
              </w:rPr>
              <w:t>3 (s)</w:t>
            </w:r>
          </w:p>
        </w:tc>
        <w:tc>
          <w:tcPr>
            <w:tcW w:w="802" w:type="dxa"/>
            <w:shd w:val="clear" w:color="auto" w:fill="auto"/>
            <w:vAlign w:val="center"/>
          </w:tcPr>
          <w:p w14:paraId="44794BCC" w14:textId="42772722" w:rsidR="00DD1AAC" w:rsidRPr="00220A8C" w:rsidRDefault="00DD1AAC" w:rsidP="00670D0E">
            <w:pPr>
              <w:pStyle w:val="CETEquation"/>
              <w:spacing w:before="100" w:after="100"/>
              <w:jc w:val="right"/>
              <w:rPr>
                <w:lang w:val="en-US"/>
              </w:rPr>
            </w:pPr>
            <w:r w:rsidRPr="00220A8C">
              <w:rPr>
                <w:lang w:val="en-US"/>
              </w:rPr>
              <w:t>(</w:t>
            </w:r>
            <w:r w:rsidR="000000C3">
              <w:rPr>
                <w:lang w:val="en-US"/>
              </w:rPr>
              <w:t>1</w:t>
            </w:r>
            <w:r w:rsidRPr="00220A8C">
              <w:rPr>
                <w:lang w:val="en-US"/>
              </w:rPr>
              <w:t>)</w:t>
            </w:r>
          </w:p>
        </w:tc>
      </w:tr>
    </w:tbl>
    <w:p w14:paraId="5776B00B" w14:textId="0B15ADBE" w:rsidR="00A033DB" w:rsidRDefault="00A6499D" w:rsidP="001E33F9">
      <w:pPr>
        <w:pStyle w:val="CETBodytext"/>
        <w:rPr>
          <w:rFonts w:eastAsiaTheme="minorHAnsi"/>
        </w:rPr>
      </w:pPr>
      <w:r w:rsidRPr="00A6499D">
        <w:rPr>
          <w:rFonts w:eastAsiaTheme="minorHAnsi"/>
        </w:rPr>
        <w:t>Li</w:t>
      </w:r>
      <w:r w:rsidRPr="005A5044">
        <w:rPr>
          <w:rFonts w:eastAsiaTheme="minorHAnsi"/>
          <w:vertAlign w:val="subscript"/>
        </w:rPr>
        <w:t>4</w:t>
      </w:r>
      <w:r w:rsidRPr="00A6499D">
        <w:rPr>
          <w:rFonts w:eastAsiaTheme="minorHAnsi"/>
        </w:rPr>
        <w:t>SiO</w:t>
      </w:r>
      <w:r w:rsidRPr="005A5044">
        <w:rPr>
          <w:rFonts w:eastAsiaTheme="minorHAnsi"/>
          <w:vertAlign w:val="subscript"/>
        </w:rPr>
        <w:t>4</w:t>
      </w:r>
      <w:r w:rsidRPr="00A6499D">
        <w:rPr>
          <w:rFonts w:eastAsiaTheme="minorHAnsi"/>
        </w:rPr>
        <w:t xml:space="preserve"> combines a good sorption capacity (</w:t>
      </w:r>
      <w:r w:rsidR="009F6C19">
        <w:rPr>
          <w:rFonts w:eastAsiaTheme="minorHAnsi"/>
        </w:rPr>
        <w:t xml:space="preserve">0.367 </w:t>
      </w:r>
      <w:r w:rsidRPr="00A6499D">
        <w:rPr>
          <w:rFonts w:eastAsiaTheme="minorHAnsi"/>
        </w:rPr>
        <w:t>g CO</w:t>
      </w:r>
      <w:r w:rsidRPr="005A5044">
        <w:rPr>
          <w:rFonts w:eastAsiaTheme="minorHAnsi"/>
          <w:vertAlign w:val="subscript"/>
        </w:rPr>
        <w:t>2</w:t>
      </w:r>
      <w:r w:rsidRPr="00A6499D">
        <w:rPr>
          <w:rFonts w:eastAsiaTheme="minorHAnsi"/>
        </w:rPr>
        <w:t>/g sorbent) with lower costs and lower reg</w:t>
      </w:r>
      <w:r w:rsidR="005A5044">
        <w:rPr>
          <w:rFonts w:eastAsiaTheme="minorHAnsi"/>
        </w:rPr>
        <w:t>eneration temperatures (&lt; 700 °</w:t>
      </w:r>
      <w:r w:rsidRPr="00A6499D">
        <w:rPr>
          <w:rFonts w:eastAsiaTheme="minorHAnsi"/>
        </w:rPr>
        <w:t>C</w:t>
      </w:r>
      <w:r w:rsidR="00723AC6">
        <w:rPr>
          <w:rFonts w:eastAsiaTheme="minorHAnsi"/>
        </w:rPr>
        <w:t xml:space="preserve">) than other ceramic materials. </w:t>
      </w:r>
      <w:r w:rsidRPr="00A6499D">
        <w:rPr>
          <w:rFonts w:eastAsiaTheme="minorHAnsi"/>
        </w:rPr>
        <w:t>Nevertheless, the application of pure Li</w:t>
      </w:r>
      <w:r w:rsidRPr="00D928A8">
        <w:rPr>
          <w:rFonts w:eastAsiaTheme="minorHAnsi"/>
          <w:vertAlign w:val="subscript"/>
        </w:rPr>
        <w:t>4</w:t>
      </w:r>
      <w:r w:rsidRPr="00A6499D">
        <w:rPr>
          <w:rFonts w:eastAsiaTheme="minorHAnsi"/>
        </w:rPr>
        <w:t>SiO</w:t>
      </w:r>
      <w:r w:rsidRPr="00D928A8">
        <w:rPr>
          <w:rFonts w:eastAsiaTheme="minorHAnsi"/>
          <w:vertAlign w:val="subscript"/>
        </w:rPr>
        <w:t>4</w:t>
      </w:r>
      <w:r w:rsidRPr="00A6499D">
        <w:rPr>
          <w:rFonts w:eastAsiaTheme="minorHAnsi"/>
        </w:rPr>
        <w:t xml:space="preserve"> under typical industrial operating conditions of low CO</w:t>
      </w:r>
      <w:r w:rsidRPr="00D928A8">
        <w:rPr>
          <w:rFonts w:eastAsiaTheme="minorHAnsi"/>
          <w:vertAlign w:val="subscript"/>
        </w:rPr>
        <w:t>2</w:t>
      </w:r>
      <w:r w:rsidRPr="00A6499D">
        <w:rPr>
          <w:rFonts w:eastAsiaTheme="minorHAnsi"/>
        </w:rPr>
        <w:t xml:space="preserve"> concentration (e.g. 4 vol% CO</w:t>
      </w:r>
      <w:r w:rsidRPr="00D928A8">
        <w:rPr>
          <w:rFonts w:eastAsiaTheme="minorHAnsi"/>
          <w:vertAlign w:val="subscript"/>
        </w:rPr>
        <w:t>2</w:t>
      </w:r>
      <w:r w:rsidRPr="00A6499D">
        <w:rPr>
          <w:rFonts w:eastAsiaTheme="minorHAnsi"/>
        </w:rPr>
        <w:t xml:space="preserve"> in the natural gas power plants) is still an open issue owed to its poor reactivity and conversion rate under these conditions</w:t>
      </w:r>
      <w:r w:rsidR="00AD4A3E">
        <w:rPr>
          <w:rFonts w:eastAsiaTheme="minorHAnsi"/>
        </w:rPr>
        <w:t xml:space="preserve"> </w:t>
      </w:r>
      <w:r w:rsidR="007525D2">
        <w:rPr>
          <w:rFonts w:eastAsiaTheme="minorHAnsi"/>
        </w:rPr>
        <w:fldChar w:fldCharType="begin" w:fldLock="1"/>
      </w:r>
      <w:r w:rsidR="00D66B4A">
        <w:rPr>
          <w:rFonts w:eastAsiaTheme="minorHAnsi"/>
        </w:rPr>
        <w:instrText>ADDIN CSL_CITATION {"citationItems":[{"id":"ITEM-1","itemData":{"ISSN":"1385-8947","author":[{"dropping-particle":"","family":"Hu","given":"Yingchao","non-dropping-particle":"","parse-names":false,"suffix":""},{"dropping-particle":"","family":"Liu","given":"Wenqiang","non-dropping-particle":"","parse-names":false,"suffix":""},{"dropping-particle":"","family":"Yang","given":"Yuandong","non-dropping-particle":"","parse-names":false,"suffix":""},{"dropping-particle":"","family":"Qu","given":"Mingyu","non-dropping-particle":"","parse-names":false,"suffix":""},{"dropping-particle":"","family":"Li","given":"Hailong","non-dropping-particle":"","parse-names":false,"suffix":""}],"container-title":"Chemical Engineering Journal","id":"ITEM-1","issue":"October 2018","issued":{"date-parts":[["2019"]]},"page":"604-625","publisher":"Elsevier","title":"CO&lt;sub&gt;2&lt;/sub&gt; capture by Li&lt;sub&gt;4&lt;/sub&gt;SiO&lt;sub&gt;4&lt;/sub&gt; sorbents and their applications: Current developments and new trends","type":"article-journal","volume":"359"},"uris":["http://www.mendeley.com/documents/?uuid=d6360f13-60fc-4e64-aa1b-08b40df2c7f0"]},{"id":"ITEM-2","itemData":{"abstract":"Lithium silicate (Li4SiO4) material can be applied for CO2 capture in energy production processes, such as hydrogen plants, based on sorption-enhanced reforming and fossil fuel-fired power plants, which has attracted research interests of many researchers. However, CO2 absorption performance of Li4SiO4 material prepared by the traditional solid-state reaction method is unsatisfactory during the absorption/regeneration cycles. Improving CO2 absorption capacity and cyclic stability of Li4SiO4 material is a research highlight during the energy production processes. The state-of-the-art kinetic and quantum mechanical studies on the preparation and CO2 absorption process of Li4SiO4 material are summarized, and the recent studies on the effects of preparation methods, dopants, and operating conditions on CO2 absorption performance of Li4SiO4 material are reviewed. Additionally, potential research thoughts and trends are also suggested.","author":[{"dropping-particle":"","family":"Yan","given":"Xianyao","non-dropping-particle":"","parse-names":false,"suffix":""},{"dropping-particle":"","family":"Li","given":"Yingjie","non-dropping-particle":"","parse-names":false,"suffix":""},{"dropping-particle":"","family":"Ma","given":"Xiaotong","non-dropping-particle":"","parse-names":false,"suffix":""},{"dropping-particle":"","family":"Zhao","given":"Jianli","non-dropping-particle":"","parse-names":false,"suffix":""},{"dropping-particle":"","family":"Wang","given":"Zeyan","non-dropping-particle":"","parse-names":false,"suffix":""},{"dropping-particle":"","family":"Yan","given":"Xianyao","non-dropping-particle":"","parse-names":false,"suffix":""},{"dropping-particle":"","family":"Li","given":"Yingjie","non-dropping-particle":"","parse-names":false,"suffix":""},{"dropping-particle":"","family":"Ma","given":"Xiaotong","non-dropping-particle":"","parse-names":false,"suffix":""},{"dropping-particle":"","family":"Zhao","given":"Jianli","non-dropping-particle":"","parse-names":false,"suffix":""},{"dropping-particle":"","family":"Wang","given":"Zeyan","non-dropping-particle":"","parse-names":false,"suffix":""}],"container-title":"International Journal of Molecular Sciences","id":"ITEM-2","issue":"4","issued":{"date-parts":[["2019","2","20"]]},"page":"928","publisher":"Multidisciplinary Digital Publishing Institute","title":"Performance of Li&lt;sub&gt;4&lt;/sub&gt;SiO&lt;sub&gt;4&lt;/sub&gt; material for CO&lt;sub&gt;2&lt;/sub&gt; capture: a review","type":"article-journal","volume":"20"},"uris":["http://www.mendeley.com/documents/?uuid=d706d650-adc5-343c-aed7-702aa3fcc0f1"]},{"id":"ITEM-3","itemData":{"abstract":"Carbon capture, utilization and storage (CCUS) is widely acknowledged as an essential route to mitigate CO2 emissions into atmosphere. Li4SiO4 as a sort of high-temperature CO2 sorbent has great potentials in CCUS applications, as well as being integrated with other high value-added processes like the integrated CO2 capture and utilization (ICCU). This review critically discusses the state-of-the-art researches on the CO2 capture by Li4SiO4 from the fundamental aspects of thermodynamic equilibrium, reaction mechanisms and kinetics, sorbent modifications, to potential applications. Difference between theoretical and practical CO2 adsorption/desorption equilibrium is emphasized, product layer distribution features and adsorption/desorption mechanisms are discussed, typical kinetic models and their applications in CO2 adsorption and desorption by Li4SiO4 are analyzed, and recent advances in high-efficient Li4SiO4-based sorbents are summarized. We hope this review can stimulate future studies on understanding the basic features and mechanism of CO2 capture process, developing low-cost and scalable sorbent manufacturing method, and establishing more integrated and effective systems for the high-value disposal of CO2.","author":[{"dropping-particle":"","family":"Tong","given":"Yichao","non-dropping-particle":"","parse-names":false,"suffix":""},{"dropping-particle":"","family":"Chen","given":"Shuzhen","non-dropping-particle":"","parse-names":false,"suffix":""},{"dropping-particle":"","family":"Huang","given":"Xin","non-dropping-particle":"","parse-names":false,"suffix":""},{"dropping-particle":"","family":"He","given":"Yong","non-dropping-particle":"","parse-names":false,"suffix":""},{"dropping-particle":"","family":"Chen","given":"Jie","non-dropping-particle":"","parse-names":false,"suffix":""},{"dropping-particle":"","family":"Qin","given":"Changlei","non-dropping-particle":"","parse-names":false,"suffix":""}],"container-title":"Separation and Purification Technology","id":"ITEM-3","issued":{"date-parts":[["2022","11","15"]]},"page":"121977","publisher":"Elsevier","title":"CO&lt;sub&gt;2&lt;/sub&gt; capture by Li&lt;sub&gt;4&lt;/sub&gt;SiO&lt;sub&gt;4&lt;/sub&gt; Sorbents: From fundamentals to applications","type":"article-journal","volume":"301"},"uris":["http://www.mendeley.com/documents/?uuid=02a74ffc-7088-35d3-b3d9-7b07d765e200"]}],"mendeley":{"formattedCitation":"(Hu et al., 2019; Tong et al., 2022; Yan et al., 2019)","plainTextFormattedCitation":"(Hu et al., 2019; Tong et al., 2022; Yan et al., 2019)","previouslyFormattedCitation":"(Hu et al., 2019; Tong et al., 2022; Yan et al., 2019)"},"properties":{"noteIndex":0},"schema":"https://github.com/citation-style-language/schema/raw/master/csl-citation.json"}</w:instrText>
      </w:r>
      <w:r w:rsidR="007525D2">
        <w:rPr>
          <w:rFonts w:eastAsiaTheme="minorHAnsi"/>
        </w:rPr>
        <w:fldChar w:fldCharType="separate"/>
      </w:r>
      <w:r w:rsidR="007525D2" w:rsidRPr="007525D2">
        <w:rPr>
          <w:rFonts w:eastAsiaTheme="minorHAnsi"/>
          <w:noProof/>
        </w:rPr>
        <w:t xml:space="preserve">(Hu et al., 2019; </w:t>
      </w:r>
      <w:r w:rsidR="007525D2" w:rsidRPr="007525D2">
        <w:rPr>
          <w:rFonts w:eastAsiaTheme="minorHAnsi"/>
          <w:noProof/>
        </w:rPr>
        <w:lastRenderedPageBreak/>
        <w:t>Tong et al., 2022; Yan et al., 2019)</w:t>
      </w:r>
      <w:r w:rsidR="007525D2">
        <w:rPr>
          <w:rFonts w:eastAsiaTheme="minorHAnsi"/>
        </w:rPr>
        <w:fldChar w:fldCharType="end"/>
      </w:r>
      <w:r w:rsidR="00D24064">
        <w:rPr>
          <w:rFonts w:eastAsiaTheme="minorHAnsi"/>
        </w:rPr>
        <w:t>.</w:t>
      </w:r>
      <w:r w:rsidR="005630D5">
        <w:rPr>
          <w:rFonts w:eastAsiaTheme="minorHAnsi"/>
        </w:rPr>
        <w:t xml:space="preserve"> </w:t>
      </w:r>
      <w:r w:rsidRPr="00A6499D">
        <w:rPr>
          <w:rFonts w:eastAsiaTheme="minorHAnsi"/>
        </w:rPr>
        <w:t>Kinetic limitations of the adsorption process</w:t>
      </w:r>
      <w:r w:rsidR="000D282A">
        <w:rPr>
          <w:rFonts w:eastAsiaTheme="minorHAnsi"/>
        </w:rPr>
        <w:t xml:space="preserve"> at low </w:t>
      </w:r>
      <w:r w:rsidR="000D282A" w:rsidRPr="00A6499D">
        <w:rPr>
          <w:rFonts w:eastAsiaTheme="minorHAnsi"/>
        </w:rPr>
        <w:t>CO</w:t>
      </w:r>
      <w:r w:rsidR="000D282A" w:rsidRPr="00D928A8">
        <w:rPr>
          <w:rFonts w:eastAsiaTheme="minorHAnsi"/>
          <w:vertAlign w:val="subscript"/>
        </w:rPr>
        <w:t>2</w:t>
      </w:r>
      <w:r w:rsidR="000D282A" w:rsidRPr="00A6499D">
        <w:rPr>
          <w:rFonts w:eastAsiaTheme="minorHAnsi"/>
        </w:rPr>
        <w:t xml:space="preserve"> concentration</w:t>
      </w:r>
      <w:r w:rsidR="000D282A">
        <w:rPr>
          <w:rFonts w:eastAsiaTheme="minorHAnsi"/>
        </w:rPr>
        <w:t>s</w:t>
      </w:r>
      <w:r w:rsidRPr="00A6499D">
        <w:rPr>
          <w:rFonts w:eastAsiaTheme="minorHAnsi"/>
        </w:rPr>
        <w:t xml:space="preserve"> are mainly due to the CO</w:t>
      </w:r>
      <w:r w:rsidRPr="005630D5">
        <w:rPr>
          <w:rFonts w:eastAsiaTheme="minorHAnsi"/>
          <w:vertAlign w:val="subscript"/>
        </w:rPr>
        <w:t>2</w:t>
      </w:r>
      <w:r w:rsidRPr="00A6499D">
        <w:rPr>
          <w:rFonts w:eastAsiaTheme="minorHAnsi"/>
        </w:rPr>
        <w:t xml:space="preserve"> diffusion resistance through the solid shell of reaction products</w:t>
      </w:r>
      <w:r w:rsidR="00BB3A54">
        <w:rPr>
          <w:rFonts w:eastAsiaTheme="minorHAnsi"/>
        </w:rPr>
        <w:t xml:space="preserve">, i.e. </w:t>
      </w:r>
      <w:r w:rsidR="00BB3A54">
        <w:t xml:space="preserve">lithium carbonate </w:t>
      </w:r>
      <w:r w:rsidR="00BB3A54" w:rsidRPr="00AC2D15">
        <w:t>(Li</w:t>
      </w:r>
      <w:r w:rsidR="00BB3A54" w:rsidRPr="003929D4">
        <w:rPr>
          <w:vertAlign w:val="subscript"/>
        </w:rPr>
        <w:t>2</w:t>
      </w:r>
      <w:r w:rsidR="00BB3A54">
        <w:t>C</w:t>
      </w:r>
      <w:r w:rsidR="00BB3A54" w:rsidRPr="00AC2D15">
        <w:t>O</w:t>
      </w:r>
      <w:r w:rsidR="00BB3A54" w:rsidRPr="003929D4">
        <w:rPr>
          <w:vertAlign w:val="subscript"/>
        </w:rPr>
        <w:t>3</w:t>
      </w:r>
      <w:r w:rsidR="00BB3A54">
        <w:t xml:space="preserve">) and </w:t>
      </w:r>
      <w:r w:rsidR="00BB3A54" w:rsidRPr="00AC2D15">
        <w:t>lithium metasilicate (Li</w:t>
      </w:r>
      <w:r w:rsidR="00BB3A54" w:rsidRPr="003929D4">
        <w:rPr>
          <w:vertAlign w:val="subscript"/>
        </w:rPr>
        <w:t>2</w:t>
      </w:r>
      <w:r w:rsidR="00BB3A54" w:rsidRPr="00AC2D15">
        <w:t>SiO</w:t>
      </w:r>
      <w:r w:rsidR="00BB3A54" w:rsidRPr="003929D4">
        <w:rPr>
          <w:vertAlign w:val="subscript"/>
        </w:rPr>
        <w:t>3</w:t>
      </w:r>
      <w:r w:rsidR="00BB3A54">
        <w:t>)</w:t>
      </w:r>
      <w:r w:rsidR="00BB3A54">
        <w:rPr>
          <w:rFonts w:eastAsiaTheme="minorHAnsi"/>
        </w:rPr>
        <w:t>,</w:t>
      </w:r>
      <w:r w:rsidRPr="00A6499D">
        <w:rPr>
          <w:rFonts w:eastAsiaTheme="minorHAnsi"/>
        </w:rPr>
        <w:t xml:space="preserve"> that covers the Li</w:t>
      </w:r>
      <w:r w:rsidRPr="005630D5">
        <w:rPr>
          <w:rFonts w:eastAsiaTheme="minorHAnsi"/>
          <w:vertAlign w:val="subscript"/>
        </w:rPr>
        <w:t>4</w:t>
      </w:r>
      <w:r w:rsidRPr="00A6499D">
        <w:rPr>
          <w:rFonts w:eastAsiaTheme="minorHAnsi"/>
        </w:rPr>
        <w:t>SiO</w:t>
      </w:r>
      <w:r w:rsidRPr="005630D5">
        <w:rPr>
          <w:rFonts w:eastAsiaTheme="minorHAnsi"/>
          <w:vertAlign w:val="subscript"/>
        </w:rPr>
        <w:t>4</w:t>
      </w:r>
      <w:r w:rsidRPr="00A6499D">
        <w:rPr>
          <w:rFonts w:eastAsiaTheme="minorHAnsi"/>
        </w:rPr>
        <w:t xml:space="preserve"> particle. Therefore, several modification methods have been reported in literatur</w:t>
      </w:r>
      <w:r w:rsidR="0023067C">
        <w:rPr>
          <w:rFonts w:eastAsiaTheme="minorHAnsi"/>
        </w:rPr>
        <w:t xml:space="preserve">e for enhancing the performance </w:t>
      </w:r>
      <w:r w:rsidRPr="00A6499D">
        <w:rPr>
          <w:rFonts w:eastAsiaTheme="minorHAnsi"/>
        </w:rPr>
        <w:t xml:space="preserve">of </w:t>
      </w:r>
      <w:r w:rsidR="0023067C">
        <w:rPr>
          <w:rFonts w:eastAsiaTheme="minorHAnsi"/>
        </w:rPr>
        <w:t xml:space="preserve">pure </w:t>
      </w:r>
      <w:r w:rsidRPr="00A6499D">
        <w:rPr>
          <w:rFonts w:eastAsiaTheme="minorHAnsi"/>
        </w:rPr>
        <w:t>Li</w:t>
      </w:r>
      <w:r w:rsidRPr="005630D5">
        <w:rPr>
          <w:rFonts w:eastAsiaTheme="minorHAnsi"/>
          <w:vertAlign w:val="subscript"/>
        </w:rPr>
        <w:t>4</w:t>
      </w:r>
      <w:r w:rsidRPr="00A6499D">
        <w:rPr>
          <w:rFonts w:eastAsiaTheme="minorHAnsi"/>
        </w:rPr>
        <w:t>SiO</w:t>
      </w:r>
      <w:r w:rsidRPr="005630D5">
        <w:rPr>
          <w:rFonts w:eastAsiaTheme="minorHAnsi"/>
          <w:vertAlign w:val="subscript"/>
        </w:rPr>
        <w:t>4</w:t>
      </w:r>
      <w:r w:rsidR="0023067C" w:rsidRPr="0023067C">
        <w:rPr>
          <w:rFonts w:eastAsiaTheme="minorHAnsi"/>
        </w:rPr>
        <w:t xml:space="preserve"> </w:t>
      </w:r>
      <w:r w:rsidRPr="00A6499D">
        <w:rPr>
          <w:rFonts w:eastAsiaTheme="minorHAnsi"/>
        </w:rPr>
        <w:t>sorbents, such a</w:t>
      </w:r>
      <w:r w:rsidR="007642D2">
        <w:rPr>
          <w:rFonts w:eastAsiaTheme="minorHAnsi"/>
        </w:rPr>
        <w:t>s microstructural modifications</w:t>
      </w:r>
      <w:r w:rsidRPr="00A6499D">
        <w:rPr>
          <w:rFonts w:eastAsiaTheme="minorHAnsi"/>
        </w:rPr>
        <w:t xml:space="preserve"> and doping of the sorbent with alkali carbonates, transition metals</w:t>
      </w:r>
      <w:r w:rsidR="00F643B8">
        <w:rPr>
          <w:rFonts w:eastAsiaTheme="minorHAnsi"/>
        </w:rPr>
        <w:t>,</w:t>
      </w:r>
      <w:r w:rsidRPr="00A6499D">
        <w:rPr>
          <w:rFonts w:eastAsiaTheme="minorHAnsi"/>
        </w:rPr>
        <w:t xml:space="preserve"> or alkali-earth metals</w:t>
      </w:r>
      <w:r w:rsidR="00793AA2">
        <w:rPr>
          <w:rFonts w:eastAsiaTheme="minorHAnsi"/>
        </w:rPr>
        <w:t xml:space="preserve"> </w:t>
      </w:r>
      <w:r w:rsidR="00AE38B4">
        <w:rPr>
          <w:rFonts w:eastAsiaTheme="minorHAnsi"/>
        </w:rPr>
        <w:fldChar w:fldCharType="begin" w:fldLock="1"/>
      </w:r>
      <w:r w:rsidR="001A722C">
        <w:rPr>
          <w:rFonts w:eastAsiaTheme="minorHAnsi"/>
        </w:rPr>
        <w:instrText>ADDIN CSL_CITATION {"citationItems":[{"id":"ITEM-1","itemData":{"ISSN":"1385-8947","author":[{"dropping-particle":"","family":"Hu","given":"Yingchao","non-dropping-particle":"","parse-names":false,"suffix":""},{"dropping-particle":"","family":"Liu","given":"Wenqiang","non-dropping-particle":"","parse-names":false,"suffix":""},{"dropping-particle":"","family":"Yang","given":"Yuandong","non-dropping-particle":"","parse-names":false,"suffix":""},{"dropping-particle":"","family":"Qu","given":"Mingyu","non-dropping-particle":"","parse-names":false,"suffix":""},{"dropping-particle":"","family":"Li","given":"Hailong","non-dropping-particle":"","parse-names":false,"suffix":""}],"container-title":"Chemical Engineering Journal","id":"ITEM-1","issue":"October 2018","issued":{"date-parts":[["2019"]]},"page":"604-625","publisher":"Elsevier","title":"CO&lt;sub&gt;2&lt;/sub&gt; capture by Li&lt;sub&gt;4&lt;/sub&gt;SiO&lt;sub&gt;4&lt;/sub&gt; sorbents and their applications: Current developments and new trends","type":"article-journal","volume":"359"},"uris":["http://www.mendeley.com/documents/?uuid=d6360f13-60fc-4e64-aa1b-08b40df2c7f0"]}],"mendeley":{"formattedCitation":"(Hu et al., 2019)","plainTextFormattedCitation":"(Hu et al., 2019)","previouslyFormattedCitation":"(Hu et al., 2019)"},"properties":{"noteIndex":0},"schema":"https://github.com/citation-style-language/schema/raw/master/csl-citation.json"}</w:instrText>
      </w:r>
      <w:r w:rsidR="00AE38B4">
        <w:rPr>
          <w:rFonts w:eastAsiaTheme="minorHAnsi"/>
        </w:rPr>
        <w:fldChar w:fldCharType="separate"/>
      </w:r>
      <w:r w:rsidR="00AE38B4" w:rsidRPr="00AE38B4">
        <w:rPr>
          <w:rFonts w:eastAsiaTheme="minorHAnsi"/>
          <w:noProof/>
        </w:rPr>
        <w:t>(Hu et al., 2019)</w:t>
      </w:r>
      <w:r w:rsidR="00AE38B4">
        <w:rPr>
          <w:rFonts w:eastAsiaTheme="minorHAnsi"/>
        </w:rPr>
        <w:fldChar w:fldCharType="end"/>
      </w:r>
      <w:r w:rsidRPr="00A6499D">
        <w:rPr>
          <w:rFonts w:eastAsiaTheme="minorHAnsi"/>
        </w:rPr>
        <w:t>.</w:t>
      </w:r>
      <w:r w:rsidR="005F6E4E">
        <w:rPr>
          <w:rFonts w:eastAsiaTheme="minorHAnsi"/>
        </w:rPr>
        <w:t xml:space="preserve"> Recent works </w:t>
      </w:r>
      <w:r w:rsidR="00272F9A">
        <w:rPr>
          <w:rFonts w:eastAsiaTheme="minorHAnsi"/>
        </w:rPr>
        <w:t>have studied</w:t>
      </w:r>
      <w:r w:rsidR="005F6E4E">
        <w:rPr>
          <w:rFonts w:eastAsiaTheme="minorHAnsi"/>
        </w:rPr>
        <w:t xml:space="preserve"> the effect of ball milling </w:t>
      </w:r>
      <w:r w:rsidR="00F15538">
        <w:rPr>
          <w:rFonts w:eastAsiaTheme="minorHAnsi"/>
        </w:rPr>
        <w:t xml:space="preserve">to reduce the particle size of </w:t>
      </w:r>
      <w:r w:rsidR="00E4162A">
        <w:rPr>
          <w:rFonts w:eastAsiaTheme="minorHAnsi"/>
        </w:rPr>
        <w:t>pure</w:t>
      </w:r>
      <w:r w:rsidR="00F15538">
        <w:rPr>
          <w:rFonts w:eastAsiaTheme="minorHAnsi"/>
        </w:rPr>
        <w:t xml:space="preserve"> </w:t>
      </w:r>
      <w:r w:rsidR="00F15538" w:rsidRPr="001E33F9">
        <w:rPr>
          <w:rFonts w:eastAsiaTheme="minorHAnsi"/>
        </w:rPr>
        <w:t>Li</w:t>
      </w:r>
      <w:r w:rsidR="00F15538" w:rsidRPr="001E33F9">
        <w:rPr>
          <w:rFonts w:eastAsiaTheme="minorHAnsi"/>
          <w:vertAlign w:val="subscript"/>
        </w:rPr>
        <w:t>4</w:t>
      </w:r>
      <w:r w:rsidR="00F15538" w:rsidRPr="001E33F9">
        <w:rPr>
          <w:rFonts w:eastAsiaTheme="minorHAnsi"/>
        </w:rPr>
        <w:t>SiO</w:t>
      </w:r>
      <w:r w:rsidR="00F15538" w:rsidRPr="001E33F9">
        <w:rPr>
          <w:rFonts w:eastAsiaTheme="minorHAnsi"/>
          <w:vertAlign w:val="subscript"/>
        </w:rPr>
        <w:t>4</w:t>
      </w:r>
      <w:r w:rsidR="00F15538">
        <w:rPr>
          <w:rFonts w:eastAsiaTheme="minorHAnsi"/>
        </w:rPr>
        <w:t xml:space="preserve"> on the final sorbent properties and </w:t>
      </w:r>
      <w:r w:rsidR="00E4162A">
        <w:rPr>
          <w:rFonts w:eastAsiaTheme="minorHAnsi"/>
        </w:rPr>
        <w:t xml:space="preserve">the </w:t>
      </w:r>
      <w:r w:rsidR="00717EFE">
        <w:rPr>
          <w:rFonts w:eastAsiaTheme="minorHAnsi"/>
        </w:rPr>
        <w:t>adsorption reaction</w:t>
      </w:r>
      <w:r w:rsidR="00F15538">
        <w:rPr>
          <w:rFonts w:eastAsiaTheme="minorHAnsi"/>
        </w:rPr>
        <w:t xml:space="preserve"> kinetic </w:t>
      </w:r>
      <w:r w:rsidR="00CE472F">
        <w:rPr>
          <w:rFonts w:eastAsiaTheme="minorHAnsi"/>
        </w:rPr>
        <w:fldChar w:fldCharType="begin" w:fldLock="1"/>
      </w:r>
      <w:r w:rsidR="006B15BF">
        <w:rPr>
          <w:rFonts w:eastAsiaTheme="minorHAnsi"/>
        </w:rPr>
        <w:instrText>ADDIN CSL_CITATION {"citationItems":[{"id":"ITEM-1","itemData":{"abstract":"In recent years, high-temperature post-combustion carbon capture (PCC) using regenerable lithium orthosilicate ceramics has drawn extensive attention. However, the low conversion rate of Li4SiO4 is still one of the toughest obstacles limiting its practical applications. In this work, a mechanochemical activation method was used for the modification of Li4SiO4-based adsorbents for the first time, and the physico-chemical properties of activated samples were systematically compared with that of dry-milled. It was found that the mechanochemically activated Li4SiO4 possesses higher surface area, smaller particle size and greater microstructure, resulting in a superior CO2 adsorption capacity of ~0.271 g/g after 72 min's activation. The dry-milling has been proven to enhance the capture capacity by crushing the adsorbent and reducing its particle size. However, the modification effects of dry-milling will be limited as the increasing of milling time due to the occurrence of cold welding. In comparison, the additional modification mechanisms of mechanochemical activation process could be summarized as: (i) the water could act as the liquid agent to reduce the cold welding agglomeration and produce smaller adsorbent particles; (ii) these smaller particles provide more surface area for the occurrence of hydration reaction (Li4SiO4 + H2O ↔ Li2SiO3 + 2LiOH), resulting in a porous structure consisted with laminated LiOH crystals and thus promoting the surface area of adsorbents efficiently. In a word, the superior morphology improvement and adsorption enhancement effects of this novel activation method made it a promising method for the future modification of Li4SiO4-based adsorbents.","author":[{"dropping-particle":"","family":"Yang","given":"Yuandong","non-dropping-particle":"","parse-names":false,"suffix":""},{"dropping-particle":"","family":"Yao","given":"Shun","non-dropping-particle":"","parse-names":false,"suffix":""},{"dropping-particle":"","family":"Hu","given":"Yingchao","non-dropping-particle":"","parse-names":false,"suffix":""},{"dropping-particle":"","family":"Sun","given":"Jian","non-dropping-particle":"","parse-names":false,"suffix":""},{"dropping-particle":"","family":"Cao","given":"Jixue","non-dropping-particle":"","parse-names":false,"suffix":""},{"dropping-particle":"","family":"Li","given":"Qiuwan","non-dropping-particle":"","parse-names":false,"suffix":""},{"dropping-particle":"","family":"Liu","given":"Wenqiang","non-dropping-particle":"","parse-names":false,"suffix":""}],"container-title":"Fuel","id":"ITEM-1","issue":"January","issued":{"date-parts":[["2020"]]},"page":"117749","publisher":"Elsevier","title":"Mechanochemically activated Li&lt;sub&gt;4&lt;/sub&gt;SiO&lt;sub&gt;4&lt;/sub&gt;-based adsorbent with enhanced CO&lt;sub&gt;2&lt;/sub&gt; capture performance and its modification mechanisms","type":"article-journal","volume":"273"},"uris":["http://www.mendeley.com/documents/?uuid=5d0ebb5f-448e-49fe-b4e4-9121453da81f"]},{"id":"ITEM-2","itemData":{"abstract":"The ball milling process was used to modify microstructurally the Li4SiO4, and different structural and microstructural analyses were performed, followed by an analysis of the CO2chemisorption process. In comparison to previous reports, the Li4SiO4 modified sample exhibited very important differences and improvements during the dynamic CO2chemisorption process. Additionally, an analysis of the Li4SiO4.CO2chemisorption products showed that the Li2CO3.Li2SiO3external shell exhibits a degree of mesoporosity at T &lt; 500 °C, which is favorable for diffusion processes. Finally, the CO2chemisorption.desorption process was analyzed at 550 °C during 10 cycles. The ball milled Li4SiO4sample showed a stable performance during the CO2chemisorption.desorption test and presented better efficiencies than the solid-state sample. The mechanical milling technique proved to be an effective method for modifying the microstructural properties of the ceramic absorbent by enhancing the CO2chemisorption.desorption process without further sintering effects. © 2012 Elsevier B.V. All rights reserved.","author":[{"dropping-particle":"","family":"Romero-Ibarra","given":"Issis C.","non-dropping-particle":"","parse-names":false,"suffix":""},{"dropping-particle":"","family":"Ortiz-Landeros","given":"José","non-dropping-particle":"","parse-names":false,"suffix":""},{"dropping-particle":"","family":"Pfeiffer","given":"Heriberto","non-dropping-particle":"","parse-names":false,"suffix":""}],"container-title":"Thermochimica Acta","id":"ITEM-2","issued":{"date-parts":[["2013"]]},"page":"118-124","publisher":"Elsevier B.V.","title":"Microstructural and CO&lt;sub&gt;2&lt;/sub&gt; chemisorption analyses of Li&lt;sub&gt;4&lt;/sub&gt;SiO&lt;sub&gt;4&lt;/sub&gt;: Effect of surface modification by the ball milling process","type":"article-journal","volume":"567"},"uris":["http://www.mendeley.com/documents/?uuid=c34d25d6-9f39-4e11-8134-0fd313b2a43f"]}],"mendeley":{"formattedCitation":"(Romero-Ibarra et al., 2013; Yang et al., 2020)","plainTextFormattedCitation":"(Romero-Ibarra et al., 2013; Yang et al., 2020)","previouslyFormattedCitation":"(Romero-Ibarra et al., 2013; Yang et al., 2020)"},"properties":{"noteIndex":0},"schema":"https://github.com/citation-style-language/schema/raw/master/csl-citation.json"}</w:instrText>
      </w:r>
      <w:r w:rsidR="00CE472F">
        <w:rPr>
          <w:rFonts w:eastAsiaTheme="minorHAnsi"/>
        </w:rPr>
        <w:fldChar w:fldCharType="separate"/>
      </w:r>
      <w:r w:rsidR="00CE472F" w:rsidRPr="00CE472F">
        <w:rPr>
          <w:rFonts w:eastAsiaTheme="minorHAnsi"/>
          <w:noProof/>
        </w:rPr>
        <w:t>(Romero-Ibarra et al., 2013; Yang et al., 2020)</w:t>
      </w:r>
      <w:r w:rsidR="00CE472F">
        <w:rPr>
          <w:rFonts w:eastAsiaTheme="minorHAnsi"/>
        </w:rPr>
        <w:fldChar w:fldCharType="end"/>
      </w:r>
      <w:r w:rsidR="00821C8F">
        <w:rPr>
          <w:rFonts w:eastAsiaTheme="minorHAnsi"/>
        </w:rPr>
        <w:t>, while o</w:t>
      </w:r>
      <w:r w:rsidR="00272F9A">
        <w:rPr>
          <w:rFonts w:eastAsiaTheme="minorHAnsi"/>
        </w:rPr>
        <w:t xml:space="preserve">ther studies </w:t>
      </w:r>
      <w:r w:rsidR="00E4162A">
        <w:rPr>
          <w:rFonts w:eastAsiaTheme="minorHAnsi"/>
        </w:rPr>
        <w:t>deal</w:t>
      </w:r>
      <w:r w:rsidR="00F643B8">
        <w:rPr>
          <w:rFonts w:eastAsiaTheme="minorHAnsi"/>
        </w:rPr>
        <w:t>t</w:t>
      </w:r>
      <w:r w:rsidR="00E4162A">
        <w:rPr>
          <w:rFonts w:eastAsiaTheme="minorHAnsi"/>
        </w:rPr>
        <w:t xml:space="preserve"> with </w:t>
      </w:r>
      <w:r w:rsidR="0050493A">
        <w:rPr>
          <w:rFonts w:eastAsiaTheme="minorHAnsi"/>
        </w:rPr>
        <w:t>the use of hydration,</w:t>
      </w:r>
      <w:r w:rsidR="007642D2" w:rsidRPr="001E33F9">
        <w:rPr>
          <w:rFonts w:eastAsiaTheme="minorHAnsi"/>
        </w:rPr>
        <w:t xml:space="preserve"> organic acid treatment</w:t>
      </w:r>
      <w:r w:rsidR="006A433D">
        <w:rPr>
          <w:rFonts w:eastAsiaTheme="minorHAnsi"/>
        </w:rPr>
        <w:t xml:space="preserve">, or </w:t>
      </w:r>
      <w:r w:rsidR="006A433D" w:rsidRPr="006A433D">
        <w:rPr>
          <w:rFonts w:eastAsiaTheme="minorHAnsi"/>
        </w:rPr>
        <w:t>organic lithium precursors</w:t>
      </w:r>
      <w:r w:rsidR="006A433D">
        <w:rPr>
          <w:rFonts w:eastAsiaTheme="minorHAnsi"/>
        </w:rPr>
        <w:t xml:space="preserve"> for</w:t>
      </w:r>
      <w:r w:rsidR="00574AAE">
        <w:rPr>
          <w:rFonts w:eastAsiaTheme="minorHAnsi"/>
        </w:rPr>
        <w:t xml:space="preserve"> increasing the</w:t>
      </w:r>
      <w:r w:rsidR="006A433D">
        <w:rPr>
          <w:rFonts w:eastAsiaTheme="minorHAnsi"/>
        </w:rPr>
        <w:t xml:space="preserve"> sorbent </w:t>
      </w:r>
      <w:r w:rsidR="00821C8F">
        <w:rPr>
          <w:rFonts w:eastAsiaTheme="minorHAnsi"/>
        </w:rPr>
        <w:t>surface area</w:t>
      </w:r>
      <w:r w:rsidR="006A433D">
        <w:rPr>
          <w:rFonts w:eastAsiaTheme="minorHAnsi"/>
        </w:rPr>
        <w:t xml:space="preserve"> and thus enhancing the</w:t>
      </w:r>
      <w:r w:rsidR="00574AAE">
        <w:rPr>
          <w:rFonts w:eastAsiaTheme="minorHAnsi"/>
        </w:rPr>
        <w:t xml:space="preserve"> sorption performance of pure </w:t>
      </w:r>
      <w:r w:rsidR="00574AAE" w:rsidRPr="001E33F9">
        <w:rPr>
          <w:rFonts w:eastAsiaTheme="minorHAnsi"/>
        </w:rPr>
        <w:t>Li</w:t>
      </w:r>
      <w:r w:rsidR="00574AAE" w:rsidRPr="001E33F9">
        <w:rPr>
          <w:rFonts w:eastAsiaTheme="minorHAnsi"/>
          <w:vertAlign w:val="subscript"/>
        </w:rPr>
        <w:t>4</w:t>
      </w:r>
      <w:r w:rsidR="00574AAE" w:rsidRPr="001E33F9">
        <w:rPr>
          <w:rFonts w:eastAsiaTheme="minorHAnsi"/>
        </w:rPr>
        <w:t>SiO</w:t>
      </w:r>
      <w:r w:rsidR="00574AAE" w:rsidRPr="001E33F9">
        <w:rPr>
          <w:rFonts w:eastAsiaTheme="minorHAnsi"/>
          <w:vertAlign w:val="subscript"/>
        </w:rPr>
        <w:t>4</w:t>
      </w:r>
      <w:r w:rsidR="006A433D" w:rsidRPr="006A433D">
        <w:rPr>
          <w:rFonts w:eastAsiaTheme="minorHAnsi"/>
        </w:rPr>
        <w:t xml:space="preserve"> </w:t>
      </w:r>
      <w:r w:rsidR="00C2282B">
        <w:rPr>
          <w:rFonts w:eastAsiaTheme="minorHAnsi"/>
        </w:rPr>
        <w:fldChar w:fldCharType="begin" w:fldLock="1"/>
      </w:r>
      <w:r w:rsidR="004861D2">
        <w:rPr>
          <w:rFonts w:eastAsiaTheme="minorHAnsi"/>
        </w:rPr>
        <w:instrText>ADDIN CSL_CITATION {"citationItems":[{"id":"ITEM-1","itemData":{"ISSN":"1385-8947","author":[{"dropping-particle":"","family":"Hu","given":"Yingchao","non-dropping-particle":"","parse-names":false,"suffix":""},{"dropping-particle":"","family":"Liu","given":"Wenqiang","non-dropping-particle":"","parse-names":false,"suffix":""},{"dropping-particle":"","family":"Yang","given":"Yuandong","non-dropping-particle":"","parse-names":false,"suffix":""},{"dropping-particle":"","family":"Qu","given":"Mingyu","non-dropping-particle":"","parse-names":false,"suffix":""},{"dropping-particle":"","family":"Li","given":"Hailong","non-dropping-particle":"","parse-names":false,"suffix":""}],"container-title":"Chemical Engineering Journal","id":"ITEM-1","issue":"October 2018","issued":{"date-parts":[["2019"]]},"page":"604-625","publisher":"Elsevier","title":"CO&lt;sub&gt;2&lt;/sub&gt; capture by Li&lt;sub&gt;4&lt;/sub&gt;SiO&lt;sub&gt;4&lt;/sub&gt; sorbents and their applications: Current developments and new trends","type":"article-journal","volume":"359"},"uris":["http://www.mendeley.com/documents/?uuid=d6360f13-60fc-4e64-aa1b-08b40df2c7f0"]}],"mendeley":{"formattedCitation":"(Hu et al., 2019)","plainTextFormattedCitation":"(Hu et al., 2019)","previouslyFormattedCitation":"(Hu et al., 2019)"},"properties":{"noteIndex":0},"schema":"https://github.com/citation-style-language/schema/raw/master/csl-citation.json"}</w:instrText>
      </w:r>
      <w:r w:rsidR="00C2282B">
        <w:rPr>
          <w:rFonts w:eastAsiaTheme="minorHAnsi"/>
        </w:rPr>
        <w:fldChar w:fldCharType="separate"/>
      </w:r>
      <w:r w:rsidR="00C2282B" w:rsidRPr="00C2282B">
        <w:rPr>
          <w:rFonts w:eastAsiaTheme="minorHAnsi"/>
          <w:noProof/>
        </w:rPr>
        <w:t>(Hu et al., 2019)</w:t>
      </w:r>
      <w:r w:rsidR="00C2282B">
        <w:rPr>
          <w:rFonts w:eastAsiaTheme="minorHAnsi"/>
        </w:rPr>
        <w:fldChar w:fldCharType="end"/>
      </w:r>
      <w:r w:rsidR="00574AAE">
        <w:rPr>
          <w:rFonts w:eastAsiaTheme="minorHAnsi"/>
        </w:rPr>
        <w:t>.</w:t>
      </w:r>
    </w:p>
    <w:p w14:paraId="75E3EA38" w14:textId="19F5B49D" w:rsidR="00DC68DD" w:rsidRDefault="0062581D" w:rsidP="00DC68DD">
      <w:pPr>
        <w:pStyle w:val="CETBodytext"/>
        <w:rPr>
          <w:rFonts w:eastAsiaTheme="minorHAnsi"/>
        </w:rPr>
      </w:pPr>
      <w:r w:rsidRPr="001A4ECC">
        <w:rPr>
          <w:rFonts w:eastAsiaTheme="minorHAnsi"/>
        </w:rPr>
        <w:t>In</w:t>
      </w:r>
      <w:r>
        <w:rPr>
          <w:rFonts w:eastAsiaTheme="minorHAnsi"/>
        </w:rPr>
        <w:t xml:space="preserve"> this study, pure </w:t>
      </w:r>
      <w:r w:rsidRPr="0062581D">
        <w:rPr>
          <w:rFonts w:eastAsiaTheme="minorHAnsi"/>
        </w:rPr>
        <w:t>Li</w:t>
      </w:r>
      <w:r w:rsidRPr="0062581D">
        <w:rPr>
          <w:rFonts w:eastAsiaTheme="minorHAnsi"/>
          <w:vertAlign w:val="subscript"/>
        </w:rPr>
        <w:t>4</w:t>
      </w:r>
      <w:r w:rsidRPr="0062581D">
        <w:rPr>
          <w:rFonts w:eastAsiaTheme="minorHAnsi"/>
        </w:rPr>
        <w:t>SiO</w:t>
      </w:r>
      <w:r w:rsidRPr="0062581D">
        <w:rPr>
          <w:rFonts w:eastAsiaTheme="minorHAnsi"/>
          <w:vertAlign w:val="subscript"/>
        </w:rPr>
        <w:t>4</w:t>
      </w:r>
      <w:r w:rsidRPr="0062581D">
        <w:rPr>
          <w:rFonts w:eastAsiaTheme="minorHAnsi"/>
        </w:rPr>
        <w:t xml:space="preserve"> sorbents were </w:t>
      </w:r>
      <w:r>
        <w:rPr>
          <w:rFonts w:eastAsiaTheme="minorHAnsi"/>
        </w:rPr>
        <w:t xml:space="preserve">fabricated at industrial lab-scale employing the </w:t>
      </w:r>
      <w:r w:rsidRPr="00A6499D">
        <w:rPr>
          <w:rFonts w:eastAsiaTheme="minorHAnsi"/>
        </w:rPr>
        <w:t>ball</w:t>
      </w:r>
      <w:r w:rsidR="00691390">
        <w:rPr>
          <w:rFonts w:eastAsiaTheme="minorHAnsi"/>
        </w:rPr>
        <w:t xml:space="preserve"> </w:t>
      </w:r>
      <w:r w:rsidRPr="00A6499D">
        <w:rPr>
          <w:rFonts w:eastAsiaTheme="minorHAnsi"/>
        </w:rPr>
        <w:t>milling process</w:t>
      </w:r>
      <w:r w:rsidRPr="0062581D">
        <w:t xml:space="preserve"> </w:t>
      </w:r>
      <w:r w:rsidRPr="0062581D">
        <w:rPr>
          <w:rFonts w:eastAsiaTheme="minorHAnsi"/>
        </w:rPr>
        <w:t>during the precursors mixing phase</w:t>
      </w:r>
      <w:r w:rsidR="00DC68DD">
        <w:rPr>
          <w:rFonts w:eastAsiaTheme="minorHAnsi"/>
        </w:rPr>
        <w:t>.</w:t>
      </w:r>
      <w:r w:rsidR="00922E93">
        <w:rPr>
          <w:rFonts w:eastAsiaTheme="minorHAnsi"/>
        </w:rPr>
        <w:t xml:space="preserve"> </w:t>
      </w:r>
      <w:r w:rsidR="0067359F" w:rsidRPr="0062581D">
        <w:rPr>
          <w:rFonts w:eastAsiaTheme="minorHAnsi"/>
        </w:rPr>
        <w:t>The milling time</w:t>
      </w:r>
      <w:r w:rsidR="00584419">
        <w:rPr>
          <w:rFonts w:eastAsiaTheme="minorHAnsi"/>
        </w:rPr>
        <w:t xml:space="preserve"> and the</w:t>
      </w:r>
      <w:r w:rsidR="0067359F" w:rsidRPr="0062581D">
        <w:rPr>
          <w:rFonts w:eastAsiaTheme="minorHAnsi"/>
        </w:rPr>
        <w:t xml:space="preserve"> </w:t>
      </w:r>
      <w:r w:rsidR="00584419" w:rsidRPr="0062581D">
        <w:rPr>
          <w:rFonts w:eastAsiaTheme="minorHAnsi"/>
        </w:rPr>
        <w:t>adsorption temperature</w:t>
      </w:r>
      <w:r w:rsidR="0092672B">
        <w:rPr>
          <w:rFonts w:eastAsiaTheme="minorHAnsi"/>
        </w:rPr>
        <w:t xml:space="preserve"> were varied</w:t>
      </w:r>
      <w:r w:rsidR="00922E93">
        <w:rPr>
          <w:rFonts w:eastAsiaTheme="minorHAnsi"/>
        </w:rPr>
        <w:t>,</w:t>
      </w:r>
      <w:r w:rsidR="0092672B">
        <w:rPr>
          <w:rFonts w:eastAsiaTheme="minorHAnsi"/>
        </w:rPr>
        <w:t xml:space="preserve"> and the Li</w:t>
      </w:r>
      <w:r w:rsidR="0092672B" w:rsidRPr="0092672B">
        <w:rPr>
          <w:rFonts w:eastAsiaTheme="minorHAnsi"/>
          <w:vertAlign w:val="subscript"/>
        </w:rPr>
        <w:t>4</w:t>
      </w:r>
      <w:r w:rsidR="0092672B">
        <w:rPr>
          <w:rFonts w:eastAsiaTheme="minorHAnsi"/>
        </w:rPr>
        <w:t>SiO</w:t>
      </w:r>
      <w:r w:rsidR="0092672B" w:rsidRPr="0092672B">
        <w:rPr>
          <w:rFonts w:eastAsiaTheme="minorHAnsi"/>
          <w:vertAlign w:val="subscript"/>
        </w:rPr>
        <w:t>4</w:t>
      </w:r>
      <w:r w:rsidR="0092672B" w:rsidRPr="00220A8C">
        <w:rPr>
          <w:rFonts w:eastAsiaTheme="minorHAnsi"/>
        </w:rPr>
        <w:t xml:space="preserve"> adsorption properties were tested</w:t>
      </w:r>
      <w:r w:rsidR="00922E93">
        <w:rPr>
          <w:rFonts w:eastAsiaTheme="minorHAnsi"/>
        </w:rPr>
        <w:t xml:space="preserve"> in </w:t>
      </w:r>
      <w:r w:rsidR="00922E93" w:rsidRPr="00A6499D">
        <w:rPr>
          <w:rFonts w:eastAsiaTheme="minorHAnsi"/>
        </w:rPr>
        <w:t>a the</w:t>
      </w:r>
      <w:r w:rsidR="00922E93">
        <w:rPr>
          <w:rFonts w:eastAsiaTheme="minorHAnsi"/>
        </w:rPr>
        <w:t xml:space="preserve">rmal gravimetric analyzer </w:t>
      </w:r>
      <w:r w:rsidR="0092672B" w:rsidRPr="00220A8C">
        <w:rPr>
          <w:rFonts w:eastAsiaTheme="minorHAnsi"/>
        </w:rPr>
        <w:t>for CO</w:t>
      </w:r>
      <w:r w:rsidR="0092672B" w:rsidRPr="00220A8C">
        <w:rPr>
          <w:rFonts w:eastAsiaTheme="minorHAnsi"/>
          <w:vertAlign w:val="subscript"/>
        </w:rPr>
        <w:t>2</w:t>
      </w:r>
      <w:r w:rsidR="0092672B" w:rsidRPr="00220A8C">
        <w:rPr>
          <w:rFonts w:eastAsiaTheme="minorHAnsi"/>
        </w:rPr>
        <w:t xml:space="preserve"> capture at </w:t>
      </w:r>
      <w:r w:rsidR="00F20069">
        <w:rPr>
          <w:rFonts w:eastAsiaTheme="minorHAnsi"/>
        </w:rPr>
        <w:t>high</w:t>
      </w:r>
      <w:r w:rsidR="0092672B" w:rsidRPr="00220A8C">
        <w:rPr>
          <w:rFonts w:eastAsiaTheme="minorHAnsi"/>
        </w:rPr>
        <w:t xml:space="preserve"> temperature</w:t>
      </w:r>
      <w:r w:rsidR="00F20069">
        <w:rPr>
          <w:rFonts w:eastAsiaTheme="minorHAnsi"/>
        </w:rPr>
        <w:t xml:space="preserve"> </w:t>
      </w:r>
      <w:r w:rsidR="00BF04C9">
        <w:rPr>
          <w:rFonts w:eastAsiaTheme="minorHAnsi"/>
        </w:rPr>
        <w:t xml:space="preserve">(470-570 °C) </w:t>
      </w:r>
      <w:r w:rsidR="00F20069">
        <w:rPr>
          <w:rFonts w:eastAsiaTheme="minorHAnsi"/>
        </w:rPr>
        <w:t xml:space="preserve">and low concentration </w:t>
      </w:r>
      <w:r w:rsidR="00F20069" w:rsidRPr="00A6499D">
        <w:rPr>
          <w:rFonts w:eastAsiaTheme="minorHAnsi"/>
        </w:rPr>
        <w:t>(4 vol%)</w:t>
      </w:r>
      <w:r w:rsidR="0092672B" w:rsidRPr="00220A8C">
        <w:rPr>
          <w:rFonts w:eastAsiaTheme="minorHAnsi"/>
        </w:rPr>
        <w:t>.</w:t>
      </w:r>
      <w:r w:rsidR="00DC68DD">
        <w:rPr>
          <w:rFonts w:eastAsiaTheme="minorHAnsi"/>
        </w:rPr>
        <w:t xml:space="preserve"> </w:t>
      </w:r>
      <w:r w:rsidR="003B4DB4" w:rsidRPr="00A6499D">
        <w:rPr>
          <w:rFonts w:eastAsiaTheme="minorHAnsi"/>
        </w:rPr>
        <w:t xml:space="preserve">Scanning electron microscopy </w:t>
      </w:r>
      <w:r w:rsidR="003B4DB4">
        <w:rPr>
          <w:rFonts w:eastAsiaTheme="minorHAnsi"/>
        </w:rPr>
        <w:t>was</w:t>
      </w:r>
      <w:r w:rsidR="003B4DB4" w:rsidRPr="00A6499D">
        <w:rPr>
          <w:rFonts w:eastAsiaTheme="minorHAnsi"/>
        </w:rPr>
        <w:t xml:space="preserve"> used to characterize the prepared sorbents and to understand the relationship among milling time, sorbent microstructure, and CO</w:t>
      </w:r>
      <w:r w:rsidR="003B4DB4" w:rsidRPr="003B4DB4">
        <w:rPr>
          <w:rFonts w:eastAsiaTheme="minorHAnsi"/>
          <w:vertAlign w:val="subscript"/>
        </w:rPr>
        <w:t>2</w:t>
      </w:r>
      <w:r w:rsidR="003B4DB4" w:rsidRPr="00A6499D">
        <w:rPr>
          <w:rFonts w:eastAsiaTheme="minorHAnsi"/>
        </w:rPr>
        <w:t xml:space="preserve"> sorption properties.</w:t>
      </w:r>
      <w:r w:rsidR="003B4DB4">
        <w:rPr>
          <w:rFonts w:eastAsiaTheme="minorHAnsi"/>
        </w:rPr>
        <w:t xml:space="preserve"> </w:t>
      </w:r>
      <w:r w:rsidR="00DC68DD" w:rsidRPr="00220A8C">
        <w:rPr>
          <w:rFonts w:eastAsiaTheme="minorHAnsi"/>
        </w:rPr>
        <w:t xml:space="preserve">The Response Surface Methodology was applied </w:t>
      </w:r>
      <w:r w:rsidR="0067599E">
        <w:rPr>
          <w:rFonts w:eastAsiaTheme="minorHAnsi"/>
        </w:rPr>
        <w:t>for evaluating</w:t>
      </w:r>
      <w:r w:rsidR="00DC68DD" w:rsidRPr="00220A8C">
        <w:rPr>
          <w:rFonts w:eastAsiaTheme="minorHAnsi"/>
        </w:rPr>
        <w:t xml:space="preserve"> the optimal </w:t>
      </w:r>
      <w:r w:rsidR="00DC68DD">
        <w:rPr>
          <w:rFonts w:eastAsiaTheme="minorHAnsi"/>
        </w:rPr>
        <w:t>operating</w:t>
      </w:r>
      <w:r w:rsidR="00DC68DD" w:rsidRPr="00220A8C">
        <w:rPr>
          <w:rFonts w:eastAsiaTheme="minorHAnsi"/>
        </w:rPr>
        <w:t xml:space="preserve"> conditions to obtain high CO</w:t>
      </w:r>
      <w:r w:rsidR="00DC68DD" w:rsidRPr="00220A8C">
        <w:rPr>
          <w:rFonts w:eastAsiaTheme="minorHAnsi"/>
          <w:vertAlign w:val="subscript"/>
        </w:rPr>
        <w:t>2</w:t>
      </w:r>
      <w:r w:rsidR="00DC68DD" w:rsidRPr="00220A8C">
        <w:rPr>
          <w:rFonts w:eastAsiaTheme="minorHAnsi"/>
        </w:rPr>
        <w:t xml:space="preserve"> adsorption performance.</w:t>
      </w:r>
    </w:p>
    <w:p w14:paraId="54CC5194" w14:textId="77777777" w:rsidR="00D42707" w:rsidRPr="00220A8C" w:rsidRDefault="00D42707" w:rsidP="00D42707">
      <w:pPr>
        <w:pStyle w:val="CETHeading1"/>
        <w:tabs>
          <w:tab w:val="clear" w:pos="360"/>
          <w:tab w:val="right" w:pos="7100"/>
        </w:tabs>
        <w:jc w:val="both"/>
      </w:pPr>
      <w:r w:rsidRPr="00220A8C">
        <w:t>Experimental</w:t>
      </w:r>
    </w:p>
    <w:p w14:paraId="3D626EE9" w14:textId="68EE2C46" w:rsidR="00D42707" w:rsidRPr="00220A8C" w:rsidRDefault="000D7060" w:rsidP="00D42707">
      <w:pPr>
        <w:pStyle w:val="CETheadingx"/>
      </w:pPr>
      <w:r>
        <w:t>Sorbents production and characterization</w:t>
      </w:r>
    </w:p>
    <w:p w14:paraId="0445B9D0" w14:textId="70C870A3" w:rsidR="008F0A95" w:rsidRDefault="000D7060" w:rsidP="003014CA">
      <w:pPr>
        <w:pStyle w:val="CETBodytext"/>
      </w:pPr>
      <w:r>
        <w:t>Li</w:t>
      </w:r>
      <w:r w:rsidRPr="000D7060">
        <w:rPr>
          <w:vertAlign w:val="subscript"/>
        </w:rPr>
        <w:t>4</w:t>
      </w:r>
      <w:r>
        <w:t>SiO</w:t>
      </w:r>
      <w:r w:rsidRPr="000D7060">
        <w:rPr>
          <w:vertAlign w:val="subscript"/>
        </w:rPr>
        <w:t>4</w:t>
      </w:r>
      <w:r>
        <w:t xml:space="preserve"> sorbents were prepared </w:t>
      </w:r>
      <w:r w:rsidR="008F0A95">
        <w:t>according to</w:t>
      </w:r>
      <w:r>
        <w:t xml:space="preserve"> the </w:t>
      </w:r>
      <w:r w:rsidR="006D7888">
        <w:t>solid-state method, as</w:t>
      </w:r>
      <w:r>
        <w:t xml:space="preserve"> </w:t>
      </w:r>
      <w:r w:rsidR="004B5CE0">
        <w:t>reported</w:t>
      </w:r>
      <w:r>
        <w:t xml:space="preserve"> in our previous work</w:t>
      </w:r>
      <w:r w:rsidR="00006B52">
        <w:t>s</w:t>
      </w:r>
      <w:r w:rsidR="004861D2">
        <w:t xml:space="preserve"> </w:t>
      </w:r>
      <w:r w:rsidR="004861D2">
        <w:fldChar w:fldCharType="begin" w:fldLock="1"/>
      </w:r>
      <w:r w:rsidR="00BE4117">
        <w:instrText>ADDIN CSL_CITATION {"citationItems":[{"id":"ITEM-1","itemData":{"ISSN":"13858947","abstract":"This study focuses on the preparation and characterization of macroporous pellets based on K2CO3-doped Li4SiO4for the CO2capture from the hot exhaust gas of gas-turbines. In view of this application, the CO2sorption properties of the starting powders and produced pellets were investigated under low CO2partial pressure (0.04 atm) and high temperature (580°C). The desorption mechanism of the sorbents was investigated at different temperatures (580-700°C) and by multiple CO2sorption/desorption cycles. Results showed that the chemisorption kinetics of the starting powders and pellets was adequately fitted to the double exponential model, revealing that the diffusive processes through the molten product layer were the controlling steps for the overall process and the CO2diffusion resistance in the macro-pores of the pellet resulted negligible. The temperature of 660 °C resulted to be the optimal regeneration temperature with adequate regeneration rate/time and less potential of sintering phenomena compared to 700°C. In order to guarantee an excellent cyclic stability of the sorbent pellets over 250 sorption/desorption cycles, it was necessary to operate at Li4SiO4conversions below 50% during the sorption run to avoid an excessive formation of molten eutectic mixture that, reducing the porosity of the pellet, led to reduce the long-term sorbent performance.","author":[{"dropping-particle":"","family":"Seggiani","given":"Maurizia","non-dropping-particle":"","parse-names":false,"suffix":""},{"dropping-particle":"","family":"Stefanelli","given":"Eleonora","non-dropping-particle":"","parse-names":false,"suffix":""},{"dropping-particle":"","family":"Puccini","given":"Monica","non-dropping-particle":"","parse-names":false,"suffix":""},{"dropping-particle":"","family":"Vitolo","given":"Sandra","non-dropping-particle":"","parse-names":false,"suffix":""}],"container-title":"Chemical Engineering Journal","id":"ITEM-1","issue":"January","issued":{"date-parts":[["2018"]]},"page":"51-60","publisher":"Elsevier","title":"CO&lt;sub&gt;2&lt;/sub&gt; sorption/desorption performance study on K&lt;sub&gt;2&lt;/sub&gt;CO&lt;sub&gt;3&lt;/sub&gt;-doped Li&lt;sub&gt;4&lt;/sub&gt;SiO&lt;sub&gt;4&lt;/sub&gt;-based pellets","type":"article-journal","volume":"339"},"uris":["http://www.mendeley.com/documents/?uuid=939960c1-5457-43b8-b5ad-934899673ca5"]},{"id":"ITEM-2","itemData":{"abstract":"Solid sorbents based on lithium orthosilicate (Li4SiO4) have shown promise for CO2 capture at high temperature. Improved sorption properties can be obtained by appropriate doping. In this study, different promoted Li4SiO4-based sorbents were prepared by addition of potassium carbonate and binary/ternary alkali (Li, K and Na) carbonate eutectic mixtures. The CO2 sorption properties of the sorbents were investigated by thermal gravimetric analysis (TGA) at different temperatures in the range between 500 and 600 °C and at low CO2 partial pressure (0.04 atm). The results showed that all the promoters used noticeably improved the CO2 sorption capacity in comparison to no-promoted Li4SiO4. At the optimum sorption temperature of 580 °C, Li4SiO4 with addition of 30 wt% of K2CO3 showed the best CO2 adsorption proprieties with sorption capacities of 230 mg CO2/g sorbent corresponding to a conversion of about 80 %. Besides this sample maintained its original capacity during multiple CO2 sorption/desorption cycles.","author":[{"dropping-particle":"","family":"Puccini","given":"Monica","non-dropping-particle":"","parse-names":false,"suffix":""},{"dropping-particle":"","family":"Seggiani","given":"Maurizia","non-dropping-particle":"","parse-names":false,"suffix":""},{"dropping-particle":"","family":"Vitolo","given":"Sandra","non-dropping-particle":"","parse-names":false,"suffix":""}],"container-title":"Chemical Engineering Transactions","id":"ITEM-2","issue":"2005","issued":{"date-parts":[["2013"]]},"page":"1279-1284","title":"CO&lt;sub&gt;2&lt;/sub&gt; Capture at High Temperature and Low Concentration on Li&lt;sub&gt;4&lt;/sub&gt;SiO&lt;sub&gt;4&lt;/sub&gt; Based Sorbents","type":"article-journal","volume":"32"},"uris":["http://www.mendeley.com/documents/?uuid=0e1eea19-1027-4a91-9530-f1c9780bf625"]}],"mendeley":{"formattedCitation":"(Puccini et al., 2013; Seggiani et al., 2018)","plainTextFormattedCitation":"(Puccini et al., 2013; Seggiani et al., 2018)","previouslyFormattedCitation":"(Puccini et al., 2013; Seggiani et al., 2018)"},"properties":{"noteIndex":0},"schema":"https://github.com/citation-style-language/schema/raw/master/csl-citation.json"}</w:instrText>
      </w:r>
      <w:r w:rsidR="004861D2">
        <w:fldChar w:fldCharType="separate"/>
      </w:r>
      <w:r w:rsidR="00006B52" w:rsidRPr="00006B52">
        <w:rPr>
          <w:noProof/>
        </w:rPr>
        <w:t>(Puccini et al., 2013; Seggiani et al., 2018)</w:t>
      </w:r>
      <w:r w:rsidR="004861D2">
        <w:fldChar w:fldCharType="end"/>
      </w:r>
      <w:r w:rsidR="008F0A95">
        <w:t xml:space="preserve">. A scale-up of the production method at industrial lab-scale was </w:t>
      </w:r>
      <w:r w:rsidR="00C11C12">
        <w:t>carried out</w:t>
      </w:r>
      <w:r w:rsidR="0063245B">
        <w:t>,</w:t>
      </w:r>
      <w:r w:rsidR="003A6BDD">
        <w:t xml:space="preserve"> and the wet</w:t>
      </w:r>
      <w:r w:rsidR="00691390">
        <w:t xml:space="preserve"> </w:t>
      </w:r>
      <w:r w:rsidR="008F0A95">
        <w:t xml:space="preserve">milling </w:t>
      </w:r>
      <w:r w:rsidR="0063245B">
        <w:t xml:space="preserve">process </w:t>
      </w:r>
      <w:r w:rsidR="008F0A95">
        <w:t xml:space="preserve">was employed </w:t>
      </w:r>
      <w:r w:rsidR="0063245B">
        <w:t xml:space="preserve">both </w:t>
      </w:r>
      <w:r w:rsidR="008F0A95">
        <w:t>for obtaining the reagent mixture</w:t>
      </w:r>
      <w:r w:rsidR="0063245B">
        <w:t xml:space="preserve"> and to </w:t>
      </w:r>
      <w:r w:rsidR="00DC51C3" w:rsidRPr="00DC51C3">
        <w:t xml:space="preserve">modify the microstructure of the </w:t>
      </w:r>
      <w:r w:rsidR="0063245B">
        <w:t>final</w:t>
      </w:r>
      <w:r w:rsidR="0063245B" w:rsidRPr="0063245B">
        <w:t xml:space="preserve"> sorbents</w:t>
      </w:r>
      <w:r w:rsidR="008F0A95" w:rsidRPr="0063245B">
        <w:t>.</w:t>
      </w:r>
      <w:r w:rsidR="008F0A95">
        <w:t xml:space="preserve"> </w:t>
      </w:r>
      <w:r w:rsidR="00BF7896">
        <w:t>Li</w:t>
      </w:r>
      <w:r w:rsidR="00BF7896" w:rsidRPr="00BF7896">
        <w:rPr>
          <w:vertAlign w:val="subscript"/>
        </w:rPr>
        <w:t>2</w:t>
      </w:r>
      <w:r w:rsidR="00BF7896">
        <w:t>CO</w:t>
      </w:r>
      <w:r w:rsidR="00BF7896" w:rsidRPr="00BF7896">
        <w:rPr>
          <w:vertAlign w:val="subscript"/>
        </w:rPr>
        <w:t>3</w:t>
      </w:r>
      <w:r w:rsidR="00BF7896">
        <w:t xml:space="preserve"> </w:t>
      </w:r>
      <w:r w:rsidR="00A354CC">
        <w:t>(</w:t>
      </w:r>
      <w:r w:rsidR="00791D11">
        <w:t>technical grade</w:t>
      </w:r>
      <w:r w:rsidR="00BF7896">
        <w:t xml:space="preserve">, </w:t>
      </w:r>
      <w:r w:rsidR="00791D11">
        <w:t xml:space="preserve">SQM Lithium) </w:t>
      </w:r>
      <w:r w:rsidR="00BF7896">
        <w:t>and crystalline silicon dioxide (SiO</w:t>
      </w:r>
      <w:r w:rsidR="00BF7896" w:rsidRPr="00E37B89">
        <w:rPr>
          <w:vertAlign w:val="subscript"/>
        </w:rPr>
        <w:t>2</w:t>
      </w:r>
      <w:r w:rsidR="00BF7896">
        <w:t>,</w:t>
      </w:r>
      <w:r w:rsidR="00E37B89" w:rsidRPr="00E37B89">
        <w:t xml:space="preserve"> Silica SA800 PO</w:t>
      </w:r>
      <w:r w:rsidR="00DC2549">
        <w:t xml:space="preserve"> technical grade</w:t>
      </w:r>
      <w:r w:rsidR="00E37B89">
        <w:t>, 0.6-7.4</w:t>
      </w:r>
      <w:r w:rsidR="00BF7896">
        <w:t xml:space="preserve"> µm powder, </w:t>
      </w:r>
      <w:r w:rsidR="00E37B89">
        <w:t>Sibelco</w:t>
      </w:r>
      <w:r w:rsidR="00BF7896">
        <w:t xml:space="preserve">) </w:t>
      </w:r>
      <w:r w:rsidR="00E37B89">
        <w:t>were used as starting materials</w:t>
      </w:r>
      <w:r w:rsidR="00BF7896">
        <w:t xml:space="preserve">. </w:t>
      </w:r>
      <w:r w:rsidR="00A55720">
        <w:t>First, t</w:t>
      </w:r>
      <w:r w:rsidR="003014CA">
        <w:t>he reagents</w:t>
      </w:r>
      <w:r w:rsidR="0063245B">
        <w:t xml:space="preserve"> (Li:Si molar ratio of 4:1)</w:t>
      </w:r>
      <w:r w:rsidR="003014CA">
        <w:t xml:space="preserve"> were </w:t>
      </w:r>
      <w:r w:rsidR="001C22C8">
        <w:t>ground</w:t>
      </w:r>
      <w:r w:rsidR="00845484">
        <w:t xml:space="preserve"> and dispersed</w:t>
      </w:r>
      <w:r w:rsidR="003014CA">
        <w:t xml:space="preserve"> </w:t>
      </w:r>
      <w:r w:rsidR="00845484">
        <w:t>in</w:t>
      </w:r>
      <w:r w:rsidR="0063245B">
        <w:t xml:space="preserve"> water</w:t>
      </w:r>
      <w:r w:rsidR="003014CA">
        <w:t xml:space="preserve"> </w:t>
      </w:r>
      <w:r w:rsidR="003014CA" w:rsidRPr="003014CA">
        <w:t xml:space="preserve">in </w:t>
      </w:r>
      <w:r w:rsidR="003014CA">
        <w:t xml:space="preserve">a </w:t>
      </w:r>
      <w:r w:rsidR="00122518">
        <w:t xml:space="preserve">300 mL </w:t>
      </w:r>
      <w:r w:rsidR="003014CA" w:rsidRPr="003014CA">
        <w:t>ceramic j</w:t>
      </w:r>
      <w:r w:rsidR="003014CA">
        <w:t>ar equipped with zirconia</w:t>
      </w:r>
      <w:r w:rsidR="003014CA" w:rsidRPr="003014CA">
        <w:t xml:space="preserve"> spheres</w:t>
      </w:r>
      <w:r w:rsidR="003014CA">
        <w:t xml:space="preserve"> (</w:t>
      </w:r>
      <w:r w:rsidR="00811A35">
        <w:t>ZrO</w:t>
      </w:r>
      <w:r w:rsidR="00811A35" w:rsidRPr="00811A35">
        <w:rPr>
          <w:vertAlign w:val="subscript"/>
        </w:rPr>
        <w:t>2</w:t>
      </w:r>
      <w:r w:rsidR="00811A35">
        <w:t xml:space="preserve">, </w:t>
      </w:r>
      <w:r w:rsidR="00BD4F6A">
        <w:t>5</w:t>
      </w:r>
      <w:r w:rsidR="003014CA">
        <w:t xml:space="preserve"> mm of diameter</w:t>
      </w:r>
      <w:r w:rsidR="0063245B">
        <w:t>)</w:t>
      </w:r>
      <w:r w:rsidR="00845484">
        <w:t xml:space="preserve"> b</w:t>
      </w:r>
      <w:r w:rsidR="008E0140">
        <w:t>y using a planetary ball mill</w:t>
      </w:r>
      <w:r w:rsidR="00122518">
        <w:t>. The total solid content was 30 wt%</w:t>
      </w:r>
      <w:r w:rsidR="00171BFF">
        <w:t>, and the ball charge/solids weight ratio was 13/1.</w:t>
      </w:r>
      <w:r w:rsidR="00A55720">
        <w:t xml:space="preserve"> Different milling times were tested (</w:t>
      </w:r>
      <w:r w:rsidR="00F86F17">
        <w:t>0-</w:t>
      </w:r>
      <w:r w:rsidR="00A55720">
        <w:t>60-120 min)</w:t>
      </w:r>
      <w:r w:rsidR="00947578">
        <w:t xml:space="preserve"> at a speed rate of 520 rpm.</w:t>
      </w:r>
      <w:r w:rsidR="00907F56">
        <w:t xml:space="preserve"> After </w:t>
      </w:r>
      <w:r w:rsidR="00DA0337">
        <w:t>that</w:t>
      </w:r>
      <w:r w:rsidR="00907F56">
        <w:t xml:space="preserve">, the obtained suspensions were </w:t>
      </w:r>
      <w:r w:rsidR="003643FC">
        <w:t xml:space="preserve">collected </w:t>
      </w:r>
      <w:r w:rsidR="00670581">
        <w:t>and dried at 110 °C overnight.</w:t>
      </w:r>
      <w:r w:rsidR="00944030">
        <w:t xml:space="preserve"> </w:t>
      </w:r>
      <w:r w:rsidR="00F86F17">
        <w:t>The</w:t>
      </w:r>
      <w:r w:rsidR="000B6B10">
        <w:t xml:space="preserve"> reference suspe</w:t>
      </w:r>
      <w:r w:rsidR="00F86F17">
        <w:t>nsion (milling time = 0 min) was prepared by mixing the reagents in the ceramic jar with water for only 60 seconds</w:t>
      </w:r>
      <w:r w:rsidR="001C22C8">
        <w:t xml:space="preserve"> to ensure </w:t>
      </w:r>
      <w:r w:rsidR="001C22C8" w:rsidRPr="001C22C8">
        <w:t>homogeneous mixing</w:t>
      </w:r>
      <w:r w:rsidR="00F86F17">
        <w:t xml:space="preserve">. </w:t>
      </w:r>
      <w:r w:rsidR="00944030">
        <w:t>Finally, the reagent powders were calcined in air at 900 °C for 4 h</w:t>
      </w:r>
      <w:r w:rsidR="00610736">
        <w:t xml:space="preserve"> with</w:t>
      </w:r>
      <w:r w:rsidR="00944030">
        <w:t xml:space="preserve"> </w:t>
      </w:r>
      <w:r w:rsidR="00944030" w:rsidRPr="00944030">
        <w:t xml:space="preserve">temperature increase and decrease ramping rates </w:t>
      </w:r>
      <w:r w:rsidR="00610736">
        <w:t>of</w:t>
      </w:r>
      <w:r w:rsidR="00944030" w:rsidRPr="00944030">
        <w:t xml:space="preserve"> 60 °C/h.</w:t>
      </w:r>
      <w:r w:rsidR="008409D3" w:rsidRPr="008409D3">
        <w:t xml:space="preserve"> The resulting powders were </w:t>
      </w:r>
      <w:r w:rsidR="008409D3">
        <w:t>dry</w:t>
      </w:r>
      <w:r w:rsidR="00691390">
        <w:t xml:space="preserve"> </w:t>
      </w:r>
      <w:r w:rsidR="008409D3">
        <w:t xml:space="preserve">milled for 60 seconds in the ceramic jar </w:t>
      </w:r>
      <w:r w:rsidR="008409D3" w:rsidRPr="008409D3">
        <w:t>to break down any agglomeration</w:t>
      </w:r>
      <w:r w:rsidR="008409D3">
        <w:t xml:space="preserve"> due to the calcining step.</w:t>
      </w:r>
      <w:r w:rsidR="00A40B1C">
        <w:t xml:space="preserve"> The </w:t>
      </w:r>
      <w:r w:rsidR="00894D34">
        <w:t>sorbents</w:t>
      </w:r>
      <w:r w:rsidR="00A40B1C">
        <w:t xml:space="preserve"> obtained by grinding the starting reagents for 0, 60, and 120 min were named LC, LC-60, and LC-120, respectively.</w:t>
      </w:r>
    </w:p>
    <w:p w14:paraId="31BC1E3B" w14:textId="5CCFF202" w:rsidR="00BF4A31" w:rsidRPr="00220A8C" w:rsidRDefault="00CE1629" w:rsidP="00D42707">
      <w:pPr>
        <w:pStyle w:val="CETBodytext"/>
      </w:pPr>
      <w:r w:rsidRPr="00CE1629">
        <w:t xml:space="preserve">The particle size distributions of </w:t>
      </w:r>
      <w:r>
        <w:t>the reagent mixtures</w:t>
      </w:r>
      <w:r w:rsidRPr="00CE1629">
        <w:t xml:space="preserve"> were monitored </w:t>
      </w:r>
      <w:r>
        <w:t>analyzing the suspension</w:t>
      </w:r>
      <w:r w:rsidR="00B101F2">
        <w:t>s</w:t>
      </w:r>
      <w:r>
        <w:t xml:space="preserve"> after the wet</w:t>
      </w:r>
      <w:r w:rsidR="00691390">
        <w:t xml:space="preserve"> </w:t>
      </w:r>
      <w:r>
        <w:t>milling process with</w:t>
      </w:r>
      <w:r w:rsidRPr="00CE1629">
        <w:t xml:space="preserve"> a laser particle size analyzer (</w:t>
      </w:r>
      <w:r>
        <w:t xml:space="preserve">Mastersizer 300, </w:t>
      </w:r>
      <w:r w:rsidRPr="00CE1629">
        <w:t>Malvern).</w:t>
      </w:r>
      <w:r>
        <w:t xml:space="preserve"> </w:t>
      </w:r>
      <w:r w:rsidR="00A16174">
        <w:t xml:space="preserve">Powder X-ray diffraction (XRD) characterization of the prepared sorbents was performed using </w:t>
      </w:r>
      <w:r w:rsidR="00A16174" w:rsidRPr="00A16174">
        <w:t>a Bruker D2 Phaser diff</w:t>
      </w:r>
      <w:r w:rsidR="00A16174">
        <w:t xml:space="preserve">ractometer </w:t>
      </w:r>
      <w:r w:rsidR="00A16174" w:rsidRPr="00A16174">
        <w:t>with Cu-Kα radiation</w:t>
      </w:r>
      <w:r w:rsidR="00A16174">
        <w:t xml:space="preserve"> </w:t>
      </w:r>
      <w:r w:rsidR="002F5B32" w:rsidRPr="002F5B32">
        <w:t xml:space="preserve">to </w:t>
      </w:r>
      <w:r w:rsidR="002A57D2">
        <w:t xml:space="preserve">determine the phase composition and </w:t>
      </w:r>
      <w:r w:rsidR="002F5B32" w:rsidRPr="002F5B32">
        <w:t xml:space="preserve">verify the formation of crystalline </w:t>
      </w:r>
      <w:r w:rsidR="004A14EA">
        <w:t>Li</w:t>
      </w:r>
      <w:r w:rsidR="004A14EA" w:rsidRPr="000D7060">
        <w:rPr>
          <w:vertAlign w:val="subscript"/>
        </w:rPr>
        <w:t>4</w:t>
      </w:r>
      <w:r w:rsidR="004A14EA">
        <w:t>SiO</w:t>
      </w:r>
      <w:r w:rsidR="004A14EA" w:rsidRPr="000D7060">
        <w:rPr>
          <w:vertAlign w:val="subscript"/>
        </w:rPr>
        <w:t>4</w:t>
      </w:r>
      <w:r w:rsidR="00A16174" w:rsidRPr="00A16174">
        <w:t xml:space="preserve">. The XRD patterns were </w:t>
      </w:r>
      <w:r w:rsidR="00A16174">
        <w:t>recorded in a 2θ range of 10-65°</w:t>
      </w:r>
      <w:r w:rsidR="00A16174" w:rsidRPr="00A16174">
        <w:t>.</w:t>
      </w:r>
      <w:r w:rsidR="004A14EA">
        <w:t xml:space="preserve"> The sorbents</w:t>
      </w:r>
      <w:r w:rsidR="00D42707" w:rsidRPr="00220A8C">
        <w:t xml:space="preserve"> </w:t>
      </w:r>
      <w:r w:rsidR="00BB3548">
        <w:t xml:space="preserve">particle size and </w:t>
      </w:r>
      <w:r w:rsidR="00D42707" w:rsidRPr="00220A8C">
        <w:t xml:space="preserve">morphology </w:t>
      </w:r>
      <w:r w:rsidR="007B7233" w:rsidRPr="00220A8C">
        <w:t>was</w:t>
      </w:r>
      <w:r w:rsidR="00D42707" w:rsidRPr="00220A8C">
        <w:t xml:space="preserve"> </w:t>
      </w:r>
      <w:r w:rsidR="007B7233" w:rsidRPr="00220A8C">
        <w:t>examined</w:t>
      </w:r>
      <w:r w:rsidR="00D42707" w:rsidRPr="00220A8C">
        <w:t xml:space="preserve"> by </w:t>
      </w:r>
      <w:r w:rsidR="00440698" w:rsidRPr="00220A8C">
        <w:t xml:space="preserve">scanning electron microscopy </w:t>
      </w:r>
      <w:r w:rsidR="00A83E95" w:rsidRPr="00220A8C">
        <w:t xml:space="preserve">(SEM) </w:t>
      </w:r>
      <w:r w:rsidR="00D42707" w:rsidRPr="00220A8C">
        <w:t xml:space="preserve">using a </w:t>
      </w:r>
      <w:r w:rsidR="00A83E95" w:rsidRPr="00220A8C">
        <w:t>FEI Quanta FEG 450</w:t>
      </w:r>
      <w:r w:rsidR="00D42707" w:rsidRPr="00220A8C">
        <w:t xml:space="preserve">. </w:t>
      </w:r>
      <w:r w:rsidR="004A14EA">
        <w:t>T</w:t>
      </w:r>
      <w:r w:rsidR="00390F24" w:rsidRPr="00220A8C">
        <w:t>he</w:t>
      </w:r>
      <w:r w:rsidR="00D42707" w:rsidRPr="00220A8C">
        <w:t xml:space="preserve"> samples were </w:t>
      </w:r>
      <w:r w:rsidR="004A14EA">
        <w:t xml:space="preserve">previously </w:t>
      </w:r>
      <w:r w:rsidR="00D42707" w:rsidRPr="00220A8C">
        <w:t>coated with</w:t>
      </w:r>
      <w:r w:rsidR="00390F24" w:rsidRPr="00220A8C">
        <w:t xml:space="preserve"> a homogeneous</w:t>
      </w:r>
      <w:r w:rsidR="00D42707" w:rsidRPr="00220A8C">
        <w:t xml:space="preserve"> </w:t>
      </w:r>
      <w:r w:rsidR="00390F24" w:rsidRPr="00220A8C">
        <w:t>Pt layer of 5-6 nm thickness to induce electro conductivity.</w:t>
      </w:r>
    </w:p>
    <w:p w14:paraId="5B493966" w14:textId="47586CFA" w:rsidR="00D42707" w:rsidRPr="00220A8C" w:rsidRDefault="00526CB4" w:rsidP="00D42707">
      <w:pPr>
        <w:pStyle w:val="CETheadingx"/>
      </w:pPr>
      <w:r w:rsidRPr="00220A8C">
        <w:t>CO</w:t>
      </w:r>
      <w:r w:rsidRPr="00220A8C">
        <w:rPr>
          <w:vertAlign w:val="subscript"/>
        </w:rPr>
        <w:t>2</w:t>
      </w:r>
      <w:r w:rsidRPr="00220A8C">
        <w:t xml:space="preserve"> a</w:t>
      </w:r>
      <w:r w:rsidR="00D42707" w:rsidRPr="00220A8C">
        <w:t xml:space="preserve">dsorption </w:t>
      </w:r>
      <w:r w:rsidR="008F0A95">
        <w:t>tests</w:t>
      </w:r>
    </w:p>
    <w:p w14:paraId="48A43EC9" w14:textId="5DF5DB44" w:rsidR="00F46780" w:rsidRPr="00220A8C" w:rsidRDefault="00B555FB" w:rsidP="00F46780">
      <w:pPr>
        <w:pStyle w:val="CETBodytext"/>
      </w:pPr>
      <w:r w:rsidRPr="00220A8C">
        <w:t xml:space="preserve">The </w:t>
      </w:r>
      <w:r w:rsidR="002463E3">
        <w:t>CO</w:t>
      </w:r>
      <w:r w:rsidR="002463E3" w:rsidRPr="002463E3">
        <w:rPr>
          <w:vertAlign w:val="subscript"/>
        </w:rPr>
        <w:t>2</w:t>
      </w:r>
      <w:r w:rsidR="002463E3">
        <w:t xml:space="preserve"> </w:t>
      </w:r>
      <w:r w:rsidRPr="00220A8C">
        <w:t>a</w:t>
      </w:r>
      <w:r w:rsidR="00D42707" w:rsidRPr="00220A8C">
        <w:t xml:space="preserve">dsorption </w:t>
      </w:r>
      <w:r w:rsidR="002463E3">
        <w:t>performance</w:t>
      </w:r>
      <w:r w:rsidR="00D42707" w:rsidRPr="00220A8C">
        <w:t xml:space="preserve"> of </w:t>
      </w:r>
      <w:r w:rsidR="002463E3">
        <w:t>Li</w:t>
      </w:r>
      <w:r w:rsidR="002463E3" w:rsidRPr="000D7060">
        <w:rPr>
          <w:vertAlign w:val="subscript"/>
        </w:rPr>
        <w:t>4</w:t>
      </w:r>
      <w:r w:rsidR="002463E3">
        <w:t>SiO</w:t>
      </w:r>
      <w:r w:rsidR="002463E3" w:rsidRPr="000D7060">
        <w:rPr>
          <w:vertAlign w:val="subscript"/>
        </w:rPr>
        <w:t>4</w:t>
      </w:r>
      <w:r w:rsidR="002463E3">
        <w:t xml:space="preserve"> sorbents was</w:t>
      </w:r>
      <w:r w:rsidR="00D42707" w:rsidRPr="00220A8C">
        <w:t xml:space="preserve"> </w:t>
      </w:r>
      <w:r w:rsidR="002463E3">
        <w:t>studied</w:t>
      </w:r>
      <w:r w:rsidR="00D42707" w:rsidRPr="00220A8C">
        <w:t xml:space="preserve"> </w:t>
      </w:r>
      <w:r w:rsidR="00AC7B2F">
        <w:t>by using</w:t>
      </w:r>
      <w:r w:rsidR="002463E3" w:rsidRPr="00220A8C">
        <w:t xml:space="preserve"> a thermogravimetric analyzer (TA Instruments TGA Q500)</w:t>
      </w:r>
      <w:r w:rsidR="00917373">
        <w:t xml:space="preserve"> operating at atmospheric pressure</w:t>
      </w:r>
      <w:r w:rsidR="002722BE" w:rsidRPr="00220A8C">
        <w:t xml:space="preserve">. </w:t>
      </w:r>
      <w:r w:rsidR="005E4F1C">
        <w:t>Dynamic adsorption/</w:t>
      </w:r>
      <w:r w:rsidR="005E4F1C" w:rsidRPr="005E4F1C">
        <w:t xml:space="preserve">desorption tests were </w:t>
      </w:r>
      <w:r w:rsidR="005E4F1C">
        <w:t>first carried out</w:t>
      </w:r>
      <w:r w:rsidR="005E4F1C" w:rsidRPr="005E4F1C">
        <w:t xml:space="preserve"> to </w:t>
      </w:r>
      <w:r w:rsidR="008013CA">
        <w:t>determine</w:t>
      </w:r>
      <w:r w:rsidR="005E4F1C" w:rsidRPr="005E4F1C">
        <w:t xml:space="preserve"> the adsorption temperature</w:t>
      </w:r>
      <w:r w:rsidR="008013CA">
        <w:t xml:space="preserve"> range for the subsequent isothermal adsorption tests</w:t>
      </w:r>
      <w:r w:rsidR="005E4F1C" w:rsidRPr="005E4F1C">
        <w:t xml:space="preserve">. </w:t>
      </w:r>
      <w:r w:rsidR="008013CA">
        <w:t>The s</w:t>
      </w:r>
      <w:r w:rsidR="005E4F1C" w:rsidRPr="005E4F1C">
        <w:t>amples were heat-treated from 40</w:t>
      </w:r>
      <w:r w:rsidR="008013CA">
        <w:t xml:space="preserve"> to 800 °</w:t>
      </w:r>
      <w:r w:rsidR="00FD6D2D">
        <w:t>C</w:t>
      </w:r>
      <w:r w:rsidR="005E4F1C" w:rsidRPr="005E4F1C">
        <w:t xml:space="preserve"> </w:t>
      </w:r>
      <w:r w:rsidR="00090EE5">
        <w:t>(h</w:t>
      </w:r>
      <w:r w:rsidR="005E4F1C" w:rsidRPr="005E4F1C">
        <w:t xml:space="preserve">eating rate of 5 </w:t>
      </w:r>
      <w:r w:rsidR="00FD6D2D">
        <w:t>°</w:t>
      </w:r>
      <w:r w:rsidR="005E4F1C" w:rsidRPr="005E4F1C">
        <w:t>C/min</w:t>
      </w:r>
      <w:r w:rsidR="00090EE5">
        <w:t>)</w:t>
      </w:r>
      <w:r w:rsidR="005E4F1C" w:rsidRPr="005E4F1C">
        <w:t xml:space="preserve"> under </w:t>
      </w:r>
      <w:r w:rsidR="00090EE5">
        <w:t xml:space="preserve">4 vol% </w:t>
      </w:r>
      <w:r w:rsidR="00090EE5" w:rsidRPr="005E4F1C">
        <w:t>CO</w:t>
      </w:r>
      <w:r w:rsidR="00090EE5" w:rsidRPr="00FD6D2D">
        <w:rPr>
          <w:vertAlign w:val="subscript"/>
        </w:rPr>
        <w:t>2</w:t>
      </w:r>
      <w:r w:rsidR="00090EE5" w:rsidRPr="005E4F1C">
        <w:t xml:space="preserve"> </w:t>
      </w:r>
      <w:r w:rsidR="005E4F1C" w:rsidRPr="005E4F1C">
        <w:t>gas flow (N</w:t>
      </w:r>
      <w:r w:rsidR="005E4F1C" w:rsidRPr="00090EE5">
        <w:rPr>
          <w:vertAlign w:val="subscript"/>
        </w:rPr>
        <w:t>2</w:t>
      </w:r>
      <w:r w:rsidR="005E4F1C" w:rsidRPr="005E4F1C">
        <w:t xml:space="preserve"> balance). </w:t>
      </w:r>
      <w:r w:rsidR="00306B77">
        <w:t>I</w:t>
      </w:r>
      <w:r w:rsidR="005E4F1C" w:rsidRPr="005E4F1C">
        <w:t>sothermal adsorption tests were</w:t>
      </w:r>
      <w:r w:rsidR="00306B77">
        <w:t xml:space="preserve"> then</w:t>
      </w:r>
      <w:r w:rsidR="005E4F1C" w:rsidRPr="005E4F1C">
        <w:t xml:space="preserve"> performed </w:t>
      </w:r>
      <w:r w:rsidR="00510FFA">
        <w:t>heating</w:t>
      </w:r>
      <w:r w:rsidR="00DE7DBD">
        <w:t xml:space="preserve"> </w:t>
      </w:r>
      <w:r w:rsidR="00306B77">
        <w:t>e</w:t>
      </w:r>
      <w:r w:rsidR="002463E3">
        <w:t>ach</w:t>
      </w:r>
      <w:r w:rsidR="002722BE" w:rsidRPr="00220A8C">
        <w:t xml:space="preserve"> </w:t>
      </w:r>
      <w:r w:rsidR="00510FFA">
        <w:t>sorbent</w:t>
      </w:r>
      <w:r w:rsidR="00D42707" w:rsidRPr="00220A8C">
        <w:t xml:space="preserve"> (</w:t>
      </w:r>
      <w:r w:rsidR="00F64D6A" w:rsidRPr="00220A8C">
        <w:t xml:space="preserve">about </w:t>
      </w:r>
      <w:r w:rsidR="002A57D2">
        <w:t>25</w:t>
      </w:r>
      <w:r w:rsidR="00D42707" w:rsidRPr="00220A8C">
        <w:t xml:space="preserve"> mg) </w:t>
      </w:r>
      <w:r w:rsidR="00BF4A31" w:rsidRPr="00BF4A31">
        <w:t xml:space="preserve">to the selected adsorption temperature </w:t>
      </w:r>
      <w:r w:rsidR="00BF4A31">
        <w:t>(varied between 470 and 570 °C)</w:t>
      </w:r>
      <w:r w:rsidR="00E05478">
        <w:t xml:space="preserve"> </w:t>
      </w:r>
      <w:r w:rsidR="00D42707" w:rsidRPr="00220A8C">
        <w:t>under a nitrogen flow of 100 mL/min</w:t>
      </w:r>
      <w:r w:rsidR="00510FFA">
        <w:t xml:space="preserve"> </w:t>
      </w:r>
      <w:r w:rsidR="00E5273B">
        <w:t>at</w:t>
      </w:r>
      <w:r w:rsidR="00510FFA">
        <w:t xml:space="preserve"> 20 °C/min. </w:t>
      </w:r>
      <w:r w:rsidR="00E05478">
        <w:t xml:space="preserve">When the sample </w:t>
      </w:r>
      <w:r w:rsidR="00E05478" w:rsidRPr="00E05478">
        <w:t>weight became stable</w:t>
      </w:r>
      <w:r w:rsidR="00E05478">
        <w:t>,</w:t>
      </w:r>
      <w:r w:rsidR="00756A27" w:rsidRPr="00756A27">
        <w:t xml:space="preserve"> the total feed gas flow rate (100 mL/min) was changed to a CO</w:t>
      </w:r>
      <w:r w:rsidR="00756A27" w:rsidRPr="00756A27">
        <w:rPr>
          <w:vertAlign w:val="subscript"/>
        </w:rPr>
        <w:t>2</w:t>
      </w:r>
      <w:r w:rsidR="00756A27" w:rsidRPr="00756A27">
        <w:t>/N</w:t>
      </w:r>
      <w:r w:rsidR="00756A27" w:rsidRPr="00756A27">
        <w:rPr>
          <w:vertAlign w:val="subscript"/>
        </w:rPr>
        <w:t>2</w:t>
      </w:r>
      <w:r w:rsidR="00756A27" w:rsidRPr="00756A27">
        <w:t xml:space="preserve"> mixture containing 4 vol % of CO</w:t>
      </w:r>
      <w:r w:rsidR="00756A27" w:rsidRPr="00756A27">
        <w:rPr>
          <w:vertAlign w:val="subscript"/>
        </w:rPr>
        <w:t>2</w:t>
      </w:r>
      <w:r w:rsidR="00756A27" w:rsidRPr="00756A27">
        <w:t xml:space="preserve"> and maintained for 120 min.</w:t>
      </w:r>
      <w:r w:rsidR="00E5273B">
        <w:t xml:space="preserve"> </w:t>
      </w:r>
      <w:r w:rsidR="009C3995">
        <w:t xml:space="preserve">The </w:t>
      </w:r>
      <w:r w:rsidR="00383E45">
        <w:t xml:space="preserve">samples </w:t>
      </w:r>
      <w:r w:rsidR="009C3995">
        <w:t>weight increase owed to CO</w:t>
      </w:r>
      <w:r w:rsidR="009C3995" w:rsidRPr="009C3995">
        <w:rPr>
          <w:vertAlign w:val="subscript"/>
        </w:rPr>
        <w:t>2</w:t>
      </w:r>
      <w:r w:rsidR="009C3995">
        <w:t xml:space="preserve"> sorption was registered as a function of time, and the </w:t>
      </w:r>
      <w:r w:rsidR="00CF3BE3">
        <w:t xml:space="preserve">percentage </w:t>
      </w:r>
      <w:r w:rsidR="009C3995">
        <w:t>conversion of Li</w:t>
      </w:r>
      <w:r w:rsidR="009C3995" w:rsidRPr="000D7060">
        <w:rPr>
          <w:vertAlign w:val="subscript"/>
        </w:rPr>
        <w:t>4</w:t>
      </w:r>
      <w:r w:rsidR="009C3995">
        <w:t>SiO</w:t>
      </w:r>
      <w:r w:rsidR="009C3995" w:rsidRPr="000D7060">
        <w:rPr>
          <w:vertAlign w:val="subscript"/>
        </w:rPr>
        <w:t>4</w:t>
      </w:r>
      <w:r w:rsidR="00AC7B2F">
        <w:t xml:space="preserve"> was calculated</w:t>
      </w:r>
      <w:r w:rsidR="00FC3952">
        <w:t xml:space="preserve"> </w:t>
      </w:r>
      <w:r w:rsidR="00AC7B2F">
        <w:t>as in</w:t>
      </w:r>
      <w:r w:rsidR="00F46780">
        <w:t xml:space="preserve"> Eq(2), </w:t>
      </w:r>
      <w:r w:rsidR="00F46780" w:rsidRPr="00220A8C">
        <w:t xml:space="preserve">where </w:t>
      </w:r>
      <w:r w:rsidR="00F46780">
        <w:rPr>
          <w:rFonts w:cs="Arial"/>
        </w:rPr>
        <w:t>Δ</w:t>
      </w:r>
      <w:r w:rsidR="00F46780">
        <w:t>W</w:t>
      </w:r>
      <w:r w:rsidR="00F46780" w:rsidRPr="00220A8C">
        <w:t xml:space="preserve"> is the </w:t>
      </w:r>
      <w:r w:rsidR="00F46780">
        <w:t xml:space="preserve">percentage weight change of the sorbent after 120 min of adsorption, and </w:t>
      </w:r>
      <w:r w:rsidR="00F46780">
        <w:rPr>
          <w:rFonts w:cs="Arial"/>
        </w:rPr>
        <w:t>r</w:t>
      </w:r>
      <w:r w:rsidR="00F46780" w:rsidRPr="00B44EAE">
        <w:rPr>
          <w:vertAlign w:val="subscript"/>
        </w:rPr>
        <w:t>s</w:t>
      </w:r>
      <w:r w:rsidR="00F46780">
        <w:t xml:space="preserve"> is the stoichiometric CO</w:t>
      </w:r>
      <w:r w:rsidR="00F46780" w:rsidRPr="00A47E9B">
        <w:rPr>
          <w:vertAlign w:val="subscript"/>
        </w:rPr>
        <w:t>2</w:t>
      </w:r>
      <w:r w:rsidR="00F46780">
        <w:t xml:space="preserve"> uptake by Li</w:t>
      </w:r>
      <w:r w:rsidR="00F46780" w:rsidRPr="000D7060">
        <w:rPr>
          <w:vertAlign w:val="subscript"/>
        </w:rPr>
        <w:t>4</w:t>
      </w:r>
      <w:r w:rsidR="00F46780">
        <w:t>SiO</w:t>
      </w:r>
      <w:r w:rsidR="00F46780" w:rsidRPr="000D7060">
        <w:rPr>
          <w:vertAlign w:val="subscript"/>
        </w:rPr>
        <w:t>4</w:t>
      </w:r>
      <w:r w:rsidR="00F46780">
        <w:t xml:space="preserve"> (0.367 g CO</w:t>
      </w:r>
      <w:r w:rsidR="00F46780" w:rsidRPr="00A47E9B">
        <w:rPr>
          <w:vertAlign w:val="subscript"/>
        </w:rPr>
        <w:t>2</w:t>
      </w:r>
      <w:r w:rsidR="00F46780">
        <w:t>/g Li</w:t>
      </w:r>
      <w:r w:rsidR="00F46780" w:rsidRPr="000D7060">
        <w:rPr>
          <w:vertAlign w:val="subscript"/>
        </w:rPr>
        <w:t>4</w:t>
      </w:r>
      <w:r w:rsidR="00F46780">
        <w:t>SiO</w:t>
      </w:r>
      <w:r w:rsidR="00F46780" w:rsidRPr="000D7060">
        <w:rPr>
          <w:vertAlign w:val="subscript"/>
        </w:rPr>
        <w:t>4</w:t>
      </w:r>
      <w:r w:rsidR="00F46780">
        <w:t>)</w:t>
      </w:r>
      <w:r w:rsidR="00F46780" w:rsidRPr="00220A8C">
        <w:t>.</w:t>
      </w:r>
      <w:r w:rsidR="00383E45" w:rsidRPr="00383E45">
        <w:t xml:space="preserve"> </w:t>
      </w:r>
      <w:r w:rsidR="00383E45" w:rsidRPr="006F65F6">
        <w:t>Besides, to assess the regeneration of the sorbents, the temperature</w:t>
      </w:r>
      <w:r w:rsidR="00670D0E" w:rsidRPr="006F65F6">
        <w:t xml:space="preserve"> was raised</w:t>
      </w:r>
      <w:r w:rsidR="00383E45" w:rsidRPr="006F65F6">
        <w:t xml:space="preserve"> to 660 °C (at </w:t>
      </w:r>
      <w:r w:rsidR="00670D0E" w:rsidRPr="006F65F6">
        <w:t>20 °C/min), switching the feed gas to pure N</w:t>
      </w:r>
      <w:r w:rsidR="00670D0E" w:rsidRPr="006F65F6">
        <w:rPr>
          <w:vertAlign w:val="subscript"/>
        </w:rPr>
        <w:t>2</w:t>
      </w:r>
      <w:r w:rsidR="00670D0E" w:rsidRPr="006F65F6">
        <w:t>, and maintained for 20 min.</w:t>
      </w:r>
    </w:p>
    <w:tbl>
      <w:tblPr>
        <w:tblW w:w="5000" w:type="pct"/>
        <w:tblLook w:val="04A0" w:firstRow="1" w:lastRow="0" w:firstColumn="1" w:lastColumn="0" w:noHBand="0" w:noVBand="1"/>
      </w:tblPr>
      <w:tblGrid>
        <w:gridCol w:w="7985"/>
        <w:gridCol w:w="802"/>
      </w:tblGrid>
      <w:tr w:rsidR="007949D9" w:rsidRPr="00220A8C" w14:paraId="3EF33122" w14:textId="77777777" w:rsidTr="00610429">
        <w:tc>
          <w:tcPr>
            <w:tcW w:w="7985" w:type="dxa"/>
            <w:shd w:val="clear" w:color="auto" w:fill="auto"/>
            <w:vAlign w:val="center"/>
          </w:tcPr>
          <w:p w14:paraId="737F5D92" w14:textId="128B389B" w:rsidR="007949D9" w:rsidRPr="00220A8C" w:rsidRDefault="00C9008E" w:rsidP="009B0109">
            <w:pPr>
              <w:pStyle w:val="CETEquation"/>
              <w:spacing w:before="0" w:after="0"/>
              <w:rPr>
                <w:lang w:val="en-US"/>
              </w:rPr>
            </w:pPr>
            <m:oMathPara>
              <m:oMathParaPr>
                <m:jc m:val="left"/>
              </m:oMathParaP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Li4SiO4</m:t>
                    </m:r>
                  </m:sub>
                </m:sSub>
                <m:r>
                  <w:rPr>
                    <w:rFonts w:ascii="Cambria Math" w:hAnsi="Cambria Math"/>
                    <w:lang w:val="en-US"/>
                  </w:rPr>
                  <m:t xml:space="preserve"> (%)=</m:t>
                </m:r>
                <m:f>
                  <m:fPr>
                    <m:ctrlPr>
                      <w:rPr>
                        <w:rFonts w:ascii="Cambria Math" w:hAnsi="Cambria Math"/>
                        <w:i/>
                        <w:lang w:val="en-US"/>
                      </w:rPr>
                    </m:ctrlPr>
                  </m:fPr>
                  <m:num>
                    <m:r>
                      <w:rPr>
                        <w:rFonts w:ascii="Cambria Math" w:hAnsi="Cambria Math"/>
                        <w:lang w:val="en-US"/>
                      </w:rPr>
                      <m:t>∆W</m:t>
                    </m:r>
                  </m:num>
                  <m:den>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s</m:t>
                        </m:r>
                      </m:sub>
                    </m:sSub>
                  </m:den>
                </m:f>
              </m:oMath>
            </m:oMathPara>
          </w:p>
        </w:tc>
        <w:tc>
          <w:tcPr>
            <w:tcW w:w="802" w:type="dxa"/>
            <w:shd w:val="clear" w:color="auto" w:fill="auto"/>
            <w:vAlign w:val="center"/>
          </w:tcPr>
          <w:p w14:paraId="7835B1CE" w14:textId="23B3839E" w:rsidR="007949D9" w:rsidRPr="00220A8C" w:rsidRDefault="007949D9" w:rsidP="00A354CC">
            <w:pPr>
              <w:pStyle w:val="CETEquation"/>
              <w:spacing w:before="0" w:after="0"/>
              <w:jc w:val="right"/>
              <w:rPr>
                <w:lang w:val="en-US"/>
              </w:rPr>
            </w:pPr>
            <w:r w:rsidRPr="00220A8C">
              <w:rPr>
                <w:lang w:val="en-US"/>
              </w:rPr>
              <w:t>(</w:t>
            </w:r>
            <w:r w:rsidR="00585F8B" w:rsidRPr="00220A8C">
              <w:rPr>
                <w:lang w:val="en-US"/>
              </w:rPr>
              <w:t>2</w:t>
            </w:r>
            <w:r w:rsidRPr="00220A8C">
              <w:rPr>
                <w:lang w:val="en-US"/>
              </w:rPr>
              <w:t>)</w:t>
            </w:r>
          </w:p>
        </w:tc>
      </w:tr>
    </w:tbl>
    <w:p w14:paraId="055F5B64" w14:textId="568B80D3" w:rsidR="004A5DD7" w:rsidRPr="00220A8C" w:rsidRDefault="004A5DD7" w:rsidP="004A5DD7">
      <w:pPr>
        <w:pStyle w:val="CETheadingx"/>
      </w:pPr>
      <w:r w:rsidRPr="00220A8C">
        <w:lastRenderedPageBreak/>
        <w:t>Experimental design</w:t>
      </w:r>
      <w:r w:rsidR="00160F73">
        <w:t xml:space="preserve"> methodology</w:t>
      </w:r>
    </w:p>
    <w:p w14:paraId="1EA39A33" w14:textId="51D8B244" w:rsidR="004A5DD7" w:rsidRDefault="00FC2090" w:rsidP="00AC4230">
      <w:pPr>
        <w:pStyle w:val="CETBodytext"/>
      </w:pPr>
      <w:r>
        <w:t>CO</w:t>
      </w:r>
      <w:r w:rsidRPr="002463E3">
        <w:rPr>
          <w:vertAlign w:val="subscript"/>
        </w:rPr>
        <w:t>2</w:t>
      </w:r>
      <w:r>
        <w:t xml:space="preserve"> </w:t>
      </w:r>
      <w:r w:rsidRPr="00220A8C">
        <w:t xml:space="preserve">adsorption </w:t>
      </w:r>
      <w:r>
        <w:t>properties</w:t>
      </w:r>
      <w:r w:rsidRPr="00220A8C">
        <w:t xml:space="preserve"> of </w:t>
      </w:r>
      <w:r>
        <w:t>the produced Li</w:t>
      </w:r>
      <w:r w:rsidRPr="000D7060">
        <w:rPr>
          <w:vertAlign w:val="subscript"/>
        </w:rPr>
        <w:t>4</w:t>
      </w:r>
      <w:r>
        <w:t>SiO</w:t>
      </w:r>
      <w:r w:rsidRPr="000D7060">
        <w:rPr>
          <w:vertAlign w:val="subscript"/>
        </w:rPr>
        <w:t>4</w:t>
      </w:r>
      <w:r>
        <w:t xml:space="preserve"> sorbents were assessed </w:t>
      </w:r>
      <w:r w:rsidR="008F188E">
        <w:t>applying</w:t>
      </w:r>
      <w:r>
        <w:t xml:space="preserve"> the </w:t>
      </w:r>
      <w:r w:rsidRPr="00220A8C">
        <w:t>Design of Experiment</w:t>
      </w:r>
      <w:r>
        <w:t>s</w:t>
      </w:r>
      <w:r w:rsidRPr="00220A8C">
        <w:t xml:space="preserve"> (DoE)</w:t>
      </w:r>
      <w:r>
        <w:t xml:space="preserve"> methodology</w:t>
      </w:r>
      <w:r w:rsidR="00BE2F17">
        <w:t xml:space="preserve">. </w:t>
      </w:r>
      <w:r w:rsidR="008F188E">
        <w:t>A</w:t>
      </w:r>
      <w:r w:rsidR="008F188E" w:rsidRPr="008F188E">
        <w:t xml:space="preserve"> Response Surface Method (RSM) DoE was developed </w:t>
      </w:r>
      <w:r w:rsidR="008F188E" w:rsidRPr="00220A8C">
        <w:t>in order to identify possible non-linear interactions between the</w:t>
      </w:r>
      <w:r w:rsidR="005C33AF">
        <w:t xml:space="preserve"> sorbent</w:t>
      </w:r>
      <w:r w:rsidR="008F188E">
        <w:t xml:space="preserve"> synthesis conditions and the adsorption operating conditions</w:t>
      </w:r>
      <w:r w:rsidR="008F188E" w:rsidRPr="00220A8C">
        <w:t>.</w:t>
      </w:r>
      <w:r w:rsidR="00EB4C05">
        <w:t xml:space="preserve"> </w:t>
      </w:r>
      <w:r w:rsidR="00C05DC7" w:rsidRPr="00220A8C">
        <w:t xml:space="preserve">The experimental design was performed according to </w:t>
      </w:r>
      <w:r w:rsidR="00DC21EA" w:rsidRPr="00220A8C">
        <w:t>a 2</w:t>
      </w:r>
      <w:r w:rsidR="00DC21EA" w:rsidRPr="00220A8C">
        <w:rPr>
          <w:vertAlign w:val="superscript"/>
        </w:rPr>
        <w:t>2</w:t>
      </w:r>
      <w:r w:rsidR="00DC21EA" w:rsidRPr="00220A8C">
        <w:t xml:space="preserve"> full-factorial randomized Central Composite Design (CCD) with 1 replicate, 4 axial points</w:t>
      </w:r>
      <w:r w:rsidR="00322B41">
        <w:t>,</w:t>
      </w:r>
      <w:r w:rsidR="00DC21EA" w:rsidRPr="00220A8C">
        <w:t xml:space="preserve"> and </w:t>
      </w:r>
      <w:r w:rsidR="00362214">
        <w:t>4</w:t>
      </w:r>
      <w:r w:rsidR="00DC21EA" w:rsidRPr="00220A8C">
        <w:t xml:space="preserve"> replicates at the center point</w:t>
      </w:r>
      <w:r w:rsidR="00322B41">
        <w:t xml:space="preserve"> using t</w:t>
      </w:r>
      <w:r w:rsidR="00EC2993" w:rsidRPr="00220A8C">
        <w:t>he software Design Expert</w:t>
      </w:r>
      <w:r w:rsidR="00EC2993" w:rsidRPr="005D4A46">
        <w:rPr>
          <w:vertAlign w:val="superscript"/>
        </w:rPr>
        <w:t>®</w:t>
      </w:r>
      <w:r w:rsidR="00EC2993" w:rsidRPr="00220A8C">
        <w:t xml:space="preserve"> 13 (Stat-Ease). </w:t>
      </w:r>
      <w:r w:rsidR="003E3C14">
        <w:t xml:space="preserve">The milling time (A) and the adsorption temperature (B) were selected </w:t>
      </w:r>
      <w:r w:rsidR="004C7508" w:rsidRPr="00220A8C">
        <w:t>as inde</w:t>
      </w:r>
      <w:r w:rsidR="00EC2993" w:rsidRPr="00220A8C">
        <w:t>p</w:t>
      </w:r>
      <w:r w:rsidR="004C7508" w:rsidRPr="00220A8C">
        <w:t xml:space="preserve">endent variables </w:t>
      </w:r>
      <w:r w:rsidR="0028165B" w:rsidRPr="00220A8C">
        <w:t>an</w:t>
      </w:r>
      <w:r w:rsidR="007003D8">
        <w:t>d were varied between a low (0 min; 470 °C) and a high level (120 min; 570 °C)</w:t>
      </w:r>
      <w:r w:rsidR="002D4F74" w:rsidRPr="00220A8C">
        <w:t>.</w:t>
      </w:r>
      <w:r w:rsidR="00D07B37" w:rsidRPr="00220A8C">
        <w:t xml:space="preserve"> </w:t>
      </w:r>
      <w:r w:rsidR="00861AD5">
        <w:t>A milling time greater than 120 min was not considered since preliminary tests have demonstrated that the sorbent morphology almost resulted unchanged, while the adsorption temperature range was chosen by the dynamic adsorption study</w:t>
      </w:r>
      <w:r w:rsidR="009B5B34">
        <w:t xml:space="preserve"> results</w:t>
      </w:r>
      <w:r w:rsidR="00861AD5">
        <w:t>.</w:t>
      </w:r>
      <w:r w:rsidR="00D07B37" w:rsidRPr="00220A8C">
        <w:t xml:space="preserve"> </w:t>
      </w:r>
      <w:r w:rsidR="002D4F74" w:rsidRPr="00220A8C">
        <w:t xml:space="preserve">The analyzed responses were </w:t>
      </w:r>
      <w:r w:rsidR="00861AD5">
        <w:t>Li</w:t>
      </w:r>
      <w:r w:rsidR="00861AD5" w:rsidRPr="000D7060">
        <w:rPr>
          <w:vertAlign w:val="subscript"/>
        </w:rPr>
        <w:t>4</w:t>
      </w:r>
      <w:r w:rsidR="00861AD5">
        <w:t>SiO</w:t>
      </w:r>
      <w:r w:rsidR="00861AD5" w:rsidRPr="000D7060">
        <w:rPr>
          <w:vertAlign w:val="subscript"/>
        </w:rPr>
        <w:t>4</w:t>
      </w:r>
      <w:r w:rsidR="00861AD5">
        <w:t xml:space="preserve"> conversion</w:t>
      </w:r>
      <w:r w:rsidR="00914EA0" w:rsidRPr="00914EA0">
        <w:rPr>
          <w:lang w:val="en-GB"/>
        </w:rPr>
        <w:t xml:space="preserve"> after 120 min of adsorption</w:t>
      </w:r>
      <w:r w:rsidR="002D4F74" w:rsidRPr="00220A8C">
        <w:t xml:space="preserve"> (Y</w:t>
      </w:r>
      <w:r w:rsidR="002D4F74" w:rsidRPr="00220A8C">
        <w:rPr>
          <w:vertAlign w:val="subscript"/>
        </w:rPr>
        <w:t>1</w:t>
      </w:r>
      <w:r w:rsidR="002D4F74" w:rsidRPr="00220A8C">
        <w:t xml:space="preserve">) and </w:t>
      </w:r>
      <w:r w:rsidR="00914EA0">
        <w:t>the i</w:t>
      </w:r>
      <w:r w:rsidR="00914EA0">
        <w:rPr>
          <w:lang w:val="en-GB"/>
        </w:rPr>
        <w:t>nitial adsorption rate (</w:t>
      </w:r>
      <w:r w:rsidR="00914EA0" w:rsidRPr="00220A8C">
        <w:t>Y</w:t>
      </w:r>
      <w:r w:rsidR="00914EA0" w:rsidRPr="00220A8C">
        <w:rPr>
          <w:vertAlign w:val="subscript"/>
        </w:rPr>
        <w:t>2</w:t>
      </w:r>
      <w:r w:rsidR="00914EA0" w:rsidRPr="00914EA0">
        <w:t>,</w:t>
      </w:r>
      <w:r w:rsidR="00914EA0" w:rsidRPr="00914EA0">
        <w:rPr>
          <w:lang w:val="en-GB"/>
        </w:rPr>
        <w:t xml:space="preserve"> measured between 0.5 and 5 min)</w:t>
      </w:r>
      <w:r w:rsidR="00AC4230" w:rsidRPr="00220A8C">
        <w:t>.</w:t>
      </w:r>
      <w:r w:rsidR="007D094E" w:rsidRPr="00220A8C">
        <w:t xml:space="preserve"> T</w:t>
      </w:r>
      <w:r w:rsidR="001D387A" w:rsidRPr="00220A8C">
        <w:t>he experimental design</w:t>
      </w:r>
      <w:r w:rsidR="00914EA0">
        <w:t xml:space="preserve"> matrix</w:t>
      </w:r>
      <w:r w:rsidR="001D387A" w:rsidRPr="00220A8C">
        <w:t xml:space="preserve"> consisted of 2</w:t>
      </w:r>
      <w:r w:rsidR="007D094E" w:rsidRPr="00220A8C">
        <w:rPr>
          <w:vertAlign w:val="superscript"/>
        </w:rPr>
        <w:t>2</w:t>
      </w:r>
      <w:r w:rsidR="007D094E" w:rsidRPr="00220A8C">
        <w:t xml:space="preserve"> + 4 + </w:t>
      </w:r>
      <w:r w:rsidR="00914EA0">
        <w:t>4</w:t>
      </w:r>
      <w:r w:rsidR="007D094E" w:rsidRPr="00220A8C">
        <w:t xml:space="preserve"> = 1</w:t>
      </w:r>
      <w:r w:rsidR="00914EA0">
        <w:t>2</w:t>
      </w:r>
      <w:r w:rsidR="0028165B" w:rsidRPr="00220A8C">
        <w:t xml:space="preserve"> runs.</w:t>
      </w:r>
    </w:p>
    <w:p w14:paraId="79166CD5" w14:textId="77777777" w:rsidR="00D42707" w:rsidRPr="00224829" w:rsidRDefault="00D42707" w:rsidP="00D42707">
      <w:pPr>
        <w:pStyle w:val="CETHeading1"/>
      </w:pPr>
      <w:r w:rsidRPr="00224829">
        <w:t>Results and discussion</w:t>
      </w:r>
    </w:p>
    <w:p w14:paraId="6C5A2D93" w14:textId="1C916D6D" w:rsidR="00D42707" w:rsidRPr="00220A8C" w:rsidRDefault="008B0C33" w:rsidP="00D42707">
      <w:pPr>
        <w:pStyle w:val="CETheadingx"/>
      </w:pPr>
      <w:r>
        <w:t>Sorbents characterization and CO</w:t>
      </w:r>
      <w:r w:rsidRPr="008B0C33">
        <w:rPr>
          <w:vertAlign w:val="subscript"/>
        </w:rPr>
        <w:t>2</w:t>
      </w:r>
      <w:r>
        <w:t xml:space="preserve"> adsorption tests</w:t>
      </w:r>
    </w:p>
    <w:p w14:paraId="6900BB23" w14:textId="3F55896E" w:rsidR="00A76385" w:rsidRDefault="006A5B64" w:rsidP="008B136F">
      <w:pPr>
        <w:pStyle w:val="CETBodytext"/>
      </w:pPr>
      <w:r>
        <w:t>For understanding the effect of the wet</w:t>
      </w:r>
      <w:r w:rsidR="00133A22">
        <w:t xml:space="preserve"> </w:t>
      </w:r>
      <w:r>
        <w:t xml:space="preserve">milling process </w:t>
      </w:r>
      <w:r w:rsidR="00FF3D79" w:rsidRPr="00FF3D79">
        <w:t xml:space="preserve">on the </w:t>
      </w:r>
      <w:r w:rsidR="00FF3D79">
        <w:t>sorbents fabrication method</w:t>
      </w:r>
      <w:r w:rsidR="00E907E2">
        <w:t>,</w:t>
      </w:r>
      <w:r w:rsidR="00FF3D79" w:rsidRPr="00FF3D79">
        <w:t xml:space="preserve"> </w:t>
      </w:r>
      <w:r w:rsidR="00FF3D79">
        <w:t xml:space="preserve">the particle size both of the reagent </w:t>
      </w:r>
      <w:r w:rsidR="00C40259">
        <w:t xml:space="preserve">powders before </w:t>
      </w:r>
      <w:r>
        <w:t>calcining</w:t>
      </w:r>
      <w:r w:rsidR="00FF3D79">
        <w:t xml:space="preserve"> and the final calcined sorbents</w:t>
      </w:r>
      <w:r>
        <w:t xml:space="preserve"> was analyzed</w:t>
      </w:r>
      <w:r w:rsidR="00FF3D79" w:rsidRPr="00FF3D79">
        <w:t>.</w:t>
      </w:r>
      <w:r w:rsidR="00C40259">
        <w:t xml:space="preserve"> </w:t>
      </w:r>
      <w:r w:rsidR="008B136F">
        <w:t>All the reagent mixtures have shown a normal particle size</w:t>
      </w:r>
      <w:r w:rsidR="002D4CC5" w:rsidRPr="002D4CC5">
        <w:t xml:space="preserve"> </w:t>
      </w:r>
      <w:r w:rsidR="002D4CC5">
        <w:t>distribution</w:t>
      </w:r>
      <w:r w:rsidR="008B136F">
        <w:t>. The reference sample (</w:t>
      </w:r>
      <w:r w:rsidR="0054774F">
        <w:t>milling time = 0 min</w:t>
      </w:r>
      <w:r w:rsidR="008B136F">
        <w:t xml:space="preserve">) </w:t>
      </w:r>
      <w:r w:rsidR="000665D1">
        <w:t xml:space="preserve">exhibits a median volume diameter (Dv50) of the particles of 2.50 </w:t>
      </w:r>
      <w:r w:rsidR="000665D1">
        <w:rPr>
          <w:rFonts w:cs="Arial"/>
        </w:rPr>
        <w:t>µ</w:t>
      </w:r>
      <w:r w:rsidR="000665D1">
        <w:t xml:space="preserve">m whereas the </w:t>
      </w:r>
      <w:r w:rsidR="00132D79">
        <w:t xml:space="preserve">samples </w:t>
      </w:r>
      <w:r w:rsidR="003F0B38">
        <w:t>grinded</w:t>
      </w:r>
      <w:r w:rsidR="00132D79">
        <w:t xml:space="preserve"> for 60 and 120 min present a Dv50 of 1.37 and 1.08 </w:t>
      </w:r>
      <w:r w:rsidR="00132D79">
        <w:rPr>
          <w:rFonts w:cs="Arial"/>
        </w:rPr>
        <w:t>µ</w:t>
      </w:r>
      <w:r w:rsidR="00132D79">
        <w:t>m</w:t>
      </w:r>
      <w:r w:rsidR="00B84BA4">
        <w:t xml:space="preserve">, respectively, </w:t>
      </w:r>
      <w:r w:rsidR="009F61F0">
        <w:t xml:space="preserve">showing a reduction in particle size </w:t>
      </w:r>
      <w:r w:rsidR="00525F0C">
        <w:t>with</w:t>
      </w:r>
      <w:r w:rsidR="00B84BA4">
        <w:t xml:space="preserve"> increasing the milling time</w:t>
      </w:r>
      <w:r w:rsidR="00525F0C">
        <w:t>, as expected</w:t>
      </w:r>
      <w:r w:rsidR="00B84BA4">
        <w:t>.</w:t>
      </w:r>
      <w:r w:rsidR="008E73DB">
        <w:t xml:space="preserve"> </w:t>
      </w:r>
      <w:r>
        <w:t>A</w:t>
      </w:r>
      <w:r w:rsidR="007E1B48">
        <w:t>fter the calcining step, SEM analysis was employed to observe</w:t>
      </w:r>
      <w:r w:rsidR="008E73DB">
        <w:t xml:space="preserve"> the particle size and</w:t>
      </w:r>
      <w:r w:rsidR="007E1B48">
        <w:t xml:space="preserve"> the</w:t>
      </w:r>
      <w:r w:rsidR="008E73DB">
        <w:t xml:space="preserve"> surface morphology </w:t>
      </w:r>
      <w:r w:rsidR="007E1B48">
        <w:t>of sorbents</w:t>
      </w:r>
      <w:r w:rsidR="00505494">
        <w:t>, and the results are reported in Figure 1</w:t>
      </w:r>
      <w:r w:rsidR="007E1B48">
        <w:t>.</w:t>
      </w:r>
      <w:r w:rsidR="003F2448">
        <w:t xml:space="preserve"> </w:t>
      </w:r>
      <w:r w:rsidR="00505494">
        <w:t xml:space="preserve">The </w:t>
      </w:r>
      <w:r w:rsidR="007A5028">
        <w:t>LC</w:t>
      </w:r>
      <w:r w:rsidR="00505494">
        <w:t xml:space="preserve"> </w:t>
      </w:r>
      <w:r w:rsidR="00463103">
        <w:t>sorbent</w:t>
      </w:r>
      <w:r w:rsidR="00505494">
        <w:t xml:space="preserve"> (Figure </w:t>
      </w:r>
      <w:r w:rsidR="00DB7EE4">
        <w:t>1</w:t>
      </w:r>
      <w:r w:rsidR="00505494">
        <w:t xml:space="preserve">a) displays </w:t>
      </w:r>
      <w:r w:rsidR="00DF7887">
        <w:t xml:space="preserve">agglomerates </w:t>
      </w:r>
      <w:r w:rsidR="00A41A48">
        <w:t>with sizes of about</w:t>
      </w:r>
      <w:r w:rsidR="00DF7887">
        <w:t xml:space="preserve"> 20-30 </w:t>
      </w:r>
      <w:r w:rsidR="00DF7887">
        <w:rPr>
          <w:rFonts w:cs="Arial"/>
        </w:rPr>
        <w:t>µ</w:t>
      </w:r>
      <w:r w:rsidR="00DF7887">
        <w:t xml:space="preserve">m </w:t>
      </w:r>
      <w:r w:rsidR="00A9497D">
        <w:t xml:space="preserve">of </w:t>
      </w:r>
      <w:r w:rsidR="00A41A48">
        <w:t xml:space="preserve">dense </w:t>
      </w:r>
      <w:r w:rsidR="00A9497D">
        <w:t xml:space="preserve">particles </w:t>
      </w:r>
      <w:r w:rsidR="00ED2FDF">
        <w:t xml:space="preserve">with lesser dimensions </w:t>
      </w:r>
      <w:r w:rsidR="00A41A48">
        <w:t xml:space="preserve">(2-5 </w:t>
      </w:r>
      <w:r w:rsidR="00A41A48">
        <w:rPr>
          <w:rFonts w:cs="Arial"/>
        </w:rPr>
        <w:t>µ</w:t>
      </w:r>
      <w:r w:rsidR="00A41A48">
        <w:t>m of diameter)</w:t>
      </w:r>
      <w:r w:rsidR="00133A22">
        <w:t xml:space="preserve">. For the wet </w:t>
      </w:r>
      <w:r w:rsidR="00382283">
        <w:t xml:space="preserve">milled </w:t>
      </w:r>
      <w:r w:rsidR="00463103">
        <w:t>sorbents</w:t>
      </w:r>
      <w:r w:rsidR="007A5028">
        <w:t xml:space="preserve"> LC-60 and LC-120</w:t>
      </w:r>
      <w:r w:rsidR="00DB7EE4">
        <w:t>, a reduction in the</w:t>
      </w:r>
      <w:r w:rsidR="00382283">
        <w:t xml:space="preserve"> d</w:t>
      </w:r>
      <w:r w:rsidR="00D306FD">
        <w:t xml:space="preserve">ense particles </w:t>
      </w:r>
      <w:r w:rsidR="00DB7EE4">
        <w:t xml:space="preserve">dimension </w:t>
      </w:r>
      <w:r w:rsidR="00D306FD">
        <w:t>can be observed with sizes even below 1</w:t>
      </w:r>
      <w:r w:rsidR="00D306FD" w:rsidRPr="00D306FD">
        <w:rPr>
          <w:rFonts w:cs="Arial"/>
        </w:rPr>
        <w:t xml:space="preserve"> </w:t>
      </w:r>
      <w:r w:rsidR="00D306FD">
        <w:rPr>
          <w:rFonts w:cs="Arial"/>
        </w:rPr>
        <w:t>µ</w:t>
      </w:r>
      <w:r w:rsidR="00D306FD">
        <w:t xml:space="preserve">m (Figures </w:t>
      </w:r>
      <w:r w:rsidR="00DB7EE4">
        <w:t>1</w:t>
      </w:r>
      <w:r w:rsidR="00126989">
        <w:t>b,c</w:t>
      </w:r>
      <w:r w:rsidR="009C69F3">
        <w:t>)</w:t>
      </w:r>
      <w:r w:rsidR="00CB3817">
        <w:t>,</w:t>
      </w:r>
      <w:r w:rsidR="009C69F3">
        <w:t xml:space="preserve"> </w:t>
      </w:r>
      <w:r w:rsidR="00CB3817">
        <w:t>evidencing</w:t>
      </w:r>
      <w:r w:rsidR="009C69F3">
        <w:t xml:space="preserve"> that the milling process could effectively reduce the particle size of the calcined sorbents. However, </w:t>
      </w:r>
      <w:r w:rsidR="00D80C7B">
        <w:t>the</w:t>
      </w:r>
      <w:r w:rsidR="004E5363">
        <w:t xml:space="preserve"> particles result agglomerated in</w:t>
      </w:r>
      <w:r w:rsidR="00CB3817">
        <w:t xml:space="preserve"> clusters approximately</w:t>
      </w:r>
      <w:r w:rsidR="00D80C7B">
        <w:t xml:space="preserve"> 20-30 </w:t>
      </w:r>
      <w:r w:rsidR="00D80C7B">
        <w:rPr>
          <w:rFonts w:cs="Arial"/>
        </w:rPr>
        <w:t>µ</w:t>
      </w:r>
      <w:r w:rsidR="00D80C7B">
        <w:t xml:space="preserve">m diameter </w:t>
      </w:r>
      <w:r w:rsidR="00376A93">
        <w:t>(as for the reference sorbent)</w:t>
      </w:r>
      <w:r w:rsidR="00CB3817">
        <w:t>, which is probably owed to</w:t>
      </w:r>
      <w:r w:rsidR="00035095">
        <w:t xml:space="preserve"> the </w:t>
      </w:r>
      <w:r w:rsidR="00035095" w:rsidRPr="00035095">
        <w:t>severe synthesis conditions</w:t>
      </w:r>
      <w:r w:rsidR="004E5363">
        <w:t xml:space="preserve"> (900 °C for 4 h)</w:t>
      </w:r>
      <w:r w:rsidR="00035095">
        <w:t xml:space="preserve"> </w:t>
      </w:r>
      <w:r w:rsidR="00CB3817">
        <w:t xml:space="preserve">that promote the </w:t>
      </w:r>
      <w:r w:rsidR="004E5363">
        <w:t>sintering of</w:t>
      </w:r>
      <w:r w:rsidR="00CB3817">
        <w:t xml:space="preserve"> the</w:t>
      </w:r>
      <w:r w:rsidR="004E5363">
        <w:t xml:space="preserve"> particles.</w:t>
      </w:r>
      <w:r w:rsidR="00D0146A">
        <w:t xml:space="preserve"> The phase composition of obtained sorbents was investigated by XRD analysis, and the diffraction patterns are shown in Figure 2. All the sorbents exhibit the </w:t>
      </w:r>
      <w:r w:rsidR="00D0146A" w:rsidRPr="00AC2D15">
        <w:t>characteristic peaks</w:t>
      </w:r>
      <w:r w:rsidR="00D0146A">
        <w:t xml:space="preserve"> </w:t>
      </w:r>
      <w:r w:rsidR="00D0146A" w:rsidRPr="00220A8C">
        <w:t xml:space="preserve">of </w:t>
      </w:r>
      <w:r w:rsidR="00D0146A">
        <w:t>Li</w:t>
      </w:r>
      <w:r w:rsidR="00D0146A" w:rsidRPr="000D7060">
        <w:rPr>
          <w:vertAlign w:val="subscript"/>
        </w:rPr>
        <w:t>4</w:t>
      </w:r>
      <w:r w:rsidR="00D0146A">
        <w:t>SiO</w:t>
      </w:r>
      <w:r w:rsidR="00D0146A" w:rsidRPr="000D7060">
        <w:rPr>
          <w:vertAlign w:val="subscript"/>
        </w:rPr>
        <w:t>4</w:t>
      </w:r>
      <w:r w:rsidR="00D0146A">
        <w:t xml:space="preserve"> crystalline phase, in</w:t>
      </w:r>
      <w:r w:rsidR="00D0146A" w:rsidRPr="009B4F07">
        <w:t xml:space="preserve">dicating that </w:t>
      </w:r>
      <w:r w:rsidR="00D0146A">
        <w:t>the reagents</w:t>
      </w:r>
      <w:r w:rsidR="00D0146A" w:rsidRPr="009B4F07">
        <w:t xml:space="preserve"> have reacted completely</w:t>
      </w:r>
      <w:r w:rsidR="00D0146A">
        <w:t xml:space="preserve">. The wet milled sorbents present </w:t>
      </w:r>
      <w:r w:rsidR="0018159A">
        <w:t>small</w:t>
      </w:r>
      <w:r w:rsidR="00D0146A">
        <w:t xml:space="preserve"> peaks attributed to </w:t>
      </w:r>
      <w:r w:rsidR="00D0146A" w:rsidRPr="00AC2D15">
        <w:t>Li</w:t>
      </w:r>
      <w:r w:rsidR="00D0146A" w:rsidRPr="003929D4">
        <w:rPr>
          <w:vertAlign w:val="subscript"/>
        </w:rPr>
        <w:t>2</w:t>
      </w:r>
      <w:r w:rsidR="00D0146A" w:rsidRPr="00AC2D15">
        <w:t>SiO</w:t>
      </w:r>
      <w:r w:rsidR="00D0146A" w:rsidRPr="003929D4">
        <w:rPr>
          <w:vertAlign w:val="subscript"/>
        </w:rPr>
        <w:t>3</w:t>
      </w:r>
      <w:r w:rsidR="00D0146A">
        <w:t xml:space="preserve"> and lithium zirconate</w:t>
      </w:r>
      <w:r w:rsidR="00D0146A" w:rsidRPr="00AC2D15">
        <w:t xml:space="preserve"> (Li</w:t>
      </w:r>
      <w:r w:rsidR="00D0146A" w:rsidRPr="003929D4">
        <w:rPr>
          <w:vertAlign w:val="subscript"/>
        </w:rPr>
        <w:t>2</w:t>
      </w:r>
      <w:r w:rsidR="00D0146A">
        <w:t>Zr</w:t>
      </w:r>
      <w:r w:rsidR="00D0146A" w:rsidRPr="00AC2D15">
        <w:t>O</w:t>
      </w:r>
      <w:r w:rsidR="00D0146A" w:rsidRPr="003929D4">
        <w:rPr>
          <w:vertAlign w:val="subscript"/>
        </w:rPr>
        <w:t>3</w:t>
      </w:r>
      <w:r w:rsidR="00D0146A">
        <w:t xml:space="preserve">), and their intensity </w:t>
      </w:r>
      <w:r w:rsidR="000A010E">
        <w:t xml:space="preserve">slightly </w:t>
      </w:r>
      <w:r w:rsidR="00D0146A">
        <w:t xml:space="preserve">increase with increasing grinding time. </w:t>
      </w:r>
      <w:r w:rsidR="00D0146A" w:rsidRPr="006F65F6">
        <w:t>The presence of Li</w:t>
      </w:r>
      <w:r w:rsidR="00D0146A" w:rsidRPr="006F65F6">
        <w:rPr>
          <w:vertAlign w:val="subscript"/>
        </w:rPr>
        <w:t>2</w:t>
      </w:r>
      <w:r w:rsidR="00D0146A" w:rsidRPr="006F65F6">
        <w:t>ZrO</w:t>
      </w:r>
      <w:r w:rsidR="00D0146A" w:rsidRPr="006F65F6">
        <w:rPr>
          <w:vertAlign w:val="subscript"/>
        </w:rPr>
        <w:t>3</w:t>
      </w:r>
      <w:r w:rsidR="00D0146A" w:rsidRPr="006F65F6">
        <w:t xml:space="preserve"> can be explained by considering the abrasion phenomena of the spheres in a planetary ball mill </w:t>
      </w:r>
      <w:r w:rsidR="00D0146A" w:rsidRPr="006F65F6">
        <w:fldChar w:fldCharType="begin" w:fldLock="1"/>
      </w:r>
      <w:r w:rsidR="00D0146A" w:rsidRPr="006F65F6">
        <w:instrText>ADDIN CSL_CITATION {"citationItems":[{"id":"ITEM-1","itemData":{"abstract":"Improving the energy storage performance of supercapacitor electrodes based on reduced graphene oxide (RGO) is one of the main subjects in this research field. However, when a zirconia bowl and zirconia balls were used for ball-mill mixing of the active materials for RGO supercapacitors, the energy storage performance deteriorated over time. Our study revealed that the source of the problem was the inclusion of zirconia bits from abrasion of the bowl and the balls during the ballmill mixing, which increased during a period of ~ 1 year. We probed two solutions to this problem: 1) hydrofluoric (HF) acid treatment of the RGO supercapacitors and 2) use of a tempered steel bowl and tempered steel balls for the mixing. For both cases, the energy storage performance was restored to near the initial level, showing a specific capacitance (Csp) of ~ 200 F/g. Our results should lead to progress in research on RGO supercapacitors.","author":[{"dropping-particle":"","family":"Song","given":"Dae Hoon","non-dropping-particle":"","parse-names":false,"suffix":""},{"dropping-particle":"","family":"Kim","given":"Jin Young","non-dropping-particle":"","parse-names":false,"suffix":""},{"dropping-particle":"","family":"Kahng","given":"Yung Ho","non-dropping-particle":"","parse-names":false,"suffix":""},{"dropping-particle":"","family":"Cho","given":"Hoonsung","non-dropping-particle":"","parse-names":false,"suffix":""},{"dropping-particle":"","family":"Kim","given":"Eung Sam","non-dropping-particle":"","parse-names":false,"suffix":""}],"container-title":"Journal of the Korean Physical Society","id":"ITEM-1","issue":"8","issued":{"date-parts":[["2018","4","1"]]},"page":"900-905","publisher":"The Korean Physical Society","title":"Long-Term Effects on Graphene Supercapacitors of Using a Zirconia Bowl and Zirconia Balls for Ball-Mill mixing of Active Materials","type":"article-journal","volume":"72"},"uris":["http://www.mendeley.com/documents/?uuid=f6cda4f5-bcb2-3141-8b0f-c3a037ded87c"]}],"mendeley":{"formattedCitation":"(Song et al., 2018)","plainTextFormattedCitation":"(Song et al., 2018)","previouslyFormattedCitation":"(Song et al., 2018)"},"properties":{"noteIndex":0},"schema":"https://github.com/citation-style-language/schema/raw/master/csl-citation.json"}</w:instrText>
      </w:r>
      <w:r w:rsidR="00D0146A" w:rsidRPr="006F65F6">
        <w:fldChar w:fldCharType="separate"/>
      </w:r>
      <w:r w:rsidR="00D0146A" w:rsidRPr="006F65F6">
        <w:rPr>
          <w:noProof/>
        </w:rPr>
        <w:t>(Song et al., 2018)</w:t>
      </w:r>
      <w:r w:rsidR="00D0146A" w:rsidRPr="006F65F6">
        <w:fldChar w:fldCharType="end"/>
      </w:r>
      <w:r w:rsidR="00043B50" w:rsidRPr="006F65F6">
        <w:t>: t</w:t>
      </w:r>
      <w:r w:rsidR="00D0146A" w:rsidRPr="006F65F6">
        <w:t>he ZrO</w:t>
      </w:r>
      <w:r w:rsidR="00D0146A" w:rsidRPr="006F65F6">
        <w:rPr>
          <w:vertAlign w:val="subscript"/>
        </w:rPr>
        <w:t>2</w:t>
      </w:r>
      <w:r w:rsidR="00D0146A" w:rsidRPr="006F65F6">
        <w:t xml:space="preserve"> released during grinding could react with Li</w:t>
      </w:r>
      <w:r w:rsidR="00D0146A" w:rsidRPr="006F65F6">
        <w:rPr>
          <w:vertAlign w:val="subscript"/>
        </w:rPr>
        <w:t>2</w:t>
      </w:r>
      <w:r w:rsidR="00D0146A" w:rsidRPr="006F65F6">
        <w:t>CO</w:t>
      </w:r>
      <w:r w:rsidR="00D0146A" w:rsidRPr="006F65F6">
        <w:rPr>
          <w:vertAlign w:val="subscript"/>
        </w:rPr>
        <w:t>3</w:t>
      </w:r>
      <w:r w:rsidR="00D0146A" w:rsidRPr="006F65F6">
        <w:t>, leading to the formation of Li</w:t>
      </w:r>
      <w:r w:rsidR="00D0146A" w:rsidRPr="006F65F6">
        <w:rPr>
          <w:vertAlign w:val="subscript"/>
        </w:rPr>
        <w:t>2</w:t>
      </w:r>
      <w:r w:rsidR="00D0146A" w:rsidRPr="006F65F6">
        <w:t>ZrO</w:t>
      </w:r>
      <w:r w:rsidR="00D0146A" w:rsidRPr="006F65F6">
        <w:rPr>
          <w:vertAlign w:val="subscript"/>
        </w:rPr>
        <w:t>3</w:t>
      </w:r>
      <w:r w:rsidR="00D0146A" w:rsidRPr="006F65F6">
        <w:t>.</w:t>
      </w:r>
      <w:r w:rsidR="00043B50" w:rsidRPr="006F65F6">
        <w:t xml:space="preserve"> </w:t>
      </w:r>
      <w:r w:rsidR="0090255E" w:rsidRPr="006F65F6">
        <w:t>Whereas, Li</w:t>
      </w:r>
      <w:r w:rsidR="0090255E" w:rsidRPr="006F65F6">
        <w:rPr>
          <w:vertAlign w:val="subscript"/>
        </w:rPr>
        <w:t>2</w:t>
      </w:r>
      <w:r w:rsidR="0090255E" w:rsidRPr="006F65F6">
        <w:t>SiO</w:t>
      </w:r>
      <w:r w:rsidR="0090255E" w:rsidRPr="006F65F6">
        <w:rPr>
          <w:vertAlign w:val="subscript"/>
        </w:rPr>
        <w:t>3</w:t>
      </w:r>
      <w:r w:rsidR="0090255E" w:rsidRPr="006F65F6">
        <w:t xml:space="preserve"> could be formed by sub-stoichiometric reaction between Li</w:t>
      </w:r>
      <w:r w:rsidR="0090255E" w:rsidRPr="006F65F6">
        <w:rPr>
          <w:vertAlign w:val="subscript"/>
        </w:rPr>
        <w:t>2</w:t>
      </w:r>
      <w:r w:rsidR="0090255E" w:rsidRPr="006F65F6">
        <w:t>CO</w:t>
      </w:r>
      <w:r w:rsidR="0090255E" w:rsidRPr="006F65F6">
        <w:rPr>
          <w:vertAlign w:val="subscript"/>
        </w:rPr>
        <w:t>3</w:t>
      </w:r>
      <w:r w:rsidR="0090255E" w:rsidRPr="006F65F6">
        <w:t xml:space="preserve"> and SiO</w:t>
      </w:r>
      <w:r w:rsidR="0090255E" w:rsidRPr="006F65F6">
        <w:rPr>
          <w:vertAlign w:val="subscript"/>
        </w:rPr>
        <w:t>2</w:t>
      </w:r>
      <w:r w:rsidR="002E0EA5" w:rsidRPr="006F65F6">
        <w:t>.</w:t>
      </w:r>
      <w:r w:rsidR="002200CF" w:rsidRPr="006F65F6">
        <w:t xml:space="preserve"> </w:t>
      </w:r>
      <w:r w:rsidR="00043B50" w:rsidRPr="006F65F6">
        <w:t>Lithium zirconate is capable of capturing CO</w:t>
      </w:r>
      <w:r w:rsidR="00043B50" w:rsidRPr="006F65F6">
        <w:rPr>
          <w:vertAlign w:val="subscript"/>
        </w:rPr>
        <w:t>2</w:t>
      </w:r>
      <w:r w:rsidR="00043B50" w:rsidRPr="006F65F6">
        <w:t xml:space="preserve"> at high temperature</w:t>
      </w:r>
      <w:r w:rsidR="0056202C" w:rsidRPr="006F65F6">
        <w:t xml:space="preserve"> </w:t>
      </w:r>
      <w:r w:rsidR="0056202C" w:rsidRPr="006F65F6">
        <w:fldChar w:fldCharType="begin" w:fldLock="1"/>
      </w:r>
      <w:r w:rsidR="000A5740" w:rsidRPr="006F65F6">
        <w:instrText>ADDIN CSL_CITATION {"citationItems":[{"id":"ITEM-1","itemData":{"ISSN":"1385-8947","author":[{"dropping-particle":"","family":"Hu","given":"Yingchao","non-dropping-particle":"","parse-names":false,"suffix":""},{"dropping-particle":"","family":"Liu","given":"Wenqiang","non-dropping-particle":"","parse-names":false,"suffix":""},{"dropping-particle":"","family":"Yang","given":"Yuandong","non-dropping-particle":"","parse-names":false,"suffix":""},{"dropping-particle":"","family":"Qu","given":"Mingyu","non-dropping-particle":"","parse-names":false,"suffix":""},{"dropping-particle":"","family":"Li","given":"Hailong","non-dropping-particle":"","parse-names":false,"suffix":""}],"container-title":"Chemical Engineering Journal","id":"ITEM-1","issue":"October 2018","issued":{"date-parts":[["2019"]]},"page":"604-625","publisher":"Elsevier","title":"CO&lt;sub&gt;2&lt;/sub&gt; capture by Li&lt;sub&gt;4&lt;/sub&gt;SiO&lt;sub&gt;4&lt;/sub&gt; sorbents and their applications: Current developments and new trends","type":"article-journal","volume":"359"},"uris":["http://www.mendeley.com/documents/?uuid=d6360f13-60fc-4e64-aa1b-08b40df2c7f0"]}],"mendeley":{"formattedCitation":"(Hu et al., 2019)","plainTextFormattedCitation":"(Hu et al., 2019)","previouslyFormattedCitation":"(Hu et al., 2019)"},"properties":{"noteIndex":0},"schema":"https://github.com/citation-style-language/schema/raw/master/csl-citation.json"}</w:instrText>
      </w:r>
      <w:r w:rsidR="0056202C" w:rsidRPr="006F65F6">
        <w:fldChar w:fldCharType="separate"/>
      </w:r>
      <w:r w:rsidR="0056202C" w:rsidRPr="006F65F6">
        <w:rPr>
          <w:noProof/>
        </w:rPr>
        <w:t>(Hu et al., 2019)</w:t>
      </w:r>
      <w:r w:rsidR="0056202C" w:rsidRPr="006F65F6">
        <w:fldChar w:fldCharType="end"/>
      </w:r>
      <w:r w:rsidR="00043B50" w:rsidRPr="006F65F6">
        <w:t xml:space="preserve">, </w:t>
      </w:r>
      <w:r w:rsidR="002200CF" w:rsidRPr="006F65F6">
        <w:t>and</w:t>
      </w:r>
      <w:r w:rsidR="00043B50" w:rsidRPr="006F65F6">
        <w:t xml:space="preserve"> its presence could </w:t>
      </w:r>
      <w:r w:rsidR="002200CF" w:rsidRPr="006F65F6">
        <w:t>improve</w:t>
      </w:r>
      <w:r w:rsidR="00043B50" w:rsidRPr="006F65F6">
        <w:t xml:space="preserve"> the overall sorption capacity of the sorbent.</w:t>
      </w:r>
    </w:p>
    <w:p w14:paraId="66D88F99" w14:textId="47B74697" w:rsidR="00D32250" w:rsidRPr="0015764F" w:rsidRDefault="00126989" w:rsidP="00D32250">
      <w:pPr>
        <w:pStyle w:val="CETBodytext"/>
        <w:spacing w:before="120"/>
      </w:pPr>
      <w:r>
        <w:rPr>
          <w:noProof/>
          <w:lang w:val="it-IT" w:eastAsia="it-IT"/>
        </w:rPr>
        <mc:AlternateContent>
          <mc:Choice Requires="wpg">
            <w:drawing>
              <wp:anchor distT="0" distB="0" distL="114300" distR="114300" simplePos="0" relativeHeight="251660288" behindDoc="0" locked="0" layoutInCell="1" allowOverlap="1" wp14:anchorId="5D1BE1BA" wp14:editId="4653AA4B">
                <wp:simplePos x="0" y="0"/>
                <wp:positionH relativeFrom="column">
                  <wp:posOffset>24765</wp:posOffset>
                </wp:positionH>
                <wp:positionV relativeFrom="paragraph">
                  <wp:posOffset>95885</wp:posOffset>
                </wp:positionV>
                <wp:extent cx="3987165" cy="240030"/>
                <wp:effectExtent l="0" t="0" r="13335" b="26670"/>
                <wp:wrapNone/>
                <wp:docPr id="8" name="Gruppo 8"/>
                <wp:cNvGraphicFramePr/>
                <a:graphic xmlns:a="http://schemas.openxmlformats.org/drawingml/2006/main">
                  <a:graphicData uri="http://schemas.microsoft.com/office/word/2010/wordprocessingGroup">
                    <wpg:wgp>
                      <wpg:cNvGrpSpPr/>
                      <wpg:grpSpPr>
                        <a:xfrm>
                          <a:off x="0" y="0"/>
                          <a:ext cx="3987165" cy="240030"/>
                          <a:chOff x="0" y="0"/>
                          <a:chExt cx="3987165" cy="240030"/>
                        </a:xfrm>
                      </wpg:grpSpPr>
                      <wps:wsp>
                        <wps:cNvPr id="22" name="Text Box 3"/>
                        <wps:cNvSpPr txBox="1">
                          <a:spLocks noChangeArrowheads="1"/>
                        </wps:cNvSpPr>
                        <wps:spPr bwMode="auto">
                          <a:xfrm>
                            <a:off x="1870710" y="0"/>
                            <a:ext cx="253365" cy="240030"/>
                          </a:xfrm>
                          <a:prstGeom prst="rect">
                            <a:avLst/>
                          </a:prstGeom>
                          <a:solidFill>
                            <a:schemeClr val="lt1">
                              <a:lumMod val="100000"/>
                              <a:lumOff val="0"/>
                            </a:schemeClr>
                          </a:solidFill>
                          <a:ln w="3175">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7D5593A" w14:textId="5E57CDF1" w:rsidR="00072372" w:rsidRPr="00F03FD4" w:rsidRDefault="00072372" w:rsidP="00D32250">
                              <w:pPr>
                                <w:jc w:val="center"/>
                                <w:rPr>
                                  <w:rFonts w:cs="Arial"/>
                                  <w:szCs w:val="18"/>
                                  <w:lang w:val="it-IT"/>
                                </w:rPr>
                              </w:pPr>
                              <w:r>
                                <w:rPr>
                                  <w:rFonts w:cs="Arial"/>
                                  <w:szCs w:val="18"/>
                                  <w:lang w:val="it-IT"/>
                                </w:rPr>
                                <w:t>b</w:t>
                              </w:r>
                            </w:p>
                          </w:txbxContent>
                        </wps:txbx>
                        <wps:bodyPr rot="0" vert="horz" wrap="square" lIns="91440" tIns="45720" rIns="91440" bIns="45720" anchor="t" anchorCtr="0" upright="1">
                          <a:noAutofit/>
                        </wps:bodyPr>
                      </wps:wsp>
                      <wps:wsp>
                        <wps:cNvPr id="23" name="Text Box 3"/>
                        <wps:cNvSpPr txBox="1">
                          <a:spLocks noChangeArrowheads="1"/>
                        </wps:cNvSpPr>
                        <wps:spPr bwMode="auto">
                          <a:xfrm>
                            <a:off x="3733800" y="0"/>
                            <a:ext cx="253365" cy="240030"/>
                          </a:xfrm>
                          <a:prstGeom prst="rect">
                            <a:avLst/>
                          </a:prstGeom>
                          <a:solidFill>
                            <a:schemeClr val="lt1">
                              <a:lumMod val="100000"/>
                              <a:lumOff val="0"/>
                            </a:schemeClr>
                          </a:solidFill>
                          <a:ln w="3175">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ECCC8C2" w14:textId="69A19290" w:rsidR="00072372" w:rsidRPr="00F03FD4" w:rsidRDefault="00072372" w:rsidP="00D32250">
                              <w:pPr>
                                <w:jc w:val="center"/>
                                <w:rPr>
                                  <w:rFonts w:cs="Arial"/>
                                  <w:szCs w:val="18"/>
                                  <w:lang w:val="it-IT"/>
                                </w:rPr>
                              </w:pPr>
                              <w:r>
                                <w:rPr>
                                  <w:rFonts w:cs="Arial"/>
                                  <w:szCs w:val="18"/>
                                  <w:lang w:val="it-IT"/>
                                </w:rPr>
                                <w:t>c</w:t>
                              </w:r>
                            </w:p>
                          </w:txbxContent>
                        </wps:txbx>
                        <wps:bodyPr rot="0" vert="horz" wrap="square" lIns="91440" tIns="45720" rIns="91440" bIns="45720" anchor="t" anchorCtr="0" upright="1">
                          <a:noAutofit/>
                        </wps:bodyPr>
                      </wps:wsp>
                      <wps:wsp>
                        <wps:cNvPr id="21" name="Text Box 3"/>
                        <wps:cNvSpPr txBox="1">
                          <a:spLocks noChangeArrowheads="1"/>
                        </wps:cNvSpPr>
                        <wps:spPr bwMode="auto">
                          <a:xfrm>
                            <a:off x="0" y="0"/>
                            <a:ext cx="253365" cy="240030"/>
                          </a:xfrm>
                          <a:prstGeom prst="rect">
                            <a:avLst/>
                          </a:prstGeom>
                          <a:solidFill>
                            <a:schemeClr val="lt1">
                              <a:lumMod val="100000"/>
                              <a:lumOff val="0"/>
                            </a:schemeClr>
                          </a:solidFill>
                          <a:ln w="3175">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13E8747" w14:textId="77777777" w:rsidR="00072372" w:rsidRPr="00F03FD4" w:rsidRDefault="00072372" w:rsidP="00D32250">
                              <w:pPr>
                                <w:jc w:val="center"/>
                                <w:rPr>
                                  <w:rFonts w:cs="Arial"/>
                                  <w:szCs w:val="18"/>
                                  <w:lang w:val="it-IT"/>
                                </w:rPr>
                              </w:pPr>
                              <w:r w:rsidRPr="00F03FD4">
                                <w:rPr>
                                  <w:rFonts w:cs="Arial"/>
                                  <w:szCs w:val="18"/>
                                  <w:lang w:val="it-IT"/>
                                </w:rPr>
                                <w:t>a</w:t>
                              </w:r>
                            </w:p>
                          </w:txbxContent>
                        </wps:txbx>
                        <wps:bodyPr rot="0" vert="horz" wrap="square" lIns="91440" tIns="45720" rIns="91440" bIns="45720" anchor="t" anchorCtr="0" upright="1">
                          <a:noAutofit/>
                        </wps:bodyPr>
                      </wps:wsp>
                    </wpg:wgp>
                  </a:graphicData>
                </a:graphic>
              </wp:anchor>
            </w:drawing>
          </mc:Choice>
          <mc:Fallback>
            <w:pict>
              <v:group w14:anchorId="5D1BE1BA" id="Gruppo 8" o:spid="_x0000_s1026" style="position:absolute;left:0;text-align:left;margin-left:1.95pt;margin-top:7.55pt;width:313.95pt;height:18.9pt;z-index:251660288" coordsize="39871,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">
                <v:shapetype id="_x0000_t202" coordsize="21600,21600" o:spt="202" path="m,l,21600r21600,l21600,xe">
                  <v:stroke joinstyle="miter"/>
                  <v:path gradientshapeok="t" o:connecttype="rect"/>
                </v:shapetype>
                <v:shape id="_x0000_s1027" type="#_x0000_t202" style="position:absolute;left:18707;width:2533;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" fillcolor="white [3201]" strokecolor="black [3200]" strokeweight=".25pt">
                  <v:shadow color="#868686"/>
                  <v:textbox>
                    <w:txbxContent>
                      <w:p w14:paraId="27D5593A" w14:textId="5E57CDF1" w:rsidR="00072372" w:rsidRPr="00F03FD4" w:rsidRDefault="00072372" w:rsidP="00D32250">
                        <w:pPr>
                          <w:jc w:val="center"/>
                          <w:rPr>
                            <w:rFonts w:cs="Arial"/>
                            <w:szCs w:val="18"/>
                            <w:lang w:val="it-IT"/>
                          </w:rPr>
                        </w:pPr>
                        <w:r>
                          <w:rPr>
                            <w:rFonts w:cs="Arial"/>
                            <w:szCs w:val="18"/>
                            <w:lang w:val="it-IT"/>
                          </w:rPr>
                          <w:t>b</w:t>
                        </w:r>
                      </w:p>
                    </w:txbxContent>
                  </v:textbox>
                </v:shape>
                <v:shape id="_x0000_s1028" type="#_x0000_t202" style="position:absolute;left:37338;width:2533;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" fillcolor="white [3201]" strokecolor="black [3200]" strokeweight=".25pt">
                  <v:shadow color="#868686"/>
                  <v:textbox>
                    <w:txbxContent>
                      <w:p w14:paraId="3ECCC8C2" w14:textId="69A19290" w:rsidR="00072372" w:rsidRPr="00F03FD4" w:rsidRDefault="00072372" w:rsidP="00D32250">
                        <w:pPr>
                          <w:jc w:val="center"/>
                          <w:rPr>
                            <w:rFonts w:cs="Arial"/>
                            <w:szCs w:val="18"/>
                            <w:lang w:val="it-IT"/>
                          </w:rPr>
                        </w:pPr>
                        <w:r>
                          <w:rPr>
                            <w:rFonts w:cs="Arial"/>
                            <w:szCs w:val="18"/>
                            <w:lang w:val="it-IT"/>
                          </w:rPr>
                          <w:t>c</w:t>
                        </w:r>
                      </w:p>
                    </w:txbxContent>
                  </v:textbox>
                </v:shape>
                <v:shape id="_x0000_s1029" type="#_x0000_t202" style="position:absolute;width:2533;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" fillcolor="white [3201]" strokecolor="black [3200]" strokeweight=".25pt">
                  <v:shadow color="#868686"/>
                  <v:textbox>
                    <w:txbxContent>
                      <w:p w14:paraId="513E8747" w14:textId="77777777" w:rsidR="00072372" w:rsidRPr="00F03FD4" w:rsidRDefault="00072372" w:rsidP="00D32250">
                        <w:pPr>
                          <w:jc w:val="center"/>
                          <w:rPr>
                            <w:rFonts w:cs="Arial"/>
                            <w:szCs w:val="18"/>
                            <w:lang w:val="it-IT"/>
                          </w:rPr>
                        </w:pPr>
                        <w:r w:rsidRPr="00F03FD4">
                          <w:rPr>
                            <w:rFonts w:cs="Arial"/>
                            <w:szCs w:val="18"/>
                            <w:lang w:val="it-IT"/>
                          </w:rPr>
                          <w:t>a</w:t>
                        </w:r>
                      </w:p>
                    </w:txbxContent>
                  </v:textbox>
                </v:shape>
              </v:group>
            </w:pict>
          </mc:Fallback>
        </mc:AlternateContent>
      </w:r>
      <w:r w:rsidR="00D32250" w:rsidRPr="00D74F07">
        <w:rPr>
          <w:noProof/>
          <w:lang w:val="it-IT" w:eastAsia="it-IT"/>
        </w:rPr>
        <w:drawing>
          <wp:inline distT="0" distB="0" distL="0" distR="0" wp14:anchorId="33C34646" wp14:editId="1CEACB7F">
            <wp:extent cx="1800000" cy="1292610"/>
            <wp:effectExtent l="0" t="0" r="0" b="3175"/>
            <wp:docPr id="18" name="Immagine 18" descr="E:\RTDA-PON\PROGETTO BITOSSI\SORBENTE\SEM\2022.10.19\LC_I_U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TDA-PON\PROGETTO BITOSSI\SORBENTE\SEM\2022.10.19\LC_I_U_001.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00000" cy="1292610"/>
                    </a:xfrm>
                    <a:prstGeom prst="rect">
                      <a:avLst/>
                    </a:prstGeom>
                    <a:noFill/>
                    <a:ln>
                      <a:noFill/>
                    </a:ln>
                  </pic:spPr>
                </pic:pic>
              </a:graphicData>
            </a:graphic>
          </wp:inline>
        </w:drawing>
      </w:r>
      <w:r w:rsidR="00D32250">
        <w:t xml:space="preserve">  </w:t>
      </w:r>
      <w:r w:rsidR="00D32250" w:rsidRPr="00D74F07">
        <w:rPr>
          <w:noProof/>
          <w:lang w:val="it-IT" w:eastAsia="it-IT"/>
        </w:rPr>
        <w:drawing>
          <wp:inline distT="0" distB="0" distL="0" distR="0" wp14:anchorId="70AFCE6E" wp14:editId="245D4092">
            <wp:extent cx="1800000" cy="1292610"/>
            <wp:effectExtent l="0" t="0" r="0" b="3175"/>
            <wp:docPr id="19" name="Immagine 19" descr="E:\RTDA-PON\PROGETTO BITOSSI\SORBENTE\SEM\2022.10.25\IND 60' zir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TDA-PON\PROGETTO BITOSSI\SORBENTE\SEM\2022.10.25\IND 60' zirc.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00000" cy="1292610"/>
                    </a:xfrm>
                    <a:prstGeom prst="rect">
                      <a:avLst/>
                    </a:prstGeom>
                    <a:noFill/>
                    <a:ln>
                      <a:noFill/>
                    </a:ln>
                  </pic:spPr>
                </pic:pic>
              </a:graphicData>
            </a:graphic>
          </wp:inline>
        </w:drawing>
      </w:r>
      <w:r w:rsidR="00D32250">
        <w:t xml:space="preserve">  </w:t>
      </w:r>
      <w:r w:rsidR="00D32250" w:rsidRPr="00D74F07">
        <w:rPr>
          <w:noProof/>
          <w:lang w:val="it-IT" w:eastAsia="it-IT"/>
        </w:rPr>
        <w:drawing>
          <wp:inline distT="0" distB="0" distL="0" distR="0" wp14:anchorId="4792DD94" wp14:editId="2882D531">
            <wp:extent cx="1800000" cy="1292610"/>
            <wp:effectExtent l="0" t="0" r="0" b="3175"/>
            <wp:docPr id="20" name="Immagine 20" descr="E:\RTDA-PON\PROGETTO BITOSSI\SORBENTE\SEM\2022.10.25\IND 120' zir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TDA-PON\PROGETTO BITOSSI\SORBENTE\SEM\2022.10.25\IND 120' zirc.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00000" cy="1292610"/>
                    </a:xfrm>
                    <a:prstGeom prst="rect">
                      <a:avLst/>
                    </a:prstGeom>
                    <a:noFill/>
                    <a:ln>
                      <a:noFill/>
                    </a:ln>
                  </pic:spPr>
                </pic:pic>
              </a:graphicData>
            </a:graphic>
          </wp:inline>
        </w:drawing>
      </w:r>
    </w:p>
    <w:p w14:paraId="1D09D480" w14:textId="358807C3" w:rsidR="00D32250" w:rsidRPr="00220A8C" w:rsidRDefault="00D32250" w:rsidP="00D32250">
      <w:pPr>
        <w:pStyle w:val="CETCaption"/>
        <w:spacing w:before="120"/>
        <w:rPr>
          <w:lang w:val="en-US"/>
        </w:rPr>
      </w:pPr>
      <w:r w:rsidRPr="00220A8C">
        <w:rPr>
          <w:lang w:val="en-US"/>
        </w:rPr>
        <w:t xml:space="preserve">Figure 1: SEM images of </w:t>
      </w:r>
      <w:r>
        <w:rPr>
          <w:lang w:val="en-US"/>
        </w:rPr>
        <w:t>Li</w:t>
      </w:r>
      <w:r w:rsidRPr="00D32250">
        <w:rPr>
          <w:vertAlign w:val="subscript"/>
          <w:lang w:val="en-US"/>
        </w:rPr>
        <w:t>4</w:t>
      </w:r>
      <w:r>
        <w:rPr>
          <w:lang w:val="en-US"/>
        </w:rPr>
        <w:t>SiO</w:t>
      </w:r>
      <w:r w:rsidRPr="00D32250">
        <w:rPr>
          <w:vertAlign w:val="subscript"/>
          <w:lang w:val="en-US"/>
        </w:rPr>
        <w:t>4</w:t>
      </w:r>
      <w:r>
        <w:rPr>
          <w:lang w:val="en-US"/>
        </w:rPr>
        <w:t xml:space="preserve"> sorbents</w:t>
      </w:r>
      <w:r w:rsidRPr="00220A8C">
        <w:rPr>
          <w:lang w:val="en-US"/>
        </w:rPr>
        <w:t xml:space="preserve">: (a) </w:t>
      </w:r>
      <w:r w:rsidR="00B412AD">
        <w:rPr>
          <w:lang w:val="en-US"/>
        </w:rPr>
        <w:t>LC,</w:t>
      </w:r>
      <w:r w:rsidR="007413FF">
        <w:rPr>
          <w:lang w:val="en-US"/>
        </w:rPr>
        <w:t xml:space="preserve"> (b</w:t>
      </w:r>
      <w:r w:rsidRPr="00220A8C">
        <w:rPr>
          <w:lang w:val="en-US"/>
        </w:rPr>
        <w:t>)</w:t>
      </w:r>
      <w:r w:rsidR="00B412AD">
        <w:rPr>
          <w:lang w:val="en-US"/>
        </w:rPr>
        <w:t xml:space="preserve"> LC-60, and</w:t>
      </w:r>
      <w:r w:rsidR="007413FF">
        <w:rPr>
          <w:lang w:val="en-US"/>
        </w:rPr>
        <w:t xml:space="preserve"> (c</w:t>
      </w:r>
      <w:r w:rsidRPr="00220A8C">
        <w:rPr>
          <w:lang w:val="en-US"/>
        </w:rPr>
        <w:t>)</w:t>
      </w:r>
      <w:r w:rsidR="00B412AD">
        <w:rPr>
          <w:lang w:val="en-US"/>
        </w:rPr>
        <w:t xml:space="preserve"> LC-120</w:t>
      </w:r>
      <w:r w:rsidRPr="00220A8C">
        <w:rPr>
          <w:lang w:val="en-US"/>
        </w:rPr>
        <w:t>.</w:t>
      </w:r>
    </w:p>
    <w:p w14:paraId="487B53E4" w14:textId="051EFA38" w:rsidR="004C1D8A" w:rsidRDefault="003C75B0" w:rsidP="004C1D8A">
      <w:pPr>
        <w:pStyle w:val="CETBodytext"/>
      </w:pPr>
      <w:r>
        <w:t>The temperature range for the</w:t>
      </w:r>
      <w:r w:rsidRPr="0009128F">
        <w:t xml:space="preserve"> </w:t>
      </w:r>
      <w:r>
        <w:t>experimental design CO</w:t>
      </w:r>
      <w:r w:rsidRPr="007F5BE8">
        <w:rPr>
          <w:vertAlign w:val="subscript"/>
        </w:rPr>
        <w:t>2</w:t>
      </w:r>
      <w:r>
        <w:t xml:space="preserve"> adsorption tests in 4 vol% CO</w:t>
      </w:r>
      <w:r w:rsidRPr="00D26B7D">
        <w:rPr>
          <w:vertAlign w:val="subscript"/>
        </w:rPr>
        <w:t>2</w:t>
      </w:r>
      <w:r>
        <w:t xml:space="preserve"> stream was selected by carrying out dynamic adsorption/desorption experiments on the produced sorbents at different milling times, and the thermograms are shown in Figure 3a. The weight of the sorbents starts to increase at 420-450 °C, then increases with raising the temperature and reaches the highest value at a temperature of about 575 °C. With a further increase in temperature, the weight of the sorbents decreases indicating that the desorption process occurs. Therefore, the isothermal tests were investigated in the range 470-570 °C to ensure the adsorption process occurs. The </w:t>
      </w:r>
      <w:r w:rsidRPr="0065528C">
        <w:t xml:space="preserve">CCD experimental design matrix for the </w:t>
      </w:r>
      <w:r>
        <w:t>CO</w:t>
      </w:r>
      <w:r w:rsidRPr="002463E3">
        <w:rPr>
          <w:vertAlign w:val="subscript"/>
        </w:rPr>
        <w:t>2</w:t>
      </w:r>
      <w:r>
        <w:t xml:space="preserve"> </w:t>
      </w:r>
      <w:r w:rsidRPr="00220A8C">
        <w:t>adsorption</w:t>
      </w:r>
      <w:r w:rsidRPr="0065528C">
        <w:t xml:space="preserve"> </w:t>
      </w:r>
      <w:r>
        <w:t>tests on Li</w:t>
      </w:r>
      <w:r w:rsidRPr="000D7060">
        <w:rPr>
          <w:vertAlign w:val="subscript"/>
        </w:rPr>
        <w:t>4</w:t>
      </w:r>
      <w:r>
        <w:t>SiO</w:t>
      </w:r>
      <w:r w:rsidRPr="000D7060">
        <w:rPr>
          <w:vertAlign w:val="subscript"/>
        </w:rPr>
        <w:t>4</w:t>
      </w:r>
      <w:r>
        <w:t xml:space="preserve"> sorbents </w:t>
      </w:r>
      <w:r w:rsidRPr="0065528C">
        <w:t xml:space="preserve">along with the responses results </w:t>
      </w:r>
      <w:r>
        <w:t>(Li</w:t>
      </w:r>
      <w:r w:rsidRPr="000D7060">
        <w:rPr>
          <w:vertAlign w:val="subscript"/>
        </w:rPr>
        <w:t>4</w:t>
      </w:r>
      <w:r>
        <w:t>SiO</w:t>
      </w:r>
      <w:r w:rsidRPr="000D7060">
        <w:rPr>
          <w:vertAlign w:val="subscript"/>
        </w:rPr>
        <w:t>4</w:t>
      </w:r>
      <w:r>
        <w:t xml:space="preserve"> conversion</w:t>
      </w:r>
      <w:r w:rsidRPr="00914EA0">
        <w:rPr>
          <w:lang w:val="en-GB"/>
        </w:rPr>
        <w:t xml:space="preserve"> after 120 min </w:t>
      </w:r>
      <w:r w:rsidRPr="0065528C">
        <w:t xml:space="preserve">and </w:t>
      </w:r>
      <w:r>
        <w:rPr>
          <w:lang w:val="en-GB"/>
        </w:rPr>
        <w:t xml:space="preserve">initial adsorption rate) </w:t>
      </w:r>
      <w:r w:rsidRPr="0065528C">
        <w:t xml:space="preserve">are reported in Table </w:t>
      </w:r>
      <w:r w:rsidR="00E458A4">
        <w:t>1</w:t>
      </w:r>
      <w:r w:rsidRPr="0065528C">
        <w:t>.</w:t>
      </w:r>
      <w:r>
        <w:t xml:space="preserve"> The adsorption performance results were also displayed in Figure 3b. All the sorbents exhibit a typical gas-solid </w:t>
      </w:r>
      <w:r>
        <w:lastRenderedPageBreak/>
        <w:t xml:space="preserve">reaction profile, with an initial fast reaction stage (high adsorption rates) followed by a slow reaction stage owed to </w:t>
      </w:r>
      <w:r w:rsidRPr="004E37B2">
        <w:t>an increase in the CO</w:t>
      </w:r>
      <w:r w:rsidRPr="004E37B2">
        <w:rPr>
          <w:vertAlign w:val="subscript"/>
        </w:rPr>
        <w:t>2</w:t>
      </w:r>
      <w:r w:rsidRPr="004E37B2">
        <w:t xml:space="preserve"> diffusive resistance </w:t>
      </w:r>
      <w:r>
        <w:t>associated to the forma</w:t>
      </w:r>
      <w:r w:rsidRPr="00BA2FBD">
        <w:t xml:space="preserve">tion of </w:t>
      </w:r>
      <w:r>
        <w:t>the</w:t>
      </w:r>
      <w:r w:rsidRPr="00BA2FBD">
        <w:t xml:space="preserve"> carbonation products </w:t>
      </w:r>
      <w:r>
        <w:t>solid layer</w:t>
      </w:r>
      <w:r w:rsidRPr="00BA2FBD">
        <w:t>, i.e. Li</w:t>
      </w:r>
      <w:r w:rsidRPr="00BA2FBD">
        <w:rPr>
          <w:vertAlign w:val="subscript"/>
        </w:rPr>
        <w:t>2</w:t>
      </w:r>
      <w:r w:rsidRPr="00BA2FBD">
        <w:t>CO</w:t>
      </w:r>
      <w:r w:rsidRPr="00BA2FBD">
        <w:rPr>
          <w:vertAlign w:val="subscript"/>
        </w:rPr>
        <w:t>3</w:t>
      </w:r>
      <w:r w:rsidRPr="00BA2FBD">
        <w:t xml:space="preserve"> and Li</w:t>
      </w:r>
      <w:r w:rsidRPr="00BA2FBD">
        <w:rPr>
          <w:vertAlign w:val="subscript"/>
        </w:rPr>
        <w:t>2</w:t>
      </w:r>
      <w:r w:rsidRPr="00BA2FBD">
        <w:t>SiO</w:t>
      </w:r>
      <w:r w:rsidRPr="00BA2FBD">
        <w:rPr>
          <w:vertAlign w:val="subscript"/>
        </w:rPr>
        <w:t>3</w:t>
      </w:r>
      <w:r w:rsidRPr="00BA2FBD">
        <w:t xml:space="preserve">, on the </w:t>
      </w:r>
      <w:r>
        <w:t>Li</w:t>
      </w:r>
      <w:r w:rsidRPr="00BA2FBD">
        <w:rPr>
          <w:vertAlign w:val="subscript"/>
        </w:rPr>
        <w:t>4</w:t>
      </w:r>
      <w:r>
        <w:t>SiO</w:t>
      </w:r>
      <w:r w:rsidRPr="00BA2FBD">
        <w:rPr>
          <w:vertAlign w:val="subscript"/>
        </w:rPr>
        <w:t>4</w:t>
      </w:r>
      <w:r w:rsidRPr="00BA2FBD">
        <w:t xml:space="preserve"> surface</w:t>
      </w:r>
      <w:r>
        <w:t xml:space="preserve">, which makes </w:t>
      </w:r>
      <w:r w:rsidRPr="00BA2FBD">
        <w:t xml:space="preserve">the adsorption process </w:t>
      </w:r>
      <w:r>
        <w:t>diffusion-controlled. As shown, the Li</w:t>
      </w:r>
      <w:r w:rsidRPr="000D7060">
        <w:rPr>
          <w:vertAlign w:val="subscript"/>
        </w:rPr>
        <w:t>4</w:t>
      </w:r>
      <w:r>
        <w:t>SiO</w:t>
      </w:r>
      <w:r w:rsidRPr="000D7060">
        <w:rPr>
          <w:vertAlign w:val="subscript"/>
        </w:rPr>
        <w:t>4</w:t>
      </w:r>
      <w:r>
        <w:t xml:space="preserve"> conversion increases</w:t>
      </w:r>
      <w:r w:rsidRPr="004C7A05">
        <w:t xml:space="preserve"> </w:t>
      </w:r>
      <w:r>
        <w:t xml:space="preserve">with increasing the milling time when the temperature is 570 °C, while at lower temperatures </w:t>
      </w:r>
      <w:r w:rsidRPr="005C780F">
        <w:t>X</w:t>
      </w:r>
      <w:r w:rsidRPr="005C780F">
        <w:rPr>
          <w:vertAlign w:val="subscript"/>
        </w:rPr>
        <w:t>Li4SiO4</w:t>
      </w:r>
      <w:r>
        <w:t xml:space="preserve"> presents a maximum for the sample LC-60. Moreover, the adsorption performance is enhanced when the adsorption temperature is 520 °C, reaching </w:t>
      </w:r>
      <w:r w:rsidRPr="00D823B3">
        <w:t xml:space="preserve">a </w:t>
      </w:r>
      <w:r>
        <w:t xml:space="preserve">conversion of about 43 % (corresponding to a </w:t>
      </w:r>
      <w:r w:rsidRPr="00D823B3">
        <w:t>sorption capacity of 1</w:t>
      </w:r>
      <w:r>
        <w:t>58</w:t>
      </w:r>
      <w:r w:rsidRPr="00D823B3">
        <w:t xml:space="preserve"> mg CO</w:t>
      </w:r>
      <w:r w:rsidRPr="00D823B3">
        <w:rPr>
          <w:vertAlign w:val="subscript"/>
        </w:rPr>
        <w:t>2</w:t>
      </w:r>
      <w:r w:rsidRPr="00D823B3">
        <w:t>/g sorbent</w:t>
      </w:r>
      <w:r>
        <w:t>)</w:t>
      </w:r>
      <w:r w:rsidRPr="00D823B3">
        <w:t>.</w:t>
      </w:r>
      <w:r w:rsidR="00B6235E">
        <w:t xml:space="preserve"> </w:t>
      </w:r>
      <w:r w:rsidR="00B6235E" w:rsidRPr="006F65F6">
        <w:t xml:space="preserve">All sorbents evidence </w:t>
      </w:r>
      <w:r w:rsidR="009E1EEF" w:rsidRPr="006F65F6">
        <w:t xml:space="preserve">also </w:t>
      </w:r>
      <w:r w:rsidR="00B6235E" w:rsidRPr="006F65F6">
        <w:t>good regenerability since the CO</w:t>
      </w:r>
      <w:r w:rsidR="00B6235E" w:rsidRPr="006F65F6">
        <w:rPr>
          <w:vertAlign w:val="subscript"/>
        </w:rPr>
        <w:t>2</w:t>
      </w:r>
      <w:r w:rsidR="00B6235E" w:rsidRPr="006F65F6">
        <w:t xml:space="preserve"> is desorbed completely during the regeneration process.</w:t>
      </w:r>
    </w:p>
    <w:p w14:paraId="67CE7354" w14:textId="0F0285BF" w:rsidR="005019A6" w:rsidRDefault="008706B3" w:rsidP="009F79C9">
      <w:pPr>
        <w:pStyle w:val="CETBodytext"/>
      </w:pPr>
      <w:r w:rsidRPr="008706B3">
        <w:rPr>
          <w:noProof/>
          <w:lang w:val="it-IT" w:eastAsia="it-IT"/>
        </w:rPr>
        <w:drawing>
          <wp:inline distT="0" distB="0" distL="0" distR="0" wp14:anchorId="453E3D04" wp14:editId="204CD8E8">
            <wp:extent cx="3132781" cy="2160000"/>
            <wp:effectExtent l="0" t="0" r="0" b="0"/>
            <wp:docPr id="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1"/>
                    <pic:cNvPicPr>
                      <a:picLocks/>
                    </pic:cNvPicPr>
                  </pic:nvPicPr>
                  <pic:blipFill rotWithShape="1">
                    <a:blip r:embed="rId13"/>
                    <a:srcRect l="3521" t="8629" b="4421"/>
                    <a:stretch/>
                  </pic:blipFill>
                  <pic:spPr bwMode="auto">
                    <a:xfrm>
                      <a:off x="0" y="0"/>
                      <a:ext cx="3132781" cy="2160000"/>
                    </a:xfrm>
                    <a:prstGeom prst="rect">
                      <a:avLst/>
                    </a:prstGeom>
                    <a:ln>
                      <a:noFill/>
                    </a:ln>
                    <a:extLst>
                      <a:ext uri="{53640926-AAD7-44D8-BBD7-CCE9431645EC}">
                        <a14:shadowObscured xmlns:a14="http://schemas.microsoft.com/office/drawing/2010/main"/>
                      </a:ext>
                    </a:extLst>
                  </pic:spPr>
                </pic:pic>
              </a:graphicData>
            </a:graphic>
          </wp:inline>
        </w:drawing>
      </w:r>
    </w:p>
    <w:p w14:paraId="2D4BB829" w14:textId="697B6B49" w:rsidR="008B0C33" w:rsidRDefault="005019A6" w:rsidP="009E1EEF">
      <w:pPr>
        <w:pStyle w:val="CETCaption"/>
        <w:spacing w:before="0" w:after="120"/>
        <w:rPr>
          <w:lang w:val="en-US"/>
        </w:rPr>
      </w:pPr>
      <w:r w:rsidRPr="00220A8C">
        <w:rPr>
          <w:lang w:val="en-US"/>
        </w:rPr>
        <w:t xml:space="preserve">Figure </w:t>
      </w:r>
      <w:r>
        <w:rPr>
          <w:lang w:val="en-US"/>
        </w:rPr>
        <w:t>2</w:t>
      </w:r>
      <w:r w:rsidRPr="00220A8C">
        <w:rPr>
          <w:lang w:val="en-US"/>
        </w:rPr>
        <w:t xml:space="preserve">: </w:t>
      </w:r>
      <w:r>
        <w:rPr>
          <w:lang w:val="en-US"/>
        </w:rPr>
        <w:t>XRD patterns</w:t>
      </w:r>
      <w:r w:rsidRPr="00220A8C">
        <w:rPr>
          <w:lang w:val="en-US"/>
        </w:rPr>
        <w:t xml:space="preserve"> of</w:t>
      </w:r>
      <w:r>
        <w:rPr>
          <w:lang w:val="en-US"/>
        </w:rPr>
        <w:t xml:space="preserve"> Li</w:t>
      </w:r>
      <w:r w:rsidRPr="00D32250">
        <w:rPr>
          <w:vertAlign w:val="subscript"/>
          <w:lang w:val="en-US"/>
        </w:rPr>
        <w:t>4</w:t>
      </w:r>
      <w:r>
        <w:rPr>
          <w:lang w:val="en-US"/>
        </w:rPr>
        <w:t>SiO</w:t>
      </w:r>
      <w:r w:rsidRPr="00D32250">
        <w:rPr>
          <w:vertAlign w:val="subscript"/>
          <w:lang w:val="en-US"/>
        </w:rPr>
        <w:t>4</w:t>
      </w:r>
      <w:r>
        <w:rPr>
          <w:lang w:val="en-US"/>
        </w:rPr>
        <w:t xml:space="preserve"> sorbents:</w:t>
      </w:r>
      <w:r w:rsidRPr="00220A8C">
        <w:rPr>
          <w:lang w:val="en-US"/>
        </w:rPr>
        <w:t xml:space="preserve"> </w:t>
      </w:r>
      <w:r w:rsidR="00B412AD">
        <w:rPr>
          <w:lang w:val="en-US"/>
        </w:rPr>
        <w:t>LC</w:t>
      </w:r>
      <w:r>
        <w:rPr>
          <w:lang w:val="en-US"/>
        </w:rPr>
        <w:t>,</w:t>
      </w:r>
      <w:r w:rsidR="00B412AD">
        <w:rPr>
          <w:lang w:val="en-US"/>
        </w:rPr>
        <w:t xml:space="preserve"> LC-60</w:t>
      </w:r>
      <w:r>
        <w:rPr>
          <w:lang w:val="en-US"/>
        </w:rPr>
        <w:t>, and</w:t>
      </w:r>
      <w:r w:rsidR="00B412AD">
        <w:rPr>
          <w:lang w:val="en-US"/>
        </w:rPr>
        <w:t xml:space="preserve"> LC-120</w:t>
      </w:r>
      <w:r w:rsidRPr="00220A8C">
        <w:rPr>
          <w:lang w:val="en-US"/>
        </w:rPr>
        <w:t>.</w:t>
      </w:r>
    </w:p>
    <w:p w14:paraId="42F5984D" w14:textId="67278D2F" w:rsidR="003A3B54" w:rsidRDefault="00644086" w:rsidP="003A3B54">
      <w:pPr>
        <w:pStyle w:val="CETBodytext"/>
      </w:pPr>
      <w:r w:rsidRPr="00644086">
        <w:rPr>
          <w:noProof/>
          <w:lang w:val="it-IT" w:eastAsia="it-IT"/>
        </w:rPr>
        <mc:AlternateContent>
          <mc:Choice Requires="wps">
            <w:drawing>
              <wp:anchor distT="0" distB="0" distL="114300" distR="114300" simplePos="0" relativeHeight="251666432" behindDoc="0" locked="0" layoutInCell="1" allowOverlap="1" wp14:anchorId="78598389" wp14:editId="6C91ADC7">
                <wp:simplePos x="0" y="0"/>
                <wp:positionH relativeFrom="column">
                  <wp:posOffset>3048000</wp:posOffset>
                </wp:positionH>
                <wp:positionV relativeFrom="paragraph">
                  <wp:posOffset>438150</wp:posOffset>
                </wp:positionV>
                <wp:extent cx="253365" cy="240030"/>
                <wp:effectExtent l="0" t="0" r="0" b="7620"/>
                <wp:wrapNone/>
                <wp:docPr id="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240030"/>
                        </a:xfrm>
                        <a:prstGeom prst="rect">
                          <a:avLst/>
                        </a:prstGeom>
                        <a:noFill/>
                        <a:ln w="3175">
                          <a:noFill/>
                          <a:miter lim="800000"/>
                          <a:headEnd/>
                          <a:tailEnd/>
                        </a:ln>
                        <a:effectLst/>
                        <a:extLst/>
                      </wps:spPr>
                      <wps:txbx>
                        <w:txbxContent>
                          <w:p w14:paraId="3CBA01B0" w14:textId="77777777" w:rsidR="00072372" w:rsidRPr="00F03FD4" w:rsidRDefault="00072372" w:rsidP="00644086">
                            <w:pPr>
                              <w:jc w:val="center"/>
                              <w:rPr>
                                <w:rFonts w:cs="Arial"/>
                                <w:szCs w:val="18"/>
                                <w:lang w:val="it-IT"/>
                              </w:rPr>
                            </w:pPr>
                            <w:r>
                              <w:rPr>
                                <w:rFonts w:cs="Arial"/>
                                <w:szCs w:val="18"/>
                                <w:lang w:val="it-IT"/>
                              </w:rPr>
                              <w:t>b</w:t>
                            </w:r>
                          </w:p>
                        </w:txbxContent>
                      </wps:txbx>
                      <wps:bodyPr rot="0" vert="horz" wrap="square" lIns="91440" tIns="45720" rIns="91440" bIns="45720" anchor="t" anchorCtr="0" upright="1">
                        <a:noAutofit/>
                      </wps:bodyPr>
                    </wps:wsp>
                  </a:graphicData>
                </a:graphic>
              </wp:anchor>
            </w:drawing>
          </mc:Choice>
          <mc:Fallback>
            <w:pict>
              <v:shape w14:anchorId="78598389" id="Text Box 3" o:spid="_x0000_s1030" type="#_x0000_t202" style="position:absolute;left:0;text-align:left;margin-left:240pt;margin-top:34.5pt;width:19.95pt;height:18.9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" filled="f" stroked="f" strokeweight=".25pt">
                <v:textbox>
                  <w:txbxContent>
                    <w:p w14:paraId="3CBA01B0" w14:textId="77777777" w:rsidR="00072372" w:rsidRPr="00F03FD4" w:rsidRDefault="00072372" w:rsidP="00644086">
                      <w:pPr>
                        <w:jc w:val="center"/>
                        <w:rPr>
                          <w:rFonts w:cs="Arial"/>
                          <w:szCs w:val="18"/>
                          <w:lang w:val="it-IT"/>
                        </w:rPr>
                      </w:pPr>
                      <w:r>
                        <w:rPr>
                          <w:rFonts w:cs="Arial"/>
                          <w:szCs w:val="18"/>
                          <w:lang w:val="it-IT"/>
                        </w:rPr>
                        <w:t>b</w:t>
                      </w:r>
                    </w:p>
                  </w:txbxContent>
                </v:textbox>
              </v:shape>
            </w:pict>
          </mc:Fallback>
        </mc:AlternateContent>
      </w:r>
      <w:r w:rsidRPr="00644086">
        <w:rPr>
          <w:noProof/>
          <w:lang w:val="it-IT" w:eastAsia="it-IT"/>
        </w:rPr>
        <mc:AlternateContent>
          <mc:Choice Requires="wps">
            <w:drawing>
              <wp:anchor distT="0" distB="0" distL="114300" distR="114300" simplePos="0" relativeHeight="251665408" behindDoc="0" locked="0" layoutInCell="1" allowOverlap="1" wp14:anchorId="77821904" wp14:editId="4A5223C4">
                <wp:simplePos x="0" y="0"/>
                <wp:positionH relativeFrom="column">
                  <wp:posOffset>2259330</wp:posOffset>
                </wp:positionH>
                <wp:positionV relativeFrom="paragraph">
                  <wp:posOffset>438150</wp:posOffset>
                </wp:positionV>
                <wp:extent cx="253365" cy="240030"/>
                <wp:effectExtent l="0" t="0" r="0" b="762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240030"/>
                        </a:xfrm>
                        <a:prstGeom prst="rect">
                          <a:avLst/>
                        </a:prstGeom>
                        <a:noFill/>
                        <a:ln w="3175">
                          <a:noFill/>
                          <a:miter lim="800000"/>
                          <a:headEnd/>
                          <a:tailEnd/>
                        </a:ln>
                        <a:effectLst/>
                        <a:extLst/>
                      </wps:spPr>
                      <wps:txbx>
                        <w:txbxContent>
                          <w:p w14:paraId="0BE0AD49" w14:textId="77777777" w:rsidR="00072372" w:rsidRPr="00F03FD4" w:rsidRDefault="00072372" w:rsidP="00644086">
                            <w:pPr>
                              <w:jc w:val="center"/>
                              <w:rPr>
                                <w:rFonts w:cs="Arial"/>
                                <w:szCs w:val="18"/>
                                <w:lang w:val="it-IT"/>
                              </w:rPr>
                            </w:pPr>
                            <w:r w:rsidRPr="00F03FD4">
                              <w:rPr>
                                <w:rFonts w:cs="Arial"/>
                                <w:szCs w:val="18"/>
                                <w:lang w:val="it-IT"/>
                              </w:rPr>
                              <w:t>a</w:t>
                            </w:r>
                          </w:p>
                        </w:txbxContent>
                      </wps:txbx>
                      <wps:bodyPr rot="0" vert="horz" wrap="square" lIns="91440" tIns="45720" rIns="91440" bIns="45720" anchor="t" anchorCtr="0" upright="1">
                        <a:noAutofit/>
                      </wps:bodyPr>
                    </wps:wsp>
                  </a:graphicData>
                </a:graphic>
              </wp:anchor>
            </w:drawing>
          </mc:Choice>
          <mc:Fallback>
            <w:pict>
              <v:shape w14:anchorId="77821904" id="_x0000_s1031" type="#_x0000_t202" style="position:absolute;left:0;text-align:left;margin-left:177.9pt;margin-top:34.5pt;width:19.95pt;height:18.9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" filled="f" stroked="f" strokeweight=".25pt">
                <v:textbox>
                  <w:txbxContent>
                    <w:p w14:paraId="0BE0AD49" w14:textId="77777777" w:rsidR="00072372" w:rsidRPr="00F03FD4" w:rsidRDefault="00072372" w:rsidP="00644086">
                      <w:pPr>
                        <w:jc w:val="center"/>
                        <w:rPr>
                          <w:rFonts w:cs="Arial"/>
                          <w:szCs w:val="18"/>
                          <w:lang w:val="it-IT"/>
                        </w:rPr>
                      </w:pPr>
                      <w:r w:rsidRPr="00F03FD4">
                        <w:rPr>
                          <w:rFonts w:cs="Arial"/>
                          <w:szCs w:val="18"/>
                          <w:lang w:val="it-IT"/>
                        </w:rPr>
                        <w:t>a</w:t>
                      </w:r>
                    </w:p>
                  </w:txbxContent>
                </v:textbox>
              </v:shape>
            </w:pict>
          </mc:Fallback>
        </mc:AlternateContent>
      </w:r>
      <w:r w:rsidR="003A3B54" w:rsidRPr="00E8278B">
        <w:rPr>
          <w:noProof/>
          <w:lang w:val="it-IT" w:eastAsia="it-IT"/>
        </w:rPr>
        <w:drawing>
          <wp:inline distT="0" distB="0" distL="0" distR="0" wp14:anchorId="62E0A806" wp14:editId="3F29F2FB">
            <wp:extent cx="2642400" cy="2206800"/>
            <wp:effectExtent l="0" t="0" r="0" b="0"/>
            <wp:docPr id="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1"/>
                    <pic:cNvPicPr>
                      <a:picLocks/>
                    </pic:cNvPicPr>
                  </pic:nvPicPr>
                  <pic:blipFill rotWithShape="1">
                    <a:blip r:embed="rId14"/>
                    <a:srcRect l="6700" t="6854" r="11525" b="3766"/>
                    <a:stretch/>
                  </pic:blipFill>
                  <pic:spPr bwMode="auto">
                    <a:xfrm>
                      <a:off x="0" y="0"/>
                      <a:ext cx="2642400" cy="2206800"/>
                    </a:xfrm>
                    <a:prstGeom prst="rect">
                      <a:avLst/>
                    </a:prstGeom>
                    <a:ln>
                      <a:noFill/>
                    </a:ln>
                    <a:extLst>
                      <a:ext uri="{53640926-AAD7-44D8-BBD7-CCE9431645EC}">
                        <a14:shadowObscured xmlns:a14="http://schemas.microsoft.com/office/drawing/2010/main"/>
                      </a:ext>
                    </a:extLst>
                  </pic:spPr>
                </pic:pic>
              </a:graphicData>
            </a:graphic>
          </wp:inline>
        </w:drawing>
      </w:r>
      <w:r w:rsidR="003A3B54" w:rsidRPr="00F476C2">
        <w:rPr>
          <w:noProof/>
          <w:lang w:eastAsia="it-IT"/>
        </w:rPr>
        <w:t xml:space="preserve"> </w:t>
      </w:r>
      <w:r w:rsidR="006B2CAD">
        <w:rPr>
          <w:noProof/>
          <w:lang w:eastAsia="it-IT"/>
        </w:rPr>
        <w:t xml:space="preserve"> </w:t>
      </w:r>
      <w:r w:rsidR="006B2CAD" w:rsidRPr="006B2CAD">
        <w:rPr>
          <w:noProof/>
          <w:lang w:val="it-IT" w:eastAsia="it-IT"/>
        </w:rPr>
        <w:drawing>
          <wp:inline distT="0" distB="0" distL="0" distR="0" wp14:anchorId="0898B045" wp14:editId="475B5196">
            <wp:extent cx="2887200" cy="2163600"/>
            <wp:effectExtent l="0" t="0" r="0" b="0"/>
            <wp:docPr id="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1"/>
                    <pic:cNvPicPr>
                      <a:picLocks/>
                    </pic:cNvPicPr>
                  </pic:nvPicPr>
                  <pic:blipFill rotWithShape="1">
                    <a:blip r:embed="rId15"/>
                    <a:srcRect l="7225" t="8512" r="2981" b="3560"/>
                    <a:stretch/>
                  </pic:blipFill>
                  <pic:spPr bwMode="auto">
                    <a:xfrm>
                      <a:off x="0" y="0"/>
                      <a:ext cx="2887200" cy="2163600"/>
                    </a:xfrm>
                    <a:prstGeom prst="rect">
                      <a:avLst/>
                    </a:prstGeom>
                    <a:ln>
                      <a:noFill/>
                    </a:ln>
                    <a:extLst>
                      <a:ext uri="{53640926-AAD7-44D8-BBD7-CCE9431645EC}">
                        <a14:shadowObscured xmlns:a14="http://schemas.microsoft.com/office/drawing/2010/main"/>
                      </a:ext>
                    </a:extLst>
                  </pic:spPr>
                </pic:pic>
              </a:graphicData>
            </a:graphic>
          </wp:inline>
        </w:drawing>
      </w:r>
    </w:p>
    <w:p w14:paraId="00ECBF4C" w14:textId="082D7F56" w:rsidR="00F476C2" w:rsidRDefault="00F476C2" w:rsidP="00733E46">
      <w:pPr>
        <w:pStyle w:val="CETCaption"/>
        <w:spacing w:before="0"/>
        <w:rPr>
          <w:lang w:val="en-US"/>
        </w:rPr>
      </w:pPr>
      <w:r w:rsidRPr="006F65F6">
        <w:rPr>
          <w:lang w:val="en-US"/>
        </w:rPr>
        <w:t>Figure 3:</w:t>
      </w:r>
      <w:r w:rsidRPr="00220A8C">
        <w:rPr>
          <w:lang w:val="en-US"/>
        </w:rPr>
        <w:t xml:space="preserve"> </w:t>
      </w:r>
      <w:r w:rsidR="00B17086">
        <w:rPr>
          <w:lang w:val="en-US"/>
        </w:rPr>
        <w:t>CO</w:t>
      </w:r>
      <w:r w:rsidR="00B17086" w:rsidRPr="00B17086">
        <w:rPr>
          <w:vertAlign w:val="subscript"/>
          <w:lang w:val="en-US"/>
        </w:rPr>
        <w:t>2</w:t>
      </w:r>
      <w:r w:rsidR="00B17086" w:rsidRPr="00B17086">
        <w:rPr>
          <w:lang w:val="en-US"/>
        </w:rPr>
        <w:t xml:space="preserve"> adsorption performance of </w:t>
      </w:r>
      <w:r w:rsidR="00B17086">
        <w:rPr>
          <w:lang w:val="en-US"/>
        </w:rPr>
        <w:t>Li</w:t>
      </w:r>
      <w:r w:rsidR="00B17086" w:rsidRPr="00D32250">
        <w:rPr>
          <w:vertAlign w:val="subscript"/>
          <w:lang w:val="en-US"/>
        </w:rPr>
        <w:t>4</w:t>
      </w:r>
      <w:r w:rsidR="00B17086">
        <w:rPr>
          <w:lang w:val="en-US"/>
        </w:rPr>
        <w:t>SiO</w:t>
      </w:r>
      <w:r w:rsidR="00B17086" w:rsidRPr="00D32250">
        <w:rPr>
          <w:vertAlign w:val="subscript"/>
          <w:lang w:val="en-US"/>
        </w:rPr>
        <w:t>4</w:t>
      </w:r>
      <w:r w:rsidR="00B17086">
        <w:rPr>
          <w:lang w:val="en-US"/>
        </w:rPr>
        <w:t xml:space="preserve"> sorbents</w:t>
      </w:r>
      <w:r w:rsidR="00B17086" w:rsidRPr="00B17086">
        <w:rPr>
          <w:lang w:val="en-US"/>
        </w:rPr>
        <w:t xml:space="preserve"> in 4 vol% CO</w:t>
      </w:r>
      <w:r w:rsidR="00B17086" w:rsidRPr="007374DB">
        <w:rPr>
          <w:vertAlign w:val="subscript"/>
          <w:lang w:val="en-US"/>
        </w:rPr>
        <w:t>2</w:t>
      </w:r>
      <w:r w:rsidR="00B17086" w:rsidRPr="00B17086">
        <w:rPr>
          <w:lang w:val="en-US"/>
        </w:rPr>
        <w:t xml:space="preserve"> stream</w:t>
      </w:r>
      <w:r>
        <w:rPr>
          <w:lang w:val="en-US"/>
        </w:rPr>
        <w:t>:</w:t>
      </w:r>
      <w:r w:rsidRPr="00220A8C">
        <w:rPr>
          <w:lang w:val="en-US"/>
        </w:rPr>
        <w:t xml:space="preserve"> </w:t>
      </w:r>
      <w:r w:rsidR="00BB20FB">
        <w:rPr>
          <w:lang w:val="en-US"/>
        </w:rPr>
        <w:t>(a) dynamic tests</w:t>
      </w:r>
      <w:r w:rsidR="007374DB">
        <w:rPr>
          <w:lang w:val="en-US"/>
        </w:rPr>
        <w:t xml:space="preserve"> and (b) </w:t>
      </w:r>
      <w:r w:rsidR="00F32F0B">
        <w:rPr>
          <w:lang w:val="en-US"/>
        </w:rPr>
        <w:t xml:space="preserve">DoE </w:t>
      </w:r>
      <w:r w:rsidR="007374DB">
        <w:rPr>
          <w:lang w:val="en-US"/>
        </w:rPr>
        <w:t>isothermal experiments at different milling times (0-120 min) and adsorption temperatures (470-570 °C)</w:t>
      </w:r>
      <w:r w:rsidRPr="00220A8C">
        <w:rPr>
          <w:lang w:val="en-US"/>
        </w:rPr>
        <w:t>.</w:t>
      </w:r>
    </w:p>
    <w:p w14:paraId="70641124" w14:textId="694055A4" w:rsidR="000815E5" w:rsidRPr="00220A8C" w:rsidRDefault="000815E5" w:rsidP="000815E5">
      <w:pPr>
        <w:pStyle w:val="CETTabletitle"/>
        <w:rPr>
          <w:lang w:val="en-US"/>
        </w:rPr>
      </w:pPr>
      <w:r w:rsidRPr="00220A8C">
        <w:rPr>
          <w:lang w:val="en-US"/>
        </w:rPr>
        <w:t xml:space="preserve">Table </w:t>
      </w:r>
      <w:r w:rsidR="00862E8D">
        <w:rPr>
          <w:lang w:val="en-US"/>
        </w:rPr>
        <w:t>1</w:t>
      </w:r>
      <w:r w:rsidRPr="00220A8C">
        <w:rPr>
          <w:lang w:val="en-US"/>
        </w:rPr>
        <w:t xml:space="preserve">: Experimental design matrix and responses results. </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134"/>
        <w:gridCol w:w="1701"/>
        <w:gridCol w:w="2494"/>
        <w:gridCol w:w="1304"/>
        <w:gridCol w:w="2154"/>
      </w:tblGrid>
      <w:tr w:rsidR="0060382A" w:rsidRPr="00220A8C" w14:paraId="5ACE9A47" w14:textId="77777777" w:rsidTr="0060382A">
        <w:trPr>
          <w:trHeight w:val="280"/>
        </w:trPr>
        <w:tc>
          <w:tcPr>
            <w:tcW w:w="1134" w:type="dxa"/>
            <w:tcBorders>
              <w:top w:val="single" w:sz="12" w:space="0" w:color="00B050"/>
              <w:left w:val="nil"/>
              <w:bottom w:val="single" w:sz="4" w:space="0" w:color="00B050"/>
              <w:right w:val="nil"/>
              <w:tl2br w:val="nil"/>
              <w:tr2bl w:val="nil"/>
            </w:tcBorders>
            <w:vAlign w:val="center"/>
          </w:tcPr>
          <w:p w14:paraId="49F296C7" w14:textId="77777777" w:rsidR="000815E5" w:rsidRPr="00220A8C" w:rsidRDefault="000815E5" w:rsidP="00D26B7D">
            <w:pPr>
              <w:pStyle w:val="CETBodytext"/>
              <w:jc w:val="center"/>
            </w:pPr>
            <w:r w:rsidRPr="00220A8C">
              <w:t>Run</w:t>
            </w:r>
          </w:p>
        </w:tc>
        <w:tc>
          <w:tcPr>
            <w:tcW w:w="1701" w:type="dxa"/>
            <w:tcBorders>
              <w:top w:val="single" w:sz="12" w:space="0" w:color="00B050"/>
              <w:left w:val="nil"/>
              <w:bottom w:val="single" w:sz="4" w:space="0" w:color="00B050"/>
              <w:right w:val="nil"/>
              <w:tl2br w:val="nil"/>
              <w:tr2bl w:val="nil"/>
            </w:tcBorders>
            <w:vAlign w:val="center"/>
          </w:tcPr>
          <w:p w14:paraId="7A8F1E24" w14:textId="77777777" w:rsidR="000815E5" w:rsidRPr="00220A8C" w:rsidRDefault="000815E5" w:rsidP="00D26B7D">
            <w:pPr>
              <w:pStyle w:val="CETBodytext"/>
              <w:jc w:val="center"/>
            </w:pPr>
            <w:r w:rsidRPr="00220A8C">
              <w:t>A-factor</w:t>
            </w:r>
          </w:p>
          <w:p w14:paraId="5F8440B7" w14:textId="26E4DF23" w:rsidR="000815E5" w:rsidRPr="00220A8C" w:rsidRDefault="000815E5" w:rsidP="00D26B7D">
            <w:pPr>
              <w:pStyle w:val="CETBodytext"/>
              <w:jc w:val="center"/>
            </w:pPr>
            <w:r>
              <w:t>Milling time (min</w:t>
            </w:r>
            <w:r w:rsidRPr="00220A8C">
              <w:t>)</w:t>
            </w:r>
          </w:p>
        </w:tc>
        <w:tc>
          <w:tcPr>
            <w:tcW w:w="2494" w:type="dxa"/>
            <w:tcBorders>
              <w:top w:val="single" w:sz="12" w:space="0" w:color="00B050"/>
              <w:left w:val="nil"/>
              <w:bottom w:val="single" w:sz="4" w:space="0" w:color="00B050"/>
              <w:right w:val="nil"/>
              <w:tl2br w:val="nil"/>
              <w:tr2bl w:val="nil"/>
            </w:tcBorders>
            <w:vAlign w:val="center"/>
          </w:tcPr>
          <w:p w14:paraId="6FB38D36" w14:textId="77777777" w:rsidR="000815E5" w:rsidRPr="00220A8C" w:rsidRDefault="000815E5" w:rsidP="00D26B7D">
            <w:pPr>
              <w:pStyle w:val="CETBodytext"/>
              <w:jc w:val="center"/>
            </w:pPr>
            <w:r w:rsidRPr="00220A8C">
              <w:t>B-factor</w:t>
            </w:r>
          </w:p>
          <w:p w14:paraId="563D3D90" w14:textId="0FA912AD" w:rsidR="000815E5" w:rsidRPr="00220A8C" w:rsidRDefault="000815E5" w:rsidP="000815E5">
            <w:pPr>
              <w:pStyle w:val="CETBodytext"/>
              <w:jc w:val="center"/>
            </w:pPr>
            <w:r>
              <w:t>Adsorption temperature (°C)</w:t>
            </w:r>
          </w:p>
        </w:tc>
        <w:tc>
          <w:tcPr>
            <w:tcW w:w="1304" w:type="dxa"/>
            <w:tcBorders>
              <w:top w:val="single" w:sz="12" w:space="0" w:color="00B050"/>
              <w:left w:val="nil"/>
              <w:bottom w:val="single" w:sz="4" w:space="0" w:color="00B050"/>
              <w:right w:val="nil"/>
              <w:tl2br w:val="nil"/>
              <w:tr2bl w:val="nil"/>
            </w:tcBorders>
            <w:vAlign w:val="center"/>
          </w:tcPr>
          <w:p w14:paraId="066F9B5A" w14:textId="77777777" w:rsidR="000815E5" w:rsidRPr="00220A8C" w:rsidRDefault="000815E5" w:rsidP="00D26B7D">
            <w:pPr>
              <w:pStyle w:val="CETBodytext"/>
              <w:jc w:val="center"/>
            </w:pPr>
            <w:r w:rsidRPr="00220A8C">
              <w:t>Response 1</w:t>
            </w:r>
          </w:p>
          <w:p w14:paraId="02A77D9A" w14:textId="66AB6E42" w:rsidR="000815E5" w:rsidRPr="00220A8C" w:rsidRDefault="000815E5" w:rsidP="000815E5">
            <w:pPr>
              <w:pStyle w:val="CETBodytext"/>
              <w:jc w:val="center"/>
            </w:pPr>
            <w:r>
              <w:t>X</w:t>
            </w:r>
            <w:r w:rsidRPr="000815E5">
              <w:rPr>
                <w:vertAlign w:val="subscript"/>
              </w:rPr>
              <w:t>Li4SiO4</w:t>
            </w:r>
            <w:r>
              <w:t xml:space="preserve"> </w:t>
            </w:r>
            <w:r w:rsidRPr="00220A8C">
              <w:t>(%)</w:t>
            </w:r>
          </w:p>
        </w:tc>
        <w:tc>
          <w:tcPr>
            <w:tcW w:w="2154" w:type="dxa"/>
            <w:tcBorders>
              <w:top w:val="single" w:sz="12" w:space="0" w:color="00B050"/>
              <w:left w:val="nil"/>
              <w:bottom w:val="single" w:sz="4" w:space="0" w:color="00B050"/>
              <w:right w:val="nil"/>
              <w:tl2br w:val="nil"/>
              <w:tr2bl w:val="nil"/>
            </w:tcBorders>
            <w:vAlign w:val="center"/>
          </w:tcPr>
          <w:p w14:paraId="6E8A2F5F" w14:textId="77777777" w:rsidR="000815E5" w:rsidRPr="00220A8C" w:rsidRDefault="000815E5" w:rsidP="00D26B7D">
            <w:pPr>
              <w:pStyle w:val="CETBodytext"/>
              <w:jc w:val="center"/>
            </w:pPr>
            <w:r w:rsidRPr="00220A8C">
              <w:t>Response 2</w:t>
            </w:r>
          </w:p>
          <w:p w14:paraId="464832B8" w14:textId="213FAEA7" w:rsidR="000815E5" w:rsidRPr="00220A8C" w:rsidRDefault="000815E5" w:rsidP="00D26B7D">
            <w:pPr>
              <w:pStyle w:val="CETBodytext"/>
              <w:jc w:val="center"/>
            </w:pPr>
            <w:r>
              <w:t>Adsorption rate (1/min</w:t>
            </w:r>
            <w:r w:rsidRPr="00220A8C">
              <w:t>)</w:t>
            </w:r>
          </w:p>
        </w:tc>
      </w:tr>
      <w:tr w:rsidR="0060382A" w:rsidRPr="00220A8C" w14:paraId="353CF6C0" w14:textId="77777777" w:rsidTr="0060382A">
        <w:trPr>
          <w:trHeight w:val="176"/>
        </w:trPr>
        <w:tc>
          <w:tcPr>
            <w:tcW w:w="1134" w:type="dxa"/>
            <w:tcBorders>
              <w:top w:val="nil"/>
              <w:left w:val="nil"/>
              <w:bottom w:val="nil"/>
              <w:right w:val="nil"/>
            </w:tcBorders>
            <w:vAlign w:val="center"/>
          </w:tcPr>
          <w:p w14:paraId="4301830A" w14:textId="77777777" w:rsidR="0060382A" w:rsidRPr="00220A8C" w:rsidRDefault="0060382A" w:rsidP="0060382A">
            <w:pPr>
              <w:pStyle w:val="CETBodytext"/>
              <w:jc w:val="center"/>
            </w:pPr>
            <w:r w:rsidRPr="00220A8C">
              <w:t>1</w:t>
            </w:r>
          </w:p>
        </w:tc>
        <w:tc>
          <w:tcPr>
            <w:tcW w:w="1701" w:type="dxa"/>
            <w:tcBorders>
              <w:top w:val="nil"/>
              <w:left w:val="nil"/>
              <w:bottom w:val="nil"/>
              <w:right w:val="nil"/>
            </w:tcBorders>
          </w:tcPr>
          <w:p w14:paraId="2C0CEA08" w14:textId="146DCF76" w:rsidR="0060382A" w:rsidRPr="00220A8C" w:rsidRDefault="0060382A" w:rsidP="0060382A">
            <w:pPr>
              <w:pStyle w:val="CETBodytext"/>
              <w:jc w:val="center"/>
            </w:pPr>
            <w:r w:rsidRPr="00AB50EF">
              <w:t>60</w:t>
            </w:r>
          </w:p>
        </w:tc>
        <w:tc>
          <w:tcPr>
            <w:tcW w:w="2494" w:type="dxa"/>
            <w:tcBorders>
              <w:top w:val="nil"/>
              <w:left w:val="nil"/>
              <w:bottom w:val="nil"/>
              <w:right w:val="nil"/>
            </w:tcBorders>
          </w:tcPr>
          <w:p w14:paraId="067AEEC1" w14:textId="060793A5" w:rsidR="0060382A" w:rsidRPr="00220A8C" w:rsidRDefault="0060382A" w:rsidP="0060382A">
            <w:pPr>
              <w:pStyle w:val="CETBodytext"/>
              <w:jc w:val="center"/>
            </w:pPr>
            <w:r w:rsidRPr="00AB50EF">
              <w:t>520</w:t>
            </w:r>
          </w:p>
        </w:tc>
        <w:tc>
          <w:tcPr>
            <w:tcW w:w="1304" w:type="dxa"/>
            <w:tcBorders>
              <w:top w:val="nil"/>
              <w:left w:val="nil"/>
              <w:bottom w:val="nil"/>
              <w:right w:val="nil"/>
            </w:tcBorders>
          </w:tcPr>
          <w:p w14:paraId="35261E48" w14:textId="03A53DD8" w:rsidR="0060382A" w:rsidRPr="00220A8C" w:rsidRDefault="0060382A" w:rsidP="0060382A">
            <w:pPr>
              <w:pStyle w:val="CETBodytext"/>
              <w:jc w:val="center"/>
            </w:pPr>
            <w:r w:rsidRPr="00AB50EF">
              <w:t>43.26</w:t>
            </w:r>
          </w:p>
        </w:tc>
        <w:tc>
          <w:tcPr>
            <w:tcW w:w="2154" w:type="dxa"/>
            <w:tcBorders>
              <w:top w:val="nil"/>
              <w:left w:val="nil"/>
              <w:bottom w:val="nil"/>
              <w:right w:val="nil"/>
            </w:tcBorders>
          </w:tcPr>
          <w:p w14:paraId="12648487" w14:textId="08C528A0" w:rsidR="0060382A" w:rsidRPr="00220A8C" w:rsidRDefault="0060382A" w:rsidP="0060382A">
            <w:pPr>
              <w:pStyle w:val="CETBodytext"/>
              <w:jc w:val="center"/>
            </w:pPr>
            <w:r w:rsidRPr="00AB50EF">
              <w:t>0.0279</w:t>
            </w:r>
          </w:p>
        </w:tc>
      </w:tr>
      <w:tr w:rsidR="0060382A" w:rsidRPr="00220A8C" w14:paraId="435F9B08" w14:textId="77777777" w:rsidTr="0060382A">
        <w:trPr>
          <w:trHeight w:val="176"/>
        </w:trPr>
        <w:tc>
          <w:tcPr>
            <w:tcW w:w="1134" w:type="dxa"/>
            <w:tcBorders>
              <w:top w:val="nil"/>
              <w:left w:val="nil"/>
              <w:bottom w:val="nil"/>
              <w:right w:val="nil"/>
            </w:tcBorders>
            <w:vAlign w:val="center"/>
          </w:tcPr>
          <w:p w14:paraId="7ED2F711" w14:textId="77777777" w:rsidR="0060382A" w:rsidRPr="00220A8C" w:rsidRDefault="0060382A" w:rsidP="0060382A">
            <w:pPr>
              <w:pStyle w:val="CETBodytext"/>
              <w:jc w:val="center"/>
            </w:pPr>
            <w:r w:rsidRPr="00220A8C">
              <w:t>2</w:t>
            </w:r>
          </w:p>
        </w:tc>
        <w:tc>
          <w:tcPr>
            <w:tcW w:w="1701" w:type="dxa"/>
            <w:tcBorders>
              <w:top w:val="nil"/>
              <w:left w:val="nil"/>
              <w:bottom w:val="nil"/>
              <w:right w:val="nil"/>
            </w:tcBorders>
          </w:tcPr>
          <w:p w14:paraId="7E5D46C6" w14:textId="319EB072" w:rsidR="0060382A" w:rsidRPr="00220A8C" w:rsidRDefault="0060382A" w:rsidP="0060382A">
            <w:pPr>
              <w:pStyle w:val="CETBodytext"/>
              <w:jc w:val="center"/>
            </w:pPr>
            <w:r w:rsidRPr="00AB50EF">
              <w:t>60</w:t>
            </w:r>
          </w:p>
        </w:tc>
        <w:tc>
          <w:tcPr>
            <w:tcW w:w="2494" w:type="dxa"/>
            <w:tcBorders>
              <w:top w:val="nil"/>
              <w:left w:val="nil"/>
              <w:bottom w:val="nil"/>
              <w:right w:val="nil"/>
            </w:tcBorders>
          </w:tcPr>
          <w:p w14:paraId="5B712705" w14:textId="54D8C832" w:rsidR="0060382A" w:rsidRPr="00220A8C" w:rsidRDefault="0060382A" w:rsidP="0060382A">
            <w:pPr>
              <w:pStyle w:val="CETBodytext"/>
              <w:jc w:val="center"/>
            </w:pPr>
            <w:r w:rsidRPr="00AB50EF">
              <w:t>520</w:t>
            </w:r>
          </w:p>
        </w:tc>
        <w:tc>
          <w:tcPr>
            <w:tcW w:w="1304" w:type="dxa"/>
            <w:tcBorders>
              <w:top w:val="nil"/>
              <w:left w:val="nil"/>
              <w:bottom w:val="nil"/>
              <w:right w:val="nil"/>
            </w:tcBorders>
          </w:tcPr>
          <w:p w14:paraId="1EF2C5DB" w14:textId="5BDECFAF" w:rsidR="0060382A" w:rsidRPr="00220A8C" w:rsidRDefault="0060382A" w:rsidP="0060382A">
            <w:pPr>
              <w:pStyle w:val="CETBodytext"/>
              <w:jc w:val="center"/>
            </w:pPr>
            <w:r w:rsidRPr="00AB50EF">
              <w:t>41.34</w:t>
            </w:r>
          </w:p>
        </w:tc>
        <w:tc>
          <w:tcPr>
            <w:tcW w:w="2154" w:type="dxa"/>
            <w:tcBorders>
              <w:top w:val="nil"/>
              <w:left w:val="nil"/>
              <w:bottom w:val="nil"/>
              <w:right w:val="nil"/>
            </w:tcBorders>
          </w:tcPr>
          <w:p w14:paraId="629D30A2" w14:textId="599BC2E2" w:rsidR="0060382A" w:rsidRPr="00220A8C" w:rsidRDefault="0060382A" w:rsidP="0060382A">
            <w:pPr>
              <w:pStyle w:val="CETBodytext"/>
              <w:jc w:val="center"/>
            </w:pPr>
            <w:r w:rsidRPr="00AB50EF">
              <w:t>0.0265</w:t>
            </w:r>
          </w:p>
        </w:tc>
      </w:tr>
      <w:tr w:rsidR="0060382A" w:rsidRPr="00220A8C" w14:paraId="76DC8ED8" w14:textId="77777777" w:rsidTr="0060382A">
        <w:trPr>
          <w:trHeight w:val="176"/>
        </w:trPr>
        <w:tc>
          <w:tcPr>
            <w:tcW w:w="1134" w:type="dxa"/>
            <w:tcBorders>
              <w:top w:val="nil"/>
              <w:left w:val="nil"/>
              <w:bottom w:val="nil"/>
              <w:right w:val="nil"/>
            </w:tcBorders>
            <w:vAlign w:val="center"/>
          </w:tcPr>
          <w:p w14:paraId="45CB5620" w14:textId="77777777" w:rsidR="0060382A" w:rsidRPr="00220A8C" w:rsidRDefault="0060382A" w:rsidP="0060382A">
            <w:pPr>
              <w:pStyle w:val="CETBodytext"/>
              <w:jc w:val="center"/>
            </w:pPr>
            <w:r w:rsidRPr="00220A8C">
              <w:t>3</w:t>
            </w:r>
          </w:p>
        </w:tc>
        <w:tc>
          <w:tcPr>
            <w:tcW w:w="1701" w:type="dxa"/>
            <w:tcBorders>
              <w:top w:val="nil"/>
              <w:left w:val="nil"/>
              <w:bottom w:val="nil"/>
              <w:right w:val="nil"/>
            </w:tcBorders>
          </w:tcPr>
          <w:p w14:paraId="24B3E9C3" w14:textId="01CD3CBE" w:rsidR="0060382A" w:rsidRPr="00220A8C" w:rsidRDefault="0060382A" w:rsidP="0060382A">
            <w:pPr>
              <w:pStyle w:val="CETBodytext"/>
              <w:jc w:val="center"/>
            </w:pPr>
            <w:r w:rsidRPr="00AB50EF">
              <w:t>60</w:t>
            </w:r>
          </w:p>
        </w:tc>
        <w:tc>
          <w:tcPr>
            <w:tcW w:w="2494" w:type="dxa"/>
            <w:tcBorders>
              <w:top w:val="nil"/>
              <w:left w:val="nil"/>
              <w:bottom w:val="nil"/>
              <w:right w:val="nil"/>
            </w:tcBorders>
          </w:tcPr>
          <w:p w14:paraId="251B930A" w14:textId="4B743C80" w:rsidR="0060382A" w:rsidRPr="00220A8C" w:rsidRDefault="0060382A" w:rsidP="0060382A">
            <w:pPr>
              <w:pStyle w:val="CETBodytext"/>
              <w:jc w:val="center"/>
            </w:pPr>
            <w:r w:rsidRPr="00AB50EF">
              <w:t>520</w:t>
            </w:r>
          </w:p>
        </w:tc>
        <w:tc>
          <w:tcPr>
            <w:tcW w:w="1304" w:type="dxa"/>
            <w:tcBorders>
              <w:top w:val="nil"/>
              <w:left w:val="nil"/>
              <w:bottom w:val="nil"/>
              <w:right w:val="nil"/>
            </w:tcBorders>
          </w:tcPr>
          <w:p w14:paraId="2DE4BF20" w14:textId="072E99CB" w:rsidR="0060382A" w:rsidRPr="00220A8C" w:rsidRDefault="0060382A" w:rsidP="0060382A">
            <w:pPr>
              <w:pStyle w:val="CETBodytext"/>
              <w:jc w:val="center"/>
            </w:pPr>
            <w:r w:rsidRPr="00AB50EF">
              <w:t>43.23</w:t>
            </w:r>
          </w:p>
        </w:tc>
        <w:tc>
          <w:tcPr>
            <w:tcW w:w="2154" w:type="dxa"/>
            <w:tcBorders>
              <w:top w:val="nil"/>
              <w:left w:val="nil"/>
              <w:bottom w:val="nil"/>
              <w:right w:val="nil"/>
            </w:tcBorders>
          </w:tcPr>
          <w:p w14:paraId="3B84F5F5" w14:textId="11F31FBC" w:rsidR="0060382A" w:rsidRPr="00220A8C" w:rsidRDefault="0060382A" w:rsidP="0060382A">
            <w:pPr>
              <w:pStyle w:val="CETBodytext"/>
              <w:jc w:val="center"/>
            </w:pPr>
            <w:r w:rsidRPr="00AB50EF">
              <w:t>0.0274</w:t>
            </w:r>
          </w:p>
        </w:tc>
      </w:tr>
      <w:tr w:rsidR="0060382A" w:rsidRPr="00220A8C" w14:paraId="35186EE6" w14:textId="77777777" w:rsidTr="0060382A">
        <w:trPr>
          <w:trHeight w:val="176"/>
        </w:trPr>
        <w:tc>
          <w:tcPr>
            <w:tcW w:w="1134" w:type="dxa"/>
            <w:tcBorders>
              <w:top w:val="nil"/>
              <w:left w:val="nil"/>
              <w:bottom w:val="nil"/>
              <w:right w:val="nil"/>
            </w:tcBorders>
            <w:vAlign w:val="center"/>
          </w:tcPr>
          <w:p w14:paraId="0660E251" w14:textId="77777777" w:rsidR="0060382A" w:rsidRPr="00220A8C" w:rsidRDefault="0060382A" w:rsidP="0060382A">
            <w:pPr>
              <w:pStyle w:val="CETBodytext"/>
              <w:jc w:val="center"/>
            </w:pPr>
            <w:r w:rsidRPr="00220A8C">
              <w:t>4</w:t>
            </w:r>
          </w:p>
        </w:tc>
        <w:tc>
          <w:tcPr>
            <w:tcW w:w="1701" w:type="dxa"/>
            <w:tcBorders>
              <w:top w:val="nil"/>
              <w:left w:val="nil"/>
              <w:bottom w:val="nil"/>
              <w:right w:val="nil"/>
            </w:tcBorders>
          </w:tcPr>
          <w:p w14:paraId="4DD6FBFE" w14:textId="437BD9BA" w:rsidR="0060382A" w:rsidRPr="00220A8C" w:rsidRDefault="0060382A" w:rsidP="0060382A">
            <w:pPr>
              <w:pStyle w:val="CETBodytext"/>
              <w:jc w:val="center"/>
            </w:pPr>
            <w:r w:rsidRPr="00AB50EF">
              <w:t>0</w:t>
            </w:r>
          </w:p>
        </w:tc>
        <w:tc>
          <w:tcPr>
            <w:tcW w:w="2494" w:type="dxa"/>
            <w:tcBorders>
              <w:top w:val="nil"/>
              <w:left w:val="nil"/>
              <w:bottom w:val="nil"/>
              <w:right w:val="nil"/>
            </w:tcBorders>
          </w:tcPr>
          <w:p w14:paraId="4B8E0C73" w14:textId="57CFF84E" w:rsidR="0060382A" w:rsidRPr="00220A8C" w:rsidRDefault="0060382A" w:rsidP="0060382A">
            <w:pPr>
              <w:pStyle w:val="CETBodytext"/>
              <w:jc w:val="center"/>
            </w:pPr>
            <w:r w:rsidRPr="00AB50EF">
              <w:t>570</w:t>
            </w:r>
          </w:p>
        </w:tc>
        <w:tc>
          <w:tcPr>
            <w:tcW w:w="1304" w:type="dxa"/>
            <w:tcBorders>
              <w:top w:val="nil"/>
              <w:left w:val="nil"/>
              <w:bottom w:val="nil"/>
              <w:right w:val="nil"/>
            </w:tcBorders>
          </w:tcPr>
          <w:p w14:paraId="23807511" w14:textId="1E50F92A" w:rsidR="0060382A" w:rsidRPr="00220A8C" w:rsidRDefault="0060382A" w:rsidP="0060382A">
            <w:pPr>
              <w:pStyle w:val="CETBodytext"/>
              <w:jc w:val="center"/>
            </w:pPr>
            <w:r w:rsidRPr="00AB50EF">
              <w:t>0.6377</w:t>
            </w:r>
          </w:p>
        </w:tc>
        <w:tc>
          <w:tcPr>
            <w:tcW w:w="2154" w:type="dxa"/>
            <w:tcBorders>
              <w:top w:val="nil"/>
              <w:left w:val="nil"/>
              <w:bottom w:val="nil"/>
              <w:right w:val="nil"/>
            </w:tcBorders>
          </w:tcPr>
          <w:p w14:paraId="1217C620" w14:textId="0818E933" w:rsidR="0060382A" w:rsidRPr="00220A8C" w:rsidRDefault="00ED3298" w:rsidP="0060382A">
            <w:pPr>
              <w:pStyle w:val="CETBodytext"/>
              <w:jc w:val="center"/>
            </w:pPr>
            <w:r>
              <w:t>0.000262</w:t>
            </w:r>
          </w:p>
        </w:tc>
      </w:tr>
      <w:tr w:rsidR="0060382A" w:rsidRPr="00220A8C" w14:paraId="244ED37E" w14:textId="77777777" w:rsidTr="0060382A">
        <w:trPr>
          <w:trHeight w:val="176"/>
        </w:trPr>
        <w:tc>
          <w:tcPr>
            <w:tcW w:w="1134" w:type="dxa"/>
            <w:tcBorders>
              <w:top w:val="nil"/>
              <w:left w:val="nil"/>
              <w:bottom w:val="nil"/>
              <w:right w:val="nil"/>
            </w:tcBorders>
            <w:vAlign w:val="center"/>
          </w:tcPr>
          <w:p w14:paraId="05634D04" w14:textId="77777777" w:rsidR="0060382A" w:rsidRPr="00220A8C" w:rsidRDefault="0060382A" w:rsidP="0060382A">
            <w:pPr>
              <w:pStyle w:val="CETBodytext"/>
              <w:jc w:val="center"/>
            </w:pPr>
            <w:r w:rsidRPr="00220A8C">
              <w:t>5</w:t>
            </w:r>
          </w:p>
        </w:tc>
        <w:tc>
          <w:tcPr>
            <w:tcW w:w="1701" w:type="dxa"/>
            <w:tcBorders>
              <w:top w:val="nil"/>
              <w:left w:val="nil"/>
              <w:bottom w:val="nil"/>
              <w:right w:val="nil"/>
            </w:tcBorders>
          </w:tcPr>
          <w:p w14:paraId="4D8E55AA" w14:textId="1A8E18A2" w:rsidR="0060382A" w:rsidRPr="00220A8C" w:rsidRDefault="0060382A" w:rsidP="0060382A">
            <w:pPr>
              <w:pStyle w:val="CETBodytext"/>
              <w:jc w:val="center"/>
            </w:pPr>
            <w:r w:rsidRPr="00AB50EF">
              <w:t>120</w:t>
            </w:r>
          </w:p>
        </w:tc>
        <w:tc>
          <w:tcPr>
            <w:tcW w:w="2494" w:type="dxa"/>
            <w:tcBorders>
              <w:top w:val="nil"/>
              <w:left w:val="nil"/>
              <w:bottom w:val="nil"/>
              <w:right w:val="nil"/>
            </w:tcBorders>
          </w:tcPr>
          <w:p w14:paraId="687931F9" w14:textId="21F7E3A2" w:rsidR="0060382A" w:rsidRPr="00220A8C" w:rsidRDefault="0060382A" w:rsidP="0060382A">
            <w:pPr>
              <w:pStyle w:val="CETBodytext"/>
              <w:jc w:val="center"/>
            </w:pPr>
            <w:r w:rsidRPr="00AB50EF">
              <w:t>470</w:t>
            </w:r>
          </w:p>
        </w:tc>
        <w:tc>
          <w:tcPr>
            <w:tcW w:w="1304" w:type="dxa"/>
            <w:tcBorders>
              <w:top w:val="nil"/>
              <w:left w:val="nil"/>
              <w:bottom w:val="nil"/>
              <w:right w:val="nil"/>
            </w:tcBorders>
          </w:tcPr>
          <w:p w14:paraId="0C7F07C9" w14:textId="01AE203E" w:rsidR="0060382A" w:rsidRPr="00220A8C" w:rsidRDefault="0060382A" w:rsidP="0060382A">
            <w:pPr>
              <w:pStyle w:val="CETBodytext"/>
              <w:jc w:val="center"/>
            </w:pPr>
            <w:r w:rsidRPr="00AB50EF">
              <w:t>25.73</w:t>
            </w:r>
          </w:p>
        </w:tc>
        <w:tc>
          <w:tcPr>
            <w:tcW w:w="2154" w:type="dxa"/>
            <w:tcBorders>
              <w:top w:val="nil"/>
              <w:left w:val="nil"/>
              <w:bottom w:val="nil"/>
              <w:right w:val="nil"/>
            </w:tcBorders>
          </w:tcPr>
          <w:p w14:paraId="005A53D5" w14:textId="72B3D317" w:rsidR="0060382A" w:rsidRPr="00220A8C" w:rsidRDefault="0060382A" w:rsidP="0060382A">
            <w:pPr>
              <w:pStyle w:val="CETBodytext"/>
              <w:jc w:val="center"/>
            </w:pPr>
            <w:r w:rsidRPr="00AB50EF">
              <w:t>0.0118</w:t>
            </w:r>
          </w:p>
        </w:tc>
      </w:tr>
      <w:tr w:rsidR="0060382A" w:rsidRPr="00220A8C" w14:paraId="03BBBDCC" w14:textId="77777777" w:rsidTr="0060382A">
        <w:trPr>
          <w:trHeight w:val="176"/>
        </w:trPr>
        <w:tc>
          <w:tcPr>
            <w:tcW w:w="1134" w:type="dxa"/>
            <w:tcBorders>
              <w:top w:val="nil"/>
              <w:left w:val="nil"/>
              <w:bottom w:val="nil"/>
              <w:right w:val="nil"/>
            </w:tcBorders>
            <w:vAlign w:val="center"/>
          </w:tcPr>
          <w:p w14:paraId="7F145CB1" w14:textId="77777777" w:rsidR="0060382A" w:rsidRPr="00220A8C" w:rsidRDefault="0060382A" w:rsidP="0060382A">
            <w:pPr>
              <w:pStyle w:val="CETBodytext"/>
              <w:jc w:val="center"/>
            </w:pPr>
            <w:r w:rsidRPr="00220A8C">
              <w:t>6</w:t>
            </w:r>
          </w:p>
        </w:tc>
        <w:tc>
          <w:tcPr>
            <w:tcW w:w="1701" w:type="dxa"/>
            <w:tcBorders>
              <w:top w:val="nil"/>
              <w:left w:val="nil"/>
              <w:bottom w:val="nil"/>
              <w:right w:val="nil"/>
            </w:tcBorders>
          </w:tcPr>
          <w:p w14:paraId="4B34EB4F" w14:textId="1C535EEA" w:rsidR="0060382A" w:rsidRPr="00220A8C" w:rsidRDefault="0060382A" w:rsidP="0060382A">
            <w:pPr>
              <w:pStyle w:val="CETBodytext"/>
              <w:jc w:val="center"/>
            </w:pPr>
            <w:r w:rsidRPr="00AB50EF">
              <w:t>60</w:t>
            </w:r>
          </w:p>
        </w:tc>
        <w:tc>
          <w:tcPr>
            <w:tcW w:w="2494" w:type="dxa"/>
            <w:tcBorders>
              <w:top w:val="nil"/>
              <w:left w:val="nil"/>
              <w:bottom w:val="nil"/>
              <w:right w:val="nil"/>
            </w:tcBorders>
          </w:tcPr>
          <w:p w14:paraId="48341D06" w14:textId="7F18E0F5" w:rsidR="0060382A" w:rsidRPr="00220A8C" w:rsidRDefault="0060382A" w:rsidP="0060382A">
            <w:pPr>
              <w:pStyle w:val="CETBodytext"/>
              <w:jc w:val="center"/>
            </w:pPr>
            <w:r w:rsidRPr="00AB50EF">
              <w:t>570</w:t>
            </w:r>
          </w:p>
        </w:tc>
        <w:tc>
          <w:tcPr>
            <w:tcW w:w="1304" w:type="dxa"/>
            <w:tcBorders>
              <w:top w:val="nil"/>
              <w:left w:val="nil"/>
              <w:bottom w:val="nil"/>
              <w:right w:val="nil"/>
            </w:tcBorders>
          </w:tcPr>
          <w:p w14:paraId="124A5B87" w14:textId="22957C44" w:rsidR="0060382A" w:rsidRPr="00220A8C" w:rsidRDefault="0060382A" w:rsidP="0060382A">
            <w:pPr>
              <w:pStyle w:val="CETBodytext"/>
              <w:jc w:val="center"/>
            </w:pPr>
            <w:r w:rsidRPr="00AB50EF">
              <w:t>9.968</w:t>
            </w:r>
          </w:p>
        </w:tc>
        <w:tc>
          <w:tcPr>
            <w:tcW w:w="2154" w:type="dxa"/>
            <w:tcBorders>
              <w:top w:val="nil"/>
              <w:left w:val="nil"/>
              <w:bottom w:val="nil"/>
              <w:right w:val="nil"/>
            </w:tcBorders>
          </w:tcPr>
          <w:p w14:paraId="49A6168B" w14:textId="61ED11F3" w:rsidR="0060382A" w:rsidRPr="00220A8C" w:rsidRDefault="0060382A" w:rsidP="0060382A">
            <w:pPr>
              <w:pStyle w:val="CETBodytext"/>
              <w:jc w:val="center"/>
            </w:pPr>
            <w:r w:rsidRPr="00AB50EF">
              <w:t>0.0117</w:t>
            </w:r>
          </w:p>
        </w:tc>
      </w:tr>
      <w:tr w:rsidR="0060382A" w:rsidRPr="00220A8C" w14:paraId="0A040A87" w14:textId="77777777" w:rsidTr="0060382A">
        <w:trPr>
          <w:trHeight w:val="176"/>
        </w:trPr>
        <w:tc>
          <w:tcPr>
            <w:tcW w:w="1134" w:type="dxa"/>
            <w:tcBorders>
              <w:top w:val="nil"/>
              <w:left w:val="nil"/>
              <w:bottom w:val="nil"/>
              <w:right w:val="nil"/>
            </w:tcBorders>
            <w:vAlign w:val="center"/>
          </w:tcPr>
          <w:p w14:paraId="546CF2C8" w14:textId="77777777" w:rsidR="0060382A" w:rsidRPr="00220A8C" w:rsidRDefault="0060382A" w:rsidP="0060382A">
            <w:pPr>
              <w:pStyle w:val="CETBodytext"/>
              <w:jc w:val="center"/>
            </w:pPr>
            <w:r w:rsidRPr="00220A8C">
              <w:t>7</w:t>
            </w:r>
          </w:p>
        </w:tc>
        <w:tc>
          <w:tcPr>
            <w:tcW w:w="1701" w:type="dxa"/>
            <w:tcBorders>
              <w:top w:val="nil"/>
              <w:left w:val="nil"/>
              <w:bottom w:val="nil"/>
              <w:right w:val="nil"/>
            </w:tcBorders>
          </w:tcPr>
          <w:p w14:paraId="72AABAEB" w14:textId="63D55C89" w:rsidR="0060382A" w:rsidRPr="00220A8C" w:rsidRDefault="0060382A" w:rsidP="0060382A">
            <w:pPr>
              <w:pStyle w:val="CETBodytext"/>
              <w:jc w:val="center"/>
            </w:pPr>
            <w:r w:rsidRPr="00AB50EF">
              <w:t>0</w:t>
            </w:r>
          </w:p>
        </w:tc>
        <w:tc>
          <w:tcPr>
            <w:tcW w:w="2494" w:type="dxa"/>
            <w:tcBorders>
              <w:top w:val="nil"/>
              <w:left w:val="nil"/>
              <w:bottom w:val="nil"/>
              <w:right w:val="nil"/>
            </w:tcBorders>
          </w:tcPr>
          <w:p w14:paraId="1AD1C887" w14:textId="76D962CE" w:rsidR="0060382A" w:rsidRPr="00220A8C" w:rsidRDefault="0060382A" w:rsidP="0060382A">
            <w:pPr>
              <w:pStyle w:val="CETBodytext"/>
              <w:jc w:val="center"/>
            </w:pPr>
            <w:r w:rsidRPr="00AB50EF">
              <w:t>470</w:t>
            </w:r>
          </w:p>
        </w:tc>
        <w:tc>
          <w:tcPr>
            <w:tcW w:w="1304" w:type="dxa"/>
            <w:tcBorders>
              <w:top w:val="nil"/>
              <w:left w:val="nil"/>
              <w:bottom w:val="nil"/>
              <w:right w:val="nil"/>
            </w:tcBorders>
          </w:tcPr>
          <w:p w14:paraId="7D069FF5" w14:textId="688ACD1A" w:rsidR="0060382A" w:rsidRPr="00220A8C" w:rsidRDefault="0060382A" w:rsidP="0060382A">
            <w:pPr>
              <w:pStyle w:val="CETBodytext"/>
              <w:jc w:val="center"/>
            </w:pPr>
            <w:r w:rsidRPr="00AB50EF">
              <w:t>20.87</w:t>
            </w:r>
          </w:p>
        </w:tc>
        <w:tc>
          <w:tcPr>
            <w:tcW w:w="2154" w:type="dxa"/>
            <w:tcBorders>
              <w:top w:val="nil"/>
              <w:left w:val="nil"/>
              <w:bottom w:val="nil"/>
              <w:right w:val="nil"/>
            </w:tcBorders>
          </w:tcPr>
          <w:p w14:paraId="02336DB3" w14:textId="3EB70865" w:rsidR="0060382A" w:rsidRPr="00220A8C" w:rsidRDefault="0060382A" w:rsidP="0060382A">
            <w:pPr>
              <w:pStyle w:val="CETBodytext"/>
              <w:jc w:val="center"/>
            </w:pPr>
            <w:r w:rsidRPr="00AB50EF">
              <w:t>0.0090</w:t>
            </w:r>
            <w:r w:rsidR="00ED3298">
              <w:t>1</w:t>
            </w:r>
          </w:p>
        </w:tc>
      </w:tr>
      <w:tr w:rsidR="0060382A" w:rsidRPr="00220A8C" w14:paraId="2BF74DE2" w14:textId="77777777" w:rsidTr="0060382A">
        <w:trPr>
          <w:trHeight w:val="176"/>
        </w:trPr>
        <w:tc>
          <w:tcPr>
            <w:tcW w:w="1134" w:type="dxa"/>
            <w:tcBorders>
              <w:top w:val="nil"/>
              <w:left w:val="nil"/>
              <w:bottom w:val="nil"/>
              <w:right w:val="nil"/>
            </w:tcBorders>
            <w:vAlign w:val="center"/>
          </w:tcPr>
          <w:p w14:paraId="58148DBF" w14:textId="77777777" w:rsidR="0060382A" w:rsidRPr="00220A8C" w:rsidRDefault="0060382A" w:rsidP="0060382A">
            <w:pPr>
              <w:pStyle w:val="CETBodytext"/>
              <w:jc w:val="center"/>
            </w:pPr>
            <w:r w:rsidRPr="00220A8C">
              <w:t>8</w:t>
            </w:r>
          </w:p>
        </w:tc>
        <w:tc>
          <w:tcPr>
            <w:tcW w:w="1701" w:type="dxa"/>
            <w:tcBorders>
              <w:top w:val="nil"/>
              <w:left w:val="nil"/>
              <w:bottom w:val="nil"/>
              <w:right w:val="nil"/>
            </w:tcBorders>
          </w:tcPr>
          <w:p w14:paraId="278ECBC5" w14:textId="56469B7F" w:rsidR="0060382A" w:rsidRPr="00220A8C" w:rsidRDefault="0060382A" w:rsidP="0060382A">
            <w:pPr>
              <w:pStyle w:val="CETBodytext"/>
              <w:jc w:val="center"/>
            </w:pPr>
            <w:r w:rsidRPr="00AB50EF">
              <w:t>120</w:t>
            </w:r>
          </w:p>
        </w:tc>
        <w:tc>
          <w:tcPr>
            <w:tcW w:w="2494" w:type="dxa"/>
            <w:tcBorders>
              <w:top w:val="nil"/>
              <w:left w:val="nil"/>
              <w:bottom w:val="nil"/>
              <w:right w:val="nil"/>
            </w:tcBorders>
          </w:tcPr>
          <w:p w14:paraId="2C2C04A2" w14:textId="34A9D161" w:rsidR="0060382A" w:rsidRPr="00220A8C" w:rsidRDefault="0060382A" w:rsidP="0060382A">
            <w:pPr>
              <w:pStyle w:val="CETBodytext"/>
              <w:jc w:val="center"/>
            </w:pPr>
            <w:r w:rsidRPr="00AB50EF">
              <w:t>570</w:t>
            </w:r>
          </w:p>
        </w:tc>
        <w:tc>
          <w:tcPr>
            <w:tcW w:w="1304" w:type="dxa"/>
            <w:tcBorders>
              <w:top w:val="nil"/>
              <w:left w:val="nil"/>
              <w:bottom w:val="nil"/>
              <w:right w:val="nil"/>
            </w:tcBorders>
          </w:tcPr>
          <w:p w14:paraId="2FBA79F1" w14:textId="2CCF9B82" w:rsidR="0060382A" w:rsidRPr="00220A8C" w:rsidRDefault="0060382A" w:rsidP="0060382A">
            <w:pPr>
              <w:pStyle w:val="CETBodytext"/>
              <w:jc w:val="center"/>
            </w:pPr>
            <w:r w:rsidRPr="00AB50EF">
              <w:t>15.38</w:t>
            </w:r>
          </w:p>
        </w:tc>
        <w:tc>
          <w:tcPr>
            <w:tcW w:w="2154" w:type="dxa"/>
            <w:tcBorders>
              <w:top w:val="nil"/>
              <w:left w:val="nil"/>
              <w:bottom w:val="nil"/>
              <w:right w:val="nil"/>
            </w:tcBorders>
          </w:tcPr>
          <w:p w14:paraId="1FE4EA25" w14:textId="58D99481" w:rsidR="0060382A" w:rsidRPr="00220A8C" w:rsidRDefault="0060382A" w:rsidP="0060382A">
            <w:pPr>
              <w:pStyle w:val="CETBodytext"/>
              <w:jc w:val="center"/>
            </w:pPr>
            <w:r w:rsidRPr="00AB50EF">
              <w:t>0.0131</w:t>
            </w:r>
          </w:p>
        </w:tc>
      </w:tr>
      <w:tr w:rsidR="0060382A" w:rsidRPr="00220A8C" w14:paraId="751A93CE" w14:textId="77777777" w:rsidTr="0060382A">
        <w:trPr>
          <w:trHeight w:val="176"/>
        </w:trPr>
        <w:tc>
          <w:tcPr>
            <w:tcW w:w="1134" w:type="dxa"/>
            <w:tcBorders>
              <w:top w:val="nil"/>
              <w:left w:val="nil"/>
              <w:bottom w:val="nil"/>
              <w:right w:val="nil"/>
            </w:tcBorders>
            <w:vAlign w:val="center"/>
          </w:tcPr>
          <w:p w14:paraId="497392AB" w14:textId="77777777" w:rsidR="0060382A" w:rsidRPr="00220A8C" w:rsidRDefault="0060382A" w:rsidP="0060382A">
            <w:pPr>
              <w:pStyle w:val="CETBodytext"/>
              <w:jc w:val="center"/>
            </w:pPr>
            <w:r w:rsidRPr="00220A8C">
              <w:t>9</w:t>
            </w:r>
          </w:p>
        </w:tc>
        <w:tc>
          <w:tcPr>
            <w:tcW w:w="1701" w:type="dxa"/>
            <w:tcBorders>
              <w:top w:val="nil"/>
              <w:left w:val="nil"/>
              <w:bottom w:val="nil"/>
              <w:right w:val="nil"/>
            </w:tcBorders>
          </w:tcPr>
          <w:p w14:paraId="71CE9378" w14:textId="123DC198" w:rsidR="0060382A" w:rsidRPr="00220A8C" w:rsidRDefault="0060382A" w:rsidP="0060382A">
            <w:pPr>
              <w:pStyle w:val="CETBodytext"/>
              <w:jc w:val="center"/>
            </w:pPr>
            <w:r w:rsidRPr="00AB50EF">
              <w:t>60</w:t>
            </w:r>
          </w:p>
        </w:tc>
        <w:tc>
          <w:tcPr>
            <w:tcW w:w="2494" w:type="dxa"/>
            <w:tcBorders>
              <w:top w:val="nil"/>
              <w:left w:val="nil"/>
              <w:bottom w:val="nil"/>
              <w:right w:val="nil"/>
            </w:tcBorders>
          </w:tcPr>
          <w:p w14:paraId="1CFC4B45" w14:textId="257949D2" w:rsidR="0060382A" w:rsidRPr="00220A8C" w:rsidRDefault="0060382A" w:rsidP="0060382A">
            <w:pPr>
              <w:pStyle w:val="CETBodytext"/>
              <w:jc w:val="center"/>
            </w:pPr>
            <w:r w:rsidRPr="00AB50EF">
              <w:t>470</w:t>
            </w:r>
          </w:p>
        </w:tc>
        <w:tc>
          <w:tcPr>
            <w:tcW w:w="1304" w:type="dxa"/>
            <w:tcBorders>
              <w:top w:val="nil"/>
              <w:left w:val="nil"/>
              <w:bottom w:val="nil"/>
              <w:right w:val="nil"/>
            </w:tcBorders>
          </w:tcPr>
          <w:p w14:paraId="15E06678" w14:textId="7746DA68" w:rsidR="0060382A" w:rsidRPr="00220A8C" w:rsidRDefault="0060382A" w:rsidP="0060382A">
            <w:pPr>
              <w:pStyle w:val="CETBodytext"/>
              <w:jc w:val="center"/>
            </w:pPr>
            <w:r w:rsidRPr="00AB50EF">
              <w:t>32.28</w:t>
            </w:r>
          </w:p>
        </w:tc>
        <w:tc>
          <w:tcPr>
            <w:tcW w:w="2154" w:type="dxa"/>
            <w:tcBorders>
              <w:top w:val="nil"/>
              <w:left w:val="nil"/>
              <w:bottom w:val="nil"/>
              <w:right w:val="nil"/>
            </w:tcBorders>
          </w:tcPr>
          <w:p w14:paraId="5CC7B93F" w14:textId="4C1279A4" w:rsidR="0060382A" w:rsidRPr="00220A8C" w:rsidRDefault="0060382A" w:rsidP="0060382A">
            <w:pPr>
              <w:pStyle w:val="CETBodytext"/>
              <w:jc w:val="center"/>
            </w:pPr>
            <w:r w:rsidRPr="00AB50EF">
              <w:t>0.0154</w:t>
            </w:r>
          </w:p>
        </w:tc>
      </w:tr>
      <w:tr w:rsidR="0060382A" w:rsidRPr="00220A8C" w14:paraId="1DCD798B" w14:textId="77777777" w:rsidTr="0060382A">
        <w:trPr>
          <w:trHeight w:val="176"/>
        </w:trPr>
        <w:tc>
          <w:tcPr>
            <w:tcW w:w="1134" w:type="dxa"/>
            <w:tcBorders>
              <w:top w:val="nil"/>
              <w:left w:val="nil"/>
              <w:bottom w:val="nil"/>
              <w:right w:val="nil"/>
            </w:tcBorders>
            <w:vAlign w:val="center"/>
          </w:tcPr>
          <w:p w14:paraId="17A53196" w14:textId="0CBA587C" w:rsidR="0060382A" w:rsidRPr="00220A8C" w:rsidRDefault="0060382A" w:rsidP="0060382A">
            <w:pPr>
              <w:pStyle w:val="CETBodytext"/>
              <w:jc w:val="center"/>
            </w:pPr>
            <w:r>
              <w:t>10</w:t>
            </w:r>
          </w:p>
        </w:tc>
        <w:tc>
          <w:tcPr>
            <w:tcW w:w="1701" w:type="dxa"/>
            <w:tcBorders>
              <w:top w:val="nil"/>
              <w:left w:val="nil"/>
              <w:bottom w:val="nil"/>
              <w:right w:val="nil"/>
            </w:tcBorders>
          </w:tcPr>
          <w:p w14:paraId="376C02C3" w14:textId="7BD16B1B" w:rsidR="0060382A" w:rsidRPr="00220A8C" w:rsidRDefault="0060382A" w:rsidP="0060382A">
            <w:pPr>
              <w:pStyle w:val="CETBodytext"/>
              <w:jc w:val="center"/>
              <w:rPr>
                <w:color w:val="000000" w:themeColor="text1"/>
                <w:lang w:eastAsia="it-IT"/>
              </w:rPr>
            </w:pPr>
            <w:r w:rsidRPr="00AB50EF">
              <w:t>60</w:t>
            </w:r>
          </w:p>
        </w:tc>
        <w:tc>
          <w:tcPr>
            <w:tcW w:w="2494" w:type="dxa"/>
            <w:tcBorders>
              <w:top w:val="nil"/>
              <w:left w:val="nil"/>
              <w:bottom w:val="nil"/>
              <w:right w:val="nil"/>
            </w:tcBorders>
          </w:tcPr>
          <w:p w14:paraId="45B2C051" w14:textId="2C06E58B" w:rsidR="0060382A" w:rsidRPr="00220A8C" w:rsidRDefault="0060382A" w:rsidP="0060382A">
            <w:pPr>
              <w:pStyle w:val="CETBodytext"/>
              <w:jc w:val="center"/>
              <w:rPr>
                <w:color w:val="000000" w:themeColor="text1"/>
                <w:lang w:eastAsia="it-IT"/>
              </w:rPr>
            </w:pPr>
            <w:r w:rsidRPr="00AB50EF">
              <w:t>520</w:t>
            </w:r>
          </w:p>
        </w:tc>
        <w:tc>
          <w:tcPr>
            <w:tcW w:w="1304" w:type="dxa"/>
            <w:tcBorders>
              <w:top w:val="nil"/>
              <w:left w:val="nil"/>
              <w:bottom w:val="nil"/>
              <w:right w:val="nil"/>
            </w:tcBorders>
          </w:tcPr>
          <w:p w14:paraId="7588B638" w14:textId="1FA0CD5B" w:rsidR="0060382A" w:rsidRPr="00220A8C" w:rsidRDefault="0060382A" w:rsidP="0060382A">
            <w:pPr>
              <w:pStyle w:val="CETBodytext"/>
              <w:jc w:val="center"/>
              <w:rPr>
                <w:color w:val="000000" w:themeColor="text1"/>
                <w:lang w:eastAsia="it-IT"/>
              </w:rPr>
            </w:pPr>
            <w:r w:rsidRPr="00AB50EF">
              <w:t>36.81</w:t>
            </w:r>
          </w:p>
        </w:tc>
        <w:tc>
          <w:tcPr>
            <w:tcW w:w="2154" w:type="dxa"/>
            <w:tcBorders>
              <w:top w:val="nil"/>
              <w:left w:val="nil"/>
              <w:bottom w:val="nil"/>
              <w:right w:val="nil"/>
            </w:tcBorders>
          </w:tcPr>
          <w:p w14:paraId="18C37789" w14:textId="76F2D6F3" w:rsidR="0060382A" w:rsidRPr="00220A8C" w:rsidRDefault="0060382A" w:rsidP="0060382A">
            <w:pPr>
              <w:pStyle w:val="CETBodytext"/>
              <w:jc w:val="center"/>
            </w:pPr>
            <w:r w:rsidRPr="00AB50EF">
              <w:t>0.0249</w:t>
            </w:r>
          </w:p>
        </w:tc>
      </w:tr>
      <w:tr w:rsidR="0060382A" w:rsidRPr="00220A8C" w14:paraId="528F1B65" w14:textId="77777777" w:rsidTr="0060382A">
        <w:trPr>
          <w:trHeight w:val="176"/>
        </w:trPr>
        <w:tc>
          <w:tcPr>
            <w:tcW w:w="1134" w:type="dxa"/>
            <w:tcBorders>
              <w:top w:val="nil"/>
              <w:left w:val="nil"/>
              <w:bottom w:val="nil"/>
              <w:right w:val="nil"/>
            </w:tcBorders>
            <w:vAlign w:val="center"/>
          </w:tcPr>
          <w:p w14:paraId="6EBC9ADE" w14:textId="51CE995D" w:rsidR="0060382A" w:rsidRPr="00220A8C" w:rsidRDefault="0060382A" w:rsidP="0060382A">
            <w:pPr>
              <w:pStyle w:val="CETBodytext"/>
              <w:jc w:val="center"/>
            </w:pPr>
            <w:r>
              <w:t>11</w:t>
            </w:r>
          </w:p>
        </w:tc>
        <w:tc>
          <w:tcPr>
            <w:tcW w:w="1701" w:type="dxa"/>
            <w:tcBorders>
              <w:top w:val="nil"/>
              <w:left w:val="nil"/>
              <w:bottom w:val="nil"/>
              <w:right w:val="nil"/>
            </w:tcBorders>
          </w:tcPr>
          <w:p w14:paraId="548E1A87" w14:textId="5D2D1FA3" w:rsidR="0060382A" w:rsidRPr="00220A8C" w:rsidRDefault="0060382A" w:rsidP="0060382A">
            <w:pPr>
              <w:pStyle w:val="CETBodytext"/>
              <w:jc w:val="center"/>
              <w:rPr>
                <w:color w:val="000000" w:themeColor="text1"/>
                <w:lang w:eastAsia="it-IT"/>
              </w:rPr>
            </w:pPr>
            <w:r w:rsidRPr="00AB50EF">
              <w:t>120</w:t>
            </w:r>
          </w:p>
        </w:tc>
        <w:tc>
          <w:tcPr>
            <w:tcW w:w="2494" w:type="dxa"/>
            <w:tcBorders>
              <w:top w:val="nil"/>
              <w:left w:val="nil"/>
              <w:bottom w:val="nil"/>
              <w:right w:val="nil"/>
            </w:tcBorders>
          </w:tcPr>
          <w:p w14:paraId="6A9C8BD3" w14:textId="272397B1" w:rsidR="0060382A" w:rsidRPr="00220A8C" w:rsidRDefault="0060382A" w:rsidP="0060382A">
            <w:pPr>
              <w:pStyle w:val="CETBodytext"/>
              <w:jc w:val="center"/>
              <w:rPr>
                <w:color w:val="000000" w:themeColor="text1"/>
                <w:lang w:eastAsia="it-IT"/>
              </w:rPr>
            </w:pPr>
            <w:r w:rsidRPr="00AB50EF">
              <w:t>520</w:t>
            </w:r>
          </w:p>
        </w:tc>
        <w:tc>
          <w:tcPr>
            <w:tcW w:w="1304" w:type="dxa"/>
            <w:tcBorders>
              <w:top w:val="nil"/>
              <w:left w:val="nil"/>
              <w:bottom w:val="nil"/>
              <w:right w:val="nil"/>
            </w:tcBorders>
          </w:tcPr>
          <w:p w14:paraId="12AD153E" w14:textId="1B7F3539" w:rsidR="0060382A" w:rsidRPr="00220A8C" w:rsidRDefault="0060382A" w:rsidP="0060382A">
            <w:pPr>
              <w:pStyle w:val="CETBodytext"/>
              <w:jc w:val="center"/>
              <w:rPr>
                <w:color w:val="000000" w:themeColor="text1"/>
                <w:lang w:eastAsia="it-IT"/>
              </w:rPr>
            </w:pPr>
            <w:r w:rsidRPr="00AB50EF">
              <w:t>38.25</w:t>
            </w:r>
          </w:p>
        </w:tc>
        <w:tc>
          <w:tcPr>
            <w:tcW w:w="2154" w:type="dxa"/>
            <w:tcBorders>
              <w:top w:val="nil"/>
              <w:left w:val="nil"/>
              <w:bottom w:val="nil"/>
              <w:right w:val="nil"/>
            </w:tcBorders>
          </w:tcPr>
          <w:p w14:paraId="15149B1B" w14:textId="7A298FF7" w:rsidR="0060382A" w:rsidRPr="00220A8C" w:rsidRDefault="0060382A" w:rsidP="0060382A">
            <w:pPr>
              <w:pStyle w:val="CETBodytext"/>
              <w:jc w:val="center"/>
            </w:pPr>
            <w:r w:rsidRPr="00AB50EF">
              <w:t>0.0243</w:t>
            </w:r>
          </w:p>
        </w:tc>
      </w:tr>
      <w:tr w:rsidR="0060382A" w:rsidRPr="00220A8C" w14:paraId="32831868" w14:textId="77777777" w:rsidTr="0060382A">
        <w:trPr>
          <w:trHeight w:val="176"/>
        </w:trPr>
        <w:tc>
          <w:tcPr>
            <w:tcW w:w="1134" w:type="dxa"/>
            <w:tcBorders>
              <w:top w:val="nil"/>
              <w:left w:val="nil"/>
              <w:bottom w:val="single" w:sz="12" w:space="0" w:color="00B050"/>
              <w:right w:val="nil"/>
            </w:tcBorders>
            <w:vAlign w:val="center"/>
          </w:tcPr>
          <w:p w14:paraId="571AE18F" w14:textId="61943AED" w:rsidR="0060382A" w:rsidRPr="00220A8C" w:rsidRDefault="0060382A" w:rsidP="0060382A">
            <w:pPr>
              <w:pStyle w:val="CETBodytext"/>
              <w:jc w:val="center"/>
            </w:pPr>
            <w:r>
              <w:t>12</w:t>
            </w:r>
          </w:p>
        </w:tc>
        <w:tc>
          <w:tcPr>
            <w:tcW w:w="1701" w:type="dxa"/>
            <w:tcBorders>
              <w:top w:val="nil"/>
              <w:left w:val="nil"/>
              <w:bottom w:val="single" w:sz="12" w:space="0" w:color="00B050"/>
              <w:right w:val="nil"/>
            </w:tcBorders>
          </w:tcPr>
          <w:p w14:paraId="3D4C0C0F" w14:textId="2FFCC370" w:rsidR="0060382A" w:rsidRPr="00220A8C" w:rsidRDefault="0060382A" w:rsidP="0060382A">
            <w:pPr>
              <w:pStyle w:val="CETBodytext"/>
              <w:jc w:val="center"/>
            </w:pPr>
            <w:r w:rsidRPr="00AB50EF">
              <w:t>0</w:t>
            </w:r>
          </w:p>
        </w:tc>
        <w:tc>
          <w:tcPr>
            <w:tcW w:w="2494" w:type="dxa"/>
            <w:tcBorders>
              <w:top w:val="nil"/>
              <w:left w:val="nil"/>
              <w:bottom w:val="single" w:sz="12" w:space="0" w:color="00B050"/>
              <w:right w:val="nil"/>
            </w:tcBorders>
          </w:tcPr>
          <w:p w14:paraId="29775E83" w14:textId="1D0A5382" w:rsidR="0060382A" w:rsidRPr="00220A8C" w:rsidRDefault="0060382A" w:rsidP="0060382A">
            <w:pPr>
              <w:pStyle w:val="CETBodytext"/>
              <w:jc w:val="center"/>
            </w:pPr>
            <w:r w:rsidRPr="00AB50EF">
              <w:t>520</w:t>
            </w:r>
          </w:p>
        </w:tc>
        <w:tc>
          <w:tcPr>
            <w:tcW w:w="1304" w:type="dxa"/>
            <w:tcBorders>
              <w:top w:val="nil"/>
              <w:left w:val="nil"/>
              <w:bottom w:val="single" w:sz="12" w:space="0" w:color="00B050"/>
              <w:right w:val="nil"/>
            </w:tcBorders>
          </w:tcPr>
          <w:p w14:paraId="637190DE" w14:textId="180B752D" w:rsidR="0060382A" w:rsidRPr="00220A8C" w:rsidRDefault="0060382A" w:rsidP="0060382A">
            <w:pPr>
              <w:pStyle w:val="CETBodytext"/>
              <w:jc w:val="center"/>
            </w:pPr>
            <w:r w:rsidRPr="00AB50EF">
              <w:t>34.20</w:t>
            </w:r>
          </w:p>
        </w:tc>
        <w:tc>
          <w:tcPr>
            <w:tcW w:w="2154" w:type="dxa"/>
            <w:tcBorders>
              <w:top w:val="nil"/>
              <w:left w:val="nil"/>
              <w:bottom w:val="single" w:sz="12" w:space="0" w:color="00B050"/>
              <w:right w:val="nil"/>
            </w:tcBorders>
          </w:tcPr>
          <w:p w14:paraId="16CF8737" w14:textId="753CFC01" w:rsidR="0060382A" w:rsidRPr="00220A8C" w:rsidRDefault="0060382A" w:rsidP="0060382A">
            <w:pPr>
              <w:pStyle w:val="CETBodytext"/>
              <w:jc w:val="center"/>
            </w:pPr>
            <w:r w:rsidRPr="00AB50EF">
              <w:t>0.0122</w:t>
            </w:r>
          </w:p>
        </w:tc>
      </w:tr>
    </w:tbl>
    <w:p w14:paraId="2F464BC8" w14:textId="77777777" w:rsidR="00862E8D" w:rsidRPr="0058152D" w:rsidRDefault="00862E8D" w:rsidP="00862E8D">
      <w:pPr>
        <w:pStyle w:val="CETheadingx"/>
      </w:pPr>
      <w:r w:rsidRPr="0058152D">
        <w:lastRenderedPageBreak/>
        <w:t xml:space="preserve">Parametric models </w:t>
      </w:r>
      <w:r>
        <w:t>and statistical analysis</w:t>
      </w:r>
    </w:p>
    <w:p w14:paraId="49E2E77E" w14:textId="64968678" w:rsidR="00372BCE" w:rsidRDefault="00862E8D" w:rsidP="00372BCE">
      <w:pPr>
        <w:pStyle w:val="CETBodytext"/>
      </w:pPr>
      <w:r>
        <w:t xml:space="preserve">To investigate the combined effect of </w:t>
      </w:r>
      <w:r w:rsidRPr="005D4A46">
        <w:t>the sorbent synthesis conditions and the adsorption operating conditions</w:t>
      </w:r>
      <w:r>
        <w:t xml:space="preserve">, </w:t>
      </w:r>
      <w:r w:rsidRPr="00220A8C">
        <w:t xml:space="preserve">the </w:t>
      </w:r>
      <w:r>
        <w:t xml:space="preserve">CCD </w:t>
      </w:r>
      <w:r w:rsidRPr="00220A8C">
        <w:t>responses</w:t>
      </w:r>
      <w:r>
        <w:t xml:space="preserve"> results of Table 1 were implemented into </w:t>
      </w:r>
      <w:r w:rsidRPr="00220A8C">
        <w:t>the</w:t>
      </w:r>
      <w:r>
        <w:t xml:space="preserve"> </w:t>
      </w:r>
      <w:r w:rsidRPr="00220A8C">
        <w:t>Design Expert</w:t>
      </w:r>
      <w:r w:rsidRPr="005D4A46">
        <w:rPr>
          <w:vertAlign w:val="superscript"/>
        </w:rPr>
        <w:t>®</w:t>
      </w:r>
      <w:r w:rsidRPr="00220A8C">
        <w:t xml:space="preserve"> 13 software</w:t>
      </w:r>
      <w:r>
        <w:t>. R</w:t>
      </w:r>
      <w:r w:rsidRPr="00220A8C">
        <w:t xml:space="preserve">egression calculations were performed </w:t>
      </w:r>
      <w:r>
        <w:t xml:space="preserve">to obtain </w:t>
      </w:r>
      <w:r w:rsidRPr="00220A8C">
        <w:t>polynomial models</w:t>
      </w:r>
      <w:r>
        <w:t xml:space="preserve"> that best fit t</w:t>
      </w:r>
      <w:r w:rsidRPr="00220A8C">
        <w:t xml:space="preserve">he </w:t>
      </w:r>
      <w:r>
        <w:t>experimental results</w:t>
      </w:r>
      <w:r w:rsidRPr="00220A8C">
        <w:t xml:space="preserve">. </w:t>
      </w:r>
      <w:r>
        <w:t>Main and interaction</w:t>
      </w:r>
      <w:r w:rsidRPr="00220A8C">
        <w:t xml:space="preserve"> effects were calculated for </w:t>
      </w:r>
      <w:r>
        <w:t>each model term, and statistic</w:t>
      </w:r>
      <w:r w:rsidRPr="00220A8C">
        <w:t xml:space="preserve"> values</w:t>
      </w:r>
      <w:r>
        <w:t xml:space="preserve"> were determined</w:t>
      </w:r>
      <w:r w:rsidRPr="00220A8C">
        <w:t xml:space="preserve">. </w:t>
      </w:r>
      <w:r>
        <w:t xml:space="preserve">The </w:t>
      </w:r>
      <w:r w:rsidRPr="00220A8C">
        <w:t>statistical significance</w:t>
      </w:r>
      <w:r>
        <w:t xml:space="preserve"> of the selected models was verified by applying the </w:t>
      </w:r>
      <w:r w:rsidRPr="00220A8C">
        <w:t>analysis of variance (ANOVA</w:t>
      </w:r>
      <w:r>
        <w:t>), and the results for both responses are reported in Table 2. T</w:t>
      </w:r>
      <w:r w:rsidRPr="00220A8C">
        <w:t xml:space="preserve">he </w:t>
      </w:r>
      <w:r>
        <w:t xml:space="preserve">obtained </w:t>
      </w:r>
      <w:r w:rsidRPr="00220A8C">
        <w:t>model</w:t>
      </w:r>
      <w:r>
        <w:t>s</w:t>
      </w:r>
      <w:r w:rsidRPr="00220A8C">
        <w:t xml:space="preserve"> </w:t>
      </w:r>
      <w:r>
        <w:t>result both</w:t>
      </w:r>
      <w:r w:rsidRPr="00220A8C">
        <w:t xml:space="preserve"> statistically significant (p-value &lt; 0.05), with an insignificant lack of fit (p-value &gt; 0.</w:t>
      </w:r>
      <w:r>
        <w:t>05</w:t>
      </w:r>
      <w:r w:rsidRPr="00220A8C">
        <w:t xml:space="preserve">) and high values </w:t>
      </w:r>
      <w:r>
        <w:t>of</w:t>
      </w:r>
      <w:r w:rsidRPr="00220A8C">
        <w:t xml:space="preserve"> adjusted R</w:t>
      </w:r>
      <w:r w:rsidRPr="00220A8C">
        <w:rPr>
          <w:vertAlign w:val="superscript"/>
        </w:rPr>
        <w:t>2</w:t>
      </w:r>
      <w:r w:rsidRPr="00641936">
        <w:t xml:space="preserve"> </w:t>
      </w:r>
      <w:r>
        <w:t>(&gt; 0.95).</w:t>
      </w:r>
      <w:r w:rsidRPr="00733E46">
        <w:t xml:space="preserve"> </w:t>
      </w:r>
      <w:r w:rsidRPr="00220A8C">
        <w:t xml:space="preserve">The final parametric models in terms of </w:t>
      </w:r>
      <w:r>
        <w:t>coded</w:t>
      </w:r>
      <w:r w:rsidRPr="00220A8C">
        <w:t xml:space="preserve"> </w:t>
      </w:r>
      <w:r>
        <w:t>factors</w:t>
      </w:r>
      <w:r w:rsidRPr="00220A8C">
        <w:t xml:space="preserve"> for </w:t>
      </w:r>
      <w:r>
        <w:t>Li</w:t>
      </w:r>
      <w:r w:rsidRPr="000D7060">
        <w:rPr>
          <w:vertAlign w:val="subscript"/>
        </w:rPr>
        <w:t>4</w:t>
      </w:r>
      <w:r>
        <w:t>SiO</w:t>
      </w:r>
      <w:r w:rsidRPr="000D7060">
        <w:rPr>
          <w:vertAlign w:val="subscript"/>
        </w:rPr>
        <w:t>4</w:t>
      </w:r>
      <w:r>
        <w:t xml:space="preserve"> conversion</w:t>
      </w:r>
      <w:r w:rsidRPr="00914EA0">
        <w:rPr>
          <w:lang w:val="en-GB"/>
        </w:rPr>
        <w:t xml:space="preserve"> </w:t>
      </w:r>
      <w:r>
        <w:rPr>
          <w:lang w:val="en-GB"/>
        </w:rPr>
        <w:t xml:space="preserve">and adsorption rate </w:t>
      </w:r>
      <w:r>
        <w:t>are given by</w:t>
      </w:r>
      <w:r w:rsidRPr="00220A8C">
        <w:t xml:space="preserve"> Eq(3) and Eq(4), respectively.</w:t>
      </w:r>
      <w:r w:rsidR="00372BCE">
        <w:t xml:space="preserve"> </w:t>
      </w:r>
      <w:r w:rsidRPr="00220A8C">
        <w:t xml:space="preserve">For both responses, a quadratic model </w:t>
      </w:r>
      <w:r>
        <w:t xml:space="preserve">was found to </w:t>
      </w:r>
      <w:r w:rsidRPr="00220A8C">
        <w:t>best fit</w:t>
      </w:r>
      <w:r>
        <w:t xml:space="preserve"> the experimental data.</w:t>
      </w:r>
      <w:r w:rsidR="00372BCE">
        <w:t xml:space="preserve"> </w:t>
      </w:r>
      <w:r w:rsidR="00372BCE" w:rsidRPr="001B2A3A">
        <w:t>The relationship between factors and responses can be visualized through three-dimensional (3D) response</w:t>
      </w:r>
      <w:r w:rsidR="00372BCE" w:rsidRPr="00385F12">
        <w:t xml:space="preserve"> surface plots </w:t>
      </w:r>
      <w:r w:rsidR="00372BCE">
        <w:t>(Figure</w:t>
      </w:r>
      <w:r w:rsidR="00372BCE" w:rsidRPr="00220A8C">
        <w:t xml:space="preserve"> </w:t>
      </w:r>
      <w:r w:rsidR="005F3B4F">
        <w:t>4</w:t>
      </w:r>
      <w:r w:rsidR="00372BCE">
        <w:t xml:space="preserve">). According to ANOVA results (Table 2) and the model equations, the adsorption temperature is the variable that most affects both the </w:t>
      </w:r>
      <w:r w:rsidR="00372BCE" w:rsidRPr="004E7811">
        <w:t>Li</w:t>
      </w:r>
      <w:r w:rsidR="00372BCE" w:rsidRPr="004E7811">
        <w:rPr>
          <w:vertAlign w:val="subscript"/>
        </w:rPr>
        <w:t>4</w:t>
      </w:r>
      <w:r w:rsidR="00372BCE" w:rsidRPr="004E7811">
        <w:t>SiO</w:t>
      </w:r>
      <w:r w:rsidR="00372BCE" w:rsidRPr="004E7811">
        <w:rPr>
          <w:vertAlign w:val="subscript"/>
        </w:rPr>
        <w:t>4</w:t>
      </w:r>
      <w:r w:rsidR="00372BCE" w:rsidRPr="004E7811">
        <w:t xml:space="preserve"> conversion and </w:t>
      </w:r>
      <w:r w:rsidR="00372BCE">
        <w:t xml:space="preserve">the </w:t>
      </w:r>
      <w:r w:rsidR="00372BCE" w:rsidRPr="004E7811">
        <w:t>adsorption rate</w:t>
      </w:r>
      <w:r w:rsidR="00372BCE">
        <w:t xml:space="preserve">, </w:t>
      </w:r>
      <w:r w:rsidR="00372BCE" w:rsidRPr="00132714">
        <w:t>and it demonstrate</w:t>
      </w:r>
      <w:r w:rsidR="00372BCE">
        <w:t>s</w:t>
      </w:r>
      <w:r w:rsidR="00372BCE" w:rsidRPr="00132714">
        <w:t xml:space="preserve"> a quadratic effect on the responses (due to </w:t>
      </w:r>
      <w:r w:rsidR="00372BCE">
        <w:t>B</w:t>
      </w:r>
      <w:r w:rsidR="00372BCE" w:rsidRPr="004C18FD">
        <w:rPr>
          <w:vertAlign w:val="superscript"/>
        </w:rPr>
        <w:t>2</w:t>
      </w:r>
      <w:r w:rsidR="00372BCE" w:rsidRPr="00132714">
        <w:t xml:space="preserve"> term) visible by a curvatur</w:t>
      </w:r>
      <w:r w:rsidR="00372BCE">
        <w:t xml:space="preserve">e in the model graphs of Figure </w:t>
      </w:r>
      <w:r w:rsidR="005F3B4F">
        <w:t>4</w:t>
      </w:r>
      <w:r w:rsidR="00372BCE">
        <w:t>.</w:t>
      </w:r>
    </w:p>
    <w:p w14:paraId="7CDFF7DB" w14:textId="4C7A26B6" w:rsidR="000C211D" w:rsidRPr="00220A8C" w:rsidRDefault="000C211D" w:rsidP="00372BCE">
      <w:pPr>
        <w:pStyle w:val="CETTabletitle"/>
        <w:spacing w:before="120"/>
        <w:rPr>
          <w:lang w:val="en-US"/>
        </w:rPr>
      </w:pPr>
      <w:r w:rsidRPr="00220A8C">
        <w:rPr>
          <w:lang w:val="en-US"/>
        </w:rPr>
        <w:t xml:space="preserve">Table </w:t>
      </w:r>
      <w:r w:rsidR="00862E8D">
        <w:rPr>
          <w:lang w:val="en-US"/>
        </w:rPr>
        <w:t>2</w:t>
      </w:r>
      <w:r w:rsidRPr="00220A8C">
        <w:rPr>
          <w:lang w:val="en-US"/>
        </w:rPr>
        <w:t xml:space="preserve">: ANOVA results of </w:t>
      </w:r>
      <w:r w:rsidR="00F70CF6">
        <w:t>Li</w:t>
      </w:r>
      <w:r w:rsidR="00F70CF6" w:rsidRPr="000D7060">
        <w:rPr>
          <w:vertAlign w:val="subscript"/>
        </w:rPr>
        <w:t>4</w:t>
      </w:r>
      <w:r w:rsidR="00F70CF6">
        <w:t>SiO</w:t>
      </w:r>
      <w:r w:rsidR="00F70CF6" w:rsidRPr="000D7060">
        <w:rPr>
          <w:vertAlign w:val="subscript"/>
        </w:rPr>
        <w:t>4</w:t>
      </w:r>
      <w:r w:rsidR="00F70CF6">
        <w:t xml:space="preserve"> conversion</w:t>
      </w:r>
      <w:r w:rsidR="001D45FB">
        <w:t xml:space="preserve"> and adsorption rate</w:t>
      </w:r>
      <w:r w:rsidR="00F70CF6" w:rsidRPr="00914EA0">
        <w:t xml:space="preserve"> </w:t>
      </w:r>
      <w:r w:rsidRPr="00220A8C">
        <w:rPr>
          <w:lang w:val="en-US"/>
        </w:rPr>
        <w:t>response</w:t>
      </w:r>
      <w:r w:rsidR="001D45FB">
        <w:rPr>
          <w:lang w:val="en-US"/>
        </w:rPr>
        <w:t>s</w:t>
      </w:r>
      <w:r w:rsidRPr="00220A8C">
        <w:rPr>
          <w:lang w:val="en-US"/>
        </w:rPr>
        <w:t xml:space="preserve"> for RSM DoE</w:t>
      </w:r>
      <w:r w:rsidR="00F70CF6">
        <w:rPr>
          <w:lang w:val="en-US"/>
        </w:rPr>
        <w:t>.</w:t>
      </w:r>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1219"/>
        <w:gridCol w:w="1578"/>
        <w:gridCol w:w="385"/>
        <w:gridCol w:w="856"/>
        <w:gridCol w:w="965"/>
        <w:gridCol w:w="1578"/>
        <w:gridCol w:w="385"/>
        <w:gridCol w:w="856"/>
        <w:gridCol w:w="965"/>
      </w:tblGrid>
      <w:tr w:rsidR="00B7550A" w:rsidRPr="00220A8C" w14:paraId="6478F800" w14:textId="4C1BB1F8" w:rsidTr="00B7550A">
        <w:trPr>
          <w:trHeight w:val="227"/>
        </w:trPr>
        <w:tc>
          <w:tcPr>
            <w:tcW w:w="694" w:type="pct"/>
            <w:vMerge w:val="restart"/>
            <w:tcBorders>
              <w:top w:val="single" w:sz="12" w:space="0" w:color="00B050"/>
              <w:left w:val="nil"/>
              <w:right w:val="nil"/>
              <w:tl2br w:val="nil"/>
              <w:tr2bl w:val="nil"/>
            </w:tcBorders>
            <w:vAlign w:val="center"/>
          </w:tcPr>
          <w:p w14:paraId="37347BFA" w14:textId="77777777" w:rsidR="00B7550A" w:rsidRPr="00220A8C" w:rsidRDefault="00B7550A" w:rsidP="001B2A3A">
            <w:pPr>
              <w:pStyle w:val="CETBodytext"/>
              <w:jc w:val="left"/>
            </w:pPr>
          </w:p>
        </w:tc>
        <w:tc>
          <w:tcPr>
            <w:tcW w:w="2153" w:type="pct"/>
            <w:gridSpan w:val="4"/>
            <w:tcBorders>
              <w:top w:val="single" w:sz="12" w:space="0" w:color="00B050"/>
              <w:left w:val="nil"/>
              <w:bottom w:val="single" w:sz="4" w:space="0" w:color="00B050"/>
              <w:right w:val="nil"/>
              <w:tl2br w:val="nil"/>
              <w:tr2bl w:val="nil"/>
            </w:tcBorders>
            <w:vAlign w:val="center"/>
          </w:tcPr>
          <w:p w14:paraId="5A388CB9" w14:textId="3E787D53" w:rsidR="00B7550A" w:rsidRDefault="00B7550A" w:rsidP="001B2A3A">
            <w:pPr>
              <w:pStyle w:val="CETBodytext"/>
              <w:jc w:val="center"/>
            </w:pPr>
            <w:r>
              <w:rPr>
                <w:rFonts w:cstheme="minorHAnsi"/>
                <w:color w:val="000000" w:themeColor="text1"/>
                <w:lang w:eastAsia="it-IT"/>
              </w:rPr>
              <w:t>Y</w:t>
            </w:r>
            <w:r w:rsidRPr="001D45FB">
              <w:rPr>
                <w:rFonts w:cstheme="minorHAnsi"/>
                <w:color w:val="000000" w:themeColor="text1"/>
                <w:vertAlign w:val="subscript"/>
                <w:lang w:eastAsia="it-IT"/>
              </w:rPr>
              <w:t>1</w:t>
            </w:r>
            <w:r>
              <w:rPr>
                <w:rFonts w:cstheme="minorHAnsi"/>
                <w:color w:val="000000" w:themeColor="text1"/>
                <w:lang w:eastAsia="it-IT"/>
              </w:rPr>
              <w:t xml:space="preserve"> - </w:t>
            </w:r>
            <w:r w:rsidRPr="001D45FB">
              <w:rPr>
                <w:rFonts w:cstheme="minorHAnsi"/>
                <w:color w:val="000000" w:themeColor="text1"/>
                <w:lang w:eastAsia="it-IT"/>
              </w:rPr>
              <w:t>Li</w:t>
            </w:r>
            <w:r w:rsidRPr="001D45FB">
              <w:rPr>
                <w:rFonts w:cstheme="minorHAnsi"/>
                <w:color w:val="000000" w:themeColor="text1"/>
                <w:vertAlign w:val="subscript"/>
                <w:lang w:eastAsia="it-IT"/>
              </w:rPr>
              <w:t>4</w:t>
            </w:r>
            <w:r w:rsidRPr="001D45FB">
              <w:rPr>
                <w:rFonts w:cstheme="minorHAnsi"/>
                <w:color w:val="000000" w:themeColor="text1"/>
                <w:lang w:eastAsia="it-IT"/>
              </w:rPr>
              <w:t>SiO</w:t>
            </w:r>
            <w:r w:rsidRPr="001D45FB">
              <w:rPr>
                <w:rFonts w:cstheme="minorHAnsi"/>
                <w:color w:val="000000" w:themeColor="text1"/>
                <w:vertAlign w:val="subscript"/>
                <w:lang w:eastAsia="it-IT"/>
              </w:rPr>
              <w:t>4</w:t>
            </w:r>
            <w:r w:rsidRPr="001D45FB">
              <w:rPr>
                <w:rFonts w:cstheme="minorHAnsi"/>
                <w:color w:val="000000" w:themeColor="text1"/>
                <w:lang w:eastAsia="it-IT"/>
              </w:rPr>
              <w:t xml:space="preserve"> conversion</w:t>
            </w:r>
          </w:p>
        </w:tc>
        <w:tc>
          <w:tcPr>
            <w:tcW w:w="2153" w:type="pct"/>
            <w:gridSpan w:val="4"/>
            <w:tcBorders>
              <w:top w:val="single" w:sz="12" w:space="0" w:color="00B050"/>
              <w:left w:val="nil"/>
              <w:bottom w:val="single" w:sz="4" w:space="0" w:color="00B050"/>
              <w:right w:val="nil"/>
              <w:tl2br w:val="nil"/>
              <w:tr2bl w:val="nil"/>
            </w:tcBorders>
          </w:tcPr>
          <w:p w14:paraId="5D8767C9" w14:textId="75CD591A" w:rsidR="00B7550A" w:rsidRDefault="00B7550A" w:rsidP="001B2A3A">
            <w:pPr>
              <w:pStyle w:val="CETBodytext"/>
              <w:jc w:val="center"/>
            </w:pPr>
            <w:r>
              <w:t>Y</w:t>
            </w:r>
            <w:r w:rsidRPr="001D45FB">
              <w:rPr>
                <w:vertAlign w:val="subscript"/>
              </w:rPr>
              <w:t>2</w:t>
            </w:r>
            <w:r>
              <w:t xml:space="preserve"> - Adsorption rate</w:t>
            </w:r>
          </w:p>
        </w:tc>
      </w:tr>
      <w:tr w:rsidR="00B7550A" w:rsidRPr="00220A8C" w14:paraId="3EDB9E46" w14:textId="2EA56B0E" w:rsidTr="00B7550A">
        <w:trPr>
          <w:trHeight w:val="227"/>
        </w:trPr>
        <w:tc>
          <w:tcPr>
            <w:tcW w:w="694" w:type="pct"/>
            <w:vMerge/>
            <w:tcBorders>
              <w:left w:val="nil"/>
              <w:bottom w:val="single" w:sz="4" w:space="0" w:color="00B050"/>
              <w:right w:val="nil"/>
              <w:tl2br w:val="nil"/>
              <w:tr2bl w:val="nil"/>
            </w:tcBorders>
            <w:vAlign w:val="center"/>
          </w:tcPr>
          <w:p w14:paraId="0A9CC6FC" w14:textId="77777777" w:rsidR="00B7550A" w:rsidRPr="00220A8C" w:rsidRDefault="00B7550A" w:rsidP="00B7550A">
            <w:pPr>
              <w:pStyle w:val="CETBodytext"/>
              <w:jc w:val="left"/>
            </w:pPr>
          </w:p>
        </w:tc>
        <w:tc>
          <w:tcPr>
            <w:tcW w:w="898" w:type="pct"/>
            <w:tcBorders>
              <w:top w:val="single" w:sz="4" w:space="0" w:color="00B050"/>
              <w:left w:val="nil"/>
              <w:bottom w:val="single" w:sz="4" w:space="0" w:color="00B050"/>
              <w:right w:val="nil"/>
              <w:tl2br w:val="nil"/>
              <w:tr2bl w:val="nil"/>
            </w:tcBorders>
            <w:vAlign w:val="center"/>
          </w:tcPr>
          <w:p w14:paraId="3B8A560A" w14:textId="25698A9E" w:rsidR="00B7550A" w:rsidRPr="00220A8C" w:rsidRDefault="00B7550A" w:rsidP="00B7550A">
            <w:pPr>
              <w:jc w:val="center"/>
              <w:rPr>
                <w:rFonts w:cstheme="minorHAnsi"/>
                <w:color w:val="000000" w:themeColor="text1"/>
                <w:lang w:val="en-US" w:eastAsia="it-IT"/>
              </w:rPr>
            </w:pPr>
            <w:r w:rsidRPr="00220A8C">
              <w:rPr>
                <w:rFonts w:cstheme="minorHAnsi"/>
                <w:color w:val="000000" w:themeColor="text1"/>
                <w:lang w:val="en-US" w:eastAsia="it-IT"/>
              </w:rPr>
              <w:t>Sum of Squares</w:t>
            </w:r>
          </w:p>
        </w:tc>
        <w:tc>
          <w:tcPr>
            <w:tcW w:w="219" w:type="pct"/>
            <w:tcBorders>
              <w:top w:val="single" w:sz="4" w:space="0" w:color="00B050"/>
              <w:left w:val="nil"/>
              <w:bottom w:val="single" w:sz="4" w:space="0" w:color="00B050"/>
              <w:right w:val="nil"/>
              <w:tl2br w:val="nil"/>
              <w:tr2bl w:val="nil"/>
            </w:tcBorders>
            <w:vAlign w:val="center"/>
          </w:tcPr>
          <w:p w14:paraId="17213C2B" w14:textId="5D2E8FB0" w:rsidR="00B7550A" w:rsidRPr="00220A8C" w:rsidRDefault="00B7550A" w:rsidP="00B7550A">
            <w:pPr>
              <w:pStyle w:val="CETBodytext"/>
              <w:jc w:val="center"/>
              <w:rPr>
                <w:rFonts w:cstheme="minorHAnsi"/>
                <w:color w:val="000000" w:themeColor="text1"/>
                <w:lang w:eastAsia="it-IT"/>
              </w:rPr>
            </w:pPr>
            <w:r w:rsidRPr="00220A8C">
              <w:rPr>
                <w:rFonts w:cstheme="minorHAnsi"/>
                <w:color w:val="000000" w:themeColor="text1"/>
                <w:lang w:eastAsia="it-IT"/>
              </w:rPr>
              <w:t>df</w:t>
            </w:r>
          </w:p>
        </w:tc>
        <w:tc>
          <w:tcPr>
            <w:tcW w:w="487" w:type="pct"/>
            <w:tcBorders>
              <w:top w:val="single" w:sz="4" w:space="0" w:color="00B050"/>
              <w:left w:val="nil"/>
              <w:bottom w:val="single" w:sz="4" w:space="0" w:color="00B050"/>
              <w:right w:val="nil"/>
              <w:tl2br w:val="nil"/>
              <w:tr2bl w:val="nil"/>
            </w:tcBorders>
            <w:vAlign w:val="center"/>
          </w:tcPr>
          <w:p w14:paraId="710DF0CB" w14:textId="4D1B2BCA" w:rsidR="00B7550A" w:rsidRPr="00220A8C" w:rsidRDefault="00B7550A" w:rsidP="00B7550A">
            <w:pPr>
              <w:pStyle w:val="CETBodytext"/>
              <w:jc w:val="center"/>
              <w:rPr>
                <w:rFonts w:cstheme="minorHAnsi"/>
                <w:color w:val="000000" w:themeColor="text1"/>
                <w:lang w:eastAsia="it-IT"/>
              </w:rPr>
            </w:pPr>
            <w:r w:rsidRPr="00220A8C">
              <w:rPr>
                <w:rFonts w:cstheme="minorHAnsi"/>
                <w:color w:val="000000" w:themeColor="text1"/>
                <w:lang w:eastAsia="it-IT"/>
              </w:rPr>
              <w:t>F-value</w:t>
            </w:r>
          </w:p>
        </w:tc>
        <w:tc>
          <w:tcPr>
            <w:tcW w:w="549" w:type="pct"/>
            <w:tcBorders>
              <w:top w:val="single" w:sz="4" w:space="0" w:color="00B050"/>
              <w:left w:val="nil"/>
              <w:bottom w:val="single" w:sz="4" w:space="0" w:color="00B050"/>
              <w:right w:val="nil"/>
              <w:tl2br w:val="nil"/>
              <w:tr2bl w:val="nil"/>
            </w:tcBorders>
            <w:vAlign w:val="center"/>
          </w:tcPr>
          <w:p w14:paraId="0762FC6A" w14:textId="266BB7DB" w:rsidR="00B7550A" w:rsidRPr="00220A8C" w:rsidRDefault="00B7550A" w:rsidP="00B7550A">
            <w:pPr>
              <w:pStyle w:val="CETBodytext"/>
              <w:jc w:val="center"/>
              <w:rPr>
                <w:rFonts w:cstheme="minorHAnsi"/>
                <w:color w:val="000000" w:themeColor="text1"/>
                <w:lang w:eastAsia="it-IT"/>
              </w:rPr>
            </w:pPr>
            <w:r w:rsidRPr="00220A8C">
              <w:rPr>
                <w:rFonts w:cstheme="minorHAnsi"/>
                <w:color w:val="000000" w:themeColor="text1"/>
                <w:lang w:eastAsia="it-IT"/>
              </w:rPr>
              <w:t>p-value</w:t>
            </w:r>
          </w:p>
        </w:tc>
        <w:tc>
          <w:tcPr>
            <w:tcW w:w="898" w:type="pct"/>
            <w:tcBorders>
              <w:top w:val="single" w:sz="4" w:space="0" w:color="00B050"/>
              <w:left w:val="nil"/>
              <w:bottom w:val="single" w:sz="4" w:space="0" w:color="00B050"/>
              <w:right w:val="nil"/>
              <w:tl2br w:val="nil"/>
              <w:tr2bl w:val="nil"/>
            </w:tcBorders>
            <w:vAlign w:val="center"/>
          </w:tcPr>
          <w:p w14:paraId="7AC767E5" w14:textId="467B6874" w:rsidR="00B7550A" w:rsidRPr="00220A8C" w:rsidRDefault="00B7550A" w:rsidP="00B7550A">
            <w:pPr>
              <w:pStyle w:val="CETBodytext"/>
              <w:jc w:val="center"/>
              <w:rPr>
                <w:rFonts w:cstheme="minorHAnsi"/>
                <w:color w:val="000000" w:themeColor="text1"/>
                <w:lang w:eastAsia="it-IT"/>
              </w:rPr>
            </w:pPr>
            <w:r w:rsidRPr="00220A8C">
              <w:rPr>
                <w:rFonts w:cstheme="minorHAnsi"/>
                <w:color w:val="000000" w:themeColor="text1"/>
                <w:lang w:eastAsia="it-IT"/>
              </w:rPr>
              <w:t>Sum of Squares</w:t>
            </w:r>
          </w:p>
        </w:tc>
        <w:tc>
          <w:tcPr>
            <w:tcW w:w="219" w:type="pct"/>
            <w:tcBorders>
              <w:top w:val="single" w:sz="4" w:space="0" w:color="00B050"/>
              <w:left w:val="nil"/>
              <w:bottom w:val="single" w:sz="4" w:space="0" w:color="00B050"/>
              <w:right w:val="nil"/>
              <w:tl2br w:val="nil"/>
              <w:tr2bl w:val="nil"/>
            </w:tcBorders>
            <w:vAlign w:val="center"/>
          </w:tcPr>
          <w:p w14:paraId="0EAB960D" w14:textId="5582E6C4" w:rsidR="00B7550A" w:rsidRPr="00220A8C" w:rsidRDefault="00B7550A" w:rsidP="00B7550A">
            <w:pPr>
              <w:pStyle w:val="CETBodytext"/>
              <w:jc w:val="center"/>
              <w:rPr>
                <w:rFonts w:cstheme="minorHAnsi"/>
                <w:color w:val="000000" w:themeColor="text1"/>
                <w:lang w:eastAsia="it-IT"/>
              </w:rPr>
            </w:pPr>
            <w:r w:rsidRPr="00220A8C">
              <w:rPr>
                <w:rFonts w:cstheme="minorHAnsi"/>
                <w:color w:val="000000" w:themeColor="text1"/>
                <w:lang w:eastAsia="it-IT"/>
              </w:rPr>
              <w:t>df</w:t>
            </w:r>
          </w:p>
        </w:tc>
        <w:tc>
          <w:tcPr>
            <w:tcW w:w="487" w:type="pct"/>
            <w:tcBorders>
              <w:top w:val="single" w:sz="4" w:space="0" w:color="00B050"/>
              <w:left w:val="nil"/>
              <w:bottom w:val="single" w:sz="4" w:space="0" w:color="00B050"/>
              <w:right w:val="nil"/>
              <w:tl2br w:val="nil"/>
              <w:tr2bl w:val="nil"/>
            </w:tcBorders>
            <w:vAlign w:val="center"/>
          </w:tcPr>
          <w:p w14:paraId="32096A4A" w14:textId="0AC6494B" w:rsidR="00B7550A" w:rsidRPr="00220A8C" w:rsidRDefault="00B7550A" w:rsidP="00B7550A">
            <w:pPr>
              <w:pStyle w:val="CETBodytext"/>
              <w:jc w:val="center"/>
              <w:rPr>
                <w:rFonts w:cstheme="minorHAnsi"/>
                <w:color w:val="000000" w:themeColor="text1"/>
                <w:lang w:eastAsia="it-IT"/>
              </w:rPr>
            </w:pPr>
            <w:r w:rsidRPr="00220A8C">
              <w:rPr>
                <w:rFonts w:cstheme="minorHAnsi"/>
                <w:color w:val="000000" w:themeColor="text1"/>
                <w:lang w:eastAsia="it-IT"/>
              </w:rPr>
              <w:t>F-value</w:t>
            </w:r>
          </w:p>
        </w:tc>
        <w:tc>
          <w:tcPr>
            <w:tcW w:w="549" w:type="pct"/>
            <w:tcBorders>
              <w:top w:val="single" w:sz="4" w:space="0" w:color="00B050"/>
              <w:left w:val="nil"/>
              <w:bottom w:val="single" w:sz="4" w:space="0" w:color="00B050"/>
              <w:right w:val="nil"/>
              <w:tl2br w:val="nil"/>
              <w:tr2bl w:val="nil"/>
            </w:tcBorders>
            <w:vAlign w:val="center"/>
          </w:tcPr>
          <w:p w14:paraId="1B08B42E" w14:textId="73F6677C" w:rsidR="00B7550A" w:rsidRPr="00220A8C" w:rsidRDefault="00B7550A" w:rsidP="00B7550A">
            <w:pPr>
              <w:pStyle w:val="CETBodytext"/>
              <w:jc w:val="center"/>
              <w:rPr>
                <w:rFonts w:cstheme="minorHAnsi"/>
                <w:color w:val="000000" w:themeColor="text1"/>
                <w:lang w:eastAsia="it-IT"/>
              </w:rPr>
            </w:pPr>
            <w:r w:rsidRPr="00220A8C">
              <w:rPr>
                <w:rFonts w:cstheme="minorHAnsi"/>
                <w:color w:val="000000" w:themeColor="text1"/>
                <w:lang w:eastAsia="it-IT"/>
              </w:rPr>
              <w:t>p-value</w:t>
            </w:r>
          </w:p>
        </w:tc>
      </w:tr>
      <w:tr w:rsidR="00B7550A" w:rsidRPr="00220A8C" w14:paraId="069980E0" w14:textId="37F5161D" w:rsidTr="00B7550A">
        <w:trPr>
          <w:trHeight w:val="176"/>
        </w:trPr>
        <w:tc>
          <w:tcPr>
            <w:tcW w:w="694" w:type="pct"/>
            <w:tcBorders>
              <w:top w:val="nil"/>
              <w:left w:val="nil"/>
              <w:bottom w:val="nil"/>
              <w:right w:val="nil"/>
            </w:tcBorders>
            <w:vAlign w:val="center"/>
          </w:tcPr>
          <w:p w14:paraId="0FCF0686" w14:textId="77777777" w:rsidR="00B7550A" w:rsidRPr="00220A8C" w:rsidRDefault="00B7550A" w:rsidP="00B7550A">
            <w:pPr>
              <w:pStyle w:val="CETBodytext"/>
              <w:jc w:val="left"/>
            </w:pPr>
            <w:r w:rsidRPr="00220A8C">
              <w:rPr>
                <w:rFonts w:cstheme="minorHAnsi"/>
                <w:color w:val="000000" w:themeColor="text1"/>
              </w:rPr>
              <w:t>Model</w:t>
            </w:r>
          </w:p>
        </w:tc>
        <w:tc>
          <w:tcPr>
            <w:tcW w:w="898" w:type="pct"/>
            <w:tcBorders>
              <w:top w:val="nil"/>
              <w:left w:val="nil"/>
              <w:bottom w:val="nil"/>
              <w:right w:val="nil"/>
            </w:tcBorders>
            <w:vAlign w:val="center"/>
          </w:tcPr>
          <w:p w14:paraId="1439F316" w14:textId="77777777" w:rsidR="00B7550A" w:rsidRPr="00220A8C" w:rsidRDefault="00B7550A" w:rsidP="00B7550A">
            <w:pPr>
              <w:pStyle w:val="CETBodytext"/>
              <w:jc w:val="center"/>
            </w:pPr>
            <w:r>
              <w:rPr>
                <w:color w:val="000000"/>
              </w:rPr>
              <w:t>2088.71</w:t>
            </w:r>
          </w:p>
        </w:tc>
        <w:tc>
          <w:tcPr>
            <w:tcW w:w="219" w:type="pct"/>
            <w:tcBorders>
              <w:top w:val="nil"/>
              <w:left w:val="nil"/>
              <w:bottom w:val="nil"/>
              <w:right w:val="nil"/>
            </w:tcBorders>
            <w:vAlign w:val="center"/>
          </w:tcPr>
          <w:p w14:paraId="3F5D7211" w14:textId="5E4B486C" w:rsidR="00B7550A" w:rsidRPr="00220A8C" w:rsidRDefault="00B7550A" w:rsidP="00B7550A">
            <w:pPr>
              <w:pStyle w:val="CETBodytext"/>
              <w:jc w:val="center"/>
              <w:rPr>
                <w:rFonts w:cstheme="minorHAnsi"/>
                <w:color w:val="000000" w:themeColor="text1"/>
              </w:rPr>
            </w:pPr>
            <w:r>
              <w:rPr>
                <w:color w:val="000000"/>
              </w:rPr>
              <w:t>4</w:t>
            </w:r>
          </w:p>
        </w:tc>
        <w:tc>
          <w:tcPr>
            <w:tcW w:w="487" w:type="pct"/>
            <w:tcBorders>
              <w:top w:val="nil"/>
              <w:left w:val="nil"/>
              <w:bottom w:val="nil"/>
              <w:right w:val="nil"/>
            </w:tcBorders>
            <w:vAlign w:val="center"/>
          </w:tcPr>
          <w:p w14:paraId="7EEDDF39" w14:textId="0D790D60" w:rsidR="00B7550A" w:rsidRPr="00220A8C" w:rsidRDefault="00B7550A" w:rsidP="00B7550A">
            <w:pPr>
              <w:pStyle w:val="CETBodytext"/>
              <w:jc w:val="center"/>
              <w:rPr>
                <w:rFonts w:cstheme="minorHAnsi"/>
                <w:color w:val="000000" w:themeColor="text1"/>
              </w:rPr>
            </w:pPr>
            <w:r>
              <w:rPr>
                <w:color w:val="000000"/>
              </w:rPr>
              <w:t>45.82</w:t>
            </w:r>
          </w:p>
        </w:tc>
        <w:tc>
          <w:tcPr>
            <w:tcW w:w="549" w:type="pct"/>
            <w:tcBorders>
              <w:top w:val="nil"/>
              <w:left w:val="nil"/>
              <w:bottom w:val="nil"/>
              <w:right w:val="nil"/>
            </w:tcBorders>
            <w:vAlign w:val="center"/>
          </w:tcPr>
          <w:p w14:paraId="1A0034FE" w14:textId="7802D3EB" w:rsidR="00B7550A" w:rsidRDefault="00B7550A" w:rsidP="00B7550A">
            <w:pPr>
              <w:pStyle w:val="CETBodytext"/>
              <w:jc w:val="center"/>
              <w:rPr>
                <w:color w:val="000000"/>
              </w:rPr>
            </w:pPr>
            <w:r>
              <w:rPr>
                <w:color w:val="000000"/>
              </w:rPr>
              <w:t>&lt; 0.0001</w:t>
            </w:r>
          </w:p>
        </w:tc>
        <w:tc>
          <w:tcPr>
            <w:tcW w:w="898" w:type="pct"/>
            <w:tcBorders>
              <w:top w:val="nil"/>
              <w:left w:val="nil"/>
              <w:bottom w:val="nil"/>
              <w:right w:val="nil"/>
            </w:tcBorders>
            <w:vAlign w:val="center"/>
          </w:tcPr>
          <w:p w14:paraId="7432EB5F" w14:textId="7B7A32EA" w:rsidR="00B7550A" w:rsidRDefault="00B7550A" w:rsidP="00B7550A">
            <w:pPr>
              <w:pStyle w:val="CETBodytext"/>
              <w:jc w:val="center"/>
              <w:rPr>
                <w:color w:val="000000"/>
              </w:rPr>
            </w:pPr>
            <w:r>
              <w:rPr>
                <w:color w:val="000000"/>
              </w:rPr>
              <w:t>8.511</w:t>
            </w:r>
            <w:r>
              <w:rPr>
                <w:rFonts w:cs="Arial"/>
                <w:color w:val="000000"/>
              </w:rPr>
              <w:t>·</w:t>
            </w:r>
            <w:r>
              <w:rPr>
                <w:color w:val="000000"/>
              </w:rPr>
              <w:t>10</w:t>
            </w:r>
            <w:r w:rsidRPr="006371CF">
              <w:rPr>
                <w:color w:val="000000"/>
                <w:vertAlign w:val="superscript"/>
              </w:rPr>
              <w:t>-</w:t>
            </w:r>
            <w:r>
              <w:rPr>
                <w:color w:val="000000"/>
                <w:vertAlign w:val="superscript"/>
              </w:rPr>
              <w:t>4</w:t>
            </w:r>
          </w:p>
        </w:tc>
        <w:tc>
          <w:tcPr>
            <w:tcW w:w="219" w:type="pct"/>
            <w:tcBorders>
              <w:top w:val="nil"/>
              <w:left w:val="nil"/>
              <w:bottom w:val="nil"/>
              <w:right w:val="nil"/>
            </w:tcBorders>
            <w:vAlign w:val="center"/>
          </w:tcPr>
          <w:p w14:paraId="3B13CC96" w14:textId="19DBCC97" w:rsidR="00B7550A" w:rsidRDefault="00B7550A" w:rsidP="00B7550A">
            <w:pPr>
              <w:pStyle w:val="CETBodytext"/>
              <w:jc w:val="center"/>
              <w:rPr>
                <w:color w:val="000000"/>
              </w:rPr>
            </w:pPr>
            <w:r>
              <w:rPr>
                <w:color w:val="000000"/>
              </w:rPr>
              <w:t>5</w:t>
            </w:r>
          </w:p>
        </w:tc>
        <w:tc>
          <w:tcPr>
            <w:tcW w:w="487" w:type="pct"/>
            <w:tcBorders>
              <w:top w:val="nil"/>
              <w:left w:val="nil"/>
              <w:bottom w:val="nil"/>
              <w:right w:val="nil"/>
            </w:tcBorders>
            <w:vAlign w:val="center"/>
          </w:tcPr>
          <w:p w14:paraId="518BA71D" w14:textId="4EECE473" w:rsidR="00B7550A" w:rsidRDefault="00B7550A" w:rsidP="00B7550A">
            <w:pPr>
              <w:pStyle w:val="CETBodytext"/>
              <w:jc w:val="center"/>
              <w:rPr>
                <w:color w:val="000000"/>
              </w:rPr>
            </w:pPr>
            <w:r>
              <w:rPr>
                <w:color w:val="000000"/>
              </w:rPr>
              <w:t>54.22</w:t>
            </w:r>
          </w:p>
        </w:tc>
        <w:tc>
          <w:tcPr>
            <w:tcW w:w="549" w:type="pct"/>
            <w:tcBorders>
              <w:top w:val="nil"/>
              <w:left w:val="nil"/>
              <w:bottom w:val="nil"/>
              <w:right w:val="nil"/>
            </w:tcBorders>
            <w:vAlign w:val="center"/>
          </w:tcPr>
          <w:p w14:paraId="505E225D" w14:textId="7104F8E6" w:rsidR="00B7550A" w:rsidRDefault="00B7550A" w:rsidP="00B7550A">
            <w:pPr>
              <w:pStyle w:val="CETBodytext"/>
              <w:jc w:val="center"/>
              <w:rPr>
                <w:color w:val="000000"/>
              </w:rPr>
            </w:pPr>
            <w:r>
              <w:rPr>
                <w:color w:val="000000"/>
              </w:rPr>
              <w:t>&lt; 0.0001</w:t>
            </w:r>
          </w:p>
        </w:tc>
      </w:tr>
      <w:tr w:rsidR="00B7550A" w:rsidRPr="00220A8C" w14:paraId="04F8BC45" w14:textId="46591CBB" w:rsidTr="00B7550A">
        <w:trPr>
          <w:trHeight w:val="176"/>
        </w:trPr>
        <w:tc>
          <w:tcPr>
            <w:tcW w:w="694" w:type="pct"/>
            <w:tcBorders>
              <w:top w:val="nil"/>
              <w:left w:val="nil"/>
              <w:bottom w:val="nil"/>
              <w:right w:val="nil"/>
            </w:tcBorders>
            <w:vAlign w:val="center"/>
          </w:tcPr>
          <w:p w14:paraId="49F1CBE5" w14:textId="59D37A7F" w:rsidR="00B7550A" w:rsidRPr="00220A8C" w:rsidRDefault="00B7550A" w:rsidP="00B7550A">
            <w:pPr>
              <w:pStyle w:val="CETBodytext"/>
              <w:jc w:val="left"/>
            </w:pPr>
            <w:r>
              <w:rPr>
                <w:rFonts w:cstheme="minorHAnsi"/>
                <w:color w:val="000000" w:themeColor="text1"/>
              </w:rPr>
              <w:t xml:space="preserve">  A</w:t>
            </w:r>
          </w:p>
        </w:tc>
        <w:tc>
          <w:tcPr>
            <w:tcW w:w="898" w:type="pct"/>
            <w:tcBorders>
              <w:top w:val="nil"/>
              <w:left w:val="nil"/>
              <w:bottom w:val="nil"/>
              <w:right w:val="nil"/>
            </w:tcBorders>
            <w:vAlign w:val="center"/>
          </w:tcPr>
          <w:p w14:paraId="5C27E4B6" w14:textId="77777777" w:rsidR="00B7550A" w:rsidRPr="00220A8C" w:rsidRDefault="00B7550A" w:rsidP="00B7550A">
            <w:pPr>
              <w:pStyle w:val="CETBodytext"/>
              <w:jc w:val="center"/>
              <w:rPr>
                <w:color w:val="000000" w:themeColor="text1"/>
                <w:lang w:eastAsia="it-IT"/>
              </w:rPr>
            </w:pPr>
            <w:r>
              <w:rPr>
                <w:color w:val="000000"/>
              </w:rPr>
              <w:t>93.21</w:t>
            </w:r>
          </w:p>
        </w:tc>
        <w:tc>
          <w:tcPr>
            <w:tcW w:w="219" w:type="pct"/>
            <w:tcBorders>
              <w:top w:val="nil"/>
              <w:left w:val="nil"/>
              <w:bottom w:val="nil"/>
              <w:right w:val="nil"/>
            </w:tcBorders>
            <w:vAlign w:val="center"/>
          </w:tcPr>
          <w:p w14:paraId="2C38CF5D" w14:textId="0926503F" w:rsidR="00B7550A" w:rsidRPr="00220A8C" w:rsidRDefault="00B7550A" w:rsidP="00B7550A">
            <w:pPr>
              <w:pStyle w:val="CETBodytext"/>
              <w:jc w:val="center"/>
              <w:rPr>
                <w:rFonts w:cstheme="minorHAnsi"/>
                <w:color w:val="000000" w:themeColor="text1"/>
              </w:rPr>
            </w:pPr>
            <w:r>
              <w:rPr>
                <w:color w:val="000000"/>
              </w:rPr>
              <w:t>1</w:t>
            </w:r>
          </w:p>
        </w:tc>
        <w:tc>
          <w:tcPr>
            <w:tcW w:w="487" w:type="pct"/>
            <w:tcBorders>
              <w:top w:val="nil"/>
              <w:left w:val="nil"/>
              <w:bottom w:val="nil"/>
              <w:right w:val="nil"/>
            </w:tcBorders>
            <w:vAlign w:val="center"/>
          </w:tcPr>
          <w:p w14:paraId="1A77E77F" w14:textId="1F88D97B" w:rsidR="00B7550A" w:rsidRPr="00220A8C" w:rsidRDefault="00B7550A" w:rsidP="00B7550A">
            <w:pPr>
              <w:pStyle w:val="CETBodytext"/>
              <w:jc w:val="center"/>
              <w:rPr>
                <w:rFonts w:cstheme="minorHAnsi"/>
                <w:color w:val="000000" w:themeColor="text1"/>
              </w:rPr>
            </w:pPr>
            <w:r>
              <w:rPr>
                <w:color w:val="000000"/>
              </w:rPr>
              <w:t>8.18</w:t>
            </w:r>
          </w:p>
        </w:tc>
        <w:tc>
          <w:tcPr>
            <w:tcW w:w="549" w:type="pct"/>
            <w:tcBorders>
              <w:top w:val="nil"/>
              <w:left w:val="nil"/>
              <w:bottom w:val="nil"/>
              <w:right w:val="nil"/>
            </w:tcBorders>
            <w:vAlign w:val="center"/>
          </w:tcPr>
          <w:p w14:paraId="662F9358" w14:textId="600C07F1" w:rsidR="00B7550A" w:rsidRDefault="00B7550A" w:rsidP="00B7550A">
            <w:pPr>
              <w:pStyle w:val="CETBodytext"/>
              <w:jc w:val="center"/>
              <w:rPr>
                <w:color w:val="000000"/>
              </w:rPr>
            </w:pPr>
            <w:r>
              <w:rPr>
                <w:color w:val="000000"/>
              </w:rPr>
              <w:t>0.0243</w:t>
            </w:r>
          </w:p>
        </w:tc>
        <w:tc>
          <w:tcPr>
            <w:tcW w:w="898" w:type="pct"/>
            <w:tcBorders>
              <w:top w:val="nil"/>
              <w:left w:val="nil"/>
              <w:bottom w:val="nil"/>
              <w:right w:val="nil"/>
            </w:tcBorders>
            <w:vAlign w:val="center"/>
          </w:tcPr>
          <w:p w14:paraId="267A384C" w14:textId="14FDC307" w:rsidR="00B7550A" w:rsidRDefault="00B7550A" w:rsidP="00B7550A">
            <w:pPr>
              <w:pStyle w:val="CETBodytext"/>
              <w:jc w:val="center"/>
              <w:rPr>
                <w:color w:val="000000"/>
              </w:rPr>
            </w:pPr>
            <w:r>
              <w:rPr>
                <w:color w:val="000000"/>
              </w:rPr>
              <w:t>1.286</w:t>
            </w:r>
            <w:r>
              <w:rPr>
                <w:rFonts w:cs="Arial"/>
                <w:color w:val="000000"/>
              </w:rPr>
              <w:t>·</w:t>
            </w:r>
            <w:r>
              <w:rPr>
                <w:color w:val="000000"/>
              </w:rPr>
              <w:t>10</w:t>
            </w:r>
            <w:r w:rsidRPr="006371CF">
              <w:rPr>
                <w:color w:val="000000"/>
                <w:vertAlign w:val="superscript"/>
              </w:rPr>
              <w:t>-</w:t>
            </w:r>
            <w:r>
              <w:rPr>
                <w:color w:val="000000"/>
                <w:vertAlign w:val="superscript"/>
              </w:rPr>
              <w:t>4</w:t>
            </w:r>
          </w:p>
        </w:tc>
        <w:tc>
          <w:tcPr>
            <w:tcW w:w="219" w:type="pct"/>
            <w:tcBorders>
              <w:top w:val="nil"/>
              <w:left w:val="nil"/>
              <w:bottom w:val="nil"/>
              <w:right w:val="nil"/>
            </w:tcBorders>
            <w:vAlign w:val="center"/>
          </w:tcPr>
          <w:p w14:paraId="660A8707" w14:textId="2044791A" w:rsidR="00B7550A" w:rsidRDefault="00B7550A" w:rsidP="00B7550A">
            <w:pPr>
              <w:pStyle w:val="CETBodytext"/>
              <w:jc w:val="center"/>
              <w:rPr>
                <w:color w:val="000000"/>
              </w:rPr>
            </w:pPr>
            <w:r>
              <w:rPr>
                <w:color w:val="000000"/>
              </w:rPr>
              <w:t>1</w:t>
            </w:r>
          </w:p>
        </w:tc>
        <w:tc>
          <w:tcPr>
            <w:tcW w:w="487" w:type="pct"/>
            <w:tcBorders>
              <w:top w:val="nil"/>
              <w:left w:val="nil"/>
              <w:bottom w:val="nil"/>
              <w:right w:val="nil"/>
            </w:tcBorders>
            <w:vAlign w:val="center"/>
          </w:tcPr>
          <w:p w14:paraId="387DD4A0" w14:textId="66CD89B0" w:rsidR="00B7550A" w:rsidRDefault="00B7550A" w:rsidP="00B7550A">
            <w:pPr>
              <w:pStyle w:val="CETBodytext"/>
              <w:jc w:val="center"/>
              <w:rPr>
                <w:color w:val="000000"/>
              </w:rPr>
            </w:pPr>
            <w:r>
              <w:rPr>
                <w:color w:val="000000"/>
              </w:rPr>
              <w:t>40.96</w:t>
            </w:r>
          </w:p>
        </w:tc>
        <w:tc>
          <w:tcPr>
            <w:tcW w:w="549" w:type="pct"/>
            <w:tcBorders>
              <w:top w:val="nil"/>
              <w:left w:val="nil"/>
              <w:bottom w:val="nil"/>
              <w:right w:val="nil"/>
            </w:tcBorders>
            <w:vAlign w:val="center"/>
          </w:tcPr>
          <w:p w14:paraId="63B00EB1" w14:textId="762801C5" w:rsidR="00B7550A" w:rsidRDefault="00B7550A" w:rsidP="00B7550A">
            <w:pPr>
              <w:pStyle w:val="CETBodytext"/>
              <w:jc w:val="center"/>
              <w:rPr>
                <w:color w:val="000000"/>
              </w:rPr>
            </w:pPr>
            <w:r>
              <w:rPr>
                <w:color w:val="000000"/>
              </w:rPr>
              <w:t>0.0007</w:t>
            </w:r>
          </w:p>
        </w:tc>
      </w:tr>
      <w:tr w:rsidR="00B7550A" w:rsidRPr="00220A8C" w14:paraId="2DF28210" w14:textId="7430978E" w:rsidTr="00B7550A">
        <w:trPr>
          <w:trHeight w:val="176"/>
        </w:trPr>
        <w:tc>
          <w:tcPr>
            <w:tcW w:w="694" w:type="pct"/>
            <w:tcBorders>
              <w:top w:val="nil"/>
              <w:left w:val="nil"/>
              <w:bottom w:val="nil"/>
              <w:right w:val="nil"/>
            </w:tcBorders>
            <w:vAlign w:val="center"/>
          </w:tcPr>
          <w:p w14:paraId="555B6155" w14:textId="0547DB64" w:rsidR="00B7550A" w:rsidRPr="00220A8C" w:rsidRDefault="00B7550A" w:rsidP="00B7550A">
            <w:pPr>
              <w:pStyle w:val="CETBodytext"/>
              <w:jc w:val="left"/>
            </w:pPr>
            <w:r w:rsidRPr="00220A8C">
              <w:rPr>
                <w:rFonts w:cstheme="minorHAnsi"/>
                <w:color w:val="000000" w:themeColor="text1"/>
              </w:rPr>
              <w:t xml:space="preserve">  B</w:t>
            </w:r>
          </w:p>
        </w:tc>
        <w:tc>
          <w:tcPr>
            <w:tcW w:w="898" w:type="pct"/>
            <w:tcBorders>
              <w:top w:val="nil"/>
              <w:left w:val="nil"/>
              <w:bottom w:val="nil"/>
              <w:right w:val="nil"/>
            </w:tcBorders>
            <w:vAlign w:val="center"/>
          </w:tcPr>
          <w:p w14:paraId="2DB1D18C" w14:textId="77777777" w:rsidR="00B7550A" w:rsidRPr="00220A8C" w:rsidRDefault="00B7550A" w:rsidP="00B7550A">
            <w:pPr>
              <w:pStyle w:val="CETBodytext"/>
              <w:jc w:val="center"/>
              <w:rPr>
                <w:color w:val="000000" w:themeColor="text1"/>
                <w:lang w:eastAsia="it-IT"/>
              </w:rPr>
            </w:pPr>
            <w:r>
              <w:rPr>
                <w:color w:val="000000"/>
              </w:rPr>
              <w:t>466.20</w:t>
            </w:r>
          </w:p>
        </w:tc>
        <w:tc>
          <w:tcPr>
            <w:tcW w:w="219" w:type="pct"/>
            <w:tcBorders>
              <w:top w:val="nil"/>
              <w:left w:val="nil"/>
              <w:bottom w:val="nil"/>
              <w:right w:val="nil"/>
            </w:tcBorders>
            <w:vAlign w:val="center"/>
          </w:tcPr>
          <w:p w14:paraId="69110850" w14:textId="1DE141C7" w:rsidR="00B7550A" w:rsidRPr="00220A8C" w:rsidRDefault="00B7550A" w:rsidP="00B7550A">
            <w:pPr>
              <w:pStyle w:val="CETBodytext"/>
              <w:jc w:val="center"/>
              <w:rPr>
                <w:rFonts w:cstheme="minorHAnsi"/>
                <w:color w:val="000000" w:themeColor="text1"/>
              </w:rPr>
            </w:pPr>
            <w:r>
              <w:rPr>
                <w:color w:val="000000"/>
              </w:rPr>
              <w:t>1</w:t>
            </w:r>
          </w:p>
        </w:tc>
        <w:tc>
          <w:tcPr>
            <w:tcW w:w="487" w:type="pct"/>
            <w:tcBorders>
              <w:top w:val="nil"/>
              <w:left w:val="nil"/>
              <w:bottom w:val="nil"/>
              <w:right w:val="nil"/>
            </w:tcBorders>
            <w:vAlign w:val="center"/>
          </w:tcPr>
          <w:p w14:paraId="4D78CA37" w14:textId="48999499" w:rsidR="00B7550A" w:rsidRPr="00220A8C" w:rsidRDefault="00B7550A" w:rsidP="00B7550A">
            <w:pPr>
              <w:pStyle w:val="CETBodytext"/>
              <w:jc w:val="center"/>
              <w:rPr>
                <w:rFonts w:cstheme="minorHAnsi"/>
                <w:color w:val="000000" w:themeColor="text1"/>
              </w:rPr>
            </w:pPr>
            <w:r>
              <w:rPr>
                <w:color w:val="000000"/>
              </w:rPr>
              <w:t>40.91</w:t>
            </w:r>
          </w:p>
        </w:tc>
        <w:tc>
          <w:tcPr>
            <w:tcW w:w="549" w:type="pct"/>
            <w:tcBorders>
              <w:top w:val="nil"/>
              <w:left w:val="nil"/>
              <w:bottom w:val="nil"/>
              <w:right w:val="nil"/>
            </w:tcBorders>
            <w:vAlign w:val="center"/>
          </w:tcPr>
          <w:p w14:paraId="5DF18C28" w14:textId="46E68893" w:rsidR="00B7550A" w:rsidRDefault="00B7550A" w:rsidP="00B7550A">
            <w:pPr>
              <w:pStyle w:val="CETBodytext"/>
              <w:jc w:val="center"/>
              <w:rPr>
                <w:color w:val="000000"/>
              </w:rPr>
            </w:pPr>
            <w:r>
              <w:rPr>
                <w:color w:val="000000"/>
              </w:rPr>
              <w:t>0.0004</w:t>
            </w:r>
          </w:p>
        </w:tc>
        <w:tc>
          <w:tcPr>
            <w:tcW w:w="898" w:type="pct"/>
            <w:tcBorders>
              <w:top w:val="nil"/>
              <w:left w:val="nil"/>
              <w:bottom w:val="nil"/>
              <w:right w:val="nil"/>
            </w:tcBorders>
            <w:vAlign w:val="center"/>
          </w:tcPr>
          <w:p w14:paraId="424E70B9" w14:textId="4A3492D3" w:rsidR="00B7550A" w:rsidRDefault="00B7550A" w:rsidP="00B7550A">
            <w:pPr>
              <w:pStyle w:val="CETBodytext"/>
              <w:jc w:val="center"/>
              <w:rPr>
                <w:color w:val="000000"/>
              </w:rPr>
            </w:pPr>
            <w:r>
              <w:rPr>
                <w:color w:val="000000"/>
              </w:rPr>
              <w:t>2.074</w:t>
            </w:r>
            <w:r>
              <w:rPr>
                <w:rFonts w:cs="Arial"/>
                <w:color w:val="000000"/>
              </w:rPr>
              <w:t>·</w:t>
            </w:r>
            <w:r>
              <w:rPr>
                <w:color w:val="000000"/>
              </w:rPr>
              <w:t>10</w:t>
            </w:r>
            <w:r w:rsidRPr="006371CF">
              <w:rPr>
                <w:color w:val="000000"/>
                <w:vertAlign w:val="superscript"/>
              </w:rPr>
              <w:t>-5</w:t>
            </w:r>
          </w:p>
        </w:tc>
        <w:tc>
          <w:tcPr>
            <w:tcW w:w="219" w:type="pct"/>
            <w:tcBorders>
              <w:top w:val="nil"/>
              <w:left w:val="nil"/>
              <w:bottom w:val="nil"/>
              <w:right w:val="nil"/>
            </w:tcBorders>
            <w:vAlign w:val="center"/>
          </w:tcPr>
          <w:p w14:paraId="1FBED143" w14:textId="7DE68F6B" w:rsidR="00B7550A" w:rsidRDefault="00B7550A" w:rsidP="00B7550A">
            <w:pPr>
              <w:pStyle w:val="CETBodytext"/>
              <w:jc w:val="center"/>
              <w:rPr>
                <w:color w:val="000000"/>
              </w:rPr>
            </w:pPr>
            <w:r>
              <w:rPr>
                <w:color w:val="000000"/>
              </w:rPr>
              <w:t>1</w:t>
            </w:r>
          </w:p>
        </w:tc>
        <w:tc>
          <w:tcPr>
            <w:tcW w:w="487" w:type="pct"/>
            <w:tcBorders>
              <w:top w:val="nil"/>
              <w:left w:val="nil"/>
              <w:bottom w:val="nil"/>
              <w:right w:val="nil"/>
            </w:tcBorders>
            <w:vAlign w:val="center"/>
          </w:tcPr>
          <w:p w14:paraId="58C70C56" w14:textId="77D8E4CA" w:rsidR="00B7550A" w:rsidRDefault="00B7550A" w:rsidP="00B7550A">
            <w:pPr>
              <w:pStyle w:val="CETBodytext"/>
              <w:jc w:val="center"/>
              <w:rPr>
                <w:color w:val="000000"/>
              </w:rPr>
            </w:pPr>
            <w:r>
              <w:rPr>
                <w:color w:val="000000"/>
              </w:rPr>
              <w:t>6.61</w:t>
            </w:r>
          </w:p>
        </w:tc>
        <w:tc>
          <w:tcPr>
            <w:tcW w:w="549" w:type="pct"/>
            <w:tcBorders>
              <w:top w:val="nil"/>
              <w:left w:val="nil"/>
              <w:bottom w:val="nil"/>
              <w:right w:val="nil"/>
            </w:tcBorders>
            <w:vAlign w:val="center"/>
          </w:tcPr>
          <w:p w14:paraId="07331B13" w14:textId="56CE0DE5" w:rsidR="00B7550A" w:rsidRDefault="00B7550A" w:rsidP="00B7550A">
            <w:pPr>
              <w:pStyle w:val="CETBodytext"/>
              <w:jc w:val="center"/>
              <w:rPr>
                <w:color w:val="000000"/>
              </w:rPr>
            </w:pPr>
            <w:r>
              <w:rPr>
                <w:color w:val="000000"/>
              </w:rPr>
              <w:t>0.0423</w:t>
            </w:r>
          </w:p>
        </w:tc>
      </w:tr>
      <w:tr w:rsidR="00B7550A" w:rsidRPr="00220A8C" w14:paraId="28CCDB16" w14:textId="4EA25E60" w:rsidTr="00B7550A">
        <w:trPr>
          <w:trHeight w:val="176"/>
        </w:trPr>
        <w:tc>
          <w:tcPr>
            <w:tcW w:w="694" w:type="pct"/>
            <w:tcBorders>
              <w:top w:val="nil"/>
              <w:left w:val="nil"/>
              <w:bottom w:val="nil"/>
              <w:right w:val="nil"/>
            </w:tcBorders>
            <w:vAlign w:val="center"/>
          </w:tcPr>
          <w:p w14:paraId="67D6AA3C" w14:textId="526B6615" w:rsidR="00B7550A" w:rsidRPr="00220A8C" w:rsidRDefault="00B7550A" w:rsidP="00B7550A">
            <w:pPr>
              <w:pStyle w:val="CETBodytext"/>
              <w:jc w:val="left"/>
              <w:rPr>
                <w:rFonts w:cstheme="minorHAnsi"/>
                <w:color w:val="000000" w:themeColor="text1"/>
              </w:rPr>
            </w:pPr>
            <w:r>
              <w:rPr>
                <w:rFonts w:cstheme="minorHAnsi"/>
                <w:color w:val="000000" w:themeColor="text1"/>
              </w:rPr>
              <w:t xml:space="preserve">  AB</w:t>
            </w:r>
          </w:p>
        </w:tc>
        <w:tc>
          <w:tcPr>
            <w:tcW w:w="898" w:type="pct"/>
            <w:tcBorders>
              <w:top w:val="nil"/>
              <w:left w:val="nil"/>
              <w:bottom w:val="nil"/>
              <w:right w:val="nil"/>
            </w:tcBorders>
            <w:vAlign w:val="center"/>
          </w:tcPr>
          <w:p w14:paraId="314D9C56" w14:textId="5151F2E0" w:rsidR="00B7550A" w:rsidRDefault="00B7550A" w:rsidP="00B7550A">
            <w:pPr>
              <w:pStyle w:val="CETBodytext"/>
              <w:jc w:val="center"/>
              <w:rPr>
                <w:color w:val="000000"/>
              </w:rPr>
            </w:pPr>
            <w:r>
              <w:rPr>
                <w:color w:val="000000"/>
              </w:rPr>
              <w:t>-</w:t>
            </w:r>
            <w:r w:rsidR="00147770">
              <w:rPr>
                <w:color w:val="000000"/>
              </w:rPr>
              <w:t>*</w:t>
            </w:r>
          </w:p>
        </w:tc>
        <w:tc>
          <w:tcPr>
            <w:tcW w:w="219" w:type="pct"/>
            <w:tcBorders>
              <w:top w:val="nil"/>
              <w:left w:val="nil"/>
              <w:bottom w:val="nil"/>
              <w:right w:val="nil"/>
            </w:tcBorders>
            <w:vAlign w:val="center"/>
          </w:tcPr>
          <w:p w14:paraId="09734F3C" w14:textId="4FDF49D3" w:rsidR="00B7550A" w:rsidRDefault="00B7550A" w:rsidP="00B7550A">
            <w:pPr>
              <w:pStyle w:val="CETBodytext"/>
              <w:jc w:val="center"/>
              <w:rPr>
                <w:color w:val="000000"/>
              </w:rPr>
            </w:pPr>
            <w:r>
              <w:rPr>
                <w:color w:val="000000"/>
              </w:rPr>
              <w:t>-</w:t>
            </w:r>
            <w:r w:rsidR="00147770">
              <w:rPr>
                <w:color w:val="000000"/>
              </w:rPr>
              <w:t>*</w:t>
            </w:r>
          </w:p>
        </w:tc>
        <w:tc>
          <w:tcPr>
            <w:tcW w:w="487" w:type="pct"/>
            <w:tcBorders>
              <w:top w:val="nil"/>
              <w:left w:val="nil"/>
              <w:bottom w:val="nil"/>
              <w:right w:val="nil"/>
            </w:tcBorders>
            <w:vAlign w:val="center"/>
          </w:tcPr>
          <w:p w14:paraId="27B368EC" w14:textId="4420044F" w:rsidR="00B7550A" w:rsidRDefault="00B7550A" w:rsidP="00B7550A">
            <w:pPr>
              <w:pStyle w:val="CETBodytext"/>
              <w:jc w:val="center"/>
              <w:rPr>
                <w:color w:val="000000"/>
              </w:rPr>
            </w:pPr>
            <w:r>
              <w:rPr>
                <w:color w:val="000000"/>
              </w:rPr>
              <w:t>-</w:t>
            </w:r>
            <w:r w:rsidR="00147770">
              <w:rPr>
                <w:color w:val="000000"/>
              </w:rPr>
              <w:t>*</w:t>
            </w:r>
          </w:p>
        </w:tc>
        <w:tc>
          <w:tcPr>
            <w:tcW w:w="549" w:type="pct"/>
            <w:tcBorders>
              <w:top w:val="nil"/>
              <w:left w:val="nil"/>
              <w:bottom w:val="nil"/>
              <w:right w:val="nil"/>
            </w:tcBorders>
            <w:vAlign w:val="center"/>
          </w:tcPr>
          <w:p w14:paraId="494863B3" w14:textId="1B5230AE" w:rsidR="00B7550A" w:rsidRDefault="00B7550A" w:rsidP="00B7550A">
            <w:pPr>
              <w:pStyle w:val="CETBodytext"/>
              <w:jc w:val="center"/>
              <w:rPr>
                <w:color w:val="000000"/>
              </w:rPr>
            </w:pPr>
            <w:r>
              <w:rPr>
                <w:color w:val="000000"/>
              </w:rPr>
              <w:t>-</w:t>
            </w:r>
            <w:r w:rsidR="00147770">
              <w:rPr>
                <w:color w:val="000000"/>
              </w:rPr>
              <w:t>*</w:t>
            </w:r>
          </w:p>
        </w:tc>
        <w:tc>
          <w:tcPr>
            <w:tcW w:w="898" w:type="pct"/>
            <w:tcBorders>
              <w:top w:val="nil"/>
              <w:left w:val="nil"/>
              <w:bottom w:val="nil"/>
              <w:right w:val="nil"/>
            </w:tcBorders>
            <w:vAlign w:val="center"/>
          </w:tcPr>
          <w:p w14:paraId="03C1F91E" w14:textId="169ABCC4" w:rsidR="00B7550A" w:rsidRDefault="00B7550A" w:rsidP="00B7550A">
            <w:pPr>
              <w:pStyle w:val="CETBodytext"/>
              <w:jc w:val="center"/>
              <w:rPr>
                <w:color w:val="000000"/>
              </w:rPr>
            </w:pPr>
            <w:r>
              <w:rPr>
                <w:color w:val="000000"/>
              </w:rPr>
              <w:t>2.497</w:t>
            </w:r>
            <w:r>
              <w:rPr>
                <w:rFonts w:cs="Arial"/>
                <w:color w:val="000000"/>
              </w:rPr>
              <w:t>·</w:t>
            </w:r>
            <w:r>
              <w:rPr>
                <w:color w:val="000000"/>
              </w:rPr>
              <w:t>10</w:t>
            </w:r>
            <w:r w:rsidRPr="006371CF">
              <w:rPr>
                <w:color w:val="000000"/>
                <w:vertAlign w:val="superscript"/>
              </w:rPr>
              <w:t>-5</w:t>
            </w:r>
          </w:p>
        </w:tc>
        <w:tc>
          <w:tcPr>
            <w:tcW w:w="219" w:type="pct"/>
            <w:tcBorders>
              <w:top w:val="nil"/>
              <w:left w:val="nil"/>
              <w:bottom w:val="nil"/>
              <w:right w:val="nil"/>
            </w:tcBorders>
            <w:vAlign w:val="center"/>
          </w:tcPr>
          <w:p w14:paraId="0F81DB41" w14:textId="1118E5D3" w:rsidR="00B7550A" w:rsidRDefault="00B7550A" w:rsidP="00B7550A">
            <w:pPr>
              <w:pStyle w:val="CETBodytext"/>
              <w:jc w:val="center"/>
              <w:rPr>
                <w:color w:val="000000"/>
              </w:rPr>
            </w:pPr>
            <w:r>
              <w:rPr>
                <w:color w:val="000000"/>
              </w:rPr>
              <w:t>1</w:t>
            </w:r>
          </w:p>
        </w:tc>
        <w:tc>
          <w:tcPr>
            <w:tcW w:w="487" w:type="pct"/>
            <w:tcBorders>
              <w:top w:val="nil"/>
              <w:left w:val="nil"/>
              <w:bottom w:val="nil"/>
              <w:right w:val="nil"/>
            </w:tcBorders>
            <w:vAlign w:val="center"/>
          </w:tcPr>
          <w:p w14:paraId="62B5BFA0" w14:textId="39F7F56A" w:rsidR="00B7550A" w:rsidRDefault="00B7550A" w:rsidP="00B7550A">
            <w:pPr>
              <w:pStyle w:val="CETBodytext"/>
              <w:jc w:val="center"/>
              <w:rPr>
                <w:color w:val="000000"/>
              </w:rPr>
            </w:pPr>
            <w:r>
              <w:rPr>
                <w:color w:val="000000"/>
              </w:rPr>
              <w:t>7.95</w:t>
            </w:r>
          </w:p>
        </w:tc>
        <w:tc>
          <w:tcPr>
            <w:tcW w:w="549" w:type="pct"/>
            <w:tcBorders>
              <w:top w:val="nil"/>
              <w:left w:val="nil"/>
              <w:bottom w:val="nil"/>
              <w:right w:val="nil"/>
            </w:tcBorders>
            <w:vAlign w:val="center"/>
          </w:tcPr>
          <w:p w14:paraId="460B64BD" w14:textId="788EBA92" w:rsidR="00B7550A" w:rsidRDefault="00B7550A" w:rsidP="00B7550A">
            <w:pPr>
              <w:pStyle w:val="CETBodytext"/>
              <w:jc w:val="center"/>
              <w:rPr>
                <w:color w:val="000000"/>
              </w:rPr>
            </w:pPr>
            <w:r>
              <w:rPr>
                <w:color w:val="000000"/>
              </w:rPr>
              <w:t>0.0304</w:t>
            </w:r>
          </w:p>
        </w:tc>
      </w:tr>
      <w:tr w:rsidR="00B7550A" w:rsidRPr="00220A8C" w14:paraId="3E28472D" w14:textId="3E2474A9" w:rsidTr="00B7550A">
        <w:trPr>
          <w:trHeight w:val="176"/>
        </w:trPr>
        <w:tc>
          <w:tcPr>
            <w:tcW w:w="694" w:type="pct"/>
            <w:tcBorders>
              <w:top w:val="nil"/>
              <w:left w:val="nil"/>
              <w:bottom w:val="nil"/>
              <w:right w:val="nil"/>
            </w:tcBorders>
            <w:vAlign w:val="center"/>
          </w:tcPr>
          <w:p w14:paraId="4B7470BC" w14:textId="77777777" w:rsidR="00B7550A" w:rsidRPr="00220A8C" w:rsidRDefault="00B7550A" w:rsidP="00B7550A">
            <w:pPr>
              <w:pStyle w:val="CETBodytext"/>
              <w:jc w:val="left"/>
              <w:rPr>
                <w:rFonts w:cstheme="minorHAnsi"/>
                <w:color w:val="000000" w:themeColor="text1"/>
              </w:rPr>
            </w:pPr>
            <w:r w:rsidRPr="00220A8C">
              <w:rPr>
                <w:rFonts w:cstheme="minorHAnsi"/>
                <w:color w:val="000000" w:themeColor="text1"/>
              </w:rPr>
              <w:t xml:space="preserve">  A</w:t>
            </w:r>
            <w:r w:rsidRPr="00220A8C">
              <w:rPr>
                <w:rFonts w:cstheme="minorHAnsi"/>
                <w:color w:val="000000" w:themeColor="text1"/>
                <w:vertAlign w:val="superscript"/>
              </w:rPr>
              <w:t>2</w:t>
            </w:r>
          </w:p>
        </w:tc>
        <w:tc>
          <w:tcPr>
            <w:tcW w:w="898" w:type="pct"/>
            <w:tcBorders>
              <w:top w:val="nil"/>
              <w:left w:val="nil"/>
              <w:bottom w:val="nil"/>
              <w:right w:val="nil"/>
            </w:tcBorders>
            <w:vAlign w:val="center"/>
          </w:tcPr>
          <w:p w14:paraId="4D15BCBB" w14:textId="77777777" w:rsidR="00B7550A" w:rsidRPr="00220A8C" w:rsidRDefault="00B7550A" w:rsidP="00B7550A">
            <w:pPr>
              <w:pStyle w:val="CETBodytext"/>
              <w:jc w:val="center"/>
              <w:rPr>
                <w:rFonts w:cstheme="minorHAnsi"/>
                <w:color w:val="000000" w:themeColor="text1"/>
              </w:rPr>
            </w:pPr>
            <w:r>
              <w:rPr>
                <w:color w:val="000000"/>
              </w:rPr>
              <w:t>72.22</w:t>
            </w:r>
          </w:p>
        </w:tc>
        <w:tc>
          <w:tcPr>
            <w:tcW w:w="219" w:type="pct"/>
            <w:tcBorders>
              <w:top w:val="nil"/>
              <w:left w:val="nil"/>
              <w:bottom w:val="nil"/>
              <w:right w:val="nil"/>
            </w:tcBorders>
            <w:vAlign w:val="center"/>
          </w:tcPr>
          <w:p w14:paraId="32F9B421" w14:textId="3EAD7CF1" w:rsidR="00B7550A" w:rsidRPr="00220A8C" w:rsidRDefault="00B7550A" w:rsidP="00B7550A">
            <w:pPr>
              <w:pStyle w:val="CETBodytext"/>
              <w:jc w:val="center"/>
              <w:rPr>
                <w:rFonts w:cstheme="minorHAnsi"/>
                <w:color w:val="000000" w:themeColor="text1"/>
              </w:rPr>
            </w:pPr>
            <w:r>
              <w:rPr>
                <w:color w:val="000000"/>
              </w:rPr>
              <w:t>1</w:t>
            </w:r>
          </w:p>
        </w:tc>
        <w:tc>
          <w:tcPr>
            <w:tcW w:w="487" w:type="pct"/>
            <w:tcBorders>
              <w:top w:val="nil"/>
              <w:left w:val="nil"/>
              <w:bottom w:val="nil"/>
              <w:right w:val="nil"/>
            </w:tcBorders>
            <w:vAlign w:val="center"/>
          </w:tcPr>
          <w:p w14:paraId="30801EBF" w14:textId="524A6D01" w:rsidR="00B7550A" w:rsidRPr="00220A8C" w:rsidRDefault="00B7550A" w:rsidP="00B7550A">
            <w:pPr>
              <w:pStyle w:val="CETBodytext"/>
              <w:jc w:val="center"/>
              <w:rPr>
                <w:rFonts w:cstheme="minorHAnsi"/>
                <w:color w:val="000000" w:themeColor="text1"/>
              </w:rPr>
            </w:pPr>
            <w:r>
              <w:rPr>
                <w:color w:val="000000"/>
              </w:rPr>
              <w:t>6.34</w:t>
            </w:r>
          </w:p>
        </w:tc>
        <w:tc>
          <w:tcPr>
            <w:tcW w:w="549" w:type="pct"/>
            <w:tcBorders>
              <w:top w:val="nil"/>
              <w:left w:val="nil"/>
              <w:bottom w:val="nil"/>
              <w:right w:val="nil"/>
            </w:tcBorders>
            <w:vAlign w:val="center"/>
          </w:tcPr>
          <w:p w14:paraId="33CD102B" w14:textId="0C449E00" w:rsidR="00B7550A" w:rsidRDefault="00B7550A" w:rsidP="00B7550A">
            <w:pPr>
              <w:pStyle w:val="CETBodytext"/>
              <w:jc w:val="center"/>
              <w:rPr>
                <w:color w:val="000000"/>
              </w:rPr>
            </w:pPr>
            <w:r>
              <w:rPr>
                <w:color w:val="000000"/>
              </w:rPr>
              <w:t>0.0400</w:t>
            </w:r>
          </w:p>
        </w:tc>
        <w:tc>
          <w:tcPr>
            <w:tcW w:w="898" w:type="pct"/>
            <w:tcBorders>
              <w:top w:val="nil"/>
              <w:left w:val="nil"/>
              <w:bottom w:val="nil"/>
              <w:right w:val="nil"/>
            </w:tcBorders>
            <w:vAlign w:val="center"/>
          </w:tcPr>
          <w:p w14:paraId="6CAB8243" w14:textId="7925A237" w:rsidR="00B7550A" w:rsidRDefault="00B7550A" w:rsidP="00B7550A">
            <w:pPr>
              <w:pStyle w:val="CETBodytext"/>
              <w:jc w:val="center"/>
              <w:rPr>
                <w:color w:val="000000"/>
              </w:rPr>
            </w:pPr>
            <w:r>
              <w:rPr>
                <w:color w:val="000000"/>
              </w:rPr>
              <w:t>1.196</w:t>
            </w:r>
            <w:r>
              <w:rPr>
                <w:rFonts w:cs="Arial"/>
                <w:color w:val="000000"/>
              </w:rPr>
              <w:t>·</w:t>
            </w:r>
            <w:r>
              <w:rPr>
                <w:color w:val="000000"/>
              </w:rPr>
              <w:t>10</w:t>
            </w:r>
            <w:r w:rsidRPr="006371CF">
              <w:rPr>
                <w:color w:val="000000"/>
                <w:vertAlign w:val="superscript"/>
              </w:rPr>
              <w:t>-</w:t>
            </w:r>
            <w:r>
              <w:rPr>
                <w:color w:val="000000"/>
                <w:vertAlign w:val="superscript"/>
              </w:rPr>
              <w:t>4</w:t>
            </w:r>
          </w:p>
        </w:tc>
        <w:tc>
          <w:tcPr>
            <w:tcW w:w="219" w:type="pct"/>
            <w:tcBorders>
              <w:top w:val="nil"/>
              <w:left w:val="nil"/>
              <w:bottom w:val="nil"/>
              <w:right w:val="nil"/>
            </w:tcBorders>
            <w:vAlign w:val="center"/>
          </w:tcPr>
          <w:p w14:paraId="39EBA9A5" w14:textId="03357D23" w:rsidR="00B7550A" w:rsidRDefault="00B7550A" w:rsidP="00B7550A">
            <w:pPr>
              <w:pStyle w:val="CETBodytext"/>
              <w:jc w:val="center"/>
              <w:rPr>
                <w:color w:val="000000"/>
              </w:rPr>
            </w:pPr>
            <w:r>
              <w:rPr>
                <w:color w:val="000000"/>
              </w:rPr>
              <w:t>1</w:t>
            </w:r>
          </w:p>
        </w:tc>
        <w:tc>
          <w:tcPr>
            <w:tcW w:w="487" w:type="pct"/>
            <w:tcBorders>
              <w:top w:val="nil"/>
              <w:left w:val="nil"/>
              <w:bottom w:val="nil"/>
              <w:right w:val="nil"/>
            </w:tcBorders>
            <w:vAlign w:val="center"/>
          </w:tcPr>
          <w:p w14:paraId="2140D4E2" w14:textId="169875CB" w:rsidR="00B7550A" w:rsidRDefault="00B7550A" w:rsidP="00B7550A">
            <w:pPr>
              <w:pStyle w:val="CETBodytext"/>
              <w:jc w:val="center"/>
              <w:rPr>
                <w:color w:val="000000"/>
              </w:rPr>
            </w:pPr>
            <w:r>
              <w:rPr>
                <w:color w:val="000000"/>
              </w:rPr>
              <w:t>38.09</w:t>
            </w:r>
          </w:p>
        </w:tc>
        <w:tc>
          <w:tcPr>
            <w:tcW w:w="549" w:type="pct"/>
            <w:tcBorders>
              <w:top w:val="nil"/>
              <w:left w:val="nil"/>
              <w:bottom w:val="nil"/>
              <w:right w:val="nil"/>
            </w:tcBorders>
            <w:vAlign w:val="center"/>
          </w:tcPr>
          <w:p w14:paraId="179C549C" w14:textId="71EB9EDF" w:rsidR="00B7550A" w:rsidRDefault="00B7550A" w:rsidP="00B7550A">
            <w:pPr>
              <w:pStyle w:val="CETBodytext"/>
              <w:jc w:val="center"/>
              <w:rPr>
                <w:color w:val="000000"/>
              </w:rPr>
            </w:pPr>
            <w:r>
              <w:rPr>
                <w:color w:val="000000"/>
              </w:rPr>
              <w:t>0.0008</w:t>
            </w:r>
          </w:p>
        </w:tc>
      </w:tr>
      <w:tr w:rsidR="00B7550A" w:rsidRPr="00220A8C" w14:paraId="30FB0ED9" w14:textId="636696A6" w:rsidTr="00B7550A">
        <w:trPr>
          <w:trHeight w:val="176"/>
        </w:trPr>
        <w:tc>
          <w:tcPr>
            <w:tcW w:w="694" w:type="pct"/>
            <w:tcBorders>
              <w:top w:val="nil"/>
              <w:left w:val="nil"/>
              <w:bottom w:val="nil"/>
              <w:right w:val="nil"/>
            </w:tcBorders>
            <w:vAlign w:val="center"/>
          </w:tcPr>
          <w:p w14:paraId="2A3F4F42" w14:textId="77777777" w:rsidR="00B7550A" w:rsidRPr="00220A8C" w:rsidRDefault="00B7550A" w:rsidP="00B7550A">
            <w:pPr>
              <w:pStyle w:val="CETBodytext"/>
              <w:jc w:val="left"/>
            </w:pPr>
            <w:r w:rsidRPr="00220A8C">
              <w:rPr>
                <w:rFonts w:cstheme="minorHAnsi"/>
                <w:color w:val="000000" w:themeColor="text1"/>
              </w:rPr>
              <w:t xml:space="preserve">  B</w:t>
            </w:r>
            <w:r w:rsidRPr="00220A8C">
              <w:rPr>
                <w:rFonts w:cstheme="minorHAnsi"/>
                <w:color w:val="000000" w:themeColor="text1"/>
                <w:vertAlign w:val="superscript"/>
              </w:rPr>
              <w:t>2</w:t>
            </w:r>
          </w:p>
        </w:tc>
        <w:tc>
          <w:tcPr>
            <w:tcW w:w="898" w:type="pct"/>
            <w:tcBorders>
              <w:top w:val="nil"/>
              <w:left w:val="nil"/>
              <w:bottom w:val="nil"/>
              <w:right w:val="nil"/>
            </w:tcBorders>
            <w:vAlign w:val="center"/>
          </w:tcPr>
          <w:p w14:paraId="59D05C82" w14:textId="77777777" w:rsidR="00B7550A" w:rsidRPr="00220A8C" w:rsidRDefault="00B7550A" w:rsidP="00B7550A">
            <w:pPr>
              <w:pStyle w:val="CETBodytext"/>
              <w:jc w:val="center"/>
            </w:pPr>
            <w:r>
              <w:rPr>
                <w:color w:val="000000"/>
              </w:rPr>
              <w:t>1099.31</w:t>
            </w:r>
          </w:p>
        </w:tc>
        <w:tc>
          <w:tcPr>
            <w:tcW w:w="219" w:type="pct"/>
            <w:tcBorders>
              <w:top w:val="nil"/>
              <w:left w:val="nil"/>
              <w:bottom w:val="nil"/>
              <w:right w:val="nil"/>
            </w:tcBorders>
            <w:vAlign w:val="center"/>
          </w:tcPr>
          <w:p w14:paraId="39DCD0BC" w14:textId="209EF8AD" w:rsidR="00B7550A" w:rsidRPr="00220A8C" w:rsidRDefault="00B7550A" w:rsidP="00B7550A">
            <w:pPr>
              <w:pStyle w:val="CETBodytext"/>
              <w:jc w:val="center"/>
              <w:rPr>
                <w:rFonts w:cstheme="minorHAnsi"/>
                <w:color w:val="000000" w:themeColor="text1"/>
              </w:rPr>
            </w:pPr>
            <w:r>
              <w:rPr>
                <w:color w:val="000000"/>
              </w:rPr>
              <w:t>1</w:t>
            </w:r>
          </w:p>
        </w:tc>
        <w:tc>
          <w:tcPr>
            <w:tcW w:w="487" w:type="pct"/>
            <w:tcBorders>
              <w:top w:val="nil"/>
              <w:left w:val="nil"/>
              <w:bottom w:val="nil"/>
              <w:right w:val="nil"/>
            </w:tcBorders>
            <w:vAlign w:val="center"/>
          </w:tcPr>
          <w:p w14:paraId="67408354" w14:textId="3F6E2949" w:rsidR="00B7550A" w:rsidRPr="00220A8C" w:rsidRDefault="00B7550A" w:rsidP="00B7550A">
            <w:pPr>
              <w:pStyle w:val="CETBodytext"/>
              <w:jc w:val="center"/>
              <w:rPr>
                <w:rFonts w:cstheme="minorHAnsi"/>
                <w:color w:val="000000" w:themeColor="text1"/>
              </w:rPr>
            </w:pPr>
            <w:r>
              <w:rPr>
                <w:color w:val="000000"/>
              </w:rPr>
              <w:t>96.46</w:t>
            </w:r>
          </w:p>
        </w:tc>
        <w:tc>
          <w:tcPr>
            <w:tcW w:w="549" w:type="pct"/>
            <w:tcBorders>
              <w:top w:val="nil"/>
              <w:left w:val="nil"/>
              <w:bottom w:val="nil"/>
              <w:right w:val="nil"/>
            </w:tcBorders>
            <w:vAlign w:val="center"/>
          </w:tcPr>
          <w:p w14:paraId="4B59FA7A" w14:textId="0032B3B5" w:rsidR="00B7550A" w:rsidRDefault="00B7550A" w:rsidP="00B7550A">
            <w:pPr>
              <w:pStyle w:val="CETBodytext"/>
              <w:jc w:val="center"/>
              <w:rPr>
                <w:color w:val="000000"/>
              </w:rPr>
            </w:pPr>
            <w:r>
              <w:rPr>
                <w:color w:val="000000"/>
              </w:rPr>
              <w:t>&lt; 0.0001</w:t>
            </w:r>
          </w:p>
        </w:tc>
        <w:tc>
          <w:tcPr>
            <w:tcW w:w="898" w:type="pct"/>
            <w:tcBorders>
              <w:top w:val="nil"/>
              <w:left w:val="nil"/>
              <w:bottom w:val="nil"/>
              <w:right w:val="nil"/>
            </w:tcBorders>
            <w:vAlign w:val="center"/>
          </w:tcPr>
          <w:p w14:paraId="4946EC38" w14:textId="5CF20295" w:rsidR="00B7550A" w:rsidRDefault="00B7550A" w:rsidP="00B7550A">
            <w:pPr>
              <w:pStyle w:val="CETBodytext"/>
              <w:jc w:val="center"/>
              <w:rPr>
                <w:color w:val="000000"/>
              </w:rPr>
            </w:pPr>
            <w:r>
              <w:rPr>
                <w:color w:val="000000"/>
              </w:rPr>
              <w:t>3.464</w:t>
            </w:r>
            <w:r>
              <w:rPr>
                <w:rFonts w:cs="Arial"/>
                <w:color w:val="000000"/>
              </w:rPr>
              <w:t>·</w:t>
            </w:r>
            <w:r>
              <w:rPr>
                <w:color w:val="000000"/>
              </w:rPr>
              <w:t>10</w:t>
            </w:r>
            <w:r w:rsidRPr="006371CF">
              <w:rPr>
                <w:color w:val="000000"/>
                <w:vertAlign w:val="superscript"/>
              </w:rPr>
              <w:t>-</w:t>
            </w:r>
            <w:r>
              <w:rPr>
                <w:color w:val="000000"/>
                <w:vertAlign w:val="superscript"/>
              </w:rPr>
              <w:t>4</w:t>
            </w:r>
          </w:p>
        </w:tc>
        <w:tc>
          <w:tcPr>
            <w:tcW w:w="219" w:type="pct"/>
            <w:tcBorders>
              <w:top w:val="nil"/>
              <w:left w:val="nil"/>
              <w:bottom w:val="nil"/>
              <w:right w:val="nil"/>
            </w:tcBorders>
            <w:vAlign w:val="center"/>
          </w:tcPr>
          <w:p w14:paraId="18DD1D6B" w14:textId="360E6502" w:rsidR="00B7550A" w:rsidRDefault="00B7550A" w:rsidP="00B7550A">
            <w:pPr>
              <w:pStyle w:val="CETBodytext"/>
              <w:jc w:val="center"/>
              <w:rPr>
                <w:color w:val="000000"/>
              </w:rPr>
            </w:pPr>
            <w:r>
              <w:rPr>
                <w:color w:val="000000"/>
              </w:rPr>
              <w:t>1</w:t>
            </w:r>
          </w:p>
        </w:tc>
        <w:tc>
          <w:tcPr>
            <w:tcW w:w="487" w:type="pct"/>
            <w:tcBorders>
              <w:top w:val="nil"/>
              <w:left w:val="nil"/>
              <w:bottom w:val="nil"/>
              <w:right w:val="nil"/>
            </w:tcBorders>
            <w:vAlign w:val="center"/>
          </w:tcPr>
          <w:p w14:paraId="0CACF606" w14:textId="773ABEB4" w:rsidR="00B7550A" w:rsidRDefault="00B7550A" w:rsidP="00B7550A">
            <w:pPr>
              <w:pStyle w:val="CETBodytext"/>
              <w:jc w:val="center"/>
              <w:rPr>
                <w:color w:val="000000"/>
              </w:rPr>
            </w:pPr>
            <w:r>
              <w:rPr>
                <w:color w:val="000000"/>
              </w:rPr>
              <w:t>110.33</w:t>
            </w:r>
          </w:p>
        </w:tc>
        <w:tc>
          <w:tcPr>
            <w:tcW w:w="549" w:type="pct"/>
            <w:tcBorders>
              <w:top w:val="nil"/>
              <w:left w:val="nil"/>
              <w:bottom w:val="nil"/>
              <w:right w:val="nil"/>
            </w:tcBorders>
            <w:vAlign w:val="center"/>
          </w:tcPr>
          <w:p w14:paraId="71AE3E0F" w14:textId="23B2FC99" w:rsidR="00B7550A" w:rsidRDefault="00B7550A" w:rsidP="00B7550A">
            <w:pPr>
              <w:pStyle w:val="CETBodytext"/>
              <w:jc w:val="center"/>
              <w:rPr>
                <w:color w:val="000000"/>
              </w:rPr>
            </w:pPr>
            <w:r>
              <w:rPr>
                <w:color w:val="000000"/>
              </w:rPr>
              <w:t>&lt; 0.0001</w:t>
            </w:r>
          </w:p>
        </w:tc>
      </w:tr>
      <w:tr w:rsidR="00B7550A" w:rsidRPr="00220A8C" w14:paraId="686C6941" w14:textId="448FCAE6" w:rsidTr="00B7550A">
        <w:trPr>
          <w:trHeight w:val="176"/>
        </w:trPr>
        <w:tc>
          <w:tcPr>
            <w:tcW w:w="694" w:type="pct"/>
            <w:tcBorders>
              <w:top w:val="nil"/>
              <w:left w:val="nil"/>
              <w:bottom w:val="nil"/>
              <w:right w:val="nil"/>
            </w:tcBorders>
            <w:vAlign w:val="center"/>
          </w:tcPr>
          <w:p w14:paraId="2A7572CD" w14:textId="77777777" w:rsidR="00B7550A" w:rsidRPr="00220A8C" w:rsidRDefault="00B7550A" w:rsidP="00B7550A">
            <w:pPr>
              <w:pStyle w:val="CETBodytext"/>
              <w:jc w:val="left"/>
            </w:pPr>
            <w:r w:rsidRPr="00220A8C">
              <w:rPr>
                <w:rFonts w:cstheme="minorHAnsi"/>
                <w:color w:val="000000" w:themeColor="text1"/>
              </w:rPr>
              <w:t>Residual</w:t>
            </w:r>
          </w:p>
        </w:tc>
        <w:tc>
          <w:tcPr>
            <w:tcW w:w="898" w:type="pct"/>
            <w:tcBorders>
              <w:top w:val="nil"/>
              <w:left w:val="nil"/>
              <w:bottom w:val="nil"/>
              <w:right w:val="nil"/>
            </w:tcBorders>
            <w:vAlign w:val="center"/>
          </w:tcPr>
          <w:p w14:paraId="76C1DF63" w14:textId="77777777" w:rsidR="00B7550A" w:rsidRPr="00220A8C" w:rsidRDefault="00B7550A" w:rsidP="00B7550A">
            <w:pPr>
              <w:pStyle w:val="CETBodytext"/>
              <w:jc w:val="center"/>
            </w:pPr>
            <w:r>
              <w:rPr>
                <w:color w:val="000000"/>
              </w:rPr>
              <w:t>79.77</w:t>
            </w:r>
          </w:p>
        </w:tc>
        <w:tc>
          <w:tcPr>
            <w:tcW w:w="219" w:type="pct"/>
            <w:tcBorders>
              <w:top w:val="nil"/>
              <w:left w:val="nil"/>
              <w:bottom w:val="nil"/>
              <w:right w:val="nil"/>
            </w:tcBorders>
            <w:vAlign w:val="center"/>
          </w:tcPr>
          <w:p w14:paraId="71F4BAE4" w14:textId="0DB6D77F" w:rsidR="00B7550A" w:rsidRPr="00220A8C" w:rsidRDefault="00B7550A" w:rsidP="00B7550A">
            <w:pPr>
              <w:pStyle w:val="CETBodytext"/>
              <w:jc w:val="center"/>
            </w:pPr>
            <w:r>
              <w:rPr>
                <w:color w:val="000000"/>
              </w:rPr>
              <w:t>7</w:t>
            </w:r>
          </w:p>
        </w:tc>
        <w:tc>
          <w:tcPr>
            <w:tcW w:w="487" w:type="pct"/>
            <w:tcBorders>
              <w:top w:val="nil"/>
              <w:left w:val="nil"/>
              <w:bottom w:val="nil"/>
              <w:right w:val="nil"/>
            </w:tcBorders>
            <w:vAlign w:val="center"/>
          </w:tcPr>
          <w:p w14:paraId="54B2BF94" w14:textId="77777777" w:rsidR="00B7550A" w:rsidRPr="00220A8C" w:rsidRDefault="00B7550A" w:rsidP="00B7550A">
            <w:pPr>
              <w:pStyle w:val="CETBodytext"/>
              <w:jc w:val="center"/>
            </w:pPr>
          </w:p>
        </w:tc>
        <w:tc>
          <w:tcPr>
            <w:tcW w:w="549" w:type="pct"/>
            <w:tcBorders>
              <w:top w:val="nil"/>
              <w:left w:val="nil"/>
              <w:bottom w:val="nil"/>
              <w:right w:val="nil"/>
            </w:tcBorders>
            <w:vAlign w:val="center"/>
          </w:tcPr>
          <w:p w14:paraId="2FA5F196" w14:textId="77777777" w:rsidR="00B7550A" w:rsidRDefault="00B7550A" w:rsidP="00B7550A">
            <w:pPr>
              <w:pStyle w:val="CETBodytext"/>
              <w:jc w:val="center"/>
              <w:rPr>
                <w:color w:val="000000"/>
              </w:rPr>
            </w:pPr>
          </w:p>
        </w:tc>
        <w:tc>
          <w:tcPr>
            <w:tcW w:w="898" w:type="pct"/>
            <w:tcBorders>
              <w:top w:val="nil"/>
              <w:left w:val="nil"/>
              <w:bottom w:val="nil"/>
              <w:right w:val="nil"/>
            </w:tcBorders>
            <w:vAlign w:val="center"/>
          </w:tcPr>
          <w:p w14:paraId="0F63EBD9" w14:textId="55EAE6D2" w:rsidR="00B7550A" w:rsidRPr="00220A8C" w:rsidRDefault="00B7550A" w:rsidP="00B7550A">
            <w:pPr>
              <w:pStyle w:val="CETBodytext"/>
              <w:jc w:val="center"/>
            </w:pPr>
            <w:r>
              <w:rPr>
                <w:color w:val="000000"/>
              </w:rPr>
              <w:t>1.884</w:t>
            </w:r>
            <w:r>
              <w:rPr>
                <w:rFonts w:cs="Arial"/>
                <w:color w:val="000000"/>
              </w:rPr>
              <w:t>·</w:t>
            </w:r>
            <w:r>
              <w:rPr>
                <w:color w:val="000000"/>
              </w:rPr>
              <w:t>10</w:t>
            </w:r>
            <w:r w:rsidRPr="006371CF">
              <w:rPr>
                <w:color w:val="000000"/>
                <w:vertAlign w:val="superscript"/>
              </w:rPr>
              <w:t>-5</w:t>
            </w:r>
          </w:p>
        </w:tc>
        <w:tc>
          <w:tcPr>
            <w:tcW w:w="219" w:type="pct"/>
            <w:tcBorders>
              <w:top w:val="nil"/>
              <w:left w:val="nil"/>
              <w:bottom w:val="nil"/>
              <w:right w:val="nil"/>
            </w:tcBorders>
            <w:vAlign w:val="center"/>
          </w:tcPr>
          <w:p w14:paraId="1EED3F37" w14:textId="6145C788" w:rsidR="00B7550A" w:rsidRPr="00220A8C" w:rsidRDefault="00B7550A" w:rsidP="00B7550A">
            <w:pPr>
              <w:pStyle w:val="CETBodytext"/>
              <w:jc w:val="center"/>
            </w:pPr>
            <w:r>
              <w:rPr>
                <w:color w:val="000000"/>
              </w:rPr>
              <w:t>6</w:t>
            </w:r>
          </w:p>
        </w:tc>
        <w:tc>
          <w:tcPr>
            <w:tcW w:w="487" w:type="pct"/>
            <w:tcBorders>
              <w:top w:val="nil"/>
              <w:left w:val="nil"/>
              <w:bottom w:val="nil"/>
              <w:right w:val="nil"/>
            </w:tcBorders>
            <w:vAlign w:val="center"/>
          </w:tcPr>
          <w:p w14:paraId="21CD8A00" w14:textId="75BE41BF" w:rsidR="00B7550A" w:rsidRPr="00220A8C" w:rsidRDefault="00B7550A" w:rsidP="00B7550A">
            <w:pPr>
              <w:pStyle w:val="CETBodytext"/>
              <w:jc w:val="center"/>
            </w:pPr>
          </w:p>
        </w:tc>
        <w:tc>
          <w:tcPr>
            <w:tcW w:w="549" w:type="pct"/>
            <w:tcBorders>
              <w:top w:val="nil"/>
              <w:left w:val="nil"/>
              <w:bottom w:val="nil"/>
              <w:right w:val="nil"/>
            </w:tcBorders>
            <w:vAlign w:val="center"/>
          </w:tcPr>
          <w:p w14:paraId="5B67A05C" w14:textId="77777777" w:rsidR="00B7550A" w:rsidRPr="00220A8C" w:rsidRDefault="00B7550A" w:rsidP="00B7550A">
            <w:pPr>
              <w:pStyle w:val="CETBodytext"/>
              <w:jc w:val="center"/>
            </w:pPr>
          </w:p>
        </w:tc>
      </w:tr>
      <w:tr w:rsidR="00B7550A" w:rsidRPr="00220A8C" w14:paraId="27670266" w14:textId="317FDC37" w:rsidTr="00B7550A">
        <w:trPr>
          <w:trHeight w:val="176"/>
        </w:trPr>
        <w:tc>
          <w:tcPr>
            <w:tcW w:w="694" w:type="pct"/>
            <w:tcBorders>
              <w:top w:val="nil"/>
              <w:left w:val="nil"/>
              <w:bottom w:val="nil"/>
              <w:right w:val="nil"/>
            </w:tcBorders>
            <w:vAlign w:val="center"/>
          </w:tcPr>
          <w:p w14:paraId="220ED04F" w14:textId="77777777" w:rsidR="00B7550A" w:rsidRPr="00220A8C" w:rsidRDefault="00B7550A" w:rsidP="00B7550A">
            <w:pPr>
              <w:pStyle w:val="CETBodytext"/>
              <w:jc w:val="left"/>
            </w:pPr>
            <w:r w:rsidRPr="00220A8C">
              <w:rPr>
                <w:rFonts w:cstheme="minorHAnsi"/>
                <w:color w:val="000000" w:themeColor="text1"/>
              </w:rPr>
              <w:t xml:space="preserve">  Lack of Fit</w:t>
            </w:r>
          </w:p>
        </w:tc>
        <w:tc>
          <w:tcPr>
            <w:tcW w:w="898" w:type="pct"/>
            <w:tcBorders>
              <w:top w:val="nil"/>
              <w:left w:val="nil"/>
              <w:bottom w:val="nil"/>
              <w:right w:val="nil"/>
            </w:tcBorders>
            <w:vAlign w:val="center"/>
          </w:tcPr>
          <w:p w14:paraId="2D5A3D8B" w14:textId="77777777" w:rsidR="00B7550A" w:rsidRPr="00220A8C" w:rsidRDefault="00B7550A" w:rsidP="00B7550A">
            <w:pPr>
              <w:pStyle w:val="CETBodytext"/>
              <w:jc w:val="center"/>
            </w:pPr>
            <w:r>
              <w:rPr>
                <w:color w:val="000000"/>
              </w:rPr>
              <w:t>52.06</w:t>
            </w:r>
          </w:p>
        </w:tc>
        <w:tc>
          <w:tcPr>
            <w:tcW w:w="219" w:type="pct"/>
            <w:tcBorders>
              <w:top w:val="nil"/>
              <w:left w:val="nil"/>
              <w:bottom w:val="nil"/>
              <w:right w:val="nil"/>
            </w:tcBorders>
            <w:vAlign w:val="center"/>
          </w:tcPr>
          <w:p w14:paraId="612DC642" w14:textId="3A75E406" w:rsidR="00B7550A" w:rsidRPr="00220A8C" w:rsidRDefault="00B7550A" w:rsidP="00B7550A">
            <w:pPr>
              <w:pStyle w:val="CETBodytext"/>
              <w:jc w:val="center"/>
              <w:rPr>
                <w:rFonts w:cstheme="minorHAnsi"/>
                <w:color w:val="000000" w:themeColor="text1"/>
              </w:rPr>
            </w:pPr>
            <w:r>
              <w:rPr>
                <w:color w:val="000000"/>
              </w:rPr>
              <w:t>4</w:t>
            </w:r>
          </w:p>
        </w:tc>
        <w:tc>
          <w:tcPr>
            <w:tcW w:w="487" w:type="pct"/>
            <w:tcBorders>
              <w:top w:val="nil"/>
              <w:left w:val="nil"/>
              <w:bottom w:val="nil"/>
              <w:right w:val="nil"/>
            </w:tcBorders>
            <w:vAlign w:val="center"/>
          </w:tcPr>
          <w:p w14:paraId="341BBE79" w14:textId="3424E698" w:rsidR="00B7550A" w:rsidRPr="00220A8C" w:rsidRDefault="00B7550A" w:rsidP="00B7550A">
            <w:pPr>
              <w:pStyle w:val="CETBodytext"/>
              <w:jc w:val="center"/>
              <w:rPr>
                <w:rFonts w:cstheme="minorHAnsi"/>
                <w:color w:val="000000" w:themeColor="text1"/>
              </w:rPr>
            </w:pPr>
            <w:r>
              <w:rPr>
                <w:color w:val="000000"/>
              </w:rPr>
              <w:t>1.41</w:t>
            </w:r>
          </w:p>
        </w:tc>
        <w:tc>
          <w:tcPr>
            <w:tcW w:w="549" w:type="pct"/>
            <w:tcBorders>
              <w:top w:val="nil"/>
              <w:left w:val="nil"/>
              <w:bottom w:val="nil"/>
              <w:right w:val="nil"/>
            </w:tcBorders>
            <w:vAlign w:val="center"/>
          </w:tcPr>
          <w:p w14:paraId="713F444E" w14:textId="06AF25C6" w:rsidR="00B7550A" w:rsidRDefault="00B7550A" w:rsidP="00B7550A">
            <w:pPr>
              <w:pStyle w:val="CETBodytext"/>
              <w:jc w:val="center"/>
              <w:rPr>
                <w:color w:val="000000"/>
              </w:rPr>
            </w:pPr>
            <w:r>
              <w:rPr>
                <w:color w:val="000000"/>
              </w:rPr>
              <w:t>0.4052</w:t>
            </w:r>
          </w:p>
        </w:tc>
        <w:tc>
          <w:tcPr>
            <w:tcW w:w="898" w:type="pct"/>
            <w:tcBorders>
              <w:top w:val="nil"/>
              <w:left w:val="nil"/>
              <w:bottom w:val="nil"/>
              <w:right w:val="nil"/>
            </w:tcBorders>
            <w:vAlign w:val="center"/>
          </w:tcPr>
          <w:p w14:paraId="60B158E5" w14:textId="0C31E588" w:rsidR="00B7550A" w:rsidRDefault="00B7550A" w:rsidP="00B7550A">
            <w:pPr>
              <w:pStyle w:val="CETBodytext"/>
              <w:jc w:val="center"/>
              <w:rPr>
                <w:color w:val="000000"/>
              </w:rPr>
            </w:pPr>
            <w:r>
              <w:rPr>
                <w:color w:val="000000"/>
              </w:rPr>
              <w:t>1.362</w:t>
            </w:r>
            <w:r>
              <w:rPr>
                <w:rFonts w:cs="Arial"/>
                <w:color w:val="000000"/>
              </w:rPr>
              <w:t>·</w:t>
            </w:r>
            <w:r>
              <w:rPr>
                <w:color w:val="000000"/>
              </w:rPr>
              <w:t>10</w:t>
            </w:r>
            <w:r w:rsidRPr="006371CF">
              <w:rPr>
                <w:color w:val="000000"/>
                <w:vertAlign w:val="superscript"/>
              </w:rPr>
              <w:t>-5</w:t>
            </w:r>
          </w:p>
        </w:tc>
        <w:tc>
          <w:tcPr>
            <w:tcW w:w="219" w:type="pct"/>
            <w:tcBorders>
              <w:top w:val="nil"/>
              <w:left w:val="nil"/>
              <w:bottom w:val="nil"/>
              <w:right w:val="nil"/>
            </w:tcBorders>
            <w:vAlign w:val="center"/>
          </w:tcPr>
          <w:p w14:paraId="7F23D458" w14:textId="4D049A07" w:rsidR="00B7550A" w:rsidRDefault="00B7550A" w:rsidP="00B7550A">
            <w:pPr>
              <w:pStyle w:val="CETBodytext"/>
              <w:jc w:val="center"/>
              <w:rPr>
                <w:color w:val="000000"/>
              </w:rPr>
            </w:pPr>
            <w:r>
              <w:rPr>
                <w:color w:val="000000"/>
              </w:rPr>
              <w:t>3</w:t>
            </w:r>
          </w:p>
        </w:tc>
        <w:tc>
          <w:tcPr>
            <w:tcW w:w="487" w:type="pct"/>
            <w:tcBorders>
              <w:top w:val="nil"/>
              <w:left w:val="nil"/>
              <w:bottom w:val="nil"/>
              <w:right w:val="nil"/>
            </w:tcBorders>
            <w:vAlign w:val="center"/>
          </w:tcPr>
          <w:p w14:paraId="1393D856" w14:textId="24914124" w:rsidR="00B7550A" w:rsidRDefault="00B7550A" w:rsidP="00B7550A">
            <w:pPr>
              <w:pStyle w:val="CETBodytext"/>
              <w:jc w:val="center"/>
              <w:rPr>
                <w:color w:val="000000"/>
              </w:rPr>
            </w:pPr>
            <w:r>
              <w:rPr>
                <w:color w:val="000000"/>
              </w:rPr>
              <w:t>2.61</w:t>
            </w:r>
          </w:p>
        </w:tc>
        <w:tc>
          <w:tcPr>
            <w:tcW w:w="549" w:type="pct"/>
            <w:tcBorders>
              <w:top w:val="nil"/>
              <w:left w:val="nil"/>
              <w:bottom w:val="nil"/>
              <w:right w:val="nil"/>
            </w:tcBorders>
            <w:vAlign w:val="center"/>
          </w:tcPr>
          <w:p w14:paraId="112FE7F3" w14:textId="737CC775" w:rsidR="00B7550A" w:rsidRDefault="00B7550A" w:rsidP="00B7550A">
            <w:pPr>
              <w:pStyle w:val="CETBodytext"/>
              <w:jc w:val="center"/>
              <w:rPr>
                <w:color w:val="000000"/>
              </w:rPr>
            </w:pPr>
            <w:r>
              <w:rPr>
                <w:color w:val="000000"/>
              </w:rPr>
              <w:t>0.2258</w:t>
            </w:r>
          </w:p>
        </w:tc>
      </w:tr>
      <w:tr w:rsidR="00B7550A" w:rsidRPr="00220A8C" w14:paraId="496EAE86" w14:textId="75E21111" w:rsidTr="00B7550A">
        <w:trPr>
          <w:trHeight w:val="176"/>
        </w:trPr>
        <w:tc>
          <w:tcPr>
            <w:tcW w:w="694" w:type="pct"/>
            <w:tcBorders>
              <w:top w:val="nil"/>
              <w:left w:val="nil"/>
              <w:bottom w:val="nil"/>
              <w:right w:val="nil"/>
            </w:tcBorders>
            <w:vAlign w:val="center"/>
          </w:tcPr>
          <w:p w14:paraId="35D3BFBF" w14:textId="77777777" w:rsidR="00B7550A" w:rsidRPr="00220A8C" w:rsidRDefault="00B7550A" w:rsidP="00B7550A">
            <w:pPr>
              <w:pStyle w:val="CETBodytext"/>
              <w:jc w:val="left"/>
            </w:pPr>
            <w:r w:rsidRPr="00220A8C">
              <w:rPr>
                <w:rFonts w:cstheme="minorHAnsi"/>
                <w:color w:val="000000" w:themeColor="text1"/>
              </w:rPr>
              <w:t xml:space="preserve">  Pure Error</w:t>
            </w:r>
          </w:p>
        </w:tc>
        <w:tc>
          <w:tcPr>
            <w:tcW w:w="898" w:type="pct"/>
            <w:tcBorders>
              <w:top w:val="nil"/>
              <w:left w:val="nil"/>
              <w:bottom w:val="nil"/>
              <w:right w:val="nil"/>
            </w:tcBorders>
            <w:vAlign w:val="center"/>
          </w:tcPr>
          <w:p w14:paraId="176FE12C" w14:textId="77777777" w:rsidR="00B7550A" w:rsidRPr="00220A8C" w:rsidRDefault="00B7550A" w:rsidP="00B7550A">
            <w:pPr>
              <w:pStyle w:val="CETBodytext"/>
              <w:jc w:val="center"/>
            </w:pPr>
            <w:r>
              <w:rPr>
                <w:color w:val="000000"/>
              </w:rPr>
              <w:t>27.72</w:t>
            </w:r>
          </w:p>
        </w:tc>
        <w:tc>
          <w:tcPr>
            <w:tcW w:w="219" w:type="pct"/>
            <w:tcBorders>
              <w:top w:val="nil"/>
              <w:left w:val="nil"/>
              <w:bottom w:val="nil"/>
              <w:right w:val="nil"/>
            </w:tcBorders>
            <w:vAlign w:val="center"/>
          </w:tcPr>
          <w:p w14:paraId="44E4861E" w14:textId="57B99F8E" w:rsidR="00B7550A" w:rsidRPr="00220A8C" w:rsidRDefault="00B7550A" w:rsidP="00B7550A">
            <w:pPr>
              <w:pStyle w:val="CETBodytext"/>
              <w:jc w:val="center"/>
            </w:pPr>
            <w:r>
              <w:rPr>
                <w:color w:val="000000"/>
              </w:rPr>
              <w:t>3</w:t>
            </w:r>
          </w:p>
        </w:tc>
        <w:tc>
          <w:tcPr>
            <w:tcW w:w="487" w:type="pct"/>
            <w:tcBorders>
              <w:top w:val="nil"/>
              <w:left w:val="nil"/>
              <w:bottom w:val="nil"/>
              <w:right w:val="nil"/>
            </w:tcBorders>
            <w:vAlign w:val="center"/>
          </w:tcPr>
          <w:p w14:paraId="0DF9F668" w14:textId="77777777" w:rsidR="00B7550A" w:rsidRPr="00220A8C" w:rsidRDefault="00B7550A" w:rsidP="00B7550A">
            <w:pPr>
              <w:pStyle w:val="CETBodytext"/>
              <w:jc w:val="center"/>
            </w:pPr>
          </w:p>
        </w:tc>
        <w:tc>
          <w:tcPr>
            <w:tcW w:w="549" w:type="pct"/>
            <w:tcBorders>
              <w:top w:val="nil"/>
              <w:left w:val="nil"/>
              <w:bottom w:val="nil"/>
              <w:right w:val="nil"/>
            </w:tcBorders>
          </w:tcPr>
          <w:p w14:paraId="78F195B0" w14:textId="77777777" w:rsidR="00B7550A" w:rsidRDefault="00B7550A" w:rsidP="00B7550A">
            <w:pPr>
              <w:pStyle w:val="CETBodytext"/>
              <w:jc w:val="center"/>
              <w:rPr>
                <w:color w:val="000000"/>
              </w:rPr>
            </w:pPr>
          </w:p>
        </w:tc>
        <w:tc>
          <w:tcPr>
            <w:tcW w:w="898" w:type="pct"/>
            <w:tcBorders>
              <w:top w:val="nil"/>
              <w:left w:val="nil"/>
              <w:bottom w:val="nil"/>
              <w:right w:val="nil"/>
            </w:tcBorders>
            <w:vAlign w:val="center"/>
          </w:tcPr>
          <w:p w14:paraId="7E6F4890" w14:textId="232C637E" w:rsidR="00B7550A" w:rsidRPr="00220A8C" w:rsidRDefault="00B7550A" w:rsidP="00B7550A">
            <w:pPr>
              <w:pStyle w:val="CETBodytext"/>
              <w:jc w:val="center"/>
            </w:pPr>
            <w:r>
              <w:rPr>
                <w:color w:val="000000"/>
              </w:rPr>
              <w:t>5.217</w:t>
            </w:r>
            <w:r>
              <w:rPr>
                <w:rFonts w:cs="Arial"/>
                <w:color w:val="000000"/>
              </w:rPr>
              <w:t>·</w:t>
            </w:r>
            <w:r>
              <w:rPr>
                <w:color w:val="000000"/>
              </w:rPr>
              <w:t>10</w:t>
            </w:r>
            <w:r w:rsidRPr="006371CF">
              <w:rPr>
                <w:color w:val="000000"/>
                <w:vertAlign w:val="superscript"/>
              </w:rPr>
              <w:t>-</w:t>
            </w:r>
            <w:r>
              <w:rPr>
                <w:color w:val="000000"/>
                <w:vertAlign w:val="superscript"/>
              </w:rPr>
              <w:t>6</w:t>
            </w:r>
          </w:p>
        </w:tc>
        <w:tc>
          <w:tcPr>
            <w:tcW w:w="219" w:type="pct"/>
            <w:tcBorders>
              <w:top w:val="nil"/>
              <w:left w:val="nil"/>
              <w:bottom w:val="nil"/>
              <w:right w:val="nil"/>
            </w:tcBorders>
            <w:vAlign w:val="center"/>
          </w:tcPr>
          <w:p w14:paraId="4859995F" w14:textId="4495CE6B" w:rsidR="00B7550A" w:rsidRPr="00220A8C" w:rsidRDefault="00B7550A" w:rsidP="00B7550A">
            <w:pPr>
              <w:pStyle w:val="CETBodytext"/>
              <w:jc w:val="center"/>
            </w:pPr>
            <w:r>
              <w:rPr>
                <w:color w:val="000000"/>
              </w:rPr>
              <w:t>3</w:t>
            </w:r>
          </w:p>
        </w:tc>
        <w:tc>
          <w:tcPr>
            <w:tcW w:w="487" w:type="pct"/>
            <w:tcBorders>
              <w:top w:val="nil"/>
              <w:left w:val="nil"/>
              <w:bottom w:val="nil"/>
              <w:right w:val="nil"/>
            </w:tcBorders>
            <w:vAlign w:val="center"/>
          </w:tcPr>
          <w:p w14:paraId="6E69AD52" w14:textId="1C962D6E" w:rsidR="00B7550A" w:rsidRPr="00220A8C" w:rsidRDefault="00B7550A" w:rsidP="00B7550A">
            <w:pPr>
              <w:pStyle w:val="CETBodytext"/>
              <w:jc w:val="center"/>
            </w:pPr>
          </w:p>
        </w:tc>
        <w:tc>
          <w:tcPr>
            <w:tcW w:w="549" w:type="pct"/>
            <w:tcBorders>
              <w:top w:val="nil"/>
              <w:left w:val="nil"/>
              <w:bottom w:val="nil"/>
              <w:right w:val="nil"/>
            </w:tcBorders>
          </w:tcPr>
          <w:p w14:paraId="7CB5B76D" w14:textId="77777777" w:rsidR="00B7550A" w:rsidRPr="00220A8C" w:rsidRDefault="00B7550A" w:rsidP="00B7550A">
            <w:pPr>
              <w:pStyle w:val="CETBodytext"/>
              <w:jc w:val="center"/>
            </w:pPr>
          </w:p>
        </w:tc>
      </w:tr>
      <w:tr w:rsidR="00B7550A" w:rsidRPr="00220A8C" w14:paraId="2991C983" w14:textId="624AD359" w:rsidTr="00B7550A">
        <w:trPr>
          <w:trHeight w:val="176"/>
        </w:trPr>
        <w:tc>
          <w:tcPr>
            <w:tcW w:w="694" w:type="pct"/>
            <w:tcBorders>
              <w:top w:val="nil"/>
              <w:left w:val="nil"/>
              <w:bottom w:val="nil"/>
              <w:right w:val="nil"/>
            </w:tcBorders>
            <w:vAlign w:val="center"/>
          </w:tcPr>
          <w:p w14:paraId="362A341B" w14:textId="77777777" w:rsidR="00B7550A" w:rsidRPr="00220A8C" w:rsidRDefault="00B7550A" w:rsidP="00B7550A">
            <w:pPr>
              <w:pStyle w:val="CETBodytext"/>
              <w:jc w:val="left"/>
            </w:pPr>
            <w:r w:rsidRPr="00220A8C">
              <w:rPr>
                <w:rFonts w:cstheme="minorHAnsi"/>
                <w:color w:val="000000" w:themeColor="text1"/>
              </w:rPr>
              <w:t>R</w:t>
            </w:r>
            <w:r w:rsidRPr="00220A8C">
              <w:rPr>
                <w:rFonts w:cstheme="minorHAnsi"/>
                <w:color w:val="000000" w:themeColor="text1"/>
                <w:vertAlign w:val="superscript"/>
              </w:rPr>
              <w:t>2</w:t>
            </w:r>
          </w:p>
        </w:tc>
        <w:tc>
          <w:tcPr>
            <w:tcW w:w="898" w:type="pct"/>
            <w:tcBorders>
              <w:top w:val="nil"/>
              <w:left w:val="nil"/>
              <w:bottom w:val="nil"/>
              <w:right w:val="nil"/>
            </w:tcBorders>
            <w:vAlign w:val="center"/>
          </w:tcPr>
          <w:p w14:paraId="0C1DB918" w14:textId="77777777" w:rsidR="00B7550A" w:rsidRPr="00220A8C" w:rsidRDefault="00B7550A" w:rsidP="00B7550A">
            <w:pPr>
              <w:pStyle w:val="CETBodytext"/>
              <w:jc w:val="center"/>
            </w:pPr>
            <w:r w:rsidRPr="00220A8C">
              <w:rPr>
                <w:rFonts w:cstheme="minorHAnsi"/>
                <w:color w:val="000000" w:themeColor="text1"/>
              </w:rPr>
              <w:t>0.9</w:t>
            </w:r>
            <w:r>
              <w:rPr>
                <w:rFonts w:cstheme="minorHAnsi"/>
                <w:color w:val="000000" w:themeColor="text1"/>
              </w:rPr>
              <w:t>632</w:t>
            </w:r>
          </w:p>
        </w:tc>
        <w:tc>
          <w:tcPr>
            <w:tcW w:w="219" w:type="pct"/>
            <w:tcBorders>
              <w:top w:val="nil"/>
              <w:left w:val="nil"/>
              <w:bottom w:val="nil"/>
              <w:right w:val="nil"/>
            </w:tcBorders>
            <w:vAlign w:val="center"/>
          </w:tcPr>
          <w:p w14:paraId="7B3C9F07" w14:textId="77777777" w:rsidR="00B7550A" w:rsidRPr="00220A8C" w:rsidRDefault="00B7550A" w:rsidP="00B7550A">
            <w:pPr>
              <w:pStyle w:val="CETBodytext"/>
              <w:jc w:val="center"/>
            </w:pPr>
          </w:p>
        </w:tc>
        <w:tc>
          <w:tcPr>
            <w:tcW w:w="487" w:type="pct"/>
            <w:tcBorders>
              <w:top w:val="nil"/>
              <w:left w:val="nil"/>
              <w:bottom w:val="nil"/>
              <w:right w:val="nil"/>
            </w:tcBorders>
            <w:vAlign w:val="center"/>
          </w:tcPr>
          <w:p w14:paraId="5FADCCAC" w14:textId="77777777" w:rsidR="00B7550A" w:rsidRPr="00220A8C" w:rsidRDefault="00B7550A" w:rsidP="00B7550A">
            <w:pPr>
              <w:pStyle w:val="CETBodytext"/>
              <w:jc w:val="center"/>
            </w:pPr>
          </w:p>
        </w:tc>
        <w:tc>
          <w:tcPr>
            <w:tcW w:w="549" w:type="pct"/>
            <w:tcBorders>
              <w:top w:val="nil"/>
              <w:left w:val="nil"/>
              <w:bottom w:val="nil"/>
              <w:right w:val="nil"/>
            </w:tcBorders>
          </w:tcPr>
          <w:p w14:paraId="4A6F0959" w14:textId="77777777" w:rsidR="00B7550A" w:rsidRPr="00220A8C" w:rsidRDefault="00B7550A" w:rsidP="00B7550A">
            <w:pPr>
              <w:pStyle w:val="CETBodytext"/>
              <w:jc w:val="center"/>
              <w:rPr>
                <w:rFonts w:cstheme="minorHAnsi"/>
                <w:color w:val="000000" w:themeColor="text1"/>
              </w:rPr>
            </w:pPr>
          </w:p>
        </w:tc>
        <w:tc>
          <w:tcPr>
            <w:tcW w:w="898" w:type="pct"/>
            <w:tcBorders>
              <w:top w:val="nil"/>
              <w:left w:val="nil"/>
              <w:bottom w:val="nil"/>
              <w:right w:val="nil"/>
            </w:tcBorders>
            <w:vAlign w:val="center"/>
          </w:tcPr>
          <w:p w14:paraId="3F523890" w14:textId="670874A0" w:rsidR="00B7550A" w:rsidRPr="00220A8C" w:rsidRDefault="00B7550A" w:rsidP="00B7550A">
            <w:pPr>
              <w:pStyle w:val="CETBodytext"/>
              <w:jc w:val="center"/>
            </w:pPr>
            <w:r w:rsidRPr="00220A8C">
              <w:rPr>
                <w:rFonts w:cstheme="minorHAnsi"/>
                <w:color w:val="000000" w:themeColor="text1"/>
              </w:rPr>
              <w:t>0.9</w:t>
            </w:r>
            <w:r>
              <w:rPr>
                <w:rFonts w:cstheme="minorHAnsi"/>
                <w:color w:val="000000" w:themeColor="text1"/>
              </w:rPr>
              <w:t>783</w:t>
            </w:r>
          </w:p>
        </w:tc>
        <w:tc>
          <w:tcPr>
            <w:tcW w:w="219" w:type="pct"/>
            <w:tcBorders>
              <w:top w:val="nil"/>
              <w:left w:val="nil"/>
              <w:bottom w:val="nil"/>
              <w:right w:val="nil"/>
            </w:tcBorders>
            <w:vAlign w:val="center"/>
          </w:tcPr>
          <w:p w14:paraId="1394D81B" w14:textId="0E3FC416" w:rsidR="00B7550A" w:rsidRPr="00220A8C" w:rsidRDefault="00B7550A" w:rsidP="00B7550A">
            <w:pPr>
              <w:pStyle w:val="CETBodytext"/>
              <w:jc w:val="center"/>
            </w:pPr>
          </w:p>
        </w:tc>
        <w:tc>
          <w:tcPr>
            <w:tcW w:w="487" w:type="pct"/>
            <w:tcBorders>
              <w:top w:val="nil"/>
              <w:left w:val="nil"/>
              <w:bottom w:val="nil"/>
              <w:right w:val="nil"/>
            </w:tcBorders>
            <w:vAlign w:val="center"/>
          </w:tcPr>
          <w:p w14:paraId="7D1839F3" w14:textId="305DA522" w:rsidR="00B7550A" w:rsidRPr="00220A8C" w:rsidRDefault="00B7550A" w:rsidP="00B7550A">
            <w:pPr>
              <w:pStyle w:val="CETBodytext"/>
              <w:jc w:val="center"/>
            </w:pPr>
          </w:p>
        </w:tc>
        <w:tc>
          <w:tcPr>
            <w:tcW w:w="549" w:type="pct"/>
            <w:tcBorders>
              <w:top w:val="nil"/>
              <w:left w:val="nil"/>
              <w:bottom w:val="nil"/>
              <w:right w:val="nil"/>
            </w:tcBorders>
          </w:tcPr>
          <w:p w14:paraId="6B9AD5D2" w14:textId="77777777" w:rsidR="00B7550A" w:rsidRPr="00220A8C" w:rsidRDefault="00B7550A" w:rsidP="00B7550A">
            <w:pPr>
              <w:pStyle w:val="CETBodytext"/>
              <w:jc w:val="center"/>
            </w:pPr>
          </w:p>
        </w:tc>
      </w:tr>
      <w:tr w:rsidR="00B7550A" w:rsidRPr="00220A8C" w14:paraId="09BA1C1E" w14:textId="2E09C6FC" w:rsidTr="00B7550A">
        <w:trPr>
          <w:trHeight w:val="176"/>
        </w:trPr>
        <w:tc>
          <w:tcPr>
            <w:tcW w:w="694" w:type="pct"/>
            <w:tcBorders>
              <w:top w:val="nil"/>
              <w:left w:val="nil"/>
              <w:bottom w:val="single" w:sz="12" w:space="0" w:color="00B050"/>
              <w:right w:val="nil"/>
            </w:tcBorders>
            <w:vAlign w:val="center"/>
          </w:tcPr>
          <w:p w14:paraId="58EC7710" w14:textId="77777777" w:rsidR="00B7550A" w:rsidRPr="00220A8C" w:rsidRDefault="00B7550A" w:rsidP="00B7550A">
            <w:pPr>
              <w:pStyle w:val="CETBodytext"/>
              <w:jc w:val="left"/>
            </w:pPr>
            <w:r w:rsidRPr="00220A8C">
              <w:rPr>
                <w:rFonts w:cstheme="minorHAnsi"/>
                <w:color w:val="000000" w:themeColor="text1"/>
              </w:rPr>
              <w:t>Adjusted R</w:t>
            </w:r>
            <w:r w:rsidRPr="00220A8C">
              <w:rPr>
                <w:rFonts w:cstheme="minorHAnsi"/>
                <w:color w:val="000000" w:themeColor="text1"/>
                <w:vertAlign w:val="superscript"/>
              </w:rPr>
              <w:t>2</w:t>
            </w:r>
          </w:p>
        </w:tc>
        <w:tc>
          <w:tcPr>
            <w:tcW w:w="898" w:type="pct"/>
            <w:tcBorders>
              <w:top w:val="nil"/>
              <w:left w:val="nil"/>
              <w:bottom w:val="single" w:sz="12" w:space="0" w:color="00B050"/>
              <w:right w:val="nil"/>
            </w:tcBorders>
            <w:vAlign w:val="center"/>
          </w:tcPr>
          <w:p w14:paraId="02A07DCD" w14:textId="77777777" w:rsidR="00B7550A" w:rsidRPr="00220A8C" w:rsidRDefault="00B7550A" w:rsidP="00B7550A">
            <w:pPr>
              <w:pStyle w:val="CETBodytext"/>
              <w:jc w:val="center"/>
            </w:pPr>
            <w:r>
              <w:rPr>
                <w:rFonts w:cstheme="minorHAnsi"/>
                <w:color w:val="000000" w:themeColor="text1"/>
              </w:rPr>
              <w:t>0.9422</w:t>
            </w:r>
          </w:p>
        </w:tc>
        <w:tc>
          <w:tcPr>
            <w:tcW w:w="219" w:type="pct"/>
            <w:tcBorders>
              <w:top w:val="nil"/>
              <w:left w:val="nil"/>
              <w:bottom w:val="single" w:sz="12" w:space="0" w:color="00B050"/>
              <w:right w:val="nil"/>
            </w:tcBorders>
            <w:vAlign w:val="center"/>
          </w:tcPr>
          <w:p w14:paraId="394C5862" w14:textId="77777777" w:rsidR="00B7550A" w:rsidRPr="00220A8C" w:rsidRDefault="00B7550A" w:rsidP="00B7550A">
            <w:pPr>
              <w:pStyle w:val="CETBodytext"/>
              <w:jc w:val="center"/>
            </w:pPr>
          </w:p>
        </w:tc>
        <w:tc>
          <w:tcPr>
            <w:tcW w:w="487" w:type="pct"/>
            <w:tcBorders>
              <w:top w:val="nil"/>
              <w:left w:val="nil"/>
              <w:bottom w:val="single" w:sz="12" w:space="0" w:color="00B050"/>
              <w:right w:val="nil"/>
            </w:tcBorders>
            <w:vAlign w:val="center"/>
          </w:tcPr>
          <w:p w14:paraId="40E76FD5" w14:textId="77777777" w:rsidR="00B7550A" w:rsidRPr="00220A8C" w:rsidRDefault="00B7550A" w:rsidP="00B7550A">
            <w:pPr>
              <w:pStyle w:val="CETBodytext"/>
              <w:jc w:val="center"/>
            </w:pPr>
          </w:p>
        </w:tc>
        <w:tc>
          <w:tcPr>
            <w:tcW w:w="549" w:type="pct"/>
            <w:tcBorders>
              <w:top w:val="nil"/>
              <w:left w:val="nil"/>
              <w:bottom w:val="single" w:sz="12" w:space="0" w:color="00B050"/>
              <w:right w:val="nil"/>
            </w:tcBorders>
          </w:tcPr>
          <w:p w14:paraId="781F8F70" w14:textId="77777777" w:rsidR="00B7550A" w:rsidRPr="00220A8C" w:rsidRDefault="00B7550A" w:rsidP="00B7550A">
            <w:pPr>
              <w:pStyle w:val="CETBodytext"/>
              <w:jc w:val="center"/>
              <w:rPr>
                <w:rFonts w:cstheme="minorHAnsi"/>
                <w:color w:val="000000" w:themeColor="text1"/>
              </w:rPr>
            </w:pPr>
          </w:p>
        </w:tc>
        <w:tc>
          <w:tcPr>
            <w:tcW w:w="898" w:type="pct"/>
            <w:tcBorders>
              <w:top w:val="nil"/>
              <w:left w:val="nil"/>
              <w:bottom w:val="single" w:sz="12" w:space="0" w:color="00B050"/>
              <w:right w:val="nil"/>
            </w:tcBorders>
            <w:vAlign w:val="center"/>
          </w:tcPr>
          <w:p w14:paraId="469AAEA8" w14:textId="20C67267" w:rsidR="00B7550A" w:rsidRPr="00220A8C" w:rsidRDefault="00B7550A" w:rsidP="00B7550A">
            <w:pPr>
              <w:pStyle w:val="CETBodytext"/>
              <w:jc w:val="center"/>
            </w:pPr>
            <w:r w:rsidRPr="00220A8C">
              <w:rPr>
                <w:rFonts w:cstheme="minorHAnsi"/>
                <w:color w:val="000000" w:themeColor="text1"/>
              </w:rPr>
              <w:t>0.</w:t>
            </w:r>
            <w:r>
              <w:rPr>
                <w:rFonts w:cstheme="minorHAnsi"/>
                <w:color w:val="000000" w:themeColor="text1"/>
              </w:rPr>
              <w:t>9603</w:t>
            </w:r>
          </w:p>
        </w:tc>
        <w:tc>
          <w:tcPr>
            <w:tcW w:w="219" w:type="pct"/>
            <w:tcBorders>
              <w:top w:val="nil"/>
              <w:left w:val="nil"/>
              <w:bottom w:val="single" w:sz="12" w:space="0" w:color="00B050"/>
              <w:right w:val="nil"/>
            </w:tcBorders>
            <w:vAlign w:val="center"/>
          </w:tcPr>
          <w:p w14:paraId="574FE387" w14:textId="5050CB79" w:rsidR="00B7550A" w:rsidRPr="00220A8C" w:rsidRDefault="00B7550A" w:rsidP="00B7550A">
            <w:pPr>
              <w:pStyle w:val="CETBodytext"/>
              <w:jc w:val="center"/>
            </w:pPr>
          </w:p>
        </w:tc>
        <w:tc>
          <w:tcPr>
            <w:tcW w:w="487" w:type="pct"/>
            <w:tcBorders>
              <w:top w:val="nil"/>
              <w:left w:val="nil"/>
              <w:bottom w:val="single" w:sz="12" w:space="0" w:color="00B050"/>
              <w:right w:val="nil"/>
            </w:tcBorders>
            <w:vAlign w:val="center"/>
          </w:tcPr>
          <w:p w14:paraId="6FC0C7D8" w14:textId="5033339D" w:rsidR="00B7550A" w:rsidRPr="00220A8C" w:rsidRDefault="00B7550A" w:rsidP="00B7550A">
            <w:pPr>
              <w:pStyle w:val="CETBodytext"/>
              <w:jc w:val="center"/>
            </w:pPr>
          </w:p>
        </w:tc>
        <w:tc>
          <w:tcPr>
            <w:tcW w:w="549" w:type="pct"/>
            <w:tcBorders>
              <w:top w:val="nil"/>
              <w:left w:val="nil"/>
              <w:bottom w:val="single" w:sz="12" w:space="0" w:color="00B050"/>
              <w:right w:val="nil"/>
            </w:tcBorders>
          </w:tcPr>
          <w:p w14:paraId="48238863" w14:textId="77777777" w:rsidR="00B7550A" w:rsidRPr="00220A8C" w:rsidRDefault="00B7550A" w:rsidP="00B7550A">
            <w:pPr>
              <w:pStyle w:val="CETBodytext"/>
              <w:jc w:val="center"/>
            </w:pPr>
          </w:p>
        </w:tc>
      </w:tr>
    </w:tbl>
    <w:p w14:paraId="2B64942D" w14:textId="03235276" w:rsidR="00DA3BBB" w:rsidRPr="00147770" w:rsidRDefault="00147770" w:rsidP="00147770">
      <w:pPr>
        <w:pStyle w:val="CETBodytext"/>
        <w:rPr>
          <w:sz w:val="16"/>
          <w:szCs w:val="16"/>
        </w:rPr>
      </w:pPr>
      <w:r w:rsidRPr="00147770">
        <w:rPr>
          <w:sz w:val="16"/>
          <w:szCs w:val="16"/>
        </w:rPr>
        <w:t xml:space="preserve">* AB </w:t>
      </w:r>
      <w:r w:rsidR="002854F4">
        <w:rPr>
          <w:sz w:val="16"/>
          <w:szCs w:val="16"/>
        </w:rPr>
        <w:t>i</w:t>
      </w:r>
      <w:r w:rsidRPr="00147770">
        <w:rPr>
          <w:sz w:val="16"/>
          <w:szCs w:val="16"/>
        </w:rPr>
        <w:t>s not reported for the response Y</w:t>
      </w:r>
      <w:r w:rsidRPr="00147770">
        <w:rPr>
          <w:sz w:val="16"/>
          <w:szCs w:val="16"/>
          <w:vertAlign w:val="subscript"/>
        </w:rPr>
        <w:t>1</w:t>
      </w:r>
      <w:r w:rsidRPr="00147770">
        <w:rPr>
          <w:sz w:val="16"/>
          <w:szCs w:val="16"/>
        </w:rPr>
        <w:t xml:space="preserve"> since it was evaluated as not significant</w:t>
      </w:r>
      <w:r w:rsidR="002854F4">
        <w:rPr>
          <w:sz w:val="16"/>
          <w:szCs w:val="16"/>
        </w:rPr>
        <w:t xml:space="preserve"> by the ANOVA (p-</w:t>
      </w:r>
      <w:r w:rsidRPr="00147770">
        <w:rPr>
          <w:sz w:val="16"/>
          <w:szCs w:val="16"/>
        </w:rPr>
        <w:t>value = 0.1551 &gt; 0.05).</w:t>
      </w:r>
    </w:p>
    <w:p w14:paraId="42E9EB46" w14:textId="77777777" w:rsidR="00147770" w:rsidRPr="00503DBD" w:rsidRDefault="00147770" w:rsidP="00332E1C">
      <w:pPr>
        <w:pStyle w:val="CETBodytext"/>
        <w:rPr>
          <w:sz w:val="10"/>
          <w:szCs w:val="10"/>
        </w:rPr>
      </w:pPr>
    </w:p>
    <w:tbl>
      <w:tblPr>
        <w:tblW w:w="5000" w:type="pct"/>
        <w:tblLook w:val="04A0" w:firstRow="1" w:lastRow="0" w:firstColumn="1" w:lastColumn="0" w:noHBand="0" w:noVBand="1"/>
      </w:tblPr>
      <w:tblGrid>
        <w:gridCol w:w="7985"/>
        <w:gridCol w:w="802"/>
      </w:tblGrid>
      <w:tr w:rsidR="0081354C" w:rsidRPr="0081354C" w14:paraId="48C5D525" w14:textId="77777777" w:rsidTr="00390710">
        <w:tc>
          <w:tcPr>
            <w:tcW w:w="7985" w:type="dxa"/>
            <w:shd w:val="clear" w:color="auto" w:fill="auto"/>
            <w:vAlign w:val="center"/>
          </w:tcPr>
          <w:p w14:paraId="560FF245" w14:textId="77777777" w:rsidR="0081354C" w:rsidRPr="0081354C" w:rsidRDefault="00C9008E" w:rsidP="00CC7596">
            <w:pPr>
              <w:pStyle w:val="CETEquation"/>
              <w:spacing w:before="0" w:after="60"/>
            </w:pPr>
            <m:oMathPara>
              <m:oMathParaPr>
                <m:jc m:val="left"/>
              </m:oMathParaPr>
              <m:oMath>
                <m:sSub>
                  <m:sSubPr>
                    <m:ctrlPr>
                      <w:rPr>
                        <w:rFonts w:ascii="Cambria Math" w:hAnsi="Cambria Math"/>
                      </w:rPr>
                    </m:ctrlPr>
                  </m:sSubPr>
                  <m:e>
                    <m:r>
                      <w:rPr>
                        <w:rFonts w:ascii="Cambria Math" w:hAnsi="Cambria Math"/>
                      </w:rPr>
                      <m:t>Y</m:t>
                    </m:r>
                  </m:e>
                  <m:sub>
                    <m:r>
                      <m:rPr>
                        <m:sty m:val="p"/>
                      </m:rPr>
                      <w:rPr>
                        <w:rFonts w:ascii="Cambria Math" w:hAnsi="Cambria Math"/>
                      </w:rPr>
                      <m:t>1</m:t>
                    </m:r>
                  </m:sub>
                </m:sSub>
                <m:r>
                  <m:rPr>
                    <m:sty m:val="p"/>
                  </m:rPr>
                  <w:rPr>
                    <w:rFonts w:ascii="Cambria Math" w:hAnsi="Cambria Math"/>
                  </w:rPr>
                  <m:t>=41.25+3.942∙</m:t>
                </m:r>
                <m:r>
                  <w:rPr>
                    <w:rFonts w:ascii="Cambria Math" w:hAnsi="Cambria Math"/>
                  </w:rPr>
                  <m:t>A</m:t>
                </m:r>
                <m:r>
                  <m:rPr>
                    <m:sty m:val="p"/>
                  </m:rPr>
                  <w:rPr>
                    <w:rFonts w:ascii="Cambria Math" w:hAnsi="Cambria Math"/>
                  </w:rPr>
                  <m:t>-8.815∙</m:t>
                </m:r>
                <m:r>
                  <w:rPr>
                    <w:rFonts w:ascii="Cambria Math" w:hAnsi="Cambria Math"/>
                  </w:rPr>
                  <m:t>B</m:t>
                </m:r>
                <m:r>
                  <m:rPr>
                    <m:sty m:val="p"/>
                  </m:rPr>
                  <w:rPr>
                    <w:rFonts w:ascii="Cambria Math" w:hAnsi="Cambria Math"/>
                  </w:rPr>
                  <m:t>-5.204∙</m:t>
                </m:r>
                <m:sSup>
                  <m:sSupPr>
                    <m:ctrlPr>
                      <w:rPr>
                        <w:rFonts w:ascii="Cambria Math" w:hAnsi="Cambria Math"/>
                      </w:rPr>
                    </m:ctrlPr>
                  </m:sSupPr>
                  <m:e>
                    <m:r>
                      <w:rPr>
                        <w:rFonts w:ascii="Cambria Math" w:hAnsi="Cambria Math"/>
                      </w:rPr>
                      <m:t>A</m:t>
                    </m:r>
                  </m:e>
                  <m:sup>
                    <m:r>
                      <m:rPr>
                        <m:sty m:val="p"/>
                      </m:rPr>
                      <w:rPr>
                        <w:rFonts w:ascii="Cambria Math" w:hAnsi="Cambria Math"/>
                      </w:rPr>
                      <m:t>2</m:t>
                    </m:r>
                  </m:sup>
                </m:sSup>
                <m:r>
                  <m:rPr>
                    <m:sty m:val="p"/>
                  </m:rPr>
                  <w:rPr>
                    <w:rFonts w:ascii="Cambria Math" w:hAnsi="Cambria Math"/>
                  </w:rPr>
                  <m:t>-20.30∙</m:t>
                </m:r>
                <m:sSup>
                  <m:sSupPr>
                    <m:ctrlPr>
                      <w:rPr>
                        <w:rFonts w:ascii="Cambria Math" w:hAnsi="Cambria Math"/>
                      </w:rPr>
                    </m:ctrlPr>
                  </m:sSupPr>
                  <m:e>
                    <m:r>
                      <w:rPr>
                        <w:rFonts w:ascii="Cambria Math" w:hAnsi="Cambria Math"/>
                      </w:rPr>
                      <m:t>B</m:t>
                    </m:r>
                  </m:e>
                  <m:sup>
                    <m:r>
                      <m:rPr>
                        <m:sty m:val="p"/>
                      </m:rPr>
                      <w:rPr>
                        <w:rFonts w:ascii="Cambria Math" w:hAnsi="Cambria Math"/>
                      </w:rPr>
                      <m:t>2</m:t>
                    </m:r>
                  </m:sup>
                </m:sSup>
              </m:oMath>
            </m:oMathPara>
          </w:p>
        </w:tc>
        <w:tc>
          <w:tcPr>
            <w:tcW w:w="802" w:type="dxa"/>
            <w:shd w:val="clear" w:color="auto" w:fill="auto"/>
            <w:vAlign w:val="center"/>
          </w:tcPr>
          <w:p w14:paraId="3CCE1343" w14:textId="77777777" w:rsidR="0081354C" w:rsidRPr="0081354C" w:rsidRDefault="0081354C" w:rsidP="00CC7596">
            <w:pPr>
              <w:pStyle w:val="CETEquation"/>
              <w:spacing w:before="0" w:after="60"/>
              <w:jc w:val="right"/>
            </w:pPr>
            <w:r w:rsidRPr="0081354C">
              <w:t>(3)</w:t>
            </w:r>
          </w:p>
        </w:tc>
      </w:tr>
      <w:tr w:rsidR="0081354C" w:rsidRPr="0081354C" w14:paraId="1E55CE78" w14:textId="77777777" w:rsidTr="00390710">
        <w:tc>
          <w:tcPr>
            <w:tcW w:w="7985" w:type="dxa"/>
            <w:shd w:val="clear" w:color="auto" w:fill="auto"/>
            <w:vAlign w:val="center"/>
          </w:tcPr>
          <w:p w14:paraId="688EC42E" w14:textId="77777777" w:rsidR="0081354C" w:rsidRPr="0081354C" w:rsidRDefault="00C9008E" w:rsidP="00CC7596">
            <w:pPr>
              <w:pStyle w:val="CETEquation"/>
              <w:spacing w:before="60" w:after="0"/>
            </w:pPr>
            <m:oMathPara>
              <m:oMathParaPr>
                <m:jc m:val="left"/>
              </m:oMathParaPr>
              <m:oMath>
                <m:sSub>
                  <m:sSubPr>
                    <m:ctrlPr>
                      <w:rPr>
                        <w:rFonts w:ascii="Cambria Math" w:hAnsi="Cambria Math"/>
                      </w:rPr>
                    </m:ctrlPr>
                  </m:sSubPr>
                  <m:e>
                    <m:r>
                      <w:rPr>
                        <w:rFonts w:ascii="Cambria Math" w:hAnsi="Cambria Math"/>
                      </w:rPr>
                      <m:t>Y</m:t>
                    </m:r>
                  </m:e>
                  <m:sub>
                    <m:r>
                      <m:rPr>
                        <m:sty m:val="p"/>
                      </m:rPr>
                      <w:rPr>
                        <w:rFonts w:ascii="Cambria Math" w:hAnsi="Cambria Math"/>
                      </w:rPr>
                      <m:t>2</m:t>
                    </m:r>
                  </m:sub>
                </m:sSub>
                <m:r>
                  <m:rPr>
                    <m:sty m:val="p"/>
                  </m:rPr>
                  <w:rPr>
                    <w:rFonts w:ascii="Cambria Math" w:hAnsi="Cambria Math"/>
                  </w:rPr>
                  <m:t>=2.609∙</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-2</m:t>
                    </m:r>
                  </m:sup>
                </m:sSup>
                <m:r>
                  <m:rPr>
                    <m:sty m:val="p"/>
                  </m:rPr>
                  <w:rPr>
                    <w:rFonts w:ascii="Cambria Math" w:hAnsi="Cambria Math"/>
                  </w:rPr>
                  <m:t>+4.629∙</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m:t>
                </m:r>
                <m:r>
                  <w:rPr>
                    <w:rFonts w:ascii="Cambria Math" w:hAnsi="Cambria Math"/>
                  </w:rPr>
                  <m:t>A</m:t>
                </m:r>
                <m:r>
                  <m:rPr>
                    <m:sty m:val="p"/>
                  </m:rPr>
                  <w:rPr>
                    <w:rFonts w:ascii="Cambria Math" w:hAnsi="Cambria Math"/>
                  </w:rPr>
                  <m:t>-1.859∙</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m:t>
                </m:r>
                <m:r>
                  <w:rPr>
                    <w:rFonts w:ascii="Cambria Math" w:hAnsi="Cambria Math"/>
                  </w:rPr>
                  <m:t>B</m:t>
                </m:r>
                <m:r>
                  <m:rPr>
                    <m:sty m:val="p"/>
                  </m:rPr>
                  <w:rPr>
                    <w:rFonts w:ascii="Cambria Math" w:hAnsi="Cambria Math"/>
                  </w:rPr>
                  <m:t>+2.498∙</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m:t>
                </m:r>
                <m:r>
                  <w:rPr>
                    <w:rFonts w:ascii="Cambria Math" w:hAnsi="Cambria Math"/>
                  </w:rPr>
                  <m:t>AB</m:t>
                </m:r>
                <m:r>
                  <m:rPr>
                    <m:sty m:val="p"/>
                  </m:rPr>
                  <w:rPr>
                    <w:rFonts w:ascii="Cambria Math" w:hAnsi="Cambria Math"/>
                  </w:rPr>
                  <m:t>-6.696∙</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m:t>
                </m:r>
                <m:sSup>
                  <m:sSupPr>
                    <m:ctrlPr>
                      <w:rPr>
                        <w:rFonts w:ascii="Cambria Math" w:hAnsi="Cambria Math"/>
                      </w:rPr>
                    </m:ctrlPr>
                  </m:sSupPr>
                  <m:e>
                    <m:r>
                      <w:rPr>
                        <w:rFonts w:ascii="Cambria Math" w:hAnsi="Cambria Math"/>
                      </w:rPr>
                      <m:t>A</m:t>
                    </m:r>
                  </m:e>
                  <m:sup>
                    <m:r>
                      <m:rPr>
                        <m:sty m:val="p"/>
                      </m:rPr>
                      <w:rPr>
                        <w:rFonts w:ascii="Cambria Math" w:hAnsi="Cambria Math"/>
                      </w:rPr>
                      <m:t>2</m:t>
                    </m:r>
                  </m:sup>
                </m:sSup>
                <m:r>
                  <m:rPr>
                    <m:sty m:val="p"/>
                  </m:rPr>
                  <w:rPr>
                    <w:rFonts w:ascii="Cambria Math" w:hAnsi="Cambria Math"/>
                  </w:rPr>
                  <m:t>-1.140∙</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B</m:t>
                    </m:r>
                  </m:e>
                  <m:sup>
                    <m:r>
                      <m:rPr>
                        <m:sty m:val="p"/>
                      </m:rPr>
                      <w:rPr>
                        <w:rFonts w:ascii="Cambria Math" w:hAnsi="Cambria Math"/>
                      </w:rPr>
                      <m:t>2</m:t>
                    </m:r>
                  </m:sup>
                </m:sSup>
              </m:oMath>
            </m:oMathPara>
          </w:p>
        </w:tc>
        <w:tc>
          <w:tcPr>
            <w:tcW w:w="802" w:type="dxa"/>
            <w:shd w:val="clear" w:color="auto" w:fill="auto"/>
            <w:vAlign w:val="center"/>
          </w:tcPr>
          <w:p w14:paraId="48090D73" w14:textId="77777777" w:rsidR="0081354C" w:rsidRPr="0081354C" w:rsidRDefault="0081354C" w:rsidP="00CC7596">
            <w:pPr>
              <w:pStyle w:val="CETEquation"/>
              <w:spacing w:before="0" w:after="0"/>
              <w:jc w:val="right"/>
            </w:pPr>
            <w:r w:rsidRPr="0081354C">
              <w:t>(4)</w:t>
            </w:r>
          </w:p>
        </w:tc>
      </w:tr>
    </w:tbl>
    <w:p w14:paraId="55E1FA5D" w14:textId="3E1476FC" w:rsidR="00AA0A9E" w:rsidRPr="00220A8C" w:rsidRDefault="00020CFD" w:rsidP="00D42707">
      <w:pPr>
        <w:pStyle w:val="CETBodytext"/>
      </w:pPr>
      <w:r w:rsidRPr="00020CFD">
        <w:rPr>
          <w:noProof/>
          <w:lang w:val="it-IT" w:eastAsia="it-IT"/>
        </w:rPr>
        <mc:AlternateContent>
          <mc:Choice Requires="wps">
            <w:drawing>
              <wp:anchor distT="0" distB="0" distL="114300" distR="114300" simplePos="0" relativeHeight="251669504" behindDoc="0" locked="0" layoutInCell="1" allowOverlap="1" wp14:anchorId="6A016C5B" wp14:editId="1C833E51">
                <wp:simplePos x="0" y="0"/>
                <wp:positionH relativeFrom="column">
                  <wp:posOffset>3128010</wp:posOffset>
                </wp:positionH>
                <wp:positionV relativeFrom="paragraph">
                  <wp:posOffset>49530</wp:posOffset>
                </wp:positionV>
                <wp:extent cx="253365" cy="240030"/>
                <wp:effectExtent l="0" t="0" r="0" b="7620"/>
                <wp:wrapNone/>
                <wp:docPr id="3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240030"/>
                        </a:xfrm>
                        <a:prstGeom prst="rect">
                          <a:avLst/>
                        </a:prstGeom>
                        <a:noFill/>
                        <a:ln w="3175">
                          <a:noFill/>
                          <a:miter lim="800000"/>
                          <a:headEnd/>
                          <a:tailEnd/>
                        </a:ln>
                        <a:effectLst/>
                        <a:extLst/>
                      </wps:spPr>
                      <wps:txbx>
                        <w:txbxContent>
                          <w:p w14:paraId="6B12F18C" w14:textId="77777777" w:rsidR="00072372" w:rsidRPr="00F03FD4" w:rsidRDefault="00072372" w:rsidP="00020CFD">
                            <w:pPr>
                              <w:jc w:val="center"/>
                              <w:rPr>
                                <w:rFonts w:cs="Arial"/>
                                <w:szCs w:val="18"/>
                                <w:lang w:val="it-IT"/>
                              </w:rPr>
                            </w:pPr>
                            <w:r>
                              <w:rPr>
                                <w:rFonts w:cs="Arial"/>
                                <w:szCs w:val="18"/>
                                <w:lang w:val="it-IT"/>
                              </w:rPr>
                              <w:t>b</w:t>
                            </w:r>
                          </w:p>
                        </w:txbxContent>
                      </wps:txbx>
                      <wps:bodyPr rot="0" vert="horz" wrap="square" lIns="91440" tIns="45720" rIns="91440" bIns="45720" anchor="t" anchorCtr="0" upright="1">
                        <a:noAutofit/>
                      </wps:bodyPr>
                    </wps:wsp>
                  </a:graphicData>
                </a:graphic>
              </wp:anchor>
            </w:drawing>
          </mc:Choice>
          <mc:Fallback>
            <w:pict>
              <v:shape w14:anchorId="6A016C5B" id="_x0000_s1032" type="#_x0000_t202" style="position:absolute;left:0;text-align:left;margin-left:246.3pt;margin-top:3.9pt;width:19.95pt;height:18.9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" filled="f" stroked="f" strokeweight=".25pt">
                <v:textbox>
                  <w:txbxContent>
                    <w:p w14:paraId="6B12F18C" w14:textId="77777777" w:rsidR="00072372" w:rsidRPr="00F03FD4" w:rsidRDefault="00072372" w:rsidP="00020CFD">
                      <w:pPr>
                        <w:jc w:val="center"/>
                        <w:rPr>
                          <w:rFonts w:cs="Arial"/>
                          <w:szCs w:val="18"/>
                          <w:lang w:val="it-IT"/>
                        </w:rPr>
                      </w:pPr>
                      <w:r>
                        <w:rPr>
                          <w:rFonts w:cs="Arial"/>
                          <w:szCs w:val="18"/>
                          <w:lang w:val="it-IT"/>
                        </w:rPr>
                        <w:t>b</w:t>
                      </w:r>
                    </w:p>
                  </w:txbxContent>
                </v:textbox>
              </v:shape>
            </w:pict>
          </mc:Fallback>
        </mc:AlternateContent>
      </w:r>
      <w:r w:rsidRPr="00020CFD">
        <w:rPr>
          <w:noProof/>
          <w:lang w:val="it-IT" w:eastAsia="it-IT"/>
        </w:rPr>
        <mc:AlternateContent>
          <mc:Choice Requires="wps">
            <w:drawing>
              <wp:anchor distT="0" distB="0" distL="114300" distR="114300" simplePos="0" relativeHeight="251668480" behindDoc="0" locked="0" layoutInCell="1" allowOverlap="1" wp14:anchorId="5EB7BCA8" wp14:editId="41C617CB">
                <wp:simplePos x="0" y="0"/>
                <wp:positionH relativeFrom="column">
                  <wp:posOffset>365760</wp:posOffset>
                </wp:positionH>
                <wp:positionV relativeFrom="paragraph">
                  <wp:posOffset>49530</wp:posOffset>
                </wp:positionV>
                <wp:extent cx="253365" cy="240030"/>
                <wp:effectExtent l="0" t="0" r="0" b="7620"/>
                <wp:wrapNone/>
                <wp:docPr id="2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240030"/>
                        </a:xfrm>
                        <a:prstGeom prst="rect">
                          <a:avLst/>
                        </a:prstGeom>
                        <a:noFill/>
                        <a:ln w="3175">
                          <a:noFill/>
                          <a:miter lim="800000"/>
                          <a:headEnd/>
                          <a:tailEnd/>
                        </a:ln>
                        <a:effectLst/>
                        <a:extLst/>
                      </wps:spPr>
                      <wps:txbx>
                        <w:txbxContent>
                          <w:p w14:paraId="52E30A67" w14:textId="77777777" w:rsidR="00072372" w:rsidRPr="00F03FD4" w:rsidRDefault="00072372" w:rsidP="00020CFD">
                            <w:pPr>
                              <w:jc w:val="center"/>
                              <w:rPr>
                                <w:rFonts w:cs="Arial"/>
                                <w:szCs w:val="18"/>
                                <w:lang w:val="it-IT"/>
                              </w:rPr>
                            </w:pPr>
                            <w:r w:rsidRPr="00F03FD4">
                              <w:rPr>
                                <w:rFonts w:cs="Arial"/>
                                <w:szCs w:val="18"/>
                                <w:lang w:val="it-IT"/>
                              </w:rPr>
                              <w:t>a</w:t>
                            </w:r>
                          </w:p>
                        </w:txbxContent>
                      </wps:txbx>
                      <wps:bodyPr rot="0" vert="horz" wrap="square" lIns="91440" tIns="45720" rIns="91440" bIns="45720" anchor="t" anchorCtr="0" upright="1">
                        <a:noAutofit/>
                      </wps:bodyPr>
                    </wps:wsp>
                  </a:graphicData>
                </a:graphic>
              </wp:anchor>
            </w:drawing>
          </mc:Choice>
          <mc:Fallback>
            <w:pict>
              <v:shape w14:anchorId="5EB7BCA8" id="_x0000_s1033" type="#_x0000_t202" style="position:absolute;left:0;text-align:left;margin-left:28.8pt;margin-top:3.9pt;width:19.95pt;height:18.9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" filled="f" stroked="f" strokeweight=".25pt">
                <v:textbox>
                  <w:txbxContent>
                    <w:p w14:paraId="52E30A67" w14:textId="77777777" w:rsidR="00072372" w:rsidRPr="00F03FD4" w:rsidRDefault="00072372" w:rsidP="00020CFD">
                      <w:pPr>
                        <w:jc w:val="center"/>
                        <w:rPr>
                          <w:rFonts w:cs="Arial"/>
                          <w:szCs w:val="18"/>
                          <w:lang w:val="it-IT"/>
                        </w:rPr>
                      </w:pPr>
                      <w:r w:rsidRPr="00F03FD4">
                        <w:rPr>
                          <w:rFonts w:cs="Arial"/>
                          <w:szCs w:val="18"/>
                          <w:lang w:val="it-IT"/>
                        </w:rPr>
                        <w:t>a</w:t>
                      </w:r>
                    </w:p>
                  </w:txbxContent>
                </v:textbox>
              </v:shape>
            </w:pict>
          </mc:Fallback>
        </mc:AlternateContent>
      </w:r>
      <w:r w:rsidR="00FA5396" w:rsidRPr="00090569">
        <w:rPr>
          <w:noProof/>
          <w:lang w:eastAsia="it-IT"/>
        </w:rPr>
        <w:t xml:space="preserve"> </w:t>
      </w:r>
      <w:r w:rsidR="001F7D45">
        <w:rPr>
          <w:noProof/>
          <w:lang w:val="it-IT" w:eastAsia="it-IT"/>
        </w:rPr>
        <w:drawing>
          <wp:inline distT="0" distB="0" distL="0" distR="0" wp14:anchorId="45C6EE3E" wp14:editId="41843CE8">
            <wp:extent cx="2458800" cy="1875600"/>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7084" t="17794" r="4557" b="8120"/>
                    <a:stretch/>
                  </pic:blipFill>
                  <pic:spPr bwMode="auto">
                    <a:xfrm>
                      <a:off x="0" y="0"/>
                      <a:ext cx="2458800" cy="1875600"/>
                    </a:xfrm>
                    <a:prstGeom prst="rect">
                      <a:avLst/>
                    </a:prstGeom>
                    <a:ln>
                      <a:noFill/>
                    </a:ln>
                    <a:extLst>
                      <a:ext uri="{53640926-AAD7-44D8-BBD7-CCE9431645EC}">
                        <a14:shadowObscured xmlns:a14="http://schemas.microsoft.com/office/drawing/2010/main"/>
                      </a:ext>
                    </a:extLst>
                  </pic:spPr>
                </pic:pic>
              </a:graphicData>
            </a:graphic>
          </wp:inline>
        </w:drawing>
      </w:r>
      <w:r w:rsidR="00503DBD">
        <w:rPr>
          <w:noProof/>
          <w:lang w:eastAsia="it-IT"/>
        </w:rPr>
        <w:t xml:space="preserve">        </w:t>
      </w:r>
      <w:r w:rsidR="00FA5396">
        <w:rPr>
          <w:noProof/>
          <w:lang w:val="it-IT" w:eastAsia="it-IT"/>
        </w:rPr>
        <w:drawing>
          <wp:inline distT="0" distB="0" distL="0" distR="0" wp14:anchorId="3A8216CF" wp14:editId="09215A2A">
            <wp:extent cx="2419200" cy="2041200"/>
            <wp:effectExtent l="0" t="0" r="635"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7467" t="13696" r="5222" b="5634"/>
                    <a:stretch/>
                  </pic:blipFill>
                  <pic:spPr bwMode="auto">
                    <a:xfrm>
                      <a:off x="0" y="0"/>
                      <a:ext cx="2419200" cy="2041200"/>
                    </a:xfrm>
                    <a:prstGeom prst="rect">
                      <a:avLst/>
                    </a:prstGeom>
                    <a:ln>
                      <a:noFill/>
                    </a:ln>
                    <a:extLst>
                      <a:ext uri="{53640926-AAD7-44D8-BBD7-CCE9431645EC}">
                        <a14:shadowObscured xmlns:a14="http://schemas.microsoft.com/office/drawing/2010/main"/>
                      </a:ext>
                    </a:extLst>
                  </pic:spPr>
                </pic:pic>
              </a:graphicData>
            </a:graphic>
          </wp:inline>
        </w:drawing>
      </w:r>
    </w:p>
    <w:p w14:paraId="566AC689" w14:textId="588B9749" w:rsidR="00756D1A" w:rsidRDefault="00756D1A" w:rsidP="00733E46">
      <w:pPr>
        <w:pStyle w:val="CETCaption"/>
        <w:spacing w:before="0"/>
        <w:rPr>
          <w:lang w:val="en-US"/>
        </w:rPr>
      </w:pPr>
      <w:r w:rsidRPr="00220A8C">
        <w:rPr>
          <w:lang w:val="en-US"/>
        </w:rPr>
        <w:t xml:space="preserve">Figure </w:t>
      </w:r>
      <w:r w:rsidR="005F3B4F">
        <w:rPr>
          <w:lang w:val="en-US"/>
        </w:rPr>
        <w:t>4</w:t>
      </w:r>
      <w:r w:rsidRPr="00220A8C">
        <w:rPr>
          <w:lang w:val="en-US"/>
        </w:rPr>
        <w:t xml:space="preserve">: </w:t>
      </w:r>
      <w:r w:rsidR="00981264" w:rsidRPr="00220A8C">
        <w:rPr>
          <w:lang w:val="en-US"/>
        </w:rPr>
        <w:t>3D response surface graphs obtained by RSM analys</w:t>
      </w:r>
      <w:r w:rsidR="00BF68A2" w:rsidRPr="00220A8C">
        <w:rPr>
          <w:lang w:val="en-US"/>
        </w:rPr>
        <w:t>i</w:t>
      </w:r>
      <w:r w:rsidR="00981264" w:rsidRPr="00220A8C">
        <w:rPr>
          <w:lang w:val="en-US"/>
        </w:rPr>
        <w:t>s for</w:t>
      </w:r>
      <w:r w:rsidR="00020CFD">
        <w:rPr>
          <w:lang w:val="en-US"/>
        </w:rPr>
        <w:t xml:space="preserve"> (a)</w:t>
      </w:r>
      <w:r w:rsidR="00981264" w:rsidRPr="00220A8C">
        <w:rPr>
          <w:lang w:val="en-US"/>
        </w:rPr>
        <w:t xml:space="preserve"> </w:t>
      </w:r>
      <w:r w:rsidR="00090569">
        <w:rPr>
          <w:lang w:val="en-US"/>
        </w:rPr>
        <w:t>Li</w:t>
      </w:r>
      <w:r w:rsidR="00090569" w:rsidRPr="00090569">
        <w:rPr>
          <w:vertAlign w:val="subscript"/>
          <w:lang w:val="en-US"/>
        </w:rPr>
        <w:t>4</w:t>
      </w:r>
      <w:r w:rsidR="00090569">
        <w:rPr>
          <w:lang w:val="en-US"/>
        </w:rPr>
        <w:t>SiO</w:t>
      </w:r>
      <w:r w:rsidR="00090569" w:rsidRPr="00090569">
        <w:rPr>
          <w:vertAlign w:val="subscript"/>
          <w:lang w:val="en-US"/>
        </w:rPr>
        <w:t>4</w:t>
      </w:r>
      <w:r w:rsidR="00090569">
        <w:rPr>
          <w:lang w:val="en-US"/>
        </w:rPr>
        <w:t xml:space="preserve"> conversion</w:t>
      </w:r>
      <w:r w:rsidR="00981264" w:rsidRPr="00220A8C">
        <w:rPr>
          <w:lang w:val="en-US"/>
        </w:rPr>
        <w:t xml:space="preserve"> and </w:t>
      </w:r>
      <w:r w:rsidR="00020CFD">
        <w:rPr>
          <w:lang w:val="en-US"/>
        </w:rPr>
        <w:t xml:space="preserve">(b) </w:t>
      </w:r>
      <w:r w:rsidR="00090569">
        <w:rPr>
          <w:lang w:val="en-US"/>
        </w:rPr>
        <w:t>adsorption rate</w:t>
      </w:r>
      <w:r w:rsidR="00981264" w:rsidRPr="00220A8C">
        <w:rPr>
          <w:lang w:val="en-US"/>
        </w:rPr>
        <w:t xml:space="preserve"> as function of </w:t>
      </w:r>
      <w:r w:rsidR="00090569">
        <w:rPr>
          <w:lang w:val="en-US"/>
        </w:rPr>
        <w:t>milling time and adsorption temperature</w:t>
      </w:r>
      <w:r w:rsidR="00981264" w:rsidRPr="00220A8C">
        <w:rPr>
          <w:lang w:val="en-US"/>
        </w:rPr>
        <w:t>.</w:t>
      </w:r>
    </w:p>
    <w:p w14:paraId="747E4E25" w14:textId="77B4838D" w:rsidR="00377494" w:rsidRDefault="00377494" w:rsidP="00377494">
      <w:pPr>
        <w:pStyle w:val="CETBodytext"/>
      </w:pPr>
      <w:r>
        <w:t xml:space="preserve">As shown, both responses increase with increasing the adsorption temperature, reaching a maximum at </w:t>
      </w:r>
      <w:r w:rsidR="00372BCE">
        <w:t xml:space="preserve">about </w:t>
      </w:r>
      <w:r>
        <w:t>520 °C. Then, they decrease as the temperature increases from 520 to 570 °C. This result could be associated with the</w:t>
      </w:r>
      <w:r w:rsidRPr="00011577">
        <w:t xml:space="preserve"> reaction </w:t>
      </w:r>
      <w:r>
        <w:t xml:space="preserve">thermodynamic, for which </w:t>
      </w:r>
      <w:r w:rsidRPr="00E9472C">
        <w:t>the proximity to the equilibrium temperature (</w:t>
      </w:r>
      <w:r>
        <w:t xml:space="preserve">about </w:t>
      </w:r>
      <w:r w:rsidRPr="00E9472C">
        <w:t>5</w:t>
      </w:r>
      <w:r>
        <w:t>75</w:t>
      </w:r>
      <w:r w:rsidRPr="00E9472C">
        <w:t xml:space="preserve"> °C) leads to the not negligible pre</w:t>
      </w:r>
      <w:r>
        <w:t xml:space="preserve">sence of the desorption process, thus reducing the performance of the sorbents. The milling time influences less markedly the </w:t>
      </w:r>
      <w:r w:rsidRPr="004E7811">
        <w:t>Li</w:t>
      </w:r>
      <w:r w:rsidRPr="004E7811">
        <w:rPr>
          <w:vertAlign w:val="subscript"/>
        </w:rPr>
        <w:t>4</w:t>
      </w:r>
      <w:r w:rsidRPr="004E7811">
        <w:t>SiO</w:t>
      </w:r>
      <w:r w:rsidRPr="004E7811">
        <w:rPr>
          <w:vertAlign w:val="subscript"/>
        </w:rPr>
        <w:t>4</w:t>
      </w:r>
      <w:r w:rsidRPr="004E7811">
        <w:t xml:space="preserve"> conversion and </w:t>
      </w:r>
      <w:r>
        <w:t xml:space="preserve">the </w:t>
      </w:r>
      <w:r w:rsidRPr="004E7811">
        <w:t>adsorption rate</w:t>
      </w:r>
      <w:r>
        <w:t xml:space="preserve">, however exhibiting </w:t>
      </w:r>
      <w:r w:rsidRPr="00132714">
        <w:t xml:space="preserve">a quadratic effect on </w:t>
      </w:r>
      <w:r>
        <w:t>both</w:t>
      </w:r>
      <w:r w:rsidRPr="00132714">
        <w:t xml:space="preserve"> responses (</w:t>
      </w:r>
      <w:r>
        <w:t>owed</w:t>
      </w:r>
      <w:r w:rsidRPr="00132714">
        <w:t xml:space="preserve"> to </w:t>
      </w:r>
      <w:r>
        <w:t>A</w:t>
      </w:r>
      <w:r w:rsidRPr="004C18FD">
        <w:rPr>
          <w:vertAlign w:val="superscript"/>
        </w:rPr>
        <w:t>2</w:t>
      </w:r>
      <w:r w:rsidR="00372BCE">
        <w:t xml:space="preserve"> term</w:t>
      </w:r>
      <w:r w:rsidR="001B0AEE">
        <w:t>)</w:t>
      </w:r>
      <w:r>
        <w:t xml:space="preserve">. Either conversion and rate display a maximum for milling times between 60 and 120 min at 520 °C. </w:t>
      </w:r>
      <w:r w:rsidRPr="00220A8C">
        <w:t xml:space="preserve">This </w:t>
      </w:r>
      <w:r>
        <w:t xml:space="preserve">result </w:t>
      </w:r>
      <w:r w:rsidRPr="00220A8C">
        <w:t xml:space="preserve">could be </w:t>
      </w:r>
      <w:r>
        <w:t>attributed</w:t>
      </w:r>
      <w:r w:rsidRPr="00220A8C">
        <w:t xml:space="preserve"> to </w:t>
      </w:r>
      <w:r>
        <w:t xml:space="preserve">the particle size reduction obtained by </w:t>
      </w:r>
      <w:r>
        <w:lastRenderedPageBreak/>
        <w:t>employing the wet milling process, a</w:t>
      </w:r>
      <w:r w:rsidRPr="001429B7">
        <w:t xml:space="preserve">s </w:t>
      </w:r>
      <w:r>
        <w:t>observed by SEM analysis (</w:t>
      </w:r>
      <w:r w:rsidRPr="001429B7">
        <w:t xml:space="preserve">Figure </w:t>
      </w:r>
      <w:r>
        <w:t>1).</w:t>
      </w:r>
      <w:r w:rsidRPr="001429B7">
        <w:t xml:space="preserve"> </w:t>
      </w:r>
      <w:r>
        <w:t xml:space="preserve">As shown, milling times of 60 and 120 min </w:t>
      </w:r>
      <w:r w:rsidRPr="001429B7">
        <w:t>leads to sorbent</w:t>
      </w:r>
      <w:r>
        <w:t>s</w:t>
      </w:r>
      <w:r w:rsidRPr="001429B7">
        <w:t xml:space="preserve"> with smaller particle size and thus </w:t>
      </w:r>
      <w:r>
        <w:t>to</w:t>
      </w:r>
      <w:r w:rsidRPr="001429B7">
        <w:t xml:space="preserve"> higher</w:t>
      </w:r>
      <w:r w:rsidRPr="00E67C84">
        <w:t xml:space="preserve"> contact areas (surface area) </w:t>
      </w:r>
      <w:r>
        <w:t>between the sorbent particles and the CO</w:t>
      </w:r>
      <w:r w:rsidRPr="00E67C84">
        <w:rPr>
          <w:vertAlign w:val="subscript"/>
        </w:rPr>
        <w:t>2</w:t>
      </w:r>
      <w:r>
        <w:t xml:space="preserve"> molecules. The larger surface area obtained with the milling process could produce a higher CO</w:t>
      </w:r>
      <w:r w:rsidRPr="0022518B">
        <w:rPr>
          <w:vertAlign w:val="subscript"/>
        </w:rPr>
        <w:t>2</w:t>
      </w:r>
      <w:r>
        <w:t xml:space="preserve"> direct chemisorption, hence the adsorption rate is enhanced and the fast reaction stage extended leading to higher sorbent conversion </w:t>
      </w:r>
      <w:r>
        <w:fldChar w:fldCharType="begin" w:fldLock="1"/>
      </w:r>
      <w:r>
        <w:instrText>ADDIN CSL_CITATION {"citationItems":[{"id":"ITEM-1","itemData":{"abstract":"The ball milling process was used to modify microstructurally the Li4SiO4, and different structural and microstructural analyses were performed, followed by an analysis of the CO2chemisorption process. In comparison to previous reports, the Li4SiO4 modified sample exhibited very important differences and improvements during the dynamic CO2chemisorption process. Additionally, an analysis of the Li4SiO4.CO2chemisorption products showed that the Li2CO3.Li2SiO3external shell exhibits a degree of mesoporosity at T &lt; 500 °C, which is favorable for diffusion processes. Finally, the CO2chemisorption.desorption process was analyzed at 550 °C during 10 cycles. The ball milled Li4SiO4sample showed a stable performance during the CO2chemisorption.desorption test and presented better efficiencies than the solid-state sample. The mechanical milling technique proved to be an effective method for modifying the microstructural properties of the ceramic absorbent by enhancing the CO2chemisorption.desorption process without further sintering effects. © 2012 Elsevier B.V. All rights reserved.","author":[{"dropping-particle":"","family":"Romero-Ibarra","given":"Issis C.","non-dropping-particle":"","parse-names":false,"suffix":""},{"dropping-particle":"","family":"Ortiz-Landeros","given":"José","non-dropping-particle":"","parse-names":false,"suffix":""},{"dropping-particle":"","family":"Pfeiffer","given":"Heriberto","non-dropping-particle":"","parse-names":false,"suffix":""}],"container-title":"Thermochimica Acta","id":"ITEM-1","issued":{"date-parts":[["2013"]]},"page":"118-124","publisher":"Elsevier B.V.","title":"Microstructural and CO&lt;sub&gt;2&lt;/sub&gt; chemisorption analyses of Li&lt;sub&gt;4&lt;/sub&gt;SiO&lt;sub&gt;4&lt;/sub&gt;: Effect of surface modification by the ball milling process","type":"article-journal","volume":"567"},"uris":["http://www.mendeley.com/documents/?uuid=c34d25d6-9f39-4e11-8134-0fd313b2a43f"]},{"id":"ITEM-2","itemData":{"ISSN":"1385-8947","author":[{"dropping-particle":"","family":"Hu","given":"Yingchao","non-dropping-particle":"","parse-names":false,"suffix":""},{"dropping-particle":"","family":"Liu","given":"Wenqiang","non-dropping-particle":"","parse-names":false,"suffix":""},{"dropping-particle":"","family":"Yang","given":"Yuandong","non-dropping-particle":"","parse-names":false,"suffix":""},{"dropping-particle":"","family":"Qu","given":"Mingyu","non-dropping-particle":"","parse-names":false,"suffix":""},{"dropping-particle":"","family":"Li","given":"Hailong","non-dropping-particle":"","parse-names":false,"suffix":""}],"container-title":"Chemical Engineering Journal","id":"ITEM-2","issue":"October 2018","issued":{"date-parts":[["2019"]]},"page":"604-625","publisher":"Elsevier","title":"CO&lt;sub&gt;2&lt;/sub&gt; capture by Li&lt;sub&gt;4&lt;/sub&gt;SiO&lt;sub&gt;4&lt;/sub&gt; sorbents and their applications: Current developments and new trends","type":"article-journal","volume":"359"},"uris":["http://www.mendeley.com/documents/?uuid=d6360f13-60fc-4e64-aa1b-08b40df2c7f0"]}],"mendeley":{"formattedCitation":"(Hu et al., 2019; Romero-Ibarra et al., 2013)","plainTextFormattedCitation":"(Hu et al., 2019; Romero-Ibarra et al., 2013)","previouslyFormattedCitation":"(Hu et al., 2019; Romero-Ibarra et al., 2013)"},"properties":{"noteIndex":0},"schema":"https://github.com/citation-style-language/schema/raw/master/csl-citation.json"}</w:instrText>
      </w:r>
      <w:r>
        <w:fldChar w:fldCharType="separate"/>
      </w:r>
      <w:r w:rsidRPr="00C87628">
        <w:rPr>
          <w:noProof/>
        </w:rPr>
        <w:t>(Hu et al., 2019; Romero-Ibarra et al., 2013)</w:t>
      </w:r>
      <w:r>
        <w:fldChar w:fldCharType="end"/>
      </w:r>
      <w:r w:rsidR="00A31A39">
        <w:t xml:space="preserve">. </w:t>
      </w:r>
      <w:r w:rsidR="00A31A39" w:rsidRPr="00252FAE">
        <w:t xml:space="preserve">Nevertheless, the calcining step leads to the presence of clusters </w:t>
      </w:r>
      <w:r w:rsidR="00AC4D3E" w:rsidRPr="00252FAE">
        <w:t xml:space="preserve">in the sorbents final structure that could limit the modification effect </w:t>
      </w:r>
      <w:r w:rsidR="00890FA5" w:rsidRPr="00252FAE">
        <w:t>of</w:t>
      </w:r>
      <w:r w:rsidR="00AC4D3E" w:rsidRPr="00252FAE">
        <w:t xml:space="preserve"> wet milling </w:t>
      </w:r>
      <w:r w:rsidR="00890FA5" w:rsidRPr="00252FAE">
        <w:t xml:space="preserve">the </w:t>
      </w:r>
      <w:r w:rsidR="00AC4D3E" w:rsidRPr="00252FAE">
        <w:t>reagents, hence resultin</w:t>
      </w:r>
      <w:r w:rsidR="00890FA5" w:rsidRPr="00252FAE">
        <w:t>g in a not gradual</w:t>
      </w:r>
      <w:r w:rsidR="00AC4D3E" w:rsidRPr="00252FAE">
        <w:t xml:space="preserve"> enhancement of </w:t>
      </w:r>
      <w:r w:rsidR="00890FA5" w:rsidRPr="00252FAE">
        <w:t xml:space="preserve">the </w:t>
      </w:r>
      <w:r w:rsidR="00AC4D3E" w:rsidRPr="00252FAE">
        <w:t>sorption performance with increasing milling duration.</w:t>
      </w:r>
      <w:r w:rsidR="00890FA5">
        <w:t xml:space="preserve"> </w:t>
      </w:r>
      <w:r>
        <w:t xml:space="preserve">Finally, the obtained parametric models from the CCD experimental design were used for </w:t>
      </w:r>
      <w:r w:rsidRPr="00220A8C">
        <w:t>multi-objective optimization</w:t>
      </w:r>
      <w:r>
        <w:t xml:space="preserve"> in the </w:t>
      </w:r>
      <w:r w:rsidRPr="00220A8C">
        <w:t>Design Expert</w:t>
      </w:r>
      <w:r w:rsidRPr="005D4A46">
        <w:rPr>
          <w:vertAlign w:val="superscript"/>
        </w:rPr>
        <w:t>®</w:t>
      </w:r>
      <w:r w:rsidRPr="00220A8C">
        <w:t xml:space="preserve"> 13 software</w:t>
      </w:r>
      <w:r>
        <w:t xml:space="preserve">. The optimum conditions for maximizing together the </w:t>
      </w:r>
      <w:r w:rsidRPr="004E7811">
        <w:t>Li</w:t>
      </w:r>
      <w:r w:rsidRPr="004E7811">
        <w:rPr>
          <w:vertAlign w:val="subscript"/>
        </w:rPr>
        <w:t>4</w:t>
      </w:r>
      <w:r w:rsidRPr="004E7811">
        <w:t>SiO</w:t>
      </w:r>
      <w:r w:rsidRPr="004E7811">
        <w:rPr>
          <w:vertAlign w:val="subscript"/>
        </w:rPr>
        <w:t>4</w:t>
      </w:r>
      <w:r w:rsidRPr="004E7811">
        <w:t xml:space="preserve"> conversion and </w:t>
      </w:r>
      <w:r>
        <w:t xml:space="preserve">the </w:t>
      </w:r>
      <w:r w:rsidRPr="004E7811">
        <w:t>adsorption rate</w:t>
      </w:r>
      <w:r>
        <w:t xml:space="preserve"> are 80 min of milling time for the reagent suspension, operating the CO</w:t>
      </w:r>
      <w:r w:rsidRPr="0037033A">
        <w:rPr>
          <w:vertAlign w:val="subscript"/>
        </w:rPr>
        <w:t>2</w:t>
      </w:r>
      <w:r>
        <w:t xml:space="preserve"> adsorption (in 4 vol% CO</w:t>
      </w:r>
      <w:r w:rsidRPr="0037033A">
        <w:rPr>
          <w:vertAlign w:val="subscript"/>
        </w:rPr>
        <w:t>2</w:t>
      </w:r>
      <w:r>
        <w:t xml:space="preserve"> stream) of the resulting sorbent at 515 °C. The sorption capacity in th</w:t>
      </w:r>
      <w:r w:rsidR="00B55CF1">
        <w:t>ese</w:t>
      </w:r>
      <w:r>
        <w:t xml:space="preserve"> conditions reaches 156 mg CO</w:t>
      </w:r>
      <w:r w:rsidRPr="00F96A7E">
        <w:rPr>
          <w:vertAlign w:val="subscript"/>
        </w:rPr>
        <w:t>2</w:t>
      </w:r>
      <w:r>
        <w:t>/g sorbent (Li</w:t>
      </w:r>
      <w:r w:rsidRPr="00F96A7E">
        <w:rPr>
          <w:vertAlign w:val="subscript"/>
        </w:rPr>
        <w:t>4</w:t>
      </w:r>
      <w:r>
        <w:t>SiO</w:t>
      </w:r>
      <w:r w:rsidRPr="00F96A7E">
        <w:rPr>
          <w:vertAlign w:val="subscript"/>
        </w:rPr>
        <w:t>4</w:t>
      </w:r>
      <w:r>
        <w:t xml:space="preserve"> conversion of about 42.7 %)</w:t>
      </w:r>
      <w:r w:rsidR="00A70974">
        <w:t>.</w:t>
      </w:r>
      <w:bookmarkStart w:id="0" w:name="_GoBack"/>
      <w:bookmarkEnd w:id="0"/>
    </w:p>
    <w:p w14:paraId="135B8ADF" w14:textId="77777777" w:rsidR="00D42707" w:rsidRPr="00220A8C" w:rsidRDefault="00D42707" w:rsidP="00D42707">
      <w:pPr>
        <w:pStyle w:val="CETHeading1"/>
        <w:tabs>
          <w:tab w:val="clear" w:pos="360"/>
          <w:tab w:val="right" w:pos="7100"/>
        </w:tabs>
        <w:jc w:val="both"/>
      </w:pPr>
      <w:r w:rsidRPr="00220A8C">
        <w:t>Conclusions</w:t>
      </w:r>
    </w:p>
    <w:p w14:paraId="090528DA" w14:textId="455F0CB8" w:rsidR="00133618" w:rsidRPr="00A45300" w:rsidRDefault="00E37D39" w:rsidP="00D336A4">
      <w:pPr>
        <w:pStyle w:val="CETBodytext"/>
        <w:rPr>
          <w:rFonts w:eastAsiaTheme="minorHAnsi"/>
        </w:rPr>
      </w:pPr>
      <w:r w:rsidRPr="00E37D39">
        <w:t>The present work proposed a method</w:t>
      </w:r>
      <w:r w:rsidR="00891C63">
        <w:t xml:space="preserve"> for the </w:t>
      </w:r>
      <w:r w:rsidR="005D4C06">
        <w:t>fabrication</w:t>
      </w:r>
      <w:r w:rsidR="00891C63">
        <w:t xml:space="preserve"> of </w:t>
      </w:r>
      <w:r w:rsidR="00891C63" w:rsidRPr="00E37D39">
        <w:rPr>
          <w:rFonts w:eastAsiaTheme="minorHAnsi"/>
        </w:rPr>
        <w:t>pure Li</w:t>
      </w:r>
      <w:r w:rsidR="00891C63" w:rsidRPr="00E37D39">
        <w:rPr>
          <w:rFonts w:eastAsiaTheme="minorHAnsi"/>
          <w:vertAlign w:val="subscript"/>
        </w:rPr>
        <w:t>4</w:t>
      </w:r>
      <w:r w:rsidR="00891C63" w:rsidRPr="00E37D39">
        <w:rPr>
          <w:rFonts w:eastAsiaTheme="minorHAnsi"/>
        </w:rPr>
        <w:t>SiO</w:t>
      </w:r>
      <w:r w:rsidR="00891C63" w:rsidRPr="00E37D39">
        <w:rPr>
          <w:rFonts w:eastAsiaTheme="minorHAnsi"/>
          <w:vertAlign w:val="subscript"/>
        </w:rPr>
        <w:t>4</w:t>
      </w:r>
      <w:r w:rsidR="00891C63" w:rsidRPr="00E37D39">
        <w:rPr>
          <w:rFonts w:eastAsiaTheme="minorHAnsi"/>
        </w:rPr>
        <w:t xml:space="preserve"> sorbents</w:t>
      </w:r>
      <w:r w:rsidR="00891C63">
        <w:rPr>
          <w:rFonts w:eastAsiaTheme="minorHAnsi"/>
        </w:rPr>
        <w:t xml:space="preserve"> for CO</w:t>
      </w:r>
      <w:r w:rsidR="00891C63" w:rsidRPr="00C14AFD">
        <w:rPr>
          <w:rFonts w:eastAsiaTheme="minorHAnsi"/>
          <w:vertAlign w:val="subscript"/>
        </w:rPr>
        <w:t>2</w:t>
      </w:r>
      <w:r w:rsidR="00891C63">
        <w:rPr>
          <w:rFonts w:eastAsiaTheme="minorHAnsi"/>
        </w:rPr>
        <w:t xml:space="preserve"> capture</w:t>
      </w:r>
      <w:r w:rsidR="00C14AFD">
        <w:rPr>
          <w:rFonts w:eastAsiaTheme="minorHAnsi"/>
        </w:rPr>
        <w:t xml:space="preserve"> at high temperature</w:t>
      </w:r>
      <w:r w:rsidR="00891C63">
        <w:rPr>
          <w:rFonts w:eastAsiaTheme="minorHAnsi"/>
        </w:rPr>
        <w:t xml:space="preserve">, which employed </w:t>
      </w:r>
      <w:r w:rsidR="00133A22">
        <w:rPr>
          <w:rFonts w:eastAsiaTheme="minorHAnsi"/>
        </w:rPr>
        <w:t xml:space="preserve">the ball </w:t>
      </w:r>
      <w:r w:rsidR="00FB539E">
        <w:rPr>
          <w:rFonts w:eastAsiaTheme="minorHAnsi"/>
        </w:rPr>
        <w:t>milling process in</w:t>
      </w:r>
      <w:r w:rsidR="005D4C06">
        <w:rPr>
          <w:rFonts w:eastAsiaTheme="minorHAnsi"/>
        </w:rPr>
        <w:t xml:space="preserve"> the reagents mixing phase for enhancing the CO</w:t>
      </w:r>
      <w:r w:rsidR="005D4C06" w:rsidRPr="005D4C06">
        <w:rPr>
          <w:rFonts w:eastAsiaTheme="minorHAnsi"/>
          <w:vertAlign w:val="subscript"/>
        </w:rPr>
        <w:t>2</w:t>
      </w:r>
      <w:r w:rsidR="005D4C06">
        <w:rPr>
          <w:rFonts w:eastAsiaTheme="minorHAnsi"/>
        </w:rPr>
        <w:t xml:space="preserve"> adsorption properties of the produced sorbents.</w:t>
      </w:r>
      <w:r w:rsidR="009B1BA8">
        <w:rPr>
          <w:rFonts w:eastAsiaTheme="minorHAnsi"/>
        </w:rPr>
        <w:t xml:space="preserve"> The effect of the reagents milling time </w:t>
      </w:r>
      <w:r w:rsidR="0075345D">
        <w:rPr>
          <w:rFonts w:eastAsiaTheme="minorHAnsi"/>
        </w:rPr>
        <w:t>on the</w:t>
      </w:r>
      <w:r w:rsidR="00266CB1">
        <w:rPr>
          <w:rFonts w:eastAsiaTheme="minorHAnsi"/>
        </w:rPr>
        <w:t xml:space="preserve"> sorbents</w:t>
      </w:r>
      <w:r w:rsidR="0075345D">
        <w:rPr>
          <w:rFonts w:eastAsiaTheme="minorHAnsi"/>
        </w:rPr>
        <w:t xml:space="preserve"> microstructure </w:t>
      </w:r>
      <w:r w:rsidR="00371599">
        <w:rPr>
          <w:rFonts w:eastAsiaTheme="minorHAnsi"/>
        </w:rPr>
        <w:t xml:space="preserve">was studied, and the combined effect of milling time and adsorption temperature was investigated </w:t>
      </w:r>
      <w:r w:rsidR="00371599" w:rsidRPr="00371599">
        <w:rPr>
          <w:rFonts w:eastAsiaTheme="minorHAnsi"/>
        </w:rPr>
        <w:t>by means of Response Surface Methodology</w:t>
      </w:r>
      <w:r w:rsidR="00371599">
        <w:rPr>
          <w:rFonts w:eastAsiaTheme="minorHAnsi"/>
        </w:rPr>
        <w:t>.</w:t>
      </w:r>
      <w:r w:rsidR="00D336A4" w:rsidRPr="00D336A4">
        <w:t xml:space="preserve"> </w:t>
      </w:r>
      <w:r w:rsidR="00D336A4" w:rsidRPr="00D336A4">
        <w:rPr>
          <w:rFonts w:eastAsiaTheme="minorHAnsi"/>
        </w:rPr>
        <w:t>The results showed that</w:t>
      </w:r>
      <w:r w:rsidR="00A45300">
        <w:rPr>
          <w:rFonts w:eastAsiaTheme="minorHAnsi"/>
        </w:rPr>
        <w:t xml:space="preserve"> </w:t>
      </w:r>
      <w:r w:rsidR="00A45300" w:rsidRPr="00E37D39">
        <w:rPr>
          <w:rFonts w:eastAsiaTheme="minorHAnsi"/>
        </w:rPr>
        <w:t>Li</w:t>
      </w:r>
      <w:r w:rsidR="00A45300" w:rsidRPr="00E37D39">
        <w:rPr>
          <w:rFonts w:eastAsiaTheme="minorHAnsi"/>
          <w:vertAlign w:val="subscript"/>
        </w:rPr>
        <w:t>4</w:t>
      </w:r>
      <w:r w:rsidR="00A45300" w:rsidRPr="00E37D39">
        <w:rPr>
          <w:rFonts w:eastAsiaTheme="minorHAnsi"/>
        </w:rPr>
        <w:t>SiO</w:t>
      </w:r>
      <w:r w:rsidR="00A45300" w:rsidRPr="00E37D39">
        <w:rPr>
          <w:rFonts w:eastAsiaTheme="minorHAnsi"/>
          <w:vertAlign w:val="subscript"/>
        </w:rPr>
        <w:t>4</w:t>
      </w:r>
      <w:r w:rsidR="00A45300">
        <w:rPr>
          <w:rFonts w:eastAsiaTheme="minorHAnsi"/>
        </w:rPr>
        <w:t xml:space="preserve"> conversion and adsorption rate were enhanced by the ball milling process, owing to a reduction of sorbents </w:t>
      </w:r>
      <w:r w:rsidR="00A45300" w:rsidRPr="001429B7">
        <w:t xml:space="preserve">particle size </w:t>
      </w:r>
      <w:r w:rsidR="00A45300">
        <w:t>that leads</w:t>
      </w:r>
      <w:r w:rsidR="00A45300" w:rsidRPr="001429B7">
        <w:t xml:space="preserve"> </w:t>
      </w:r>
      <w:r w:rsidR="00A45300">
        <w:t>to</w:t>
      </w:r>
      <w:r w:rsidR="00A45300" w:rsidRPr="001429B7">
        <w:t xml:space="preserve"> higher</w:t>
      </w:r>
      <w:r w:rsidR="00A45300" w:rsidRPr="00E67C84">
        <w:t xml:space="preserve"> </w:t>
      </w:r>
      <w:r w:rsidR="00A45300">
        <w:t>surface area.</w:t>
      </w:r>
      <w:r w:rsidR="0008768B" w:rsidRPr="0008768B">
        <w:t xml:space="preserve"> The optimum </w:t>
      </w:r>
      <w:r w:rsidR="0008768B">
        <w:t>operating</w:t>
      </w:r>
      <w:r w:rsidR="0008768B" w:rsidRPr="0008768B">
        <w:t xml:space="preserve"> conditions to maximize both </w:t>
      </w:r>
      <w:r w:rsidR="0008768B">
        <w:t>conversion and sorption rate</w:t>
      </w:r>
      <w:r w:rsidR="0008768B" w:rsidRPr="0008768B">
        <w:t xml:space="preserve"> (</w:t>
      </w:r>
      <w:r w:rsidR="0008768B">
        <w:t xml:space="preserve">80 min of milling, </w:t>
      </w:r>
      <w:r w:rsidR="0008768B" w:rsidRPr="0008768B">
        <w:t>5</w:t>
      </w:r>
      <w:r w:rsidR="0008768B">
        <w:t>1</w:t>
      </w:r>
      <w:r w:rsidR="0008768B" w:rsidRPr="0008768B">
        <w:t xml:space="preserve">5 °C </w:t>
      </w:r>
      <w:r w:rsidR="0008768B">
        <w:t>adsorption temperature</w:t>
      </w:r>
      <w:r w:rsidR="0008768B" w:rsidRPr="0008768B">
        <w:t xml:space="preserve">) allowed to obtain a </w:t>
      </w:r>
      <w:r w:rsidR="00F87DD4">
        <w:t xml:space="preserve">pure </w:t>
      </w:r>
      <w:r w:rsidR="0008768B">
        <w:t>sorbent</w:t>
      </w:r>
      <w:r w:rsidR="0008768B" w:rsidRPr="0008768B">
        <w:t xml:space="preserve"> that was able to adsorb </w:t>
      </w:r>
      <w:r w:rsidR="0008768B">
        <w:t>156</w:t>
      </w:r>
      <w:r w:rsidR="0008768B" w:rsidRPr="0008768B">
        <w:t xml:space="preserve"> mg CO</w:t>
      </w:r>
      <w:r w:rsidR="0008768B" w:rsidRPr="0008768B">
        <w:rPr>
          <w:vertAlign w:val="subscript"/>
        </w:rPr>
        <w:t>2</w:t>
      </w:r>
      <w:r w:rsidR="0008768B">
        <w:t>/g</w:t>
      </w:r>
      <w:r w:rsidR="0008768B" w:rsidRPr="0008768B">
        <w:t>.</w:t>
      </w:r>
    </w:p>
    <w:p w14:paraId="5B4A092C" w14:textId="478F0E95" w:rsidR="00D77554" w:rsidRPr="00220A8C" w:rsidRDefault="00D77554" w:rsidP="00D77554">
      <w:pPr>
        <w:pStyle w:val="CETReference"/>
        <w:rPr>
          <w:lang w:val="en-US"/>
        </w:rPr>
      </w:pPr>
      <w:r w:rsidRPr="00220A8C">
        <w:rPr>
          <w:lang w:val="en-US"/>
        </w:rPr>
        <w:t>Acknowledgements</w:t>
      </w:r>
    </w:p>
    <w:p w14:paraId="377B2885" w14:textId="431E7D26" w:rsidR="007B7233" w:rsidRPr="00220A8C" w:rsidRDefault="004B75B8" w:rsidP="00D42707">
      <w:pPr>
        <w:pStyle w:val="CETBodytext"/>
      </w:pPr>
      <w:r>
        <w:t xml:space="preserve">This research is supported by the </w:t>
      </w:r>
      <w:r w:rsidRPr="004B75B8">
        <w:t xml:space="preserve">Ministry of University and Research (MUR) as part of the PON 2014-2020 </w:t>
      </w:r>
      <w:r w:rsidR="00E67FA3">
        <w:t>“</w:t>
      </w:r>
      <w:r w:rsidRPr="004B75B8">
        <w:t>Research and Innovation</w:t>
      </w:r>
      <w:r w:rsidR="00E67FA3">
        <w:t>”</w:t>
      </w:r>
      <w:r w:rsidRPr="004B75B8">
        <w:t xml:space="preserve"> resources - Green/Innovation Action - DM MUR 1062/2021</w:t>
      </w:r>
      <w:r>
        <w:t xml:space="preserve"> and by Industrie Bitossi S.p.A. The authors</w:t>
      </w:r>
      <w:r w:rsidRPr="004B75B8">
        <w:t xml:space="preserve"> wish to thank Stefania De Santis and Marco Aringhieri </w:t>
      </w:r>
      <w:r>
        <w:t>(</w:t>
      </w:r>
      <w:r w:rsidRPr="004B75B8">
        <w:t>Industrie Bitossi</w:t>
      </w:r>
      <w:r>
        <w:t xml:space="preserve"> S.p.A.)</w:t>
      </w:r>
      <w:r w:rsidRPr="004B75B8">
        <w:t xml:space="preserve"> for their highly-qualified support and contribution to this work.</w:t>
      </w:r>
    </w:p>
    <w:p w14:paraId="31854E17" w14:textId="77A0FC7F" w:rsidR="00D42707" w:rsidRPr="00220A8C" w:rsidRDefault="00D42707" w:rsidP="00D42707">
      <w:pPr>
        <w:pStyle w:val="CETReference"/>
        <w:rPr>
          <w:lang w:val="en-US"/>
        </w:rPr>
      </w:pPr>
      <w:r w:rsidRPr="00220A8C">
        <w:rPr>
          <w:lang w:val="en-US"/>
        </w:rPr>
        <w:t>References</w:t>
      </w:r>
    </w:p>
    <w:p w14:paraId="187436CF" w14:textId="571B7562" w:rsidR="00D17A5E" w:rsidRPr="00D17A5E" w:rsidRDefault="00391064" w:rsidP="00B55CF1">
      <w:pPr>
        <w:pStyle w:val="CETReferencetext"/>
        <w:rPr>
          <w:noProof/>
        </w:rPr>
      </w:pPr>
      <w:r w:rsidRPr="00220A8C">
        <w:rPr>
          <w:lang w:val="en-US"/>
        </w:rPr>
        <w:fldChar w:fldCharType="begin" w:fldLock="1"/>
      </w:r>
      <w:r w:rsidRPr="00220A8C">
        <w:rPr>
          <w:lang w:val="en-US"/>
        </w:rPr>
        <w:instrText xml:space="preserve">ADDIN Mendeley Bibliography CSL_BIBLIOGRAPHY </w:instrText>
      </w:r>
      <w:r w:rsidRPr="00220A8C">
        <w:rPr>
          <w:lang w:val="en-US"/>
        </w:rPr>
        <w:fldChar w:fldCharType="separate"/>
      </w:r>
      <w:r w:rsidR="00D17A5E" w:rsidRPr="00D17A5E">
        <w:rPr>
          <w:noProof/>
        </w:rPr>
        <w:t>Chao, C., Deng, Y., Dewil, R., Baeyens, J., Fan, X., 2021</w:t>
      </w:r>
      <w:r w:rsidR="00B504FF">
        <w:rPr>
          <w:noProof/>
        </w:rPr>
        <w:t>,</w:t>
      </w:r>
      <w:r w:rsidR="00D17A5E" w:rsidRPr="00D17A5E">
        <w:rPr>
          <w:noProof/>
        </w:rPr>
        <w:t xml:space="preserve"> Post-combustion carbon capture</w:t>
      </w:r>
      <w:r w:rsidR="00B504FF">
        <w:rPr>
          <w:noProof/>
        </w:rPr>
        <w:t>,</w:t>
      </w:r>
      <w:r w:rsidR="00D17A5E" w:rsidRPr="00D17A5E">
        <w:rPr>
          <w:noProof/>
        </w:rPr>
        <w:t xml:space="preserve"> Renewable and Sustainable Energy Reviews</w:t>
      </w:r>
      <w:r w:rsidR="00B504FF">
        <w:rPr>
          <w:noProof/>
        </w:rPr>
        <w:t>,</w:t>
      </w:r>
      <w:r w:rsidR="00D17A5E" w:rsidRPr="00D17A5E">
        <w:rPr>
          <w:noProof/>
        </w:rPr>
        <w:t xml:space="preserve"> 138, 110490.</w:t>
      </w:r>
    </w:p>
    <w:p w14:paraId="3D675CAB" w14:textId="05218857" w:rsidR="00D17A5E" w:rsidRPr="00D17A5E" w:rsidRDefault="00D17A5E" w:rsidP="00B55CF1">
      <w:pPr>
        <w:pStyle w:val="CETReferencetext"/>
        <w:rPr>
          <w:noProof/>
        </w:rPr>
      </w:pPr>
      <w:r w:rsidRPr="00D17A5E">
        <w:rPr>
          <w:noProof/>
        </w:rPr>
        <w:t>Ghani, S.M.M., Chow, X.E., Kumeressan, R., Rabat, N.E., 2022</w:t>
      </w:r>
      <w:r w:rsidR="00B504FF">
        <w:rPr>
          <w:noProof/>
        </w:rPr>
        <w:t>,</w:t>
      </w:r>
      <w:r w:rsidRPr="00D17A5E">
        <w:rPr>
          <w:noProof/>
        </w:rPr>
        <w:t xml:space="preserve"> Improved Hydrogel as Potential Carbon Dioxide Adsorbent</w:t>
      </w:r>
      <w:r w:rsidR="00B504FF">
        <w:rPr>
          <w:noProof/>
        </w:rPr>
        <w:t>,</w:t>
      </w:r>
      <w:r w:rsidRPr="00D17A5E">
        <w:rPr>
          <w:noProof/>
        </w:rPr>
        <w:t xml:space="preserve"> Chemical Engineering Transactions</w:t>
      </w:r>
      <w:r w:rsidR="00B504FF">
        <w:rPr>
          <w:noProof/>
        </w:rPr>
        <w:t>,</w:t>
      </w:r>
      <w:r w:rsidRPr="00D17A5E">
        <w:rPr>
          <w:noProof/>
        </w:rPr>
        <w:t xml:space="preserve"> 97, 457–462.</w:t>
      </w:r>
    </w:p>
    <w:p w14:paraId="415AF22C" w14:textId="52654010" w:rsidR="00D17A5E" w:rsidRPr="00D17A5E" w:rsidRDefault="00D17A5E" w:rsidP="00B55CF1">
      <w:pPr>
        <w:pStyle w:val="CETReferencetext"/>
        <w:rPr>
          <w:noProof/>
        </w:rPr>
      </w:pPr>
      <w:r w:rsidRPr="00D17A5E">
        <w:rPr>
          <w:noProof/>
        </w:rPr>
        <w:t>Hu, Y., Liu, W., Yang, Y., Qu, M., Li, H., 2019</w:t>
      </w:r>
      <w:r w:rsidR="00B504FF">
        <w:rPr>
          <w:noProof/>
        </w:rPr>
        <w:t>,</w:t>
      </w:r>
      <w:r w:rsidRPr="00D17A5E">
        <w:rPr>
          <w:noProof/>
        </w:rPr>
        <w:t xml:space="preserve"> CO</w:t>
      </w:r>
      <w:r w:rsidRPr="00D17A5E">
        <w:rPr>
          <w:noProof/>
          <w:vertAlign w:val="subscript"/>
        </w:rPr>
        <w:t>2</w:t>
      </w:r>
      <w:r w:rsidRPr="00D17A5E">
        <w:rPr>
          <w:noProof/>
        </w:rPr>
        <w:t xml:space="preserve"> capture by Li</w:t>
      </w:r>
      <w:r w:rsidRPr="00D17A5E">
        <w:rPr>
          <w:noProof/>
          <w:vertAlign w:val="subscript"/>
        </w:rPr>
        <w:t>4</w:t>
      </w:r>
      <w:r w:rsidRPr="00D17A5E">
        <w:rPr>
          <w:noProof/>
        </w:rPr>
        <w:t>SiO</w:t>
      </w:r>
      <w:r w:rsidRPr="00D17A5E">
        <w:rPr>
          <w:noProof/>
          <w:vertAlign w:val="subscript"/>
        </w:rPr>
        <w:t>4</w:t>
      </w:r>
      <w:r w:rsidRPr="00D17A5E">
        <w:rPr>
          <w:noProof/>
        </w:rPr>
        <w:t xml:space="preserve"> sorbents and their applications: Current developments and new trends</w:t>
      </w:r>
      <w:r w:rsidR="00B504FF">
        <w:rPr>
          <w:noProof/>
        </w:rPr>
        <w:t>,</w:t>
      </w:r>
      <w:r w:rsidRPr="00D17A5E">
        <w:rPr>
          <w:noProof/>
        </w:rPr>
        <w:t xml:space="preserve"> Chemical Engineering Journal</w:t>
      </w:r>
      <w:r w:rsidR="00B504FF">
        <w:rPr>
          <w:noProof/>
        </w:rPr>
        <w:t>,</w:t>
      </w:r>
      <w:r w:rsidRPr="00D17A5E">
        <w:rPr>
          <w:noProof/>
        </w:rPr>
        <w:t xml:space="preserve"> 359, 604–625.</w:t>
      </w:r>
    </w:p>
    <w:p w14:paraId="59096AF5" w14:textId="7F0562C5" w:rsidR="00D17A5E" w:rsidRPr="00D17A5E" w:rsidRDefault="00D17A5E" w:rsidP="00B55CF1">
      <w:pPr>
        <w:pStyle w:val="CETReferencetext"/>
        <w:rPr>
          <w:noProof/>
        </w:rPr>
      </w:pPr>
      <w:r w:rsidRPr="00D17A5E">
        <w:rPr>
          <w:noProof/>
        </w:rPr>
        <w:t>Nedoma, M., Netušil, M., 2021</w:t>
      </w:r>
      <w:r w:rsidR="00B504FF">
        <w:rPr>
          <w:noProof/>
        </w:rPr>
        <w:t>,</w:t>
      </w:r>
      <w:r w:rsidRPr="00D17A5E">
        <w:rPr>
          <w:noProof/>
        </w:rPr>
        <w:t xml:space="preserve"> CO</w:t>
      </w:r>
      <w:r w:rsidRPr="00D17A5E">
        <w:rPr>
          <w:noProof/>
          <w:vertAlign w:val="subscript"/>
        </w:rPr>
        <w:t>2</w:t>
      </w:r>
      <w:r w:rsidRPr="00D17A5E">
        <w:rPr>
          <w:noProof/>
        </w:rPr>
        <w:t xml:space="preserve"> Separation from Flue Gases by Adsorption</w:t>
      </w:r>
      <w:r w:rsidR="00B504FF">
        <w:rPr>
          <w:noProof/>
        </w:rPr>
        <w:t>,</w:t>
      </w:r>
      <w:r w:rsidRPr="00D17A5E">
        <w:rPr>
          <w:noProof/>
        </w:rPr>
        <w:t xml:space="preserve"> Chemical Engineering Transactions</w:t>
      </w:r>
      <w:r w:rsidR="00B504FF">
        <w:rPr>
          <w:noProof/>
        </w:rPr>
        <w:t>,</w:t>
      </w:r>
      <w:r w:rsidRPr="00D17A5E">
        <w:rPr>
          <w:noProof/>
        </w:rPr>
        <w:t xml:space="preserve"> 88, 421–426.</w:t>
      </w:r>
    </w:p>
    <w:p w14:paraId="59592533" w14:textId="42C12F35" w:rsidR="00D17A5E" w:rsidRPr="00D17A5E" w:rsidRDefault="00D17A5E" w:rsidP="00B55CF1">
      <w:pPr>
        <w:pStyle w:val="CETReferencetext"/>
        <w:rPr>
          <w:noProof/>
        </w:rPr>
      </w:pPr>
      <w:r w:rsidRPr="00D17A5E">
        <w:rPr>
          <w:noProof/>
        </w:rPr>
        <w:t>Puccini, M., Seggiani, M., Vitolo, S., 2013</w:t>
      </w:r>
      <w:r w:rsidR="00B504FF">
        <w:rPr>
          <w:noProof/>
        </w:rPr>
        <w:t>,</w:t>
      </w:r>
      <w:r w:rsidRPr="00D17A5E">
        <w:rPr>
          <w:noProof/>
        </w:rPr>
        <w:t xml:space="preserve"> CO</w:t>
      </w:r>
      <w:r w:rsidRPr="00D17A5E">
        <w:rPr>
          <w:noProof/>
          <w:vertAlign w:val="subscript"/>
        </w:rPr>
        <w:t>2</w:t>
      </w:r>
      <w:r w:rsidRPr="00D17A5E">
        <w:rPr>
          <w:noProof/>
        </w:rPr>
        <w:t xml:space="preserve"> Capture at High Temperature and Low Concentration on Li</w:t>
      </w:r>
      <w:r w:rsidRPr="00D17A5E">
        <w:rPr>
          <w:noProof/>
          <w:vertAlign w:val="subscript"/>
        </w:rPr>
        <w:t>4</w:t>
      </w:r>
      <w:r w:rsidRPr="00D17A5E">
        <w:rPr>
          <w:noProof/>
        </w:rPr>
        <w:t>SiO</w:t>
      </w:r>
      <w:r w:rsidRPr="00D17A5E">
        <w:rPr>
          <w:noProof/>
          <w:vertAlign w:val="subscript"/>
        </w:rPr>
        <w:t>4</w:t>
      </w:r>
      <w:r w:rsidRPr="00D17A5E">
        <w:rPr>
          <w:noProof/>
        </w:rPr>
        <w:t xml:space="preserve"> Based Sorbents</w:t>
      </w:r>
      <w:r w:rsidR="00B504FF">
        <w:rPr>
          <w:noProof/>
        </w:rPr>
        <w:t>,</w:t>
      </w:r>
      <w:r w:rsidRPr="00D17A5E">
        <w:rPr>
          <w:noProof/>
        </w:rPr>
        <w:t xml:space="preserve"> Chemical Engineering Transactions</w:t>
      </w:r>
      <w:r w:rsidR="00B504FF">
        <w:rPr>
          <w:noProof/>
        </w:rPr>
        <w:t>,</w:t>
      </w:r>
      <w:r w:rsidRPr="00D17A5E">
        <w:rPr>
          <w:noProof/>
        </w:rPr>
        <w:t xml:space="preserve"> 32, 1279–1284.</w:t>
      </w:r>
    </w:p>
    <w:p w14:paraId="4BF4FA75" w14:textId="2E8CE791" w:rsidR="00D17A5E" w:rsidRPr="00D17A5E" w:rsidRDefault="00D17A5E" w:rsidP="00B55CF1">
      <w:pPr>
        <w:pStyle w:val="CETReferencetext"/>
        <w:rPr>
          <w:noProof/>
        </w:rPr>
      </w:pPr>
      <w:r w:rsidRPr="00D17A5E">
        <w:rPr>
          <w:noProof/>
        </w:rPr>
        <w:t>Raganati, F., Miccio, F., Ammendola, P., 2021</w:t>
      </w:r>
      <w:r w:rsidR="00B504FF">
        <w:rPr>
          <w:noProof/>
        </w:rPr>
        <w:t>,</w:t>
      </w:r>
      <w:r w:rsidRPr="00D17A5E">
        <w:rPr>
          <w:noProof/>
        </w:rPr>
        <w:t xml:space="preserve"> Adsorption of Carbon Dioxide for Post-combustion Capture: A Review</w:t>
      </w:r>
      <w:r w:rsidR="00B504FF">
        <w:rPr>
          <w:noProof/>
        </w:rPr>
        <w:t>,</w:t>
      </w:r>
      <w:r w:rsidRPr="00D17A5E">
        <w:rPr>
          <w:noProof/>
        </w:rPr>
        <w:t xml:space="preserve"> Energy and Fuels</w:t>
      </w:r>
      <w:r w:rsidR="00B504FF">
        <w:rPr>
          <w:noProof/>
        </w:rPr>
        <w:t>,</w:t>
      </w:r>
      <w:r w:rsidRPr="00D17A5E">
        <w:rPr>
          <w:noProof/>
        </w:rPr>
        <w:t xml:space="preserve"> 35, 12845–12868.</w:t>
      </w:r>
    </w:p>
    <w:p w14:paraId="103927AF" w14:textId="4E2A6145" w:rsidR="00D17A5E" w:rsidRPr="00D17A5E" w:rsidRDefault="00D17A5E" w:rsidP="00B55CF1">
      <w:pPr>
        <w:pStyle w:val="CETReferencetext"/>
        <w:rPr>
          <w:noProof/>
        </w:rPr>
      </w:pPr>
      <w:r w:rsidRPr="00D17A5E">
        <w:rPr>
          <w:noProof/>
        </w:rPr>
        <w:t>Romero-Ibarra, I.C., Ortiz-Landeros, J., Pfeiffer, H., 2013</w:t>
      </w:r>
      <w:r w:rsidR="00B504FF">
        <w:rPr>
          <w:noProof/>
        </w:rPr>
        <w:t>,</w:t>
      </w:r>
      <w:r w:rsidRPr="00D17A5E">
        <w:rPr>
          <w:noProof/>
        </w:rPr>
        <w:t xml:space="preserve"> Microstructural and CO</w:t>
      </w:r>
      <w:r w:rsidRPr="00D17A5E">
        <w:rPr>
          <w:noProof/>
          <w:vertAlign w:val="subscript"/>
        </w:rPr>
        <w:t>2</w:t>
      </w:r>
      <w:r w:rsidRPr="00D17A5E">
        <w:rPr>
          <w:noProof/>
        </w:rPr>
        <w:t xml:space="preserve"> chemisorption analyses of Li</w:t>
      </w:r>
      <w:r w:rsidRPr="00D17A5E">
        <w:rPr>
          <w:noProof/>
          <w:vertAlign w:val="subscript"/>
        </w:rPr>
        <w:t>4</w:t>
      </w:r>
      <w:r w:rsidRPr="00D17A5E">
        <w:rPr>
          <w:noProof/>
        </w:rPr>
        <w:t>SiO</w:t>
      </w:r>
      <w:r w:rsidRPr="00D17A5E">
        <w:rPr>
          <w:noProof/>
          <w:vertAlign w:val="subscript"/>
        </w:rPr>
        <w:t>4</w:t>
      </w:r>
      <w:r w:rsidRPr="00D17A5E">
        <w:rPr>
          <w:noProof/>
        </w:rPr>
        <w:t>: Effect of surface modification by the ball milling process</w:t>
      </w:r>
      <w:r w:rsidR="00B504FF">
        <w:rPr>
          <w:noProof/>
        </w:rPr>
        <w:t>,</w:t>
      </w:r>
      <w:r w:rsidRPr="00D17A5E">
        <w:rPr>
          <w:noProof/>
        </w:rPr>
        <w:t xml:space="preserve"> Thermochimica Acta</w:t>
      </w:r>
      <w:r w:rsidR="00B504FF">
        <w:rPr>
          <w:noProof/>
        </w:rPr>
        <w:t>,</w:t>
      </w:r>
      <w:r w:rsidRPr="00D17A5E">
        <w:rPr>
          <w:noProof/>
        </w:rPr>
        <w:t xml:space="preserve"> 567, 118–124.</w:t>
      </w:r>
    </w:p>
    <w:p w14:paraId="7BB41B7E" w14:textId="28489E99" w:rsidR="00D17A5E" w:rsidRPr="00D17A5E" w:rsidRDefault="00D17A5E" w:rsidP="00B55CF1">
      <w:pPr>
        <w:pStyle w:val="CETReferencetext"/>
        <w:rPr>
          <w:noProof/>
        </w:rPr>
      </w:pPr>
      <w:r w:rsidRPr="00D17A5E">
        <w:rPr>
          <w:noProof/>
        </w:rPr>
        <w:t>Seggiani, M., Stefanelli, E., Puccini, M., Vitolo, S., 2018</w:t>
      </w:r>
      <w:r w:rsidR="00B504FF">
        <w:rPr>
          <w:noProof/>
        </w:rPr>
        <w:t>,</w:t>
      </w:r>
      <w:r w:rsidRPr="00D17A5E">
        <w:rPr>
          <w:noProof/>
        </w:rPr>
        <w:t xml:space="preserve"> CO</w:t>
      </w:r>
      <w:r w:rsidRPr="00D17A5E">
        <w:rPr>
          <w:noProof/>
          <w:vertAlign w:val="subscript"/>
        </w:rPr>
        <w:t>2</w:t>
      </w:r>
      <w:r w:rsidRPr="00D17A5E">
        <w:rPr>
          <w:noProof/>
        </w:rPr>
        <w:t xml:space="preserve"> sorption/desorption performance study on K</w:t>
      </w:r>
      <w:r w:rsidRPr="00D17A5E">
        <w:rPr>
          <w:noProof/>
          <w:vertAlign w:val="subscript"/>
        </w:rPr>
        <w:t>2</w:t>
      </w:r>
      <w:r w:rsidRPr="00D17A5E">
        <w:rPr>
          <w:noProof/>
        </w:rPr>
        <w:t>CO</w:t>
      </w:r>
      <w:r w:rsidRPr="00D17A5E">
        <w:rPr>
          <w:noProof/>
          <w:vertAlign w:val="subscript"/>
        </w:rPr>
        <w:t>3</w:t>
      </w:r>
      <w:r w:rsidRPr="00D17A5E">
        <w:rPr>
          <w:noProof/>
        </w:rPr>
        <w:t>-doped Li</w:t>
      </w:r>
      <w:r w:rsidRPr="00D17A5E">
        <w:rPr>
          <w:noProof/>
          <w:vertAlign w:val="subscript"/>
        </w:rPr>
        <w:t>4</w:t>
      </w:r>
      <w:r w:rsidRPr="00D17A5E">
        <w:rPr>
          <w:noProof/>
        </w:rPr>
        <w:t>SiO</w:t>
      </w:r>
      <w:r w:rsidRPr="00D17A5E">
        <w:rPr>
          <w:noProof/>
          <w:vertAlign w:val="subscript"/>
        </w:rPr>
        <w:t>4</w:t>
      </w:r>
      <w:r w:rsidRPr="00D17A5E">
        <w:rPr>
          <w:noProof/>
        </w:rPr>
        <w:t>-based pellets</w:t>
      </w:r>
      <w:r w:rsidR="00B504FF">
        <w:rPr>
          <w:noProof/>
        </w:rPr>
        <w:t>,</w:t>
      </w:r>
      <w:r w:rsidRPr="00D17A5E">
        <w:rPr>
          <w:noProof/>
        </w:rPr>
        <w:t xml:space="preserve"> Chemical Engineering Journal</w:t>
      </w:r>
      <w:r w:rsidR="00B504FF">
        <w:rPr>
          <w:noProof/>
        </w:rPr>
        <w:t>,</w:t>
      </w:r>
      <w:r w:rsidRPr="00D17A5E">
        <w:rPr>
          <w:noProof/>
        </w:rPr>
        <w:t xml:space="preserve"> 339, 51–60.</w:t>
      </w:r>
    </w:p>
    <w:p w14:paraId="478FB672" w14:textId="07D69D8F" w:rsidR="00D17A5E" w:rsidRPr="00D17A5E" w:rsidRDefault="00D17A5E" w:rsidP="00B55CF1">
      <w:pPr>
        <w:pStyle w:val="CETReferencetext"/>
        <w:rPr>
          <w:noProof/>
        </w:rPr>
      </w:pPr>
      <w:r w:rsidRPr="00D17A5E">
        <w:rPr>
          <w:noProof/>
        </w:rPr>
        <w:t>Song, D.H., Kim, J.Y., Kahng, Y.H., Cho, H., Kim, E.S., 2018</w:t>
      </w:r>
      <w:r w:rsidR="00B504FF">
        <w:rPr>
          <w:noProof/>
        </w:rPr>
        <w:t>,</w:t>
      </w:r>
      <w:r w:rsidRPr="00D17A5E">
        <w:rPr>
          <w:noProof/>
        </w:rPr>
        <w:t xml:space="preserve"> Long-Term Effects on Graphene Supercapacitors of Using a Zirconia Bowl and Zirconia Balls for Ball-Mill mixing of Active Materials</w:t>
      </w:r>
      <w:r w:rsidR="00B504FF">
        <w:rPr>
          <w:noProof/>
        </w:rPr>
        <w:t>,</w:t>
      </w:r>
      <w:r w:rsidRPr="00D17A5E">
        <w:rPr>
          <w:noProof/>
        </w:rPr>
        <w:t xml:space="preserve"> Journal of the Korean Physical Society</w:t>
      </w:r>
      <w:r w:rsidR="00B504FF">
        <w:rPr>
          <w:noProof/>
        </w:rPr>
        <w:t>,</w:t>
      </w:r>
      <w:r w:rsidRPr="00D17A5E">
        <w:rPr>
          <w:noProof/>
        </w:rPr>
        <w:t xml:space="preserve"> 72, 900–905.</w:t>
      </w:r>
    </w:p>
    <w:p w14:paraId="6F570F0C" w14:textId="22DEE570" w:rsidR="00D17A5E" w:rsidRPr="00D17A5E" w:rsidRDefault="00D17A5E" w:rsidP="00B55CF1">
      <w:pPr>
        <w:pStyle w:val="CETReferencetext"/>
        <w:rPr>
          <w:noProof/>
        </w:rPr>
      </w:pPr>
      <w:r w:rsidRPr="00D17A5E">
        <w:rPr>
          <w:noProof/>
        </w:rPr>
        <w:t>Tong, Y., Chen, S., Huang, X., He, Y., Chen, J., Qin, C., 2022</w:t>
      </w:r>
      <w:r w:rsidR="00B504FF">
        <w:rPr>
          <w:noProof/>
        </w:rPr>
        <w:t>,</w:t>
      </w:r>
      <w:r w:rsidRPr="00D17A5E">
        <w:rPr>
          <w:noProof/>
        </w:rPr>
        <w:t xml:space="preserve"> CO</w:t>
      </w:r>
      <w:r w:rsidRPr="00D17A5E">
        <w:rPr>
          <w:noProof/>
          <w:vertAlign w:val="subscript"/>
        </w:rPr>
        <w:t>2</w:t>
      </w:r>
      <w:r w:rsidRPr="00D17A5E">
        <w:rPr>
          <w:noProof/>
        </w:rPr>
        <w:t xml:space="preserve"> capture by Li</w:t>
      </w:r>
      <w:r w:rsidRPr="00D17A5E">
        <w:rPr>
          <w:noProof/>
          <w:vertAlign w:val="subscript"/>
        </w:rPr>
        <w:t>4</w:t>
      </w:r>
      <w:r w:rsidRPr="00D17A5E">
        <w:rPr>
          <w:noProof/>
        </w:rPr>
        <w:t>SiO</w:t>
      </w:r>
      <w:r w:rsidRPr="00D17A5E">
        <w:rPr>
          <w:noProof/>
          <w:vertAlign w:val="subscript"/>
        </w:rPr>
        <w:t>4</w:t>
      </w:r>
      <w:r w:rsidRPr="00D17A5E">
        <w:rPr>
          <w:noProof/>
        </w:rPr>
        <w:t xml:space="preserve"> Sorbents: From fundamentals to applications</w:t>
      </w:r>
      <w:r w:rsidR="00B504FF">
        <w:rPr>
          <w:noProof/>
        </w:rPr>
        <w:t>,</w:t>
      </w:r>
      <w:r w:rsidRPr="00D17A5E">
        <w:rPr>
          <w:noProof/>
        </w:rPr>
        <w:t xml:space="preserve"> Separation and Purification Technology</w:t>
      </w:r>
      <w:r w:rsidR="00B504FF">
        <w:rPr>
          <w:noProof/>
        </w:rPr>
        <w:t>,</w:t>
      </w:r>
      <w:r w:rsidRPr="00D17A5E">
        <w:rPr>
          <w:noProof/>
        </w:rPr>
        <w:t xml:space="preserve"> 301, 121977.</w:t>
      </w:r>
    </w:p>
    <w:p w14:paraId="79E9452E" w14:textId="67E8EE75" w:rsidR="00D17A5E" w:rsidRPr="00D17A5E" w:rsidRDefault="00D17A5E" w:rsidP="00B55CF1">
      <w:pPr>
        <w:pStyle w:val="CETReferencetext"/>
        <w:rPr>
          <w:noProof/>
        </w:rPr>
      </w:pPr>
      <w:r w:rsidRPr="00D17A5E">
        <w:rPr>
          <w:noProof/>
        </w:rPr>
        <w:t>Yan, X., Li, Y., Ma, X., Zhao, J., Wang, Z., Yan, X., Li, Y., Ma, X., Zhao, J., Wang, Z., 2019</w:t>
      </w:r>
      <w:r w:rsidR="00B504FF">
        <w:rPr>
          <w:noProof/>
        </w:rPr>
        <w:t>,</w:t>
      </w:r>
      <w:r w:rsidRPr="00D17A5E">
        <w:rPr>
          <w:noProof/>
        </w:rPr>
        <w:t xml:space="preserve"> Performance of Li</w:t>
      </w:r>
      <w:r w:rsidRPr="00D17A5E">
        <w:rPr>
          <w:noProof/>
          <w:vertAlign w:val="subscript"/>
        </w:rPr>
        <w:t>4</w:t>
      </w:r>
      <w:r w:rsidRPr="00D17A5E">
        <w:rPr>
          <w:noProof/>
        </w:rPr>
        <w:t>SiO</w:t>
      </w:r>
      <w:r w:rsidRPr="00D17A5E">
        <w:rPr>
          <w:noProof/>
          <w:vertAlign w:val="subscript"/>
        </w:rPr>
        <w:t>4</w:t>
      </w:r>
      <w:r w:rsidRPr="00D17A5E">
        <w:rPr>
          <w:noProof/>
        </w:rPr>
        <w:t xml:space="preserve"> material for CO</w:t>
      </w:r>
      <w:r w:rsidRPr="00D17A5E">
        <w:rPr>
          <w:noProof/>
          <w:vertAlign w:val="subscript"/>
        </w:rPr>
        <w:t>2</w:t>
      </w:r>
      <w:r w:rsidRPr="00D17A5E">
        <w:rPr>
          <w:noProof/>
        </w:rPr>
        <w:t xml:space="preserve"> capture: a review</w:t>
      </w:r>
      <w:r w:rsidR="00B504FF">
        <w:rPr>
          <w:noProof/>
        </w:rPr>
        <w:t>,</w:t>
      </w:r>
      <w:r w:rsidRPr="00D17A5E">
        <w:rPr>
          <w:noProof/>
        </w:rPr>
        <w:t xml:space="preserve"> International Journal of Molecular Sciences</w:t>
      </w:r>
      <w:r w:rsidR="00B504FF">
        <w:rPr>
          <w:noProof/>
        </w:rPr>
        <w:t>,</w:t>
      </w:r>
      <w:r w:rsidRPr="00D17A5E">
        <w:rPr>
          <w:noProof/>
        </w:rPr>
        <w:t xml:space="preserve"> 20, 928.</w:t>
      </w:r>
    </w:p>
    <w:p w14:paraId="050FDF70" w14:textId="1A7278ED" w:rsidR="00D17A5E" w:rsidRPr="00D17A5E" w:rsidRDefault="00D17A5E" w:rsidP="00B55CF1">
      <w:pPr>
        <w:pStyle w:val="CETReferencetext"/>
        <w:rPr>
          <w:noProof/>
        </w:rPr>
      </w:pPr>
      <w:r w:rsidRPr="00D17A5E">
        <w:rPr>
          <w:noProof/>
        </w:rPr>
        <w:t>Yang, Y., Yao, S., Hu, Y., Sun, J., Cao, J., Li, Q., Liu, W., 2020</w:t>
      </w:r>
      <w:r w:rsidR="00B504FF">
        <w:rPr>
          <w:noProof/>
        </w:rPr>
        <w:t>,</w:t>
      </w:r>
      <w:r w:rsidRPr="00D17A5E">
        <w:rPr>
          <w:noProof/>
        </w:rPr>
        <w:t xml:space="preserve"> Mechanochemically activated Li</w:t>
      </w:r>
      <w:r w:rsidRPr="00D17A5E">
        <w:rPr>
          <w:noProof/>
          <w:vertAlign w:val="subscript"/>
        </w:rPr>
        <w:t>4</w:t>
      </w:r>
      <w:r w:rsidRPr="00D17A5E">
        <w:rPr>
          <w:noProof/>
        </w:rPr>
        <w:t>SiO</w:t>
      </w:r>
      <w:r w:rsidRPr="00D17A5E">
        <w:rPr>
          <w:noProof/>
          <w:vertAlign w:val="subscript"/>
        </w:rPr>
        <w:t>4</w:t>
      </w:r>
      <w:r w:rsidRPr="00D17A5E">
        <w:rPr>
          <w:noProof/>
        </w:rPr>
        <w:t>-based adsorbent with enhanced CO</w:t>
      </w:r>
      <w:r w:rsidRPr="00D17A5E">
        <w:rPr>
          <w:noProof/>
          <w:vertAlign w:val="subscript"/>
        </w:rPr>
        <w:t>2</w:t>
      </w:r>
      <w:r w:rsidRPr="00D17A5E">
        <w:rPr>
          <w:noProof/>
        </w:rPr>
        <w:t xml:space="preserve"> capture performance and its modification mechanisms</w:t>
      </w:r>
      <w:r w:rsidR="00B504FF">
        <w:rPr>
          <w:noProof/>
        </w:rPr>
        <w:t>,</w:t>
      </w:r>
      <w:r w:rsidRPr="00D17A5E">
        <w:rPr>
          <w:noProof/>
        </w:rPr>
        <w:t xml:space="preserve"> Fuel</w:t>
      </w:r>
      <w:r w:rsidR="00B504FF">
        <w:rPr>
          <w:noProof/>
        </w:rPr>
        <w:t>,</w:t>
      </w:r>
      <w:r w:rsidRPr="00D17A5E">
        <w:rPr>
          <w:noProof/>
        </w:rPr>
        <w:t xml:space="preserve"> 273, 117749.</w:t>
      </w:r>
    </w:p>
    <w:p w14:paraId="4CFB8A8D" w14:textId="0701C2B6" w:rsidR="00D17A5E" w:rsidRPr="00D17A5E" w:rsidRDefault="00D17A5E" w:rsidP="00B55CF1">
      <w:pPr>
        <w:pStyle w:val="CETReferencetext"/>
        <w:rPr>
          <w:noProof/>
        </w:rPr>
      </w:pPr>
      <w:r w:rsidRPr="00D17A5E">
        <w:rPr>
          <w:noProof/>
        </w:rPr>
        <w:t>Zainol, M.M., Hoe, T.T., Yussuf, M.A.M., Amin, N.A.S., 2021</w:t>
      </w:r>
      <w:r w:rsidR="00B504FF">
        <w:rPr>
          <w:noProof/>
        </w:rPr>
        <w:t>,</w:t>
      </w:r>
      <w:r w:rsidRPr="00D17A5E">
        <w:rPr>
          <w:noProof/>
        </w:rPr>
        <w:t xml:space="preserve"> Carbon Cryogel Preparation via Urea-furfural Gel Synthesis as an Adsorbent for CO</w:t>
      </w:r>
      <w:r w:rsidRPr="00D17A5E">
        <w:rPr>
          <w:noProof/>
          <w:vertAlign w:val="subscript"/>
        </w:rPr>
        <w:t>2</w:t>
      </w:r>
      <w:r w:rsidRPr="00D17A5E">
        <w:rPr>
          <w:noProof/>
        </w:rPr>
        <w:t xml:space="preserve"> Capture Application</w:t>
      </w:r>
      <w:r w:rsidR="00B504FF">
        <w:rPr>
          <w:noProof/>
        </w:rPr>
        <w:t>,</w:t>
      </w:r>
      <w:r w:rsidRPr="00D17A5E">
        <w:rPr>
          <w:noProof/>
        </w:rPr>
        <w:t xml:space="preserve"> Chemical Engineering Transactions</w:t>
      </w:r>
      <w:r w:rsidR="00B504FF">
        <w:rPr>
          <w:noProof/>
        </w:rPr>
        <w:t>,</w:t>
      </w:r>
      <w:r w:rsidRPr="00D17A5E">
        <w:rPr>
          <w:noProof/>
        </w:rPr>
        <w:t xml:space="preserve"> 89, 187–192.</w:t>
      </w:r>
    </w:p>
    <w:p w14:paraId="302FDD09" w14:textId="457DEF7B" w:rsidR="00D42707" w:rsidRPr="00C05C89" w:rsidRDefault="00391064" w:rsidP="00B55CF1">
      <w:pPr>
        <w:pStyle w:val="CETReferencetext"/>
        <w:rPr>
          <w:sz w:val="2"/>
          <w:lang w:val="en-US"/>
        </w:rPr>
      </w:pPr>
      <w:r w:rsidRPr="00220A8C">
        <w:rPr>
          <w:lang w:val="en-US"/>
        </w:rPr>
        <w:fldChar w:fldCharType="end"/>
      </w:r>
    </w:p>
    <w:sectPr w:rsidR="00D42707" w:rsidRPr="00C05C89" w:rsidSect="0077098D">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2A60AD" w14:textId="77777777" w:rsidR="00C9008E" w:rsidRDefault="00C9008E" w:rsidP="004F5E36">
      <w:r>
        <w:separator/>
      </w:r>
    </w:p>
  </w:endnote>
  <w:endnote w:type="continuationSeparator" w:id="0">
    <w:p w14:paraId="13DCFC0C" w14:textId="77777777" w:rsidR="00C9008E" w:rsidRDefault="00C9008E"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Times New Roman"/>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695444" w14:textId="77777777" w:rsidR="00C9008E" w:rsidRDefault="00C9008E" w:rsidP="004F5E36">
      <w:r>
        <w:separator/>
      </w:r>
    </w:p>
  </w:footnote>
  <w:footnote w:type="continuationSeparator" w:id="0">
    <w:p w14:paraId="6D87D2A0" w14:textId="77777777" w:rsidR="00C9008E" w:rsidRDefault="00C9008E" w:rsidP="004F5E36">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7"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15:restartNumberingAfterBreak="0">
    <w:nsid w:val="64E01EE4"/>
    <w:multiLevelType w:val="hybridMultilevel"/>
    <w:tmpl w:val="FDF2DD64"/>
    <w:lvl w:ilvl="0" w:tplc="04100001">
      <w:numFmt w:val="bullet"/>
      <w:lvlText w:val=""/>
      <w:lvlJc w:val="left"/>
      <w:pPr>
        <w:ind w:left="720" w:hanging="360"/>
      </w:pPr>
      <w:rPr>
        <w:rFonts w:ascii="Symbol" w:eastAsia="Times New Roman" w:hAnsi="Symbo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6"/>
  </w:num>
  <w:num w:numId="13">
    <w:abstractNumId w:val="12"/>
  </w:num>
  <w:num w:numId="14">
    <w:abstractNumId w:val="17"/>
  </w:num>
  <w:num w:numId="15">
    <w:abstractNumId w:val="20"/>
  </w:num>
  <w:num w:numId="16">
    <w:abstractNumId w:val="19"/>
  </w:num>
  <w:num w:numId="17">
    <w:abstractNumId w:val="11"/>
  </w:num>
  <w:num w:numId="18">
    <w:abstractNumId w:val="12"/>
    <w:lvlOverride w:ilvl="0">
      <w:startOverride w:val="1"/>
    </w:lvlOverride>
  </w:num>
  <w:num w:numId="19">
    <w:abstractNumId w:val="15"/>
  </w:num>
  <w:num w:numId="20">
    <w:abstractNumId w:val="14"/>
  </w:num>
  <w:num w:numId="21">
    <w:abstractNumId w:val="13"/>
  </w:num>
  <w:num w:numId="2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00C3"/>
    <w:rsid w:val="00000670"/>
    <w:rsid w:val="000027C0"/>
    <w:rsid w:val="000038CF"/>
    <w:rsid w:val="00004417"/>
    <w:rsid w:val="000052FB"/>
    <w:rsid w:val="00006B52"/>
    <w:rsid w:val="00011577"/>
    <w:rsid w:val="000117CB"/>
    <w:rsid w:val="00012E3E"/>
    <w:rsid w:val="00014148"/>
    <w:rsid w:val="0001587D"/>
    <w:rsid w:val="000177A4"/>
    <w:rsid w:val="0001780D"/>
    <w:rsid w:val="00020CFD"/>
    <w:rsid w:val="00021747"/>
    <w:rsid w:val="00023F39"/>
    <w:rsid w:val="000262CE"/>
    <w:rsid w:val="00026C3A"/>
    <w:rsid w:val="0003148D"/>
    <w:rsid w:val="00031B89"/>
    <w:rsid w:val="000323F9"/>
    <w:rsid w:val="000332EE"/>
    <w:rsid w:val="00035095"/>
    <w:rsid w:val="00035164"/>
    <w:rsid w:val="00037A5E"/>
    <w:rsid w:val="00041831"/>
    <w:rsid w:val="00043B50"/>
    <w:rsid w:val="00045CB4"/>
    <w:rsid w:val="00046866"/>
    <w:rsid w:val="00050B27"/>
    <w:rsid w:val="00051566"/>
    <w:rsid w:val="0005379A"/>
    <w:rsid w:val="00057894"/>
    <w:rsid w:val="00060D19"/>
    <w:rsid w:val="000618FE"/>
    <w:rsid w:val="00062A9A"/>
    <w:rsid w:val="00063543"/>
    <w:rsid w:val="0006378B"/>
    <w:rsid w:val="00065058"/>
    <w:rsid w:val="000665D1"/>
    <w:rsid w:val="00070CB9"/>
    <w:rsid w:val="000719B1"/>
    <w:rsid w:val="00072372"/>
    <w:rsid w:val="00077339"/>
    <w:rsid w:val="000815E5"/>
    <w:rsid w:val="00082576"/>
    <w:rsid w:val="0008281D"/>
    <w:rsid w:val="00085503"/>
    <w:rsid w:val="00086C39"/>
    <w:rsid w:val="0008768B"/>
    <w:rsid w:val="00090215"/>
    <w:rsid w:val="00090569"/>
    <w:rsid w:val="00090EE5"/>
    <w:rsid w:val="0009128F"/>
    <w:rsid w:val="0009227F"/>
    <w:rsid w:val="00092AF7"/>
    <w:rsid w:val="00095E91"/>
    <w:rsid w:val="00096087"/>
    <w:rsid w:val="00097A23"/>
    <w:rsid w:val="000A010E"/>
    <w:rsid w:val="000A03B2"/>
    <w:rsid w:val="000A2A8B"/>
    <w:rsid w:val="000A3067"/>
    <w:rsid w:val="000A3C41"/>
    <w:rsid w:val="000A5740"/>
    <w:rsid w:val="000B0314"/>
    <w:rsid w:val="000B6138"/>
    <w:rsid w:val="000B6B10"/>
    <w:rsid w:val="000B7212"/>
    <w:rsid w:val="000C1E24"/>
    <w:rsid w:val="000C211D"/>
    <w:rsid w:val="000C2D0D"/>
    <w:rsid w:val="000C3FC7"/>
    <w:rsid w:val="000C62C0"/>
    <w:rsid w:val="000D02EB"/>
    <w:rsid w:val="000D07EB"/>
    <w:rsid w:val="000D1259"/>
    <w:rsid w:val="000D20CD"/>
    <w:rsid w:val="000D274D"/>
    <w:rsid w:val="000D282A"/>
    <w:rsid w:val="000D3106"/>
    <w:rsid w:val="000D326A"/>
    <w:rsid w:val="000D34BE"/>
    <w:rsid w:val="000D552B"/>
    <w:rsid w:val="000D6EB5"/>
    <w:rsid w:val="000D7060"/>
    <w:rsid w:val="000D7A43"/>
    <w:rsid w:val="000E102F"/>
    <w:rsid w:val="000E1158"/>
    <w:rsid w:val="000E36F1"/>
    <w:rsid w:val="000E3A73"/>
    <w:rsid w:val="000E414A"/>
    <w:rsid w:val="000E523C"/>
    <w:rsid w:val="000E5A7E"/>
    <w:rsid w:val="000E6146"/>
    <w:rsid w:val="000F093C"/>
    <w:rsid w:val="000F1AD8"/>
    <w:rsid w:val="000F4D44"/>
    <w:rsid w:val="000F63E2"/>
    <w:rsid w:val="000F787B"/>
    <w:rsid w:val="00100E0E"/>
    <w:rsid w:val="00101240"/>
    <w:rsid w:val="00104551"/>
    <w:rsid w:val="00107C6F"/>
    <w:rsid w:val="001100D0"/>
    <w:rsid w:val="00110A81"/>
    <w:rsid w:val="00110CEE"/>
    <w:rsid w:val="00114619"/>
    <w:rsid w:val="001150EE"/>
    <w:rsid w:val="00116B19"/>
    <w:rsid w:val="001203F6"/>
    <w:rsid w:val="0012091F"/>
    <w:rsid w:val="00120AB2"/>
    <w:rsid w:val="00120D2E"/>
    <w:rsid w:val="00122518"/>
    <w:rsid w:val="00122CCF"/>
    <w:rsid w:val="0012426B"/>
    <w:rsid w:val="00126989"/>
    <w:rsid w:val="00126BC2"/>
    <w:rsid w:val="001308B6"/>
    <w:rsid w:val="0013121F"/>
    <w:rsid w:val="00131FE6"/>
    <w:rsid w:val="0013263F"/>
    <w:rsid w:val="00132714"/>
    <w:rsid w:val="00132D79"/>
    <w:rsid w:val="00133618"/>
    <w:rsid w:val="00133A22"/>
    <w:rsid w:val="00134D57"/>
    <w:rsid w:val="00134DE4"/>
    <w:rsid w:val="00135462"/>
    <w:rsid w:val="00136EDC"/>
    <w:rsid w:val="0014034D"/>
    <w:rsid w:val="001429B7"/>
    <w:rsid w:val="0014464F"/>
    <w:rsid w:val="00147770"/>
    <w:rsid w:val="00150E59"/>
    <w:rsid w:val="00151A09"/>
    <w:rsid w:val="00151B9B"/>
    <w:rsid w:val="00152574"/>
    <w:rsid w:val="00152DE3"/>
    <w:rsid w:val="00153434"/>
    <w:rsid w:val="001536AB"/>
    <w:rsid w:val="001547FF"/>
    <w:rsid w:val="00154F85"/>
    <w:rsid w:val="00155BD4"/>
    <w:rsid w:val="001568AD"/>
    <w:rsid w:val="0015764F"/>
    <w:rsid w:val="00157E90"/>
    <w:rsid w:val="00160F73"/>
    <w:rsid w:val="00161B51"/>
    <w:rsid w:val="001622AD"/>
    <w:rsid w:val="00163DCB"/>
    <w:rsid w:val="00163EEE"/>
    <w:rsid w:val="00164CF9"/>
    <w:rsid w:val="0017098B"/>
    <w:rsid w:val="00171BFF"/>
    <w:rsid w:val="001722F8"/>
    <w:rsid w:val="00175178"/>
    <w:rsid w:val="00175DBC"/>
    <w:rsid w:val="00176391"/>
    <w:rsid w:val="00180860"/>
    <w:rsid w:val="0018159A"/>
    <w:rsid w:val="00184AD6"/>
    <w:rsid w:val="00184C5D"/>
    <w:rsid w:val="00185F0B"/>
    <w:rsid w:val="00186558"/>
    <w:rsid w:val="00190D2F"/>
    <w:rsid w:val="00192FE3"/>
    <w:rsid w:val="00193FA2"/>
    <w:rsid w:val="001946B7"/>
    <w:rsid w:val="00196479"/>
    <w:rsid w:val="001A4C77"/>
    <w:rsid w:val="001A4ECC"/>
    <w:rsid w:val="001A5B78"/>
    <w:rsid w:val="001A6806"/>
    <w:rsid w:val="001A722C"/>
    <w:rsid w:val="001A7871"/>
    <w:rsid w:val="001B0349"/>
    <w:rsid w:val="001B0AEE"/>
    <w:rsid w:val="001B1761"/>
    <w:rsid w:val="001B2A3A"/>
    <w:rsid w:val="001B4C3A"/>
    <w:rsid w:val="001B4D83"/>
    <w:rsid w:val="001B65C1"/>
    <w:rsid w:val="001C0D2B"/>
    <w:rsid w:val="001C22C8"/>
    <w:rsid w:val="001C2F86"/>
    <w:rsid w:val="001C3F3B"/>
    <w:rsid w:val="001C63D6"/>
    <w:rsid w:val="001C684B"/>
    <w:rsid w:val="001D02B5"/>
    <w:rsid w:val="001D0858"/>
    <w:rsid w:val="001D09A4"/>
    <w:rsid w:val="001D28BC"/>
    <w:rsid w:val="001D387A"/>
    <w:rsid w:val="001D45FB"/>
    <w:rsid w:val="001D5231"/>
    <w:rsid w:val="001D53FC"/>
    <w:rsid w:val="001E2A28"/>
    <w:rsid w:val="001E2A6D"/>
    <w:rsid w:val="001E33F9"/>
    <w:rsid w:val="001E34F0"/>
    <w:rsid w:val="001E3B50"/>
    <w:rsid w:val="001E4C4F"/>
    <w:rsid w:val="001E6AA3"/>
    <w:rsid w:val="001F42A5"/>
    <w:rsid w:val="001F5BC9"/>
    <w:rsid w:val="001F78F5"/>
    <w:rsid w:val="001F7B9D"/>
    <w:rsid w:val="001F7D45"/>
    <w:rsid w:val="00205B89"/>
    <w:rsid w:val="0020660B"/>
    <w:rsid w:val="002066DE"/>
    <w:rsid w:val="00210006"/>
    <w:rsid w:val="0021112E"/>
    <w:rsid w:val="002126F9"/>
    <w:rsid w:val="00212AED"/>
    <w:rsid w:val="002200CF"/>
    <w:rsid w:val="00220171"/>
    <w:rsid w:val="00220A8C"/>
    <w:rsid w:val="00220AEB"/>
    <w:rsid w:val="00220C21"/>
    <w:rsid w:val="002224B4"/>
    <w:rsid w:val="00223D0E"/>
    <w:rsid w:val="00224829"/>
    <w:rsid w:val="0022510F"/>
    <w:rsid w:val="0022518B"/>
    <w:rsid w:val="0022567F"/>
    <w:rsid w:val="0022628C"/>
    <w:rsid w:val="002263E5"/>
    <w:rsid w:val="0023067C"/>
    <w:rsid w:val="00230D45"/>
    <w:rsid w:val="002321D1"/>
    <w:rsid w:val="00234224"/>
    <w:rsid w:val="002343B5"/>
    <w:rsid w:val="00236CEE"/>
    <w:rsid w:val="00237954"/>
    <w:rsid w:val="00240C8D"/>
    <w:rsid w:val="002420AE"/>
    <w:rsid w:val="00242D14"/>
    <w:rsid w:val="002447EF"/>
    <w:rsid w:val="002463E3"/>
    <w:rsid w:val="00251550"/>
    <w:rsid w:val="0025297A"/>
    <w:rsid w:val="00252FAE"/>
    <w:rsid w:val="00254602"/>
    <w:rsid w:val="00256F96"/>
    <w:rsid w:val="002577CC"/>
    <w:rsid w:val="00260588"/>
    <w:rsid w:val="00263427"/>
    <w:rsid w:val="00263B05"/>
    <w:rsid w:val="002645B6"/>
    <w:rsid w:val="00264FBF"/>
    <w:rsid w:val="00266C8F"/>
    <w:rsid w:val="00266CB1"/>
    <w:rsid w:val="00267195"/>
    <w:rsid w:val="00271C64"/>
    <w:rsid w:val="0027221A"/>
    <w:rsid w:val="002722BE"/>
    <w:rsid w:val="00272F9A"/>
    <w:rsid w:val="00274818"/>
    <w:rsid w:val="002755B0"/>
    <w:rsid w:val="00275B61"/>
    <w:rsid w:val="0028165B"/>
    <w:rsid w:val="002816D8"/>
    <w:rsid w:val="00282656"/>
    <w:rsid w:val="00282D57"/>
    <w:rsid w:val="002854F4"/>
    <w:rsid w:val="0029192B"/>
    <w:rsid w:val="00292C61"/>
    <w:rsid w:val="00292DB9"/>
    <w:rsid w:val="002937DB"/>
    <w:rsid w:val="00294377"/>
    <w:rsid w:val="00294BA3"/>
    <w:rsid w:val="00296B83"/>
    <w:rsid w:val="002A0BED"/>
    <w:rsid w:val="002A3394"/>
    <w:rsid w:val="002A35C2"/>
    <w:rsid w:val="002A57D2"/>
    <w:rsid w:val="002A5F31"/>
    <w:rsid w:val="002A6E61"/>
    <w:rsid w:val="002B2AE7"/>
    <w:rsid w:val="002B395F"/>
    <w:rsid w:val="002B43A0"/>
    <w:rsid w:val="002B71C8"/>
    <w:rsid w:val="002B78CE"/>
    <w:rsid w:val="002C0778"/>
    <w:rsid w:val="002C1480"/>
    <w:rsid w:val="002C168C"/>
    <w:rsid w:val="002C2FB6"/>
    <w:rsid w:val="002C3565"/>
    <w:rsid w:val="002C7BC4"/>
    <w:rsid w:val="002D4849"/>
    <w:rsid w:val="002D4CC5"/>
    <w:rsid w:val="002D4F74"/>
    <w:rsid w:val="002E05A0"/>
    <w:rsid w:val="002E0EA5"/>
    <w:rsid w:val="002E11F2"/>
    <w:rsid w:val="002E4C03"/>
    <w:rsid w:val="002E684F"/>
    <w:rsid w:val="002E73DB"/>
    <w:rsid w:val="002E746F"/>
    <w:rsid w:val="002F2F72"/>
    <w:rsid w:val="002F4DD2"/>
    <w:rsid w:val="002F5581"/>
    <w:rsid w:val="002F5B32"/>
    <w:rsid w:val="002F6CBC"/>
    <w:rsid w:val="002F6D71"/>
    <w:rsid w:val="002F7AD7"/>
    <w:rsid w:val="003009B7"/>
    <w:rsid w:val="00300E56"/>
    <w:rsid w:val="003014CA"/>
    <w:rsid w:val="0030242F"/>
    <w:rsid w:val="00303B21"/>
    <w:rsid w:val="0030469C"/>
    <w:rsid w:val="0030644C"/>
    <w:rsid w:val="00306B77"/>
    <w:rsid w:val="003115EA"/>
    <w:rsid w:val="0031251E"/>
    <w:rsid w:val="00317D3B"/>
    <w:rsid w:val="0032064F"/>
    <w:rsid w:val="00321CA6"/>
    <w:rsid w:val="00321DAB"/>
    <w:rsid w:val="00322B41"/>
    <w:rsid w:val="00323332"/>
    <w:rsid w:val="00323724"/>
    <w:rsid w:val="00323984"/>
    <w:rsid w:val="00323A0E"/>
    <w:rsid w:val="00331484"/>
    <w:rsid w:val="00331F49"/>
    <w:rsid w:val="0033238C"/>
    <w:rsid w:val="00332E1C"/>
    <w:rsid w:val="0033300B"/>
    <w:rsid w:val="00333832"/>
    <w:rsid w:val="00334C09"/>
    <w:rsid w:val="00336C51"/>
    <w:rsid w:val="003371BE"/>
    <w:rsid w:val="00342AB5"/>
    <w:rsid w:val="00352C4A"/>
    <w:rsid w:val="00353670"/>
    <w:rsid w:val="00353C63"/>
    <w:rsid w:val="0035593D"/>
    <w:rsid w:val="00360C9E"/>
    <w:rsid w:val="00360DE5"/>
    <w:rsid w:val="00362214"/>
    <w:rsid w:val="00362700"/>
    <w:rsid w:val="003643FC"/>
    <w:rsid w:val="0036711E"/>
    <w:rsid w:val="0037033A"/>
    <w:rsid w:val="0037138C"/>
    <w:rsid w:val="00371599"/>
    <w:rsid w:val="003723D4"/>
    <w:rsid w:val="00372BCE"/>
    <w:rsid w:val="00376A93"/>
    <w:rsid w:val="00377494"/>
    <w:rsid w:val="00380B0D"/>
    <w:rsid w:val="0038110E"/>
    <w:rsid w:val="00382283"/>
    <w:rsid w:val="00383E45"/>
    <w:rsid w:val="00383F4B"/>
    <w:rsid w:val="00384788"/>
    <w:rsid w:val="00384CC8"/>
    <w:rsid w:val="003852AC"/>
    <w:rsid w:val="00385928"/>
    <w:rsid w:val="00385F12"/>
    <w:rsid w:val="003871FD"/>
    <w:rsid w:val="00387558"/>
    <w:rsid w:val="00390F24"/>
    <w:rsid w:val="00391064"/>
    <w:rsid w:val="00391E99"/>
    <w:rsid w:val="00391F63"/>
    <w:rsid w:val="003929D4"/>
    <w:rsid w:val="00394341"/>
    <w:rsid w:val="00395DF4"/>
    <w:rsid w:val="003969A9"/>
    <w:rsid w:val="003A1483"/>
    <w:rsid w:val="003A1AC2"/>
    <w:rsid w:val="003A1E30"/>
    <w:rsid w:val="003A2253"/>
    <w:rsid w:val="003A3841"/>
    <w:rsid w:val="003A3B54"/>
    <w:rsid w:val="003A3E81"/>
    <w:rsid w:val="003A62E4"/>
    <w:rsid w:val="003A6B13"/>
    <w:rsid w:val="003A6BDD"/>
    <w:rsid w:val="003A6FA4"/>
    <w:rsid w:val="003A7760"/>
    <w:rsid w:val="003A7D1C"/>
    <w:rsid w:val="003B0096"/>
    <w:rsid w:val="003B304B"/>
    <w:rsid w:val="003B3146"/>
    <w:rsid w:val="003B4712"/>
    <w:rsid w:val="003B4DB4"/>
    <w:rsid w:val="003B5272"/>
    <w:rsid w:val="003C02F9"/>
    <w:rsid w:val="003C0978"/>
    <w:rsid w:val="003C6788"/>
    <w:rsid w:val="003C707C"/>
    <w:rsid w:val="003C75B0"/>
    <w:rsid w:val="003C7DB0"/>
    <w:rsid w:val="003D1DC4"/>
    <w:rsid w:val="003D4808"/>
    <w:rsid w:val="003D4CA0"/>
    <w:rsid w:val="003D7B53"/>
    <w:rsid w:val="003E3247"/>
    <w:rsid w:val="003E3C14"/>
    <w:rsid w:val="003E415D"/>
    <w:rsid w:val="003E57CF"/>
    <w:rsid w:val="003E5903"/>
    <w:rsid w:val="003E77C2"/>
    <w:rsid w:val="003F015E"/>
    <w:rsid w:val="003F0541"/>
    <w:rsid w:val="003F0B38"/>
    <w:rsid w:val="003F2448"/>
    <w:rsid w:val="003F4229"/>
    <w:rsid w:val="003F4A76"/>
    <w:rsid w:val="003F5894"/>
    <w:rsid w:val="003F7635"/>
    <w:rsid w:val="00400414"/>
    <w:rsid w:val="0040247E"/>
    <w:rsid w:val="00402B0B"/>
    <w:rsid w:val="00403675"/>
    <w:rsid w:val="00403864"/>
    <w:rsid w:val="00411193"/>
    <w:rsid w:val="00412578"/>
    <w:rsid w:val="00412C5C"/>
    <w:rsid w:val="004139BD"/>
    <w:rsid w:val="00413E3A"/>
    <w:rsid w:val="00414029"/>
    <w:rsid w:val="0041446B"/>
    <w:rsid w:val="004166C9"/>
    <w:rsid w:val="004208EA"/>
    <w:rsid w:val="00420D33"/>
    <w:rsid w:val="00420EF4"/>
    <w:rsid w:val="00421EF4"/>
    <w:rsid w:val="00422B09"/>
    <w:rsid w:val="00424D33"/>
    <w:rsid w:val="00432DFE"/>
    <w:rsid w:val="0043516A"/>
    <w:rsid w:val="00437F59"/>
    <w:rsid w:val="00440698"/>
    <w:rsid w:val="00440E6C"/>
    <w:rsid w:val="0044329C"/>
    <w:rsid w:val="00443840"/>
    <w:rsid w:val="00443FE2"/>
    <w:rsid w:val="00444767"/>
    <w:rsid w:val="004447E1"/>
    <w:rsid w:val="00445500"/>
    <w:rsid w:val="004502E8"/>
    <w:rsid w:val="00450BA5"/>
    <w:rsid w:val="004517DE"/>
    <w:rsid w:val="00453BF4"/>
    <w:rsid w:val="00453FAE"/>
    <w:rsid w:val="00454071"/>
    <w:rsid w:val="004542AA"/>
    <w:rsid w:val="0045509F"/>
    <w:rsid w:val="0045672A"/>
    <w:rsid w:val="004577FE"/>
    <w:rsid w:val="00457B9C"/>
    <w:rsid w:val="00460ADD"/>
    <w:rsid w:val="0046164A"/>
    <w:rsid w:val="004618F2"/>
    <w:rsid w:val="004628D2"/>
    <w:rsid w:val="00462A46"/>
    <w:rsid w:val="00462DCD"/>
    <w:rsid w:val="00463103"/>
    <w:rsid w:val="004648AD"/>
    <w:rsid w:val="004703A9"/>
    <w:rsid w:val="004718DB"/>
    <w:rsid w:val="004727D1"/>
    <w:rsid w:val="00475227"/>
    <w:rsid w:val="00475EE6"/>
    <w:rsid w:val="004760DE"/>
    <w:rsid w:val="004762C9"/>
    <w:rsid w:val="00477384"/>
    <w:rsid w:val="0048128C"/>
    <w:rsid w:val="00482ED1"/>
    <w:rsid w:val="004848A5"/>
    <w:rsid w:val="004861D2"/>
    <w:rsid w:val="00486C12"/>
    <w:rsid w:val="004873B4"/>
    <w:rsid w:val="00493272"/>
    <w:rsid w:val="00494BA8"/>
    <w:rsid w:val="004950B9"/>
    <w:rsid w:val="004A004E"/>
    <w:rsid w:val="004A0C9C"/>
    <w:rsid w:val="004A0F51"/>
    <w:rsid w:val="004A14EA"/>
    <w:rsid w:val="004A24CF"/>
    <w:rsid w:val="004A5152"/>
    <w:rsid w:val="004A5DD7"/>
    <w:rsid w:val="004A5F97"/>
    <w:rsid w:val="004A7770"/>
    <w:rsid w:val="004B0890"/>
    <w:rsid w:val="004B0A4B"/>
    <w:rsid w:val="004B0ED1"/>
    <w:rsid w:val="004B1031"/>
    <w:rsid w:val="004B3081"/>
    <w:rsid w:val="004B32D7"/>
    <w:rsid w:val="004B4121"/>
    <w:rsid w:val="004B5575"/>
    <w:rsid w:val="004B5CE0"/>
    <w:rsid w:val="004B75B8"/>
    <w:rsid w:val="004B7E24"/>
    <w:rsid w:val="004C18FD"/>
    <w:rsid w:val="004C1D8A"/>
    <w:rsid w:val="004C3D1D"/>
    <w:rsid w:val="004C3E91"/>
    <w:rsid w:val="004C4F41"/>
    <w:rsid w:val="004C5782"/>
    <w:rsid w:val="004C7508"/>
    <w:rsid w:val="004C7913"/>
    <w:rsid w:val="004C7A05"/>
    <w:rsid w:val="004D1654"/>
    <w:rsid w:val="004D1D78"/>
    <w:rsid w:val="004D32CD"/>
    <w:rsid w:val="004D3319"/>
    <w:rsid w:val="004D3E21"/>
    <w:rsid w:val="004D72C3"/>
    <w:rsid w:val="004E2064"/>
    <w:rsid w:val="004E37B2"/>
    <w:rsid w:val="004E4DD6"/>
    <w:rsid w:val="004E5363"/>
    <w:rsid w:val="004E73FF"/>
    <w:rsid w:val="004E7811"/>
    <w:rsid w:val="004E7DF1"/>
    <w:rsid w:val="004F20FA"/>
    <w:rsid w:val="004F4010"/>
    <w:rsid w:val="004F41C8"/>
    <w:rsid w:val="004F5E36"/>
    <w:rsid w:val="004F6B0A"/>
    <w:rsid w:val="004F6FD0"/>
    <w:rsid w:val="00501479"/>
    <w:rsid w:val="005019A6"/>
    <w:rsid w:val="00503BBA"/>
    <w:rsid w:val="00503DBD"/>
    <w:rsid w:val="005047DC"/>
    <w:rsid w:val="0050493A"/>
    <w:rsid w:val="00504DA5"/>
    <w:rsid w:val="0050506B"/>
    <w:rsid w:val="00505494"/>
    <w:rsid w:val="00505BFE"/>
    <w:rsid w:val="00507B47"/>
    <w:rsid w:val="00507CC9"/>
    <w:rsid w:val="00510FFA"/>
    <w:rsid w:val="005119A5"/>
    <w:rsid w:val="00511A30"/>
    <w:rsid w:val="0051308F"/>
    <w:rsid w:val="0051446C"/>
    <w:rsid w:val="00514500"/>
    <w:rsid w:val="005145AB"/>
    <w:rsid w:val="00514C4A"/>
    <w:rsid w:val="00516D93"/>
    <w:rsid w:val="00523696"/>
    <w:rsid w:val="005253F7"/>
    <w:rsid w:val="00525F0C"/>
    <w:rsid w:val="00526CB4"/>
    <w:rsid w:val="005278B7"/>
    <w:rsid w:val="00527D7A"/>
    <w:rsid w:val="00531D30"/>
    <w:rsid w:val="00532016"/>
    <w:rsid w:val="005346C8"/>
    <w:rsid w:val="00534A96"/>
    <w:rsid w:val="0053602C"/>
    <w:rsid w:val="00542B77"/>
    <w:rsid w:val="00543E7D"/>
    <w:rsid w:val="00545712"/>
    <w:rsid w:val="00545D98"/>
    <w:rsid w:val="005463B9"/>
    <w:rsid w:val="00546AE1"/>
    <w:rsid w:val="0054774F"/>
    <w:rsid w:val="00547A68"/>
    <w:rsid w:val="00547C31"/>
    <w:rsid w:val="00550676"/>
    <w:rsid w:val="005516F4"/>
    <w:rsid w:val="00551719"/>
    <w:rsid w:val="00552CFC"/>
    <w:rsid w:val="005531C9"/>
    <w:rsid w:val="005551CA"/>
    <w:rsid w:val="00555C70"/>
    <w:rsid w:val="00556AF3"/>
    <w:rsid w:val="0056202C"/>
    <w:rsid w:val="005630D5"/>
    <w:rsid w:val="00565328"/>
    <w:rsid w:val="0056628E"/>
    <w:rsid w:val="00574AAE"/>
    <w:rsid w:val="00577132"/>
    <w:rsid w:val="0058152D"/>
    <w:rsid w:val="0058155E"/>
    <w:rsid w:val="00584080"/>
    <w:rsid w:val="00584419"/>
    <w:rsid w:val="00584B99"/>
    <w:rsid w:val="00584CD8"/>
    <w:rsid w:val="00585DFC"/>
    <w:rsid w:val="00585F8B"/>
    <w:rsid w:val="00586F77"/>
    <w:rsid w:val="005906C2"/>
    <w:rsid w:val="005912DB"/>
    <w:rsid w:val="005929AA"/>
    <w:rsid w:val="00593D3E"/>
    <w:rsid w:val="0059427F"/>
    <w:rsid w:val="00595C68"/>
    <w:rsid w:val="00597B37"/>
    <w:rsid w:val="005A0692"/>
    <w:rsid w:val="005A37EC"/>
    <w:rsid w:val="005A3990"/>
    <w:rsid w:val="005A3E9C"/>
    <w:rsid w:val="005A5044"/>
    <w:rsid w:val="005A5DFD"/>
    <w:rsid w:val="005B1248"/>
    <w:rsid w:val="005B2110"/>
    <w:rsid w:val="005B2B5A"/>
    <w:rsid w:val="005B3F00"/>
    <w:rsid w:val="005B61E6"/>
    <w:rsid w:val="005B672A"/>
    <w:rsid w:val="005C0612"/>
    <w:rsid w:val="005C33AF"/>
    <w:rsid w:val="005C7226"/>
    <w:rsid w:val="005C7474"/>
    <w:rsid w:val="005C77E1"/>
    <w:rsid w:val="005C780F"/>
    <w:rsid w:val="005C7F51"/>
    <w:rsid w:val="005D09BD"/>
    <w:rsid w:val="005D0BF6"/>
    <w:rsid w:val="005D2492"/>
    <w:rsid w:val="005D2E56"/>
    <w:rsid w:val="005D4A46"/>
    <w:rsid w:val="005D4C06"/>
    <w:rsid w:val="005D6A2F"/>
    <w:rsid w:val="005D7032"/>
    <w:rsid w:val="005D70C9"/>
    <w:rsid w:val="005E0621"/>
    <w:rsid w:val="005E1A82"/>
    <w:rsid w:val="005E349B"/>
    <w:rsid w:val="005E400C"/>
    <w:rsid w:val="005E4538"/>
    <w:rsid w:val="005E4F1C"/>
    <w:rsid w:val="005E5398"/>
    <w:rsid w:val="005E794C"/>
    <w:rsid w:val="005F0105"/>
    <w:rsid w:val="005F0A28"/>
    <w:rsid w:val="005F0A2E"/>
    <w:rsid w:val="005F0E5E"/>
    <w:rsid w:val="005F24A9"/>
    <w:rsid w:val="005F3B4F"/>
    <w:rsid w:val="005F5CF4"/>
    <w:rsid w:val="005F6E4E"/>
    <w:rsid w:val="005F7C04"/>
    <w:rsid w:val="00600153"/>
    <w:rsid w:val="00600535"/>
    <w:rsid w:val="00601005"/>
    <w:rsid w:val="00602468"/>
    <w:rsid w:val="0060382A"/>
    <w:rsid w:val="006049CC"/>
    <w:rsid w:val="0060529E"/>
    <w:rsid w:val="00610326"/>
    <w:rsid w:val="00610429"/>
    <w:rsid w:val="00610736"/>
    <w:rsid w:val="006108C4"/>
    <w:rsid w:val="00610CD6"/>
    <w:rsid w:val="006110A1"/>
    <w:rsid w:val="006139DD"/>
    <w:rsid w:val="00614F9A"/>
    <w:rsid w:val="00620C11"/>
    <w:rsid w:val="00620DEE"/>
    <w:rsid w:val="006218D4"/>
    <w:rsid w:val="00621970"/>
    <w:rsid w:val="00621D79"/>
    <w:rsid w:val="00621F92"/>
    <w:rsid w:val="00623CD7"/>
    <w:rsid w:val="00623DCF"/>
    <w:rsid w:val="00623E7F"/>
    <w:rsid w:val="006242A0"/>
    <w:rsid w:val="0062469B"/>
    <w:rsid w:val="00625639"/>
    <w:rsid w:val="0062581D"/>
    <w:rsid w:val="00626317"/>
    <w:rsid w:val="00631B33"/>
    <w:rsid w:val="0063245B"/>
    <w:rsid w:val="0063626B"/>
    <w:rsid w:val="006371CF"/>
    <w:rsid w:val="0064043A"/>
    <w:rsid w:val="00641123"/>
    <w:rsid w:val="0064184D"/>
    <w:rsid w:val="00641936"/>
    <w:rsid w:val="00641D8D"/>
    <w:rsid w:val="0064294D"/>
    <w:rsid w:val="00642A45"/>
    <w:rsid w:val="0064391B"/>
    <w:rsid w:val="00644086"/>
    <w:rsid w:val="00647DE0"/>
    <w:rsid w:val="00650412"/>
    <w:rsid w:val="006525AC"/>
    <w:rsid w:val="0065528C"/>
    <w:rsid w:val="00660E3E"/>
    <w:rsid w:val="00662E74"/>
    <w:rsid w:val="00663E5F"/>
    <w:rsid w:val="00670581"/>
    <w:rsid w:val="00670D0E"/>
    <w:rsid w:val="00671592"/>
    <w:rsid w:val="00673384"/>
    <w:rsid w:val="0067359F"/>
    <w:rsid w:val="0067388A"/>
    <w:rsid w:val="00673955"/>
    <w:rsid w:val="006747E1"/>
    <w:rsid w:val="00675855"/>
    <w:rsid w:val="0067599E"/>
    <w:rsid w:val="00677A90"/>
    <w:rsid w:val="00680C23"/>
    <w:rsid w:val="00684130"/>
    <w:rsid w:val="006854C8"/>
    <w:rsid w:val="00685C62"/>
    <w:rsid w:val="0068629A"/>
    <w:rsid w:val="0068637C"/>
    <w:rsid w:val="00687B39"/>
    <w:rsid w:val="00687C0C"/>
    <w:rsid w:val="00690FEB"/>
    <w:rsid w:val="00691390"/>
    <w:rsid w:val="00693766"/>
    <w:rsid w:val="00693CB0"/>
    <w:rsid w:val="00694F97"/>
    <w:rsid w:val="0069592C"/>
    <w:rsid w:val="006A3281"/>
    <w:rsid w:val="006A433D"/>
    <w:rsid w:val="006A5B64"/>
    <w:rsid w:val="006A7B65"/>
    <w:rsid w:val="006B0120"/>
    <w:rsid w:val="006B03B6"/>
    <w:rsid w:val="006B15BF"/>
    <w:rsid w:val="006B2725"/>
    <w:rsid w:val="006B2CAD"/>
    <w:rsid w:val="006B4888"/>
    <w:rsid w:val="006B622E"/>
    <w:rsid w:val="006B6B3C"/>
    <w:rsid w:val="006B7711"/>
    <w:rsid w:val="006C276B"/>
    <w:rsid w:val="006C2E45"/>
    <w:rsid w:val="006C359C"/>
    <w:rsid w:val="006C5579"/>
    <w:rsid w:val="006C6AA1"/>
    <w:rsid w:val="006D0E19"/>
    <w:rsid w:val="006D1347"/>
    <w:rsid w:val="006D3958"/>
    <w:rsid w:val="006D7888"/>
    <w:rsid w:val="006E0AEF"/>
    <w:rsid w:val="006E1976"/>
    <w:rsid w:val="006E4A81"/>
    <w:rsid w:val="006E5B15"/>
    <w:rsid w:val="006E737D"/>
    <w:rsid w:val="006F2448"/>
    <w:rsid w:val="006F2889"/>
    <w:rsid w:val="006F65F6"/>
    <w:rsid w:val="006F7F02"/>
    <w:rsid w:val="007003D8"/>
    <w:rsid w:val="00700665"/>
    <w:rsid w:val="007014A7"/>
    <w:rsid w:val="007021E7"/>
    <w:rsid w:val="0070435D"/>
    <w:rsid w:val="0070676C"/>
    <w:rsid w:val="007069D9"/>
    <w:rsid w:val="00710F64"/>
    <w:rsid w:val="00713E9B"/>
    <w:rsid w:val="00714F64"/>
    <w:rsid w:val="00715A3C"/>
    <w:rsid w:val="00717749"/>
    <w:rsid w:val="00717EFE"/>
    <w:rsid w:val="00720A24"/>
    <w:rsid w:val="00723AC6"/>
    <w:rsid w:val="00724782"/>
    <w:rsid w:val="007250F7"/>
    <w:rsid w:val="007254A2"/>
    <w:rsid w:val="00727E31"/>
    <w:rsid w:val="00730B53"/>
    <w:rsid w:val="00731142"/>
    <w:rsid w:val="00732386"/>
    <w:rsid w:val="0073263F"/>
    <w:rsid w:val="00733E46"/>
    <w:rsid w:val="00734F3E"/>
    <w:rsid w:val="007374DB"/>
    <w:rsid w:val="007413FF"/>
    <w:rsid w:val="00743FBE"/>
    <w:rsid w:val="007447F3"/>
    <w:rsid w:val="0074692F"/>
    <w:rsid w:val="00746A1F"/>
    <w:rsid w:val="00747447"/>
    <w:rsid w:val="00747B60"/>
    <w:rsid w:val="00747F1A"/>
    <w:rsid w:val="007500B2"/>
    <w:rsid w:val="007525D2"/>
    <w:rsid w:val="00752E9D"/>
    <w:rsid w:val="0075345D"/>
    <w:rsid w:val="0075499F"/>
    <w:rsid w:val="00756353"/>
    <w:rsid w:val="00756A27"/>
    <w:rsid w:val="00756D1A"/>
    <w:rsid w:val="0076131B"/>
    <w:rsid w:val="007628F1"/>
    <w:rsid w:val="007642D2"/>
    <w:rsid w:val="0076546E"/>
    <w:rsid w:val="007661C8"/>
    <w:rsid w:val="007663A2"/>
    <w:rsid w:val="00767A9E"/>
    <w:rsid w:val="0077098D"/>
    <w:rsid w:val="00772B27"/>
    <w:rsid w:val="00772C0C"/>
    <w:rsid w:val="007743C6"/>
    <w:rsid w:val="00774E15"/>
    <w:rsid w:val="007757E6"/>
    <w:rsid w:val="0078274A"/>
    <w:rsid w:val="007834E5"/>
    <w:rsid w:val="00783B4B"/>
    <w:rsid w:val="00783CA5"/>
    <w:rsid w:val="00784A26"/>
    <w:rsid w:val="0078504E"/>
    <w:rsid w:val="007862E1"/>
    <w:rsid w:val="0079140A"/>
    <w:rsid w:val="00791D11"/>
    <w:rsid w:val="00793AA2"/>
    <w:rsid w:val="007949D9"/>
    <w:rsid w:val="00796B16"/>
    <w:rsid w:val="007A46CB"/>
    <w:rsid w:val="007A5028"/>
    <w:rsid w:val="007A5A31"/>
    <w:rsid w:val="007A7BBA"/>
    <w:rsid w:val="007A7D92"/>
    <w:rsid w:val="007B0C50"/>
    <w:rsid w:val="007B10AC"/>
    <w:rsid w:val="007B10E6"/>
    <w:rsid w:val="007B1EA6"/>
    <w:rsid w:val="007B2657"/>
    <w:rsid w:val="007B6014"/>
    <w:rsid w:val="007B7063"/>
    <w:rsid w:val="007B7233"/>
    <w:rsid w:val="007B7E72"/>
    <w:rsid w:val="007B7FA1"/>
    <w:rsid w:val="007C0CB5"/>
    <w:rsid w:val="007C1A43"/>
    <w:rsid w:val="007C2E44"/>
    <w:rsid w:val="007D094E"/>
    <w:rsid w:val="007D164D"/>
    <w:rsid w:val="007D1EFE"/>
    <w:rsid w:val="007D34FA"/>
    <w:rsid w:val="007D462B"/>
    <w:rsid w:val="007E0593"/>
    <w:rsid w:val="007E19B4"/>
    <w:rsid w:val="007E1B48"/>
    <w:rsid w:val="007E43BA"/>
    <w:rsid w:val="007E5B8C"/>
    <w:rsid w:val="007E65C1"/>
    <w:rsid w:val="007F1661"/>
    <w:rsid w:val="007F2620"/>
    <w:rsid w:val="007F5BE8"/>
    <w:rsid w:val="007F6E3A"/>
    <w:rsid w:val="007F759D"/>
    <w:rsid w:val="008013CA"/>
    <w:rsid w:val="00801BD3"/>
    <w:rsid w:val="008022FA"/>
    <w:rsid w:val="00802A25"/>
    <w:rsid w:val="00804CC4"/>
    <w:rsid w:val="00804E3A"/>
    <w:rsid w:val="00805CD2"/>
    <w:rsid w:val="00811A35"/>
    <w:rsid w:val="00811BBC"/>
    <w:rsid w:val="00813288"/>
    <w:rsid w:val="0081354C"/>
    <w:rsid w:val="00813678"/>
    <w:rsid w:val="00813D2E"/>
    <w:rsid w:val="00813DB6"/>
    <w:rsid w:val="008168FC"/>
    <w:rsid w:val="0081749D"/>
    <w:rsid w:val="00820005"/>
    <w:rsid w:val="00821C8F"/>
    <w:rsid w:val="008226FF"/>
    <w:rsid w:val="008248B9"/>
    <w:rsid w:val="0082598A"/>
    <w:rsid w:val="00830996"/>
    <w:rsid w:val="00831867"/>
    <w:rsid w:val="0083320D"/>
    <w:rsid w:val="008345F1"/>
    <w:rsid w:val="00834A8F"/>
    <w:rsid w:val="00836BB8"/>
    <w:rsid w:val="0084066F"/>
    <w:rsid w:val="008409D3"/>
    <w:rsid w:val="008438DB"/>
    <w:rsid w:val="0084398C"/>
    <w:rsid w:val="00843EE4"/>
    <w:rsid w:val="00844155"/>
    <w:rsid w:val="00845484"/>
    <w:rsid w:val="0085080F"/>
    <w:rsid w:val="008530F2"/>
    <w:rsid w:val="008563DC"/>
    <w:rsid w:val="00856B1D"/>
    <w:rsid w:val="0085723A"/>
    <w:rsid w:val="008616E1"/>
    <w:rsid w:val="00861AD5"/>
    <w:rsid w:val="00862E6C"/>
    <w:rsid w:val="00862E8D"/>
    <w:rsid w:val="00863C1C"/>
    <w:rsid w:val="00863F20"/>
    <w:rsid w:val="00865B07"/>
    <w:rsid w:val="008667EA"/>
    <w:rsid w:val="008706B3"/>
    <w:rsid w:val="0087095F"/>
    <w:rsid w:val="00871254"/>
    <w:rsid w:val="00873301"/>
    <w:rsid w:val="00873D70"/>
    <w:rsid w:val="0087637F"/>
    <w:rsid w:val="0087646A"/>
    <w:rsid w:val="00877425"/>
    <w:rsid w:val="0088448C"/>
    <w:rsid w:val="00884DD3"/>
    <w:rsid w:val="00886352"/>
    <w:rsid w:val="00887D97"/>
    <w:rsid w:val="00890119"/>
    <w:rsid w:val="00890FA5"/>
    <w:rsid w:val="00891C63"/>
    <w:rsid w:val="00892952"/>
    <w:rsid w:val="00892AD5"/>
    <w:rsid w:val="00894D34"/>
    <w:rsid w:val="00896D6A"/>
    <w:rsid w:val="00897602"/>
    <w:rsid w:val="008A04B1"/>
    <w:rsid w:val="008A1211"/>
    <w:rsid w:val="008A1512"/>
    <w:rsid w:val="008A1B2B"/>
    <w:rsid w:val="008A2A16"/>
    <w:rsid w:val="008A3239"/>
    <w:rsid w:val="008A4D80"/>
    <w:rsid w:val="008A52C0"/>
    <w:rsid w:val="008A5923"/>
    <w:rsid w:val="008A7B27"/>
    <w:rsid w:val="008B0C33"/>
    <w:rsid w:val="008B136F"/>
    <w:rsid w:val="008B14DC"/>
    <w:rsid w:val="008B1672"/>
    <w:rsid w:val="008B2041"/>
    <w:rsid w:val="008B3896"/>
    <w:rsid w:val="008B61B9"/>
    <w:rsid w:val="008B6AD6"/>
    <w:rsid w:val="008B6BC0"/>
    <w:rsid w:val="008B7FBF"/>
    <w:rsid w:val="008C020F"/>
    <w:rsid w:val="008C0285"/>
    <w:rsid w:val="008C4E2E"/>
    <w:rsid w:val="008C58E7"/>
    <w:rsid w:val="008C5E2B"/>
    <w:rsid w:val="008D1627"/>
    <w:rsid w:val="008D33C3"/>
    <w:rsid w:val="008D3E2C"/>
    <w:rsid w:val="008D433B"/>
    <w:rsid w:val="008D60FD"/>
    <w:rsid w:val="008E0140"/>
    <w:rsid w:val="008E05BE"/>
    <w:rsid w:val="008E0F45"/>
    <w:rsid w:val="008E2141"/>
    <w:rsid w:val="008E21D7"/>
    <w:rsid w:val="008E4F89"/>
    <w:rsid w:val="008E566E"/>
    <w:rsid w:val="008E6B80"/>
    <w:rsid w:val="008E73DB"/>
    <w:rsid w:val="008F0783"/>
    <w:rsid w:val="008F0A95"/>
    <w:rsid w:val="008F188E"/>
    <w:rsid w:val="0090161A"/>
    <w:rsid w:val="009016A2"/>
    <w:rsid w:val="00901EB6"/>
    <w:rsid w:val="0090255E"/>
    <w:rsid w:val="00903B23"/>
    <w:rsid w:val="00903F8F"/>
    <w:rsid w:val="00904C62"/>
    <w:rsid w:val="00907F56"/>
    <w:rsid w:val="009121DA"/>
    <w:rsid w:val="00913D1D"/>
    <w:rsid w:val="00914EA0"/>
    <w:rsid w:val="009156ED"/>
    <w:rsid w:val="00917373"/>
    <w:rsid w:val="009225E6"/>
    <w:rsid w:val="00922E93"/>
    <w:rsid w:val="00924DAC"/>
    <w:rsid w:val="0092672B"/>
    <w:rsid w:val="00927058"/>
    <w:rsid w:val="00933BA0"/>
    <w:rsid w:val="00934933"/>
    <w:rsid w:val="00936758"/>
    <w:rsid w:val="00941909"/>
    <w:rsid w:val="00942AF4"/>
    <w:rsid w:val="00944030"/>
    <w:rsid w:val="009450CE"/>
    <w:rsid w:val="00946B55"/>
    <w:rsid w:val="009470FC"/>
    <w:rsid w:val="00947179"/>
    <w:rsid w:val="009473B9"/>
    <w:rsid w:val="00947578"/>
    <w:rsid w:val="00947B6D"/>
    <w:rsid w:val="0095164B"/>
    <w:rsid w:val="0095203B"/>
    <w:rsid w:val="009536CA"/>
    <w:rsid w:val="00954090"/>
    <w:rsid w:val="00954609"/>
    <w:rsid w:val="0095701B"/>
    <w:rsid w:val="009573E7"/>
    <w:rsid w:val="00960797"/>
    <w:rsid w:val="00963026"/>
    <w:rsid w:val="00963B87"/>
    <w:rsid w:val="00963E05"/>
    <w:rsid w:val="0096591D"/>
    <w:rsid w:val="00965D72"/>
    <w:rsid w:val="00966BCD"/>
    <w:rsid w:val="00967D54"/>
    <w:rsid w:val="00971464"/>
    <w:rsid w:val="00972FA7"/>
    <w:rsid w:val="0097608D"/>
    <w:rsid w:val="009773B1"/>
    <w:rsid w:val="00981264"/>
    <w:rsid w:val="00981510"/>
    <w:rsid w:val="00981825"/>
    <w:rsid w:val="0098214E"/>
    <w:rsid w:val="00986C2D"/>
    <w:rsid w:val="0098762D"/>
    <w:rsid w:val="0099035A"/>
    <w:rsid w:val="00990391"/>
    <w:rsid w:val="00990ED1"/>
    <w:rsid w:val="00996483"/>
    <w:rsid w:val="00996F5A"/>
    <w:rsid w:val="009971D7"/>
    <w:rsid w:val="0099787B"/>
    <w:rsid w:val="009A08E0"/>
    <w:rsid w:val="009A1E30"/>
    <w:rsid w:val="009A3577"/>
    <w:rsid w:val="009A3E07"/>
    <w:rsid w:val="009A5216"/>
    <w:rsid w:val="009A7BD8"/>
    <w:rsid w:val="009A7D1B"/>
    <w:rsid w:val="009B0109"/>
    <w:rsid w:val="009B041A"/>
    <w:rsid w:val="009B1BA8"/>
    <w:rsid w:val="009B2EB5"/>
    <w:rsid w:val="009B4F07"/>
    <w:rsid w:val="009B5B34"/>
    <w:rsid w:val="009C2C5F"/>
    <w:rsid w:val="009C3995"/>
    <w:rsid w:val="009C59CC"/>
    <w:rsid w:val="009C69F3"/>
    <w:rsid w:val="009C7C86"/>
    <w:rsid w:val="009D2FF7"/>
    <w:rsid w:val="009D4BCB"/>
    <w:rsid w:val="009D5284"/>
    <w:rsid w:val="009D6ED4"/>
    <w:rsid w:val="009D71AC"/>
    <w:rsid w:val="009E1EEF"/>
    <w:rsid w:val="009E46A3"/>
    <w:rsid w:val="009E7884"/>
    <w:rsid w:val="009E788A"/>
    <w:rsid w:val="009F0435"/>
    <w:rsid w:val="009F0E08"/>
    <w:rsid w:val="009F1587"/>
    <w:rsid w:val="009F320E"/>
    <w:rsid w:val="009F50B4"/>
    <w:rsid w:val="009F5944"/>
    <w:rsid w:val="009F61F0"/>
    <w:rsid w:val="009F679D"/>
    <w:rsid w:val="009F6C19"/>
    <w:rsid w:val="009F79C9"/>
    <w:rsid w:val="009F7F64"/>
    <w:rsid w:val="00A00824"/>
    <w:rsid w:val="00A02399"/>
    <w:rsid w:val="00A033DB"/>
    <w:rsid w:val="00A03C1B"/>
    <w:rsid w:val="00A04A2A"/>
    <w:rsid w:val="00A07BB8"/>
    <w:rsid w:val="00A07FA3"/>
    <w:rsid w:val="00A105A1"/>
    <w:rsid w:val="00A1486B"/>
    <w:rsid w:val="00A14CB9"/>
    <w:rsid w:val="00A15386"/>
    <w:rsid w:val="00A16174"/>
    <w:rsid w:val="00A17340"/>
    <w:rsid w:val="00A1763D"/>
    <w:rsid w:val="00A17CEC"/>
    <w:rsid w:val="00A21171"/>
    <w:rsid w:val="00A2175F"/>
    <w:rsid w:val="00A22170"/>
    <w:rsid w:val="00A27EF0"/>
    <w:rsid w:val="00A31A39"/>
    <w:rsid w:val="00A31ABD"/>
    <w:rsid w:val="00A3239F"/>
    <w:rsid w:val="00A326C9"/>
    <w:rsid w:val="00A354CC"/>
    <w:rsid w:val="00A35E70"/>
    <w:rsid w:val="00A40B1C"/>
    <w:rsid w:val="00A40CA1"/>
    <w:rsid w:val="00A41A48"/>
    <w:rsid w:val="00A41DCA"/>
    <w:rsid w:val="00A45300"/>
    <w:rsid w:val="00A464F6"/>
    <w:rsid w:val="00A467B3"/>
    <w:rsid w:val="00A46A34"/>
    <w:rsid w:val="00A47E9B"/>
    <w:rsid w:val="00A47EEF"/>
    <w:rsid w:val="00A506F1"/>
    <w:rsid w:val="00A50B20"/>
    <w:rsid w:val="00A51390"/>
    <w:rsid w:val="00A522FE"/>
    <w:rsid w:val="00A5359A"/>
    <w:rsid w:val="00A53DBB"/>
    <w:rsid w:val="00A55720"/>
    <w:rsid w:val="00A55A3A"/>
    <w:rsid w:val="00A57065"/>
    <w:rsid w:val="00A60949"/>
    <w:rsid w:val="00A60D13"/>
    <w:rsid w:val="00A62EB6"/>
    <w:rsid w:val="00A631C1"/>
    <w:rsid w:val="00A6379F"/>
    <w:rsid w:val="00A63AD7"/>
    <w:rsid w:val="00A6499D"/>
    <w:rsid w:val="00A66056"/>
    <w:rsid w:val="00A66823"/>
    <w:rsid w:val="00A706BD"/>
    <w:rsid w:val="00A70974"/>
    <w:rsid w:val="00A70B05"/>
    <w:rsid w:val="00A71E5A"/>
    <w:rsid w:val="00A7209F"/>
    <w:rsid w:val="00A7227F"/>
    <w:rsid w:val="00A72745"/>
    <w:rsid w:val="00A74879"/>
    <w:rsid w:val="00A761B9"/>
    <w:rsid w:val="00A76385"/>
    <w:rsid w:val="00A76EFC"/>
    <w:rsid w:val="00A81BE7"/>
    <w:rsid w:val="00A81D11"/>
    <w:rsid w:val="00A83E95"/>
    <w:rsid w:val="00A84561"/>
    <w:rsid w:val="00A84B61"/>
    <w:rsid w:val="00A85FF3"/>
    <w:rsid w:val="00A90CF6"/>
    <w:rsid w:val="00A91010"/>
    <w:rsid w:val="00A91137"/>
    <w:rsid w:val="00A91A11"/>
    <w:rsid w:val="00A9497D"/>
    <w:rsid w:val="00A95E4D"/>
    <w:rsid w:val="00A96789"/>
    <w:rsid w:val="00A96E22"/>
    <w:rsid w:val="00A97EB6"/>
    <w:rsid w:val="00A97F29"/>
    <w:rsid w:val="00AA0A9E"/>
    <w:rsid w:val="00AA40AD"/>
    <w:rsid w:val="00AA5450"/>
    <w:rsid w:val="00AA631E"/>
    <w:rsid w:val="00AA66DD"/>
    <w:rsid w:val="00AA702E"/>
    <w:rsid w:val="00AB0964"/>
    <w:rsid w:val="00AB0D53"/>
    <w:rsid w:val="00AB146E"/>
    <w:rsid w:val="00AB25FB"/>
    <w:rsid w:val="00AB32C7"/>
    <w:rsid w:val="00AB400B"/>
    <w:rsid w:val="00AB4070"/>
    <w:rsid w:val="00AB5011"/>
    <w:rsid w:val="00AB7953"/>
    <w:rsid w:val="00AC2D15"/>
    <w:rsid w:val="00AC39BA"/>
    <w:rsid w:val="00AC4230"/>
    <w:rsid w:val="00AC4D3E"/>
    <w:rsid w:val="00AC67A2"/>
    <w:rsid w:val="00AC699F"/>
    <w:rsid w:val="00AC69CB"/>
    <w:rsid w:val="00AC7368"/>
    <w:rsid w:val="00AC7A4F"/>
    <w:rsid w:val="00AC7B2F"/>
    <w:rsid w:val="00AD03DC"/>
    <w:rsid w:val="00AD16B9"/>
    <w:rsid w:val="00AD17D7"/>
    <w:rsid w:val="00AD4A3E"/>
    <w:rsid w:val="00AD4A51"/>
    <w:rsid w:val="00AD5EAE"/>
    <w:rsid w:val="00AE09C6"/>
    <w:rsid w:val="00AE1022"/>
    <w:rsid w:val="00AE377D"/>
    <w:rsid w:val="00AE38B4"/>
    <w:rsid w:val="00AE3F40"/>
    <w:rsid w:val="00AE462A"/>
    <w:rsid w:val="00AE4C7B"/>
    <w:rsid w:val="00AF1D02"/>
    <w:rsid w:val="00AF73B7"/>
    <w:rsid w:val="00B00EF5"/>
    <w:rsid w:val="00B05302"/>
    <w:rsid w:val="00B05DAF"/>
    <w:rsid w:val="00B10010"/>
    <w:rsid w:val="00B101F2"/>
    <w:rsid w:val="00B10ECE"/>
    <w:rsid w:val="00B12D98"/>
    <w:rsid w:val="00B13C90"/>
    <w:rsid w:val="00B14049"/>
    <w:rsid w:val="00B14288"/>
    <w:rsid w:val="00B15C3B"/>
    <w:rsid w:val="00B17086"/>
    <w:rsid w:val="00B17FBD"/>
    <w:rsid w:val="00B20706"/>
    <w:rsid w:val="00B207C5"/>
    <w:rsid w:val="00B22794"/>
    <w:rsid w:val="00B24D02"/>
    <w:rsid w:val="00B2610D"/>
    <w:rsid w:val="00B27738"/>
    <w:rsid w:val="00B3099C"/>
    <w:rsid w:val="00B30C3D"/>
    <w:rsid w:val="00B30F79"/>
    <w:rsid w:val="00B31253"/>
    <w:rsid w:val="00B315A6"/>
    <w:rsid w:val="00B31813"/>
    <w:rsid w:val="00B32FF6"/>
    <w:rsid w:val="00B33365"/>
    <w:rsid w:val="00B335CB"/>
    <w:rsid w:val="00B33C28"/>
    <w:rsid w:val="00B351DD"/>
    <w:rsid w:val="00B37A55"/>
    <w:rsid w:val="00B4095E"/>
    <w:rsid w:val="00B412AD"/>
    <w:rsid w:val="00B44EAE"/>
    <w:rsid w:val="00B47BB6"/>
    <w:rsid w:val="00B504FF"/>
    <w:rsid w:val="00B541DD"/>
    <w:rsid w:val="00B55164"/>
    <w:rsid w:val="00B555FB"/>
    <w:rsid w:val="00B55CF1"/>
    <w:rsid w:val="00B56BE9"/>
    <w:rsid w:val="00B56E00"/>
    <w:rsid w:val="00B57B36"/>
    <w:rsid w:val="00B6235E"/>
    <w:rsid w:val="00B642DA"/>
    <w:rsid w:val="00B645DB"/>
    <w:rsid w:val="00B654D7"/>
    <w:rsid w:val="00B66118"/>
    <w:rsid w:val="00B67145"/>
    <w:rsid w:val="00B70536"/>
    <w:rsid w:val="00B710F4"/>
    <w:rsid w:val="00B718AC"/>
    <w:rsid w:val="00B74E1B"/>
    <w:rsid w:val="00B7550A"/>
    <w:rsid w:val="00B75910"/>
    <w:rsid w:val="00B77E48"/>
    <w:rsid w:val="00B83295"/>
    <w:rsid w:val="00B84BA4"/>
    <w:rsid w:val="00B86803"/>
    <w:rsid w:val="00B8686D"/>
    <w:rsid w:val="00B86DCD"/>
    <w:rsid w:val="00B875EB"/>
    <w:rsid w:val="00B922D8"/>
    <w:rsid w:val="00B957DC"/>
    <w:rsid w:val="00BA2FBD"/>
    <w:rsid w:val="00BB02A1"/>
    <w:rsid w:val="00BB20FB"/>
    <w:rsid w:val="00BB3548"/>
    <w:rsid w:val="00BB3A54"/>
    <w:rsid w:val="00BB3AC5"/>
    <w:rsid w:val="00BC1A2C"/>
    <w:rsid w:val="00BC30C9"/>
    <w:rsid w:val="00BC4B42"/>
    <w:rsid w:val="00BD426A"/>
    <w:rsid w:val="00BD4F6A"/>
    <w:rsid w:val="00BD7CD6"/>
    <w:rsid w:val="00BD7D5F"/>
    <w:rsid w:val="00BE2F17"/>
    <w:rsid w:val="00BE3324"/>
    <w:rsid w:val="00BE36BC"/>
    <w:rsid w:val="00BE3E58"/>
    <w:rsid w:val="00BE4117"/>
    <w:rsid w:val="00BE4E52"/>
    <w:rsid w:val="00BF04C9"/>
    <w:rsid w:val="00BF2E07"/>
    <w:rsid w:val="00BF4A31"/>
    <w:rsid w:val="00BF5844"/>
    <w:rsid w:val="00BF68A2"/>
    <w:rsid w:val="00BF7896"/>
    <w:rsid w:val="00BF7C1E"/>
    <w:rsid w:val="00C01616"/>
    <w:rsid w:val="00C0162B"/>
    <w:rsid w:val="00C01B16"/>
    <w:rsid w:val="00C0297A"/>
    <w:rsid w:val="00C04362"/>
    <w:rsid w:val="00C05C89"/>
    <w:rsid w:val="00C05DC7"/>
    <w:rsid w:val="00C11198"/>
    <w:rsid w:val="00C11C12"/>
    <w:rsid w:val="00C121F6"/>
    <w:rsid w:val="00C12625"/>
    <w:rsid w:val="00C13843"/>
    <w:rsid w:val="00C14AFD"/>
    <w:rsid w:val="00C152CF"/>
    <w:rsid w:val="00C161EA"/>
    <w:rsid w:val="00C17AEF"/>
    <w:rsid w:val="00C21034"/>
    <w:rsid w:val="00C2282B"/>
    <w:rsid w:val="00C23621"/>
    <w:rsid w:val="00C25C74"/>
    <w:rsid w:val="00C27BA3"/>
    <w:rsid w:val="00C304AB"/>
    <w:rsid w:val="00C3259B"/>
    <w:rsid w:val="00C3269B"/>
    <w:rsid w:val="00C345B1"/>
    <w:rsid w:val="00C34907"/>
    <w:rsid w:val="00C34A56"/>
    <w:rsid w:val="00C351B6"/>
    <w:rsid w:val="00C3687B"/>
    <w:rsid w:val="00C36970"/>
    <w:rsid w:val="00C3753F"/>
    <w:rsid w:val="00C40142"/>
    <w:rsid w:val="00C40259"/>
    <w:rsid w:val="00C4038D"/>
    <w:rsid w:val="00C41C6F"/>
    <w:rsid w:val="00C44487"/>
    <w:rsid w:val="00C449F8"/>
    <w:rsid w:val="00C459BF"/>
    <w:rsid w:val="00C460A3"/>
    <w:rsid w:val="00C46B69"/>
    <w:rsid w:val="00C47407"/>
    <w:rsid w:val="00C54787"/>
    <w:rsid w:val="00C57182"/>
    <w:rsid w:val="00C57778"/>
    <w:rsid w:val="00C57863"/>
    <w:rsid w:val="00C61BEE"/>
    <w:rsid w:val="00C62B1C"/>
    <w:rsid w:val="00C655FD"/>
    <w:rsid w:val="00C65EEF"/>
    <w:rsid w:val="00C669EE"/>
    <w:rsid w:val="00C71FB5"/>
    <w:rsid w:val="00C74B14"/>
    <w:rsid w:val="00C75F7D"/>
    <w:rsid w:val="00C76B12"/>
    <w:rsid w:val="00C7721F"/>
    <w:rsid w:val="00C77F17"/>
    <w:rsid w:val="00C82BC9"/>
    <w:rsid w:val="00C84632"/>
    <w:rsid w:val="00C870A8"/>
    <w:rsid w:val="00C87628"/>
    <w:rsid w:val="00C9008E"/>
    <w:rsid w:val="00C90279"/>
    <w:rsid w:val="00C907D6"/>
    <w:rsid w:val="00C910D2"/>
    <w:rsid w:val="00C924CA"/>
    <w:rsid w:val="00C936FB"/>
    <w:rsid w:val="00C94434"/>
    <w:rsid w:val="00CA0D75"/>
    <w:rsid w:val="00CA1C95"/>
    <w:rsid w:val="00CA472A"/>
    <w:rsid w:val="00CA4B87"/>
    <w:rsid w:val="00CA5A9C"/>
    <w:rsid w:val="00CA5ADE"/>
    <w:rsid w:val="00CA5FE6"/>
    <w:rsid w:val="00CA67B0"/>
    <w:rsid w:val="00CA7D65"/>
    <w:rsid w:val="00CB3817"/>
    <w:rsid w:val="00CB516B"/>
    <w:rsid w:val="00CB6015"/>
    <w:rsid w:val="00CB737A"/>
    <w:rsid w:val="00CC42FF"/>
    <w:rsid w:val="00CC4F3B"/>
    <w:rsid w:val="00CC7059"/>
    <w:rsid w:val="00CC7596"/>
    <w:rsid w:val="00CD3C1F"/>
    <w:rsid w:val="00CD5FE2"/>
    <w:rsid w:val="00CD61E7"/>
    <w:rsid w:val="00CD7E4A"/>
    <w:rsid w:val="00CE1629"/>
    <w:rsid w:val="00CE1CA2"/>
    <w:rsid w:val="00CE472F"/>
    <w:rsid w:val="00CE55F5"/>
    <w:rsid w:val="00CE5C4B"/>
    <w:rsid w:val="00CE6304"/>
    <w:rsid w:val="00CE7C68"/>
    <w:rsid w:val="00CF3BE3"/>
    <w:rsid w:val="00CF516E"/>
    <w:rsid w:val="00CF5BDB"/>
    <w:rsid w:val="00D0146A"/>
    <w:rsid w:val="00D02595"/>
    <w:rsid w:val="00D02B4C"/>
    <w:rsid w:val="00D040C4"/>
    <w:rsid w:val="00D06C67"/>
    <w:rsid w:val="00D07B37"/>
    <w:rsid w:val="00D1446E"/>
    <w:rsid w:val="00D1534B"/>
    <w:rsid w:val="00D1705C"/>
    <w:rsid w:val="00D17A5E"/>
    <w:rsid w:val="00D2097E"/>
    <w:rsid w:val="00D21601"/>
    <w:rsid w:val="00D23F46"/>
    <w:rsid w:val="00D24064"/>
    <w:rsid w:val="00D25BF9"/>
    <w:rsid w:val="00D26B7D"/>
    <w:rsid w:val="00D2794E"/>
    <w:rsid w:val="00D306FD"/>
    <w:rsid w:val="00D32250"/>
    <w:rsid w:val="00D32576"/>
    <w:rsid w:val="00D336A4"/>
    <w:rsid w:val="00D33AB9"/>
    <w:rsid w:val="00D341B6"/>
    <w:rsid w:val="00D402FA"/>
    <w:rsid w:val="00D42707"/>
    <w:rsid w:val="00D42E70"/>
    <w:rsid w:val="00D42FEB"/>
    <w:rsid w:val="00D43CF1"/>
    <w:rsid w:val="00D47E7C"/>
    <w:rsid w:val="00D520E7"/>
    <w:rsid w:val="00D52F49"/>
    <w:rsid w:val="00D5320B"/>
    <w:rsid w:val="00D53256"/>
    <w:rsid w:val="00D533AF"/>
    <w:rsid w:val="00D53A88"/>
    <w:rsid w:val="00D55D34"/>
    <w:rsid w:val="00D57C84"/>
    <w:rsid w:val="00D6057D"/>
    <w:rsid w:val="00D61585"/>
    <w:rsid w:val="00D6211F"/>
    <w:rsid w:val="00D62D1D"/>
    <w:rsid w:val="00D639B3"/>
    <w:rsid w:val="00D6668A"/>
    <w:rsid w:val="00D66B4A"/>
    <w:rsid w:val="00D67992"/>
    <w:rsid w:val="00D67C35"/>
    <w:rsid w:val="00D71113"/>
    <w:rsid w:val="00D737AA"/>
    <w:rsid w:val="00D73BB0"/>
    <w:rsid w:val="00D74F07"/>
    <w:rsid w:val="00D75349"/>
    <w:rsid w:val="00D76A5D"/>
    <w:rsid w:val="00D773C1"/>
    <w:rsid w:val="00D77554"/>
    <w:rsid w:val="00D80C7B"/>
    <w:rsid w:val="00D823B3"/>
    <w:rsid w:val="00D84576"/>
    <w:rsid w:val="00D84D7A"/>
    <w:rsid w:val="00D878CB"/>
    <w:rsid w:val="00D87A74"/>
    <w:rsid w:val="00D9057A"/>
    <w:rsid w:val="00D90FC7"/>
    <w:rsid w:val="00D918B6"/>
    <w:rsid w:val="00D928A8"/>
    <w:rsid w:val="00D93F97"/>
    <w:rsid w:val="00DA0337"/>
    <w:rsid w:val="00DA0E6A"/>
    <w:rsid w:val="00DA1399"/>
    <w:rsid w:val="00DA183D"/>
    <w:rsid w:val="00DA24C6"/>
    <w:rsid w:val="00DA2D0B"/>
    <w:rsid w:val="00DA2EE9"/>
    <w:rsid w:val="00DA3BBB"/>
    <w:rsid w:val="00DA455E"/>
    <w:rsid w:val="00DA4D7B"/>
    <w:rsid w:val="00DA65A9"/>
    <w:rsid w:val="00DA6AC3"/>
    <w:rsid w:val="00DA6FEE"/>
    <w:rsid w:val="00DB5431"/>
    <w:rsid w:val="00DB7BCF"/>
    <w:rsid w:val="00DB7EE4"/>
    <w:rsid w:val="00DC21EA"/>
    <w:rsid w:val="00DC2549"/>
    <w:rsid w:val="00DC3A14"/>
    <w:rsid w:val="00DC3E23"/>
    <w:rsid w:val="00DC51C3"/>
    <w:rsid w:val="00DC68DD"/>
    <w:rsid w:val="00DD1AAC"/>
    <w:rsid w:val="00DD341C"/>
    <w:rsid w:val="00DD60D7"/>
    <w:rsid w:val="00DE01F0"/>
    <w:rsid w:val="00DE1D5C"/>
    <w:rsid w:val="00DE264A"/>
    <w:rsid w:val="00DE45E1"/>
    <w:rsid w:val="00DE5F40"/>
    <w:rsid w:val="00DE6ACB"/>
    <w:rsid w:val="00DE7DBD"/>
    <w:rsid w:val="00DF314E"/>
    <w:rsid w:val="00DF4FE9"/>
    <w:rsid w:val="00DF6CDE"/>
    <w:rsid w:val="00DF6E87"/>
    <w:rsid w:val="00DF7496"/>
    <w:rsid w:val="00DF7887"/>
    <w:rsid w:val="00E0247B"/>
    <w:rsid w:val="00E02856"/>
    <w:rsid w:val="00E02D18"/>
    <w:rsid w:val="00E040C1"/>
    <w:rsid w:val="00E041E7"/>
    <w:rsid w:val="00E042E1"/>
    <w:rsid w:val="00E04851"/>
    <w:rsid w:val="00E05478"/>
    <w:rsid w:val="00E0718F"/>
    <w:rsid w:val="00E07230"/>
    <w:rsid w:val="00E07728"/>
    <w:rsid w:val="00E11235"/>
    <w:rsid w:val="00E118B2"/>
    <w:rsid w:val="00E122D9"/>
    <w:rsid w:val="00E1284A"/>
    <w:rsid w:val="00E12885"/>
    <w:rsid w:val="00E14B58"/>
    <w:rsid w:val="00E159F6"/>
    <w:rsid w:val="00E1787D"/>
    <w:rsid w:val="00E21BD2"/>
    <w:rsid w:val="00E23837"/>
    <w:rsid w:val="00E23BFA"/>
    <w:rsid w:val="00E23CA1"/>
    <w:rsid w:val="00E24C52"/>
    <w:rsid w:val="00E25714"/>
    <w:rsid w:val="00E303AA"/>
    <w:rsid w:val="00E30482"/>
    <w:rsid w:val="00E31E7C"/>
    <w:rsid w:val="00E3253F"/>
    <w:rsid w:val="00E36148"/>
    <w:rsid w:val="00E375F8"/>
    <w:rsid w:val="00E37B89"/>
    <w:rsid w:val="00E37D39"/>
    <w:rsid w:val="00E409A8"/>
    <w:rsid w:val="00E411E7"/>
    <w:rsid w:val="00E4162A"/>
    <w:rsid w:val="00E44F6B"/>
    <w:rsid w:val="00E458A4"/>
    <w:rsid w:val="00E472D8"/>
    <w:rsid w:val="00E47CFE"/>
    <w:rsid w:val="00E50C12"/>
    <w:rsid w:val="00E51C23"/>
    <w:rsid w:val="00E5273B"/>
    <w:rsid w:val="00E624D1"/>
    <w:rsid w:val="00E62758"/>
    <w:rsid w:val="00E63164"/>
    <w:rsid w:val="00E63212"/>
    <w:rsid w:val="00E63E17"/>
    <w:rsid w:val="00E64306"/>
    <w:rsid w:val="00E65B91"/>
    <w:rsid w:val="00E67C84"/>
    <w:rsid w:val="00E67FA3"/>
    <w:rsid w:val="00E7209D"/>
    <w:rsid w:val="00E732BE"/>
    <w:rsid w:val="00E74C59"/>
    <w:rsid w:val="00E77223"/>
    <w:rsid w:val="00E81E92"/>
    <w:rsid w:val="00E8278B"/>
    <w:rsid w:val="00E8528B"/>
    <w:rsid w:val="00E8559A"/>
    <w:rsid w:val="00E85A28"/>
    <w:rsid w:val="00E85B94"/>
    <w:rsid w:val="00E90428"/>
    <w:rsid w:val="00E907E2"/>
    <w:rsid w:val="00E90ADF"/>
    <w:rsid w:val="00E91F88"/>
    <w:rsid w:val="00E9472C"/>
    <w:rsid w:val="00E9492D"/>
    <w:rsid w:val="00E9502D"/>
    <w:rsid w:val="00E978D0"/>
    <w:rsid w:val="00E97DCA"/>
    <w:rsid w:val="00EA0919"/>
    <w:rsid w:val="00EA1342"/>
    <w:rsid w:val="00EA4613"/>
    <w:rsid w:val="00EA796A"/>
    <w:rsid w:val="00EA7F91"/>
    <w:rsid w:val="00EB0AA8"/>
    <w:rsid w:val="00EB1523"/>
    <w:rsid w:val="00EB3605"/>
    <w:rsid w:val="00EB4C05"/>
    <w:rsid w:val="00EB68B4"/>
    <w:rsid w:val="00EB70FA"/>
    <w:rsid w:val="00EC0E49"/>
    <w:rsid w:val="00EC0F49"/>
    <w:rsid w:val="00EC2993"/>
    <w:rsid w:val="00EC2FE6"/>
    <w:rsid w:val="00EC37B3"/>
    <w:rsid w:val="00EC6199"/>
    <w:rsid w:val="00ED2FDF"/>
    <w:rsid w:val="00ED3298"/>
    <w:rsid w:val="00ED4E84"/>
    <w:rsid w:val="00ED64EF"/>
    <w:rsid w:val="00EE0131"/>
    <w:rsid w:val="00EE3805"/>
    <w:rsid w:val="00EE3E44"/>
    <w:rsid w:val="00EE4FDF"/>
    <w:rsid w:val="00EE5D5F"/>
    <w:rsid w:val="00EF2394"/>
    <w:rsid w:val="00EF37EA"/>
    <w:rsid w:val="00EF4978"/>
    <w:rsid w:val="00F0016D"/>
    <w:rsid w:val="00F012C6"/>
    <w:rsid w:val="00F057DF"/>
    <w:rsid w:val="00F05A84"/>
    <w:rsid w:val="00F06899"/>
    <w:rsid w:val="00F06D1F"/>
    <w:rsid w:val="00F07504"/>
    <w:rsid w:val="00F1011D"/>
    <w:rsid w:val="00F1078C"/>
    <w:rsid w:val="00F1110B"/>
    <w:rsid w:val="00F1441E"/>
    <w:rsid w:val="00F145E7"/>
    <w:rsid w:val="00F15538"/>
    <w:rsid w:val="00F20069"/>
    <w:rsid w:val="00F224A6"/>
    <w:rsid w:val="00F25444"/>
    <w:rsid w:val="00F30026"/>
    <w:rsid w:val="00F306A0"/>
    <w:rsid w:val="00F30C64"/>
    <w:rsid w:val="00F32CDB"/>
    <w:rsid w:val="00F32E37"/>
    <w:rsid w:val="00F32F0B"/>
    <w:rsid w:val="00F35612"/>
    <w:rsid w:val="00F41804"/>
    <w:rsid w:val="00F461EF"/>
    <w:rsid w:val="00F46780"/>
    <w:rsid w:val="00F46B19"/>
    <w:rsid w:val="00F476C2"/>
    <w:rsid w:val="00F51AA0"/>
    <w:rsid w:val="00F51DF1"/>
    <w:rsid w:val="00F546DC"/>
    <w:rsid w:val="00F5616A"/>
    <w:rsid w:val="00F57FFB"/>
    <w:rsid w:val="00F62BB7"/>
    <w:rsid w:val="00F63A70"/>
    <w:rsid w:val="00F643B8"/>
    <w:rsid w:val="00F64D6A"/>
    <w:rsid w:val="00F65424"/>
    <w:rsid w:val="00F70CF6"/>
    <w:rsid w:val="00F71A45"/>
    <w:rsid w:val="00F731AD"/>
    <w:rsid w:val="00F75B08"/>
    <w:rsid w:val="00F75D3B"/>
    <w:rsid w:val="00F76A8D"/>
    <w:rsid w:val="00F86F17"/>
    <w:rsid w:val="00F8729B"/>
    <w:rsid w:val="00F87DD4"/>
    <w:rsid w:val="00F911CA"/>
    <w:rsid w:val="00F9648B"/>
    <w:rsid w:val="00F96A7E"/>
    <w:rsid w:val="00F96EE7"/>
    <w:rsid w:val="00F97B0F"/>
    <w:rsid w:val="00F97C8B"/>
    <w:rsid w:val="00F97E8E"/>
    <w:rsid w:val="00FA1048"/>
    <w:rsid w:val="00FA1A2D"/>
    <w:rsid w:val="00FA21D0"/>
    <w:rsid w:val="00FA5314"/>
    <w:rsid w:val="00FA5396"/>
    <w:rsid w:val="00FA5F5F"/>
    <w:rsid w:val="00FB012C"/>
    <w:rsid w:val="00FB07B5"/>
    <w:rsid w:val="00FB2992"/>
    <w:rsid w:val="00FB2F43"/>
    <w:rsid w:val="00FB539E"/>
    <w:rsid w:val="00FB558E"/>
    <w:rsid w:val="00FB647D"/>
    <w:rsid w:val="00FB67DC"/>
    <w:rsid w:val="00FB730C"/>
    <w:rsid w:val="00FB7C0E"/>
    <w:rsid w:val="00FC2090"/>
    <w:rsid w:val="00FC2695"/>
    <w:rsid w:val="00FC3952"/>
    <w:rsid w:val="00FC3E03"/>
    <w:rsid w:val="00FC3FC1"/>
    <w:rsid w:val="00FC4C4F"/>
    <w:rsid w:val="00FD1100"/>
    <w:rsid w:val="00FD44A3"/>
    <w:rsid w:val="00FD54B2"/>
    <w:rsid w:val="00FD6D2D"/>
    <w:rsid w:val="00FE396C"/>
    <w:rsid w:val="00FE480D"/>
    <w:rsid w:val="00FE58F5"/>
    <w:rsid w:val="00FF027B"/>
    <w:rsid w:val="00FF23D9"/>
    <w:rsid w:val="00FF3D79"/>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AE0CC22"/>
  <w14:defaultImageDpi w14:val="330"/>
  <w15:docId w15:val="{24D30925-D982-4A06-A546-ED075717D4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aliases w:val="CET Top_page"/>
    <w:rsid w:val="00DD1AAC"/>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9E788A"/>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9E788A"/>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Nessunaspaziatura">
    <w:name w:val="No Spacing"/>
    <w:qFormat/>
    <w:rsid w:val="00D42707"/>
    <w:pPr>
      <w:spacing w:after="0" w:line="240" w:lineRule="auto"/>
    </w:pPr>
    <w:rPr>
      <w:rFonts w:ascii="Times New Roman" w:eastAsia="Calibri" w:hAnsi="Times New Roman" w:cs="Times New Roman"/>
      <w:sz w:val="24"/>
      <w:szCs w:val="24"/>
    </w:rPr>
  </w:style>
  <w:style w:type="character" w:styleId="Enfasigrassetto">
    <w:name w:val="Strong"/>
    <w:basedOn w:val="Carpredefinitoparagrafo"/>
    <w:uiPriority w:val="22"/>
    <w:qFormat/>
    <w:rsid w:val="00CE1CA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3196570">
      <w:bodyDiv w:val="1"/>
      <w:marLeft w:val="0"/>
      <w:marRight w:val="0"/>
      <w:marTop w:val="0"/>
      <w:marBottom w:val="0"/>
      <w:divBdr>
        <w:top w:val="none" w:sz="0" w:space="0" w:color="auto"/>
        <w:left w:val="none" w:sz="0" w:space="0" w:color="auto"/>
        <w:bottom w:val="none" w:sz="0" w:space="0" w:color="auto"/>
        <w:right w:val="none" w:sz="0" w:space="0" w:color="auto"/>
      </w:divBdr>
    </w:div>
    <w:div w:id="375547634">
      <w:bodyDiv w:val="1"/>
      <w:marLeft w:val="0"/>
      <w:marRight w:val="0"/>
      <w:marTop w:val="0"/>
      <w:marBottom w:val="0"/>
      <w:divBdr>
        <w:top w:val="none" w:sz="0" w:space="0" w:color="auto"/>
        <w:left w:val="none" w:sz="0" w:space="0" w:color="auto"/>
        <w:bottom w:val="none" w:sz="0" w:space="0" w:color="auto"/>
        <w:right w:val="none" w:sz="0" w:space="0" w:color="auto"/>
      </w:divBdr>
    </w:div>
    <w:div w:id="395397055">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475894">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329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w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wmf"/><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w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F50EB-978C-4D2E-9623-4B30E0684D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6</Pages>
  <Words>10168</Words>
  <Characters>57964</Characters>
  <Application>Microsoft Office Word</Application>
  <DocSecurity>0</DocSecurity>
  <Lines>483</Lines>
  <Paragraphs>135</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67997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raffaella</dc:creator>
  <cp:keywords/>
  <dc:description/>
  <cp:lastModifiedBy>Eleonora Stefanelli</cp:lastModifiedBy>
  <cp:revision>10</cp:revision>
  <cp:lastPrinted>2015-05-12T18:31:00Z</cp:lastPrinted>
  <dcterms:created xsi:type="dcterms:W3CDTF">2023-04-14T17:18:00Z</dcterms:created>
  <dcterms:modified xsi:type="dcterms:W3CDTF">2023-04-14T18:30:00Z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y fmtid="{D5CDD505-2E9C-101B-9397-08002B2CF9AE}" pid="4" name="Mendeley Recent Style Id 0_1">
    <vt:lpwstr>http://www.zotero.org/styles/american-political-science-association</vt:lpwstr>
  </property>
  <property fmtid="{D5CDD505-2E9C-101B-9397-08002B2CF9AE}" pid="5" name="Mendeley Recent Style Name 0_1">
    <vt:lpwstr>American Political Science Association</vt:lpwstr>
  </property>
  <property fmtid="{D5CDD505-2E9C-101B-9397-08002B2CF9AE}" pid="6" name="Mendeley Recent Style Id 1_1">
    <vt:lpwstr>http://www.zotero.org/styles/american-sociological-association</vt:lpwstr>
  </property>
  <property fmtid="{D5CDD505-2E9C-101B-9397-08002B2CF9AE}" pid="7" name="Mendeley Recent Style Name 1_1">
    <vt:lpwstr>American Sociological Association</vt:lpwstr>
  </property>
  <property fmtid="{D5CDD505-2E9C-101B-9397-08002B2CF9AE}" pid="8" name="Mendeley Recent Style Id 2_1">
    <vt:lpwstr>http://www.zotero.org/styles/chemical-engineering-journal</vt:lpwstr>
  </property>
  <property fmtid="{D5CDD505-2E9C-101B-9397-08002B2CF9AE}" pid="9" name="Mendeley Recent Style Name 2_1">
    <vt:lpwstr>Chemical Engineering Journal</vt:lpwstr>
  </property>
  <property fmtid="{D5CDD505-2E9C-101B-9397-08002B2CF9AE}" pid="10" name="Mendeley Recent Style Id 3_1">
    <vt:lpwstr>http://www.zotero.org/styles/chemical-engineering-research-and-design</vt:lpwstr>
  </property>
  <property fmtid="{D5CDD505-2E9C-101B-9397-08002B2CF9AE}" pid="11" name="Mendeley Recent Style Name 3_1">
    <vt:lpwstr>Chemical Engineering Research and Design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17th edition (author-date)</vt:lpwstr>
  </property>
  <property fmtid="{D5CDD505-2E9C-101B-9397-08002B2CF9AE}" pid="14" name="Mendeley Recent Style Id 5_1">
    <vt:lpwstr>http://www.zotero.org/styles/fusion-engineering-and-design</vt:lpwstr>
  </property>
  <property fmtid="{D5CDD505-2E9C-101B-9397-08002B2CF9AE}" pid="15" name="Mendeley Recent Style Name 5_1">
    <vt:lpwstr>Fusion Engineering and Design</vt:lpwstr>
  </property>
  <property fmtid="{D5CDD505-2E9C-101B-9397-08002B2CF9AE}" pid="16" name="Mendeley Recent Style Id 6_1">
    <vt:lpwstr>http://www.zotero.org/styles/harvard1</vt:lpwstr>
  </property>
  <property fmtid="{D5CDD505-2E9C-101B-9397-08002B2CF9AE}" pid="17" name="Mendeley Recent Style Name 6_1">
    <vt:lpwstr>Harvard reference format 1 (deprecated)</vt:lpwstr>
  </property>
  <property fmtid="{D5CDD505-2E9C-101B-9397-08002B2CF9AE}" pid="18" name="Mendeley Recent Style Id 7_1">
    <vt:lpwstr>http://www.zotero.org/styles/materials-letters</vt:lpwstr>
  </property>
  <property fmtid="{D5CDD505-2E9C-101B-9397-08002B2CF9AE}" pid="19" name="Mendeley Recent Style Name 7_1">
    <vt:lpwstr>Materials Letters</vt:lpwstr>
  </property>
  <property fmtid="{D5CDD505-2E9C-101B-9397-08002B2CF9AE}" pid="20" name="Mendeley Recent Style Id 8_1">
    <vt:lpwstr>http://www.zotero.org/styles/modern-humanities-research-association</vt:lpwstr>
  </property>
  <property fmtid="{D5CDD505-2E9C-101B-9397-08002B2CF9AE}" pid="21" name="Mendeley Recent Style Name 8_1">
    <vt:lpwstr>Modern Humanities Research Association 3rd edition (note with bibliography)</vt:lpwstr>
  </property>
  <property fmtid="{D5CDD505-2E9C-101B-9397-08002B2CF9AE}" pid="22" name="Mendeley Recent Style Id 9_1">
    <vt:lpwstr>http://www.zotero.org/styles/modern-language-association</vt:lpwstr>
  </property>
  <property fmtid="{D5CDD505-2E9C-101B-9397-08002B2CF9AE}" pid="23" name="Mendeley Recent Style Name 9_1">
    <vt:lpwstr>Modern Language Association 8th edition</vt:lpwstr>
  </property>
  <property fmtid="{D5CDD505-2E9C-101B-9397-08002B2CF9AE}" pid="24" name="Mendeley Document_1">
    <vt:lpwstr>True</vt:lpwstr>
  </property>
  <property fmtid="{D5CDD505-2E9C-101B-9397-08002B2CF9AE}" pid="25" name="Mendeley Unique User Id_1">
    <vt:lpwstr>c62b0ae2-94d7-3807-b61d-00ae9412e5d0</vt:lpwstr>
  </property>
  <property fmtid="{D5CDD505-2E9C-101B-9397-08002B2CF9AE}" pid="26" name="Mendeley Citation Style_1">
    <vt:lpwstr>http://www.zotero.org/styles/chemical-engineering-research-and-design</vt:lpwstr>
  </property>
</Properties>
</file>