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0F2615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530285EB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proofErr w:type="gramStart"/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2023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0F2615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0F2615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77777777" w:rsidR="00AA7D26" w:rsidRPr="00F93EDF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eastAsia="it-IT"/>
              </w:rPr>
            </w:pPr>
            <w:r w:rsidRPr="00F93EDF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Guest Editors:</w:t>
            </w:r>
            <w:r w:rsidRPr="00F93EDF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</w:rPr>
              <w:t>Sauro</w:t>
            </w:r>
            <w:proofErr w:type="spellEnd"/>
            <w:r w:rsidRPr="00293D18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</w:rPr>
              <w:t>Pierucci</w:t>
            </w:r>
            <w:proofErr w:type="spellEnd"/>
            <w:r w:rsidRPr="00293D18">
              <w:rPr>
                <w:rFonts w:ascii="Tahoma" w:hAnsi="Tahoma" w:cs="Tahoma"/>
                <w:sz w:val="14"/>
                <w:szCs w:val="14"/>
              </w:rPr>
              <w:t xml:space="preserve">,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Jiří</w:t>
            </w:r>
            <w:proofErr w:type="spellEnd"/>
            <w:r w:rsidRPr="00293D18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 xml:space="preserve"> Jaromír </w:t>
            </w:r>
            <w:proofErr w:type="spellStart"/>
            <w:r w:rsidRPr="00293D18">
              <w:rPr>
                <w:rFonts w:ascii="Tahoma" w:hAnsi="Tahoma" w:cs="Tahoma"/>
                <w:sz w:val="14"/>
                <w:szCs w:val="14"/>
                <w:shd w:val="clear" w:color="auto" w:fill="FFFFFF"/>
              </w:rPr>
              <w:t>Klemeš</w:t>
            </w:r>
            <w:proofErr w:type="spellEnd"/>
          </w:p>
          <w:p w14:paraId="1B0F1814" w14:textId="650290B9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2023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0562A9">
              <w:rPr>
                <w:rFonts w:ascii="Tahoma" w:hAnsi="Tahoma" w:cs="Tahoma"/>
                <w:sz w:val="14"/>
                <w:szCs w:val="14"/>
              </w:rPr>
              <w:t>97</w:t>
            </w:r>
            <w:r>
              <w:rPr>
                <w:rFonts w:ascii="Tahoma" w:hAnsi="Tahoma" w:cs="Tahoma"/>
                <w:sz w:val="14"/>
                <w:szCs w:val="14"/>
              </w:rPr>
              <w:t>8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88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95608-98-3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2F19B706" w:rsidR="00E978D0" w:rsidRPr="00B57B36" w:rsidRDefault="000F2615" w:rsidP="00E978D0">
      <w:pPr>
        <w:pStyle w:val="CETTitle"/>
      </w:pPr>
      <w:r w:rsidRPr="000F2615">
        <w:t xml:space="preserve">Intensification of kinetic studies for a multi-step reaction </w:t>
      </w:r>
      <w:r>
        <w:br/>
      </w:r>
      <w:r w:rsidRPr="000F2615">
        <w:t xml:space="preserve">in a milli-structured plate reactor by using </w:t>
      </w:r>
      <w:r>
        <w:br/>
      </w:r>
      <w:r w:rsidRPr="000F2615">
        <w:t>Model-based Design of Experiments</w:t>
      </w:r>
    </w:p>
    <w:p w14:paraId="0488FED2" w14:textId="49B76E77" w:rsidR="00B57E6F" w:rsidRPr="00B57B36" w:rsidRDefault="000F2615" w:rsidP="00B57E6F">
      <w:pPr>
        <w:pStyle w:val="CETAuthors"/>
      </w:pPr>
      <w:r>
        <w:t>Lucas</w:t>
      </w:r>
      <w:r w:rsidR="00B57E6F" w:rsidRPr="00B57B36">
        <w:t xml:space="preserve"> </w:t>
      </w:r>
      <w:r>
        <w:t>Schaare</w:t>
      </w:r>
      <w:r w:rsidR="00B57E6F" w:rsidRPr="00B57B36">
        <w:rPr>
          <w:vertAlign w:val="superscript"/>
        </w:rPr>
        <w:t>a</w:t>
      </w:r>
      <w:r>
        <w:rPr>
          <w:vertAlign w:val="superscript"/>
        </w:rPr>
        <w:t>,</w:t>
      </w:r>
      <w:r w:rsidRPr="00B57B36">
        <w:rPr>
          <w:vertAlign w:val="superscript"/>
        </w:rPr>
        <w:t>b,</w:t>
      </w:r>
      <w:r w:rsidRPr="00B57B36">
        <w:t>*,</w:t>
      </w:r>
      <w:r w:rsidR="00B57E6F" w:rsidRPr="00B57B36">
        <w:t xml:space="preserve"> </w:t>
      </w:r>
      <w:r w:rsidRPr="000F2615">
        <w:t>Rafael Kuwertz</w:t>
      </w:r>
      <w:r w:rsidR="00B57E6F" w:rsidRPr="00B57B36">
        <w:rPr>
          <w:vertAlign w:val="superscript"/>
        </w:rPr>
        <w:t>b</w:t>
      </w:r>
      <w:r w:rsidR="00B57E6F" w:rsidRPr="00B57B36">
        <w:t xml:space="preserve">, </w:t>
      </w:r>
      <w:r w:rsidRPr="000F2615">
        <w:t>Joachim Heck</w:t>
      </w:r>
      <w:r w:rsidRPr="000F2615">
        <w:rPr>
          <w:vertAlign w:val="superscript"/>
        </w:rPr>
        <w:t>b</w:t>
      </w:r>
      <w:r w:rsidRPr="000F2615">
        <w:t>, Mirko Skiborowski</w:t>
      </w:r>
      <w:r w:rsidRPr="000F2615">
        <w:rPr>
          <w:vertAlign w:val="superscript"/>
        </w:rPr>
        <w:t>a</w:t>
      </w:r>
    </w:p>
    <w:p w14:paraId="6B2D21B3" w14:textId="070A41FA" w:rsidR="00B57E6F" w:rsidRPr="00B57B36" w:rsidRDefault="00B57E6F" w:rsidP="00B57E6F">
      <w:pPr>
        <w:pStyle w:val="CETAddress"/>
      </w:pPr>
      <w:r w:rsidRPr="00B57B36">
        <w:rPr>
          <w:vertAlign w:val="superscript"/>
        </w:rPr>
        <w:t>a</w:t>
      </w:r>
      <w:r w:rsidR="000F2615" w:rsidRPr="000F2615">
        <w:t>Hamburg University of Technology, Institute of Process Systems Engineering, Am Schwarzenberg-Campus 4, 21073 Hamburg, Germany</w:t>
      </w:r>
      <w:r w:rsidRPr="00B57B36">
        <w:t xml:space="preserve"> </w:t>
      </w:r>
    </w:p>
    <w:p w14:paraId="3D72B0B0" w14:textId="2F91B8E9" w:rsidR="00B57E6F" w:rsidRPr="000F2615" w:rsidRDefault="00B57E6F" w:rsidP="00B57E6F">
      <w:pPr>
        <w:pStyle w:val="CETAddress"/>
        <w:rPr>
          <w:lang w:val="de-DE"/>
        </w:rPr>
      </w:pPr>
      <w:r w:rsidRPr="000F2615">
        <w:rPr>
          <w:vertAlign w:val="superscript"/>
          <w:lang w:val="de-DE"/>
        </w:rPr>
        <w:t>b</w:t>
      </w:r>
      <w:r w:rsidR="000F2615" w:rsidRPr="000F2615">
        <w:rPr>
          <w:lang w:val="de-DE"/>
        </w:rPr>
        <w:t>Ehrfeld Mikrotechnik GmbH, Mikro-Forum-Ring 1, 55234 Wendelsheim, Germany</w:t>
      </w:r>
      <w:r w:rsidRPr="000F2615">
        <w:rPr>
          <w:lang w:val="de-DE"/>
        </w:rPr>
        <w:t xml:space="preserve"> </w:t>
      </w:r>
    </w:p>
    <w:p w14:paraId="73F1267A" w14:textId="4CE75E58" w:rsidR="00B57E6F" w:rsidRPr="00B57B36" w:rsidRDefault="00B57E6F" w:rsidP="00B57E6F">
      <w:pPr>
        <w:pStyle w:val="CETemail"/>
      </w:pPr>
      <w:r w:rsidRPr="007A75D9">
        <w:rPr>
          <w:lang w:val="de-DE"/>
        </w:rPr>
        <w:t xml:space="preserve"> </w:t>
      </w:r>
      <w:r w:rsidR="000F2615">
        <w:t>lucas</w:t>
      </w:r>
      <w:r w:rsidRPr="00B57B36">
        <w:t>.</w:t>
      </w:r>
      <w:r w:rsidR="000F2615">
        <w:t>schaare</w:t>
      </w:r>
      <w:r w:rsidRPr="00B57B36">
        <w:t>@</w:t>
      </w:r>
      <w:r w:rsidR="000F2615">
        <w:t>tuhh</w:t>
      </w:r>
      <w:r w:rsidRPr="00B57B36">
        <w:t>.</w:t>
      </w:r>
      <w:r w:rsidR="000F2615">
        <w:t>de</w:t>
      </w:r>
      <w:r w:rsidRPr="00B57B36">
        <w:t xml:space="preserve"> </w:t>
      </w:r>
    </w:p>
    <w:p w14:paraId="38D9CB92" w14:textId="65DE063A" w:rsidR="00930747" w:rsidRDefault="00930747" w:rsidP="00600535">
      <w:pPr>
        <w:pStyle w:val="CETBodytext"/>
        <w:rPr>
          <w:lang w:val="en-GB"/>
        </w:rPr>
      </w:pPr>
      <w:bookmarkStart w:id="0" w:name="_Hlk495475023"/>
      <w:r w:rsidRPr="00930747">
        <w:rPr>
          <w:lang w:val="en-GB"/>
        </w:rPr>
        <w:t xml:space="preserve">In the context of process intensification, milli-structured plate reactors </w:t>
      </w:r>
      <w:r w:rsidR="00644C85">
        <w:rPr>
          <w:lang w:val="en-GB"/>
        </w:rPr>
        <w:t>provide</w:t>
      </w:r>
      <w:r w:rsidRPr="00930747">
        <w:rPr>
          <w:lang w:val="en-GB"/>
        </w:rPr>
        <w:t xml:space="preserve"> significant advantages over conventional </w:t>
      </w:r>
      <w:r w:rsidR="00737750">
        <w:rPr>
          <w:lang w:val="en-GB"/>
        </w:rPr>
        <w:t>reactors</w:t>
      </w:r>
      <w:r w:rsidR="00737750" w:rsidRPr="00930747">
        <w:rPr>
          <w:lang w:val="en-GB"/>
        </w:rPr>
        <w:t xml:space="preserve"> </w:t>
      </w:r>
      <w:r w:rsidRPr="00930747">
        <w:rPr>
          <w:lang w:val="en-GB"/>
        </w:rPr>
        <w:t>in terms of heat and mass transfer as well as process safety. The ART</w:t>
      </w:r>
      <w:r w:rsidR="00F76609" w:rsidRPr="00F76609">
        <w:rPr>
          <w:vertAlign w:val="superscript"/>
          <w:lang w:val="en-GB"/>
        </w:rPr>
        <w:t>®</w:t>
      </w:r>
      <w:r w:rsidR="00F76609">
        <w:rPr>
          <w:lang w:val="en-GB"/>
        </w:rPr>
        <w:t xml:space="preserve"> </w:t>
      </w:r>
      <w:r w:rsidRPr="00930747">
        <w:rPr>
          <w:lang w:val="en-GB"/>
        </w:rPr>
        <w:t xml:space="preserve">plate reactor PR37 of </w:t>
      </w:r>
      <w:proofErr w:type="spellStart"/>
      <w:r w:rsidRPr="00930747">
        <w:rPr>
          <w:lang w:val="en-GB"/>
        </w:rPr>
        <w:t>Ehrfeld</w:t>
      </w:r>
      <w:proofErr w:type="spellEnd"/>
      <w:r w:rsidRPr="00930747">
        <w:rPr>
          <w:lang w:val="en-GB"/>
        </w:rPr>
        <w:t xml:space="preserve"> </w:t>
      </w:r>
      <w:proofErr w:type="spellStart"/>
      <w:r w:rsidRPr="00930747">
        <w:rPr>
          <w:lang w:val="en-GB"/>
        </w:rPr>
        <w:t>Mikrotechnik</w:t>
      </w:r>
      <w:proofErr w:type="spellEnd"/>
      <w:r w:rsidRPr="00930747">
        <w:rPr>
          <w:lang w:val="en-GB"/>
        </w:rPr>
        <w:t xml:space="preserve"> GmbH offers excellent heat transfer, narrow residence time distributions and high mixing efficiency</w:t>
      </w:r>
      <w:r w:rsidR="00004492">
        <w:rPr>
          <w:lang w:val="en-GB"/>
        </w:rPr>
        <w:t xml:space="preserve">, </w:t>
      </w:r>
      <w:r w:rsidR="00004492" w:rsidRPr="00004492">
        <w:rPr>
          <w:lang w:val="en-GB"/>
        </w:rPr>
        <w:t>while simultaneously allowing an effective scale-up to industrial applications</w:t>
      </w:r>
      <w:r w:rsidR="00004492">
        <w:rPr>
          <w:lang w:val="en-GB"/>
        </w:rPr>
        <w:t xml:space="preserve"> due to its modular set up</w:t>
      </w:r>
      <w:r w:rsidR="0081653D">
        <w:rPr>
          <w:lang w:val="en-GB"/>
        </w:rPr>
        <w:t>.</w:t>
      </w:r>
      <w:r w:rsidR="0081653D" w:rsidRPr="00930747">
        <w:rPr>
          <w:lang w:val="en-GB"/>
        </w:rPr>
        <w:t xml:space="preserve"> </w:t>
      </w:r>
      <w:r w:rsidRPr="00930747">
        <w:rPr>
          <w:lang w:val="en-GB"/>
        </w:rPr>
        <w:t xml:space="preserve">This </w:t>
      </w:r>
      <w:r w:rsidR="00737750">
        <w:rPr>
          <w:lang w:val="en-GB"/>
        </w:rPr>
        <w:t xml:space="preserve">does not only </w:t>
      </w:r>
      <w:r w:rsidR="00EC1D61">
        <w:rPr>
          <w:lang w:val="en-GB"/>
        </w:rPr>
        <w:t>enable</w:t>
      </w:r>
      <w:r w:rsidRPr="00930747">
        <w:rPr>
          <w:lang w:val="en-GB"/>
        </w:rPr>
        <w:t xml:space="preserve"> t</w:t>
      </w:r>
      <w:r>
        <w:rPr>
          <w:lang w:val="en-GB"/>
        </w:rPr>
        <w:t>he</w:t>
      </w:r>
      <w:r w:rsidRPr="00930747">
        <w:rPr>
          <w:lang w:val="en-GB"/>
        </w:rPr>
        <w:t xml:space="preserve"> </w:t>
      </w:r>
      <w:r>
        <w:rPr>
          <w:lang w:val="en-GB"/>
        </w:rPr>
        <w:t>realization of</w:t>
      </w:r>
      <w:r w:rsidRPr="00930747">
        <w:rPr>
          <w:lang w:val="en-GB"/>
        </w:rPr>
        <w:t xml:space="preserve"> novel process windows exceeding the limits of conventional reactors</w:t>
      </w:r>
      <w:r w:rsidR="00737750">
        <w:rPr>
          <w:lang w:val="en-GB"/>
        </w:rPr>
        <w:t>,</w:t>
      </w:r>
      <w:r>
        <w:rPr>
          <w:lang w:val="en-GB"/>
        </w:rPr>
        <w:t xml:space="preserve"> but </w:t>
      </w:r>
      <w:r w:rsidR="00737750">
        <w:rPr>
          <w:lang w:val="en-GB"/>
        </w:rPr>
        <w:t xml:space="preserve">also </w:t>
      </w:r>
      <w:r w:rsidRPr="00930747">
        <w:rPr>
          <w:lang w:val="en-GB"/>
        </w:rPr>
        <w:t>provide</w:t>
      </w:r>
      <w:r w:rsidR="00737750">
        <w:rPr>
          <w:lang w:val="en-GB"/>
        </w:rPr>
        <w:t>s</w:t>
      </w:r>
      <w:r w:rsidRPr="00930747">
        <w:rPr>
          <w:lang w:val="en-GB"/>
        </w:rPr>
        <w:t xml:space="preserve"> optimal prerequisites for kinetic </w:t>
      </w:r>
      <w:r>
        <w:rPr>
          <w:lang w:val="en-GB"/>
        </w:rPr>
        <w:t>modelling</w:t>
      </w:r>
      <w:r w:rsidR="00004492" w:rsidRPr="00004492">
        <w:rPr>
          <w:lang w:val="en-GB"/>
        </w:rPr>
        <w:t xml:space="preserve"> </w:t>
      </w:r>
      <w:r w:rsidR="00737750">
        <w:rPr>
          <w:lang w:val="en-GB"/>
        </w:rPr>
        <w:t>due to the well-defined process conditions,</w:t>
      </w:r>
      <w:r w:rsidR="00737750" w:rsidRPr="00004492">
        <w:rPr>
          <w:lang w:val="en-GB"/>
        </w:rPr>
        <w:t xml:space="preserve"> </w:t>
      </w:r>
      <w:r w:rsidR="00004492" w:rsidRPr="00004492">
        <w:rPr>
          <w:lang w:val="en-GB"/>
        </w:rPr>
        <w:t>provid</w:t>
      </w:r>
      <w:r w:rsidR="007A4552">
        <w:rPr>
          <w:lang w:val="en-GB"/>
        </w:rPr>
        <w:t>ing</w:t>
      </w:r>
      <w:r w:rsidR="00004492" w:rsidRPr="00004492">
        <w:rPr>
          <w:lang w:val="en-GB"/>
        </w:rPr>
        <w:t xml:space="preserve"> key information regarding </w:t>
      </w:r>
      <w:r w:rsidR="007A4552">
        <w:rPr>
          <w:lang w:val="en-GB"/>
        </w:rPr>
        <w:t xml:space="preserve">process </w:t>
      </w:r>
      <w:r w:rsidR="00004492" w:rsidRPr="00004492">
        <w:rPr>
          <w:lang w:val="en-GB"/>
        </w:rPr>
        <w:t>design and optimization</w:t>
      </w:r>
      <w:r w:rsidR="007A4552">
        <w:rPr>
          <w:lang w:val="en-GB"/>
        </w:rPr>
        <w:t>.</w:t>
      </w:r>
      <w:r w:rsidR="00004492" w:rsidRPr="00004492">
        <w:rPr>
          <w:lang w:val="en-GB"/>
        </w:rPr>
        <w:t xml:space="preserve"> </w:t>
      </w:r>
    </w:p>
    <w:p w14:paraId="0180FBD4" w14:textId="085CF3E9" w:rsidR="00930747" w:rsidRDefault="00433D97" w:rsidP="00600535">
      <w:pPr>
        <w:pStyle w:val="CETBodytext"/>
        <w:rPr>
          <w:lang w:val="en-GB"/>
        </w:rPr>
      </w:pPr>
      <w:r>
        <w:rPr>
          <w:lang w:val="en-GB"/>
        </w:rPr>
        <w:t xml:space="preserve">The integration of the ART PR37 with </w:t>
      </w:r>
      <w:r w:rsidR="00E4351B">
        <w:rPr>
          <w:lang w:val="en-GB"/>
        </w:rPr>
        <w:t>M</w:t>
      </w:r>
      <w:r>
        <w:rPr>
          <w:lang w:val="en-GB"/>
        </w:rPr>
        <w:t xml:space="preserve">odel-based </w:t>
      </w:r>
      <w:r w:rsidR="00E4351B">
        <w:rPr>
          <w:lang w:val="en-GB"/>
        </w:rPr>
        <w:t>D</w:t>
      </w:r>
      <w:r>
        <w:rPr>
          <w:lang w:val="en-GB"/>
        </w:rPr>
        <w:t xml:space="preserve">esign of </w:t>
      </w:r>
      <w:r w:rsidR="00E4351B">
        <w:rPr>
          <w:lang w:val="en-GB"/>
        </w:rPr>
        <w:t>E</w:t>
      </w:r>
      <w:r>
        <w:rPr>
          <w:lang w:val="en-GB"/>
        </w:rPr>
        <w:t>xperiments</w:t>
      </w:r>
      <w:r w:rsidR="00E4351B">
        <w:rPr>
          <w:lang w:val="en-GB"/>
        </w:rPr>
        <w:t xml:space="preserve"> (</w:t>
      </w:r>
      <w:proofErr w:type="spellStart"/>
      <w:r w:rsidR="00E4351B">
        <w:rPr>
          <w:lang w:val="en-GB"/>
        </w:rPr>
        <w:t>MBDoE</w:t>
      </w:r>
      <w:proofErr w:type="spellEnd"/>
      <w:r w:rsidR="00E4351B">
        <w:rPr>
          <w:lang w:val="en-GB"/>
        </w:rPr>
        <w:t>)</w:t>
      </w:r>
      <w:r>
        <w:rPr>
          <w:lang w:val="en-GB"/>
        </w:rPr>
        <w:t xml:space="preserve"> allows for an intensification of kinetic studies, combining the well-defined operating conditions with a rapid and targeted identification of kinetic models. </w:t>
      </w:r>
      <w:r w:rsidR="00737750">
        <w:rPr>
          <w:lang w:val="en-GB"/>
        </w:rPr>
        <w:t xml:space="preserve">In the current study this </w:t>
      </w:r>
      <w:r>
        <w:rPr>
          <w:lang w:val="en-GB"/>
        </w:rPr>
        <w:t>combination</w:t>
      </w:r>
      <w:r w:rsidR="00737750">
        <w:rPr>
          <w:lang w:val="en-GB"/>
        </w:rPr>
        <w:t xml:space="preserve"> is applied to successfully identify </w:t>
      </w:r>
      <w:r w:rsidR="00B621A7" w:rsidRPr="00B621A7">
        <w:rPr>
          <w:lang w:val="en-GB"/>
        </w:rPr>
        <w:t xml:space="preserve">the </w:t>
      </w:r>
      <w:r w:rsidR="00B621A7">
        <w:rPr>
          <w:lang w:val="en-GB"/>
        </w:rPr>
        <w:t>kinetics</w:t>
      </w:r>
      <w:r w:rsidR="00B621A7" w:rsidRPr="00B621A7">
        <w:rPr>
          <w:lang w:val="en-GB"/>
        </w:rPr>
        <w:t xml:space="preserve"> of </w:t>
      </w:r>
      <w:r w:rsidR="00B621A7">
        <w:rPr>
          <w:lang w:val="en-GB"/>
        </w:rPr>
        <w:t>a multi-step</w:t>
      </w:r>
      <w:r w:rsidR="00B621A7" w:rsidRPr="00B621A7">
        <w:rPr>
          <w:lang w:val="en-GB"/>
        </w:rPr>
        <w:t xml:space="preserve"> aromatic nucleophilic substitution reaction with low experimental effort</w:t>
      </w:r>
      <w:r w:rsidR="00737750">
        <w:rPr>
          <w:lang w:val="en-GB"/>
        </w:rPr>
        <w:t>,</w:t>
      </w:r>
      <w:r w:rsidR="00B621A7" w:rsidRPr="00B621A7">
        <w:rPr>
          <w:lang w:val="en-GB"/>
        </w:rPr>
        <w:t xml:space="preserve"> saving time and resources </w:t>
      </w:r>
      <w:r>
        <w:rPr>
          <w:lang w:val="en-GB"/>
        </w:rPr>
        <w:t>compared</w:t>
      </w:r>
      <w:r w:rsidR="00B621A7" w:rsidRPr="00B621A7">
        <w:rPr>
          <w:lang w:val="en-GB"/>
        </w:rPr>
        <w:t xml:space="preserve"> to conventional factorial Design of Experiments</w:t>
      </w:r>
      <w:r w:rsidR="00B621A7">
        <w:rPr>
          <w:lang w:val="en-GB"/>
        </w:rPr>
        <w:t>.</w:t>
      </w:r>
      <w:r w:rsidR="00262B48">
        <w:rPr>
          <w:lang w:val="en-GB"/>
        </w:rPr>
        <w:t xml:space="preserve"> </w:t>
      </w:r>
      <w:r w:rsidR="001E27FE">
        <w:rPr>
          <w:lang w:val="en-GB"/>
        </w:rPr>
        <w:t xml:space="preserve">  </w:t>
      </w:r>
    </w:p>
    <w:bookmarkEnd w:id="0"/>
    <w:p w14:paraId="2947A549" w14:textId="68E13ABF" w:rsidR="002F2FBC" w:rsidRPr="001848BF" w:rsidRDefault="00600535" w:rsidP="002F2FBC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1DDFBF17" w14:textId="0D810C17" w:rsidR="00E10E82" w:rsidRPr="00B57B36" w:rsidRDefault="00BD0929" w:rsidP="00600535">
      <w:pPr>
        <w:pStyle w:val="CETBodytext"/>
        <w:rPr>
          <w:lang w:val="en-GB"/>
        </w:rPr>
      </w:pPr>
      <w:r>
        <w:rPr>
          <w:lang w:val="en-GB"/>
        </w:rPr>
        <w:t xml:space="preserve">The </w:t>
      </w:r>
      <w:r w:rsidR="00737750">
        <w:rPr>
          <w:lang w:val="en-GB"/>
        </w:rPr>
        <w:t xml:space="preserve">optimal </w:t>
      </w:r>
      <w:r w:rsidR="001848BF">
        <w:rPr>
          <w:lang w:val="en-GB"/>
        </w:rPr>
        <w:t>Design of Experiments</w:t>
      </w:r>
      <w:r w:rsidR="00015E9C">
        <w:rPr>
          <w:lang w:val="en-GB"/>
        </w:rPr>
        <w:t xml:space="preserve"> </w:t>
      </w:r>
      <w:r w:rsidR="00E4351B">
        <w:rPr>
          <w:lang w:val="en-GB"/>
        </w:rPr>
        <w:t xml:space="preserve">(DoE) </w:t>
      </w:r>
      <w:r w:rsidR="00015E9C">
        <w:rPr>
          <w:lang w:val="en-GB"/>
        </w:rPr>
        <w:t>is a</w:t>
      </w:r>
      <w:r w:rsidR="004173EF">
        <w:rPr>
          <w:lang w:val="en-GB"/>
        </w:rPr>
        <w:t xml:space="preserve"> non-trivial task, especially for complex systems with </w:t>
      </w:r>
      <w:r w:rsidR="002B719B">
        <w:rPr>
          <w:lang w:val="en-GB"/>
        </w:rPr>
        <w:t>nonlinear</w:t>
      </w:r>
      <w:r w:rsidR="004173EF">
        <w:rPr>
          <w:lang w:val="en-GB"/>
        </w:rPr>
        <w:t xml:space="preserve"> dynamics. </w:t>
      </w:r>
      <w:r w:rsidR="00E4351B">
        <w:rPr>
          <w:lang w:val="en-GB"/>
        </w:rPr>
        <w:t>P</w:t>
      </w:r>
      <w:r w:rsidR="00E4351B" w:rsidRPr="004173EF">
        <w:rPr>
          <w:lang w:val="en-GB"/>
        </w:rPr>
        <w:t>oorly designed</w:t>
      </w:r>
      <w:r w:rsidR="00E4351B">
        <w:rPr>
          <w:lang w:val="en-GB"/>
        </w:rPr>
        <w:t xml:space="preserve"> </w:t>
      </w:r>
      <w:r w:rsidR="00E4351B" w:rsidRPr="004173EF">
        <w:rPr>
          <w:lang w:val="en-GB"/>
        </w:rPr>
        <w:t>experiments may yield inadequate information and can cause a waste of time and resources,</w:t>
      </w:r>
      <w:r w:rsidR="00E4351B">
        <w:rPr>
          <w:lang w:val="en-GB"/>
        </w:rPr>
        <w:t xml:space="preserve"> </w:t>
      </w:r>
      <w:r w:rsidR="00737750">
        <w:rPr>
          <w:lang w:val="en-GB"/>
        </w:rPr>
        <w:t xml:space="preserve">and </w:t>
      </w:r>
      <w:r w:rsidR="00E4351B">
        <w:rPr>
          <w:lang w:val="en-GB"/>
        </w:rPr>
        <w:t xml:space="preserve">even misleading </w:t>
      </w:r>
      <w:r w:rsidR="00737750">
        <w:rPr>
          <w:lang w:val="en-GB"/>
        </w:rPr>
        <w:t xml:space="preserve">or </w:t>
      </w:r>
      <w:r w:rsidR="00E4351B">
        <w:rPr>
          <w:lang w:val="en-GB"/>
        </w:rPr>
        <w:t xml:space="preserve">wrong conclusions. </w:t>
      </w:r>
      <w:r w:rsidR="001848BF">
        <w:rPr>
          <w:lang w:val="en-GB"/>
        </w:rPr>
        <w:t xml:space="preserve">Therefore, it is crucial to </w:t>
      </w:r>
      <w:r w:rsidR="00737750">
        <w:rPr>
          <w:lang w:val="en-GB"/>
        </w:rPr>
        <w:t xml:space="preserve">purposefully </w:t>
      </w:r>
      <w:r w:rsidR="001848BF">
        <w:rPr>
          <w:lang w:val="en-GB"/>
        </w:rPr>
        <w:t xml:space="preserve">plan experiments in order to get high </w:t>
      </w:r>
      <w:r w:rsidR="00737750">
        <w:rPr>
          <w:lang w:val="en-GB"/>
        </w:rPr>
        <w:t xml:space="preserve">quality </w:t>
      </w:r>
      <w:r w:rsidR="001848BF">
        <w:rPr>
          <w:lang w:val="en-GB"/>
        </w:rPr>
        <w:t>experimental data</w:t>
      </w:r>
      <w:r w:rsidR="00737750">
        <w:rPr>
          <w:lang w:val="en-GB"/>
        </w:rPr>
        <w:t xml:space="preserve"> with a maximum of information</w:t>
      </w:r>
      <w:r w:rsidR="001848BF">
        <w:rPr>
          <w:lang w:val="en-GB"/>
        </w:rPr>
        <w:t xml:space="preserve">. </w:t>
      </w:r>
      <w:r w:rsidR="00E4351B">
        <w:t xml:space="preserve">Statistical DoE methods such as full or fractional factorial designs are regularly used in industrial R&amp;D processes and familiar to most experimental chemists. DoE uses relatively simple </w:t>
      </w:r>
      <w:r w:rsidR="00737750">
        <w:t xml:space="preserve">correlations </w:t>
      </w:r>
      <w:r w:rsidR="00E4351B">
        <w:t xml:space="preserve">and linear regression to model the effects of </w:t>
      </w:r>
      <w:r w:rsidR="00737750">
        <w:t xml:space="preserve">single factors and their combinations </w:t>
      </w:r>
      <w:r w:rsidR="00E4351B">
        <w:t xml:space="preserve">on dependent variables, such as conversion or yield. While the resulting information allows for a simple characterization of the response surfaces, the </w:t>
      </w:r>
      <w:r w:rsidR="002B719B">
        <w:t>nonlinear</w:t>
      </w:r>
      <w:r w:rsidR="00E4351B">
        <w:t xml:space="preserve"> behavior that is underlying most chemical or biochemical reaction networks is not </w:t>
      </w:r>
      <w:r w:rsidR="007A1F4B" w:rsidRPr="007A1F4B">
        <w:t>necessarily</w:t>
      </w:r>
      <w:r w:rsidR="007A1F4B">
        <w:t xml:space="preserve"> </w:t>
      </w:r>
      <w:r w:rsidR="00E4351B">
        <w:t xml:space="preserve">well presented. </w:t>
      </w:r>
      <w:r w:rsidR="00E4351B">
        <w:rPr>
          <w:lang w:val="en-GB"/>
        </w:rPr>
        <w:t>O</w:t>
      </w:r>
      <w:r w:rsidR="00E4351B" w:rsidRPr="00AF2FB3">
        <w:rPr>
          <w:lang w:val="en-GB"/>
        </w:rPr>
        <w:t xml:space="preserve">ptimal </w:t>
      </w:r>
      <w:r w:rsidR="00E4351B">
        <w:rPr>
          <w:lang w:val="en-GB"/>
        </w:rPr>
        <w:t>M</w:t>
      </w:r>
      <w:r w:rsidR="00E4351B" w:rsidRPr="00AF2FB3">
        <w:rPr>
          <w:lang w:val="en-GB"/>
        </w:rPr>
        <w:t>odel-</w:t>
      </w:r>
      <w:r w:rsidR="00E4351B">
        <w:rPr>
          <w:lang w:val="en-GB"/>
        </w:rPr>
        <w:t>B</w:t>
      </w:r>
      <w:r w:rsidR="00E4351B" w:rsidRPr="00AF2FB3">
        <w:rPr>
          <w:lang w:val="en-GB"/>
        </w:rPr>
        <w:t xml:space="preserve">ased </w:t>
      </w:r>
      <w:r w:rsidR="00E4351B">
        <w:rPr>
          <w:lang w:val="en-GB"/>
        </w:rPr>
        <w:t>D</w:t>
      </w:r>
      <w:r w:rsidR="00E4351B" w:rsidRPr="00AF2FB3">
        <w:rPr>
          <w:lang w:val="en-GB"/>
        </w:rPr>
        <w:t xml:space="preserve">esign of </w:t>
      </w:r>
      <w:r w:rsidR="00E4351B">
        <w:rPr>
          <w:lang w:val="en-GB"/>
        </w:rPr>
        <w:t>E</w:t>
      </w:r>
      <w:r w:rsidR="00E4351B" w:rsidRPr="00AF2FB3">
        <w:rPr>
          <w:lang w:val="en-GB"/>
        </w:rPr>
        <w:t>xperiment</w:t>
      </w:r>
      <w:r w:rsidR="00E4351B">
        <w:rPr>
          <w:lang w:val="en-GB"/>
        </w:rPr>
        <w:t xml:space="preserve"> </w:t>
      </w:r>
      <w:r w:rsidR="00E4351B" w:rsidRPr="00AF2FB3">
        <w:rPr>
          <w:lang w:val="en-GB"/>
        </w:rPr>
        <w:t>(</w:t>
      </w:r>
      <w:proofErr w:type="spellStart"/>
      <w:r w:rsidR="00E4351B" w:rsidRPr="00AF2FB3">
        <w:rPr>
          <w:lang w:val="en-GB"/>
        </w:rPr>
        <w:t>MBDoE</w:t>
      </w:r>
      <w:proofErr w:type="spellEnd"/>
      <w:r w:rsidR="00E4351B" w:rsidRPr="00AF2FB3">
        <w:rPr>
          <w:lang w:val="en-GB"/>
        </w:rPr>
        <w:t>)</w:t>
      </w:r>
      <w:r w:rsidR="00E4351B">
        <w:rPr>
          <w:lang w:val="en-GB"/>
        </w:rPr>
        <w:t xml:space="preserve"> </w:t>
      </w:r>
      <w:r w:rsidR="00E4351B">
        <w:t xml:space="preserve">methods </w:t>
      </w:r>
      <w:r w:rsidR="00D75ACD">
        <w:t>are</w:t>
      </w:r>
      <w:r w:rsidR="00E4351B">
        <w:t xml:space="preserve"> explicitly developed to </w:t>
      </w:r>
      <w:r w:rsidR="00737750">
        <w:t>exploit the structure</w:t>
      </w:r>
      <w:r w:rsidR="001266F2">
        <w:t xml:space="preserve"> of</w:t>
      </w:r>
      <w:r w:rsidR="00737750">
        <w:t xml:space="preserve"> </w:t>
      </w:r>
      <w:r w:rsidR="00E4351B">
        <w:t>mechanistic nonlinear and dynamic process models.</w:t>
      </w:r>
      <w:r w:rsidR="003B51ED">
        <w:t xml:space="preserve"> </w:t>
      </w:r>
      <w:r w:rsidR="001266F2">
        <w:t xml:space="preserve">These </w:t>
      </w:r>
      <w:r w:rsidR="003B51ED">
        <w:t>method</w:t>
      </w:r>
      <w:r w:rsidR="001266F2">
        <w:t>s</w:t>
      </w:r>
      <w:r w:rsidR="003B51ED">
        <w:t xml:space="preserve"> </w:t>
      </w:r>
      <w:r w:rsidR="001266F2">
        <w:t xml:space="preserve">have </w:t>
      </w:r>
      <w:r w:rsidR="003B51ED" w:rsidRPr="00AF2FB3">
        <w:rPr>
          <w:lang w:val="en-GB"/>
        </w:rPr>
        <w:t>secured huge attention in almost all fields of studies, particularly in</w:t>
      </w:r>
      <w:r w:rsidR="003B51ED">
        <w:rPr>
          <w:lang w:val="en-GB"/>
        </w:rPr>
        <w:t xml:space="preserve"> </w:t>
      </w:r>
      <w:r w:rsidR="005363A2">
        <w:t xml:space="preserve">biochemical </w:t>
      </w:r>
      <w:r w:rsidR="003B51ED" w:rsidRPr="00AF2FB3">
        <w:rPr>
          <w:lang w:val="en-GB"/>
        </w:rPr>
        <w:t>disciplines</w:t>
      </w:r>
      <w:r w:rsidR="001266F2">
        <w:rPr>
          <w:lang w:val="en-GB"/>
        </w:rPr>
        <w:t xml:space="preserve"> </w:t>
      </w:r>
      <w:r w:rsidR="00F212CC">
        <w:rPr>
          <w:lang w:val="en-GB"/>
        </w:rPr>
        <w:t>(</w:t>
      </w:r>
      <w:proofErr w:type="spellStart"/>
      <w:r w:rsidR="00F212CC">
        <w:rPr>
          <w:lang w:val="en-GB"/>
        </w:rPr>
        <w:t>F</w:t>
      </w:r>
      <w:r w:rsidR="00F212CC" w:rsidRPr="005174C3">
        <w:rPr>
          <w:lang w:val="en-GB"/>
        </w:rPr>
        <w:t>ranceschini</w:t>
      </w:r>
      <w:proofErr w:type="spellEnd"/>
      <w:r w:rsidR="00F212CC">
        <w:rPr>
          <w:lang w:val="en-GB"/>
        </w:rPr>
        <w:t xml:space="preserve"> and </w:t>
      </w:r>
      <w:proofErr w:type="spellStart"/>
      <w:r w:rsidR="00F212CC" w:rsidRPr="005174C3">
        <w:rPr>
          <w:lang w:val="en-GB"/>
        </w:rPr>
        <w:t>Macchietto</w:t>
      </w:r>
      <w:proofErr w:type="spellEnd"/>
      <w:r w:rsidR="00F212CC">
        <w:rPr>
          <w:lang w:val="en-GB"/>
        </w:rPr>
        <w:t>, 2008)</w:t>
      </w:r>
      <w:r w:rsidR="003B51ED">
        <w:rPr>
          <w:lang w:val="en-GB"/>
        </w:rPr>
        <w:t xml:space="preserve">. </w:t>
      </w:r>
      <w:r w:rsidR="00621014" w:rsidRPr="00621014">
        <w:rPr>
          <w:lang w:val="en-GB"/>
        </w:rPr>
        <w:t xml:space="preserve">The </w:t>
      </w:r>
      <w:r w:rsidR="00621014">
        <w:rPr>
          <w:lang w:val="en-GB"/>
        </w:rPr>
        <w:t>application</w:t>
      </w:r>
      <w:r w:rsidR="00621014" w:rsidRPr="00621014">
        <w:rPr>
          <w:lang w:val="en-GB"/>
        </w:rPr>
        <w:t xml:space="preserve"> of </w:t>
      </w:r>
      <w:proofErr w:type="spellStart"/>
      <w:r w:rsidR="00621014" w:rsidRPr="00621014">
        <w:rPr>
          <w:lang w:val="en-GB"/>
        </w:rPr>
        <w:t>MBDoE</w:t>
      </w:r>
      <w:proofErr w:type="spellEnd"/>
      <w:r w:rsidR="00621014" w:rsidRPr="00621014">
        <w:rPr>
          <w:lang w:val="en-GB"/>
        </w:rPr>
        <w:t xml:space="preserve"> </w:t>
      </w:r>
      <w:r w:rsidR="00621014">
        <w:rPr>
          <w:lang w:val="en-GB"/>
        </w:rPr>
        <w:t>is</w:t>
      </w:r>
      <w:r w:rsidR="00621014" w:rsidRPr="00621014">
        <w:rPr>
          <w:lang w:val="en-GB"/>
        </w:rPr>
        <w:t xml:space="preserve"> </w:t>
      </w:r>
      <w:r w:rsidR="00621014">
        <w:rPr>
          <w:lang w:val="en-GB"/>
        </w:rPr>
        <w:t>especially</w:t>
      </w:r>
      <w:r w:rsidR="00621014" w:rsidRPr="00621014">
        <w:rPr>
          <w:lang w:val="en-GB"/>
        </w:rPr>
        <w:t xml:space="preserve"> </w:t>
      </w:r>
      <w:r w:rsidR="00621014">
        <w:rPr>
          <w:lang w:val="en-GB"/>
        </w:rPr>
        <w:t>suitable for continuous flow reactors</w:t>
      </w:r>
      <w:r w:rsidR="00584941">
        <w:rPr>
          <w:lang w:val="en-GB"/>
        </w:rPr>
        <w:t xml:space="preserve"> which </w:t>
      </w:r>
      <w:r w:rsidR="003A1F34">
        <w:rPr>
          <w:lang w:val="en-GB"/>
        </w:rPr>
        <w:t>offe</w:t>
      </w:r>
      <w:r w:rsidR="00584941">
        <w:rPr>
          <w:lang w:val="en-GB"/>
        </w:rPr>
        <w:t>r</w:t>
      </w:r>
      <w:r w:rsidR="003A1F34">
        <w:rPr>
          <w:lang w:val="en-GB"/>
        </w:rPr>
        <w:t xml:space="preserve"> </w:t>
      </w:r>
      <w:r w:rsidR="00105BFD">
        <w:rPr>
          <w:lang w:val="en-GB"/>
        </w:rPr>
        <w:t xml:space="preserve">excellent </w:t>
      </w:r>
      <w:r w:rsidR="00584941">
        <w:rPr>
          <w:lang w:val="en-GB"/>
        </w:rPr>
        <w:t>prerequisites</w:t>
      </w:r>
      <w:r w:rsidR="003A1F34">
        <w:rPr>
          <w:lang w:val="en-GB"/>
        </w:rPr>
        <w:t xml:space="preserve"> </w:t>
      </w:r>
      <w:r w:rsidR="00105BFD">
        <w:rPr>
          <w:lang w:val="en-GB"/>
        </w:rPr>
        <w:t xml:space="preserve">for </w:t>
      </w:r>
      <w:r w:rsidR="008E4477">
        <w:rPr>
          <w:lang w:val="en-GB"/>
        </w:rPr>
        <w:t>fast and efficient experiments under well-defined process conditions</w:t>
      </w:r>
      <w:r w:rsidR="009F4F01">
        <w:rPr>
          <w:lang w:val="en-GB"/>
        </w:rPr>
        <w:t xml:space="preserve"> enabled by an enhanced heat and mass transfer</w:t>
      </w:r>
      <w:r w:rsidR="00636F93">
        <w:rPr>
          <w:lang w:val="en-GB"/>
        </w:rPr>
        <w:t xml:space="preserve"> (</w:t>
      </w:r>
      <w:proofErr w:type="spellStart"/>
      <w:r w:rsidR="00636F93">
        <w:rPr>
          <w:lang w:val="en-GB"/>
        </w:rPr>
        <w:t>Fath</w:t>
      </w:r>
      <w:proofErr w:type="spellEnd"/>
      <w:r w:rsidR="00636F93">
        <w:rPr>
          <w:lang w:val="en-GB"/>
        </w:rPr>
        <w:t xml:space="preserve"> et al., 2020)</w:t>
      </w:r>
      <w:r w:rsidR="00584941">
        <w:rPr>
          <w:lang w:val="en-GB"/>
        </w:rPr>
        <w:t xml:space="preserve">. </w:t>
      </w:r>
      <w:r w:rsidR="008E4477" w:rsidRPr="008E4477">
        <w:rPr>
          <w:lang w:val="en-GB"/>
        </w:rPr>
        <w:t xml:space="preserve">The </w:t>
      </w:r>
      <w:r w:rsidR="00A11E19">
        <w:rPr>
          <w:lang w:val="en-GB"/>
        </w:rPr>
        <w:t>combination</w:t>
      </w:r>
      <w:r w:rsidR="008E4477" w:rsidRPr="008E4477">
        <w:rPr>
          <w:lang w:val="en-GB"/>
        </w:rPr>
        <w:t xml:space="preserve"> of </w:t>
      </w:r>
      <w:proofErr w:type="spellStart"/>
      <w:r w:rsidR="008E4477" w:rsidRPr="008E4477">
        <w:rPr>
          <w:lang w:val="en-GB"/>
        </w:rPr>
        <w:t>MBDoE</w:t>
      </w:r>
      <w:proofErr w:type="spellEnd"/>
      <w:r w:rsidR="008E4477" w:rsidRPr="008E4477">
        <w:rPr>
          <w:lang w:val="en-GB"/>
        </w:rPr>
        <w:t xml:space="preserve"> </w:t>
      </w:r>
      <w:r w:rsidR="00A11E19">
        <w:rPr>
          <w:lang w:val="en-GB"/>
        </w:rPr>
        <w:t xml:space="preserve">with flow reactors </w:t>
      </w:r>
      <w:r w:rsidR="001E68FB">
        <w:rPr>
          <w:lang w:val="en-GB"/>
        </w:rPr>
        <w:t>supports</w:t>
      </w:r>
      <w:r w:rsidR="001E68FB" w:rsidRPr="008E4477">
        <w:rPr>
          <w:lang w:val="en-GB"/>
        </w:rPr>
        <w:t xml:space="preserve"> </w:t>
      </w:r>
      <w:r w:rsidR="003B51ED" w:rsidRPr="00AF2FB3">
        <w:rPr>
          <w:lang w:val="en-GB"/>
        </w:rPr>
        <w:t>quick development, modification and statistical validation of linear or nonlinear,</w:t>
      </w:r>
      <w:r w:rsidR="003B51ED">
        <w:rPr>
          <w:lang w:val="en-GB"/>
        </w:rPr>
        <w:t xml:space="preserve"> </w:t>
      </w:r>
      <w:r w:rsidR="003B51ED" w:rsidRPr="00AF2FB3">
        <w:rPr>
          <w:lang w:val="en-GB"/>
        </w:rPr>
        <w:t xml:space="preserve">and static or dynamic models. The main benefits of </w:t>
      </w:r>
      <w:proofErr w:type="spellStart"/>
      <w:r w:rsidR="003B51ED" w:rsidRPr="00AF2FB3">
        <w:rPr>
          <w:lang w:val="en-GB"/>
        </w:rPr>
        <w:t>MBDoE</w:t>
      </w:r>
      <w:proofErr w:type="spellEnd"/>
      <w:r w:rsidR="003B51ED" w:rsidRPr="00AF2FB3">
        <w:rPr>
          <w:lang w:val="en-GB"/>
        </w:rPr>
        <w:t xml:space="preserve"> in comparison to statistical</w:t>
      </w:r>
      <w:r w:rsidR="003B51ED">
        <w:rPr>
          <w:lang w:val="en-GB"/>
        </w:rPr>
        <w:t xml:space="preserve"> </w:t>
      </w:r>
      <w:r w:rsidR="003B51ED" w:rsidRPr="00AF2FB3">
        <w:rPr>
          <w:lang w:val="en-GB"/>
        </w:rPr>
        <w:t>design methods are</w:t>
      </w:r>
      <w:r>
        <w:rPr>
          <w:lang w:val="en-GB"/>
        </w:rPr>
        <w:t xml:space="preserve"> the</w:t>
      </w:r>
      <w:r w:rsidR="003B51ED" w:rsidRPr="00AF2FB3">
        <w:rPr>
          <w:lang w:val="en-GB"/>
        </w:rPr>
        <w:t xml:space="preserve"> use of prior model information, </w:t>
      </w:r>
      <w:r>
        <w:rPr>
          <w:lang w:val="en-GB"/>
        </w:rPr>
        <w:t>especially exploiting known model structure,</w:t>
      </w:r>
      <w:r w:rsidR="003B51ED" w:rsidRPr="00AF2FB3">
        <w:rPr>
          <w:lang w:val="en-GB"/>
        </w:rPr>
        <w:t xml:space="preserve"> </w:t>
      </w:r>
      <w:r>
        <w:rPr>
          <w:lang w:val="en-GB"/>
        </w:rPr>
        <w:t>the possible application</w:t>
      </w:r>
      <w:r w:rsidR="003B51ED" w:rsidRPr="00AF2FB3">
        <w:rPr>
          <w:lang w:val="en-GB"/>
        </w:rPr>
        <w:t xml:space="preserve"> </w:t>
      </w:r>
      <w:r>
        <w:rPr>
          <w:lang w:val="en-GB"/>
        </w:rPr>
        <w:t>to</w:t>
      </w:r>
      <w:r w:rsidR="003B51ED" w:rsidRPr="00AF2FB3">
        <w:rPr>
          <w:lang w:val="en-GB"/>
        </w:rPr>
        <w:t xml:space="preserve"> complex systems, </w:t>
      </w:r>
      <w:r>
        <w:rPr>
          <w:lang w:val="en-GB"/>
        </w:rPr>
        <w:t>i.e.</w:t>
      </w:r>
      <w:r w:rsidR="003B51ED" w:rsidRPr="00AF2FB3">
        <w:rPr>
          <w:lang w:val="en-GB"/>
        </w:rPr>
        <w:t xml:space="preserve"> </w:t>
      </w:r>
      <w:r w:rsidR="002B719B">
        <w:rPr>
          <w:lang w:val="en-GB"/>
        </w:rPr>
        <w:t>nonlinear</w:t>
      </w:r>
      <w:r w:rsidR="003B51ED" w:rsidRPr="00AF2FB3">
        <w:rPr>
          <w:lang w:val="en-GB"/>
        </w:rPr>
        <w:t>, dynamic and</w:t>
      </w:r>
      <w:r w:rsidR="003B51ED">
        <w:rPr>
          <w:lang w:val="en-GB"/>
        </w:rPr>
        <w:t xml:space="preserve"> </w:t>
      </w:r>
      <w:r w:rsidR="003B51ED" w:rsidRPr="00AF2FB3">
        <w:rPr>
          <w:lang w:val="en-GB"/>
        </w:rPr>
        <w:t>multi-dimensional systems</w:t>
      </w:r>
      <w:r>
        <w:rPr>
          <w:lang w:val="en-GB"/>
        </w:rPr>
        <w:t>,</w:t>
      </w:r>
      <w:r w:rsidRPr="00AF2FB3">
        <w:rPr>
          <w:lang w:val="en-GB"/>
        </w:rPr>
        <w:t xml:space="preserve"> </w:t>
      </w:r>
      <w:r>
        <w:rPr>
          <w:lang w:val="en-GB"/>
        </w:rPr>
        <w:t>as well as the consideration of different</w:t>
      </w:r>
      <w:r w:rsidR="003B51ED" w:rsidRPr="00AF2FB3">
        <w:rPr>
          <w:lang w:val="en-GB"/>
        </w:rPr>
        <w:t xml:space="preserve"> objective functions</w:t>
      </w:r>
      <w:r>
        <w:rPr>
          <w:lang w:val="en-GB"/>
        </w:rPr>
        <w:t>, e.g. for model discrimination and parameter estimation,</w:t>
      </w:r>
      <w:r w:rsidR="003B51ED" w:rsidRPr="00AF2FB3">
        <w:rPr>
          <w:lang w:val="en-GB"/>
        </w:rPr>
        <w:t xml:space="preserve"> </w:t>
      </w:r>
      <w:r>
        <w:rPr>
          <w:lang w:val="en-GB"/>
        </w:rPr>
        <w:t>which enable</w:t>
      </w:r>
      <w:r w:rsidR="003B51ED" w:rsidRPr="00AF2FB3">
        <w:rPr>
          <w:lang w:val="en-GB"/>
        </w:rPr>
        <w:t xml:space="preserve"> numerical optimisation frameworks</w:t>
      </w:r>
      <w:r w:rsidR="001A6A68">
        <w:rPr>
          <w:lang w:val="en-GB"/>
        </w:rPr>
        <w:t xml:space="preserve"> (Yu, 2018)</w:t>
      </w:r>
      <w:r w:rsidR="003B51ED" w:rsidRPr="00AF2FB3">
        <w:rPr>
          <w:lang w:val="en-GB"/>
        </w:rPr>
        <w:t>.</w:t>
      </w:r>
      <w:r w:rsidR="0011429C">
        <w:rPr>
          <w:lang w:val="en-GB"/>
        </w:rPr>
        <w:t xml:space="preserve"> </w:t>
      </w:r>
      <w:r>
        <w:rPr>
          <w:lang w:val="en-GB"/>
        </w:rPr>
        <w:t xml:space="preserve">In any case, the </w:t>
      </w:r>
      <w:r w:rsidR="00FD6E63">
        <w:rPr>
          <w:lang w:val="en-GB"/>
        </w:rPr>
        <w:t xml:space="preserve">main purpose of </w:t>
      </w:r>
      <w:proofErr w:type="spellStart"/>
      <w:r w:rsidR="00FD6E63">
        <w:rPr>
          <w:lang w:val="en-GB"/>
        </w:rPr>
        <w:t>MBDoE</w:t>
      </w:r>
      <w:proofErr w:type="spellEnd"/>
      <w:r w:rsidR="00FD6E63">
        <w:rPr>
          <w:lang w:val="en-GB"/>
        </w:rPr>
        <w:t xml:space="preserve"> is to optimally design experiment</w:t>
      </w:r>
      <w:r w:rsidR="00644C85">
        <w:rPr>
          <w:lang w:val="en-GB"/>
        </w:rPr>
        <w:t>s</w:t>
      </w:r>
      <w:r w:rsidR="00FD6E63">
        <w:rPr>
          <w:lang w:val="en-GB"/>
        </w:rPr>
        <w:t xml:space="preserve"> that return the highest information </w:t>
      </w:r>
      <w:r>
        <w:rPr>
          <w:lang w:val="en-GB"/>
        </w:rPr>
        <w:t xml:space="preserve">content </w:t>
      </w:r>
      <w:r w:rsidR="00FD6E63">
        <w:rPr>
          <w:lang w:val="en-GB"/>
        </w:rPr>
        <w:t xml:space="preserve">for the identification of </w:t>
      </w:r>
      <w:r>
        <w:rPr>
          <w:lang w:val="en-GB"/>
        </w:rPr>
        <w:t xml:space="preserve">a </w:t>
      </w:r>
      <w:r>
        <w:rPr>
          <w:lang w:val="en-GB"/>
        </w:rPr>
        <w:lastRenderedPageBreak/>
        <w:t xml:space="preserve">suitable </w:t>
      </w:r>
      <w:r w:rsidR="00FD6E63">
        <w:rPr>
          <w:lang w:val="en-GB"/>
        </w:rPr>
        <w:t xml:space="preserve">model. </w:t>
      </w:r>
      <w:r>
        <w:rPr>
          <w:lang w:val="en-GB"/>
        </w:rPr>
        <w:t xml:space="preserve">In the context of reaction kinetics, </w:t>
      </w:r>
      <w:proofErr w:type="spellStart"/>
      <w:r w:rsidR="00FA24B0">
        <w:rPr>
          <w:lang w:val="en-GB"/>
        </w:rPr>
        <w:t>MBDoE</w:t>
      </w:r>
      <w:proofErr w:type="spellEnd"/>
      <w:r w:rsidR="00FA24B0">
        <w:rPr>
          <w:lang w:val="en-GB"/>
        </w:rPr>
        <w:t xml:space="preserve"> is manly appli</w:t>
      </w:r>
      <w:r>
        <w:rPr>
          <w:lang w:val="en-GB"/>
        </w:rPr>
        <w:t>ed</w:t>
      </w:r>
      <w:r w:rsidR="00FA24B0">
        <w:rPr>
          <w:lang w:val="en-GB"/>
        </w:rPr>
        <w:t xml:space="preserve"> for model discrimination and parameter estimation. </w:t>
      </w:r>
      <w:r>
        <w:rPr>
          <w:lang w:val="en-GB"/>
        </w:rPr>
        <w:t>T</w:t>
      </w:r>
      <w:r w:rsidR="00FA24B0">
        <w:rPr>
          <w:lang w:val="en-GB"/>
        </w:rPr>
        <w:t>he aim of model discrimination is to distinguish between different</w:t>
      </w:r>
      <w:r w:rsidR="00FA24B0" w:rsidRPr="00FA24B0">
        <w:rPr>
          <w:lang w:val="en-GB"/>
        </w:rPr>
        <w:t xml:space="preserve"> model structures</w:t>
      </w:r>
      <w:r w:rsidR="00FA24B0">
        <w:rPr>
          <w:lang w:val="en-GB"/>
        </w:rPr>
        <w:t xml:space="preserve"> and select the most suitable model. </w:t>
      </w:r>
      <w:r>
        <w:rPr>
          <w:lang w:val="en-GB"/>
        </w:rPr>
        <w:t>D</w:t>
      </w:r>
      <w:r w:rsidR="00FA24B0">
        <w:rPr>
          <w:lang w:val="en-GB"/>
        </w:rPr>
        <w:t>esign criteria for</w:t>
      </w:r>
      <w:r w:rsidR="00FA2D51">
        <w:rPr>
          <w:lang w:val="en-GB"/>
        </w:rPr>
        <w:t xml:space="preserve"> parameter estimation aim to </w:t>
      </w:r>
      <w:r w:rsidR="009F4F01">
        <w:rPr>
          <w:lang w:val="en-GB"/>
        </w:rPr>
        <w:t>improve the accuracy for</w:t>
      </w:r>
      <w:r w:rsidR="00FA2D51">
        <w:rPr>
          <w:lang w:val="en-GB"/>
        </w:rPr>
        <w:t xml:space="preserve"> the parameter estimation</w:t>
      </w:r>
      <w:r w:rsidR="009F4F01">
        <w:rPr>
          <w:lang w:val="en-GB"/>
        </w:rPr>
        <w:t xml:space="preserve"> of a given model</w:t>
      </w:r>
      <w:r w:rsidR="00FA2D51">
        <w:rPr>
          <w:lang w:val="en-GB"/>
        </w:rPr>
        <w:t xml:space="preserve">. Due to the fact, that </w:t>
      </w:r>
      <w:r w:rsidR="00FA2D51" w:rsidRPr="00AF2FB3">
        <w:rPr>
          <w:lang w:val="en-GB"/>
        </w:rPr>
        <w:t>prior information</w:t>
      </w:r>
      <w:r w:rsidR="00FA2D51">
        <w:rPr>
          <w:lang w:val="en-GB"/>
        </w:rPr>
        <w:t xml:space="preserve"> is given about </w:t>
      </w:r>
      <w:r w:rsidR="00E147A7">
        <w:rPr>
          <w:lang w:val="en-GB"/>
        </w:rPr>
        <w:t xml:space="preserve">the </w:t>
      </w:r>
      <w:r w:rsidR="00FA2D51">
        <w:rPr>
          <w:lang w:val="en-GB"/>
        </w:rPr>
        <w:t>reaction order of the kinetic model to be dealt with in this study, the focus is to design experiments which help to precise the accuracy of the parameter estimation.</w:t>
      </w:r>
      <w:r w:rsidR="00E147A7">
        <w:rPr>
          <w:lang w:val="en-GB"/>
        </w:rPr>
        <w:t xml:space="preserve"> </w:t>
      </w:r>
      <w:r w:rsidR="00C351C1">
        <w:rPr>
          <w:lang w:val="en-GB"/>
        </w:rPr>
        <w:t xml:space="preserve">The objective criteria for designing optimal experiments to improve the parameter estimation is </w:t>
      </w:r>
      <w:r w:rsidR="001266F2">
        <w:rPr>
          <w:lang w:val="en-GB"/>
        </w:rPr>
        <w:t xml:space="preserve">mostly </w:t>
      </w:r>
      <w:r w:rsidR="00C351C1">
        <w:rPr>
          <w:lang w:val="en-GB"/>
        </w:rPr>
        <w:t>based on the Fisher Information Matrix (FIM)</w:t>
      </w:r>
      <w:r w:rsidR="001266F2">
        <w:rPr>
          <w:lang w:val="en-GB"/>
        </w:rPr>
        <w:t>, which</w:t>
      </w:r>
      <w:r w:rsidR="00C351C1" w:rsidRPr="00C4462B">
        <w:rPr>
          <w:lang w:val="en-GB"/>
        </w:rPr>
        <w:t xml:space="preserve"> </w:t>
      </w:r>
      <w:r w:rsidR="00C351C1">
        <w:rPr>
          <w:lang w:val="en-GB"/>
        </w:rPr>
        <w:t xml:space="preserve">is derived from the sensitivity matrix </w:t>
      </w:r>
      <w:proofErr w:type="gramStart"/>
      <w:r w:rsidR="00C351C1">
        <w:rPr>
          <w:lang w:val="en-GB"/>
        </w:rPr>
        <w:t>taking into account</w:t>
      </w:r>
      <w:proofErr w:type="gramEnd"/>
      <w:r w:rsidR="00C351C1">
        <w:rPr>
          <w:lang w:val="en-GB"/>
        </w:rPr>
        <w:t xml:space="preserve"> the partial derivatives of the model response with respect to the model parameter</w:t>
      </w:r>
      <w:r w:rsidR="001266F2">
        <w:rPr>
          <w:lang w:val="en-GB"/>
        </w:rPr>
        <w:t>s</w:t>
      </w:r>
      <w:r w:rsidR="00C351C1">
        <w:rPr>
          <w:lang w:val="en-GB"/>
        </w:rPr>
        <w:t xml:space="preserve">. </w:t>
      </w:r>
      <w:r w:rsidR="001266F2">
        <w:rPr>
          <w:lang w:val="en-GB"/>
        </w:rPr>
        <w:t>In case</w:t>
      </w:r>
      <w:r w:rsidR="001266F2" w:rsidRPr="00C351C1">
        <w:rPr>
          <w:lang w:val="en-GB"/>
        </w:rPr>
        <w:t xml:space="preserve"> </w:t>
      </w:r>
      <w:r w:rsidR="00C351C1" w:rsidRPr="00C351C1">
        <w:rPr>
          <w:lang w:val="en-GB"/>
        </w:rPr>
        <w:t xml:space="preserve">no explicit solution of the derivative is obtainable, </w:t>
      </w:r>
      <w:r w:rsidR="00EB51F2">
        <w:rPr>
          <w:lang w:val="en-GB"/>
        </w:rPr>
        <w:t>t</w:t>
      </w:r>
      <w:r w:rsidR="00C351C1">
        <w:rPr>
          <w:lang w:val="en-GB"/>
        </w:rPr>
        <w:t xml:space="preserve">he parameter sensitives </w:t>
      </w:r>
      <w:r w:rsidR="001266F2">
        <w:rPr>
          <w:lang w:val="en-GB"/>
        </w:rPr>
        <w:t xml:space="preserve">can be </w:t>
      </w:r>
      <w:r w:rsidR="00C351C1">
        <w:rPr>
          <w:lang w:val="en-GB"/>
        </w:rPr>
        <w:t>calculated numerically</w:t>
      </w:r>
      <w:r w:rsidR="001266F2">
        <w:rPr>
          <w:lang w:val="en-GB"/>
        </w:rPr>
        <w:t>, e.g.</w:t>
      </w:r>
      <w:r w:rsidR="00C351C1">
        <w:rPr>
          <w:lang w:val="en-GB"/>
        </w:rPr>
        <w:t xml:space="preserve"> with the complex step approximation</w:t>
      </w:r>
      <w:r w:rsidR="008A22E6">
        <w:rPr>
          <w:lang w:val="en-GB"/>
        </w:rPr>
        <w:t xml:space="preserve"> (</w:t>
      </w:r>
      <w:r w:rsidR="008A22E6">
        <w:t>Martins et al., 2003)</w:t>
      </w:r>
      <w:r w:rsidR="00C351C1">
        <w:rPr>
          <w:lang w:val="en-GB"/>
        </w:rPr>
        <w:t>.</w:t>
      </w:r>
      <w:r w:rsidR="0082579C">
        <w:rPr>
          <w:lang w:val="en-GB"/>
        </w:rPr>
        <w:t xml:space="preserve"> </w:t>
      </w:r>
      <w:r w:rsidR="00761A84" w:rsidRPr="00C50B2F">
        <w:rPr>
          <w:lang w:val="en-GB"/>
        </w:rPr>
        <w:t xml:space="preserve">In </w:t>
      </w:r>
      <w:r w:rsidR="00F212CC" w:rsidRPr="00C50B2F">
        <w:rPr>
          <w:lang w:val="en-GB"/>
        </w:rPr>
        <w:t>th</w:t>
      </w:r>
      <w:r w:rsidR="00F212CC">
        <w:rPr>
          <w:lang w:val="en-GB"/>
        </w:rPr>
        <w:t>e current</w:t>
      </w:r>
      <w:r w:rsidR="00F212CC" w:rsidRPr="00C50B2F">
        <w:rPr>
          <w:lang w:val="en-GB"/>
        </w:rPr>
        <w:t xml:space="preserve"> </w:t>
      </w:r>
      <w:r w:rsidR="00761A84" w:rsidRPr="00C50B2F">
        <w:rPr>
          <w:lang w:val="en-GB"/>
        </w:rPr>
        <w:t xml:space="preserve">work, </w:t>
      </w:r>
      <w:r w:rsidR="00F212CC">
        <w:rPr>
          <w:lang w:val="en-GB"/>
        </w:rPr>
        <w:t xml:space="preserve">a </w:t>
      </w:r>
      <w:proofErr w:type="spellStart"/>
      <w:r w:rsidR="00F212CC">
        <w:rPr>
          <w:lang w:val="en-GB"/>
        </w:rPr>
        <w:t>MBDoE</w:t>
      </w:r>
      <w:proofErr w:type="spellEnd"/>
      <w:r w:rsidR="00F212CC">
        <w:rPr>
          <w:lang w:val="en-GB"/>
        </w:rPr>
        <w:t xml:space="preserve"> based on </w:t>
      </w:r>
      <w:r w:rsidR="00761A84" w:rsidRPr="00C50B2F">
        <w:rPr>
          <w:lang w:val="en-GB"/>
        </w:rPr>
        <w:t xml:space="preserve">the D-optimality </w:t>
      </w:r>
      <w:r w:rsidR="00761A84">
        <w:rPr>
          <w:lang w:val="en-GB"/>
        </w:rPr>
        <w:t xml:space="preserve">criteria is </w:t>
      </w:r>
      <w:r w:rsidR="00F212CC">
        <w:rPr>
          <w:lang w:val="en-GB"/>
        </w:rPr>
        <w:t>applied for parameter estimation, aiming</w:t>
      </w:r>
      <w:r w:rsidR="00761A84" w:rsidRPr="001000CD">
        <w:rPr>
          <w:lang w:val="en-GB"/>
        </w:rPr>
        <w:t xml:space="preserve"> </w:t>
      </w:r>
      <w:r w:rsidR="00761A84">
        <w:rPr>
          <w:lang w:val="en-GB"/>
        </w:rPr>
        <w:t xml:space="preserve">to minimize </w:t>
      </w:r>
      <w:r w:rsidR="00761A84" w:rsidRPr="001000CD">
        <w:rPr>
          <w:lang w:val="en-GB"/>
        </w:rPr>
        <w:t>the volume of the confidence ellipsoid for the estimated parameter errors</w:t>
      </w:r>
      <w:r w:rsidR="00F212CC">
        <w:rPr>
          <w:lang w:val="en-GB"/>
        </w:rPr>
        <w:t>.</w:t>
      </w:r>
    </w:p>
    <w:p w14:paraId="5741900F" w14:textId="0FAB0941" w:rsidR="00453E24" w:rsidRDefault="00E50446" w:rsidP="00453E24">
      <w:pPr>
        <w:pStyle w:val="CETHeading1"/>
      </w:pPr>
      <w:r>
        <w:t xml:space="preserve">Materials and </w:t>
      </w:r>
      <w:r w:rsidR="00463675">
        <w:t>m</w:t>
      </w:r>
      <w:r>
        <w:t>ethods</w:t>
      </w:r>
    </w:p>
    <w:p w14:paraId="0636B784" w14:textId="636A6D22" w:rsidR="00453E24" w:rsidRDefault="00AD2915" w:rsidP="00453E24">
      <w:pPr>
        <w:pStyle w:val="CETheadingx"/>
      </w:pPr>
      <w:r>
        <w:t>ART plate reactor PR37</w:t>
      </w:r>
    </w:p>
    <w:p w14:paraId="529308D0" w14:textId="5BA54A9A" w:rsidR="007C6735" w:rsidRPr="00A76D92" w:rsidRDefault="00BD0929" w:rsidP="00E329B2">
      <w:pPr>
        <w:pStyle w:val="CETBodytext"/>
      </w:pPr>
      <w:r>
        <w:t>In order to combine intensified reactor equipment and experimental design, t</w:t>
      </w:r>
      <w:r w:rsidR="00F212CC" w:rsidRPr="00E329B2">
        <w:t>h</w:t>
      </w:r>
      <w:r w:rsidR="00F212CC">
        <w:t>e current</w:t>
      </w:r>
      <w:r w:rsidR="00F212CC" w:rsidRPr="00E329B2">
        <w:t xml:space="preserve"> </w:t>
      </w:r>
      <w:r w:rsidR="00E329B2" w:rsidRPr="00E329B2">
        <w:t>work focuses on the kinetic investigation of a multi</w:t>
      </w:r>
      <w:r w:rsidR="00781202">
        <w:t>-</w:t>
      </w:r>
      <w:r w:rsidR="00E329B2" w:rsidRPr="00E329B2">
        <w:t xml:space="preserve">step reaction in the ART </w:t>
      </w:r>
      <w:r w:rsidR="00E329B2">
        <w:t xml:space="preserve">plate reactor PR37 from Ehrfeld </w:t>
      </w:r>
      <w:proofErr w:type="spellStart"/>
      <w:r w:rsidR="00E329B2">
        <w:t>Mikrotechnik</w:t>
      </w:r>
      <w:proofErr w:type="spellEnd"/>
      <w:r w:rsidR="00E329B2">
        <w:t xml:space="preserve"> GmbH</w:t>
      </w:r>
      <w:r w:rsidR="00F212CC">
        <w:t>,</w:t>
      </w:r>
      <w:r w:rsidR="00E329B2">
        <w:t xml:space="preserve"> which is designed as </w:t>
      </w:r>
      <w:r w:rsidR="00F212CC">
        <w:t xml:space="preserve">an </w:t>
      </w:r>
      <w:r w:rsidR="00E329B2">
        <w:t>integrated heat exchanger and reactor.</w:t>
      </w:r>
      <w:r w:rsidR="007C6735">
        <w:t xml:space="preserve"> </w:t>
      </w:r>
      <w:r w:rsidR="007D36AF" w:rsidRPr="007D36AF">
        <w:t>The ART PR37 has a modular design and can integrate up to 10 reactor plates.</w:t>
      </w:r>
      <w:r w:rsidR="007D36AF">
        <w:t xml:space="preserve"> The process channel is characterized by a </w:t>
      </w:r>
      <w:r w:rsidR="007D36AF" w:rsidRPr="007D36AF">
        <w:t>meandering, periodically diverging/</w:t>
      </w:r>
      <w:r w:rsidR="007D36AF">
        <w:t xml:space="preserve"> </w:t>
      </w:r>
      <w:r w:rsidR="007D36AF" w:rsidRPr="007D36AF">
        <w:t>converging</w:t>
      </w:r>
      <w:r w:rsidR="007D36AF">
        <w:t xml:space="preserve"> structure which </w:t>
      </w:r>
      <w:r w:rsidR="007D36AF" w:rsidRPr="007D36AF">
        <w:t>promote</w:t>
      </w:r>
      <w:r w:rsidR="007D36AF">
        <w:t>s</w:t>
      </w:r>
      <w:r w:rsidR="007D36AF" w:rsidRPr="007D36AF">
        <w:t xml:space="preserve"> the formation of secondary flows</w:t>
      </w:r>
      <w:r w:rsidR="007D36AF">
        <w:t xml:space="preserve"> leading </w:t>
      </w:r>
      <w:r w:rsidR="00C01732">
        <w:t>to</w:t>
      </w:r>
      <w:r w:rsidR="00C32DDD">
        <w:t xml:space="preserve"> an intensification of transport processes</w:t>
      </w:r>
      <w:r w:rsidR="007D36AF">
        <w:t>.</w:t>
      </w:r>
      <w:r w:rsidR="00C32DDD">
        <w:t xml:space="preserve"> </w:t>
      </w:r>
      <w:r w:rsidR="00C32DDD" w:rsidRPr="00C32DDD">
        <w:t xml:space="preserve">The </w:t>
      </w:r>
      <w:r w:rsidR="00C32DDD">
        <w:t>u</w:t>
      </w:r>
      <w:r w:rsidR="00C32DDD" w:rsidRPr="00C32DDD">
        <w:t xml:space="preserve">tility </w:t>
      </w:r>
      <w:r w:rsidR="00C32DDD">
        <w:t>channel</w:t>
      </w:r>
      <w:r w:rsidR="00C32DDD" w:rsidRPr="00C32DDD">
        <w:t xml:space="preserve"> is located below and contains</w:t>
      </w:r>
      <w:r w:rsidR="00C32DDD">
        <w:t xml:space="preserve"> a tubular grid </w:t>
      </w:r>
      <w:r w:rsidR="00C32DDD" w:rsidRPr="00C32DDD">
        <w:t>that improves the cross-mixing of the tempering medium and thus the heat transfer.</w:t>
      </w:r>
      <w:r w:rsidR="00C32DDD">
        <w:t xml:space="preserve"> </w:t>
      </w:r>
      <w:r w:rsidR="00232723">
        <w:t>Four different type of plates are available (PL37-08, PL37-3, PL37-6 and PL37-12) which have similar geometry and only differ in the depth of the process channel</w:t>
      </w:r>
      <w:r w:rsidR="00F212CC">
        <w:t xml:space="preserve"> and the respective </w:t>
      </w:r>
      <w:r w:rsidR="00EA3CBA">
        <w:t>cross-sectional</w:t>
      </w:r>
      <w:r w:rsidR="00F212CC">
        <w:t xml:space="preserve"> area</w:t>
      </w:r>
      <w:r w:rsidR="00232723">
        <w:t>.</w:t>
      </w:r>
      <w:r w:rsidR="002E47D0">
        <w:t xml:space="preserve"> This allows a straight forward scale-up of the process</w:t>
      </w:r>
      <w:r w:rsidR="00F212CC">
        <w:t>,</w:t>
      </w:r>
      <w:r w:rsidR="002E47D0">
        <w:t xml:space="preserve"> which is</w:t>
      </w:r>
      <w:r w:rsidR="002F2099" w:rsidRPr="002F2099">
        <w:t xml:space="preserve"> </w:t>
      </w:r>
      <w:r w:rsidR="002F2099">
        <w:t>even</w:t>
      </w:r>
      <w:r w:rsidR="002E47D0">
        <w:t xml:space="preserve"> transferable to the production scale ART plate reactor PR49</w:t>
      </w:r>
      <w:r w:rsidR="003E3242">
        <w:t xml:space="preserve"> (Rave et al., 2019)</w:t>
      </w:r>
      <w:r w:rsidR="002E47D0">
        <w:t>.</w:t>
      </w:r>
      <w:r w:rsidR="007C6735">
        <w:t xml:space="preserve"> </w:t>
      </w:r>
      <w:r w:rsidR="00A82B92">
        <w:t xml:space="preserve">The reactor plates are stacked up in a frame and braced by tension rods. </w:t>
      </w:r>
      <w:r w:rsidR="00A82B92" w:rsidRPr="004A2705">
        <w:t>Due to its robust design</w:t>
      </w:r>
      <w:r w:rsidR="00A82B92">
        <w:t xml:space="preserve"> made </w:t>
      </w:r>
      <w:r w:rsidR="00232723">
        <w:t xml:space="preserve">of </w:t>
      </w:r>
      <w:r w:rsidR="00A82B92">
        <w:t>stainless steel (SS 316 L)</w:t>
      </w:r>
      <w:r w:rsidR="00F212CC">
        <w:t xml:space="preserve"> or Hastelloy (C-22)</w:t>
      </w:r>
      <w:r w:rsidR="00A82B92">
        <w:t xml:space="preserve">, </w:t>
      </w:r>
      <w:r w:rsidR="00A82B92" w:rsidRPr="004A2705">
        <w:t>the reactor is suitable for</w:t>
      </w:r>
      <w:r w:rsidR="00A82B92">
        <w:t xml:space="preserve"> </w:t>
      </w:r>
      <w:r w:rsidR="00F212CC">
        <w:t xml:space="preserve">the processing of aggressive media with </w:t>
      </w:r>
      <w:r w:rsidR="00A82B92">
        <w:t>pressures up to 20 bar on the process side and to 10 bar on the utility side</w:t>
      </w:r>
      <w:r w:rsidR="00F212CC">
        <w:t xml:space="preserve">, </w:t>
      </w:r>
      <w:r w:rsidR="00061497">
        <w:t>as well as</w:t>
      </w:r>
      <w:r w:rsidR="001831C5" w:rsidRPr="001831C5">
        <w:t xml:space="preserve"> temperature</w:t>
      </w:r>
      <w:r w:rsidR="00F212CC">
        <w:t>s</w:t>
      </w:r>
      <w:r w:rsidR="001831C5" w:rsidRPr="001831C5">
        <w:t xml:space="preserve"> </w:t>
      </w:r>
      <w:r w:rsidR="00F212CC">
        <w:t>between</w:t>
      </w:r>
      <w:r w:rsidR="001831C5" w:rsidRPr="001831C5">
        <w:t xml:space="preserve"> -60 </w:t>
      </w:r>
      <w:r w:rsidR="00F212CC">
        <w:t>and</w:t>
      </w:r>
      <w:r w:rsidR="00F212CC" w:rsidRPr="001831C5">
        <w:t xml:space="preserve"> </w:t>
      </w:r>
      <w:r w:rsidR="001831C5" w:rsidRPr="001831C5">
        <w:t>200</w:t>
      </w:r>
      <w:r w:rsidR="007A086A">
        <w:t> </w:t>
      </w:r>
      <w:r w:rsidR="001831C5" w:rsidRPr="001831C5">
        <w:t>°C.</w:t>
      </w:r>
      <w:r w:rsidR="007C6735">
        <w:t xml:space="preserve"> </w:t>
      </w:r>
      <w:r w:rsidR="0006121D">
        <w:t>The reactor has been investigated systematically in terms of heat and mass transfer</w:t>
      </w:r>
      <w:r w:rsidR="00403A46">
        <w:t>, demonstrating</w:t>
      </w:r>
      <w:r w:rsidR="003148FE">
        <w:t xml:space="preserve"> </w:t>
      </w:r>
      <w:r w:rsidR="00AC5B90">
        <w:t>high</w:t>
      </w:r>
      <w:r w:rsidR="003148FE">
        <w:t xml:space="preserve"> heat transfer </w:t>
      </w:r>
      <w:r w:rsidR="00AC5B90">
        <w:t>coefficients of about 5 kW m</w:t>
      </w:r>
      <w:r w:rsidR="00AC5B90" w:rsidRPr="00AC5B90">
        <w:rPr>
          <w:vertAlign w:val="superscript"/>
        </w:rPr>
        <w:t>-2</w:t>
      </w:r>
      <w:r w:rsidR="00AC5B90">
        <w:t> K</w:t>
      </w:r>
      <w:r w:rsidR="00AC5B90" w:rsidRPr="00AC5B90">
        <w:rPr>
          <w:vertAlign w:val="superscript"/>
        </w:rPr>
        <w:t>-1</w:t>
      </w:r>
      <w:r w:rsidR="00AC5B90" w:rsidRPr="00AC5B90">
        <w:t xml:space="preserve"> </w:t>
      </w:r>
      <w:r w:rsidR="00AC5B90">
        <w:t>at moderate Reynolds numbers</w:t>
      </w:r>
      <w:r w:rsidR="00403A46">
        <w:t xml:space="preserve"> (Rave et al., 2020) and</w:t>
      </w:r>
      <w:r w:rsidR="00AC5B90">
        <w:t xml:space="preserve"> </w:t>
      </w:r>
      <w:proofErr w:type="spellStart"/>
      <w:r w:rsidR="009A0927">
        <w:t>micro</w:t>
      </w:r>
      <w:r w:rsidR="00AC5B90">
        <w:t>mixing</w:t>
      </w:r>
      <w:proofErr w:type="spellEnd"/>
      <w:r w:rsidR="00AC5B90">
        <w:t xml:space="preserve"> times below 0,1 s for Reynolds number</w:t>
      </w:r>
      <w:r w:rsidR="00403A46">
        <w:t>s</w:t>
      </w:r>
      <w:r w:rsidR="00AC5B90">
        <w:t xml:space="preserve"> higher 150 </w:t>
      </w:r>
      <w:r w:rsidR="00403A46">
        <w:t xml:space="preserve">(Rave et al., 2022). This demonstrates </w:t>
      </w:r>
      <w:r w:rsidR="00403A46" w:rsidRPr="00AC5B90">
        <w:t xml:space="preserve">the excellent suitability of the ART reactor for </w:t>
      </w:r>
      <w:r w:rsidR="00403A46">
        <w:t xml:space="preserve">strongly </w:t>
      </w:r>
      <w:r w:rsidR="00403A46" w:rsidRPr="00AC5B90">
        <w:t>exothermic reactions</w:t>
      </w:r>
      <w:r w:rsidR="00403A46">
        <w:t xml:space="preserve"> and </w:t>
      </w:r>
      <w:r w:rsidR="00AC5B90">
        <w:t>fast, mixing-sensitive reactions.</w:t>
      </w:r>
      <w:r w:rsidR="007C6735">
        <w:t xml:space="preserve"> </w:t>
      </w:r>
      <w:r w:rsidR="0051187F">
        <w:t>Moreover, it was found, that narrow residence time distributions close to an ideal plug flow are achieved for Reynolds number</w:t>
      </w:r>
      <w:r>
        <w:t>s</w:t>
      </w:r>
      <w:r w:rsidR="0051187F">
        <w:t xml:space="preserve"> </w:t>
      </w:r>
      <w:r>
        <w:t xml:space="preserve">above </w:t>
      </w:r>
      <w:r w:rsidR="0051187F">
        <w:t>100</w:t>
      </w:r>
      <w:r w:rsidR="00323DE3">
        <w:t xml:space="preserve"> (Schaare et al., 2021)</w:t>
      </w:r>
      <w:r w:rsidR="00F67AA0">
        <w:t>,</w:t>
      </w:r>
      <w:r w:rsidR="00403A46">
        <w:t xml:space="preserve"> </w:t>
      </w:r>
      <w:r w:rsidR="00F67AA0">
        <w:t xml:space="preserve">providing the </w:t>
      </w:r>
      <w:r w:rsidR="00403A46">
        <w:t xml:space="preserve">basis </w:t>
      </w:r>
      <w:r w:rsidR="0051187F">
        <w:t xml:space="preserve">for the kinetic </w:t>
      </w:r>
      <w:r w:rsidR="00024B9D">
        <w:t>study in this work</w:t>
      </w:r>
      <w:r w:rsidR="0051187F">
        <w:t xml:space="preserve">. </w:t>
      </w:r>
    </w:p>
    <w:p w14:paraId="73804587" w14:textId="23F8B57D" w:rsidR="00464F20" w:rsidRDefault="008C4310" w:rsidP="00464F20">
      <w:pPr>
        <w:pStyle w:val="CETheadingx"/>
      </w:pPr>
      <w:r>
        <w:t>Reaction system</w:t>
      </w:r>
    </w:p>
    <w:p w14:paraId="5B0BD5C7" w14:textId="0D6BD78C" w:rsidR="00BC692F" w:rsidRDefault="00403A46" w:rsidP="00BC692F">
      <w:pPr>
        <w:pStyle w:val="CETBodytext"/>
        <w:rPr>
          <w:lang w:val="en-GB"/>
        </w:rPr>
      </w:pPr>
      <w:r>
        <w:rPr>
          <w:lang w:val="en-GB"/>
        </w:rPr>
        <w:t xml:space="preserve">In order to analyse the proposed combination of the milli-structured plate reactor and </w:t>
      </w:r>
      <w:proofErr w:type="spellStart"/>
      <w:r>
        <w:rPr>
          <w:lang w:val="en-GB"/>
        </w:rPr>
        <w:t>MBDoE</w:t>
      </w:r>
      <w:proofErr w:type="spellEnd"/>
      <w:r w:rsidR="00EA3CBA">
        <w:rPr>
          <w:lang w:val="en-GB"/>
        </w:rPr>
        <w:t>,</w:t>
      </w:r>
      <w:r w:rsidR="004C26F4">
        <w:rPr>
          <w:lang w:val="en-GB"/>
        </w:rPr>
        <w:t xml:space="preserve"> kinetic studies </w:t>
      </w:r>
      <w:r w:rsidR="009E5FFD">
        <w:rPr>
          <w:lang w:val="en-GB"/>
        </w:rPr>
        <w:t>are</w:t>
      </w:r>
      <w:r>
        <w:rPr>
          <w:lang w:val="en-GB"/>
        </w:rPr>
        <w:t xml:space="preserve"> performed </w:t>
      </w:r>
      <w:r w:rsidR="004C26F4">
        <w:rPr>
          <w:lang w:val="en-GB"/>
        </w:rPr>
        <w:t xml:space="preserve">in the ART PR37 </w:t>
      </w:r>
      <w:r>
        <w:rPr>
          <w:lang w:val="en-GB"/>
        </w:rPr>
        <w:t xml:space="preserve">for </w:t>
      </w:r>
      <w:r w:rsidR="00BC692F">
        <w:rPr>
          <w:lang w:val="en-GB"/>
        </w:rPr>
        <w:t xml:space="preserve">the </w:t>
      </w:r>
      <w:r w:rsidR="00BC692F" w:rsidRPr="00E10E82">
        <w:rPr>
          <w:lang w:val="en-GB"/>
        </w:rPr>
        <w:t>nucleophilic aromatic substitution reaction</w:t>
      </w:r>
      <w:r w:rsidR="00BC692F">
        <w:rPr>
          <w:lang w:val="en-GB"/>
        </w:rPr>
        <w:t xml:space="preserve"> </w:t>
      </w:r>
      <w:r w:rsidR="00BC692F" w:rsidRPr="00E10E82">
        <w:rPr>
          <w:lang w:val="en-GB"/>
        </w:rPr>
        <w:t>(</w:t>
      </w:r>
      <w:proofErr w:type="spellStart"/>
      <w:r w:rsidR="00BC692F" w:rsidRPr="00E10E82">
        <w:rPr>
          <w:lang w:val="en-GB"/>
        </w:rPr>
        <w:t>S</w:t>
      </w:r>
      <w:r w:rsidR="00BC692F" w:rsidRPr="00E10E82">
        <w:rPr>
          <w:vertAlign w:val="subscript"/>
          <w:lang w:val="en-GB"/>
        </w:rPr>
        <w:t>N</w:t>
      </w:r>
      <w:r w:rsidR="00BC692F" w:rsidRPr="00E10E82">
        <w:rPr>
          <w:lang w:val="en-GB"/>
        </w:rPr>
        <w:t>Ar</w:t>
      </w:r>
      <w:proofErr w:type="spellEnd"/>
      <w:r w:rsidR="00BC692F" w:rsidRPr="00E10E82">
        <w:rPr>
          <w:lang w:val="en-GB"/>
        </w:rPr>
        <w:t xml:space="preserve"> reaction)</w:t>
      </w:r>
      <w:r w:rsidR="00BC692F">
        <w:rPr>
          <w:lang w:val="en-GB"/>
        </w:rPr>
        <w:t xml:space="preserve"> between </w:t>
      </w:r>
      <w:r w:rsidR="00BC692F" w:rsidRPr="00DB1134">
        <w:rPr>
          <w:lang w:val="en-GB"/>
        </w:rPr>
        <w:t>2,4-difluoronitrobenzene (component 1) with pyrrolidine (component 2) in ethano</w:t>
      </w:r>
      <w:r w:rsidR="00BC692F">
        <w:rPr>
          <w:lang w:val="en-GB"/>
        </w:rPr>
        <w:t xml:space="preserve">l. </w:t>
      </w:r>
      <w:r>
        <w:rPr>
          <w:lang w:val="en-GB"/>
        </w:rPr>
        <w:t xml:space="preserve">This </w:t>
      </w:r>
      <w:r w:rsidR="00BC692F">
        <w:rPr>
          <w:lang w:val="en-GB"/>
        </w:rPr>
        <w:t xml:space="preserve">multistep reaction consists of two parallel and consecutive reactions. The reaction scheme is shown in </w:t>
      </w:r>
      <w:r w:rsidR="00682868">
        <w:rPr>
          <w:lang w:val="en-GB"/>
        </w:rPr>
        <w:t>F</w:t>
      </w:r>
      <w:r w:rsidR="00BC692F">
        <w:rPr>
          <w:lang w:val="en-GB"/>
        </w:rPr>
        <w:t>igure 1.</w:t>
      </w:r>
    </w:p>
    <w:p w14:paraId="70152050" w14:textId="77777777" w:rsidR="00BC692F" w:rsidRDefault="00BC692F" w:rsidP="00AF61D7">
      <w:pPr>
        <w:pStyle w:val="CETBodytext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66EABB9F" wp14:editId="562C9E66">
            <wp:extent cx="3398807" cy="1180435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485" cy="119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81EA" w14:textId="77777777" w:rsidR="00BC692F" w:rsidRDefault="00BC692F" w:rsidP="00822C40">
      <w:pPr>
        <w:pStyle w:val="CETCaption"/>
        <w:spacing w:before="120" w:after="120"/>
      </w:pPr>
      <w:r w:rsidRPr="00BD077D">
        <w:rPr>
          <w:rStyle w:val="CETCaptionCarattere"/>
          <w:i/>
        </w:rPr>
        <w:t xml:space="preserve">Figure 1: </w:t>
      </w:r>
      <w:r>
        <w:rPr>
          <w:rStyle w:val="CETCaptionCarattere"/>
          <w:i/>
        </w:rPr>
        <w:t>N</w:t>
      </w:r>
      <w:r w:rsidRPr="004B4D56">
        <w:rPr>
          <w:rStyle w:val="CETCaptionCarattere"/>
          <w:i/>
        </w:rPr>
        <w:t xml:space="preserve">ucleophilic aromatic substitution reaction </w:t>
      </w:r>
      <w:r>
        <w:rPr>
          <w:rStyle w:val="CETCaptionCarattere"/>
          <w:i/>
        </w:rPr>
        <w:t>of 2,4-difluoronitrobenzene (1) with pyrrolidine (2).</w:t>
      </w:r>
      <w:r w:rsidRPr="00BD077D">
        <w:t xml:space="preserve"> </w:t>
      </w:r>
    </w:p>
    <w:p w14:paraId="0336B69F" w14:textId="4308A253" w:rsidR="00C733EC" w:rsidRDefault="00C733EC" w:rsidP="0077615C">
      <w:pPr>
        <w:pStyle w:val="CETBodytext"/>
        <w:rPr>
          <w:lang w:val="en-GB"/>
        </w:rPr>
      </w:pPr>
      <w:r w:rsidRPr="00C733EC">
        <w:rPr>
          <w:lang w:val="en-GB"/>
        </w:rPr>
        <w:t xml:space="preserve">During the reaction, the fluorine atoms of the 2,4-diflouronitrobenzene </w:t>
      </w:r>
      <w:r w:rsidR="00EA3CBA">
        <w:rPr>
          <w:lang w:val="en-GB"/>
        </w:rPr>
        <w:t xml:space="preserve">(1) </w:t>
      </w:r>
      <w:r w:rsidRPr="00C733EC">
        <w:rPr>
          <w:lang w:val="en-GB"/>
        </w:rPr>
        <w:t>are substituted by pyrrolidine</w:t>
      </w:r>
      <w:r w:rsidR="00EA3CBA">
        <w:rPr>
          <w:lang w:val="en-GB"/>
        </w:rPr>
        <w:t xml:space="preserve"> (2)</w:t>
      </w:r>
      <w:r w:rsidRPr="00C733EC">
        <w:rPr>
          <w:lang w:val="en-GB"/>
        </w:rPr>
        <w:t xml:space="preserve"> form</w:t>
      </w:r>
      <w:r>
        <w:rPr>
          <w:lang w:val="en-GB"/>
        </w:rPr>
        <w:t>ing</w:t>
      </w:r>
      <w:r w:rsidRPr="00C733EC">
        <w:rPr>
          <w:lang w:val="en-GB"/>
        </w:rPr>
        <w:t xml:space="preserve"> hydrogen fluoride</w:t>
      </w:r>
      <w:r>
        <w:rPr>
          <w:lang w:val="en-GB"/>
        </w:rPr>
        <w:t xml:space="preserve"> as side product</w:t>
      </w:r>
      <w:r w:rsidRPr="00C733EC">
        <w:rPr>
          <w:lang w:val="en-GB"/>
        </w:rPr>
        <w:t xml:space="preserve">. </w:t>
      </w:r>
      <w:r>
        <w:rPr>
          <w:lang w:val="en-GB"/>
        </w:rPr>
        <w:t xml:space="preserve">In the first substitution steps, ortho- </w:t>
      </w:r>
      <w:r w:rsidR="00EA3CBA">
        <w:rPr>
          <w:lang w:val="en-GB"/>
        </w:rPr>
        <w:t xml:space="preserve">(3) </w:t>
      </w:r>
      <w:r>
        <w:rPr>
          <w:lang w:val="en-GB"/>
        </w:rPr>
        <w:t xml:space="preserve">and para-substituted </w:t>
      </w:r>
      <w:r w:rsidR="00EA3CBA">
        <w:rPr>
          <w:lang w:val="en-GB"/>
        </w:rPr>
        <w:t xml:space="preserve">(4) </w:t>
      </w:r>
      <w:r>
        <w:rPr>
          <w:lang w:val="en-GB"/>
        </w:rPr>
        <w:t>intermediates are formed, which react in another substitution of pyrrolidine to the final bi-substituted product</w:t>
      </w:r>
      <w:r w:rsidR="008E35E5">
        <w:rPr>
          <w:lang w:val="en-GB"/>
        </w:rPr>
        <w:t xml:space="preserve"> (5)</w:t>
      </w:r>
      <w:r>
        <w:rPr>
          <w:lang w:val="en-GB"/>
        </w:rPr>
        <w:t xml:space="preserve">. </w:t>
      </w:r>
      <w:r w:rsidRPr="008850C1">
        <w:rPr>
          <w:lang w:val="en-GB"/>
        </w:rPr>
        <w:t>According to the kinetic investigations of H</w:t>
      </w:r>
      <w:r w:rsidR="00F44971">
        <w:rPr>
          <w:lang w:val="en-GB"/>
        </w:rPr>
        <w:t>one</w:t>
      </w:r>
      <w:r w:rsidRPr="008850C1">
        <w:rPr>
          <w:lang w:val="en-GB"/>
        </w:rPr>
        <w:t xml:space="preserve"> et al</w:t>
      </w:r>
      <w:r>
        <w:rPr>
          <w:lang w:val="en-GB"/>
        </w:rPr>
        <w:t>.</w:t>
      </w:r>
      <w:r w:rsidRPr="008850C1">
        <w:rPr>
          <w:lang w:val="en-GB"/>
        </w:rPr>
        <w:t xml:space="preserve"> </w:t>
      </w:r>
      <w:r w:rsidR="00F44971">
        <w:rPr>
          <w:lang w:val="en-GB"/>
        </w:rPr>
        <w:t>(2017)</w:t>
      </w:r>
      <w:r w:rsidRPr="008850C1">
        <w:rPr>
          <w:lang w:val="en-GB"/>
        </w:rPr>
        <w:t xml:space="preserve">, </w:t>
      </w:r>
      <w:r>
        <w:rPr>
          <w:lang w:val="en-GB"/>
        </w:rPr>
        <w:t xml:space="preserve">all four reaction steps of the </w:t>
      </w:r>
      <w:proofErr w:type="spellStart"/>
      <w:r w:rsidRPr="00E10E82">
        <w:rPr>
          <w:lang w:val="en-GB"/>
        </w:rPr>
        <w:t>S</w:t>
      </w:r>
      <w:r w:rsidRPr="00E10E82">
        <w:rPr>
          <w:vertAlign w:val="subscript"/>
          <w:lang w:val="en-GB"/>
        </w:rPr>
        <w:t>N</w:t>
      </w:r>
      <w:r w:rsidRPr="00E10E82">
        <w:rPr>
          <w:lang w:val="en-GB"/>
        </w:rPr>
        <w:t>Ar</w:t>
      </w:r>
      <w:proofErr w:type="spellEnd"/>
      <w:r w:rsidRPr="00E10E82">
        <w:rPr>
          <w:lang w:val="en-GB"/>
        </w:rPr>
        <w:t xml:space="preserve"> reaction</w:t>
      </w:r>
      <w:r>
        <w:rPr>
          <w:lang w:val="en-GB"/>
        </w:rPr>
        <w:t xml:space="preserve"> can be assumed as second order kinetic</w:t>
      </w:r>
      <w:r w:rsidR="00403A46">
        <w:rPr>
          <w:lang w:val="en-GB"/>
        </w:rPr>
        <w:t>s</w:t>
      </w:r>
      <w:r>
        <w:rPr>
          <w:lang w:val="en-GB"/>
        </w:rPr>
        <w:t xml:space="preserve">. </w:t>
      </w:r>
      <w:r w:rsidR="00403A46">
        <w:rPr>
          <w:lang w:val="en-GB"/>
        </w:rPr>
        <w:t xml:space="preserve">Based on the previous characterization of the ART reactor </w:t>
      </w:r>
      <w:r w:rsidR="00403A46">
        <w:t>(Rave et al., 2022)</w:t>
      </w:r>
      <w:r w:rsidR="008E35E5">
        <w:t>,</w:t>
      </w:r>
      <w:r w:rsidR="00403A46" w:rsidRPr="00106C42">
        <w:rPr>
          <w:lang w:val="en-GB"/>
        </w:rPr>
        <w:t xml:space="preserve"> </w:t>
      </w:r>
      <w:r w:rsidRPr="00106C42">
        <w:rPr>
          <w:lang w:val="en-GB"/>
        </w:rPr>
        <w:t xml:space="preserve">an ideal plug flow can be assumed </w:t>
      </w:r>
      <w:r w:rsidR="00403A46">
        <w:rPr>
          <w:lang w:val="en-GB"/>
        </w:rPr>
        <w:t>for the reactor in the considered operating window allowing for a direct modelling of the reaction kinetics</w:t>
      </w:r>
      <w:r w:rsidRPr="00106C42">
        <w:rPr>
          <w:lang w:val="en-GB"/>
        </w:rPr>
        <w:t>.</w:t>
      </w:r>
      <w:r>
        <w:rPr>
          <w:lang w:val="en-GB"/>
        </w:rPr>
        <w:t xml:space="preserve"> </w:t>
      </w:r>
    </w:p>
    <w:p w14:paraId="0EA08603" w14:textId="6FB90DEF" w:rsidR="00BC692F" w:rsidRDefault="004C26F4" w:rsidP="00453E24">
      <w:pPr>
        <w:pStyle w:val="CETBodytext"/>
      </w:pPr>
      <w:r>
        <w:rPr>
          <w:lang w:val="en-GB"/>
        </w:rPr>
        <w:lastRenderedPageBreak/>
        <w:t xml:space="preserve">The two reactants </w:t>
      </w:r>
      <w:r w:rsidR="0077615C" w:rsidRPr="0077615C">
        <w:rPr>
          <w:lang w:val="en-GB"/>
        </w:rPr>
        <w:t>2,4-difluoronitrobenzene (</w:t>
      </w:r>
      <w:r w:rsidR="00010831">
        <w:rPr>
          <w:lang w:val="en-GB"/>
        </w:rPr>
        <w:t>99</w:t>
      </w:r>
      <w:r w:rsidR="005D1ED4">
        <w:rPr>
          <w:lang w:val="en-GB"/>
        </w:rPr>
        <w:t>%</w:t>
      </w:r>
      <w:r w:rsidR="0077615C" w:rsidRPr="0077615C">
        <w:rPr>
          <w:lang w:val="en-GB"/>
        </w:rPr>
        <w:t>) and pyrrolidine (</w:t>
      </w:r>
      <w:r w:rsidR="00010831">
        <w:rPr>
          <w:lang w:val="en-GB"/>
        </w:rPr>
        <w:t>99</w:t>
      </w:r>
      <w:r w:rsidR="005D1ED4">
        <w:rPr>
          <w:lang w:val="en-GB"/>
        </w:rPr>
        <w:t>%</w:t>
      </w:r>
      <w:r w:rsidR="0077615C" w:rsidRPr="0077615C">
        <w:rPr>
          <w:lang w:val="en-GB"/>
        </w:rPr>
        <w:t xml:space="preserve">) </w:t>
      </w:r>
      <w:r w:rsidR="009E5FFD">
        <w:rPr>
          <w:lang w:val="en-GB"/>
        </w:rPr>
        <w:t>are</w:t>
      </w:r>
      <w:r w:rsidR="006F1A64">
        <w:rPr>
          <w:lang w:val="en-GB"/>
        </w:rPr>
        <w:t xml:space="preserve"> </w:t>
      </w:r>
      <w:r>
        <w:rPr>
          <w:lang w:val="en-GB"/>
        </w:rPr>
        <w:t xml:space="preserve">purchased from </w:t>
      </w:r>
      <w:r w:rsidR="00677D39" w:rsidRPr="00677D39">
        <w:rPr>
          <w:lang w:val="en-GB"/>
        </w:rPr>
        <w:t>Sigma-Aldrich</w:t>
      </w:r>
      <w:r w:rsidR="00677D39">
        <w:rPr>
          <w:lang w:val="en-GB"/>
        </w:rPr>
        <w:t xml:space="preserve"> as well as the base triethylamine </w:t>
      </w:r>
      <w:r w:rsidR="00010831">
        <w:rPr>
          <w:lang w:val="en-GB"/>
        </w:rPr>
        <w:t>(99,5</w:t>
      </w:r>
      <w:r w:rsidR="005D1ED4">
        <w:rPr>
          <w:lang w:val="en-GB"/>
        </w:rPr>
        <w:t>%</w:t>
      </w:r>
      <w:r w:rsidR="00010831">
        <w:rPr>
          <w:lang w:val="en-GB"/>
        </w:rPr>
        <w:t xml:space="preserve">) </w:t>
      </w:r>
      <w:r w:rsidR="00677D39">
        <w:rPr>
          <w:lang w:val="en-GB"/>
        </w:rPr>
        <w:t xml:space="preserve">and the internal standard for the HPLC-analysis </w:t>
      </w:r>
      <w:proofErr w:type="gramStart"/>
      <w:r w:rsidR="00677D39" w:rsidRPr="00677D39">
        <w:rPr>
          <w:lang w:val="en-GB"/>
        </w:rPr>
        <w:t>N,N</w:t>
      </w:r>
      <w:proofErr w:type="gramEnd"/>
      <w:r w:rsidR="00677D39" w:rsidRPr="00677D39">
        <w:rPr>
          <w:lang w:val="en-GB"/>
        </w:rPr>
        <w:t>-</w:t>
      </w:r>
      <w:proofErr w:type="spellStart"/>
      <w:r w:rsidR="00677D39" w:rsidRPr="00677D39">
        <w:rPr>
          <w:lang w:val="en-GB"/>
        </w:rPr>
        <w:t>dimethylbenzamide</w:t>
      </w:r>
      <w:proofErr w:type="spellEnd"/>
      <w:r w:rsidR="00010831">
        <w:rPr>
          <w:lang w:val="en-GB"/>
        </w:rPr>
        <w:t xml:space="preserve"> (99</w:t>
      </w:r>
      <w:r w:rsidR="005D1ED4">
        <w:rPr>
          <w:lang w:val="en-GB"/>
        </w:rPr>
        <w:t>%</w:t>
      </w:r>
      <w:r w:rsidR="00010831">
        <w:rPr>
          <w:lang w:val="en-GB"/>
        </w:rPr>
        <w:t>)</w:t>
      </w:r>
      <w:r w:rsidR="00677D39">
        <w:rPr>
          <w:lang w:val="en-GB"/>
        </w:rPr>
        <w:t xml:space="preserve">. </w:t>
      </w:r>
      <w:r w:rsidR="007A1F4B">
        <w:rPr>
          <w:lang w:val="en-GB"/>
        </w:rPr>
        <w:t>The solvent e</w:t>
      </w:r>
      <w:r w:rsidR="00677D39">
        <w:rPr>
          <w:lang w:val="en-GB"/>
        </w:rPr>
        <w:t>thanol (99,8</w:t>
      </w:r>
      <w:r w:rsidR="005D1ED4">
        <w:rPr>
          <w:lang w:val="en-GB"/>
        </w:rPr>
        <w:t>%</w:t>
      </w:r>
      <w:r w:rsidR="00677D39">
        <w:rPr>
          <w:lang w:val="en-GB"/>
        </w:rPr>
        <w:t xml:space="preserve">, </w:t>
      </w:r>
      <w:r w:rsidR="00677D39" w:rsidRPr="00677D39">
        <w:rPr>
          <w:lang w:val="en-GB"/>
        </w:rPr>
        <w:t>denatured</w:t>
      </w:r>
      <w:r w:rsidR="00677D39">
        <w:rPr>
          <w:lang w:val="en-GB"/>
        </w:rPr>
        <w:t xml:space="preserve">) </w:t>
      </w:r>
      <w:r w:rsidR="0077615C">
        <w:rPr>
          <w:lang w:val="en-GB"/>
        </w:rPr>
        <w:t xml:space="preserve">and </w:t>
      </w:r>
      <w:r w:rsidR="0077615C" w:rsidRPr="0077615C">
        <w:rPr>
          <w:lang w:val="en-GB"/>
        </w:rPr>
        <w:t>hydrochloric</w:t>
      </w:r>
      <w:r w:rsidR="0077615C">
        <w:rPr>
          <w:lang w:val="en-GB"/>
        </w:rPr>
        <w:t xml:space="preserve"> </w:t>
      </w:r>
      <w:r w:rsidR="0077615C" w:rsidRPr="0077615C">
        <w:rPr>
          <w:lang w:val="en-GB"/>
        </w:rPr>
        <w:t>acid</w:t>
      </w:r>
      <w:r w:rsidR="00010831">
        <w:rPr>
          <w:lang w:val="en-GB"/>
        </w:rPr>
        <w:t xml:space="preserve"> (</w:t>
      </w:r>
      <w:r w:rsidR="00CE47BF">
        <w:rPr>
          <w:lang w:val="en-GB"/>
        </w:rPr>
        <w:t>1</w:t>
      </w:r>
      <w:r w:rsidR="00E40846">
        <w:rPr>
          <w:lang w:val="en-GB"/>
        </w:rPr>
        <w:t> </w:t>
      </w:r>
      <w:r w:rsidR="00CE47BF" w:rsidRPr="00CE47BF">
        <w:rPr>
          <w:lang w:val="en-GB"/>
        </w:rPr>
        <w:t>N standard solution</w:t>
      </w:r>
      <w:r w:rsidR="00010831">
        <w:rPr>
          <w:lang w:val="en-GB"/>
        </w:rPr>
        <w:t>)</w:t>
      </w:r>
      <w:r w:rsidR="0077615C">
        <w:rPr>
          <w:lang w:val="en-GB"/>
        </w:rPr>
        <w:t xml:space="preserve">, which </w:t>
      </w:r>
      <w:r w:rsidR="009E5FFD">
        <w:rPr>
          <w:lang w:val="en-GB"/>
        </w:rPr>
        <w:t>is</w:t>
      </w:r>
      <w:r w:rsidR="006F1A64">
        <w:rPr>
          <w:lang w:val="en-GB"/>
        </w:rPr>
        <w:t xml:space="preserve"> </w:t>
      </w:r>
      <w:r w:rsidR="0077615C">
        <w:rPr>
          <w:lang w:val="en-GB"/>
        </w:rPr>
        <w:t>used as quench,</w:t>
      </w:r>
      <w:r w:rsidR="0077615C" w:rsidRPr="0077615C">
        <w:rPr>
          <w:lang w:val="en-GB"/>
        </w:rPr>
        <w:t xml:space="preserve"> </w:t>
      </w:r>
      <w:r w:rsidR="009E5FFD">
        <w:rPr>
          <w:lang w:val="en-GB"/>
        </w:rPr>
        <w:t>are</w:t>
      </w:r>
      <w:r w:rsidR="006F1A64">
        <w:rPr>
          <w:lang w:val="en-GB"/>
        </w:rPr>
        <w:t xml:space="preserve"> </w:t>
      </w:r>
      <w:r w:rsidR="00677D39">
        <w:rPr>
          <w:lang w:val="en-GB"/>
        </w:rPr>
        <w:t xml:space="preserve">purchased </w:t>
      </w:r>
      <w:r w:rsidR="0077615C">
        <w:rPr>
          <w:lang w:val="en-GB"/>
        </w:rPr>
        <w:t>by Carl Roth.</w:t>
      </w:r>
    </w:p>
    <w:p w14:paraId="18BAFA6F" w14:textId="47FCC862" w:rsidR="00453E24" w:rsidRPr="00B57B36" w:rsidRDefault="00AD2915" w:rsidP="00453E24">
      <w:pPr>
        <w:pStyle w:val="CETheadingx"/>
      </w:pPr>
      <w:r>
        <w:t>Experimental setup and procedure</w:t>
      </w:r>
    </w:p>
    <w:p w14:paraId="39DFF882" w14:textId="5C33AE80" w:rsidR="00621FD2" w:rsidRDefault="007A09D1" w:rsidP="00621FD2">
      <w:pPr>
        <w:pStyle w:val="CETBodytext"/>
        <w:rPr>
          <w:lang w:val="en-GB"/>
        </w:rPr>
      </w:pPr>
      <w:r>
        <w:rPr>
          <w:lang w:val="en-GB"/>
        </w:rPr>
        <w:t xml:space="preserve">The experimental set up of the ART PR37 for the kinetic studies </w:t>
      </w:r>
      <w:r w:rsidR="009E5FFD">
        <w:rPr>
          <w:lang w:val="en-GB"/>
        </w:rPr>
        <w:t>is</w:t>
      </w:r>
      <w:r w:rsidR="006F1A64">
        <w:rPr>
          <w:lang w:val="en-GB"/>
        </w:rPr>
        <w:t xml:space="preserve"> </w:t>
      </w:r>
      <w:r w:rsidR="00341C85">
        <w:rPr>
          <w:lang w:val="en-GB"/>
        </w:rPr>
        <w:t>divided</w:t>
      </w:r>
      <w:r>
        <w:rPr>
          <w:lang w:val="en-GB"/>
        </w:rPr>
        <w:t xml:space="preserve"> into a reaction and a cooling sequence. </w:t>
      </w:r>
      <w:r w:rsidR="00341C85">
        <w:rPr>
          <w:lang w:val="en-GB"/>
        </w:rPr>
        <w:t xml:space="preserve">The reaction sequence </w:t>
      </w:r>
      <w:r w:rsidR="006F1A64">
        <w:rPr>
          <w:lang w:val="en-GB"/>
        </w:rPr>
        <w:t>consist</w:t>
      </w:r>
      <w:r w:rsidR="009E5FFD">
        <w:rPr>
          <w:lang w:val="en-GB"/>
        </w:rPr>
        <w:t>s</w:t>
      </w:r>
      <w:r w:rsidR="006F1A64">
        <w:rPr>
          <w:lang w:val="en-GB"/>
        </w:rPr>
        <w:t xml:space="preserve"> </w:t>
      </w:r>
      <w:r w:rsidR="00341C85">
        <w:rPr>
          <w:lang w:val="en-GB"/>
        </w:rPr>
        <w:t>of a series connection between plate PL37-3 and PL37-6</w:t>
      </w:r>
      <w:r>
        <w:rPr>
          <w:lang w:val="en-GB"/>
        </w:rPr>
        <w:t xml:space="preserve"> </w:t>
      </w:r>
      <w:r w:rsidR="00341C85" w:rsidRPr="00341C85">
        <w:rPr>
          <w:lang w:val="en-GB"/>
        </w:rPr>
        <w:t xml:space="preserve">resulting in a </w:t>
      </w:r>
      <w:r w:rsidR="00341C85">
        <w:rPr>
          <w:lang w:val="en-GB"/>
        </w:rPr>
        <w:t>reaction</w:t>
      </w:r>
      <w:r w:rsidR="00341C85" w:rsidRPr="00341C85">
        <w:rPr>
          <w:lang w:val="en-GB"/>
        </w:rPr>
        <w:t xml:space="preserve"> volume of approximately 40</w:t>
      </w:r>
      <w:r w:rsidR="00341C85">
        <w:rPr>
          <w:lang w:val="en-GB"/>
        </w:rPr>
        <w:t> </w:t>
      </w:r>
      <w:proofErr w:type="spellStart"/>
      <w:r w:rsidR="00341C85" w:rsidRPr="00341C85">
        <w:rPr>
          <w:lang w:val="en-GB"/>
        </w:rPr>
        <w:t>m</w:t>
      </w:r>
      <w:r w:rsidR="00341C85">
        <w:rPr>
          <w:lang w:val="en-GB"/>
        </w:rPr>
        <w:t>L.</w:t>
      </w:r>
      <w:proofErr w:type="spellEnd"/>
      <w:r w:rsidR="00341C85">
        <w:rPr>
          <w:lang w:val="en-GB"/>
        </w:rPr>
        <w:t xml:space="preserve"> Below these two plates a</w:t>
      </w:r>
      <w:r w:rsidR="001D2415">
        <w:rPr>
          <w:lang w:val="en-GB"/>
        </w:rPr>
        <w:t>n</w:t>
      </w:r>
      <w:r w:rsidR="00341C85">
        <w:rPr>
          <w:lang w:val="en-GB"/>
        </w:rPr>
        <w:t xml:space="preserve"> </w:t>
      </w:r>
      <w:r w:rsidR="00A96E19">
        <w:t xml:space="preserve">insulation </w:t>
      </w:r>
      <w:r w:rsidR="00341C85">
        <w:rPr>
          <w:lang w:val="en-GB"/>
        </w:rPr>
        <w:t xml:space="preserve">plate </w:t>
      </w:r>
      <w:r w:rsidR="009E5FFD">
        <w:rPr>
          <w:lang w:val="en-GB"/>
        </w:rPr>
        <w:t>is</w:t>
      </w:r>
      <w:r w:rsidR="006F1A64">
        <w:rPr>
          <w:lang w:val="en-GB"/>
        </w:rPr>
        <w:t xml:space="preserve"> </w:t>
      </w:r>
      <w:r w:rsidR="00341C85">
        <w:rPr>
          <w:lang w:val="en-GB"/>
        </w:rPr>
        <w:t xml:space="preserve">installed. This </w:t>
      </w:r>
      <w:r w:rsidR="00A96E19">
        <w:t xml:space="preserve">insulation </w:t>
      </w:r>
      <w:r w:rsidR="00341C85">
        <w:rPr>
          <w:lang w:val="en-GB"/>
        </w:rPr>
        <w:t xml:space="preserve">plate separates the reaction plates from an additional plate PL37-3 which </w:t>
      </w:r>
      <w:r w:rsidR="009E5FFD">
        <w:rPr>
          <w:lang w:val="en-GB"/>
        </w:rPr>
        <w:t>is</w:t>
      </w:r>
      <w:r w:rsidR="00341C85">
        <w:rPr>
          <w:lang w:val="en-GB"/>
        </w:rPr>
        <w:t xml:space="preserve"> used as cooling plate in order to quench the reaction. </w:t>
      </w:r>
      <w:r w:rsidR="00341C85" w:rsidRPr="00341C85">
        <w:rPr>
          <w:lang w:val="en-GB"/>
        </w:rPr>
        <w:t xml:space="preserve">With the help of the </w:t>
      </w:r>
      <w:r w:rsidR="00A96E19">
        <w:t xml:space="preserve">insulation </w:t>
      </w:r>
      <w:r w:rsidR="00341C85" w:rsidRPr="00341C85">
        <w:rPr>
          <w:lang w:val="en-GB"/>
        </w:rPr>
        <w:t>plate, two thermally</w:t>
      </w:r>
      <w:r w:rsidR="001D2415">
        <w:rPr>
          <w:lang w:val="en-GB"/>
        </w:rPr>
        <w:t>-</w:t>
      </w:r>
      <w:r w:rsidR="00341C85" w:rsidRPr="00341C85">
        <w:rPr>
          <w:lang w:val="en-GB"/>
        </w:rPr>
        <w:t xml:space="preserve">decoupled zones </w:t>
      </w:r>
      <w:r w:rsidR="009E5FFD">
        <w:rPr>
          <w:lang w:val="en-GB"/>
        </w:rPr>
        <w:t>are</w:t>
      </w:r>
      <w:r w:rsidR="006F1A64" w:rsidRPr="00341C85">
        <w:rPr>
          <w:lang w:val="en-GB"/>
        </w:rPr>
        <w:t xml:space="preserve"> </w:t>
      </w:r>
      <w:r w:rsidR="00341C85" w:rsidRPr="00341C85">
        <w:rPr>
          <w:lang w:val="en-GB"/>
        </w:rPr>
        <w:t>realized.</w:t>
      </w:r>
      <w:r w:rsidR="001851BD">
        <w:rPr>
          <w:lang w:val="en-GB"/>
        </w:rPr>
        <w:t xml:space="preserve"> </w:t>
      </w:r>
      <w:r w:rsidR="00D41C2E">
        <w:rPr>
          <w:lang w:val="en-GB"/>
        </w:rPr>
        <w:t xml:space="preserve">The schematic setup of the pilot plant is shown </w:t>
      </w:r>
      <w:r w:rsidR="00F21D1B">
        <w:rPr>
          <w:lang w:val="en-GB"/>
        </w:rPr>
        <w:t>i</w:t>
      </w:r>
      <w:r w:rsidR="00D41C2E">
        <w:rPr>
          <w:lang w:val="en-GB"/>
        </w:rPr>
        <w:t xml:space="preserve">n </w:t>
      </w:r>
      <w:r w:rsidR="0065257D">
        <w:rPr>
          <w:lang w:val="en-GB"/>
        </w:rPr>
        <w:t xml:space="preserve">Figure </w:t>
      </w:r>
      <w:r w:rsidR="00D41C2E">
        <w:rPr>
          <w:lang w:val="en-GB"/>
        </w:rPr>
        <w:t>2.</w:t>
      </w:r>
    </w:p>
    <w:p w14:paraId="152CCAF6" w14:textId="77777777" w:rsidR="00F67AA0" w:rsidRDefault="00F67AA0" w:rsidP="00621FD2">
      <w:pPr>
        <w:pStyle w:val="CETBodytext"/>
        <w:rPr>
          <w:lang w:val="en-GB"/>
        </w:rPr>
      </w:pPr>
    </w:p>
    <w:p w14:paraId="3F4E79F6" w14:textId="19FC5392" w:rsidR="00621FD2" w:rsidRDefault="000F315F" w:rsidP="00951F44">
      <w:pPr>
        <w:pStyle w:val="CETBodytext"/>
        <w:jc w:val="center"/>
        <w:rPr>
          <w:lang w:val="en-GB"/>
        </w:rPr>
      </w:pPr>
      <w:r w:rsidRPr="000F315F">
        <w:rPr>
          <w:noProof/>
        </w:rPr>
        <w:drawing>
          <wp:inline distT="0" distB="0" distL="0" distR="0" wp14:anchorId="0900BAD5" wp14:editId="3650E2B3">
            <wp:extent cx="4500000" cy="20593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0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9144" w14:textId="34066CBB" w:rsidR="00621FD2" w:rsidRDefault="00621FD2" w:rsidP="00822C40">
      <w:pPr>
        <w:pStyle w:val="CETCaption"/>
        <w:spacing w:before="120" w:after="120"/>
      </w:pPr>
      <w:r w:rsidRPr="00BD077D">
        <w:rPr>
          <w:rStyle w:val="CETCaptionCarattere"/>
          <w:i/>
        </w:rPr>
        <w:t xml:space="preserve">Figure </w:t>
      </w:r>
      <w:r>
        <w:rPr>
          <w:rStyle w:val="CETCaptionCarattere"/>
          <w:i/>
        </w:rPr>
        <w:t>2</w:t>
      </w:r>
      <w:r w:rsidRPr="00BD077D">
        <w:rPr>
          <w:rStyle w:val="CETCaptionCarattere"/>
          <w:i/>
        </w:rPr>
        <w:t xml:space="preserve">: </w:t>
      </w:r>
      <w:r>
        <w:rPr>
          <w:rStyle w:val="CETCaptionCarattere"/>
          <w:i/>
        </w:rPr>
        <w:t xml:space="preserve">Schematic </w:t>
      </w:r>
      <w:r w:rsidR="007D3498">
        <w:rPr>
          <w:rStyle w:val="CETCaptionCarattere"/>
          <w:i/>
        </w:rPr>
        <w:t>scheme from</w:t>
      </w:r>
      <w:r>
        <w:rPr>
          <w:rStyle w:val="CETCaptionCarattere"/>
          <w:i/>
        </w:rPr>
        <w:t xml:space="preserve"> the pilot plant</w:t>
      </w:r>
      <w:r w:rsidR="007D3498">
        <w:rPr>
          <w:rStyle w:val="CETCaptionCarattere"/>
          <w:i/>
        </w:rPr>
        <w:t xml:space="preserve"> of the</w:t>
      </w:r>
      <w:r>
        <w:rPr>
          <w:rStyle w:val="CETCaptionCarattere"/>
          <w:i/>
        </w:rPr>
        <w:t xml:space="preserve"> ART plate reactor PR37.</w:t>
      </w:r>
      <w:r w:rsidRPr="00BD077D">
        <w:t xml:space="preserve"> </w:t>
      </w:r>
    </w:p>
    <w:p w14:paraId="5C863B75" w14:textId="7F69045C" w:rsidR="009E4554" w:rsidRPr="00993F04" w:rsidRDefault="00FC5B97" w:rsidP="001B38DA">
      <w:pPr>
        <w:pStyle w:val="CETBodytext"/>
        <w:rPr>
          <w:color w:val="FF0000"/>
          <w:lang w:val="en-GB"/>
        </w:rPr>
      </w:pPr>
      <w:r w:rsidRPr="00FC5B97">
        <w:rPr>
          <w:lang w:val="en-GB"/>
        </w:rPr>
        <w:t>The two reactant solutions</w:t>
      </w:r>
      <w:r w:rsidR="000C3D1E">
        <w:rPr>
          <w:lang w:val="en-GB"/>
        </w:rPr>
        <w:t xml:space="preserve">, introduced in </w:t>
      </w:r>
      <w:r w:rsidR="00403A46">
        <w:rPr>
          <w:lang w:val="en-GB"/>
        </w:rPr>
        <w:t xml:space="preserve">Section </w:t>
      </w:r>
      <w:r w:rsidR="000C3D1E">
        <w:rPr>
          <w:lang w:val="en-GB"/>
        </w:rPr>
        <w:t>2.2,</w:t>
      </w:r>
      <w:r w:rsidRPr="00FC5B97">
        <w:rPr>
          <w:lang w:val="en-GB"/>
        </w:rPr>
        <w:t xml:space="preserve"> </w:t>
      </w:r>
      <w:r w:rsidR="009E5FFD">
        <w:rPr>
          <w:lang w:val="en-GB"/>
        </w:rPr>
        <w:t>are</w:t>
      </w:r>
      <w:r w:rsidRPr="00FC5B97">
        <w:rPr>
          <w:lang w:val="en-GB"/>
        </w:rPr>
        <w:t xml:space="preserve"> fed </w:t>
      </w:r>
      <w:r w:rsidR="000C3D1E">
        <w:rPr>
          <w:lang w:val="en-GB"/>
        </w:rPr>
        <w:t>in</w:t>
      </w:r>
      <w:r w:rsidRPr="00FC5B97">
        <w:rPr>
          <w:lang w:val="en-GB"/>
        </w:rPr>
        <w:t xml:space="preserve">to </w:t>
      </w:r>
      <w:r w:rsidR="000C3D1E">
        <w:rPr>
          <w:lang w:val="en-GB"/>
        </w:rPr>
        <w:t>the reactor</w:t>
      </w:r>
      <w:r w:rsidRPr="00FC5B97">
        <w:rPr>
          <w:lang w:val="en-GB"/>
        </w:rPr>
        <w:t xml:space="preserve"> using gear pump</w:t>
      </w:r>
      <w:r w:rsidR="000C3D1E">
        <w:rPr>
          <w:lang w:val="en-GB"/>
        </w:rPr>
        <w:t xml:space="preserve">s. </w:t>
      </w:r>
      <w:r w:rsidR="000C3D1E" w:rsidRPr="000C3D1E">
        <w:rPr>
          <w:lang w:val="en-GB"/>
        </w:rPr>
        <w:t xml:space="preserve">The mass flow and density of the streams </w:t>
      </w:r>
      <w:r w:rsidR="009E5FFD">
        <w:rPr>
          <w:lang w:val="en-GB"/>
        </w:rPr>
        <w:t>are</w:t>
      </w:r>
      <w:r w:rsidR="000C3D1E" w:rsidRPr="000C3D1E">
        <w:rPr>
          <w:lang w:val="en-GB"/>
        </w:rPr>
        <w:t xml:space="preserve"> measured using a Coriolis mass flow meter.</w:t>
      </w:r>
      <w:r w:rsidR="000C3D1E">
        <w:rPr>
          <w:lang w:val="en-GB"/>
        </w:rPr>
        <w:t xml:space="preserve"> </w:t>
      </w:r>
      <w:r w:rsidR="00BF53E8">
        <w:rPr>
          <w:lang w:val="en-GB"/>
        </w:rPr>
        <w:t xml:space="preserve">The utility for the reaction sequence </w:t>
      </w:r>
      <w:r w:rsidR="009E5FFD">
        <w:rPr>
          <w:lang w:val="en-GB"/>
        </w:rPr>
        <w:t>is</w:t>
      </w:r>
      <w:r w:rsidR="006F1A64">
        <w:rPr>
          <w:lang w:val="en-GB"/>
        </w:rPr>
        <w:t xml:space="preserve"> </w:t>
      </w:r>
      <w:r w:rsidR="00BF53E8">
        <w:rPr>
          <w:lang w:val="en-GB"/>
        </w:rPr>
        <w:t xml:space="preserve">controlled by a heating </w:t>
      </w:r>
      <w:r w:rsidR="00BF53E8" w:rsidRPr="00BF53E8">
        <w:rPr>
          <w:lang w:val="en-GB"/>
        </w:rPr>
        <w:t>circulator</w:t>
      </w:r>
      <w:r w:rsidR="00BF53E8">
        <w:rPr>
          <w:lang w:val="en-GB"/>
        </w:rPr>
        <w:t xml:space="preserve"> supplied with t</w:t>
      </w:r>
      <w:r w:rsidR="0084169E" w:rsidRPr="0084169E">
        <w:rPr>
          <w:lang w:val="en-GB"/>
        </w:rPr>
        <w:t>hermal oil</w:t>
      </w:r>
      <w:r w:rsidR="00BF53E8">
        <w:rPr>
          <w:lang w:val="en-GB"/>
        </w:rPr>
        <w:t xml:space="preserve">. </w:t>
      </w:r>
      <w:r w:rsidR="00BF53E8" w:rsidRPr="00BF53E8">
        <w:rPr>
          <w:lang w:val="en-GB"/>
        </w:rPr>
        <w:t xml:space="preserve">A centrifugal pump </w:t>
      </w:r>
      <w:r w:rsidR="009E5FFD">
        <w:rPr>
          <w:lang w:val="en-GB"/>
        </w:rPr>
        <w:t>is</w:t>
      </w:r>
      <w:r w:rsidR="00BF53E8" w:rsidRPr="00BF53E8">
        <w:rPr>
          <w:lang w:val="en-GB"/>
        </w:rPr>
        <w:t xml:space="preserve"> used to </w:t>
      </w:r>
      <w:r w:rsidR="00BF53E8">
        <w:rPr>
          <w:lang w:val="en-GB"/>
        </w:rPr>
        <w:t>enhance the</w:t>
      </w:r>
      <w:r w:rsidR="00BF53E8" w:rsidRPr="00BF53E8">
        <w:rPr>
          <w:lang w:val="en-GB"/>
        </w:rPr>
        <w:t xml:space="preserve"> utility flow rates</w:t>
      </w:r>
      <w:r w:rsidR="00BF53E8">
        <w:rPr>
          <w:lang w:val="en-GB"/>
        </w:rPr>
        <w:t xml:space="preserve"> </w:t>
      </w:r>
      <w:r w:rsidR="00190713">
        <w:rPr>
          <w:lang w:val="en-GB"/>
        </w:rPr>
        <w:t>for</w:t>
      </w:r>
      <w:r w:rsidR="00BF53E8">
        <w:rPr>
          <w:lang w:val="en-GB"/>
        </w:rPr>
        <w:t xml:space="preserve"> an </w:t>
      </w:r>
      <w:r w:rsidR="00190713">
        <w:rPr>
          <w:lang w:val="en-GB"/>
        </w:rPr>
        <w:t>improved</w:t>
      </w:r>
      <w:r w:rsidR="00BF53E8">
        <w:rPr>
          <w:lang w:val="en-GB"/>
        </w:rPr>
        <w:t xml:space="preserve"> heat transfer</w:t>
      </w:r>
      <w:r w:rsidR="00BF53E8" w:rsidRPr="00BF53E8">
        <w:rPr>
          <w:lang w:val="en-GB"/>
        </w:rPr>
        <w:t>.</w:t>
      </w:r>
      <w:r w:rsidR="00827F24">
        <w:rPr>
          <w:lang w:val="en-GB"/>
        </w:rPr>
        <w:t xml:space="preserve"> </w:t>
      </w:r>
      <w:r w:rsidR="00BD60B0">
        <w:rPr>
          <w:lang w:val="en-GB"/>
        </w:rPr>
        <w:t xml:space="preserve">The utility </w:t>
      </w:r>
      <w:r w:rsidR="00A35A90">
        <w:rPr>
          <w:lang w:val="en-GB"/>
        </w:rPr>
        <w:t xml:space="preserve">stream </w:t>
      </w:r>
      <w:r w:rsidR="00BD60B0">
        <w:rPr>
          <w:lang w:val="en-GB"/>
        </w:rPr>
        <w:t xml:space="preserve">for the cooling plate </w:t>
      </w:r>
      <w:r w:rsidR="009E5FFD">
        <w:rPr>
          <w:lang w:val="en-GB"/>
        </w:rPr>
        <w:t>is</w:t>
      </w:r>
      <w:r w:rsidR="006F1A64">
        <w:rPr>
          <w:lang w:val="en-GB"/>
        </w:rPr>
        <w:t xml:space="preserve"> </w:t>
      </w:r>
      <w:r w:rsidR="00BD60B0">
        <w:rPr>
          <w:lang w:val="en-GB"/>
        </w:rPr>
        <w:t xml:space="preserve">supplied </w:t>
      </w:r>
      <w:r w:rsidR="005E77FB">
        <w:rPr>
          <w:lang w:val="en-GB"/>
        </w:rPr>
        <w:t>with</w:t>
      </w:r>
      <w:r w:rsidR="00BD60B0">
        <w:rPr>
          <w:lang w:val="en-GB"/>
        </w:rPr>
        <w:t xml:space="preserve"> </w:t>
      </w:r>
      <w:r w:rsidR="00403A46">
        <w:rPr>
          <w:lang w:val="en-GB"/>
        </w:rPr>
        <w:t xml:space="preserve">tap </w:t>
      </w:r>
      <w:r w:rsidR="00BD60B0">
        <w:rPr>
          <w:lang w:val="en-GB"/>
        </w:rPr>
        <w:t xml:space="preserve">water </w:t>
      </w:r>
      <w:r w:rsidR="005E77FB">
        <w:rPr>
          <w:lang w:val="en-GB"/>
        </w:rPr>
        <w:t>with a</w:t>
      </w:r>
      <w:r w:rsidR="00BD60B0">
        <w:rPr>
          <w:lang w:val="en-GB"/>
        </w:rPr>
        <w:t xml:space="preserve"> temperature of approximately 16 °C.</w:t>
      </w:r>
      <w:r w:rsidR="000619EB">
        <w:rPr>
          <w:lang w:val="en-GB"/>
        </w:rPr>
        <w:t xml:space="preserve"> In this way an efficient </w:t>
      </w:r>
      <w:r w:rsidR="00A35A90">
        <w:rPr>
          <w:lang w:val="en-GB"/>
        </w:rPr>
        <w:t xml:space="preserve">thermal </w:t>
      </w:r>
      <w:r w:rsidR="000619EB">
        <w:rPr>
          <w:lang w:val="en-GB"/>
        </w:rPr>
        <w:t xml:space="preserve">quench of the reaction </w:t>
      </w:r>
      <w:r w:rsidR="009E5FFD">
        <w:rPr>
          <w:lang w:val="en-GB"/>
        </w:rPr>
        <w:t>is</w:t>
      </w:r>
      <w:r w:rsidR="006F1A64">
        <w:rPr>
          <w:lang w:val="en-GB"/>
        </w:rPr>
        <w:t xml:space="preserve"> </w:t>
      </w:r>
      <w:r w:rsidR="000619EB">
        <w:rPr>
          <w:lang w:val="en-GB"/>
        </w:rPr>
        <w:t xml:space="preserve">achieved in the </w:t>
      </w:r>
      <w:r w:rsidR="006715FD">
        <w:rPr>
          <w:lang w:val="en-GB"/>
        </w:rPr>
        <w:t xml:space="preserve">thermally-decoupled </w:t>
      </w:r>
      <w:r w:rsidR="000619EB">
        <w:rPr>
          <w:lang w:val="en-GB"/>
        </w:rPr>
        <w:t xml:space="preserve">cooling plate after the two reaction plates. </w:t>
      </w:r>
      <w:r w:rsidR="00F0069A">
        <w:rPr>
          <w:lang w:val="en-GB"/>
        </w:rPr>
        <w:t xml:space="preserve">Additionally, a </w:t>
      </w:r>
      <w:r w:rsidR="001B38DA">
        <w:rPr>
          <w:lang w:val="en-GB"/>
        </w:rPr>
        <w:t>back-pressure</w:t>
      </w:r>
      <w:r w:rsidR="00F0069A">
        <w:rPr>
          <w:lang w:val="en-GB"/>
        </w:rPr>
        <w:t xml:space="preserve"> regulator</w:t>
      </w:r>
      <w:r w:rsidR="001B7754">
        <w:rPr>
          <w:lang w:val="en-GB"/>
        </w:rPr>
        <w:t xml:space="preserve"> </w:t>
      </w:r>
      <w:r w:rsidR="009E5FFD">
        <w:rPr>
          <w:lang w:val="en-GB"/>
        </w:rPr>
        <w:t>is</w:t>
      </w:r>
      <w:r w:rsidR="006F1A64">
        <w:rPr>
          <w:lang w:val="en-GB"/>
        </w:rPr>
        <w:t xml:space="preserve"> </w:t>
      </w:r>
      <w:r w:rsidR="00F0069A">
        <w:rPr>
          <w:lang w:val="en-GB"/>
        </w:rPr>
        <w:t xml:space="preserve">used at the reactor outlet </w:t>
      </w:r>
      <w:r w:rsidR="00F0069A" w:rsidRPr="00F0069A">
        <w:rPr>
          <w:lang w:val="en-GB"/>
        </w:rPr>
        <w:t xml:space="preserve">allowing to keep </w:t>
      </w:r>
      <w:r w:rsidR="00B02596">
        <w:rPr>
          <w:lang w:val="en-GB"/>
        </w:rPr>
        <w:t xml:space="preserve">ethanol, which </w:t>
      </w:r>
      <w:r w:rsidR="009E5FFD">
        <w:rPr>
          <w:lang w:val="en-GB"/>
        </w:rPr>
        <w:t>is</w:t>
      </w:r>
      <w:r w:rsidR="006F1A64">
        <w:rPr>
          <w:lang w:val="en-GB"/>
        </w:rPr>
        <w:t xml:space="preserve"> </w:t>
      </w:r>
      <w:r w:rsidR="00B02596">
        <w:rPr>
          <w:lang w:val="en-GB"/>
        </w:rPr>
        <w:t>used as</w:t>
      </w:r>
      <w:r w:rsidR="00F0069A" w:rsidRPr="00F0069A">
        <w:rPr>
          <w:lang w:val="en-GB"/>
        </w:rPr>
        <w:t xml:space="preserve"> solvent</w:t>
      </w:r>
      <w:r w:rsidR="00B02596">
        <w:rPr>
          <w:lang w:val="en-GB"/>
        </w:rPr>
        <w:t>,</w:t>
      </w:r>
      <w:r w:rsidR="00F0069A" w:rsidRPr="00F0069A">
        <w:rPr>
          <w:lang w:val="en-GB"/>
        </w:rPr>
        <w:t xml:space="preserve"> in liquid state at temperatures</w:t>
      </w:r>
      <w:r w:rsidR="00A96E19">
        <w:rPr>
          <w:lang w:val="en-GB"/>
        </w:rPr>
        <w:t xml:space="preserve"> above boiling point</w:t>
      </w:r>
      <w:r w:rsidR="00F0069A">
        <w:rPr>
          <w:lang w:val="en-GB"/>
        </w:rPr>
        <w:t xml:space="preserve">. </w:t>
      </w:r>
      <w:r w:rsidR="00C27713" w:rsidRPr="00C27713">
        <w:rPr>
          <w:lang w:val="en-GB"/>
        </w:rPr>
        <w:t xml:space="preserve">The process </w:t>
      </w:r>
      <w:r w:rsidR="00C27713">
        <w:rPr>
          <w:lang w:val="en-GB"/>
        </w:rPr>
        <w:t xml:space="preserve">and utility </w:t>
      </w:r>
      <w:r w:rsidR="00C27713" w:rsidRPr="00C27713">
        <w:rPr>
          <w:lang w:val="en-GB"/>
        </w:rPr>
        <w:t>channel</w:t>
      </w:r>
      <w:r w:rsidR="00C27713">
        <w:rPr>
          <w:lang w:val="en-GB"/>
        </w:rPr>
        <w:t>s</w:t>
      </w:r>
      <w:r w:rsidR="00C27713" w:rsidRPr="00C27713">
        <w:rPr>
          <w:lang w:val="en-GB"/>
        </w:rPr>
        <w:t xml:space="preserve"> </w:t>
      </w:r>
      <w:r w:rsidR="009E5FFD">
        <w:rPr>
          <w:lang w:val="en-GB"/>
        </w:rPr>
        <w:t>are</w:t>
      </w:r>
      <w:r w:rsidR="006F1A64">
        <w:rPr>
          <w:lang w:val="en-GB"/>
        </w:rPr>
        <w:t xml:space="preserve"> </w:t>
      </w:r>
      <w:r w:rsidR="00C27713" w:rsidRPr="00C27713">
        <w:rPr>
          <w:lang w:val="en-GB"/>
        </w:rPr>
        <w:t>equipped</w:t>
      </w:r>
      <w:r w:rsidR="00C27713">
        <w:rPr>
          <w:lang w:val="en-GB"/>
        </w:rPr>
        <w:t xml:space="preserve"> in total</w:t>
      </w:r>
      <w:r w:rsidR="00C27713" w:rsidRPr="00C27713">
        <w:rPr>
          <w:lang w:val="en-GB"/>
        </w:rPr>
        <w:t xml:space="preserve"> with</w:t>
      </w:r>
      <w:r w:rsidR="00C27713">
        <w:rPr>
          <w:lang w:val="en-GB"/>
        </w:rPr>
        <w:t xml:space="preserve"> 12</w:t>
      </w:r>
      <w:r w:rsidR="00C27713" w:rsidRPr="00C27713">
        <w:rPr>
          <w:lang w:val="en-GB"/>
        </w:rPr>
        <w:t xml:space="preserve"> thermocouples</w:t>
      </w:r>
      <w:r w:rsidR="00C27713">
        <w:rPr>
          <w:lang w:val="en-GB"/>
        </w:rPr>
        <w:t xml:space="preserve">. </w:t>
      </w:r>
      <w:r w:rsidR="001B38DA" w:rsidRPr="001B38DA">
        <w:rPr>
          <w:lang w:val="en-GB"/>
        </w:rPr>
        <w:t xml:space="preserve">All measured values </w:t>
      </w:r>
      <w:r w:rsidR="009E5FFD">
        <w:rPr>
          <w:lang w:val="en-GB"/>
        </w:rPr>
        <w:t>are</w:t>
      </w:r>
      <w:r w:rsidR="006F1A64" w:rsidRPr="001B38DA">
        <w:rPr>
          <w:lang w:val="en-GB"/>
        </w:rPr>
        <w:t xml:space="preserve"> </w:t>
      </w:r>
      <w:r w:rsidR="001B38DA">
        <w:rPr>
          <w:lang w:val="en-GB"/>
        </w:rPr>
        <w:t xml:space="preserve">continuously monitored </w:t>
      </w:r>
      <w:r w:rsidR="001B38DA" w:rsidRPr="001B38DA">
        <w:rPr>
          <w:lang w:val="en-GB"/>
        </w:rPr>
        <w:t xml:space="preserve">on a </w:t>
      </w:r>
      <w:r w:rsidR="00A96E19">
        <w:rPr>
          <w:lang w:val="en-GB"/>
        </w:rPr>
        <w:t>computer</w:t>
      </w:r>
      <w:r w:rsidR="00A96E19" w:rsidRPr="001B38DA">
        <w:rPr>
          <w:lang w:val="en-GB"/>
        </w:rPr>
        <w:t xml:space="preserve"> </w:t>
      </w:r>
      <w:r w:rsidR="001B38DA" w:rsidRPr="001B38DA">
        <w:rPr>
          <w:lang w:val="en-GB"/>
        </w:rPr>
        <w:t xml:space="preserve">using </w:t>
      </w:r>
      <w:proofErr w:type="spellStart"/>
      <w:r w:rsidR="001B38DA" w:rsidRPr="001B38DA">
        <w:rPr>
          <w:lang w:val="en-GB"/>
        </w:rPr>
        <w:t>FieldPoint</w:t>
      </w:r>
      <w:proofErr w:type="spellEnd"/>
      <w:r w:rsidR="001B38DA">
        <w:rPr>
          <w:lang w:val="en-GB"/>
        </w:rPr>
        <w:t xml:space="preserve"> </w:t>
      </w:r>
      <w:r w:rsidR="001B38DA" w:rsidRPr="001B38DA">
        <w:rPr>
          <w:lang w:val="en-GB"/>
        </w:rPr>
        <w:t xml:space="preserve">modules and LabVIEW </w:t>
      </w:r>
      <w:r w:rsidR="0093774B">
        <w:rPr>
          <w:lang w:val="en-GB"/>
        </w:rPr>
        <w:t>providing</w:t>
      </w:r>
      <w:r w:rsidR="001B38DA">
        <w:rPr>
          <w:lang w:val="en-GB"/>
        </w:rPr>
        <w:t xml:space="preserve"> a full insight into the process</w:t>
      </w:r>
      <w:r w:rsidR="0093774B">
        <w:rPr>
          <w:lang w:val="en-GB"/>
        </w:rPr>
        <w:t>.</w:t>
      </w:r>
      <w:r w:rsidR="00F8304C">
        <w:rPr>
          <w:lang w:val="en-GB"/>
        </w:rPr>
        <w:t xml:space="preserve"> </w:t>
      </w:r>
      <w:r w:rsidR="00C050E4">
        <w:rPr>
          <w:lang w:val="en-GB"/>
        </w:rPr>
        <w:t xml:space="preserve">The sampling </w:t>
      </w:r>
      <w:r w:rsidR="009E5FFD">
        <w:rPr>
          <w:lang w:val="en-GB"/>
        </w:rPr>
        <w:t>is</w:t>
      </w:r>
      <w:r w:rsidR="006F1A64">
        <w:rPr>
          <w:lang w:val="en-GB"/>
        </w:rPr>
        <w:t xml:space="preserve"> </w:t>
      </w:r>
      <w:r w:rsidR="00C050E4">
        <w:rPr>
          <w:lang w:val="en-GB"/>
        </w:rPr>
        <w:t>done at the outlet of the cooling plate with HPLC vials and an additional</w:t>
      </w:r>
      <w:r w:rsidR="00D84B54">
        <w:rPr>
          <w:lang w:val="en-GB"/>
        </w:rPr>
        <w:t xml:space="preserve"> chemical</w:t>
      </w:r>
      <w:r w:rsidR="00C050E4">
        <w:rPr>
          <w:lang w:val="en-GB"/>
        </w:rPr>
        <w:t xml:space="preserve"> quench with hydrochloric acid</w:t>
      </w:r>
      <w:r w:rsidR="00F8304C">
        <w:rPr>
          <w:lang w:val="en-GB"/>
        </w:rPr>
        <w:t>.</w:t>
      </w:r>
      <w:r w:rsidR="00D84926">
        <w:rPr>
          <w:lang w:val="en-GB"/>
        </w:rPr>
        <w:t xml:space="preserve"> </w:t>
      </w:r>
    </w:p>
    <w:p w14:paraId="116C2566" w14:textId="58A58E7D" w:rsidR="00D84926" w:rsidRPr="005A5D33" w:rsidRDefault="00537D6D" w:rsidP="00D84926">
      <w:pPr>
        <w:pStyle w:val="CETBodytext"/>
        <w:rPr>
          <w:color w:val="FF0000"/>
        </w:rPr>
      </w:pPr>
      <w:r>
        <w:rPr>
          <w:lang w:val="en-GB"/>
        </w:rPr>
        <w:t xml:space="preserve">The experiments </w:t>
      </w:r>
      <w:r w:rsidR="009E5FFD">
        <w:rPr>
          <w:lang w:val="en-GB"/>
        </w:rPr>
        <w:t>are</w:t>
      </w:r>
      <w:r w:rsidR="006F1A64">
        <w:rPr>
          <w:lang w:val="en-GB"/>
        </w:rPr>
        <w:t xml:space="preserve"> </w:t>
      </w:r>
      <w:r w:rsidR="0065257D">
        <w:rPr>
          <w:lang w:val="en-GB"/>
        </w:rPr>
        <w:t xml:space="preserve">conducted according to </w:t>
      </w:r>
      <w:r>
        <w:rPr>
          <w:lang w:val="en-GB"/>
        </w:rPr>
        <w:t xml:space="preserve">two different </w:t>
      </w:r>
      <w:r w:rsidR="00053F4F">
        <w:rPr>
          <w:lang w:val="en-GB"/>
        </w:rPr>
        <w:t xml:space="preserve">experimental plans. </w:t>
      </w:r>
      <w:r w:rsidR="002562FF" w:rsidRPr="002562FF">
        <w:rPr>
          <w:lang w:val="en-GB"/>
        </w:rPr>
        <w:t xml:space="preserve">Three factors </w:t>
      </w:r>
      <w:r w:rsidR="009E5FFD">
        <w:rPr>
          <w:lang w:val="en-GB"/>
        </w:rPr>
        <w:t>are</w:t>
      </w:r>
      <w:r w:rsidR="006F1A64" w:rsidRPr="002562FF">
        <w:rPr>
          <w:lang w:val="en-GB"/>
        </w:rPr>
        <w:t xml:space="preserve"> </w:t>
      </w:r>
      <w:r w:rsidR="002562FF" w:rsidRPr="002562FF">
        <w:rPr>
          <w:lang w:val="en-GB"/>
        </w:rPr>
        <w:t xml:space="preserve">varied in the experiments: </w:t>
      </w:r>
      <w:r w:rsidR="00961727">
        <w:rPr>
          <w:lang w:val="en-GB"/>
        </w:rPr>
        <w:t>temperature</w:t>
      </w:r>
      <w:r w:rsidR="00D10723">
        <w:rPr>
          <w:lang w:val="en-GB"/>
        </w:rPr>
        <w:t xml:space="preserve">, </w:t>
      </w:r>
      <w:r w:rsidR="00961727">
        <w:rPr>
          <w:lang w:val="en-GB"/>
        </w:rPr>
        <w:t>pyrrolidine concentration</w:t>
      </w:r>
      <w:r w:rsidR="00D10723">
        <w:rPr>
          <w:lang w:val="en-GB"/>
        </w:rPr>
        <w:t xml:space="preserve"> and residence time</w:t>
      </w:r>
      <w:r w:rsidR="00961727">
        <w:rPr>
          <w:lang w:val="en-GB"/>
        </w:rPr>
        <w:t xml:space="preserve">. </w:t>
      </w:r>
      <w:r w:rsidR="00D10723" w:rsidRPr="00053F4F">
        <w:rPr>
          <w:lang w:val="en-GB"/>
        </w:rPr>
        <w:t>The concentrations of 2,4-difluoronitrobenzene</w:t>
      </w:r>
      <w:r w:rsidR="00D10723">
        <w:rPr>
          <w:lang w:val="en-GB"/>
        </w:rPr>
        <w:t xml:space="preserve"> </w:t>
      </w:r>
      <w:r w:rsidR="009E5FFD">
        <w:rPr>
          <w:lang w:val="en-GB"/>
        </w:rPr>
        <w:t>is</w:t>
      </w:r>
      <w:r w:rsidR="006F1A64" w:rsidRPr="00053F4F">
        <w:rPr>
          <w:lang w:val="en-GB"/>
        </w:rPr>
        <w:t xml:space="preserve"> </w:t>
      </w:r>
      <w:r w:rsidR="00D10723" w:rsidRPr="00053F4F">
        <w:rPr>
          <w:lang w:val="en-GB"/>
        </w:rPr>
        <w:t>kept constant</w:t>
      </w:r>
      <w:r w:rsidR="003F49D1">
        <w:rPr>
          <w:lang w:val="en-GB"/>
        </w:rPr>
        <w:t xml:space="preserve"> as well as the concentration of triethylamine and the internal standard </w:t>
      </w:r>
      <w:proofErr w:type="gramStart"/>
      <w:r w:rsidR="002A073A" w:rsidRPr="002A073A">
        <w:rPr>
          <w:lang w:val="en-GB"/>
        </w:rPr>
        <w:t>N,N</w:t>
      </w:r>
      <w:proofErr w:type="gramEnd"/>
      <w:r w:rsidR="002A073A" w:rsidRPr="002A073A">
        <w:rPr>
          <w:lang w:val="en-GB"/>
        </w:rPr>
        <w:t>-</w:t>
      </w:r>
      <w:proofErr w:type="spellStart"/>
      <w:r w:rsidR="00DF281D">
        <w:rPr>
          <w:lang w:val="en-GB"/>
        </w:rPr>
        <w:t>d</w:t>
      </w:r>
      <w:r w:rsidR="002A073A" w:rsidRPr="002A073A">
        <w:rPr>
          <w:lang w:val="en-GB"/>
        </w:rPr>
        <w:t>imethylbenzamid</w:t>
      </w:r>
      <w:r w:rsidR="00DF281D">
        <w:rPr>
          <w:lang w:val="en-GB"/>
        </w:rPr>
        <w:t>e</w:t>
      </w:r>
      <w:proofErr w:type="spellEnd"/>
      <w:r w:rsidR="003F49D1">
        <w:rPr>
          <w:lang w:val="en-GB"/>
        </w:rPr>
        <w:t>.</w:t>
      </w:r>
      <w:r w:rsidR="005A5D33">
        <w:rPr>
          <w:lang w:val="en-GB"/>
        </w:rPr>
        <w:t xml:space="preserve"> </w:t>
      </w:r>
      <w:r w:rsidR="00053F4F">
        <w:rPr>
          <w:lang w:val="en-GB"/>
        </w:rPr>
        <w:t xml:space="preserve">In the first </w:t>
      </w:r>
      <w:r w:rsidR="0065257D">
        <w:rPr>
          <w:lang w:val="en-GB"/>
        </w:rPr>
        <w:t>set of experiments,</w:t>
      </w:r>
      <w:r w:rsidR="00053F4F">
        <w:rPr>
          <w:lang w:val="en-GB"/>
        </w:rPr>
        <w:t xml:space="preserve"> a </w:t>
      </w:r>
      <w:r w:rsidR="00053F4F" w:rsidRPr="00053F4F">
        <w:t>face-</w:t>
      </w:r>
      <w:r w:rsidR="004A0664" w:rsidRPr="00053F4F">
        <w:t>centered</w:t>
      </w:r>
      <w:r w:rsidR="00053F4F" w:rsidRPr="00053F4F">
        <w:t xml:space="preserve"> central composite (CCF) design</w:t>
      </w:r>
      <w:r w:rsidR="00053F4F">
        <w:t xml:space="preserve"> </w:t>
      </w:r>
      <w:r w:rsidR="00D10723">
        <w:t>of these three factors</w:t>
      </w:r>
      <w:r w:rsidR="00053F4F">
        <w:t xml:space="preserve"> </w:t>
      </w:r>
      <w:r w:rsidR="009E5FFD">
        <w:t>is</w:t>
      </w:r>
      <w:r w:rsidR="00053F4F">
        <w:t xml:space="preserve"> used.</w:t>
      </w:r>
      <w:r w:rsidR="00D10723">
        <w:t xml:space="preserve"> The temperature for this design plan </w:t>
      </w:r>
      <w:r w:rsidR="009E5FFD">
        <w:t>is</w:t>
      </w:r>
      <w:r w:rsidR="00D10723" w:rsidRPr="00D10723">
        <w:t xml:space="preserve"> set between 50, 75 and 100</w:t>
      </w:r>
      <w:r w:rsidR="00F643C4">
        <w:t> </w:t>
      </w:r>
      <w:r w:rsidR="00D10723" w:rsidRPr="00D10723">
        <w:t>°C.</w:t>
      </w:r>
      <w:r w:rsidR="00D10723">
        <w:t xml:space="preserve"> </w:t>
      </w:r>
      <w:r w:rsidR="003F49D1">
        <w:t xml:space="preserve">The pyrrolidine concentration </w:t>
      </w:r>
      <w:r w:rsidR="009E5FFD">
        <w:t>is</w:t>
      </w:r>
      <w:r w:rsidR="003F49D1">
        <w:t xml:space="preserve"> varied between </w:t>
      </w:r>
      <w:r w:rsidR="00735842">
        <w:t>0.05, 0.25 and 0.5</w:t>
      </w:r>
      <w:r w:rsidR="00F643C4">
        <w:t> </w:t>
      </w:r>
      <w:r w:rsidR="00735842">
        <w:t xml:space="preserve">M. </w:t>
      </w:r>
      <w:r w:rsidR="00531807">
        <w:t xml:space="preserve">The </w:t>
      </w:r>
      <w:r w:rsidR="009B6B8F">
        <w:t xml:space="preserve">minimum residence time </w:t>
      </w:r>
      <w:r w:rsidR="00925EFE">
        <w:t>is</w:t>
      </w:r>
      <w:r w:rsidR="006F1A64">
        <w:t xml:space="preserve"> </w:t>
      </w:r>
      <w:r w:rsidR="009B6B8F">
        <w:t xml:space="preserve">0.5 min. </w:t>
      </w:r>
      <w:r w:rsidR="00735842" w:rsidRPr="00735842">
        <w:t xml:space="preserve">The maximum residence time depends on the minimum </w:t>
      </w:r>
      <w:r w:rsidR="009E7638">
        <w:t>required</w:t>
      </w:r>
      <w:r w:rsidR="00735842" w:rsidRPr="00735842">
        <w:t xml:space="preserve"> Reynolds number of 100 allowing an ideal plug flow to be assumed in the ART reactor, which means that the maximum residence time depends on the </w:t>
      </w:r>
      <w:r w:rsidR="00F643C4">
        <w:t xml:space="preserve">density </w:t>
      </w:r>
      <w:r w:rsidR="007E08C0">
        <w:t xml:space="preserve">and the operating </w:t>
      </w:r>
      <w:r w:rsidR="00735842" w:rsidRPr="00735842">
        <w:t>temperature</w:t>
      </w:r>
      <w:r w:rsidR="007E08C0">
        <w:t>, respectively</w:t>
      </w:r>
      <w:r w:rsidR="00735842" w:rsidRPr="00735842">
        <w:t>.</w:t>
      </w:r>
      <w:r w:rsidR="009B6B8F">
        <w:t xml:space="preserve"> Therefore, the maximum residence time </w:t>
      </w:r>
      <w:r w:rsidR="00F21A93">
        <w:t xml:space="preserve">is identified individually by means of the developed correlation for the residence time distribution (Schaare et al., 2021) and </w:t>
      </w:r>
      <w:r w:rsidR="009B6B8F">
        <w:t>ranges between 2 and 3 min.</w:t>
      </w:r>
      <w:r w:rsidR="00BE5129">
        <w:t xml:space="preserve"> The CCF design plan consists of 15 experiments in total.</w:t>
      </w:r>
      <w:r w:rsidR="00D84926">
        <w:t xml:space="preserve"> </w:t>
      </w:r>
    </w:p>
    <w:p w14:paraId="3FA6D26E" w14:textId="41DCC116" w:rsidR="009460A9" w:rsidRDefault="00BE5129" w:rsidP="00453E24">
      <w:pPr>
        <w:pStyle w:val="CETBodytext"/>
        <w:rPr>
          <w:lang w:val="en-GB"/>
        </w:rPr>
      </w:pPr>
      <w:r>
        <w:t xml:space="preserve">In the second </w:t>
      </w:r>
      <w:r w:rsidR="0065257D">
        <w:t>set of experiments</w:t>
      </w:r>
      <w:r w:rsidR="006F1A64">
        <w:t>,</w:t>
      </w:r>
      <w:r>
        <w:t xml:space="preserve"> </w:t>
      </w:r>
      <w:r w:rsidR="006F1A64">
        <w:t xml:space="preserve">a </w:t>
      </w:r>
      <w:proofErr w:type="spellStart"/>
      <w:r w:rsidR="006F1A64">
        <w:t>MBDoE</w:t>
      </w:r>
      <w:proofErr w:type="spellEnd"/>
      <w:r>
        <w:t xml:space="preserve"> </w:t>
      </w:r>
      <w:r w:rsidR="00925EFE">
        <w:t>is</w:t>
      </w:r>
      <w:r>
        <w:t xml:space="preserve"> </w:t>
      </w:r>
      <w:r w:rsidR="00A0589C">
        <w:t>applied</w:t>
      </w:r>
      <w:r>
        <w:t xml:space="preserve"> </w:t>
      </w:r>
      <w:r w:rsidR="008E35E5">
        <w:t>based</w:t>
      </w:r>
      <w:r w:rsidR="006F1A64">
        <w:t xml:space="preserve"> on </w:t>
      </w:r>
      <w:r w:rsidR="008E35E5">
        <w:t xml:space="preserve">four </w:t>
      </w:r>
      <w:r w:rsidR="006F1A64">
        <w:t>initial</w:t>
      </w:r>
      <w:r w:rsidR="00C7766C">
        <w:t xml:space="preserve"> experiments from the CCF design plan.</w:t>
      </w:r>
      <w:r w:rsidR="006F1A64">
        <w:t xml:space="preserve"> The subsequent experiments </w:t>
      </w:r>
      <w:r w:rsidR="00925EFE">
        <w:t>are</w:t>
      </w:r>
      <w:r w:rsidR="006F1A64">
        <w:t xml:space="preserve"> determined in an iterative </w:t>
      </w:r>
      <w:proofErr w:type="spellStart"/>
      <w:r w:rsidR="006F1A64">
        <w:t>MBDoE</w:t>
      </w:r>
      <w:proofErr w:type="spellEnd"/>
      <w:r w:rsidR="006F1A64">
        <w:t xml:space="preserve"> approach with successive refinement of the kinetic parameters after each experiment, due to the nonlinearity of the reaction kinetic model.</w:t>
      </w:r>
      <w:r w:rsidR="00C7766C">
        <w:t xml:space="preserve"> The </w:t>
      </w:r>
      <w:r w:rsidR="006F1A64" w:rsidRPr="00C7766C">
        <w:rPr>
          <w:lang w:val="en-GB"/>
        </w:rPr>
        <w:t>initial</w:t>
      </w:r>
      <w:r w:rsidR="006F1A64">
        <w:rPr>
          <w:lang w:val="en-GB"/>
        </w:rPr>
        <w:t xml:space="preserve"> set of experiments</w:t>
      </w:r>
      <w:r w:rsidR="006F1A64" w:rsidRPr="00C7766C">
        <w:rPr>
          <w:lang w:val="en-GB"/>
        </w:rPr>
        <w:t xml:space="preserve"> </w:t>
      </w:r>
      <w:r w:rsidR="006F1A64">
        <w:rPr>
          <w:lang w:val="en-GB"/>
        </w:rPr>
        <w:t>include</w:t>
      </w:r>
      <w:r w:rsidR="00925EFE">
        <w:rPr>
          <w:lang w:val="en-GB"/>
        </w:rPr>
        <w:t>s</w:t>
      </w:r>
      <w:r w:rsidR="00C7766C" w:rsidRPr="00C7766C">
        <w:rPr>
          <w:lang w:val="en-GB"/>
        </w:rPr>
        <w:t xml:space="preserve"> two </w:t>
      </w:r>
      <w:r w:rsidR="00C7766C">
        <w:t xml:space="preserve">experiments </w:t>
      </w:r>
      <w:r w:rsidR="00C7766C" w:rsidRPr="00C7766C">
        <w:rPr>
          <w:lang w:val="en-GB"/>
        </w:rPr>
        <w:t>under moderate</w:t>
      </w:r>
      <w:r w:rsidR="00E916B1">
        <w:rPr>
          <w:lang w:val="en-GB"/>
        </w:rPr>
        <w:t xml:space="preserve"> </w:t>
      </w:r>
      <w:r w:rsidR="00C7766C" w:rsidRPr="00C7766C">
        <w:rPr>
          <w:lang w:val="en-GB"/>
        </w:rPr>
        <w:t xml:space="preserve">conditions at low concentration and temperature </w:t>
      </w:r>
      <w:r w:rsidR="006F1A64">
        <w:rPr>
          <w:lang w:val="en-GB"/>
        </w:rPr>
        <w:t>and</w:t>
      </w:r>
      <w:r w:rsidR="00C7766C" w:rsidRPr="00C7766C">
        <w:rPr>
          <w:lang w:val="en-GB"/>
        </w:rPr>
        <w:t xml:space="preserve"> two </w:t>
      </w:r>
      <w:r w:rsidR="00C7766C">
        <w:t xml:space="preserve">experiments </w:t>
      </w:r>
      <w:r w:rsidR="00C7766C" w:rsidRPr="00C7766C">
        <w:rPr>
          <w:lang w:val="en-GB"/>
        </w:rPr>
        <w:t>under extreme conditions at high concentration</w:t>
      </w:r>
      <w:r w:rsidR="00C7766C">
        <w:rPr>
          <w:lang w:val="en-GB"/>
        </w:rPr>
        <w:t xml:space="preserve"> and temperature</w:t>
      </w:r>
      <w:r w:rsidR="00C7766C" w:rsidRPr="00C7766C">
        <w:rPr>
          <w:lang w:val="en-GB"/>
        </w:rPr>
        <w:t>.</w:t>
      </w:r>
      <w:r w:rsidR="00E916B1">
        <w:rPr>
          <w:lang w:val="en-GB"/>
        </w:rPr>
        <w:t xml:space="preserve"> </w:t>
      </w:r>
      <w:r w:rsidR="006F1A64">
        <w:rPr>
          <w:lang w:val="en-GB"/>
        </w:rPr>
        <w:t xml:space="preserve">Subsequent experimental conditions are determined by the </w:t>
      </w:r>
      <w:proofErr w:type="spellStart"/>
      <w:r w:rsidR="006F1A64">
        <w:rPr>
          <w:lang w:val="en-GB"/>
        </w:rPr>
        <w:t>MBDoE</w:t>
      </w:r>
      <w:proofErr w:type="spellEnd"/>
      <w:r w:rsidR="006F1A64">
        <w:rPr>
          <w:lang w:val="en-GB"/>
        </w:rPr>
        <w:t xml:space="preserve"> considering t</w:t>
      </w:r>
      <w:r w:rsidR="00E916B1">
        <w:rPr>
          <w:lang w:val="en-GB"/>
        </w:rPr>
        <w:t>he D-optimal criteria.</w:t>
      </w:r>
      <w:r w:rsidR="00E85735">
        <w:rPr>
          <w:lang w:val="en-GB"/>
        </w:rPr>
        <w:t xml:space="preserve"> </w:t>
      </w:r>
      <w:r w:rsidR="00661347">
        <w:rPr>
          <w:lang w:val="en-GB"/>
        </w:rPr>
        <w:t xml:space="preserve">After </w:t>
      </w:r>
      <w:r w:rsidR="006F1A64">
        <w:rPr>
          <w:lang w:val="en-GB"/>
        </w:rPr>
        <w:t>each</w:t>
      </w:r>
      <w:r w:rsidR="00661347">
        <w:rPr>
          <w:lang w:val="en-GB"/>
        </w:rPr>
        <w:t xml:space="preserve"> </w:t>
      </w:r>
      <w:r w:rsidR="00011076">
        <w:rPr>
          <w:lang w:val="en-GB"/>
        </w:rPr>
        <w:t>additional</w:t>
      </w:r>
      <w:r w:rsidR="00661347">
        <w:rPr>
          <w:lang w:val="en-GB"/>
        </w:rPr>
        <w:t xml:space="preserve"> experiment, </w:t>
      </w:r>
      <w:r w:rsidR="00682868">
        <w:rPr>
          <w:lang w:val="en-GB"/>
        </w:rPr>
        <w:t xml:space="preserve">a nonlinear regression is performed to update the parameter estimates, before repeating the cycle </w:t>
      </w:r>
      <w:r w:rsidR="00682868">
        <w:rPr>
          <w:lang w:val="en-GB"/>
        </w:rPr>
        <w:lastRenderedPageBreak/>
        <w:t>again,</w:t>
      </w:r>
      <w:r w:rsidR="00661347">
        <w:rPr>
          <w:lang w:val="en-GB"/>
        </w:rPr>
        <w:t xml:space="preserve"> </w:t>
      </w:r>
      <w:r w:rsidR="004265C4">
        <w:rPr>
          <w:lang w:val="en-GB"/>
        </w:rPr>
        <w:t>until</w:t>
      </w:r>
      <w:r w:rsidR="00661347">
        <w:rPr>
          <w:lang w:val="en-GB"/>
        </w:rPr>
        <w:t xml:space="preserve"> </w:t>
      </w:r>
      <w:r w:rsidR="00682868">
        <w:rPr>
          <w:lang w:val="en-GB"/>
        </w:rPr>
        <w:t xml:space="preserve">a </w:t>
      </w:r>
      <w:r w:rsidR="008E35E5" w:rsidRPr="008E35E5">
        <w:rPr>
          <w:lang w:val="en-GB"/>
        </w:rPr>
        <w:t>satisfactory</w:t>
      </w:r>
      <w:r w:rsidR="008E35E5">
        <w:rPr>
          <w:lang w:val="en-GB"/>
        </w:rPr>
        <w:t xml:space="preserve"> </w:t>
      </w:r>
      <w:r w:rsidR="00661347">
        <w:rPr>
          <w:lang w:val="en-GB"/>
        </w:rPr>
        <w:t xml:space="preserve">parameter accuracy is </w:t>
      </w:r>
      <w:r w:rsidR="00682868">
        <w:rPr>
          <w:lang w:val="en-GB"/>
        </w:rPr>
        <w:t>achieved</w:t>
      </w:r>
      <w:r w:rsidR="00661347">
        <w:rPr>
          <w:lang w:val="en-GB"/>
        </w:rPr>
        <w:t>.</w:t>
      </w:r>
      <w:r w:rsidR="00682868">
        <w:rPr>
          <w:lang w:val="en-GB"/>
        </w:rPr>
        <w:t xml:space="preserve"> The latter is </w:t>
      </w:r>
      <w:r w:rsidR="008E35E5">
        <w:rPr>
          <w:lang w:val="en-GB"/>
        </w:rPr>
        <w:t>quantified</w:t>
      </w:r>
      <w:r w:rsidR="00682868">
        <w:rPr>
          <w:lang w:val="en-GB"/>
        </w:rPr>
        <w:t xml:space="preserve"> by the 95</w:t>
      </w:r>
      <w:r w:rsidR="005D1ED4">
        <w:rPr>
          <w:lang w:val="en-GB"/>
        </w:rPr>
        <w:t>%</w:t>
      </w:r>
      <w:r w:rsidR="00682868">
        <w:rPr>
          <w:lang w:val="en-GB"/>
        </w:rPr>
        <w:t xml:space="preserve"> confidence intervals of the respective parameters</w:t>
      </w:r>
      <w:r w:rsidR="008E35E5">
        <w:rPr>
          <w:lang w:val="en-GB"/>
        </w:rPr>
        <w:t>.</w:t>
      </w:r>
      <w:r w:rsidR="000279CB">
        <w:rPr>
          <w:lang w:val="en-GB"/>
        </w:rPr>
        <w:t xml:space="preserve"> The experiments designed based on this method are </w:t>
      </w:r>
      <w:r w:rsidR="005A5D33">
        <w:rPr>
          <w:lang w:val="en-GB"/>
        </w:rPr>
        <w:t xml:space="preserve">described in detail in </w:t>
      </w:r>
      <w:r w:rsidR="00682868">
        <w:rPr>
          <w:lang w:val="en-GB"/>
        </w:rPr>
        <w:t xml:space="preserve">Section </w:t>
      </w:r>
      <w:r w:rsidR="005A5D33">
        <w:rPr>
          <w:lang w:val="en-GB"/>
        </w:rPr>
        <w:t>3.2.</w:t>
      </w:r>
      <w:r w:rsidR="000279CB">
        <w:rPr>
          <w:lang w:val="en-GB"/>
        </w:rPr>
        <w:t xml:space="preserve"> </w:t>
      </w:r>
    </w:p>
    <w:p w14:paraId="677EBFF0" w14:textId="554859DC" w:rsidR="00600535" w:rsidRPr="00B57B36" w:rsidRDefault="00E50446" w:rsidP="0060053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 xml:space="preserve">Results and </w:t>
      </w:r>
      <w:r w:rsidR="00463675">
        <w:rPr>
          <w:lang w:val="en-GB"/>
        </w:rPr>
        <w:t>d</w:t>
      </w:r>
      <w:r>
        <w:rPr>
          <w:lang w:val="en-GB"/>
        </w:rPr>
        <w:t>iscussion</w:t>
      </w:r>
    </w:p>
    <w:p w14:paraId="04963A06" w14:textId="3F7C1CBE" w:rsidR="00600535" w:rsidRPr="00B57B36" w:rsidRDefault="00AD2915" w:rsidP="00FA5F5F">
      <w:pPr>
        <w:pStyle w:val="CETheadingx"/>
      </w:pPr>
      <w:r>
        <w:t>Factorial Design of Experiments</w:t>
      </w:r>
    </w:p>
    <w:p w14:paraId="419D4B9E" w14:textId="02A3F639" w:rsidR="009243CB" w:rsidRDefault="007C751E" w:rsidP="00ED4AD9">
      <w:pPr>
        <w:pStyle w:val="CETBodytext"/>
        <w:rPr>
          <w:lang w:val="en-GB"/>
        </w:rPr>
      </w:pPr>
      <w:r>
        <w:rPr>
          <w:lang w:val="en-GB"/>
        </w:rPr>
        <w:t xml:space="preserve">The experimental data of the CCF design plan </w:t>
      </w:r>
      <w:r w:rsidR="00925EFE">
        <w:rPr>
          <w:lang w:val="en-GB"/>
        </w:rPr>
        <w:t>is</w:t>
      </w:r>
      <w:r>
        <w:rPr>
          <w:lang w:val="en-GB"/>
        </w:rPr>
        <w:t xml:space="preserve"> fitted </w:t>
      </w:r>
      <w:r w:rsidR="004416AE">
        <w:rPr>
          <w:lang w:val="en-GB"/>
        </w:rPr>
        <w:t xml:space="preserve">to </w:t>
      </w:r>
      <w:r>
        <w:rPr>
          <w:lang w:val="en-GB"/>
        </w:rPr>
        <w:t>the</w:t>
      </w:r>
      <w:r w:rsidR="009E4554">
        <w:rPr>
          <w:lang w:val="en-GB"/>
        </w:rPr>
        <w:t xml:space="preserve"> kinetic parameter of the reaction scheme shown in </w:t>
      </w:r>
      <w:r w:rsidR="00682868">
        <w:rPr>
          <w:lang w:val="en-GB"/>
        </w:rPr>
        <w:t xml:space="preserve">Figure </w:t>
      </w:r>
      <w:r w:rsidR="009E4554">
        <w:rPr>
          <w:lang w:val="en-GB"/>
        </w:rPr>
        <w:t>1.</w:t>
      </w:r>
      <w:r>
        <w:rPr>
          <w:lang w:val="en-GB"/>
        </w:rPr>
        <w:t xml:space="preserve"> The nonlinear regression </w:t>
      </w:r>
      <w:r w:rsidR="00925EFE">
        <w:rPr>
          <w:lang w:val="en-GB"/>
        </w:rPr>
        <w:t>is</w:t>
      </w:r>
      <w:r>
        <w:rPr>
          <w:lang w:val="en-GB"/>
        </w:rPr>
        <w:t xml:space="preserve"> performed </w:t>
      </w:r>
      <w:r w:rsidR="0065257D">
        <w:rPr>
          <w:lang w:val="en-GB"/>
        </w:rPr>
        <w:t>as non-linear curve-fitting problem</w:t>
      </w:r>
      <w:r>
        <w:rPr>
          <w:lang w:val="en-GB"/>
        </w:rPr>
        <w:t xml:space="preserve"> </w:t>
      </w:r>
      <w:r w:rsidR="0065257D">
        <w:rPr>
          <w:lang w:val="en-GB"/>
        </w:rPr>
        <w:t xml:space="preserve">using </w:t>
      </w:r>
      <w:proofErr w:type="spellStart"/>
      <w:r w:rsidRPr="007C751E">
        <w:rPr>
          <w:i/>
          <w:lang w:val="en-GB"/>
        </w:rPr>
        <w:t>lsqcurvefit</w:t>
      </w:r>
      <w:proofErr w:type="spellEnd"/>
      <w:r>
        <w:rPr>
          <w:lang w:val="en-GB"/>
        </w:rPr>
        <w:t xml:space="preserve"> in M</w:t>
      </w:r>
      <w:r w:rsidR="00F77DCE">
        <w:rPr>
          <w:lang w:val="en-GB"/>
        </w:rPr>
        <w:t>ATLAB</w:t>
      </w:r>
      <w:r w:rsidR="0065257D">
        <w:rPr>
          <w:lang w:val="en-GB"/>
        </w:rPr>
        <w:t>,</w:t>
      </w:r>
      <w:r>
        <w:rPr>
          <w:lang w:val="en-GB"/>
        </w:rPr>
        <w:t xml:space="preserve"> with the </w:t>
      </w:r>
      <w:r w:rsidRPr="007C751E">
        <w:rPr>
          <w:lang w:val="en-GB"/>
        </w:rPr>
        <w:t>trust-region-reflective</w:t>
      </w:r>
      <w:r>
        <w:rPr>
          <w:lang w:val="en-GB"/>
        </w:rPr>
        <w:t xml:space="preserve"> algorithm.</w:t>
      </w:r>
      <w:r w:rsidR="00AF6A11">
        <w:rPr>
          <w:lang w:val="en-GB"/>
        </w:rPr>
        <w:t xml:space="preserve"> </w:t>
      </w:r>
      <w:r w:rsidR="009243CB">
        <w:rPr>
          <w:lang w:val="en-GB"/>
        </w:rPr>
        <w:t xml:space="preserve">The estimated rate constants and the corresponding </w:t>
      </w:r>
      <w:r w:rsidR="004416AE">
        <w:rPr>
          <w:lang w:val="en-GB"/>
        </w:rPr>
        <w:t>95</w:t>
      </w:r>
      <w:r w:rsidR="005D1ED4">
        <w:rPr>
          <w:lang w:val="en-GB"/>
        </w:rPr>
        <w:t>%</w:t>
      </w:r>
      <w:r w:rsidR="004416AE">
        <w:rPr>
          <w:lang w:val="en-GB"/>
        </w:rPr>
        <w:t xml:space="preserve"> </w:t>
      </w:r>
      <w:r w:rsidR="009243CB">
        <w:rPr>
          <w:lang w:val="en-GB"/>
        </w:rPr>
        <w:t>confidence interval</w:t>
      </w:r>
      <w:r w:rsidR="00C76276">
        <w:rPr>
          <w:lang w:val="en-GB"/>
        </w:rPr>
        <w:t xml:space="preserve">s </w:t>
      </w:r>
      <w:r w:rsidR="00682868">
        <w:rPr>
          <w:lang w:val="en-GB"/>
        </w:rPr>
        <w:t xml:space="preserve">based on the experiments from the DOE </w:t>
      </w:r>
      <w:r w:rsidR="00C76276">
        <w:rPr>
          <w:lang w:val="en-GB"/>
        </w:rPr>
        <w:t xml:space="preserve">are given in </w:t>
      </w:r>
      <w:r w:rsidR="00682868">
        <w:rPr>
          <w:lang w:val="en-GB"/>
        </w:rPr>
        <w:t xml:space="preserve">Table </w:t>
      </w:r>
      <w:r w:rsidR="00C76276">
        <w:rPr>
          <w:lang w:val="en-GB"/>
        </w:rPr>
        <w:t>1.</w:t>
      </w:r>
    </w:p>
    <w:p w14:paraId="002A8E07" w14:textId="3C2C5CC8" w:rsidR="007C751E" w:rsidRPr="00B57B36" w:rsidRDefault="007C751E" w:rsidP="00822C40">
      <w:pPr>
        <w:pStyle w:val="CETTabletitle"/>
        <w:spacing w:before="120" w:after="120"/>
      </w:pPr>
      <w:r w:rsidRPr="00B57B36">
        <w:t xml:space="preserve">Table 1: </w:t>
      </w:r>
      <w:r w:rsidR="004E1264">
        <w:t>Kinetic parameter estimation for the factorial design plan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2268"/>
        <w:gridCol w:w="1701"/>
      </w:tblGrid>
      <w:tr w:rsidR="007C751E" w:rsidRPr="00B57B36" w14:paraId="09E288B1" w14:textId="77777777" w:rsidTr="00DF62B5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B975DF5" w14:textId="286469A2" w:rsidR="007C751E" w:rsidRPr="00B57B36" w:rsidRDefault="007C751E" w:rsidP="00EA35F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Rate Step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8FC81C7" w14:textId="7E13335A" w:rsidR="007C751E" w:rsidRPr="00B57B36" w:rsidRDefault="007C751E" w:rsidP="00EA35F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Pr="007C751E">
              <w:rPr>
                <w:vertAlign w:val="subscript"/>
                <w:lang w:val="en-GB"/>
              </w:rPr>
              <w:t>0</w:t>
            </w:r>
            <w:r>
              <w:rPr>
                <w:lang w:val="en-GB"/>
              </w:rPr>
              <w:t xml:space="preserve"> [L/mol/s]</w:t>
            </w:r>
          </w:p>
        </w:tc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A0BAE9A" w14:textId="415086E9" w:rsidR="007C751E" w:rsidRPr="00B57B36" w:rsidRDefault="007C751E" w:rsidP="00EA35F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7C751E">
              <w:rPr>
                <w:vertAlign w:val="subscript"/>
                <w:lang w:val="en-GB"/>
              </w:rPr>
              <w:t>A</w:t>
            </w:r>
            <w:r>
              <w:rPr>
                <w:lang w:val="en-GB"/>
              </w:rPr>
              <w:t xml:space="preserve"> [kJ/mol]</w:t>
            </w:r>
          </w:p>
        </w:tc>
      </w:tr>
      <w:tr w:rsidR="007C751E" w:rsidRPr="00B57B36" w14:paraId="56F43E17" w14:textId="77777777" w:rsidTr="00DF62B5">
        <w:tc>
          <w:tcPr>
            <w:tcW w:w="1134" w:type="dxa"/>
            <w:shd w:val="clear" w:color="auto" w:fill="FFFFFF"/>
          </w:tcPr>
          <w:p w14:paraId="52A2A5E6" w14:textId="290A511F" w:rsidR="007C751E" w:rsidRPr="00B57B36" w:rsidRDefault="007C751E" w:rsidP="00EA35F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14:paraId="44C339DA" w14:textId="41A470E5" w:rsidR="007C751E" w:rsidRPr="00B57B36" w:rsidRDefault="002A4EB8" w:rsidP="00EA35FE">
            <w:pPr>
              <w:pStyle w:val="CETBodytext"/>
              <w:rPr>
                <w:lang w:val="en-GB"/>
              </w:rPr>
            </w:pPr>
            <w:r w:rsidRPr="002A4EB8">
              <w:rPr>
                <w:lang w:val="en-GB"/>
              </w:rPr>
              <w:t>0</w:t>
            </w:r>
            <w:r>
              <w:rPr>
                <w:lang w:val="en-GB"/>
              </w:rPr>
              <w:t>.</w:t>
            </w:r>
            <w:r w:rsidRPr="002A4EB8">
              <w:rPr>
                <w:lang w:val="en-GB"/>
              </w:rPr>
              <w:t>158</w:t>
            </w:r>
            <w:r>
              <w:rPr>
                <w:lang w:val="en-GB"/>
              </w:rPr>
              <w:t xml:space="preserve"> </w:t>
            </w:r>
            <w:r w:rsidRPr="00327C67">
              <w:t>± 5</w:t>
            </w:r>
            <w:r w:rsidR="005D1ED4">
              <w:t>%</w:t>
            </w:r>
          </w:p>
        </w:tc>
        <w:tc>
          <w:tcPr>
            <w:tcW w:w="1701" w:type="dxa"/>
            <w:shd w:val="clear" w:color="auto" w:fill="FFFFFF"/>
          </w:tcPr>
          <w:p w14:paraId="108F3D1C" w14:textId="7E69BC0A" w:rsidR="007C751E" w:rsidRPr="00B57B36" w:rsidRDefault="002A4EB8" w:rsidP="00EA35F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49.5 </w:t>
            </w:r>
            <w:r w:rsidRPr="00327C67">
              <w:t>± 5</w:t>
            </w:r>
            <w:r>
              <w:t>.3</w:t>
            </w:r>
            <w:r w:rsidR="005D1ED4">
              <w:t>%</w:t>
            </w:r>
          </w:p>
        </w:tc>
      </w:tr>
      <w:tr w:rsidR="007C751E" w:rsidRPr="00B57B36" w14:paraId="162612C5" w14:textId="77777777" w:rsidTr="00DF62B5">
        <w:tc>
          <w:tcPr>
            <w:tcW w:w="1134" w:type="dxa"/>
            <w:shd w:val="clear" w:color="auto" w:fill="FFFFFF"/>
          </w:tcPr>
          <w:p w14:paraId="72FECD2C" w14:textId="0BD6E2BD" w:rsidR="007C751E" w:rsidRPr="00B57B36" w:rsidRDefault="007C751E" w:rsidP="00EA3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34120280" w14:textId="27DFC7BD" w:rsidR="007C751E" w:rsidRPr="00B57B36" w:rsidRDefault="002A4EB8" w:rsidP="00EA3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27C67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327C67">
              <w:rPr>
                <w:bCs/>
              </w:rPr>
              <w:t>0242</w:t>
            </w:r>
            <w:r>
              <w:rPr>
                <w:bCs/>
              </w:rPr>
              <w:t xml:space="preserve"> </w:t>
            </w:r>
            <w:r w:rsidRPr="00327C67">
              <w:t xml:space="preserve">± </w:t>
            </w:r>
            <w:r>
              <w:t>14</w:t>
            </w:r>
            <w:r w:rsidR="005D1ED4">
              <w:t>%</w:t>
            </w:r>
          </w:p>
        </w:tc>
        <w:tc>
          <w:tcPr>
            <w:tcW w:w="1701" w:type="dxa"/>
            <w:shd w:val="clear" w:color="auto" w:fill="FFFFFF"/>
          </w:tcPr>
          <w:p w14:paraId="31F6C989" w14:textId="0E199647" w:rsidR="007C751E" w:rsidRPr="00B57B36" w:rsidRDefault="002A4EB8" w:rsidP="00EA3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48.9 </w:t>
            </w:r>
            <w:r w:rsidRPr="00327C67">
              <w:t xml:space="preserve">± </w:t>
            </w:r>
            <w:r>
              <w:t>11</w:t>
            </w:r>
            <w:r w:rsidR="005D1ED4">
              <w:t>%</w:t>
            </w:r>
          </w:p>
        </w:tc>
      </w:tr>
      <w:tr w:rsidR="007C751E" w:rsidRPr="00B57B36" w14:paraId="68334C73" w14:textId="77777777" w:rsidTr="00DF62B5">
        <w:tc>
          <w:tcPr>
            <w:tcW w:w="1134" w:type="dxa"/>
            <w:shd w:val="clear" w:color="auto" w:fill="FFFFFF"/>
          </w:tcPr>
          <w:p w14:paraId="0D18FC0D" w14:textId="6006EC42" w:rsidR="007C751E" w:rsidRDefault="007C751E" w:rsidP="00EA3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14:paraId="128A35F3" w14:textId="49C66470" w:rsidR="007C751E" w:rsidRPr="00B57B36" w:rsidRDefault="002A4EB8" w:rsidP="00EA3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27C67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327C67">
              <w:rPr>
                <w:bCs/>
              </w:rPr>
              <w:t>55·10</w:t>
            </w:r>
            <w:r w:rsidRPr="00327C67">
              <w:rPr>
                <w:bCs/>
                <w:vertAlign w:val="superscript"/>
              </w:rPr>
              <w:t>-6</w:t>
            </w:r>
            <w:r>
              <w:rPr>
                <w:bCs/>
                <w:vertAlign w:val="superscript"/>
              </w:rPr>
              <w:t xml:space="preserve"> </w:t>
            </w:r>
            <w:r w:rsidRPr="00327C67">
              <w:t xml:space="preserve">± </w:t>
            </w:r>
            <w:r>
              <w:t>6900</w:t>
            </w:r>
            <w:r w:rsidR="005D1ED4">
              <w:t>%</w:t>
            </w:r>
          </w:p>
        </w:tc>
        <w:tc>
          <w:tcPr>
            <w:tcW w:w="1701" w:type="dxa"/>
            <w:shd w:val="clear" w:color="auto" w:fill="FFFFFF"/>
          </w:tcPr>
          <w:p w14:paraId="5B4459BB" w14:textId="59252643" w:rsidR="007C751E" w:rsidRPr="00B57B36" w:rsidRDefault="002A4EB8" w:rsidP="00EA3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76.2 </w:t>
            </w:r>
            <w:r w:rsidRPr="00327C67">
              <w:t xml:space="preserve">± </w:t>
            </w:r>
            <w:r>
              <w:t>2100</w:t>
            </w:r>
            <w:r w:rsidR="005D1ED4">
              <w:t>%</w:t>
            </w:r>
          </w:p>
        </w:tc>
      </w:tr>
      <w:tr w:rsidR="007C751E" w:rsidRPr="00B57B36" w14:paraId="06A7E6F4" w14:textId="77777777" w:rsidTr="00DF62B5">
        <w:tc>
          <w:tcPr>
            <w:tcW w:w="1134" w:type="dxa"/>
            <w:shd w:val="clear" w:color="auto" w:fill="FFFFFF"/>
          </w:tcPr>
          <w:p w14:paraId="1308B8BD" w14:textId="04A287FB" w:rsidR="007C751E" w:rsidRDefault="007C751E" w:rsidP="00EA3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14:paraId="50A3DFC9" w14:textId="1CB4C90D" w:rsidR="007C751E" w:rsidRPr="00B57B36" w:rsidRDefault="002A4EB8" w:rsidP="00EA3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327C67">
              <w:rPr>
                <w:bCs/>
              </w:rPr>
              <w:t>4</w:t>
            </w:r>
            <w:r>
              <w:rPr>
                <w:bCs/>
              </w:rPr>
              <w:t>.</w:t>
            </w:r>
            <w:r w:rsidRPr="00327C67">
              <w:rPr>
                <w:bCs/>
              </w:rPr>
              <w:t>36·10</w:t>
            </w:r>
            <w:r w:rsidRPr="00327C67">
              <w:rPr>
                <w:bCs/>
                <w:vertAlign w:val="superscript"/>
              </w:rPr>
              <w:t>-</w:t>
            </w:r>
            <w:r>
              <w:rPr>
                <w:bCs/>
                <w:vertAlign w:val="superscript"/>
              </w:rPr>
              <w:t xml:space="preserve">4 </w:t>
            </w:r>
            <w:r w:rsidRPr="00327C67">
              <w:t xml:space="preserve">± </w:t>
            </w:r>
            <w:r>
              <w:t>370</w:t>
            </w:r>
            <w:r w:rsidR="005D1ED4">
              <w:t>%</w:t>
            </w:r>
          </w:p>
        </w:tc>
        <w:tc>
          <w:tcPr>
            <w:tcW w:w="1701" w:type="dxa"/>
            <w:shd w:val="clear" w:color="auto" w:fill="FFFFFF"/>
          </w:tcPr>
          <w:p w14:paraId="39CCF38B" w14:textId="1672B46B" w:rsidR="007C751E" w:rsidRPr="00B57B36" w:rsidRDefault="002A4EB8" w:rsidP="00EA35F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62.6 </w:t>
            </w:r>
            <w:r w:rsidRPr="00327C67">
              <w:t xml:space="preserve">± </w:t>
            </w:r>
            <w:r>
              <w:t>140</w:t>
            </w:r>
            <w:r w:rsidR="005D1ED4">
              <w:t>%</w:t>
            </w:r>
          </w:p>
        </w:tc>
      </w:tr>
    </w:tbl>
    <w:p w14:paraId="3F7A1735" w14:textId="77777777" w:rsidR="008A2F4E" w:rsidRDefault="008A2F4E" w:rsidP="00E9509A">
      <w:pPr>
        <w:pStyle w:val="CETBodytext"/>
        <w:rPr>
          <w:lang w:val="en-GB"/>
        </w:rPr>
      </w:pPr>
    </w:p>
    <w:p w14:paraId="6EEE0535" w14:textId="545A1D03" w:rsidR="005845DF" w:rsidRDefault="00EC3029" w:rsidP="00E9509A">
      <w:pPr>
        <w:pStyle w:val="CETBodytext"/>
        <w:rPr>
          <w:rStyle w:val="tagtrans"/>
        </w:rPr>
      </w:pPr>
      <w:r>
        <w:rPr>
          <w:lang w:val="en-GB"/>
        </w:rPr>
        <w:t>The kinetic parameter</w:t>
      </w:r>
      <w:r w:rsidR="00925EFE">
        <w:rPr>
          <w:lang w:val="en-GB"/>
        </w:rPr>
        <w:t>s</w:t>
      </w:r>
      <w:r>
        <w:rPr>
          <w:lang w:val="en-GB"/>
        </w:rPr>
        <w:t xml:space="preserve"> for the first two rate steps </w:t>
      </w:r>
      <w:r w:rsidR="00925EFE">
        <w:rPr>
          <w:lang w:val="en-GB"/>
        </w:rPr>
        <w:t>are</w:t>
      </w:r>
      <w:r>
        <w:rPr>
          <w:lang w:val="en-GB"/>
        </w:rPr>
        <w:t xml:space="preserve"> estimated with a high accuracy and confidence intervals below 15</w:t>
      </w:r>
      <w:r w:rsidR="005D1ED4">
        <w:rPr>
          <w:lang w:val="en-GB"/>
        </w:rPr>
        <w:t>%</w:t>
      </w:r>
      <w:r>
        <w:rPr>
          <w:lang w:val="en-GB"/>
        </w:rPr>
        <w:t xml:space="preserve">. </w:t>
      </w:r>
      <w:r w:rsidR="00682868">
        <w:rPr>
          <w:lang w:val="en-GB"/>
        </w:rPr>
        <w:t>It is noticeable that t</w:t>
      </w:r>
      <w:r w:rsidR="00954849" w:rsidRPr="00954849">
        <w:rPr>
          <w:lang w:val="en-GB"/>
        </w:rPr>
        <w:t xml:space="preserve">he rate constant for reaction </w:t>
      </w:r>
      <w:r w:rsidR="008C40AE">
        <w:rPr>
          <w:lang w:val="en-GB"/>
        </w:rPr>
        <w:t>step</w:t>
      </w:r>
      <w:r w:rsidR="00954849" w:rsidRPr="00954849">
        <w:rPr>
          <w:lang w:val="en-GB"/>
        </w:rPr>
        <w:t xml:space="preserve"> 1 is significantly higher than for </w:t>
      </w:r>
      <w:r w:rsidR="00D84926">
        <w:rPr>
          <w:lang w:val="en-GB"/>
        </w:rPr>
        <w:t>step</w:t>
      </w:r>
      <w:r w:rsidR="00954849" w:rsidRPr="00954849">
        <w:rPr>
          <w:lang w:val="en-GB"/>
        </w:rPr>
        <w:t xml:space="preserve"> 2, while the activation energies are approximately the same.</w:t>
      </w:r>
      <w:r w:rsidR="00163551">
        <w:rPr>
          <w:lang w:val="en-GB"/>
        </w:rPr>
        <w:t xml:space="preserve"> This implies that c</w:t>
      </w:r>
      <w:r w:rsidR="00163551" w:rsidRPr="00163551">
        <w:rPr>
          <w:lang w:val="en-GB"/>
        </w:rPr>
        <w:t>omponent 3 is formed significantly faster than component 4.</w:t>
      </w:r>
      <w:r w:rsidR="00163551">
        <w:rPr>
          <w:lang w:val="en-GB"/>
        </w:rPr>
        <w:t xml:space="preserve"> </w:t>
      </w:r>
      <w:r w:rsidR="0039716D">
        <w:rPr>
          <w:lang w:val="en-GB"/>
        </w:rPr>
        <w:t>Unlike</w:t>
      </w:r>
      <w:r w:rsidR="006D5C5C" w:rsidRPr="006D5C5C">
        <w:rPr>
          <w:lang w:val="en-GB"/>
        </w:rPr>
        <w:t xml:space="preserve"> the first two </w:t>
      </w:r>
      <w:r w:rsidR="006D5C5C">
        <w:rPr>
          <w:lang w:val="en-GB"/>
        </w:rPr>
        <w:t xml:space="preserve">rate steps, the </w:t>
      </w:r>
      <w:r w:rsidR="0039716D">
        <w:rPr>
          <w:lang w:val="en-GB"/>
        </w:rPr>
        <w:t xml:space="preserve">kinetic parameters of the </w:t>
      </w:r>
      <w:r w:rsidR="006D5C5C">
        <w:rPr>
          <w:lang w:val="en-GB"/>
        </w:rPr>
        <w:t xml:space="preserve">two </w:t>
      </w:r>
      <w:r w:rsidR="006D5C5C">
        <w:rPr>
          <w:rStyle w:val="tagtrans"/>
        </w:rPr>
        <w:t xml:space="preserve">consecutive reactions </w:t>
      </w:r>
      <w:r w:rsidR="00D84926">
        <w:rPr>
          <w:rStyle w:val="tagtrans"/>
        </w:rPr>
        <w:t xml:space="preserve">to form the bi-substituted product </w:t>
      </w:r>
      <w:r w:rsidR="0039716D">
        <w:rPr>
          <w:rStyle w:val="tagtrans"/>
        </w:rPr>
        <w:t>are practically not identifiable,</w:t>
      </w:r>
      <w:r w:rsidR="006D5C5C">
        <w:rPr>
          <w:rStyle w:val="tagtrans"/>
        </w:rPr>
        <w:t xml:space="preserve"> </w:t>
      </w:r>
      <w:r w:rsidR="0039716D">
        <w:rPr>
          <w:rStyle w:val="tagtrans"/>
        </w:rPr>
        <w:t xml:space="preserve">indicated </w:t>
      </w:r>
      <w:r w:rsidR="006D5C5C">
        <w:rPr>
          <w:rStyle w:val="tagtrans"/>
        </w:rPr>
        <w:t xml:space="preserve">by the large confidence intervals. </w:t>
      </w:r>
      <w:r w:rsidR="00A57E45">
        <w:rPr>
          <w:rStyle w:val="tagtrans"/>
        </w:rPr>
        <w:t xml:space="preserve">In order to analyze the kinetic parameter estimation in more detail, </w:t>
      </w:r>
      <w:r w:rsidR="0039716D">
        <w:rPr>
          <w:rStyle w:val="tagtrans"/>
        </w:rPr>
        <w:t>Figure 3</w:t>
      </w:r>
      <w:r w:rsidR="00925EFE">
        <w:rPr>
          <w:rStyle w:val="tagtrans"/>
        </w:rPr>
        <w:t xml:space="preserve"> (a)</w:t>
      </w:r>
      <w:r w:rsidR="0039716D">
        <w:rPr>
          <w:rStyle w:val="tagtrans"/>
        </w:rPr>
        <w:t xml:space="preserve"> </w:t>
      </w:r>
      <w:r w:rsidR="00A57E45">
        <w:rPr>
          <w:rStyle w:val="tagtrans"/>
        </w:rPr>
        <w:t xml:space="preserve">shows the </w:t>
      </w:r>
      <w:r w:rsidR="00077190">
        <w:rPr>
          <w:rStyle w:val="tagtrans"/>
        </w:rPr>
        <w:t xml:space="preserve">molar </w:t>
      </w:r>
      <w:r w:rsidR="00077190" w:rsidRPr="00077190">
        <w:rPr>
          <w:rStyle w:val="tagtrans"/>
        </w:rPr>
        <w:t xml:space="preserve">composition </w:t>
      </w:r>
      <w:r w:rsidR="00077190">
        <w:rPr>
          <w:rStyle w:val="tagtrans"/>
        </w:rPr>
        <w:t xml:space="preserve">of the outlet concentration </w:t>
      </w:r>
      <w:r w:rsidR="00A57E45">
        <w:rPr>
          <w:rStyle w:val="tagtrans"/>
        </w:rPr>
        <w:t xml:space="preserve">for the experiments in dependency of the </w:t>
      </w:r>
      <w:proofErr w:type="spellStart"/>
      <w:r w:rsidR="00A57E45">
        <w:rPr>
          <w:rStyle w:val="tagtrans"/>
        </w:rPr>
        <w:t>Damköhler</w:t>
      </w:r>
      <w:proofErr w:type="spellEnd"/>
      <w:r w:rsidR="00A57E45">
        <w:rPr>
          <w:rStyle w:val="tagtrans"/>
        </w:rPr>
        <w:t xml:space="preserve"> number</w:t>
      </w:r>
      <w:r w:rsidR="00284E06">
        <w:rPr>
          <w:rStyle w:val="tagtrans"/>
        </w:rPr>
        <w:t xml:space="preserve"> </w:t>
      </w:r>
      <w:r w:rsidR="00284E06" w:rsidRPr="00284E06">
        <w:rPr>
          <w:rStyle w:val="tagtrans"/>
          <w:i/>
        </w:rPr>
        <w:t>Da</w:t>
      </w:r>
      <w:r w:rsidR="00A57E45">
        <w:rPr>
          <w:rStyle w:val="tagtrans"/>
        </w:rPr>
        <w:t xml:space="preserve">. The </w:t>
      </w:r>
      <w:proofErr w:type="spellStart"/>
      <w:r w:rsidR="00A57E45">
        <w:rPr>
          <w:rStyle w:val="tagtrans"/>
        </w:rPr>
        <w:t>Damköhler</w:t>
      </w:r>
      <w:proofErr w:type="spellEnd"/>
      <w:r w:rsidR="00A57E45">
        <w:rPr>
          <w:rStyle w:val="tagtrans"/>
        </w:rPr>
        <w:t xml:space="preserve"> number </w:t>
      </w:r>
      <w:r w:rsidR="00AA201E">
        <w:rPr>
          <w:rStyle w:val="tagtrans"/>
        </w:rPr>
        <w:t xml:space="preserve">is </w:t>
      </w:r>
      <w:r w:rsidR="0039716D">
        <w:rPr>
          <w:rStyle w:val="tagtrans"/>
        </w:rPr>
        <w:t xml:space="preserve">a </w:t>
      </w:r>
      <w:r w:rsidR="00AA201E">
        <w:rPr>
          <w:rStyle w:val="tagtrans"/>
        </w:rPr>
        <w:t xml:space="preserve">function of the input </w:t>
      </w:r>
      <w:r w:rsidR="00077190">
        <w:rPr>
          <w:rStyle w:val="tagtrans"/>
        </w:rPr>
        <w:t xml:space="preserve">design </w:t>
      </w:r>
      <w:r w:rsidR="00AA201E">
        <w:rPr>
          <w:rStyle w:val="tagtrans"/>
        </w:rPr>
        <w:t>parameters</w:t>
      </w:r>
      <w:r w:rsidR="00077190">
        <w:rPr>
          <w:rStyle w:val="tagtrans"/>
        </w:rPr>
        <w:t xml:space="preserve"> </w:t>
      </w:r>
      <w:r w:rsidR="00AA201E">
        <w:rPr>
          <w:rStyle w:val="tagtrans"/>
        </w:rPr>
        <w:t xml:space="preserve">and represents a measure for the relative reactivity. </w:t>
      </w:r>
    </w:p>
    <w:p w14:paraId="2D250674" w14:textId="5D0F7610" w:rsidR="00621548" w:rsidRDefault="003273E9" w:rsidP="00621548">
      <w:pPr>
        <w:pStyle w:val="CETBodytext"/>
        <w:jc w:val="center"/>
        <w:rPr>
          <w:rStyle w:val="tagtr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1D475" wp14:editId="6BE71F3E">
                <wp:simplePos x="0" y="0"/>
                <wp:positionH relativeFrom="column">
                  <wp:posOffset>4128135</wp:posOffset>
                </wp:positionH>
                <wp:positionV relativeFrom="paragraph">
                  <wp:posOffset>637209</wp:posOffset>
                </wp:positionV>
                <wp:extent cx="572135" cy="21463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43D50" w14:textId="07BD2CC0" w:rsidR="001568D8" w:rsidRPr="003273E9" w:rsidRDefault="001568D8" w:rsidP="001568D8">
                            <w:pPr>
                              <w:rPr>
                                <w:sz w:val="14"/>
                                <w:lang w:val="en-US"/>
                              </w:rPr>
                            </w:pPr>
                            <w:r w:rsidRPr="003273E9">
                              <w:rPr>
                                <w:sz w:val="14"/>
                                <w:lang w:val="en-US"/>
                              </w:rPr>
                              <w:t>-20</w:t>
                            </w:r>
                            <w:r w:rsidR="005D1ED4">
                              <w:rPr>
                                <w:sz w:val="14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1D47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325.05pt;margin-top:50.15pt;width:45.0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" filled="f" stroked="f" strokeweight=".5pt">
                <v:textbox>
                  <w:txbxContent>
                    <w:p w14:paraId="7D543D50" w14:textId="07BD2CC0" w:rsidR="001568D8" w:rsidRPr="003273E9" w:rsidRDefault="001568D8" w:rsidP="001568D8">
                      <w:pPr>
                        <w:rPr>
                          <w:sz w:val="14"/>
                          <w:lang w:val="en-US"/>
                        </w:rPr>
                      </w:pPr>
                      <w:r w:rsidRPr="003273E9">
                        <w:rPr>
                          <w:sz w:val="14"/>
                          <w:lang w:val="en-US"/>
                        </w:rPr>
                        <w:t>-20</w:t>
                      </w:r>
                      <w:r w:rsidR="005D1ED4">
                        <w:rPr>
                          <w:sz w:val="14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B3C46" wp14:editId="0098AA8A">
                <wp:simplePos x="0" y="0"/>
                <wp:positionH relativeFrom="column">
                  <wp:posOffset>3713176</wp:posOffset>
                </wp:positionH>
                <wp:positionV relativeFrom="paragraph">
                  <wp:posOffset>200660</wp:posOffset>
                </wp:positionV>
                <wp:extent cx="572135" cy="21463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A4085" w14:textId="313A0E17" w:rsidR="00DF42B4" w:rsidRPr="001568D8" w:rsidRDefault="001568D8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3273E9">
                              <w:rPr>
                                <w:sz w:val="14"/>
                                <w:lang w:val="en-US"/>
                              </w:rPr>
                              <w:t>+20</w:t>
                            </w:r>
                            <w:r w:rsidR="005D1ED4">
                              <w:rPr>
                                <w:sz w:val="14"/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3C46" id="Textfeld 7" o:spid="_x0000_s1027" type="#_x0000_t202" style="position:absolute;left:0;text-align:left;margin-left:292.4pt;margin-top:15.8pt;width:45.0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" filled="f" stroked="f" strokeweight=".5pt">
                <v:textbox>
                  <w:txbxContent>
                    <w:p w14:paraId="3EFA4085" w14:textId="313A0E17" w:rsidR="00DF42B4" w:rsidRPr="001568D8" w:rsidRDefault="001568D8">
                      <w:pPr>
                        <w:rPr>
                          <w:sz w:val="16"/>
                          <w:lang w:val="en-US"/>
                        </w:rPr>
                      </w:pPr>
                      <w:r w:rsidRPr="003273E9">
                        <w:rPr>
                          <w:sz w:val="14"/>
                          <w:lang w:val="en-US"/>
                        </w:rPr>
                        <w:t>+20</w:t>
                      </w:r>
                      <w:r w:rsidR="005D1ED4">
                        <w:rPr>
                          <w:sz w:val="14"/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621548" w:rsidRPr="00621548">
        <w:rPr>
          <w:rStyle w:val="tagtrans"/>
          <w:noProof/>
        </w:rPr>
        <w:drawing>
          <wp:inline distT="0" distB="0" distL="0" distR="0" wp14:anchorId="47F1DBD8" wp14:editId="48F60C8B">
            <wp:extent cx="4411607" cy="18000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60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0BD3C" w14:textId="38D808FE" w:rsidR="00E9509A" w:rsidRPr="00E9509A" w:rsidRDefault="00E9509A" w:rsidP="00822C40">
      <w:pPr>
        <w:pStyle w:val="CETCaption"/>
        <w:spacing w:before="120" w:after="120"/>
        <w:rPr>
          <w:rStyle w:val="tagtrans"/>
        </w:rPr>
      </w:pPr>
      <w:r w:rsidRPr="00BD077D">
        <w:rPr>
          <w:rStyle w:val="CETCaptionCarattere"/>
          <w:i/>
        </w:rPr>
        <w:t xml:space="preserve">Figure </w:t>
      </w:r>
      <w:r>
        <w:rPr>
          <w:rStyle w:val="CETCaptionCarattere"/>
          <w:i/>
        </w:rPr>
        <w:t>3</w:t>
      </w:r>
      <w:r w:rsidRPr="00BD077D">
        <w:rPr>
          <w:rStyle w:val="CETCaptionCarattere"/>
          <w:i/>
        </w:rPr>
        <w:t xml:space="preserve">: </w:t>
      </w:r>
      <w:r w:rsidR="00035C1A">
        <w:rPr>
          <w:rStyle w:val="CETCaptionCarattere"/>
          <w:i/>
        </w:rPr>
        <w:t xml:space="preserve">(a) </w:t>
      </w:r>
      <w:r>
        <w:rPr>
          <w:rStyle w:val="CETCaptionCarattere"/>
          <w:i/>
        </w:rPr>
        <w:t xml:space="preserve">Molar </w:t>
      </w:r>
      <w:bookmarkStart w:id="1" w:name="_Hlk126063061"/>
      <w:r w:rsidR="00423605">
        <w:rPr>
          <w:rStyle w:val="CETCaptionCarattere"/>
          <w:i/>
        </w:rPr>
        <w:t>composition</w:t>
      </w:r>
      <w:r>
        <w:rPr>
          <w:rStyle w:val="CETCaptionCarattere"/>
          <w:i/>
        </w:rPr>
        <w:t xml:space="preserve"> </w:t>
      </w:r>
      <w:bookmarkEnd w:id="1"/>
      <w:r>
        <w:rPr>
          <w:rStyle w:val="CETCaptionCarattere"/>
          <w:i/>
        </w:rPr>
        <w:t xml:space="preserve">for the </w:t>
      </w:r>
      <w:r w:rsidR="0039716D">
        <w:rPr>
          <w:rStyle w:val="CETCaptionCarattere"/>
          <w:i/>
        </w:rPr>
        <w:t xml:space="preserve">reactor </w:t>
      </w:r>
      <w:r>
        <w:rPr>
          <w:rStyle w:val="CETCaptionCarattere"/>
          <w:i/>
        </w:rPr>
        <w:t xml:space="preserve">outlet concentration of component (1), (3), (4) and (5) as function of the </w:t>
      </w:r>
      <w:proofErr w:type="spellStart"/>
      <w:r>
        <w:rPr>
          <w:rStyle w:val="CETCaptionCarattere"/>
          <w:i/>
        </w:rPr>
        <w:t>Damköhler</w:t>
      </w:r>
      <w:proofErr w:type="spellEnd"/>
      <w:r>
        <w:rPr>
          <w:rStyle w:val="CETCaptionCarattere"/>
          <w:i/>
        </w:rPr>
        <w:t xml:space="preserve"> number</w:t>
      </w:r>
      <w:r w:rsidR="00214316">
        <w:rPr>
          <w:rStyle w:val="CETCaptionCarattere"/>
          <w:i/>
        </w:rPr>
        <w:t xml:space="preserve"> and (b) parity plot showing experimental vs. modelled molar </w:t>
      </w:r>
      <w:r w:rsidR="000854C7">
        <w:rPr>
          <w:rStyle w:val="CETCaptionCarattere"/>
          <w:i/>
        </w:rPr>
        <w:t>composition</w:t>
      </w:r>
      <w:r>
        <w:rPr>
          <w:rStyle w:val="CETCaptionCarattere"/>
          <w:i/>
        </w:rPr>
        <w:t>.</w:t>
      </w:r>
      <w:r w:rsidRPr="00BD077D">
        <w:t xml:space="preserve"> </w:t>
      </w:r>
    </w:p>
    <w:p w14:paraId="6354D9B3" w14:textId="4525960B" w:rsidR="00EC3029" w:rsidRPr="00CA6093" w:rsidRDefault="00284E06" w:rsidP="00600535">
      <w:pPr>
        <w:pStyle w:val="CETBodytext"/>
      </w:pPr>
      <w:r>
        <w:rPr>
          <w:rStyle w:val="tagtrans"/>
        </w:rPr>
        <w:t xml:space="preserve">Figure </w:t>
      </w:r>
      <w:r w:rsidR="00C216FF">
        <w:rPr>
          <w:rStyle w:val="tagtrans"/>
        </w:rPr>
        <w:t>3</w:t>
      </w:r>
      <w:r w:rsidR="0039716D">
        <w:rPr>
          <w:rStyle w:val="tagtrans"/>
        </w:rPr>
        <w:t xml:space="preserve"> (</w:t>
      </w:r>
      <w:r w:rsidR="00180265">
        <w:rPr>
          <w:rStyle w:val="tagtrans"/>
        </w:rPr>
        <w:t>a</w:t>
      </w:r>
      <w:r w:rsidR="0039716D">
        <w:rPr>
          <w:rStyle w:val="tagtrans"/>
        </w:rPr>
        <w:t>)</w:t>
      </w:r>
      <w:r>
        <w:rPr>
          <w:rStyle w:val="tagtrans"/>
        </w:rPr>
        <w:t xml:space="preserve"> shows that component 3 is formed </w:t>
      </w:r>
      <w:r w:rsidR="001771B4">
        <w:rPr>
          <w:rStyle w:val="tagtrans"/>
        </w:rPr>
        <w:t>in excess compared to component 4 reaching a maximum selectivity of about 90</w:t>
      </w:r>
      <w:r w:rsidR="005D1ED4">
        <w:rPr>
          <w:rStyle w:val="tagtrans"/>
        </w:rPr>
        <w:t>%</w:t>
      </w:r>
      <w:r w:rsidR="000F7E0B">
        <w:rPr>
          <w:rStyle w:val="tagtrans"/>
        </w:rPr>
        <w:t xml:space="preserve"> at low </w:t>
      </w:r>
      <w:r w:rsidR="000F7E0B" w:rsidRPr="000F7E0B">
        <w:rPr>
          <w:rStyle w:val="tagtrans"/>
          <w:i/>
        </w:rPr>
        <w:t>Da</w:t>
      </w:r>
      <w:r w:rsidR="001771B4">
        <w:rPr>
          <w:rStyle w:val="tagtrans"/>
        </w:rPr>
        <w:t xml:space="preserve">. This </w:t>
      </w:r>
      <w:r w:rsidR="00737329">
        <w:rPr>
          <w:rStyle w:val="tagtrans"/>
        </w:rPr>
        <w:t>confirms</w:t>
      </w:r>
      <w:r w:rsidR="001771B4">
        <w:rPr>
          <w:rStyle w:val="tagtrans"/>
        </w:rPr>
        <w:t xml:space="preserve"> the estimated rate constants</w:t>
      </w:r>
      <w:r w:rsidR="00155337">
        <w:rPr>
          <w:rStyle w:val="tagtrans"/>
        </w:rPr>
        <w:t xml:space="preserve"> for step 1 and 2</w:t>
      </w:r>
      <w:r w:rsidR="001771B4">
        <w:rPr>
          <w:rStyle w:val="tagtrans"/>
        </w:rPr>
        <w:t xml:space="preserve">. </w:t>
      </w:r>
      <w:r w:rsidR="00A97355">
        <w:rPr>
          <w:rStyle w:val="tagtrans"/>
        </w:rPr>
        <w:t xml:space="preserve">While the molar </w:t>
      </w:r>
      <w:r w:rsidR="00423605" w:rsidRPr="00423605">
        <w:rPr>
          <w:rStyle w:val="tagtrans"/>
        </w:rPr>
        <w:t xml:space="preserve">composition </w:t>
      </w:r>
      <w:r w:rsidR="00A97355">
        <w:rPr>
          <w:rStyle w:val="tagtrans"/>
        </w:rPr>
        <w:t xml:space="preserve">of component 3 remains approximately constant with increasing </w:t>
      </w:r>
      <w:r w:rsidR="00A97355" w:rsidRPr="007A71C8">
        <w:rPr>
          <w:rStyle w:val="tagtrans"/>
          <w:i/>
        </w:rPr>
        <w:t>Da</w:t>
      </w:r>
      <w:r w:rsidR="00A97355">
        <w:rPr>
          <w:rStyle w:val="tagtrans"/>
        </w:rPr>
        <w:t xml:space="preserve">, component 4 is reduced </w:t>
      </w:r>
      <w:r w:rsidR="00394E5F">
        <w:rPr>
          <w:rStyle w:val="tagtrans"/>
        </w:rPr>
        <w:t xml:space="preserve">under extreme conditions </w:t>
      </w:r>
      <w:r w:rsidR="00A97355">
        <w:rPr>
          <w:rStyle w:val="tagtrans"/>
        </w:rPr>
        <w:t>result</w:t>
      </w:r>
      <w:r w:rsidR="00394E5F">
        <w:rPr>
          <w:rStyle w:val="tagtrans"/>
        </w:rPr>
        <w:t>ing</w:t>
      </w:r>
      <w:r w:rsidR="00A97355">
        <w:rPr>
          <w:rStyle w:val="tagtrans"/>
        </w:rPr>
        <w:t xml:space="preserve"> in a formation of component 5. </w:t>
      </w:r>
      <w:r w:rsidR="00231FA2">
        <w:rPr>
          <w:rStyle w:val="tagtrans"/>
        </w:rPr>
        <w:t xml:space="preserve">This indicates that rate step 4 is significantly faster than rate step </w:t>
      </w:r>
      <w:r w:rsidR="00C216FF">
        <w:rPr>
          <w:rStyle w:val="tagtrans"/>
        </w:rPr>
        <w:t>3</w:t>
      </w:r>
      <w:r w:rsidR="00231FA2">
        <w:rPr>
          <w:rStyle w:val="tagtrans"/>
        </w:rPr>
        <w:t xml:space="preserve"> which is negligible small under the given conditions.</w:t>
      </w:r>
      <w:r w:rsidR="000F298B">
        <w:rPr>
          <w:rStyle w:val="tagtrans"/>
        </w:rPr>
        <w:t xml:space="preserve"> </w:t>
      </w:r>
      <w:r w:rsidR="009738AA">
        <w:rPr>
          <w:rStyle w:val="tagtrans"/>
        </w:rPr>
        <w:t xml:space="preserve">The high uncertainties for the estimation of these rate steps </w:t>
      </w:r>
      <w:r w:rsidR="007B5BDF">
        <w:rPr>
          <w:rStyle w:val="tagtrans"/>
        </w:rPr>
        <w:t>are caused</w:t>
      </w:r>
      <w:r w:rsidR="009738AA">
        <w:rPr>
          <w:rStyle w:val="tagtrans"/>
        </w:rPr>
        <w:t xml:space="preserve"> </w:t>
      </w:r>
      <w:r w:rsidR="007B5BDF">
        <w:rPr>
          <w:rStyle w:val="tagtrans"/>
        </w:rPr>
        <w:t>by</w:t>
      </w:r>
      <w:r w:rsidR="009738AA">
        <w:rPr>
          <w:rStyle w:val="tagtrans"/>
        </w:rPr>
        <w:t xml:space="preserve"> the fact that </w:t>
      </w:r>
      <w:r w:rsidR="007B5BDF">
        <w:rPr>
          <w:rStyle w:val="tagtrans"/>
        </w:rPr>
        <w:t xml:space="preserve">the formation of component 5 is very small and only in one experiment at the highest </w:t>
      </w:r>
      <w:r w:rsidR="007B5BDF" w:rsidRPr="004E1264">
        <w:rPr>
          <w:rStyle w:val="tagtrans"/>
          <w:i/>
        </w:rPr>
        <w:t>Da</w:t>
      </w:r>
      <w:r w:rsidR="007B5BDF">
        <w:rPr>
          <w:rStyle w:val="tagtrans"/>
        </w:rPr>
        <w:t xml:space="preserve"> a selectivity of close to 10</w:t>
      </w:r>
      <w:r w:rsidR="005D1ED4">
        <w:rPr>
          <w:rStyle w:val="tagtrans"/>
        </w:rPr>
        <w:t>%</w:t>
      </w:r>
      <w:r w:rsidR="00A75965">
        <w:rPr>
          <w:rStyle w:val="tagtrans"/>
        </w:rPr>
        <w:t xml:space="preserve"> is reached.</w:t>
      </w:r>
      <w:r w:rsidR="006E7840">
        <w:rPr>
          <w:rStyle w:val="tagtrans"/>
        </w:rPr>
        <w:t xml:space="preserve"> </w:t>
      </w:r>
      <w:r w:rsidR="0039716D">
        <w:rPr>
          <w:rStyle w:val="tagtrans"/>
        </w:rPr>
        <w:t>It is important to note that despite the high uncertainty</w:t>
      </w:r>
      <w:r w:rsidR="006E7840" w:rsidRPr="006E7840">
        <w:rPr>
          <w:rStyle w:val="tagtrans"/>
        </w:rPr>
        <w:t xml:space="preserve">, the </w:t>
      </w:r>
      <w:r w:rsidR="0039716D">
        <w:rPr>
          <w:rStyle w:val="tagtrans"/>
        </w:rPr>
        <w:t xml:space="preserve">model provides a good approximation of the </w:t>
      </w:r>
      <w:r w:rsidR="006E7840" w:rsidRPr="006E7840">
        <w:rPr>
          <w:rStyle w:val="tagtrans"/>
        </w:rPr>
        <w:t xml:space="preserve">experimental </w:t>
      </w:r>
      <w:r w:rsidR="006E7840">
        <w:rPr>
          <w:rStyle w:val="tagtrans"/>
        </w:rPr>
        <w:t>values</w:t>
      </w:r>
      <w:r w:rsidR="006E7840" w:rsidRPr="006E7840">
        <w:rPr>
          <w:rStyle w:val="tagtrans"/>
        </w:rPr>
        <w:t xml:space="preserve"> </w:t>
      </w:r>
      <w:r w:rsidR="0039716D">
        <w:rPr>
          <w:rStyle w:val="tagtrans"/>
        </w:rPr>
        <w:t xml:space="preserve">as indicated in the parity plot in </w:t>
      </w:r>
      <w:r w:rsidR="0039716D" w:rsidRPr="006E7840">
        <w:rPr>
          <w:rStyle w:val="tagtrans"/>
        </w:rPr>
        <w:t xml:space="preserve">Figure </w:t>
      </w:r>
      <w:r w:rsidR="0039716D">
        <w:rPr>
          <w:rStyle w:val="tagtrans"/>
        </w:rPr>
        <w:t>3 (b)</w:t>
      </w:r>
      <w:r w:rsidR="006E7840" w:rsidRPr="006E7840">
        <w:rPr>
          <w:rStyle w:val="tagtrans"/>
        </w:rPr>
        <w:t>.</w:t>
      </w:r>
      <w:r w:rsidR="006E7840">
        <w:rPr>
          <w:rStyle w:val="tagtrans"/>
        </w:rPr>
        <w:t xml:space="preserve"> </w:t>
      </w:r>
      <w:r w:rsidR="00CB7A05">
        <w:rPr>
          <w:rStyle w:val="tagtrans"/>
        </w:rPr>
        <w:t>O</w:t>
      </w:r>
      <w:r w:rsidR="004C168C">
        <w:rPr>
          <w:rStyle w:val="tagtrans"/>
        </w:rPr>
        <w:t xml:space="preserve">nly </w:t>
      </w:r>
      <w:r w:rsidR="0039716D">
        <w:rPr>
          <w:rStyle w:val="tagtrans"/>
        </w:rPr>
        <w:t xml:space="preserve">at low </w:t>
      </w:r>
      <w:r w:rsidR="00423605" w:rsidRPr="00423605">
        <w:rPr>
          <w:rStyle w:val="tagtrans"/>
        </w:rPr>
        <w:t xml:space="preserve">composition </w:t>
      </w:r>
      <w:r w:rsidR="004C168C">
        <w:rPr>
          <w:rStyle w:val="tagtrans"/>
        </w:rPr>
        <w:t xml:space="preserve">of component 1 </w:t>
      </w:r>
      <w:r w:rsidR="00782949">
        <w:rPr>
          <w:rStyle w:val="tagtrans"/>
        </w:rPr>
        <w:t>noticeable deviations above the 20</w:t>
      </w:r>
      <w:r w:rsidR="005D1ED4">
        <w:rPr>
          <w:rStyle w:val="tagtrans"/>
        </w:rPr>
        <w:t>%</w:t>
      </w:r>
      <w:r w:rsidR="00782949">
        <w:rPr>
          <w:rStyle w:val="tagtrans"/>
        </w:rPr>
        <w:t xml:space="preserve"> lines </w:t>
      </w:r>
      <w:r w:rsidR="004C168C">
        <w:rPr>
          <w:rStyle w:val="tagtrans"/>
        </w:rPr>
        <w:t xml:space="preserve">are </w:t>
      </w:r>
      <w:r w:rsidR="00CB7A05">
        <w:rPr>
          <w:rStyle w:val="tagtrans"/>
        </w:rPr>
        <w:t xml:space="preserve">found, </w:t>
      </w:r>
      <w:r w:rsidR="00CB7A05" w:rsidRPr="00CB7A05">
        <w:rPr>
          <w:rStyle w:val="tagtrans"/>
        </w:rPr>
        <w:t xml:space="preserve">which </w:t>
      </w:r>
      <w:r w:rsidR="00782949">
        <w:rPr>
          <w:rStyle w:val="tagtrans"/>
        </w:rPr>
        <w:t>relate to</w:t>
      </w:r>
      <w:r w:rsidR="00CB7A05" w:rsidRPr="00CB7A05">
        <w:rPr>
          <w:rStyle w:val="tagtrans"/>
        </w:rPr>
        <w:t xml:space="preserve"> higher inaccuracies of the HPLC at </w:t>
      </w:r>
      <w:r w:rsidR="00782949">
        <w:rPr>
          <w:rStyle w:val="tagtrans"/>
        </w:rPr>
        <w:t>these</w:t>
      </w:r>
      <w:r w:rsidR="00782949" w:rsidRPr="00CB7A05">
        <w:rPr>
          <w:rStyle w:val="tagtrans"/>
        </w:rPr>
        <w:t xml:space="preserve"> </w:t>
      </w:r>
      <w:r w:rsidR="00CB7A05" w:rsidRPr="00CB7A05">
        <w:rPr>
          <w:rStyle w:val="tagtrans"/>
        </w:rPr>
        <w:t>concentrations</w:t>
      </w:r>
      <w:r w:rsidR="00CB7A05">
        <w:rPr>
          <w:rStyle w:val="tagtrans"/>
        </w:rPr>
        <w:t>.</w:t>
      </w:r>
      <w:r w:rsidR="00E426EA">
        <w:rPr>
          <w:rStyle w:val="tagtrans"/>
        </w:rPr>
        <w:t xml:space="preserve"> </w:t>
      </w:r>
      <w:r w:rsidR="00782949">
        <w:rPr>
          <w:rStyle w:val="tagtrans"/>
        </w:rPr>
        <w:t>However</w:t>
      </w:r>
      <w:r w:rsidR="00192EF3">
        <w:rPr>
          <w:rStyle w:val="tagtrans"/>
        </w:rPr>
        <w:t>,</w:t>
      </w:r>
      <w:r w:rsidR="00782949">
        <w:rPr>
          <w:rStyle w:val="tagtrans"/>
        </w:rPr>
        <w:t xml:space="preserve"> due to the limited data on the consecutive reactions it can be concluded that</w:t>
      </w:r>
      <w:r w:rsidR="00192EF3">
        <w:rPr>
          <w:rStyle w:val="tagtrans"/>
        </w:rPr>
        <w:t xml:space="preserve"> the estimated kinetic model is capable to accurately predict the first two rate steps, </w:t>
      </w:r>
      <w:r w:rsidR="00782949">
        <w:rPr>
          <w:rStyle w:val="tagtrans"/>
        </w:rPr>
        <w:t xml:space="preserve">while </w:t>
      </w:r>
      <w:r w:rsidR="00192EF3">
        <w:rPr>
          <w:rStyle w:val="tagtrans"/>
        </w:rPr>
        <w:t xml:space="preserve">the prediction of the consecutive reactions </w:t>
      </w:r>
      <w:r w:rsidR="00782949">
        <w:rPr>
          <w:rStyle w:val="tagtrans"/>
        </w:rPr>
        <w:t>is highly uncertain, limiting the</w:t>
      </w:r>
      <w:r w:rsidR="00192EF3" w:rsidRPr="00192EF3">
        <w:rPr>
          <w:rStyle w:val="tagtrans"/>
        </w:rPr>
        <w:t xml:space="preserve"> </w:t>
      </w:r>
      <w:proofErr w:type="spellStart"/>
      <w:r w:rsidR="00192EF3" w:rsidRPr="00192EF3">
        <w:rPr>
          <w:rStyle w:val="tagtrans"/>
        </w:rPr>
        <w:t>extrapolability</w:t>
      </w:r>
      <w:proofErr w:type="spellEnd"/>
      <w:r w:rsidR="00192EF3" w:rsidRPr="00192EF3">
        <w:rPr>
          <w:rStyle w:val="tagtrans"/>
        </w:rPr>
        <w:t xml:space="preserve"> of the model</w:t>
      </w:r>
      <w:r w:rsidR="00192EF3">
        <w:rPr>
          <w:rStyle w:val="tagtrans"/>
        </w:rPr>
        <w:t xml:space="preserve">. </w:t>
      </w:r>
      <w:r w:rsidR="00E426EA">
        <w:rPr>
          <w:rStyle w:val="tagtrans"/>
        </w:rPr>
        <w:t xml:space="preserve">Therefore, in the next step the </w:t>
      </w:r>
      <w:r w:rsidR="00D16CE1">
        <w:rPr>
          <w:rStyle w:val="tagtrans"/>
        </w:rPr>
        <w:t xml:space="preserve">design </w:t>
      </w:r>
      <w:r w:rsidR="00E426EA">
        <w:rPr>
          <w:rStyle w:val="tagtrans"/>
        </w:rPr>
        <w:t xml:space="preserve">concept of </w:t>
      </w:r>
      <w:proofErr w:type="spellStart"/>
      <w:r w:rsidR="00E426EA">
        <w:rPr>
          <w:rStyle w:val="tagtrans"/>
        </w:rPr>
        <w:t>MBDoE</w:t>
      </w:r>
      <w:proofErr w:type="spellEnd"/>
      <w:r w:rsidR="00E426EA">
        <w:rPr>
          <w:rStyle w:val="tagtrans"/>
        </w:rPr>
        <w:t xml:space="preserve"> is used to improve the quality of the kinetic model</w:t>
      </w:r>
      <w:r w:rsidR="00B94F0A">
        <w:rPr>
          <w:rStyle w:val="tagtrans"/>
        </w:rPr>
        <w:t xml:space="preserve"> </w:t>
      </w:r>
      <w:r w:rsidR="00034E41">
        <w:rPr>
          <w:rStyle w:val="tagtrans"/>
        </w:rPr>
        <w:t>especially in regards of the consecutive reactions</w:t>
      </w:r>
      <w:r w:rsidR="00E426EA">
        <w:rPr>
          <w:rStyle w:val="tagtrans"/>
        </w:rPr>
        <w:t xml:space="preserve">.  </w:t>
      </w:r>
    </w:p>
    <w:p w14:paraId="1F96CA21" w14:textId="11569480" w:rsidR="00600535" w:rsidRPr="00B57B36" w:rsidRDefault="00AD2915" w:rsidP="00FA5F5F">
      <w:pPr>
        <w:pStyle w:val="CETheadingx"/>
      </w:pPr>
      <w:r>
        <w:lastRenderedPageBreak/>
        <w:t>Model-Based Design of Experiments</w:t>
      </w:r>
    </w:p>
    <w:p w14:paraId="21EC7C71" w14:textId="4CBDAC52" w:rsidR="00B657E6" w:rsidRDefault="00F81AF6" w:rsidP="00822C40">
      <w:pPr>
        <w:pStyle w:val="CETBodytext"/>
        <w:spacing w:after="40"/>
        <w:rPr>
          <w:lang w:val="en-GB"/>
        </w:rPr>
      </w:pPr>
      <w:r w:rsidRPr="00F81AF6">
        <w:rPr>
          <w:lang w:val="en-GB"/>
        </w:rPr>
        <w:t xml:space="preserve">Based on </w:t>
      </w:r>
      <w:r w:rsidR="003B6974">
        <w:rPr>
          <w:lang w:val="en-GB"/>
        </w:rPr>
        <w:t>the</w:t>
      </w:r>
      <w:r w:rsidRPr="00F81AF6">
        <w:rPr>
          <w:lang w:val="en-GB"/>
        </w:rPr>
        <w:t xml:space="preserve"> initial </w:t>
      </w:r>
      <w:r w:rsidR="00782949">
        <w:rPr>
          <w:lang w:val="en-GB"/>
        </w:rPr>
        <w:t xml:space="preserve">four </w:t>
      </w:r>
      <w:r w:rsidRPr="00F81AF6">
        <w:rPr>
          <w:lang w:val="en-GB"/>
        </w:rPr>
        <w:t>experiments</w:t>
      </w:r>
      <w:r w:rsidR="00782949">
        <w:rPr>
          <w:lang w:val="en-GB"/>
        </w:rPr>
        <w:t xml:space="preserve"> extracted from the CCF</w:t>
      </w:r>
      <w:r w:rsidRPr="00F81AF6">
        <w:rPr>
          <w:lang w:val="en-GB"/>
        </w:rPr>
        <w:t>,</w:t>
      </w:r>
      <w:r>
        <w:rPr>
          <w:lang w:val="en-GB"/>
        </w:rPr>
        <w:t xml:space="preserve"> a first estimation of the kinetic </w:t>
      </w:r>
      <w:r w:rsidR="00782949">
        <w:rPr>
          <w:lang w:val="en-GB"/>
        </w:rPr>
        <w:t xml:space="preserve">parameters </w:t>
      </w:r>
      <w:r w:rsidR="00145650">
        <w:rPr>
          <w:lang w:val="en-GB"/>
        </w:rPr>
        <w:t>is</w:t>
      </w:r>
      <w:r w:rsidR="00782949">
        <w:rPr>
          <w:lang w:val="en-GB"/>
        </w:rPr>
        <w:t xml:space="preserve"> performed</w:t>
      </w:r>
      <w:r w:rsidR="0026105F">
        <w:rPr>
          <w:lang w:val="en-GB"/>
        </w:rPr>
        <w:t xml:space="preserve">. </w:t>
      </w:r>
      <w:r w:rsidR="00782949">
        <w:rPr>
          <w:lang w:val="en-GB"/>
        </w:rPr>
        <w:t>Next a</w:t>
      </w:r>
      <w:r w:rsidR="0026105F">
        <w:rPr>
          <w:lang w:val="en-GB"/>
        </w:rPr>
        <w:t xml:space="preserve"> D-optimal </w:t>
      </w:r>
      <w:proofErr w:type="spellStart"/>
      <w:r w:rsidR="00782949">
        <w:rPr>
          <w:lang w:val="en-GB"/>
        </w:rPr>
        <w:t>MBDoE</w:t>
      </w:r>
      <w:proofErr w:type="spellEnd"/>
      <w:r w:rsidR="00782949">
        <w:rPr>
          <w:lang w:val="en-GB"/>
        </w:rPr>
        <w:t xml:space="preserve"> is performed </w:t>
      </w:r>
      <w:r w:rsidR="0026105F">
        <w:rPr>
          <w:lang w:val="en-GB"/>
        </w:rPr>
        <w:t>in order to find the next best experiment</w:t>
      </w:r>
      <w:r w:rsidR="00782949">
        <w:rPr>
          <w:lang w:val="en-GB"/>
        </w:rPr>
        <w:t>al condition</w:t>
      </w:r>
      <w:r w:rsidR="0026105F">
        <w:rPr>
          <w:lang w:val="en-GB"/>
        </w:rPr>
        <w:t xml:space="preserve">s providing a high level of information. </w:t>
      </w:r>
      <w:r w:rsidR="00782949">
        <w:rPr>
          <w:lang w:val="en-GB"/>
        </w:rPr>
        <w:t>Since</w:t>
      </w:r>
      <w:r w:rsidR="003A672B">
        <w:rPr>
          <w:lang w:val="en-GB"/>
        </w:rPr>
        <w:t xml:space="preserve"> the </w:t>
      </w:r>
      <w:r w:rsidR="00DC464A">
        <w:rPr>
          <w:lang w:val="en-GB"/>
        </w:rPr>
        <w:t xml:space="preserve">inlet concentration </w:t>
      </w:r>
      <w:r w:rsidR="00184783">
        <w:rPr>
          <w:lang w:val="en-GB"/>
        </w:rPr>
        <w:t>cannot</w:t>
      </w:r>
      <w:r w:rsidR="00DC464A">
        <w:rPr>
          <w:lang w:val="en-GB"/>
        </w:rPr>
        <w:t xml:space="preserve"> be adjusted continuously during operation and the feed solution</w:t>
      </w:r>
      <w:r w:rsidR="009C016C">
        <w:rPr>
          <w:lang w:val="en-GB"/>
        </w:rPr>
        <w:t>s</w:t>
      </w:r>
      <w:r w:rsidR="00DC464A">
        <w:rPr>
          <w:lang w:val="en-GB"/>
        </w:rPr>
        <w:t xml:space="preserve"> need to be prepared </w:t>
      </w:r>
      <w:r w:rsidR="00782949">
        <w:rPr>
          <w:lang w:val="en-GB"/>
        </w:rPr>
        <w:t>in advance</w:t>
      </w:r>
      <w:r w:rsidR="00DC464A">
        <w:rPr>
          <w:lang w:val="en-GB"/>
        </w:rPr>
        <w:t>, only residence time and temperature</w:t>
      </w:r>
      <w:r w:rsidR="00782949">
        <w:rPr>
          <w:lang w:val="en-GB"/>
        </w:rPr>
        <w:t xml:space="preserve"> </w:t>
      </w:r>
      <w:r w:rsidR="00145650">
        <w:rPr>
          <w:lang w:val="en-GB"/>
        </w:rPr>
        <w:t>are</w:t>
      </w:r>
      <w:r w:rsidR="00782949">
        <w:rPr>
          <w:lang w:val="en-GB"/>
        </w:rPr>
        <w:t xml:space="preserve"> considered as variables, determining D-optimal experiments</w:t>
      </w:r>
      <w:r w:rsidR="00DC464A">
        <w:rPr>
          <w:lang w:val="en-GB"/>
        </w:rPr>
        <w:t xml:space="preserve"> for low concentration of pyrrolidine at 0.05 mol/L and at high concentration of 0.5 mol/L. </w:t>
      </w:r>
      <w:r w:rsidR="00782949">
        <w:rPr>
          <w:lang w:val="en-GB"/>
        </w:rPr>
        <w:t>These</w:t>
      </w:r>
      <w:r w:rsidR="003B6974" w:rsidRPr="003B6974">
        <w:rPr>
          <w:lang w:val="en-GB"/>
        </w:rPr>
        <w:t xml:space="preserve"> two </w:t>
      </w:r>
      <w:r w:rsidR="00782949">
        <w:rPr>
          <w:lang w:val="en-GB"/>
        </w:rPr>
        <w:t xml:space="preserve">respective </w:t>
      </w:r>
      <w:r w:rsidR="003B6974" w:rsidRPr="003B6974">
        <w:rPr>
          <w:lang w:val="en-GB"/>
        </w:rPr>
        <w:t xml:space="preserve">experiments </w:t>
      </w:r>
      <w:r w:rsidR="00145650">
        <w:rPr>
          <w:lang w:val="en-GB"/>
        </w:rPr>
        <w:t>are</w:t>
      </w:r>
      <w:r w:rsidR="00782949" w:rsidRPr="003B6974">
        <w:rPr>
          <w:lang w:val="en-GB"/>
        </w:rPr>
        <w:t xml:space="preserve"> </w:t>
      </w:r>
      <w:r w:rsidR="003B6974" w:rsidRPr="003B6974">
        <w:rPr>
          <w:lang w:val="en-GB"/>
        </w:rPr>
        <w:t xml:space="preserve">performed </w:t>
      </w:r>
      <w:r w:rsidR="00782949">
        <w:rPr>
          <w:lang w:val="en-GB"/>
        </w:rPr>
        <w:t>in</w:t>
      </w:r>
      <w:r w:rsidR="00782949" w:rsidRPr="003B6974">
        <w:rPr>
          <w:lang w:val="en-GB"/>
        </w:rPr>
        <w:t xml:space="preserve"> </w:t>
      </w:r>
      <w:r w:rsidR="003B6974" w:rsidRPr="003B6974">
        <w:rPr>
          <w:lang w:val="en-GB"/>
        </w:rPr>
        <w:t xml:space="preserve">each </w:t>
      </w:r>
      <w:proofErr w:type="spellStart"/>
      <w:r w:rsidR="003B6974" w:rsidRPr="003B6974">
        <w:rPr>
          <w:lang w:val="en-GB"/>
        </w:rPr>
        <w:t>MBDoE</w:t>
      </w:r>
      <w:proofErr w:type="spellEnd"/>
      <w:r w:rsidR="003B6974" w:rsidRPr="003B6974">
        <w:rPr>
          <w:lang w:val="en-GB"/>
        </w:rPr>
        <w:t xml:space="preserve"> iteration</w:t>
      </w:r>
      <w:r w:rsidR="00782949">
        <w:rPr>
          <w:lang w:val="en-GB"/>
        </w:rPr>
        <w:t xml:space="preserve"> with a successive refinement of the kinetic parameters by nonlinear regression</w:t>
      </w:r>
      <w:r w:rsidR="00DC464A">
        <w:rPr>
          <w:lang w:val="en-GB"/>
        </w:rPr>
        <w:t xml:space="preserve">. </w:t>
      </w:r>
    </w:p>
    <w:p w14:paraId="41DA6ABC" w14:textId="2FDAC027" w:rsidR="007946CB" w:rsidRDefault="00684B6C" w:rsidP="00AF61D7">
      <w:pPr>
        <w:pStyle w:val="CETBodytext"/>
        <w:jc w:val="center"/>
        <w:rPr>
          <w:lang w:val="en-GB"/>
        </w:rPr>
      </w:pPr>
      <w:r w:rsidRPr="00684B6C">
        <w:rPr>
          <w:noProof/>
          <w:lang w:val="en-GB"/>
        </w:rPr>
        <w:drawing>
          <wp:inline distT="0" distB="0" distL="0" distR="0" wp14:anchorId="63539335" wp14:editId="44894B2A">
            <wp:extent cx="1947275" cy="1260000"/>
            <wp:effectExtent l="0" t="0" r="0" b="0"/>
            <wp:docPr id="98" name="Grafi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7275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B6C">
        <w:rPr>
          <w:noProof/>
          <w:lang w:val="en-GB"/>
        </w:rPr>
        <w:drawing>
          <wp:inline distT="0" distB="0" distL="0" distR="0" wp14:anchorId="02DDCDDE" wp14:editId="5E0406A3">
            <wp:extent cx="1862870" cy="1260000"/>
            <wp:effectExtent l="0" t="0" r="4445" b="0"/>
            <wp:docPr id="99" name="Grafi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287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2A0CB" w14:textId="7DEB7DAA" w:rsidR="007D678F" w:rsidRPr="00E9509A" w:rsidRDefault="007D678F" w:rsidP="00822C40">
      <w:pPr>
        <w:pStyle w:val="CETCaption"/>
        <w:spacing w:before="100" w:after="100"/>
        <w:rPr>
          <w:rStyle w:val="tagtrans"/>
        </w:rPr>
      </w:pPr>
      <w:r w:rsidRPr="00BD077D">
        <w:rPr>
          <w:rStyle w:val="CETCaptionCarattere"/>
          <w:i/>
        </w:rPr>
        <w:t xml:space="preserve">Figure </w:t>
      </w:r>
      <w:r>
        <w:rPr>
          <w:rStyle w:val="CETCaptionCarattere"/>
          <w:i/>
        </w:rPr>
        <w:t>4</w:t>
      </w:r>
      <w:r w:rsidRPr="00BD077D">
        <w:rPr>
          <w:rStyle w:val="CETCaptionCarattere"/>
          <w:i/>
        </w:rPr>
        <w:t xml:space="preserve">: </w:t>
      </w:r>
      <w:r>
        <w:rPr>
          <w:rStyle w:val="CETCaptionCarattere"/>
          <w:i/>
        </w:rPr>
        <w:t xml:space="preserve">D-optimal design criteria determined from the initial experiments as function of the residence time and the temperature at constant inlet concentration </w:t>
      </w:r>
      <w:r w:rsidR="004408F1">
        <w:rPr>
          <w:rStyle w:val="CETCaptionCarattere"/>
          <w:i/>
        </w:rPr>
        <w:t xml:space="preserve">of component (2) for </w:t>
      </w:r>
      <w:r w:rsidR="00637848">
        <w:rPr>
          <w:rStyle w:val="CETCaptionCarattere"/>
          <w:i/>
        </w:rPr>
        <w:t xml:space="preserve">(a) </w:t>
      </w:r>
      <w:r w:rsidR="004408F1">
        <w:rPr>
          <w:rStyle w:val="CETCaptionCarattere"/>
          <w:i/>
        </w:rPr>
        <w:t xml:space="preserve">0.05 mol/L and </w:t>
      </w:r>
      <w:r w:rsidR="00637848">
        <w:rPr>
          <w:rStyle w:val="CETCaptionCarattere"/>
          <w:i/>
        </w:rPr>
        <w:t xml:space="preserve">(b) </w:t>
      </w:r>
      <w:r w:rsidR="004408F1">
        <w:rPr>
          <w:rStyle w:val="CETCaptionCarattere"/>
          <w:i/>
        </w:rPr>
        <w:t>0.5 mol/L</w:t>
      </w:r>
      <w:r>
        <w:rPr>
          <w:rStyle w:val="CETCaptionCarattere"/>
          <w:i/>
        </w:rPr>
        <w:t>.</w:t>
      </w:r>
      <w:r w:rsidRPr="00BD077D">
        <w:t xml:space="preserve"> </w:t>
      </w:r>
    </w:p>
    <w:p w14:paraId="4B060024" w14:textId="0234B431" w:rsidR="0052730F" w:rsidRDefault="0032010E" w:rsidP="00DF4782">
      <w:pPr>
        <w:pStyle w:val="CETBodytext"/>
        <w:rPr>
          <w:lang w:val="en-GB"/>
        </w:rPr>
      </w:pPr>
      <w:r w:rsidRPr="009C016C">
        <w:rPr>
          <w:lang w:val="en-GB"/>
        </w:rPr>
        <w:t xml:space="preserve">Figure 4 exemplarily </w:t>
      </w:r>
      <w:r>
        <w:rPr>
          <w:lang w:val="en-GB"/>
        </w:rPr>
        <w:t xml:space="preserve">illustrates </w:t>
      </w:r>
      <w:r w:rsidRPr="009C016C">
        <w:rPr>
          <w:lang w:val="en-GB"/>
        </w:rPr>
        <w:t xml:space="preserve">the objective function of the D-optimal criterion </w:t>
      </w:r>
      <w:r w:rsidR="0065257D">
        <w:rPr>
          <w:lang w:val="en-GB"/>
        </w:rPr>
        <w:t xml:space="preserve">objective for the first optimally planned experiment, based </w:t>
      </w:r>
      <w:r>
        <w:rPr>
          <w:lang w:val="en-GB"/>
        </w:rPr>
        <w:t>on the initial experiments, evaluated for varying</w:t>
      </w:r>
      <w:r w:rsidR="00A068FF">
        <w:rPr>
          <w:lang w:val="en-GB"/>
        </w:rPr>
        <w:t xml:space="preserve"> residence time and temperature</w:t>
      </w:r>
      <w:r w:rsidR="00A068FF" w:rsidRPr="00A068FF">
        <w:rPr>
          <w:lang w:val="en-GB"/>
        </w:rPr>
        <w:t xml:space="preserve"> </w:t>
      </w:r>
      <w:r w:rsidR="00A068FF">
        <w:rPr>
          <w:lang w:val="en-GB"/>
        </w:rPr>
        <w:t xml:space="preserve">for </w:t>
      </w:r>
      <w:r w:rsidR="008E54D5">
        <w:rPr>
          <w:lang w:val="en-GB"/>
        </w:rPr>
        <w:t xml:space="preserve">(a) </w:t>
      </w:r>
      <w:r w:rsidR="00A068FF">
        <w:rPr>
          <w:lang w:val="en-GB"/>
        </w:rPr>
        <w:t xml:space="preserve">low and </w:t>
      </w:r>
      <w:r w:rsidR="00997E3B">
        <w:rPr>
          <w:lang w:val="en-GB"/>
        </w:rPr>
        <w:t xml:space="preserve">(b) </w:t>
      </w:r>
      <w:r w:rsidR="00A068FF">
        <w:rPr>
          <w:lang w:val="en-GB"/>
        </w:rPr>
        <w:t xml:space="preserve">high pyrrolidine concentration. </w:t>
      </w:r>
      <w:r w:rsidR="005137A5">
        <w:rPr>
          <w:lang w:val="en-GB"/>
        </w:rPr>
        <w:t>For</w:t>
      </w:r>
      <w:r w:rsidR="00A068FF">
        <w:rPr>
          <w:lang w:val="en-GB"/>
        </w:rPr>
        <w:t xml:space="preserve"> low pyrrolidine concentration a</w:t>
      </w:r>
      <w:r w:rsidR="00FD71C8">
        <w:rPr>
          <w:lang w:val="en-GB"/>
        </w:rPr>
        <w:t xml:space="preserve"> local</w:t>
      </w:r>
      <w:r w:rsidR="00A068FF">
        <w:rPr>
          <w:lang w:val="en-GB"/>
        </w:rPr>
        <w:t xml:space="preserve"> optimum </w:t>
      </w:r>
      <w:r w:rsidR="00D921E2">
        <w:rPr>
          <w:lang w:val="en-GB"/>
        </w:rPr>
        <w:t>occurs</w:t>
      </w:r>
      <w:r w:rsidR="00A068FF">
        <w:rPr>
          <w:lang w:val="en-GB"/>
        </w:rPr>
        <w:t xml:space="preserve"> at low residence time and high temperature</w:t>
      </w:r>
      <w:r>
        <w:rPr>
          <w:lang w:val="en-GB"/>
        </w:rPr>
        <w:t>, while</w:t>
      </w:r>
      <w:r w:rsidR="00A068FF">
        <w:rPr>
          <w:lang w:val="en-GB"/>
        </w:rPr>
        <w:t xml:space="preserve"> </w:t>
      </w:r>
      <w:r w:rsidR="00572F20">
        <w:rPr>
          <w:lang w:val="en-GB"/>
        </w:rPr>
        <w:t>at</w:t>
      </w:r>
      <w:r w:rsidR="00A068FF">
        <w:rPr>
          <w:lang w:val="en-GB"/>
        </w:rPr>
        <w:t xml:space="preserve"> high </w:t>
      </w:r>
      <w:r>
        <w:rPr>
          <w:lang w:val="en-GB"/>
        </w:rPr>
        <w:t xml:space="preserve">pyrrolidine </w:t>
      </w:r>
      <w:r w:rsidR="00A068FF">
        <w:rPr>
          <w:lang w:val="en-GB"/>
        </w:rPr>
        <w:t>concentration</w:t>
      </w:r>
      <w:r w:rsidR="00572F20">
        <w:rPr>
          <w:lang w:val="en-GB"/>
        </w:rPr>
        <w:t xml:space="preserve">, </w:t>
      </w:r>
      <w:r>
        <w:rPr>
          <w:lang w:val="en-GB"/>
        </w:rPr>
        <w:t xml:space="preserve">the </w:t>
      </w:r>
      <w:r w:rsidR="00572F20">
        <w:rPr>
          <w:lang w:val="en-GB"/>
        </w:rPr>
        <w:t>optimum</w:t>
      </w:r>
      <w:r w:rsidR="00A068FF">
        <w:rPr>
          <w:lang w:val="en-GB"/>
        </w:rPr>
        <w:t xml:space="preserve"> </w:t>
      </w:r>
      <w:r>
        <w:rPr>
          <w:lang w:val="en-GB"/>
        </w:rPr>
        <w:t>occurs</w:t>
      </w:r>
      <w:r w:rsidR="00A068FF">
        <w:rPr>
          <w:lang w:val="en-GB"/>
        </w:rPr>
        <w:t xml:space="preserve"> at high residence time and a temperature of 60 °C. Consequently, these two experiments are performed during the </w:t>
      </w:r>
      <w:r>
        <w:rPr>
          <w:lang w:val="en-GB"/>
        </w:rPr>
        <w:t xml:space="preserve">first </w:t>
      </w:r>
      <w:proofErr w:type="spellStart"/>
      <w:r w:rsidR="00A068FF">
        <w:rPr>
          <w:lang w:val="en-GB"/>
        </w:rPr>
        <w:t>MBDoE</w:t>
      </w:r>
      <w:proofErr w:type="spellEnd"/>
      <w:r w:rsidR="00A068FF">
        <w:rPr>
          <w:lang w:val="en-GB"/>
        </w:rPr>
        <w:t xml:space="preserve"> </w:t>
      </w:r>
      <w:r>
        <w:rPr>
          <w:lang w:val="en-GB"/>
        </w:rPr>
        <w:t>iteration</w:t>
      </w:r>
      <w:r w:rsidR="00A068FF">
        <w:rPr>
          <w:lang w:val="en-GB"/>
        </w:rPr>
        <w:t>.</w:t>
      </w:r>
      <w:r w:rsidR="007B6A65">
        <w:rPr>
          <w:lang w:val="en-GB"/>
        </w:rPr>
        <w:t xml:space="preserve"> </w:t>
      </w:r>
      <w:r w:rsidR="00DF4782">
        <w:rPr>
          <w:lang w:val="en-GB"/>
        </w:rPr>
        <w:t>Th</w:t>
      </w:r>
      <w:r>
        <w:rPr>
          <w:lang w:val="en-GB"/>
        </w:rPr>
        <w:t>r</w:t>
      </w:r>
      <w:r w:rsidR="00DF4782">
        <w:rPr>
          <w:lang w:val="en-GB"/>
        </w:rPr>
        <w:t>e</w:t>
      </w:r>
      <w:r>
        <w:rPr>
          <w:lang w:val="en-GB"/>
        </w:rPr>
        <w:t>e</w:t>
      </w:r>
      <w:r w:rsidR="00DF4782">
        <w:rPr>
          <w:lang w:val="en-GB"/>
        </w:rPr>
        <w:t xml:space="preserve"> </w:t>
      </w:r>
      <w:proofErr w:type="spellStart"/>
      <w:r>
        <w:rPr>
          <w:lang w:val="en-GB"/>
        </w:rPr>
        <w:t>MBDoE</w:t>
      </w:r>
      <w:proofErr w:type="spellEnd"/>
      <w:r>
        <w:rPr>
          <w:lang w:val="en-GB"/>
        </w:rPr>
        <w:t xml:space="preserve"> iterations </w:t>
      </w:r>
      <w:r w:rsidR="00D32C4A">
        <w:rPr>
          <w:lang w:val="en-GB"/>
        </w:rPr>
        <w:t>are</w:t>
      </w:r>
      <w:r w:rsidR="00DF4782">
        <w:rPr>
          <w:lang w:val="en-GB"/>
        </w:rPr>
        <w:t xml:space="preserve"> </w:t>
      </w:r>
      <w:r>
        <w:rPr>
          <w:lang w:val="en-GB"/>
        </w:rPr>
        <w:t>performed, resulting</w:t>
      </w:r>
      <w:r w:rsidR="00DF4782">
        <w:rPr>
          <w:lang w:val="en-GB"/>
        </w:rPr>
        <w:t xml:space="preserve"> in </w:t>
      </w:r>
      <w:r>
        <w:rPr>
          <w:lang w:val="en-GB"/>
        </w:rPr>
        <w:t xml:space="preserve">a </w:t>
      </w:r>
      <w:r w:rsidR="00DF4782">
        <w:rPr>
          <w:lang w:val="en-GB"/>
        </w:rPr>
        <w:t xml:space="preserve">total </w:t>
      </w:r>
      <w:r>
        <w:rPr>
          <w:lang w:val="en-GB"/>
        </w:rPr>
        <w:t xml:space="preserve">of </w:t>
      </w:r>
      <w:r w:rsidR="00DF4782">
        <w:rPr>
          <w:lang w:val="en-GB"/>
        </w:rPr>
        <w:t>ten experiments</w:t>
      </w:r>
      <w:r>
        <w:rPr>
          <w:lang w:val="en-GB"/>
        </w:rPr>
        <w:t>,</w:t>
      </w:r>
      <w:r w:rsidR="00DF4782">
        <w:rPr>
          <w:lang w:val="en-GB"/>
        </w:rPr>
        <w:t xml:space="preserve"> including the initial </w:t>
      </w:r>
      <w:r>
        <w:rPr>
          <w:lang w:val="en-GB"/>
        </w:rPr>
        <w:t xml:space="preserve">four CCF </w:t>
      </w:r>
      <w:r w:rsidR="00DF4782">
        <w:rPr>
          <w:lang w:val="en-GB"/>
        </w:rPr>
        <w:t xml:space="preserve">experiments. </w:t>
      </w:r>
      <w:r>
        <w:rPr>
          <w:lang w:val="en-GB"/>
        </w:rPr>
        <w:t xml:space="preserve">Thus, the </w:t>
      </w:r>
      <w:proofErr w:type="spellStart"/>
      <w:r>
        <w:rPr>
          <w:lang w:val="en-GB"/>
        </w:rPr>
        <w:t>MBDoE</w:t>
      </w:r>
      <w:proofErr w:type="spellEnd"/>
      <w:r>
        <w:rPr>
          <w:lang w:val="en-GB"/>
        </w:rPr>
        <w:t xml:space="preserve"> approach </w:t>
      </w:r>
      <w:r w:rsidR="00950438">
        <w:rPr>
          <w:lang w:val="en-GB"/>
        </w:rPr>
        <w:t>is</w:t>
      </w:r>
      <w:r>
        <w:rPr>
          <w:lang w:val="en-GB"/>
        </w:rPr>
        <w:t xml:space="preserve"> conducted with 1/3 less experiments compared to the full CCF design. </w:t>
      </w:r>
      <w:r w:rsidR="00DF4782">
        <w:rPr>
          <w:lang w:val="en-GB"/>
        </w:rPr>
        <w:t xml:space="preserve">Figure 5 shows the estimated kinetic </w:t>
      </w:r>
      <w:r>
        <w:rPr>
          <w:lang w:val="en-GB"/>
        </w:rPr>
        <w:t xml:space="preserve">parameters and </w:t>
      </w:r>
      <w:r w:rsidR="00DF4782">
        <w:rPr>
          <w:lang w:val="en-GB"/>
        </w:rPr>
        <w:t>the corresponding confidence interval for each iteration.</w:t>
      </w:r>
    </w:p>
    <w:p w14:paraId="4CE7AF56" w14:textId="5E8C4DB2" w:rsidR="00444774" w:rsidRDefault="00444774" w:rsidP="008F5543">
      <w:pPr>
        <w:pStyle w:val="CETBodytext"/>
        <w:jc w:val="center"/>
        <w:rPr>
          <w:lang w:val="en-GB"/>
        </w:rPr>
      </w:pPr>
      <w:r w:rsidRPr="00444774">
        <w:rPr>
          <w:noProof/>
        </w:rPr>
        <w:drawing>
          <wp:inline distT="0" distB="0" distL="0" distR="0" wp14:anchorId="7049EEED" wp14:editId="54C3BE3C">
            <wp:extent cx="5398950" cy="108000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5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953F5" w14:textId="011EE187" w:rsidR="004408F1" w:rsidRPr="00E9509A" w:rsidRDefault="004408F1" w:rsidP="00822C40">
      <w:pPr>
        <w:pStyle w:val="CETCaption"/>
        <w:spacing w:before="100" w:after="100"/>
        <w:rPr>
          <w:rStyle w:val="tagtrans"/>
        </w:rPr>
      </w:pPr>
      <w:r w:rsidRPr="00BD077D">
        <w:rPr>
          <w:rStyle w:val="CETCaptionCarattere"/>
          <w:i/>
        </w:rPr>
        <w:t xml:space="preserve">Figure </w:t>
      </w:r>
      <w:r w:rsidR="00674AE9">
        <w:rPr>
          <w:rStyle w:val="CETCaptionCarattere"/>
          <w:i/>
        </w:rPr>
        <w:t>5</w:t>
      </w:r>
      <w:r w:rsidRPr="00BD077D">
        <w:rPr>
          <w:rStyle w:val="CETCaptionCarattere"/>
          <w:i/>
        </w:rPr>
        <w:t xml:space="preserve">: </w:t>
      </w:r>
      <w:r>
        <w:rPr>
          <w:rStyle w:val="CETCaptionCarattere"/>
          <w:i/>
        </w:rPr>
        <w:t xml:space="preserve">Kinetic constants and their corresponding confidence interval as function of the iteration </w:t>
      </w:r>
      <w:r w:rsidR="005845DF">
        <w:rPr>
          <w:rStyle w:val="CETCaptionCarattere"/>
          <w:i/>
        </w:rPr>
        <w:t>for</w:t>
      </w:r>
      <w:r>
        <w:rPr>
          <w:rStyle w:val="CETCaptionCarattere"/>
          <w:i/>
        </w:rPr>
        <w:t xml:space="preserve"> Model-Based Design of Experiments. </w:t>
      </w:r>
    </w:p>
    <w:p w14:paraId="5930CBE7" w14:textId="199222FD" w:rsidR="008F5543" w:rsidRDefault="0038260F" w:rsidP="00DE1445">
      <w:pPr>
        <w:pStyle w:val="CETBodytext"/>
        <w:rPr>
          <w:lang w:val="en-GB"/>
        </w:rPr>
      </w:pPr>
      <w:r>
        <w:rPr>
          <w:lang w:val="en-GB"/>
        </w:rPr>
        <w:t>Apparently</w:t>
      </w:r>
      <w:r w:rsidR="00C1351B">
        <w:rPr>
          <w:lang w:val="en-GB"/>
        </w:rPr>
        <w:t xml:space="preserve">, the confidence intervals </w:t>
      </w:r>
      <w:r w:rsidR="00145650">
        <w:rPr>
          <w:lang w:val="en-GB"/>
        </w:rPr>
        <w:t>are</w:t>
      </w:r>
      <w:r>
        <w:rPr>
          <w:lang w:val="en-GB"/>
        </w:rPr>
        <w:t xml:space="preserve"> effectively</w:t>
      </w:r>
      <w:r w:rsidR="00C1351B">
        <w:rPr>
          <w:lang w:val="en-GB"/>
        </w:rPr>
        <w:t xml:space="preserve"> </w:t>
      </w:r>
      <w:r>
        <w:rPr>
          <w:lang w:val="en-GB"/>
        </w:rPr>
        <w:t>reduced</w:t>
      </w:r>
      <w:r w:rsidR="00C1351B">
        <w:rPr>
          <w:lang w:val="en-GB"/>
        </w:rPr>
        <w:t xml:space="preserve"> </w:t>
      </w:r>
      <w:r>
        <w:rPr>
          <w:lang w:val="en-GB"/>
        </w:rPr>
        <w:t xml:space="preserve">in each </w:t>
      </w:r>
      <w:r w:rsidR="00C1351B">
        <w:rPr>
          <w:lang w:val="en-GB"/>
        </w:rPr>
        <w:t>iteration</w:t>
      </w:r>
      <w:r>
        <w:rPr>
          <w:lang w:val="en-GB"/>
        </w:rPr>
        <w:t xml:space="preserve"> of the </w:t>
      </w:r>
      <w:proofErr w:type="spellStart"/>
      <w:r>
        <w:rPr>
          <w:lang w:val="en-GB"/>
        </w:rPr>
        <w:t>MBDoE</w:t>
      </w:r>
      <w:proofErr w:type="spellEnd"/>
      <w:r w:rsidR="00C1351B">
        <w:rPr>
          <w:lang w:val="en-GB"/>
        </w:rPr>
        <w:t xml:space="preserve">. </w:t>
      </w:r>
      <w:r w:rsidR="004914F7" w:rsidRPr="004914F7">
        <w:rPr>
          <w:lang w:val="en-GB"/>
        </w:rPr>
        <w:t xml:space="preserve">For example, the confidence interval for </w:t>
      </w:r>
      <w:r w:rsidR="00E74632">
        <w:rPr>
          <w:lang w:val="en-GB"/>
        </w:rPr>
        <w:t xml:space="preserve">rate constant </w:t>
      </w:r>
      <w:r w:rsidR="004914F7" w:rsidRPr="00EF77FF">
        <w:rPr>
          <w:i/>
          <w:lang w:val="en-GB"/>
        </w:rPr>
        <w:t>k</w:t>
      </w:r>
      <w:r w:rsidR="0022335C" w:rsidRPr="00EF77FF">
        <w:rPr>
          <w:i/>
          <w:vertAlign w:val="subscript"/>
          <w:lang w:val="en-GB"/>
        </w:rPr>
        <w:t>0,2</w:t>
      </w:r>
      <w:r w:rsidR="004914F7">
        <w:rPr>
          <w:lang w:val="en-GB"/>
        </w:rPr>
        <w:t xml:space="preserve"> </w:t>
      </w:r>
      <w:r w:rsidR="00145650">
        <w:rPr>
          <w:lang w:val="en-GB"/>
        </w:rPr>
        <w:t>is</w:t>
      </w:r>
      <w:r>
        <w:rPr>
          <w:lang w:val="en-GB"/>
        </w:rPr>
        <w:t xml:space="preserve"> </w:t>
      </w:r>
      <w:r w:rsidR="0022335C">
        <w:rPr>
          <w:lang w:val="en-GB"/>
        </w:rPr>
        <w:t xml:space="preserve">improved from </w:t>
      </w:r>
      <w:r w:rsidR="002C008A" w:rsidRPr="002C008A">
        <w:rPr>
          <w:lang w:val="en-GB"/>
        </w:rPr>
        <w:t>4</w:t>
      </w:r>
      <w:r w:rsidR="00B65D9F">
        <w:rPr>
          <w:lang w:val="en-GB"/>
        </w:rPr>
        <w:t>0</w:t>
      </w:r>
      <w:r w:rsidR="005D1ED4">
        <w:rPr>
          <w:lang w:val="en-GB"/>
        </w:rPr>
        <w:t>%</w:t>
      </w:r>
      <w:r w:rsidR="0022335C">
        <w:rPr>
          <w:lang w:val="en-GB"/>
        </w:rPr>
        <w:t xml:space="preserve"> for the initial experiments to </w:t>
      </w:r>
      <w:r w:rsidR="008F5543" w:rsidRPr="008F5543">
        <w:rPr>
          <w:lang w:val="en-GB"/>
        </w:rPr>
        <w:t>5.5</w:t>
      </w:r>
      <w:r w:rsidR="005D1ED4">
        <w:rPr>
          <w:lang w:val="en-GB"/>
        </w:rPr>
        <w:t>%</w:t>
      </w:r>
      <w:r w:rsidR="0022335C" w:rsidRPr="008F5543">
        <w:rPr>
          <w:lang w:val="en-GB"/>
        </w:rPr>
        <w:t xml:space="preserve"> </w:t>
      </w:r>
      <w:r w:rsidR="0022335C">
        <w:rPr>
          <w:lang w:val="en-GB"/>
        </w:rPr>
        <w:t xml:space="preserve">with the additional </w:t>
      </w:r>
      <w:r>
        <w:rPr>
          <w:lang w:val="en-GB"/>
        </w:rPr>
        <w:t xml:space="preserve">three </w:t>
      </w:r>
      <w:r w:rsidR="0022335C">
        <w:rPr>
          <w:lang w:val="en-GB"/>
        </w:rPr>
        <w:t>experiments</w:t>
      </w:r>
      <w:r>
        <w:rPr>
          <w:lang w:val="en-GB"/>
        </w:rPr>
        <w:t xml:space="preserve">, while an accurate estimate of rate constant </w:t>
      </w:r>
      <w:r w:rsidRPr="00EF77FF">
        <w:rPr>
          <w:i/>
          <w:lang w:val="en-GB"/>
        </w:rPr>
        <w:t>k</w:t>
      </w:r>
      <w:r w:rsidRPr="00EF77FF">
        <w:rPr>
          <w:i/>
          <w:vertAlign w:val="subscript"/>
          <w:lang w:val="en-GB"/>
        </w:rPr>
        <w:t>0,</w:t>
      </w:r>
      <w:r>
        <w:rPr>
          <w:i/>
          <w:vertAlign w:val="subscript"/>
          <w:lang w:val="en-GB"/>
        </w:rPr>
        <w:t>1</w:t>
      </w:r>
      <w:r>
        <w:rPr>
          <w:lang w:val="en-GB"/>
        </w:rPr>
        <w:t xml:space="preserve"> </w:t>
      </w:r>
      <w:r w:rsidR="00145650">
        <w:rPr>
          <w:lang w:val="en-GB"/>
        </w:rPr>
        <w:t>is</w:t>
      </w:r>
      <w:r>
        <w:rPr>
          <w:lang w:val="en-GB"/>
        </w:rPr>
        <w:t xml:space="preserve"> determined after the first iteration</w:t>
      </w:r>
      <w:r w:rsidR="0022335C">
        <w:rPr>
          <w:lang w:val="en-GB"/>
        </w:rPr>
        <w:t xml:space="preserve">. </w:t>
      </w:r>
      <w:r w:rsidR="00E74632">
        <w:rPr>
          <w:lang w:val="en-GB"/>
        </w:rPr>
        <w:t xml:space="preserve">Also, </w:t>
      </w:r>
      <w:r w:rsidR="00E74632" w:rsidRPr="00EF77FF">
        <w:rPr>
          <w:i/>
          <w:lang w:val="en-GB"/>
        </w:rPr>
        <w:t>k</w:t>
      </w:r>
      <w:r w:rsidR="00E74632" w:rsidRPr="00EF77FF">
        <w:rPr>
          <w:i/>
          <w:vertAlign w:val="subscript"/>
          <w:lang w:val="en-GB"/>
        </w:rPr>
        <w:t>0,3</w:t>
      </w:r>
      <w:r>
        <w:rPr>
          <w:lang w:val="en-GB"/>
        </w:rPr>
        <w:t xml:space="preserve"> and </w:t>
      </w:r>
      <w:r w:rsidRPr="00EF77FF">
        <w:rPr>
          <w:i/>
          <w:lang w:val="en-GB"/>
        </w:rPr>
        <w:t>k</w:t>
      </w:r>
      <w:r w:rsidRPr="00EF77FF">
        <w:rPr>
          <w:i/>
          <w:vertAlign w:val="subscript"/>
          <w:lang w:val="en-GB"/>
        </w:rPr>
        <w:t>0,</w:t>
      </w:r>
      <w:r>
        <w:rPr>
          <w:i/>
          <w:vertAlign w:val="subscript"/>
          <w:lang w:val="en-GB"/>
        </w:rPr>
        <w:t>4</w:t>
      </w:r>
      <w:r w:rsidR="00E74632">
        <w:rPr>
          <w:lang w:val="en-GB"/>
        </w:rPr>
        <w:t xml:space="preserve">, which </w:t>
      </w:r>
      <w:r w:rsidR="00145650">
        <w:rPr>
          <w:lang w:val="en-GB"/>
        </w:rPr>
        <w:t>are</w:t>
      </w:r>
      <w:r>
        <w:rPr>
          <w:lang w:val="en-GB"/>
        </w:rPr>
        <w:t xml:space="preserve"> </w:t>
      </w:r>
      <w:r w:rsidR="00E74632">
        <w:rPr>
          <w:lang w:val="en-GB"/>
        </w:rPr>
        <w:t xml:space="preserve">practically unidentifiable with the CCF design, </w:t>
      </w:r>
      <w:r>
        <w:rPr>
          <w:lang w:val="en-GB"/>
        </w:rPr>
        <w:t>are</w:t>
      </w:r>
      <w:r w:rsidR="00E74632" w:rsidRPr="00E74632">
        <w:rPr>
          <w:lang w:val="en-GB"/>
        </w:rPr>
        <w:t xml:space="preserve"> determined with confidence interval</w:t>
      </w:r>
      <w:r>
        <w:rPr>
          <w:lang w:val="en-GB"/>
        </w:rPr>
        <w:t>s</w:t>
      </w:r>
      <w:r w:rsidR="00E74632" w:rsidRPr="00E74632">
        <w:rPr>
          <w:lang w:val="en-GB"/>
        </w:rPr>
        <w:t xml:space="preserve"> </w:t>
      </w:r>
      <w:r w:rsidR="00E74632">
        <w:rPr>
          <w:lang w:val="en-GB"/>
        </w:rPr>
        <w:t>below</w:t>
      </w:r>
      <w:r w:rsidR="00E74632" w:rsidRPr="00E74632">
        <w:rPr>
          <w:lang w:val="en-GB"/>
        </w:rPr>
        <w:t xml:space="preserve"> </w:t>
      </w:r>
      <w:r w:rsidR="00E74632" w:rsidRPr="008F5543">
        <w:rPr>
          <w:lang w:val="en-GB"/>
        </w:rPr>
        <w:t>100</w:t>
      </w:r>
      <w:r w:rsidR="005D1ED4">
        <w:rPr>
          <w:lang w:val="en-GB"/>
        </w:rPr>
        <w:t>%</w:t>
      </w:r>
      <w:r w:rsidR="00E74632" w:rsidRPr="008F5543">
        <w:rPr>
          <w:lang w:val="en-GB"/>
        </w:rPr>
        <w:t>.</w:t>
      </w:r>
      <w:r w:rsidR="004F33F7" w:rsidRPr="008F5543">
        <w:rPr>
          <w:lang w:val="en-GB"/>
        </w:rPr>
        <w:t xml:space="preserve"> </w:t>
      </w:r>
      <w:r w:rsidR="00903EEC">
        <w:rPr>
          <w:lang w:val="en-GB"/>
        </w:rPr>
        <w:t xml:space="preserve">The estimated rate constants after the last </w:t>
      </w:r>
      <w:proofErr w:type="spellStart"/>
      <w:r w:rsidR="00A837F4">
        <w:rPr>
          <w:lang w:val="en-GB"/>
        </w:rPr>
        <w:t>MBDoE</w:t>
      </w:r>
      <w:proofErr w:type="spellEnd"/>
      <w:r w:rsidR="00A837F4">
        <w:rPr>
          <w:lang w:val="en-GB"/>
        </w:rPr>
        <w:t xml:space="preserve"> </w:t>
      </w:r>
      <w:r w:rsidR="00903EEC">
        <w:rPr>
          <w:lang w:val="en-GB"/>
        </w:rPr>
        <w:t xml:space="preserve">iteration are summarized in </w:t>
      </w:r>
      <w:r>
        <w:rPr>
          <w:lang w:val="en-GB"/>
        </w:rPr>
        <w:t xml:space="preserve">Table </w:t>
      </w:r>
      <w:r w:rsidR="00903EEC">
        <w:rPr>
          <w:lang w:val="en-GB"/>
        </w:rPr>
        <w:t xml:space="preserve">2. </w:t>
      </w:r>
    </w:p>
    <w:p w14:paraId="210A820D" w14:textId="524859F4" w:rsidR="007B7A39" w:rsidRPr="00B57B36" w:rsidRDefault="007B7A39" w:rsidP="00822C40">
      <w:pPr>
        <w:pStyle w:val="CETTabletitle"/>
        <w:spacing w:before="100" w:after="100"/>
      </w:pPr>
      <w:r w:rsidRPr="00B57B36">
        <w:t xml:space="preserve">Table </w:t>
      </w:r>
      <w:r>
        <w:t>2</w:t>
      </w:r>
      <w:r w:rsidRPr="00B57B36">
        <w:t xml:space="preserve">: </w:t>
      </w:r>
      <w:r>
        <w:t xml:space="preserve">Kinetic parameter estimation for the </w:t>
      </w:r>
      <w:r w:rsidR="00D50D39">
        <w:t>Model-Based Design of Experiments</w:t>
      </w:r>
      <w:r w:rsidR="002C2023">
        <w:t xml:space="preserve"> 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2268"/>
        <w:gridCol w:w="1701"/>
      </w:tblGrid>
      <w:tr w:rsidR="007B7A39" w:rsidRPr="00B57B36" w14:paraId="7029E069" w14:textId="77777777" w:rsidTr="00380E40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B2BF64E" w14:textId="77777777" w:rsidR="007B7A39" w:rsidRPr="00B57B36" w:rsidRDefault="007B7A39" w:rsidP="00380E40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Rate Step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094D00C" w14:textId="77777777" w:rsidR="007B7A39" w:rsidRPr="00B57B36" w:rsidRDefault="007B7A39" w:rsidP="00380E40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Pr="007C751E">
              <w:rPr>
                <w:vertAlign w:val="subscript"/>
                <w:lang w:val="en-GB"/>
              </w:rPr>
              <w:t>0</w:t>
            </w:r>
            <w:r>
              <w:rPr>
                <w:lang w:val="en-GB"/>
              </w:rPr>
              <w:t xml:space="preserve"> [L/mol/s]</w:t>
            </w:r>
          </w:p>
        </w:tc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7FE41A9" w14:textId="77777777" w:rsidR="007B7A39" w:rsidRPr="00B57B36" w:rsidRDefault="007B7A39" w:rsidP="00380E40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7C751E">
              <w:rPr>
                <w:vertAlign w:val="subscript"/>
                <w:lang w:val="en-GB"/>
              </w:rPr>
              <w:t>A</w:t>
            </w:r>
            <w:r>
              <w:rPr>
                <w:lang w:val="en-GB"/>
              </w:rPr>
              <w:t xml:space="preserve"> [kJ/mol]</w:t>
            </w:r>
          </w:p>
        </w:tc>
      </w:tr>
      <w:tr w:rsidR="007B7A39" w:rsidRPr="00B57B36" w14:paraId="23DC4D00" w14:textId="77777777" w:rsidTr="00380E40">
        <w:tc>
          <w:tcPr>
            <w:tcW w:w="1134" w:type="dxa"/>
            <w:shd w:val="clear" w:color="auto" w:fill="FFFFFF"/>
          </w:tcPr>
          <w:p w14:paraId="11930B44" w14:textId="77777777" w:rsidR="007B7A39" w:rsidRPr="00B57B36" w:rsidRDefault="007B7A39" w:rsidP="00380E40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14:paraId="5123F190" w14:textId="55FF32FD" w:rsidR="007B7A39" w:rsidRPr="00B57B36" w:rsidRDefault="008E650E" w:rsidP="00380E40">
            <w:pPr>
              <w:pStyle w:val="CETBodytext"/>
              <w:rPr>
                <w:lang w:val="en-GB"/>
              </w:rPr>
            </w:pPr>
            <w:r w:rsidRPr="00F3691F">
              <w:t xml:space="preserve">0.204 </w:t>
            </w:r>
            <w:r w:rsidR="007B7A39" w:rsidRPr="00327C67">
              <w:t xml:space="preserve">± </w:t>
            </w:r>
            <w:r w:rsidR="004207FE">
              <w:t>1.7</w:t>
            </w:r>
            <w:r w:rsidR="005D1ED4">
              <w:t>%</w:t>
            </w:r>
          </w:p>
        </w:tc>
        <w:tc>
          <w:tcPr>
            <w:tcW w:w="1701" w:type="dxa"/>
            <w:shd w:val="clear" w:color="auto" w:fill="FFFFFF"/>
          </w:tcPr>
          <w:p w14:paraId="6AF7148D" w14:textId="40C65112" w:rsidR="007B7A39" w:rsidRPr="00B57B36" w:rsidRDefault="008E650E" w:rsidP="00380E40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50</w:t>
            </w:r>
            <w:r w:rsidR="007B7A39">
              <w:rPr>
                <w:lang w:val="en-GB"/>
              </w:rPr>
              <w:t xml:space="preserve">.5 </w:t>
            </w:r>
            <w:r w:rsidR="007B7A39" w:rsidRPr="00327C67">
              <w:t xml:space="preserve">± </w:t>
            </w:r>
            <w:r w:rsidR="004207FE">
              <w:t>1</w:t>
            </w:r>
            <w:r w:rsidR="005D1ED4">
              <w:t>%</w:t>
            </w:r>
          </w:p>
        </w:tc>
      </w:tr>
      <w:tr w:rsidR="007B7A39" w:rsidRPr="00B57B36" w14:paraId="42AC0599" w14:textId="77777777" w:rsidTr="00380E40">
        <w:tc>
          <w:tcPr>
            <w:tcW w:w="1134" w:type="dxa"/>
            <w:shd w:val="clear" w:color="auto" w:fill="FFFFFF"/>
          </w:tcPr>
          <w:p w14:paraId="5582C281" w14:textId="77777777" w:rsidR="007B7A39" w:rsidRPr="00B57B36" w:rsidRDefault="007B7A39" w:rsidP="00380E4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146CAFF9" w14:textId="70514F55" w:rsidR="007B7A39" w:rsidRPr="00B57B36" w:rsidRDefault="008E650E" w:rsidP="00380E4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F3691F">
              <w:t xml:space="preserve">0.0245 </w:t>
            </w:r>
            <w:r w:rsidR="007B7A39" w:rsidRPr="00327C67">
              <w:t xml:space="preserve">± </w:t>
            </w:r>
            <w:r w:rsidR="004207FE">
              <w:t>5.5</w:t>
            </w:r>
            <w:r w:rsidR="005D1ED4">
              <w:t>%</w:t>
            </w:r>
          </w:p>
        </w:tc>
        <w:tc>
          <w:tcPr>
            <w:tcW w:w="1701" w:type="dxa"/>
            <w:shd w:val="clear" w:color="auto" w:fill="FFFFFF"/>
          </w:tcPr>
          <w:p w14:paraId="28A7A685" w14:textId="6E28C15F" w:rsidR="007B7A39" w:rsidRPr="00B57B36" w:rsidRDefault="008E650E" w:rsidP="00380E4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53</w:t>
            </w:r>
            <w:r w:rsidR="007B7A39">
              <w:rPr>
                <w:rFonts w:cs="Arial"/>
                <w:szCs w:val="18"/>
                <w:lang w:val="en-GB"/>
              </w:rPr>
              <w:t>.</w:t>
            </w:r>
            <w:r>
              <w:rPr>
                <w:rFonts w:cs="Arial"/>
                <w:szCs w:val="18"/>
                <w:lang w:val="en-GB"/>
              </w:rPr>
              <w:t>2</w:t>
            </w:r>
            <w:r w:rsidR="007B7A39">
              <w:rPr>
                <w:rFonts w:cs="Arial"/>
                <w:szCs w:val="18"/>
                <w:lang w:val="en-GB"/>
              </w:rPr>
              <w:t xml:space="preserve"> </w:t>
            </w:r>
            <w:r w:rsidR="007B7A39" w:rsidRPr="00327C67">
              <w:t xml:space="preserve">± </w:t>
            </w:r>
            <w:r w:rsidR="004207FE">
              <w:t>2.8</w:t>
            </w:r>
            <w:r w:rsidR="005D1ED4">
              <w:t>%</w:t>
            </w:r>
          </w:p>
        </w:tc>
      </w:tr>
      <w:tr w:rsidR="007B7A39" w:rsidRPr="00B57B36" w14:paraId="2BE290CF" w14:textId="77777777" w:rsidTr="00380E40">
        <w:tc>
          <w:tcPr>
            <w:tcW w:w="1134" w:type="dxa"/>
            <w:shd w:val="clear" w:color="auto" w:fill="FFFFFF"/>
          </w:tcPr>
          <w:p w14:paraId="5C5F8AC8" w14:textId="77777777" w:rsidR="007B7A39" w:rsidRDefault="007B7A39" w:rsidP="00380E4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14:paraId="585C1071" w14:textId="0E724145" w:rsidR="007B7A39" w:rsidRPr="00B57B36" w:rsidRDefault="008E650E" w:rsidP="00380E4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bCs/>
              </w:rPr>
              <w:t>1</w:t>
            </w:r>
            <w:r w:rsidR="007B7A39">
              <w:rPr>
                <w:bCs/>
              </w:rPr>
              <w:t>.</w:t>
            </w:r>
            <w:r>
              <w:rPr>
                <w:bCs/>
              </w:rPr>
              <w:t>86</w:t>
            </w:r>
            <w:r w:rsidR="007B7A39" w:rsidRPr="00327C67">
              <w:rPr>
                <w:bCs/>
              </w:rPr>
              <w:t>·10</w:t>
            </w:r>
            <w:r w:rsidR="007B7A39" w:rsidRPr="00327C67">
              <w:rPr>
                <w:bCs/>
                <w:vertAlign w:val="superscript"/>
              </w:rPr>
              <w:t>-</w:t>
            </w:r>
            <w:r>
              <w:rPr>
                <w:bCs/>
                <w:vertAlign w:val="superscript"/>
              </w:rPr>
              <w:t>5</w:t>
            </w:r>
            <w:r w:rsidR="007B7A39">
              <w:rPr>
                <w:bCs/>
                <w:vertAlign w:val="superscript"/>
              </w:rPr>
              <w:t xml:space="preserve"> </w:t>
            </w:r>
            <w:r w:rsidR="007B7A39" w:rsidRPr="00327C67">
              <w:t xml:space="preserve">± </w:t>
            </w:r>
            <w:r w:rsidR="004207FE">
              <w:t>98</w:t>
            </w:r>
            <w:r w:rsidR="005D1ED4">
              <w:t>%</w:t>
            </w:r>
          </w:p>
        </w:tc>
        <w:tc>
          <w:tcPr>
            <w:tcW w:w="1701" w:type="dxa"/>
            <w:shd w:val="clear" w:color="auto" w:fill="FFFFFF"/>
          </w:tcPr>
          <w:p w14:paraId="5EEFAD92" w14:textId="110CD5E2" w:rsidR="007B7A39" w:rsidRPr="00B57B36" w:rsidRDefault="008E650E" w:rsidP="00380E4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67</w:t>
            </w:r>
            <w:r w:rsidR="007B7A39">
              <w:rPr>
                <w:rFonts w:cs="Arial"/>
                <w:szCs w:val="18"/>
                <w:lang w:val="en-GB"/>
              </w:rPr>
              <w:t>.</w:t>
            </w:r>
            <w:r>
              <w:rPr>
                <w:rFonts w:cs="Arial"/>
                <w:szCs w:val="18"/>
                <w:lang w:val="en-GB"/>
              </w:rPr>
              <w:t>8</w:t>
            </w:r>
            <w:r w:rsidR="007B7A39">
              <w:rPr>
                <w:rFonts w:cs="Arial"/>
                <w:szCs w:val="18"/>
                <w:lang w:val="en-GB"/>
              </w:rPr>
              <w:t xml:space="preserve"> </w:t>
            </w:r>
            <w:r w:rsidR="007B7A39" w:rsidRPr="00327C67">
              <w:t xml:space="preserve">± </w:t>
            </w:r>
            <w:r w:rsidR="004207FE">
              <w:t>34</w:t>
            </w:r>
            <w:r w:rsidR="005D1ED4">
              <w:t>%</w:t>
            </w:r>
          </w:p>
        </w:tc>
      </w:tr>
      <w:tr w:rsidR="007B7A39" w:rsidRPr="00B57B36" w14:paraId="12AC1243" w14:textId="77777777" w:rsidTr="00380E40">
        <w:tc>
          <w:tcPr>
            <w:tcW w:w="1134" w:type="dxa"/>
            <w:shd w:val="clear" w:color="auto" w:fill="FFFFFF"/>
          </w:tcPr>
          <w:p w14:paraId="2DDA15B7" w14:textId="77777777" w:rsidR="007B7A39" w:rsidRDefault="007B7A39" w:rsidP="00380E4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14:paraId="227FD005" w14:textId="2DC2341A" w:rsidR="007B7A39" w:rsidRPr="00B57B36" w:rsidRDefault="008E650E" w:rsidP="00380E4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bCs/>
              </w:rPr>
              <w:t>1</w:t>
            </w:r>
            <w:r w:rsidR="007B7A39">
              <w:rPr>
                <w:bCs/>
              </w:rPr>
              <w:t>.</w:t>
            </w:r>
            <w:r>
              <w:rPr>
                <w:bCs/>
              </w:rPr>
              <w:t>42</w:t>
            </w:r>
            <w:r w:rsidR="007B7A39" w:rsidRPr="00327C67">
              <w:rPr>
                <w:bCs/>
              </w:rPr>
              <w:t>·10</w:t>
            </w:r>
            <w:r w:rsidR="007B7A39" w:rsidRPr="00327C67">
              <w:rPr>
                <w:bCs/>
                <w:vertAlign w:val="superscript"/>
              </w:rPr>
              <w:t>-</w:t>
            </w:r>
            <w:r>
              <w:rPr>
                <w:bCs/>
                <w:vertAlign w:val="superscript"/>
              </w:rPr>
              <w:t>3</w:t>
            </w:r>
            <w:r w:rsidR="007B7A39">
              <w:rPr>
                <w:bCs/>
                <w:vertAlign w:val="superscript"/>
              </w:rPr>
              <w:t xml:space="preserve"> </w:t>
            </w:r>
            <w:r w:rsidR="007B7A39" w:rsidRPr="00327C67">
              <w:t xml:space="preserve">± </w:t>
            </w:r>
            <w:r w:rsidR="007B7A39">
              <w:t>3</w:t>
            </w:r>
            <w:r w:rsidR="004207FE">
              <w:t>8</w:t>
            </w:r>
            <w:r w:rsidR="005D1ED4">
              <w:t>%</w:t>
            </w:r>
          </w:p>
        </w:tc>
        <w:tc>
          <w:tcPr>
            <w:tcW w:w="1701" w:type="dxa"/>
            <w:shd w:val="clear" w:color="auto" w:fill="FFFFFF"/>
          </w:tcPr>
          <w:p w14:paraId="1C5C0EAF" w14:textId="022A49F4" w:rsidR="007B7A39" w:rsidRPr="00B57B36" w:rsidRDefault="008E650E" w:rsidP="00380E40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45</w:t>
            </w:r>
            <w:r w:rsidR="007B7A39">
              <w:rPr>
                <w:rFonts w:cs="Arial"/>
                <w:szCs w:val="18"/>
                <w:lang w:val="en-GB"/>
              </w:rPr>
              <w:t>.</w:t>
            </w:r>
            <w:r>
              <w:rPr>
                <w:rFonts w:cs="Arial"/>
                <w:szCs w:val="18"/>
                <w:lang w:val="en-GB"/>
              </w:rPr>
              <w:t>0</w:t>
            </w:r>
            <w:r w:rsidR="007B7A39">
              <w:rPr>
                <w:rFonts w:cs="Arial"/>
                <w:szCs w:val="18"/>
                <w:lang w:val="en-GB"/>
              </w:rPr>
              <w:t xml:space="preserve"> </w:t>
            </w:r>
            <w:r w:rsidR="007B7A39" w:rsidRPr="00327C67">
              <w:t xml:space="preserve">± </w:t>
            </w:r>
            <w:r w:rsidR="004207FE">
              <w:t>21</w:t>
            </w:r>
            <w:r w:rsidR="005D1ED4">
              <w:t>%</w:t>
            </w:r>
          </w:p>
        </w:tc>
      </w:tr>
    </w:tbl>
    <w:p w14:paraId="4E6A0E34" w14:textId="77777777" w:rsidR="00E437A2" w:rsidRDefault="00E437A2" w:rsidP="00600535">
      <w:pPr>
        <w:pStyle w:val="CETBodytext"/>
        <w:rPr>
          <w:lang w:val="en-GB"/>
        </w:rPr>
      </w:pPr>
    </w:p>
    <w:p w14:paraId="1F93A185" w14:textId="705B31A4" w:rsidR="007B7A39" w:rsidRDefault="007D299C" w:rsidP="00600535">
      <w:pPr>
        <w:pStyle w:val="CETBodytext"/>
        <w:rPr>
          <w:lang w:val="en-GB"/>
        </w:rPr>
      </w:pPr>
      <w:r w:rsidRPr="007D299C">
        <w:rPr>
          <w:lang w:val="en-GB"/>
        </w:rPr>
        <w:t>Compared to the rate constants calculated with the C</w:t>
      </w:r>
      <w:r w:rsidR="00FF068F">
        <w:rPr>
          <w:lang w:val="en-GB"/>
        </w:rPr>
        <w:t>C</w:t>
      </w:r>
      <w:r w:rsidRPr="007D299C">
        <w:rPr>
          <w:lang w:val="en-GB"/>
        </w:rPr>
        <w:t xml:space="preserve">F design </w:t>
      </w:r>
      <w:r w:rsidR="0038260F">
        <w:rPr>
          <w:lang w:val="en-GB"/>
        </w:rPr>
        <w:t>(T</w:t>
      </w:r>
      <w:r>
        <w:rPr>
          <w:lang w:val="en-GB"/>
        </w:rPr>
        <w:t>able 1</w:t>
      </w:r>
      <w:r w:rsidR="0038260F">
        <w:rPr>
          <w:lang w:val="en-GB"/>
        </w:rPr>
        <w:t>)</w:t>
      </w:r>
      <w:r>
        <w:rPr>
          <w:lang w:val="en-GB"/>
        </w:rPr>
        <w:t xml:space="preserve">, </w:t>
      </w:r>
      <w:r w:rsidRPr="007D299C">
        <w:rPr>
          <w:lang w:val="en-GB"/>
        </w:rPr>
        <w:t xml:space="preserve">especially the reaction constants for the consecutive reactions </w:t>
      </w:r>
      <w:r w:rsidR="00145650">
        <w:rPr>
          <w:lang w:val="en-GB"/>
        </w:rPr>
        <w:t>are</w:t>
      </w:r>
      <w:r w:rsidRPr="007D299C">
        <w:rPr>
          <w:lang w:val="en-GB"/>
        </w:rPr>
        <w:t xml:space="preserve"> determined with significantly higher accuracy</w:t>
      </w:r>
      <w:r w:rsidR="00804609">
        <w:rPr>
          <w:lang w:val="en-GB"/>
        </w:rPr>
        <w:t>,</w:t>
      </w:r>
      <w:r w:rsidRPr="007D299C">
        <w:rPr>
          <w:lang w:val="en-GB"/>
        </w:rPr>
        <w:t xml:space="preserve"> </w:t>
      </w:r>
      <w:r w:rsidR="0038260F">
        <w:rPr>
          <w:lang w:val="en-GB"/>
        </w:rPr>
        <w:t>despite</w:t>
      </w:r>
      <w:r w:rsidR="0038260F" w:rsidRPr="007D299C">
        <w:rPr>
          <w:lang w:val="en-GB"/>
        </w:rPr>
        <w:t xml:space="preserve"> </w:t>
      </w:r>
      <w:r w:rsidR="0038260F">
        <w:rPr>
          <w:lang w:val="en-GB"/>
        </w:rPr>
        <w:t xml:space="preserve">the fact that considerably </w:t>
      </w:r>
      <w:r w:rsidRPr="007D299C">
        <w:rPr>
          <w:lang w:val="en-GB"/>
        </w:rPr>
        <w:t xml:space="preserve">fewer experiments </w:t>
      </w:r>
      <w:r w:rsidR="00145650">
        <w:rPr>
          <w:lang w:val="en-GB"/>
        </w:rPr>
        <w:t>are</w:t>
      </w:r>
      <w:r w:rsidRPr="007D299C">
        <w:rPr>
          <w:lang w:val="en-GB"/>
        </w:rPr>
        <w:t xml:space="preserve"> carried out.</w:t>
      </w:r>
      <w:r>
        <w:rPr>
          <w:lang w:val="en-GB"/>
        </w:rPr>
        <w:t xml:space="preserve"> </w:t>
      </w:r>
      <w:r w:rsidR="0038260F">
        <w:rPr>
          <w:lang w:val="en-GB"/>
        </w:rPr>
        <w:t>Nevertheless, r</w:t>
      </w:r>
      <w:r>
        <w:rPr>
          <w:lang w:val="en-GB"/>
        </w:rPr>
        <w:t xml:space="preserve">ate step 3 is significantly </w:t>
      </w:r>
      <w:r w:rsidR="008D3F7A">
        <w:rPr>
          <w:lang w:val="en-GB"/>
        </w:rPr>
        <w:t>slower</w:t>
      </w:r>
      <w:r>
        <w:rPr>
          <w:lang w:val="en-GB"/>
        </w:rPr>
        <w:t xml:space="preserve"> than rate step 4</w:t>
      </w:r>
      <w:r w:rsidR="00127496" w:rsidRPr="00127496">
        <w:t xml:space="preserve"> </w:t>
      </w:r>
      <w:r w:rsidR="008D3F7A">
        <w:t xml:space="preserve">with a high activation energy </w:t>
      </w:r>
      <w:r w:rsidR="00127496" w:rsidRPr="00127496">
        <w:rPr>
          <w:lang w:val="en-GB"/>
        </w:rPr>
        <w:t xml:space="preserve">and </w:t>
      </w:r>
      <w:r w:rsidR="008D3F7A">
        <w:rPr>
          <w:lang w:val="en-GB"/>
        </w:rPr>
        <w:t xml:space="preserve">therefore </w:t>
      </w:r>
      <w:r w:rsidR="00127496" w:rsidRPr="00127496">
        <w:rPr>
          <w:lang w:val="en-GB"/>
        </w:rPr>
        <w:t xml:space="preserve">almost </w:t>
      </w:r>
      <w:r w:rsidR="001577D3" w:rsidRPr="001577D3">
        <w:rPr>
          <w:lang w:val="en-GB"/>
        </w:rPr>
        <w:t xml:space="preserve">negligible </w:t>
      </w:r>
      <w:r w:rsidR="008D3F7A">
        <w:rPr>
          <w:lang w:val="en-GB"/>
        </w:rPr>
        <w:t xml:space="preserve">in the </w:t>
      </w:r>
      <w:r w:rsidR="00AE20DE">
        <w:rPr>
          <w:lang w:val="en-GB"/>
        </w:rPr>
        <w:t>studied</w:t>
      </w:r>
      <w:r w:rsidR="008D3F7A">
        <w:rPr>
          <w:lang w:val="en-GB"/>
        </w:rPr>
        <w:t xml:space="preserve"> temperature range.</w:t>
      </w:r>
      <w:r w:rsidR="00EA4A04">
        <w:rPr>
          <w:lang w:val="en-GB"/>
        </w:rPr>
        <w:t xml:space="preserve"> </w:t>
      </w:r>
      <w:r w:rsidR="008D3F7A">
        <w:rPr>
          <w:lang w:val="en-GB"/>
        </w:rPr>
        <w:t xml:space="preserve">This results in </w:t>
      </w:r>
      <w:r w:rsidR="0038260F">
        <w:rPr>
          <w:lang w:val="en-GB"/>
        </w:rPr>
        <w:t xml:space="preserve">the remaining </w:t>
      </w:r>
      <w:r w:rsidR="008D3F7A">
        <w:rPr>
          <w:lang w:val="en-GB"/>
        </w:rPr>
        <w:t xml:space="preserve">high </w:t>
      </w:r>
      <w:r w:rsidR="00127496">
        <w:rPr>
          <w:lang w:val="en-GB"/>
        </w:rPr>
        <w:t>uncertainty</w:t>
      </w:r>
      <w:r w:rsidR="008D3F7A">
        <w:rPr>
          <w:lang w:val="en-GB"/>
        </w:rPr>
        <w:t xml:space="preserve"> for </w:t>
      </w:r>
      <w:r w:rsidR="0038260F">
        <w:rPr>
          <w:lang w:val="en-GB"/>
        </w:rPr>
        <w:t xml:space="preserve">the kinetic parameters for </w:t>
      </w:r>
      <w:r w:rsidR="008D3F7A">
        <w:rPr>
          <w:lang w:val="en-GB"/>
        </w:rPr>
        <w:t>rate step 3</w:t>
      </w:r>
      <w:r w:rsidR="00127496">
        <w:rPr>
          <w:lang w:val="en-GB"/>
        </w:rPr>
        <w:t xml:space="preserve">. </w:t>
      </w:r>
      <w:r w:rsidR="006C6E44">
        <w:rPr>
          <w:lang w:val="en-GB"/>
        </w:rPr>
        <w:t xml:space="preserve">The effect of the improved experimental design is </w:t>
      </w:r>
      <w:r w:rsidR="006C6E44">
        <w:rPr>
          <w:lang w:val="en-GB"/>
        </w:rPr>
        <w:lastRenderedPageBreak/>
        <w:t>illustrated best by means of the (pointwise 95</w:t>
      </w:r>
      <w:r w:rsidR="005D1ED4">
        <w:rPr>
          <w:lang w:val="en-GB"/>
        </w:rPr>
        <w:t>%</w:t>
      </w:r>
      <w:r w:rsidR="006C6E44">
        <w:rPr>
          <w:lang w:val="en-GB"/>
        </w:rPr>
        <w:t xml:space="preserve">) confidence bands of </w:t>
      </w:r>
      <w:r w:rsidR="00D5777B">
        <w:rPr>
          <w:lang w:val="en-GB"/>
        </w:rPr>
        <w:t xml:space="preserve">reaction step 2 and 4 </w:t>
      </w:r>
      <w:r w:rsidR="006C6E44">
        <w:rPr>
          <w:lang w:val="en-GB"/>
        </w:rPr>
        <w:t>i</w:t>
      </w:r>
      <w:r w:rsidR="00E45EC7">
        <w:rPr>
          <w:lang w:val="en-GB"/>
        </w:rPr>
        <w:t xml:space="preserve">n </w:t>
      </w:r>
      <w:r w:rsidR="0038260F">
        <w:rPr>
          <w:lang w:val="en-GB"/>
        </w:rPr>
        <w:t>F</w:t>
      </w:r>
      <w:r w:rsidR="00E45EC7">
        <w:rPr>
          <w:lang w:val="en-GB"/>
        </w:rPr>
        <w:t>igure 6</w:t>
      </w:r>
      <w:r w:rsidR="006C6E44">
        <w:rPr>
          <w:lang w:val="en-GB"/>
        </w:rPr>
        <w:t xml:space="preserve">. The </w:t>
      </w:r>
      <w:r w:rsidR="00E45EC7">
        <w:rPr>
          <w:lang w:val="en-GB"/>
        </w:rPr>
        <w:t>reaction rate</w:t>
      </w:r>
      <w:r w:rsidR="006C6E44">
        <w:rPr>
          <w:lang w:val="en-GB"/>
        </w:rPr>
        <w:t>s</w:t>
      </w:r>
      <w:r w:rsidR="00E45EC7">
        <w:rPr>
          <w:lang w:val="en-GB"/>
        </w:rPr>
        <w:t xml:space="preserve"> </w:t>
      </w:r>
      <w:r w:rsidR="00E45EC7" w:rsidRPr="00B52701">
        <w:rPr>
          <w:i/>
          <w:lang w:val="en-GB"/>
        </w:rPr>
        <w:t>k</w:t>
      </w:r>
      <w:r w:rsidR="00E45EC7" w:rsidRPr="00B52701">
        <w:rPr>
          <w:i/>
          <w:vertAlign w:val="subscript"/>
          <w:lang w:val="en-GB"/>
        </w:rPr>
        <w:t>2</w:t>
      </w:r>
      <w:r w:rsidR="00E45EC7">
        <w:rPr>
          <w:lang w:val="en-GB"/>
        </w:rPr>
        <w:t xml:space="preserve"> and </w:t>
      </w:r>
      <w:r w:rsidR="00E45EC7" w:rsidRPr="00B52701">
        <w:rPr>
          <w:i/>
          <w:lang w:val="en-GB"/>
        </w:rPr>
        <w:t>k</w:t>
      </w:r>
      <w:r w:rsidR="00E45EC7" w:rsidRPr="00B52701">
        <w:rPr>
          <w:i/>
          <w:vertAlign w:val="subscript"/>
          <w:lang w:val="en-GB"/>
        </w:rPr>
        <w:t>4</w:t>
      </w:r>
      <w:r w:rsidR="00E45EC7">
        <w:rPr>
          <w:lang w:val="en-GB"/>
        </w:rPr>
        <w:t xml:space="preserve"> </w:t>
      </w:r>
      <w:r w:rsidR="006C6E44">
        <w:rPr>
          <w:lang w:val="en-GB"/>
        </w:rPr>
        <w:t>as well as</w:t>
      </w:r>
      <w:r w:rsidR="006C6E44" w:rsidRPr="0012277D">
        <w:rPr>
          <w:lang w:val="en-GB"/>
        </w:rPr>
        <w:t xml:space="preserve"> </w:t>
      </w:r>
      <w:r w:rsidR="0012277D">
        <w:rPr>
          <w:lang w:val="en-GB"/>
        </w:rPr>
        <w:t>the</w:t>
      </w:r>
      <w:r w:rsidR="006C6E44">
        <w:rPr>
          <w:lang w:val="en-GB"/>
        </w:rPr>
        <w:t xml:space="preserve"> respective</w:t>
      </w:r>
      <w:r w:rsidR="0012277D" w:rsidRPr="0012277D">
        <w:rPr>
          <w:lang w:val="en-GB"/>
        </w:rPr>
        <w:t xml:space="preserve"> </w:t>
      </w:r>
      <w:r w:rsidR="0055739F">
        <w:rPr>
          <w:lang w:val="en-GB"/>
        </w:rPr>
        <w:t xml:space="preserve">confidence </w:t>
      </w:r>
      <w:r w:rsidR="0012277D" w:rsidRPr="0012277D">
        <w:rPr>
          <w:lang w:val="en-GB"/>
        </w:rPr>
        <w:t xml:space="preserve">bands </w:t>
      </w:r>
      <w:r w:rsidR="00E45EC7">
        <w:rPr>
          <w:lang w:val="en-GB"/>
        </w:rPr>
        <w:t xml:space="preserve">are plotted as function of </w:t>
      </w:r>
      <w:r w:rsidR="006C6E44">
        <w:rPr>
          <w:lang w:val="en-GB"/>
        </w:rPr>
        <w:t xml:space="preserve">the </w:t>
      </w:r>
      <w:r w:rsidR="00E45EC7">
        <w:rPr>
          <w:lang w:val="en-GB"/>
        </w:rPr>
        <w:t>temperature for the kinetic models</w:t>
      </w:r>
      <w:r w:rsidR="006C6E44">
        <w:rPr>
          <w:lang w:val="en-GB"/>
        </w:rPr>
        <w:t xml:space="preserve">, as derived from the CCF, the </w:t>
      </w:r>
      <w:proofErr w:type="spellStart"/>
      <w:r w:rsidR="006C6E44">
        <w:rPr>
          <w:lang w:val="en-GB"/>
        </w:rPr>
        <w:t>MBDoE</w:t>
      </w:r>
      <w:proofErr w:type="spellEnd"/>
      <w:r w:rsidR="00E45EC7">
        <w:rPr>
          <w:lang w:val="en-GB"/>
        </w:rPr>
        <w:t xml:space="preserve"> </w:t>
      </w:r>
      <w:r w:rsidR="006C6E44">
        <w:rPr>
          <w:lang w:val="en-GB"/>
        </w:rPr>
        <w:t>and</w:t>
      </w:r>
      <w:r w:rsidR="00E45EC7">
        <w:rPr>
          <w:lang w:val="en-GB"/>
        </w:rPr>
        <w:t xml:space="preserve"> a simple </w:t>
      </w:r>
      <w:r w:rsidR="00DC6453">
        <w:rPr>
          <w:lang w:val="en-GB"/>
        </w:rPr>
        <w:t>intuitive</w:t>
      </w:r>
      <w:r w:rsidR="00E45EC7">
        <w:rPr>
          <w:lang w:val="en-GB"/>
        </w:rPr>
        <w:t xml:space="preserve"> </w:t>
      </w:r>
      <w:r w:rsidR="00AF317D">
        <w:rPr>
          <w:lang w:val="en-GB"/>
        </w:rPr>
        <w:t xml:space="preserve">study, where one-factor-at-a-time (OFAT) </w:t>
      </w:r>
      <w:r w:rsidR="00D32C4A">
        <w:rPr>
          <w:lang w:val="en-GB"/>
        </w:rPr>
        <w:t>is</w:t>
      </w:r>
      <w:r w:rsidR="00AF317D">
        <w:rPr>
          <w:lang w:val="en-GB"/>
        </w:rPr>
        <w:t xml:space="preserve"> </w:t>
      </w:r>
      <w:r w:rsidR="00490EFC">
        <w:rPr>
          <w:lang w:val="en-GB"/>
        </w:rPr>
        <w:t>investigated</w:t>
      </w:r>
      <w:r w:rsidR="00AF317D">
        <w:rPr>
          <w:lang w:val="en-GB"/>
        </w:rPr>
        <w:t xml:space="preserve"> in 20 experiments.</w:t>
      </w:r>
      <w:r w:rsidR="009869FB">
        <w:rPr>
          <w:lang w:val="en-GB"/>
        </w:rPr>
        <w:t xml:space="preserve"> </w:t>
      </w:r>
      <w:r w:rsidR="00495A51">
        <w:rPr>
          <w:lang w:val="en-GB"/>
        </w:rPr>
        <w:t>In</w:t>
      </w:r>
      <w:r w:rsidR="009869FB">
        <w:rPr>
          <w:lang w:val="en-GB"/>
        </w:rPr>
        <w:t xml:space="preserve"> the OFAT </w:t>
      </w:r>
      <w:r w:rsidR="00495A51">
        <w:rPr>
          <w:lang w:val="en-GB"/>
        </w:rPr>
        <w:t>approach</w:t>
      </w:r>
      <w:r w:rsidR="009869FB">
        <w:rPr>
          <w:lang w:val="en-GB"/>
        </w:rPr>
        <w:t xml:space="preserve">, </w:t>
      </w:r>
      <w:r w:rsidR="00495A51">
        <w:rPr>
          <w:lang w:val="en-GB"/>
        </w:rPr>
        <w:t>the residence time</w:t>
      </w:r>
      <w:r w:rsidR="009869FB">
        <w:rPr>
          <w:lang w:val="en-GB"/>
        </w:rPr>
        <w:t xml:space="preserve"> is varied </w:t>
      </w:r>
      <w:r w:rsidR="00537D68">
        <w:rPr>
          <w:lang w:val="en-GB"/>
        </w:rPr>
        <w:t>during the experiments</w:t>
      </w:r>
      <w:r w:rsidR="00537D68">
        <w:rPr>
          <w:lang w:val="en-GB"/>
        </w:rPr>
        <w:t xml:space="preserve"> </w:t>
      </w:r>
      <w:r w:rsidR="009869FB">
        <w:rPr>
          <w:lang w:val="en-GB"/>
        </w:rPr>
        <w:t xml:space="preserve">while the </w:t>
      </w:r>
      <w:r w:rsidR="00495A51">
        <w:rPr>
          <w:lang w:val="en-GB"/>
        </w:rPr>
        <w:t>concentration and temperature</w:t>
      </w:r>
      <w:r w:rsidR="009869FB">
        <w:rPr>
          <w:lang w:val="en-GB"/>
        </w:rPr>
        <w:t xml:space="preserve"> are kept constant.</w:t>
      </w:r>
    </w:p>
    <w:p w14:paraId="22408EF9" w14:textId="21A7FE72" w:rsidR="00E87E01" w:rsidRDefault="00F86FBA" w:rsidP="00C963C9">
      <w:pPr>
        <w:pStyle w:val="CETBodytext"/>
        <w:jc w:val="center"/>
        <w:rPr>
          <w:lang w:val="en-GB"/>
        </w:rPr>
      </w:pPr>
      <w:bookmarkStart w:id="2" w:name="_GoBack"/>
      <w:bookmarkEnd w:id="2"/>
      <w:r w:rsidRPr="00F86FBA">
        <w:drawing>
          <wp:inline distT="0" distB="0" distL="0" distR="0" wp14:anchorId="2E523A24" wp14:editId="014D7DE8">
            <wp:extent cx="4400000" cy="1800000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BEAEC" w14:textId="3E43A793" w:rsidR="005A1454" w:rsidRPr="00E9509A" w:rsidRDefault="005A1454" w:rsidP="00822C40">
      <w:pPr>
        <w:pStyle w:val="CETCaption"/>
        <w:spacing w:before="100" w:after="100"/>
        <w:rPr>
          <w:rStyle w:val="tagtrans"/>
        </w:rPr>
      </w:pPr>
      <w:r w:rsidRPr="00BD077D">
        <w:rPr>
          <w:rStyle w:val="CETCaptionCarattere"/>
          <w:i/>
        </w:rPr>
        <w:t xml:space="preserve">Figure </w:t>
      </w:r>
      <w:r w:rsidR="00010B6E">
        <w:rPr>
          <w:rStyle w:val="CETCaptionCarattere"/>
          <w:i/>
        </w:rPr>
        <w:t>6</w:t>
      </w:r>
      <w:r w:rsidRPr="00BD077D">
        <w:rPr>
          <w:rStyle w:val="CETCaptionCarattere"/>
          <w:i/>
        </w:rPr>
        <w:t xml:space="preserve">: </w:t>
      </w:r>
      <w:r w:rsidR="00010B6E">
        <w:rPr>
          <w:rStyle w:val="CETCaptionCarattere"/>
          <w:i/>
        </w:rPr>
        <w:t xml:space="preserve">Reaction rate </w:t>
      </w:r>
      <w:r w:rsidR="00CE6D30">
        <w:rPr>
          <w:rStyle w:val="CETCaptionCarattere"/>
          <w:i/>
        </w:rPr>
        <w:t xml:space="preserve">(a) </w:t>
      </w:r>
      <w:r w:rsidR="00010B6E">
        <w:rPr>
          <w:rStyle w:val="CETCaptionCarattere"/>
          <w:i/>
        </w:rPr>
        <w:t>k</w:t>
      </w:r>
      <w:r w:rsidR="00010B6E">
        <w:rPr>
          <w:rStyle w:val="CETCaptionCarattere"/>
          <w:i/>
          <w:vertAlign w:val="subscript"/>
        </w:rPr>
        <w:t>2</w:t>
      </w:r>
      <w:r w:rsidR="00010B6E">
        <w:rPr>
          <w:rStyle w:val="CETCaptionCarattere"/>
          <w:i/>
        </w:rPr>
        <w:t xml:space="preserve"> and </w:t>
      </w:r>
      <w:r w:rsidR="00CE6D30">
        <w:rPr>
          <w:rStyle w:val="CETCaptionCarattere"/>
          <w:i/>
        </w:rPr>
        <w:t xml:space="preserve">(b) </w:t>
      </w:r>
      <w:r w:rsidR="00010B6E">
        <w:rPr>
          <w:rStyle w:val="CETCaptionCarattere"/>
          <w:i/>
        </w:rPr>
        <w:t>k</w:t>
      </w:r>
      <w:r w:rsidR="00010B6E" w:rsidRPr="00010B6E">
        <w:rPr>
          <w:rStyle w:val="CETCaptionCarattere"/>
          <w:i/>
          <w:vertAlign w:val="subscript"/>
        </w:rPr>
        <w:t>4</w:t>
      </w:r>
      <w:r w:rsidR="00010B6E">
        <w:rPr>
          <w:rStyle w:val="CETCaptionCarattere"/>
          <w:i/>
        </w:rPr>
        <w:t xml:space="preserve"> as function of the temperature for a simple design plan, the factorial Design of Experiments and the </w:t>
      </w:r>
      <w:r>
        <w:rPr>
          <w:rStyle w:val="CETCaptionCarattere"/>
          <w:i/>
        </w:rPr>
        <w:t xml:space="preserve">Model-Based Design of Experiments. </w:t>
      </w:r>
    </w:p>
    <w:p w14:paraId="2DFDBF68" w14:textId="5BD56070" w:rsidR="008939FA" w:rsidRDefault="006C6E44" w:rsidP="00600535">
      <w:pPr>
        <w:pStyle w:val="CETBodytext"/>
        <w:rPr>
          <w:lang w:val="en-GB"/>
        </w:rPr>
      </w:pPr>
      <w:r>
        <w:rPr>
          <w:lang w:val="en-GB"/>
        </w:rPr>
        <w:t xml:space="preserve">While there are only little differences between the model results, with a noticeably smaller </w:t>
      </w:r>
      <w:r w:rsidR="00145650">
        <w:rPr>
          <w:lang w:val="en-GB"/>
        </w:rPr>
        <w:t xml:space="preserve">confidence </w:t>
      </w:r>
      <w:r>
        <w:rPr>
          <w:lang w:val="en-GB"/>
        </w:rPr>
        <w:t xml:space="preserve">band for the </w:t>
      </w:r>
      <w:proofErr w:type="spellStart"/>
      <w:r>
        <w:rPr>
          <w:lang w:val="en-GB"/>
        </w:rPr>
        <w:t>MBDoE</w:t>
      </w:r>
      <w:proofErr w:type="spellEnd"/>
      <w:r>
        <w:rPr>
          <w:lang w:val="en-GB"/>
        </w:rPr>
        <w:t xml:space="preserve">, for </w:t>
      </w:r>
      <w:r w:rsidR="00682169">
        <w:rPr>
          <w:lang w:val="en-GB"/>
        </w:rPr>
        <w:t xml:space="preserve">reaction rate </w:t>
      </w:r>
      <w:r w:rsidR="00682169" w:rsidRPr="00B52701">
        <w:rPr>
          <w:i/>
          <w:lang w:val="en-GB"/>
        </w:rPr>
        <w:t>k</w:t>
      </w:r>
      <w:r w:rsidR="00682169" w:rsidRPr="00B52701">
        <w:rPr>
          <w:i/>
          <w:vertAlign w:val="subscript"/>
          <w:lang w:val="en-GB"/>
        </w:rPr>
        <w:t>2</w:t>
      </w:r>
      <w:r>
        <w:rPr>
          <w:lang w:val="en-GB"/>
        </w:rPr>
        <w:t>, the advantage of the</w:t>
      </w:r>
      <w:r w:rsidR="008939FA" w:rsidRPr="008939FA">
        <w:rPr>
          <w:lang w:val="en-GB"/>
        </w:rPr>
        <w:t xml:space="preserve"> </w:t>
      </w:r>
      <w:proofErr w:type="spellStart"/>
      <w:r w:rsidR="008939FA" w:rsidRPr="008939FA">
        <w:rPr>
          <w:lang w:val="en-GB"/>
        </w:rPr>
        <w:t>MBDoE</w:t>
      </w:r>
      <w:proofErr w:type="spellEnd"/>
      <w:r w:rsidR="008939FA" w:rsidRPr="008939FA">
        <w:rPr>
          <w:lang w:val="en-GB"/>
        </w:rPr>
        <w:t xml:space="preserve"> </w:t>
      </w:r>
      <w:r>
        <w:rPr>
          <w:lang w:val="en-GB"/>
        </w:rPr>
        <w:t xml:space="preserve">becomes significant for </w:t>
      </w:r>
      <w:r w:rsidR="00145650">
        <w:rPr>
          <w:lang w:val="en-GB"/>
        </w:rPr>
        <w:t>modelling</w:t>
      </w:r>
      <w:r w:rsidR="008939FA" w:rsidRPr="008939FA">
        <w:rPr>
          <w:lang w:val="en-GB"/>
        </w:rPr>
        <w:t xml:space="preserve"> </w:t>
      </w:r>
      <w:r w:rsidR="008939FA" w:rsidRPr="00B52701">
        <w:rPr>
          <w:i/>
          <w:lang w:val="en-GB"/>
        </w:rPr>
        <w:t>k</w:t>
      </w:r>
      <w:r w:rsidR="008939FA" w:rsidRPr="00B52701">
        <w:rPr>
          <w:i/>
          <w:vertAlign w:val="subscript"/>
          <w:lang w:val="en-GB"/>
        </w:rPr>
        <w:t>4</w:t>
      </w:r>
      <w:r w:rsidR="008939FA">
        <w:rPr>
          <w:lang w:val="en-GB"/>
        </w:rPr>
        <w:t xml:space="preserve">. </w:t>
      </w:r>
      <w:r>
        <w:rPr>
          <w:lang w:val="en-GB"/>
        </w:rPr>
        <w:t>Only the</w:t>
      </w:r>
      <w:r w:rsidR="008939FA" w:rsidRPr="008939FA">
        <w:rPr>
          <w:lang w:val="en-GB"/>
        </w:rPr>
        <w:t xml:space="preserve"> </w:t>
      </w:r>
      <w:proofErr w:type="spellStart"/>
      <w:r w:rsidR="008939FA" w:rsidRPr="008939FA">
        <w:rPr>
          <w:lang w:val="en-GB"/>
        </w:rPr>
        <w:t>MBDoE</w:t>
      </w:r>
      <w:proofErr w:type="spellEnd"/>
      <w:r w:rsidR="008939FA" w:rsidRPr="008939FA">
        <w:rPr>
          <w:lang w:val="en-GB"/>
        </w:rPr>
        <w:t xml:space="preserve"> </w:t>
      </w:r>
      <w:r>
        <w:rPr>
          <w:lang w:val="en-GB"/>
        </w:rPr>
        <w:t xml:space="preserve">provides </w:t>
      </w:r>
      <w:r w:rsidR="008939FA" w:rsidRPr="008939FA">
        <w:rPr>
          <w:lang w:val="en-GB"/>
        </w:rPr>
        <w:t>a con</w:t>
      </w:r>
      <w:r>
        <w:rPr>
          <w:lang w:val="en-GB"/>
        </w:rPr>
        <w:t>fined</w:t>
      </w:r>
      <w:r w:rsidR="008939FA" w:rsidRPr="008939FA">
        <w:rPr>
          <w:lang w:val="en-GB"/>
        </w:rPr>
        <w:t xml:space="preserve"> </w:t>
      </w:r>
      <w:r w:rsidR="002D34E9">
        <w:rPr>
          <w:lang w:val="en-GB"/>
        </w:rPr>
        <w:t xml:space="preserve">confidence </w:t>
      </w:r>
      <w:r w:rsidR="008939FA" w:rsidRPr="008939FA">
        <w:rPr>
          <w:lang w:val="en-GB"/>
        </w:rPr>
        <w:t>band</w:t>
      </w:r>
      <w:r>
        <w:rPr>
          <w:lang w:val="en-GB"/>
        </w:rPr>
        <w:t>, while</w:t>
      </w:r>
      <w:r w:rsidR="008939FA" w:rsidRPr="008939FA">
        <w:rPr>
          <w:lang w:val="en-GB"/>
        </w:rPr>
        <w:t xml:space="preserve"> the </w:t>
      </w:r>
      <w:r w:rsidR="002D34E9">
        <w:rPr>
          <w:lang w:val="en-GB"/>
        </w:rPr>
        <w:t xml:space="preserve">confidence </w:t>
      </w:r>
      <w:r>
        <w:rPr>
          <w:lang w:val="en-GB"/>
        </w:rPr>
        <w:t xml:space="preserve">bands </w:t>
      </w:r>
      <w:r w:rsidR="002D34E9">
        <w:rPr>
          <w:lang w:val="en-GB"/>
        </w:rPr>
        <w:t xml:space="preserve">for the other experimental plans </w:t>
      </w:r>
      <w:r>
        <w:rPr>
          <w:lang w:val="en-GB"/>
        </w:rPr>
        <w:t>extend largely</w:t>
      </w:r>
      <w:r w:rsidR="008939FA">
        <w:rPr>
          <w:lang w:val="en-GB"/>
        </w:rPr>
        <w:t xml:space="preserve">, </w:t>
      </w:r>
      <w:r w:rsidR="008939FA" w:rsidRPr="008939FA">
        <w:rPr>
          <w:lang w:val="en-GB"/>
        </w:rPr>
        <w:t xml:space="preserve">demonstrating the improved </w:t>
      </w:r>
      <w:r w:rsidR="00B824A6">
        <w:rPr>
          <w:lang w:val="en-GB"/>
        </w:rPr>
        <w:t xml:space="preserve">parameter </w:t>
      </w:r>
      <w:r w:rsidR="008939FA" w:rsidRPr="008939FA">
        <w:rPr>
          <w:lang w:val="en-GB"/>
        </w:rPr>
        <w:t>identifiability</w:t>
      </w:r>
      <w:r w:rsidR="00B824A6">
        <w:rPr>
          <w:lang w:val="en-GB"/>
        </w:rPr>
        <w:t xml:space="preserve"> using </w:t>
      </w:r>
      <w:proofErr w:type="spellStart"/>
      <w:r w:rsidR="00B824A6">
        <w:rPr>
          <w:lang w:val="en-GB"/>
        </w:rPr>
        <w:t>MBDoE</w:t>
      </w:r>
      <w:proofErr w:type="spellEnd"/>
      <w:r w:rsidR="008939FA" w:rsidRPr="008939FA">
        <w:rPr>
          <w:lang w:val="en-GB"/>
        </w:rPr>
        <w:t>.</w:t>
      </w:r>
    </w:p>
    <w:p w14:paraId="68D26B83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2383DDE3" w14:textId="6920453A" w:rsidR="00397CE5" w:rsidRPr="00397CE5" w:rsidRDefault="00FD618F" w:rsidP="00600535">
      <w:pPr>
        <w:pStyle w:val="CETBodytext"/>
      </w:pPr>
      <w:r w:rsidRPr="00FD618F">
        <w:rPr>
          <w:lang w:val="en-GB"/>
        </w:rPr>
        <w:t xml:space="preserve">This work </w:t>
      </w:r>
      <w:r w:rsidR="00F21A93">
        <w:rPr>
          <w:lang w:val="en-GB"/>
        </w:rPr>
        <w:t>illustrates</w:t>
      </w:r>
      <w:r w:rsidRPr="00FD618F">
        <w:rPr>
          <w:lang w:val="en-GB"/>
        </w:rPr>
        <w:t xml:space="preserve"> that the </w:t>
      </w:r>
      <w:r w:rsidR="009A4626">
        <w:rPr>
          <w:lang w:val="en-GB"/>
        </w:rPr>
        <w:t>integration</w:t>
      </w:r>
      <w:r w:rsidRPr="00FD618F">
        <w:rPr>
          <w:lang w:val="en-GB"/>
        </w:rPr>
        <w:t xml:space="preserve"> of </w:t>
      </w:r>
      <w:proofErr w:type="spellStart"/>
      <w:r w:rsidRPr="00FD618F">
        <w:rPr>
          <w:lang w:val="en-GB"/>
        </w:rPr>
        <w:t>MBDoE</w:t>
      </w:r>
      <w:proofErr w:type="spellEnd"/>
      <w:r w:rsidRPr="00FD618F">
        <w:rPr>
          <w:lang w:val="en-GB"/>
        </w:rPr>
        <w:t xml:space="preserve"> </w:t>
      </w:r>
      <w:r w:rsidR="009A4626">
        <w:rPr>
          <w:lang w:val="en-GB"/>
        </w:rPr>
        <w:t xml:space="preserve">with the well-defined ART reactor </w:t>
      </w:r>
      <w:r w:rsidRPr="00FD618F">
        <w:rPr>
          <w:lang w:val="en-GB"/>
        </w:rPr>
        <w:t>allows to identify the kinetics of a multi</w:t>
      </w:r>
      <w:r w:rsidR="00655CE4">
        <w:rPr>
          <w:lang w:val="en-GB"/>
        </w:rPr>
        <w:t>-</w:t>
      </w:r>
      <w:r w:rsidRPr="00FD618F">
        <w:rPr>
          <w:lang w:val="en-GB"/>
        </w:rPr>
        <w:t>step reaction</w:t>
      </w:r>
      <w:r>
        <w:rPr>
          <w:lang w:val="en-GB"/>
        </w:rPr>
        <w:t xml:space="preserve"> </w:t>
      </w:r>
      <w:r w:rsidR="00C4074D">
        <w:rPr>
          <w:lang w:val="en-GB"/>
        </w:rPr>
        <w:t>with less experimental effort comparing to a static DoE. Especially, the rate constants for the consecutive reactions are determined with significantly improved accuracy</w:t>
      </w:r>
      <w:r w:rsidR="00655CE4" w:rsidRPr="00655CE4">
        <w:t xml:space="preserve"> </w:t>
      </w:r>
      <w:r w:rsidR="00655CE4" w:rsidRPr="00655CE4">
        <w:rPr>
          <w:lang w:val="en-GB"/>
        </w:rPr>
        <w:t>despite a smaller number of experiments.</w:t>
      </w:r>
      <w:r w:rsidR="00C4074D">
        <w:rPr>
          <w:lang w:val="en-GB"/>
        </w:rPr>
        <w:t xml:space="preserve"> </w:t>
      </w:r>
      <w:r w:rsidR="00397CE5" w:rsidRPr="00397CE5">
        <w:t>After showing the</w:t>
      </w:r>
      <w:r w:rsidR="009D7067">
        <w:t xml:space="preserve"> high</w:t>
      </w:r>
      <w:r w:rsidR="00397CE5" w:rsidRPr="00397CE5">
        <w:t xml:space="preserve"> potential of applying </w:t>
      </w:r>
      <w:proofErr w:type="spellStart"/>
      <w:r w:rsidR="00397CE5" w:rsidRPr="00397CE5">
        <w:t>MBDoE</w:t>
      </w:r>
      <w:proofErr w:type="spellEnd"/>
      <w:r w:rsidR="00397CE5" w:rsidRPr="00397CE5">
        <w:t xml:space="preserve"> in the ART reactor for the efficient identification of kinetic models via offline experiments, </w:t>
      </w:r>
      <w:r w:rsidR="00F21A93">
        <w:t>future work aims at</w:t>
      </w:r>
      <w:r w:rsidR="00397CE5" w:rsidRPr="00397CE5">
        <w:t xml:space="preserve"> </w:t>
      </w:r>
      <w:r w:rsidR="00F21A93">
        <w:t>the realization of</w:t>
      </w:r>
      <w:r w:rsidR="00397CE5" w:rsidRPr="00397CE5">
        <w:t xml:space="preserve"> a closed-loop system</w:t>
      </w:r>
      <w:r w:rsidR="00F21A93">
        <w:t>, in which</w:t>
      </w:r>
      <w:r w:rsidR="00397CE5" w:rsidRPr="00397CE5">
        <w:t xml:space="preserve"> the reactor </w:t>
      </w:r>
      <w:r w:rsidR="00F21A93">
        <w:t>is</w:t>
      </w:r>
      <w:r w:rsidR="00397CE5" w:rsidRPr="00397CE5">
        <w:t xml:space="preserve"> linked with online analytics</w:t>
      </w:r>
      <w:r w:rsidR="00F21A93">
        <w:t xml:space="preserve"> and</w:t>
      </w:r>
      <w:r w:rsidR="00397CE5" w:rsidRPr="00397CE5">
        <w:t xml:space="preserve"> an automated process control system</w:t>
      </w:r>
      <w:r w:rsidR="00F21A93">
        <w:t>.</w:t>
      </w:r>
      <w:r w:rsidR="00397CE5" w:rsidRPr="00397CE5">
        <w:t xml:space="preserve"> </w:t>
      </w:r>
      <w:r w:rsidR="00F21A93">
        <w:t>With this setting,</w:t>
      </w:r>
      <w:r w:rsidR="00F21A93" w:rsidRPr="00397CE5">
        <w:t xml:space="preserve"> </w:t>
      </w:r>
      <w:proofErr w:type="spellStart"/>
      <w:r w:rsidR="00397CE5" w:rsidRPr="00397CE5">
        <w:t>MBDoE</w:t>
      </w:r>
      <w:proofErr w:type="spellEnd"/>
      <w:r w:rsidR="00397CE5" w:rsidRPr="00397CE5">
        <w:t xml:space="preserve"> </w:t>
      </w:r>
      <w:r w:rsidR="00F21A93">
        <w:t>will</w:t>
      </w:r>
      <w:r w:rsidR="00397CE5" w:rsidRPr="00397CE5">
        <w:t xml:space="preserve"> </w:t>
      </w:r>
      <w:r w:rsidR="002631FF">
        <w:t>enable</w:t>
      </w:r>
      <w:r w:rsidR="00397CE5" w:rsidRPr="00397CE5">
        <w:t xml:space="preserve"> a fully automated </w:t>
      </w:r>
      <w:r w:rsidR="00F21A93">
        <w:t>platform for model identification</w:t>
      </w:r>
      <w:r w:rsidR="00397CE5" w:rsidRPr="00397CE5">
        <w:t>.</w:t>
      </w:r>
    </w:p>
    <w:p w14:paraId="0A0EF8F4" w14:textId="19B190C7" w:rsidR="00955764" w:rsidRDefault="00600535" w:rsidP="00140C9A">
      <w:pPr>
        <w:pStyle w:val="CETReference"/>
      </w:pPr>
      <w:r w:rsidRPr="00B57B36">
        <w:t>References</w:t>
      </w:r>
    </w:p>
    <w:p w14:paraId="350ED6AF" w14:textId="154EC3EE" w:rsidR="00636F93" w:rsidRDefault="00636F93" w:rsidP="00955764">
      <w:pPr>
        <w:pStyle w:val="CETReferencetext"/>
      </w:pPr>
      <w:proofErr w:type="spellStart"/>
      <w:r>
        <w:t>Fath</w:t>
      </w:r>
      <w:proofErr w:type="spellEnd"/>
      <w:r>
        <w:t xml:space="preserve"> V., Lau P., </w:t>
      </w:r>
      <w:proofErr w:type="spellStart"/>
      <w:r>
        <w:t>Greve</w:t>
      </w:r>
      <w:proofErr w:type="spellEnd"/>
      <w:r>
        <w:t xml:space="preserve"> C., </w:t>
      </w:r>
      <w:proofErr w:type="spellStart"/>
      <w:r>
        <w:t>Kockmann</w:t>
      </w:r>
      <w:proofErr w:type="spellEnd"/>
      <w:r>
        <w:t xml:space="preserve"> N., </w:t>
      </w:r>
      <w:proofErr w:type="spellStart"/>
      <w:r>
        <w:t>Röder</w:t>
      </w:r>
      <w:proofErr w:type="spellEnd"/>
      <w:r>
        <w:t xml:space="preserve"> T., 2020, Efficient Kinetic Data Acquisition and Model Prediction: Continuous Flow Microreactors, Inline Fourier Transform Infrared Spectroscopy, and Self-</w:t>
      </w:r>
      <w:proofErr w:type="spellStart"/>
      <w:r>
        <w:t>Modeling</w:t>
      </w:r>
      <w:proofErr w:type="spellEnd"/>
      <w:r>
        <w:t xml:space="preserve"> Curve Resolution, Organic Process Research &amp; Development, 24, 1955–1968.</w:t>
      </w:r>
    </w:p>
    <w:p w14:paraId="1CA00920" w14:textId="1C63A071" w:rsidR="005B4DFD" w:rsidRDefault="005B4DFD" w:rsidP="00955764">
      <w:pPr>
        <w:pStyle w:val="CETReferencetext"/>
      </w:pPr>
      <w:proofErr w:type="spellStart"/>
      <w:r w:rsidRPr="005B4DFD">
        <w:t>Franceschini</w:t>
      </w:r>
      <w:proofErr w:type="spellEnd"/>
      <w:r w:rsidRPr="005B4DFD">
        <w:t xml:space="preserve"> G., </w:t>
      </w:r>
      <w:proofErr w:type="spellStart"/>
      <w:r w:rsidRPr="005B4DFD">
        <w:t>Macchietto</w:t>
      </w:r>
      <w:proofErr w:type="spellEnd"/>
      <w:r w:rsidRPr="005B4DFD">
        <w:t xml:space="preserve"> S., 2008, Model-based design of experiments for parameter precision: State of the art, Chemical Engineering Science, 63, 4846–4872.</w:t>
      </w:r>
    </w:p>
    <w:p w14:paraId="0D0658B4" w14:textId="2AF4D2FF" w:rsidR="005B4DFD" w:rsidRDefault="005B4DFD" w:rsidP="005B4DFD">
      <w:pPr>
        <w:pStyle w:val="CETReferencetext"/>
      </w:pPr>
      <w:r>
        <w:t xml:space="preserve">Hone C.A., Holmes N., </w:t>
      </w:r>
      <w:proofErr w:type="spellStart"/>
      <w:r>
        <w:t>Akien</w:t>
      </w:r>
      <w:proofErr w:type="spellEnd"/>
      <w:r>
        <w:t xml:space="preserve"> G.R., Bourne R.A., Muller F.L., 2017, Rapid multistep kinetic model generation from transient flow data, Reaction chemistry &amp; engineering, 2, 103–108.</w:t>
      </w:r>
    </w:p>
    <w:p w14:paraId="0D4F3D7B" w14:textId="0D8294FB" w:rsidR="000710D6" w:rsidRDefault="000710D6" w:rsidP="005B4DFD">
      <w:pPr>
        <w:pStyle w:val="CETReferencetext"/>
      </w:pPr>
      <w:r>
        <w:t xml:space="preserve">Martins J.R.R.A., </w:t>
      </w:r>
      <w:proofErr w:type="spellStart"/>
      <w:r>
        <w:t>Sturdza</w:t>
      </w:r>
      <w:proofErr w:type="spellEnd"/>
      <w:r>
        <w:t xml:space="preserve"> P., Alonso J.J., 2003, The complex-step derivative approximation, ACM Transactions on Mathematical Software, 29, 245–262.</w:t>
      </w:r>
    </w:p>
    <w:p w14:paraId="4785A28B" w14:textId="77777777" w:rsidR="005B4DFD" w:rsidRDefault="005B4DFD" w:rsidP="005B4DFD">
      <w:pPr>
        <w:pStyle w:val="CETReferencetext"/>
      </w:pPr>
      <w:r>
        <w:t xml:space="preserve">Rave A., </w:t>
      </w:r>
      <w:proofErr w:type="spellStart"/>
      <w:r>
        <w:t>Kuwertz</w:t>
      </w:r>
      <w:proofErr w:type="spellEnd"/>
      <w:r>
        <w:t xml:space="preserve"> R., </w:t>
      </w:r>
      <w:proofErr w:type="spellStart"/>
      <w:r>
        <w:t>Fieg</w:t>
      </w:r>
      <w:proofErr w:type="spellEnd"/>
      <w:r>
        <w:t xml:space="preserve"> G., Heck J., 2019, Characterization of a Modular, Scalable </w:t>
      </w:r>
      <w:proofErr w:type="spellStart"/>
      <w:r>
        <w:t>Millistructured</w:t>
      </w:r>
      <w:proofErr w:type="spellEnd"/>
      <w:r>
        <w:t xml:space="preserve"> Plate Reactor, </w:t>
      </w:r>
      <w:proofErr w:type="spellStart"/>
      <w:r>
        <w:t>Chemie</w:t>
      </w:r>
      <w:proofErr w:type="spellEnd"/>
      <w:r>
        <w:t xml:space="preserve"> </w:t>
      </w:r>
      <w:proofErr w:type="spellStart"/>
      <w:r>
        <w:t>Ingenieur</w:t>
      </w:r>
      <w:proofErr w:type="spellEnd"/>
      <w:r>
        <w:t xml:space="preserve"> Technik, 91, 602–606.</w:t>
      </w:r>
    </w:p>
    <w:p w14:paraId="41CC429E" w14:textId="61C9185D" w:rsidR="00955764" w:rsidRDefault="005B4DFD" w:rsidP="005B4DFD">
      <w:pPr>
        <w:pStyle w:val="CETReferencetext"/>
      </w:pPr>
      <w:r>
        <w:t xml:space="preserve">Rave A., </w:t>
      </w:r>
      <w:proofErr w:type="spellStart"/>
      <w:r>
        <w:t>Kuwertz</w:t>
      </w:r>
      <w:proofErr w:type="spellEnd"/>
      <w:r>
        <w:t xml:space="preserve"> R., </w:t>
      </w:r>
      <w:proofErr w:type="spellStart"/>
      <w:r>
        <w:t>Fieg</w:t>
      </w:r>
      <w:proofErr w:type="spellEnd"/>
      <w:r>
        <w:t xml:space="preserve"> G., Heck J., 2020, </w:t>
      </w:r>
      <w:proofErr w:type="spellStart"/>
      <w:r>
        <w:t>Modeling</w:t>
      </w:r>
      <w:proofErr w:type="spellEnd"/>
      <w:r>
        <w:t xml:space="preserve"> and experimental investigation of the spatial heat transfer in a plate reactor with meandering </w:t>
      </w:r>
      <w:proofErr w:type="spellStart"/>
      <w:r>
        <w:t>millichannels</w:t>
      </w:r>
      <w:proofErr w:type="spellEnd"/>
      <w:r>
        <w:t>, Chemical Engineering and Processing - Process Intensification, 150, 107860.</w:t>
      </w:r>
    </w:p>
    <w:p w14:paraId="4B636886" w14:textId="77777777" w:rsidR="00B41285" w:rsidRDefault="00B41285" w:rsidP="00B41285">
      <w:pPr>
        <w:pStyle w:val="CETReferencetext"/>
      </w:pPr>
      <w:r>
        <w:t xml:space="preserve">Rave A., Schaare L., </w:t>
      </w:r>
      <w:proofErr w:type="spellStart"/>
      <w:r>
        <w:t>Fieg</w:t>
      </w:r>
      <w:proofErr w:type="spellEnd"/>
      <w:r>
        <w:t xml:space="preserve"> G., 2022, Investigation of </w:t>
      </w:r>
      <w:proofErr w:type="spellStart"/>
      <w:r>
        <w:t>micromixing</w:t>
      </w:r>
      <w:proofErr w:type="spellEnd"/>
      <w:r>
        <w:t xml:space="preserve"> in the ART plate reactor PR37 using the acetal cleavage method and different mixing models, Chemical Engineering and Processing - Process Intensification, 181, 109134.</w:t>
      </w:r>
    </w:p>
    <w:p w14:paraId="6FAA4342" w14:textId="5323622F" w:rsidR="00C52C3C" w:rsidRDefault="00B41285" w:rsidP="00B41285">
      <w:pPr>
        <w:pStyle w:val="CETReferencetext"/>
      </w:pPr>
      <w:r>
        <w:t>Schaare L., Rave A.,</w:t>
      </w:r>
      <w:r w:rsidR="00124813">
        <w:t xml:space="preserve"> </w:t>
      </w:r>
      <w:proofErr w:type="spellStart"/>
      <w:r w:rsidR="00124813">
        <w:t>Kuwertz</w:t>
      </w:r>
      <w:proofErr w:type="spellEnd"/>
      <w:r w:rsidR="00124813">
        <w:t xml:space="preserve"> R., Heck J., </w:t>
      </w:r>
      <w:proofErr w:type="spellStart"/>
      <w:r w:rsidR="00124813">
        <w:t>Fieg</w:t>
      </w:r>
      <w:proofErr w:type="spellEnd"/>
      <w:r w:rsidR="00124813">
        <w:t xml:space="preserve"> G., </w:t>
      </w:r>
      <w:proofErr w:type="spellStart"/>
      <w:r w:rsidR="00124813">
        <w:t>Skiborowski</w:t>
      </w:r>
      <w:proofErr w:type="spellEnd"/>
      <w:r w:rsidR="00124813">
        <w:t xml:space="preserve"> M.,</w:t>
      </w:r>
      <w:r>
        <w:t xml:space="preserve"> 2021, Hydrodynamics, heat transfer, and mixing in a </w:t>
      </w:r>
      <w:proofErr w:type="spellStart"/>
      <w:r>
        <w:t>millistructured</w:t>
      </w:r>
      <w:proofErr w:type="spellEnd"/>
      <w:r>
        <w:t xml:space="preserve"> plate reactor, </w:t>
      </w:r>
      <w:r w:rsidR="00FC5F73" w:rsidRPr="00FC5F73">
        <w:t>15th International Conference on C</w:t>
      </w:r>
      <w:r w:rsidR="00FC5F73">
        <w:t>hemical</w:t>
      </w:r>
      <w:r w:rsidR="00FC5F73" w:rsidRPr="00FC5F73">
        <w:t xml:space="preserve"> </w:t>
      </w:r>
      <w:r w:rsidR="00FC5F73">
        <w:t xml:space="preserve">and </w:t>
      </w:r>
      <w:r w:rsidR="00253003">
        <w:t>P</w:t>
      </w:r>
      <w:r w:rsidR="00FC5F73">
        <w:t xml:space="preserve">rocess </w:t>
      </w:r>
      <w:r w:rsidR="00253003">
        <w:t>E</w:t>
      </w:r>
      <w:r w:rsidR="00FC5F73">
        <w:t>ngineering</w:t>
      </w:r>
      <w:r>
        <w:t>, 2021</w:t>
      </w:r>
    </w:p>
    <w:p w14:paraId="0F7A92B3" w14:textId="3EC01ABF" w:rsidR="001A6A68" w:rsidRDefault="00171B28" w:rsidP="00171B28">
      <w:pPr>
        <w:pStyle w:val="CETReferencetext"/>
      </w:pPr>
      <w:r>
        <w:t>Yu H., 2018, Optimal experimental design and its applications to biochemical engineering systems, PhD thesis, University of Strathclyde.</w:t>
      </w:r>
    </w:p>
    <w:sectPr w:rsidR="001A6A68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FDC8E" w14:textId="77777777" w:rsidR="00293C1A" w:rsidRDefault="00293C1A" w:rsidP="004F5E36">
      <w:r>
        <w:separator/>
      </w:r>
    </w:p>
  </w:endnote>
  <w:endnote w:type="continuationSeparator" w:id="0">
    <w:p w14:paraId="3DD7D755" w14:textId="77777777" w:rsidR="00293C1A" w:rsidRDefault="00293C1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D9BF" w14:textId="77777777" w:rsidR="00293C1A" w:rsidRDefault="00293C1A" w:rsidP="004F5E36">
      <w:r>
        <w:separator/>
      </w:r>
    </w:p>
  </w:footnote>
  <w:footnote w:type="continuationSeparator" w:id="0">
    <w:p w14:paraId="44EE3F73" w14:textId="77777777" w:rsidR="00293C1A" w:rsidRDefault="00293C1A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107A2"/>
    <w:multiLevelType w:val="hybridMultilevel"/>
    <w:tmpl w:val="3BDE314C"/>
    <w:lvl w:ilvl="0" w:tplc="CCC072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AAE7F6C"/>
    <w:multiLevelType w:val="hybridMultilevel"/>
    <w:tmpl w:val="178834E4"/>
    <w:lvl w:ilvl="0" w:tplc="0434B9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D77B0"/>
    <w:multiLevelType w:val="hybridMultilevel"/>
    <w:tmpl w:val="49D027A2"/>
    <w:lvl w:ilvl="0" w:tplc="DCBE1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B0809"/>
    <w:multiLevelType w:val="hybridMultilevel"/>
    <w:tmpl w:val="52A261D8"/>
    <w:lvl w:ilvl="0" w:tplc="E48EB1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4"/>
  </w:num>
  <w:num w:numId="14">
    <w:abstractNumId w:val="20"/>
  </w:num>
  <w:num w:numId="15">
    <w:abstractNumId w:val="23"/>
  </w:num>
  <w:num w:numId="16">
    <w:abstractNumId w:val="22"/>
  </w:num>
  <w:num w:numId="17">
    <w:abstractNumId w:val="13"/>
  </w:num>
  <w:num w:numId="18">
    <w:abstractNumId w:val="14"/>
    <w:lvlOverride w:ilvl="0">
      <w:startOverride w:val="1"/>
    </w:lvlOverride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2"/>
  </w:num>
  <w:num w:numId="24">
    <w:abstractNumId w:val="10"/>
  </w:num>
  <w:num w:numId="25">
    <w:abstractNumId w:val="21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1FD8"/>
    <w:rsid w:val="000027C0"/>
    <w:rsid w:val="00004492"/>
    <w:rsid w:val="000052FB"/>
    <w:rsid w:val="0000585D"/>
    <w:rsid w:val="00010831"/>
    <w:rsid w:val="00010B6E"/>
    <w:rsid w:val="00010D51"/>
    <w:rsid w:val="00011076"/>
    <w:rsid w:val="000117CB"/>
    <w:rsid w:val="00012C97"/>
    <w:rsid w:val="00013A26"/>
    <w:rsid w:val="00015E9C"/>
    <w:rsid w:val="00023E7D"/>
    <w:rsid w:val="00024B9D"/>
    <w:rsid w:val="000279CB"/>
    <w:rsid w:val="0003148D"/>
    <w:rsid w:val="00031EEC"/>
    <w:rsid w:val="00034E41"/>
    <w:rsid w:val="00035C1A"/>
    <w:rsid w:val="000422C1"/>
    <w:rsid w:val="00051566"/>
    <w:rsid w:val="00053F4F"/>
    <w:rsid w:val="000562A9"/>
    <w:rsid w:val="00056416"/>
    <w:rsid w:val="000603E0"/>
    <w:rsid w:val="0006121D"/>
    <w:rsid w:val="00061497"/>
    <w:rsid w:val="000619EB"/>
    <w:rsid w:val="00062A9A"/>
    <w:rsid w:val="00065058"/>
    <w:rsid w:val="000710D6"/>
    <w:rsid w:val="00074460"/>
    <w:rsid w:val="00077190"/>
    <w:rsid w:val="000854C7"/>
    <w:rsid w:val="00085BB0"/>
    <w:rsid w:val="00086C39"/>
    <w:rsid w:val="000872C8"/>
    <w:rsid w:val="00090DD5"/>
    <w:rsid w:val="00096CD8"/>
    <w:rsid w:val="000A03B2"/>
    <w:rsid w:val="000A2556"/>
    <w:rsid w:val="000A440C"/>
    <w:rsid w:val="000C3D1E"/>
    <w:rsid w:val="000D0268"/>
    <w:rsid w:val="000D34BE"/>
    <w:rsid w:val="000E0F32"/>
    <w:rsid w:val="000E102F"/>
    <w:rsid w:val="000E167A"/>
    <w:rsid w:val="000E36F1"/>
    <w:rsid w:val="000E3A73"/>
    <w:rsid w:val="000E414A"/>
    <w:rsid w:val="000F093C"/>
    <w:rsid w:val="000F2615"/>
    <w:rsid w:val="000F298B"/>
    <w:rsid w:val="000F2A33"/>
    <w:rsid w:val="000F315F"/>
    <w:rsid w:val="000F6C7D"/>
    <w:rsid w:val="000F787B"/>
    <w:rsid w:val="000F7E0B"/>
    <w:rsid w:val="001000CD"/>
    <w:rsid w:val="00105BFD"/>
    <w:rsid w:val="00106AC8"/>
    <w:rsid w:val="00106C42"/>
    <w:rsid w:val="0011429C"/>
    <w:rsid w:val="0012091F"/>
    <w:rsid w:val="0012277D"/>
    <w:rsid w:val="00124813"/>
    <w:rsid w:val="001266F2"/>
    <w:rsid w:val="00126BC2"/>
    <w:rsid w:val="00127496"/>
    <w:rsid w:val="001308B6"/>
    <w:rsid w:val="0013121F"/>
    <w:rsid w:val="00131D32"/>
    <w:rsid w:val="00131FE6"/>
    <w:rsid w:val="0013263F"/>
    <w:rsid w:val="001331DF"/>
    <w:rsid w:val="00134832"/>
    <w:rsid w:val="00134DE4"/>
    <w:rsid w:val="00136F0E"/>
    <w:rsid w:val="0014034D"/>
    <w:rsid w:val="00140C9A"/>
    <w:rsid w:val="00142924"/>
    <w:rsid w:val="00144D16"/>
    <w:rsid w:val="00145650"/>
    <w:rsid w:val="001475B0"/>
    <w:rsid w:val="00150E59"/>
    <w:rsid w:val="00152DE3"/>
    <w:rsid w:val="00155337"/>
    <w:rsid w:val="00156673"/>
    <w:rsid w:val="001568D8"/>
    <w:rsid w:val="001577D3"/>
    <w:rsid w:val="0016225D"/>
    <w:rsid w:val="0016257C"/>
    <w:rsid w:val="00163551"/>
    <w:rsid w:val="00163699"/>
    <w:rsid w:val="00164CF9"/>
    <w:rsid w:val="001667A6"/>
    <w:rsid w:val="00171B28"/>
    <w:rsid w:val="001747D0"/>
    <w:rsid w:val="001771B4"/>
    <w:rsid w:val="00180265"/>
    <w:rsid w:val="00180567"/>
    <w:rsid w:val="001831C5"/>
    <w:rsid w:val="0018473B"/>
    <w:rsid w:val="00184783"/>
    <w:rsid w:val="001848BF"/>
    <w:rsid w:val="00184AD6"/>
    <w:rsid w:val="001851BD"/>
    <w:rsid w:val="0018708F"/>
    <w:rsid w:val="00187393"/>
    <w:rsid w:val="00187634"/>
    <w:rsid w:val="00190713"/>
    <w:rsid w:val="00192B57"/>
    <w:rsid w:val="00192EF3"/>
    <w:rsid w:val="0019648B"/>
    <w:rsid w:val="00196D36"/>
    <w:rsid w:val="00197F0E"/>
    <w:rsid w:val="001A1CEB"/>
    <w:rsid w:val="001A4AF7"/>
    <w:rsid w:val="001A5E93"/>
    <w:rsid w:val="001A6A68"/>
    <w:rsid w:val="001A6D5C"/>
    <w:rsid w:val="001B0349"/>
    <w:rsid w:val="001B1E93"/>
    <w:rsid w:val="001B263C"/>
    <w:rsid w:val="001B38DA"/>
    <w:rsid w:val="001B65C1"/>
    <w:rsid w:val="001B7168"/>
    <w:rsid w:val="001B7754"/>
    <w:rsid w:val="001C684B"/>
    <w:rsid w:val="001D0CFB"/>
    <w:rsid w:val="001D21AF"/>
    <w:rsid w:val="001D2415"/>
    <w:rsid w:val="001D53FC"/>
    <w:rsid w:val="001E27FE"/>
    <w:rsid w:val="001E416A"/>
    <w:rsid w:val="001E68FB"/>
    <w:rsid w:val="001F42A5"/>
    <w:rsid w:val="001F7B9D"/>
    <w:rsid w:val="00201C93"/>
    <w:rsid w:val="002045EB"/>
    <w:rsid w:val="002115BD"/>
    <w:rsid w:val="00214316"/>
    <w:rsid w:val="00215F70"/>
    <w:rsid w:val="002224B4"/>
    <w:rsid w:val="0022335C"/>
    <w:rsid w:val="00225320"/>
    <w:rsid w:val="00227FF7"/>
    <w:rsid w:val="00231FA2"/>
    <w:rsid w:val="00232723"/>
    <w:rsid w:val="00232D37"/>
    <w:rsid w:val="00237EE8"/>
    <w:rsid w:val="00240A57"/>
    <w:rsid w:val="00242631"/>
    <w:rsid w:val="002447EF"/>
    <w:rsid w:val="00251550"/>
    <w:rsid w:val="00252B8C"/>
    <w:rsid w:val="00253003"/>
    <w:rsid w:val="002562FF"/>
    <w:rsid w:val="00257B38"/>
    <w:rsid w:val="0026105F"/>
    <w:rsid w:val="00262B48"/>
    <w:rsid w:val="002631FF"/>
    <w:rsid w:val="00263B05"/>
    <w:rsid w:val="00264D64"/>
    <w:rsid w:val="00264ECE"/>
    <w:rsid w:val="00265F6B"/>
    <w:rsid w:val="00270B88"/>
    <w:rsid w:val="0027221A"/>
    <w:rsid w:val="00275B61"/>
    <w:rsid w:val="00280FAF"/>
    <w:rsid w:val="00282656"/>
    <w:rsid w:val="002829FD"/>
    <w:rsid w:val="00282FC1"/>
    <w:rsid w:val="00283F40"/>
    <w:rsid w:val="00284E06"/>
    <w:rsid w:val="00285FD3"/>
    <w:rsid w:val="00287BE0"/>
    <w:rsid w:val="00293C1A"/>
    <w:rsid w:val="00296B83"/>
    <w:rsid w:val="002A073A"/>
    <w:rsid w:val="002A4EB8"/>
    <w:rsid w:val="002A5469"/>
    <w:rsid w:val="002A6E6A"/>
    <w:rsid w:val="002B01AB"/>
    <w:rsid w:val="002B18A6"/>
    <w:rsid w:val="002B2962"/>
    <w:rsid w:val="002B3901"/>
    <w:rsid w:val="002B4015"/>
    <w:rsid w:val="002B719B"/>
    <w:rsid w:val="002B78CE"/>
    <w:rsid w:val="002C008A"/>
    <w:rsid w:val="002C2023"/>
    <w:rsid w:val="002C2FB6"/>
    <w:rsid w:val="002D34E9"/>
    <w:rsid w:val="002E0EC8"/>
    <w:rsid w:val="002E2E60"/>
    <w:rsid w:val="002E47D0"/>
    <w:rsid w:val="002E5FA7"/>
    <w:rsid w:val="002F17C5"/>
    <w:rsid w:val="002F2099"/>
    <w:rsid w:val="002F259C"/>
    <w:rsid w:val="002F2FBC"/>
    <w:rsid w:val="002F3309"/>
    <w:rsid w:val="002F50AB"/>
    <w:rsid w:val="002F6019"/>
    <w:rsid w:val="002F6E23"/>
    <w:rsid w:val="003008CE"/>
    <w:rsid w:val="003009B7"/>
    <w:rsid w:val="00300E56"/>
    <w:rsid w:val="0030152C"/>
    <w:rsid w:val="00301AE1"/>
    <w:rsid w:val="0030469C"/>
    <w:rsid w:val="00313523"/>
    <w:rsid w:val="003148FE"/>
    <w:rsid w:val="0032010E"/>
    <w:rsid w:val="00321C6E"/>
    <w:rsid w:val="00321CA6"/>
    <w:rsid w:val="00323763"/>
    <w:rsid w:val="00323C5F"/>
    <w:rsid w:val="00323DE3"/>
    <w:rsid w:val="003273E9"/>
    <w:rsid w:val="003303CA"/>
    <w:rsid w:val="003315AE"/>
    <w:rsid w:val="0033182B"/>
    <w:rsid w:val="00334C09"/>
    <w:rsid w:val="00335110"/>
    <w:rsid w:val="00341C85"/>
    <w:rsid w:val="00344A67"/>
    <w:rsid w:val="00345232"/>
    <w:rsid w:val="00353FAA"/>
    <w:rsid w:val="003723D4"/>
    <w:rsid w:val="003735E1"/>
    <w:rsid w:val="003809DF"/>
    <w:rsid w:val="00381905"/>
    <w:rsid w:val="0038260F"/>
    <w:rsid w:val="00382D39"/>
    <w:rsid w:val="00384CC8"/>
    <w:rsid w:val="00385EFF"/>
    <w:rsid w:val="003871FD"/>
    <w:rsid w:val="00393515"/>
    <w:rsid w:val="003940F2"/>
    <w:rsid w:val="00394E5F"/>
    <w:rsid w:val="0039716D"/>
    <w:rsid w:val="00397CE5"/>
    <w:rsid w:val="003A1E30"/>
    <w:rsid w:val="003A1F34"/>
    <w:rsid w:val="003A2829"/>
    <w:rsid w:val="003A672B"/>
    <w:rsid w:val="003A7BB2"/>
    <w:rsid w:val="003A7D1C"/>
    <w:rsid w:val="003B304B"/>
    <w:rsid w:val="003B3146"/>
    <w:rsid w:val="003B51ED"/>
    <w:rsid w:val="003B6974"/>
    <w:rsid w:val="003C1F90"/>
    <w:rsid w:val="003D33C2"/>
    <w:rsid w:val="003E2C3C"/>
    <w:rsid w:val="003E3242"/>
    <w:rsid w:val="003E4B99"/>
    <w:rsid w:val="003E5F7E"/>
    <w:rsid w:val="003F015E"/>
    <w:rsid w:val="003F036E"/>
    <w:rsid w:val="003F49D1"/>
    <w:rsid w:val="003F65DD"/>
    <w:rsid w:val="00400414"/>
    <w:rsid w:val="00403A46"/>
    <w:rsid w:val="00404333"/>
    <w:rsid w:val="0040505C"/>
    <w:rsid w:val="004050B3"/>
    <w:rsid w:val="0040628B"/>
    <w:rsid w:val="00407F6E"/>
    <w:rsid w:val="00412F72"/>
    <w:rsid w:val="00413CFD"/>
    <w:rsid w:val="0041446B"/>
    <w:rsid w:val="004173EF"/>
    <w:rsid w:val="004207FE"/>
    <w:rsid w:val="00423605"/>
    <w:rsid w:val="00424AC4"/>
    <w:rsid w:val="004265C4"/>
    <w:rsid w:val="00432742"/>
    <w:rsid w:val="00433D97"/>
    <w:rsid w:val="00435522"/>
    <w:rsid w:val="0044071E"/>
    <w:rsid w:val="004408F1"/>
    <w:rsid w:val="004416AE"/>
    <w:rsid w:val="004427CC"/>
    <w:rsid w:val="0044329C"/>
    <w:rsid w:val="00444774"/>
    <w:rsid w:val="00445646"/>
    <w:rsid w:val="00446501"/>
    <w:rsid w:val="00446A93"/>
    <w:rsid w:val="004503A1"/>
    <w:rsid w:val="00453E24"/>
    <w:rsid w:val="0045695F"/>
    <w:rsid w:val="00457456"/>
    <w:rsid w:val="004577FE"/>
    <w:rsid w:val="00457B9C"/>
    <w:rsid w:val="0046164A"/>
    <w:rsid w:val="004628D2"/>
    <w:rsid w:val="00462DCD"/>
    <w:rsid w:val="00463675"/>
    <w:rsid w:val="004648AD"/>
    <w:rsid w:val="00464F20"/>
    <w:rsid w:val="00467413"/>
    <w:rsid w:val="004703A9"/>
    <w:rsid w:val="00474A5F"/>
    <w:rsid w:val="004760DE"/>
    <w:rsid w:val="004763D7"/>
    <w:rsid w:val="00477D96"/>
    <w:rsid w:val="00490EFC"/>
    <w:rsid w:val="004914F7"/>
    <w:rsid w:val="0049229D"/>
    <w:rsid w:val="00495A51"/>
    <w:rsid w:val="00497019"/>
    <w:rsid w:val="00497644"/>
    <w:rsid w:val="004A004E"/>
    <w:rsid w:val="004A0664"/>
    <w:rsid w:val="004A24CF"/>
    <w:rsid w:val="004A2705"/>
    <w:rsid w:val="004B3BF6"/>
    <w:rsid w:val="004B4D56"/>
    <w:rsid w:val="004B63FB"/>
    <w:rsid w:val="004B6683"/>
    <w:rsid w:val="004C0727"/>
    <w:rsid w:val="004C168C"/>
    <w:rsid w:val="004C26F4"/>
    <w:rsid w:val="004C3D1D"/>
    <w:rsid w:val="004C3D84"/>
    <w:rsid w:val="004C5969"/>
    <w:rsid w:val="004C7913"/>
    <w:rsid w:val="004E1264"/>
    <w:rsid w:val="004E1373"/>
    <w:rsid w:val="004E26AA"/>
    <w:rsid w:val="004E4DD6"/>
    <w:rsid w:val="004E536F"/>
    <w:rsid w:val="004E6AB4"/>
    <w:rsid w:val="004F0016"/>
    <w:rsid w:val="004F33F7"/>
    <w:rsid w:val="004F5E36"/>
    <w:rsid w:val="004F6583"/>
    <w:rsid w:val="00504DBE"/>
    <w:rsid w:val="00507B47"/>
    <w:rsid w:val="00507BEF"/>
    <w:rsid w:val="00507CC9"/>
    <w:rsid w:val="0051131C"/>
    <w:rsid w:val="0051187F"/>
    <w:rsid w:val="005119A5"/>
    <w:rsid w:val="00511C1B"/>
    <w:rsid w:val="00511EA0"/>
    <w:rsid w:val="005137A5"/>
    <w:rsid w:val="005174C3"/>
    <w:rsid w:val="0052730F"/>
    <w:rsid w:val="005278B7"/>
    <w:rsid w:val="00531807"/>
    <w:rsid w:val="00532016"/>
    <w:rsid w:val="005346C8"/>
    <w:rsid w:val="005363A2"/>
    <w:rsid w:val="00537352"/>
    <w:rsid w:val="00537D29"/>
    <w:rsid w:val="00537D68"/>
    <w:rsid w:val="00537D6D"/>
    <w:rsid w:val="00543A78"/>
    <w:rsid w:val="00543E7D"/>
    <w:rsid w:val="00547A68"/>
    <w:rsid w:val="005521C4"/>
    <w:rsid w:val="005531C9"/>
    <w:rsid w:val="005532A5"/>
    <w:rsid w:val="00553A1A"/>
    <w:rsid w:val="00553D2B"/>
    <w:rsid w:val="005559A8"/>
    <w:rsid w:val="0055739F"/>
    <w:rsid w:val="0056500B"/>
    <w:rsid w:val="005661B4"/>
    <w:rsid w:val="00570C43"/>
    <w:rsid w:val="00572F20"/>
    <w:rsid w:val="0057379D"/>
    <w:rsid w:val="005837E3"/>
    <w:rsid w:val="005845DF"/>
    <w:rsid w:val="00584941"/>
    <w:rsid w:val="00594E46"/>
    <w:rsid w:val="005A1454"/>
    <w:rsid w:val="005A5D33"/>
    <w:rsid w:val="005A6EF6"/>
    <w:rsid w:val="005B2110"/>
    <w:rsid w:val="005B49EF"/>
    <w:rsid w:val="005B4DFD"/>
    <w:rsid w:val="005B61E6"/>
    <w:rsid w:val="005C04B4"/>
    <w:rsid w:val="005C466A"/>
    <w:rsid w:val="005C7296"/>
    <w:rsid w:val="005C77E1"/>
    <w:rsid w:val="005D0909"/>
    <w:rsid w:val="005D1A00"/>
    <w:rsid w:val="005D1ED4"/>
    <w:rsid w:val="005D668A"/>
    <w:rsid w:val="005D6A2F"/>
    <w:rsid w:val="005D7F1A"/>
    <w:rsid w:val="005E1A82"/>
    <w:rsid w:val="005E633C"/>
    <w:rsid w:val="005E77FB"/>
    <w:rsid w:val="005E794C"/>
    <w:rsid w:val="005F0A28"/>
    <w:rsid w:val="005F0E5E"/>
    <w:rsid w:val="005F4E25"/>
    <w:rsid w:val="00600535"/>
    <w:rsid w:val="006007E3"/>
    <w:rsid w:val="006068C6"/>
    <w:rsid w:val="00610CD6"/>
    <w:rsid w:val="0061720D"/>
    <w:rsid w:val="00620DEE"/>
    <w:rsid w:val="00621014"/>
    <w:rsid w:val="00621548"/>
    <w:rsid w:val="00621F92"/>
    <w:rsid w:val="00621FD2"/>
    <w:rsid w:val="0062280A"/>
    <w:rsid w:val="00625639"/>
    <w:rsid w:val="006314DB"/>
    <w:rsid w:val="00631B33"/>
    <w:rsid w:val="00636007"/>
    <w:rsid w:val="00636F2E"/>
    <w:rsid w:val="00636F93"/>
    <w:rsid w:val="00637848"/>
    <w:rsid w:val="0064184D"/>
    <w:rsid w:val="006422CC"/>
    <w:rsid w:val="00644C85"/>
    <w:rsid w:val="0065257D"/>
    <w:rsid w:val="00655CE4"/>
    <w:rsid w:val="00660E3E"/>
    <w:rsid w:val="00661347"/>
    <w:rsid w:val="00662E74"/>
    <w:rsid w:val="0066302F"/>
    <w:rsid w:val="00664909"/>
    <w:rsid w:val="00665B07"/>
    <w:rsid w:val="006715FD"/>
    <w:rsid w:val="00674AE9"/>
    <w:rsid w:val="006770E9"/>
    <w:rsid w:val="00677D39"/>
    <w:rsid w:val="00680C23"/>
    <w:rsid w:val="00682169"/>
    <w:rsid w:val="00682868"/>
    <w:rsid w:val="00684020"/>
    <w:rsid w:val="00684B6C"/>
    <w:rsid w:val="00693766"/>
    <w:rsid w:val="00696C43"/>
    <w:rsid w:val="006A3281"/>
    <w:rsid w:val="006B13C5"/>
    <w:rsid w:val="006B2562"/>
    <w:rsid w:val="006B4888"/>
    <w:rsid w:val="006C2A8F"/>
    <w:rsid w:val="006C2E45"/>
    <w:rsid w:val="006C359C"/>
    <w:rsid w:val="006C5579"/>
    <w:rsid w:val="006C6E44"/>
    <w:rsid w:val="006D5C5C"/>
    <w:rsid w:val="006D6E8B"/>
    <w:rsid w:val="006E737D"/>
    <w:rsid w:val="006E7840"/>
    <w:rsid w:val="006F1A64"/>
    <w:rsid w:val="00700DD9"/>
    <w:rsid w:val="00710A91"/>
    <w:rsid w:val="00713973"/>
    <w:rsid w:val="007167AB"/>
    <w:rsid w:val="00717355"/>
    <w:rsid w:val="0072046B"/>
    <w:rsid w:val="00720A24"/>
    <w:rsid w:val="007250B7"/>
    <w:rsid w:val="00730303"/>
    <w:rsid w:val="00732386"/>
    <w:rsid w:val="0073514D"/>
    <w:rsid w:val="00735842"/>
    <w:rsid w:val="00737329"/>
    <w:rsid w:val="00737750"/>
    <w:rsid w:val="007447F3"/>
    <w:rsid w:val="0075499F"/>
    <w:rsid w:val="0075659D"/>
    <w:rsid w:val="00761A84"/>
    <w:rsid w:val="00763C56"/>
    <w:rsid w:val="007661C8"/>
    <w:rsid w:val="0077098D"/>
    <w:rsid w:val="0077615C"/>
    <w:rsid w:val="00781202"/>
    <w:rsid w:val="00782949"/>
    <w:rsid w:val="007873A2"/>
    <w:rsid w:val="007931FA"/>
    <w:rsid w:val="007946CB"/>
    <w:rsid w:val="00797410"/>
    <w:rsid w:val="007A086A"/>
    <w:rsid w:val="007A09D1"/>
    <w:rsid w:val="007A1F4B"/>
    <w:rsid w:val="007A4552"/>
    <w:rsid w:val="007A4861"/>
    <w:rsid w:val="007A71C8"/>
    <w:rsid w:val="007A75D9"/>
    <w:rsid w:val="007A7BBA"/>
    <w:rsid w:val="007B0C50"/>
    <w:rsid w:val="007B48F9"/>
    <w:rsid w:val="007B5BDF"/>
    <w:rsid w:val="007B6A65"/>
    <w:rsid w:val="007B7A39"/>
    <w:rsid w:val="007C02A8"/>
    <w:rsid w:val="007C1A43"/>
    <w:rsid w:val="007C3A79"/>
    <w:rsid w:val="007C41B2"/>
    <w:rsid w:val="007C6735"/>
    <w:rsid w:val="007C751E"/>
    <w:rsid w:val="007D0951"/>
    <w:rsid w:val="007D299C"/>
    <w:rsid w:val="007D3498"/>
    <w:rsid w:val="007D3629"/>
    <w:rsid w:val="007D36AF"/>
    <w:rsid w:val="007D678F"/>
    <w:rsid w:val="007E08C0"/>
    <w:rsid w:val="007E32C4"/>
    <w:rsid w:val="007E7E5E"/>
    <w:rsid w:val="007F6E15"/>
    <w:rsid w:val="0080013E"/>
    <w:rsid w:val="00804609"/>
    <w:rsid w:val="00813288"/>
    <w:rsid w:val="00815635"/>
    <w:rsid w:val="0081653D"/>
    <w:rsid w:val="008168FC"/>
    <w:rsid w:val="00822C40"/>
    <w:rsid w:val="0082579C"/>
    <w:rsid w:val="00827F24"/>
    <w:rsid w:val="00830996"/>
    <w:rsid w:val="00830FDE"/>
    <w:rsid w:val="008331AA"/>
    <w:rsid w:val="0083348E"/>
    <w:rsid w:val="008345F1"/>
    <w:rsid w:val="0084169E"/>
    <w:rsid w:val="00845243"/>
    <w:rsid w:val="00856BAD"/>
    <w:rsid w:val="0086313A"/>
    <w:rsid w:val="008655B0"/>
    <w:rsid w:val="00865B07"/>
    <w:rsid w:val="008667EA"/>
    <w:rsid w:val="00875260"/>
    <w:rsid w:val="0087637F"/>
    <w:rsid w:val="008850C1"/>
    <w:rsid w:val="0089050F"/>
    <w:rsid w:val="00891B54"/>
    <w:rsid w:val="00892AD5"/>
    <w:rsid w:val="008939FA"/>
    <w:rsid w:val="008A1512"/>
    <w:rsid w:val="008A22E6"/>
    <w:rsid w:val="008A2F4E"/>
    <w:rsid w:val="008B44DD"/>
    <w:rsid w:val="008C40AE"/>
    <w:rsid w:val="008C4310"/>
    <w:rsid w:val="008D06D6"/>
    <w:rsid w:val="008D32B9"/>
    <w:rsid w:val="008D3F7A"/>
    <w:rsid w:val="008D433B"/>
    <w:rsid w:val="008D4A16"/>
    <w:rsid w:val="008D6C3C"/>
    <w:rsid w:val="008D7AA7"/>
    <w:rsid w:val="008E35E5"/>
    <w:rsid w:val="008E4477"/>
    <w:rsid w:val="008E54D5"/>
    <w:rsid w:val="008E566E"/>
    <w:rsid w:val="008E650E"/>
    <w:rsid w:val="008F5543"/>
    <w:rsid w:val="0090161A"/>
    <w:rsid w:val="00901EB6"/>
    <w:rsid w:val="00903EEC"/>
    <w:rsid w:val="00904C62"/>
    <w:rsid w:val="009050A3"/>
    <w:rsid w:val="00905370"/>
    <w:rsid w:val="00906708"/>
    <w:rsid w:val="00914B2A"/>
    <w:rsid w:val="00922BA8"/>
    <w:rsid w:val="00923BEA"/>
    <w:rsid w:val="009243CB"/>
    <w:rsid w:val="00924DAC"/>
    <w:rsid w:val="00925EFE"/>
    <w:rsid w:val="00927058"/>
    <w:rsid w:val="00930747"/>
    <w:rsid w:val="00936592"/>
    <w:rsid w:val="0093774B"/>
    <w:rsid w:val="00942750"/>
    <w:rsid w:val="009450CE"/>
    <w:rsid w:val="0094540B"/>
    <w:rsid w:val="009459BB"/>
    <w:rsid w:val="009460A9"/>
    <w:rsid w:val="00946360"/>
    <w:rsid w:val="00947179"/>
    <w:rsid w:val="00950438"/>
    <w:rsid w:val="0095164B"/>
    <w:rsid w:val="00951F44"/>
    <w:rsid w:val="009521EF"/>
    <w:rsid w:val="00954090"/>
    <w:rsid w:val="00954849"/>
    <w:rsid w:val="00955764"/>
    <w:rsid w:val="00956C8C"/>
    <w:rsid w:val="009573E7"/>
    <w:rsid w:val="00961727"/>
    <w:rsid w:val="00963E05"/>
    <w:rsid w:val="00964A45"/>
    <w:rsid w:val="00967843"/>
    <w:rsid w:val="00967D54"/>
    <w:rsid w:val="00967DCF"/>
    <w:rsid w:val="00971028"/>
    <w:rsid w:val="009738AA"/>
    <w:rsid w:val="009818D1"/>
    <w:rsid w:val="00982823"/>
    <w:rsid w:val="00983CC4"/>
    <w:rsid w:val="009869FB"/>
    <w:rsid w:val="009914A7"/>
    <w:rsid w:val="00993B84"/>
    <w:rsid w:val="00993F04"/>
    <w:rsid w:val="00996279"/>
    <w:rsid w:val="00996483"/>
    <w:rsid w:val="00996F5A"/>
    <w:rsid w:val="00997E3B"/>
    <w:rsid w:val="009A0354"/>
    <w:rsid w:val="009A0927"/>
    <w:rsid w:val="009A4626"/>
    <w:rsid w:val="009B041A"/>
    <w:rsid w:val="009B6B8F"/>
    <w:rsid w:val="009B71CE"/>
    <w:rsid w:val="009C016C"/>
    <w:rsid w:val="009C37C3"/>
    <w:rsid w:val="009C391B"/>
    <w:rsid w:val="009C5EA0"/>
    <w:rsid w:val="009C7C86"/>
    <w:rsid w:val="009D2FF7"/>
    <w:rsid w:val="009D7067"/>
    <w:rsid w:val="009E20D5"/>
    <w:rsid w:val="009E2FDE"/>
    <w:rsid w:val="009E4554"/>
    <w:rsid w:val="009E5FFD"/>
    <w:rsid w:val="009E6399"/>
    <w:rsid w:val="009E6B11"/>
    <w:rsid w:val="009E7638"/>
    <w:rsid w:val="009E7884"/>
    <w:rsid w:val="009E788A"/>
    <w:rsid w:val="009F0E08"/>
    <w:rsid w:val="009F4F01"/>
    <w:rsid w:val="009F512D"/>
    <w:rsid w:val="00A004FE"/>
    <w:rsid w:val="00A025DF"/>
    <w:rsid w:val="00A03688"/>
    <w:rsid w:val="00A0589C"/>
    <w:rsid w:val="00A068FF"/>
    <w:rsid w:val="00A06C41"/>
    <w:rsid w:val="00A07893"/>
    <w:rsid w:val="00A11E19"/>
    <w:rsid w:val="00A1763D"/>
    <w:rsid w:val="00A17CEC"/>
    <w:rsid w:val="00A2339B"/>
    <w:rsid w:val="00A2344C"/>
    <w:rsid w:val="00A27EF0"/>
    <w:rsid w:val="00A3107D"/>
    <w:rsid w:val="00A34AB3"/>
    <w:rsid w:val="00A357E3"/>
    <w:rsid w:val="00A35A90"/>
    <w:rsid w:val="00A42361"/>
    <w:rsid w:val="00A50B20"/>
    <w:rsid w:val="00A51390"/>
    <w:rsid w:val="00A53D43"/>
    <w:rsid w:val="00A54342"/>
    <w:rsid w:val="00A54771"/>
    <w:rsid w:val="00A562B9"/>
    <w:rsid w:val="00A57E45"/>
    <w:rsid w:val="00A60D13"/>
    <w:rsid w:val="00A7223D"/>
    <w:rsid w:val="00A72745"/>
    <w:rsid w:val="00A736EC"/>
    <w:rsid w:val="00A75965"/>
    <w:rsid w:val="00A766D5"/>
    <w:rsid w:val="00A76D92"/>
    <w:rsid w:val="00A76EFC"/>
    <w:rsid w:val="00A82B92"/>
    <w:rsid w:val="00A837F4"/>
    <w:rsid w:val="00A87D50"/>
    <w:rsid w:val="00A91010"/>
    <w:rsid w:val="00A91412"/>
    <w:rsid w:val="00A91CCF"/>
    <w:rsid w:val="00A96E19"/>
    <w:rsid w:val="00A97355"/>
    <w:rsid w:val="00A97F29"/>
    <w:rsid w:val="00AA12F9"/>
    <w:rsid w:val="00AA201E"/>
    <w:rsid w:val="00AA4305"/>
    <w:rsid w:val="00AA702E"/>
    <w:rsid w:val="00AA7D26"/>
    <w:rsid w:val="00AB0620"/>
    <w:rsid w:val="00AB0964"/>
    <w:rsid w:val="00AB5011"/>
    <w:rsid w:val="00AC091E"/>
    <w:rsid w:val="00AC5B90"/>
    <w:rsid w:val="00AC7368"/>
    <w:rsid w:val="00AD0919"/>
    <w:rsid w:val="00AD16B9"/>
    <w:rsid w:val="00AD2915"/>
    <w:rsid w:val="00AD3A17"/>
    <w:rsid w:val="00AE1569"/>
    <w:rsid w:val="00AE20DE"/>
    <w:rsid w:val="00AE377D"/>
    <w:rsid w:val="00AF0EBA"/>
    <w:rsid w:val="00AF197F"/>
    <w:rsid w:val="00AF2FB3"/>
    <w:rsid w:val="00AF317D"/>
    <w:rsid w:val="00AF61D7"/>
    <w:rsid w:val="00AF6A11"/>
    <w:rsid w:val="00B01D1C"/>
    <w:rsid w:val="00B02596"/>
    <w:rsid w:val="00B02C8A"/>
    <w:rsid w:val="00B04F86"/>
    <w:rsid w:val="00B0574F"/>
    <w:rsid w:val="00B13A4F"/>
    <w:rsid w:val="00B15A24"/>
    <w:rsid w:val="00B17FBD"/>
    <w:rsid w:val="00B315A6"/>
    <w:rsid w:val="00B31813"/>
    <w:rsid w:val="00B33365"/>
    <w:rsid w:val="00B337F1"/>
    <w:rsid w:val="00B341D5"/>
    <w:rsid w:val="00B41285"/>
    <w:rsid w:val="00B435A9"/>
    <w:rsid w:val="00B52701"/>
    <w:rsid w:val="00B57B36"/>
    <w:rsid w:val="00B57E6F"/>
    <w:rsid w:val="00B621A7"/>
    <w:rsid w:val="00B657E6"/>
    <w:rsid w:val="00B65D9F"/>
    <w:rsid w:val="00B70C1F"/>
    <w:rsid w:val="00B73570"/>
    <w:rsid w:val="00B824A6"/>
    <w:rsid w:val="00B8686D"/>
    <w:rsid w:val="00B90CE8"/>
    <w:rsid w:val="00B93F69"/>
    <w:rsid w:val="00B94F0A"/>
    <w:rsid w:val="00B95648"/>
    <w:rsid w:val="00BB1DDC"/>
    <w:rsid w:val="00BB37FE"/>
    <w:rsid w:val="00BC30C9"/>
    <w:rsid w:val="00BC692F"/>
    <w:rsid w:val="00BD077D"/>
    <w:rsid w:val="00BD0929"/>
    <w:rsid w:val="00BD2005"/>
    <w:rsid w:val="00BD60B0"/>
    <w:rsid w:val="00BE2536"/>
    <w:rsid w:val="00BE3E58"/>
    <w:rsid w:val="00BE5129"/>
    <w:rsid w:val="00BF53E8"/>
    <w:rsid w:val="00BF6B6E"/>
    <w:rsid w:val="00C01616"/>
    <w:rsid w:val="00C0162B"/>
    <w:rsid w:val="00C01732"/>
    <w:rsid w:val="00C050E4"/>
    <w:rsid w:val="00C052C1"/>
    <w:rsid w:val="00C068ED"/>
    <w:rsid w:val="00C1022D"/>
    <w:rsid w:val="00C1351B"/>
    <w:rsid w:val="00C2070D"/>
    <w:rsid w:val="00C216FF"/>
    <w:rsid w:val="00C22E0C"/>
    <w:rsid w:val="00C23E30"/>
    <w:rsid w:val="00C27713"/>
    <w:rsid w:val="00C325FB"/>
    <w:rsid w:val="00C32DDD"/>
    <w:rsid w:val="00C345B1"/>
    <w:rsid w:val="00C351C1"/>
    <w:rsid w:val="00C40142"/>
    <w:rsid w:val="00C4074D"/>
    <w:rsid w:val="00C44514"/>
    <w:rsid w:val="00C4462B"/>
    <w:rsid w:val="00C50B2F"/>
    <w:rsid w:val="00C52C3C"/>
    <w:rsid w:val="00C55A36"/>
    <w:rsid w:val="00C57182"/>
    <w:rsid w:val="00C57863"/>
    <w:rsid w:val="00C640AF"/>
    <w:rsid w:val="00C655FD"/>
    <w:rsid w:val="00C733EC"/>
    <w:rsid w:val="00C75407"/>
    <w:rsid w:val="00C76276"/>
    <w:rsid w:val="00C76DE5"/>
    <w:rsid w:val="00C7766C"/>
    <w:rsid w:val="00C81BFD"/>
    <w:rsid w:val="00C8709F"/>
    <w:rsid w:val="00C870A8"/>
    <w:rsid w:val="00C94434"/>
    <w:rsid w:val="00C95B47"/>
    <w:rsid w:val="00C95EB8"/>
    <w:rsid w:val="00C963C9"/>
    <w:rsid w:val="00CA0D75"/>
    <w:rsid w:val="00CA1C95"/>
    <w:rsid w:val="00CA2F4C"/>
    <w:rsid w:val="00CA5A9C"/>
    <w:rsid w:val="00CA6093"/>
    <w:rsid w:val="00CB7A05"/>
    <w:rsid w:val="00CC3D32"/>
    <w:rsid w:val="00CC4C20"/>
    <w:rsid w:val="00CC7244"/>
    <w:rsid w:val="00CD3517"/>
    <w:rsid w:val="00CD5FE2"/>
    <w:rsid w:val="00CD652A"/>
    <w:rsid w:val="00CD6894"/>
    <w:rsid w:val="00CE0CFA"/>
    <w:rsid w:val="00CE3559"/>
    <w:rsid w:val="00CE47BF"/>
    <w:rsid w:val="00CE6D30"/>
    <w:rsid w:val="00CE7C68"/>
    <w:rsid w:val="00CF45FC"/>
    <w:rsid w:val="00D02B4C"/>
    <w:rsid w:val="00D040C4"/>
    <w:rsid w:val="00D05779"/>
    <w:rsid w:val="00D10723"/>
    <w:rsid w:val="00D168A8"/>
    <w:rsid w:val="00D16CE1"/>
    <w:rsid w:val="00D20AD1"/>
    <w:rsid w:val="00D22DB7"/>
    <w:rsid w:val="00D2666E"/>
    <w:rsid w:val="00D316CD"/>
    <w:rsid w:val="00D32C4A"/>
    <w:rsid w:val="00D34257"/>
    <w:rsid w:val="00D41C2E"/>
    <w:rsid w:val="00D46B7E"/>
    <w:rsid w:val="00D50D39"/>
    <w:rsid w:val="00D5463A"/>
    <w:rsid w:val="00D55F4B"/>
    <w:rsid w:val="00D5777B"/>
    <w:rsid w:val="00D57C84"/>
    <w:rsid w:val="00D6057D"/>
    <w:rsid w:val="00D71640"/>
    <w:rsid w:val="00D7417E"/>
    <w:rsid w:val="00D75ACD"/>
    <w:rsid w:val="00D836C5"/>
    <w:rsid w:val="00D84576"/>
    <w:rsid w:val="00D84926"/>
    <w:rsid w:val="00D84B54"/>
    <w:rsid w:val="00D85995"/>
    <w:rsid w:val="00D90C36"/>
    <w:rsid w:val="00D92101"/>
    <w:rsid w:val="00D921E2"/>
    <w:rsid w:val="00D93C6F"/>
    <w:rsid w:val="00D947CC"/>
    <w:rsid w:val="00DA1399"/>
    <w:rsid w:val="00DA24C6"/>
    <w:rsid w:val="00DA4D7B"/>
    <w:rsid w:val="00DB1134"/>
    <w:rsid w:val="00DC464A"/>
    <w:rsid w:val="00DC6453"/>
    <w:rsid w:val="00DD271C"/>
    <w:rsid w:val="00DD34F6"/>
    <w:rsid w:val="00DD4523"/>
    <w:rsid w:val="00DE1445"/>
    <w:rsid w:val="00DE264A"/>
    <w:rsid w:val="00DE7A8F"/>
    <w:rsid w:val="00DF281D"/>
    <w:rsid w:val="00DF42B4"/>
    <w:rsid w:val="00DF4782"/>
    <w:rsid w:val="00DF5072"/>
    <w:rsid w:val="00DF62B5"/>
    <w:rsid w:val="00E0005B"/>
    <w:rsid w:val="00E02D18"/>
    <w:rsid w:val="00E041E7"/>
    <w:rsid w:val="00E05B89"/>
    <w:rsid w:val="00E10E82"/>
    <w:rsid w:val="00E13F37"/>
    <w:rsid w:val="00E147A7"/>
    <w:rsid w:val="00E23365"/>
    <w:rsid w:val="00E23CA1"/>
    <w:rsid w:val="00E25504"/>
    <w:rsid w:val="00E329B2"/>
    <w:rsid w:val="00E34582"/>
    <w:rsid w:val="00E40846"/>
    <w:rsid w:val="00E409A8"/>
    <w:rsid w:val="00E419BA"/>
    <w:rsid w:val="00E426EA"/>
    <w:rsid w:val="00E4351B"/>
    <w:rsid w:val="00E437A2"/>
    <w:rsid w:val="00E45EC7"/>
    <w:rsid w:val="00E462E0"/>
    <w:rsid w:val="00E4752B"/>
    <w:rsid w:val="00E50446"/>
    <w:rsid w:val="00E50C12"/>
    <w:rsid w:val="00E60C2F"/>
    <w:rsid w:val="00E65B91"/>
    <w:rsid w:val="00E7209D"/>
    <w:rsid w:val="00E72EAD"/>
    <w:rsid w:val="00E74632"/>
    <w:rsid w:val="00E77223"/>
    <w:rsid w:val="00E8528B"/>
    <w:rsid w:val="00E85735"/>
    <w:rsid w:val="00E85B94"/>
    <w:rsid w:val="00E87E01"/>
    <w:rsid w:val="00E916B1"/>
    <w:rsid w:val="00E9509A"/>
    <w:rsid w:val="00E978D0"/>
    <w:rsid w:val="00EA103F"/>
    <w:rsid w:val="00EA3CBA"/>
    <w:rsid w:val="00EA4613"/>
    <w:rsid w:val="00EA4A04"/>
    <w:rsid w:val="00EA7F91"/>
    <w:rsid w:val="00EB1523"/>
    <w:rsid w:val="00EB51F2"/>
    <w:rsid w:val="00EC0E49"/>
    <w:rsid w:val="00EC101F"/>
    <w:rsid w:val="00EC1D61"/>
    <w:rsid w:val="00EC1D9F"/>
    <w:rsid w:val="00EC3029"/>
    <w:rsid w:val="00EC3353"/>
    <w:rsid w:val="00ED195D"/>
    <w:rsid w:val="00ED23C6"/>
    <w:rsid w:val="00ED4AD9"/>
    <w:rsid w:val="00EE0131"/>
    <w:rsid w:val="00EE176D"/>
    <w:rsid w:val="00EE17B0"/>
    <w:rsid w:val="00EE3A27"/>
    <w:rsid w:val="00EE58F3"/>
    <w:rsid w:val="00EF06D9"/>
    <w:rsid w:val="00EF16C7"/>
    <w:rsid w:val="00EF43FF"/>
    <w:rsid w:val="00EF77FF"/>
    <w:rsid w:val="00F0069A"/>
    <w:rsid w:val="00F037C3"/>
    <w:rsid w:val="00F12651"/>
    <w:rsid w:val="00F15B19"/>
    <w:rsid w:val="00F212CC"/>
    <w:rsid w:val="00F21A93"/>
    <w:rsid w:val="00F21D1B"/>
    <w:rsid w:val="00F3049E"/>
    <w:rsid w:val="00F30C64"/>
    <w:rsid w:val="00F32BA2"/>
    <w:rsid w:val="00F32CDB"/>
    <w:rsid w:val="00F342D3"/>
    <w:rsid w:val="00F368B8"/>
    <w:rsid w:val="00F37B80"/>
    <w:rsid w:val="00F43A93"/>
    <w:rsid w:val="00F440BD"/>
    <w:rsid w:val="00F44971"/>
    <w:rsid w:val="00F46242"/>
    <w:rsid w:val="00F54BBC"/>
    <w:rsid w:val="00F565FE"/>
    <w:rsid w:val="00F63A70"/>
    <w:rsid w:val="00F63D8C"/>
    <w:rsid w:val="00F643C4"/>
    <w:rsid w:val="00F649EA"/>
    <w:rsid w:val="00F67833"/>
    <w:rsid w:val="00F67AA0"/>
    <w:rsid w:val="00F67FB7"/>
    <w:rsid w:val="00F7534E"/>
    <w:rsid w:val="00F76609"/>
    <w:rsid w:val="00F77DCE"/>
    <w:rsid w:val="00F81AF6"/>
    <w:rsid w:val="00F8304C"/>
    <w:rsid w:val="00F852E8"/>
    <w:rsid w:val="00F86FBA"/>
    <w:rsid w:val="00F922F2"/>
    <w:rsid w:val="00F93EDF"/>
    <w:rsid w:val="00FA1802"/>
    <w:rsid w:val="00FA21D0"/>
    <w:rsid w:val="00FA24B0"/>
    <w:rsid w:val="00FA2D51"/>
    <w:rsid w:val="00FA5F5F"/>
    <w:rsid w:val="00FA6704"/>
    <w:rsid w:val="00FB730C"/>
    <w:rsid w:val="00FC2695"/>
    <w:rsid w:val="00FC3E03"/>
    <w:rsid w:val="00FC3FC1"/>
    <w:rsid w:val="00FC40CA"/>
    <w:rsid w:val="00FC5B97"/>
    <w:rsid w:val="00FC5F73"/>
    <w:rsid w:val="00FD618F"/>
    <w:rsid w:val="00FD6E63"/>
    <w:rsid w:val="00FD71C8"/>
    <w:rsid w:val="00FE04ED"/>
    <w:rsid w:val="00FE30C1"/>
    <w:rsid w:val="00FE4F56"/>
    <w:rsid w:val="00FF068F"/>
    <w:rsid w:val="00FF1AB7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77F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unhideWhenUs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Absatz-Standardschriftar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280FA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23E7D"/>
    <w:rPr>
      <w:color w:val="808080"/>
    </w:rPr>
  </w:style>
  <w:style w:type="character" w:customStyle="1" w:styleId="tagtrans">
    <w:name w:val="tag_trans"/>
    <w:basedOn w:val="Absatz-Standardschriftart"/>
    <w:rsid w:val="006D5C5C"/>
  </w:style>
  <w:style w:type="paragraph" w:styleId="berarbeitung">
    <w:name w:val="Revision"/>
    <w:hidden/>
    <w:uiPriority w:val="99"/>
    <w:semiHidden/>
    <w:rsid w:val="00737750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F212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547A-479D-4293-8D8A-B0AFB26D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3513</Words>
  <Characters>20025</Characters>
  <Application>Microsoft Office Word</Application>
  <DocSecurity>0</DocSecurity>
  <Lines>166</Lines>
  <Paragraphs>46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23492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Lucas Schaare</cp:lastModifiedBy>
  <cp:revision>25</cp:revision>
  <cp:lastPrinted>2022-12-02T13:28:00Z</cp:lastPrinted>
  <dcterms:created xsi:type="dcterms:W3CDTF">2023-02-04T09:01:00Z</dcterms:created>
  <dcterms:modified xsi:type="dcterms:W3CDTF">2023-03-27T14:06:00Z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