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9A4F7F" w14:paraId="2A131A54" w14:textId="77777777" w:rsidTr="007778E3">
        <w:trPr>
          <w:trHeight w:val="852"/>
          <w:jc w:val="center"/>
        </w:trPr>
        <w:tc>
          <w:tcPr>
            <w:tcW w:w="6940" w:type="dxa"/>
            <w:vMerge w:val="restart"/>
            <w:tcBorders>
              <w:right w:val="single" w:sz="4" w:space="0" w:color="auto"/>
            </w:tcBorders>
          </w:tcPr>
          <w:p w14:paraId="38C3D2BA" w14:textId="77777777" w:rsidR="000A03B2" w:rsidRPr="009A4F7F" w:rsidRDefault="000A03B2" w:rsidP="00DE264A">
            <w:pPr>
              <w:tabs>
                <w:tab w:val="left" w:pos="-108"/>
              </w:tabs>
              <w:ind w:left="-108"/>
              <w:jc w:val="left"/>
              <w:rPr>
                <w:rFonts w:cs="Arial"/>
                <w:b/>
                <w:bCs/>
                <w:i/>
                <w:iCs/>
                <w:color w:val="000066"/>
                <w:sz w:val="12"/>
                <w:szCs w:val="12"/>
                <w:lang w:val="en-US" w:eastAsia="it-IT"/>
              </w:rPr>
            </w:pPr>
            <w:r w:rsidRPr="009A4F7F">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9A4F7F">
              <w:rPr>
                <w:rFonts w:ascii="AdvP6960" w:hAnsi="AdvP6960" w:cs="AdvP6960"/>
                <w:color w:val="241F20"/>
                <w:szCs w:val="18"/>
                <w:lang w:val="en-US" w:eastAsia="it-IT"/>
              </w:rPr>
              <w:t xml:space="preserve"> </w:t>
            </w:r>
            <w:r w:rsidRPr="009A4F7F">
              <w:rPr>
                <w:rFonts w:cs="Arial"/>
                <w:b/>
                <w:bCs/>
                <w:i/>
                <w:iCs/>
                <w:color w:val="000066"/>
                <w:sz w:val="24"/>
                <w:szCs w:val="24"/>
                <w:lang w:val="en-US" w:eastAsia="it-IT"/>
              </w:rPr>
              <w:t>CHEMICAL ENGINEERING</w:t>
            </w:r>
            <w:r w:rsidRPr="009A4F7F">
              <w:rPr>
                <w:rFonts w:cs="Arial"/>
                <w:b/>
                <w:bCs/>
                <w:i/>
                <w:iCs/>
                <w:color w:val="0033FF"/>
                <w:sz w:val="24"/>
                <w:szCs w:val="24"/>
                <w:lang w:val="en-US" w:eastAsia="it-IT"/>
              </w:rPr>
              <w:t xml:space="preserve"> </w:t>
            </w:r>
            <w:r w:rsidRPr="009A4F7F">
              <w:rPr>
                <w:rFonts w:cs="Arial"/>
                <w:b/>
                <w:bCs/>
                <w:i/>
                <w:iCs/>
                <w:color w:val="666666"/>
                <w:sz w:val="24"/>
                <w:szCs w:val="24"/>
                <w:lang w:val="en-US" w:eastAsia="it-IT"/>
              </w:rPr>
              <w:t>TRANSACTIONS</w:t>
            </w:r>
            <w:r w:rsidRPr="009A4F7F">
              <w:rPr>
                <w:color w:val="333333"/>
                <w:sz w:val="24"/>
                <w:szCs w:val="24"/>
                <w:lang w:val="en-US" w:eastAsia="it-IT"/>
              </w:rPr>
              <w:t xml:space="preserve"> </w:t>
            </w:r>
            <w:r w:rsidRPr="009A4F7F">
              <w:rPr>
                <w:rFonts w:cs="Arial"/>
                <w:b/>
                <w:bCs/>
                <w:i/>
                <w:iCs/>
                <w:color w:val="000066"/>
                <w:sz w:val="27"/>
                <w:szCs w:val="27"/>
                <w:lang w:val="en-US" w:eastAsia="it-IT"/>
              </w:rPr>
              <w:br/>
            </w:r>
          </w:p>
          <w:p w14:paraId="4B780582" w14:textId="530285EB" w:rsidR="000A03B2" w:rsidRPr="009A4F7F" w:rsidRDefault="00A76EFC" w:rsidP="001D21AF">
            <w:pPr>
              <w:tabs>
                <w:tab w:val="left" w:pos="-108"/>
              </w:tabs>
              <w:ind w:left="-108"/>
              <w:rPr>
                <w:rFonts w:cs="Arial"/>
                <w:b/>
                <w:bCs/>
                <w:i/>
                <w:iCs/>
                <w:color w:val="000066"/>
                <w:sz w:val="22"/>
                <w:szCs w:val="22"/>
                <w:lang w:val="en-US" w:eastAsia="it-IT"/>
              </w:rPr>
            </w:pPr>
            <w:r w:rsidRPr="009A4F7F">
              <w:rPr>
                <w:rFonts w:cs="Arial"/>
                <w:b/>
                <w:bCs/>
                <w:i/>
                <w:iCs/>
                <w:color w:val="000066"/>
                <w:sz w:val="22"/>
                <w:szCs w:val="22"/>
                <w:lang w:val="en-US" w:eastAsia="it-IT"/>
              </w:rPr>
              <w:t xml:space="preserve">VOL. </w:t>
            </w:r>
            <w:r w:rsidR="0030152C" w:rsidRPr="009A4F7F">
              <w:rPr>
                <w:rFonts w:cs="Arial"/>
                <w:b/>
                <w:bCs/>
                <w:i/>
                <w:iCs/>
                <w:color w:val="000066"/>
                <w:sz w:val="22"/>
                <w:szCs w:val="22"/>
                <w:lang w:val="en-US" w:eastAsia="it-IT"/>
              </w:rPr>
              <w:t xml:space="preserve"> </w:t>
            </w:r>
            <w:proofErr w:type="gramStart"/>
            <w:r w:rsidR="0030152C" w:rsidRPr="009A4F7F">
              <w:rPr>
                <w:rFonts w:cs="Arial"/>
                <w:b/>
                <w:bCs/>
                <w:i/>
                <w:iCs/>
                <w:color w:val="000066"/>
                <w:sz w:val="22"/>
                <w:szCs w:val="22"/>
                <w:lang w:val="en-US" w:eastAsia="it-IT"/>
              </w:rPr>
              <w:t xml:space="preserve">  </w:t>
            </w:r>
            <w:r w:rsidR="007B48F9" w:rsidRPr="009A4F7F">
              <w:rPr>
                <w:rFonts w:cs="Arial"/>
                <w:b/>
                <w:bCs/>
                <w:i/>
                <w:iCs/>
                <w:color w:val="000066"/>
                <w:sz w:val="22"/>
                <w:szCs w:val="22"/>
                <w:lang w:val="en-US" w:eastAsia="it-IT"/>
              </w:rPr>
              <w:t>,</w:t>
            </w:r>
            <w:proofErr w:type="gramEnd"/>
            <w:r w:rsidR="00FA5F5F" w:rsidRPr="009A4F7F">
              <w:rPr>
                <w:rFonts w:cs="Arial"/>
                <w:b/>
                <w:bCs/>
                <w:i/>
                <w:iCs/>
                <w:color w:val="000066"/>
                <w:sz w:val="22"/>
                <w:szCs w:val="22"/>
                <w:lang w:val="en-US" w:eastAsia="it-IT"/>
              </w:rPr>
              <w:t xml:space="preserve"> </w:t>
            </w:r>
            <w:r w:rsidR="0030152C" w:rsidRPr="009A4F7F">
              <w:rPr>
                <w:rFonts w:cs="Arial"/>
                <w:b/>
                <w:bCs/>
                <w:i/>
                <w:iCs/>
                <w:color w:val="000066"/>
                <w:sz w:val="22"/>
                <w:szCs w:val="22"/>
                <w:lang w:val="en-US" w:eastAsia="it-IT"/>
              </w:rPr>
              <w:t>2023</w:t>
            </w:r>
          </w:p>
        </w:tc>
        <w:tc>
          <w:tcPr>
            <w:tcW w:w="1842" w:type="dxa"/>
            <w:tcBorders>
              <w:left w:val="single" w:sz="4" w:space="0" w:color="auto"/>
              <w:bottom w:val="nil"/>
              <w:right w:val="single" w:sz="4" w:space="0" w:color="auto"/>
            </w:tcBorders>
          </w:tcPr>
          <w:p w14:paraId="56782132" w14:textId="77777777" w:rsidR="000A03B2" w:rsidRPr="009A4F7F" w:rsidRDefault="000A03B2" w:rsidP="00CD5FE2">
            <w:pPr>
              <w:spacing w:line="140" w:lineRule="atLeast"/>
              <w:jc w:val="right"/>
              <w:rPr>
                <w:rFonts w:cs="Arial"/>
                <w:sz w:val="14"/>
                <w:szCs w:val="14"/>
                <w:lang w:val="en-US"/>
              </w:rPr>
            </w:pPr>
            <w:r w:rsidRPr="009A4F7F">
              <w:rPr>
                <w:rFonts w:cs="Arial"/>
                <w:sz w:val="14"/>
                <w:szCs w:val="14"/>
                <w:lang w:val="en-US"/>
              </w:rPr>
              <w:t>A publication of</w:t>
            </w:r>
          </w:p>
          <w:p w14:paraId="599E5441" w14:textId="77777777" w:rsidR="000A03B2" w:rsidRPr="009A4F7F" w:rsidRDefault="000A03B2" w:rsidP="00CD5FE2">
            <w:pPr>
              <w:jc w:val="right"/>
              <w:rPr>
                <w:lang w:val="en-US"/>
              </w:rPr>
            </w:pPr>
            <w:r w:rsidRPr="009A4F7F">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9A4F7F" w14:paraId="380FA3CD" w14:textId="77777777" w:rsidTr="007778E3">
        <w:trPr>
          <w:trHeight w:val="567"/>
          <w:jc w:val="center"/>
        </w:trPr>
        <w:tc>
          <w:tcPr>
            <w:tcW w:w="6940" w:type="dxa"/>
            <w:vMerge/>
            <w:tcBorders>
              <w:right w:val="single" w:sz="4" w:space="0" w:color="auto"/>
            </w:tcBorders>
          </w:tcPr>
          <w:p w14:paraId="39E5E4C1" w14:textId="77777777" w:rsidR="000A03B2" w:rsidRPr="009A4F7F" w:rsidRDefault="000A03B2" w:rsidP="00CD5FE2">
            <w:pPr>
              <w:tabs>
                <w:tab w:val="left" w:pos="-108"/>
              </w:tabs>
              <w:rPr>
                <w:lang w:val="en-US"/>
              </w:rPr>
            </w:pPr>
          </w:p>
        </w:tc>
        <w:tc>
          <w:tcPr>
            <w:tcW w:w="1842" w:type="dxa"/>
            <w:tcBorders>
              <w:left w:val="single" w:sz="4" w:space="0" w:color="auto"/>
              <w:bottom w:val="nil"/>
              <w:right w:val="single" w:sz="4" w:space="0" w:color="auto"/>
            </w:tcBorders>
          </w:tcPr>
          <w:p w14:paraId="43858A98" w14:textId="77777777" w:rsidR="000A03B2" w:rsidRPr="009A4F7F" w:rsidRDefault="000A03B2" w:rsidP="00CD5FE2">
            <w:pPr>
              <w:spacing w:line="140" w:lineRule="atLeast"/>
              <w:jc w:val="right"/>
              <w:rPr>
                <w:rFonts w:cs="Arial"/>
                <w:sz w:val="14"/>
                <w:szCs w:val="14"/>
                <w:lang w:val="en-US"/>
              </w:rPr>
            </w:pPr>
            <w:r w:rsidRPr="009A4F7F">
              <w:rPr>
                <w:rFonts w:cs="Arial"/>
                <w:sz w:val="14"/>
                <w:szCs w:val="14"/>
                <w:lang w:val="en-US"/>
              </w:rPr>
              <w:t>The Italian Association</w:t>
            </w:r>
          </w:p>
          <w:p w14:paraId="7522B1D2" w14:textId="77777777" w:rsidR="000A03B2" w:rsidRPr="009A4F7F" w:rsidRDefault="000A03B2" w:rsidP="00CD5FE2">
            <w:pPr>
              <w:spacing w:line="140" w:lineRule="atLeast"/>
              <w:jc w:val="right"/>
              <w:rPr>
                <w:rFonts w:cs="Arial"/>
                <w:sz w:val="14"/>
                <w:szCs w:val="14"/>
                <w:lang w:val="en-US"/>
              </w:rPr>
            </w:pPr>
            <w:r w:rsidRPr="009A4F7F">
              <w:rPr>
                <w:rFonts w:cs="Arial"/>
                <w:sz w:val="14"/>
                <w:szCs w:val="14"/>
                <w:lang w:val="en-US"/>
              </w:rPr>
              <w:t>of Chemical Engineering</w:t>
            </w:r>
          </w:p>
          <w:p w14:paraId="4F0CC5DE" w14:textId="47FDB2FC" w:rsidR="000A03B2" w:rsidRPr="009A4F7F" w:rsidRDefault="000D0268" w:rsidP="00CD5FE2">
            <w:pPr>
              <w:spacing w:line="140" w:lineRule="atLeast"/>
              <w:jc w:val="right"/>
              <w:rPr>
                <w:rFonts w:cs="Arial"/>
                <w:sz w:val="13"/>
                <w:szCs w:val="13"/>
                <w:lang w:val="en-US"/>
              </w:rPr>
            </w:pPr>
            <w:r w:rsidRPr="009A4F7F">
              <w:rPr>
                <w:rFonts w:cs="Arial"/>
                <w:sz w:val="13"/>
                <w:szCs w:val="13"/>
                <w:lang w:val="en-US"/>
              </w:rPr>
              <w:t>Online at www.cetjournal.it</w:t>
            </w:r>
          </w:p>
        </w:tc>
      </w:tr>
      <w:tr w:rsidR="000A03B2" w:rsidRPr="009A4F7F" w14:paraId="2D1B7169" w14:textId="77777777" w:rsidTr="007778E3">
        <w:trPr>
          <w:trHeight w:val="68"/>
          <w:jc w:val="center"/>
        </w:trPr>
        <w:tc>
          <w:tcPr>
            <w:tcW w:w="8782" w:type="dxa"/>
            <w:gridSpan w:val="2"/>
          </w:tcPr>
          <w:p w14:paraId="1D8DD3C9" w14:textId="39BBFB4F" w:rsidR="00AA7D26" w:rsidRPr="009A4F7F" w:rsidRDefault="00AA7D26" w:rsidP="00AA7D26">
            <w:pPr>
              <w:ind w:left="-107"/>
              <w:outlineLvl w:val="2"/>
              <w:rPr>
                <w:rFonts w:ascii="Tahoma" w:hAnsi="Tahoma" w:cs="Tahoma"/>
                <w:bCs/>
                <w:color w:val="000000"/>
                <w:sz w:val="14"/>
                <w:szCs w:val="14"/>
                <w:lang w:val="en-US" w:eastAsia="it-IT"/>
              </w:rPr>
            </w:pPr>
            <w:r w:rsidRPr="009A4F7F">
              <w:rPr>
                <w:rFonts w:ascii="Tahoma" w:hAnsi="Tahoma" w:cs="Tahoma"/>
                <w:iCs/>
                <w:color w:val="333333"/>
                <w:sz w:val="14"/>
                <w:szCs w:val="14"/>
                <w:lang w:val="en-US" w:eastAsia="it-IT"/>
              </w:rPr>
              <w:t>Guest Editors:</w:t>
            </w:r>
            <w:r w:rsidRPr="009A4F7F">
              <w:rPr>
                <w:rFonts w:ascii="Tahoma" w:hAnsi="Tahoma" w:cs="Tahoma"/>
                <w:color w:val="000000"/>
                <w:sz w:val="14"/>
                <w:szCs w:val="14"/>
                <w:shd w:val="clear" w:color="auto" w:fill="FFFFFF"/>
                <w:lang w:val="en-US"/>
              </w:rPr>
              <w:t xml:space="preserve"> </w:t>
            </w:r>
            <w:r w:rsidRPr="009A4F7F">
              <w:rPr>
                <w:rFonts w:ascii="Tahoma" w:hAnsi="Tahoma" w:cs="Tahoma"/>
                <w:sz w:val="14"/>
                <w:szCs w:val="14"/>
                <w:lang w:val="en-US"/>
              </w:rPr>
              <w:t>Sauro Pierucci</w:t>
            </w:r>
          </w:p>
          <w:p w14:paraId="1B0F1814" w14:textId="650290B9" w:rsidR="000A03B2" w:rsidRPr="009A4F7F" w:rsidRDefault="00AA7D26" w:rsidP="00AA7D26">
            <w:pPr>
              <w:tabs>
                <w:tab w:val="left" w:pos="-108"/>
              </w:tabs>
              <w:spacing w:line="140" w:lineRule="atLeast"/>
              <w:ind w:left="-107"/>
              <w:jc w:val="left"/>
              <w:rPr>
                <w:lang w:val="en-US"/>
              </w:rPr>
            </w:pPr>
            <w:r w:rsidRPr="009A4F7F">
              <w:rPr>
                <w:rFonts w:ascii="Tahoma" w:hAnsi="Tahoma" w:cs="Tahoma"/>
                <w:iCs/>
                <w:color w:val="333333"/>
                <w:sz w:val="14"/>
                <w:szCs w:val="14"/>
                <w:lang w:val="en-US" w:eastAsia="it-IT"/>
              </w:rPr>
              <w:t xml:space="preserve">Copyright © 2023, AIDIC </w:t>
            </w:r>
            <w:proofErr w:type="spellStart"/>
            <w:r w:rsidRPr="009A4F7F">
              <w:rPr>
                <w:rFonts w:ascii="Tahoma" w:hAnsi="Tahoma" w:cs="Tahoma"/>
                <w:iCs/>
                <w:color w:val="333333"/>
                <w:sz w:val="14"/>
                <w:szCs w:val="14"/>
                <w:lang w:val="en-US" w:eastAsia="it-IT"/>
              </w:rPr>
              <w:t>Servizi</w:t>
            </w:r>
            <w:proofErr w:type="spellEnd"/>
            <w:r w:rsidRPr="009A4F7F">
              <w:rPr>
                <w:rFonts w:ascii="Tahoma" w:hAnsi="Tahoma" w:cs="Tahoma"/>
                <w:iCs/>
                <w:color w:val="333333"/>
                <w:sz w:val="14"/>
                <w:szCs w:val="14"/>
                <w:lang w:val="en-US" w:eastAsia="it-IT"/>
              </w:rPr>
              <w:t xml:space="preserve"> </w:t>
            </w:r>
            <w:proofErr w:type="spellStart"/>
            <w:r w:rsidRPr="009A4F7F">
              <w:rPr>
                <w:rFonts w:ascii="Tahoma" w:hAnsi="Tahoma" w:cs="Tahoma"/>
                <w:iCs/>
                <w:color w:val="333333"/>
                <w:sz w:val="14"/>
                <w:szCs w:val="14"/>
                <w:lang w:val="en-US" w:eastAsia="it-IT"/>
              </w:rPr>
              <w:t>S.r.l</w:t>
            </w:r>
            <w:proofErr w:type="spellEnd"/>
            <w:r w:rsidRPr="009A4F7F">
              <w:rPr>
                <w:rFonts w:ascii="Tahoma" w:hAnsi="Tahoma" w:cs="Tahoma"/>
                <w:iCs/>
                <w:color w:val="333333"/>
                <w:sz w:val="14"/>
                <w:szCs w:val="14"/>
                <w:lang w:val="en-US" w:eastAsia="it-IT"/>
              </w:rPr>
              <w:t>.</w:t>
            </w:r>
            <w:r w:rsidRPr="009A4F7F">
              <w:rPr>
                <w:rFonts w:ascii="Tahoma" w:hAnsi="Tahoma" w:cs="Tahoma"/>
                <w:iCs/>
                <w:color w:val="333333"/>
                <w:sz w:val="14"/>
                <w:szCs w:val="14"/>
                <w:lang w:val="en-US" w:eastAsia="it-IT"/>
              </w:rPr>
              <w:br/>
            </w:r>
            <w:r w:rsidRPr="009A4F7F">
              <w:rPr>
                <w:rFonts w:ascii="Tahoma" w:hAnsi="Tahoma" w:cs="Tahoma"/>
                <w:b/>
                <w:iCs/>
                <w:color w:val="000000"/>
                <w:sz w:val="14"/>
                <w:szCs w:val="14"/>
                <w:lang w:val="en-US" w:eastAsia="it-IT"/>
              </w:rPr>
              <w:t>ISBN</w:t>
            </w:r>
            <w:r w:rsidRPr="009A4F7F">
              <w:rPr>
                <w:rFonts w:ascii="Tahoma" w:hAnsi="Tahoma" w:cs="Tahoma"/>
                <w:iCs/>
                <w:color w:val="000000"/>
                <w:sz w:val="14"/>
                <w:szCs w:val="14"/>
                <w:lang w:val="en-US" w:eastAsia="it-IT"/>
              </w:rPr>
              <w:t xml:space="preserve"> </w:t>
            </w:r>
            <w:r w:rsidRPr="009A4F7F">
              <w:rPr>
                <w:rFonts w:ascii="Tahoma" w:hAnsi="Tahoma" w:cs="Tahoma"/>
                <w:sz w:val="14"/>
                <w:szCs w:val="14"/>
                <w:lang w:val="en-US"/>
              </w:rPr>
              <w:t>978-88-95608-98-3</w:t>
            </w:r>
            <w:r w:rsidRPr="009A4F7F">
              <w:rPr>
                <w:rFonts w:ascii="Tahoma" w:hAnsi="Tahoma" w:cs="Tahoma"/>
                <w:iCs/>
                <w:color w:val="333333"/>
                <w:sz w:val="14"/>
                <w:szCs w:val="14"/>
                <w:lang w:val="en-US" w:eastAsia="it-IT"/>
              </w:rPr>
              <w:t xml:space="preserve">; </w:t>
            </w:r>
            <w:r w:rsidRPr="009A4F7F">
              <w:rPr>
                <w:rFonts w:ascii="Tahoma" w:hAnsi="Tahoma" w:cs="Tahoma"/>
                <w:b/>
                <w:iCs/>
                <w:color w:val="333333"/>
                <w:sz w:val="14"/>
                <w:szCs w:val="14"/>
                <w:lang w:val="en-US" w:eastAsia="it-IT"/>
              </w:rPr>
              <w:t>ISSN</w:t>
            </w:r>
            <w:r w:rsidRPr="009A4F7F">
              <w:rPr>
                <w:rFonts w:ascii="Tahoma" w:hAnsi="Tahoma" w:cs="Tahoma"/>
                <w:iCs/>
                <w:color w:val="333333"/>
                <w:sz w:val="14"/>
                <w:szCs w:val="14"/>
                <w:lang w:val="en-US" w:eastAsia="it-IT"/>
              </w:rPr>
              <w:t xml:space="preserve"> 2283-9216</w:t>
            </w:r>
          </w:p>
        </w:tc>
      </w:tr>
    </w:tbl>
    <w:p w14:paraId="2E667253" w14:textId="452CC8AA" w:rsidR="00E978D0" w:rsidRPr="009A4F7F" w:rsidRDefault="007778E3" w:rsidP="00E978D0">
      <w:pPr>
        <w:pStyle w:val="CETTitle"/>
        <w:rPr>
          <w:lang w:val="en-US"/>
        </w:rPr>
      </w:pPr>
      <w:r w:rsidRPr="009A4F7F">
        <w:rPr>
          <w:lang w:val="en-US"/>
        </w:rPr>
        <w:t xml:space="preserve">Incorporation of </w:t>
      </w:r>
      <w:r w:rsidR="00F81AEB">
        <w:rPr>
          <w:lang w:val="en-US"/>
        </w:rPr>
        <w:t>B</w:t>
      </w:r>
      <w:r w:rsidRPr="009A4F7F">
        <w:rPr>
          <w:lang w:val="en-US"/>
        </w:rPr>
        <w:t xml:space="preserve">iologically </w:t>
      </w:r>
      <w:r w:rsidR="00650D01">
        <w:rPr>
          <w:lang w:val="en-US"/>
        </w:rPr>
        <w:t>A</w:t>
      </w:r>
      <w:r w:rsidRPr="009A4F7F">
        <w:rPr>
          <w:lang w:val="en-US"/>
        </w:rPr>
        <w:t xml:space="preserve">ctive </w:t>
      </w:r>
      <w:r w:rsidR="00650D01">
        <w:rPr>
          <w:lang w:val="en-US"/>
        </w:rPr>
        <w:t>I</w:t>
      </w:r>
      <w:r w:rsidRPr="009A4F7F">
        <w:rPr>
          <w:lang w:val="en-US"/>
        </w:rPr>
        <w:t xml:space="preserve">ngredient </w:t>
      </w:r>
      <w:r w:rsidR="00650D01">
        <w:rPr>
          <w:lang w:val="en-US"/>
        </w:rPr>
        <w:t>G</w:t>
      </w:r>
      <w:r w:rsidRPr="009A4F7F">
        <w:rPr>
          <w:lang w:val="en-US"/>
        </w:rPr>
        <w:t xml:space="preserve">allic </w:t>
      </w:r>
      <w:r w:rsidR="00650D01">
        <w:rPr>
          <w:lang w:val="en-US"/>
        </w:rPr>
        <w:t>A</w:t>
      </w:r>
      <w:r w:rsidRPr="009A4F7F">
        <w:rPr>
          <w:lang w:val="en-US"/>
        </w:rPr>
        <w:t xml:space="preserve">cid into </w:t>
      </w:r>
      <w:r w:rsidR="00650D01">
        <w:rPr>
          <w:lang w:val="en-US"/>
        </w:rPr>
        <w:t>N</w:t>
      </w:r>
      <w:r w:rsidRPr="009A4F7F">
        <w:rPr>
          <w:lang w:val="en-US"/>
        </w:rPr>
        <w:t xml:space="preserve">ano-scale </w:t>
      </w:r>
      <w:r w:rsidR="00650D01">
        <w:rPr>
          <w:lang w:val="en-US"/>
        </w:rPr>
        <w:t>L</w:t>
      </w:r>
      <w:r w:rsidRPr="009A4F7F">
        <w:rPr>
          <w:lang w:val="en-US"/>
        </w:rPr>
        <w:t xml:space="preserve">ipid </w:t>
      </w:r>
      <w:r w:rsidR="00650D01">
        <w:rPr>
          <w:lang w:val="en-US"/>
        </w:rPr>
        <w:t>V</w:t>
      </w:r>
      <w:r w:rsidRPr="009A4F7F">
        <w:rPr>
          <w:lang w:val="en-US"/>
        </w:rPr>
        <w:t>esicles</w:t>
      </w:r>
    </w:p>
    <w:p w14:paraId="0488FED2" w14:textId="158B1E5B" w:rsidR="00B57E6F" w:rsidRPr="009A4F7F" w:rsidRDefault="00933782" w:rsidP="00B57E6F">
      <w:pPr>
        <w:pStyle w:val="CETAuthors"/>
        <w:rPr>
          <w:lang w:val="en-US"/>
        </w:rPr>
      </w:pPr>
      <w:r w:rsidRPr="009A4F7F">
        <w:rPr>
          <w:lang w:val="en-US"/>
        </w:rPr>
        <w:t>Nika Kučuk</w:t>
      </w:r>
      <w:r w:rsidR="00B57E6F" w:rsidRPr="009A4F7F">
        <w:rPr>
          <w:lang w:val="en-US"/>
        </w:rPr>
        <w:t xml:space="preserve">, </w:t>
      </w:r>
      <w:r w:rsidR="00364842" w:rsidRPr="009A4F7F">
        <w:rPr>
          <w:lang w:val="en-US"/>
        </w:rPr>
        <w:t>Mateja Primožič, Željko Knez, Maja Leitgeb</w:t>
      </w:r>
      <w:r w:rsidR="00B57E6F" w:rsidRPr="009A4F7F">
        <w:rPr>
          <w:lang w:val="en-US"/>
        </w:rPr>
        <w:t>*</w:t>
      </w:r>
    </w:p>
    <w:p w14:paraId="6B2D21B3" w14:textId="15183AD0" w:rsidR="00B57E6F" w:rsidRPr="009A4F7F" w:rsidRDefault="00E100C2" w:rsidP="00B57E6F">
      <w:pPr>
        <w:pStyle w:val="CETAddress"/>
        <w:rPr>
          <w:lang w:val="en-US"/>
        </w:rPr>
      </w:pPr>
      <w:r w:rsidRPr="009A4F7F">
        <w:rPr>
          <w:lang w:val="en-US"/>
        </w:rPr>
        <w:t>University of Maribor, Faculty of Chemistry and Chemical Engineering, Laboratory of Separation Processes and Product Design, Smetanova ulica 17, 2000 Maribor, Slovenia</w:t>
      </w:r>
      <w:r w:rsidR="00B57E6F" w:rsidRPr="009A4F7F">
        <w:rPr>
          <w:lang w:val="en-US"/>
        </w:rPr>
        <w:t xml:space="preserve"> </w:t>
      </w:r>
    </w:p>
    <w:p w14:paraId="73F1267A" w14:textId="4F247509" w:rsidR="00B57E6F" w:rsidRPr="009A4F7F" w:rsidRDefault="009A0D11" w:rsidP="00B57E6F">
      <w:pPr>
        <w:pStyle w:val="CETemail"/>
        <w:rPr>
          <w:lang w:val="en-US"/>
        </w:rPr>
      </w:pPr>
      <w:r w:rsidRPr="009A4F7F">
        <w:rPr>
          <w:lang w:val="en-US"/>
        </w:rPr>
        <w:t>maja.leitgeb@um.si</w:t>
      </w:r>
    </w:p>
    <w:p w14:paraId="56C1145D" w14:textId="2298AFC4" w:rsidR="00C25C03" w:rsidRPr="009D1AF4" w:rsidRDefault="00C25C03" w:rsidP="00C25C03">
      <w:pPr>
        <w:pStyle w:val="CETBodytext"/>
      </w:pPr>
      <w:r w:rsidRPr="009D1AF4">
        <w:t xml:space="preserve">Nano-scale lipid vesicles or liposomes are extremely important lipid particles </w:t>
      </w:r>
      <w:r w:rsidR="0045523F">
        <w:t>because of</w:t>
      </w:r>
      <w:r w:rsidRPr="009D1AF4">
        <w:t xml:space="preserve"> their unique properties and possible incorporation of various biologically active substances into their interior. Therefore, they can be used for numerous biomedical applications. Liposomes </w:t>
      </w:r>
      <w:proofErr w:type="gramStart"/>
      <w:r w:rsidRPr="009D1AF4">
        <w:t>have the ability to</w:t>
      </w:r>
      <w:proofErr w:type="gramEnd"/>
      <w:r w:rsidRPr="009D1AF4">
        <w:t xml:space="preserve"> protect incorporated bioactive substances, thereby preserving their function. They have a significant advantage over various nanoparticles, as they </w:t>
      </w:r>
      <w:r w:rsidR="0045523F" w:rsidRPr="009D1AF4">
        <w:t>can</w:t>
      </w:r>
      <w:r w:rsidRPr="009D1AF4">
        <w:t xml:space="preserve"> bind and transfer hydrophobic</w:t>
      </w:r>
      <w:r w:rsidR="00923814">
        <w:t>,</w:t>
      </w:r>
      <w:r w:rsidRPr="009D1AF4">
        <w:t xml:space="preserve"> hydrophilic</w:t>
      </w:r>
      <w:r w:rsidR="00923814">
        <w:t xml:space="preserve">, and amphiphilic </w:t>
      </w:r>
      <w:r w:rsidRPr="009D1AF4">
        <w:t>compounds.</w:t>
      </w:r>
    </w:p>
    <w:p w14:paraId="7A414F1E" w14:textId="21CEAB7A" w:rsidR="00C25C03" w:rsidRPr="009D1AF4" w:rsidRDefault="00C25C03" w:rsidP="00C25C03">
      <w:pPr>
        <w:pStyle w:val="CETBodytext"/>
      </w:pPr>
      <w:r w:rsidRPr="009D1AF4">
        <w:t>The aim of the study was the synthesis of liposomes</w:t>
      </w:r>
      <w:r w:rsidR="00923060">
        <w:t>,</w:t>
      </w:r>
      <w:r w:rsidRPr="009D1AF4">
        <w:t xml:space="preserve"> suitable for the potential encapsulation of active ingredients for pharmaceutical and clinical purposes. Liposomes were </w:t>
      </w:r>
      <w:r w:rsidR="00B86340">
        <w:t>prepared</w:t>
      </w:r>
      <w:r w:rsidRPr="009D1AF4">
        <w:t xml:space="preserve"> using a thin lipid film hydration method with glass beads. The synthesized liposomes were characterized by measuring the zeta potential to determine their stability, polydispersity index, and particle size. Furthermore, the biologically active ingredient gallic acid </w:t>
      </w:r>
      <w:r w:rsidR="00D573B2" w:rsidRPr="009D1AF4">
        <w:t xml:space="preserve">(GA) </w:t>
      </w:r>
      <w:r w:rsidRPr="009D1AF4">
        <w:t xml:space="preserve">was incorporated into the lipid vesicles at different concentrations. </w:t>
      </w:r>
      <w:r w:rsidR="00AC304F" w:rsidRPr="009D1AF4">
        <w:t xml:space="preserve">The encapsulation efficiency of the active ingredient </w:t>
      </w:r>
      <w:r w:rsidR="00D573B2" w:rsidRPr="009D1AF4">
        <w:t>GA</w:t>
      </w:r>
      <w:r w:rsidR="00AC304F" w:rsidRPr="009D1AF4">
        <w:t xml:space="preserve"> in liposomes and the </w:t>
      </w:r>
      <w:r w:rsidR="00AC304F" w:rsidRPr="0087057A">
        <w:rPr>
          <w:i/>
          <w:iCs/>
        </w:rPr>
        <w:t>in vitro</w:t>
      </w:r>
      <w:r w:rsidR="00AC304F" w:rsidRPr="009D1AF4">
        <w:t xml:space="preserve"> release of the encapsulated bioactive component were studied using the dialysis technique. </w:t>
      </w:r>
      <w:r w:rsidRPr="009D1AF4">
        <w:t xml:space="preserve">Synthesized nano-scale lipid vesicles were found to be stable, with an average size of 181.5 nm. The highest encapsulation efficiency (98.3%) and the highest percentage of released bioactive substance (38.3%) were obtained at 0.1 mg/mL of </w:t>
      </w:r>
      <w:r w:rsidR="00AF5CB4">
        <w:t>GA</w:t>
      </w:r>
      <w:r w:rsidRPr="009D1AF4">
        <w:t xml:space="preserve">. </w:t>
      </w:r>
      <w:r w:rsidR="00AF5CB4">
        <w:t>GA</w:t>
      </w:r>
      <w:r w:rsidRPr="009D1AF4">
        <w:t>-incorporated nano-scale lipid vesicles are promising as suitable carriers of bioactive ingredients for various therapeutic purposes.</w:t>
      </w:r>
    </w:p>
    <w:p w14:paraId="476B2F2E" w14:textId="77777777" w:rsidR="00600535" w:rsidRPr="009A4F7F" w:rsidRDefault="00600535" w:rsidP="00600535">
      <w:pPr>
        <w:pStyle w:val="CETHeading1"/>
      </w:pPr>
      <w:r w:rsidRPr="009A4F7F">
        <w:t>Introduction</w:t>
      </w:r>
    </w:p>
    <w:p w14:paraId="080D8984" w14:textId="7E5E4948" w:rsidR="007E4CF9" w:rsidRPr="00D53A54" w:rsidRDefault="007B19BC" w:rsidP="00600535">
      <w:pPr>
        <w:pStyle w:val="CETBodytext"/>
      </w:pPr>
      <w:r w:rsidRPr="007B19BC">
        <w:t xml:space="preserve">Liposomes are </w:t>
      </w:r>
      <w:r w:rsidR="00CA208B">
        <w:t xml:space="preserve">self-assembled </w:t>
      </w:r>
      <w:r w:rsidRPr="007B19BC">
        <w:t>spherical, nano-scale lipid vesicles consisting of one or more concentric phospholipid bilayers surrounding a hydrophilic core</w:t>
      </w:r>
      <w:r w:rsidR="00152C67">
        <w:t xml:space="preserve"> </w:t>
      </w:r>
      <w:r w:rsidR="00152C67">
        <w:fldChar w:fldCharType="begin"/>
      </w:r>
      <w:r w:rsidR="00152C67">
        <w:instrText xml:space="preserve"> ADDIN ZOTERO_ITEM CSL_CITATION {"citationID":"f38RZUFI","properties":{"formattedCitation":"(Huang et al., 2022)","plainCitation":"(Huang et al., 2022)","noteIndex":0},"citationItems":[{"id":4080,"uris":["http://zotero.org/users/local/pj1OkIaK/items/EX556SWW"],"itemData":{"id":4080,"type":"article-journal","abstract":"In the meat industry, microbial contamination, and lipid and protein oxidation are important factors for quality deterioration. Although natural preservatives have been widely used in various meat products, their biological activities are often reduced due to their volatility, instability, and easy degradation. Liposomes as an amphiphilic delivery system can be used to encapsulate food active compounds, which can improve their stability, promote antibacterial and antioxidant effects and further extend the shelf life of meat products. In this review, we mainly introduce liposomes and methods of their preparation including conventional and advanced techniques. Meanwhile, the main current applications of liposomes and biopolymer-liposome hybrid systems in meat preservation are presented.","container-title":"Foods","DOI":"10.3390/foods11193017","ISSN":"2304-8158","issue":"19","language":"en","license":"http://creativecommons.org/licenses/by/3.0/","note":"number: 19\npublisher: Multidisciplinary Digital Publishing Institute","page":"3017","source":"www.mdpi.com","title":"Liposomes as Delivery System for Applications in Meat Products","volume":"11","author":[{"family":"Huang","given":"Li"},{"family":"Teng","given":"Wendi"},{"family":"Cao","given":"Jinxuan"},{"family":"Wang","given":"Jinpeng"}],"issued":{"date-parts":[["2022",1]]}}}],"schema":"https://github.com/citation-style-language/schema/raw/master/csl-citation.json"} </w:instrText>
      </w:r>
      <w:r w:rsidR="00152C67">
        <w:fldChar w:fldCharType="separate"/>
      </w:r>
      <w:r w:rsidR="00507E67" w:rsidRPr="00507E67">
        <w:rPr>
          <w:rFonts w:cs="Arial"/>
        </w:rPr>
        <w:t>(Huang et al., 2022)</w:t>
      </w:r>
      <w:r w:rsidR="00152C67">
        <w:fldChar w:fldCharType="end"/>
      </w:r>
      <w:r w:rsidRPr="007B19BC">
        <w:t>.</w:t>
      </w:r>
      <w:r w:rsidR="000F251D">
        <w:t xml:space="preserve"> </w:t>
      </w:r>
      <w:r w:rsidR="00152C67">
        <w:t>They</w:t>
      </w:r>
      <w:r w:rsidR="000F251D" w:rsidRPr="000F251D">
        <w:t xml:space="preserve"> have the unique ability to successfully load molecules with different solubilities, namely hydrophobic, hydrophilic, and amphiphilic molecules. For this reason, these nano-scale vesicles can be used as delivery systems for a variety of drugs.</w:t>
      </w:r>
      <w:r w:rsidR="00D117CD">
        <w:t xml:space="preserve"> </w:t>
      </w:r>
      <w:r w:rsidR="00D117CD" w:rsidRPr="00D117CD">
        <w:t xml:space="preserve">Hydrophobic molecules </w:t>
      </w:r>
      <w:r w:rsidR="009E64C0">
        <w:t>can be</w:t>
      </w:r>
      <w:r w:rsidR="00D117CD" w:rsidRPr="00D117CD">
        <w:t xml:space="preserve"> </w:t>
      </w:r>
      <w:r w:rsidR="008E2442">
        <w:t>loaded</w:t>
      </w:r>
      <w:r w:rsidR="00D117CD" w:rsidRPr="00D117CD">
        <w:t xml:space="preserve"> in</w:t>
      </w:r>
      <w:r w:rsidR="00100034">
        <w:t>to</w:t>
      </w:r>
      <w:r w:rsidR="00D117CD" w:rsidRPr="00D117CD">
        <w:t xml:space="preserve"> the lipid bilayer membrane, hydrophilic molecules in</w:t>
      </w:r>
      <w:r w:rsidR="00100034">
        <w:t>to</w:t>
      </w:r>
      <w:r w:rsidR="00D117CD" w:rsidRPr="00D117CD">
        <w:t xml:space="preserve"> the </w:t>
      </w:r>
      <w:r w:rsidR="00D117CD" w:rsidRPr="00D53A54">
        <w:t xml:space="preserve">water center. While amphiphilic molecules </w:t>
      </w:r>
      <w:r w:rsidR="009F1CA1" w:rsidRPr="00D53A54">
        <w:t xml:space="preserve">can be </w:t>
      </w:r>
      <w:r w:rsidR="008E2442">
        <w:t>en</w:t>
      </w:r>
      <w:r w:rsidR="008E2442" w:rsidRPr="00D117CD">
        <w:t xml:space="preserve">trapped </w:t>
      </w:r>
      <w:r w:rsidR="00D53A54" w:rsidRPr="00D53A54">
        <w:t>at</w:t>
      </w:r>
      <w:r w:rsidR="00D117CD" w:rsidRPr="00D53A54">
        <w:t xml:space="preserve"> the water/lipid </w:t>
      </w:r>
      <w:r w:rsidR="00D53A54" w:rsidRPr="00D53A54">
        <w:t>interface</w:t>
      </w:r>
      <w:r w:rsidR="00D117CD" w:rsidRPr="00D53A54">
        <w:t xml:space="preserve"> </w:t>
      </w:r>
      <w:r w:rsidR="00974188">
        <w:t xml:space="preserve">(Figure 1) </w:t>
      </w:r>
      <w:r w:rsidR="0076178E" w:rsidRPr="00D53A54">
        <w:fldChar w:fldCharType="begin"/>
      </w:r>
      <w:r w:rsidR="0076178E" w:rsidRPr="00D53A54">
        <w:instrText xml:space="preserve"> ADDIN ZOTERO_ITEM CSL_CITATION {"citationID":"MgitOJUL","properties":{"formattedCitation":"(Sercombe et al., 2015)","plainCitation":"(Sercombe et al., 2015)","noteIndex":0},"citationItems":[{"id":4072,"uris":["http://zotero.org/users/local/pj1OkIaK/items/LRVLX8UB"],"itemData":{"id":4072,"type":"article-journal","abstract":"The application of liposomes to assist drug delivery has already had a major impact on many biomedical areas. They have been shown to be beneficial for stabilizing therapeutic compounds, overcoming obstacles to cellular and tissue uptake, and improving biodistribution of compounds to target sites in vivo. This enables effective delivery of encapsulated compounds to target sites while minimizing systemic toxicity. Liposomes present as an attractive delivery system due to their flexible physicochemical and biophysical properties, which allow easy manipulation to address different delivery considerations. Despite considerable research in the last 50 years and the plethora of positive results in preclinical studies, the clinical translation of liposome assisted drug delivery platforms has progressed incrementally. In this review, we will discuss the advances in liposome assisted drug delivery, biological challenges that still remain, and current clinical and experimental use of liposomes for biomedical applications. The translational obstacles of liposomal technology will also be presented.","container-title":"Frontiers in Pharmacology","DOI":"10.3389/fphar.2015.00286","ISSN":"1663-9812","journalAbbreviation":"Front Pharmacol","language":"eng","note":"PMID: 26648870\nPMCID: PMC4664963","page":"286","source":"PubMed","title":"Advances and Challenges of Liposome Assisted Drug Delivery","volume":"6","author":[{"family":"Sercombe","given":"Lisa"},{"family":"Veerati","given":"Tejaswi"},{"family":"Moheimani","given":"Fatemeh"},{"family":"Wu","given":"Sherry Y."},{"family":"Sood","given":"Anil K."},{"family":"Hua","given":"Susan"}],"issued":{"date-parts":[["2015"]]}}}],"schema":"https://github.com/citation-style-language/schema/raw/master/csl-citation.json"} </w:instrText>
      </w:r>
      <w:r w:rsidR="0076178E" w:rsidRPr="00D53A54">
        <w:fldChar w:fldCharType="separate"/>
      </w:r>
      <w:r w:rsidR="00507E67" w:rsidRPr="00507E67">
        <w:rPr>
          <w:rFonts w:cs="Arial"/>
        </w:rPr>
        <w:t>(Sercombe et al., 2015)</w:t>
      </w:r>
      <w:r w:rsidR="0076178E" w:rsidRPr="00D53A54">
        <w:fldChar w:fldCharType="end"/>
      </w:r>
      <w:r w:rsidR="00D117CD" w:rsidRPr="00D53A54">
        <w:t>.</w:t>
      </w:r>
    </w:p>
    <w:p w14:paraId="20DA6B8E" w14:textId="26FC1B1E" w:rsidR="004F0C1E" w:rsidRDefault="00166DF2" w:rsidP="00417B5C">
      <w:pPr>
        <w:pStyle w:val="CETBodytext"/>
      </w:pPr>
      <w:r w:rsidRPr="00D53A54">
        <w:t xml:space="preserve">Liposomes </w:t>
      </w:r>
      <w:r w:rsidR="008918EC">
        <w:t>have emerged as</w:t>
      </w:r>
      <w:r w:rsidRPr="00D53A54">
        <w:t xml:space="preserve"> promising delivery systems for various therapeutic</w:t>
      </w:r>
      <w:r w:rsidRPr="00166DF2">
        <w:t xml:space="preserve"> agents</w:t>
      </w:r>
      <w:r w:rsidR="00923060">
        <w:t>,</w:t>
      </w:r>
      <w:r w:rsidRPr="00166DF2">
        <w:t xml:space="preserve"> suitable for numerous biomedical applications. </w:t>
      </w:r>
      <w:r w:rsidR="00C51ACD" w:rsidRPr="00C51ACD">
        <w:t xml:space="preserve">They allow </w:t>
      </w:r>
      <w:r w:rsidR="00DD28F7">
        <w:t xml:space="preserve">the </w:t>
      </w:r>
      <w:r w:rsidR="00C51ACD" w:rsidRPr="00C51ACD">
        <w:t>stabilization of encapsulated drugs, which can be successfully protected from enzymatic degradation, chemical and immunological inactivation</w:t>
      </w:r>
      <w:r w:rsidR="00DD28F7">
        <w:t>,</w:t>
      </w:r>
      <w:r w:rsidR="00C51ACD" w:rsidRPr="00C51ACD">
        <w:t xml:space="preserve"> and rapid plasma clearance, which significantly contributes to the improvement and prolongation of therapeutic effect</w:t>
      </w:r>
      <w:r w:rsidR="00886F3C">
        <w:t xml:space="preserve"> </w:t>
      </w:r>
      <w:r w:rsidR="00886F3C">
        <w:fldChar w:fldCharType="begin"/>
      </w:r>
      <w:r w:rsidR="00886F3C">
        <w:instrText xml:space="preserve"> ADDIN ZOTERO_ITEM CSL_CITATION {"citationID":"L1V38YaJ","properties":{"formattedCitation":"(Guimar\\uc0\\u227{}es et al., 2021)","plainCitation":"(Guimarães et al., 2021)","noteIndex":0},"citationItems":[{"id":4066,"uris":["http://zotero.org/users/local/pj1OkIaK/items/H3I87GSX"],"itemData":{"id":4066,"type":"article-journal","abstract":"Liposomes are spherical vesicles consisting of one or more concentric phospholipid bilayers enclosing an aqueous core. Being both nontoxic and biodegradable, liposomes represent a powerful delivery system for several drugs. They have improved the therapeutic efficacy of drugs through stabilizing compounds, overcoming obstacles to cellular and tissue uptake and increasing drug biodistribution to target sites in vivo, while minimizing systemic toxicity. This review offers an overview of liposomes, thought the exploration of their key fundamentals. Initially, the main design aspects to obtain a successful liposomal formulation were addressed, following the techniques for liposome production and drug loading. Before application, liposomes required an extensive characterization to assurance in vitro and in vivo performance. Thus, several properties to characterize liposomes were explored, such as size, polydispersity index, zeta potential, shape, lamellarity, phase behavior, encapsulation efficiency, and in vitro drug release. Topics related with liposomal functionalization and effective targeting strategies were also addressed, as well as stability and some limitations of liposomes. Finally, this review intends to explore the current market liposomes used as a drug delivery system in different therapeutic applications.","container-title":"International Journal of Pharmaceutics","DOI":"10.1016/j.ijpharm.2021.120571","ISSN":"0378-5173","journalAbbreviation":"Int. J. Pharm.","language":"en","page":"120571","source":"ScienceDirect","title":"Design of liposomes as drug delivery system for therapeutic applications","volume":"601","author":[{"family":"Guimarães","given":"Diana"},{"family":"Cavaco-Paulo","given":"Artur"},{"family":"Nogueira","given":"Eugénia"}],"issued":{"date-parts":[["2021",5,15]]}}}],"schema":"https://github.com/citation-style-language/schema/raw/master/csl-citation.json"} </w:instrText>
      </w:r>
      <w:r w:rsidR="00886F3C">
        <w:fldChar w:fldCharType="separate"/>
      </w:r>
      <w:r w:rsidR="00507E67" w:rsidRPr="00507E67">
        <w:rPr>
          <w:rFonts w:cs="Arial"/>
          <w:szCs w:val="24"/>
        </w:rPr>
        <w:t>(Guimarães et al., 2021)</w:t>
      </w:r>
      <w:r w:rsidR="00886F3C">
        <w:fldChar w:fldCharType="end"/>
      </w:r>
      <w:r w:rsidR="00C51ACD" w:rsidRPr="00C51ACD">
        <w:t>.</w:t>
      </w:r>
      <w:r w:rsidR="0080474C">
        <w:t xml:space="preserve"> </w:t>
      </w:r>
      <w:r w:rsidR="00703FC7" w:rsidRPr="00703FC7">
        <w:t>Therefore, liposomes also offer the possibility of prolonging the half-life of the drug</w:t>
      </w:r>
      <w:r w:rsidR="00886F3C">
        <w:t xml:space="preserve"> </w:t>
      </w:r>
      <w:r w:rsidR="00886F3C">
        <w:fldChar w:fldCharType="begin"/>
      </w:r>
      <w:r w:rsidR="00886F3C">
        <w:instrText xml:space="preserve"> ADDIN ZOTERO_ITEM CSL_CITATION {"citationID":"JqjUItYz","properties":{"formattedCitation":"(Hemetsberger et al., 2022)","plainCitation":"(Hemetsberger et al., 2022)","noteIndex":0},"citationItems":[{"id":4095,"uris":["http://zotero.org/users/local/pj1OkIaK/items/L3KVDIT9"],"itemData":{"id":4095,"type":"article-journal","abstract":"Conventional liposomes often lack stability, limiting their applicability and usage apart from intravenous routes. Nevertheless, their advantages in drug encapsulation and physicochemical properties might be helpful in oral and pulmonary drug delivery. This study investigated the feasibility and stability of liposomes containing tetraether lipids (TEL) from Thermoplasma acidophilum. Liposomes composed of different molar ratios of TEL:Phospholipon 100H (Ph) were produced and exposed to various temperature and pH conditions. The effects on size, polydispersity index, and zeta potential were examined by dynamic and electrophoretic light scattering. Autoclaving, which was considered an additional process step after fabrication, could minimize contamination and prolong shelf life, and the stability after autoclaving was tested. Moreover, 5(6)-carboxyfluorescein leakage was measured after incubation in the presence of fetal calf serum (FCS) and lung surfactant (Alveofact). The incorporation of TEL into the liposomes significantly impacted the stability against low pH, higher temperatures, and even sterilization by autoclaving. The stability of liposomes containing TEL was confirmed by atomic force microscopy as images revealed similar sizes and morphology before and after incubation with FCS. It could be concluded that increasing the molar ratio in the TEL:Ph liposome formulations improved the structural stability against high temperature, low pH, sterilization via autoclaving, and the presence of FCS and lung surfactant.","container-title":"Materials","DOI":"10.3390/ma15196995","ISSN":"1996-1944","issue":"19","language":"en","license":"http://creativecommons.org/licenses/by/3.0/","note":"number: 19\npublisher: Multidisciplinary Digital Publishing Institute","page":"6995","source":"www.mdpi.com","title":"Highly Stable Liposomes Based on Tetraether Lipids as a Promising and Versatile Drug Delivery System","volume":"15","author":[{"family":"Hemetsberger","given":"Aybike"},{"family":"Preis","given":"Eduard"},{"family":"Engelhardt","given":"Konrad"},{"family":"Gutberlet","given":"Bernd"},{"family":"Runkel","given":"Frank"},{"family":"Bakowsky","given":"Udo"}],"issued":{"date-parts":[["2022",1]]}}}],"schema":"https://github.com/citation-style-language/schema/raw/master/csl-citation.json"} </w:instrText>
      </w:r>
      <w:r w:rsidR="00886F3C">
        <w:fldChar w:fldCharType="separate"/>
      </w:r>
      <w:r w:rsidR="00507E67" w:rsidRPr="00507E67">
        <w:rPr>
          <w:rFonts w:cs="Arial"/>
        </w:rPr>
        <w:t>(</w:t>
      </w:r>
      <w:proofErr w:type="spellStart"/>
      <w:r w:rsidR="00507E67" w:rsidRPr="00507E67">
        <w:rPr>
          <w:rFonts w:cs="Arial"/>
        </w:rPr>
        <w:t>Hemetsberger</w:t>
      </w:r>
      <w:proofErr w:type="spellEnd"/>
      <w:r w:rsidR="00507E67" w:rsidRPr="00507E67">
        <w:rPr>
          <w:rFonts w:cs="Arial"/>
        </w:rPr>
        <w:t xml:space="preserve"> et al., 2022)</w:t>
      </w:r>
      <w:r w:rsidR="00886F3C">
        <w:fldChar w:fldCharType="end"/>
      </w:r>
      <w:r w:rsidR="006F69DD">
        <w:t>.</w:t>
      </w:r>
      <w:r w:rsidR="00C51ACD">
        <w:t xml:space="preserve"> </w:t>
      </w:r>
      <w:r w:rsidR="00C85E28">
        <w:t>In addition, they</w:t>
      </w:r>
      <w:r w:rsidR="00C9445E" w:rsidRPr="00C9445E">
        <w:t xml:space="preserve"> enable a significant improvement in the biodistribution of therapeutic agents at the </w:t>
      </w:r>
      <w:r w:rsidR="00F93FE6">
        <w:t xml:space="preserve">selected </w:t>
      </w:r>
      <w:r w:rsidR="00C9445E" w:rsidRPr="00C9445E">
        <w:t>target site</w:t>
      </w:r>
      <w:r w:rsidR="00C85E28">
        <w:t xml:space="preserve"> </w:t>
      </w:r>
      <w:r w:rsidR="008032A0">
        <w:fldChar w:fldCharType="begin"/>
      </w:r>
      <w:r w:rsidR="00886F3C">
        <w:instrText xml:space="preserve"> ADDIN ZOTERO_ITEM CSL_CITATION {"citationID":"zDiee4a7","properties":{"formattedCitation":"(Guimar\\uc0\\u227{}es et al., 2021)","plainCitation":"(Guimarães et al., 2021)","noteIndex":0},"citationItems":[{"id":4066,"uris":["http://zotero.org/users/local/pj1OkIaK/items/H3I87GSX"],"itemData":{"id":4066,"type":"article-journal","abstract":"Liposomes are spherical vesicles consisting of one or more concentric phospholipid bilayers enclosing an aqueous core. Being both nontoxic and biodegradable, liposomes represent a powerful delivery system for several drugs. They have improved the therapeutic efficacy of drugs through stabilizing compounds, overcoming obstacles to cellular and tissue uptake and increasing drug biodistribution to target sites in vivo, while minimizing systemic toxicity. This review offers an overview of liposomes, thought the exploration of their key fundamentals. Initially, the main design aspects to obtain a successful liposomal formulation were addressed, following the techniques for liposome production and drug loading. Before application, liposomes required an extensive characterization to assurance in vitro and in vivo performance. Thus, several properties to characterize liposomes were explored, such as size, polydispersity index, zeta potential, shape, lamellarity, phase behavior, encapsulation efficiency, and in vitro drug release. Topics related with liposomal functionalization and effective targeting strategies were also addressed, as well as stability and some limitations of liposomes. Finally, this review intends to explore the current market liposomes used as a drug delivery system in different therapeutic applications.","container-title":"International Journal of Pharmaceutics","DOI":"10.1016/j.ijpharm.2021.120571","ISSN":"0378-5173","journalAbbreviation":"Int. J. Pharm.","language":"en","page":"120571","source":"ScienceDirect","title":"Design of liposomes as drug delivery system for therapeutic applications","volume":"601","author":[{"family":"Guimarães","given":"Diana"},{"family":"Cavaco-Paulo","given":"Artur"},{"family":"Nogueira","given":"Eugénia"}],"issued":{"date-parts":[["2021",5,15]]}}}],"schema":"https://github.com/citation-style-language/schema/raw/master/csl-citation.json"} </w:instrText>
      </w:r>
      <w:r w:rsidR="008032A0">
        <w:fldChar w:fldCharType="separate"/>
      </w:r>
      <w:r w:rsidR="00507E67" w:rsidRPr="00507E67">
        <w:rPr>
          <w:rFonts w:cs="Arial"/>
          <w:szCs w:val="24"/>
        </w:rPr>
        <w:t>(Guimarães et al., 2021)</w:t>
      </w:r>
      <w:r w:rsidR="008032A0">
        <w:fldChar w:fldCharType="end"/>
      </w:r>
      <w:r w:rsidR="00C9445E" w:rsidRPr="00C9445E">
        <w:t>.</w:t>
      </w:r>
      <w:r w:rsidR="00F26CAE">
        <w:t xml:space="preserve"> </w:t>
      </w:r>
      <w:r w:rsidR="003876C4" w:rsidRPr="003876C4">
        <w:t>Moreover, their remarkable properties</w:t>
      </w:r>
      <w:r w:rsidR="00DD28F7">
        <w:t>,</w:t>
      </w:r>
      <w:r w:rsidR="003876C4" w:rsidRPr="003876C4">
        <w:t xml:space="preserve"> such as biocompatibility, biodegradability,</w:t>
      </w:r>
      <w:r w:rsidR="00291644" w:rsidRPr="00291644">
        <w:t xml:space="preserve"> </w:t>
      </w:r>
      <w:r w:rsidR="00291644" w:rsidRPr="00F6221A">
        <w:t>high versatility</w:t>
      </w:r>
      <w:r w:rsidR="00291644">
        <w:t>,</w:t>
      </w:r>
      <w:r w:rsidR="003876C4" w:rsidRPr="003876C4">
        <w:t xml:space="preserve"> non-toxicity</w:t>
      </w:r>
      <w:r w:rsidR="00F6221A">
        <w:t xml:space="preserve">, </w:t>
      </w:r>
      <w:r w:rsidR="003876C4" w:rsidRPr="003876C4">
        <w:t>non-immunogenicity</w:t>
      </w:r>
      <w:r w:rsidR="00F6221A">
        <w:t xml:space="preserve">, </w:t>
      </w:r>
      <w:r w:rsidR="00291644">
        <w:t>and non-pathogenicity</w:t>
      </w:r>
      <w:r w:rsidR="00DD28F7">
        <w:t>,</w:t>
      </w:r>
      <w:r w:rsidR="00291644">
        <w:t xml:space="preserve"> </w:t>
      </w:r>
      <w:r w:rsidR="003876C4" w:rsidRPr="003876C4">
        <w:t xml:space="preserve">make them one of the most promising </w:t>
      </w:r>
      <w:r w:rsidR="00B86340">
        <w:t xml:space="preserve">drug </w:t>
      </w:r>
      <w:r w:rsidR="003876C4" w:rsidRPr="003876C4">
        <w:t>delivery systems</w:t>
      </w:r>
      <w:r w:rsidR="0031768F">
        <w:t xml:space="preserve"> </w:t>
      </w:r>
      <w:r w:rsidR="0031768F">
        <w:fldChar w:fldCharType="begin"/>
      </w:r>
      <w:r w:rsidR="0031768F">
        <w:instrText xml:space="preserve"> ADDIN ZOTERO_ITEM CSL_CITATION {"citationID":"yf52RK47","properties":{"formattedCitation":"(Cheng et al., 2020)","plainCitation":"(Cheng et al., 2020)","noteIndex":0},"citationItems":[{"id":4084,"uris":["http://zotero.org/users/local/pj1OkIaK/items/5ZK3ARAH"],"itemData":{"id":4084,"type":"article-journal","abstract":"Liposome is one of the most commonly used drug delivery systems in the world, due to its excellent biocompatibility, satisfactory ability in controlling drug release, and passive targeting capability. However, some drawbacks limit the application of liposomes in clinical, such as problems in transporting, storing, and difficulties in maintaining the drug concentration in the local area. Scaffolds usually are used as implants to supply certain mechanical supporting to the defective area or utilized as diagnosis and imaging methods. But, in general, unmodified scaffolds show limited abilities in promoting tissue regeneration and treating diseases. Therefore, liposome-scaffold composite systems are designed to take advantages of both liposomes' biocompatibility and scaffolds’ strength to provide a novel system that is more suitable for clinical applications. This review introduces and discusses different types of liposomes and scaffolds, and also the application of liposome-scaffold composite systems in different diseases, such as cancer, diabetes, skin-related diseases, infection and human immunodeficiency virus, and in tissue regeneration like bone, teeth, spinal cord and wound healing.","container-title":"Biomaterials","DOI":"10.1016/j.biomaterials.2019.119706","ISSN":"0142-9612","journalAbbreviation":"Biomaterials","language":"en","page":"119706","source":"ScienceDirect","title":"Advanced liposome-loaded scaffolds for therapeutic and tissue engineering applications","volume":"232","author":[{"family":"Cheng","given":"Ruoyu"},{"family":"Liu","given":"Lili"},{"family":"Xiang","given":"Yi"},{"family":"Lu","given":"Yong"},{"family":"Deng","given":"Lianfu"},{"family":"Zhang","given":"Hongbo"},{"family":"Santos","given":"Hélder A."},{"family":"Cui","given":"Wenguo"}],"issued":{"date-parts":[["2020",2,1]]}}}],"schema":"https://github.com/citation-style-language/schema/raw/master/csl-citation.json"} </w:instrText>
      </w:r>
      <w:r w:rsidR="0031768F">
        <w:fldChar w:fldCharType="separate"/>
      </w:r>
      <w:r w:rsidR="00507E67" w:rsidRPr="00507E67">
        <w:rPr>
          <w:rFonts w:cs="Arial"/>
        </w:rPr>
        <w:t>(Cheng et al., 2020)</w:t>
      </w:r>
      <w:r w:rsidR="0031768F">
        <w:fldChar w:fldCharType="end"/>
      </w:r>
      <w:r w:rsidR="003876C4" w:rsidRPr="003876C4">
        <w:t>.</w:t>
      </w:r>
    </w:p>
    <w:p w14:paraId="4CBF647B" w14:textId="38D33314" w:rsidR="006F308E" w:rsidRDefault="004F0C1E" w:rsidP="00EE407B">
      <w:pPr>
        <w:pStyle w:val="CETBodytext"/>
      </w:pPr>
      <w:r w:rsidRPr="004F0C1E">
        <w:t xml:space="preserve">Liposomes can be prepared from natural phospholipids, the composition of which has a </w:t>
      </w:r>
      <w:r w:rsidR="00DD28F7">
        <w:t>significan</w:t>
      </w:r>
      <w:r w:rsidRPr="004F0C1E">
        <w:t xml:space="preserve">t influence on the properties of the synthesized liposomes, such as particle size, fluidity, </w:t>
      </w:r>
      <w:r w:rsidR="000318A4">
        <w:rPr>
          <w:rStyle w:val="rynqvb"/>
          <w:lang w:val="en"/>
        </w:rPr>
        <w:t>rigidity</w:t>
      </w:r>
      <w:r w:rsidRPr="004F0C1E">
        <w:t>, electrical charge, and stability</w:t>
      </w:r>
      <w:r>
        <w:t xml:space="preserve"> </w:t>
      </w:r>
      <w:r w:rsidR="006B7135">
        <w:fldChar w:fldCharType="begin"/>
      </w:r>
      <w:r w:rsidR="006B7135">
        <w:instrText xml:space="preserve"> ADDIN ZOTERO_ITEM CSL_CITATION {"citationID":"nLPr1OWt","properties":{"formattedCitation":"(Nsairat et al., 2022)","plainCitation":"(Nsairat et al., 2022)","noteIndex":0},"citationItems":[{"id":4075,"uris":["http://zotero.org/users/local/pj1OkIaK/items/UFF8CEJI"],"itemData":{"id":4075,"type":"article-journal","abstract":"Liposomes are now considered the most commonly used nanocarriers for various potentially active hydrophobic and hydrophilic molecules due to their high biocompatibility, biodegradability, and low immunogenicity. Liposomes also proved to enhance drug solubility and controlled distribution, as well as their capacity for surface modifications for targeted, prolonged, and sustained release. Based on the composition, liposomes can be considered to have evolved from conventional, long-circulating, targeted, and immune-liposomes to stimuli-responsive and actively targeted liposomes. Many liposomal-based drug delivery systems are currently clinically approved to treat several diseases, such as cancer, fungal and viral infections; more liposomes have reached advanced phases in clinical trials. This review describes liposomes structure, composition, preparation methods, and clinical applications., Liposomes; Phospholipids; Lamellarity; Stealth liposomes; Vaccinations.","container-title":"Heliyon","DOI":"10.1016/j.heliyon.2022.e09394","ISSN":"2405-8440","issue":"5","journalAbbreviation":"Heliyon","note":"PMID: 35600452\nPMCID: PMC9118483","page":"e09394","source":"PubMed Central","title":"Liposomes: structure, composition, types, and clinical applications","title-short":"Liposomes","volume":"8","author":[{"family":"Nsairat","given":"Hamdi"},{"family":"Khater","given":"Dima"},{"family":"Sayed","given":"Usama"},{"family":"Odeh","given":"Fadwa"},{"family":"Al Bawab","given":"Abeer"},{"family":"Alshaer","given":"Walhan"}],"issued":{"date-parts":[["2022",5,13]]}}}],"schema":"https://github.com/citation-style-language/schema/raw/master/csl-citation.json"} </w:instrText>
      </w:r>
      <w:r w:rsidR="006B7135">
        <w:fldChar w:fldCharType="separate"/>
      </w:r>
      <w:r w:rsidR="00507E67" w:rsidRPr="00507E67">
        <w:rPr>
          <w:rFonts w:cs="Arial"/>
        </w:rPr>
        <w:t>(</w:t>
      </w:r>
      <w:proofErr w:type="spellStart"/>
      <w:r w:rsidR="00507E67" w:rsidRPr="00507E67">
        <w:rPr>
          <w:rFonts w:cs="Arial"/>
        </w:rPr>
        <w:t>Nsairat</w:t>
      </w:r>
      <w:proofErr w:type="spellEnd"/>
      <w:r w:rsidR="00507E67" w:rsidRPr="00507E67">
        <w:rPr>
          <w:rFonts w:cs="Arial"/>
        </w:rPr>
        <w:t xml:space="preserve"> et al., 2022)</w:t>
      </w:r>
      <w:r w:rsidR="006B7135">
        <w:fldChar w:fldCharType="end"/>
      </w:r>
      <w:r w:rsidRPr="004F0C1E">
        <w:t>.</w:t>
      </w:r>
      <w:r w:rsidR="00F955CE">
        <w:t xml:space="preserve"> </w:t>
      </w:r>
      <w:r w:rsidR="00F955CE" w:rsidRPr="00F955CE">
        <w:t>The properties of liposomes are also strongly influenced by the synthesis technique</w:t>
      </w:r>
      <w:r w:rsidR="004B4EC4">
        <w:t xml:space="preserve"> </w:t>
      </w:r>
      <w:r w:rsidR="004B4EC4">
        <w:fldChar w:fldCharType="begin"/>
      </w:r>
      <w:r w:rsidR="004B4EC4">
        <w:instrText xml:space="preserve"> ADDIN ZOTERO_ITEM CSL_CITATION {"citationID":"3yVbH4UR","properties":{"formattedCitation":"(Lombardo and Kiselev, 2022)","plainCitation":"(Lombardo and Kiselev, 2022)","noteIndex":0},"citationItems":[{"id":4078,"uris":["http://zotero.org/users/local/pj1OkIaK/items/UVSFMF8F"],"itemData":{"id":4078,"type":"article-journal","abstract":"Liposomes are nano-sized spherical vesicles composed of an aqueous core surrounded by one (or more) phospholipid bilayer shells. Owing to their high biocompatibility, chemical composition variability, and ease of preparation, as well as their large variety of structural properties, liposomes have been employed in a large variety of nanomedicine and biomedical applications, including nanocarriers for drug delivery, in nutraceutical fields, for immunoassays, clinical diagnostics, tissue engineering, and theranostics formulations. Particularly important is the role of liposomes in drug-delivery applications, as they improve the performance of the encapsulated drugs, reducing side effects and toxicity by enhancing its in vitro- and in vivo-controlled delivery and activity. These applications stimulated a great effort for the scale-up of the formation processes in view of suitable industrial development. Despite the improvements of conventional approaches and the development of novel routes of liposome preparation, their intrinsic sensitivity to mechanical and chemical actions is responsible for some critical issues connected with a limited colloidal stability and reduced entrapment efficiency of cargo molecules. This article analyzes the main features of the formation and fabrication techniques of liposome nanocarriers, with a special focus on the structure, parameters, and the critical factors that influence the development of a suitable and stable formulation. Recent developments and new methods for liposome preparation are also discussed, with the objective of updating the reader and providing future directions for research and development.","container-title":"Pharmaceutics","DOI":"10.3390/pharmaceutics14030543","ISSN":"1999-4923","issue":"3","language":"en","license":"http://creativecommons.org/licenses/by/3.0/","note":"number: 3\npublisher: Multidisciplinary Digital Publishing Institute","page":"543","source":"www.mdpi.com","title":"Methods of Liposomes Preparation: Formation and Control Factors of Versatile Nanocarriers for Biomedical and Nanomedicine Application","title-short":"Methods of Liposomes Preparation","volume":"14","author":[{"family":"Lombardo","given":"Domenico"},{"family":"Kiselev","given":"Mikhail A."}],"issued":{"date-parts":[["2022",3]]}}}],"schema":"https://github.com/citation-style-language/schema/raw/master/csl-citation.json"} </w:instrText>
      </w:r>
      <w:r w:rsidR="004B4EC4">
        <w:fldChar w:fldCharType="separate"/>
      </w:r>
      <w:r w:rsidR="00507E67" w:rsidRPr="00507E67">
        <w:rPr>
          <w:rFonts w:cs="Arial"/>
        </w:rPr>
        <w:t>(Lombardo and Kiselev, 2022)</w:t>
      </w:r>
      <w:r w:rsidR="004B4EC4">
        <w:fldChar w:fldCharType="end"/>
      </w:r>
      <w:r w:rsidR="00F955CE" w:rsidRPr="00F955CE">
        <w:t>.</w:t>
      </w:r>
      <w:r w:rsidR="00F26CAE">
        <w:t xml:space="preserve"> </w:t>
      </w:r>
      <w:r w:rsidR="00D70EF4" w:rsidRPr="00D70EF4">
        <w:t xml:space="preserve">Liposomes prepared from unsaturated phosphatidylcholine species from natural sources, such as egg and soy phosphatidylcholine, are highly permeable and less stable. On the other hand, if </w:t>
      </w:r>
      <w:r w:rsidR="00D70EF4" w:rsidRPr="00D70EF4">
        <w:lastRenderedPageBreak/>
        <w:t xml:space="preserve">phospholipids saturated with lipids with long acyl chains are used, such as </w:t>
      </w:r>
      <w:proofErr w:type="spellStart"/>
      <w:r w:rsidR="00D70EF4" w:rsidRPr="00D70EF4">
        <w:t>dipalmitoylphosphatidylcholine</w:t>
      </w:r>
      <w:proofErr w:type="spellEnd"/>
      <w:r w:rsidR="00D70EF4" w:rsidRPr="00D70EF4">
        <w:t>, the liposomes produced have rigid and nearly impermeable bilayer structures</w:t>
      </w:r>
      <w:r w:rsidR="00A97AEE">
        <w:t xml:space="preserve"> </w:t>
      </w:r>
      <w:r w:rsidR="00A97AEE">
        <w:fldChar w:fldCharType="begin"/>
      </w:r>
      <w:r w:rsidR="00A97AEE">
        <w:instrText xml:space="preserve"> ADDIN ZOTERO_ITEM CSL_CITATION {"citationID":"DlGsP4w3","properties":{"formattedCitation":"(Leitgeb et al., 2020)","plainCitation":"(Leitgeb et al., 2020)","noteIndex":0},"citationItems":[{"id":3100,"uris":["http://zotero.org/users/local/pj1OkIaK/items/65LRF6PW"],"itemData":{"id":3100,"type":"article-journal","abstract":"Liposome possesses a great number of advantages and therefore they can be used for a variety of applications. Among other things, they can serve as useful drug carriers in preclinical and clinical trials. Supercritical fluids assisted technology is an appropriate method for liposome preparation because of its nontoxicity to the environment enables particle size manipulation and solvent-free production. Thus, the use of supercritical fluids (SCFs) provides advanced technology for liposome preparation and may become the dominant technology for their preparation in the future. This review discusses the classification of liposome and gives a short overview of their applications and conventional methods of preparation. Emphasis is placed on the use of various supercritical fluids assisted methods for liposome preparation and their advantages and disadvantages. The reader is also updated about recent developments in supercritical fluids assisted liposome production technology.","container-title":"The Journal of Supercritical Fluids","DOI":"10.1016/j.supflu.2020.104984","ISSN":"0896-8446","journalAbbreviation":"J. Supercrit. Fluids","language":"en","page":"104984","source":"ScienceDirect","title":"Sustainable technologies for liposome preparation","volume":"165","author":[{"family":"Leitgeb","given":"Maja"},{"family":"Knez","given":"Željko"},{"family":"Primožič","given":"Mateja"}],"issued":{"date-parts":[["2020",11,1]]}}}],"schema":"https://github.com/citation-style-language/schema/raw/master/csl-citation.json"} </w:instrText>
      </w:r>
      <w:r w:rsidR="00A97AEE">
        <w:fldChar w:fldCharType="separate"/>
      </w:r>
      <w:r w:rsidR="00507E67" w:rsidRPr="00507E67">
        <w:rPr>
          <w:rFonts w:cs="Arial"/>
        </w:rPr>
        <w:t>(Leitgeb et al., 2020)</w:t>
      </w:r>
      <w:r w:rsidR="00A97AEE">
        <w:fldChar w:fldCharType="end"/>
      </w:r>
      <w:r w:rsidR="00D70EF4" w:rsidRPr="00D70EF4">
        <w:t>.</w:t>
      </w:r>
      <w:r w:rsidR="00EE407B">
        <w:t xml:space="preserve"> </w:t>
      </w:r>
      <w:r w:rsidR="00417B5C" w:rsidRPr="00DE1867">
        <w:t xml:space="preserve">Based on their </w:t>
      </w:r>
      <w:r w:rsidR="00453A08">
        <w:t xml:space="preserve">size and </w:t>
      </w:r>
      <w:r w:rsidR="003236A5" w:rsidRPr="003236A5">
        <w:t>lamellarity</w:t>
      </w:r>
      <w:r w:rsidR="00417B5C" w:rsidRPr="00DE1867">
        <w:t xml:space="preserve">, liposomes can be divided into small </w:t>
      </w:r>
      <w:proofErr w:type="spellStart"/>
      <w:r w:rsidR="00417B5C" w:rsidRPr="00DE1867">
        <w:t>unilamellar</w:t>
      </w:r>
      <w:proofErr w:type="spellEnd"/>
      <w:r w:rsidR="00417B5C" w:rsidRPr="00DE1867">
        <w:t xml:space="preserve"> vesicles (SUV</w:t>
      </w:r>
      <w:r w:rsidR="00417B5C">
        <w:t xml:space="preserve">, </w:t>
      </w:r>
      <w:r w:rsidR="006F308E">
        <w:t xml:space="preserve">size range </w:t>
      </w:r>
      <w:r w:rsidR="00417B5C">
        <w:t>20-100 nm</w:t>
      </w:r>
      <w:r w:rsidR="00417B5C" w:rsidRPr="00DE1867">
        <w:t xml:space="preserve">), large </w:t>
      </w:r>
      <w:proofErr w:type="spellStart"/>
      <w:r w:rsidR="00417B5C" w:rsidRPr="00DE1867">
        <w:t>unilamellar</w:t>
      </w:r>
      <w:proofErr w:type="spellEnd"/>
      <w:r w:rsidR="00417B5C" w:rsidRPr="00DE1867">
        <w:t xml:space="preserve"> vesicles (LUV</w:t>
      </w:r>
      <w:r w:rsidR="00417B5C">
        <w:t xml:space="preserve">, </w:t>
      </w:r>
      <w:r w:rsidR="006F308E">
        <w:t xml:space="preserve">size </w:t>
      </w:r>
      <w:r w:rsidR="00417B5C">
        <w:t>&gt;100 nm</w:t>
      </w:r>
      <w:r w:rsidR="00417B5C" w:rsidRPr="00DE1867">
        <w:t xml:space="preserve">), </w:t>
      </w:r>
      <w:r w:rsidR="00FE27AD">
        <w:t xml:space="preserve">giant </w:t>
      </w:r>
      <w:proofErr w:type="spellStart"/>
      <w:r w:rsidR="00FE27AD" w:rsidRPr="00DE1867">
        <w:t>unilamellar</w:t>
      </w:r>
      <w:proofErr w:type="spellEnd"/>
      <w:r w:rsidR="00FE27AD" w:rsidRPr="00DE1867">
        <w:t xml:space="preserve"> vesicles</w:t>
      </w:r>
      <w:r w:rsidR="00FE27AD">
        <w:t xml:space="preserve"> (GUV</w:t>
      </w:r>
      <w:r w:rsidR="00C465BA">
        <w:t>, size &gt;</w:t>
      </w:r>
      <w:r w:rsidR="003B37C9">
        <w:t>10</w:t>
      </w:r>
      <w:r w:rsidR="00C465BA">
        <w:t>00 nm)</w:t>
      </w:r>
      <w:r w:rsidR="002D5C0C">
        <w:t>, oligolamellar vesicles (OLV, size range 100-1000 nm)</w:t>
      </w:r>
      <w:r w:rsidR="00DA2964">
        <w:t>,</w:t>
      </w:r>
      <w:r w:rsidR="00221028">
        <w:t xml:space="preserve"> </w:t>
      </w:r>
      <w:r w:rsidR="00417B5C" w:rsidRPr="00DE1867">
        <w:t>multilamellar vesicles (MLV</w:t>
      </w:r>
      <w:r w:rsidR="00417B5C">
        <w:t>, &gt;500 nm</w:t>
      </w:r>
      <w:r w:rsidR="00417B5C" w:rsidRPr="00DE1867">
        <w:t>)</w:t>
      </w:r>
      <w:r w:rsidR="00417B5C">
        <w:t xml:space="preserve">, </w:t>
      </w:r>
      <w:r w:rsidR="00417B5C" w:rsidRPr="00DE1867">
        <w:t>and multivesicular vesicles (MVV</w:t>
      </w:r>
      <w:r w:rsidR="00417B5C">
        <w:t>, &gt;1000 nm</w:t>
      </w:r>
      <w:r w:rsidR="00417B5C" w:rsidRPr="00DE1867">
        <w:t>)</w:t>
      </w:r>
      <w:r w:rsidR="009E2FCA">
        <w:t xml:space="preserve"> </w:t>
      </w:r>
      <w:r w:rsidR="000E69DE">
        <w:fldChar w:fldCharType="begin"/>
      </w:r>
      <w:r w:rsidR="000E69DE">
        <w:instrText xml:space="preserve"> ADDIN ZOTERO_ITEM CSL_CITATION {"citationID":"oJ7Kd0ar","properties":{"formattedCitation":"(Isalomboto Nkanga et al., 2019)","plainCitation":"(Isalomboto Nkanga et al., 2019)","noteIndex":0},"citationItems":[{"id":4106,"uris":["http://zotero.org/users/local/pj1OkIaK/items/ZZT6SZYA"],"itemData":{"id":4106,"type":"article-journal","abstract":"Liposomes are currently part of the most reputed carriers for various molecular species, from small and simple to large and complex molecules. Since their discovery, liposomes have been subject to extensive evolution, in terms of composition, manufacturing and applications, which led to several openings in both basic and applied life sciences. However, most of the advances in liposome research have been more devoted to launching new developments than improving the existing technology for potential implementation. For instance, the evolution of the conventional lipid hydration methods to novel microfluidic technologies has permitted upscale production, but with increase in manufacturing cost and persistent use of organic solvents. This chapter intends to present general concepts in liposome technology, highlighting some longstanding bottlenecks that remain challenging to the preparation, characterization and applications of liposomal systems. This would enhance the understanding of the gaps in the field and, hence, provide directions for future research and developments.","DOI":"10.5772/intechopen.84255","language":"en","note":"Book Title: Liposomes - Advances and Perspectives\nISBN: 9781789844948 9781789844955\npublisher: IntechOpen\nDOI: 10.5772/intechopen.84255","source":"Semantic Scholar","title":"General Perception of Liposomes: Formation, Manufacturing and Applications","title-short":"General Perception of Liposomes","URL":"https://www.intechopen.com/books/liposomes-advances-and-perspectives/general-perception-of-liposomes-formation-manufacturing-and-applications","editor":[{"family":"Catala","given":"Angel"}],"author":[{"family":"Isalomboto Nkanga","given":"Christian"},{"family":"Murhimalika Bapolisi","given":"Alain"},{"family":"Ikemefuna Okafor","given":"Nnamdi"},{"family":"Werner Maçedo Krause","given":"Rui"}],"accessed":{"date-parts":[["2023",2,3]]},"issued":{"date-parts":[["2019",9,4]]}}}],"schema":"https://github.com/citation-style-language/schema/raw/master/csl-citation.json"} </w:instrText>
      </w:r>
      <w:r w:rsidR="000E69DE">
        <w:fldChar w:fldCharType="separate"/>
      </w:r>
      <w:r w:rsidR="00507E67" w:rsidRPr="00507E67">
        <w:rPr>
          <w:rFonts w:cs="Arial"/>
        </w:rPr>
        <w:t>(</w:t>
      </w:r>
      <w:proofErr w:type="spellStart"/>
      <w:r w:rsidR="00507E67" w:rsidRPr="00507E67">
        <w:rPr>
          <w:rFonts w:cs="Arial"/>
        </w:rPr>
        <w:t>Isalomboto</w:t>
      </w:r>
      <w:proofErr w:type="spellEnd"/>
      <w:r w:rsidR="00507E67" w:rsidRPr="00507E67">
        <w:rPr>
          <w:rFonts w:cs="Arial"/>
        </w:rPr>
        <w:t xml:space="preserve"> </w:t>
      </w:r>
      <w:proofErr w:type="spellStart"/>
      <w:r w:rsidR="00507E67" w:rsidRPr="00507E67">
        <w:rPr>
          <w:rFonts w:cs="Arial"/>
        </w:rPr>
        <w:t>Nkanga</w:t>
      </w:r>
      <w:proofErr w:type="spellEnd"/>
      <w:r w:rsidR="00507E67" w:rsidRPr="00507E67">
        <w:rPr>
          <w:rFonts w:cs="Arial"/>
        </w:rPr>
        <w:t xml:space="preserve"> et al., 2019)</w:t>
      </w:r>
      <w:r w:rsidR="000E69DE">
        <w:fldChar w:fldCharType="end"/>
      </w:r>
      <w:r w:rsidR="000E69DE">
        <w:t>.</w:t>
      </w:r>
    </w:p>
    <w:p w14:paraId="45E88B1C" w14:textId="6AFDEA4F" w:rsidR="006F308E" w:rsidRDefault="006F308E" w:rsidP="00417B5C">
      <w:pPr>
        <w:pStyle w:val="CETBodytext"/>
      </w:pPr>
    </w:p>
    <w:p w14:paraId="45712EDA" w14:textId="5DC2EF8F" w:rsidR="004A1F95" w:rsidRDefault="00D33989" w:rsidP="00600535">
      <w:pPr>
        <w:pStyle w:val="CETBodytext"/>
      </w:pPr>
      <w:r>
        <w:rPr>
          <w:noProof/>
        </w:rPr>
        <w:drawing>
          <wp:inline distT="0" distB="0" distL="0" distR="0" wp14:anchorId="6CE4AD97" wp14:editId="0444186B">
            <wp:extent cx="3497655" cy="2520000"/>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4540"/>
                    <a:stretch/>
                  </pic:blipFill>
                  <pic:spPr bwMode="auto">
                    <a:xfrm>
                      <a:off x="0" y="0"/>
                      <a:ext cx="349765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39259C6" w14:textId="1AE73D6E" w:rsidR="002C177B" w:rsidRPr="009A4F7F" w:rsidRDefault="002C177B" w:rsidP="002C177B">
      <w:pPr>
        <w:pStyle w:val="CETCaption"/>
        <w:rPr>
          <w:lang w:val="en-US"/>
        </w:rPr>
      </w:pPr>
      <w:r w:rsidRPr="009A4F7F">
        <w:rPr>
          <w:lang w:val="en-US"/>
        </w:rPr>
        <w:t xml:space="preserve">Figure 1: </w:t>
      </w:r>
      <w:r w:rsidR="00654CD3" w:rsidRPr="00654CD3">
        <w:rPr>
          <w:lang w:val="en-US"/>
        </w:rPr>
        <w:t xml:space="preserve">General structure of liposomes and possible incorporation of hydrophilic, </w:t>
      </w:r>
      <w:r w:rsidR="001F5ECA" w:rsidRPr="00654CD3">
        <w:rPr>
          <w:lang w:val="en-US"/>
        </w:rPr>
        <w:t>hydrophobic,</w:t>
      </w:r>
      <w:r w:rsidR="00654CD3" w:rsidRPr="00654CD3">
        <w:rPr>
          <w:lang w:val="en-US"/>
        </w:rPr>
        <w:t xml:space="preserve"> and amphiphilic compounds.</w:t>
      </w:r>
    </w:p>
    <w:p w14:paraId="70060851" w14:textId="54F61EA1" w:rsidR="001A5E43" w:rsidRDefault="00270044" w:rsidP="00600535">
      <w:pPr>
        <w:pStyle w:val="CETBodytext"/>
      </w:pPr>
      <w:r w:rsidRPr="00270044">
        <w:t>Various methods have been developed for the successful synthesis of liposomes, namely mechanical and solvent dispersion methods</w:t>
      </w:r>
      <w:r w:rsidR="00CA444E">
        <w:t xml:space="preserve"> </w:t>
      </w:r>
      <w:r w:rsidR="00066E23">
        <w:fldChar w:fldCharType="begin"/>
      </w:r>
      <w:r w:rsidR="00066E23">
        <w:instrText xml:space="preserve"> ADDIN ZOTERO_ITEM CSL_CITATION {"citationID":"pVVQZjbI","properties":{"formattedCitation":"(Tagrida et al., 2021)","plainCitation":"(Tagrida et al., 2021)","noteIndex":0},"citationItems":[{"id":3986,"uris":["http://zotero.org/users/local/pj1OkIaK/items/M65IIR6G"],"itemData":{"id":3986,"type":"article-journal","abstract":"Betel leaf ethanolic extract (BLEE), which was dechlorophyllized by sedimentation process was loaded in liposomes at 1 and 2% (w/v) concentrations using two different methods, namely thin film hydration (TF) and ethanol injection (EI) methods. Liposomes loaded with 1% BLEE and prepared by TF method (BLEE/L-T1) had the smallest particle size and paler color than BLEE/L-E1, BLEE/L-E2, and BLEE/L-T2 (p &lt; .05). BLEE/L-T1 also showed strong stability as judged by its lowest zeta potential and polydispersity index. The highest encapsulation efficiency (EE) and lowest releasing efficiency (RE) were also found with BLEE/L-T1. No significant difference (p &gt; .05) in the antioxidant activities was detected between the BLEE-loaded liposomes and BLEE solutions, indicating that encapsulation had no adverse effect on BLEE antioxidant potency. BLEE/L-T1 showed higher antioxidant stability than unencapsulated BLEE at the equivalent amount based on EE (BLEE/U-T1) during in vitro gastrointestinal tract digestion system. Therefore, BLEE/L-T1 could be an efficient delivery system for improving stability of antioxidant activities of BLEE. Practical applications Despite the many benefits of betel leaf ethanolic extract, it still has some distinctive odor and slightly greenish color as well as instability induced by environment factors, which can limit applications in foods. Encapsulation of the betel extract in liposomes can be a good approach to mask its undesirable color and odor and to augment its antioxidant stability. Liposomal technology can be used to load betel leaf extract. However, different methods have been implemented to prepare liposomes that exhibit varying encapsulation efficacy as well as bioactivities. Thin film hydration method was shown to yield the liposome with better physical characteristics, higher encapsulation efficiency, slower release, and higher antioxidant stability than the ethanol injection method. Therefore, the thin film hydration method could be adopted to prepare stable liposomes loaded with betel leaf extract that possess antioxidant activity suitable for food applications.","container-title":"Journal of Food Biochemistry","DOI":"10.1111/jfbc.14012","ISSN":"1745-4514","issue":"12","journalAbbreviation":"J. Food Biochem.","language":"en","note":"_eprint: https://onlinelibrary.wiley.com/doi/pdf/10.1111/jfbc.14012","page":"e14012","source":"Wiley Online Library","title":"Liposomes loaded with betel leaf (Piper betle L.) ethanolic extract prepared by thin film hydration and ethanol injection methods: Characteristics and antioxidant activities","title-short":"Liposomes loaded with betel leaf (Piper betle L.) ethanolic extract prepared by thin film hydration and ethanol injection methods","volume":"45","author":[{"family":"Tagrida","given":"Mohamed"},{"family":"Prodpran","given":"Thummanoon"},{"family":"Zhang","given":"Bin"},{"family":"Aluko","given":"Rotimi E."},{"family":"Benjakul","given":"Soottawat"}],"issued":{"date-parts":[["2021"]]}}}],"schema":"https://github.com/citation-style-language/schema/raw/master/csl-citation.json"} </w:instrText>
      </w:r>
      <w:r w:rsidR="00066E23">
        <w:fldChar w:fldCharType="separate"/>
      </w:r>
      <w:r w:rsidR="00507E67" w:rsidRPr="00507E67">
        <w:rPr>
          <w:rFonts w:cs="Arial"/>
        </w:rPr>
        <w:t>(</w:t>
      </w:r>
      <w:proofErr w:type="spellStart"/>
      <w:r w:rsidR="00507E67" w:rsidRPr="00507E67">
        <w:rPr>
          <w:rFonts w:cs="Arial"/>
        </w:rPr>
        <w:t>Tagrida</w:t>
      </w:r>
      <w:proofErr w:type="spellEnd"/>
      <w:r w:rsidR="00507E67" w:rsidRPr="00507E67">
        <w:rPr>
          <w:rFonts w:cs="Arial"/>
        </w:rPr>
        <w:t xml:space="preserve"> et al., 2021)</w:t>
      </w:r>
      <w:r w:rsidR="00066E23">
        <w:fldChar w:fldCharType="end"/>
      </w:r>
      <w:r w:rsidRPr="00270044">
        <w:t>.</w:t>
      </w:r>
      <w:r w:rsidR="000B62D7">
        <w:t xml:space="preserve"> </w:t>
      </w:r>
      <w:r w:rsidR="003260DF" w:rsidRPr="003260DF">
        <w:rPr>
          <w:rStyle w:val="rynqvb"/>
          <w:lang w:val="en"/>
        </w:rPr>
        <w:t xml:space="preserve">Mechanical dispersion methods include the thin lipid film hydration, the French press cell, the freeze-thaw, sonication, </w:t>
      </w:r>
      <w:proofErr w:type="spellStart"/>
      <w:r w:rsidR="003260DF" w:rsidRPr="003260DF">
        <w:rPr>
          <w:rStyle w:val="rynqvb"/>
          <w:lang w:val="en"/>
        </w:rPr>
        <w:t>microemulsification</w:t>
      </w:r>
      <w:proofErr w:type="spellEnd"/>
      <w:r w:rsidR="003260DF" w:rsidRPr="003260DF">
        <w:rPr>
          <w:rStyle w:val="rynqvb"/>
          <w:lang w:val="en"/>
        </w:rPr>
        <w:t xml:space="preserve">, and membrane extrusion. Solvent dispersion methods include reverse-phase evaporation, ethanol injection, ether injection </w:t>
      </w:r>
      <w:r w:rsidR="008048A2">
        <w:rPr>
          <w:rStyle w:val="rynqvb"/>
          <w:lang w:val="en"/>
        </w:rPr>
        <w:t>(</w:t>
      </w:r>
      <w:r w:rsidR="008048A2">
        <w:t>solvent vaporization</w:t>
      </w:r>
      <w:r w:rsidR="008048A2">
        <w:rPr>
          <w:rStyle w:val="rynqvb"/>
          <w:lang w:val="en"/>
        </w:rPr>
        <w:t>)</w:t>
      </w:r>
      <w:r w:rsidR="00DD28F7">
        <w:rPr>
          <w:rStyle w:val="rynqvb"/>
          <w:lang w:val="en"/>
        </w:rPr>
        <w:t>,</w:t>
      </w:r>
      <w:r w:rsidR="008048A2">
        <w:rPr>
          <w:rStyle w:val="rynqvb"/>
          <w:lang w:val="en"/>
        </w:rPr>
        <w:t xml:space="preserve"> </w:t>
      </w:r>
      <w:r w:rsidR="003260DF" w:rsidRPr="003260DF">
        <w:rPr>
          <w:rStyle w:val="rynqvb"/>
          <w:lang w:val="en"/>
        </w:rPr>
        <w:t xml:space="preserve">and double emulsification </w:t>
      </w:r>
      <w:r w:rsidR="00066E23">
        <w:rPr>
          <w:rStyle w:val="rynqvb"/>
          <w:lang w:val="en"/>
        </w:rPr>
        <w:fldChar w:fldCharType="begin"/>
      </w:r>
      <w:r w:rsidR="00066E23">
        <w:rPr>
          <w:rStyle w:val="rynqvb"/>
          <w:lang w:val="en"/>
        </w:rPr>
        <w:instrText xml:space="preserve"> ADDIN ZOTERO_ITEM CSL_CITATION {"citationID":"TGhxGJlC","properties":{"formattedCitation":"(Akbarzadeh et al., 2013)","plainCitation":"(Akbarzadeh et al., 2013)","noteIndex":0},"citationItems":[{"id":4099,"uris":["http://zotero.org/users/local/pj1OkIaK/items/BG6WAEQ6"],"itemData":{"id":4099,"type":"article-journal","abstract":"Liposomes, sphere-shaped vesicles consisting of one or more phospholipid bilayers, were first described in the mid-60s. Today, they are a very useful reproduction, reagent, and tool in various scientific disciplines, including mathematics and theoretical physics, biophysics, chemistry, colloid science, biochemistry, and biology. Since then, liposomes have made their way to the market. Among several talented new drug delivery systems, liposomes characterize an advanced technology to deliver active molecules to the site of action, and at present, several formulations are in clinical use. Research on liposome technology has progressed from conventional vesicles to 'second-generation liposomes', in which long-circulating liposomes are obtained by modulating the lipid composition, size, and charge of the vesicle. Liposomes with modified surfaces have also been developed using several molecules, such as glycolipids or sialic acid. This paper summarizes exclusively scalable techniques and focuses on strengths, respectively, limitations in respect to industrial applicability and regulatory requirements concerning liposomal drug formulations based on FDA and EMEA documents.","container-title":"Nanoscale Research Letters","DOI":"10.1186/1556-276X-8-102","ISSN":"1931-7573","issue":"1","journalAbbreviation":"Nanoscale Res Lett","language":"eng","note":"PMID: 23432972\nPMCID: PMC3599573","page":"102","source":"PubMed","title":"Liposome: classification, preparation, and applications","title-short":"Liposome","volume":"8","author":[{"family":"Akbarzadeh","given":"Abolfazl"},{"family":"Rezaei-Sadabady","given":"Rogaie"},{"family":"Davaran","given":"Soodabeh"},{"family":"Joo","given":"Sang Woo"},{"family":"Zarghami","given":"Nosratollah"},{"family":"Hanifehpour","given":"Younes"},{"family":"Samiei","given":"Mohammad"},{"family":"Kouhi","given":"Mohammad"},{"family":"Nejati-Koshki","given":"Kazem"}],"issued":{"date-parts":[["2013",2,22]]}}}],"schema":"https://github.com/citation-style-language/schema/raw/master/csl-citation.json"} </w:instrText>
      </w:r>
      <w:r w:rsidR="00066E23">
        <w:rPr>
          <w:rStyle w:val="rynqvb"/>
          <w:lang w:val="en"/>
        </w:rPr>
        <w:fldChar w:fldCharType="separate"/>
      </w:r>
      <w:r w:rsidR="00507E67" w:rsidRPr="00507E67">
        <w:rPr>
          <w:rFonts w:cs="Arial"/>
        </w:rPr>
        <w:t>(Akbarzadeh et al., 2013)</w:t>
      </w:r>
      <w:r w:rsidR="00066E23">
        <w:rPr>
          <w:rStyle w:val="rynqvb"/>
          <w:lang w:val="en"/>
        </w:rPr>
        <w:fldChar w:fldCharType="end"/>
      </w:r>
      <w:r w:rsidR="00066E23">
        <w:rPr>
          <w:rStyle w:val="rynqvb"/>
          <w:lang w:val="en"/>
        </w:rPr>
        <w:t xml:space="preserve">. </w:t>
      </w:r>
      <w:r w:rsidR="00DB16DD" w:rsidRPr="00DB16DD">
        <w:rPr>
          <w:rStyle w:val="rynqvb"/>
          <w:lang w:val="en"/>
        </w:rPr>
        <w:t>The choice of an appropriate method for the synthesis of liposomes depends on several factors, in particular</w:t>
      </w:r>
      <w:r w:rsidR="00DD28F7">
        <w:rPr>
          <w:rStyle w:val="rynqvb"/>
          <w:lang w:val="en"/>
        </w:rPr>
        <w:t>,</w:t>
      </w:r>
      <w:r w:rsidR="00DB16DD" w:rsidRPr="00DB16DD">
        <w:rPr>
          <w:rStyle w:val="rynqvb"/>
          <w:lang w:val="en"/>
        </w:rPr>
        <w:t xml:space="preserve"> the physicochemical properties, the concentration and toxicity of the incorporated therapeutic substance, the type of solution used to disperse the liposomes, the size of the liposomes, the polydispersity of the liposomes, the synthesis cost, the encapsulation efficiency, and the sustained release at the target site</w:t>
      </w:r>
      <w:r w:rsidR="00DB16DD">
        <w:rPr>
          <w:rStyle w:val="rynqvb"/>
          <w:lang w:val="en"/>
        </w:rPr>
        <w:t xml:space="preserve"> </w:t>
      </w:r>
      <w:r w:rsidR="0009414C">
        <w:rPr>
          <w:rStyle w:val="rynqvb"/>
          <w:lang w:val="en"/>
        </w:rPr>
        <w:fldChar w:fldCharType="begin"/>
      </w:r>
      <w:r w:rsidR="0009414C">
        <w:rPr>
          <w:rStyle w:val="rynqvb"/>
          <w:lang w:val="en"/>
        </w:rPr>
        <w:instrText xml:space="preserve"> ADDIN ZOTERO_ITEM CSL_CITATION {"citationID":"hKjkdamm","properties":{"formattedCitation":"(Tomnikova et al., 2022)","plainCitation":"(Tomnikova et al., 2022)","noteIndex":0},"citationItems":[{"id":4102,"uris":["http://zotero.org/users/local/pj1OkIaK/items/APGGNAKH"],"itemData":{"id":4102,"type":"article-journal","abstract":"Liposomes are nowadays a matter of tremendous interest. Due to their amphiphilic character, various substances with different properties can be incorporated into them and they are especially suitable as a model system for controlled transport of bioactive substances and drugs to the final destination in the body; for example, COVID-19 vaccines use liposomes as a carrier of mRNA. Liposomes mimicking composition of various biological membranes can be prepared with a proper choice of the lipids used, which proved to be important tool in the early drug development. This review deals with commonly used methods for the preparation and characterization of liposomes which is essential for their later use. The alternative capillary electrophoresis methods for physico-chemical characterization such as determination of membrane permeability of liposome, its size and charge, and encapsulation efficiency are included. Two different layouts using liposomes to yield more efficient separation of various analytes are also presented, capillary electrochromatography, and liposomal electrokinetic chromatography.","container-title":"Monatshefte für Chemie - Chemical Monthly","DOI":"10.1007/s00706-022-02966-0","ISSN":"1434-4475","issue":"9","journalAbbreviation":"Monatsh Chem","language":"en","page":"687-695","source":"Springer Link","title":"Liposomes: preparation and characterization with a special focus on the application of capillary electrophoresis","title-short":"Liposomes","volume":"153","author":[{"family":"Tomnikova","given":"Alice"},{"family":"Orgonikova","given":"Andrea"},{"family":"Krizek","given":"Tomas"}],"issued":{"date-parts":[["2022",9,1]]}}}],"schema":"https://github.com/citation-style-language/schema/raw/master/csl-citation.json"} </w:instrText>
      </w:r>
      <w:r w:rsidR="0009414C">
        <w:rPr>
          <w:rStyle w:val="rynqvb"/>
          <w:lang w:val="en"/>
        </w:rPr>
        <w:fldChar w:fldCharType="separate"/>
      </w:r>
      <w:r w:rsidR="00507E67" w:rsidRPr="00507E67">
        <w:rPr>
          <w:rFonts w:cs="Arial"/>
        </w:rPr>
        <w:t>(</w:t>
      </w:r>
      <w:proofErr w:type="spellStart"/>
      <w:r w:rsidR="00507E67" w:rsidRPr="00507E67">
        <w:rPr>
          <w:rFonts w:cs="Arial"/>
        </w:rPr>
        <w:t>Tomnikova</w:t>
      </w:r>
      <w:proofErr w:type="spellEnd"/>
      <w:r w:rsidR="00507E67" w:rsidRPr="00507E67">
        <w:rPr>
          <w:rFonts w:cs="Arial"/>
        </w:rPr>
        <w:t xml:space="preserve"> et al., 2022)</w:t>
      </w:r>
      <w:r w:rsidR="0009414C">
        <w:rPr>
          <w:rStyle w:val="rynqvb"/>
          <w:lang w:val="en"/>
        </w:rPr>
        <w:fldChar w:fldCharType="end"/>
      </w:r>
      <w:r w:rsidR="00DB16DD" w:rsidRPr="00DB16DD">
        <w:rPr>
          <w:rStyle w:val="rynqvb"/>
          <w:lang w:val="en"/>
        </w:rPr>
        <w:t>.</w:t>
      </w:r>
      <w:r w:rsidR="0009414C">
        <w:rPr>
          <w:rStyle w:val="rynqvb"/>
          <w:lang w:val="en"/>
        </w:rPr>
        <w:t xml:space="preserve"> </w:t>
      </w:r>
      <w:r w:rsidR="00D771B7">
        <w:t xml:space="preserve">The most commonly used technique </w:t>
      </w:r>
      <w:r w:rsidR="00F4725F">
        <w:t xml:space="preserve">for liposome preparation </w:t>
      </w:r>
      <w:r w:rsidR="00D771B7">
        <w:t>is</w:t>
      </w:r>
      <w:r w:rsidR="001A5E43" w:rsidRPr="001A5E43">
        <w:t xml:space="preserve"> the thin lipid film hydration method</w:t>
      </w:r>
      <w:r w:rsidR="001508B1">
        <w:t xml:space="preserve"> </w:t>
      </w:r>
      <w:r w:rsidR="00F4725F">
        <w:fldChar w:fldCharType="begin"/>
      </w:r>
      <w:r w:rsidR="00F4725F">
        <w:instrText xml:space="preserve"> ADDIN ZOTERO_ITEM CSL_CITATION {"citationID":"KqnQcKjH","properties":{"formattedCitation":"(\\uc0\\u352{}turm and Poklar Ulrih, 2021)","plainCitation":"(Šturm and Poklar Ulrih, 2021)","noteIndex":0},"citationItems":[{"id":4104,"uris":["http://zotero.org/users/local/pj1OkIaK/items/4WKLRNUR"],"itemData":{"id":4104,"type":"article-journal","abstract":"Studying the interactions between lipid membranes and various bioactive molecules (e.g., polyphenols) is important for determining the effects they can have on the functionality of lipid bilayers. This knowledge allows us to use the chosen compounds as potential inhibitors of bacterial and cancer cells, for elimination of viruses, or simply for keeping our healthy cells in good condition. As studying those effect can be exceedingly difficult on living cells, model lipid membranes, such as liposomes, can be used instead. Liposomal bilayer systems represent the most basic platform for studying those interactions, as they are simple, quite easy to prepare and relatively stable. They are especially useful for investigating the effects of bioactive compounds on the structure and kinetics of simple lipid membranes. In this review, we have described the most basic methods available for preparation of liposomes, as well as the essential techniques for studying the effects of bioactive compounds on those liposomes. Additionally, we have provided details for an easy laboratory implementation of some of the described methods, which should prove useful especially to those relatively new on this research field.","container-title":"International Journal of Molecular Sciences","DOI":"10.3390/ijms22126547","ISSN":"1422-0067","issue":"12","language":"en","license":"http://creativecommons.org/licenses/by/3.0/","note":"number: 12\npublisher: Multidisciplinary Digital Publishing Institute","page":"6547","source":"www.mdpi.com","title":"Basic Methods for Preparation of Liposomes and Studying Their Interactions with Different Compounds, with the Emphasis on Polyphenols","volume":"22","author":[{"family":"Šturm","given":"Luka"},{"family":"Poklar Ulrih","given":"Nataša"}],"issued":{"date-parts":[["2021",1]]}}}],"schema":"https://github.com/citation-style-language/schema/raw/master/csl-citation.json"} </w:instrText>
      </w:r>
      <w:r w:rsidR="00F4725F">
        <w:fldChar w:fldCharType="separate"/>
      </w:r>
      <w:r w:rsidR="00507E67" w:rsidRPr="00507E67">
        <w:rPr>
          <w:rFonts w:cs="Arial"/>
          <w:szCs w:val="24"/>
        </w:rPr>
        <w:t xml:space="preserve">(Šturm and </w:t>
      </w:r>
      <w:proofErr w:type="spellStart"/>
      <w:r w:rsidR="00507E67" w:rsidRPr="00507E67">
        <w:rPr>
          <w:rFonts w:cs="Arial"/>
          <w:szCs w:val="24"/>
        </w:rPr>
        <w:t>Poklar</w:t>
      </w:r>
      <w:proofErr w:type="spellEnd"/>
      <w:r w:rsidR="00507E67" w:rsidRPr="00507E67">
        <w:rPr>
          <w:rFonts w:cs="Arial"/>
          <w:szCs w:val="24"/>
        </w:rPr>
        <w:t xml:space="preserve"> </w:t>
      </w:r>
      <w:proofErr w:type="spellStart"/>
      <w:r w:rsidR="00507E67" w:rsidRPr="00507E67">
        <w:rPr>
          <w:rFonts w:cs="Arial"/>
          <w:szCs w:val="24"/>
        </w:rPr>
        <w:t>Ulrih</w:t>
      </w:r>
      <w:proofErr w:type="spellEnd"/>
      <w:r w:rsidR="00507E67" w:rsidRPr="00507E67">
        <w:rPr>
          <w:rFonts w:cs="Arial"/>
          <w:szCs w:val="24"/>
        </w:rPr>
        <w:t>, 2021)</w:t>
      </w:r>
      <w:r w:rsidR="00F4725F">
        <w:fldChar w:fldCharType="end"/>
      </w:r>
      <w:r w:rsidR="001A5E43" w:rsidRPr="001A5E43">
        <w:t>. It is based on the use of an organic solvent to prepare a lipid solution, followed by evaporation of the solvent under reduced pressure, hydration, filtration</w:t>
      </w:r>
      <w:r w:rsidR="00DD28F7">
        <w:t>,</w:t>
      </w:r>
      <w:r w:rsidR="001A5E43" w:rsidRPr="001A5E43">
        <w:t xml:space="preserve"> and purification of the product</w:t>
      </w:r>
      <w:r w:rsidR="001A5E43">
        <w:t xml:space="preserve"> </w:t>
      </w:r>
      <w:r w:rsidR="001A5E43">
        <w:fldChar w:fldCharType="begin"/>
      </w:r>
      <w:r w:rsidR="001A5E43">
        <w:instrText xml:space="preserve"> ADDIN ZOTERO_ITEM CSL_CITATION {"citationID":"PuDztFea","properties":{"formattedCitation":"(Wang et al., 2017)","plainCitation":"(Wang et al., 2017)","noteIndex":0},"citationItems":[{"id":4097,"uris":["http://zotero.org/users/local/pj1OkIaK/items/NP58Y79S"],"itemData":{"id":4097,"type":"article-journal","abstract":"Liposomes, the biocompatible lipid bilayer vesicles, have attracted immense attention due to their distinctive features such as efficient vehicle for the delivery of a wide range of therapeutic agents, adjustable formulation properties, and high drug entrapment efficiency. In this contribution, we present a simple method for the preparation of liposomes using glass beads and compared the potential of this method with conventional methods of liposome preparation. The prepared liposomes were characterized by different analytical techniques (HPLC, DLS, TEM, differential scanning calorimetry, and in vitro drug release). Our findings revealed that the particle size of liposomes is mainly dependent on the size of the glass beads and the glass bead shearing time. An average liposome size of 67.7 ± 25.5 nm was obtained using 2-mm glass beads after 24-h incubation at 200 rpm. The liposomes prepared under the optimized conditions exhibited a high encapsulation efficiency of 92.1 ± 1.7% with 31.08% drug release after 360 min at 37°C. In conclusion, the developed method is a simple and convenient process of liposome preparation of different sizes with desirable entrapment efficiency capacity.","container-title":"AAPS PharmSciTech","DOI":"10.1208/s12249-017-0812-3","ISSN":"1530-9932","issue":"8","journalAbbreviation":"AAPS PharmSciTech","language":"eng","note":"PMID: 28560505","page":"3227-3235","source":"PubMed","title":"A Cheap and Convenient Method of Liposome Preparation Using Glass Beads as a Source of Shear Force","volume":"18","author":[{"family":"Wang","given":"Aoke"},{"family":"Ahmad","given":"Aftab"},{"family":"Ullah","given":"Sadeeq"},{"family":"Cheng","given":"Li"},{"family":"Ke","given":"Lin"},{"family":"Yuan","given":"Qipeng"}],"issued":{"date-parts":[["2017",11]]}}}],"schema":"https://github.com/citation-style-language/schema/raw/master/csl-citation.json"} </w:instrText>
      </w:r>
      <w:r w:rsidR="001A5E43">
        <w:fldChar w:fldCharType="separate"/>
      </w:r>
      <w:r w:rsidR="00507E67" w:rsidRPr="00507E67">
        <w:rPr>
          <w:rFonts w:cs="Arial"/>
        </w:rPr>
        <w:t>(Wang et al., 2017)</w:t>
      </w:r>
      <w:r w:rsidR="001A5E43">
        <w:fldChar w:fldCharType="end"/>
      </w:r>
      <w:r w:rsidR="001A5E43" w:rsidRPr="001A5E43">
        <w:t>.</w:t>
      </w:r>
    </w:p>
    <w:p w14:paraId="3004B2BE" w14:textId="2B1EB1F1" w:rsidR="00B55699" w:rsidRPr="009A4F7F" w:rsidRDefault="00066E23" w:rsidP="00600535">
      <w:pPr>
        <w:pStyle w:val="CETBodytext"/>
      </w:pPr>
      <w:r w:rsidRPr="00154009">
        <w:t xml:space="preserve">Liposomes are used to encapsulate unstable compounds such as antioxidants, antimicrobial compounds, bioactive elements, and antigenic proteins that play an </w:t>
      </w:r>
      <w:r w:rsidR="001950A5">
        <w:t>essential</w:t>
      </w:r>
      <w:r w:rsidRPr="00154009">
        <w:t xml:space="preserve"> role in human health. Encapsulation in liposomes successfully preserves their functionality</w:t>
      </w:r>
      <w:r>
        <w:t xml:space="preserve"> </w:t>
      </w:r>
      <w:r>
        <w:fldChar w:fldCharType="begin"/>
      </w:r>
      <w:r>
        <w:instrText xml:space="preserve"> ADDIN ZOTERO_ITEM CSL_CITATION {"citationID":"jPceGtMF","properties":{"formattedCitation":"(Sim\\uc0\\u227{}o et al., 2015)","plainCitation":"(Simão et al., 2015)","noteIndex":0},"citationItems":[{"id":4087,"uris":["http://zotero.org/users/local/pj1OkIaK/items/PXQBF7L8"],"itemData":{"id":4087,"type":"article-journal","abstract":"Since the revolutionary discovery that phospholipids can form closed bilayered structures in aqueous systems, the study of liposomes has become a very interesting area of research. The versatility and amazing biocompatibility of liposomes has resulted in their wide-spread use in many scientific fields, and many of their applications, especially in medicine, have yielded breakthroughs in recent decades. Specifically, their easy preparation and various structural aspects have given rise to broadly usable methodologies to internalize different compounds, with either lipophilic or hydrophilic properties. The study of compounds with potential biotechnological application(s) is generally related to evaluation and risk assessment of the possible cytotoxic or therapeutic effects of the compound under study. In most cases, undesirable side-effects are associated with an interaction of the liposome with the cell membrane and/or its absorption and subsequent interaction with a cellular biomolecule. Liposomal carrier systems have an unprecedented potential for delivering bioactive substances to specific molecular targets due to their biocompatibility, biodegradability and low toxicity. Liposomes are therefore considered to be an invaluable asset in applied biotechnology studies due to their potential for interaction with both hydrophilic and lipophilic compounds.","container-title":"Biophysical Reviews","DOI":"10.1007/s12551-015-0180-8","ISSN":"1867-2450","issue":"4","journalAbbreviation":"Biophys Rev","note":"PMID: 28510100\nPMCID: PMC5418487","page":"391-397","source":"PubMed Central","title":"Liposomal systems as carriers for bioactive compounds","volume":"7","author":[{"family":"Simão","given":"Ana Maria Sper"},{"family":"Bolean","given":"Maytê"},{"family":"Cury","given":"Thuanny Alexandra Campos"},{"family":"Stabeli","given":"Rodrigo Guerino"},{"family":"Itri","given":"Rosangela"},{"family":"Ciancaglini","given":"Pietro"}],"issued":{"date-parts":[["2015",10,10]]}}}],"schema":"https://github.com/citation-style-language/schema/raw/master/csl-citation.json"} </w:instrText>
      </w:r>
      <w:r>
        <w:fldChar w:fldCharType="separate"/>
      </w:r>
      <w:r w:rsidR="00507E67" w:rsidRPr="00507E67">
        <w:rPr>
          <w:rFonts w:cs="Arial"/>
          <w:szCs w:val="24"/>
        </w:rPr>
        <w:t>(Simão et al., 2015)</w:t>
      </w:r>
      <w:r>
        <w:fldChar w:fldCharType="end"/>
      </w:r>
      <w:r w:rsidRPr="00154009">
        <w:t>.</w:t>
      </w:r>
      <w:r>
        <w:t xml:space="preserve"> Furthermore, b</w:t>
      </w:r>
      <w:r w:rsidRPr="00E83F5D">
        <w:t xml:space="preserve">iologically active substances may be degraded in the gastrointestinal tract, resulting in </w:t>
      </w:r>
      <w:r w:rsidR="00DD28F7">
        <w:t xml:space="preserve">an </w:t>
      </w:r>
      <w:r w:rsidRPr="00E83F5D">
        <w:t>insufficient therapeutic effect</w:t>
      </w:r>
      <w:r>
        <w:t xml:space="preserve"> </w:t>
      </w:r>
      <w:r>
        <w:fldChar w:fldCharType="begin"/>
      </w:r>
      <w:r>
        <w:instrText xml:space="preserve"> ADDIN ZOTERO_ITEM CSL_CITATION {"citationID":"hNMj6nCa","properties":{"formattedCitation":"(P\\uc0\\u259{}v\\uc0\\u259{}loiu et al., 2021)","plainCitation":"(Păvăloiu et al., 2021)","noteIndex":0},"citationItems":[{"id":4082,"uris":["http://zotero.org/users/local/pj1OkIaK/items/3E4LSQIR"],"itemData":{"id":4082,"type":"article-journal","abstract":"This study is focused on the encapsulation of polyphenols from Lycium barbarum leaves into liposomes as a strategy to improve their delivery. Liposomes loaded with Lycium barbarum leaves extract were obtained and characterized for particle size, polydispersity, entrapment efficiency, and stability. Liposomes presented entrapment efficiency higher than 75%, nanometric particle size, narrow polydispersity, and good stability over three months at 4 °C. The liposomes containing Lycium barbarum offered a slower release of polyphenols with attenuated burst effect compared with the dissolution of free Lycium barbarum extract in phosphate buffer solution at pH 7.4. Moreover, an in vitro pretreatment of 24 h with loaded liposomes showed a cytoprotective effect against H2O2-induced cytotoxicity on L-929 mouse fibroblasts cells. These preliminary findings imply that liposomes could be successfully employed as carriers for polyphenols in pharmaceutical applications.","container-title":"Nanomaterials","DOI":"10.3390/nano11081938","ISSN":"2079-4991","issue":"8","language":"en","license":"http://creativecommons.org/licenses/by/3.0/","note":"number: 8\npublisher: Multidisciplinary Digital Publishing Institute","page":"1938","source":"www.mdpi.com","title":"Encapsulation of Polyphenols from Lycium barbarum Leaves into Liposomes as a Strategy to Improve Their Delivery","volume":"11","author":[{"family":"Păvăloiu","given":"Ramona-Daniela"},{"family":"Sha’at","given":"Fawzia"},{"family":"Neagu","given":"Georgeta"},{"family":"Deaconu","given":"Mihaela"},{"family":"Bubueanu","given":"Corina"},{"family":"Albulescu","given":"Adrian"},{"family":"Sha’at","given":"Mousa"},{"family":"Hlevca","given":"Cristina"}],"issued":{"date-parts":[["2021",8]]}}}],"schema":"https://github.com/citation-style-language/schema/raw/master/csl-citation.json"} </w:instrText>
      </w:r>
      <w:r>
        <w:fldChar w:fldCharType="separate"/>
      </w:r>
      <w:r w:rsidR="00507E67" w:rsidRPr="00507E67">
        <w:rPr>
          <w:rFonts w:cs="Arial"/>
          <w:szCs w:val="24"/>
        </w:rPr>
        <w:t>(</w:t>
      </w:r>
      <w:proofErr w:type="spellStart"/>
      <w:r w:rsidR="00507E67" w:rsidRPr="00507E67">
        <w:rPr>
          <w:rFonts w:cs="Arial"/>
          <w:szCs w:val="24"/>
        </w:rPr>
        <w:t>Păvăloiu</w:t>
      </w:r>
      <w:proofErr w:type="spellEnd"/>
      <w:r w:rsidR="00507E67" w:rsidRPr="00507E67">
        <w:rPr>
          <w:rFonts w:cs="Arial"/>
          <w:szCs w:val="24"/>
        </w:rPr>
        <w:t xml:space="preserve"> et al., 2021)</w:t>
      </w:r>
      <w:r>
        <w:fldChar w:fldCharType="end"/>
      </w:r>
      <w:r w:rsidRPr="00E83F5D">
        <w:t>.</w:t>
      </w:r>
      <w:r w:rsidR="00DD28F7">
        <w:t xml:space="preserve"> </w:t>
      </w:r>
      <w:r w:rsidR="0021630A" w:rsidRPr="0021630A">
        <w:t>Therefore, liposomes loaded with the</w:t>
      </w:r>
      <w:r w:rsidR="00E248C4">
        <w:t xml:space="preserve"> hydrophilic</w:t>
      </w:r>
      <w:r w:rsidR="0021630A" w:rsidRPr="0021630A">
        <w:t xml:space="preserve"> bioactive ingredient </w:t>
      </w:r>
      <w:r w:rsidR="00AF5E97">
        <w:t>gallic acid (</w:t>
      </w:r>
      <w:r w:rsidR="0021630A" w:rsidRPr="0021630A">
        <w:t>GA</w:t>
      </w:r>
      <w:r w:rsidR="00AF5E97">
        <w:t>)</w:t>
      </w:r>
      <w:r w:rsidR="0021630A" w:rsidRPr="0021630A">
        <w:t xml:space="preserve"> were prepared using an inexpensive and practical laboratory procedure, a thin lipid film hydration method with glass beads. The liposomal formulation was studied in terms of its stability, particle size</w:t>
      </w:r>
      <w:r w:rsidR="00DD28F7">
        <w:t>,</w:t>
      </w:r>
      <w:r w:rsidR="0021630A" w:rsidRPr="0021630A">
        <w:t xml:space="preserve"> and size distribution. The encapsulation efficiency and </w:t>
      </w:r>
      <w:r w:rsidR="0021630A" w:rsidRPr="0021630A">
        <w:rPr>
          <w:i/>
          <w:iCs/>
        </w:rPr>
        <w:t>in vitro</w:t>
      </w:r>
      <w:r w:rsidR="0021630A" w:rsidRPr="0021630A">
        <w:t xml:space="preserve"> release study of the encapsulated GA were also investigated.</w:t>
      </w:r>
    </w:p>
    <w:p w14:paraId="5741900F" w14:textId="1B1957D5" w:rsidR="00453E24" w:rsidRPr="009A4F7F" w:rsidRDefault="00BC3C79" w:rsidP="00453E24">
      <w:pPr>
        <w:pStyle w:val="CETHeading1"/>
      </w:pPr>
      <w:r w:rsidRPr="009A4F7F">
        <w:t>Materials and methods</w:t>
      </w:r>
    </w:p>
    <w:p w14:paraId="0636B784" w14:textId="632E4639" w:rsidR="00453E24" w:rsidRPr="009A4F7F" w:rsidRDefault="00385691" w:rsidP="00453E24">
      <w:pPr>
        <w:pStyle w:val="CETheadingx"/>
      </w:pPr>
      <w:r w:rsidRPr="009A4F7F">
        <w:t>Preparation of ga</w:t>
      </w:r>
      <w:r w:rsidR="0058617F" w:rsidRPr="009A4F7F">
        <w:t>llic acid</w:t>
      </w:r>
      <w:r w:rsidR="00AF1285" w:rsidRPr="009A4F7F">
        <w:t>-loaded liposomes</w:t>
      </w:r>
    </w:p>
    <w:p w14:paraId="7C2B0064" w14:textId="48B867C9" w:rsidR="00453E24" w:rsidRPr="009A4F7F" w:rsidRDefault="007C4D15" w:rsidP="00453E24">
      <w:pPr>
        <w:pStyle w:val="CETBodytext"/>
      </w:pPr>
      <w:r w:rsidRPr="009A4F7F">
        <w:t>Liposome formulation was performed using a thin lipid film hydration method with glass beads.</w:t>
      </w:r>
      <w:r w:rsidR="004E1F2A" w:rsidRPr="009A4F7F">
        <w:t xml:space="preserve"> </w:t>
      </w:r>
      <w:r w:rsidR="00BA0E3C" w:rsidRPr="009A4F7F">
        <w:t>Soy phosphatidylcholine and cholesterol were dissolved in a ratio of 3:1 (w/w) in the organic solvent ethanol with constant stirring and heating to 50</w:t>
      </w:r>
      <w:r w:rsidR="000E0909" w:rsidRPr="009A4F7F">
        <w:t> </w:t>
      </w:r>
      <w:r w:rsidR="00BA0E3C" w:rsidRPr="009A4F7F">
        <w:t>°C until complete dissolution.</w:t>
      </w:r>
      <w:r w:rsidR="00007210" w:rsidRPr="009A4F7F">
        <w:t xml:space="preserve"> </w:t>
      </w:r>
      <w:r w:rsidR="00A261CB" w:rsidRPr="009A4F7F">
        <w:t>Ethanol was then completely removed under reduced pressure using a rotary evaporator, resulting in the formation of a thin lipid film on the wall of the flask.</w:t>
      </w:r>
      <w:r w:rsidR="00E949A1" w:rsidRPr="009A4F7F">
        <w:t xml:space="preserve"> The resulting film was then hydrated with a solution of </w:t>
      </w:r>
      <w:r w:rsidR="00292934">
        <w:t>GA</w:t>
      </w:r>
      <w:r w:rsidR="00E949A1" w:rsidRPr="009A4F7F">
        <w:t xml:space="preserve"> in various concentrations</w:t>
      </w:r>
      <w:r w:rsidR="002823FB">
        <w:t>,</w:t>
      </w:r>
      <w:r w:rsidR="00E949A1" w:rsidRPr="009A4F7F">
        <w:t xml:space="preserve"> and an appropriate amount </w:t>
      </w:r>
      <w:r w:rsidR="00E949A1" w:rsidRPr="009A4F7F">
        <w:lastRenderedPageBreak/>
        <w:t>of glass beads with a diameter of 5 mm was added. The flask was then shaken on a shaker at 200 rpm and 20 °C</w:t>
      </w:r>
      <w:r w:rsidR="009C21D4" w:rsidRPr="009A4F7F">
        <w:t xml:space="preserve"> for </w:t>
      </w:r>
      <w:r w:rsidR="00967183">
        <w:t>24</w:t>
      </w:r>
      <w:r w:rsidR="00CD2F15">
        <w:t xml:space="preserve"> </w:t>
      </w:r>
      <w:r w:rsidR="00967183">
        <w:t>h</w:t>
      </w:r>
      <w:r w:rsidR="00CD2F15">
        <w:t>ou</w:t>
      </w:r>
      <w:r w:rsidR="00EE39A2">
        <w:t>rs</w:t>
      </w:r>
      <w:r w:rsidR="009C21D4" w:rsidRPr="009A4F7F">
        <w:t>.</w:t>
      </w:r>
      <w:r w:rsidR="000C4984" w:rsidRPr="009A4F7F">
        <w:t xml:space="preserve"> Figure </w:t>
      </w:r>
      <w:r w:rsidR="006844ED">
        <w:t>2</w:t>
      </w:r>
      <w:r w:rsidR="000C4984" w:rsidRPr="009A4F7F">
        <w:t xml:space="preserve"> shows the process for the preparation of liposomes loaded with </w:t>
      </w:r>
      <w:r w:rsidR="00292934">
        <w:t>GA</w:t>
      </w:r>
      <w:r w:rsidR="000C4984" w:rsidRPr="009A4F7F">
        <w:t>.</w:t>
      </w:r>
    </w:p>
    <w:p w14:paraId="2C3039E4" w14:textId="64EFA952" w:rsidR="004A65F3" w:rsidRPr="009A4F7F" w:rsidRDefault="002E3675" w:rsidP="00F5310B">
      <w:pPr>
        <w:pStyle w:val="CETBodytext"/>
        <w:jc w:val="left"/>
      </w:pPr>
      <w:r w:rsidRPr="009A4F7F">
        <w:rPr>
          <w:noProof/>
        </w:rPr>
        <w:drawing>
          <wp:inline distT="0" distB="0" distL="0" distR="0" wp14:anchorId="5808E140" wp14:editId="74FAFFBE">
            <wp:extent cx="5434877" cy="3528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4877" cy="3528000"/>
                    </a:xfrm>
                    <a:prstGeom prst="rect">
                      <a:avLst/>
                    </a:prstGeom>
                    <a:noFill/>
                    <a:ln>
                      <a:noFill/>
                    </a:ln>
                  </pic:spPr>
                </pic:pic>
              </a:graphicData>
            </a:graphic>
          </wp:inline>
        </w:drawing>
      </w:r>
    </w:p>
    <w:p w14:paraId="478E34C3" w14:textId="0AFB31A2" w:rsidR="004A65F3" w:rsidRPr="009A4F7F" w:rsidRDefault="00BE185B" w:rsidP="002244F6">
      <w:pPr>
        <w:pStyle w:val="CETCaption"/>
        <w:rPr>
          <w:lang w:val="en-US"/>
        </w:rPr>
      </w:pPr>
      <w:r w:rsidRPr="009A4F7F">
        <w:rPr>
          <w:lang w:val="en-US"/>
        </w:rPr>
        <w:t xml:space="preserve">Figure </w:t>
      </w:r>
      <w:r w:rsidR="006844ED">
        <w:rPr>
          <w:lang w:val="en-US"/>
        </w:rPr>
        <w:t>2</w:t>
      </w:r>
      <w:r w:rsidRPr="009A4F7F">
        <w:rPr>
          <w:lang w:val="en-US"/>
        </w:rPr>
        <w:t xml:space="preserve">: </w:t>
      </w:r>
      <w:r w:rsidR="00AF4822" w:rsidRPr="009A4F7F">
        <w:rPr>
          <w:lang w:val="en-US"/>
        </w:rPr>
        <w:t xml:space="preserve">Schematic representation of the preparation of </w:t>
      </w:r>
      <w:r w:rsidR="00292934">
        <w:rPr>
          <w:lang w:val="en-US"/>
        </w:rPr>
        <w:t>GA</w:t>
      </w:r>
      <w:r w:rsidR="00AF4822" w:rsidRPr="009A4F7F">
        <w:rPr>
          <w:lang w:val="en-US"/>
        </w:rPr>
        <w:t>-loaded liposomes using a thin lipid film hydration method with glass beads.</w:t>
      </w:r>
    </w:p>
    <w:p w14:paraId="18BAFA6F" w14:textId="34C73A0F" w:rsidR="00453E24" w:rsidRPr="009A4F7F" w:rsidRDefault="00E90227" w:rsidP="00453E24">
      <w:pPr>
        <w:pStyle w:val="CETheadingx"/>
      </w:pPr>
      <w:r w:rsidRPr="009A4F7F">
        <w:t>Characterization of liposomes</w:t>
      </w:r>
    </w:p>
    <w:p w14:paraId="5436D977" w14:textId="749A5810" w:rsidR="00453E24" w:rsidRPr="009A4F7F" w:rsidRDefault="00956752" w:rsidP="00453E24">
      <w:pPr>
        <w:pStyle w:val="CETBodytext"/>
      </w:pPr>
      <w:r w:rsidRPr="009A4F7F">
        <w:t xml:space="preserve">Liposomes were </w:t>
      </w:r>
      <w:r w:rsidR="009A4F7F" w:rsidRPr="009A4F7F">
        <w:t>characterized</w:t>
      </w:r>
      <w:r w:rsidRPr="009A4F7F">
        <w:t xml:space="preserve"> by measuring the mean particle size, size distribution expressed as polydispersity index (PDI), and zeta potential by determining the surface charge of liposomes to determine their stability by </w:t>
      </w:r>
      <w:r w:rsidR="00CC0F4F">
        <w:t xml:space="preserve">the </w:t>
      </w:r>
      <w:r w:rsidRPr="009A4F7F">
        <w:t>dynamic light scattering (DLS) analysis using Zeta sizer Nano ZS instrument at room temperature.</w:t>
      </w:r>
    </w:p>
    <w:p w14:paraId="0247FB98" w14:textId="3C0CB6D8" w:rsidR="001766B5" w:rsidRPr="009A4F7F" w:rsidRDefault="001766B5" w:rsidP="001766B5">
      <w:pPr>
        <w:pStyle w:val="CETheadingx"/>
      </w:pPr>
      <w:r w:rsidRPr="009A4F7F">
        <w:t>Encapsulation eff</w:t>
      </w:r>
      <w:r w:rsidR="00E9597D" w:rsidRPr="009A4F7F">
        <w:t>iciency</w:t>
      </w:r>
      <w:r w:rsidR="00864559" w:rsidRPr="009A4F7F">
        <w:t xml:space="preserve"> of bioactive </w:t>
      </w:r>
      <w:r w:rsidR="002C3078" w:rsidRPr="009A4F7F">
        <w:t>ingredient</w:t>
      </w:r>
    </w:p>
    <w:p w14:paraId="1E8BBA7B" w14:textId="61FD6119" w:rsidR="001766B5" w:rsidRPr="009A4F7F" w:rsidRDefault="00292934" w:rsidP="001766B5">
      <w:pPr>
        <w:pStyle w:val="CETBodytext"/>
      </w:pPr>
      <w:r>
        <w:t>GA</w:t>
      </w:r>
      <w:r w:rsidR="006336C7" w:rsidRPr="009A4F7F">
        <w:t xml:space="preserve"> was incorporated in liposomes at three different concentrations, 0.05, 0.1, and 0.5</w:t>
      </w:r>
      <w:r w:rsidR="00C05CEB" w:rsidRPr="009A4F7F">
        <w:t> </w:t>
      </w:r>
      <w:r w:rsidR="006336C7" w:rsidRPr="009A4F7F">
        <w:t>mg/m</w:t>
      </w:r>
      <w:r w:rsidR="00C05CEB" w:rsidRPr="009A4F7F">
        <w:t>l</w:t>
      </w:r>
      <w:r w:rsidR="006336C7" w:rsidRPr="009A4F7F">
        <w:t>, prepared in 0.01</w:t>
      </w:r>
      <w:r w:rsidR="00C05CEB" w:rsidRPr="009A4F7F">
        <w:t> </w:t>
      </w:r>
      <w:r w:rsidR="006336C7" w:rsidRPr="009A4F7F">
        <w:t xml:space="preserve">M PBS buffer at pH 5. The </w:t>
      </w:r>
      <w:r w:rsidR="00B90798" w:rsidRPr="009A4F7F">
        <w:t xml:space="preserve">encapsulation </w:t>
      </w:r>
      <w:r w:rsidR="006336C7" w:rsidRPr="009A4F7F">
        <w:t xml:space="preserve">efficiency of </w:t>
      </w:r>
      <w:r>
        <w:t>GA</w:t>
      </w:r>
      <w:r w:rsidR="006336C7" w:rsidRPr="009A4F7F">
        <w:t xml:space="preserve"> in liposomes was determined by </w:t>
      </w:r>
      <w:r w:rsidR="00452A74">
        <w:t xml:space="preserve">the </w:t>
      </w:r>
      <w:r w:rsidR="006336C7" w:rsidRPr="009A4F7F">
        <w:t>dialysis technique. 1</w:t>
      </w:r>
      <w:r w:rsidR="00C05CEB" w:rsidRPr="009A4F7F">
        <w:t> </w:t>
      </w:r>
      <w:r w:rsidR="006336C7" w:rsidRPr="009A4F7F">
        <w:t>m</w:t>
      </w:r>
      <w:r w:rsidR="00C05CEB" w:rsidRPr="009A4F7F">
        <w:t>l</w:t>
      </w:r>
      <w:r w:rsidR="006336C7" w:rsidRPr="009A4F7F">
        <w:t xml:space="preserve"> of the synthesized liposomes with incorporated </w:t>
      </w:r>
      <w:r>
        <w:t>GA</w:t>
      </w:r>
      <w:r w:rsidR="006336C7" w:rsidRPr="009A4F7F">
        <w:t xml:space="preserve"> was transferred to a dialysis bag (cut off 8000-12000), which was then immersed in 25</w:t>
      </w:r>
      <w:r w:rsidR="00C05CEB" w:rsidRPr="009A4F7F">
        <w:t> </w:t>
      </w:r>
      <w:r w:rsidR="006336C7" w:rsidRPr="009A4F7F">
        <w:t>m</w:t>
      </w:r>
      <w:r w:rsidR="00C05CEB" w:rsidRPr="009A4F7F">
        <w:t>l</w:t>
      </w:r>
      <w:r w:rsidR="006336C7" w:rsidRPr="009A4F7F">
        <w:t xml:space="preserve"> of PBS buffer. Dialysis was performed using a magnetic stirrer at 100</w:t>
      </w:r>
      <w:r w:rsidR="00C05CEB" w:rsidRPr="009A4F7F">
        <w:t> </w:t>
      </w:r>
      <w:r w:rsidR="006336C7" w:rsidRPr="009A4F7F">
        <w:t xml:space="preserve">rpm and room temperature. Samples were analyzed by the </w:t>
      </w:r>
      <w:r w:rsidR="00A27B28" w:rsidRPr="009A4F7F">
        <w:t>Folin-</w:t>
      </w:r>
      <w:proofErr w:type="spellStart"/>
      <w:r w:rsidR="00A27B28" w:rsidRPr="009A4F7F">
        <w:t>Ciocalteu</w:t>
      </w:r>
      <w:proofErr w:type="spellEnd"/>
      <w:r w:rsidR="00A27B28" w:rsidRPr="009A4F7F">
        <w:t xml:space="preserve"> </w:t>
      </w:r>
      <w:r w:rsidR="006336C7" w:rsidRPr="009A4F7F">
        <w:t>spectrophotometric method to determine total phenolic content. Encapsulation efficiency</w:t>
      </w:r>
      <w:r w:rsidR="00AA5A1C" w:rsidRPr="009A4F7F">
        <w:t xml:space="preserve"> </w:t>
      </w:r>
      <w:r w:rsidR="000A10D7" w:rsidRPr="009A4F7F">
        <w:t>(%</w:t>
      </w:r>
      <w:r w:rsidR="00AA5A1C" w:rsidRPr="009A4F7F">
        <w:t>)</w:t>
      </w:r>
      <w:r w:rsidR="006336C7" w:rsidRPr="009A4F7F">
        <w:t xml:space="preserve"> was calculated using </w:t>
      </w:r>
      <w:r w:rsidR="00F452A6" w:rsidRPr="009A4F7F">
        <w:t>E</w:t>
      </w:r>
      <w:r w:rsidR="006336C7" w:rsidRPr="009A4F7F">
        <w:t>quation</w:t>
      </w:r>
      <w:r w:rsidR="00322EF3" w:rsidRPr="009A4F7F">
        <w:t xml:space="preserve"> 1</w:t>
      </w:r>
      <w:r w:rsidR="006336C7" w:rsidRPr="009A4F7F">
        <w:t>:</w:t>
      </w:r>
    </w:p>
    <w:p w14:paraId="432DCAF7" w14:textId="6E6994F5" w:rsidR="006336C7" w:rsidRPr="009A4F7F" w:rsidRDefault="006336C7" w:rsidP="001766B5">
      <w:pPr>
        <w:pStyle w:val="CETBodytext"/>
      </w:pPr>
    </w:p>
    <w:p w14:paraId="1F9A9F5D" w14:textId="1E122149" w:rsidR="00851E3D" w:rsidRPr="009A4F7F" w:rsidRDefault="00851E3D" w:rsidP="00851E3D">
      <w:pPr>
        <w:rPr>
          <w:rFonts w:eastAsiaTheme="minorEastAsia"/>
          <w:lang w:val="en-US"/>
        </w:rPr>
      </w:pPr>
      <m:oMath>
        <m:r>
          <w:rPr>
            <w:rFonts w:ascii="Cambria Math" w:hAnsi="Cambria Math"/>
            <w:lang w:val="en-US"/>
          </w:rPr>
          <m:t>EE=</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total GA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free GA</m:t>
                </m:r>
              </m:sub>
            </m:sSub>
          </m:num>
          <m:den>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total GA</m:t>
                </m:r>
              </m:sub>
            </m:sSub>
          </m:den>
        </m:f>
        <m:r>
          <w:rPr>
            <w:rFonts w:ascii="Cambria Math" w:hAnsi="Cambria Math"/>
            <w:lang w:val="en-US"/>
          </w:rPr>
          <m:t>∙100%</m:t>
        </m:r>
      </m:oMath>
      <w:r w:rsidRPr="009A4F7F">
        <w:rPr>
          <w:rFonts w:eastAsiaTheme="minorEastAsia"/>
          <w:lang w:val="en-US"/>
        </w:rPr>
        <w:t xml:space="preserve">                                                                                                                                                         (1)</w:t>
      </w:r>
    </w:p>
    <w:p w14:paraId="63846972" w14:textId="5F42787C" w:rsidR="00851E3D" w:rsidRDefault="00851E3D" w:rsidP="001766B5">
      <w:pPr>
        <w:pStyle w:val="CETBodytext"/>
      </w:pPr>
    </w:p>
    <w:p w14:paraId="28EA83AB" w14:textId="66149D9E" w:rsidR="0003443B" w:rsidRPr="009A4F7F" w:rsidRDefault="0003443B" w:rsidP="001766B5">
      <w:pPr>
        <w:pStyle w:val="CETBodytext"/>
      </w:pPr>
      <w:r>
        <w:t>Where is:</w:t>
      </w:r>
    </w:p>
    <w:p w14:paraId="09AF965C" w14:textId="54A323DC" w:rsidR="000C6CE5" w:rsidRPr="009A4F7F" w:rsidRDefault="000C6CE5" w:rsidP="000C6CE5">
      <w:pPr>
        <w:pStyle w:val="CETListbullets"/>
        <w:ind w:left="0" w:firstLine="0"/>
        <w:rPr>
          <w:lang w:val="en-US"/>
        </w:rPr>
      </w:pPr>
      <w:r w:rsidRPr="009A4F7F">
        <w:rPr>
          <w:i/>
          <w:iCs/>
          <w:lang w:val="en-US"/>
        </w:rPr>
        <w:t>EE</w:t>
      </w:r>
      <w:r w:rsidRPr="009A4F7F">
        <w:rPr>
          <w:lang w:val="en-US"/>
        </w:rPr>
        <w:t xml:space="preserve"> - encapsulation efficiency (%) of </w:t>
      </w:r>
      <w:r w:rsidR="00292934">
        <w:rPr>
          <w:lang w:val="en-US"/>
        </w:rPr>
        <w:t>GA</w:t>
      </w:r>
      <w:r w:rsidRPr="009A4F7F">
        <w:rPr>
          <w:lang w:val="en-US"/>
        </w:rPr>
        <w:t xml:space="preserve"> into liposomes,</w:t>
      </w:r>
    </w:p>
    <w:p w14:paraId="3027F966" w14:textId="2AD7753A" w:rsidR="000C6CE5" w:rsidRPr="009A4F7F" w:rsidRDefault="00AA1D7D" w:rsidP="000C6CE5">
      <w:pPr>
        <w:pStyle w:val="CETListbullets"/>
        <w:ind w:left="0" w:firstLine="0"/>
        <w:rPr>
          <w:lang w:val="en-US"/>
        </w:rPr>
      </w:pPr>
      <w:proofErr w:type="spellStart"/>
      <w:r>
        <w:rPr>
          <w:rFonts w:ascii="Calibri" w:hAnsi="Calibri" w:cs="Calibri"/>
          <w:i/>
          <w:iCs/>
          <w:lang w:val="en-US"/>
        </w:rPr>
        <w:t>γ</w:t>
      </w:r>
      <w:r w:rsidR="00566DED" w:rsidRPr="009A4F7F">
        <w:rPr>
          <w:i/>
          <w:iCs/>
          <w:vertAlign w:val="subscript"/>
          <w:lang w:val="en-US"/>
        </w:rPr>
        <w:t>total</w:t>
      </w:r>
      <w:proofErr w:type="spellEnd"/>
      <w:r w:rsidR="00566DED" w:rsidRPr="009A4F7F">
        <w:rPr>
          <w:i/>
          <w:iCs/>
          <w:vertAlign w:val="subscript"/>
          <w:lang w:val="en-US"/>
        </w:rPr>
        <w:t xml:space="preserve"> GA</w:t>
      </w:r>
      <w:r w:rsidR="000C6CE5" w:rsidRPr="009A4F7F">
        <w:rPr>
          <w:lang w:val="en-US"/>
        </w:rPr>
        <w:t xml:space="preserve"> </w:t>
      </w:r>
      <w:r w:rsidR="00441BFD" w:rsidRPr="009A4F7F">
        <w:rPr>
          <w:lang w:val="en-US"/>
        </w:rPr>
        <w:t>–</w:t>
      </w:r>
      <w:r w:rsidR="000C6CE5" w:rsidRPr="009A4F7F">
        <w:rPr>
          <w:lang w:val="en-US"/>
        </w:rPr>
        <w:t xml:space="preserve"> </w:t>
      </w:r>
      <w:r w:rsidR="00441BFD">
        <w:rPr>
          <w:lang w:val="en-US"/>
        </w:rPr>
        <w:t>concentration</w:t>
      </w:r>
      <w:r w:rsidR="00B522FB" w:rsidRPr="009A4F7F">
        <w:rPr>
          <w:lang w:val="en-US"/>
        </w:rPr>
        <w:t xml:space="preserve"> of total </w:t>
      </w:r>
      <w:r w:rsidR="00292934">
        <w:rPr>
          <w:lang w:val="en-US"/>
        </w:rPr>
        <w:t>GA</w:t>
      </w:r>
      <w:r w:rsidR="00B522FB" w:rsidRPr="009A4F7F">
        <w:rPr>
          <w:lang w:val="en-US"/>
        </w:rPr>
        <w:t xml:space="preserve"> in liposomes</w:t>
      </w:r>
      <w:r w:rsidR="000C6CE5" w:rsidRPr="009A4F7F">
        <w:rPr>
          <w:lang w:val="en-US"/>
        </w:rPr>
        <w:t xml:space="preserve"> (mg/</w:t>
      </w:r>
      <w:r>
        <w:rPr>
          <w:lang w:val="en-US"/>
        </w:rPr>
        <w:t>m</w:t>
      </w:r>
      <w:r w:rsidR="000C6CE5" w:rsidRPr="009A4F7F">
        <w:rPr>
          <w:lang w:val="en-US"/>
        </w:rPr>
        <w:t>l),</w:t>
      </w:r>
    </w:p>
    <w:p w14:paraId="08979DD1" w14:textId="20282811" w:rsidR="000C6CE5" w:rsidRPr="009A4F7F" w:rsidRDefault="00AA1D7D" w:rsidP="000C6CE5">
      <w:pPr>
        <w:pStyle w:val="CETListbullets"/>
        <w:ind w:left="0" w:firstLine="0"/>
        <w:rPr>
          <w:lang w:val="en-US"/>
        </w:rPr>
      </w:pPr>
      <w:proofErr w:type="spellStart"/>
      <w:r>
        <w:rPr>
          <w:rFonts w:ascii="Calibri" w:hAnsi="Calibri" w:cs="Calibri"/>
          <w:i/>
          <w:iCs/>
          <w:lang w:val="en-US"/>
        </w:rPr>
        <w:t>γ</w:t>
      </w:r>
      <w:r w:rsidR="00566DED" w:rsidRPr="009A4F7F">
        <w:rPr>
          <w:i/>
          <w:iCs/>
          <w:vertAlign w:val="subscript"/>
          <w:lang w:val="en-US"/>
        </w:rPr>
        <w:t>free</w:t>
      </w:r>
      <w:proofErr w:type="spellEnd"/>
      <w:r w:rsidR="00566DED" w:rsidRPr="009A4F7F">
        <w:rPr>
          <w:i/>
          <w:iCs/>
          <w:vertAlign w:val="subscript"/>
          <w:lang w:val="en-US"/>
        </w:rPr>
        <w:t xml:space="preserve"> GA</w:t>
      </w:r>
      <w:r w:rsidR="0064100A" w:rsidRPr="009A4F7F">
        <w:rPr>
          <w:lang w:val="en-US"/>
        </w:rPr>
        <w:t xml:space="preserve"> </w:t>
      </w:r>
      <w:r w:rsidR="00441BFD" w:rsidRPr="009A4F7F">
        <w:rPr>
          <w:lang w:val="en-US"/>
        </w:rPr>
        <w:t>–</w:t>
      </w:r>
      <w:r w:rsidR="000C6CE5" w:rsidRPr="009A4F7F">
        <w:rPr>
          <w:lang w:val="en-US"/>
        </w:rPr>
        <w:t xml:space="preserve"> </w:t>
      </w:r>
      <w:r w:rsidR="00441BFD">
        <w:rPr>
          <w:lang w:val="en-US"/>
        </w:rPr>
        <w:t>concentration</w:t>
      </w:r>
      <w:r w:rsidR="00C05CEB" w:rsidRPr="009A4F7F">
        <w:rPr>
          <w:lang w:val="en-US"/>
        </w:rPr>
        <w:t xml:space="preserve"> of free </w:t>
      </w:r>
      <w:r w:rsidR="00292934">
        <w:rPr>
          <w:lang w:val="en-US"/>
        </w:rPr>
        <w:t>GA</w:t>
      </w:r>
      <w:r w:rsidR="00C05CEB" w:rsidRPr="009A4F7F">
        <w:rPr>
          <w:lang w:val="en-US"/>
        </w:rPr>
        <w:t xml:space="preserve"> </w:t>
      </w:r>
      <w:r w:rsidR="000C6CE5" w:rsidRPr="009A4F7F">
        <w:rPr>
          <w:lang w:val="en-US"/>
        </w:rPr>
        <w:t>(mg/</w:t>
      </w:r>
      <w:r>
        <w:rPr>
          <w:lang w:val="en-US"/>
        </w:rPr>
        <w:t>m</w:t>
      </w:r>
      <w:r w:rsidR="000C6CE5" w:rsidRPr="009A4F7F">
        <w:rPr>
          <w:lang w:val="en-US"/>
        </w:rPr>
        <w:t>l).</w:t>
      </w:r>
    </w:p>
    <w:p w14:paraId="26C88B27" w14:textId="2D46A6FE" w:rsidR="00E9597D" w:rsidRPr="009A4F7F" w:rsidRDefault="00822B1E" w:rsidP="00E9597D">
      <w:pPr>
        <w:pStyle w:val="CETheadingx"/>
      </w:pPr>
      <w:r w:rsidRPr="009A4F7F">
        <w:rPr>
          <w:i/>
          <w:iCs/>
        </w:rPr>
        <w:t>In vitro</w:t>
      </w:r>
      <w:r w:rsidRPr="009A4F7F">
        <w:t xml:space="preserve"> release</w:t>
      </w:r>
      <w:r w:rsidR="00322C45" w:rsidRPr="009A4F7F">
        <w:t xml:space="preserve"> </w:t>
      </w:r>
      <w:r w:rsidR="00864559" w:rsidRPr="009A4F7F">
        <w:t xml:space="preserve">kinetics </w:t>
      </w:r>
      <w:r w:rsidR="00322C45" w:rsidRPr="009A4F7F">
        <w:t>of encapsulated bioactive</w:t>
      </w:r>
      <w:r w:rsidR="00864559" w:rsidRPr="009A4F7F">
        <w:t xml:space="preserve"> </w:t>
      </w:r>
      <w:r w:rsidR="002C3078" w:rsidRPr="009A4F7F">
        <w:t>ingredient</w:t>
      </w:r>
    </w:p>
    <w:p w14:paraId="768F15CE" w14:textId="6E89BF78" w:rsidR="00E9597D" w:rsidRPr="009A4F7F" w:rsidRDefault="00F452A6" w:rsidP="00E9597D">
      <w:pPr>
        <w:pStyle w:val="CETBodytext"/>
      </w:pPr>
      <w:r w:rsidRPr="009A4F7F">
        <w:t xml:space="preserve">The kinetics of </w:t>
      </w:r>
      <w:r w:rsidR="00341F48">
        <w:t xml:space="preserve">the </w:t>
      </w:r>
      <w:r w:rsidRPr="009A4F7F">
        <w:t xml:space="preserve">release of </w:t>
      </w:r>
      <w:r w:rsidR="00DF2D0C" w:rsidRPr="009A4F7F">
        <w:t>GA</w:t>
      </w:r>
      <w:r w:rsidRPr="009A4F7F">
        <w:t xml:space="preserve"> from liposomes at body temperature</w:t>
      </w:r>
      <w:r w:rsidR="005659BE">
        <w:t xml:space="preserve"> </w:t>
      </w:r>
      <w:r w:rsidRPr="009A4F7F">
        <w:t xml:space="preserve">was studied. 5 ml of the synthesized liposomes with incorporated </w:t>
      </w:r>
      <w:r w:rsidR="00DF2D0C" w:rsidRPr="009A4F7F">
        <w:t>GA</w:t>
      </w:r>
      <w:r w:rsidRPr="009A4F7F">
        <w:t xml:space="preserve"> at different concentrations were transferred to a dialysis bag (cut off 8000-12000) and immersed in 25 ml of PBS. This was followed by incubation at 37</w:t>
      </w:r>
      <w:r w:rsidR="00DB692E">
        <w:t xml:space="preserve"> </w:t>
      </w:r>
      <w:r w:rsidRPr="009A4F7F">
        <w:t>°C with constant shaking at 100 rpm. Samples of 0.5 ml were taken at various time intervals</w:t>
      </w:r>
      <w:r w:rsidR="00341F48">
        <w:t>,</w:t>
      </w:r>
      <w:r w:rsidRPr="009A4F7F">
        <w:t xml:space="preserve"> and the dialysate was replaced with an equal volume of fresh PBS buffer. The samples were analyzed by </w:t>
      </w:r>
      <w:r w:rsidR="00583BA3" w:rsidRPr="009A4F7F">
        <w:t>the Folin-</w:t>
      </w:r>
      <w:proofErr w:type="spellStart"/>
      <w:r w:rsidR="00583BA3" w:rsidRPr="009A4F7F">
        <w:t>Ciocalteu</w:t>
      </w:r>
      <w:proofErr w:type="spellEnd"/>
      <w:r w:rsidR="00583BA3" w:rsidRPr="009A4F7F">
        <w:t xml:space="preserve"> </w:t>
      </w:r>
      <w:r w:rsidRPr="009A4F7F">
        <w:t xml:space="preserve">spectrophotometric method to </w:t>
      </w:r>
      <w:r w:rsidRPr="009A4F7F">
        <w:lastRenderedPageBreak/>
        <w:t xml:space="preserve">determine the total phenolic content. The cumulative release (%) of </w:t>
      </w:r>
      <w:r w:rsidR="007507C9">
        <w:t>GA</w:t>
      </w:r>
      <w:r w:rsidRPr="009A4F7F">
        <w:t xml:space="preserve"> from liposomes was calculated using Equation 2.</w:t>
      </w:r>
    </w:p>
    <w:p w14:paraId="1685A5E0" w14:textId="77777777" w:rsidR="00F452A6" w:rsidRPr="009A4F7F" w:rsidRDefault="00F452A6" w:rsidP="00F452A6">
      <w:pPr>
        <w:pStyle w:val="CETBodytext"/>
      </w:pPr>
    </w:p>
    <w:p w14:paraId="2039455D" w14:textId="1B4B9B25" w:rsidR="00F452A6" w:rsidRPr="009A4F7F" w:rsidRDefault="00763DA9" w:rsidP="00F452A6">
      <w:pPr>
        <w:rPr>
          <w:rFonts w:eastAsiaTheme="minorEastAsia"/>
          <w:lang w:val="en-US"/>
        </w:rPr>
      </w:pPr>
      <m:oMath>
        <m:r>
          <w:rPr>
            <w:rFonts w:ascii="Cambria Math" w:hAnsi="Cambria Math"/>
            <w:lang w:val="en-US"/>
          </w:rPr>
          <m:t>CR=</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GA,t</m:t>
                </m:r>
              </m:sub>
            </m:sSub>
          </m:num>
          <m:den>
            <m:sSub>
              <m:sSubPr>
                <m:ctrlPr>
                  <w:rPr>
                    <w:rFonts w:ascii="Cambria Math" w:hAnsi="Cambria Math"/>
                    <w:i/>
                    <w:lang w:val="en-US"/>
                  </w:rPr>
                </m:ctrlPr>
              </m:sSubPr>
              <m:e>
                <m:r>
                  <w:rPr>
                    <w:rFonts w:ascii="Cambria Math" w:hAnsi="Cambria Math"/>
                    <w:lang w:val="en-US"/>
                  </w:rPr>
                  <m:t>M</m:t>
                </m:r>
              </m:e>
              <m:sub>
                <m:r>
                  <w:rPr>
                    <w:rFonts w:ascii="Cambria Math" w:eastAsiaTheme="minorEastAsia" w:hAnsi="Cambria Math"/>
                    <w:lang w:val="en-US"/>
                  </w:rPr>
                  <m:t>GA,∞</m:t>
                </m:r>
              </m:sub>
            </m:sSub>
          </m:den>
        </m:f>
        <m:r>
          <w:rPr>
            <w:rFonts w:ascii="Cambria Math" w:hAnsi="Cambria Math"/>
            <w:lang w:val="en-US"/>
          </w:rPr>
          <m:t>∙100%</m:t>
        </m:r>
      </m:oMath>
      <w:r w:rsidR="00F452A6" w:rsidRPr="009A4F7F">
        <w:rPr>
          <w:rFonts w:eastAsiaTheme="minorEastAsia"/>
          <w:lang w:val="en-US"/>
        </w:rPr>
        <w:t xml:space="preserve">                                                                                                                                                         (</w:t>
      </w:r>
      <w:r w:rsidR="00F866D4" w:rsidRPr="009A4F7F">
        <w:rPr>
          <w:rFonts w:eastAsiaTheme="minorEastAsia"/>
          <w:lang w:val="en-US"/>
        </w:rPr>
        <w:t>2</w:t>
      </w:r>
      <w:r w:rsidR="00F452A6" w:rsidRPr="009A4F7F">
        <w:rPr>
          <w:rFonts w:eastAsiaTheme="minorEastAsia"/>
          <w:lang w:val="en-US"/>
        </w:rPr>
        <w:t>)</w:t>
      </w:r>
    </w:p>
    <w:p w14:paraId="4F71F1DA" w14:textId="77777777" w:rsidR="00C277DC" w:rsidRDefault="00C277DC" w:rsidP="00F452A6">
      <w:pPr>
        <w:pStyle w:val="CETBodytext"/>
      </w:pPr>
    </w:p>
    <w:p w14:paraId="5026C319" w14:textId="132D646A" w:rsidR="00F452A6" w:rsidRPr="009A4F7F" w:rsidRDefault="00C277DC" w:rsidP="00F452A6">
      <w:pPr>
        <w:pStyle w:val="CETBodytext"/>
      </w:pPr>
      <w:r>
        <w:t>Where is:</w:t>
      </w:r>
    </w:p>
    <w:p w14:paraId="7A176667" w14:textId="4B57F0BE" w:rsidR="00F452A6" w:rsidRPr="009A4F7F" w:rsidRDefault="00F452A6" w:rsidP="00F452A6">
      <w:pPr>
        <w:pStyle w:val="CETListbullets"/>
        <w:ind w:left="0" w:firstLine="0"/>
        <w:rPr>
          <w:lang w:val="en-US"/>
        </w:rPr>
      </w:pPr>
      <w:r w:rsidRPr="009A4F7F">
        <w:rPr>
          <w:i/>
          <w:iCs/>
          <w:lang w:val="en-US"/>
        </w:rPr>
        <w:t>CR</w:t>
      </w:r>
      <w:r w:rsidRPr="009A4F7F">
        <w:rPr>
          <w:lang w:val="en-US"/>
        </w:rPr>
        <w:t xml:space="preserve"> </w:t>
      </w:r>
      <w:r w:rsidR="00C149B5" w:rsidRPr="009A4F7F">
        <w:rPr>
          <w:lang w:val="en-US"/>
        </w:rPr>
        <w:t>–</w:t>
      </w:r>
      <w:r w:rsidRPr="009A4F7F">
        <w:rPr>
          <w:lang w:val="en-US"/>
        </w:rPr>
        <w:t xml:space="preserve"> </w:t>
      </w:r>
      <w:r w:rsidR="00C149B5" w:rsidRPr="009A4F7F">
        <w:rPr>
          <w:lang w:val="en-US"/>
        </w:rPr>
        <w:t>cumulative release</w:t>
      </w:r>
      <w:r w:rsidRPr="009A4F7F">
        <w:rPr>
          <w:lang w:val="en-US"/>
        </w:rPr>
        <w:t xml:space="preserve"> of </w:t>
      </w:r>
      <w:r w:rsidR="00292934">
        <w:rPr>
          <w:lang w:val="en-US"/>
        </w:rPr>
        <w:t>GA</w:t>
      </w:r>
      <w:r w:rsidR="00C277DC">
        <w:rPr>
          <w:lang w:val="en-US"/>
        </w:rPr>
        <w:t xml:space="preserve"> </w:t>
      </w:r>
      <w:r w:rsidR="00C277DC" w:rsidRPr="009A4F7F">
        <w:rPr>
          <w:lang w:val="en-US"/>
        </w:rPr>
        <w:t>(%)</w:t>
      </w:r>
      <w:r w:rsidRPr="009A4F7F">
        <w:rPr>
          <w:lang w:val="en-US"/>
        </w:rPr>
        <w:t>,</w:t>
      </w:r>
    </w:p>
    <w:p w14:paraId="6EC072D4" w14:textId="538E0A26" w:rsidR="00F452A6" w:rsidRPr="008954DE" w:rsidRDefault="00000000" w:rsidP="00F452A6">
      <w:pPr>
        <w:pStyle w:val="CETListbullets"/>
        <w:ind w:left="0" w:firstLine="0"/>
        <w:rPr>
          <w:lang w:val="en-US"/>
        </w:rPr>
      </w:pPr>
      <m:oMath>
        <m:sSub>
          <m:sSubPr>
            <m:ctrlPr>
              <w:rPr>
                <w:rFonts w:ascii="Cambria Math" w:hAnsi="Cambria Math"/>
                <w:i/>
                <w:lang w:val="en-US"/>
              </w:rPr>
            </m:ctrlPr>
          </m:sSubPr>
          <m:e>
            <m:r>
              <w:rPr>
                <w:rFonts w:ascii="Cambria Math" w:hAnsi="Cambria Math"/>
                <w:lang w:val="en-US"/>
              </w:rPr>
              <m:t>M</m:t>
            </m:r>
          </m:e>
          <m:sub>
            <m:r>
              <w:rPr>
                <w:rFonts w:ascii="Cambria Math" w:eastAsiaTheme="minorEastAsia" w:hAnsi="Cambria Math"/>
                <w:lang w:val="en-US"/>
              </w:rPr>
              <m:t>GA,t</m:t>
            </m:r>
          </m:sub>
        </m:sSub>
      </m:oMath>
      <w:r w:rsidR="00F452A6" w:rsidRPr="008954DE">
        <w:rPr>
          <w:lang w:val="en-US"/>
        </w:rPr>
        <w:t xml:space="preserve"> </w:t>
      </w:r>
      <w:r w:rsidR="00441BFD" w:rsidRPr="009A4F7F">
        <w:rPr>
          <w:lang w:val="en-US"/>
        </w:rPr>
        <w:t>–</w:t>
      </w:r>
      <w:r w:rsidR="00F452A6" w:rsidRPr="008954DE">
        <w:rPr>
          <w:lang w:val="en-US"/>
        </w:rPr>
        <w:t xml:space="preserve"> </w:t>
      </w:r>
      <w:r w:rsidR="00341F48">
        <w:rPr>
          <w:lang w:val="en-US"/>
        </w:rPr>
        <w:t xml:space="preserve">the </w:t>
      </w:r>
      <w:r w:rsidR="00B63C5E" w:rsidRPr="008954DE">
        <w:rPr>
          <w:lang w:val="en-US"/>
        </w:rPr>
        <w:t>amount</w:t>
      </w:r>
      <w:r w:rsidR="00F452A6" w:rsidRPr="008954DE">
        <w:rPr>
          <w:lang w:val="en-US"/>
        </w:rPr>
        <w:t xml:space="preserve"> of total </w:t>
      </w:r>
      <w:r w:rsidR="00292934">
        <w:rPr>
          <w:lang w:val="en-US"/>
        </w:rPr>
        <w:t>GA</w:t>
      </w:r>
      <w:r w:rsidR="00F452A6" w:rsidRPr="008954DE">
        <w:rPr>
          <w:lang w:val="en-US"/>
        </w:rPr>
        <w:t xml:space="preserve"> </w:t>
      </w:r>
      <w:r w:rsidR="000D1FC3" w:rsidRPr="008954DE">
        <w:rPr>
          <w:lang w:val="en-US"/>
        </w:rPr>
        <w:t>released from</w:t>
      </w:r>
      <w:r w:rsidR="00F452A6" w:rsidRPr="008954DE">
        <w:rPr>
          <w:lang w:val="en-US"/>
        </w:rPr>
        <w:t xml:space="preserve"> liposomes</w:t>
      </w:r>
      <w:r w:rsidR="000D1FC3" w:rsidRPr="008954DE">
        <w:rPr>
          <w:lang w:val="en-US"/>
        </w:rPr>
        <w:t xml:space="preserve"> at different time intervals</w:t>
      </w:r>
      <w:r w:rsidR="00F452A6" w:rsidRPr="008954DE">
        <w:rPr>
          <w:lang w:val="en-US"/>
        </w:rPr>
        <w:t xml:space="preserve"> (mg/</w:t>
      </w:r>
      <w:r w:rsidR="00A106E4" w:rsidRPr="008954DE">
        <w:rPr>
          <w:lang w:val="en-US"/>
        </w:rPr>
        <w:t>m</w:t>
      </w:r>
      <w:r w:rsidR="00F452A6" w:rsidRPr="008954DE">
        <w:rPr>
          <w:lang w:val="en-US"/>
        </w:rPr>
        <w:t>l),</w:t>
      </w:r>
    </w:p>
    <w:p w14:paraId="68022121" w14:textId="210CB1DD" w:rsidR="00F452A6" w:rsidRPr="008954DE" w:rsidRDefault="00000000" w:rsidP="00F452A6">
      <w:pPr>
        <w:pStyle w:val="CETListbullets"/>
        <w:ind w:left="0" w:firstLine="0"/>
        <w:rPr>
          <w:lang w:val="en-US"/>
        </w:rPr>
      </w:pPr>
      <m:oMath>
        <m:sSub>
          <m:sSubPr>
            <m:ctrlPr>
              <w:rPr>
                <w:rFonts w:ascii="Cambria Math" w:hAnsi="Cambria Math"/>
                <w:i/>
                <w:lang w:val="en-US"/>
              </w:rPr>
            </m:ctrlPr>
          </m:sSubPr>
          <m:e>
            <m:r>
              <w:rPr>
                <w:rFonts w:ascii="Cambria Math" w:hAnsi="Cambria Math"/>
                <w:lang w:val="en-US"/>
              </w:rPr>
              <m:t>M</m:t>
            </m:r>
          </m:e>
          <m:sub>
            <m:r>
              <w:rPr>
                <w:rFonts w:ascii="Cambria Math" w:eastAsiaTheme="minorEastAsia" w:hAnsi="Cambria Math"/>
                <w:lang w:val="en-US"/>
              </w:rPr>
              <m:t>GA,∞</m:t>
            </m:r>
          </m:sub>
        </m:sSub>
      </m:oMath>
      <w:r w:rsidR="00F452A6" w:rsidRPr="008954DE">
        <w:rPr>
          <w:lang w:val="en-US"/>
        </w:rPr>
        <w:t xml:space="preserve"> </w:t>
      </w:r>
      <w:r w:rsidR="00441BFD" w:rsidRPr="009A4F7F">
        <w:rPr>
          <w:lang w:val="en-US"/>
        </w:rPr>
        <w:t>–</w:t>
      </w:r>
      <w:r w:rsidR="00F452A6" w:rsidRPr="008954DE">
        <w:rPr>
          <w:lang w:val="en-US"/>
        </w:rPr>
        <w:t xml:space="preserve"> </w:t>
      </w:r>
      <w:r w:rsidR="00341F48">
        <w:rPr>
          <w:lang w:val="en-US"/>
        </w:rPr>
        <w:t xml:space="preserve">the </w:t>
      </w:r>
      <w:r w:rsidR="00FB0601" w:rsidRPr="008954DE">
        <w:rPr>
          <w:lang w:val="en-US"/>
        </w:rPr>
        <w:t xml:space="preserve">amount of </w:t>
      </w:r>
      <w:r w:rsidR="00292934">
        <w:rPr>
          <w:lang w:val="en-US"/>
        </w:rPr>
        <w:t>GA</w:t>
      </w:r>
      <w:r w:rsidR="00F452A6" w:rsidRPr="008954DE">
        <w:rPr>
          <w:lang w:val="en-US"/>
        </w:rPr>
        <w:t xml:space="preserve"> </w:t>
      </w:r>
      <w:r w:rsidR="00FB0601" w:rsidRPr="008954DE">
        <w:rPr>
          <w:lang w:val="en-US"/>
        </w:rPr>
        <w:t xml:space="preserve">loaded into liposomes </w:t>
      </w:r>
      <w:r w:rsidR="00F452A6" w:rsidRPr="008954DE">
        <w:rPr>
          <w:lang w:val="en-US"/>
        </w:rPr>
        <w:t>(mg/</w:t>
      </w:r>
      <w:r w:rsidR="00A106E4" w:rsidRPr="008954DE">
        <w:rPr>
          <w:lang w:val="en-US"/>
        </w:rPr>
        <w:t>m</w:t>
      </w:r>
      <w:r w:rsidR="00F452A6" w:rsidRPr="008954DE">
        <w:rPr>
          <w:lang w:val="en-US"/>
        </w:rPr>
        <w:t>l).</w:t>
      </w:r>
    </w:p>
    <w:p w14:paraId="677EBFF0" w14:textId="0C04F826" w:rsidR="00600535" w:rsidRPr="008954DE" w:rsidRDefault="000C026A" w:rsidP="00600535">
      <w:pPr>
        <w:pStyle w:val="CETHeading1"/>
        <w:tabs>
          <w:tab w:val="clear" w:pos="360"/>
          <w:tab w:val="right" w:pos="7100"/>
        </w:tabs>
        <w:jc w:val="both"/>
      </w:pPr>
      <w:r w:rsidRPr="008954DE">
        <w:t>Results and discussion</w:t>
      </w:r>
    </w:p>
    <w:p w14:paraId="04963A06" w14:textId="56655D7E" w:rsidR="00600535" w:rsidRPr="009A4F7F" w:rsidRDefault="00313A64" w:rsidP="00FA5F5F">
      <w:pPr>
        <w:pStyle w:val="CETheadingx"/>
      </w:pPr>
      <w:r w:rsidRPr="009A4F7F">
        <w:t>Characterization of liposomes</w:t>
      </w:r>
    </w:p>
    <w:p w14:paraId="123CB7DF" w14:textId="520B08E0" w:rsidR="00600535" w:rsidRPr="009A4F7F" w:rsidRDefault="00E909E7" w:rsidP="00600535">
      <w:pPr>
        <w:pStyle w:val="CETBodytext"/>
      </w:pPr>
      <w:r w:rsidRPr="009A4F7F">
        <w:t xml:space="preserve">Liposomes were </w:t>
      </w:r>
      <w:r w:rsidR="000A56DE" w:rsidRPr="009A4F7F">
        <w:t xml:space="preserve">successfully </w:t>
      </w:r>
      <w:r w:rsidR="00031DC9" w:rsidRPr="009A4F7F">
        <w:t>synthesized</w:t>
      </w:r>
      <w:r w:rsidRPr="009A4F7F">
        <w:t xml:space="preserve"> by the thin lipid film hydration method </w:t>
      </w:r>
      <w:r w:rsidR="00EF278D">
        <w:t>using</w:t>
      </w:r>
      <w:r w:rsidRPr="009A4F7F">
        <w:t xml:space="preserve"> 5 mm glass beads with shaking for 24 hours.</w:t>
      </w:r>
      <w:r w:rsidR="00EE20F1" w:rsidRPr="009A4F7F">
        <w:t xml:space="preserve"> </w:t>
      </w:r>
      <w:r w:rsidR="00F146C4" w:rsidRPr="009A4F7F">
        <w:t xml:space="preserve">The </w:t>
      </w:r>
      <w:r w:rsidR="0000479B">
        <w:t>DLS technique was used to determine the mean particle size, PDI, and zeta potential</w:t>
      </w:r>
      <w:r w:rsidR="00D31D9F" w:rsidRPr="009A4F7F">
        <w:t xml:space="preserve">. </w:t>
      </w:r>
      <w:r w:rsidR="000C4A49" w:rsidRPr="000C4A49">
        <w:t xml:space="preserve">The results show that large </w:t>
      </w:r>
      <w:proofErr w:type="spellStart"/>
      <w:r w:rsidR="000C4A49" w:rsidRPr="000C4A49">
        <w:t>unilamellar</w:t>
      </w:r>
      <w:proofErr w:type="spellEnd"/>
      <w:r w:rsidR="000C4A49" w:rsidRPr="000C4A49">
        <w:t xml:space="preserve"> vesicles (&gt;100 nm) were synthesized, as an average liposome vesicle diameter of 181.5 nm was determined. The desirable particle size for drug delivery is between 50 and 200 nm</w:t>
      </w:r>
      <w:r w:rsidR="0000479B">
        <w:t>. T</w:t>
      </w:r>
      <w:r w:rsidR="000C4A49" w:rsidRPr="000C4A49">
        <w:t>herefore</w:t>
      </w:r>
      <w:r w:rsidR="0000479B">
        <w:t>,</w:t>
      </w:r>
      <w:r w:rsidR="000C4A49" w:rsidRPr="000C4A49">
        <w:t xml:space="preserve"> the </w:t>
      </w:r>
      <w:r w:rsidR="00F929DC">
        <w:t>nano-scale lipid vesicles</w:t>
      </w:r>
      <w:r w:rsidR="000C4A49" w:rsidRPr="000C4A49">
        <w:t xml:space="preserve"> produced in our study are suitable for drug delivery applications.</w:t>
      </w:r>
      <w:r w:rsidR="000C4A49">
        <w:t xml:space="preserve"> </w:t>
      </w:r>
      <w:r w:rsidR="002E4D19" w:rsidRPr="009A4F7F">
        <w:t xml:space="preserve">The PDI value is a measure of the heterogeneity of the sample with respect to particle size. </w:t>
      </w:r>
      <w:r w:rsidR="009E6C31" w:rsidRPr="009A4F7F">
        <w:t xml:space="preserve">Based on the PDI value determined, which was less than 0.3, it can be confirmed that the synthesized liposomes were uniform or homogeneous. </w:t>
      </w:r>
      <w:r w:rsidR="003B7FE2" w:rsidRPr="009A4F7F">
        <w:t>Zeta potential is a parameter that indicates how stable the liposomal formulation is.</w:t>
      </w:r>
      <w:r w:rsidR="002A08F8" w:rsidRPr="009A4F7F">
        <w:t xml:space="preserve"> </w:t>
      </w:r>
      <w:r w:rsidR="008E6C39" w:rsidRPr="009A4F7F">
        <w:t xml:space="preserve">Liposomes with a zeta potential greater than 30 mV are </w:t>
      </w:r>
      <w:r w:rsidR="005564E3" w:rsidRPr="009A4F7F">
        <w:t>considered</w:t>
      </w:r>
      <w:r w:rsidR="005564E3">
        <w:t xml:space="preserve"> </w:t>
      </w:r>
      <w:r w:rsidR="008E6C39" w:rsidRPr="009A4F7F">
        <w:t xml:space="preserve">stable, regardless of </w:t>
      </w:r>
      <w:r w:rsidR="00F929DC">
        <w:t xml:space="preserve">the </w:t>
      </w:r>
      <w:r w:rsidR="008E6C39" w:rsidRPr="009A4F7F">
        <w:t>charge.</w:t>
      </w:r>
      <w:r w:rsidR="002B5958" w:rsidRPr="009A4F7F">
        <w:t xml:space="preserve"> </w:t>
      </w:r>
      <w:r w:rsidR="00E84C9B" w:rsidRPr="009A4F7F">
        <w:t>The measured zeta potential of the synthesized liposomes was negative, indicating a negative charge on their surface. A value of -53 mV was determined, confirming a stable liposomal formulation.</w:t>
      </w:r>
    </w:p>
    <w:p w14:paraId="1F96CA21" w14:textId="22792B98" w:rsidR="00600535" w:rsidRPr="009A4F7F" w:rsidRDefault="000E50ED" w:rsidP="00FA5F5F">
      <w:pPr>
        <w:pStyle w:val="CETheadingx"/>
      </w:pPr>
      <w:r w:rsidRPr="009A4F7F">
        <w:t>Encapsulation efficiency of bioactive ingredient</w:t>
      </w:r>
    </w:p>
    <w:p w14:paraId="72A1D6B0" w14:textId="16EE56DE" w:rsidR="00D85C37" w:rsidRPr="009A4F7F" w:rsidRDefault="00097AC6" w:rsidP="00600535">
      <w:pPr>
        <w:pStyle w:val="CETBodytext"/>
      </w:pPr>
      <w:r>
        <w:t xml:space="preserve">Hydrophilic </w:t>
      </w:r>
      <w:r w:rsidR="001A1930">
        <w:t xml:space="preserve">bioactive ingredient </w:t>
      </w:r>
      <w:r w:rsidR="007761F7" w:rsidRPr="009A4F7F">
        <w:t>GA</w:t>
      </w:r>
      <w:r w:rsidR="00ED7AAF" w:rsidRPr="009A4F7F">
        <w:t xml:space="preserve"> was </w:t>
      </w:r>
      <w:r w:rsidR="001A1930">
        <w:t xml:space="preserve">successfully </w:t>
      </w:r>
      <w:r w:rsidR="00ED7AAF" w:rsidRPr="009A4F7F">
        <w:t xml:space="preserve">incorporated into liposomes at three different concentrations. Encapsulation efficiency was determined using the dialysis technique. Figure </w:t>
      </w:r>
      <w:r w:rsidR="006844ED">
        <w:t>3</w:t>
      </w:r>
      <w:r w:rsidR="00ED7AAF" w:rsidRPr="009A4F7F">
        <w:t xml:space="preserve"> shows the obtained encapsulation efficiencies for all three tested concentrations of GA in the liposomes.</w:t>
      </w:r>
    </w:p>
    <w:p w14:paraId="45738A10" w14:textId="77777777" w:rsidR="008B3916" w:rsidRPr="009A4F7F" w:rsidRDefault="008B3916" w:rsidP="00600535">
      <w:pPr>
        <w:pStyle w:val="CETBodytext"/>
      </w:pPr>
    </w:p>
    <w:p w14:paraId="61C8AB91" w14:textId="3AA7C779" w:rsidR="00D85C37" w:rsidRPr="009A4F7F" w:rsidRDefault="00F023C2" w:rsidP="00600535">
      <w:pPr>
        <w:pStyle w:val="CETBodytext"/>
      </w:pPr>
      <w:r w:rsidRPr="009A4F7F">
        <w:rPr>
          <w:noProof/>
        </w:rPr>
        <w:drawing>
          <wp:inline distT="0" distB="0" distL="0" distR="0" wp14:anchorId="519C3F14" wp14:editId="62983F37">
            <wp:extent cx="4320000" cy="2160000"/>
            <wp:effectExtent l="0" t="0" r="4445" b="12065"/>
            <wp:docPr id="1" name="Grafikon 1">
              <a:extLst xmlns:a="http://schemas.openxmlformats.org/drawingml/2006/main">
                <a:ext uri="{FF2B5EF4-FFF2-40B4-BE49-F238E27FC236}">
                  <a16:creationId xmlns:a16="http://schemas.microsoft.com/office/drawing/2014/main" id="{FA1A4988-56E5-441F-8835-F533687CE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D3F33AD" w14:textId="58D22BFC" w:rsidR="0006388B" w:rsidRPr="009A4F7F" w:rsidRDefault="0006388B" w:rsidP="0006388B">
      <w:pPr>
        <w:pStyle w:val="CETCaption"/>
        <w:rPr>
          <w:lang w:val="en-US"/>
        </w:rPr>
      </w:pPr>
      <w:r w:rsidRPr="009A4F7F">
        <w:rPr>
          <w:lang w:val="en-US"/>
        </w:rPr>
        <w:t xml:space="preserve">Figure </w:t>
      </w:r>
      <w:r w:rsidR="006844ED">
        <w:rPr>
          <w:lang w:val="en-US"/>
        </w:rPr>
        <w:t>3</w:t>
      </w:r>
      <w:r w:rsidRPr="009A4F7F">
        <w:rPr>
          <w:lang w:val="en-US"/>
        </w:rPr>
        <w:t xml:space="preserve">: Encapsulation efficiency of </w:t>
      </w:r>
      <w:r w:rsidR="00C976FE" w:rsidRPr="009A4F7F">
        <w:rPr>
          <w:lang w:val="en-US"/>
        </w:rPr>
        <w:t>GA</w:t>
      </w:r>
      <w:r w:rsidR="0086204F" w:rsidRPr="009A4F7F">
        <w:rPr>
          <w:lang w:val="en-US"/>
        </w:rPr>
        <w:t xml:space="preserve"> in liposomes at three different concentrations.</w:t>
      </w:r>
    </w:p>
    <w:p w14:paraId="0B3D1ED3" w14:textId="62901CAE" w:rsidR="00D85C37" w:rsidRPr="009A4F7F" w:rsidRDefault="007761F7" w:rsidP="00600535">
      <w:pPr>
        <w:pStyle w:val="CETBodytext"/>
      </w:pPr>
      <w:r w:rsidRPr="009A4F7F">
        <w:t xml:space="preserve">The obtained percentages of encapsulation efficiency of three different concentrations of GA in liposomes are comparable, as they do not differ by less than 3%. However, the highest encapsulation efficiency </w:t>
      </w:r>
      <w:r w:rsidR="004A3F76">
        <w:t>(</w:t>
      </w:r>
      <w:r w:rsidR="008D3C3B">
        <w:t xml:space="preserve">98.3%) </w:t>
      </w:r>
      <w:r w:rsidRPr="009A4F7F">
        <w:t xml:space="preserve">was obtained with GA at a </w:t>
      </w:r>
      <w:r w:rsidR="00F85B44">
        <w:t>0.1 mg/ml concentration</w:t>
      </w:r>
      <w:r w:rsidRPr="009A4F7F">
        <w:t>.</w:t>
      </w:r>
    </w:p>
    <w:p w14:paraId="7382C781" w14:textId="299B501A" w:rsidR="00600535" w:rsidRPr="009A4F7F" w:rsidRDefault="000E50ED" w:rsidP="00FA5F5F">
      <w:pPr>
        <w:pStyle w:val="CETheadingx"/>
      </w:pPr>
      <w:r w:rsidRPr="009A4F7F">
        <w:rPr>
          <w:i/>
          <w:iCs/>
        </w:rPr>
        <w:t>In vitro</w:t>
      </w:r>
      <w:r w:rsidRPr="009A4F7F">
        <w:t xml:space="preserve"> release</w:t>
      </w:r>
      <w:r w:rsidR="00D13234" w:rsidRPr="009A4F7F">
        <w:t xml:space="preserve"> study</w:t>
      </w:r>
      <w:r w:rsidRPr="009A4F7F">
        <w:t xml:space="preserve"> of encapsulated bioactive ingredient</w:t>
      </w:r>
    </w:p>
    <w:p w14:paraId="068C9074" w14:textId="1D6DA699" w:rsidR="00D85C37" w:rsidRPr="009A4F7F" w:rsidRDefault="00A61EB0" w:rsidP="00600535">
      <w:pPr>
        <w:pStyle w:val="CETBodytext"/>
      </w:pPr>
      <w:r w:rsidRPr="009A4F7F">
        <w:t xml:space="preserve">For the synthesized liposomes with incorporated </w:t>
      </w:r>
      <w:r w:rsidR="006F48FF">
        <w:t>GA</w:t>
      </w:r>
      <w:r w:rsidRPr="009A4F7F">
        <w:t xml:space="preserve"> at three different concentrations</w:t>
      </w:r>
      <w:r w:rsidR="00CB7F68">
        <w:t xml:space="preserve"> (0.5, 0.10</w:t>
      </w:r>
      <w:r w:rsidR="00F85B44">
        <w:t>,</w:t>
      </w:r>
      <w:r w:rsidR="00CB7F68">
        <w:t xml:space="preserve"> and 0.50 mg/ml)</w:t>
      </w:r>
      <w:r w:rsidRPr="009A4F7F">
        <w:t xml:space="preserve">, the percentage of </w:t>
      </w:r>
      <w:r w:rsidR="00D7757F" w:rsidRPr="009A4F7F">
        <w:t>GA</w:t>
      </w:r>
      <w:r w:rsidRPr="009A4F7F">
        <w:t xml:space="preserve"> released from the liposomes was determined after exposure at 37 °C for 24 hours and shaking at 100 rpm. Figure </w:t>
      </w:r>
      <w:r w:rsidR="006844ED">
        <w:t>4</w:t>
      </w:r>
      <w:r w:rsidRPr="009A4F7F">
        <w:t xml:space="preserve"> shows the percentage of GA released after 24 hours for all three concentrations.</w:t>
      </w:r>
    </w:p>
    <w:p w14:paraId="007A54A0" w14:textId="77777777" w:rsidR="008B3916" w:rsidRPr="009A4F7F" w:rsidRDefault="008B3916" w:rsidP="00600535">
      <w:pPr>
        <w:pStyle w:val="CETBodytext"/>
      </w:pPr>
    </w:p>
    <w:p w14:paraId="2D1AE742" w14:textId="133F4757" w:rsidR="00E10ADB" w:rsidRPr="009A4F7F" w:rsidRDefault="00220706" w:rsidP="00600535">
      <w:pPr>
        <w:pStyle w:val="CETBodytext"/>
      </w:pPr>
      <w:r w:rsidRPr="009A4F7F">
        <w:rPr>
          <w:noProof/>
        </w:rPr>
        <w:lastRenderedPageBreak/>
        <w:drawing>
          <wp:inline distT="0" distB="0" distL="0" distR="0" wp14:anchorId="7DA091F8" wp14:editId="05BE1C8B">
            <wp:extent cx="4320000" cy="2160000"/>
            <wp:effectExtent l="0" t="0" r="4445" b="12065"/>
            <wp:docPr id="10" name="Grafikon 10">
              <a:extLst xmlns:a="http://schemas.openxmlformats.org/drawingml/2006/main">
                <a:ext uri="{FF2B5EF4-FFF2-40B4-BE49-F238E27FC236}">
                  <a16:creationId xmlns:a16="http://schemas.microsoft.com/office/drawing/2014/main" id="{7D9634A8-3E22-4269-960E-AA03E7BBC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246F66" w14:textId="2FBBB32D" w:rsidR="003866EC" w:rsidRPr="009A4F7F" w:rsidRDefault="003866EC" w:rsidP="003866EC">
      <w:pPr>
        <w:pStyle w:val="CETCaption"/>
        <w:rPr>
          <w:lang w:val="en-US"/>
        </w:rPr>
      </w:pPr>
      <w:r w:rsidRPr="009A4F7F">
        <w:rPr>
          <w:lang w:val="en-US"/>
        </w:rPr>
        <w:t xml:space="preserve">Figure </w:t>
      </w:r>
      <w:r w:rsidR="006844ED">
        <w:rPr>
          <w:lang w:val="en-US"/>
        </w:rPr>
        <w:t>4</w:t>
      </w:r>
      <w:r w:rsidRPr="009A4F7F">
        <w:rPr>
          <w:lang w:val="en-US"/>
        </w:rPr>
        <w:t xml:space="preserve">: </w:t>
      </w:r>
      <w:r w:rsidR="005F2700" w:rsidRPr="009A4F7F">
        <w:rPr>
          <w:lang w:val="en-US"/>
        </w:rPr>
        <w:t xml:space="preserve">Percentage of </w:t>
      </w:r>
      <w:r w:rsidR="0002138F" w:rsidRPr="009A4F7F">
        <w:rPr>
          <w:lang w:val="en-US"/>
        </w:rPr>
        <w:t>GA</w:t>
      </w:r>
      <w:r w:rsidR="005F2700" w:rsidRPr="009A4F7F">
        <w:rPr>
          <w:lang w:val="en-US"/>
        </w:rPr>
        <w:t xml:space="preserve"> released from liposomes after 24 hours at 37</w:t>
      </w:r>
      <w:r w:rsidR="00B75D65">
        <w:rPr>
          <w:lang w:val="en-US"/>
        </w:rPr>
        <w:t xml:space="preserve"> </w:t>
      </w:r>
      <w:r w:rsidR="005F2700" w:rsidRPr="009A4F7F">
        <w:rPr>
          <w:lang w:val="en-US"/>
        </w:rPr>
        <w:t>°C</w:t>
      </w:r>
      <w:r w:rsidRPr="009A4F7F">
        <w:rPr>
          <w:lang w:val="en-US"/>
        </w:rPr>
        <w:t>.</w:t>
      </w:r>
    </w:p>
    <w:p w14:paraId="7B2C795B" w14:textId="593B059E" w:rsidR="00CE5528" w:rsidRDefault="00C244AE" w:rsidP="00600535">
      <w:pPr>
        <w:pStyle w:val="CETBodytext"/>
      </w:pPr>
      <w:r w:rsidRPr="009A4F7F">
        <w:t xml:space="preserve">The maximum percentage of </w:t>
      </w:r>
      <w:r w:rsidR="00D7757F" w:rsidRPr="009A4F7F">
        <w:rPr>
          <w:i/>
          <w:iCs/>
        </w:rPr>
        <w:t xml:space="preserve">in vitro </w:t>
      </w:r>
      <w:r w:rsidRPr="009A4F7F">
        <w:t xml:space="preserve">release after 24-hour exposure of liposomes </w:t>
      </w:r>
      <w:r w:rsidR="008D3C3B">
        <w:t xml:space="preserve">to PBS </w:t>
      </w:r>
      <w:r w:rsidRPr="009A4F7F">
        <w:t>at body temperature (37</w:t>
      </w:r>
      <w:r w:rsidR="00590C67">
        <w:t xml:space="preserve"> </w:t>
      </w:r>
      <w:r w:rsidRPr="009A4F7F">
        <w:t xml:space="preserve">°C) </w:t>
      </w:r>
      <w:r w:rsidR="003776CB">
        <w:t>was</w:t>
      </w:r>
      <w:r w:rsidRPr="009A4F7F">
        <w:t xml:space="preserve"> reached at a </w:t>
      </w:r>
      <w:r w:rsidR="00014244">
        <w:t>GA</w:t>
      </w:r>
      <w:r w:rsidRPr="009A4F7F">
        <w:t xml:space="preserve"> concentration of 0.1 mg/ml</w:t>
      </w:r>
      <w:r w:rsidR="00F94184">
        <w:t xml:space="preserve"> (38.3%)</w:t>
      </w:r>
      <w:r w:rsidRPr="009A4F7F">
        <w:t xml:space="preserve">. </w:t>
      </w:r>
      <w:r w:rsidR="00FC2192" w:rsidRPr="00FC2192">
        <w:t xml:space="preserve">Therefore, among the tested concentrations of GA, 0.1 mg/ml </w:t>
      </w:r>
      <w:r w:rsidR="007D5F4B">
        <w:t>was</w:t>
      </w:r>
      <w:r w:rsidR="003F447F">
        <w:t xml:space="preserve"> the </w:t>
      </w:r>
      <w:r w:rsidR="00106C7E">
        <w:t>concentration</w:t>
      </w:r>
      <w:r w:rsidR="003F447F">
        <w:t xml:space="preserve"> where</w:t>
      </w:r>
      <w:r w:rsidR="00FC2192" w:rsidRPr="00FC2192">
        <w:t xml:space="preserve"> </w:t>
      </w:r>
      <w:r w:rsidR="00106C7E" w:rsidRPr="00FC2192">
        <w:t>the</w:t>
      </w:r>
      <w:r w:rsidR="00FC2192" w:rsidRPr="00FC2192">
        <w:t xml:space="preserve"> highe</w:t>
      </w:r>
      <w:r w:rsidR="00DE2005">
        <w:t>st</w:t>
      </w:r>
      <w:r w:rsidR="00FC2192" w:rsidRPr="00FC2192">
        <w:t xml:space="preserve"> release rate of the tested bioactive ingredient from liposomes</w:t>
      </w:r>
      <w:r w:rsidR="0025418E">
        <w:t xml:space="preserve"> was detected</w:t>
      </w:r>
      <w:r w:rsidR="00FC2192" w:rsidRPr="00FC2192">
        <w:t>.</w:t>
      </w:r>
    </w:p>
    <w:p w14:paraId="1FF38F18" w14:textId="77777777" w:rsidR="00FC2192" w:rsidRPr="009A4F7F" w:rsidRDefault="00FC2192" w:rsidP="00600535">
      <w:pPr>
        <w:pStyle w:val="CETBodytext"/>
      </w:pPr>
    </w:p>
    <w:p w14:paraId="35BE6AD5" w14:textId="236CA7DA" w:rsidR="000D286D" w:rsidRPr="009A4F7F" w:rsidRDefault="0007612A" w:rsidP="00600535">
      <w:pPr>
        <w:pStyle w:val="CETBodytext"/>
      </w:pPr>
      <w:r>
        <w:t>Furthermore, t</w:t>
      </w:r>
      <w:r w:rsidR="00374808" w:rsidRPr="009A4F7F">
        <w:t xml:space="preserve">he kinetics of </w:t>
      </w:r>
      <w:r w:rsidR="00374808" w:rsidRPr="009A4F7F">
        <w:rPr>
          <w:i/>
          <w:iCs/>
        </w:rPr>
        <w:t>in vitro</w:t>
      </w:r>
      <w:r w:rsidR="00374808" w:rsidRPr="009A4F7F">
        <w:t xml:space="preserve"> release of </w:t>
      </w:r>
      <w:r w:rsidR="00D7757F" w:rsidRPr="009A4F7F">
        <w:t>GA</w:t>
      </w:r>
      <w:r w:rsidR="00374808" w:rsidRPr="009A4F7F">
        <w:t xml:space="preserve"> from liposomes at different concentrations of </w:t>
      </w:r>
      <w:r w:rsidR="00222739">
        <w:t>GA</w:t>
      </w:r>
      <w:r w:rsidR="00374808" w:rsidRPr="009A4F7F">
        <w:t xml:space="preserve"> encapsulated in the liposomes was </w:t>
      </w:r>
      <w:r w:rsidR="00106C7E">
        <w:t>studie</w:t>
      </w:r>
      <w:r>
        <w:t>d</w:t>
      </w:r>
      <w:r w:rsidR="00374808" w:rsidRPr="009A4F7F">
        <w:t xml:space="preserve">. The </w:t>
      </w:r>
      <w:r w:rsidR="00D7438A" w:rsidRPr="009A4F7F">
        <w:t xml:space="preserve">obtained </w:t>
      </w:r>
      <w:r w:rsidR="00374808" w:rsidRPr="009A4F7F">
        <w:t xml:space="preserve">results are shown in Figure </w:t>
      </w:r>
      <w:r w:rsidR="006844ED">
        <w:t>5</w:t>
      </w:r>
      <w:r w:rsidR="00374808" w:rsidRPr="009A4F7F">
        <w:t>.</w:t>
      </w:r>
    </w:p>
    <w:p w14:paraId="2666D719" w14:textId="77777777" w:rsidR="00374808" w:rsidRPr="009A4F7F" w:rsidRDefault="00374808" w:rsidP="00600535">
      <w:pPr>
        <w:pStyle w:val="CETBodytext"/>
      </w:pPr>
    </w:p>
    <w:p w14:paraId="6CA5269C" w14:textId="0503AAF8" w:rsidR="00E10ADB" w:rsidRPr="009A4F7F" w:rsidRDefault="00107302" w:rsidP="00600535">
      <w:pPr>
        <w:pStyle w:val="CETBodytext"/>
      </w:pPr>
      <w:r>
        <w:rPr>
          <w:noProof/>
        </w:rPr>
        <w:drawing>
          <wp:inline distT="0" distB="0" distL="0" distR="0" wp14:anchorId="78C29980" wp14:editId="090D05C4">
            <wp:extent cx="4320000" cy="2520000"/>
            <wp:effectExtent l="0" t="0" r="4445" b="13970"/>
            <wp:docPr id="12" name="Grafikon 12">
              <a:extLst xmlns:a="http://schemas.openxmlformats.org/drawingml/2006/main">
                <a:ext uri="{FF2B5EF4-FFF2-40B4-BE49-F238E27FC236}">
                  <a16:creationId xmlns:a16="http://schemas.microsoft.com/office/drawing/2014/main" id="{6CD52D3C-42E1-4F93-AB24-8D94DB023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B12FCD" w14:textId="393CB250" w:rsidR="00C976FE" w:rsidRPr="009A4F7F" w:rsidRDefault="00C976FE" w:rsidP="00C976FE">
      <w:pPr>
        <w:pStyle w:val="CETCaption"/>
        <w:rPr>
          <w:lang w:val="en-US"/>
        </w:rPr>
      </w:pPr>
      <w:r w:rsidRPr="009A4F7F">
        <w:rPr>
          <w:lang w:val="en-US"/>
        </w:rPr>
        <w:t xml:space="preserve">Figure </w:t>
      </w:r>
      <w:r w:rsidR="006844ED">
        <w:rPr>
          <w:lang w:val="en-US"/>
        </w:rPr>
        <w:t>5</w:t>
      </w:r>
      <w:r w:rsidRPr="009A4F7F">
        <w:rPr>
          <w:lang w:val="en-US"/>
        </w:rPr>
        <w:t>: Kinetics of in vitro release of GA from liposomes at 37</w:t>
      </w:r>
      <w:r w:rsidR="009B4556">
        <w:rPr>
          <w:lang w:val="en-US"/>
        </w:rPr>
        <w:t xml:space="preserve"> </w:t>
      </w:r>
      <w:r w:rsidRPr="009A4F7F">
        <w:rPr>
          <w:lang w:val="en-US"/>
        </w:rPr>
        <w:t>°C.</w:t>
      </w:r>
    </w:p>
    <w:p w14:paraId="47B1E680" w14:textId="24229180" w:rsidR="00D85C37" w:rsidRPr="009A4F7F" w:rsidRDefault="00061940" w:rsidP="00600535">
      <w:pPr>
        <w:pStyle w:val="CETBodytext"/>
      </w:pPr>
      <w:r w:rsidRPr="00061940">
        <w:t xml:space="preserve">In an </w:t>
      </w:r>
      <w:r w:rsidRPr="00061940">
        <w:rPr>
          <w:i/>
          <w:iCs/>
        </w:rPr>
        <w:t>in vitro</w:t>
      </w:r>
      <w:r w:rsidRPr="00061940">
        <w:t xml:space="preserve"> study of the release of GA from liposomes, it was found that the release initially increased steeply at all </w:t>
      </w:r>
      <w:r w:rsidR="00F617DA" w:rsidRPr="00061940">
        <w:t xml:space="preserve">tested </w:t>
      </w:r>
      <w:r w:rsidRPr="00061940">
        <w:t xml:space="preserve">concentrations. </w:t>
      </w:r>
      <w:r w:rsidR="00F24904">
        <w:rPr>
          <w:rStyle w:val="rynqvb"/>
          <w:lang w:val="en"/>
        </w:rPr>
        <w:t>After 6 h, no significant differences in released GA were observed with further increase in release time.</w:t>
      </w:r>
      <w:r w:rsidR="001C07E7">
        <w:rPr>
          <w:rStyle w:val="rynqvb"/>
          <w:lang w:val="en"/>
        </w:rPr>
        <w:t xml:space="preserve"> </w:t>
      </w:r>
      <w:r w:rsidR="00926B5F" w:rsidRPr="00926B5F">
        <w:t xml:space="preserve">The most efficient </w:t>
      </w:r>
      <w:r w:rsidR="006169B8">
        <w:t>GA release was achieved</w:t>
      </w:r>
      <w:r w:rsidR="00926B5F" w:rsidRPr="00926B5F">
        <w:t xml:space="preserve"> when 0.1 mg/ml</w:t>
      </w:r>
      <w:r w:rsidR="00A81D54">
        <w:t xml:space="preserve"> of GA</w:t>
      </w:r>
      <w:r w:rsidR="00926B5F" w:rsidRPr="00926B5F">
        <w:t xml:space="preserve"> </w:t>
      </w:r>
      <w:r w:rsidR="00A81D54">
        <w:t>was</w:t>
      </w:r>
      <w:r w:rsidR="00926B5F" w:rsidRPr="00926B5F">
        <w:t xml:space="preserve"> incorporated into liposomes. At lower and higher GA concentrations tested, </w:t>
      </w:r>
      <w:r w:rsidR="006169B8">
        <w:t xml:space="preserve">the </w:t>
      </w:r>
      <w:r w:rsidR="00926B5F" w:rsidRPr="00926B5F">
        <w:t>release was less efficient.</w:t>
      </w:r>
    </w:p>
    <w:p w14:paraId="68D26B83" w14:textId="77777777" w:rsidR="00600535" w:rsidRPr="009A4F7F" w:rsidRDefault="00600535" w:rsidP="00600535">
      <w:pPr>
        <w:pStyle w:val="CETHeading1"/>
      </w:pPr>
      <w:r w:rsidRPr="009A4F7F">
        <w:t>Conclusions</w:t>
      </w:r>
    </w:p>
    <w:p w14:paraId="0416DDE0" w14:textId="63458889" w:rsidR="000F4220" w:rsidRPr="009A4F7F" w:rsidRDefault="005B5ED2" w:rsidP="00600535">
      <w:pPr>
        <w:pStyle w:val="CETBodytext"/>
      </w:pPr>
      <w:r w:rsidRPr="005B5ED2">
        <w:t xml:space="preserve">Liposomes are important nano-scale lipid vesicles for </w:t>
      </w:r>
      <w:r w:rsidR="006169B8">
        <w:t xml:space="preserve">the </w:t>
      </w:r>
      <w:r w:rsidRPr="005B5ED2">
        <w:t xml:space="preserve">potential encapsulation of </w:t>
      </w:r>
      <w:r w:rsidR="00C67EC9">
        <w:t>bio</w:t>
      </w:r>
      <w:r w:rsidRPr="005B5ED2">
        <w:t>active ingredients, especially for pharmaceutical</w:t>
      </w:r>
      <w:r w:rsidR="00AB485C">
        <w:t>, cosmetics</w:t>
      </w:r>
      <w:r w:rsidR="00A835FC">
        <w:t>,</w:t>
      </w:r>
      <w:r w:rsidRPr="005B5ED2">
        <w:t xml:space="preserve"> food</w:t>
      </w:r>
      <w:r w:rsidR="00A835FC">
        <w:t>, and agriculture</w:t>
      </w:r>
      <w:r w:rsidRPr="005B5ED2">
        <w:t xml:space="preserve"> purposes.</w:t>
      </w:r>
      <w:r w:rsidR="003231A3">
        <w:t xml:space="preserve"> </w:t>
      </w:r>
      <w:r w:rsidR="003231A3" w:rsidRPr="003231A3">
        <w:t xml:space="preserve">Therefore, we have focused on </w:t>
      </w:r>
      <w:r w:rsidR="006169B8">
        <w:t>using</w:t>
      </w:r>
      <w:r w:rsidR="003231A3" w:rsidRPr="003231A3">
        <w:t xml:space="preserve"> an organic solvent</w:t>
      </w:r>
      <w:r w:rsidR="006169B8">
        <w:t>,</w:t>
      </w:r>
      <w:r w:rsidR="003231A3" w:rsidRPr="003231A3">
        <w:t xml:space="preserve"> ethanol, which is non-toxic and harmless to humans and nature.</w:t>
      </w:r>
      <w:r w:rsidR="003231A3">
        <w:t xml:space="preserve"> </w:t>
      </w:r>
      <w:r w:rsidR="008D112B" w:rsidRPr="008D112B">
        <w:t>Liposomes were prepared using a thin lipid film hydration method with glass beads.</w:t>
      </w:r>
      <w:r w:rsidR="009D025B">
        <w:t xml:space="preserve"> </w:t>
      </w:r>
      <w:r w:rsidR="007F1F39">
        <w:t>The synthesized liposomes with uniform size distribution (PDI&lt;3) had an average diameter of 181.5 nm</w:t>
      </w:r>
      <w:r w:rsidR="00691F0E">
        <w:t xml:space="preserve">, a </w:t>
      </w:r>
      <w:r w:rsidR="007929F1">
        <w:t>desirable</w:t>
      </w:r>
      <w:r w:rsidR="00691F0E">
        <w:t xml:space="preserve"> particle size for </w:t>
      </w:r>
      <w:r w:rsidR="007929F1">
        <w:t>drug delivery applications</w:t>
      </w:r>
      <w:r w:rsidR="007F1F39">
        <w:t xml:space="preserve">. </w:t>
      </w:r>
      <w:r w:rsidR="007F1F39">
        <w:lastRenderedPageBreak/>
        <w:t xml:space="preserve">The </w:t>
      </w:r>
      <w:r w:rsidR="006169B8">
        <w:t>zeta potential value</w:t>
      </w:r>
      <w:r w:rsidR="007F1F39">
        <w:t xml:space="preserve"> was </w:t>
      </w:r>
      <w:r w:rsidR="00691F0E">
        <w:noBreakHyphen/>
      </w:r>
      <w:r w:rsidR="007F1F39">
        <w:t xml:space="preserve">53 mV, indicating </w:t>
      </w:r>
      <w:r w:rsidR="006169B8">
        <w:t xml:space="preserve">a </w:t>
      </w:r>
      <w:r w:rsidR="007F1F39">
        <w:t>stable formation of nano-lipid vesicles.</w:t>
      </w:r>
      <w:r w:rsidR="004B5214">
        <w:t xml:space="preserve"> </w:t>
      </w:r>
      <w:r w:rsidR="00F350D0" w:rsidRPr="00F350D0">
        <w:t>Furthermore, we have succe</w:t>
      </w:r>
      <w:r w:rsidR="004B5214">
        <w:t>ssfully incorporated the active ingredient GA (EE</w:t>
      </w:r>
      <w:r w:rsidR="00B60668">
        <w:t xml:space="preserve"> </w:t>
      </w:r>
      <w:r w:rsidR="004B5214">
        <w:t>=</w:t>
      </w:r>
      <w:r w:rsidR="00B60668">
        <w:t xml:space="preserve"> </w:t>
      </w:r>
      <w:r w:rsidR="004B5214">
        <w:t>98.3%) into liposomes</w:t>
      </w:r>
      <w:r w:rsidR="003D3F91">
        <w:t>.</w:t>
      </w:r>
      <w:r w:rsidR="00F350D0" w:rsidRPr="00F350D0">
        <w:t xml:space="preserve"> </w:t>
      </w:r>
      <w:r w:rsidR="003D3F91">
        <w:t>Namely, GA</w:t>
      </w:r>
      <w:r w:rsidR="00F350D0" w:rsidRPr="00F350D0">
        <w:t xml:space="preserve"> is extremely important for human health and is frequently used as an additive in the pharmaceutical and food industries.</w:t>
      </w:r>
      <w:r w:rsidR="00781074">
        <w:t xml:space="preserve"> </w:t>
      </w:r>
      <w:r w:rsidR="00821CBD" w:rsidRPr="00821CBD">
        <w:t xml:space="preserve">In studying the kinetics of the </w:t>
      </w:r>
      <w:r w:rsidR="00821CBD" w:rsidRPr="00821CBD">
        <w:rPr>
          <w:i/>
          <w:iCs/>
        </w:rPr>
        <w:t>in vitro</w:t>
      </w:r>
      <w:r w:rsidR="00821CBD" w:rsidRPr="00821CBD">
        <w:t xml:space="preserve"> release of </w:t>
      </w:r>
      <w:r w:rsidR="007E5F73">
        <w:t>GA</w:t>
      </w:r>
      <w:r w:rsidR="00821CBD" w:rsidRPr="00821CBD">
        <w:t xml:space="preserve"> from liposomes, we found that the release from liposomes increased steeply at the beginning</w:t>
      </w:r>
      <w:r w:rsidR="004B5214">
        <w:t xml:space="preserve">. </w:t>
      </w:r>
      <w:r w:rsidR="00E752D9">
        <w:t>Later</w:t>
      </w:r>
      <w:r w:rsidR="0063473E">
        <w:t xml:space="preserve"> (after 6 hours)</w:t>
      </w:r>
      <w:r w:rsidR="00E752D9">
        <w:t>,</w:t>
      </w:r>
      <w:r w:rsidR="00821CBD" w:rsidRPr="00821CBD">
        <w:t xml:space="preserve"> no significant differences in the released </w:t>
      </w:r>
      <w:r w:rsidR="007E5F73">
        <w:t>GA</w:t>
      </w:r>
      <w:r w:rsidR="00821CBD" w:rsidRPr="00821CBD">
        <w:t xml:space="preserve"> were observed with increasing release time.</w:t>
      </w:r>
      <w:r w:rsidR="00D35148">
        <w:t xml:space="preserve"> </w:t>
      </w:r>
      <w:r w:rsidR="00D35148" w:rsidRPr="00D35148">
        <w:t xml:space="preserve">The highest encapsulation efficiency and percentage of </w:t>
      </w:r>
      <w:r w:rsidR="004B5214">
        <w:t xml:space="preserve">the </w:t>
      </w:r>
      <w:r w:rsidR="00D35148" w:rsidRPr="00D35148">
        <w:t>release of the active ingredient w</w:t>
      </w:r>
      <w:r w:rsidR="004B5214">
        <w:t>ere</w:t>
      </w:r>
      <w:r w:rsidR="00D35148" w:rsidRPr="00D35148">
        <w:t xml:space="preserve"> achieved at a concentration of incorporated </w:t>
      </w:r>
      <w:r w:rsidR="007E5F73">
        <w:t>GA</w:t>
      </w:r>
      <w:r w:rsidR="00D35148" w:rsidRPr="00D35148">
        <w:t xml:space="preserve"> of 0.1 mg/ml.</w:t>
      </w:r>
      <w:r w:rsidR="0024703B">
        <w:t xml:space="preserve"> Therefore, </w:t>
      </w:r>
      <w:r w:rsidR="005D24E4">
        <w:t>nano-scale lipid vesicles</w:t>
      </w:r>
      <w:r w:rsidR="0024703B" w:rsidRPr="0024703B">
        <w:t xml:space="preserve"> loaded with bioactive compounds such as GA are promising as suitable nanocarriers for various biomedical applications to achieve sustained release of the incorporated bioactive </w:t>
      </w:r>
      <w:r w:rsidR="005D24E4">
        <w:t>ingredient</w:t>
      </w:r>
      <w:r w:rsidR="0024703B" w:rsidRPr="0024703B">
        <w:t>.</w:t>
      </w:r>
    </w:p>
    <w:p w14:paraId="459D05E6" w14:textId="77777777" w:rsidR="00600535" w:rsidRPr="009A4F7F" w:rsidRDefault="00600535" w:rsidP="00600535">
      <w:pPr>
        <w:pStyle w:val="CETAcknowledgementstitle"/>
        <w:rPr>
          <w:lang w:val="en-US"/>
        </w:rPr>
      </w:pPr>
      <w:r w:rsidRPr="009A4F7F">
        <w:rPr>
          <w:lang w:val="en-US"/>
        </w:rPr>
        <w:t>Acknowledgments</w:t>
      </w:r>
    </w:p>
    <w:p w14:paraId="33F8138F" w14:textId="5B5DC49C" w:rsidR="00600535" w:rsidRPr="009A4F7F" w:rsidRDefault="00D511B5" w:rsidP="00600535">
      <w:pPr>
        <w:pStyle w:val="CETBodytext"/>
      </w:pPr>
      <w:r w:rsidRPr="009A4F7F">
        <w:t>This research was supported by the Slovenian Research Agency (ARRS) within the frame of program P2-0046 (Separation Processes and Production Design), project No. J2-3037 (</w:t>
      </w:r>
      <w:proofErr w:type="spellStart"/>
      <w:r w:rsidRPr="009A4F7F">
        <w:t>Bionanotechnology</w:t>
      </w:r>
      <w:proofErr w:type="spellEnd"/>
      <w:r w:rsidRPr="009A4F7F">
        <w:t xml:space="preserve"> as a tool for stabilization and applications of bioactive substances from natural sources), project No. L2-4430 (Production, Isolation and Formulation of Health Beneficial Substances from </w:t>
      </w:r>
      <w:r w:rsidRPr="009A4F7F">
        <w:rPr>
          <w:i/>
          <w:iCs/>
        </w:rPr>
        <w:t xml:space="preserve">Helichrysum </w:t>
      </w:r>
      <w:proofErr w:type="spellStart"/>
      <w:r w:rsidRPr="009A4F7F">
        <w:rPr>
          <w:i/>
          <w:iCs/>
        </w:rPr>
        <w:t>italicum</w:t>
      </w:r>
      <w:proofErr w:type="spellEnd"/>
      <w:r w:rsidRPr="009A4F7F">
        <w:t xml:space="preserve"> for Applications in Cosmetic Industry), and young researcher ARRS fellowship contract number No. </w:t>
      </w:r>
      <w:r w:rsidR="00D4188A">
        <w:t>1514</w:t>
      </w:r>
      <w:r w:rsidRPr="009A4F7F">
        <w:t>/FKKT-202</w:t>
      </w:r>
      <w:r w:rsidR="00D4188A">
        <w:t>3</w:t>
      </w:r>
      <w:r w:rsidRPr="009A4F7F">
        <w:t>.</w:t>
      </w:r>
      <w:r w:rsidR="00591457" w:rsidRPr="009A4F7F">
        <w:t xml:space="preserve"> Prof. Dr. Maja Leitgeb and Prof. Dr. Željko Knez are partly employed at University of Maribor, Faculty of Medicine,</w:t>
      </w:r>
      <w:r w:rsidR="0020040A" w:rsidRPr="009A4F7F">
        <w:t xml:space="preserve"> </w:t>
      </w:r>
      <w:proofErr w:type="spellStart"/>
      <w:r w:rsidR="00591457" w:rsidRPr="009A4F7F">
        <w:t>Taborska</w:t>
      </w:r>
      <w:proofErr w:type="spellEnd"/>
      <w:r w:rsidR="00591457" w:rsidRPr="009A4F7F">
        <w:t xml:space="preserve"> </w:t>
      </w:r>
      <w:proofErr w:type="spellStart"/>
      <w:r w:rsidR="00591457" w:rsidRPr="009A4F7F">
        <w:t>ulica</w:t>
      </w:r>
      <w:proofErr w:type="spellEnd"/>
      <w:r w:rsidR="00591457" w:rsidRPr="009A4F7F">
        <w:t xml:space="preserve"> 8, 2000 Maribor, Slovenia</w:t>
      </w:r>
      <w:r w:rsidR="0020040A" w:rsidRPr="009A4F7F">
        <w:t>.</w:t>
      </w:r>
    </w:p>
    <w:p w14:paraId="4F1327F8" w14:textId="77777777" w:rsidR="00600535" w:rsidRPr="009A4F7F" w:rsidRDefault="00600535" w:rsidP="00600535">
      <w:pPr>
        <w:pStyle w:val="CETReference"/>
        <w:rPr>
          <w:lang w:val="en-US"/>
        </w:rPr>
      </w:pPr>
      <w:r w:rsidRPr="009A4F7F">
        <w:rPr>
          <w:lang w:val="en-US"/>
        </w:rPr>
        <w:t>References</w:t>
      </w:r>
    </w:p>
    <w:p w14:paraId="507C1168" w14:textId="4BBDD6BE" w:rsidR="00507E67" w:rsidRPr="00507E67" w:rsidRDefault="00DF1C27" w:rsidP="00507E67">
      <w:pPr>
        <w:pStyle w:val="Bibliografija"/>
        <w:rPr>
          <w:rFonts w:cs="Arial"/>
        </w:rPr>
      </w:pPr>
      <w:r>
        <w:rPr>
          <w:lang w:val="en-US"/>
        </w:rPr>
        <w:fldChar w:fldCharType="begin"/>
      </w:r>
      <w:r w:rsidR="00507E67">
        <w:rPr>
          <w:lang w:val="en-US"/>
        </w:rPr>
        <w:instrText xml:space="preserve"> ADDIN ZOTERO_BIBL {"uncited":[],"omitted":[],"custom":[]} CSL_BIBLIOGRAPHY </w:instrText>
      </w:r>
      <w:r>
        <w:rPr>
          <w:lang w:val="en-US"/>
        </w:rPr>
        <w:fldChar w:fldCharType="separate"/>
      </w:r>
      <w:r w:rsidR="00507E67" w:rsidRPr="00507E67">
        <w:rPr>
          <w:rFonts w:cs="Arial"/>
        </w:rPr>
        <w:t>Akbarzadeh A., Rezaei-</w:t>
      </w:r>
      <w:proofErr w:type="spellStart"/>
      <w:r w:rsidR="00507E67" w:rsidRPr="00507E67">
        <w:rPr>
          <w:rFonts w:cs="Arial"/>
        </w:rPr>
        <w:t>Sadabady</w:t>
      </w:r>
      <w:proofErr w:type="spellEnd"/>
      <w:r w:rsidR="00507E67" w:rsidRPr="00507E67">
        <w:rPr>
          <w:rFonts w:cs="Arial"/>
        </w:rPr>
        <w:t xml:space="preserve"> R., </w:t>
      </w:r>
      <w:proofErr w:type="spellStart"/>
      <w:r w:rsidR="00507E67" w:rsidRPr="00507E67">
        <w:rPr>
          <w:rFonts w:cs="Arial"/>
        </w:rPr>
        <w:t>Davaran</w:t>
      </w:r>
      <w:proofErr w:type="spellEnd"/>
      <w:r w:rsidR="00507E67" w:rsidRPr="00507E67">
        <w:rPr>
          <w:rFonts w:cs="Arial"/>
        </w:rPr>
        <w:t xml:space="preserve"> S., Joo S.W., </w:t>
      </w:r>
      <w:proofErr w:type="spellStart"/>
      <w:r w:rsidR="00507E67" w:rsidRPr="00507E67">
        <w:rPr>
          <w:rFonts w:cs="Arial"/>
        </w:rPr>
        <w:t>Zarghami</w:t>
      </w:r>
      <w:proofErr w:type="spellEnd"/>
      <w:r w:rsidR="00507E67" w:rsidRPr="00507E67">
        <w:rPr>
          <w:rFonts w:cs="Arial"/>
        </w:rPr>
        <w:t xml:space="preserve"> N., </w:t>
      </w:r>
      <w:proofErr w:type="spellStart"/>
      <w:r w:rsidR="00507E67" w:rsidRPr="00507E67">
        <w:rPr>
          <w:rFonts w:cs="Arial"/>
        </w:rPr>
        <w:t>Hanifehpour</w:t>
      </w:r>
      <w:proofErr w:type="spellEnd"/>
      <w:r w:rsidR="00507E67" w:rsidRPr="00507E67">
        <w:rPr>
          <w:rFonts w:cs="Arial"/>
        </w:rPr>
        <w:t xml:space="preserve"> Y., Samiei M., </w:t>
      </w:r>
      <w:proofErr w:type="spellStart"/>
      <w:r w:rsidR="00507E67" w:rsidRPr="00507E67">
        <w:rPr>
          <w:rFonts w:cs="Arial"/>
        </w:rPr>
        <w:t>Kouhi</w:t>
      </w:r>
      <w:proofErr w:type="spellEnd"/>
      <w:r w:rsidR="00507E67" w:rsidRPr="00507E67">
        <w:rPr>
          <w:rFonts w:cs="Arial"/>
        </w:rPr>
        <w:t xml:space="preserve"> M., </w:t>
      </w:r>
      <w:proofErr w:type="spellStart"/>
      <w:r w:rsidR="00507E67" w:rsidRPr="00507E67">
        <w:rPr>
          <w:rFonts w:cs="Arial"/>
        </w:rPr>
        <w:t>Nejati</w:t>
      </w:r>
      <w:proofErr w:type="spellEnd"/>
      <w:r w:rsidR="00507E67" w:rsidRPr="00507E67">
        <w:rPr>
          <w:rFonts w:cs="Arial"/>
        </w:rPr>
        <w:t>-Koshki K., 2013. Liposome: classification, preparation, and applications. Nanoscale Res Lett 8, 102. https://doi.org/10.1186/1556-276X-8-102</w:t>
      </w:r>
    </w:p>
    <w:p w14:paraId="42B4B592" w14:textId="295FF958" w:rsidR="00507E67" w:rsidRPr="00507E67" w:rsidRDefault="00507E67" w:rsidP="00507E67">
      <w:pPr>
        <w:pStyle w:val="Bibliografija"/>
        <w:rPr>
          <w:rFonts w:cs="Arial"/>
        </w:rPr>
      </w:pPr>
      <w:r w:rsidRPr="00507E67">
        <w:rPr>
          <w:rFonts w:cs="Arial"/>
        </w:rPr>
        <w:t>Cheng R., Liu L., Xiang Y., Lu Y., Deng L., Zhang H., Santos H.A., Cui W., 2020. Advanced liposome-loaded scaffolds for therapeutic and tissue engineering applications. Biomaterials 232, 119706. https://doi.org/10.1016/j.biomaterials.2019.119706</w:t>
      </w:r>
    </w:p>
    <w:p w14:paraId="29A6865F" w14:textId="472FA272" w:rsidR="00507E67" w:rsidRPr="00507E67" w:rsidRDefault="00507E67" w:rsidP="00507E67">
      <w:pPr>
        <w:pStyle w:val="Bibliografija"/>
        <w:rPr>
          <w:rFonts w:cs="Arial"/>
        </w:rPr>
      </w:pPr>
      <w:r w:rsidRPr="00507E67">
        <w:rPr>
          <w:rFonts w:cs="Arial"/>
        </w:rPr>
        <w:t>Guimarães D., Cavaco-Paulo A., Nogueira E., 2021. Design of liposomes as drug delivery system for therapeutic applications. Int. J. Pharm. 601, 120571. https://doi.org/10.1016/j.ijpharm.2021.120571</w:t>
      </w:r>
    </w:p>
    <w:p w14:paraId="747DA64D" w14:textId="08EFF618" w:rsidR="00507E67" w:rsidRPr="00507E67" w:rsidRDefault="00507E67" w:rsidP="00507E67">
      <w:pPr>
        <w:pStyle w:val="Bibliografija"/>
        <w:rPr>
          <w:rFonts w:cs="Arial"/>
        </w:rPr>
      </w:pPr>
      <w:proofErr w:type="spellStart"/>
      <w:r w:rsidRPr="00507E67">
        <w:rPr>
          <w:rFonts w:cs="Arial"/>
        </w:rPr>
        <w:t>Hemetsberger</w:t>
      </w:r>
      <w:proofErr w:type="spellEnd"/>
      <w:r w:rsidRPr="00507E67">
        <w:rPr>
          <w:rFonts w:cs="Arial"/>
        </w:rPr>
        <w:t xml:space="preserve"> A., Preis E., Engelhardt K., Gutberlet B., Runkel F., </w:t>
      </w:r>
      <w:proofErr w:type="spellStart"/>
      <w:r w:rsidRPr="00507E67">
        <w:rPr>
          <w:rFonts w:cs="Arial"/>
        </w:rPr>
        <w:t>Bakowsky</w:t>
      </w:r>
      <w:proofErr w:type="spellEnd"/>
      <w:r w:rsidRPr="00507E67">
        <w:rPr>
          <w:rFonts w:cs="Arial"/>
        </w:rPr>
        <w:t xml:space="preserve"> U., 2022. Highly Stable Liposomes Based on Tetraether Lipids as a Promising and Versatile Drug Delivery System. Materials 15, 6995. https://doi.org/10.3390/ma15196995</w:t>
      </w:r>
    </w:p>
    <w:p w14:paraId="1361D63B" w14:textId="363CDC4E" w:rsidR="00507E67" w:rsidRPr="00507E67" w:rsidRDefault="00507E67" w:rsidP="00507E67">
      <w:pPr>
        <w:pStyle w:val="Bibliografija"/>
        <w:rPr>
          <w:rFonts w:cs="Arial"/>
        </w:rPr>
      </w:pPr>
      <w:r w:rsidRPr="00507E67">
        <w:rPr>
          <w:rFonts w:cs="Arial"/>
        </w:rPr>
        <w:t>Huang L., Teng W., Cao J., Wang J., 2022. Liposomes as Delivery System for Applications in Meat Products. Foods 11, 3017. https://doi.org/10.3390/foods11193017</w:t>
      </w:r>
    </w:p>
    <w:p w14:paraId="2B644B75" w14:textId="05EDAF2A" w:rsidR="00507E67" w:rsidRPr="00507E67" w:rsidRDefault="00507E67" w:rsidP="00507E67">
      <w:pPr>
        <w:pStyle w:val="Bibliografija"/>
        <w:rPr>
          <w:rFonts w:cs="Arial"/>
        </w:rPr>
      </w:pPr>
      <w:proofErr w:type="spellStart"/>
      <w:r w:rsidRPr="00507E67">
        <w:rPr>
          <w:rFonts w:cs="Arial"/>
        </w:rPr>
        <w:t>Isalomboto</w:t>
      </w:r>
      <w:proofErr w:type="spellEnd"/>
      <w:r w:rsidRPr="00507E67">
        <w:rPr>
          <w:rFonts w:cs="Arial"/>
        </w:rPr>
        <w:t xml:space="preserve"> </w:t>
      </w:r>
      <w:proofErr w:type="spellStart"/>
      <w:r w:rsidRPr="00507E67">
        <w:rPr>
          <w:rFonts w:cs="Arial"/>
        </w:rPr>
        <w:t>Nkanga</w:t>
      </w:r>
      <w:proofErr w:type="spellEnd"/>
      <w:r w:rsidRPr="00507E67">
        <w:rPr>
          <w:rFonts w:cs="Arial"/>
        </w:rPr>
        <w:t xml:space="preserve"> C., </w:t>
      </w:r>
      <w:proofErr w:type="spellStart"/>
      <w:r w:rsidRPr="00507E67">
        <w:rPr>
          <w:rFonts w:cs="Arial"/>
        </w:rPr>
        <w:t>Murhimalika</w:t>
      </w:r>
      <w:proofErr w:type="spellEnd"/>
      <w:r w:rsidRPr="00507E67">
        <w:rPr>
          <w:rFonts w:cs="Arial"/>
        </w:rPr>
        <w:t xml:space="preserve"> </w:t>
      </w:r>
      <w:proofErr w:type="spellStart"/>
      <w:r w:rsidRPr="00507E67">
        <w:rPr>
          <w:rFonts w:cs="Arial"/>
        </w:rPr>
        <w:t>Bapolisi</w:t>
      </w:r>
      <w:proofErr w:type="spellEnd"/>
      <w:r w:rsidRPr="00507E67">
        <w:rPr>
          <w:rFonts w:cs="Arial"/>
        </w:rPr>
        <w:t xml:space="preserve"> A., Ikemefuna Okafor N., Werner </w:t>
      </w:r>
      <w:proofErr w:type="spellStart"/>
      <w:r w:rsidRPr="00507E67">
        <w:rPr>
          <w:rFonts w:cs="Arial"/>
        </w:rPr>
        <w:t>Maçedo</w:t>
      </w:r>
      <w:proofErr w:type="spellEnd"/>
      <w:r w:rsidRPr="00507E67">
        <w:rPr>
          <w:rFonts w:cs="Arial"/>
        </w:rPr>
        <w:t xml:space="preserve"> Krause R., 2019. General Perception of Liposomes: Formation, Manufacturing and Applications. https://doi.org/10.5772/intechopen.84255</w:t>
      </w:r>
    </w:p>
    <w:p w14:paraId="41AF9FEB" w14:textId="02D6EF5D" w:rsidR="00507E67" w:rsidRPr="00507E67" w:rsidRDefault="00507E67" w:rsidP="00507E67">
      <w:pPr>
        <w:pStyle w:val="Bibliografija"/>
        <w:rPr>
          <w:rFonts w:cs="Arial"/>
        </w:rPr>
      </w:pPr>
      <w:r w:rsidRPr="00507E67">
        <w:rPr>
          <w:rFonts w:cs="Arial"/>
        </w:rPr>
        <w:t xml:space="preserve">Leitgeb M., Knez Ž., Primožič M., 2020. Sustainable technologies for liposome preparation. J. </w:t>
      </w:r>
      <w:proofErr w:type="spellStart"/>
      <w:r w:rsidRPr="00507E67">
        <w:rPr>
          <w:rFonts w:cs="Arial"/>
        </w:rPr>
        <w:t>Supercrit</w:t>
      </w:r>
      <w:proofErr w:type="spellEnd"/>
      <w:r w:rsidRPr="00507E67">
        <w:rPr>
          <w:rFonts w:cs="Arial"/>
        </w:rPr>
        <w:t>. Fluids 165, 104984. https://doi.org/10.1016/j.supflu.2020.104984</w:t>
      </w:r>
    </w:p>
    <w:p w14:paraId="0996E11A" w14:textId="2394E9B9" w:rsidR="00507E67" w:rsidRPr="00507E67" w:rsidRDefault="00507E67" w:rsidP="00507E67">
      <w:pPr>
        <w:pStyle w:val="Bibliografija"/>
        <w:rPr>
          <w:rFonts w:cs="Arial"/>
        </w:rPr>
      </w:pPr>
      <w:r w:rsidRPr="00507E67">
        <w:rPr>
          <w:rFonts w:cs="Arial"/>
        </w:rPr>
        <w:t>Lombardo D., Kiselev M.A., 2022. Methods of Liposomes Preparation: Formation and Control Factors of Versatile Nanocarriers for Biomedical and Nanomedicine Application. Pharmaceutics 14, 543. https://doi.org/10.3390/pharmaceutics14030543</w:t>
      </w:r>
    </w:p>
    <w:p w14:paraId="7C46570B" w14:textId="5DF63916" w:rsidR="00507E67" w:rsidRPr="00507E67" w:rsidRDefault="00507E67" w:rsidP="00507E67">
      <w:pPr>
        <w:pStyle w:val="Bibliografija"/>
        <w:rPr>
          <w:rFonts w:cs="Arial"/>
        </w:rPr>
      </w:pPr>
      <w:proofErr w:type="spellStart"/>
      <w:r w:rsidRPr="00507E67">
        <w:rPr>
          <w:rFonts w:cs="Arial"/>
        </w:rPr>
        <w:t>Nsairat</w:t>
      </w:r>
      <w:proofErr w:type="spellEnd"/>
      <w:r w:rsidRPr="00507E67">
        <w:rPr>
          <w:rFonts w:cs="Arial"/>
        </w:rPr>
        <w:t xml:space="preserve"> H., Khater D., Sayed U., Odeh F., Al </w:t>
      </w:r>
      <w:proofErr w:type="spellStart"/>
      <w:r w:rsidRPr="00507E67">
        <w:rPr>
          <w:rFonts w:cs="Arial"/>
        </w:rPr>
        <w:t>Bawab</w:t>
      </w:r>
      <w:proofErr w:type="spellEnd"/>
      <w:r w:rsidRPr="00507E67">
        <w:rPr>
          <w:rFonts w:cs="Arial"/>
        </w:rPr>
        <w:t xml:space="preserve"> A., Alshaer W., 2022. Liposomes: structure, composition, types, and clinical applications. </w:t>
      </w:r>
      <w:proofErr w:type="spellStart"/>
      <w:r w:rsidRPr="00507E67">
        <w:rPr>
          <w:rFonts w:cs="Arial"/>
        </w:rPr>
        <w:t>Heliyon</w:t>
      </w:r>
      <w:proofErr w:type="spellEnd"/>
      <w:r w:rsidRPr="00507E67">
        <w:rPr>
          <w:rFonts w:cs="Arial"/>
        </w:rPr>
        <w:t xml:space="preserve"> 8, e09394. https://doi.org/10.1016/j.heliyon.2022.e09394</w:t>
      </w:r>
    </w:p>
    <w:p w14:paraId="31862E78" w14:textId="69136207" w:rsidR="00507E67" w:rsidRPr="00507E67" w:rsidRDefault="00507E67" w:rsidP="00507E67">
      <w:pPr>
        <w:pStyle w:val="Bibliografija"/>
        <w:rPr>
          <w:rFonts w:cs="Arial"/>
        </w:rPr>
      </w:pPr>
      <w:proofErr w:type="spellStart"/>
      <w:r w:rsidRPr="00507E67">
        <w:rPr>
          <w:rFonts w:cs="Arial"/>
        </w:rPr>
        <w:t>Păvăloiu</w:t>
      </w:r>
      <w:proofErr w:type="spellEnd"/>
      <w:r w:rsidRPr="00507E67">
        <w:rPr>
          <w:rFonts w:cs="Arial"/>
        </w:rPr>
        <w:t xml:space="preserve"> R.-D., </w:t>
      </w:r>
      <w:proofErr w:type="spellStart"/>
      <w:r w:rsidRPr="00507E67">
        <w:rPr>
          <w:rFonts w:cs="Arial"/>
        </w:rPr>
        <w:t>Sha’at</w:t>
      </w:r>
      <w:proofErr w:type="spellEnd"/>
      <w:r w:rsidRPr="00507E67">
        <w:rPr>
          <w:rFonts w:cs="Arial"/>
        </w:rPr>
        <w:t xml:space="preserve"> F., Neagu G., Deaconu M., </w:t>
      </w:r>
      <w:proofErr w:type="spellStart"/>
      <w:r w:rsidRPr="00507E67">
        <w:rPr>
          <w:rFonts w:cs="Arial"/>
        </w:rPr>
        <w:t>Bubueanu</w:t>
      </w:r>
      <w:proofErr w:type="spellEnd"/>
      <w:r w:rsidRPr="00507E67">
        <w:rPr>
          <w:rFonts w:cs="Arial"/>
        </w:rPr>
        <w:t xml:space="preserve"> C., Albulescu A., </w:t>
      </w:r>
      <w:proofErr w:type="spellStart"/>
      <w:r w:rsidRPr="00507E67">
        <w:rPr>
          <w:rFonts w:cs="Arial"/>
        </w:rPr>
        <w:t>Sha’at</w:t>
      </w:r>
      <w:proofErr w:type="spellEnd"/>
      <w:r w:rsidRPr="00507E67">
        <w:rPr>
          <w:rFonts w:cs="Arial"/>
        </w:rPr>
        <w:t xml:space="preserve"> M., </w:t>
      </w:r>
      <w:proofErr w:type="spellStart"/>
      <w:r w:rsidRPr="00507E67">
        <w:rPr>
          <w:rFonts w:cs="Arial"/>
        </w:rPr>
        <w:t>Hlevca</w:t>
      </w:r>
      <w:proofErr w:type="spellEnd"/>
      <w:r w:rsidRPr="00507E67">
        <w:rPr>
          <w:rFonts w:cs="Arial"/>
        </w:rPr>
        <w:t xml:space="preserve"> C., 2021. Encapsulation of Polyphenols from </w:t>
      </w:r>
      <w:proofErr w:type="spellStart"/>
      <w:r w:rsidRPr="00F32167">
        <w:rPr>
          <w:rFonts w:cs="Arial"/>
          <w:i/>
          <w:iCs/>
        </w:rPr>
        <w:t>Lycium</w:t>
      </w:r>
      <w:proofErr w:type="spellEnd"/>
      <w:r w:rsidRPr="00F32167">
        <w:rPr>
          <w:rFonts w:cs="Arial"/>
          <w:i/>
          <w:iCs/>
        </w:rPr>
        <w:t xml:space="preserve"> </w:t>
      </w:r>
      <w:proofErr w:type="spellStart"/>
      <w:r w:rsidRPr="00F32167">
        <w:rPr>
          <w:rFonts w:cs="Arial"/>
          <w:i/>
          <w:iCs/>
        </w:rPr>
        <w:t>barbarum</w:t>
      </w:r>
      <w:proofErr w:type="spellEnd"/>
      <w:r w:rsidRPr="00507E67">
        <w:rPr>
          <w:rFonts w:cs="Arial"/>
        </w:rPr>
        <w:t xml:space="preserve"> Leaves into Liposomes as a Strategy to Improve Their Delivery. Nanomaterials 11, 1938. https://doi.org/10.3390/nano11081938</w:t>
      </w:r>
    </w:p>
    <w:p w14:paraId="03B1739C" w14:textId="37ED3BF2" w:rsidR="00507E67" w:rsidRPr="00507E67" w:rsidRDefault="00507E67" w:rsidP="00507E67">
      <w:pPr>
        <w:pStyle w:val="Bibliografija"/>
        <w:rPr>
          <w:rFonts w:cs="Arial"/>
        </w:rPr>
      </w:pPr>
      <w:r w:rsidRPr="00507E67">
        <w:rPr>
          <w:rFonts w:cs="Arial"/>
        </w:rPr>
        <w:t xml:space="preserve">Sercombe L., </w:t>
      </w:r>
      <w:proofErr w:type="spellStart"/>
      <w:r w:rsidRPr="00507E67">
        <w:rPr>
          <w:rFonts w:cs="Arial"/>
        </w:rPr>
        <w:t>Veerati</w:t>
      </w:r>
      <w:proofErr w:type="spellEnd"/>
      <w:r w:rsidRPr="00507E67">
        <w:rPr>
          <w:rFonts w:cs="Arial"/>
        </w:rPr>
        <w:t xml:space="preserve"> T., </w:t>
      </w:r>
      <w:proofErr w:type="spellStart"/>
      <w:r w:rsidRPr="00507E67">
        <w:rPr>
          <w:rFonts w:cs="Arial"/>
        </w:rPr>
        <w:t>Moheimani</w:t>
      </w:r>
      <w:proofErr w:type="spellEnd"/>
      <w:r w:rsidRPr="00507E67">
        <w:rPr>
          <w:rFonts w:cs="Arial"/>
        </w:rPr>
        <w:t xml:space="preserve"> F., Wu S.Y., Sood A.K., Hua S., 2015. Advances and Challenges of Liposome Assisted Drug Delivery. Front </w:t>
      </w:r>
      <w:proofErr w:type="spellStart"/>
      <w:r w:rsidRPr="00507E67">
        <w:rPr>
          <w:rFonts w:cs="Arial"/>
        </w:rPr>
        <w:t>Pharmacol</w:t>
      </w:r>
      <w:proofErr w:type="spellEnd"/>
      <w:r w:rsidRPr="00507E67">
        <w:rPr>
          <w:rFonts w:cs="Arial"/>
        </w:rPr>
        <w:t xml:space="preserve"> 6, 286. https://doi.org/10.3389/fphar.2015.00286</w:t>
      </w:r>
    </w:p>
    <w:p w14:paraId="49ACDC1F" w14:textId="7DE9A638" w:rsidR="00507E67" w:rsidRPr="00507E67" w:rsidRDefault="00507E67" w:rsidP="00507E67">
      <w:pPr>
        <w:pStyle w:val="Bibliografija"/>
        <w:rPr>
          <w:rFonts w:cs="Arial"/>
        </w:rPr>
      </w:pPr>
      <w:r w:rsidRPr="00507E67">
        <w:rPr>
          <w:rFonts w:cs="Arial"/>
        </w:rPr>
        <w:t xml:space="preserve">Simão A.M.S., </w:t>
      </w:r>
      <w:proofErr w:type="spellStart"/>
      <w:r w:rsidRPr="00507E67">
        <w:rPr>
          <w:rFonts w:cs="Arial"/>
        </w:rPr>
        <w:t>Bolean</w:t>
      </w:r>
      <w:proofErr w:type="spellEnd"/>
      <w:r w:rsidRPr="00507E67">
        <w:rPr>
          <w:rFonts w:cs="Arial"/>
        </w:rPr>
        <w:t xml:space="preserve"> M., Cury T.A.C., Stabeli R.G., Itri R., Ciancaglini P., 2015. Liposomal systems as carriers for bioactive compounds. </w:t>
      </w:r>
      <w:proofErr w:type="spellStart"/>
      <w:r w:rsidRPr="00507E67">
        <w:rPr>
          <w:rFonts w:cs="Arial"/>
        </w:rPr>
        <w:t>Biophys</w:t>
      </w:r>
      <w:proofErr w:type="spellEnd"/>
      <w:r w:rsidRPr="00507E67">
        <w:rPr>
          <w:rFonts w:cs="Arial"/>
        </w:rPr>
        <w:t xml:space="preserve"> Rev 7, 391–397. https://doi.org/10.1007/s12551-015-0180-8</w:t>
      </w:r>
    </w:p>
    <w:p w14:paraId="078570CD" w14:textId="53E8E03B" w:rsidR="00507E67" w:rsidRPr="00507E67" w:rsidRDefault="00507E67" w:rsidP="00507E67">
      <w:pPr>
        <w:pStyle w:val="Bibliografija"/>
        <w:rPr>
          <w:rFonts w:cs="Arial"/>
        </w:rPr>
      </w:pPr>
      <w:r w:rsidRPr="00507E67">
        <w:rPr>
          <w:rFonts w:cs="Arial"/>
        </w:rPr>
        <w:t xml:space="preserve">Šturm L., </w:t>
      </w:r>
      <w:proofErr w:type="spellStart"/>
      <w:r w:rsidRPr="00507E67">
        <w:rPr>
          <w:rFonts w:cs="Arial"/>
        </w:rPr>
        <w:t>Poklar</w:t>
      </w:r>
      <w:proofErr w:type="spellEnd"/>
      <w:r w:rsidRPr="00507E67">
        <w:rPr>
          <w:rFonts w:cs="Arial"/>
        </w:rPr>
        <w:t xml:space="preserve"> </w:t>
      </w:r>
      <w:proofErr w:type="spellStart"/>
      <w:r w:rsidRPr="00507E67">
        <w:rPr>
          <w:rFonts w:cs="Arial"/>
        </w:rPr>
        <w:t>Ulrih</w:t>
      </w:r>
      <w:proofErr w:type="spellEnd"/>
      <w:r w:rsidRPr="00507E67">
        <w:rPr>
          <w:rFonts w:cs="Arial"/>
        </w:rPr>
        <w:t xml:space="preserve"> N., 2021. Basic Methods for Preparation of Liposomes and Studying Their Interactions with Different Compounds, with the Emphasis on Polyphenols. International Journal of Molecular Sciences 22, 6547. https://doi.org/10.3390/ijms22126547</w:t>
      </w:r>
    </w:p>
    <w:p w14:paraId="25450C4A" w14:textId="5EA7EC55" w:rsidR="00507E67" w:rsidRPr="00507E67" w:rsidRDefault="00507E67" w:rsidP="00507E67">
      <w:pPr>
        <w:pStyle w:val="Bibliografija"/>
        <w:rPr>
          <w:rFonts w:cs="Arial"/>
        </w:rPr>
      </w:pPr>
      <w:proofErr w:type="spellStart"/>
      <w:r w:rsidRPr="00507E67">
        <w:rPr>
          <w:rFonts w:cs="Arial"/>
        </w:rPr>
        <w:t>Tagrida</w:t>
      </w:r>
      <w:proofErr w:type="spellEnd"/>
      <w:r w:rsidRPr="00507E67">
        <w:rPr>
          <w:rFonts w:cs="Arial"/>
        </w:rPr>
        <w:t xml:space="preserve"> M., </w:t>
      </w:r>
      <w:proofErr w:type="spellStart"/>
      <w:r w:rsidRPr="00507E67">
        <w:rPr>
          <w:rFonts w:cs="Arial"/>
        </w:rPr>
        <w:t>Prodpran</w:t>
      </w:r>
      <w:proofErr w:type="spellEnd"/>
      <w:r w:rsidRPr="00507E67">
        <w:rPr>
          <w:rFonts w:cs="Arial"/>
        </w:rPr>
        <w:t xml:space="preserve"> T., Zhang B., Aluko R.E., </w:t>
      </w:r>
      <w:proofErr w:type="spellStart"/>
      <w:r w:rsidRPr="00507E67">
        <w:rPr>
          <w:rFonts w:cs="Arial"/>
        </w:rPr>
        <w:t>Benjakul</w:t>
      </w:r>
      <w:proofErr w:type="spellEnd"/>
      <w:r w:rsidRPr="00507E67">
        <w:rPr>
          <w:rFonts w:cs="Arial"/>
        </w:rPr>
        <w:t xml:space="preserve"> S., 2021. Liposomes loaded with betel leaf </w:t>
      </w:r>
      <w:r w:rsidRPr="004B449B">
        <w:rPr>
          <w:rFonts w:cs="Arial"/>
          <w:i/>
          <w:iCs/>
        </w:rPr>
        <w:t xml:space="preserve">(Piper </w:t>
      </w:r>
      <w:proofErr w:type="spellStart"/>
      <w:r w:rsidRPr="004B449B">
        <w:rPr>
          <w:rFonts w:cs="Arial"/>
          <w:i/>
          <w:iCs/>
        </w:rPr>
        <w:t>betle</w:t>
      </w:r>
      <w:proofErr w:type="spellEnd"/>
      <w:r w:rsidRPr="00507E67">
        <w:rPr>
          <w:rFonts w:cs="Arial"/>
        </w:rPr>
        <w:t xml:space="preserve"> L.) ethanolic extract prepared by thin film hydration and ethanol injection methods: Characteristics and antioxidant activities. J. Food </w:t>
      </w:r>
      <w:proofErr w:type="spellStart"/>
      <w:r w:rsidRPr="00507E67">
        <w:rPr>
          <w:rFonts w:cs="Arial"/>
        </w:rPr>
        <w:t>Biochem</w:t>
      </w:r>
      <w:proofErr w:type="spellEnd"/>
      <w:r w:rsidRPr="00507E67">
        <w:rPr>
          <w:rFonts w:cs="Arial"/>
        </w:rPr>
        <w:t>. 45, e14012. https://doi.org/10.1111/jfbc.14012</w:t>
      </w:r>
    </w:p>
    <w:p w14:paraId="64F545FA" w14:textId="7E49BB60" w:rsidR="00507E67" w:rsidRPr="00507E67" w:rsidRDefault="00507E67" w:rsidP="00507E67">
      <w:pPr>
        <w:pStyle w:val="Bibliografija"/>
        <w:rPr>
          <w:rFonts w:cs="Arial"/>
        </w:rPr>
      </w:pPr>
      <w:proofErr w:type="spellStart"/>
      <w:r w:rsidRPr="00507E67">
        <w:rPr>
          <w:rFonts w:cs="Arial"/>
        </w:rPr>
        <w:t>Tomnikova</w:t>
      </w:r>
      <w:proofErr w:type="spellEnd"/>
      <w:r w:rsidRPr="00507E67">
        <w:rPr>
          <w:rFonts w:cs="Arial"/>
        </w:rPr>
        <w:t xml:space="preserve"> A., </w:t>
      </w:r>
      <w:proofErr w:type="spellStart"/>
      <w:r w:rsidRPr="00507E67">
        <w:rPr>
          <w:rFonts w:cs="Arial"/>
        </w:rPr>
        <w:t>Orgonikova</w:t>
      </w:r>
      <w:proofErr w:type="spellEnd"/>
      <w:r w:rsidRPr="00507E67">
        <w:rPr>
          <w:rFonts w:cs="Arial"/>
        </w:rPr>
        <w:t xml:space="preserve"> A., Krizek T., 2022. Liposomes: preparation and characterization with a special focus on the application of capillary electrophoresis. </w:t>
      </w:r>
      <w:proofErr w:type="spellStart"/>
      <w:r w:rsidRPr="00507E67">
        <w:rPr>
          <w:rFonts w:cs="Arial"/>
        </w:rPr>
        <w:t>Monatsh</w:t>
      </w:r>
      <w:proofErr w:type="spellEnd"/>
      <w:r w:rsidRPr="00507E67">
        <w:rPr>
          <w:rFonts w:cs="Arial"/>
        </w:rPr>
        <w:t xml:space="preserve"> Chem 153, 687–695. https://doi.org/10.1007/s00706-022-02966-0</w:t>
      </w:r>
    </w:p>
    <w:p w14:paraId="00BA3D4F" w14:textId="4B2B9901" w:rsidR="00C52C3C" w:rsidRPr="009A4F7F" w:rsidRDefault="00507E67" w:rsidP="002875EC">
      <w:pPr>
        <w:pStyle w:val="Bibliografija"/>
        <w:rPr>
          <w:lang w:val="en-US"/>
        </w:rPr>
      </w:pPr>
      <w:r w:rsidRPr="00507E67">
        <w:rPr>
          <w:rFonts w:cs="Arial"/>
        </w:rPr>
        <w:t xml:space="preserve">Wang A., Ahmad A., Ullah S., Cheng L., </w:t>
      </w:r>
      <w:proofErr w:type="spellStart"/>
      <w:r w:rsidRPr="00507E67">
        <w:rPr>
          <w:rFonts w:cs="Arial"/>
        </w:rPr>
        <w:t>Ke</w:t>
      </w:r>
      <w:proofErr w:type="spellEnd"/>
      <w:r w:rsidRPr="00507E67">
        <w:rPr>
          <w:rFonts w:cs="Arial"/>
        </w:rPr>
        <w:t xml:space="preserve"> L., Yuan Q., 2017. A Cheap and Convenient Method of Liposome Preparation Using Glass Beads as a Source of Shear Force. AAPS </w:t>
      </w:r>
      <w:proofErr w:type="spellStart"/>
      <w:r w:rsidRPr="00507E67">
        <w:rPr>
          <w:rFonts w:cs="Arial"/>
        </w:rPr>
        <w:t>PharmSciTech</w:t>
      </w:r>
      <w:proofErr w:type="spellEnd"/>
      <w:r w:rsidRPr="00507E67">
        <w:rPr>
          <w:rFonts w:cs="Arial"/>
        </w:rPr>
        <w:t xml:space="preserve"> 18, 3227–3235. https://doi.org/10.1208/s12249-017-0812-3</w:t>
      </w:r>
      <w:r w:rsidR="00DF1C27">
        <w:rPr>
          <w:lang w:val="en-US"/>
        </w:rPr>
        <w:fldChar w:fldCharType="end"/>
      </w:r>
    </w:p>
    <w:sectPr w:rsidR="00C52C3C" w:rsidRPr="009A4F7F"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BDA4" w14:textId="77777777" w:rsidR="00C6113A" w:rsidRDefault="00C6113A" w:rsidP="004F5E36">
      <w:r>
        <w:separator/>
      </w:r>
    </w:p>
  </w:endnote>
  <w:endnote w:type="continuationSeparator" w:id="0">
    <w:p w14:paraId="7B979010" w14:textId="77777777" w:rsidR="00C6113A" w:rsidRDefault="00C6113A" w:rsidP="004F5E36">
      <w:r>
        <w:continuationSeparator/>
      </w:r>
    </w:p>
  </w:endnote>
  <w:endnote w:type="continuationNotice" w:id="1">
    <w:p w14:paraId="1476331B" w14:textId="77777777" w:rsidR="00C6113A" w:rsidRDefault="00C611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7B24C" w14:textId="77777777" w:rsidR="00C6113A" w:rsidRDefault="00C6113A" w:rsidP="004F5E36">
      <w:r>
        <w:separator/>
      </w:r>
    </w:p>
  </w:footnote>
  <w:footnote w:type="continuationSeparator" w:id="0">
    <w:p w14:paraId="70F5B719" w14:textId="77777777" w:rsidR="00C6113A" w:rsidRDefault="00C6113A" w:rsidP="004F5E36">
      <w:r>
        <w:continuationSeparator/>
      </w:r>
    </w:p>
  </w:footnote>
  <w:footnote w:type="continuationNotice" w:id="1">
    <w:p w14:paraId="0B6158CB" w14:textId="77777777" w:rsidR="00C6113A" w:rsidRDefault="00C6113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Otevilenseznam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Otevilenseznam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Otevilenseznam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Otevilenseznam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Oznaenseznam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Oznaenseznam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Oznaenseznam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Oznaenseznam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preprost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Mq4FAPCCjrUtAAAA"/>
  </w:docVars>
  <w:rsids>
    <w:rsidRoot w:val="000E414A"/>
    <w:rsid w:val="000027C0"/>
    <w:rsid w:val="0000479B"/>
    <w:rsid w:val="000052FB"/>
    <w:rsid w:val="00007210"/>
    <w:rsid w:val="000117CB"/>
    <w:rsid w:val="00013051"/>
    <w:rsid w:val="00014244"/>
    <w:rsid w:val="0002138F"/>
    <w:rsid w:val="000231EB"/>
    <w:rsid w:val="00023213"/>
    <w:rsid w:val="000232CE"/>
    <w:rsid w:val="00024AEC"/>
    <w:rsid w:val="0003148D"/>
    <w:rsid w:val="000318A4"/>
    <w:rsid w:val="00031DC9"/>
    <w:rsid w:val="00031EEC"/>
    <w:rsid w:val="0003443B"/>
    <w:rsid w:val="000379E9"/>
    <w:rsid w:val="00041680"/>
    <w:rsid w:val="00051566"/>
    <w:rsid w:val="000562A9"/>
    <w:rsid w:val="00061940"/>
    <w:rsid w:val="00062A9A"/>
    <w:rsid w:val="0006388B"/>
    <w:rsid w:val="00065058"/>
    <w:rsid w:val="0006543F"/>
    <w:rsid w:val="00066E23"/>
    <w:rsid w:val="0007612A"/>
    <w:rsid w:val="000819E5"/>
    <w:rsid w:val="0008487A"/>
    <w:rsid w:val="00086C39"/>
    <w:rsid w:val="0009414C"/>
    <w:rsid w:val="00097AC6"/>
    <w:rsid w:val="000A03B2"/>
    <w:rsid w:val="000A10D7"/>
    <w:rsid w:val="000A56DE"/>
    <w:rsid w:val="000B62D7"/>
    <w:rsid w:val="000B73AC"/>
    <w:rsid w:val="000C026A"/>
    <w:rsid w:val="000C4984"/>
    <w:rsid w:val="000C4A49"/>
    <w:rsid w:val="000C6CE5"/>
    <w:rsid w:val="000D0016"/>
    <w:rsid w:val="000D0268"/>
    <w:rsid w:val="000D1FC3"/>
    <w:rsid w:val="000D286D"/>
    <w:rsid w:val="000D34BE"/>
    <w:rsid w:val="000E0909"/>
    <w:rsid w:val="000E102F"/>
    <w:rsid w:val="000E36F1"/>
    <w:rsid w:val="000E3A73"/>
    <w:rsid w:val="000E414A"/>
    <w:rsid w:val="000E4FFB"/>
    <w:rsid w:val="000E50ED"/>
    <w:rsid w:val="000E69DE"/>
    <w:rsid w:val="000F093C"/>
    <w:rsid w:val="000F1B8E"/>
    <w:rsid w:val="000F251D"/>
    <w:rsid w:val="000F4220"/>
    <w:rsid w:val="000F787B"/>
    <w:rsid w:val="00100034"/>
    <w:rsid w:val="00106C7E"/>
    <w:rsid w:val="00107302"/>
    <w:rsid w:val="00115D8F"/>
    <w:rsid w:val="0012091F"/>
    <w:rsid w:val="00126BC2"/>
    <w:rsid w:val="001308B6"/>
    <w:rsid w:val="0013121F"/>
    <w:rsid w:val="00131FE6"/>
    <w:rsid w:val="0013263F"/>
    <w:rsid w:val="001331DF"/>
    <w:rsid w:val="00134DE4"/>
    <w:rsid w:val="0014034D"/>
    <w:rsid w:val="00144D16"/>
    <w:rsid w:val="001508B1"/>
    <w:rsid w:val="00150E59"/>
    <w:rsid w:val="00152C67"/>
    <w:rsid w:val="00152DE3"/>
    <w:rsid w:val="00153225"/>
    <w:rsid w:val="00154009"/>
    <w:rsid w:val="00164CF9"/>
    <w:rsid w:val="001667A6"/>
    <w:rsid w:val="001667E6"/>
    <w:rsid w:val="00166DF2"/>
    <w:rsid w:val="00173EED"/>
    <w:rsid w:val="001766B5"/>
    <w:rsid w:val="00177ABC"/>
    <w:rsid w:val="00184AD6"/>
    <w:rsid w:val="001950A5"/>
    <w:rsid w:val="001A1930"/>
    <w:rsid w:val="001A19F4"/>
    <w:rsid w:val="001A4AF7"/>
    <w:rsid w:val="001A5E43"/>
    <w:rsid w:val="001B0349"/>
    <w:rsid w:val="001B1C75"/>
    <w:rsid w:val="001B1E93"/>
    <w:rsid w:val="001B4E20"/>
    <w:rsid w:val="001B65C1"/>
    <w:rsid w:val="001C07E7"/>
    <w:rsid w:val="001C684B"/>
    <w:rsid w:val="001D0CFB"/>
    <w:rsid w:val="001D21AF"/>
    <w:rsid w:val="001D53FC"/>
    <w:rsid w:val="001F42A5"/>
    <w:rsid w:val="001F5ECA"/>
    <w:rsid w:val="001F7B9D"/>
    <w:rsid w:val="0020040A"/>
    <w:rsid w:val="00200971"/>
    <w:rsid w:val="00201C93"/>
    <w:rsid w:val="00203B1A"/>
    <w:rsid w:val="0021551B"/>
    <w:rsid w:val="0021630A"/>
    <w:rsid w:val="00217E4E"/>
    <w:rsid w:val="00220706"/>
    <w:rsid w:val="0022088B"/>
    <w:rsid w:val="00221028"/>
    <w:rsid w:val="002224B4"/>
    <w:rsid w:val="00222739"/>
    <w:rsid w:val="002244F6"/>
    <w:rsid w:val="00224646"/>
    <w:rsid w:val="002447EF"/>
    <w:rsid w:val="0024703B"/>
    <w:rsid w:val="00251550"/>
    <w:rsid w:val="0025418E"/>
    <w:rsid w:val="00261806"/>
    <w:rsid w:val="00262E20"/>
    <w:rsid w:val="00263B05"/>
    <w:rsid w:val="00270044"/>
    <w:rsid w:val="0027221A"/>
    <w:rsid w:val="00273656"/>
    <w:rsid w:val="00274D28"/>
    <w:rsid w:val="00275B61"/>
    <w:rsid w:val="00276E69"/>
    <w:rsid w:val="00280FAF"/>
    <w:rsid w:val="002823FB"/>
    <w:rsid w:val="00282656"/>
    <w:rsid w:val="00282FFF"/>
    <w:rsid w:val="002875EC"/>
    <w:rsid w:val="00291644"/>
    <w:rsid w:val="00292934"/>
    <w:rsid w:val="00296B83"/>
    <w:rsid w:val="002970B2"/>
    <w:rsid w:val="002A08F8"/>
    <w:rsid w:val="002A4E32"/>
    <w:rsid w:val="002B4015"/>
    <w:rsid w:val="002B4683"/>
    <w:rsid w:val="002B5958"/>
    <w:rsid w:val="002B6006"/>
    <w:rsid w:val="002B73B4"/>
    <w:rsid w:val="002B78CE"/>
    <w:rsid w:val="002C177B"/>
    <w:rsid w:val="002C22C5"/>
    <w:rsid w:val="002C2FB6"/>
    <w:rsid w:val="002C3078"/>
    <w:rsid w:val="002C6FEE"/>
    <w:rsid w:val="002D5C0C"/>
    <w:rsid w:val="002E15DD"/>
    <w:rsid w:val="002E3675"/>
    <w:rsid w:val="002E4D19"/>
    <w:rsid w:val="002E5DF5"/>
    <w:rsid w:val="002E5FA7"/>
    <w:rsid w:val="002F3309"/>
    <w:rsid w:val="002F52C5"/>
    <w:rsid w:val="003008CE"/>
    <w:rsid w:val="003009B7"/>
    <w:rsid w:val="00300E56"/>
    <w:rsid w:val="0030152C"/>
    <w:rsid w:val="003017DA"/>
    <w:rsid w:val="00303DE3"/>
    <w:rsid w:val="0030469C"/>
    <w:rsid w:val="00313A64"/>
    <w:rsid w:val="003158D3"/>
    <w:rsid w:val="00316F64"/>
    <w:rsid w:val="0031768F"/>
    <w:rsid w:val="00321CA6"/>
    <w:rsid w:val="00322C45"/>
    <w:rsid w:val="00322EF3"/>
    <w:rsid w:val="003231A3"/>
    <w:rsid w:val="003236A5"/>
    <w:rsid w:val="00323763"/>
    <w:rsid w:val="00323C5F"/>
    <w:rsid w:val="003260DF"/>
    <w:rsid w:val="00326C14"/>
    <w:rsid w:val="00334C09"/>
    <w:rsid w:val="00337C44"/>
    <w:rsid w:val="00341F48"/>
    <w:rsid w:val="00360C4C"/>
    <w:rsid w:val="00364842"/>
    <w:rsid w:val="003723D4"/>
    <w:rsid w:val="00373548"/>
    <w:rsid w:val="00374808"/>
    <w:rsid w:val="003776CB"/>
    <w:rsid w:val="00381905"/>
    <w:rsid w:val="003838F4"/>
    <w:rsid w:val="00384CC8"/>
    <w:rsid w:val="00385691"/>
    <w:rsid w:val="003866EC"/>
    <w:rsid w:val="003871FD"/>
    <w:rsid w:val="003876C4"/>
    <w:rsid w:val="003A1E30"/>
    <w:rsid w:val="003A2829"/>
    <w:rsid w:val="003A7D1C"/>
    <w:rsid w:val="003B304B"/>
    <w:rsid w:val="003B3146"/>
    <w:rsid w:val="003B37C9"/>
    <w:rsid w:val="003B569E"/>
    <w:rsid w:val="003B7FE2"/>
    <w:rsid w:val="003D3F91"/>
    <w:rsid w:val="003D6779"/>
    <w:rsid w:val="003E6F9B"/>
    <w:rsid w:val="003F015E"/>
    <w:rsid w:val="003F447F"/>
    <w:rsid w:val="00400414"/>
    <w:rsid w:val="0041446B"/>
    <w:rsid w:val="00417B5C"/>
    <w:rsid w:val="0043798E"/>
    <w:rsid w:val="0044071E"/>
    <w:rsid w:val="00441BFD"/>
    <w:rsid w:val="0044329C"/>
    <w:rsid w:val="00452A74"/>
    <w:rsid w:val="00453A08"/>
    <w:rsid w:val="00453E24"/>
    <w:rsid w:val="00454825"/>
    <w:rsid w:val="0045523F"/>
    <w:rsid w:val="00457456"/>
    <w:rsid w:val="004577FE"/>
    <w:rsid w:val="00457B9C"/>
    <w:rsid w:val="0046164A"/>
    <w:rsid w:val="0046246C"/>
    <w:rsid w:val="004628D2"/>
    <w:rsid w:val="00462DCD"/>
    <w:rsid w:val="004648AD"/>
    <w:rsid w:val="00466C81"/>
    <w:rsid w:val="004703A9"/>
    <w:rsid w:val="004703C9"/>
    <w:rsid w:val="00472995"/>
    <w:rsid w:val="004760DE"/>
    <w:rsid w:val="004763D7"/>
    <w:rsid w:val="0047681E"/>
    <w:rsid w:val="00480912"/>
    <w:rsid w:val="0048471F"/>
    <w:rsid w:val="00493D9F"/>
    <w:rsid w:val="004A004E"/>
    <w:rsid w:val="004A1F95"/>
    <w:rsid w:val="004A24CF"/>
    <w:rsid w:val="004A3F76"/>
    <w:rsid w:val="004A65F3"/>
    <w:rsid w:val="004B449B"/>
    <w:rsid w:val="004B480F"/>
    <w:rsid w:val="004B4EC4"/>
    <w:rsid w:val="004B5214"/>
    <w:rsid w:val="004C3D1D"/>
    <w:rsid w:val="004C3D84"/>
    <w:rsid w:val="004C7913"/>
    <w:rsid w:val="004E1F2A"/>
    <w:rsid w:val="004E4DD6"/>
    <w:rsid w:val="004F0C1E"/>
    <w:rsid w:val="004F1EC4"/>
    <w:rsid w:val="004F5E36"/>
    <w:rsid w:val="005021B9"/>
    <w:rsid w:val="00506373"/>
    <w:rsid w:val="00507B47"/>
    <w:rsid w:val="00507BEF"/>
    <w:rsid w:val="00507CC9"/>
    <w:rsid w:val="00507E67"/>
    <w:rsid w:val="005119A5"/>
    <w:rsid w:val="00523083"/>
    <w:rsid w:val="005278B7"/>
    <w:rsid w:val="00532016"/>
    <w:rsid w:val="005346C8"/>
    <w:rsid w:val="00543E7D"/>
    <w:rsid w:val="00547A68"/>
    <w:rsid w:val="005531C9"/>
    <w:rsid w:val="005564E3"/>
    <w:rsid w:val="005659BE"/>
    <w:rsid w:val="00566DED"/>
    <w:rsid w:val="00567D6C"/>
    <w:rsid w:val="00570C43"/>
    <w:rsid w:val="00582E9F"/>
    <w:rsid w:val="00583BA3"/>
    <w:rsid w:val="0058617F"/>
    <w:rsid w:val="00590C67"/>
    <w:rsid w:val="00591457"/>
    <w:rsid w:val="0059238F"/>
    <w:rsid w:val="005B2110"/>
    <w:rsid w:val="005B3F19"/>
    <w:rsid w:val="005B5ED2"/>
    <w:rsid w:val="005B61E6"/>
    <w:rsid w:val="005C64A9"/>
    <w:rsid w:val="005C77E1"/>
    <w:rsid w:val="005D24E4"/>
    <w:rsid w:val="005D668A"/>
    <w:rsid w:val="005D6A2F"/>
    <w:rsid w:val="005E1A82"/>
    <w:rsid w:val="005E3808"/>
    <w:rsid w:val="005E794C"/>
    <w:rsid w:val="005F0A28"/>
    <w:rsid w:val="005F0E5E"/>
    <w:rsid w:val="005F2700"/>
    <w:rsid w:val="00600535"/>
    <w:rsid w:val="00605879"/>
    <w:rsid w:val="006106AE"/>
    <w:rsid w:val="00610CD6"/>
    <w:rsid w:val="00611320"/>
    <w:rsid w:val="006158BD"/>
    <w:rsid w:val="006169B8"/>
    <w:rsid w:val="00620DEE"/>
    <w:rsid w:val="00621F92"/>
    <w:rsid w:val="0062280A"/>
    <w:rsid w:val="00625639"/>
    <w:rsid w:val="0063141B"/>
    <w:rsid w:val="00631B33"/>
    <w:rsid w:val="006336C7"/>
    <w:rsid w:val="0063473E"/>
    <w:rsid w:val="0064100A"/>
    <w:rsid w:val="0064184D"/>
    <w:rsid w:val="006422CC"/>
    <w:rsid w:val="0064736E"/>
    <w:rsid w:val="00650D01"/>
    <w:rsid w:val="00654CD3"/>
    <w:rsid w:val="00660E3E"/>
    <w:rsid w:val="00662E74"/>
    <w:rsid w:val="00664FAE"/>
    <w:rsid w:val="00672B08"/>
    <w:rsid w:val="00680C23"/>
    <w:rsid w:val="006844ED"/>
    <w:rsid w:val="00691F0E"/>
    <w:rsid w:val="00693766"/>
    <w:rsid w:val="006A02FC"/>
    <w:rsid w:val="006A3281"/>
    <w:rsid w:val="006B4888"/>
    <w:rsid w:val="006B7135"/>
    <w:rsid w:val="006C2E45"/>
    <w:rsid w:val="006C359C"/>
    <w:rsid w:val="006C5579"/>
    <w:rsid w:val="006D6E8B"/>
    <w:rsid w:val="006E0292"/>
    <w:rsid w:val="006E40CC"/>
    <w:rsid w:val="006E737D"/>
    <w:rsid w:val="006F308E"/>
    <w:rsid w:val="006F48FF"/>
    <w:rsid w:val="006F69DD"/>
    <w:rsid w:val="00703FC7"/>
    <w:rsid w:val="00711476"/>
    <w:rsid w:val="00713973"/>
    <w:rsid w:val="00720A24"/>
    <w:rsid w:val="0072671B"/>
    <w:rsid w:val="00732386"/>
    <w:rsid w:val="00732979"/>
    <w:rsid w:val="0073297A"/>
    <w:rsid w:val="0073514D"/>
    <w:rsid w:val="00742CA7"/>
    <w:rsid w:val="00743DE5"/>
    <w:rsid w:val="007447F3"/>
    <w:rsid w:val="007507C9"/>
    <w:rsid w:val="007512BC"/>
    <w:rsid w:val="00753AFB"/>
    <w:rsid w:val="00754248"/>
    <w:rsid w:val="0075499F"/>
    <w:rsid w:val="0076178E"/>
    <w:rsid w:val="00763DA9"/>
    <w:rsid w:val="007661C8"/>
    <w:rsid w:val="00767B45"/>
    <w:rsid w:val="0077098D"/>
    <w:rsid w:val="0077472B"/>
    <w:rsid w:val="007761F7"/>
    <w:rsid w:val="007778E3"/>
    <w:rsid w:val="00781074"/>
    <w:rsid w:val="00786BA5"/>
    <w:rsid w:val="007929F1"/>
    <w:rsid w:val="007931FA"/>
    <w:rsid w:val="007A4861"/>
    <w:rsid w:val="007A7BBA"/>
    <w:rsid w:val="007B0C50"/>
    <w:rsid w:val="007B19BC"/>
    <w:rsid w:val="007B3F31"/>
    <w:rsid w:val="007B48F9"/>
    <w:rsid w:val="007B7311"/>
    <w:rsid w:val="007C1A43"/>
    <w:rsid w:val="007C4D15"/>
    <w:rsid w:val="007D0951"/>
    <w:rsid w:val="007D5F4B"/>
    <w:rsid w:val="007E4CF9"/>
    <w:rsid w:val="007E5F73"/>
    <w:rsid w:val="007F1F39"/>
    <w:rsid w:val="007F2EF4"/>
    <w:rsid w:val="0080013E"/>
    <w:rsid w:val="0080111C"/>
    <w:rsid w:val="008032A0"/>
    <w:rsid w:val="0080474C"/>
    <w:rsid w:val="008048A2"/>
    <w:rsid w:val="00813288"/>
    <w:rsid w:val="00815524"/>
    <w:rsid w:val="008168FC"/>
    <w:rsid w:val="0081768D"/>
    <w:rsid w:val="00821CBD"/>
    <w:rsid w:val="00822B1E"/>
    <w:rsid w:val="00830996"/>
    <w:rsid w:val="008345F1"/>
    <w:rsid w:val="00845847"/>
    <w:rsid w:val="00851E3D"/>
    <w:rsid w:val="00853247"/>
    <w:rsid w:val="00860769"/>
    <w:rsid w:val="0086204F"/>
    <w:rsid w:val="00864559"/>
    <w:rsid w:val="00865B07"/>
    <w:rsid w:val="008667EA"/>
    <w:rsid w:val="0087057A"/>
    <w:rsid w:val="0087637F"/>
    <w:rsid w:val="00877980"/>
    <w:rsid w:val="00886F3C"/>
    <w:rsid w:val="00887954"/>
    <w:rsid w:val="008910A3"/>
    <w:rsid w:val="008918EC"/>
    <w:rsid w:val="00892AD5"/>
    <w:rsid w:val="008954DE"/>
    <w:rsid w:val="008A1512"/>
    <w:rsid w:val="008A565F"/>
    <w:rsid w:val="008B048F"/>
    <w:rsid w:val="008B0A03"/>
    <w:rsid w:val="008B3916"/>
    <w:rsid w:val="008B4023"/>
    <w:rsid w:val="008C1279"/>
    <w:rsid w:val="008D112B"/>
    <w:rsid w:val="008D32B9"/>
    <w:rsid w:val="008D3C3B"/>
    <w:rsid w:val="008D433B"/>
    <w:rsid w:val="008D4A16"/>
    <w:rsid w:val="008D7F3B"/>
    <w:rsid w:val="008E2442"/>
    <w:rsid w:val="008E566E"/>
    <w:rsid w:val="008E6C39"/>
    <w:rsid w:val="008F4CA7"/>
    <w:rsid w:val="0090161A"/>
    <w:rsid w:val="00901EB6"/>
    <w:rsid w:val="00902210"/>
    <w:rsid w:val="00904C62"/>
    <w:rsid w:val="00907C23"/>
    <w:rsid w:val="00922BA8"/>
    <w:rsid w:val="00923060"/>
    <w:rsid w:val="0092306E"/>
    <w:rsid w:val="00923814"/>
    <w:rsid w:val="00924DAC"/>
    <w:rsid w:val="00926B5F"/>
    <w:rsid w:val="00927058"/>
    <w:rsid w:val="00933782"/>
    <w:rsid w:val="00933B8E"/>
    <w:rsid w:val="00941919"/>
    <w:rsid w:val="00942750"/>
    <w:rsid w:val="009450CE"/>
    <w:rsid w:val="009459BB"/>
    <w:rsid w:val="00947179"/>
    <w:rsid w:val="0095164B"/>
    <w:rsid w:val="00954090"/>
    <w:rsid w:val="00956752"/>
    <w:rsid w:val="009573E7"/>
    <w:rsid w:val="00963E05"/>
    <w:rsid w:val="00964A45"/>
    <w:rsid w:val="00964DBD"/>
    <w:rsid w:val="00967183"/>
    <w:rsid w:val="00967843"/>
    <w:rsid w:val="00967D54"/>
    <w:rsid w:val="00971028"/>
    <w:rsid w:val="00974188"/>
    <w:rsid w:val="00993B84"/>
    <w:rsid w:val="00996483"/>
    <w:rsid w:val="00996F5A"/>
    <w:rsid w:val="009973CF"/>
    <w:rsid w:val="009A0D11"/>
    <w:rsid w:val="009A3A78"/>
    <w:rsid w:val="009A48D2"/>
    <w:rsid w:val="009A4F7F"/>
    <w:rsid w:val="009B041A"/>
    <w:rsid w:val="009B4556"/>
    <w:rsid w:val="009B5050"/>
    <w:rsid w:val="009C1BE1"/>
    <w:rsid w:val="009C21D4"/>
    <w:rsid w:val="009C37C3"/>
    <w:rsid w:val="009C7C86"/>
    <w:rsid w:val="009D025B"/>
    <w:rsid w:val="009D1AF4"/>
    <w:rsid w:val="009D1CFA"/>
    <w:rsid w:val="009D22DD"/>
    <w:rsid w:val="009D2FF7"/>
    <w:rsid w:val="009E2D3D"/>
    <w:rsid w:val="009E2FCA"/>
    <w:rsid w:val="009E64C0"/>
    <w:rsid w:val="009E6C31"/>
    <w:rsid w:val="009E73E0"/>
    <w:rsid w:val="009E7884"/>
    <w:rsid w:val="009E788A"/>
    <w:rsid w:val="009F0E08"/>
    <w:rsid w:val="009F1CA1"/>
    <w:rsid w:val="00A05C77"/>
    <w:rsid w:val="00A106E4"/>
    <w:rsid w:val="00A1763D"/>
    <w:rsid w:val="00A17CEC"/>
    <w:rsid w:val="00A261CB"/>
    <w:rsid w:val="00A27B28"/>
    <w:rsid w:val="00A27EF0"/>
    <w:rsid w:val="00A32197"/>
    <w:rsid w:val="00A42275"/>
    <w:rsid w:val="00A42361"/>
    <w:rsid w:val="00A434B1"/>
    <w:rsid w:val="00A50B20"/>
    <w:rsid w:val="00A50B60"/>
    <w:rsid w:val="00A51390"/>
    <w:rsid w:val="00A60D13"/>
    <w:rsid w:val="00A61EB0"/>
    <w:rsid w:val="00A7223D"/>
    <w:rsid w:val="00A72745"/>
    <w:rsid w:val="00A76EFC"/>
    <w:rsid w:val="00A81D54"/>
    <w:rsid w:val="00A835FC"/>
    <w:rsid w:val="00A87D50"/>
    <w:rsid w:val="00A91010"/>
    <w:rsid w:val="00A97AEE"/>
    <w:rsid w:val="00A97F29"/>
    <w:rsid w:val="00AA1D7D"/>
    <w:rsid w:val="00AA5A1C"/>
    <w:rsid w:val="00AA702E"/>
    <w:rsid w:val="00AA7D26"/>
    <w:rsid w:val="00AB0964"/>
    <w:rsid w:val="00AB1107"/>
    <w:rsid w:val="00AB485C"/>
    <w:rsid w:val="00AB5011"/>
    <w:rsid w:val="00AC304F"/>
    <w:rsid w:val="00AC7368"/>
    <w:rsid w:val="00AD16B9"/>
    <w:rsid w:val="00AE377D"/>
    <w:rsid w:val="00AE399C"/>
    <w:rsid w:val="00AF0EBA"/>
    <w:rsid w:val="00AF1285"/>
    <w:rsid w:val="00AF4822"/>
    <w:rsid w:val="00AF4C73"/>
    <w:rsid w:val="00AF5018"/>
    <w:rsid w:val="00AF5CB4"/>
    <w:rsid w:val="00AF5E97"/>
    <w:rsid w:val="00B02C8A"/>
    <w:rsid w:val="00B17D22"/>
    <w:rsid w:val="00B17FBD"/>
    <w:rsid w:val="00B315A6"/>
    <w:rsid w:val="00B31813"/>
    <w:rsid w:val="00B322C3"/>
    <w:rsid w:val="00B33365"/>
    <w:rsid w:val="00B51ACD"/>
    <w:rsid w:val="00B522FB"/>
    <w:rsid w:val="00B54CBC"/>
    <w:rsid w:val="00B55699"/>
    <w:rsid w:val="00B57B36"/>
    <w:rsid w:val="00B57E6F"/>
    <w:rsid w:val="00B60668"/>
    <w:rsid w:val="00B63238"/>
    <w:rsid w:val="00B63C5E"/>
    <w:rsid w:val="00B71AB5"/>
    <w:rsid w:val="00B75D65"/>
    <w:rsid w:val="00B76F33"/>
    <w:rsid w:val="00B86340"/>
    <w:rsid w:val="00B8686D"/>
    <w:rsid w:val="00B90798"/>
    <w:rsid w:val="00B93F69"/>
    <w:rsid w:val="00BA0E3C"/>
    <w:rsid w:val="00BB1DDC"/>
    <w:rsid w:val="00BB6BB6"/>
    <w:rsid w:val="00BB794F"/>
    <w:rsid w:val="00BC30C9"/>
    <w:rsid w:val="00BC3C79"/>
    <w:rsid w:val="00BD077D"/>
    <w:rsid w:val="00BD6776"/>
    <w:rsid w:val="00BE185B"/>
    <w:rsid w:val="00BE3E58"/>
    <w:rsid w:val="00C01616"/>
    <w:rsid w:val="00C0162B"/>
    <w:rsid w:val="00C05CEB"/>
    <w:rsid w:val="00C068ED"/>
    <w:rsid w:val="00C06CBF"/>
    <w:rsid w:val="00C149B5"/>
    <w:rsid w:val="00C1712F"/>
    <w:rsid w:val="00C2088A"/>
    <w:rsid w:val="00C22492"/>
    <w:rsid w:val="00C22E0C"/>
    <w:rsid w:val="00C244AE"/>
    <w:rsid w:val="00C25C03"/>
    <w:rsid w:val="00C277DC"/>
    <w:rsid w:val="00C345B1"/>
    <w:rsid w:val="00C34CFE"/>
    <w:rsid w:val="00C40142"/>
    <w:rsid w:val="00C43C96"/>
    <w:rsid w:val="00C465BA"/>
    <w:rsid w:val="00C51ACD"/>
    <w:rsid w:val="00C52B9F"/>
    <w:rsid w:val="00C52C3C"/>
    <w:rsid w:val="00C57182"/>
    <w:rsid w:val="00C57863"/>
    <w:rsid w:val="00C6113A"/>
    <w:rsid w:val="00C640AF"/>
    <w:rsid w:val="00C655FD"/>
    <w:rsid w:val="00C658EE"/>
    <w:rsid w:val="00C67EC9"/>
    <w:rsid w:val="00C75407"/>
    <w:rsid w:val="00C85E28"/>
    <w:rsid w:val="00C870A8"/>
    <w:rsid w:val="00C92274"/>
    <w:rsid w:val="00C92D8B"/>
    <w:rsid w:val="00C94434"/>
    <w:rsid w:val="00C9445E"/>
    <w:rsid w:val="00C976FE"/>
    <w:rsid w:val="00CA0D75"/>
    <w:rsid w:val="00CA1C95"/>
    <w:rsid w:val="00CA208B"/>
    <w:rsid w:val="00CA3076"/>
    <w:rsid w:val="00CA444E"/>
    <w:rsid w:val="00CA5A9C"/>
    <w:rsid w:val="00CB7F68"/>
    <w:rsid w:val="00CC0F4F"/>
    <w:rsid w:val="00CC4C20"/>
    <w:rsid w:val="00CC611F"/>
    <w:rsid w:val="00CD2F15"/>
    <w:rsid w:val="00CD3517"/>
    <w:rsid w:val="00CD45F3"/>
    <w:rsid w:val="00CD5FE2"/>
    <w:rsid w:val="00CE5528"/>
    <w:rsid w:val="00CE7C68"/>
    <w:rsid w:val="00CF0F0D"/>
    <w:rsid w:val="00D02B4C"/>
    <w:rsid w:val="00D040C4"/>
    <w:rsid w:val="00D07034"/>
    <w:rsid w:val="00D11738"/>
    <w:rsid w:val="00D117CD"/>
    <w:rsid w:val="00D13234"/>
    <w:rsid w:val="00D20AD1"/>
    <w:rsid w:val="00D26BAA"/>
    <w:rsid w:val="00D317B6"/>
    <w:rsid w:val="00D31D9F"/>
    <w:rsid w:val="00D33989"/>
    <w:rsid w:val="00D35148"/>
    <w:rsid w:val="00D36EA8"/>
    <w:rsid w:val="00D40F68"/>
    <w:rsid w:val="00D4188A"/>
    <w:rsid w:val="00D43BE6"/>
    <w:rsid w:val="00D46B7E"/>
    <w:rsid w:val="00D511B5"/>
    <w:rsid w:val="00D53A54"/>
    <w:rsid w:val="00D573B2"/>
    <w:rsid w:val="00D57C84"/>
    <w:rsid w:val="00D6057D"/>
    <w:rsid w:val="00D615A0"/>
    <w:rsid w:val="00D65D3E"/>
    <w:rsid w:val="00D707AD"/>
    <w:rsid w:val="00D70EF4"/>
    <w:rsid w:val="00D71640"/>
    <w:rsid w:val="00D7438A"/>
    <w:rsid w:val="00D771B7"/>
    <w:rsid w:val="00D7757F"/>
    <w:rsid w:val="00D82160"/>
    <w:rsid w:val="00D836C5"/>
    <w:rsid w:val="00D84576"/>
    <w:rsid w:val="00D85C37"/>
    <w:rsid w:val="00DA1399"/>
    <w:rsid w:val="00DA24C6"/>
    <w:rsid w:val="00DA2964"/>
    <w:rsid w:val="00DA4D7B"/>
    <w:rsid w:val="00DB16DD"/>
    <w:rsid w:val="00DB692E"/>
    <w:rsid w:val="00DC7844"/>
    <w:rsid w:val="00DD271C"/>
    <w:rsid w:val="00DD28F7"/>
    <w:rsid w:val="00DD3E0F"/>
    <w:rsid w:val="00DD4E6C"/>
    <w:rsid w:val="00DE1867"/>
    <w:rsid w:val="00DE2005"/>
    <w:rsid w:val="00DE264A"/>
    <w:rsid w:val="00DF1C27"/>
    <w:rsid w:val="00DF2D0C"/>
    <w:rsid w:val="00DF5072"/>
    <w:rsid w:val="00DF6B24"/>
    <w:rsid w:val="00E01B49"/>
    <w:rsid w:val="00E02D18"/>
    <w:rsid w:val="00E041E7"/>
    <w:rsid w:val="00E0676E"/>
    <w:rsid w:val="00E10037"/>
    <w:rsid w:val="00E100C2"/>
    <w:rsid w:val="00E10ADB"/>
    <w:rsid w:val="00E12DC9"/>
    <w:rsid w:val="00E22F17"/>
    <w:rsid w:val="00E2310E"/>
    <w:rsid w:val="00E23CA1"/>
    <w:rsid w:val="00E248C4"/>
    <w:rsid w:val="00E26FE6"/>
    <w:rsid w:val="00E36DDB"/>
    <w:rsid w:val="00E409A8"/>
    <w:rsid w:val="00E453BD"/>
    <w:rsid w:val="00E45D77"/>
    <w:rsid w:val="00E50C12"/>
    <w:rsid w:val="00E547F9"/>
    <w:rsid w:val="00E65AA6"/>
    <w:rsid w:val="00E65B91"/>
    <w:rsid w:val="00E7209D"/>
    <w:rsid w:val="00E72EAD"/>
    <w:rsid w:val="00E752D9"/>
    <w:rsid w:val="00E77223"/>
    <w:rsid w:val="00E83F5D"/>
    <w:rsid w:val="00E84C9B"/>
    <w:rsid w:val="00E8528B"/>
    <w:rsid w:val="00E85B94"/>
    <w:rsid w:val="00E90227"/>
    <w:rsid w:val="00E909E7"/>
    <w:rsid w:val="00E949A1"/>
    <w:rsid w:val="00E9597D"/>
    <w:rsid w:val="00E978D0"/>
    <w:rsid w:val="00EA4613"/>
    <w:rsid w:val="00EA4E17"/>
    <w:rsid w:val="00EA7F91"/>
    <w:rsid w:val="00EB1523"/>
    <w:rsid w:val="00EB5CB9"/>
    <w:rsid w:val="00EC0E49"/>
    <w:rsid w:val="00EC101F"/>
    <w:rsid w:val="00EC18BE"/>
    <w:rsid w:val="00EC1D9F"/>
    <w:rsid w:val="00EC523A"/>
    <w:rsid w:val="00ED61C3"/>
    <w:rsid w:val="00ED736F"/>
    <w:rsid w:val="00ED7AAF"/>
    <w:rsid w:val="00EE0131"/>
    <w:rsid w:val="00EE17B0"/>
    <w:rsid w:val="00EE20F1"/>
    <w:rsid w:val="00EE2405"/>
    <w:rsid w:val="00EE39A2"/>
    <w:rsid w:val="00EE407B"/>
    <w:rsid w:val="00EF06D9"/>
    <w:rsid w:val="00EF278D"/>
    <w:rsid w:val="00F023C2"/>
    <w:rsid w:val="00F146C4"/>
    <w:rsid w:val="00F2465E"/>
    <w:rsid w:val="00F24904"/>
    <w:rsid w:val="00F26CAE"/>
    <w:rsid w:val="00F3049E"/>
    <w:rsid w:val="00F30C64"/>
    <w:rsid w:val="00F316C7"/>
    <w:rsid w:val="00F32167"/>
    <w:rsid w:val="00F32BA2"/>
    <w:rsid w:val="00F32CDB"/>
    <w:rsid w:val="00F350D0"/>
    <w:rsid w:val="00F37F69"/>
    <w:rsid w:val="00F452A6"/>
    <w:rsid w:val="00F4725F"/>
    <w:rsid w:val="00F5310B"/>
    <w:rsid w:val="00F565FE"/>
    <w:rsid w:val="00F617DA"/>
    <w:rsid w:val="00F6221A"/>
    <w:rsid w:val="00F63A70"/>
    <w:rsid w:val="00F63D8C"/>
    <w:rsid w:val="00F7534E"/>
    <w:rsid w:val="00F8114B"/>
    <w:rsid w:val="00F81AEB"/>
    <w:rsid w:val="00F85B44"/>
    <w:rsid w:val="00F866D4"/>
    <w:rsid w:val="00F91F86"/>
    <w:rsid w:val="00F929DC"/>
    <w:rsid w:val="00F92CB2"/>
    <w:rsid w:val="00F93EDF"/>
    <w:rsid w:val="00F93FE6"/>
    <w:rsid w:val="00F94184"/>
    <w:rsid w:val="00F9505E"/>
    <w:rsid w:val="00F955CE"/>
    <w:rsid w:val="00F97340"/>
    <w:rsid w:val="00FA1802"/>
    <w:rsid w:val="00FA21D0"/>
    <w:rsid w:val="00FA2C1C"/>
    <w:rsid w:val="00FA5F5F"/>
    <w:rsid w:val="00FB0601"/>
    <w:rsid w:val="00FB730C"/>
    <w:rsid w:val="00FC2192"/>
    <w:rsid w:val="00FC2695"/>
    <w:rsid w:val="00FC2FCD"/>
    <w:rsid w:val="00FC3E03"/>
    <w:rsid w:val="00FC3FC1"/>
    <w:rsid w:val="00FD0D03"/>
    <w:rsid w:val="00FD14BF"/>
    <w:rsid w:val="00FE27A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slov1">
    <w:name w:val="heading 1"/>
    <w:basedOn w:val="CETHeading1"/>
    <w:next w:val="Navaden"/>
    <w:link w:val="Naslov1Znak"/>
    <w:uiPriority w:val="9"/>
    <w:rsid w:val="004F5E36"/>
    <w:pPr>
      <w:tabs>
        <w:tab w:val="clear" w:pos="360"/>
        <w:tab w:val="right" w:pos="7100"/>
      </w:tabs>
      <w:jc w:val="both"/>
      <w:outlineLvl w:val="0"/>
    </w:pPr>
    <w:rPr>
      <w:lang w:val="en-GB"/>
    </w:rPr>
  </w:style>
  <w:style w:type="paragraph" w:styleId="Naslov2">
    <w:name w:val="heading 2"/>
    <w:basedOn w:val="Navaden"/>
    <w:next w:val="Navaden"/>
    <w:link w:val="Naslov2Znak"/>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slov9">
    <w:name w:val="heading 9"/>
    <w:basedOn w:val="Navaden"/>
    <w:next w:val="Navaden"/>
    <w:link w:val="Naslov9Znak"/>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preprosta1">
    <w:name w:val="Table Simple 1"/>
    <w:basedOn w:val="Navadnatabela"/>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Pripombasklic">
    <w:name w:val="annotation reference"/>
    <w:basedOn w:val="Privzetapisavaodstavka"/>
    <w:uiPriority w:val="99"/>
    <w:semiHidden/>
    <w:unhideWhenUsed/>
    <w:rsid w:val="004577FE"/>
    <w:rPr>
      <w:sz w:val="16"/>
      <w:szCs w:val="16"/>
    </w:rPr>
  </w:style>
  <w:style w:type="paragraph" w:styleId="Besedilooblaka">
    <w:name w:val="Balloon Text"/>
    <w:basedOn w:val="Navaden"/>
    <w:link w:val="BesedilooblakaZnak"/>
    <w:uiPriority w:val="99"/>
    <w:semiHidden/>
    <w:unhideWhenUsed/>
    <w:rsid w:val="000D34B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D34BE"/>
    <w:rPr>
      <w:rFonts w:ascii="Tahoma" w:hAnsi="Tahoma" w:cs="Tahoma"/>
      <w:sz w:val="16"/>
      <w:szCs w:val="16"/>
    </w:rPr>
  </w:style>
  <w:style w:type="paragraph" w:styleId="Bibliografija">
    <w:name w:val="Bibliography"/>
    <w:basedOn w:val="CETReferencetext"/>
    <w:uiPriority w:val="37"/>
    <w:unhideWhenUsed/>
    <w:rsid w:val="00631B33"/>
    <w:pPr>
      <w:spacing w:line="240" w:lineRule="auto"/>
      <w:ind w:left="720" w:hanging="720"/>
    </w:pPr>
  </w:style>
  <w:style w:type="paragraph" w:styleId="Telobesedila2">
    <w:name w:val="Body Text 2"/>
    <w:basedOn w:val="Navaden"/>
    <w:link w:val="Telobesedila2Znak"/>
    <w:uiPriority w:val="99"/>
    <w:semiHidden/>
    <w:unhideWhenUsed/>
    <w:rsid w:val="0003148D"/>
    <w:pPr>
      <w:spacing w:after="120" w:line="480" w:lineRule="auto"/>
    </w:pPr>
  </w:style>
  <w:style w:type="character" w:customStyle="1" w:styleId="Telobesedila2Znak">
    <w:name w:val="Telo besedila 2 Znak"/>
    <w:basedOn w:val="Privzetapisavaodstavka"/>
    <w:link w:val="Telobesedila2"/>
    <w:uiPriority w:val="99"/>
    <w:semiHidden/>
    <w:rsid w:val="0003148D"/>
  </w:style>
  <w:style w:type="paragraph" w:styleId="Telobesedila3">
    <w:name w:val="Body Text 3"/>
    <w:basedOn w:val="Navaden"/>
    <w:link w:val="Telobesedila3Znak"/>
    <w:uiPriority w:val="99"/>
    <w:semiHidden/>
    <w:unhideWhenUsed/>
    <w:rsid w:val="0003148D"/>
    <w:pPr>
      <w:spacing w:after="120"/>
    </w:pPr>
    <w:rPr>
      <w:sz w:val="16"/>
      <w:szCs w:val="16"/>
    </w:rPr>
  </w:style>
  <w:style w:type="character" w:customStyle="1" w:styleId="Telobesedila3Znak">
    <w:name w:val="Telo besedila 3 Znak"/>
    <w:basedOn w:val="Privzetapisavaodstavka"/>
    <w:link w:val="Telobesedila3"/>
    <w:uiPriority w:val="99"/>
    <w:semiHidden/>
    <w:rsid w:val="0003148D"/>
    <w:rPr>
      <w:sz w:val="16"/>
      <w:szCs w:val="16"/>
    </w:rPr>
  </w:style>
  <w:style w:type="paragraph" w:styleId="Telobesedila">
    <w:name w:val="Body Text"/>
    <w:basedOn w:val="Navaden"/>
    <w:link w:val="TelobesedilaZnak"/>
    <w:uiPriority w:val="99"/>
    <w:semiHidden/>
    <w:unhideWhenUsed/>
    <w:rsid w:val="0003148D"/>
    <w:pPr>
      <w:spacing w:after="120"/>
    </w:pPr>
  </w:style>
  <w:style w:type="character" w:customStyle="1" w:styleId="TelobesedilaZnak">
    <w:name w:val="Telo besedila Znak"/>
    <w:basedOn w:val="Privzetapisavaodstavka"/>
    <w:link w:val="Telobesedila"/>
    <w:uiPriority w:val="99"/>
    <w:semiHidden/>
    <w:rsid w:val="0003148D"/>
  </w:style>
  <w:style w:type="paragraph" w:styleId="Datum">
    <w:name w:val="Date"/>
    <w:basedOn w:val="Navaden"/>
    <w:next w:val="Navaden"/>
    <w:link w:val="DatumZnak"/>
    <w:uiPriority w:val="99"/>
    <w:semiHidden/>
    <w:unhideWhenUsed/>
    <w:rsid w:val="0003148D"/>
  </w:style>
  <w:style w:type="character" w:customStyle="1" w:styleId="DatumZnak">
    <w:name w:val="Datum Znak"/>
    <w:basedOn w:val="Privzetapisavaodstavka"/>
    <w:link w:val="Datum"/>
    <w:uiPriority w:val="99"/>
    <w:semiHidden/>
    <w:rsid w:val="0003148D"/>
  </w:style>
  <w:style w:type="paragraph" w:styleId="Napis">
    <w:name w:val="caption"/>
    <w:basedOn w:val="Navaden"/>
    <w:next w:val="Navaden"/>
    <w:uiPriority w:val="35"/>
    <w:semiHidden/>
    <w:unhideWhenUsed/>
    <w:qFormat/>
    <w:rsid w:val="0003148D"/>
    <w:pPr>
      <w:spacing w:line="240" w:lineRule="auto"/>
    </w:pPr>
    <w:rPr>
      <w:b/>
      <w:bCs/>
      <w:color w:val="4F81BD" w:themeColor="accent1"/>
      <w:szCs w:val="18"/>
    </w:rPr>
  </w:style>
  <w:style w:type="paragraph" w:styleId="Seznam">
    <w:name w:val="List"/>
    <w:basedOn w:val="Navaden"/>
    <w:uiPriority w:val="99"/>
    <w:semiHidden/>
    <w:unhideWhenUsed/>
    <w:rsid w:val="0003148D"/>
    <w:pPr>
      <w:ind w:left="283" w:hanging="283"/>
      <w:contextualSpacing/>
    </w:pPr>
  </w:style>
  <w:style w:type="paragraph" w:styleId="Seznam2">
    <w:name w:val="List 2"/>
    <w:basedOn w:val="Navaden"/>
    <w:uiPriority w:val="99"/>
    <w:semiHidden/>
    <w:unhideWhenUsed/>
    <w:rsid w:val="0003148D"/>
    <w:pPr>
      <w:ind w:left="566" w:hanging="283"/>
      <w:contextualSpacing/>
    </w:pPr>
  </w:style>
  <w:style w:type="paragraph" w:styleId="Seznam3">
    <w:name w:val="List 3"/>
    <w:basedOn w:val="Navaden"/>
    <w:uiPriority w:val="99"/>
    <w:semiHidden/>
    <w:unhideWhenUsed/>
    <w:rsid w:val="0003148D"/>
    <w:pPr>
      <w:ind w:left="849" w:hanging="283"/>
      <w:contextualSpacing/>
    </w:pPr>
  </w:style>
  <w:style w:type="paragraph" w:styleId="Seznam4">
    <w:name w:val="List 4"/>
    <w:basedOn w:val="Navaden"/>
    <w:uiPriority w:val="99"/>
    <w:semiHidden/>
    <w:unhideWhenUsed/>
    <w:rsid w:val="0003148D"/>
    <w:pPr>
      <w:ind w:left="1132" w:hanging="283"/>
      <w:contextualSpacing/>
    </w:pPr>
  </w:style>
  <w:style w:type="paragraph" w:styleId="Seznam5">
    <w:name w:val="List 5"/>
    <w:basedOn w:val="Navaden"/>
    <w:uiPriority w:val="99"/>
    <w:semiHidden/>
    <w:unhideWhenUsed/>
    <w:rsid w:val="0003148D"/>
    <w:pPr>
      <w:ind w:left="1415" w:hanging="283"/>
      <w:contextualSpacing/>
    </w:pPr>
  </w:style>
  <w:style w:type="paragraph" w:styleId="Seznam-nadaljevanje">
    <w:name w:val="List Continue"/>
    <w:basedOn w:val="Navaden"/>
    <w:uiPriority w:val="99"/>
    <w:semiHidden/>
    <w:unhideWhenUsed/>
    <w:rsid w:val="0003148D"/>
    <w:pPr>
      <w:spacing w:after="120"/>
      <w:ind w:left="283"/>
      <w:contextualSpacing/>
    </w:pPr>
  </w:style>
  <w:style w:type="paragraph" w:styleId="Seznam-nadaljevanje2">
    <w:name w:val="List Continue 2"/>
    <w:basedOn w:val="Navaden"/>
    <w:uiPriority w:val="99"/>
    <w:semiHidden/>
    <w:unhideWhenUsed/>
    <w:rsid w:val="0003148D"/>
    <w:pPr>
      <w:spacing w:after="120"/>
      <w:ind w:left="566"/>
      <w:contextualSpacing/>
    </w:pPr>
  </w:style>
  <w:style w:type="paragraph" w:styleId="Seznam-nadaljevanje3">
    <w:name w:val="List Continue 3"/>
    <w:basedOn w:val="Navaden"/>
    <w:uiPriority w:val="99"/>
    <w:semiHidden/>
    <w:unhideWhenUsed/>
    <w:rsid w:val="0003148D"/>
    <w:pPr>
      <w:spacing w:after="120"/>
      <w:ind w:left="849"/>
      <w:contextualSpacing/>
    </w:pPr>
  </w:style>
  <w:style w:type="paragraph" w:styleId="Seznam-nadaljevanje4">
    <w:name w:val="List Continue 4"/>
    <w:basedOn w:val="Navaden"/>
    <w:uiPriority w:val="99"/>
    <w:semiHidden/>
    <w:unhideWhenUsed/>
    <w:rsid w:val="0003148D"/>
    <w:pPr>
      <w:spacing w:after="120"/>
      <w:ind w:left="1132"/>
      <w:contextualSpacing/>
    </w:pPr>
  </w:style>
  <w:style w:type="paragraph" w:styleId="Seznam-nadaljevanje5">
    <w:name w:val="List Continue 5"/>
    <w:basedOn w:val="Navaden"/>
    <w:uiPriority w:val="99"/>
    <w:semiHidden/>
    <w:unhideWhenUsed/>
    <w:rsid w:val="0003148D"/>
    <w:pPr>
      <w:spacing w:after="120"/>
      <w:ind w:left="1415"/>
      <w:contextualSpacing/>
    </w:pPr>
  </w:style>
  <w:style w:type="paragraph" w:styleId="Podpis">
    <w:name w:val="Signature"/>
    <w:basedOn w:val="Navaden"/>
    <w:link w:val="PodpisZnak"/>
    <w:uiPriority w:val="99"/>
    <w:semiHidden/>
    <w:unhideWhenUsed/>
    <w:rsid w:val="0003148D"/>
    <w:pPr>
      <w:spacing w:line="240" w:lineRule="auto"/>
      <w:ind w:left="4252"/>
    </w:pPr>
  </w:style>
  <w:style w:type="character" w:customStyle="1" w:styleId="PodpisZnak">
    <w:name w:val="Podpis Znak"/>
    <w:basedOn w:val="Privzetapisavaodstavka"/>
    <w:link w:val="Podpis"/>
    <w:uiPriority w:val="99"/>
    <w:semiHidden/>
    <w:rsid w:val="0003148D"/>
  </w:style>
  <w:style w:type="paragraph" w:styleId="E-potnipodpis">
    <w:name w:val="E-mail Signature"/>
    <w:basedOn w:val="Navaden"/>
    <w:link w:val="E-potnipodpisZnak"/>
    <w:uiPriority w:val="99"/>
    <w:semiHidden/>
    <w:unhideWhenUsed/>
    <w:rsid w:val="0003148D"/>
    <w:pPr>
      <w:spacing w:line="240" w:lineRule="auto"/>
    </w:pPr>
  </w:style>
  <w:style w:type="character" w:customStyle="1" w:styleId="E-potnipodpisZnak">
    <w:name w:val="E-poštni podpis Znak"/>
    <w:basedOn w:val="Privzetapisavaodstavka"/>
    <w:link w:val="E-potnipodpis"/>
    <w:uiPriority w:val="99"/>
    <w:semiHidden/>
    <w:rsid w:val="0003148D"/>
  </w:style>
  <w:style w:type="paragraph" w:styleId="Uvodnipozdrav">
    <w:name w:val="Salutation"/>
    <w:basedOn w:val="Navaden"/>
    <w:next w:val="Navaden"/>
    <w:link w:val="UvodnipozdravZnak"/>
    <w:uiPriority w:val="99"/>
    <w:semiHidden/>
    <w:unhideWhenUsed/>
    <w:rsid w:val="0003148D"/>
  </w:style>
  <w:style w:type="character" w:customStyle="1" w:styleId="UvodnipozdravZnak">
    <w:name w:val="Uvodni pozdrav Znak"/>
    <w:basedOn w:val="Privzetapisavaodstavka"/>
    <w:link w:val="Uvodnipozdrav"/>
    <w:uiPriority w:val="99"/>
    <w:semiHidden/>
    <w:rsid w:val="0003148D"/>
  </w:style>
  <w:style w:type="paragraph" w:styleId="Zakljunipozdrav">
    <w:name w:val="Closing"/>
    <w:basedOn w:val="Navaden"/>
    <w:link w:val="ZakljunipozdravZnak"/>
    <w:uiPriority w:val="99"/>
    <w:semiHidden/>
    <w:unhideWhenUsed/>
    <w:rsid w:val="0003148D"/>
    <w:pPr>
      <w:spacing w:line="240" w:lineRule="auto"/>
      <w:ind w:left="4252"/>
    </w:pPr>
  </w:style>
  <w:style w:type="character" w:customStyle="1" w:styleId="ZakljunipozdravZnak">
    <w:name w:val="Zaključni pozdrav Znak"/>
    <w:basedOn w:val="Privzetapisavaodstavka"/>
    <w:link w:val="Zakljunipozdrav"/>
    <w:uiPriority w:val="99"/>
    <w:semiHidden/>
    <w:rsid w:val="0003148D"/>
  </w:style>
  <w:style w:type="paragraph" w:styleId="Stvarnokazalo1">
    <w:name w:val="index 1"/>
    <w:basedOn w:val="Navaden"/>
    <w:next w:val="Navaden"/>
    <w:autoRedefine/>
    <w:uiPriority w:val="99"/>
    <w:semiHidden/>
    <w:unhideWhenUsed/>
    <w:rsid w:val="0003148D"/>
    <w:pPr>
      <w:spacing w:line="240" w:lineRule="auto"/>
      <w:ind w:left="220" w:hanging="220"/>
    </w:pPr>
  </w:style>
  <w:style w:type="paragraph" w:styleId="Stvarnokazalo2">
    <w:name w:val="index 2"/>
    <w:basedOn w:val="Navaden"/>
    <w:next w:val="Navaden"/>
    <w:autoRedefine/>
    <w:uiPriority w:val="99"/>
    <w:semiHidden/>
    <w:unhideWhenUsed/>
    <w:rsid w:val="0003148D"/>
    <w:pPr>
      <w:spacing w:line="240" w:lineRule="auto"/>
      <w:ind w:left="440" w:hanging="220"/>
    </w:pPr>
  </w:style>
  <w:style w:type="paragraph" w:styleId="Stvarnokazalo3">
    <w:name w:val="index 3"/>
    <w:basedOn w:val="Navaden"/>
    <w:next w:val="Navaden"/>
    <w:autoRedefine/>
    <w:uiPriority w:val="99"/>
    <w:semiHidden/>
    <w:unhideWhenUsed/>
    <w:rsid w:val="0003148D"/>
    <w:pPr>
      <w:spacing w:line="240" w:lineRule="auto"/>
      <w:ind w:left="660" w:hanging="220"/>
    </w:pPr>
  </w:style>
  <w:style w:type="paragraph" w:styleId="Stvarnokazalo4">
    <w:name w:val="index 4"/>
    <w:basedOn w:val="Navaden"/>
    <w:next w:val="Navaden"/>
    <w:autoRedefine/>
    <w:uiPriority w:val="99"/>
    <w:semiHidden/>
    <w:unhideWhenUsed/>
    <w:rsid w:val="0003148D"/>
    <w:pPr>
      <w:spacing w:line="240" w:lineRule="auto"/>
      <w:ind w:left="880" w:hanging="220"/>
    </w:pPr>
  </w:style>
  <w:style w:type="paragraph" w:styleId="Stvarnokazalo5">
    <w:name w:val="index 5"/>
    <w:basedOn w:val="Navaden"/>
    <w:next w:val="Navaden"/>
    <w:autoRedefine/>
    <w:uiPriority w:val="99"/>
    <w:semiHidden/>
    <w:unhideWhenUsed/>
    <w:rsid w:val="0003148D"/>
    <w:pPr>
      <w:spacing w:line="240" w:lineRule="auto"/>
      <w:ind w:left="1100" w:hanging="220"/>
    </w:pPr>
  </w:style>
  <w:style w:type="paragraph" w:styleId="Stvarnokazalo6">
    <w:name w:val="index 6"/>
    <w:basedOn w:val="Navaden"/>
    <w:next w:val="Navaden"/>
    <w:autoRedefine/>
    <w:uiPriority w:val="99"/>
    <w:semiHidden/>
    <w:unhideWhenUsed/>
    <w:rsid w:val="0003148D"/>
    <w:pPr>
      <w:spacing w:line="240" w:lineRule="auto"/>
      <w:ind w:left="1320" w:hanging="220"/>
    </w:pPr>
  </w:style>
  <w:style w:type="paragraph" w:styleId="Stvarnokazalo7">
    <w:name w:val="index 7"/>
    <w:basedOn w:val="Navaden"/>
    <w:next w:val="Navaden"/>
    <w:autoRedefine/>
    <w:uiPriority w:val="99"/>
    <w:semiHidden/>
    <w:unhideWhenUsed/>
    <w:rsid w:val="0003148D"/>
    <w:pPr>
      <w:spacing w:line="240" w:lineRule="auto"/>
      <w:ind w:left="1540" w:hanging="220"/>
    </w:pPr>
  </w:style>
  <w:style w:type="paragraph" w:styleId="Stvarnokazalo8">
    <w:name w:val="index 8"/>
    <w:basedOn w:val="Navaden"/>
    <w:next w:val="Navaden"/>
    <w:autoRedefine/>
    <w:uiPriority w:val="99"/>
    <w:semiHidden/>
    <w:unhideWhenUsed/>
    <w:rsid w:val="0003148D"/>
    <w:pPr>
      <w:spacing w:line="240" w:lineRule="auto"/>
      <w:ind w:left="1760" w:hanging="220"/>
    </w:pPr>
  </w:style>
  <w:style w:type="paragraph" w:styleId="Stvarnokazalo9">
    <w:name w:val="index 9"/>
    <w:basedOn w:val="Navaden"/>
    <w:next w:val="Navaden"/>
    <w:autoRedefine/>
    <w:uiPriority w:val="99"/>
    <w:semiHidden/>
    <w:unhideWhenUsed/>
    <w:rsid w:val="0003148D"/>
    <w:pPr>
      <w:spacing w:line="240" w:lineRule="auto"/>
      <w:ind w:left="1980" w:hanging="220"/>
    </w:pPr>
  </w:style>
  <w:style w:type="paragraph" w:styleId="Kazaloslik">
    <w:name w:val="table of figures"/>
    <w:basedOn w:val="Navaden"/>
    <w:next w:val="Navaden"/>
    <w:uiPriority w:val="99"/>
    <w:semiHidden/>
    <w:unhideWhenUsed/>
    <w:rsid w:val="0003148D"/>
  </w:style>
  <w:style w:type="paragraph" w:styleId="Kazalovirov">
    <w:name w:val="table of authorities"/>
    <w:basedOn w:val="Navaden"/>
    <w:next w:val="Navaden"/>
    <w:uiPriority w:val="99"/>
    <w:semiHidden/>
    <w:unhideWhenUsed/>
    <w:rsid w:val="0003148D"/>
    <w:pPr>
      <w:ind w:left="220" w:hanging="220"/>
    </w:pPr>
  </w:style>
  <w:style w:type="paragraph" w:styleId="Naslovnaslovnika">
    <w:name w:val="envelope address"/>
    <w:basedOn w:val="Navaden"/>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naslov">
    <w:name w:val="HTML Address"/>
    <w:basedOn w:val="Navaden"/>
    <w:link w:val="HTMLnaslovZnak"/>
    <w:uiPriority w:val="99"/>
    <w:semiHidden/>
    <w:unhideWhenUsed/>
    <w:rsid w:val="0003148D"/>
    <w:pPr>
      <w:spacing w:line="240" w:lineRule="auto"/>
    </w:pPr>
    <w:rPr>
      <w:i/>
      <w:iCs/>
    </w:rPr>
  </w:style>
  <w:style w:type="character" w:customStyle="1" w:styleId="HTMLnaslovZnak">
    <w:name w:val="HTML naslov Znak"/>
    <w:basedOn w:val="Privzetapisavaodstavka"/>
    <w:link w:val="HTMLnaslov"/>
    <w:uiPriority w:val="99"/>
    <w:semiHidden/>
    <w:rsid w:val="0003148D"/>
    <w:rPr>
      <w:i/>
      <w:iCs/>
    </w:rPr>
  </w:style>
  <w:style w:type="paragraph" w:styleId="Naslovpoiljatelja">
    <w:name w:val="envelope return"/>
    <w:basedOn w:val="Navaden"/>
    <w:uiPriority w:val="99"/>
    <w:semiHidden/>
    <w:unhideWhenUsed/>
    <w:rsid w:val="0003148D"/>
    <w:pPr>
      <w:spacing w:line="240" w:lineRule="auto"/>
    </w:pPr>
    <w:rPr>
      <w:rFonts w:asciiTheme="majorHAnsi" w:eastAsiaTheme="majorEastAsia" w:hAnsiTheme="majorHAnsi" w:cstheme="majorBidi"/>
    </w:rPr>
  </w:style>
  <w:style w:type="paragraph" w:styleId="Glavasporoila">
    <w:name w:val="Message Header"/>
    <w:basedOn w:val="Navaden"/>
    <w:link w:val="GlavasporoilaZnak"/>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GlavasporoilaZnak">
    <w:name w:val="Glava sporočila Znak"/>
    <w:basedOn w:val="Privzetapisavaodstavka"/>
    <w:link w:val="Glavasporoila"/>
    <w:uiPriority w:val="99"/>
    <w:semiHidden/>
    <w:rsid w:val="0003148D"/>
    <w:rPr>
      <w:rFonts w:asciiTheme="majorHAnsi" w:eastAsiaTheme="majorEastAsia" w:hAnsiTheme="majorHAnsi" w:cstheme="majorBidi"/>
      <w:sz w:val="24"/>
      <w:szCs w:val="24"/>
      <w:shd w:val="pct20" w:color="auto" w:fill="auto"/>
    </w:rPr>
  </w:style>
  <w:style w:type="paragraph" w:styleId="Opomba-naslov">
    <w:name w:val="Note Heading"/>
    <w:basedOn w:val="Navaden"/>
    <w:next w:val="Navaden"/>
    <w:link w:val="Opomba-naslovZnak"/>
    <w:uiPriority w:val="99"/>
    <w:semiHidden/>
    <w:unhideWhenUsed/>
    <w:rsid w:val="0003148D"/>
    <w:pPr>
      <w:spacing w:line="240" w:lineRule="auto"/>
    </w:pPr>
  </w:style>
  <w:style w:type="character" w:customStyle="1" w:styleId="Opomba-naslovZnak">
    <w:name w:val="Opomba - naslov Znak"/>
    <w:basedOn w:val="Privzetapisavaodstavka"/>
    <w:link w:val="Opomba-naslov"/>
    <w:uiPriority w:val="99"/>
    <w:semiHidden/>
    <w:rsid w:val="0003148D"/>
  </w:style>
  <w:style w:type="paragraph" w:styleId="Zgradbadokumenta">
    <w:name w:val="Document Map"/>
    <w:basedOn w:val="Navaden"/>
    <w:link w:val="ZgradbadokumentaZnak"/>
    <w:uiPriority w:val="99"/>
    <w:semiHidden/>
    <w:unhideWhenUsed/>
    <w:rsid w:val="0003148D"/>
    <w:pPr>
      <w:spacing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03148D"/>
    <w:rPr>
      <w:rFonts w:ascii="Tahoma" w:hAnsi="Tahoma" w:cs="Tahoma"/>
      <w:sz w:val="16"/>
      <w:szCs w:val="16"/>
    </w:rPr>
  </w:style>
  <w:style w:type="paragraph" w:styleId="Navadensplet">
    <w:name w:val="Normal (Web)"/>
    <w:basedOn w:val="Navaden"/>
    <w:uiPriority w:val="99"/>
    <w:semiHidden/>
    <w:unhideWhenUsed/>
    <w:rsid w:val="0003148D"/>
    <w:rPr>
      <w:sz w:val="24"/>
      <w:szCs w:val="24"/>
    </w:rPr>
  </w:style>
  <w:style w:type="paragraph" w:styleId="Otevilenseznam">
    <w:name w:val="List Number"/>
    <w:basedOn w:val="Navaden"/>
    <w:uiPriority w:val="99"/>
    <w:semiHidden/>
    <w:unhideWhenUsed/>
    <w:rsid w:val="0003148D"/>
    <w:pPr>
      <w:numPr>
        <w:numId w:val="2"/>
      </w:numPr>
      <w:contextualSpacing/>
    </w:pPr>
  </w:style>
  <w:style w:type="paragraph" w:styleId="Otevilenseznam2">
    <w:name w:val="List Number 2"/>
    <w:basedOn w:val="Navaden"/>
    <w:uiPriority w:val="99"/>
    <w:semiHidden/>
    <w:unhideWhenUsed/>
    <w:rsid w:val="0003148D"/>
    <w:pPr>
      <w:numPr>
        <w:numId w:val="3"/>
      </w:numPr>
      <w:contextualSpacing/>
    </w:pPr>
  </w:style>
  <w:style w:type="paragraph" w:styleId="Otevilenseznam3">
    <w:name w:val="List Number 3"/>
    <w:basedOn w:val="Navaden"/>
    <w:uiPriority w:val="99"/>
    <w:semiHidden/>
    <w:unhideWhenUsed/>
    <w:rsid w:val="0003148D"/>
    <w:pPr>
      <w:numPr>
        <w:numId w:val="4"/>
      </w:numPr>
      <w:contextualSpacing/>
    </w:pPr>
  </w:style>
  <w:style w:type="paragraph" w:styleId="Otevilenseznam4">
    <w:name w:val="List Number 4"/>
    <w:basedOn w:val="Navaden"/>
    <w:uiPriority w:val="99"/>
    <w:semiHidden/>
    <w:unhideWhenUsed/>
    <w:rsid w:val="0003148D"/>
    <w:pPr>
      <w:numPr>
        <w:numId w:val="5"/>
      </w:numPr>
      <w:contextualSpacing/>
    </w:pPr>
  </w:style>
  <w:style w:type="paragraph" w:styleId="Otevilenseznam5">
    <w:name w:val="List Number 5"/>
    <w:basedOn w:val="Navaden"/>
    <w:uiPriority w:val="99"/>
    <w:semiHidden/>
    <w:unhideWhenUsed/>
    <w:rsid w:val="0003148D"/>
    <w:pPr>
      <w:numPr>
        <w:numId w:val="6"/>
      </w:numPr>
      <w:contextualSpacing/>
    </w:pPr>
  </w:style>
  <w:style w:type="paragraph" w:styleId="HTML-oblikovano">
    <w:name w:val="HTML Preformatted"/>
    <w:basedOn w:val="Navaden"/>
    <w:link w:val="HTML-oblikovanoZnak"/>
    <w:uiPriority w:val="99"/>
    <w:semiHidden/>
    <w:unhideWhenUsed/>
    <w:rsid w:val="0003148D"/>
    <w:pPr>
      <w:spacing w:line="240" w:lineRule="auto"/>
    </w:pPr>
    <w:rPr>
      <w:rFonts w:ascii="Consolas" w:hAnsi="Consolas" w:cs="Consolas"/>
    </w:rPr>
  </w:style>
  <w:style w:type="character" w:customStyle="1" w:styleId="HTML-oblikovanoZnak">
    <w:name w:val="HTML-oblikovano Znak"/>
    <w:basedOn w:val="Privzetapisavaodstavka"/>
    <w:link w:val="HTML-oblikovano"/>
    <w:uiPriority w:val="99"/>
    <w:semiHidden/>
    <w:rsid w:val="0003148D"/>
    <w:rPr>
      <w:rFonts w:ascii="Consolas" w:hAnsi="Consolas" w:cs="Consolas"/>
      <w:sz w:val="20"/>
      <w:szCs w:val="20"/>
    </w:rPr>
  </w:style>
  <w:style w:type="paragraph" w:styleId="Telobesedila-prvizamik">
    <w:name w:val="Body Text First Indent"/>
    <w:basedOn w:val="Telobesedila"/>
    <w:link w:val="Telobesedila-prvizamikZnak"/>
    <w:uiPriority w:val="99"/>
    <w:semiHidden/>
    <w:unhideWhenUsed/>
    <w:rsid w:val="0003148D"/>
    <w:pPr>
      <w:spacing w:after="200"/>
      <w:ind w:firstLine="360"/>
    </w:pPr>
  </w:style>
  <w:style w:type="character" w:customStyle="1" w:styleId="Telobesedila-prvizamikZnak">
    <w:name w:val="Telo besedila - prvi zamik Znak"/>
    <w:basedOn w:val="TelobesedilaZnak"/>
    <w:link w:val="Telobesedila-prvizamik"/>
    <w:uiPriority w:val="99"/>
    <w:semiHidden/>
    <w:rsid w:val="0003148D"/>
  </w:style>
  <w:style w:type="paragraph" w:styleId="Telobesedila-zamik">
    <w:name w:val="Body Text Indent"/>
    <w:basedOn w:val="Navaden"/>
    <w:link w:val="Telobesedila-zamikZnak"/>
    <w:uiPriority w:val="99"/>
    <w:semiHidden/>
    <w:unhideWhenUsed/>
    <w:rsid w:val="0003148D"/>
    <w:pPr>
      <w:spacing w:after="120"/>
      <w:ind w:left="283"/>
    </w:pPr>
  </w:style>
  <w:style w:type="character" w:customStyle="1" w:styleId="Telobesedila-zamikZnak">
    <w:name w:val="Telo besedila - zamik Znak"/>
    <w:basedOn w:val="Privzetapisavaodstavka"/>
    <w:link w:val="Telobesedila-zamik"/>
    <w:uiPriority w:val="99"/>
    <w:semiHidden/>
    <w:rsid w:val="0003148D"/>
  </w:style>
  <w:style w:type="paragraph" w:styleId="Telobesedila-prvizamik2">
    <w:name w:val="Body Text First Indent 2"/>
    <w:basedOn w:val="Telobesedila-zamik"/>
    <w:link w:val="Telobesedila-prvizamik2Znak"/>
    <w:uiPriority w:val="99"/>
    <w:semiHidden/>
    <w:unhideWhenUsed/>
    <w:rsid w:val="0003148D"/>
    <w:pPr>
      <w:spacing w:after="200"/>
      <w:ind w:left="360" w:firstLine="360"/>
    </w:pPr>
  </w:style>
  <w:style w:type="character" w:customStyle="1" w:styleId="Telobesedila-prvizamik2Znak">
    <w:name w:val="Telo besedila - prvi zamik 2 Znak"/>
    <w:basedOn w:val="Telobesedila-zamikZnak"/>
    <w:link w:val="Telobesedila-prvizamik2"/>
    <w:uiPriority w:val="99"/>
    <w:semiHidden/>
    <w:rsid w:val="0003148D"/>
  </w:style>
  <w:style w:type="paragraph" w:styleId="Oznaenseznam">
    <w:name w:val="List Bullet"/>
    <w:basedOn w:val="Navaden"/>
    <w:uiPriority w:val="99"/>
    <w:semiHidden/>
    <w:unhideWhenUsed/>
    <w:rsid w:val="0003148D"/>
    <w:pPr>
      <w:numPr>
        <w:numId w:val="7"/>
      </w:numPr>
      <w:contextualSpacing/>
    </w:pPr>
  </w:style>
  <w:style w:type="paragraph" w:styleId="Oznaenseznam2">
    <w:name w:val="List Bullet 2"/>
    <w:basedOn w:val="Navaden"/>
    <w:uiPriority w:val="99"/>
    <w:semiHidden/>
    <w:unhideWhenUsed/>
    <w:rsid w:val="0003148D"/>
    <w:pPr>
      <w:numPr>
        <w:numId w:val="8"/>
      </w:numPr>
      <w:contextualSpacing/>
    </w:pPr>
  </w:style>
  <w:style w:type="paragraph" w:styleId="Oznaenseznam3">
    <w:name w:val="List Bullet 3"/>
    <w:basedOn w:val="Navaden"/>
    <w:uiPriority w:val="99"/>
    <w:semiHidden/>
    <w:unhideWhenUsed/>
    <w:rsid w:val="0003148D"/>
    <w:pPr>
      <w:numPr>
        <w:numId w:val="9"/>
      </w:numPr>
      <w:contextualSpacing/>
    </w:pPr>
  </w:style>
  <w:style w:type="paragraph" w:styleId="Oznaenseznam4">
    <w:name w:val="List Bullet 4"/>
    <w:basedOn w:val="Navaden"/>
    <w:uiPriority w:val="99"/>
    <w:semiHidden/>
    <w:unhideWhenUsed/>
    <w:rsid w:val="0003148D"/>
    <w:pPr>
      <w:numPr>
        <w:numId w:val="10"/>
      </w:numPr>
      <w:contextualSpacing/>
    </w:pPr>
  </w:style>
  <w:style w:type="paragraph" w:styleId="Oznaenseznam5">
    <w:name w:val="List Bullet 5"/>
    <w:basedOn w:val="Navaden"/>
    <w:uiPriority w:val="99"/>
    <w:semiHidden/>
    <w:unhideWhenUsed/>
    <w:rsid w:val="0003148D"/>
    <w:pPr>
      <w:numPr>
        <w:numId w:val="11"/>
      </w:numPr>
      <w:contextualSpacing/>
    </w:pPr>
  </w:style>
  <w:style w:type="paragraph" w:styleId="Telobesedila-zamik2">
    <w:name w:val="Body Text Indent 2"/>
    <w:basedOn w:val="Navaden"/>
    <w:link w:val="Telobesedila-zamik2Znak"/>
    <w:uiPriority w:val="99"/>
    <w:semiHidden/>
    <w:unhideWhenUsed/>
    <w:rsid w:val="0003148D"/>
    <w:pPr>
      <w:spacing w:after="120" w:line="480" w:lineRule="auto"/>
      <w:ind w:left="283"/>
    </w:pPr>
  </w:style>
  <w:style w:type="character" w:customStyle="1" w:styleId="Telobesedila-zamik2Znak">
    <w:name w:val="Telo besedila - zamik 2 Znak"/>
    <w:basedOn w:val="Privzetapisavaodstavka"/>
    <w:link w:val="Telobesedila-zamik2"/>
    <w:uiPriority w:val="99"/>
    <w:semiHidden/>
    <w:rsid w:val="0003148D"/>
  </w:style>
  <w:style w:type="paragraph" w:styleId="Telobesedila-zamik3">
    <w:name w:val="Body Text Indent 3"/>
    <w:basedOn w:val="Navaden"/>
    <w:link w:val="Telobesedila-zamik3Znak"/>
    <w:uiPriority w:val="99"/>
    <w:semiHidden/>
    <w:unhideWhenUsed/>
    <w:rsid w:val="0003148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03148D"/>
    <w:rPr>
      <w:sz w:val="16"/>
      <w:szCs w:val="16"/>
    </w:rPr>
  </w:style>
  <w:style w:type="paragraph" w:styleId="Navaden-zamik">
    <w:name w:val="Normal Indent"/>
    <w:basedOn w:val="Navaden"/>
    <w:uiPriority w:val="99"/>
    <w:semiHidden/>
    <w:unhideWhenUsed/>
    <w:rsid w:val="0003148D"/>
    <w:pPr>
      <w:ind w:left="720"/>
    </w:pPr>
  </w:style>
  <w:style w:type="paragraph" w:styleId="Pripombabesedilo">
    <w:name w:val="annotation text"/>
    <w:basedOn w:val="Navaden"/>
    <w:link w:val="PripombabesediloZnak"/>
    <w:uiPriority w:val="99"/>
    <w:unhideWhenUsed/>
    <w:rsid w:val="0003148D"/>
    <w:pPr>
      <w:spacing w:line="240" w:lineRule="auto"/>
    </w:pPr>
  </w:style>
  <w:style w:type="character" w:customStyle="1" w:styleId="PripombabesediloZnak">
    <w:name w:val="Pripomba – besedilo Znak"/>
    <w:basedOn w:val="Privzetapisavaodstavka"/>
    <w:link w:val="Pripombabesedilo"/>
    <w:uiPriority w:val="99"/>
    <w:rsid w:val="0003148D"/>
    <w:rPr>
      <w:sz w:val="20"/>
      <w:szCs w:val="20"/>
    </w:rPr>
  </w:style>
  <w:style w:type="paragraph" w:styleId="Zadevapripombe">
    <w:name w:val="annotation subject"/>
    <w:basedOn w:val="Pripombabesedilo"/>
    <w:next w:val="Pripombabesedilo"/>
    <w:link w:val="ZadevapripombeZnak"/>
    <w:uiPriority w:val="99"/>
    <w:semiHidden/>
    <w:unhideWhenUsed/>
    <w:rsid w:val="0003148D"/>
    <w:rPr>
      <w:b/>
      <w:bCs/>
    </w:rPr>
  </w:style>
  <w:style w:type="character" w:customStyle="1" w:styleId="ZadevapripombeZnak">
    <w:name w:val="Zadeva pripombe Znak"/>
    <w:basedOn w:val="PripombabesediloZnak"/>
    <w:link w:val="Zadevapripombe"/>
    <w:uiPriority w:val="99"/>
    <w:semiHidden/>
    <w:rsid w:val="0003148D"/>
    <w:rPr>
      <w:b/>
      <w:bCs/>
      <w:sz w:val="20"/>
      <w:szCs w:val="20"/>
    </w:rPr>
  </w:style>
  <w:style w:type="paragraph" w:styleId="Kazalovsebine1">
    <w:name w:val="toc 1"/>
    <w:basedOn w:val="Navaden"/>
    <w:next w:val="Navaden"/>
    <w:autoRedefine/>
    <w:uiPriority w:val="39"/>
    <w:semiHidden/>
    <w:unhideWhenUsed/>
    <w:rsid w:val="0003148D"/>
    <w:pPr>
      <w:spacing w:after="100"/>
    </w:pPr>
  </w:style>
  <w:style w:type="paragraph" w:styleId="Kazalovsebine2">
    <w:name w:val="toc 2"/>
    <w:basedOn w:val="Navaden"/>
    <w:next w:val="Navaden"/>
    <w:autoRedefine/>
    <w:uiPriority w:val="39"/>
    <w:semiHidden/>
    <w:unhideWhenUsed/>
    <w:rsid w:val="0003148D"/>
    <w:pPr>
      <w:spacing w:after="100"/>
      <w:ind w:left="220"/>
    </w:pPr>
  </w:style>
  <w:style w:type="paragraph" w:styleId="Kazalovsebine3">
    <w:name w:val="toc 3"/>
    <w:basedOn w:val="Navaden"/>
    <w:next w:val="Navaden"/>
    <w:autoRedefine/>
    <w:uiPriority w:val="39"/>
    <w:semiHidden/>
    <w:unhideWhenUsed/>
    <w:rsid w:val="0003148D"/>
    <w:pPr>
      <w:spacing w:after="100"/>
      <w:ind w:left="440"/>
    </w:pPr>
  </w:style>
  <w:style w:type="paragraph" w:styleId="Kazalovsebine4">
    <w:name w:val="toc 4"/>
    <w:basedOn w:val="Navaden"/>
    <w:next w:val="Navaden"/>
    <w:autoRedefine/>
    <w:uiPriority w:val="39"/>
    <w:semiHidden/>
    <w:unhideWhenUsed/>
    <w:rsid w:val="0003148D"/>
    <w:pPr>
      <w:spacing w:after="100"/>
      <w:ind w:left="660"/>
    </w:pPr>
  </w:style>
  <w:style w:type="paragraph" w:styleId="Kazalovsebine5">
    <w:name w:val="toc 5"/>
    <w:basedOn w:val="Navaden"/>
    <w:next w:val="Navaden"/>
    <w:autoRedefine/>
    <w:uiPriority w:val="39"/>
    <w:semiHidden/>
    <w:unhideWhenUsed/>
    <w:rsid w:val="0003148D"/>
    <w:pPr>
      <w:spacing w:after="100"/>
      <w:ind w:left="880"/>
    </w:pPr>
  </w:style>
  <w:style w:type="paragraph" w:styleId="Kazalovsebine6">
    <w:name w:val="toc 6"/>
    <w:basedOn w:val="Navaden"/>
    <w:next w:val="Navaden"/>
    <w:autoRedefine/>
    <w:uiPriority w:val="39"/>
    <w:semiHidden/>
    <w:unhideWhenUsed/>
    <w:rsid w:val="0003148D"/>
    <w:pPr>
      <w:spacing w:after="100"/>
      <w:ind w:left="1100"/>
    </w:pPr>
  </w:style>
  <w:style w:type="paragraph" w:styleId="Kazalovsebine7">
    <w:name w:val="toc 7"/>
    <w:basedOn w:val="Navaden"/>
    <w:next w:val="Navaden"/>
    <w:autoRedefine/>
    <w:uiPriority w:val="39"/>
    <w:semiHidden/>
    <w:unhideWhenUsed/>
    <w:rsid w:val="0003148D"/>
    <w:pPr>
      <w:spacing w:after="100"/>
      <w:ind w:left="1320"/>
    </w:pPr>
  </w:style>
  <w:style w:type="paragraph" w:styleId="Kazalovsebine8">
    <w:name w:val="toc 8"/>
    <w:basedOn w:val="Navaden"/>
    <w:next w:val="Navaden"/>
    <w:autoRedefine/>
    <w:uiPriority w:val="39"/>
    <w:semiHidden/>
    <w:unhideWhenUsed/>
    <w:rsid w:val="0003148D"/>
    <w:pPr>
      <w:spacing w:after="100"/>
      <w:ind w:left="1540"/>
    </w:pPr>
  </w:style>
  <w:style w:type="paragraph" w:styleId="Kazalovsebine9">
    <w:name w:val="toc 9"/>
    <w:basedOn w:val="Navaden"/>
    <w:next w:val="Navaden"/>
    <w:autoRedefine/>
    <w:uiPriority w:val="39"/>
    <w:semiHidden/>
    <w:unhideWhenUsed/>
    <w:rsid w:val="0003148D"/>
    <w:pPr>
      <w:spacing w:after="100"/>
      <w:ind w:left="1760"/>
    </w:pPr>
  </w:style>
  <w:style w:type="paragraph" w:styleId="Blokbesedila">
    <w:name w:val="Block Text"/>
    <w:basedOn w:val="Navaden"/>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besedilo">
    <w:name w:val="macro"/>
    <w:link w:val="MakrobesediloZnak"/>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besediloZnak">
    <w:name w:val="Makro besedilo Znak"/>
    <w:basedOn w:val="Privzetapisavaodstavka"/>
    <w:link w:val="Makrobesedilo"/>
    <w:uiPriority w:val="99"/>
    <w:semiHidden/>
    <w:rsid w:val="0003148D"/>
    <w:rPr>
      <w:rFonts w:ascii="Consolas" w:hAnsi="Consolas" w:cs="Consolas"/>
      <w:sz w:val="20"/>
      <w:szCs w:val="20"/>
    </w:rPr>
  </w:style>
  <w:style w:type="paragraph" w:styleId="Golobesedilo">
    <w:name w:val="Plain Text"/>
    <w:basedOn w:val="Navaden"/>
    <w:link w:val="GolobesediloZnak"/>
    <w:uiPriority w:val="99"/>
    <w:semiHidden/>
    <w:unhideWhenUsed/>
    <w:rsid w:val="0003148D"/>
    <w:pPr>
      <w:spacing w:line="240" w:lineRule="auto"/>
    </w:pPr>
    <w:rPr>
      <w:rFonts w:ascii="Consolas" w:hAnsi="Consolas" w:cs="Consolas"/>
      <w:sz w:val="21"/>
      <w:szCs w:val="21"/>
    </w:rPr>
  </w:style>
  <w:style w:type="character" w:customStyle="1" w:styleId="GolobesediloZnak">
    <w:name w:val="Golo besedilo Znak"/>
    <w:basedOn w:val="Privzetapisavaodstavka"/>
    <w:link w:val="Golobesedilo"/>
    <w:uiPriority w:val="99"/>
    <w:semiHidden/>
    <w:rsid w:val="0003148D"/>
    <w:rPr>
      <w:rFonts w:ascii="Consolas" w:hAnsi="Consolas" w:cs="Consolas"/>
      <w:sz w:val="21"/>
      <w:szCs w:val="21"/>
    </w:rPr>
  </w:style>
  <w:style w:type="paragraph" w:styleId="Sprotnaopomba-besedilo">
    <w:name w:val="footnote text"/>
    <w:basedOn w:val="Navaden"/>
    <w:link w:val="Sprotnaopomba-besediloZnak"/>
    <w:uiPriority w:val="99"/>
    <w:semiHidden/>
    <w:unhideWhenUsed/>
    <w:rsid w:val="0003148D"/>
    <w:pPr>
      <w:spacing w:line="240" w:lineRule="auto"/>
    </w:pPr>
  </w:style>
  <w:style w:type="character" w:customStyle="1" w:styleId="Sprotnaopomba-besediloZnak">
    <w:name w:val="Sprotna opomba - besedilo Znak"/>
    <w:basedOn w:val="Privzetapisavaodstavka"/>
    <w:link w:val="Sprotnaopomba-besedilo"/>
    <w:uiPriority w:val="99"/>
    <w:semiHidden/>
    <w:rsid w:val="0003148D"/>
    <w:rPr>
      <w:sz w:val="20"/>
      <w:szCs w:val="20"/>
    </w:rPr>
  </w:style>
  <w:style w:type="paragraph" w:styleId="Konnaopomba-besedilo">
    <w:name w:val="endnote text"/>
    <w:basedOn w:val="Navaden"/>
    <w:link w:val="Konnaopomba-besediloZnak"/>
    <w:uiPriority w:val="99"/>
    <w:semiHidden/>
    <w:unhideWhenUsed/>
    <w:rsid w:val="0003148D"/>
    <w:pPr>
      <w:spacing w:line="240" w:lineRule="auto"/>
    </w:pPr>
  </w:style>
  <w:style w:type="character" w:customStyle="1" w:styleId="Konnaopomba-besediloZnak">
    <w:name w:val="Končna opomba - besedilo Znak"/>
    <w:basedOn w:val="Privzetapisavaodstavka"/>
    <w:link w:val="Konnaopomba-besedilo"/>
    <w:uiPriority w:val="99"/>
    <w:semiHidden/>
    <w:rsid w:val="0003148D"/>
    <w:rPr>
      <w:sz w:val="20"/>
      <w:szCs w:val="20"/>
    </w:rPr>
  </w:style>
  <w:style w:type="character" w:customStyle="1" w:styleId="Naslov1Znak">
    <w:name w:val="Naslov 1 Znak"/>
    <w:basedOn w:val="Privzetapisavaodstavka"/>
    <w:link w:val="Naslov1"/>
    <w:uiPriority w:val="9"/>
    <w:rsid w:val="004F5E36"/>
    <w:rPr>
      <w:rFonts w:ascii="Arial" w:eastAsia="Times New Roman" w:hAnsi="Arial" w:cs="Times New Roman"/>
      <w:b/>
      <w:sz w:val="20"/>
      <w:szCs w:val="20"/>
      <w:lang w:val="en-GB"/>
    </w:rPr>
  </w:style>
  <w:style w:type="character" w:customStyle="1" w:styleId="Naslov2Znak">
    <w:name w:val="Naslov 2 Znak"/>
    <w:basedOn w:val="Privzetapisavaodstavka"/>
    <w:link w:val="Naslov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semiHidden/>
    <w:rsid w:val="0003148D"/>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semiHidden/>
    <w:rsid w:val="0003148D"/>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semiHidden/>
    <w:rsid w:val="0003148D"/>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03148D"/>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03148D"/>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03148D"/>
    <w:rPr>
      <w:rFonts w:asciiTheme="majorHAnsi" w:eastAsiaTheme="majorEastAsia" w:hAnsiTheme="majorHAnsi" w:cstheme="majorBidi"/>
      <w:i/>
      <w:iCs/>
      <w:color w:val="404040" w:themeColor="text1" w:themeTint="BF"/>
      <w:sz w:val="20"/>
      <w:szCs w:val="20"/>
    </w:rPr>
  </w:style>
  <w:style w:type="paragraph" w:styleId="Stvarnokazalo-naslov">
    <w:name w:val="index heading"/>
    <w:basedOn w:val="Navaden"/>
    <w:next w:val="Stvarnokazalo1"/>
    <w:uiPriority w:val="99"/>
    <w:semiHidden/>
    <w:unhideWhenUsed/>
    <w:rsid w:val="0003148D"/>
    <w:rPr>
      <w:rFonts w:asciiTheme="majorHAnsi" w:eastAsiaTheme="majorEastAsia" w:hAnsiTheme="majorHAnsi" w:cstheme="majorBidi"/>
      <w:b/>
      <w:bCs/>
    </w:rPr>
  </w:style>
  <w:style w:type="paragraph" w:styleId="Kazalovirov-naslov">
    <w:name w:val="toa heading"/>
    <w:basedOn w:val="Navaden"/>
    <w:next w:val="Navaden"/>
    <w:uiPriority w:val="99"/>
    <w:semiHidden/>
    <w:unhideWhenUsed/>
    <w:rsid w:val="0003148D"/>
    <w:pPr>
      <w:spacing w:before="120"/>
    </w:pPr>
    <w:rPr>
      <w:rFonts w:asciiTheme="majorHAnsi" w:eastAsiaTheme="majorEastAsia" w:hAnsiTheme="majorHAnsi" w:cstheme="majorBidi"/>
      <w:b/>
      <w:bCs/>
      <w:sz w:val="24"/>
      <w:szCs w:val="24"/>
    </w:rPr>
  </w:style>
  <w:style w:type="paragraph" w:styleId="NaslovTOC">
    <w:name w:val="TOC Heading"/>
    <w:basedOn w:val="Naslov1"/>
    <w:next w:val="Navaden"/>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rivzetapisavaodstavka"/>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Glava">
    <w:name w:val="header"/>
    <w:basedOn w:val="Navaden"/>
    <w:link w:val="GlavaZnak"/>
    <w:uiPriority w:val="99"/>
    <w:unhideWhenUsed/>
    <w:rsid w:val="005278B7"/>
    <w:pPr>
      <w:tabs>
        <w:tab w:val="clear" w:pos="7100"/>
        <w:tab w:val="center" w:pos="4819"/>
        <w:tab w:val="right" w:pos="9638"/>
      </w:tabs>
      <w:spacing w:line="240" w:lineRule="auto"/>
    </w:pPr>
  </w:style>
  <w:style w:type="character" w:customStyle="1" w:styleId="GlavaZnak">
    <w:name w:val="Glava Znak"/>
    <w:basedOn w:val="Privzetapisavaodstavka"/>
    <w:link w:val="Glava"/>
    <w:uiPriority w:val="99"/>
    <w:rsid w:val="005278B7"/>
    <w:rPr>
      <w:rFonts w:ascii="Arial" w:eastAsia="Times New Roman" w:hAnsi="Arial" w:cs="Times New Roman"/>
      <w:sz w:val="18"/>
      <w:szCs w:val="20"/>
      <w:lang w:val="en-GB"/>
    </w:rPr>
  </w:style>
  <w:style w:type="paragraph" w:styleId="Noga">
    <w:name w:val="footer"/>
    <w:basedOn w:val="Navaden"/>
    <w:link w:val="NogaZnak"/>
    <w:uiPriority w:val="99"/>
    <w:unhideWhenUsed/>
    <w:rsid w:val="005278B7"/>
    <w:pPr>
      <w:tabs>
        <w:tab w:val="clear" w:pos="7100"/>
        <w:tab w:val="center" w:pos="4819"/>
        <w:tab w:val="right" w:pos="9638"/>
      </w:tabs>
      <w:spacing w:line="240" w:lineRule="auto"/>
    </w:pPr>
  </w:style>
  <w:style w:type="character" w:customStyle="1" w:styleId="NogaZnak">
    <w:name w:val="Noga Znak"/>
    <w:basedOn w:val="Privzetapisavaodstavka"/>
    <w:link w:val="Noga"/>
    <w:uiPriority w:val="99"/>
    <w:rsid w:val="005278B7"/>
    <w:rPr>
      <w:rFonts w:ascii="Arial" w:eastAsia="Times New Roman" w:hAnsi="Arial" w:cs="Times New Roman"/>
      <w:sz w:val="18"/>
      <w:szCs w:val="20"/>
      <w:lang w:val="en-GB"/>
    </w:rPr>
  </w:style>
  <w:style w:type="table" w:styleId="Tabelamrea">
    <w:name w:val="Table Grid"/>
    <w:basedOn w:val="Navadnatabela"/>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904C62"/>
    <w:rPr>
      <w:color w:val="0000FF" w:themeColor="hyperlink"/>
      <w:u w:val="single"/>
    </w:rPr>
  </w:style>
  <w:style w:type="character" w:customStyle="1" w:styleId="eudoraheader">
    <w:name w:val="eudoraheader"/>
    <w:basedOn w:val="Privzetapisavaodstavka"/>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Odstavekseznama">
    <w:name w:val="List Paragraph"/>
    <w:basedOn w:val="Navaden"/>
    <w:uiPriority w:val="34"/>
    <w:rsid w:val="00280FAF"/>
    <w:pPr>
      <w:ind w:left="720"/>
      <w:contextualSpacing/>
    </w:pPr>
  </w:style>
  <w:style w:type="character" w:customStyle="1" w:styleId="rynqvb">
    <w:name w:val="rynqvb"/>
    <w:basedOn w:val="Privzetapisavaodstavka"/>
    <w:rsid w:val="000B6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https://univerzamb-my.sharepoint.com/personal/nika_kucuk_um_si/Documents/Desktop/Konference/2023/ICHEAP%2016%202023/Rezultati%20za%20full%20paper%20za%20konferenco%20ICHEAP.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niverzamb-my.sharepoint.com/personal/nika_kucuk_um_si/Documents/Desktop/Konference/2023/ICHEAP%2016%202023/Rezultati%20za%20full%20paper%20za%20konferenco%20ICHEA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niverzamb-my.sharepoint.com/personal/nika_kucuk_um_si/Documents/Desktop/Konference/2023/ICHEAP%2016%202023/Rezultati%20za%20full%20paper%20za%20konferenco%20ICHEAP.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Grafi!$O$3</c:f>
              <c:strCache>
                <c:ptCount val="1"/>
                <c:pt idx="0">
                  <c:v>EE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Grafi!$N$4:$N$6</c:f>
              <c:strCache>
                <c:ptCount val="3"/>
                <c:pt idx="0">
                  <c:v>0.05 mg/ml</c:v>
                </c:pt>
                <c:pt idx="1">
                  <c:v>0.10 mg/ml</c:v>
                </c:pt>
                <c:pt idx="2">
                  <c:v>0.50 mg/ml</c:v>
                </c:pt>
              </c:strCache>
            </c:strRef>
          </c:cat>
          <c:val>
            <c:numRef>
              <c:f>Grafi!$O$4:$O$6</c:f>
              <c:numCache>
                <c:formatCode>0.00</c:formatCode>
                <c:ptCount val="3"/>
                <c:pt idx="0">
                  <c:v>96.31</c:v>
                </c:pt>
                <c:pt idx="1">
                  <c:v>98.3</c:v>
                </c:pt>
                <c:pt idx="2">
                  <c:v>97.23</c:v>
                </c:pt>
              </c:numCache>
            </c:numRef>
          </c:val>
          <c:extLst>
            <c:ext xmlns:c16="http://schemas.microsoft.com/office/drawing/2014/chart" uri="{C3380CC4-5D6E-409C-BE32-E72D297353CC}">
              <c16:uniqueId val="{00000000-E995-4D14-A050-AE7F1F35C96D}"/>
            </c:ext>
          </c:extLst>
        </c:ser>
        <c:dLbls>
          <c:showLegendKey val="0"/>
          <c:showVal val="0"/>
          <c:showCatName val="0"/>
          <c:showSerName val="0"/>
          <c:showPercent val="0"/>
          <c:showBubbleSize val="0"/>
        </c:dLbls>
        <c:gapWidth val="60"/>
        <c:overlap val="-24"/>
        <c:axId val="1645224527"/>
        <c:axId val="1645222447"/>
      </c:barChart>
      <c:catAx>
        <c:axId val="164522452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SI"/>
          </a:p>
        </c:txPr>
        <c:crossAx val="1645222447"/>
        <c:crosses val="autoZero"/>
        <c:auto val="1"/>
        <c:lblAlgn val="ctr"/>
        <c:lblOffset val="100"/>
        <c:noMultiLvlLbl val="0"/>
      </c:catAx>
      <c:valAx>
        <c:axId val="1645222447"/>
        <c:scaling>
          <c:orientation val="minMax"/>
          <c:max val="10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a:t>Encapsulation efficiency (%)</a:t>
                </a:r>
              </a:p>
            </c:rich>
          </c:tx>
          <c:layout>
            <c:manualLayout>
              <c:xMode val="edge"/>
              <c:yMode val="edge"/>
              <c:x val="2.9398794649419375E-2"/>
              <c:y val="0.139581457051770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SI"/>
          </a:p>
        </c:txPr>
        <c:crossAx val="1645224527"/>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Grafi!$O$24</c:f>
              <c:strCache>
                <c:ptCount val="1"/>
                <c:pt idx="0">
                  <c:v>CR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Grafi!$N$25:$N$27</c:f>
              <c:strCache>
                <c:ptCount val="3"/>
                <c:pt idx="0">
                  <c:v>0.05 mg/ml</c:v>
                </c:pt>
                <c:pt idx="1">
                  <c:v>0.10 mg/ml</c:v>
                </c:pt>
                <c:pt idx="2">
                  <c:v>0.50 mg/ml</c:v>
                </c:pt>
              </c:strCache>
            </c:strRef>
          </c:cat>
          <c:val>
            <c:numRef>
              <c:f>Grafi!$O$25:$O$27</c:f>
              <c:numCache>
                <c:formatCode>0.00</c:formatCode>
                <c:ptCount val="3"/>
                <c:pt idx="0">
                  <c:v>25.29</c:v>
                </c:pt>
                <c:pt idx="1">
                  <c:v>38.299999999999997</c:v>
                </c:pt>
                <c:pt idx="2">
                  <c:v>30.9</c:v>
                </c:pt>
              </c:numCache>
            </c:numRef>
          </c:val>
          <c:extLst>
            <c:ext xmlns:c16="http://schemas.microsoft.com/office/drawing/2014/chart" uri="{C3380CC4-5D6E-409C-BE32-E72D297353CC}">
              <c16:uniqueId val="{00000000-E067-4A95-AB3B-FF843C8209B7}"/>
            </c:ext>
          </c:extLst>
        </c:ser>
        <c:dLbls>
          <c:showLegendKey val="0"/>
          <c:showVal val="0"/>
          <c:showCatName val="0"/>
          <c:showSerName val="0"/>
          <c:showPercent val="0"/>
          <c:showBubbleSize val="0"/>
        </c:dLbls>
        <c:gapWidth val="60"/>
        <c:overlap val="-24"/>
        <c:axId val="1645224527"/>
        <c:axId val="1645222447"/>
      </c:barChart>
      <c:catAx>
        <c:axId val="164522452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SI"/>
          </a:p>
        </c:txPr>
        <c:crossAx val="1645222447"/>
        <c:crosses val="autoZero"/>
        <c:auto val="1"/>
        <c:lblAlgn val="ctr"/>
        <c:lblOffset val="100"/>
        <c:noMultiLvlLbl val="0"/>
      </c:catAx>
      <c:valAx>
        <c:axId val="1645222447"/>
        <c:scaling>
          <c:orientation val="minMax"/>
          <c:max val="4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Percantage</a:t>
                </a:r>
                <a:r>
                  <a:rPr lang="en-US" baseline="0"/>
                  <a:t> of GA</a:t>
                </a:r>
                <a:r>
                  <a:rPr lang="en-US"/>
                  <a:t> released (%)</a:t>
                </a:r>
              </a:p>
            </c:rich>
          </c:tx>
          <c:layout>
            <c:manualLayout>
              <c:xMode val="edge"/>
              <c:yMode val="edge"/>
              <c:x val="2.6458915184477436E-2"/>
              <c:y val="0.1941980936593452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SI"/>
          </a:p>
        </c:txPr>
        <c:crossAx val="1645224527"/>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Grafi!$A$45</c:f>
              <c:strCache>
                <c:ptCount val="1"/>
                <c:pt idx="0">
                  <c:v>0.05 mg/ml</c:v>
                </c:pt>
              </c:strCache>
            </c:strRef>
          </c:tx>
          <c:spPr>
            <a:ln w="25400" cap="rnd">
              <a:solidFill>
                <a:schemeClr val="accent6"/>
              </a:solidFill>
              <a:round/>
            </a:ln>
            <a:effectLst/>
          </c:spPr>
          <c:marker>
            <c:symbol val="none"/>
          </c:marker>
          <c:xVal>
            <c:numRef>
              <c:f>Grafi!$A$47:$A$58</c:f>
              <c:numCache>
                <c:formatCode>General</c:formatCode>
                <c:ptCount val="12"/>
                <c:pt idx="0">
                  <c:v>0</c:v>
                </c:pt>
                <c:pt idx="1">
                  <c:v>0.25</c:v>
                </c:pt>
                <c:pt idx="2">
                  <c:v>0.5</c:v>
                </c:pt>
                <c:pt idx="3">
                  <c:v>0.75</c:v>
                </c:pt>
                <c:pt idx="4">
                  <c:v>1</c:v>
                </c:pt>
                <c:pt idx="5">
                  <c:v>1.5</c:v>
                </c:pt>
                <c:pt idx="6">
                  <c:v>2</c:v>
                </c:pt>
                <c:pt idx="7">
                  <c:v>3</c:v>
                </c:pt>
                <c:pt idx="8">
                  <c:v>4</c:v>
                </c:pt>
                <c:pt idx="9">
                  <c:v>5</c:v>
                </c:pt>
                <c:pt idx="10">
                  <c:v>6</c:v>
                </c:pt>
                <c:pt idx="11">
                  <c:v>24</c:v>
                </c:pt>
              </c:numCache>
            </c:numRef>
          </c:xVal>
          <c:yVal>
            <c:numRef>
              <c:f>Grafi!$B$47:$B$58</c:f>
              <c:numCache>
                <c:formatCode>0.00</c:formatCode>
                <c:ptCount val="12"/>
                <c:pt idx="0" formatCode="General">
                  <c:v>0</c:v>
                </c:pt>
                <c:pt idx="1">
                  <c:v>6.6592879542519841</c:v>
                </c:pt>
                <c:pt idx="2">
                  <c:v>9.112709832134291</c:v>
                </c:pt>
                <c:pt idx="3">
                  <c:v>15.8457849105331</c:v>
                </c:pt>
                <c:pt idx="4">
                  <c:v>19.350673307507833</c:v>
                </c:pt>
                <c:pt idx="5">
                  <c:v>21.564287031912926</c:v>
                </c:pt>
                <c:pt idx="6">
                  <c:v>23.003135952776237</c:v>
                </c:pt>
                <c:pt idx="7">
                  <c:v>23.648773289061058</c:v>
                </c:pt>
                <c:pt idx="8">
                  <c:v>24.239070282235751</c:v>
                </c:pt>
                <c:pt idx="9">
                  <c:v>24.880833794502902</c:v>
                </c:pt>
                <c:pt idx="10">
                  <c:v>24.7371333702269</c:v>
                </c:pt>
                <c:pt idx="11">
                  <c:v>25.290536801328166</c:v>
                </c:pt>
              </c:numCache>
            </c:numRef>
          </c:yVal>
          <c:smooth val="1"/>
          <c:extLst>
            <c:ext xmlns:c16="http://schemas.microsoft.com/office/drawing/2014/chart" uri="{C3380CC4-5D6E-409C-BE32-E72D297353CC}">
              <c16:uniqueId val="{00000000-C70C-4560-BA25-CB4C9C91DF8B}"/>
            </c:ext>
          </c:extLst>
        </c:ser>
        <c:ser>
          <c:idx val="1"/>
          <c:order val="1"/>
          <c:tx>
            <c:strRef>
              <c:f>Grafi!$D$45</c:f>
              <c:strCache>
                <c:ptCount val="1"/>
                <c:pt idx="0">
                  <c:v>0.10 mg/ml</c:v>
                </c:pt>
              </c:strCache>
            </c:strRef>
          </c:tx>
          <c:spPr>
            <a:ln w="25400" cap="rnd">
              <a:solidFill>
                <a:schemeClr val="accent5"/>
              </a:solidFill>
              <a:round/>
            </a:ln>
            <a:effectLst>
              <a:softEdge rad="0"/>
            </a:effectLst>
          </c:spPr>
          <c:marker>
            <c:symbol val="none"/>
          </c:marker>
          <c:xVal>
            <c:numRef>
              <c:f>Grafi!$D$47:$D$58</c:f>
              <c:numCache>
                <c:formatCode>General</c:formatCode>
                <c:ptCount val="12"/>
                <c:pt idx="0">
                  <c:v>0</c:v>
                </c:pt>
                <c:pt idx="1">
                  <c:v>0.25</c:v>
                </c:pt>
                <c:pt idx="2">
                  <c:v>0.5</c:v>
                </c:pt>
                <c:pt idx="3">
                  <c:v>0.75</c:v>
                </c:pt>
                <c:pt idx="4">
                  <c:v>1</c:v>
                </c:pt>
                <c:pt idx="5">
                  <c:v>1.5</c:v>
                </c:pt>
                <c:pt idx="6">
                  <c:v>2</c:v>
                </c:pt>
                <c:pt idx="7">
                  <c:v>3</c:v>
                </c:pt>
                <c:pt idx="8">
                  <c:v>4</c:v>
                </c:pt>
                <c:pt idx="9">
                  <c:v>5</c:v>
                </c:pt>
                <c:pt idx="10">
                  <c:v>6</c:v>
                </c:pt>
                <c:pt idx="11">
                  <c:v>24</c:v>
                </c:pt>
              </c:numCache>
            </c:numRef>
          </c:xVal>
          <c:yVal>
            <c:numRef>
              <c:f>Grafi!$E$47:$E$58</c:f>
              <c:numCache>
                <c:formatCode>0.00</c:formatCode>
                <c:ptCount val="12"/>
                <c:pt idx="0" formatCode="General">
                  <c:v>0</c:v>
                </c:pt>
                <c:pt idx="1">
                  <c:v>6.2254457540042294</c:v>
                </c:pt>
                <c:pt idx="2">
                  <c:v>12.863906517578322</c:v>
                </c:pt>
                <c:pt idx="3">
                  <c:v>17.588395285584767</c:v>
                </c:pt>
                <c:pt idx="4">
                  <c:v>21.637957086733152</c:v>
                </c:pt>
                <c:pt idx="5">
                  <c:v>24.005238239145761</c:v>
                </c:pt>
                <c:pt idx="6">
                  <c:v>26.2014908834492</c:v>
                </c:pt>
                <c:pt idx="7">
                  <c:v>28.064873577112913</c:v>
                </c:pt>
                <c:pt idx="8">
                  <c:v>31.469729021859571</c:v>
                </c:pt>
                <c:pt idx="9">
                  <c:v>33.83701017427218</c:v>
                </c:pt>
                <c:pt idx="10">
                  <c:v>34.94509922433766</c:v>
                </c:pt>
                <c:pt idx="11">
                  <c:v>38.299586984990427</c:v>
                </c:pt>
              </c:numCache>
            </c:numRef>
          </c:yVal>
          <c:smooth val="1"/>
          <c:extLst>
            <c:ext xmlns:c16="http://schemas.microsoft.com/office/drawing/2014/chart" uri="{C3380CC4-5D6E-409C-BE32-E72D297353CC}">
              <c16:uniqueId val="{00000001-C70C-4560-BA25-CB4C9C91DF8B}"/>
            </c:ext>
          </c:extLst>
        </c:ser>
        <c:ser>
          <c:idx val="2"/>
          <c:order val="2"/>
          <c:tx>
            <c:strRef>
              <c:f>Grafi!$G$45</c:f>
              <c:strCache>
                <c:ptCount val="1"/>
                <c:pt idx="0">
                  <c:v>0.50 mg/ml</c:v>
                </c:pt>
              </c:strCache>
            </c:strRef>
          </c:tx>
          <c:spPr>
            <a:ln w="25400" cap="rnd">
              <a:solidFill>
                <a:schemeClr val="accent4"/>
              </a:solidFill>
              <a:round/>
            </a:ln>
            <a:effectLst/>
          </c:spPr>
          <c:marker>
            <c:symbol val="none"/>
          </c:marker>
          <c:xVal>
            <c:numRef>
              <c:f>Grafi!$G$47:$G$58</c:f>
              <c:numCache>
                <c:formatCode>General</c:formatCode>
                <c:ptCount val="12"/>
                <c:pt idx="0">
                  <c:v>0</c:v>
                </c:pt>
                <c:pt idx="1">
                  <c:v>0.25</c:v>
                </c:pt>
                <c:pt idx="2">
                  <c:v>0.5</c:v>
                </c:pt>
                <c:pt idx="3">
                  <c:v>0.75</c:v>
                </c:pt>
                <c:pt idx="4">
                  <c:v>1</c:v>
                </c:pt>
                <c:pt idx="5">
                  <c:v>1.5</c:v>
                </c:pt>
                <c:pt idx="6">
                  <c:v>2</c:v>
                </c:pt>
                <c:pt idx="7">
                  <c:v>3</c:v>
                </c:pt>
                <c:pt idx="8">
                  <c:v>4</c:v>
                </c:pt>
                <c:pt idx="9">
                  <c:v>5</c:v>
                </c:pt>
                <c:pt idx="10">
                  <c:v>6</c:v>
                </c:pt>
                <c:pt idx="11">
                  <c:v>24</c:v>
                </c:pt>
              </c:numCache>
            </c:numRef>
          </c:xVal>
          <c:yVal>
            <c:numRef>
              <c:f>Grafi!$H$47:$H$58</c:f>
              <c:numCache>
                <c:formatCode>0.00</c:formatCode>
                <c:ptCount val="12"/>
                <c:pt idx="0" formatCode="General">
                  <c:v>0</c:v>
                </c:pt>
                <c:pt idx="1">
                  <c:v>3.64436476244805</c:v>
                </c:pt>
                <c:pt idx="2">
                  <c:v>9.2999755521147431</c:v>
                </c:pt>
                <c:pt idx="3">
                  <c:v>11.21343003830169</c:v>
                </c:pt>
                <c:pt idx="4">
                  <c:v>14.996332817211314</c:v>
                </c:pt>
                <c:pt idx="5">
                  <c:v>17.014994702958202</c:v>
                </c:pt>
                <c:pt idx="6">
                  <c:v>21.3372178306577</c:v>
                </c:pt>
                <c:pt idx="7">
                  <c:v>24.212615108793099</c:v>
                </c:pt>
                <c:pt idx="8">
                  <c:v>25.847200717138001</c:v>
                </c:pt>
                <c:pt idx="9">
                  <c:v>28.455708581207727</c:v>
                </c:pt>
                <c:pt idx="10">
                  <c:v>30.047184418547801</c:v>
                </c:pt>
                <c:pt idx="11">
                  <c:v>30.903756825034641</c:v>
                </c:pt>
              </c:numCache>
            </c:numRef>
          </c:yVal>
          <c:smooth val="1"/>
          <c:extLst>
            <c:ext xmlns:c16="http://schemas.microsoft.com/office/drawing/2014/chart" uri="{C3380CC4-5D6E-409C-BE32-E72D297353CC}">
              <c16:uniqueId val="{00000002-C70C-4560-BA25-CB4C9C91DF8B}"/>
            </c:ext>
          </c:extLst>
        </c:ser>
        <c:dLbls>
          <c:showLegendKey val="0"/>
          <c:showVal val="0"/>
          <c:showCatName val="0"/>
          <c:showSerName val="0"/>
          <c:showPercent val="0"/>
          <c:showBubbleSize val="0"/>
        </c:dLbls>
        <c:axId val="1713879679"/>
        <c:axId val="1713884255"/>
      </c:scatterChart>
      <c:valAx>
        <c:axId val="1713879679"/>
        <c:scaling>
          <c:orientation val="minMax"/>
          <c:max val="25"/>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Time (h)</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SI"/>
          </a:p>
        </c:txPr>
        <c:crossAx val="1713884255"/>
        <c:crosses val="autoZero"/>
        <c:crossBetween val="midCat"/>
      </c:valAx>
      <c:valAx>
        <c:axId val="1713884255"/>
        <c:scaling>
          <c:orientation val="minMax"/>
          <c:max val="4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Cumulative release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SI"/>
            </a:p>
          </c:txPr>
        </c:title>
        <c:numFmt formatCode="0" sourceLinked="0"/>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SI"/>
          </a:p>
        </c:txPr>
        <c:crossAx val="171387967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SI"/>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6</Pages>
  <Words>8855</Words>
  <Characters>50478</Characters>
  <Application>Microsoft Office Word</Application>
  <DocSecurity>0</DocSecurity>
  <Lines>420</Lines>
  <Paragraphs>118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59215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Nika Kučuk</cp:lastModifiedBy>
  <cp:revision>20</cp:revision>
  <cp:lastPrinted>2023-02-03T12:31:00Z</cp:lastPrinted>
  <dcterms:created xsi:type="dcterms:W3CDTF">2023-04-12T12:32:00Z</dcterms:created>
  <dcterms:modified xsi:type="dcterms:W3CDTF">2023-04-14T11:37:00Z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id="RxOqtX7F"/&gt;&lt;style id="http://www.zotero.org/styles/elsevier-harvard" hasBibliography="1" bibliographyStyleHasBeenSet="1"/&gt;&lt;prefs&gt;&lt;pref name="fieldType" value="Field"/&gt;&lt;pref name="storeReferences"</vt:lpwstr>
  </property>
  <property fmtid="{D5CDD505-2E9C-101B-9397-08002B2CF9AE}" pid="3" name="ZOTERO_PREF_2">
    <vt:lpwstr> value="true"/&gt;&lt;/prefs&gt;&lt;/data&gt;</vt:lpwstr>
  </property>
</Properties>
</file>