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DADD7FA" w:rsidR="00E978D0" w:rsidRPr="00B57B36" w:rsidRDefault="00E227AF" w:rsidP="00E978D0">
      <w:pPr>
        <w:pStyle w:val="CETTitle"/>
      </w:pPr>
      <w:r>
        <w:t xml:space="preserve">Efficient removal of </w:t>
      </w:r>
      <w:proofErr w:type="gramStart"/>
      <w:r>
        <w:t>Cr(</w:t>
      </w:r>
      <w:proofErr w:type="gramEnd"/>
      <w:r>
        <w:t>VI) ions from aqueous solutions using arabinogalactan coated magnetic nanoparticles</w:t>
      </w:r>
    </w:p>
    <w:p w14:paraId="0488FED2" w14:textId="6E62671D" w:rsidR="00B57E6F" w:rsidRPr="00B57B36" w:rsidRDefault="00E227AF" w:rsidP="00B57E6F">
      <w:pPr>
        <w:pStyle w:val="CETAuthors"/>
      </w:pPr>
      <w:r>
        <w:t>Katja Vasić</w:t>
      </w:r>
      <w:r w:rsidR="00B57E6F" w:rsidRPr="00B57B36">
        <w:rPr>
          <w:vertAlign w:val="superscript"/>
        </w:rPr>
        <w:t>a</w:t>
      </w:r>
      <w:r>
        <w:rPr>
          <w:vertAlign w:val="superscript"/>
        </w:rPr>
        <w:t>,b</w:t>
      </w:r>
      <w:r w:rsidR="00B57E6F" w:rsidRPr="00B57B36">
        <w:t xml:space="preserve">, </w:t>
      </w:r>
      <w:r>
        <w:t>Mateja Primožič</w:t>
      </w:r>
      <w:r>
        <w:rPr>
          <w:vertAlign w:val="superscript"/>
        </w:rPr>
        <w:t>a</w:t>
      </w:r>
      <w:r w:rsidR="00B57E6F" w:rsidRPr="00B57B36">
        <w:t>,</w:t>
      </w:r>
      <w:r>
        <w:t xml:space="preserve"> Željko Knez</w:t>
      </w:r>
      <w:r w:rsidRPr="00E227AF">
        <w:rPr>
          <w:vertAlign w:val="superscript"/>
        </w:rPr>
        <w:t>a,</w:t>
      </w:r>
      <w:r>
        <w:rPr>
          <w:vertAlign w:val="superscript"/>
        </w:rPr>
        <w:t>c</w:t>
      </w:r>
      <w:r>
        <w:t>, Maja Leitgeb</w:t>
      </w:r>
      <w:r w:rsidRPr="00E227AF">
        <w:rPr>
          <w:vertAlign w:val="superscript"/>
        </w:rPr>
        <w:t>a,</w:t>
      </w:r>
      <w:r>
        <w:rPr>
          <w:vertAlign w:val="superscript"/>
        </w:rPr>
        <w:t>c</w:t>
      </w:r>
      <w:r w:rsidRPr="00E227AF">
        <w:rPr>
          <w:vertAlign w:val="superscript"/>
        </w:rPr>
        <w:t>,*</w:t>
      </w:r>
    </w:p>
    <w:p w14:paraId="6B2D21B3" w14:textId="17F21DAE" w:rsidR="00B57E6F" w:rsidRPr="00B57B36" w:rsidRDefault="00B57E6F" w:rsidP="00B57E6F">
      <w:pPr>
        <w:pStyle w:val="CETAddress"/>
      </w:pPr>
      <w:r w:rsidRPr="00B57B36">
        <w:rPr>
          <w:vertAlign w:val="superscript"/>
        </w:rPr>
        <w:t>a</w:t>
      </w:r>
      <w:r w:rsidR="00E227AF" w:rsidRPr="00E227AF">
        <w:t>University of Maribor, Faculty of Chemistry and Chemical Engineering, Laboratory of Separation Processes and Product Design, Smetanova ulica 17, 2000 Maribor, Slovenia</w:t>
      </w:r>
    </w:p>
    <w:p w14:paraId="3D72B0B0" w14:textId="0550F3A3" w:rsidR="00B57E6F" w:rsidRDefault="00B57E6F" w:rsidP="00B57E6F">
      <w:pPr>
        <w:pStyle w:val="CETAddress"/>
      </w:pPr>
      <w:r w:rsidRPr="00B57B36">
        <w:rPr>
          <w:vertAlign w:val="superscript"/>
        </w:rPr>
        <w:t>b</w:t>
      </w:r>
      <w:r w:rsidR="00E227AF" w:rsidRPr="00E227AF">
        <w:t>University of Maribor, Faculty of Electrical Engineering and Computer Science, Institute of Electrical Power Engineering, Laboratory for applied electromagnetics, Koroška cesta 46, SI-2000 Maribor, Slovenia</w:t>
      </w:r>
    </w:p>
    <w:p w14:paraId="0D9F79C0" w14:textId="16338269" w:rsidR="00E227AF" w:rsidRPr="00B57B36" w:rsidRDefault="00E227AF" w:rsidP="00B57E6F">
      <w:pPr>
        <w:pStyle w:val="CETAddress"/>
      </w:pPr>
      <w:r w:rsidRPr="00E227AF">
        <w:rPr>
          <w:vertAlign w:val="superscript"/>
        </w:rPr>
        <w:t>c</w:t>
      </w:r>
      <w:r w:rsidRPr="00E227AF">
        <w:t>University of Maribor, Faculty of Medicine, Taborska ulica 8, 2000 Maribor, Slovenia</w:t>
      </w:r>
    </w:p>
    <w:p w14:paraId="73F1267A" w14:textId="59327663" w:rsidR="00B57E6F" w:rsidRPr="00B57B36" w:rsidRDefault="00B57E6F" w:rsidP="00B57E6F">
      <w:pPr>
        <w:pStyle w:val="CETemail"/>
      </w:pPr>
      <w:r>
        <w:t xml:space="preserve"> </w:t>
      </w:r>
      <w:r w:rsidR="00E227AF">
        <w:t>maja.leitgeb</w:t>
      </w:r>
      <w:r w:rsidRPr="00B57B36">
        <w:t>@</w:t>
      </w:r>
      <w:r w:rsidR="00E227AF">
        <w:t>um.si</w:t>
      </w:r>
    </w:p>
    <w:p w14:paraId="3F2537CF" w14:textId="0AC2E081" w:rsidR="00CB315E" w:rsidRDefault="00CB315E" w:rsidP="00CB315E">
      <w:pPr>
        <w:pStyle w:val="CETBodytext"/>
        <w:rPr>
          <w:lang w:val="en-GB"/>
        </w:rPr>
      </w:pPr>
      <w:bookmarkStart w:id="0" w:name="_Hlk495475023"/>
      <w:r w:rsidRPr="00CB315E">
        <w:rPr>
          <w:lang w:val="en-GB"/>
        </w:rPr>
        <w:t xml:space="preserve">Heavy metals being the most common pollutants of water and soil pose a risk for the ecosystems due to their non-degradable nature. Especially, </w:t>
      </w:r>
      <w:r w:rsidR="005422CD">
        <w:rPr>
          <w:lang w:val="en-GB"/>
        </w:rPr>
        <w:t>c</w:t>
      </w:r>
      <w:r w:rsidRPr="00CB315E">
        <w:rPr>
          <w:lang w:val="en-GB"/>
        </w:rPr>
        <w:t>hromium (Cr) is widely used in metal plating, pigmentation, printing, textile dyeing, wood preservation and other industries, therefore being</w:t>
      </w:r>
      <w:r w:rsidR="005422CD">
        <w:rPr>
          <w:lang w:val="en-GB"/>
        </w:rPr>
        <w:t xml:space="preserve"> a very</w:t>
      </w:r>
      <w:r w:rsidRPr="00CB315E">
        <w:rPr>
          <w:lang w:val="en-GB"/>
        </w:rPr>
        <w:t xml:space="preserve"> common pollutant in surface and underground waters. The elimination of such pollutants from wastewater is highly important </w:t>
      </w:r>
      <w:r w:rsidR="005422CD">
        <w:rPr>
          <w:lang w:val="en-GB"/>
        </w:rPr>
        <w:t>because of</w:t>
      </w:r>
      <w:r w:rsidRPr="00CB315E">
        <w:rPr>
          <w:lang w:val="en-GB"/>
        </w:rPr>
        <w:t xml:space="preserve"> their carcinogenic and toxic nature.</w:t>
      </w:r>
      <w:r>
        <w:rPr>
          <w:lang w:val="en-GB"/>
        </w:rPr>
        <w:t xml:space="preserve"> </w:t>
      </w:r>
      <w:r w:rsidRPr="00CB315E">
        <w:rPr>
          <w:lang w:val="en-GB"/>
        </w:rPr>
        <w:t xml:space="preserve">Among many methods for the removal of </w:t>
      </w:r>
      <w:proofErr w:type="gramStart"/>
      <w:r w:rsidRPr="00CB315E">
        <w:rPr>
          <w:lang w:val="en-GB"/>
        </w:rPr>
        <w:t>Cr(</w:t>
      </w:r>
      <w:proofErr w:type="gramEnd"/>
      <w:r w:rsidRPr="00CB315E">
        <w:rPr>
          <w:lang w:val="en-GB"/>
        </w:rPr>
        <w:t xml:space="preserve">VI) ions from wastewater, adsorption is the most common and effective physiochemical method, because of its high efficiency, recyclability, cost-effectiveness and simplicity. Polysaccharides have been extensively employed in synthesis of magnetic nanoparticles (MNPs) as coating materials for constructing an adsorptive material, mainly due to </w:t>
      </w:r>
      <w:r w:rsidR="00F77CB5">
        <w:rPr>
          <w:lang w:val="en-GB"/>
        </w:rPr>
        <w:t>their</w:t>
      </w:r>
      <w:r w:rsidRPr="00CB315E">
        <w:rPr>
          <w:lang w:val="en-GB"/>
        </w:rPr>
        <w:t xml:space="preserve"> high adsorptive ability and low-cost. They are also environmentally friendly, renewable, biodegradable, biocompatible and can easily be modified. Arabinogalactan (AG) is a polysaccharide, that has high adsorption capacity for </w:t>
      </w:r>
      <w:proofErr w:type="gramStart"/>
      <w:r w:rsidR="005422CD" w:rsidRPr="00CB315E">
        <w:rPr>
          <w:lang w:val="en-GB"/>
        </w:rPr>
        <w:t>Cr(</w:t>
      </w:r>
      <w:proofErr w:type="gramEnd"/>
      <w:r w:rsidRPr="00CB315E">
        <w:rPr>
          <w:lang w:val="en-GB"/>
        </w:rPr>
        <w:t xml:space="preserve">VI) ions. AG modified magnetic nanoparticles (AG-MNPs) were prepared by co-precipitation method using ferric and ferrous ions and later used as the adsorptive material for efficient </w:t>
      </w:r>
      <w:proofErr w:type="gramStart"/>
      <w:r w:rsidRPr="00CB315E">
        <w:rPr>
          <w:lang w:val="en-GB"/>
        </w:rPr>
        <w:t>Cr(</w:t>
      </w:r>
      <w:proofErr w:type="gramEnd"/>
      <w:r w:rsidRPr="00CB315E">
        <w:rPr>
          <w:lang w:val="en-GB"/>
        </w:rPr>
        <w:t xml:space="preserve">VI) removal. The optimum conditions for </w:t>
      </w:r>
      <w:proofErr w:type="gramStart"/>
      <w:r w:rsidRPr="00CB315E">
        <w:rPr>
          <w:lang w:val="en-GB"/>
        </w:rPr>
        <w:t>Cr(</w:t>
      </w:r>
      <w:proofErr w:type="gramEnd"/>
      <w:r w:rsidRPr="00CB315E">
        <w:rPr>
          <w:lang w:val="en-GB"/>
        </w:rPr>
        <w:t>VI) ions adsorption were found to be at pH 4, with contact period of only 30 min at 200 rpm, resulting in 92.9% adsorption efficiency and 99.6% maximum adsorption efficiency after 120 min at 200 rpm, using Cr(VI) ions at concentration</w:t>
      </w:r>
      <w:r w:rsidR="00F77CB5">
        <w:rPr>
          <w:lang w:val="en-GB"/>
        </w:rPr>
        <w:t xml:space="preserve"> of</w:t>
      </w:r>
      <w:r w:rsidRPr="00CB315E">
        <w:rPr>
          <w:lang w:val="en-GB"/>
        </w:rPr>
        <w:t xml:space="preserve"> 0.5, 1.0 and 5.0 mg/L. </w:t>
      </w:r>
    </w:p>
    <w:bookmarkEnd w:id="0"/>
    <w:p w14:paraId="0DC752A6" w14:textId="186B27BA" w:rsidR="00AB568A" w:rsidRDefault="00600535" w:rsidP="00AB568A">
      <w:pPr>
        <w:pStyle w:val="CETHeading1"/>
        <w:rPr>
          <w:lang w:val="en-GB"/>
        </w:rPr>
      </w:pPr>
      <w:r w:rsidRPr="00B57B36">
        <w:rPr>
          <w:lang w:val="en-GB"/>
        </w:rPr>
        <w:t>Introduction</w:t>
      </w:r>
    </w:p>
    <w:p w14:paraId="0C895B24" w14:textId="6409764C" w:rsidR="00AB568A" w:rsidRDefault="00246FA7" w:rsidP="00AB568A">
      <w:pPr>
        <w:pStyle w:val="CETBodytext"/>
        <w:rPr>
          <w:lang w:val="en-GB"/>
        </w:rPr>
      </w:pPr>
      <w:r>
        <w:rPr>
          <w:lang w:val="en-GB"/>
        </w:rPr>
        <w:t>Rapid world industrialization is causing contamination of freshwater by different pollutants, such as heavy metals. Therefore, treating and recycling of wastewater</w:t>
      </w:r>
      <w:r w:rsidR="004E0AD7">
        <w:rPr>
          <w:lang w:val="en-GB"/>
        </w:rPr>
        <w:t xml:space="preserve"> is becoming a vital part of obtaining a precious commodity as is fresh water. Wastewater from industrial processes is often contaminated with dyes, antibiotics, heavy metals and others</w:t>
      </w:r>
      <w:r w:rsidR="006361DC">
        <w:rPr>
          <w:lang w:val="en-GB"/>
        </w:rPr>
        <w:t xml:space="preserve"> </w:t>
      </w:r>
      <w:r w:rsidR="006361DC">
        <w:rPr>
          <w:lang w:val="en-GB"/>
        </w:rPr>
        <w:fldChar w:fldCharType="begin"/>
      </w:r>
      <w:r w:rsidR="006361DC">
        <w:rPr>
          <w:lang w:val="en-GB"/>
        </w:rPr>
        <w:instrText xml:space="preserve"> ADDIN ZOTERO_ITEM CSL_CITATION {"citationID":"vaveXwiz","properties":{"formattedCitation":"(van Loosdrecht and Brdjanovic, 2014; Almomani et al., 2020; Wu et al., 2022)","plainCitation":"(van Loosdrecht and Brdjanovic, 2014; Almomani et al., 2020; Wu et al., 2022)","noteIndex":0},"citationItems":[{"id":4806,"uris":["http://zotero.org/users/2084151/items/9XGRSUBA"],"itemData":{"id":4806,"type":"article-journal","container-title":"Science","DOI":"10.1126/science.1255183","issue":"6191","note":"publisher: American Association for the Advancement of Science","page":"1452-1453","source":"science.org (Atypon)","title":"Anticipating the next century of wastewater treatment","volume":"344","author":[{"family":"Loosdrecht","given":"Mark C. M.","non-dropping-particle":"van"},{"family":"Brdjanovic","given":"Damir"}],"issued":{"date-parts":[["2014",6,27]]}}},{"id":1747,"uris":["http://zotero.org/users/2084151/items/GFSCAQAJ"],"itemData":{"id":1747,"type":"article-journal","abstract":"A novel iron oxide magnetic nanoparticles (MNPs) grafted on hyperbranched polyglycerol (HPG) polymer were synthesized, characterized and tested for heavy metals (Ni, Cu and AL) removals from secondary effluent industrial wastewater (SEIWW). The effect of water matrix (organic matter, nutrient and pH) on removal efficiencies were evaluated. The heavy metal adsorption mechanism was investigated from adsorption isotherm and kinetic point-of-view. HPG-MNPs was successfully applied adsorbent for heavy metal removal from SEIWW. The adsorption process is spontaneous, pH dependence and showed high Ni, Cu and AL removal efficiency from water solutions. The magnetic separation process was very fast and took only 35 s. Adsorption isotherms were successfully fitted to Langmuir and Frindluich isotherms with a maximum equilibrium capacity (qmax) of 0.700, 0.451 and 0.790 mg mg−1 for Cu, Ni and Al, respectively. The pseudo-second-order model described well the adsorption kinetic data suggesting the sorbent connects to adsorbent by two or more steps including intra-particle diffusion. Through characterization tests, it is evident HPG-MNPs are uniformly dispersed in the solution, have a size in the nanometer range and have a spherical morphology. The removal efficiencies were not affected by the organic matter and phosphorous content of the wastewater but increasing the concentration of nitrogen reduced the percentage of heavy metal removals. The excellent reproducibility of the HPG-MNPs indicate they can be a promising adsorption material for the removal and separation of different heavy metals from aqueous solutions.","container-title":"Applied Surface Science","DOI":"10.1016/j.apsusc.2019.144924","ISSN":"0169-4332","journalAbbreviation":"Applied Surface Science","language":"en","page":"144924","source":"ScienceDirect","title":"Heavy metal ions removal from industrial wastewater using magnetic nanoparticles (MNP)","volume":"506","author":[{"family":"Almomani","given":"Fares"},{"family":"Bhosale","given":"Rahul"},{"family":"Khraisheh","given":"Majeda"},{"family":"kumar","given":"Anand"},{"family":"Almomani","given":"Thakir"}],"issued":{"date-parts":[["2020",3,15]]}}},{"id":4803,"uris":["http://zotero.org/users/2084151/items/A8U6S2TT"],"itemData":{"id":4803,"type":"article-journal","abstract":"In this work, locally available tea wastes were used as precursors for the development of cost-effective bio-sorbent materials for heavy metal removal from wastewater. Chemical and thermal treatments to prepare magnetic/non-magnetic tea waste-based adsorbents were discussed and correlated their properties with corresponding Cr(VI) adsorption capacity. These bio-sorbents were thoroughly characterized by FT-IR, PXRD, N2 adsorption-desorption surface area techniques and Cr adsorption performance was investigated in batch reactor under different conditions such as adsorbent dosage, initial Cr concentration, solution pH and contact time. Careful bleaching steps, incorporation of magnetic iron nanoparticles and judicious temperature treatments of tea wastes resulted in high performing biosorbents with a complete removal of Cr at a dosage of 0.25 g/mL of the solution. Cr adsorption on these tea waste-based bio-sorbents were found to be fitting to a pseudo 2nd order kinetics.","container-title":"Particuology","DOI":"10.1016/j.partic.2022.11.017","ISSN":"1674-2001","journalAbbreviation":"Particuology","language":"en","source":"ScienceDirect","title":"Upcycling tea waste particles into magnetic adsorbent materials for removal of Cr(VI) from aqueous solutions","URL":"https://www.sciencedirect.com/science/article/pii/S1674200122002693","author":[{"family":"Wu","given":"Jiahong"},{"family":"Annath","given":"Hamza"},{"family":"Chen","given":"Haili"},{"family":"Mangwandi","given":"Chirangano"}],"accessed":{"date-parts":[["2023",2,14]]},"issued":{"date-parts":[["2022",12,17]]}}}],"schema":"https://github.com/citation-style-language/schema/raw/master/csl-citation.json"} </w:instrText>
      </w:r>
      <w:r w:rsidR="006361DC">
        <w:rPr>
          <w:lang w:val="en-GB"/>
        </w:rPr>
        <w:fldChar w:fldCharType="separate"/>
      </w:r>
      <w:r w:rsidR="006361DC" w:rsidRPr="006361DC">
        <w:rPr>
          <w:rFonts w:cs="Arial"/>
        </w:rPr>
        <w:t>(van Loosdrecht and Brdjanovic, 2014; Almomani et al., 2020; Wu et al., 2022)</w:t>
      </w:r>
      <w:r w:rsidR="006361DC">
        <w:rPr>
          <w:lang w:val="en-GB"/>
        </w:rPr>
        <w:fldChar w:fldCharType="end"/>
      </w:r>
      <w:r w:rsidR="006361DC">
        <w:rPr>
          <w:lang w:val="en-GB"/>
        </w:rPr>
        <w:t xml:space="preserve">. Heavy metals are trace elements with relatively high density of more than 4000 g/L and are often poisonous. Many heavy metals easily accumulate in different tissues, which </w:t>
      </w:r>
      <w:r w:rsidR="00602A66">
        <w:rPr>
          <w:lang w:val="en-GB"/>
        </w:rPr>
        <w:t xml:space="preserve">are toxic and carcinogenic and </w:t>
      </w:r>
      <w:r w:rsidR="006361DC">
        <w:rPr>
          <w:lang w:val="en-GB"/>
        </w:rPr>
        <w:t>can cause disorders</w:t>
      </w:r>
      <w:r w:rsidR="00602A66">
        <w:rPr>
          <w:lang w:val="en-GB"/>
        </w:rPr>
        <w:t xml:space="preserve"> </w:t>
      </w:r>
      <w:r w:rsidR="00602A66">
        <w:rPr>
          <w:lang w:val="en-GB"/>
        </w:rPr>
        <w:fldChar w:fldCharType="begin"/>
      </w:r>
      <w:r w:rsidR="00602A66">
        <w:rPr>
          <w:lang w:val="en-GB"/>
        </w:rPr>
        <w:instrText xml:space="preserve"> ADDIN ZOTERO_ITEM CSL_CITATION {"citationID":"pjideqpq","properties":{"formattedCitation":"(Enfrin et al., 2020)","plainCitation":"(Enfrin et al., 2020)","noteIndex":0},"citationItems":[{"id":4809,"uris":["http://zotero.org/users/2084151/items/QMEMDYD6"],"itemData":{"id":4809,"type":"article-journal","abstract":"The presence of nanoplastics in water has become a major environmental concern in the last decade however the knowledge on the origin and formation of these emerging contaminants is lacking due to analytical challenges in detection and quantification techniques. The release of nanoplastics due to the fragmentation of microplastics extracted from a facial scrub and the resulting toxicity on aquatic species are reported here for the first time. The daily use of 4 g of facial scrub could release up to 1011 microplastics of 400 nm in size per litre of wastewater from household drains. Turbulences created by mixing or pumping induced the fragmentation of microplastics into nanoplastics smaller than 10 nm via a crack propagation and failure mechanism, increasing the number of particles in water by one order of magnitude. Compared to microplastics at a fixed concentration number of 6.8 × 108 part./mL, the generated nanoplastics initiated the death of 54% more cells in zebrafish by passive ingestion via skin diffusion which therefore pose a real threat for aquatic living organisms. These results stress the need to reduce the release of nano/microplastics in the aquatic environment to prevent the contamination of all trophic levels.","container-title":"Journal of Hazardous Materials","DOI":"10.1016/j.jhazmat.2019.121393","ISSN":"0304-3894","journalAbbreviation":"Journal of Hazardous Materials","language":"en","page":"121393","source":"ScienceDirect","title":"Release of hazardous nanoplastic contaminants due to microplastics fragmentation under shear stress forces","volume":"384","author":[{"family":"Enfrin","given":"Marie"},{"family":"Lee","given":"Judy"},{"family":"Gibert","given":"Yann"},{"family":"Basheer","given":"Faiza"},{"family":"Kong","given":"Lingxue"},{"family":"Dumée","given":"Ludovic F."}],"issued":{"date-parts":[["2020",2,15]]}}}],"schema":"https://github.com/citation-style-language/schema/raw/master/csl-citation.json"} </w:instrText>
      </w:r>
      <w:r w:rsidR="00602A66">
        <w:rPr>
          <w:lang w:val="en-GB"/>
        </w:rPr>
        <w:fldChar w:fldCharType="separate"/>
      </w:r>
      <w:r w:rsidR="00602A66" w:rsidRPr="00602A66">
        <w:rPr>
          <w:rFonts w:cs="Arial"/>
        </w:rPr>
        <w:t>(Enfrin et al., 2020)</w:t>
      </w:r>
      <w:r w:rsidR="00602A66">
        <w:rPr>
          <w:lang w:val="en-GB"/>
        </w:rPr>
        <w:fldChar w:fldCharType="end"/>
      </w:r>
      <w:r w:rsidR="00602A66">
        <w:rPr>
          <w:lang w:val="en-GB"/>
        </w:rPr>
        <w:t xml:space="preserve">. Chromium (Cr) is widely used in industrial </w:t>
      </w:r>
      <w:r w:rsidR="005422CD">
        <w:rPr>
          <w:lang w:val="en-GB"/>
        </w:rPr>
        <w:t>activities</w:t>
      </w:r>
      <w:r w:rsidR="00602A66">
        <w:rPr>
          <w:lang w:val="en-GB"/>
        </w:rPr>
        <w:t xml:space="preserve"> and one of the heavy metal pollutants. Hexavalent chromium Cr(VI) is the predominant species of dissolved Cr in water, as well as a suspected carcinogen, which is toxic to humans and animals, as it can freely move through the cell membranes and its high oxidation potential </w:t>
      </w:r>
      <w:r w:rsidR="00602A66">
        <w:rPr>
          <w:lang w:val="en-GB"/>
        </w:rPr>
        <w:fldChar w:fldCharType="begin"/>
      </w:r>
      <w:r w:rsidR="00602A66">
        <w:rPr>
          <w:lang w:val="en-GB"/>
        </w:rPr>
        <w:instrText xml:space="preserve"> ADDIN ZOTERO_ITEM CSL_CITATION {"citationID":"jktmFw9h","properties":{"formattedCitation":"(Kumar and Dwivedi, 2021)","plainCitation":"(Kumar and Dwivedi, 2021)","noteIndex":0},"citationItems":[{"id":4813,"uris":["http://zotero.org/users/2084151/items/SPM73MCW"],"itemData":{"id":4813,"type":"article-journal","abstract":"The present era is seeking our attention on the dilemma caused by the contamination of the aquatic system with chromium (Cr) and nickel (Ni). Amid Ni and Cr oxidation states, hexavalent Cr (Cr(VI)) and divalent Ni (Ni(II)) often found in the contaminated water body with prominent toxicity on flora and fauna. The negative consequences of the Cr and Ni are strongly connected with human health. The effluents discharged by ventures such as plating, tannery, battery, mining, coloring, material, paint, metal processing etc. industries also bring Cr and Ni into the water body. The removal of Cr and Ni from waste/industrial water faced the difficulties owing to inappropriate selection of technologies in aspects of cost, technique, efficiency and sustainability. Thus, in this review we discussed the chemistry and toxicity of Cr(VI) and Ni(II) and have bring together all the possible methods that can be effectively exploited for the treatment of Cr(VI) and Ni(II) contaminated water. We have also focused on the recent advances in integration/combination of biological or natural processes with other existing methods that have high scope for future research and have great opportunity in treatment of Cr and Ni contaminated water in ecofriendly and sustainable way in upcoming days.","container-title":"Journal of Cleaner Production","DOI":"10.1016/j.jclepro.2021.126229","ISSN":"0959-6526","journalAbbreviation":"Journal of Cleaner Production","language":"en","page":"126229","source":"ScienceDirect","title":"A review on accessible techniques for removal of hexavalent Chromium and divalent Nickel from industrial wastewater: Recent research and future outlook","title-short":"A review on accessible techniques for removal of hexavalent Chromium and divalent Nickel from industrial wastewater","volume":"295","author":[{"family":"Kumar","given":"Vinay"},{"family":"Dwivedi","given":"S. K."}],"issued":{"date-parts":[["2021",5,1]]}}}],"schema":"https://github.com/citation-style-language/schema/raw/master/csl-citation.json"} </w:instrText>
      </w:r>
      <w:r w:rsidR="00602A66">
        <w:rPr>
          <w:lang w:val="en-GB"/>
        </w:rPr>
        <w:fldChar w:fldCharType="separate"/>
      </w:r>
      <w:r w:rsidR="00602A66" w:rsidRPr="00602A66">
        <w:rPr>
          <w:rFonts w:cs="Arial"/>
        </w:rPr>
        <w:t>(Kumar and Dwivedi, 2021)</w:t>
      </w:r>
      <w:r w:rsidR="00602A66">
        <w:rPr>
          <w:lang w:val="en-GB"/>
        </w:rPr>
        <w:fldChar w:fldCharType="end"/>
      </w:r>
      <w:r w:rsidR="00602A66">
        <w:rPr>
          <w:lang w:val="en-GB"/>
        </w:rPr>
        <w:t xml:space="preserve">. </w:t>
      </w:r>
      <w:r w:rsidR="00617815">
        <w:rPr>
          <w:lang w:val="en-GB"/>
        </w:rPr>
        <w:t xml:space="preserve">Additionally Cr(III) is considered to be less toxic form of Cr due to its low mobility and relatively low solubility </w:t>
      </w:r>
      <w:r w:rsidR="00617815">
        <w:rPr>
          <w:lang w:val="en-GB"/>
        </w:rPr>
        <w:fldChar w:fldCharType="begin"/>
      </w:r>
      <w:r w:rsidR="00617815">
        <w:rPr>
          <w:lang w:val="en-GB"/>
        </w:rPr>
        <w:instrText xml:space="preserve"> ADDIN ZOTERO_ITEM CSL_CITATION {"citationID":"WZ0fPhd6","properties":{"formattedCitation":"(Liu and Yu, 2021; Wu et al., 2022)","plainCitation":"(Liu and Yu, 2021; Wu et al., 2022)","noteIndex":0},"citationItems":[{"id":4811,"uris":["http://zotero.org/users/2084151/items/BJXYT5RC"],"itemData":{"id":4811,"type":"article-journal","abstract":"Various industries produce large amounts of wastewater containing chromium complexes, such as tanning, electroplating, printing and dyeing. The complete removal of chromium complexes through traditional precipitation and coagulation processes is difficult, which is a great challenge in meeting strict chromium discharge standards. To date, a large number of literature reviews on chromium ions removal processes have been published, but none on the removal of chromium complexes. To tackle the challenge and provide reference for future research, this review summarized the difficulties of chromium complex removal and systematically explores the research status of chromium-complex-removal technologies. The researches on chromium complex removal are mainly focused on the precipitation, biotechnology, adsorption and redox process. These technologies are reviewed in detail in terms of their technological mechanisms, main advantages and shortcomings. In general, the researches available are still not sufficient to solve this problem to date. And finally, the future research directions of chromium complex removal have been proposed.","container-title":"Environmental Technology &amp; Innovation","DOI":"10.1016/j.eti.2021.101644","ISSN":"2352-1864","journalAbbreviation":"Environmental Technology &amp; Innovation","language":"en","page":"101644","source":"ScienceDirect","title":"Removal of recalcitrant trivalent chromium complexes from industrial wastewater under strict discharge standards","volume":"23","author":[{"family":"Liu","given":"Wei"},{"family":"Yu","given":"Yanxin"}],"issued":{"date-parts":[["2021",8,1]]}}},{"id":4803,"uris":["http://zotero.org/users/2084151/items/A8U6S2TT"],"itemData":{"id":4803,"type":"article-journal","abstract":"In this work, locally available tea wastes were used as precursors for the development of cost-effective bio-sorbent materials for heavy metal removal from wastewater. Chemical and thermal treatments to prepare magnetic/non-magnetic tea waste-based adsorbents were discussed and correlated their properties with corresponding Cr(VI) adsorption capacity. These bio-sorbents were thoroughly characterized by FT-IR, PXRD, N2 adsorption-desorption surface area techniques and Cr adsorption performance was investigated in batch reactor under different conditions such as adsorbent dosage, initial Cr concentration, solution pH and contact time. Careful bleaching steps, incorporation of magnetic iron nanoparticles and judicious temperature treatments of tea wastes resulted in high performing biosorbents with a complete removal of Cr at a dosage of 0.25 g/mL of the solution. Cr adsorption on these tea waste-based bio-sorbents were found to be fitting to a pseudo 2nd order kinetics.","container-title":"Particuology","DOI":"10.1016/j.partic.2022.11.017","ISSN":"1674-2001","journalAbbreviation":"Particuology","language":"en","source":"ScienceDirect","title":"Upcycling tea waste particles into magnetic adsorbent materials for removal of Cr(VI) from aqueous solutions","URL":"https://www.sciencedirect.com/science/article/pii/S1674200122002693","author":[{"family":"Wu","given":"Jiahong"},{"family":"Annath","given":"Hamza"},{"family":"Chen","given":"Haili"},{"family":"Mangwandi","given":"Chirangano"}],"accessed":{"date-parts":[["2023",2,14]]},"issued":{"date-parts":[["2022",12,17]]}}}],"schema":"https://github.com/citation-style-language/schema/raw/master/csl-citation.json"} </w:instrText>
      </w:r>
      <w:r w:rsidR="00617815">
        <w:rPr>
          <w:lang w:val="en-GB"/>
        </w:rPr>
        <w:fldChar w:fldCharType="separate"/>
      </w:r>
      <w:r w:rsidR="00617815" w:rsidRPr="00617815">
        <w:rPr>
          <w:rFonts w:cs="Arial"/>
        </w:rPr>
        <w:t>(Liu and Yu, 2021; Wu et al., 2022)</w:t>
      </w:r>
      <w:r w:rsidR="00617815">
        <w:rPr>
          <w:lang w:val="en-GB"/>
        </w:rPr>
        <w:fldChar w:fldCharType="end"/>
      </w:r>
      <w:r w:rsidR="00617815">
        <w:rPr>
          <w:lang w:val="en-GB"/>
        </w:rPr>
        <w:t xml:space="preserve">. Many reports were published investigating various treatments for water decontamination. Some of the treatments include membrane filtration, ion exchange and chemical precipitation, reverse osmosis, solvent extraction and adsorption </w:t>
      </w:r>
      <w:r w:rsidR="00617815">
        <w:rPr>
          <w:lang w:val="en-GB"/>
        </w:rPr>
        <w:fldChar w:fldCharType="begin"/>
      </w:r>
      <w:r w:rsidR="00617815">
        <w:rPr>
          <w:lang w:val="en-GB"/>
        </w:rPr>
        <w:instrText xml:space="preserve"> ADDIN ZOTERO_ITEM CSL_CITATION {"citationID":"W9BQU6mr","properties":{"formattedCitation":"(Barakat, 2011; Yao et al., 2022)","plainCitation":"(Barakat, 2011; Yao et al., 2022)","noteIndex":0},"citationItems":[{"id":4825,"uris":["http://zotero.org/users/2084151/items/4VN4EFBG"],"itemData":{"id":4825,"type":"article-journal","abstract":"Innovative processes for treating industrial wastewater containing heavy metals often involve technologies for reduction of toxicity in order to meet technology-based treatment standards. This article reviews the recent developments and technical applicability of various treatments for the removal of heavy metals from industrial wastewater. A particular focus is given to innovative physico-chemical removal processes such as; adsorption on new adsorbents, membrane filtration, electrodialysis, and photocatalysis. Their advantages and limitations in application are evaluated. The main operating conditions such as pH and treatment performance are presented. Published studies of 94 cited references (1999–2008) are reviewed. It is evident from survey that new adsorbents and membrane filtration are the most frequently studied and widely applied for the treatment of metal-contaminated wastewater. However, in the near future, the most promising methods to treat such complex systems will be the photocatalytic ones which consume cheap photons from the UV-near visible region. They induce both degradation of organic pollutants and recovery of metals in one-pot systems. On the other hand, from the conventional processes, lime precipitation has been found as one of the most effective means to treat inorganic effluent with a metal concentration of &gt;1000mg/L. It is important to note that the overall treatment cost of metal-contaminated water varies, depending on the process employed and the local conditions. In general, the technical applicability, plant simplicity and cost-effectiveness are the key factors in selecting the most suitable treatment for inorganic effluent","container-title":"Arabian Journal of Chemistry","DOI":"10.1016/j.arabjc.2010.07.019","ISSN":"1878-5352","issue":"4","journalAbbreviation":"Arabian Journal of Chemistry","language":"en","page":"361-377","source":"ScienceDirect","title":"New trends in removing heavy metals from industrial wastewater","volume":"4","author":[{"family":"Barakat","given":"M. A."}],"issued":{"date-parts":[["2011",10,1]]}}},{"id":4824,"uris":["http://zotero.org/users/2084151/items/CKYSYYLX"],"itemData":{"id":4824,"type":"article-journal","abstract":"Aqueous hexavalent chromium (Cr(VI)) treatment and chromium resource recovery toward Cr-containing wastes are of significant importance and necessity to both wastewater remediation and resource recovery. Herein, via mild photoreaction conditions with isopropanol (IPA) as an electron donor, a catalyst-free strategy for aqueous Cr(VI) extraction to form an insoluble polyhydroxy Cr(V) complex is developed for the first time. Aqueous Cr(VI) with concentration from 5 to 150 ppm can be efficiently extracted with high selectivity even in the presence of coexisting ions, and the total Cr concentration in residue solution can be as low as 0.5 ppm. The Cr resource could be efficiently recovered as pure Cr2O3 by calcinating the resulting Cr(V) precipitate. Outstanding extraction efficiency could be realized with various IPA concentrations (1.3–12.0 mol/L) by coordinately tuning the pH value to promote the formation of Cr(VI)-IPA ester. The formed ester undergoes intramolecular electron transition under visible light irradiation, resulting in a polyhydroxy solid-state Cr(V) intermediate complex. The controlled pH value blocks further reduction of Cr(V) to soluble Cr(III); thus the insoluble Cr(V) intermediate complex is stabilized thermodynamically under ambient conditions. Because of its electric neutrality property and the strong intermolecule interaction via hydrogen bonds, a dioxo-bridged di-nuclear Cr(V) complex {Cr2(μ-O)2(OH)4[OCH(CH3)2]2} is finally precipitated as the main product. Satisfactory extraction and recovery of Cr from chromium-plating wastewater and discarded stainless steel verify that this approach is ideal for both one-step purification of Cr(VI)-containing wastewater and selective resource recovery from Cr-containing solid wastes in practical application.","container-title":"Environmental Science &amp; Technology","DOI":"10.1021/acs.est.2c03994","ISSN":"0013-936X","issue":"19","journalAbbreviation":"Environ. Sci. Technol.","note":"publisher: American Chemical Society","page":"14030-14037","source":"ACS Publications","title":"Selective and Efficient Photoextraction of Aqueous Cr(VI) as a Solid-State Polyhydroxy Cr(V) Complex for Environmental Remediation and Resource Recovery","volume":"56","author":[{"family":"Yao","given":"Ling"},{"family":"Hu","given":"Yezi"},{"family":"Zou","given":"Yingtong"},{"family":"Ji","given":"Zhuoyu"},{"family":"Hu","given":"Shuxian"},{"family":"Wang","given":"Cong"},{"family":"Zhang","given":"Ping"},{"family":"Yang","given":"Hui"},{"family":"Shen","given":"Zewen"},{"family":"Tang","given":"Duoyue"},{"family":"Zhang","given":"Sai"},{"family":"Zhao","given":"Guixia"},{"family":"Wang","given":"Xiangke"}],"issued":{"date-parts":[["2022",10,4]]}}}],"schema":"https://github.com/citation-style-language/schema/raw/master/csl-citation.json"} </w:instrText>
      </w:r>
      <w:r w:rsidR="00617815">
        <w:rPr>
          <w:lang w:val="en-GB"/>
        </w:rPr>
        <w:fldChar w:fldCharType="separate"/>
      </w:r>
      <w:r w:rsidR="00617815" w:rsidRPr="00617815">
        <w:rPr>
          <w:rFonts w:cs="Arial"/>
        </w:rPr>
        <w:t>(Barakat, 2011; Yao et al., 2022)</w:t>
      </w:r>
      <w:r w:rsidR="00617815">
        <w:rPr>
          <w:lang w:val="en-GB"/>
        </w:rPr>
        <w:fldChar w:fldCharType="end"/>
      </w:r>
      <w:r w:rsidR="00617815">
        <w:rPr>
          <w:lang w:val="en-GB"/>
        </w:rPr>
        <w:t>. The simple, feasible and less expensive method is adsorption. In adsorption method, the wastewater i</w:t>
      </w:r>
      <w:r w:rsidR="006D3AE7">
        <w:rPr>
          <w:lang w:val="en-GB"/>
        </w:rPr>
        <w:t>s</w:t>
      </w:r>
      <w:r w:rsidR="00617815">
        <w:rPr>
          <w:lang w:val="en-GB"/>
        </w:rPr>
        <w:t xml:space="preserve"> in contact with </w:t>
      </w:r>
      <w:r w:rsidR="005422CD">
        <w:rPr>
          <w:lang w:val="en-GB"/>
        </w:rPr>
        <w:t>an</w:t>
      </w:r>
      <w:r w:rsidR="00617815">
        <w:rPr>
          <w:lang w:val="en-GB"/>
        </w:rPr>
        <w:t xml:space="preserve"> adsorbent material, which captures pollutants, because of </w:t>
      </w:r>
      <w:r w:rsidR="001D4182">
        <w:rPr>
          <w:lang w:val="en-GB"/>
        </w:rPr>
        <w:t>its</w:t>
      </w:r>
      <w:r w:rsidR="002E4798">
        <w:rPr>
          <w:lang w:val="en-GB"/>
        </w:rPr>
        <w:t xml:space="preserve"> characteristic </w:t>
      </w:r>
      <w:r w:rsidR="005422CD">
        <w:rPr>
          <w:lang w:val="en-GB"/>
        </w:rPr>
        <w:t>properties</w:t>
      </w:r>
      <w:r w:rsidR="002E4798">
        <w:rPr>
          <w:lang w:val="en-GB"/>
        </w:rPr>
        <w:t xml:space="preserve">, such as surface area, porosity, magnetic properties, surface charge and others </w:t>
      </w:r>
      <w:r w:rsidR="002E4798">
        <w:rPr>
          <w:lang w:val="en-GB"/>
        </w:rPr>
        <w:fldChar w:fldCharType="begin"/>
      </w:r>
      <w:r w:rsidR="002E4798">
        <w:rPr>
          <w:lang w:val="en-GB"/>
        </w:rPr>
        <w:instrText xml:space="preserve"> ADDIN ZOTERO_ITEM CSL_CITATION {"citationID":"zpzMsE8q","properties":{"formattedCitation":"(Wu et al., 2022)","plainCitation":"(Wu et al., 2022)","noteIndex":0},"citationItems":[{"id":4803,"uris":["http://zotero.org/users/2084151/items/A8U6S2TT"],"itemData":{"id":4803,"type":"article-journal","abstract":"In this work, locally available tea wastes were used as precursors for the development of cost-effective bio-sorbent materials for heavy metal removal from wastewater. Chemical and thermal treatments to prepare magnetic/non-magnetic tea waste-based adsorbents were discussed and correlated their properties with corresponding Cr(VI) adsorption capacity. These bio-sorbents were thoroughly characterized by FT-IR, PXRD, N2 adsorption-desorption surface area techniques and Cr adsorption performance was investigated in batch reactor under different conditions such as adsorbent dosage, initial Cr concentration, solution pH and contact time. Careful bleaching steps, incorporation of magnetic iron nanoparticles and judicious temperature treatments of tea wastes resulted in high performing biosorbents with a complete removal of Cr at a dosage of 0.25 g/mL of the solution. Cr adsorption on these tea waste-based bio-sorbents were found to be fitting to a pseudo 2nd order kinetics.","container-title":"Particuology","DOI":"10.1016/j.partic.2022.11.017","ISSN":"1674-2001","journalAbbreviation":"Particuology","language":"en","source":"ScienceDirect","title":"Upcycling tea waste particles into magnetic adsorbent materials for removal of Cr(VI) from aqueous solutions","URL":"https://www.sciencedirect.com/science/article/pii/S1674200122002693","author":[{"family":"Wu","given":"Jiahong"},{"family":"Annath","given":"Hamza"},{"family":"Chen","given":"Haili"},{"family":"Mangwandi","given":"Chirangano"}],"accessed":{"date-parts":[["2023",2,14]]},"issued":{"date-parts":[["2022",12,17]]}}}],"schema":"https://github.com/citation-style-language/schema/raw/master/csl-citation.json"} </w:instrText>
      </w:r>
      <w:r w:rsidR="002E4798">
        <w:rPr>
          <w:lang w:val="en-GB"/>
        </w:rPr>
        <w:fldChar w:fldCharType="separate"/>
      </w:r>
      <w:r w:rsidR="002E4798" w:rsidRPr="002E4798">
        <w:rPr>
          <w:rFonts w:cs="Arial"/>
        </w:rPr>
        <w:t>(Wu et al., 2022)</w:t>
      </w:r>
      <w:r w:rsidR="002E4798">
        <w:rPr>
          <w:lang w:val="en-GB"/>
        </w:rPr>
        <w:fldChar w:fldCharType="end"/>
      </w:r>
      <w:r w:rsidR="002E4798">
        <w:rPr>
          <w:lang w:val="en-GB"/>
        </w:rPr>
        <w:t xml:space="preserve">. Various nanoparticles were investigated for the removal of contaminants from wastewater, </w:t>
      </w:r>
      <w:r w:rsidR="005D1D38">
        <w:rPr>
          <w:lang w:val="en-GB"/>
        </w:rPr>
        <w:t>because of</w:t>
      </w:r>
      <w:r w:rsidR="002E4798">
        <w:rPr>
          <w:lang w:val="en-GB"/>
        </w:rPr>
        <w:t xml:space="preserve"> their specific surface area and porosity. Different </w:t>
      </w:r>
      <w:r w:rsidR="00C82CA3">
        <w:rPr>
          <w:lang w:val="en-GB"/>
        </w:rPr>
        <w:t xml:space="preserve">polymer-modified </w:t>
      </w:r>
      <w:r w:rsidR="002E4798">
        <w:rPr>
          <w:lang w:val="en-GB"/>
        </w:rPr>
        <w:t>magnetic nanoparticles of nano</w:t>
      </w:r>
      <w:r w:rsidR="00BE7EB1">
        <w:rPr>
          <w:lang w:val="en-GB"/>
        </w:rPr>
        <w:t>-</w:t>
      </w:r>
      <w:r w:rsidR="002E4798">
        <w:rPr>
          <w:lang w:val="en-GB"/>
        </w:rPr>
        <w:lastRenderedPageBreak/>
        <w:t xml:space="preserve">size, such as ferric, aluminium or magnesium oxide are considered </w:t>
      </w:r>
      <w:r w:rsidR="00CA0461">
        <w:rPr>
          <w:lang w:val="en-GB"/>
        </w:rPr>
        <w:t xml:space="preserve">to be </w:t>
      </w:r>
      <w:r w:rsidR="002E4798">
        <w:rPr>
          <w:lang w:val="en-GB"/>
        </w:rPr>
        <w:t xml:space="preserve">the most effective adsorbent materials for the removal of  heavy metals from aqueous systems </w:t>
      </w:r>
      <w:r w:rsidR="002E4798">
        <w:rPr>
          <w:lang w:val="en-GB"/>
        </w:rPr>
        <w:fldChar w:fldCharType="begin"/>
      </w:r>
      <w:r w:rsidR="002E4798">
        <w:rPr>
          <w:lang w:val="en-GB"/>
        </w:rPr>
        <w:instrText xml:space="preserve"> ADDIN ZOTERO_ITEM CSL_CITATION {"citationID":"yKxm7DJ2","properties":{"formattedCitation":"(Singh et al., 2023)","plainCitation":"(Singh et al., 2023)","noteIndex":0},"citationItems":[{"id":4807,"uris":["http://zotero.org/users/2084151/items/AMG44SQS"],"itemData":{"id":4807,"type":"article-journal","abstract":"Artemisia absinthium leaves were utilized as a reducing agent for green synthesis of Zinc oxide nanoparticles (particle size 17 nm). Synthesized green-ZnO (g-ZnO) were characterized by SEM/EDX, FTIR, XRD, UV, and BET analyses and then further used as an adsorbent to remove Cr(VI) ions from simulated wastewater. Optimal pH, temperature and adsorbent dosage were determined through batch mode studies. High removal efficiency and adsorption capacity were observed at pH 4, 0.25 g L−1 dosage, and 25 mg L−1 concentration of Cr(VI). Experimental data were modelled with different adsorption kinetics (Elovich model, PFO, PSO, IDP model) and isotherms (Langmuir, Freundlich, and Temkin), and it was found the adsorption process was well fitted to Langmuir with an R2 value greater than&gt;0.99. Computational calculation showed that the g-ZnO nanoparticles became </w:instrText>
      </w:r>
      <w:r w:rsidR="002E4798">
        <w:rPr>
          <w:rFonts w:ascii="Cambria Math" w:hAnsi="Cambria Math" w:cs="Cambria Math"/>
          <w:lang w:val="en-GB"/>
        </w:rPr>
        <w:instrText>∼</w:instrText>
      </w:r>
      <w:r w:rsidR="002E4798">
        <w:rPr>
          <w:lang w:val="en-GB"/>
        </w:rPr>
        <w:instrText xml:space="preserve">14 times more dynamic with delocalized surface states making them a relevant platform to adsorb Cr with greater work function compatibility supporting the experimental findings. The Qmax adsorption capacity of g-ZnO was 315.46 mg g−1 from Langmuir calculations. Thermodynamic calculations reveal that the Cr (VI) adsorption process was spontaneous and endothermic, with a positive ΔS value representing the disorder at the solid-solution interface during the adsorption. In addition, the present study has demonstrated that these g-ZnO nanoparticles show strong antibacterial activities against P. aeruginosa (MTCC 1688) and E. coli (MTCC 1687). Also, the novel g-ZnO adsorbent capacity to remove Cr(VI) from simulated water revealed that it could be reused at least six times with higher removal rates during regeneration experiments. The results obtained from adsorption and antimicrobial activities suggest that g-ZnO nanoparticles could be used effectively in real-time wastewater and agricultural safety applications.","container-title":"Environmental Pollution","DOI":"10.1016/j.envpol.2023.121105","ISSN":"0269-7491","journalAbbreviation":"Environmental Pollution","language":"en","page":"121105","source":"ScienceDirect","title":"Applicability of new sustainable and efficient green metal-based nanoparticles for removal of Cr(VI): Adsorption anti-microbial, and DFT studies","title-short":"Applicability of new sustainable and efficient green metal-based nanoparticles for removal of Cr(VI)","volume":"320","author":[{"family":"Singh","given":"Simranjeet"},{"family":"Naik","given":"T. S. S. K."},{"family":"Thamaraiselvan","given":"C."},{"family":"Behera","given":"S. K."},{"family":"N","given":"Pavithra."},{"family":"Nath","given":"Bidisha"},{"family":"Dwivedi","given":"P."},{"family":"Singh","given":"Joginder"},{"family":"Ramamurthy","given":"Praveen C."}],"issued":{"date-parts":[["2023",3,1]]}}}],"schema":"https://github.com/citation-style-language/schema/raw/master/csl-citation.json"} </w:instrText>
      </w:r>
      <w:r w:rsidR="002E4798">
        <w:rPr>
          <w:lang w:val="en-GB"/>
        </w:rPr>
        <w:fldChar w:fldCharType="separate"/>
      </w:r>
      <w:r w:rsidR="002E4798" w:rsidRPr="002E4798">
        <w:rPr>
          <w:rFonts w:cs="Arial"/>
        </w:rPr>
        <w:t>(Singh et al., 2023)</w:t>
      </w:r>
      <w:r w:rsidR="002E4798">
        <w:rPr>
          <w:lang w:val="en-GB"/>
        </w:rPr>
        <w:fldChar w:fldCharType="end"/>
      </w:r>
      <w:r w:rsidR="002E4798">
        <w:rPr>
          <w:lang w:val="en-GB"/>
        </w:rPr>
        <w:t>.</w:t>
      </w:r>
      <w:r w:rsidR="009E6C12">
        <w:rPr>
          <w:lang w:val="en-GB"/>
        </w:rPr>
        <w:t xml:space="preserve"> </w:t>
      </w:r>
      <w:r w:rsidR="00C82CA3" w:rsidRPr="00C82CA3">
        <w:rPr>
          <w:highlight w:val="yellow"/>
          <w:lang w:val="en-GB"/>
        </w:rPr>
        <w:t>A</w:t>
      </w:r>
      <w:r w:rsidR="00C82CA3" w:rsidRPr="00C82CA3">
        <w:rPr>
          <w:highlight w:val="yellow"/>
          <w:lang w:val="en-GB"/>
        </w:rPr>
        <w:t>rabinogalactan (AG)</w:t>
      </w:r>
      <w:r w:rsidR="00C82CA3" w:rsidRPr="00C82CA3">
        <w:rPr>
          <w:highlight w:val="yellow"/>
          <w:lang w:val="en-GB"/>
        </w:rPr>
        <w:t xml:space="preserve"> is </w:t>
      </w:r>
      <w:r w:rsidR="00C82CA3" w:rsidRPr="00C82CA3">
        <w:rPr>
          <w:highlight w:val="yellow"/>
          <w:lang w:val="en-GB"/>
        </w:rPr>
        <w:t>a highly branched natural polysaccharide with</w:t>
      </w:r>
      <w:r w:rsidR="00C82CA3" w:rsidRPr="00C82CA3">
        <w:rPr>
          <w:highlight w:val="yellow"/>
          <w:lang w:val="en-GB"/>
        </w:rPr>
        <w:t xml:space="preserve"> 70% </w:t>
      </w:r>
      <w:r w:rsidR="00C82CA3" w:rsidRPr="00C82CA3">
        <w:rPr>
          <w:highlight w:val="yellow"/>
          <w:lang w:val="en-GB"/>
        </w:rPr>
        <w:t>water solubility</w:t>
      </w:r>
      <w:r w:rsidR="009D0B1E">
        <w:rPr>
          <w:highlight w:val="yellow"/>
          <w:lang w:val="en-GB"/>
        </w:rPr>
        <w:t>, which displays</w:t>
      </w:r>
      <w:r w:rsidR="00F660C2">
        <w:rPr>
          <w:highlight w:val="yellow"/>
          <w:lang w:val="en-GB"/>
        </w:rPr>
        <w:t xml:space="preserve"> high added-value functionalities, especially their adsorptive ability. </w:t>
      </w:r>
      <w:r w:rsidR="006E08AF">
        <w:rPr>
          <w:highlight w:val="yellow"/>
          <w:lang w:val="en-GB"/>
        </w:rPr>
        <w:t xml:space="preserve">Surface properties of AG are unique, since it has the ability </w:t>
      </w:r>
      <w:r w:rsidR="00A93461">
        <w:rPr>
          <w:highlight w:val="yellow"/>
          <w:lang w:val="en-GB"/>
        </w:rPr>
        <w:t xml:space="preserve">to </w:t>
      </w:r>
      <w:r w:rsidR="006E08AF">
        <w:rPr>
          <w:highlight w:val="yellow"/>
          <w:lang w:val="en-GB"/>
        </w:rPr>
        <w:t xml:space="preserve">decrease the interfacial tension between different interfaces and to stabilize these interfaces through </w:t>
      </w:r>
      <w:r w:rsidR="006E08AF" w:rsidRPr="006E08AF">
        <w:rPr>
          <w:highlight w:val="yellow"/>
          <w:lang w:val="en-GB"/>
        </w:rPr>
        <w:t>steric and elect</w:t>
      </w:r>
      <w:r w:rsidR="00A93461">
        <w:rPr>
          <w:highlight w:val="yellow"/>
          <w:lang w:val="en-GB"/>
        </w:rPr>
        <w:t>ro</w:t>
      </w:r>
      <w:r w:rsidR="006E08AF" w:rsidRPr="006E08AF">
        <w:rPr>
          <w:highlight w:val="yellow"/>
          <w:lang w:val="en-GB"/>
        </w:rPr>
        <w:t xml:space="preserve">static interactions and hydration forces. Such properties can be used to stabilize nanoparticles, as well </w:t>
      </w:r>
      <w:r w:rsidR="006E08AF" w:rsidRPr="006E08AF">
        <w:rPr>
          <w:highlight w:val="yellow"/>
          <w:lang w:val="en-GB"/>
        </w:rPr>
        <w:fldChar w:fldCharType="begin"/>
      </w:r>
      <w:r w:rsidR="006E08AF" w:rsidRPr="006E08AF">
        <w:rPr>
          <w:highlight w:val="yellow"/>
          <w:lang w:val="en-GB"/>
        </w:rPr>
        <w:instrText xml:space="preserve"> ADDIN ZOTERO_ITEM CSL_CITATION {"citationID":"X6eqbDCg","properties":{"formattedCitation":"(Davant\\uc0\\u232{}s et al., 2019)","plainCitation":"(Davantès et al., 2019)","noteIndex":0},"citationItems":[{"id":4836,"uris":["http://zotero.org/users/2084151/items/48QIBRML"],"itemData":{"id":4836,"type":"article-journal","abstract":"Adsorption of hyperbranched arabinogalactan-proteins (AGPs) from two plant exudates, A. senegal and A. seyal, was thoroughly studied at the solid–liquid interface using quartz crystal microbalance with dissipation monitoring (QCM-D), surface plasmon resonance (SPR), and atomic force microscopy (AFM). Isotherms of the adsorption reveal that 3.3 fold more AGPs from A. seyal (500 ppm) are needed to cover the gold surface compared to A. senegal (150 ppm). The pH and salt concentration of the environment greatly affected the adsorption behavior of both gums, with the surface density ranging from 0.92 to 3.83 mg m−2 using SPR (i.e., “dry” mass) and from 1.16 to 19.07 mg m−2 using QCM-D (wet mass). Surprisingly, the mass adsorbed was the highest in conditions of strong electrostatic repulsions between the gold substrate and AGPs, i.e., pH 7.0, highlighting the contribution of other interactions involved in the adsorption process. Structural changes of AGPs induced by pH would result in swelling of the polysaccharide blocks and conformational changes of the polypeptide backbone, therefore increasing the protein accessibility and hydrophobic interactions and/or hydrogen bonds with the gold substrate.","container-title":"Colloids and Interfaces","DOI":"10.3390/colloids3020049","ISSN":"2504-5377","issue":"2","language":"en","license":"http://creativecommons.org/licenses/by/3.0/","note":"number: 2\npublisher: Multidisciplinary Digital Publishing Institute","page":"49","source":"www.mdpi.com","title":"Adsorption of Hyperbranched Arabinogalactan-Proteins from Plant Exudate at the Solid–Liquid Interface","volume":"3","author":[{"family":"Davantès","given":"Athénaïs"},{"family":"Nigen","given":"Michaël"},{"family":"Sanchez","given":"Christian"},{"family":"Orlando","given":"Angelina","non-dropping-particle":"d’"},{"family":"Renard","given":"Denis"}],"issued":{"date-parts":[["2019",6]]}}}],"schema":"https://github.com/citation-style-language/schema/raw/master/csl-citation.json"} </w:instrText>
      </w:r>
      <w:r w:rsidR="006E08AF" w:rsidRPr="006E08AF">
        <w:rPr>
          <w:highlight w:val="yellow"/>
          <w:lang w:val="en-GB"/>
        </w:rPr>
        <w:fldChar w:fldCharType="separate"/>
      </w:r>
      <w:r w:rsidR="006E08AF" w:rsidRPr="006E08AF">
        <w:rPr>
          <w:rFonts w:cs="Arial"/>
          <w:szCs w:val="24"/>
          <w:highlight w:val="yellow"/>
        </w:rPr>
        <w:t>(</w:t>
      </w:r>
      <w:proofErr w:type="spellStart"/>
      <w:r w:rsidR="006E08AF" w:rsidRPr="006E08AF">
        <w:rPr>
          <w:rFonts w:cs="Arial"/>
          <w:szCs w:val="24"/>
          <w:highlight w:val="yellow"/>
        </w:rPr>
        <w:t>Davantès</w:t>
      </w:r>
      <w:proofErr w:type="spellEnd"/>
      <w:r w:rsidR="006E08AF" w:rsidRPr="006E08AF">
        <w:rPr>
          <w:rFonts w:cs="Arial"/>
          <w:szCs w:val="24"/>
          <w:highlight w:val="yellow"/>
        </w:rPr>
        <w:t xml:space="preserve"> et al., 2019)</w:t>
      </w:r>
      <w:r w:rsidR="006E08AF" w:rsidRPr="006E08AF">
        <w:rPr>
          <w:highlight w:val="yellow"/>
          <w:lang w:val="en-GB"/>
        </w:rPr>
        <w:fldChar w:fldCharType="end"/>
      </w:r>
      <w:r w:rsidR="006E08AF" w:rsidRPr="006E08AF">
        <w:rPr>
          <w:highlight w:val="yellow"/>
          <w:lang w:val="en-GB"/>
        </w:rPr>
        <w:t xml:space="preserve">. </w:t>
      </w:r>
      <w:r w:rsidR="00F660C2" w:rsidRPr="006E08AF">
        <w:rPr>
          <w:highlight w:val="yellow"/>
          <w:lang w:val="en-GB"/>
        </w:rPr>
        <w:t xml:space="preserve">AG exhibits </w:t>
      </w:r>
      <w:r w:rsidR="00C82CA3" w:rsidRPr="006E08AF">
        <w:rPr>
          <w:highlight w:val="yellow"/>
          <w:lang w:val="en-GB"/>
        </w:rPr>
        <w:t>high</w:t>
      </w:r>
      <w:r w:rsidR="00C82CA3" w:rsidRPr="006E08AF">
        <w:rPr>
          <w:highlight w:val="yellow"/>
          <w:lang w:val="en-GB"/>
        </w:rPr>
        <w:t xml:space="preserve"> </w:t>
      </w:r>
      <w:r w:rsidR="00C82CA3" w:rsidRPr="006E08AF">
        <w:rPr>
          <w:highlight w:val="yellow"/>
          <w:lang w:val="en-GB"/>
        </w:rPr>
        <w:t>water</w:t>
      </w:r>
      <w:r w:rsidR="00C82CA3" w:rsidRPr="006E08AF">
        <w:rPr>
          <w:highlight w:val="yellow"/>
          <w:lang w:val="en-GB"/>
        </w:rPr>
        <w:t xml:space="preserve"> </w:t>
      </w:r>
      <w:r w:rsidR="00C82CA3" w:rsidRPr="006E08AF">
        <w:rPr>
          <w:highlight w:val="yellow"/>
          <w:lang w:val="en-GB"/>
        </w:rPr>
        <w:t xml:space="preserve">solubility, </w:t>
      </w:r>
      <w:proofErr w:type="gramStart"/>
      <w:r w:rsidR="00C82CA3" w:rsidRPr="006E08AF">
        <w:rPr>
          <w:highlight w:val="yellow"/>
          <w:lang w:val="en-GB"/>
        </w:rPr>
        <w:t>biocompatibility</w:t>
      </w:r>
      <w:proofErr w:type="gramEnd"/>
      <w:r w:rsidR="00C82CA3" w:rsidRPr="006E08AF">
        <w:rPr>
          <w:highlight w:val="yellow"/>
          <w:lang w:val="en-GB"/>
        </w:rPr>
        <w:t xml:space="preserve"> and </w:t>
      </w:r>
      <w:r w:rsidR="00C82CA3" w:rsidRPr="006E08AF">
        <w:rPr>
          <w:highlight w:val="yellow"/>
          <w:lang w:val="en-GB"/>
        </w:rPr>
        <w:t>biodegradability</w:t>
      </w:r>
      <w:r w:rsidR="00F660C2" w:rsidRPr="006E08AF">
        <w:rPr>
          <w:highlight w:val="yellow"/>
          <w:lang w:val="en-GB"/>
        </w:rPr>
        <w:t>, which</w:t>
      </w:r>
      <w:r w:rsidR="00C82CA3" w:rsidRPr="006E08AF">
        <w:rPr>
          <w:highlight w:val="yellow"/>
          <w:lang w:val="en-GB"/>
        </w:rPr>
        <w:t xml:space="preserve"> </w:t>
      </w:r>
      <w:r w:rsidR="00C82CA3" w:rsidRPr="00C82CA3">
        <w:rPr>
          <w:highlight w:val="yellow"/>
          <w:lang w:val="en-GB"/>
        </w:rPr>
        <w:t>render</w:t>
      </w:r>
      <w:r w:rsidR="00C82CA3" w:rsidRPr="00C82CA3">
        <w:rPr>
          <w:highlight w:val="yellow"/>
          <w:lang w:val="en-GB"/>
        </w:rPr>
        <w:t xml:space="preserve">s </w:t>
      </w:r>
      <w:r w:rsidR="00C82CA3" w:rsidRPr="00C82CA3">
        <w:rPr>
          <w:highlight w:val="yellow"/>
          <w:lang w:val="en-GB"/>
        </w:rPr>
        <w:t>AG attractive as a</w:t>
      </w:r>
      <w:r w:rsidR="00C82CA3" w:rsidRPr="00C82CA3">
        <w:rPr>
          <w:highlight w:val="yellow"/>
          <w:lang w:val="en-GB"/>
        </w:rPr>
        <w:t xml:space="preserve"> </w:t>
      </w:r>
      <w:r w:rsidR="00C82CA3" w:rsidRPr="00C82CA3">
        <w:rPr>
          <w:highlight w:val="yellow"/>
          <w:lang w:val="en-GB"/>
        </w:rPr>
        <w:t xml:space="preserve">potential </w:t>
      </w:r>
      <w:r w:rsidR="009D0B1E">
        <w:rPr>
          <w:highlight w:val="yellow"/>
          <w:lang w:val="en-GB"/>
        </w:rPr>
        <w:t xml:space="preserve">multifunctional </w:t>
      </w:r>
      <w:r w:rsidR="00C82CA3" w:rsidRPr="00C82CA3">
        <w:rPr>
          <w:highlight w:val="yellow"/>
          <w:lang w:val="en-GB"/>
        </w:rPr>
        <w:t>nano</w:t>
      </w:r>
      <w:r w:rsidR="00A93461">
        <w:rPr>
          <w:highlight w:val="yellow"/>
          <w:lang w:val="en-GB"/>
        </w:rPr>
        <w:t>-</w:t>
      </w:r>
      <w:r w:rsidR="00C82CA3" w:rsidRPr="00C82CA3">
        <w:rPr>
          <w:highlight w:val="yellow"/>
          <w:lang w:val="en-GB"/>
        </w:rPr>
        <w:t>vehicle</w:t>
      </w:r>
      <w:r w:rsidR="00C82CA3">
        <w:rPr>
          <w:lang w:val="en-GB"/>
        </w:rPr>
        <w:t>.</w:t>
      </w:r>
      <w:r w:rsidR="00F660C2">
        <w:rPr>
          <w:lang w:val="en-GB"/>
        </w:rPr>
        <w:t xml:space="preserve"> </w:t>
      </w:r>
      <w:r w:rsidR="009E6C12">
        <w:rPr>
          <w:lang w:val="en-GB"/>
        </w:rPr>
        <w:t>Such nanoparticles are highly effective adsorbents for the removal of heavy metals, since they have numerous advantages, such as high ability, rapid kinetics, unsaturated surfaces, acceptable sorption and ease of use</w:t>
      </w:r>
      <w:r w:rsidR="00FE6478">
        <w:rPr>
          <w:lang w:val="en-GB"/>
        </w:rPr>
        <w:t xml:space="preserve"> </w:t>
      </w:r>
      <w:r w:rsidR="00FE6478">
        <w:rPr>
          <w:lang w:val="en-GB"/>
        </w:rPr>
        <w:fldChar w:fldCharType="begin"/>
      </w:r>
      <w:r w:rsidR="00FE6478">
        <w:rPr>
          <w:lang w:val="en-GB"/>
        </w:rPr>
        <w:instrText xml:space="preserve"> ADDIN ZOTERO_ITEM CSL_CITATION {"citationID":"eWoIjmxD","properties":{"formattedCitation":"(Kim et al., 2013; Bhateria and Singh, 2019)","plainCitation":"(Kim et al., 2013; Bhateria and Singh, 2019)","noteIndex":0},"citationItems":[{"id":4829,"uris":["http://zotero.org/users/2084151/items/UYUDTFRF"],"itemData":{"id":4829,"type":"article-journal","abstract":"In this study, hierarchical MnO2-coated magnetic nanocomposite (Fe3O4/MnO2) was synthesized by a mild hydrothermal process, and its application for removing heavy metal ions from contaminated water systems was examined. Structural characterization showed that the Fe3O4 nanoparticle core was coated with amorphous MnO2 shell with flowerlike morphology. The as-prepared nanocomposite had a large surface area and high magnetic saturation value, which ensured its good sorption ability and convenience of separation. Fe3O 4/MnO2 exhibited a greatly improved removal capacity toward four different heavy metals (Cd(II), Cu(II), Pb(II), and Zn(II)) compared to unmodified Fe3O4 nanoparticles. The adsorption property of Fe3O4/MnO2 was studied with Cd(II) in more detail. The sorption equilibrium data were well fitted to the Langmuir model, and the maximum adsorption capacity toward Cd(II) was 53.2 mg g -1. Fe3O4/MnO2 retained over 80% of its adsorption capacity under various solution conditions that are typically encountered in natural waters. This nanocomposite was easily recovered and reused through consecutive adsorption-desorption experiments with the assistance of an external magnetic field. Overall, the findings propose that Fe 3O4/MnO2 could be used as an effective recyclable adsorbent for heavy metal ions. © 2013 American Chemical Society.","archive":"Scopus","container-title":"ACS Applied Materials and Interfaces","DOI":"10.1021/am402615m","ISSN":"1944-8244","issue":"19","language":"English","page":"9628-9634","source":"Scopus","title":"Hierarchically structured manganese oxide-coated magnetic nanocomposites for the efficient removal of heavy metal ions from aqueous systems","volume":"5","author":[{"family":"Kim","given":"E.-J."},{"family":"Lee","given":"C.-S."},{"family":"Chang","given":"Y.-Y."},{"family":"Chang","given":"Y.-S."}],"issued":{"date-parts":[["2013"]]}}},{"id":4828,"uris":["http://zotero.org/users/2084151/items/IPNKDXA5"],"itemData":{"id":4828,"type":"article-journal","abstract":"With increasing trend in industrialization, heavy metals possess a great threat to the environment due to their discharge in water and wastewater above permissible limits. Heavy metals have toxic effects on human and environment. However, advancement in newly budding and fangled nanotechnology offers better treatment techniques. Development of novel and cost-effective 0D, 1D, 2D and 3D nanomaterials for environmental remediation, pollution detection and other applications has attracted considerable attention. Zero valent iron and iron oxide nanoparticles are found to be the best candidates for heavy metal adsorption and removal. Various mechanical, optical and electrical properties of nanoparticles play important role in nanoparticle formation and interaction. Forms of iron oxide such as hematite (α Fe2O3) and magnetite (Fe3O4) nanoparticles of varied morphology and size (10 nm, 20 nm, 50 nm etc.) were synthesized by various methods like sol-gel, precipitation, hydrothermal processes and magnetic nano-composites with different iron precursors (iron acetate, iron nitrate, ferric chloride, ferrous sulphate etc.). Iron oxide nanoparticles (in a variety of chemical and structural forms) have already exhibited its diversity and potential in many frontiers of environmental area. Present review is focused on the application of iron and iron oxide nanoparticles towards heavy metal removal.","container-title":"Journal of Water Process Engineering","DOI":"10.1016/j.jwpe.2019.100845","ISSN":"2214-7144","journalAbbreviation":"Journal of Water Process Engineering","language":"en","page":"100845","source":"ScienceDirect","title":"A review on nanotechnological application of magnetic iron oxides for heavy metal removal","volume":"31","author":[{"family":"Bhateria","given":"Rachna"},{"family":"Singh","given":"Rimmy"}],"issued":{"date-parts":[["2019",10,1]]}}}],"schema":"https://github.com/citation-style-language/schema/raw/master/csl-citation.json"} </w:instrText>
      </w:r>
      <w:r w:rsidR="00FE6478">
        <w:rPr>
          <w:lang w:val="en-GB"/>
        </w:rPr>
        <w:fldChar w:fldCharType="separate"/>
      </w:r>
      <w:r w:rsidR="00FE6478" w:rsidRPr="00FE6478">
        <w:rPr>
          <w:rFonts w:cs="Arial"/>
        </w:rPr>
        <w:t>(Kim et al., 2013; Bhateria and Singh, 2019)</w:t>
      </w:r>
      <w:r w:rsidR="00FE6478">
        <w:rPr>
          <w:lang w:val="en-GB"/>
        </w:rPr>
        <w:fldChar w:fldCharType="end"/>
      </w:r>
      <w:r w:rsidR="009E6C12">
        <w:rPr>
          <w:lang w:val="en-GB"/>
        </w:rPr>
        <w:t xml:space="preserve">. </w:t>
      </w:r>
      <w:r w:rsidR="008B6B4B">
        <w:rPr>
          <w:lang w:val="en-GB"/>
        </w:rPr>
        <w:t xml:space="preserve">In our study, AG-MNPs were used as adsorptive nanomaterial for efficient removal of </w:t>
      </w:r>
      <w:proofErr w:type="gramStart"/>
      <w:r w:rsidR="008B6B4B">
        <w:rPr>
          <w:lang w:val="en-GB"/>
        </w:rPr>
        <w:t>Cr(</w:t>
      </w:r>
      <w:proofErr w:type="gramEnd"/>
      <w:r w:rsidR="008B6B4B">
        <w:rPr>
          <w:lang w:val="en-GB"/>
        </w:rPr>
        <w:t>VI) from aqueous solution. Effect of pH, adsorbent</w:t>
      </w:r>
      <w:r w:rsidR="00353EC4">
        <w:rPr>
          <w:lang w:val="en-GB"/>
        </w:rPr>
        <w:t xml:space="preserve"> concentration</w:t>
      </w:r>
      <w:r w:rsidR="008B6B4B">
        <w:rPr>
          <w:lang w:val="en-GB"/>
        </w:rPr>
        <w:t xml:space="preserve"> and Cr(VI) concentration were investigated and isotherm model was </w:t>
      </w:r>
      <w:proofErr w:type="spellStart"/>
      <w:r w:rsidR="008B6B4B">
        <w:rPr>
          <w:lang w:val="en-GB"/>
        </w:rPr>
        <w:t>analyzed</w:t>
      </w:r>
      <w:proofErr w:type="spellEnd"/>
      <w:r w:rsidR="008B6B4B">
        <w:rPr>
          <w:lang w:val="en-GB"/>
        </w:rPr>
        <w:t xml:space="preserve"> using Freundlich isotherm model.</w:t>
      </w:r>
    </w:p>
    <w:p w14:paraId="21B9A280" w14:textId="7A595378" w:rsidR="007D0951" w:rsidRDefault="0099483D" w:rsidP="0099483D">
      <w:pPr>
        <w:pStyle w:val="CETHeading1"/>
      </w:pPr>
      <w:r>
        <w:t>Materials and methods</w:t>
      </w:r>
    </w:p>
    <w:p w14:paraId="6B4C63E5" w14:textId="03565DED" w:rsidR="00600535" w:rsidRDefault="0099483D" w:rsidP="00B41DDA">
      <w:pPr>
        <w:pStyle w:val="CETheadingx"/>
      </w:pPr>
      <w:r>
        <w:t>M</w:t>
      </w:r>
      <w:r w:rsidR="007A66A7">
        <w:t>a</w:t>
      </w:r>
      <w:r>
        <w:t>terials</w:t>
      </w:r>
      <w:r w:rsidR="007A66A7">
        <w:t xml:space="preserve"> </w:t>
      </w:r>
    </w:p>
    <w:p w14:paraId="235DF2DD" w14:textId="09035F13" w:rsidR="006700B6" w:rsidRDefault="00E009E1" w:rsidP="006700B6">
      <w:pPr>
        <w:pStyle w:val="CETBodytext"/>
      </w:pPr>
      <w:r>
        <w:t>I</w:t>
      </w:r>
      <w:r w:rsidRPr="00E009E1">
        <w:t>ron (III) chloride hexahydrate (FeCl</w:t>
      </w:r>
      <w:r w:rsidRPr="00CF3335">
        <w:rPr>
          <w:vertAlign w:val="subscript"/>
        </w:rPr>
        <w:t>3</w:t>
      </w:r>
      <w:r w:rsidRPr="00E009E1">
        <w:t>∙6H</w:t>
      </w:r>
      <w:r w:rsidRPr="00CF3335">
        <w:rPr>
          <w:vertAlign w:val="subscript"/>
        </w:rPr>
        <w:t>2</w:t>
      </w:r>
      <w:r w:rsidRPr="00E009E1">
        <w:t>O)</w:t>
      </w:r>
      <w:r w:rsidR="009170C5">
        <w:t>,</w:t>
      </w:r>
      <w:r w:rsidRPr="00E009E1">
        <w:t xml:space="preserve"> iron (II) chloride tetrahydrate (FeCl</w:t>
      </w:r>
      <w:r w:rsidRPr="00CF3335">
        <w:rPr>
          <w:vertAlign w:val="subscript"/>
        </w:rPr>
        <w:t>2</w:t>
      </w:r>
      <w:r w:rsidRPr="00E009E1">
        <w:t>∙4H</w:t>
      </w:r>
      <w:r w:rsidRPr="00CF3335">
        <w:rPr>
          <w:vertAlign w:val="subscript"/>
        </w:rPr>
        <w:t>2</w:t>
      </w:r>
      <w:r w:rsidRPr="00E009E1">
        <w:t>O)</w:t>
      </w:r>
      <w:r w:rsidR="009170C5">
        <w:t xml:space="preserve">, </w:t>
      </w:r>
      <w:r w:rsidR="005422CD">
        <w:t>orthophosphoric</w:t>
      </w:r>
      <w:r w:rsidR="009170C5">
        <w:t xml:space="preserve"> acid (85%), </w:t>
      </w:r>
      <w:r w:rsidR="00C26674">
        <w:t xml:space="preserve">potassium dichromate, </w:t>
      </w:r>
      <w:r w:rsidR="009170C5">
        <w:t>acetic acid</w:t>
      </w:r>
      <w:r w:rsidR="00C26674">
        <w:t>, hydrochloric acid (37%), sodium hydroxide</w:t>
      </w:r>
      <w:r w:rsidR="009170C5">
        <w:t xml:space="preserve"> and ethanol</w:t>
      </w:r>
      <w:r w:rsidRPr="00E009E1">
        <w:t xml:space="preserve"> were obtained from Merck</w:t>
      </w:r>
      <w:r w:rsidR="00C26674">
        <w:t>, Germany</w:t>
      </w:r>
      <w:r w:rsidR="009170C5">
        <w:t>. Arabinogalactan, 1,5-difenylcarbazide and glutaraldehyde (25%)</w:t>
      </w:r>
      <w:r w:rsidRPr="00E009E1">
        <w:t xml:space="preserve"> were obtained from Sigma Aldrich</w:t>
      </w:r>
      <w:r w:rsidR="00C26674">
        <w:t>, Germany</w:t>
      </w:r>
      <w:r w:rsidRPr="00E009E1">
        <w:t>.</w:t>
      </w:r>
      <w:r w:rsidR="009170C5">
        <w:t xml:space="preserve"> </w:t>
      </w:r>
      <w:r w:rsidRPr="00E009E1">
        <w:t>Ammonium hydroxide was purchased from Chem-Lab, Belgium. All reagents were of analytical grade and used without further purification. In all experiments, deionized water was used</w:t>
      </w:r>
      <w:r w:rsidR="002A07F1">
        <w:t>.</w:t>
      </w:r>
    </w:p>
    <w:p w14:paraId="3963C4B0" w14:textId="6071FDEA" w:rsidR="00AC73DE" w:rsidRDefault="00390EB9" w:rsidP="00B41DDA">
      <w:pPr>
        <w:pStyle w:val="CETheadingx"/>
      </w:pPr>
      <w:r>
        <w:t>Preparation of AG-MNPs</w:t>
      </w:r>
    </w:p>
    <w:p w14:paraId="1E20B929" w14:textId="6960FEA1" w:rsidR="005F0EED" w:rsidRDefault="002A07F1" w:rsidP="006700B6">
      <w:pPr>
        <w:pStyle w:val="CETBodytext"/>
      </w:pPr>
      <w:r w:rsidRPr="002A07F1">
        <w:t>Ferric (III) ions (FeCl3∙6H2O) and ferrous (II) ions (FeCl2∙4H2O) were combined in a 2:1 M ratio and dissolved completely in 40 mL of deionized water.</w:t>
      </w:r>
      <w:r w:rsidR="005F0EED">
        <w:t xml:space="preserve"> 1 mg of arabinogalactan (AG) was dissolved in 30 mL of water and stirred. Both solutions were added into a three-neck flask equipped with a mechanical stirrer. Later on</w:t>
      </w:r>
      <w:r w:rsidR="00C26674">
        <w:t>,</w:t>
      </w:r>
      <w:r w:rsidR="005F0EED">
        <w:t xml:space="preserve"> 5 mL of ammonium solution (25%) was added dropwise to the mixture and vigorously stirred at 500 rpm under a nitrogen atmosphere and heated to 85 </w:t>
      </w:r>
      <w:r w:rsidR="005F0EED" w:rsidRPr="002A07F1">
        <w:t>°C for 1 h</w:t>
      </w:r>
      <w:r w:rsidR="005F0EED">
        <w:t xml:space="preserve">our. After synthesis, AG-MNPs were obtained, </w:t>
      </w:r>
      <w:r w:rsidR="005422CD">
        <w:t>washed</w:t>
      </w:r>
      <w:r w:rsidR="005F0EED">
        <w:t xml:space="preserve"> two times with distilled water and two times with ethanol, using a magnet to remove any excess</w:t>
      </w:r>
      <w:r w:rsidR="00080828">
        <w:t xml:space="preserve"> of</w:t>
      </w:r>
      <w:r w:rsidR="005F0EED">
        <w:t xml:space="preserve"> ammonia and AG from the solution. Obtained AG-MNPs were dried overnight at 50 </w:t>
      </w:r>
      <w:r w:rsidR="005F0EED" w:rsidRPr="002A07F1">
        <w:t>°C</w:t>
      </w:r>
      <w:r w:rsidR="005F0EED">
        <w:t xml:space="preserve">. </w:t>
      </w:r>
    </w:p>
    <w:p w14:paraId="5BBA4A27" w14:textId="77777777" w:rsidR="00B41DDA" w:rsidRDefault="00905888" w:rsidP="00B41DDA">
      <w:pPr>
        <w:pStyle w:val="CETheadingx"/>
      </w:pPr>
      <w:r>
        <w:t xml:space="preserve">Preparation of </w:t>
      </w:r>
      <w:r w:rsidR="00B41DDA">
        <w:t>analysis solutions</w:t>
      </w:r>
    </w:p>
    <w:p w14:paraId="7621ADB6" w14:textId="4F8EA788" w:rsidR="00905888" w:rsidRPr="009E2438" w:rsidRDefault="00A526D7" w:rsidP="00A526D7">
      <w:pPr>
        <w:pStyle w:val="CETHeadingxx"/>
      </w:pPr>
      <w:r>
        <w:t xml:space="preserve">2.3.1 </w:t>
      </w:r>
      <w:r w:rsidR="00B41DDA" w:rsidRPr="009E2438">
        <w:t xml:space="preserve">Preparation of </w:t>
      </w:r>
      <w:r w:rsidR="005422CD" w:rsidRPr="009E2438">
        <w:t>Cr(</w:t>
      </w:r>
      <w:r w:rsidR="00905888" w:rsidRPr="009E2438">
        <w:t>VI) solution</w:t>
      </w:r>
      <w:r w:rsidR="00B41DDA" w:rsidRPr="009E2438">
        <w:tab/>
      </w:r>
    </w:p>
    <w:p w14:paraId="4B513688" w14:textId="7060D7D3" w:rsidR="00B41DDA" w:rsidRDefault="00905888" w:rsidP="00B41DDA">
      <w:pPr>
        <w:pStyle w:val="CETBodytext"/>
      </w:pPr>
      <w:r>
        <w:t xml:space="preserve">The stock solution of </w:t>
      </w:r>
      <w:r w:rsidR="005422CD">
        <w:t>Cr(</w:t>
      </w:r>
      <w:r>
        <w:t xml:space="preserve">VI) was prepared using </w:t>
      </w:r>
      <w:r w:rsidR="00B41DDA">
        <w:t>500 mg of potassium dichromate (K</w:t>
      </w:r>
      <w:r w:rsidR="00B41DDA" w:rsidRPr="00CF3335">
        <w:rPr>
          <w:vertAlign w:val="subscript"/>
        </w:rPr>
        <w:t>2</w:t>
      </w:r>
      <w:r w:rsidR="00B41DDA">
        <w:t>Cr</w:t>
      </w:r>
      <w:r w:rsidR="00B41DDA" w:rsidRPr="00CF3335">
        <w:rPr>
          <w:vertAlign w:val="subscript"/>
        </w:rPr>
        <w:t>2</w:t>
      </w:r>
      <w:r w:rsidR="00B41DDA">
        <w:t>O</w:t>
      </w:r>
      <w:r w:rsidR="00B41DDA" w:rsidRPr="00CF3335">
        <w:rPr>
          <w:vertAlign w:val="subscript"/>
        </w:rPr>
        <w:t>7</w:t>
      </w:r>
      <w:r w:rsidR="00B41DDA">
        <w:t>) in 500 mL distilled water. The calibration curve for adsorption determination was performed using Cr(VI) ions solutions with concentrations of 1 mg/mL, 0.2 mg/mL, 0.1 mg/mL and 0.05 mg/</w:t>
      </w:r>
      <w:proofErr w:type="spellStart"/>
      <w:r w:rsidR="00B41DDA">
        <w:t>mL.</w:t>
      </w:r>
      <w:proofErr w:type="spellEnd"/>
    </w:p>
    <w:p w14:paraId="18CBB94E" w14:textId="0A6794A4" w:rsidR="00B41DDA" w:rsidRPr="009E2438" w:rsidRDefault="00A526D7" w:rsidP="00A526D7">
      <w:pPr>
        <w:pStyle w:val="CETHeadingxx"/>
      </w:pPr>
      <w:r>
        <w:t xml:space="preserve">2.3.2 </w:t>
      </w:r>
      <w:r w:rsidR="00B41DDA" w:rsidRPr="009E2438">
        <w:t xml:space="preserve">Preparation of </w:t>
      </w:r>
      <w:proofErr w:type="spellStart"/>
      <w:r w:rsidR="00B41DDA" w:rsidRPr="009E2438">
        <w:t>ortophosphoric</w:t>
      </w:r>
      <w:proofErr w:type="spellEnd"/>
      <w:r w:rsidR="00B41DDA" w:rsidRPr="009E2438">
        <w:t xml:space="preserve"> acid solution </w:t>
      </w:r>
    </w:p>
    <w:p w14:paraId="7812576E" w14:textId="5107AE73" w:rsidR="00B41DDA" w:rsidRDefault="009E2438" w:rsidP="009E2438">
      <w:pPr>
        <w:pStyle w:val="CETBodytext"/>
      </w:pPr>
      <w:r>
        <w:t xml:space="preserve">70 mL of </w:t>
      </w:r>
      <w:proofErr w:type="spellStart"/>
      <w:r>
        <w:t>ortophosphoric</w:t>
      </w:r>
      <w:proofErr w:type="spellEnd"/>
      <w:r>
        <w:t xml:space="preserve"> acid was diluted with 30 mL distilled water to prepare </w:t>
      </w:r>
      <w:r w:rsidR="009A2FE6">
        <w:t>a 70</w:t>
      </w:r>
      <w:r>
        <w:t xml:space="preserve">% </w:t>
      </w:r>
      <w:proofErr w:type="spellStart"/>
      <w:r>
        <w:t>orto</w:t>
      </w:r>
      <w:r w:rsidR="00CF3335">
        <w:t>ph</w:t>
      </w:r>
      <w:r>
        <w:t>ospho</w:t>
      </w:r>
      <w:r w:rsidR="00CF3335">
        <w:t>ri</w:t>
      </w:r>
      <w:r>
        <w:t>c</w:t>
      </w:r>
      <w:proofErr w:type="spellEnd"/>
      <w:r>
        <w:t xml:space="preserve"> acid solution.</w:t>
      </w:r>
    </w:p>
    <w:p w14:paraId="6F96388B" w14:textId="2DB99BD8" w:rsidR="00B41DDA" w:rsidRPr="009E2438" w:rsidRDefault="00A526D7" w:rsidP="00A526D7">
      <w:pPr>
        <w:pStyle w:val="CETHeadingxx"/>
      </w:pPr>
      <w:r>
        <w:t xml:space="preserve">2.3.3 </w:t>
      </w:r>
      <w:r w:rsidR="00B41DDA" w:rsidRPr="009E2438">
        <w:t>Preparation of 1,5-difenylcarbazide solution</w:t>
      </w:r>
    </w:p>
    <w:p w14:paraId="75A528E9" w14:textId="2B449235" w:rsidR="009E2438" w:rsidRDefault="009E2438" w:rsidP="009E2438">
      <w:pPr>
        <w:rPr>
          <w:rFonts w:cs="Arial"/>
          <w:szCs w:val="18"/>
        </w:rPr>
      </w:pPr>
      <w:r>
        <w:rPr>
          <w:rFonts w:cs="Arial"/>
          <w:szCs w:val="18"/>
        </w:rPr>
        <w:t xml:space="preserve">0.5 g of 1,5-difenylcarbazide was </w:t>
      </w:r>
      <w:r w:rsidR="009A2FE6">
        <w:rPr>
          <w:rFonts w:cs="Arial"/>
          <w:szCs w:val="18"/>
        </w:rPr>
        <w:t>diluted</w:t>
      </w:r>
      <w:r>
        <w:rPr>
          <w:rFonts w:cs="Arial"/>
          <w:szCs w:val="18"/>
        </w:rPr>
        <w:t xml:space="preserve"> in 50 mL of acetone. </w:t>
      </w:r>
    </w:p>
    <w:p w14:paraId="3986705A" w14:textId="5C1959FC" w:rsidR="00B41DDA" w:rsidRPr="00B41DDA" w:rsidRDefault="00AB568A" w:rsidP="00B41DDA">
      <w:pPr>
        <w:pStyle w:val="CETheadingx"/>
      </w:pPr>
      <w:r w:rsidRPr="00B41DDA">
        <w:t>A</w:t>
      </w:r>
      <w:r w:rsidR="00C26674" w:rsidRPr="00B41DDA">
        <w:t>dsorption studies</w:t>
      </w:r>
    </w:p>
    <w:p w14:paraId="69AF43CA" w14:textId="6EAF9342" w:rsidR="00B41DDA" w:rsidRPr="00A526D7" w:rsidRDefault="00AB568A" w:rsidP="00A526D7">
      <w:pPr>
        <w:pStyle w:val="CETHeadingxx"/>
      </w:pPr>
      <w:r w:rsidRPr="00A526D7">
        <w:t>2.</w:t>
      </w:r>
      <w:r w:rsidR="00B41DDA" w:rsidRPr="00A526D7">
        <w:t>4</w:t>
      </w:r>
      <w:r w:rsidRPr="00A526D7">
        <w:t>.</w:t>
      </w:r>
      <w:r w:rsidR="00B41DDA" w:rsidRPr="00A526D7">
        <w:t>1</w:t>
      </w:r>
      <w:r w:rsidRPr="00A526D7">
        <w:t xml:space="preserve"> Batch adsorption experiment</w:t>
      </w:r>
      <w:r w:rsidR="00B41DDA" w:rsidRPr="00A526D7">
        <w:t>s</w:t>
      </w:r>
    </w:p>
    <w:p w14:paraId="72EDF57C" w14:textId="42981344" w:rsidR="00390EB9" w:rsidRDefault="00AB568A" w:rsidP="00C26674">
      <w:pPr>
        <w:pStyle w:val="CETBodytext"/>
      </w:pPr>
      <w:r>
        <w:t xml:space="preserve">To investigate the adsorption capacity of AG-MNPs for Cr(VI) ions, </w:t>
      </w:r>
      <w:r w:rsidR="00735670">
        <w:t xml:space="preserve">a certain amount of </w:t>
      </w:r>
      <w:r>
        <w:t xml:space="preserve">the adsorbent AG-MNPs was used. </w:t>
      </w:r>
      <w:r w:rsidR="00C26674">
        <w:t xml:space="preserve">Adsorption studies were performed </w:t>
      </w:r>
      <w:r w:rsidR="00735670">
        <w:t xml:space="preserve">in </w:t>
      </w:r>
      <w:proofErr w:type="spellStart"/>
      <w:r w:rsidR="00735670">
        <w:t>erlenmayer</w:t>
      </w:r>
      <w:proofErr w:type="spellEnd"/>
      <w:r w:rsidR="00735670">
        <w:t xml:space="preserve"> flasks </w:t>
      </w:r>
      <w:r w:rsidR="00C26674">
        <w:t>using</w:t>
      </w:r>
      <w:r w:rsidR="00735670">
        <w:t xml:space="preserve"> AG-MNPs with 30 mL of Cr(VI) ions solution with concentration of</w:t>
      </w:r>
      <w:r w:rsidR="00C26674">
        <w:t xml:space="preserve"> </w:t>
      </w:r>
      <w:r>
        <w:t>1mg/L</w:t>
      </w:r>
      <w:r w:rsidR="00735670">
        <w:t>.</w:t>
      </w:r>
      <w:r w:rsidR="00390EB9">
        <w:t xml:space="preserve"> </w:t>
      </w:r>
      <w:r w:rsidR="00735670">
        <w:t>Continual agitation was applied using orbital shaker at</w:t>
      </w:r>
      <w:r w:rsidR="000E319D">
        <w:t xml:space="preserve"> 200 rpm and</w:t>
      </w:r>
      <w:r w:rsidR="00735670">
        <w:t xml:space="preserve"> 22 °C</w:t>
      </w:r>
      <w:r w:rsidR="000E319D">
        <w:t xml:space="preserve">. 2.5 mL of Cr(VI) solution was collected after 10, 20, 30, 60, 90, 120 min and analyzed. </w:t>
      </w:r>
    </w:p>
    <w:p w14:paraId="5C8B25DE" w14:textId="05D65CB3" w:rsidR="00735670" w:rsidRPr="00A526D7" w:rsidRDefault="00735670" w:rsidP="00A526D7">
      <w:pPr>
        <w:pStyle w:val="CETHeadingxx"/>
      </w:pPr>
      <w:r w:rsidRPr="00A526D7">
        <w:t>2.</w:t>
      </w:r>
      <w:r w:rsidR="00B41DDA" w:rsidRPr="00A526D7">
        <w:t>4.2</w:t>
      </w:r>
      <w:r w:rsidRPr="00A526D7">
        <w:t xml:space="preserve"> </w:t>
      </w:r>
      <w:r w:rsidR="002A30B9" w:rsidRPr="00A526D7">
        <w:t xml:space="preserve">Effect of </w:t>
      </w:r>
      <w:r w:rsidRPr="00A526D7">
        <w:t>pH</w:t>
      </w:r>
      <w:r w:rsidR="002A30B9" w:rsidRPr="00A526D7">
        <w:t xml:space="preserve"> on adsorption</w:t>
      </w:r>
    </w:p>
    <w:p w14:paraId="0A9BB18D" w14:textId="502E41B8" w:rsidR="00735670" w:rsidRDefault="00735670" w:rsidP="00C26674">
      <w:pPr>
        <w:pStyle w:val="CETBodytext"/>
      </w:pPr>
      <w:r>
        <w:t xml:space="preserve">To determine the optimal pH </w:t>
      </w:r>
      <w:r w:rsidR="000E319D">
        <w:t xml:space="preserve">for adsorption of Cr(VI) ions, 30 mg of </w:t>
      </w:r>
      <w:r w:rsidR="009735CB">
        <w:t xml:space="preserve">adsorbent </w:t>
      </w:r>
      <w:r w:rsidR="000E319D">
        <w:t xml:space="preserve">AG-MNPs was placed into an </w:t>
      </w:r>
      <w:proofErr w:type="spellStart"/>
      <w:r w:rsidR="000E319D">
        <w:t>erlenmayer</w:t>
      </w:r>
      <w:proofErr w:type="spellEnd"/>
      <w:r w:rsidR="000E319D">
        <w:t xml:space="preserve"> flask. 30 mL of Cr(VI) ions solution with concentration of 1mg/L was added </w:t>
      </w:r>
      <w:r w:rsidR="000956EF">
        <w:t xml:space="preserve">into each flask </w:t>
      </w:r>
      <w:r w:rsidR="000E319D">
        <w:t>with corresponding pH (3, 4, and 5). The solution was continually agitated at 200 rpm and 22</w:t>
      </w:r>
      <w:r w:rsidR="000956EF">
        <w:t xml:space="preserve"> °C. 2.5 mL of Cr(VI) solution was collected after 10, 20, 30, 60, 90, 120 min and analyzed.</w:t>
      </w:r>
    </w:p>
    <w:p w14:paraId="1E58167A" w14:textId="3B9E8F10" w:rsidR="000956EF" w:rsidRDefault="000956EF" w:rsidP="00B41DDA">
      <w:pPr>
        <w:pStyle w:val="CETHeadingxx"/>
      </w:pPr>
      <w:r>
        <w:lastRenderedPageBreak/>
        <w:t>2.</w:t>
      </w:r>
      <w:r w:rsidR="00B41DDA">
        <w:t>4.3</w:t>
      </w:r>
      <w:r>
        <w:t xml:space="preserve"> </w:t>
      </w:r>
      <w:r w:rsidR="002A30B9">
        <w:t>Effect of a</w:t>
      </w:r>
      <w:r>
        <w:t>dsorbent AG-MNPs</w:t>
      </w:r>
      <w:r w:rsidR="002A30B9">
        <w:t xml:space="preserve"> </w:t>
      </w:r>
      <w:r w:rsidR="00353EC4">
        <w:t>concentration</w:t>
      </w:r>
      <w:r w:rsidR="002A30B9">
        <w:t xml:space="preserve"> on adsorption</w:t>
      </w:r>
    </w:p>
    <w:p w14:paraId="73C5CD11" w14:textId="746E75FE" w:rsidR="000956EF" w:rsidRDefault="000956EF" w:rsidP="000956EF">
      <w:pPr>
        <w:pStyle w:val="CETBodytext"/>
      </w:pPr>
      <w:r>
        <w:t>To determine the optimal amount of adsorbent AG-MNPs, different amounts of AG-MNPs (</w:t>
      </w:r>
      <w:r w:rsidR="00353EC4">
        <w:t>using concentration of 0.</w:t>
      </w:r>
      <w:r>
        <w:t>5</w:t>
      </w:r>
      <w:r w:rsidR="00353EC4">
        <w:t xml:space="preserve"> mg/mL</w:t>
      </w:r>
      <w:r>
        <w:t xml:space="preserve">, </w:t>
      </w:r>
      <w:r w:rsidR="00353EC4">
        <w:t>1 mg/mL</w:t>
      </w:r>
      <w:r>
        <w:t xml:space="preserve">, </w:t>
      </w:r>
      <w:r w:rsidR="00353EC4">
        <w:t>1.67 mg/mL</w:t>
      </w:r>
      <w:r>
        <w:t xml:space="preserve"> and </w:t>
      </w:r>
      <w:r w:rsidR="00353EC4">
        <w:t>2.33 mg/mL</w:t>
      </w:r>
      <w:r>
        <w:t xml:space="preserve">) were placed into </w:t>
      </w:r>
      <w:r w:rsidR="009735CB">
        <w:t xml:space="preserve">each </w:t>
      </w:r>
      <w:proofErr w:type="spellStart"/>
      <w:r>
        <w:t>erlenmayer</w:t>
      </w:r>
      <w:proofErr w:type="spellEnd"/>
      <w:r>
        <w:t xml:space="preserve"> flask. 30 mL of Cr(VI) ions solution with concentration of 1mg/L and pH 4 was added into each flask. The solution was continually agitated at 200 rpm and 22 °C. 2.5 mL of Cr(VI) solution was collected after 10, 20, 30, 60, 90, 120 min and analyzed.</w:t>
      </w:r>
    </w:p>
    <w:p w14:paraId="47A54F3D" w14:textId="70E4DF1F" w:rsidR="000956EF" w:rsidRDefault="000956EF" w:rsidP="00B41DDA">
      <w:pPr>
        <w:pStyle w:val="CETHeadingxx"/>
      </w:pPr>
      <w:r>
        <w:t>2.</w:t>
      </w:r>
      <w:r w:rsidR="00B41DDA">
        <w:t>4.4</w:t>
      </w:r>
      <w:r>
        <w:t xml:space="preserve"> </w:t>
      </w:r>
      <w:r w:rsidR="002A30B9">
        <w:t xml:space="preserve">Effect of </w:t>
      </w:r>
      <w:r>
        <w:t xml:space="preserve">Cr(VI) ions solution concentration </w:t>
      </w:r>
      <w:r w:rsidR="002A30B9">
        <w:t xml:space="preserve">on adsorption </w:t>
      </w:r>
    </w:p>
    <w:p w14:paraId="6A57E546" w14:textId="17D003EF" w:rsidR="000956EF" w:rsidRDefault="000956EF" w:rsidP="00C26674">
      <w:pPr>
        <w:pStyle w:val="CETBodytext"/>
      </w:pPr>
      <w:r>
        <w:t xml:space="preserve">To determine the optimal </w:t>
      </w:r>
      <w:r w:rsidR="009735CB">
        <w:t>concentration of Cr(VI) ions solution</w:t>
      </w:r>
      <w:r w:rsidR="002A30B9">
        <w:t xml:space="preserve">, different concentrations of the solution were prepared (1, 5, 7 and 10 mg/mL). </w:t>
      </w:r>
      <w:r w:rsidR="00A6759B">
        <w:t>1.67 mg/mL</w:t>
      </w:r>
      <w:r w:rsidR="002A30B9">
        <w:t xml:space="preserve"> of adsorbent AG-MNPs was placed into each </w:t>
      </w:r>
      <w:proofErr w:type="spellStart"/>
      <w:r w:rsidR="002A30B9">
        <w:t>erlenmayer</w:t>
      </w:r>
      <w:proofErr w:type="spellEnd"/>
      <w:r w:rsidR="002A30B9">
        <w:t xml:space="preserve"> flask with 30 mL of Cr(VI) ions solution with corresponding concentration adjusted to pH 4. The solution was continually agitated at 200 rpm and 22 °C. 2.5 mL of Cr(VI) solution was collected after 10, 20, 30, 60, 90, 120 min and analyzed.</w:t>
      </w:r>
      <w:r w:rsidR="0028574C">
        <w:t xml:space="preserve"> </w:t>
      </w:r>
    </w:p>
    <w:p w14:paraId="5FE99339" w14:textId="0661ADDE" w:rsidR="00B41DDA" w:rsidRPr="00B41DDA" w:rsidRDefault="00B41DDA" w:rsidP="00B41DDA">
      <w:pPr>
        <w:pStyle w:val="CETheadingx"/>
        <w:numPr>
          <w:ilvl w:val="2"/>
          <w:numId w:val="23"/>
        </w:numPr>
      </w:pPr>
      <w:r>
        <w:t>Adsorption analysis</w:t>
      </w:r>
    </w:p>
    <w:p w14:paraId="2CC8349A" w14:textId="63D1C173" w:rsidR="000956EF" w:rsidRDefault="00B41DDA" w:rsidP="00C26674">
      <w:pPr>
        <w:pStyle w:val="CETBodytext"/>
      </w:pPr>
      <w:r>
        <w:t xml:space="preserve">To 2.5 mL of each adsorption sample, 23.5 mL of distilled water, 1 mL of </w:t>
      </w:r>
      <w:proofErr w:type="spellStart"/>
      <w:r>
        <w:t>ortophosphoric</w:t>
      </w:r>
      <w:proofErr w:type="spellEnd"/>
      <w:r>
        <w:t xml:space="preserve"> acid and 1 mL of 1,5-difenylcarbazide solution was added. </w:t>
      </w:r>
      <w:bookmarkStart w:id="1" w:name="_Hlk128567468"/>
      <w:r w:rsidRPr="0013083C">
        <w:rPr>
          <w:highlight w:val="yellow"/>
        </w:rPr>
        <w:t xml:space="preserve">The solution was </w:t>
      </w:r>
      <w:r w:rsidR="009E2438" w:rsidRPr="0013083C">
        <w:rPr>
          <w:highlight w:val="yellow"/>
        </w:rPr>
        <w:t xml:space="preserve">vigorously </w:t>
      </w:r>
      <w:r w:rsidRPr="0013083C">
        <w:rPr>
          <w:highlight w:val="yellow"/>
        </w:rPr>
        <w:t>mixed</w:t>
      </w:r>
      <w:r w:rsidR="00AE490D" w:rsidRPr="0013083C">
        <w:rPr>
          <w:highlight w:val="yellow"/>
        </w:rPr>
        <w:t xml:space="preserve"> in an </w:t>
      </w:r>
      <w:proofErr w:type="spellStart"/>
      <w:r w:rsidR="00AE490D" w:rsidRPr="0013083C">
        <w:rPr>
          <w:highlight w:val="yellow"/>
        </w:rPr>
        <w:t>erlenmayer</w:t>
      </w:r>
      <w:proofErr w:type="spellEnd"/>
      <w:r w:rsidR="00AE490D" w:rsidRPr="0013083C">
        <w:rPr>
          <w:highlight w:val="yellow"/>
        </w:rPr>
        <w:t xml:space="preserve"> flask</w:t>
      </w:r>
      <w:r w:rsidRPr="0013083C">
        <w:rPr>
          <w:highlight w:val="yellow"/>
        </w:rPr>
        <w:t xml:space="preserve"> and absorbance at 550 nm was determined</w:t>
      </w:r>
      <w:r w:rsidR="00AE490D" w:rsidRPr="0013083C">
        <w:rPr>
          <w:highlight w:val="yellow"/>
        </w:rPr>
        <w:t xml:space="preserve"> using</w:t>
      </w:r>
      <w:r w:rsidR="00D519D0">
        <w:rPr>
          <w:highlight w:val="yellow"/>
        </w:rPr>
        <w:t xml:space="preserve"> Varian </w:t>
      </w:r>
      <w:r w:rsidR="00D519D0" w:rsidRPr="0013083C">
        <w:rPr>
          <w:highlight w:val="yellow"/>
        </w:rPr>
        <w:t>UV-VIS</w:t>
      </w:r>
      <w:r w:rsidR="00AE490D" w:rsidRPr="0013083C">
        <w:rPr>
          <w:highlight w:val="yellow"/>
        </w:rPr>
        <w:t xml:space="preserve"> spectrophotometer. </w:t>
      </w:r>
      <w:bookmarkStart w:id="2" w:name="_Hlk128567663"/>
      <w:r w:rsidR="00AE490D" w:rsidRPr="0013083C">
        <w:rPr>
          <w:highlight w:val="yellow"/>
        </w:rPr>
        <w:t>The concentration was calculated</w:t>
      </w:r>
      <w:r w:rsidR="00D519D0">
        <w:rPr>
          <w:highlight w:val="yellow"/>
        </w:rPr>
        <w:t xml:space="preserve"> according to the</w:t>
      </w:r>
      <w:r w:rsidR="00AE490D" w:rsidRPr="0013083C">
        <w:rPr>
          <w:highlight w:val="yellow"/>
        </w:rPr>
        <w:t xml:space="preserve"> calibration curve</w:t>
      </w:r>
      <w:r w:rsidR="00D519D0">
        <w:rPr>
          <w:highlight w:val="yellow"/>
        </w:rPr>
        <w:t xml:space="preserve"> for Cr(VI) determination</w:t>
      </w:r>
      <w:bookmarkEnd w:id="2"/>
      <w:r w:rsidR="00AE490D" w:rsidRPr="0013083C">
        <w:rPr>
          <w:highlight w:val="yellow"/>
        </w:rPr>
        <w:t>.</w:t>
      </w:r>
      <w:bookmarkEnd w:id="1"/>
      <w:r w:rsidR="00AE490D">
        <w:t xml:space="preserve"> </w:t>
      </w:r>
      <w:r>
        <w:t>All the experimental data presented are averages of three replicates.</w:t>
      </w:r>
    </w:p>
    <w:p w14:paraId="38D6B388" w14:textId="426A040D" w:rsidR="00C26674" w:rsidRDefault="009E2438" w:rsidP="00B41DDA">
      <w:pPr>
        <w:pStyle w:val="CETheadingx"/>
      </w:pPr>
      <w:r>
        <w:t>Non-linear isotherm model</w:t>
      </w:r>
    </w:p>
    <w:p w14:paraId="1BC9827C" w14:textId="70AF1C28" w:rsidR="00A04889" w:rsidRDefault="009E2438" w:rsidP="00C26674">
      <w:pPr>
        <w:pStyle w:val="CETBodytext"/>
      </w:pPr>
      <w:r>
        <w:t xml:space="preserve">In heavy metals removal investigations, the isotherm model is commonly used to explore adsorption mechanisms, as well as adsorption capacity and adsorbent properties. However, </w:t>
      </w:r>
      <w:r w:rsidR="007E3D46">
        <w:t>because of</w:t>
      </w:r>
      <w:r>
        <w:t xml:space="preserve"> model limitations, not all isotherms can fit the experimental data and therefore cannot accurately present the heavy metals adsorption process. For the description of adsorption mechanism, the two-parameter adsorption isotherm is used. There are many non-linear adsorption isotherm models, that can be used for adsorption</w:t>
      </w:r>
      <w:r w:rsidR="003813C6">
        <w:t xml:space="preserve"> investigation. However, in our work, Freundlich isotherm was used.</w:t>
      </w:r>
    </w:p>
    <w:p w14:paraId="0BA373C6" w14:textId="070ACC86" w:rsidR="003813C6" w:rsidRDefault="003813C6" w:rsidP="00A04889">
      <w:pPr>
        <w:pStyle w:val="CETHeadingxx"/>
      </w:pPr>
      <w:r>
        <w:t>2.6.1 Freundlich isotherm model</w:t>
      </w:r>
    </w:p>
    <w:p w14:paraId="31FCEBF9" w14:textId="058D18E4" w:rsidR="003813C6" w:rsidRDefault="003813C6" w:rsidP="006700B6">
      <w:pPr>
        <w:pStyle w:val="CETBodytext"/>
      </w:pPr>
      <w:r>
        <w:t>The Freundlich isotherm is applied to multilayer adsorption, which can explain the relationship between non-ideal and reversible sorption and is performed on a heterogenous surface. Eq</w:t>
      </w:r>
      <w:r w:rsidR="003274D5">
        <w:t>(1)</w:t>
      </w:r>
      <w:r>
        <w:t xml:space="preserve"> is expressed as follows</w:t>
      </w:r>
      <w:r w:rsidR="00210051">
        <w:t>:</w:t>
      </w:r>
    </w:p>
    <w:p w14:paraId="0935269A" w14:textId="3A2EFCA7" w:rsidR="003813C6" w:rsidRPr="003274D5" w:rsidRDefault="00000000" w:rsidP="003274D5">
      <w:pPr>
        <w:pStyle w:val="CETEquation"/>
        <w:rPr>
          <w:sz w:val="22"/>
          <w:szCs w:val="24"/>
        </w:rPr>
      </w:pPr>
      <m:oMath>
        <m:sSup>
          <m:sSupPr>
            <m:ctrlPr>
              <w:rPr>
                <w:rFonts w:ascii="Cambria Math" w:hAnsi="Cambria Math"/>
              </w:rPr>
            </m:ctrlPr>
          </m:sSupPr>
          <m:e>
            <m:r>
              <m:rPr>
                <m:sty m:val="p"/>
              </m:rPr>
              <w:rPr>
                <w:rFonts w:ascii="Cambria Math" w:hAnsi="Cambria Math"/>
              </w:rPr>
              <m:t>q</m:t>
            </m:r>
          </m:e>
          <m:sup>
            <m:r>
              <w:rPr>
                <w:rFonts w:ascii="Cambria Math" w:hAnsi="Cambria Math"/>
              </w:rPr>
              <m:t>e</m:t>
            </m:r>
          </m:sup>
        </m:sSup>
        <m:r>
          <m:rPr>
            <m:sty m:val="p"/>
          </m:rPr>
          <w:rPr>
            <w:rFonts w:ascii="Cambria Math" w:eastAsia="Cambria Math" w:hAnsi="Cambria Math"/>
          </w:rPr>
          <m:t>=</m:t>
        </m:r>
        <m:sSub>
          <m:sSubPr>
            <m:ctrlPr>
              <w:rPr>
                <w:rFonts w:ascii="Cambria Math" w:eastAsia="Cambria Math" w:hAnsi="Cambria Math"/>
                <w:lang w:val="en-US"/>
              </w:rPr>
            </m:ctrlPr>
          </m:sSubPr>
          <m:e>
            <m:r>
              <w:rPr>
                <w:rFonts w:ascii="Cambria Math" w:eastAsia="Cambria Math" w:hAnsi="Cambria Math"/>
              </w:rPr>
              <m:t>K</m:t>
            </m:r>
          </m:e>
          <m:sub>
            <m:r>
              <w:rPr>
                <w:rFonts w:ascii="Cambria Math" w:eastAsia="Cambria Math" w:hAnsi="Cambria Math"/>
              </w:rPr>
              <m:t>F</m:t>
            </m:r>
          </m:sub>
        </m:sSub>
        <m:sSubSup>
          <m:sSubSupPr>
            <m:ctrlPr>
              <w:rPr>
                <w:rFonts w:ascii="Cambria Math" w:eastAsia="Cambria Math" w:hAnsi="Cambria Math"/>
                <w:lang w:val="en-US"/>
              </w:rPr>
            </m:ctrlPr>
          </m:sSubSupPr>
          <m:e>
            <m:r>
              <w:rPr>
                <w:rFonts w:ascii="Cambria Math" w:eastAsia="Cambria Math" w:hAnsi="Cambria Math"/>
              </w:rPr>
              <m:t>C</m:t>
            </m:r>
          </m:e>
          <m:sub>
            <m:r>
              <w:rPr>
                <w:rFonts w:ascii="Cambria Math" w:eastAsia="Cambria Math" w:hAnsi="Cambria Math"/>
              </w:rPr>
              <m:t>e</m:t>
            </m:r>
          </m:sub>
          <m:sup>
            <m:sSub>
              <m:sSubPr>
                <m:ctrlPr>
                  <w:rPr>
                    <w:rFonts w:ascii="Cambria Math" w:eastAsia="Cambria Math" w:hAnsi="Cambria Math"/>
                    <w:lang w:val="en-US"/>
                  </w:rPr>
                </m:ctrlPr>
              </m:sSubPr>
              <m:e>
                <m:r>
                  <m:rPr>
                    <m:sty m:val="p"/>
                  </m:rPr>
                  <w:rPr>
                    <w:rFonts w:ascii="Cambria Math" w:eastAsia="Cambria Math" w:hAnsi="Cambria Math"/>
                  </w:rPr>
                  <m:t>1/</m:t>
                </m:r>
                <m:r>
                  <w:rPr>
                    <w:rFonts w:ascii="Cambria Math" w:eastAsia="Cambria Math" w:hAnsi="Cambria Math"/>
                  </w:rPr>
                  <m:t>n</m:t>
                </m:r>
              </m:e>
              <m:sub>
                <m:r>
                  <w:rPr>
                    <w:rFonts w:ascii="Cambria Math" w:eastAsia="Cambria Math" w:hAnsi="Cambria Math"/>
                  </w:rPr>
                  <m:t>F</m:t>
                </m:r>
              </m:sub>
            </m:sSub>
          </m:sup>
        </m:sSubSup>
      </m:oMath>
      <w:r w:rsidR="003274D5">
        <w:t xml:space="preserve"> </w:t>
      </w:r>
      <w:r w:rsidR="003274D5">
        <w:tab/>
      </w:r>
      <w:r w:rsidR="003274D5">
        <w:tab/>
      </w:r>
      <w:r w:rsidR="003274D5">
        <w:tab/>
        <w:t>(1)</w:t>
      </w:r>
    </w:p>
    <w:p w14:paraId="224E3EA7" w14:textId="08D8104A" w:rsidR="003813C6" w:rsidRDefault="00210051" w:rsidP="003813C6">
      <w:pPr>
        <w:pStyle w:val="CETBodytext"/>
      </w:pPr>
      <w:proofErr w:type="gramStart"/>
      <w:r>
        <w:t>where</w:t>
      </w:r>
      <w:proofErr w:type="gramEnd"/>
    </w:p>
    <w:p w14:paraId="7B41DF8F" w14:textId="576DF068" w:rsidR="00C97817" w:rsidRDefault="00C97817" w:rsidP="003813C6">
      <w:pPr>
        <w:pStyle w:val="CETBodytext"/>
      </w:pPr>
      <w:proofErr w:type="spellStart"/>
      <w:r>
        <w:t>q</w:t>
      </w:r>
      <w:r w:rsidRPr="00165239">
        <w:rPr>
          <w:i/>
          <w:iCs/>
          <w:vertAlign w:val="superscript"/>
        </w:rPr>
        <w:t>e</w:t>
      </w:r>
      <w:proofErr w:type="spellEnd"/>
      <w:r>
        <w:rPr>
          <w:vertAlign w:val="superscript"/>
        </w:rPr>
        <w:t xml:space="preserve">       </w:t>
      </w:r>
      <w:r>
        <w:t xml:space="preserve">                  - removal capacity at equilibrium (mmol/g)</w:t>
      </w:r>
    </w:p>
    <w:p w14:paraId="0BCAD011" w14:textId="42DD790F" w:rsidR="00C97817" w:rsidRDefault="00C97817" w:rsidP="00C97817">
      <w:pPr>
        <w:pStyle w:val="CETBodytext"/>
      </w:pPr>
      <w:r w:rsidRPr="00165239">
        <w:rPr>
          <w:rFonts w:cs="Arial"/>
          <w:i/>
          <w:iCs/>
        </w:rPr>
        <w:t>Κ</w:t>
      </w:r>
      <w:r w:rsidRPr="00165239">
        <w:rPr>
          <w:i/>
          <w:iCs/>
          <w:vertAlign w:val="subscript"/>
        </w:rPr>
        <w:t>F</w:t>
      </w:r>
      <w:r>
        <w:rPr>
          <w:vertAlign w:val="subscript"/>
        </w:rPr>
        <w:t xml:space="preserve"> </w:t>
      </w:r>
      <w:r>
        <w:t xml:space="preserve">                     - Freundlich affinity coefficient (mmol/g / mmol/L)</w:t>
      </w:r>
    </w:p>
    <w:p w14:paraId="2FAC9B33" w14:textId="51DEC46F" w:rsidR="00C97817" w:rsidRPr="00C97817" w:rsidRDefault="00C97817" w:rsidP="00C97817">
      <w:pPr>
        <w:pStyle w:val="CETBodytext"/>
        <w:tabs>
          <w:tab w:val="clear" w:pos="7100"/>
          <w:tab w:val="left" w:pos="2105"/>
        </w:tabs>
      </w:pPr>
      <w:r w:rsidRPr="00165239">
        <w:rPr>
          <w:i/>
          <w:iCs/>
        </w:rPr>
        <w:t>C</w:t>
      </w:r>
      <w:r w:rsidRPr="00165239">
        <w:rPr>
          <w:i/>
          <w:iCs/>
          <w:vertAlign w:val="subscript"/>
        </w:rPr>
        <w:t>e</w:t>
      </w:r>
      <w:r>
        <w:rPr>
          <w:vertAlign w:val="subscript"/>
        </w:rPr>
        <w:t xml:space="preserve"> </w:t>
      </w:r>
      <w:r>
        <w:t xml:space="preserve">                     - equilibrium concentration of Cr(VI) solution (mmol/L)</w:t>
      </w:r>
    </w:p>
    <w:p w14:paraId="1143F6B6" w14:textId="54A49D3B" w:rsidR="00897C60" w:rsidRDefault="00C97817" w:rsidP="006700B6">
      <w:pPr>
        <w:pStyle w:val="CETBodytext"/>
      </w:pPr>
      <w:proofErr w:type="spellStart"/>
      <w:r w:rsidRPr="00165239">
        <w:rPr>
          <w:i/>
          <w:iCs/>
        </w:rPr>
        <w:t>n</w:t>
      </w:r>
      <w:r w:rsidRPr="00165239">
        <w:rPr>
          <w:i/>
          <w:iCs/>
          <w:vertAlign w:val="subscript"/>
        </w:rPr>
        <w:t>F</w:t>
      </w:r>
      <w:proofErr w:type="spellEnd"/>
      <w:r>
        <w:t xml:space="preserve">                      - F</w:t>
      </w:r>
      <w:r w:rsidR="003813C6">
        <w:t xml:space="preserve">reundlich constant </w:t>
      </w:r>
    </w:p>
    <w:p w14:paraId="5741900F" w14:textId="2A00ED3A" w:rsidR="00453E24" w:rsidRDefault="00E625CA" w:rsidP="00453E24">
      <w:pPr>
        <w:pStyle w:val="CETHeading1"/>
      </w:pPr>
      <w:r>
        <w:t>Results and Discussion</w:t>
      </w:r>
    </w:p>
    <w:p w14:paraId="0991D6DF" w14:textId="1087FC95" w:rsidR="00E902FD" w:rsidRDefault="00E902FD" w:rsidP="00E902FD">
      <w:pPr>
        <w:pStyle w:val="CETheadingx"/>
      </w:pPr>
      <w:r>
        <w:t xml:space="preserve">Effect of pH on adsorption </w:t>
      </w:r>
      <w:r w:rsidR="00210051">
        <w:t>capacity</w:t>
      </w:r>
    </w:p>
    <w:p w14:paraId="24E60039" w14:textId="77777777" w:rsidR="00F660C2" w:rsidRDefault="00E902FD" w:rsidP="00F660C2">
      <w:pPr>
        <w:pStyle w:val="CETBodytext"/>
      </w:pPr>
      <w:r>
        <w:t xml:space="preserve">The initial pH of the solution affects the removal and adsorption efficiency of the adsorbent. </w:t>
      </w:r>
      <w:r w:rsidR="00A04889">
        <w:t>Controlling the pH of the adsorption process is crucial among parameters, a</w:t>
      </w:r>
      <w:r>
        <w:t>s the pH of the solution affects the oxidation state of Cr(VI)</w:t>
      </w:r>
      <w:r w:rsidR="00A04889">
        <w:t>, as well as the surface charge of materials selected for adsorption. Depending on the concentration</w:t>
      </w:r>
      <w:r w:rsidR="00990165">
        <w:t xml:space="preserve"> and pH of the solution</w:t>
      </w:r>
      <w:r w:rsidR="00A04889">
        <w:t>, Cr(VI) ions exist in different anionic forms, such as Cr</w:t>
      </w:r>
      <w:r w:rsidR="00A04889" w:rsidRPr="00990165">
        <w:rPr>
          <w:vertAlign w:val="subscript"/>
        </w:rPr>
        <w:t>2</w:t>
      </w:r>
      <w:r w:rsidR="00A04889">
        <w:t>O</w:t>
      </w:r>
      <w:r w:rsidR="00A04889" w:rsidRPr="00990165">
        <w:rPr>
          <w:vertAlign w:val="subscript"/>
        </w:rPr>
        <w:t>7</w:t>
      </w:r>
      <w:r w:rsidR="00A04889" w:rsidRPr="00990165">
        <w:rPr>
          <w:vertAlign w:val="superscript"/>
        </w:rPr>
        <w:t>2-</w:t>
      </w:r>
      <w:r w:rsidR="00A04889">
        <w:t>, HCr</w:t>
      </w:r>
      <w:r w:rsidR="00A04889" w:rsidRPr="00990165">
        <w:rPr>
          <w:vertAlign w:val="subscript"/>
        </w:rPr>
        <w:t>2</w:t>
      </w:r>
      <w:r w:rsidR="00A04889">
        <w:t>O</w:t>
      </w:r>
      <w:r w:rsidR="00A04889" w:rsidRPr="00990165">
        <w:rPr>
          <w:vertAlign w:val="subscript"/>
        </w:rPr>
        <w:t>7</w:t>
      </w:r>
      <w:r w:rsidR="00990165" w:rsidRPr="00990165">
        <w:rPr>
          <w:vertAlign w:val="superscript"/>
        </w:rPr>
        <w:t>-</w:t>
      </w:r>
      <w:r w:rsidR="00990165">
        <w:t xml:space="preserve">, </w:t>
      </w:r>
      <w:r w:rsidR="00A04889">
        <w:t>CrO</w:t>
      </w:r>
      <w:r w:rsidR="00A04889" w:rsidRPr="00990165">
        <w:rPr>
          <w:vertAlign w:val="subscript"/>
        </w:rPr>
        <w:t>4</w:t>
      </w:r>
      <w:r w:rsidR="00A04889" w:rsidRPr="00990165">
        <w:rPr>
          <w:vertAlign w:val="superscript"/>
        </w:rPr>
        <w:t>2-</w:t>
      </w:r>
      <w:r w:rsidR="00A04889">
        <w:t xml:space="preserve"> and H</w:t>
      </w:r>
      <w:r w:rsidR="00990165">
        <w:t>C</w:t>
      </w:r>
      <w:r w:rsidR="00A04889">
        <w:t>rO</w:t>
      </w:r>
      <w:r w:rsidR="00A04889" w:rsidRPr="00990165">
        <w:rPr>
          <w:vertAlign w:val="subscript"/>
        </w:rPr>
        <w:t>4</w:t>
      </w:r>
      <w:r w:rsidR="00A04889" w:rsidRPr="00990165">
        <w:rPr>
          <w:vertAlign w:val="superscript"/>
        </w:rPr>
        <w:t>-</w:t>
      </w:r>
      <w:r w:rsidR="00990165">
        <w:t xml:space="preserve">. Figure 1 shows adsorption capacity and removal efficacy for Cr(VI) at different </w:t>
      </w:r>
      <w:proofErr w:type="spellStart"/>
      <w:r w:rsidR="00990165">
        <w:t>pH.</w:t>
      </w:r>
      <w:proofErr w:type="spellEnd"/>
      <w:r w:rsidR="00990165">
        <w:t xml:space="preserve"> At strong pH, such as pH 3, it exists in H</w:t>
      </w:r>
      <w:r w:rsidR="00990165" w:rsidRPr="00990165">
        <w:rPr>
          <w:vertAlign w:val="subscript"/>
        </w:rPr>
        <w:t>2</w:t>
      </w:r>
      <w:r w:rsidR="00990165">
        <w:t>CrO</w:t>
      </w:r>
      <w:r w:rsidR="00990165" w:rsidRPr="00990165">
        <w:rPr>
          <w:vertAlign w:val="subscript"/>
        </w:rPr>
        <w:t>4</w:t>
      </w:r>
      <w:r w:rsidR="00990165">
        <w:t xml:space="preserve"> form, while at pH 4 and 5, it is usually in the form of Cr</w:t>
      </w:r>
      <w:r w:rsidR="00990165" w:rsidRPr="00990165">
        <w:rPr>
          <w:vertAlign w:val="subscript"/>
        </w:rPr>
        <w:t>2</w:t>
      </w:r>
      <w:r w:rsidR="00990165">
        <w:t>O</w:t>
      </w:r>
      <w:r w:rsidR="00990165" w:rsidRPr="00990165">
        <w:rPr>
          <w:vertAlign w:val="subscript"/>
        </w:rPr>
        <w:t>7</w:t>
      </w:r>
      <w:r w:rsidR="00990165" w:rsidRPr="00990165">
        <w:rPr>
          <w:vertAlign w:val="superscript"/>
        </w:rPr>
        <w:t>2-</w:t>
      </w:r>
      <w:r w:rsidR="00990165">
        <w:t xml:space="preserve"> and HCrO</w:t>
      </w:r>
      <w:r w:rsidR="00990165" w:rsidRPr="00990165">
        <w:rPr>
          <w:vertAlign w:val="subscript"/>
        </w:rPr>
        <w:t>4</w:t>
      </w:r>
      <w:r w:rsidR="00990165" w:rsidRPr="00990165">
        <w:rPr>
          <w:vertAlign w:val="superscript"/>
        </w:rPr>
        <w:t>-</w:t>
      </w:r>
      <w:r w:rsidR="00990165">
        <w:t xml:space="preserve">. </w:t>
      </w:r>
      <w:r w:rsidR="00F660C2">
        <w:t>As seen from Figure 1, adsorption capacity was determined at pH 3, 4, 5 with adsorbent concentration of 1mg/mL with initial Cr(VI) concentration of 1 mg/L. The adsorption was observed and determined throughout 120 min. The optimum pH is 4, where 45% of adsorption capacity was achieved after only 10 min. After 20 min the adsorption capacity increased to 67% and was above 90% just after 30 min. After 120 min, the adsorption capacity of AG-MNPs at pH 4 was 99%. While adsorption capacity of AG-MNPs at pH 3 was high as well, it reached 44% after 10 min, but resulted only in 92% after 120 min. The lowest adsorption capacity was observed at pH 5, where it reached only 33% after 10 min and resulted in 80% after 120 min. When the solution is acidic, the functional groups are protonated, which results in stronger electrostatic interactions between the adsorbent AG-MNPs and Cr</w:t>
      </w:r>
      <w:r w:rsidR="00F660C2" w:rsidRPr="00990165">
        <w:rPr>
          <w:vertAlign w:val="subscript"/>
        </w:rPr>
        <w:t>2</w:t>
      </w:r>
      <w:r w:rsidR="00F660C2">
        <w:t>O</w:t>
      </w:r>
      <w:r w:rsidR="00F660C2" w:rsidRPr="00990165">
        <w:rPr>
          <w:vertAlign w:val="subscript"/>
        </w:rPr>
        <w:t>7</w:t>
      </w:r>
      <w:r w:rsidR="00F660C2" w:rsidRPr="00990165">
        <w:rPr>
          <w:vertAlign w:val="superscript"/>
        </w:rPr>
        <w:t>2-</w:t>
      </w:r>
      <w:r w:rsidR="00F660C2">
        <w:t xml:space="preserve"> ions. However, at higher pH, which is between 5 and 7, the predominant species of Cr is CrO</w:t>
      </w:r>
      <w:r w:rsidR="00F660C2" w:rsidRPr="00990165">
        <w:rPr>
          <w:vertAlign w:val="subscript"/>
        </w:rPr>
        <w:t>4</w:t>
      </w:r>
      <w:r w:rsidR="00F660C2" w:rsidRPr="00990165">
        <w:rPr>
          <w:vertAlign w:val="superscript"/>
        </w:rPr>
        <w:t>2-</w:t>
      </w:r>
      <w:r w:rsidR="00F660C2">
        <w:t xml:space="preserve">, which means </w:t>
      </w:r>
      <w:r w:rsidR="00F660C2">
        <w:lastRenderedPageBreak/>
        <w:t>that the excessive OH</w:t>
      </w:r>
      <w:r w:rsidR="00F660C2" w:rsidRPr="00057295">
        <w:rPr>
          <w:vertAlign w:val="superscript"/>
        </w:rPr>
        <w:t>-</w:t>
      </w:r>
      <w:r w:rsidR="00F660C2">
        <w:t xml:space="preserve"> ions in Cr(VI) solution compete with chromate (CrO</w:t>
      </w:r>
      <w:r w:rsidR="00F660C2" w:rsidRPr="00990165">
        <w:rPr>
          <w:vertAlign w:val="subscript"/>
        </w:rPr>
        <w:t>4</w:t>
      </w:r>
      <w:r w:rsidR="00F660C2" w:rsidRPr="00990165">
        <w:rPr>
          <w:vertAlign w:val="superscript"/>
        </w:rPr>
        <w:t>2-</w:t>
      </w:r>
      <w:r w:rsidR="00F660C2">
        <w:t xml:space="preserve">) ions for adsorption on the adsorbent AG-MNPs surface. Therefore, the adsorption capacity of adsorbent AG-MNPs decreases with increase in pH, which was also reported in previous studies </w:t>
      </w:r>
      <w:r w:rsidR="00F660C2">
        <w:fldChar w:fldCharType="begin"/>
      </w:r>
      <w:r w:rsidR="00F660C2">
        <w:instrText xml:space="preserve"> ADDIN ZOTERO_ITEM CSL_CITATION {"citationID":"wgMHTf6w","properties":{"formattedCitation":"(Singh et al., 2022)","plainCitation":"(Singh et al., 2022)","noteIndex":0},"citationItems":[{"id":4815,"uris":["http://zotero.org/users/2084151/items/UUMUIWEK"],"itemData":{"id":4815,"type":"article-journal","abstract":"Metal-based adsorbents are limited for hexavalent chromium [Cr(VI)] adsorption from aqueous solutions because of their low adsorption capacities and slow adsorption kinetics. In the present study, decorated zinc oxide (ZnO) nanoparticles (NPs) on graphene oxide (GO) nanoparticles were synthesized via the solvothermal process. The deposition of ZnO NPs on graphene oxide for the nanohybrid (ZnO-GO) improves Cr(VI) mobility in the nanocomposite or nanohybrid, thereby improving the Cr(VI) adsorption kinetics and removal capacity. Surface deposition of ZnO on graphene oxide was characterized through Fourie Transform Infra-red (FTIR), UV–Visible, X-ray Diffraction (XRD), Field Emission Scanning Electron Microscopy (FESEM), Energy Dispersive Spectroscopy (EDS), and Brunauer–Emmett–Teller (BET) techniques. These characterizations suggest the formation of ZnO-GO nanocomposite with a specific area of 32.95 m2/g and pore volume of 0.058 cm2/g. Batch adsorption analysis was carried to evaluate the influence of operational parameters, equilibrium isotherm, adsorption kinetics and thermodynamics. The removal efficiency of Cr(VI) increases with increasing time and adsorbent dosage. FTIR, FESEM and BET analysis before and after the adsorption studies suggest the obvious changes in the surface functionalization and morphology of the ZnO-GO nanocomposites. The removal efficiency increases from high-acidic to neutral pH and continues to decrease under alkaline conditions as well. Mathematical modeling validates that the adsorption follows Langmuir isotherm and fits well with the pseudo 2nd order kinetics (Type 5) model, indicating a homogeneous adsorption process. The thermodynamics study reveals that Cr(VI) adsorption on ZnO-GO is spontaneous, endothermic, and entropy-driven. A negative value of Gibb's Free Energy represents the thermodynamic spontaneity and feasibility of the sorption process. To the best of our knowledge, this is the first study of Cr(VI) removal from aqueous solution using this hybrid nanocomposite at near-neutral pH. The synthesized nanocomposites prove to be excellent candidates for Cr(VI) removal from water bodies and natural wastewater systems.","container-title":"Environmental Research","DOI":"10.1016/j.envres.2021.111891","ISSN":"0013-9351","journalAbbreviation":"Environmental Research","language":"en","page":"111891","source":"ScienceDirect","title":"Sustainable removal of Cr(VI) using graphene oxide-zinc oxide nanohybrid: Adsorption kinetics, isotherms and thermodynamics","title-short":"Sustainable removal of Cr(VI) using graphene oxide-zinc oxide nanohybrid","volume":"203","author":[{"family":"Singh","given":"Simranjeet"},{"family":"Anil","given":"Amith G."},{"family":"Khasnabis","given":"Sutripto"},{"family":"Kumar","given":"Vijay"},{"family":"Nath","given":"Bidisha"},{"family":"Adiga","given":"Varun"},{"family":"Kumar Naik","given":"T. S. Sunil"},{"family":"Subramanian","given":"S."},{"family":"Kumar","given":"Vineet"},{"family":"Singh","given":"Joginder"},{"family":"Ramamurthy","given":"Praveen C."}],"issued":{"date-parts":[["2022",1,1]]}}}],"schema":"https://github.com/citation-style-language/schema/raw/master/csl-citation.json"} </w:instrText>
      </w:r>
      <w:r w:rsidR="00F660C2">
        <w:fldChar w:fldCharType="separate"/>
      </w:r>
      <w:r w:rsidR="00F660C2" w:rsidRPr="003E403F">
        <w:rPr>
          <w:rFonts w:cs="Arial"/>
        </w:rPr>
        <w:t>(Singh et al., 2022)</w:t>
      </w:r>
      <w:r w:rsidR="00F660C2">
        <w:fldChar w:fldCharType="end"/>
      </w:r>
      <w:r w:rsidR="00F660C2">
        <w:t>.</w:t>
      </w:r>
    </w:p>
    <w:p w14:paraId="00568001" w14:textId="77777777" w:rsidR="00345D88" w:rsidRDefault="00345D88" w:rsidP="00345D88">
      <w:pPr>
        <w:pStyle w:val="CETBodytext"/>
        <w:jc w:val="left"/>
      </w:pPr>
      <w:r>
        <w:rPr>
          <w:noProof/>
        </w:rPr>
        <w:drawing>
          <wp:inline distT="0" distB="0" distL="0" distR="0" wp14:anchorId="745382FD" wp14:editId="57051657">
            <wp:extent cx="4525645" cy="2087880"/>
            <wp:effectExtent l="0" t="0" r="825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4728" cy="2128978"/>
                    </a:xfrm>
                    <a:prstGeom prst="rect">
                      <a:avLst/>
                    </a:prstGeom>
                    <a:noFill/>
                    <a:ln>
                      <a:noFill/>
                    </a:ln>
                  </pic:spPr>
                </pic:pic>
              </a:graphicData>
            </a:graphic>
          </wp:inline>
        </w:drawing>
      </w:r>
    </w:p>
    <w:p w14:paraId="117944DD" w14:textId="77777777" w:rsidR="00345D88" w:rsidRDefault="00345D88" w:rsidP="00D519D0">
      <w:pPr>
        <w:pStyle w:val="CETCaption"/>
        <w:spacing w:before="0"/>
      </w:pPr>
      <w:r>
        <w:t>Figure 1: Effect of pH on adsorption capacity of adsorbent AG-MNPs.</w:t>
      </w:r>
    </w:p>
    <w:p w14:paraId="3A9F41CF" w14:textId="3CAD0622" w:rsidR="00E902FD" w:rsidRDefault="00DE56DD" w:rsidP="00DE56DD">
      <w:pPr>
        <w:pStyle w:val="CETheadingx"/>
      </w:pPr>
      <w:r>
        <w:t xml:space="preserve">Effect of adsorbent AG-MNPs </w:t>
      </w:r>
      <w:r w:rsidR="00A6759B">
        <w:t>dosage</w:t>
      </w:r>
      <w:r w:rsidR="00210051">
        <w:t xml:space="preserve"> on adsorption capacity</w:t>
      </w:r>
    </w:p>
    <w:p w14:paraId="39E7AB41" w14:textId="03AF90E5" w:rsidR="00345D88" w:rsidRDefault="00DE56DD" w:rsidP="00453E24">
      <w:pPr>
        <w:pStyle w:val="CETBodytext"/>
      </w:pPr>
      <w:r>
        <w:t>The adsorption process can also be influenced</w:t>
      </w:r>
      <w:r w:rsidR="002702F5">
        <w:t xml:space="preserve"> by the adsorbent amount used in wastewater. The dose of adsorbent for our study was </w:t>
      </w:r>
      <w:r w:rsidR="008B6B4B">
        <w:t>used in concentrations of 0.5 mg/mL, 1 mg/mL, 1.67 mg/</w:t>
      </w:r>
      <w:proofErr w:type="gramStart"/>
      <w:r w:rsidR="008B6B4B">
        <w:t>mL</w:t>
      </w:r>
      <w:proofErr w:type="gramEnd"/>
      <w:r w:rsidR="008B6B4B">
        <w:t xml:space="preserve"> and 2.33 mg/mL with</w:t>
      </w:r>
      <w:r w:rsidR="002702F5">
        <w:t xml:space="preserve"> optimum pH 4 </w:t>
      </w:r>
      <w:r w:rsidR="008B6B4B">
        <w:t>and</w:t>
      </w:r>
      <w:r w:rsidR="002702F5">
        <w:t xml:space="preserve"> initial Cr(VI) concentration of 1 mg/L. The </w:t>
      </w:r>
      <w:r w:rsidR="001677C0">
        <w:t xml:space="preserve">adsorption capacity </w:t>
      </w:r>
      <w:r w:rsidR="002702F5">
        <w:t xml:space="preserve">of Cr(VI) increased with increased amount of adsorbent AG-MNPs, as can be seen in Figure 2. </w:t>
      </w:r>
    </w:p>
    <w:p w14:paraId="690929A2" w14:textId="77777777" w:rsidR="00345D88" w:rsidRDefault="00345D88" w:rsidP="00345D88">
      <w:pPr>
        <w:pStyle w:val="CETBodytext"/>
      </w:pPr>
      <w:r>
        <w:rPr>
          <w:noProof/>
        </w:rPr>
        <w:drawing>
          <wp:inline distT="0" distB="0" distL="0" distR="0" wp14:anchorId="51F8F977" wp14:editId="46AA44C7">
            <wp:extent cx="4465320" cy="23088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465" cy="2332720"/>
                    </a:xfrm>
                    <a:prstGeom prst="rect">
                      <a:avLst/>
                    </a:prstGeom>
                    <a:noFill/>
                    <a:ln>
                      <a:noFill/>
                    </a:ln>
                  </pic:spPr>
                </pic:pic>
              </a:graphicData>
            </a:graphic>
          </wp:inline>
        </w:drawing>
      </w:r>
    </w:p>
    <w:p w14:paraId="1F8F27DD" w14:textId="77777777" w:rsidR="00345D88" w:rsidRDefault="00345D88" w:rsidP="00D519D0">
      <w:pPr>
        <w:pStyle w:val="CETCaption"/>
        <w:spacing w:before="0"/>
      </w:pPr>
      <w:r w:rsidRPr="0013083C">
        <w:rPr>
          <w:highlight w:val="yellow"/>
        </w:rPr>
        <w:t>Figure 2: Effect of adsorbent AG-MNPs concentration on adsorption capacity.</w:t>
      </w:r>
    </w:p>
    <w:p w14:paraId="005D2F29" w14:textId="07A1A154" w:rsidR="00E902FD" w:rsidRDefault="0096131E" w:rsidP="00453E24">
      <w:pPr>
        <w:pStyle w:val="CETBodytext"/>
      </w:pPr>
      <w:r>
        <w:t xml:space="preserve">Initially, </w:t>
      </w:r>
      <w:r w:rsidR="008B6B4B">
        <w:t xml:space="preserve">AG-MNPs adsorbent concentration of 1 mg/mL </w:t>
      </w:r>
      <w:r>
        <w:t xml:space="preserve">was investigated, which resulted in 44% adsorption capacity after 10 min and increased to 76% </w:t>
      </w:r>
      <w:r w:rsidRPr="006C5462">
        <w:t xml:space="preserve">after 60 min. After 120 min, the adsorption capacity of AG-MNPs reached 81%. The studies were continued with </w:t>
      </w:r>
      <w:r w:rsidR="008B6B4B" w:rsidRPr="006C5462">
        <w:t>0.</w:t>
      </w:r>
      <w:r w:rsidRPr="006C5462">
        <w:t>5 mg</w:t>
      </w:r>
      <w:r w:rsidR="008B6B4B" w:rsidRPr="006C5462">
        <w:t>/mL concentration of adsorbent</w:t>
      </w:r>
      <w:r w:rsidRPr="006C5462">
        <w:t xml:space="preserve"> and </w:t>
      </w:r>
      <w:r w:rsidR="008B6B4B" w:rsidRPr="006C5462">
        <w:t>1.67 mg/mL concentration</w:t>
      </w:r>
      <w:r w:rsidRPr="006C5462">
        <w:t xml:space="preserve"> of adsorbent AG-MNPs. While at</w:t>
      </w:r>
      <w:r w:rsidR="008B6B4B" w:rsidRPr="006C5462">
        <w:t xml:space="preserve"> concentration</w:t>
      </w:r>
      <w:r w:rsidRPr="006C5462">
        <w:t xml:space="preserve"> </w:t>
      </w:r>
      <w:r w:rsidR="008B6B4B" w:rsidRPr="006C5462">
        <w:t>0.</w:t>
      </w:r>
      <w:r w:rsidRPr="006C5462">
        <w:t>5 mg</w:t>
      </w:r>
      <w:r w:rsidR="008B6B4B" w:rsidRPr="006C5462">
        <w:t>/mL</w:t>
      </w:r>
      <w:r w:rsidRPr="006C5462">
        <w:t xml:space="preserve"> of adsorbent AG-MNPs, the adsorption capacity after 10 min was only 19%</w:t>
      </w:r>
      <w:r w:rsidR="009527EA" w:rsidRPr="006C5462">
        <w:t xml:space="preserve"> it </w:t>
      </w:r>
      <w:r w:rsidRPr="006C5462">
        <w:t>reached 68% after 60 min and 78%</w:t>
      </w:r>
      <w:r>
        <w:t xml:space="preserve"> after 120 min. However, when increasing the dosage of adsorbent AG-MNPs to </w:t>
      </w:r>
      <w:r w:rsidR="006C5462">
        <w:t>1.67 mg/mL</w:t>
      </w:r>
      <w:r>
        <w:t xml:space="preserve">, adsorption capacity increased as well. After 10 min it reached 61% and 93% after 60 min. After 120 min, the adsorption capacity was 100%. </w:t>
      </w:r>
      <w:r w:rsidR="001677C0">
        <w:t xml:space="preserve">Additionally, the dosage of adsorbent AG-MNPs was further increased to </w:t>
      </w:r>
      <w:r w:rsidR="006C5462">
        <w:t>concentration of 2.33 mg/mL,</w:t>
      </w:r>
      <w:r w:rsidR="001677C0">
        <w:t xml:space="preserve"> but retained similar results, wh</w:t>
      </w:r>
      <w:r w:rsidR="00DF05BD">
        <w:t>en</w:t>
      </w:r>
      <w:r w:rsidR="001677C0">
        <w:t xml:space="preserve"> using</w:t>
      </w:r>
      <w:r w:rsidR="006C5462">
        <w:t xml:space="preserve"> concentration of 1.67 mg/mL</w:t>
      </w:r>
      <w:r w:rsidR="001677C0">
        <w:t xml:space="preserve"> of adsorbent. The adsorption capacity was 72% after 20 min and reached 96% after 30 min, while reaching 100% as well</w:t>
      </w:r>
      <w:r w:rsidR="00DF05BD">
        <w:t>,</w:t>
      </w:r>
      <w:r w:rsidR="001677C0">
        <w:t xml:space="preserve"> after 120 min. </w:t>
      </w:r>
      <w:r w:rsidR="00DF05BD">
        <w:t>In accordance with this</w:t>
      </w:r>
      <w:r w:rsidR="001677C0">
        <w:t>, Figure 2 shows that the adsorption capacity of AG-MNPs increased with increased dosage of the adsorbent, as it provides additional active sites on the surface of the adsorbent, where it makes contact between each other to a considerably higher extent. The effective contact</w:t>
      </w:r>
      <w:r w:rsidR="00210051">
        <w:t xml:space="preserve"> area between the adsorbent and Cr(VI) ions is increased, leading to an increase in adsorption capacity, consequently</w:t>
      </w:r>
      <w:r w:rsidR="00AF6DF5">
        <w:t xml:space="preserve"> </w:t>
      </w:r>
      <w:r w:rsidR="00AF6DF5">
        <w:fldChar w:fldCharType="begin"/>
      </w:r>
      <w:r w:rsidR="00AF6DF5">
        <w:instrText xml:space="preserve"> ADDIN ZOTERO_ITEM CSL_CITATION {"citationID":"arjYKe6G","properties":{"formattedCitation":"(Foroutan et al., 2021, 2022)","plainCitation":"(Foroutan et al., 2021, 2022)","noteIndex":0},"citationItems":[{"id":4819,"uris":["http://zotero.org/users/2084151/items/9L8ZLWHL"],"itemData":{"id":4819,"type":"article-journal","abstract":"In the present study, the elimination of methyl violet dye (MVD) and Nile blue dye (NBD) from water solution using a CNT/MgO/CuFe2O4 magnetic composite powder produced by co-precipitation was investigated. The BET analysis showed that the generated magnetic composite is a mesoporous material (based on IUPAC classification) and its specific surface area value is 127.58 m2/g. Also, the magnetic composite powder had a crystalline structure and a magnetic saturation of 12.137 emu/g. In the adsorption process, the effect of various effective parameters such as working pH, temperature, adsorbent dose, initial concentration of dye solutions, and time was investigated. The maximum capacity of monolayer adsorption for MVD and NBD was determined to be 36.46 mg/g and 35.60 mg/g, respectively. The results showed that the experimental data follow the pseudo-second-order (PSO) model. Based on the intra-particle diffusion (IPD) model, more than one mechanism is involved in the adsorption process. The values of Gibbs free energy parameter were determined negatively for both types of dyes, indicates the adsorption of the desired dyes is spontaneous. The enthalpy values (ΔH°) indicated that the removal of the cationic dye is exothermic and the magnetic composite powder has a good ability to adsorb MVD and NBD from aqueous solution at low temperatures. The magnetic composite powder could be used several times in the adsorption process of MVD and NBD without a significant reduction in the removal efficiency. The results showed that the CNT/MgO/CuFe2O4 magnetic composite powder can be successfully used in textile wastewater treatment.","container-title":"Journal of Environmental Chemical Engineering","DOI":"10.1016/j.jece.2020.104752","ISSN":"2213-3437","issue":"2","journalAbbreviation":"Journal of Environmental Chemical Engineering","language":"en","page":"104752","source":"ScienceDirect","title":"Evaluation of two cationic dyes removal from aqueous environments using CNT/MgO/CuFe2O4 magnetic composite powder: A comparative study","title-short":"Evaluation of two cationic dyes removal from aqueous environments using CNT/MgO/CuFe2O4 magnetic composite powder","volume":"9","author":[{"family":"Foroutan","given":"Rauf"},{"family":"Peighambardoust","given":"Seyed Jamaleddin"},{"family":"Esvandi","given":"Zahra"},{"family":"Khatooni","given":"Hamzeh"},{"family":"Ramavandi","given":"Bahman"}],"issued":{"date-parts":[["2021",4,1]]}}},{"id":4817,"uris":["http://zotero.org/users/2084151/items/PEUD4EDP"],"itemData":{"id":4817,"type":"article-journal","abstract":"In the current study, activated carbon oak wood (ACOW600) and modified activated carbon using ZnO (ACOW600/ZnO) and Fe3O4 (ACOW600/ZnO/Fe3O4) nanoparticles were used to remove methyl violet 2B dye (MV2B) from aqueous solutions. ACOW was synthesized at different temperatures (300–700 °C), and then the maximum MV2B removal efficiency (92.76 %) was achieved using ACOW synthesized at 600 °C. The morphology and characteristics of ACOW600, ACOW600/ZnO, and ACOW600/ZnO/Fe3O4 were studied using surface analyzes. According to the results, the adsorbents indicated a high ability to absorb MV2B from liquid solution, and their kinetic behavior follows a pseudo-second-order kinetic. In addition, the equilibrium study revealed that the MV2B uptake by the ACOW600/ZnO/Fe3O4 magnetic nanocomposite followed the Freundlich model. In contrast, the Langmuir model described the MV2B adsorption process using ACOW600 and ACOW600/ZnO. The maximum adsorption capacity (qm) of MV2B using ACOW600, ACOW600/ZnO, and ACOW600/ZnO/Fe3O4 was determined 26.16 mg g−1, 37.05 mg g−1, and 48.59 mg g−1, respectively, indicating that modification of ACOW600 led to improve its performance in removing MV2B. The enthalpy (ΔH), entropy (ΔG), and Gibbs free energy (ΔS) parameters revealed that the decontamination of MV2B using the studied adsorbents was exothermic and spontaneous. Also, random interactions of MV2B molecules and adsorbent surfaces were reduced during the adsorption process. Textile wastewater was significantly treated by ACOW600, ACOW600/ZnO, and ACOW600/ZnO/Fe3O4 adsorbents. The recycling of the adsorbents was demonstrated that the investigated adsorbents could be re-utilized many times in the MV2B removal process.","container-title":"Chemosphere","DOI":"10.1016/j.chemosphere.2021.131632","ISSN":"0045-6535","journalAbbreviation":"Chemosphere","language":"en","page":"131632","source":"ScienceDirect","title":"Impact of ZnO and Fe3O4 magnetic nanoscale on the methyl violet 2B removal efficiency of the activated carbon oak wood","volume":"286","author":[{"family":"Foroutan","given":"Rauf"},{"family":"Mohammadi","given":"Reza"},{"family":"Ahmadi","given":"Amir"},{"family":"Bikhabar","given":"Gholamreza"},{"family":"Babaei","given":"Fatemeh"},{"family":"Ramavandi","given":"Bahman"}],"issued":{"date-parts":[["2022",1,1]]}}}],"schema":"https://github.com/citation-style-language/schema/raw/master/csl-citation.json"} </w:instrText>
      </w:r>
      <w:r w:rsidR="00AF6DF5">
        <w:fldChar w:fldCharType="separate"/>
      </w:r>
      <w:r w:rsidR="00AF6DF5" w:rsidRPr="00AF6DF5">
        <w:rPr>
          <w:rFonts w:cs="Arial"/>
        </w:rPr>
        <w:t>(Foroutan et al., 2021, 2022)</w:t>
      </w:r>
      <w:r w:rsidR="00AF6DF5">
        <w:fldChar w:fldCharType="end"/>
      </w:r>
      <w:r w:rsidR="00210051">
        <w:t>.</w:t>
      </w:r>
    </w:p>
    <w:p w14:paraId="3A13672D" w14:textId="4CFA1E1F" w:rsidR="00E902FD" w:rsidRDefault="00210051" w:rsidP="00210051">
      <w:pPr>
        <w:pStyle w:val="CETheadingx"/>
      </w:pPr>
      <w:r>
        <w:lastRenderedPageBreak/>
        <w:t>Effect of initial Cr(VI) ion concentration on adsorption capacity</w:t>
      </w:r>
    </w:p>
    <w:p w14:paraId="1B8E0234" w14:textId="38369683" w:rsidR="00E902FD" w:rsidRDefault="00210051" w:rsidP="00453E24">
      <w:pPr>
        <w:pStyle w:val="CETBodytext"/>
      </w:pPr>
      <w:r>
        <w:t xml:space="preserve">The effect of Cr(VI) ions concentration on adsorption capacity of AG-MNPs from aqueous solution was </w:t>
      </w:r>
      <w:r w:rsidR="00DD2C93">
        <w:t>studied</w:t>
      </w:r>
      <w:r>
        <w:t xml:space="preserve"> under following conditions; pH 4, </w:t>
      </w:r>
      <w:r w:rsidR="006C5462">
        <w:t>1.67 mg/mL concentration</w:t>
      </w:r>
      <w:r>
        <w:t xml:space="preserve"> of adsorbent AG-MNPs and contact time 120 min. Figure 3 shows</w:t>
      </w:r>
      <w:r w:rsidR="00BB23ED">
        <w:t xml:space="preserve"> the results obtained</w:t>
      </w:r>
      <w:r w:rsidR="00DD2C93">
        <w:t>,</w:t>
      </w:r>
      <w:r w:rsidR="00BB23ED">
        <w:t xml:space="preserve"> when investigating the adsorption capacity of adsorbent AG-MNPs and Cr(VI) ions solution with concentration of 1 mg/L, 5 mg/L, 7 mg/L and 10 mg/L. </w:t>
      </w:r>
      <w:r w:rsidR="00072F85">
        <w:t>When the concentration of Cr(VI) was increased to 5 mg/L, the adsorption capacity increased as well. Because adsorption at lower concentrations ensures the availability of adsorption sites</w:t>
      </w:r>
      <w:r w:rsidR="00946AB4">
        <w:t xml:space="preserve">, fast adsorption is possible. As seen from Figure 3, when 5 mg/L concentration of Cr(VI) was used, the adsorption capacity of adsorbent AG-MNPs reached 88% after just 10 min. When concentration of Cr(VI) ions increased, the adsorption capacity reached its maximum. Since the adsorption capacity increased with increased concentrations, it is evident that a higher concentration of Cr(VI) has a bigger chance of accessing the interior active sites areas, when the starter concentration is higher. </w:t>
      </w:r>
      <w:r w:rsidR="00A6759B">
        <w:t>Because</w:t>
      </w:r>
      <w:r w:rsidR="00946AB4">
        <w:t xml:space="preserve"> </w:t>
      </w:r>
      <w:r w:rsidR="00A6759B">
        <w:t>of</w:t>
      </w:r>
      <w:r w:rsidR="00946AB4">
        <w:t xml:space="preserve"> Cr(VI) concentration</w:t>
      </w:r>
      <w:r w:rsidR="00DD2C93">
        <w:t xml:space="preserve"> increase</w:t>
      </w:r>
      <w:r w:rsidR="00946AB4">
        <w:t xml:space="preserve">, </w:t>
      </w:r>
      <w:proofErr w:type="gramStart"/>
      <w:r w:rsidR="00946AB4">
        <w:t>all of</w:t>
      </w:r>
      <w:proofErr w:type="gramEnd"/>
      <w:r w:rsidR="00946AB4">
        <w:t xml:space="preserve"> the adsorbent AG-MNPs active sites would be fully exposed and can become occupied by the Cr(VI) ions that are in excess of saturating. Therefore, the adsorption capacity is increasing with increasing the initial concentration of Cr(VI). </w:t>
      </w:r>
      <w:bookmarkStart w:id="3" w:name="_Hlk128567434"/>
      <w:r w:rsidR="00345D88" w:rsidRPr="00345D88">
        <w:rPr>
          <w:highlight w:val="yellow"/>
        </w:rPr>
        <w:t xml:space="preserve">There is a solvent potential difference, called a driving force, created between the pollutant solution and adsorbent. </w:t>
      </w:r>
      <w:r w:rsidR="00946AB4" w:rsidRPr="00345D88">
        <w:rPr>
          <w:highlight w:val="yellow"/>
        </w:rPr>
        <w:t>With increasing the concentration</w:t>
      </w:r>
      <w:r w:rsidR="008C3324" w:rsidRPr="00345D88">
        <w:rPr>
          <w:highlight w:val="yellow"/>
        </w:rPr>
        <w:t xml:space="preserve"> of Cr(VI) the </w:t>
      </w:r>
      <w:r w:rsidR="00345D88">
        <w:rPr>
          <w:highlight w:val="yellow"/>
        </w:rPr>
        <w:t xml:space="preserve">abovementioned </w:t>
      </w:r>
      <w:r w:rsidR="008C3324" w:rsidRPr="00345D88">
        <w:rPr>
          <w:highlight w:val="yellow"/>
        </w:rPr>
        <w:t xml:space="preserve">driving force is higher, which </w:t>
      </w:r>
      <w:r w:rsidR="0013083C" w:rsidRPr="00345D88">
        <w:rPr>
          <w:highlight w:val="yellow"/>
        </w:rPr>
        <w:t xml:space="preserve">increases </w:t>
      </w:r>
      <w:r w:rsidR="00345D88" w:rsidRPr="00345D88">
        <w:rPr>
          <w:highlight w:val="yellow"/>
        </w:rPr>
        <w:t>the adsorption capacity</w:t>
      </w:r>
      <w:r w:rsidR="008C3324" w:rsidRPr="00345D88">
        <w:rPr>
          <w:highlight w:val="yellow"/>
        </w:rPr>
        <w:t xml:space="preserve">. </w:t>
      </w:r>
      <w:r w:rsidR="00345D88">
        <w:rPr>
          <w:highlight w:val="yellow"/>
        </w:rPr>
        <w:t>Furthermore, an increase in</w:t>
      </w:r>
      <w:r w:rsidR="00345D88" w:rsidRPr="00345D88">
        <w:rPr>
          <w:highlight w:val="yellow"/>
        </w:rPr>
        <w:t xml:space="preserve"> concentration causes a larger potential energy difference, </w:t>
      </w:r>
      <w:r w:rsidR="00345D88">
        <w:rPr>
          <w:highlight w:val="yellow"/>
        </w:rPr>
        <w:t xml:space="preserve">which </w:t>
      </w:r>
      <w:r w:rsidR="00345D88" w:rsidRPr="00345D88">
        <w:rPr>
          <w:highlight w:val="yellow"/>
        </w:rPr>
        <w:t>generat</w:t>
      </w:r>
      <w:r w:rsidR="00345D88">
        <w:rPr>
          <w:highlight w:val="yellow"/>
        </w:rPr>
        <w:t>es</w:t>
      </w:r>
      <w:r w:rsidR="00345D88" w:rsidRPr="00345D88">
        <w:rPr>
          <w:highlight w:val="yellow"/>
        </w:rPr>
        <w:t xml:space="preserve"> a higher driving force and a higher adsorption capacity.</w:t>
      </w:r>
      <w:r w:rsidR="00345D88" w:rsidRPr="00345D88">
        <w:rPr>
          <w:highlight w:val="yellow"/>
        </w:rPr>
        <w:t xml:space="preserve"> </w:t>
      </w:r>
      <w:r w:rsidR="008C3324" w:rsidRPr="00345D88">
        <w:rPr>
          <w:highlight w:val="yellow"/>
        </w:rPr>
        <w:t>The results are in agreement with previously reported works</w:t>
      </w:r>
      <w:r w:rsidR="004143A3" w:rsidRPr="00345D88">
        <w:rPr>
          <w:highlight w:val="yellow"/>
        </w:rPr>
        <w:t xml:space="preserve"> </w:t>
      </w:r>
      <w:r w:rsidR="004143A3" w:rsidRPr="00345D88">
        <w:rPr>
          <w:highlight w:val="yellow"/>
        </w:rPr>
        <w:fldChar w:fldCharType="begin"/>
      </w:r>
      <w:r w:rsidR="00345D88" w:rsidRPr="00345D88">
        <w:rPr>
          <w:highlight w:val="yellow"/>
        </w:rPr>
        <w:instrText xml:space="preserve"> ADDIN ZOTERO_ITEM CSL_CITATION {"citationID":"jDMsIR5S","properties":{"formattedCitation":"(Ahsan et al., 2018; Zhao et al., 2023)","plainCitation":"(Ahsan et al., 2018; Zhao et al., 2023)","noteIndex":0},"citationItems":[{"id":4821,"uris":["http://zotero.org/users/2084151/items/M7DIMWW7"],"itemData":{"id":4821,"type":"article-journal","abstract":"Biomass-derived adsorbents are constantly explored for wastewater treatment due to significant advantages such as easy scale-up, cost-effectiveness and environmental-friendliness. Here we report the exceptionally high adsorption capability of sulfonated spent tea leaves towards environmental pollutants such as methylene blue, tetracycline and Cr(VI) is reported through this article. The carbonized form of organic biomass derived from sulfonated tea waste (STW) exhibited unusually high adsorption capacities for methylene blue (1007 mg/g), tetracycline (381 mg/g) and Cr(VI) (438 mg/g) at room temperature. The effect of dosage, time, pH and temperature on the adsorption was systematically investigated. The Cr-adsorbed STW samples were characterized using X-ray photoelectron spectroscopy, electron spin resonance spectroscopy, and Small-angle X-ray scattering (SAXS). Inductively Coupled Plasma Optical Emission Spectrometry (ICP-OES) and UV–Vis spectroscopy were used to analyze the water samples. A continuous-flow water filter was also developed based on the tea-waste adsorbent to demonstrate its ability to purify waste-water. Such high adsorption of pollutants using a cheaper adsorbent like STW makes it a viable material for commercial-scale water purification.","container-title":"Environmental Technology &amp; Innovation","DOI":"10.1016/j.eti.2018.04.003","ISSN":"2352-1864","journalAbbreviation":"Environmental Technology &amp; Innovation","language":"en","page":"23-40","source":"ScienceDirect","title":"Adsorptive removal of methylene blue, tetracycline and Cr(VI) from water using sulfonated tea waste","volume":"11","author":[{"family":"Ahsan","given":"Md. Ariful"},{"family":"Katla","given":"Sai Krishna"},{"family":"Islam","given":"Md. Tariqul"},{"family":"Hernandez-Viezcas","given":"Jose Angel"},{"family":"Martinez","given":"Luis M."},{"family":"Díaz-Moreno","given":"Carlos A."},{"family":"Lopez","given":"Jorge"},{"family":"Singamaneni","given":"Srinivasa R."},{"family":"Banuelos","given":"Jose"},{"family":"Gardea-Torresdey","given":"Jorge"},{"family":"Noveron","given":"Juan C."}],"issued":{"date-parts":[["2018",8,1]]}}},{"id":4833,"uris":["http://zotero.org/users/2084151/items/XF6AG399"],"itemData":{"id":4833,"type":"article-journal","abstract":"Cr(VI) pollution is a growing problem that causes the deterioration of the environment and human health. We report the development of an effective adsorbent for the removal of Cr(VI) from wastewater. N-doped cellulose-based hydrothermal carbon (N–CHC) was prepared via a two-step hydrothermal method. The morphology and structural properties of N–CHC were investigated by various techniques. N–CHC has many O and N groups, which are suitable for Cr(VI) adsorption and reduction. Intermittent adsorption experiments showed that N–CHC had an adsorption capacity of 151.05 mg/g for Cr(VI) at pH 2, indicating excellent adsorption performance. Kinetic and thermodynamic analyses indicates that the adsorption of Cr(VI) on N–CHC follows a monolayer uniform adsorption process, which is a spontaneous endothermic process dominated by chemical interaction and limited by diffusion within particles. In a multi-ion system (Pb2+, Cd2+, Mn7+, Cl−, and SO42−), the selectivity of N–CHC toward Cr(VI) was 82.62%. In addition, N–CHC demonstrated excellent reuse performance over seven adsorption–desorption cycles; the Cr(VI) removal rate of N–CHC in 5–20 mg/L wastewater was &gt;99.87%, confirming the potential of N–CHC for large-scale applications. CN/C-OR, pyridinic-N, and pyrrolic-N were found to play a critical role in the adsorption process. This study provides a new technology for Cr(VI) pollution control that could be utilized in large-scale production and other environmental applications.","container-title":"Environmental Research","DOI":"10.1016/j.envres.2022.115015","ISSN":"0013-9351","journalAbbreviation":"Environmental Research","language":"en","page":"115015","source":"ScienceDirect","title":"Preparation of N-doped cellulose-based hydrothermal carbon using a two-step hydrothermal induction assembly method for the efficient removal of Cr(VI) from wastewater","volume":"219","author":[{"family":"Zhao","given":"Xinkun"},{"family":"Liang","given":"Hongxu"},{"family":"Wang","given":"Zihao"},{"family":"Li","given":"Daijia"},{"family":"Shen","given":"Xiaoyan"},{"family":"Xu","given":"Xiaoya"},{"family":"Li","given":"Kun"},{"family":"Xiang","given":"Qingyue"},{"family":"Wu","given":"Yihan"},{"family":"Chen","given":"Qingfeng"}],"issued":{"date-parts":[["2023",2,15]]}}}],"schema":"https://github.com/citation-style-language/schema/raw/master/csl-citation.json"} </w:instrText>
      </w:r>
      <w:r w:rsidR="004143A3" w:rsidRPr="00345D88">
        <w:rPr>
          <w:highlight w:val="yellow"/>
        </w:rPr>
        <w:fldChar w:fldCharType="separate"/>
      </w:r>
      <w:r w:rsidR="00345D88" w:rsidRPr="00345D88">
        <w:rPr>
          <w:rFonts w:cs="Arial"/>
          <w:highlight w:val="yellow"/>
        </w:rPr>
        <w:t>(Ahsan et al., 2018; Zhao et al., 2023)</w:t>
      </w:r>
      <w:r w:rsidR="004143A3" w:rsidRPr="00345D88">
        <w:rPr>
          <w:highlight w:val="yellow"/>
        </w:rPr>
        <w:fldChar w:fldCharType="end"/>
      </w:r>
      <w:r w:rsidR="004143A3" w:rsidRPr="00345D88">
        <w:rPr>
          <w:highlight w:val="yellow"/>
        </w:rPr>
        <w:t>.</w:t>
      </w:r>
      <w:bookmarkEnd w:id="3"/>
      <w:r w:rsidR="008C3324">
        <w:t xml:space="preserve"> </w:t>
      </w:r>
    </w:p>
    <w:p w14:paraId="6DBA6EEB" w14:textId="5725A57B" w:rsidR="007A7451" w:rsidRDefault="007A7451" w:rsidP="00453E24">
      <w:pPr>
        <w:pStyle w:val="CETBodytext"/>
      </w:pPr>
      <w:r>
        <w:rPr>
          <w:noProof/>
        </w:rPr>
        <w:drawing>
          <wp:inline distT="0" distB="0" distL="0" distR="0" wp14:anchorId="12DE310B" wp14:editId="504C7A32">
            <wp:extent cx="4488180" cy="2149475"/>
            <wp:effectExtent l="0" t="0" r="762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2629" cy="2209076"/>
                    </a:xfrm>
                    <a:prstGeom prst="rect">
                      <a:avLst/>
                    </a:prstGeom>
                    <a:noFill/>
                    <a:ln>
                      <a:noFill/>
                    </a:ln>
                  </pic:spPr>
                </pic:pic>
              </a:graphicData>
            </a:graphic>
          </wp:inline>
        </w:drawing>
      </w:r>
    </w:p>
    <w:p w14:paraId="5A4A3E77" w14:textId="3A482884" w:rsidR="007A7451" w:rsidRDefault="007A7451" w:rsidP="00D519D0">
      <w:pPr>
        <w:pStyle w:val="CETCaption"/>
        <w:spacing w:before="0"/>
      </w:pPr>
      <w:r>
        <w:t xml:space="preserve">Figure 3: Effect of initial </w:t>
      </w:r>
      <w:proofErr w:type="gramStart"/>
      <w:r>
        <w:t>Cr(</w:t>
      </w:r>
      <w:proofErr w:type="gramEnd"/>
      <w:r>
        <w:t>VI) concentration o</w:t>
      </w:r>
      <w:r w:rsidR="002872AF">
        <w:t>n</w:t>
      </w:r>
      <w:r>
        <w:t xml:space="preserve"> adsorption capacity of AG-MNPs.</w:t>
      </w:r>
      <w:r w:rsidR="00542C21">
        <w:t xml:space="preserve"> </w:t>
      </w:r>
    </w:p>
    <w:p w14:paraId="23E94413" w14:textId="3F15992F" w:rsidR="00E902FD" w:rsidRDefault="00C97817" w:rsidP="00C97817">
      <w:pPr>
        <w:pStyle w:val="CETheadingx"/>
      </w:pPr>
      <w:r>
        <w:t>Adsorption isotherms</w:t>
      </w:r>
    </w:p>
    <w:p w14:paraId="664D9F1A" w14:textId="22714727" w:rsidR="00E902FD" w:rsidRDefault="00C97817" w:rsidP="00453E24">
      <w:pPr>
        <w:pStyle w:val="CETBodytext"/>
      </w:pPr>
      <w:r>
        <w:t xml:space="preserve">In our study, the isotherm results were examined using Freundlich isotherm model followed by Eq(1), </w:t>
      </w:r>
      <w:proofErr w:type="gramStart"/>
      <w:r>
        <w:t>where</w:t>
      </w:r>
      <w:proofErr w:type="gramEnd"/>
      <w:r>
        <w:t xml:space="preserve"> </w:t>
      </w:r>
    </w:p>
    <w:p w14:paraId="33FDA117" w14:textId="390F897F" w:rsidR="00E902FD" w:rsidRDefault="00165239" w:rsidP="00453E24">
      <w:pPr>
        <w:pStyle w:val="CETBodytext"/>
      </w:pPr>
      <w:proofErr w:type="spellStart"/>
      <w:r w:rsidRPr="00165239">
        <w:rPr>
          <w:i/>
          <w:iCs/>
        </w:rPr>
        <w:t>q</w:t>
      </w:r>
      <w:r w:rsidRPr="00165239">
        <w:rPr>
          <w:i/>
          <w:iCs/>
          <w:vertAlign w:val="subscript"/>
        </w:rPr>
        <w:t>e</w:t>
      </w:r>
      <w:proofErr w:type="spellEnd"/>
      <w:r>
        <w:rPr>
          <w:i/>
          <w:iCs/>
          <w:vertAlign w:val="subscript"/>
        </w:rPr>
        <w:t xml:space="preserve"> </w:t>
      </w:r>
      <w:r>
        <w:t xml:space="preserve">is the removal capacity at equilibrium and the </w:t>
      </w:r>
      <w:r w:rsidRPr="00057295">
        <w:rPr>
          <w:i/>
          <w:iCs/>
        </w:rPr>
        <w:t>K</w:t>
      </w:r>
      <w:r w:rsidRPr="00057295">
        <w:rPr>
          <w:i/>
          <w:iCs/>
          <w:vertAlign w:val="subscript"/>
        </w:rPr>
        <w:t>F</w:t>
      </w:r>
      <w:r>
        <w:t xml:space="preserve"> is the Freundlich affinity coefficient</w:t>
      </w:r>
      <w:r w:rsidR="001B4127">
        <w:t>. Non-linear regression of sorption data was performed using Eq(1)</w:t>
      </w:r>
      <w:r w:rsidR="00C73406">
        <w:t xml:space="preserve">. The model parameters from non-linear regression are reported in </w:t>
      </w:r>
      <w:proofErr w:type="spellStart"/>
      <w:r w:rsidR="00C73406">
        <w:t>Tabe</w:t>
      </w:r>
      <w:proofErr w:type="spellEnd"/>
      <w:r w:rsidR="00C73406">
        <w:t xml:space="preserve"> 1, where it is shown that the Freundlich isotherm is adequate to adsorption process. Freundlich kinetic model was used to determine the adsorption kinetic parameters</w:t>
      </w:r>
      <w:r w:rsidR="00DD2C93">
        <w:t>,</w:t>
      </w:r>
      <w:r w:rsidR="00C73406">
        <w:t xml:space="preserve"> as presented in Table 1.</w:t>
      </w:r>
      <w:r w:rsidR="00537D42">
        <w:t xml:space="preserve"> AG-MNPs</w:t>
      </w:r>
      <w:r w:rsidR="00D038BB">
        <w:t xml:space="preserve"> show </w:t>
      </w:r>
      <w:r w:rsidR="00D038BB" w:rsidRPr="00D038BB">
        <w:rPr>
          <w:i/>
          <w:iCs/>
        </w:rPr>
        <w:t>1/n</w:t>
      </w:r>
      <w:r w:rsidR="00D038BB">
        <w:t xml:space="preserve"> coefficient value of 0.3916, while the Freundlich affinity coefficient was calculated to be 0.7621 and Freundlich </w:t>
      </w:r>
      <w:r w:rsidR="009A2FE6">
        <w:t>constant</w:t>
      </w:r>
      <w:r w:rsidR="00D038BB">
        <w:t xml:space="preserve"> was 2.5536. Linearity coefficient </w:t>
      </w:r>
      <w:r w:rsidR="00D038BB" w:rsidRPr="00D038BB">
        <w:rPr>
          <w:i/>
          <w:iCs/>
        </w:rPr>
        <w:t>R</w:t>
      </w:r>
      <w:r w:rsidR="00D038BB" w:rsidRPr="00D038BB">
        <w:rPr>
          <w:i/>
          <w:iCs/>
          <w:vertAlign w:val="superscript"/>
        </w:rPr>
        <w:t>2</w:t>
      </w:r>
      <w:r w:rsidR="00D038BB">
        <w:t xml:space="preserve"> was 0.982, which indicates higher adsorption intensity.</w:t>
      </w:r>
    </w:p>
    <w:p w14:paraId="49A07331" w14:textId="6444DBCD" w:rsidR="00537D42" w:rsidRPr="00B57B36" w:rsidRDefault="00537D42" w:rsidP="00537D42">
      <w:pPr>
        <w:pStyle w:val="CETTabletitle"/>
      </w:pPr>
      <w:r w:rsidRPr="00B57B36">
        <w:t xml:space="preserve">Table 1: </w:t>
      </w:r>
      <w:r>
        <w:t>Summary of the isotherm parameters obtained from Freundlich model.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tblGrid>
      <w:tr w:rsidR="00537D42" w:rsidRPr="00B57B36" w14:paraId="3566EF1D" w14:textId="77777777" w:rsidTr="006E1454">
        <w:tc>
          <w:tcPr>
            <w:tcW w:w="1134" w:type="dxa"/>
            <w:tcBorders>
              <w:top w:val="single" w:sz="12" w:space="0" w:color="008000"/>
              <w:bottom w:val="single" w:sz="6" w:space="0" w:color="008000"/>
            </w:tcBorders>
            <w:shd w:val="clear" w:color="auto" w:fill="FFFFFF"/>
          </w:tcPr>
          <w:p w14:paraId="2B6FEE60" w14:textId="270CEC65" w:rsidR="00537D42" w:rsidRPr="00B57B36" w:rsidRDefault="00537D42" w:rsidP="006E1454">
            <w:pPr>
              <w:pStyle w:val="CETBodytext"/>
              <w:rPr>
                <w:lang w:val="en-GB"/>
              </w:rPr>
            </w:pPr>
            <w:r>
              <w:rPr>
                <w:lang w:val="en-GB"/>
              </w:rPr>
              <w:t xml:space="preserve">Isotherm </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0018AEF9" w14:textId="3DF8895C" w:rsidR="00537D42" w:rsidRPr="00B57B36" w:rsidRDefault="00537D42" w:rsidP="006E1454">
            <w:pPr>
              <w:pStyle w:val="CETBodytext"/>
              <w:rPr>
                <w:lang w:val="en-GB"/>
              </w:rPr>
            </w:pPr>
            <w:r>
              <w:rPr>
                <w:lang w:val="en-GB"/>
              </w:rPr>
              <w:t>Parameters</w:t>
            </w:r>
          </w:p>
        </w:tc>
        <w:tc>
          <w:tcPr>
            <w:tcW w:w="1134" w:type="dxa"/>
            <w:tcBorders>
              <w:top w:val="single" w:sz="12" w:space="0" w:color="008000"/>
              <w:bottom w:val="single" w:sz="6" w:space="0" w:color="008000"/>
            </w:tcBorders>
            <w:shd w:val="clear" w:color="auto" w:fill="FFFFFF"/>
          </w:tcPr>
          <w:p w14:paraId="4DFD2E9E" w14:textId="12D2BDC0" w:rsidR="00537D42" w:rsidRPr="00B57B36" w:rsidRDefault="00537D42" w:rsidP="006E1454">
            <w:pPr>
              <w:pStyle w:val="CETBodytext"/>
              <w:rPr>
                <w:lang w:val="en-GB"/>
              </w:rPr>
            </w:pPr>
            <w:r>
              <w:rPr>
                <w:lang w:val="en-GB"/>
              </w:rPr>
              <w:t xml:space="preserve">Values </w:t>
            </w:r>
          </w:p>
        </w:tc>
      </w:tr>
      <w:tr w:rsidR="00537D42" w:rsidRPr="00B57B36" w14:paraId="7B2DDA97" w14:textId="77777777" w:rsidTr="006E1454">
        <w:tc>
          <w:tcPr>
            <w:tcW w:w="1134" w:type="dxa"/>
            <w:shd w:val="clear" w:color="auto" w:fill="FFFFFF"/>
          </w:tcPr>
          <w:p w14:paraId="48F00333" w14:textId="69978F73" w:rsidR="00537D42" w:rsidRPr="00B57B36" w:rsidRDefault="00537D42" w:rsidP="006E1454">
            <w:pPr>
              <w:pStyle w:val="CETBodytext"/>
              <w:rPr>
                <w:lang w:val="en-GB"/>
              </w:rPr>
            </w:pPr>
            <w:r>
              <w:rPr>
                <w:lang w:val="en-GB"/>
              </w:rPr>
              <w:t>Freundlich</w:t>
            </w:r>
          </w:p>
        </w:tc>
        <w:tc>
          <w:tcPr>
            <w:tcW w:w="1134" w:type="dxa"/>
            <w:shd w:val="clear" w:color="auto" w:fill="FFFFFF"/>
          </w:tcPr>
          <w:p w14:paraId="3AB7A94C" w14:textId="2F619A24" w:rsidR="00537D42" w:rsidRPr="00537D42" w:rsidRDefault="00D038BB" w:rsidP="006E1454">
            <w:pPr>
              <w:pStyle w:val="CETBodytext"/>
              <w:rPr>
                <w:i/>
                <w:iCs/>
                <w:lang w:val="en-GB"/>
              </w:rPr>
            </w:pPr>
            <w:r>
              <w:rPr>
                <w:i/>
                <w:iCs/>
                <w:lang w:val="en-GB"/>
              </w:rPr>
              <w:t>n</w:t>
            </w:r>
          </w:p>
        </w:tc>
        <w:tc>
          <w:tcPr>
            <w:tcW w:w="1134" w:type="dxa"/>
            <w:shd w:val="clear" w:color="auto" w:fill="FFFFFF"/>
          </w:tcPr>
          <w:p w14:paraId="32E6A66C" w14:textId="106A24E1" w:rsidR="00537D42" w:rsidRPr="00B57B36" w:rsidRDefault="00D038BB" w:rsidP="006E1454">
            <w:pPr>
              <w:pStyle w:val="CETBodytext"/>
              <w:rPr>
                <w:lang w:val="en-GB"/>
              </w:rPr>
            </w:pPr>
            <w:r>
              <w:rPr>
                <w:lang w:val="en-GB"/>
              </w:rPr>
              <w:t>0.3916</w:t>
            </w:r>
          </w:p>
        </w:tc>
      </w:tr>
      <w:tr w:rsidR="00D038BB" w:rsidRPr="00B57B36" w14:paraId="58750FED" w14:textId="77777777" w:rsidTr="006E1454">
        <w:tc>
          <w:tcPr>
            <w:tcW w:w="1134" w:type="dxa"/>
            <w:shd w:val="clear" w:color="auto" w:fill="FFFFFF"/>
          </w:tcPr>
          <w:p w14:paraId="5C983449" w14:textId="77777777" w:rsidR="00D038BB" w:rsidRDefault="00D038BB" w:rsidP="00D038BB">
            <w:pPr>
              <w:pStyle w:val="CETBodytext"/>
              <w:rPr>
                <w:lang w:val="en-GB"/>
              </w:rPr>
            </w:pPr>
          </w:p>
        </w:tc>
        <w:tc>
          <w:tcPr>
            <w:tcW w:w="1134" w:type="dxa"/>
            <w:shd w:val="clear" w:color="auto" w:fill="FFFFFF"/>
          </w:tcPr>
          <w:p w14:paraId="561ABE3E" w14:textId="5EB2049F" w:rsidR="00D038BB" w:rsidRPr="00537D42" w:rsidRDefault="00D038BB" w:rsidP="00D038BB">
            <w:pPr>
              <w:pStyle w:val="CETBodytext"/>
              <w:rPr>
                <w:i/>
                <w:iCs/>
                <w:lang w:val="en-GB"/>
              </w:rPr>
            </w:pPr>
            <w:r w:rsidRPr="00537D42">
              <w:rPr>
                <w:i/>
                <w:iCs/>
                <w:lang w:val="en-GB"/>
              </w:rPr>
              <w:t>K</w:t>
            </w:r>
            <w:r w:rsidRPr="00537D42">
              <w:rPr>
                <w:i/>
                <w:iCs/>
                <w:vertAlign w:val="subscript"/>
                <w:lang w:val="en-GB"/>
              </w:rPr>
              <w:t>F</w:t>
            </w:r>
          </w:p>
        </w:tc>
        <w:tc>
          <w:tcPr>
            <w:tcW w:w="1134" w:type="dxa"/>
            <w:shd w:val="clear" w:color="auto" w:fill="FFFFFF"/>
          </w:tcPr>
          <w:p w14:paraId="5B0135AD" w14:textId="6E68390D" w:rsidR="00D038BB" w:rsidRDefault="00D038BB" w:rsidP="00D038BB">
            <w:pPr>
              <w:pStyle w:val="CETBodytext"/>
              <w:rPr>
                <w:lang w:val="en-GB"/>
              </w:rPr>
            </w:pPr>
            <w:r>
              <w:rPr>
                <w:lang w:val="en-GB"/>
              </w:rPr>
              <w:t>0.7621</w:t>
            </w:r>
          </w:p>
        </w:tc>
      </w:tr>
      <w:tr w:rsidR="00D038BB" w:rsidRPr="00B57B36" w14:paraId="307A286A" w14:textId="77777777" w:rsidTr="006E1454">
        <w:tc>
          <w:tcPr>
            <w:tcW w:w="1134" w:type="dxa"/>
            <w:shd w:val="clear" w:color="auto" w:fill="FFFFFF"/>
          </w:tcPr>
          <w:p w14:paraId="1D044385" w14:textId="77777777" w:rsidR="00D038BB" w:rsidRDefault="00D038BB" w:rsidP="00D038BB">
            <w:pPr>
              <w:pStyle w:val="CETBodytext"/>
              <w:rPr>
                <w:lang w:val="en-GB"/>
              </w:rPr>
            </w:pPr>
          </w:p>
        </w:tc>
        <w:tc>
          <w:tcPr>
            <w:tcW w:w="1134" w:type="dxa"/>
            <w:shd w:val="clear" w:color="auto" w:fill="FFFFFF"/>
          </w:tcPr>
          <w:p w14:paraId="479F120B" w14:textId="00E3DE26" w:rsidR="00D038BB" w:rsidRPr="00537D42" w:rsidRDefault="00D038BB" w:rsidP="00D038BB">
            <w:pPr>
              <w:pStyle w:val="CETBodytext"/>
              <w:rPr>
                <w:i/>
                <w:iCs/>
                <w:lang w:val="en-GB"/>
              </w:rPr>
            </w:pPr>
            <w:r>
              <w:rPr>
                <w:rFonts w:cs="Arial"/>
                <w:i/>
                <w:iCs/>
                <w:szCs w:val="18"/>
                <w:lang w:val="en-GB"/>
              </w:rPr>
              <w:t>n</w:t>
            </w:r>
          </w:p>
        </w:tc>
        <w:tc>
          <w:tcPr>
            <w:tcW w:w="1134" w:type="dxa"/>
            <w:shd w:val="clear" w:color="auto" w:fill="FFFFFF"/>
          </w:tcPr>
          <w:p w14:paraId="3C8409D6" w14:textId="40CE05F6" w:rsidR="00D038BB" w:rsidRDefault="00D038BB" w:rsidP="00D038BB">
            <w:pPr>
              <w:pStyle w:val="CETBodytext"/>
              <w:rPr>
                <w:lang w:val="en-GB"/>
              </w:rPr>
            </w:pPr>
            <w:r>
              <w:rPr>
                <w:rFonts w:cs="Arial"/>
                <w:szCs w:val="18"/>
                <w:lang w:val="en-GB"/>
              </w:rPr>
              <w:t>2.5536</w:t>
            </w:r>
          </w:p>
        </w:tc>
      </w:tr>
      <w:tr w:rsidR="00D038BB" w:rsidRPr="00B57B36" w14:paraId="6F7CA7C7" w14:textId="77777777" w:rsidTr="006E1454">
        <w:tc>
          <w:tcPr>
            <w:tcW w:w="1134" w:type="dxa"/>
            <w:shd w:val="clear" w:color="auto" w:fill="FFFFFF"/>
          </w:tcPr>
          <w:p w14:paraId="2CED69BB" w14:textId="77777777" w:rsidR="00D038BB" w:rsidRDefault="00D038BB" w:rsidP="00D038BB">
            <w:pPr>
              <w:pStyle w:val="CETBodytext"/>
              <w:rPr>
                <w:lang w:val="en-GB"/>
              </w:rPr>
            </w:pPr>
          </w:p>
        </w:tc>
        <w:tc>
          <w:tcPr>
            <w:tcW w:w="1134" w:type="dxa"/>
            <w:shd w:val="clear" w:color="auto" w:fill="FFFFFF"/>
          </w:tcPr>
          <w:p w14:paraId="2AFDF1F8" w14:textId="1AE7E273" w:rsidR="00D038BB" w:rsidRPr="00537D42" w:rsidRDefault="00D038BB" w:rsidP="00D038BB">
            <w:pPr>
              <w:pStyle w:val="CETBodytext"/>
              <w:rPr>
                <w:i/>
                <w:iCs/>
                <w:lang w:val="en-GB"/>
              </w:rPr>
            </w:pPr>
            <w:r w:rsidRPr="00537D42">
              <w:rPr>
                <w:rFonts w:cs="Arial"/>
                <w:i/>
                <w:iCs/>
                <w:szCs w:val="18"/>
                <w:lang w:val="en-GB"/>
              </w:rPr>
              <w:t>R</w:t>
            </w:r>
            <w:r w:rsidRPr="00537D42">
              <w:rPr>
                <w:rFonts w:cs="Arial"/>
                <w:i/>
                <w:iCs/>
                <w:szCs w:val="18"/>
                <w:vertAlign w:val="superscript"/>
                <w:lang w:val="en-GB"/>
              </w:rPr>
              <w:t>2</w:t>
            </w:r>
          </w:p>
        </w:tc>
        <w:tc>
          <w:tcPr>
            <w:tcW w:w="1134" w:type="dxa"/>
            <w:shd w:val="clear" w:color="auto" w:fill="FFFFFF"/>
          </w:tcPr>
          <w:p w14:paraId="6B38720F" w14:textId="60175975" w:rsidR="00D038BB" w:rsidRDefault="00D038BB" w:rsidP="00D038BB">
            <w:pPr>
              <w:pStyle w:val="CETBodytext"/>
              <w:rPr>
                <w:lang w:val="en-GB"/>
              </w:rPr>
            </w:pPr>
            <w:r>
              <w:rPr>
                <w:lang w:val="en-GB"/>
              </w:rPr>
              <w:t>0.982</w:t>
            </w:r>
          </w:p>
        </w:tc>
      </w:tr>
    </w:tbl>
    <w:p w14:paraId="68D26B83" w14:textId="77777777" w:rsidR="00600535" w:rsidRPr="00B57B36" w:rsidRDefault="00600535" w:rsidP="00600535">
      <w:pPr>
        <w:pStyle w:val="CETHeading1"/>
        <w:rPr>
          <w:lang w:val="en-GB"/>
        </w:rPr>
      </w:pPr>
      <w:r w:rsidRPr="00B57B36">
        <w:rPr>
          <w:lang w:val="en-GB"/>
        </w:rPr>
        <w:t>Conclusions</w:t>
      </w:r>
    </w:p>
    <w:p w14:paraId="0F34B101" w14:textId="57AF1655" w:rsidR="00561EDA" w:rsidRDefault="00561EDA" w:rsidP="00600535">
      <w:pPr>
        <w:pStyle w:val="CETBodytext"/>
        <w:rPr>
          <w:lang w:val="en-GB"/>
        </w:rPr>
      </w:pPr>
      <w:r>
        <w:rPr>
          <w:lang w:val="en-GB"/>
        </w:rPr>
        <w:t>In this study, AG-MNPs were prepared by coprecipitation method, followed by functionalization with AG. The adsorption capacity o</w:t>
      </w:r>
      <w:r w:rsidR="009E22C7">
        <w:rPr>
          <w:lang w:val="en-GB"/>
        </w:rPr>
        <w:t>f</w:t>
      </w:r>
      <w:r>
        <w:rPr>
          <w:lang w:val="en-GB"/>
        </w:rPr>
        <w:t xml:space="preserve"> prepared adsorbent AG-MNPs was </w:t>
      </w:r>
      <w:r w:rsidR="00DB0E15">
        <w:rPr>
          <w:lang w:val="en-GB"/>
        </w:rPr>
        <w:t>investigated,</w:t>
      </w:r>
      <w:r>
        <w:rPr>
          <w:lang w:val="en-GB"/>
        </w:rPr>
        <w:t xml:space="preserve"> and adsorption studies were performed. Effect of pH of </w:t>
      </w:r>
      <w:proofErr w:type="gramStart"/>
      <w:r>
        <w:rPr>
          <w:lang w:val="en-GB"/>
        </w:rPr>
        <w:t>Cr(</w:t>
      </w:r>
      <w:proofErr w:type="gramEnd"/>
      <w:r>
        <w:rPr>
          <w:lang w:val="en-GB"/>
        </w:rPr>
        <w:t xml:space="preserve">VI) solution, effect of adsorbent dosage and effect of initial concentration of Cr(VI) solution on </w:t>
      </w:r>
      <w:r>
        <w:rPr>
          <w:lang w:val="en-GB"/>
        </w:rPr>
        <w:lastRenderedPageBreak/>
        <w:t xml:space="preserve">adsorption capacity was determined. Additionally, </w:t>
      </w:r>
      <w:r w:rsidR="0087518F">
        <w:rPr>
          <w:lang w:val="en-GB"/>
        </w:rPr>
        <w:t xml:space="preserve">by using Freundlich adsorption isotherm model it was concluded that adsorbent AG-MNPs exhibits excellent adsorption performance and high affinity for </w:t>
      </w:r>
      <w:proofErr w:type="gramStart"/>
      <w:r w:rsidR="0087518F">
        <w:rPr>
          <w:lang w:val="en-GB"/>
        </w:rPr>
        <w:t>Cr(</w:t>
      </w:r>
      <w:proofErr w:type="gramEnd"/>
      <w:r w:rsidR="0087518F">
        <w:rPr>
          <w:lang w:val="en-GB"/>
        </w:rPr>
        <w:t xml:space="preserve">VI) ions. </w:t>
      </w:r>
    </w:p>
    <w:p w14:paraId="52DAFDE0" w14:textId="3161C7A4" w:rsidR="001D0CFB" w:rsidRDefault="005771DF" w:rsidP="00600535">
      <w:pPr>
        <w:pStyle w:val="CETBodytext"/>
        <w:rPr>
          <w:lang w:val="en-GB"/>
        </w:rPr>
      </w:pPr>
      <w:r w:rsidRPr="00CB315E">
        <w:rPr>
          <w:lang w:val="en-GB"/>
        </w:rPr>
        <w:t xml:space="preserve">AG-MNPs were found to be highly adsorptive nanomaterial for efficient removal of </w:t>
      </w:r>
      <w:proofErr w:type="gramStart"/>
      <w:r w:rsidRPr="00CB315E">
        <w:rPr>
          <w:lang w:val="en-GB"/>
        </w:rPr>
        <w:t>Cr(</w:t>
      </w:r>
      <w:proofErr w:type="gramEnd"/>
      <w:r w:rsidRPr="00CB315E">
        <w:rPr>
          <w:lang w:val="en-GB"/>
        </w:rPr>
        <w:t>VI) ions from aqueous solutions and show excellent potential for use in wastewater treatments.</w:t>
      </w:r>
    </w:p>
    <w:p w14:paraId="459D05E6" w14:textId="77777777" w:rsidR="00600535" w:rsidRPr="00B57B36" w:rsidRDefault="00600535" w:rsidP="00600535">
      <w:pPr>
        <w:pStyle w:val="CETAcknowledgementstitle"/>
      </w:pPr>
      <w:r w:rsidRPr="00B57B36">
        <w:t>Acknowledgments</w:t>
      </w:r>
    </w:p>
    <w:p w14:paraId="1C128857" w14:textId="145B8013" w:rsidR="00E902FD" w:rsidRDefault="00542C21" w:rsidP="00FE2A70">
      <w:pPr>
        <w:pStyle w:val="CETBodytext"/>
      </w:pPr>
      <w:r w:rsidRPr="00542C21">
        <w:t>This research was supported by the Slovenian Research Agency (ARRS) within the frame of program P2-0046 (Separation Processes and Production Design), project Nr. J2-3037 (</w:t>
      </w:r>
      <w:proofErr w:type="spellStart"/>
      <w:r w:rsidRPr="00FE2A70">
        <w:rPr>
          <w:i/>
          <w:iCs/>
        </w:rPr>
        <w:t>Bionanotechnology</w:t>
      </w:r>
      <w:proofErr w:type="spellEnd"/>
      <w:r w:rsidRPr="00FE2A70">
        <w:rPr>
          <w:i/>
          <w:iCs/>
        </w:rPr>
        <w:t xml:space="preserve"> as a tool for stabilization and applications of bioactive substances from natural sources</w:t>
      </w:r>
      <w:r w:rsidRPr="00542C21">
        <w:t>), project Nr. L2-4430 (</w:t>
      </w:r>
      <w:r w:rsidRPr="00FE2A70">
        <w:rPr>
          <w:i/>
          <w:iCs/>
        </w:rPr>
        <w:t xml:space="preserve">Production, Isolation and Formulation of Health Beneficial Substances from Helichrysum </w:t>
      </w:r>
      <w:proofErr w:type="spellStart"/>
      <w:r w:rsidRPr="00FE2A70">
        <w:rPr>
          <w:i/>
          <w:iCs/>
        </w:rPr>
        <w:t>italicum</w:t>
      </w:r>
      <w:proofErr w:type="spellEnd"/>
      <w:r w:rsidRPr="00FE2A70">
        <w:rPr>
          <w:i/>
          <w:iCs/>
        </w:rPr>
        <w:t xml:space="preserve"> for Applications in Cosmetic Industry</w:t>
      </w:r>
      <w:r w:rsidRPr="00542C21">
        <w:t>), Project Nr. Z2-4431 “</w:t>
      </w:r>
      <w:r w:rsidRPr="00FE2A70">
        <w:rPr>
          <w:i/>
          <w:iCs/>
        </w:rPr>
        <w:t xml:space="preserve">Functional </w:t>
      </w:r>
      <w:proofErr w:type="spellStart"/>
      <w:r w:rsidRPr="00FE2A70">
        <w:rPr>
          <w:i/>
          <w:iCs/>
        </w:rPr>
        <w:t>biocomposites</w:t>
      </w:r>
      <w:proofErr w:type="spellEnd"/>
      <w:r w:rsidRPr="00FE2A70">
        <w:rPr>
          <w:i/>
          <w:iCs/>
        </w:rPr>
        <w:t xml:space="preserve"> for biomedical and sustainable applications</w:t>
      </w:r>
      <w:r w:rsidRPr="00542C21">
        <w:t>”</w:t>
      </w:r>
      <w:r w:rsidR="006C5462">
        <w:t xml:space="preserve"> and Project Nr. L2-3175 “</w:t>
      </w:r>
      <w:r w:rsidR="006C5462" w:rsidRPr="006C5462">
        <w:rPr>
          <w:i/>
          <w:iCs/>
        </w:rPr>
        <w:t>Advanced Extraction and Formulation of Functional Tannin Food Supplements with Beneficial Health Effects</w:t>
      </w:r>
      <w:r w:rsidR="006C5462">
        <w:t>”</w:t>
      </w:r>
      <w:r w:rsidR="003774A4">
        <w:t>.</w:t>
      </w:r>
    </w:p>
    <w:p w14:paraId="4F1327F8" w14:textId="74121E36" w:rsidR="00600535" w:rsidRDefault="00600535" w:rsidP="00600535">
      <w:pPr>
        <w:pStyle w:val="CETReference"/>
      </w:pPr>
      <w:r w:rsidRPr="00B57B36">
        <w:t>References</w:t>
      </w:r>
    </w:p>
    <w:p w14:paraId="12BB82F9" w14:textId="77777777" w:rsidR="006E08AF" w:rsidRPr="003334F7" w:rsidRDefault="006361DC" w:rsidP="006E08AF">
      <w:pPr>
        <w:pStyle w:val="Bibliografija"/>
        <w:rPr>
          <w:rFonts w:cs="Arial"/>
          <w:sz w:val="17"/>
          <w:szCs w:val="17"/>
        </w:rPr>
      </w:pPr>
      <w:r w:rsidRPr="003334F7">
        <w:rPr>
          <w:sz w:val="17"/>
          <w:szCs w:val="17"/>
        </w:rPr>
        <w:fldChar w:fldCharType="begin"/>
      </w:r>
      <w:r w:rsidRPr="003334F7">
        <w:rPr>
          <w:sz w:val="17"/>
          <w:szCs w:val="17"/>
        </w:rPr>
        <w:instrText xml:space="preserve"> ADDIN ZOTERO_BIBL {"uncited":[],"omitted":[],"custom":[]} CSL_BIBLIOGRAPHY </w:instrText>
      </w:r>
      <w:r w:rsidRPr="003334F7">
        <w:rPr>
          <w:sz w:val="17"/>
          <w:szCs w:val="17"/>
        </w:rPr>
        <w:fldChar w:fldCharType="separate"/>
      </w:r>
      <w:r w:rsidR="006E08AF" w:rsidRPr="003334F7">
        <w:rPr>
          <w:rFonts w:cs="Arial"/>
          <w:sz w:val="17"/>
          <w:szCs w:val="17"/>
        </w:rPr>
        <w:t xml:space="preserve">Ahsan, </w:t>
      </w:r>
      <w:proofErr w:type="spellStart"/>
      <w:r w:rsidR="006E08AF" w:rsidRPr="003334F7">
        <w:rPr>
          <w:rFonts w:cs="Arial"/>
          <w:sz w:val="17"/>
          <w:szCs w:val="17"/>
        </w:rPr>
        <w:t>Md.A</w:t>
      </w:r>
      <w:proofErr w:type="spellEnd"/>
      <w:r w:rsidR="006E08AF" w:rsidRPr="003334F7">
        <w:rPr>
          <w:rFonts w:cs="Arial"/>
          <w:sz w:val="17"/>
          <w:szCs w:val="17"/>
        </w:rPr>
        <w:t xml:space="preserve">., Katla, S.K., Islam, </w:t>
      </w:r>
      <w:proofErr w:type="spellStart"/>
      <w:r w:rsidR="006E08AF" w:rsidRPr="003334F7">
        <w:rPr>
          <w:rFonts w:cs="Arial"/>
          <w:sz w:val="17"/>
          <w:szCs w:val="17"/>
        </w:rPr>
        <w:t>Md.T</w:t>
      </w:r>
      <w:proofErr w:type="spellEnd"/>
      <w:r w:rsidR="006E08AF" w:rsidRPr="003334F7">
        <w:rPr>
          <w:rFonts w:cs="Arial"/>
          <w:sz w:val="17"/>
          <w:szCs w:val="17"/>
        </w:rPr>
        <w:t>., Hernandez-</w:t>
      </w:r>
      <w:proofErr w:type="spellStart"/>
      <w:r w:rsidR="006E08AF" w:rsidRPr="003334F7">
        <w:rPr>
          <w:rFonts w:cs="Arial"/>
          <w:sz w:val="17"/>
          <w:szCs w:val="17"/>
        </w:rPr>
        <w:t>Viezcas</w:t>
      </w:r>
      <w:proofErr w:type="spellEnd"/>
      <w:r w:rsidR="006E08AF" w:rsidRPr="003334F7">
        <w:rPr>
          <w:rFonts w:cs="Arial"/>
          <w:sz w:val="17"/>
          <w:szCs w:val="17"/>
        </w:rPr>
        <w:t xml:space="preserve">, J.A., Martinez, L.M., Díaz-Moreno, C.A., Lopez, J., </w:t>
      </w:r>
      <w:proofErr w:type="spellStart"/>
      <w:r w:rsidR="006E08AF" w:rsidRPr="003334F7">
        <w:rPr>
          <w:rFonts w:cs="Arial"/>
          <w:sz w:val="17"/>
          <w:szCs w:val="17"/>
        </w:rPr>
        <w:t>Singamaneni</w:t>
      </w:r>
      <w:proofErr w:type="spellEnd"/>
      <w:r w:rsidR="006E08AF" w:rsidRPr="003334F7">
        <w:rPr>
          <w:rFonts w:cs="Arial"/>
          <w:sz w:val="17"/>
          <w:szCs w:val="17"/>
        </w:rPr>
        <w:t xml:space="preserve">, S.R., Banuelos, J., </w:t>
      </w:r>
      <w:proofErr w:type="spellStart"/>
      <w:r w:rsidR="006E08AF" w:rsidRPr="003334F7">
        <w:rPr>
          <w:rFonts w:cs="Arial"/>
          <w:sz w:val="17"/>
          <w:szCs w:val="17"/>
        </w:rPr>
        <w:t>Gardea-Torresdey</w:t>
      </w:r>
      <w:proofErr w:type="spellEnd"/>
      <w:r w:rsidR="006E08AF" w:rsidRPr="003334F7">
        <w:rPr>
          <w:rFonts w:cs="Arial"/>
          <w:sz w:val="17"/>
          <w:szCs w:val="17"/>
        </w:rPr>
        <w:t xml:space="preserve">, J., </w:t>
      </w:r>
      <w:proofErr w:type="spellStart"/>
      <w:r w:rsidR="006E08AF" w:rsidRPr="003334F7">
        <w:rPr>
          <w:rFonts w:cs="Arial"/>
          <w:sz w:val="17"/>
          <w:szCs w:val="17"/>
        </w:rPr>
        <w:t>Noveron</w:t>
      </w:r>
      <w:proofErr w:type="spellEnd"/>
      <w:r w:rsidR="006E08AF" w:rsidRPr="003334F7">
        <w:rPr>
          <w:rFonts w:cs="Arial"/>
          <w:sz w:val="17"/>
          <w:szCs w:val="17"/>
        </w:rPr>
        <w:t xml:space="preserve">, J.C., 2018. Adsorptive removal of methylene blue, tetracycline and </w:t>
      </w:r>
      <w:proofErr w:type="gramStart"/>
      <w:r w:rsidR="006E08AF" w:rsidRPr="003334F7">
        <w:rPr>
          <w:rFonts w:cs="Arial"/>
          <w:sz w:val="17"/>
          <w:szCs w:val="17"/>
        </w:rPr>
        <w:t>Cr(</w:t>
      </w:r>
      <w:proofErr w:type="gramEnd"/>
      <w:r w:rsidR="006E08AF" w:rsidRPr="003334F7">
        <w:rPr>
          <w:rFonts w:cs="Arial"/>
          <w:sz w:val="17"/>
          <w:szCs w:val="17"/>
        </w:rPr>
        <w:t>VI) from water using sulfonated tea waste. Environmental Technology &amp; Innovation 11, 23–40.</w:t>
      </w:r>
    </w:p>
    <w:p w14:paraId="3E9C4BCB" w14:textId="77777777" w:rsidR="006E08AF" w:rsidRPr="003334F7" w:rsidRDefault="006E08AF" w:rsidP="006E08AF">
      <w:pPr>
        <w:pStyle w:val="Bibliografija"/>
        <w:rPr>
          <w:rFonts w:cs="Arial"/>
          <w:sz w:val="17"/>
          <w:szCs w:val="17"/>
        </w:rPr>
      </w:pPr>
      <w:proofErr w:type="spellStart"/>
      <w:r w:rsidRPr="003334F7">
        <w:rPr>
          <w:rFonts w:cs="Arial"/>
          <w:sz w:val="17"/>
          <w:szCs w:val="17"/>
        </w:rPr>
        <w:t>Almomani</w:t>
      </w:r>
      <w:proofErr w:type="spellEnd"/>
      <w:r w:rsidRPr="003334F7">
        <w:rPr>
          <w:rFonts w:cs="Arial"/>
          <w:sz w:val="17"/>
          <w:szCs w:val="17"/>
        </w:rPr>
        <w:t xml:space="preserve">, F., Bhosale, R., </w:t>
      </w:r>
      <w:proofErr w:type="spellStart"/>
      <w:r w:rsidRPr="003334F7">
        <w:rPr>
          <w:rFonts w:cs="Arial"/>
          <w:sz w:val="17"/>
          <w:szCs w:val="17"/>
        </w:rPr>
        <w:t>Khraisheh</w:t>
      </w:r>
      <w:proofErr w:type="spellEnd"/>
      <w:r w:rsidRPr="003334F7">
        <w:rPr>
          <w:rFonts w:cs="Arial"/>
          <w:sz w:val="17"/>
          <w:szCs w:val="17"/>
        </w:rPr>
        <w:t xml:space="preserve">, M., </w:t>
      </w:r>
      <w:proofErr w:type="spellStart"/>
      <w:r w:rsidRPr="003334F7">
        <w:rPr>
          <w:rFonts w:cs="Arial"/>
          <w:sz w:val="17"/>
          <w:szCs w:val="17"/>
        </w:rPr>
        <w:t>kumar</w:t>
      </w:r>
      <w:proofErr w:type="spellEnd"/>
      <w:r w:rsidRPr="003334F7">
        <w:rPr>
          <w:rFonts w:cs="Arial"/>
          <w:sz w:val="17"/>
          <w:szCs w:val="17"/>
        </w:rPr>
        <w:t xml:space="preserve">, A., </w:t>
      </w:r>
      <w:proofErr w:type="spellStart"/>
      <w:r w:rsidRPr="003334F7">
        <w:rPr>
          <w:rFonts w:cs="Arial"/>
          <w:sz w:val="17"/>
          <w:szCs w:val="17"/>
        </w:rPr>
        <w:t>Almomani</w:t>
      </w:r>
      <w:proofErr w:type="spellEnd"/>
      <w:r w:rsidRPr="003334F7">
        <w:rPr>
          <w:rFonts w:cs="Arial"/>
          <w:sz w:val="17"/>
          <w:szCs w:val="17"/>
        </w:rPr>
        <w:t>, T., 2020. Heavy metal ions removal from industrial wastewater using magnetic nanoparticles (MNP). Applied Surface Science 506, 144924.</w:t>
      </w:r>
    </w:p>
    <w:p w14:paraId="0D149393" w14:textId="77777777" w:rsidR="006E08AF" w:rsidRPr="003334F7" w:rsidRDefault="006E08AF" w:rsidP="006E08AF">
      <w:pPr>
        <w:pStyle w:val="Bibliografija"/>
        <w:rPr>
          <w:rFonts w:cs="Arial"/>
          <w:sz w:val="17"/>
          <w:szCs w:val="17"/>
        </w:rPr>
      </w:pPr>
      <w:r w:rsidRPr="003334F7">
        <w:rPr>
          <w:rFonts w:cs="Arial"/>
          <w:sz w:val="17"/>
          <w:szCs w:val="17"/>
        </w:rPr>
        <w:t>Barakat, M.A., 2011. New trends in removing heavy metals from industrial wastewater. Arabian Journal of Chemistry 4, 361–377.</w:t>
      </w:r>
    </w:p>
    <w:p w14:paraId="696E264C" w14:textId="77777777" w:rsidR="006E08AF" w:rsidRPr="003334F7" w:rsidRDefault="006E08AF" w:rsidP="006E08AF">
      <w:pPr>
        <w:pStyle w:val="Bibliografija"/>
        <w:rPr>
          <w:rFonts w:cs="Arial"/>
          <w:sz w:val="17"/>
          <w:szCs w:val="17"/>
        </w:rPr>
      </w:pPr>
      <w:proofErr w:type="spellStart"/>
      <w:r w:rsidRPr="003334F7">
        <w:rPr>
          <w:rFonts w:cs="Arial"/>
          <w:sz w:val="17"/>
          <w:szCs w:val="17"/>
        </w:rPr>
        <w:t>Bhateria</w:t>
      </w:r>
      <w:proofErr w:type="spellEnd"/>
      <w:r w:rsidRPr="003334F7">
        <w:rPr>
          <w:rFonts w:cs="Arial"/>
          <w:sz w:val="17"/>
          <w:szCs w:val="17"/>
        </w:rPr>
        <w:t>, R., Singh, R., 2019. A review on nanotechnological application of magnetic iron oxides for heavy metal removal. Journal of Water Process Engineering 31, 100845.</w:t>
      </w:r>
    </w:p>
    <w:p w14:paraId="41C01EC8" w14:textId="77777777" w:rsidR="006E08AF" w:rsidRPr="003334F7" w:rsidRDefault="006E08AF" w:rsidP="006E08AF">
      <w:pPr>
        <w:pStyle w:val="Bibliografija"/>
        <w:rPr>
          <w:rFonts w:cs="Arial"/>
          <w:sz w:val="17"/>
          <w:szCs w:val="17"/>
        </w:rPr>
      </w:pPr>
      <w:proofErr w:type="spellStart"/>
      <w:r w:rsidRPr="003334F7">
        <w:rPr>
          <w:rFonts w:cs="Arial"/>
          <w:sz w:val="17"/>
          <w:szCs w:val="17"/>
        </w:rPr>
        <w:t>Davantès</w:t>
      </w:r>
      <w:proofErr w:type="spellEnd"/>
      <w:r w:rsidRPr="003334F7">
        <w:rPr>
          <w:rFonts w:cs="Arial"/>
          <w:sz w:val="17"/>
          <w:szCs w:val="17"/>
        </w:rPr>
        <w:t xml:space="preserve">, A., </w:t>
      </w:r>
      <w:proofErr w:type="spellStart"/>
      <w:r w:rsidRPr="003334F7">
        <w:rPr>
          <w:rFonts w:cs="Arial"/>
          <w:sz w:val="17"/>
          <w:szCs w:val="17"/>
        </w:rPr>
        <w:t>Nigen</w:t>
      </w:r>
      <w:proofErr w:type="spellEnd"/>
      <w:r w:rsidRPr="003334F7">
        <w:rPr>
          <w:rFonts w:cs="Arial"/>
          <w:sz w:val="17"/>
          <w:szCs w:val="17"/>
        </w:rPr>
        <w:t xml:space="preserve">, M., Sanchez, C., </w:t>
      </w:r>
      <w:proofErr w:type="spellStart"/>
      <w:r w:rsidRPr="003334F7">
        <w:rPr>
          <w:rFonts w:cs="Arial"/>
          <w:sz w:val="17"/>
          <w:szCs w:val="17"/>
        </w:rPr>
        <w:t>d’Orlando</w:t>
      </w:r>
      <w:proofErr w:type="spellEnd"/>
      <w:r w:rsidRPr="003334F7">
        <w:rPr>
          <w:rFonts w:cs="Arial"/>
          <w:sz w:val="17"/>
          <w:szCs w:val="17"/>
        </w:rPr>
        <w:t>, A., Renard, D., 2019. Adsorption of Hyperbranched Arabinogalactan-Proteins from Plant Exudate at the Solid–Liquid Interface. Colloids and Interfaces 3, 49.</w:t>
      </w:r>
    </w:p>
    <w:p w14:paraId="0269AB16" w14:textId="77777777" w:rsidR="006E08AF" w:rsidRPr="003334F7" w:rsidRDefault="006E08AF" w:rsidP="006E08AF">
      <w:pPr>
        <w:pStyle w:val="Bibliografija"/>
        <w:rPr>
          <w:rFonts w:cs="Arial"/>
          <w:sz w:val="17"/>
          <w:szCs w:val="17"/>
        </w:rPr>
      </w:pPr>
      <w:proofErr w:type="spellStart"/>
      <w:r w:rsidRPr="003334F7">
        <w:rPr>
          <w:rFonts w:cs="Arial"/>
          <w:sz w:val="17"/>
          <w:szCs w:val="17"/>
        </w:rPr>
        <w:t>Enfrin</w:t>
      </w:r>
      <w:proofErr w:type="spellEnd"/>
      <w:r w:rsidRPr="003334F7">
        <w:rPr>
          <w:rFonts w:cs="Arial"/>
          <w:sz w:val="17"/>
          <w:szCs w:val="17"/>
        </w:rPr>
        <w:t xml:space="preserve">, M., Lee, J., </w:t>
      </w:r>
      <w:proofErr w:type="spellStart"/>
      <w:r w:rsidRPr="003334F7">
        <w:rPr>
          <w:rFonts w:cs="Arial"/>
          <w:sz w:val="17"/>
          <w:szCs w:val="17"/>
        </w:rPr>
        <w:t>Gibert</w:t>
      </w:r>
      <w:proofErr w:type="spellEnd"/>
      <w:r w:rsidRPr="003334F7">
        <w:rPr>
          <w:rFonts w:cs="Arial"/>
          <w:sz w:val="17"/>
          <w:szCs w:val="17"/>
        </w:rPr>
        <w:t xml:space="preserve">, Y., Basheer, F., Kong, L., </w:t>
      </w:r>
      <w:proofErr w:type="spellStart"/>
      <w:r w:rsidRPr="003334F7">
        <w:rPr>
          <w:rFonts w:cs="Arial"/>
          <w:sz w:val="17"/>
          <w:szCs w:val="17"/>
        </w:rPr>
        <w:t>Dumée</w:t>
      </w:r>
      <w:proofErr w:type="spellEnd"/>
      <w:r w:rsidRPr="003334F7">
        <w:rPr>
          <w:rFonts w:cs="Arial"/>
          <w:sz w:val="17"/>
          <w:szCs w:val="17"/>
        </w:rPr>
        <w:t xml:space="preserve">, L.F., 2020. Release of hazardous </w:t>
      </w:r>
      <w:proofErr w:type="spellStart"/>
      <w:r w:rsidRPr="003334F7">
        <w:rPr>
          <w:rFonts w:cs="Arial"/>
          <w:sz w:val="17"/>
          <w:szCs w:val="17"/>
        </w:rPr>
        <w:t>nanoplastic</w:t>
      </w:r>
      <w:proofErr w:type="spellEnd"/>
      <w:r w:rsidRPr="003334F7">
        <w:rPr>
          <w:rFonts w:cs="Arial"/>
          <w:sz w:val="17"/>
          <w:szCs w:val="17"/>
        </w:rPr>
        <w:t xml:space="preserve"> contaminants due to microplastics fragmentation under shear stress forces. Journal of Hazardous Materials 384, 121393.</w:t>
      </w:r>
    </w:p>
    <w:p w14:paraId="2AD528F6" w14:textId="77777777" w:rsidR="006E08AF" w:rsidRPr="003334F7" w:rsidRDefault="006E08AF" w:rsidP="006E08AF">
      <w:pPr>
        <w:pStyle w:val="Bibliografija"/>
        <w:rPr>
          <w:rFonts w:cs="Arial"/>
          <w:sz w:val="17"/>
          <w:szCs w:val="17"/>
        </w:rPr>
      </w:pPr>
      <w:proofErr w:type="spellStart"/>
      <w:r w:rsidRPr="003334F7">
        <w:rPr>
          <w:rFonts w:cs="Arial"/>
          <w:sz w:val="17"/>
          <w:szCs w:val="17"/>
        </w:rPr>
        <w:t>Foroutan</w:t>
      </w:r>
      <w:proofErr w:type="spellEnd"/>
      <w:r w:rsidRPr="003334F7">
        <w:rPr>
          <w:rFonts w:cs="Arial"/>
          <w:sz w:val="17"/>
          <w:szCs w:val="17"/>
        </w:rPr>
        <w:t xml:space="preserve">, R., Mohammadi, R., Ahmadi, A., </w:t>
      </w:r>
      <w:proofErr w:type="spellStart"/>
      <w:r w:rsidRPr="003334F7">
        <w:rPr>
          <w:rFonts w:cs="Arial"/>
          <w:sz w:val="17"/>
          <w:szCs w:val="17"/>
        </w:rPr>
        <w:t>Bikhabar</w:t>
      </w:r>
      <w:proofErr w:type="spellEnd"/>
      <w:r w:rsidRPr="003334F7">
        <w:rPr>
          <w:rFonts w:cs="Arial"/>
          <w:sz w:val="17"/>
          <w:szCs w:val="17"/>
        </w:rPr>
        <w:t xml:space="preserve">, G., </w:t>
      </w:r>
      <w:proofErr w:type="spellStart"/>
      <w:r w:rsidRPr="003334F7">
        <w:rPr>
          <w:rFonts w:cs="Arial"/>
          <w:sz w:val="17"/>
          <w:szCs w:val="17"/>
        </w:rPr>
        <w:t>Babaei</w:t>
      </w:r>
      <w:proofErr w:type="spellEnd"/>
      <w:r w:rsidRPr="003334F7">
        <w:rPr>
          <w:rFonts w:cs="Arial"/>
          <w:sz w:val="17"/>
          <w:szCs w:val="17"/>
        </w:rPr>
        <w:t xml:space="preserve">, F., </w:t>
      </w:r>
      <w:proofErr w:type="spellStart"/>
      <w:r w:rsidRPr="003334F7">
        <w:rPr>
          <w:rFonts w:cs="Arial"/>
          <w:sz w:val="17"/>
          <w:szCs w:val="17"/>
        </w:rPr>
        <w:t>Ramavandi</w:t>
      </w:r>
      <w:proofErr w:type="spellEnd"/>
      <w:r w:rsidRPr="003334F7">
        <w:rPr>
          <w:rFonts w:cs="Arial"/>
          <w:sz w:val="17"/>
          <w:szCs w:val="17"/>
        </w:rPr>
        <w:t xml:space="preserve">, B., 2022. Impact of </w:t>
      </w:r>
      <w:proofErr w:type="spellStart"/>
      <w:r w:rsidRPr="003334F7">
        <w:rPr>
          <w:rFonts w:cs="Arial"/>
          <w:sz w:val="17"/>
          <w:szCs w:val="17"/>
        </w:rPr>
        <w:t>ZnO</w:t>
      </w:r>
      <w:proofErr w:type="spellEnd"/>
      <w:r w:rsidRPr="003334F7">
        <w:rPr>
          <w:rFonts w:cs="Arial"/>
          <w:sz w:val="17"/>
          <w:szCs w:val="17"/>
        </w:rPr>
        <w:t xml:space="preserve"> and Fe3O4 magnetic nanoscale on the methyl violet 2B removal efficiency of the activated carbon oak wood. Chemosphere 286, 131632.</w:t>
      </w:r>
    </w:p>
    <w:p w14:paraId="4E912129" w14:textId="77777777" w:rsidR="006E08AF" w:rsidRPr="003334F7" w:rsidRDefault="006E08AF" w:rsidP="006E08AF">
      <w:pPr>
        <w:pStyle w:val="Bibliografija"/>
        <w:rPr>
          <w:rFonts w:cs="Arial"/>
          <w:sz w:val="17"/>
          <w:szCs w:val="17"/>
        </w:rPr>
      </w:pPr>
      <w:proofErr w:type="spellStart"/>
      <w:r w:rsidRPr="003334F7">
        <w:rPr>
          <w:rFonts w:cs="Arial"/>
          <w:sz w:val="17"/>
          <w:szCs w:val="17"/>
        </w:rPr>
        <w:t>Foroutan</w:t>
      </w:r>
      <w:proofErr w:type="spellEnd"/>
      <w:r w:rsidRPr="003334F7">
        <w:rPr>
          <w:rFonts w:cs="Arial"/>
          <w:sz w:val="17"/>
          <w:szCs w:val="17"/>
        </w:rPr>
        <w:t xml:space="preserve">, R., </w:t>
      </w:r>
      <w:proofErr w:type="spellStart"/>
      <w:r w:rsidRPr="003334F7">
        <w:rPr>
          <w:rFonts w:cs="Arial"/>
          <w:sz w:val="17"/>
          <w:szCs w:val="17"/>
        </w:rPr>
        <w:t>Peighambardoust</w:t>
      </w:r>
      <w:proofErr w:type="spellEnd"/>
      <w:r w:rsidRPr="003334F7">
        <w:rPr>
          <w:rFonts w:cs="Arial"/>
          <w:sz w:val="17"/>
          <w:szCs w:val="17"/>
        </w:rPr>
        <w:t xml:space="preserve">, S.J., </w:t>
      </w:r>
      <w:proofErr w:type="spellStart"/>
      <w:r w:rsidRPr="003334F7">
        <w:rPr>
          <w:rFonts w:cs="Arial"/>
          <w:sz w:val="17"/>
          <w:szCs w:val="17"/>
        </w:rPr>
        <w:t>Esvandi</w:t>
      </w:r>
      <w:proofErr w:type="spellEnd"/>
      <w:r w:rsidRPr="003334F7">
        <w:rPr>
          <w:rFonts w:cs="Arial"/>
          <w:sz w:val="17"/>
          <w:szCs w:val="17"/>
        </w:rPr>
        <w:t xml:space="preserve">, Z., </w:t>
      </w:r>
      <w:proofErr w:type="spellStart"/>
      <w:r w:rsidRPr="003334F7">
        <w:rPr>
          <w:rFonts w:cs="Arial"/>
          <w:sz w:val="17"/>
          <w:szCs w:val="17"/>
        </w:rPr>
        <w:t>Khatooni</w:t>
      </w:r>
      <w:proofErr w:type="spellEnd"/>
      <w:r w:rsidRPr="003334F7">
        <w:rPr>
          <w:rFonts w:cs="Arial"/>
          <w:sz w:val="17"/>
          <w:szCs w:val="17"/>
        </w:rPr>
        <w:t xml:space="preserve">, H., </w:t>
      </w:r>
      <w:proofErr w:type="spellStart"/>
      <w:r w:rsidRPr="003334F7">
        <w:rPr>
          <w:rFonts w:cs="Arial"/>
          <w:sz w:val="17"/>
          <w:szCs w:val="17"/>
        </w:rPr>
        <w:t>Ramavandi</w:t>
      </w:r>
      <w:proofErr w:type="spellEnd"/>
      <w:r w:rsidRPr="003334F7">
        <w:rPr>
          <w:rFonts w:cs="Arial"/>
          <w:sz w:val="17"/>
          <w:szCs w:val="17"/>
        </w:rPr>
        <w:t>, B., 2021. Evaluation of two cationic dyes removal from aqueous environments using CNT/MgO/CuFe2O4 magnetic composite powder: A comparative study. Journal of Environmental Chemical Engineering 9, 104752.</w:t>
      </w:r>
    </w:p>
    <w:p w14:paraId="30B210CA" w14:textId="77777777" w:rsidR="006E08AF" w:rsidRPr="003334F7" w:rsidRDefault="006E08AF" w:rsidP="006E08AF">
      <w:pPr>
        <w:pStyle w:val="Bibliografija"/>
        <w:rPr>
          <w:rFonts w:cs="Arial"/>
          <w:sz w:val="17"/>
          <w:szCs w:val="17"/>
        </w:rPr>
      </w:pPr>
      <w:r w:rsidRPr="003334F7">
        <w:rPr>
          <w:rFonts w:cs="Arial"/>
          <w:sz w:val="17"/>
          <w:szCs w:val="17"/>
        </w:rPr>
        <w:t>Kim, E.-J., Lee, C.-S., Chang, Y.-Y., Chang, Y.-S., 2013. Hierarchically structured manganese oxide-coated magnetic nanocomposites for the efficient removal of heavy metal ions from aqueous systems. ACS Applied Materials and Interfaces 5, 9628–9634.</w:t>
      </w:r>
    </w:p>
    <w:p w14:paraId="3A3AE8A1" w14:textId="77777777" w:rsidR="006E08AF" w:rsidRPr="003334F7" w:rsidRDefault="006E08AF" w:rsidP="006E08AF">
      <w:pPr>
        <w:pStyle w:val="Bibliografija"/>
        <w:rPr>
          <w:rFonts w:cs="Arial"/>
          <w:sz w:val="17"/>
          <w:szCs w:val="17"/>
        </w:rPr>
      </w:pPr>
      <w:r w:rsidRPr="003334F7">
        <w:rPr>
          <w:rFonts w:cs="Arial"/>
          <w:sz w:val="17"/>
          <w:szCs w:val="17"/>
        </w:rPr>
        <w:t xml:space="preserve">Kumar, V., Dwivedi, S.K., 2021. A review on accessible techniques for removal of hexavalent Chromium and divalent Nickel from industrial wastewater: Recent research and </w:t>
      </w:r>
      <w:proofErr w:type="gramStart"/>
      <w:r w:rsidRPr="003334F7">
        <w:rPr>
          <w:rFonts w:cs="Arial"/>
          <w:sz w:val="17"/>
          <w:szCs w:val="17"/>
        </w:rPr>
        <w:t>future outlook</w:t>
      </w:r>
      <w:proofErr w:type="gramEnd"/>
      <w:r w:rsidRPr="003334F7">
        <w:rPr>
          <w:rFonts w:cs="Arial"/>
          <w:sz w:val="17"/>
          <w:szCs w:val="17"/>
        </w:rPr>
        <w:t>. Journal of Cleaner Production 295, 126229.</w:t>
      </w:r>
    </w:p>
    <w:p w14:paraId="00FB3AC4" w14:textId="77777777" w:rsidR="006E08AF" w:rsidRPr="003334F7" w:rsidRDefault="006E08AF" w:rsidP="006E08AF">
      <w:pPr>
        <w:pStyle w:val="Bibliografija"/>
        <w:rPr>
          <w:rFonts w:cs="Arial"/>
          <w:sz w:val="17"/>
          <w:szCs w:val="17"/>
        </w:rPr>
      </w:pPr>
      <w:r w:rsidRPr="003334F7">
        <w:rPr>
          <w:rFonts w:cs="Arial"/>
          <w:sz w:val="17"/>
          <w:szCs w:val="17"/>
        </w:rPr>
        <w:t>Liu, W., Yu, Y., 2021. Removal of recalcitrant trivalent chromium complexes from industrial wastewater under strict discharge standards. Environmental Technology &amp; Innovation 23, 101644.</w:t>
      </w:r>
    </w:p>
    <w:p w14:paraId="410A0F40" w14:textId="77777777" w:rsidR="006E08AF" w:rsidRPr="003334F7" w:rsidRDefault="006E08AF" w:rsidP="006E08AF">
      <w:pPr>
        <w:pStyle w:val="Bibliografija"/>
        <w:rPr>
          <w:rFonts w:cs="Arial"/>
          <w:sz w:val="17"/>
          <w:szCs w:val="17"/>
        </w:rPr>
      </w:pPr>
      <w:r w:rsidRPr="003334F7">
        <w:rPr>
          <w:rFonts w:cs="Arial"/>
          <w:sz w:val="17"/>
          <w:szCs w:val="17"/>
        </w:rPr>
        <w:t xml:space="preserve">Singh, S., Anil, A.G., </w:t>
      </w:r>
      <w:proofErr w:type="spellStart"/>
      <w:r w:rsidRPr="003334F7">
        <w:rPr>
          <w:rFonts w:cs="Arial"/>
          <w:sz w:val="17"/>
          <w:szCs w:val="17"/>
        </w:rPr>
        <w:t>Khasnabis</w:t>
      </w:r>
      <w:proofErr w:type="spellEnd"/>
      <w:r w:rsidRPr="003334F7">
        <w:rPr>
          <w:rFonts w:cs="Arial"/>
          <w:sz w:val="17"/>
          <w:szCs w:val="17"/>
        </w:rPr>
        <w:t xml:space="preserve">, S., Kumar, Vijay, Nath, B., </w:t>
      </w:r>
      <w:proofErr w:type="spellStart"/>
      <w:r w:rsidRPr="003334F7">
        <w:rPr>
          <w:rFonts w:cs="Arial"/>
          <w:sz w:val="17"/>
          <w:szCs w:val="17"/>
        </w:rPr>
        <w:t>Adiga</w:t>
      </w:r>
      <w:proofErr w:type="spellEnd"/>
      <w:r w:rsidRPr="003334F7">
        <w:rPr>
          <w:rFonts w:cs="Arial"/>
          <w:sz w:val="17"/>
          <w:szCs w:val="17"/>
        </w:rPr>
        <w:t xml:space="preserve">, V., Kumar Naik, T.S.S., Subramanian, S., Kumar, Vineet, Singh, J., Ramamurthy, P.C., 2022. Sustainable removal of </w:t>
      </w:r>
      <w:proofErr w:type="gramStart"/>
      <w:r w:rsidRPr="003334F7">
        <w:rPr>
          <w:rFonts w:cs="Arial"/>
          <w:sz w:val="17"/>
          <w:szCs w:val="17"/>
        </w:rPr>
        <w:t>Cr(</w:t>
      </w:r>
      <w:proofErr w:type="gramEnd"/>
      <w:r w:rsidRPr="003334F7">
        <w:rPr>
          <w:rFonts w:cs="Arial"/>
          <w:sz w:val="17"/>
          <w:szCs w:val="17"/>
        </w:rPr>
        <w:t>VI) using graphene oxide-zinc oxide nanohybrid: Adsorption kinetics, isotherms and thermodynamics. Environmental Research 203, 111891.</w:t>
      </w:r>
    </w:p>
    <w:p w14:paraId="39F7DDDF" w14:textId="77777777" w:rsidR="006E08AF" w:rsidRPr="003334F7" w:rsidRDefault="006E08AF" w:rsidP="006E08AF">
      <w:pPr>
        <w:pStyle w:val="Bibliografija"/>
        <w:rPr>
          <w:rFonts w:cs="Arial"/>
          <w:sz w:val="17"/>
          <w:szCs w:val="17"/>
        </w:rPr>
      </w:pPr>
      <w:r w:rsidRPr="003334F7">
        <w:rPr>
          <w:rFonts w:cs="Arial"/>
          <w:sz w:val="17"/>
          <w:szCs w:val="17"/>
        </w:rPr>
        <w:t xml:space="preserve">Singh, S., Naik, T.S.S.K., </w:t>
      </w:r>
      <w:proofErr w:type="spellStart"/>
      <w:r w:rsidRPr="003334F7">
        <w:rPr>
          <w:rFonts w:cs="Arial"/>
          <w:sz w:val="17"/>
          <w:szCs w:val="17"/>
        </w:rPr>
        <w:t>Thamaraiselvan</w:t>
      </w:r>
      <w:proofErr w:type="spellEnd"/>
      <w:r w:rsidRPr="003334F7">
        <w:rPr>
          <w:rFonts w:cs="Arial"/>
          <w:sz w:val="17"/>
          <w:szCs w:val="17"/>
        </w:rPr>
        <w:t xml:space="preserve">, C., Behera, S.K., N, Pavithra., Nath, B., Dwivedi, P., Singh, J., Ramamurthy, P.C., 2023. Applicability of new sustainable and efficient green metal-based nanoparticles for removal of </w:t>
      </w:r>
      <w:proofErr w:type="gramStart"/>
      <w:r w:rsidRPr="003334F7">
        <w:rPr>
          <w:rFonts w:cs="Arial"/>
          <w:sz w:val="17"/>
          <w:szCs w:val="17"/>
        </w:rPr>
        <w:t>Cr(</w:t>
      </w:r>
      <w:proofErr w:type="gramEnd"/>
      <w:r w:rsidRPr="003334F7">
        <w:rPr>
          <w:rFonts w:cs="Arial"/>
          <w:sz w:val="17"/>
          <w:szCs w:val="17"/>
        </w:rPr>
        <w:t>VI): Adsorption anti-microbial, and DFT studies. Environmental Pollution 320, 121105.</w:t>
      </w:r>
    </w:p>
    <w:p w14:paraId="75078E39" w14:textId="77777777" w:rsidR="006E08AF" w:rsidRPr="003334F7" w:rsidRDefault="006E08AF" w:rsidP="006E08AF">
      <w:pPr>
        <w:pStyle w:val="Bibliografija"/>
        <w:rPr>
          <w:rFonts w:cs="Arial"/>
          <w:sz w:val="17"/>
          <w:szCs w:val="17"/>
        </w:rPr>
      </w:pPr>
      <w:r w:rsidRPr="003334F7">
        <w:rPr>
          <w:rFonts w:cs="Arial"/>
          <w:sz w:val="17"/>
          <w:szCs w:val="17"/>
        </w:rPr>
        <w:t xml:space="preserve">van </w:t>
      </w:r>
      <w:proofErr w:type="spellStart"/>
      <w:r w:rsidRPr="003334F7">
        <w:rPr>
          <w:rFonts w:cs="Arial"/>
          <w:sz w:val="17"/>
          <w:szCs w:val="17"/>
        </w:rPr>
        <w:t>Loosdrecht</w:t>
      </w:r>
      <w:proofErr w:type="spellEnd"/>
      <w:r w:rsidRPr="003334F7">
        <w:rPr>
          <w:rFonts w:cs="Arial"/>
          <w:sz w:val="17"/>
          <w:szCs w:val="17"/>
        </w:rPr>
        <w:t xml:space="preserve">, M.C.M., </w:t>
      </w:r>
      <w:proofErr w:type="spellStart"/>
      <w:r w:rsidRPr="003334F7">
        <w:rPr>
          <w:rFonts w:cs="Arial"/>
          <w:sz w:val="17"/>
          <w:szCs w:val="17"/>
        </w:rPr>
        <w:t>Brdjanovic</w:t>
      </w:r>
      <w:proofErr w:type="spellEnd"/>
      <w:r w:rsidRPr="003334F7">
        <w:rPr>
          <w:rFonts w:cs="Arial"/>
          <w:sz w:val="17"/>
          <w:szCs w:val="17"/>
        </w:rPr>
        <w:t>, D., 2014. Anticipating the next century of wastewater treatment. Science 344, 1452–1453.</w:t>
      </w:r>
    </w:p>
    <w:p w14:paraId="3DE81539" w14:textId="77777777" w:rsidR="006E08AF" w:rsidRPr="003334F7" w:rsidRDefault="006E08AF" w:rsidP="006E08AF">
      <w:pPr>
        <w:pStyle w:val="Bibliografija"/>
        <w:rPr>
          <w:rFonts w:cs="Arial"/>
          <w:sz w:val="17"/>
          <w:szCs w:val="17"/>
        </w:rPr>
      </w:pPr>
      <w:r w:rsidRPr="003334F7">
        <w:rPr>
          <w:rFonts w:cs="Arial"/>
          <w:sz w:val="17"/>
          <w:szCs w:val="17"/>
        </w:rPr>
        <w:t xml:space="preserve">Wu, J., </w:t>
      </w:r>
      <w:proofErr w:type="spellStart"/>
      <w:r w:rsidRPr="003334F7">
        <w:rPr>
          <w:rFonts w:cs="Arial"/>
          <w:sz w:val="17"/>
          <w:szCs w:val="17"/>
        </w:rPr>
        <w:t>Annath</w:t>
      </w:r>
      <w:proofErr w:type="spellEnd"/>
      <w:r w:rsidRPr="003334F7">
        <w:rPr>
          <w:rFonts w:cs="Arial"/>
          <w:sz w:val="17"/>
          <w:szCs w:val="17"/>
        </w:rPr>
        <w:t xml:space="preserve">, H., Chen, H., </w:t>
      </w:r>
      <w:proofErr w:type="spellStart"/>
      <w:r w:rsidRPr="003334F7">
        <w:rPr>
          <w:rFonts w:cs="Arial"/>
          <w:sz w:val="17"/>
          <w:szCs w:val="17"/>
        </w:rPr>
        <w:t>Mangwandi</w:t>
      </w:r>
      <w:proofErr w:type="spellEnd"/>
      <w:r w:rsidRPr="003334F7">
        <w:rPr>
          <w:rFonts w:cs="Arial"/>
          <w:sz w:val="17"/>
          <w:szCs w:val="17"/>
        </w:rPr>
        <w:t xml:space="preserve">, C., 2022. Upcycling tea waste particles into magnetic adsorbent materials for removal of </w:t>
      </w:r>
      <w:proofErr w:type="gramStart"/>
      <w:r w:rsidRPr="003334F7">
        <w:rPr>
          <w:rFonts w:cs="Arial"/>
          <w:sz w:val="17"/>
          <w:szCs w:val="17"/>
        </w:rPr>
        <w:t>Cr(</w:t>
      </w:r>
      <w:proofErr w:type="gramEnd"/>
      <w:r w:rsidRPr="003334F7">
        <w:rPr>
          <w:rFonts w:cs="Arial"/>
          <w:sz w:val="17"/>
          <w:szCs w:val="17"/>
        </w:rPr>
        <w:t xml:space="preserve">VI) from aqueous solutions. </w:t>
      </w:r>
      <w:proofErr w:type="spellStart"/>
      <w:r w:rsidRPr="003334F7">
        <w:rPr>
          <w:rFonts w:cs="Arial"/>
          <w:sz w:val="17"/>
          <w:szCs w:val="17"/>
        </w:rPr>
        <w:t>Particuology</w:t>
      </w:r>
      <w:proofErr w:type="spellEnd"/>
      <w:r w:rsidRPr="003334F7">
        <w:rPr>
          <w:rFonts w:cs="Arial"/>
          <w:sz w:val="17"/>
          <w:szCs w:val="17"/>
        </w:rPr>
        <w:t xml:space="preserve">. </w:t>
      </w:r>
      <w:proofErr w:type="gramStart"/>
      <w:r w:rsidRPr="003334F7">
        <w:rPr>
          <w:rFonts w:cs="Arial"/>
          <w:sz w:val="17"/>
          <w:szCs w:val="17"/>
        </w:rPr>
        <w:t>doi:10.1016/j.partic</w:t>
      </w:r>
      <w:proofErr w:type="gramEnd"/>
      <w:r w:rsidRPr="003334F7">
        <w:rPr>
          <w:rFonts w:cs="Arial"/>
          <w:sz w:val="17"/>
          <w:szCs w:val="17"/>
        </w:rPr>
        <w:t>.2022.11.017</w:t>
      </w:r>
    </w:p>
    <w:p w14:paraId="0B82F092" w14:textId="77777777" w:rsidR="006E08AF" w:rsidRPr="003334F7" w:rsidRDefault="006E08AF" w:rsidP="006E08AF">
      <w:pPr>
        <w:pStyle w:val="Bibliografija"/>
        <w:rPr>
          <w:rFonts w:cs="Arial"/>
          <w:sz w:val="17"/>
          <w:szCs w:val="17"/>
        </w:rPr>
      </w:pPr>
      <w:r w:rsidRPr="003334F7">
        <w:rPr>
          <w:rFonts w:cs="Arial"/>
          <w:sz w:val="17"/>
          <w:szCs w:val="17"/>
        </w:rPr>
        <w:t xml:space="preserve">Yao, L., Hu, Y., Zou, Y., Ji, Z., Hu, S., Wang, C., Zhang, P., Yang, H., Shen, Z., Tang, D., Zhang, S., Zhao, G., Wang, X., 2022. Selective and Efficient </w:t>
      </w:r>
      <w:proofErr w:type="spellStart"/>
      <w:r w:rsidRPr="003334F7">
        <w:rPr>
          <w:rFonts w:cs="Arial"/>
          <w:sz w:val="17"/>
          <w:szCs w:val="17"/>
        </w:rPr>
        <w:t>Photoextraction</w:t>
      </w:r>
      <w:proofErr w:type="spellEnd"/>
      <w:r w:rsidRPr="003334F7">
        <w:rPr>
          <w:rFonts w:cs="Arial"/>
          <w:sz w:val="17"/>
          <w:szCs w:val="17"/>
        </w:rPr>
        <w:t xml:space="preserve"> of Aqueous </w:t>
      </w:r>
      <w:proofErr w:type="gramStart"/>
      <w:r w:rsidRPr="003334F7">
        <w:rPr>
          <w:rFonts w:cs="Arial"/>
          <w:sz w:val="17"/>
          <w:szCs w:val="17"/>
        </w:rPr>
        <w:t>Cr(</w:t>
      </w:r>
      <w:proofErr w:type="gramEnd"/>
      <w:r w:rsidRPr="003334F7">
        <w:rPr>
          <w:rFonts w:cs="Arial"/>
          <w:sz w:val="17"/>
          <w:szCs w:val="17"/>
        </w:rPr>
        <w:t>VI) as a Solid-State Polyhydroxy Cr(V) Complex for Environmental Remediation and Resource Recovery. Environmental Science &amp; Technology 56, 14030–14037.</w:t>
      </w:r>
    </w:p>
    <w:p w14:paraId="3953C1BE" w14:textId="77777777" w:rsidR="006E08AF" w:rsidRPr="003334F7" w:rsidRDefault="006E08AF" w:rsidP="006E08AF">
      <w:pPr>
        <w:pStyle w:val="Bibliografija"/>
        <w:rPr>
          <w:rFonts w:cs="Arial"/>
          <w:sz w:val="17"/>
          <w:szCs w:val="17"/>
        </w:rPr>
      </w:pPr>
      <w:r w:rsidRPr="003334F7">
        <w:rPr>
          <w:rFonts w:cs="Arial"/>
          <w:sz w:val="17"/>
          <w:szCs w:val="17"/>
        </w:rPr>
        <w:t xml:space="preserve">Zhao, X., Liang, H., Wang, Z., Li, D., Shen, X., Xu, X., Li, K., Xiang, Q., Wu, Y., Chen, Q., 2023. Preparation of N-doped cellulose-based hydrothermal carbon using a two-step hydrothermal induction assembly method for the efficient removal of </w:t>
      </w:r>
      <w:proofErr w:type="gramStart"/>
      <w:r w:rsidRPr="003334F7">
        <w:rPr>
          <w:rFonts w:cs="Arial"/>
          <w:sz w:val="17"/>
          <w:szCs w:val="17"/>
        </w:rPr>
        <w:t>Cr(</w:t>
      </w:r>
      <w:proofErr w:type="gramEnd"/>
      <w:r w:rsidRPr="003334F7">
        <w:rPr>
          <w:rFonts w:cs="Arial"/>
          <w:sz w:val="17"/>
          <w:szCs w:val="17"/>
        </w:rPr>
        <w:t>VI) from wastewater. Environmental Research 219, 115015.</w:t>
      </w:r>
    </w:p>
    <w:p w14:paraId="761DFDD1" w14:textId="151B9AAE" w:rsidR="00FE2A70" w:rsidRPr="00B57B36" w:rsidRDefault="006361DC" w:rsidP="00D265F7">
      <w:pPr>
        <w:pStyle w:val="CETReferencetext"/>
        <w:ind w:left="0" w:firstLine="0"/>
      </w:pPr>
      <w:r w:rsidRPr="003334F7">
        <w:rPr>
          <w:sz w:val="17"/>
          <w:szCs w:val="17"/>
        </w:rPr>
        <w:fldChar w:fldCharType="end"/>
      </w:r>
    </w:p>
    <w:sectPr w:rsidR="00FE2A70" w:rsidRPr="00B57B3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AB29E" w14:textId="77777777" w:rsidR="003F2D0E" w:rsidRDefault="003F2D0E" w:rsidP="004F5E36">
      <w:r>
        <w:separator/>
      </w:r>
    </w:p>
  </w:endnote>
  <w:endnote w:type="continuationSeparator" w:id="0">
    <w:p w14:paraId="781EF8AF" w14:textId="77777777" w:rsidR="003F2D0E" w:rsidRDefault="003F2D0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9585" w14:textId="77777777" w:rsidR="003F2D0E" w:rsidRDefault="003F2D0E" w:rsidP="004F5E36">
      <w:r>
        <w:separator/>
      </w:r>
    </w:p>
  </w:footnote>
  <w:footnote w:type="continuationSeparator" w:id="0">
    <w:p w14:paraId="420D4257" w14:textId="77777777" w:rsidR="003F2D0E" w:rsidRDefault="003F2D0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C61497C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eprost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1234659945">
    <w:abstractNumId w:val="10"/>
    <w:lvlOverride w:ilvl="0">
      <w:startOverride w:val="1"/>
    </w:lvlOverride>
    <w:lvlOverride w:ilvl="1">
      <w:startOverride w:val="2"/>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6EEF"/>
    <w:rsid w:val="00051566"/>
    <w:rsid w:val="000562A9"/>
    <w:rsid w:val="00057295"/>
    <w:rsid w:val="00062A9A"/>
    <w:rsid w:val="00065058"/>
    <w:rsid w:val="00072F85"/>
    <w:rsid w:val="00080828"/>
    <w:rsid w:val="00086C39"/>
    <w:rsid w:val="000956EF"/>
    <w:rsid w:val="000A03B2"/>
    <w:rsid w:val="000A166F"/>
    <w:rsid w:val="000A783F"/>
    <w:rsid w:val="000D0268"/>
    <w:rsid w:val="000D3066"/>
    <w:rsid w:val="000D34BE"/>
    <w:rsid w:val="000E102F"/>
    <w:rsid w:val="000E319D"/>
    <w:rsid w:val="000E36F1"/>
    <w:rsid w:val="000E3A73"/>
    <w:rsid w:val="000E414A"/>
    <w:rsid w:val="000F093C"/>
    <w:rsid w:val="000F787B"/>
    <w:rsid w:val="0012091F"/>
    <w:rsid w:val="00126BC2"/>
    <w:rsid w:val="0013083C"/>
    <w:rsid w:val="001308B6"/>
    <w:rsid w:val="0013121F"/>
    <w:rsid w:val="00131FE6"/>
    <w:rsid w:val="0013263F"/>
    <w:rsid w:val="001331DF"/>
    <w:rsid w:val="00134DE4"/>
    <w:rsid w:val="0014034D"/>
    <w:rsid w:val="00144D16"/>
    <w:rsid w:val="00150E59"/>
    <w:rsid w:val="00152DE3"/>
    <w:rsid w:val="00164CF9"/>
    <w:rsid w:val="00165239"/>
    <w:rsid w:val="001667A6"/>
    <w:rsid w:val="001677C0"/>
    <w:rsid w:val="00184AD6"/>
    <w:rsid w:val="001A4AF7"/>
    <w:rsid w:val="001B0349"/>
    <w:rsid w:val="001B1E93"/>
    <w:rsid w:val="001B4127"/>
    <w:rsid w:val="001B65C1"/>
    <w:rsid w:val="001C684B"/>
    <w:rsid w:val="001D0CFB"/>
    <w:rsid w:val="001D21AF"/>
    <w:rsid w:val="001D4182"/>
    <w:rsid w:val="001D53FC"/>
    <w:rsid w:val="001F42A5"/>
    <w:rsid w:val="001F7B9D"/>
    <w:rsid w:val="0020120A"/>
    <w:rsid w:val="00201C93"/>
    <w:rsid w:val="00210051"/>
    <w:rsid w:val="002224B4"/>
    <w:rsid w:val="002447EF"/>
    <w:rsid w:val="00246FA7"/>
    <w:rsid w:val="00251550"/>
    <w:rsid w:val="00263B05"/>
    <w:rsid w:val="002702F5"/>
    <w:rsid w:val="0027221A"/>
    <w:rsid w:val="00275B61"/>
    <w:rsid w:val="00276294"/>
    <w:rsid w:val="00280FAF"/>
    <w:rsid w:val="00282656"/>
    <w:rsid w:val="0028574C"/>
    <w:rsid w:val="002872AF"/>
    <w:rsid w:val="00296B83"/>
    <w:rsid w:val="002A07F1"/>
    <w:rsid w:val="002A30B9"/>
    <w:rsid w:val="002B4015"/>
    <w:rsid w:val="002B78CE"/>
    <w:rsid w:val="002C2FB6"/>
    <w:rsid w:val="002E2B46"/>
    <w:rsid w:val="002E4798"/>
    <w:rsid w:val="002E5FA7"/>
    <w:rsid w:val="002F3309"/>
    <w:rsid w:val="003008CE"/>
    <w:rsid w:val="003009B7"/>
    <w:rsid w:val="00300E56"/>
    <w:rsid w:val="0030152C"/>
    <w:rsid w:val="0030469C"/>
    <w:rsid w:val="00320EFA"/>
    <w:rsid w:val="00321CA6"/>
    <w:rsid w:val="00323763"/>
    <w:rsid w:val="00323C5F"/>
    <w:rsid w:val="003274D5"/>
    <w:rsid w:val="003334F7"/>
    <w:rsid w:val="00334C09"/>
    <w:rsid w:val="00345D88"/>
    <w:rsid w:val="00353EC4"/>
    <w:rsid w:val="003723D4"/>
    <w:rsid w:val="003774A4"/>
    <w:rsid w:val="003813C6"/>
    <w:rsid w:val="00381905"/>
    <w:rsid w:val="00384CC8"/>
    <w:rsid w:val="003871FD"/>
    <w:rsid w:val="00390EB9"/>
    <w:rsid w:val="00391351"/>
    <w:rsid w:val="003A1E30"/>
    <w:rsid w:val="003A2829"/>
    <w:rsid w:val="003A7D1C"/>
    <w:rsid w:val="003B304B"/>
    <w:rsid w:val="003B3146"/>
    <w:rsid w:val="003E403F"/>
    <w:rsid w:val="003F015E"/>
    <w:rsid w:val="003F2D0E"/>
    <w:rsid w:val="00400414"/>
    <w:rsid w:val="004143A3"/>
    <w:rsid w:val="0041446B"/>
    <w:rsid w:val="0044071E"/>
    <w:rsid w:val="00440EB8"/>
    <w:rsid w:val="0044329C"/>
    <w:rsid w:val="00453E24"/>
    <w:rsid w:val="00457456"/>
    <w:rsid w:val="004577FE"/>
    <w:rsid w:val="00457B9C"/>
    <w:rsid w:val="0046164A"/>
    <w:rsid w:val="004628D2"/>
    <w:rsid w:val="00462DCD"/>
    <w:rsid w:val="004648AD"/>
    <w:rsid w:val="004703A9"/>
    <w:rsid w:val="00472889"/>
    <w:rsid w:val="004760DE"/>
    <w:rsid w:val="004763D7"/>
    <w:rsid w:val="004A004E"/>
    <w:rsid w:val="004A24CF"/>
    <w:rsid w:val="004B4D54"/>
    <w:rsid w:val="004C3D1D"/>
    <w:rsid w:val="004C3D84"/>
    <w:rsid w:val="004C7913"/>
    <w:rsid w:val="004E0AD7"/>
    <w:rsid w:val="004E4DD6"/>
    <w:rsid w:val="004F5E36"/>
    <w:rsid w:val="00507B47"/>
    <w:rsid w:val="00507BEF"/>
    <w:rsid w:val="00507CC9"/>
    <w:rsid w:val="005119A5"/>
    <w:rsid w:val="005278B7"/>
    <w:rsid w:val="00532016"/>
    <w:rsid w:val="005346C8"/>
    <w:rsid w:val="00537D42"/>
    <w:rsid w:val="005422CD"/>
    <w:rsid w:val="00542C21"/>
    <w:rsid w:val="00543E7D"/>
    <w:rsid w:val="00547A68"/>
    <w:rsid w:val="005531C9"/>
    <w:rsid w:val="00561EDA"/>
    <w:rsid w:val="00570C43"/>
    <w:rsid w:val="005771DF"/>
    <w:rsid w:val="005B2110"/>
    <w:rsid w:val="005B61E6"/>
    <w:rsid w:val="005B7EC7"/>
    <w:rsid w:val="005C22F6"/>
    <w:rsid w:val="005C77E1"/>
    <w:rsid w:val="005D1D38"/>
    <w:rsid w:val="005D668A"/>
    <w:rsid w:val="005D6A2F"/>
    <w:rsid w:val="005E1A82"/>
    <w:rsid w:val="005E794C"/>
    <w:rsid w:val="005F0A28"/>
    <w:rsid w:val="005F0E5E"/>
    <w:rsid w:val="005F0EED"/>
    <w:rsid w:val="00600535"/>
    <w:rsid w:val="00602A66"/>
    <w:rsid w:val="00610CD6"/>
    <w:rsid w:val="00617815"/>
    <w:rsid w:val="00620DEE"/>
    <w:rsid w:val="00621F92"/>
    <w:rsid w:val="0062280A"/>
    <w:rsid w:val="00625639"/>
    <w:rsid w:val="00631B33"/>
    <w:rsid w:val="006361DC"/>
    <w:rsid w:val="00636C3D"/>
    <w:rsid w:val="0064184D"/>
    <w:rsid w:val="006422CC"/>
    <w:rsid w:val="00660E3E"/>
    <w:rsid w:val="00662E74"/>
    <w:rsid w:val="006700B6"/>
    <w:rsid w:val="00680C23"/>
    <w:rsid w:val="00693766"/>
    <w:rsid w:val="006A3281"/>
    <w:rsid w:val="006B4888"/>
    <w:rsid w:val="006C2E45"/>
    <w:rsid w:val="006C359C"/>
    <w:rsid w:val="006C5462"/>
    <w:rsid w:val="006C5579"/>
    <w:rsid w:val="006D3AE7"/>
    <w:rsid w:val="006D6E8B"/>
    <w:rsid w:val="006E08AF"/>
    <w:rsid w:val="006E737D"/>
    <w:rsid w:val="00713973"/>
    <w:rsid w:val="00720A24"/>
    <w:rsid w:val="00732386"/>
    <w:rsid w:val="0073514D"/>
    <w:rsid w:val="00735670"/>
    <w:rsid w:val="007447F3"/>
    <w:rsid w:val="0075499F"/>
    <w:rsid w:val="007661C8"/>
    <w:rsid w:val="0077098D"/>
    <w:rsid w:val="007825A9"/>
    <w:rsid w:val="00786ED7"/>
    <w:rsid w:val="007931FA"/>
    <w:rsid w:val="007A4861"/>
    <w:rsid w:val="007A66A7"/>
    <w:rsid w:val="007A7451"/>
    <w:rsid w:val="007A7BBA"/>
    <w:rsid w:val="007B0C50"/>
    <w:rsid w:val="007B1ED1"/>
    <w:rsid w:val="007B48F9"/>
    <w:rsid w:val="007C0132"/>
    <w:rsid w:val="007C1A43"/>
    <w:rsid w:val="007C2356"/>
    <w:rsid w:val="007D0951"/>
    <w:rsid w:val="007E3D46"/>
    <w:rsid w:val="0080013E"/>
    <w:rsid w:val="00813288"/>
    <w:rsid w:val="008168FC"/>
    <w:rsid w:val="00830996"/>
    <w:rsid w:val="008345F1"/>
    <w:rsid w:val="0085197C"/>
    <w:rsid w:val="00865B07"/>
    <w:rsid w:val="008667EA"/>
    <w:rsid w:val="0087518F"/>
    <w:rsid w:val="0087637F"/>
    <w:rsid w:val="00892AD5"/>
    <w:rsid w:val="00897C60"/>
    <w:rsid w:val="008A1512"/>
    <w:rsid w:val="008B6B4B"/>
    <w:rsid w:val="008C3324"/>
    <w:rsid w:val="008D32B9"/>
    <w:rsid w:val="008D433B"/>
    <w:rsid w:val="008D4A16"/>
    <w:rsid w:val="008E566E"/>
    <w:rsid w:val="0090161A"/>
    <w:rsid w:val="00901EB6"/>
    <w:rsid w:val="00904C62"/>
    <w:rsid w:val="00905888"/>
    <w:rsid w:val="009170C5"/>
    <w:rsid w:val="00922BA8"/>
    <w:rsid w:val="00924DAC"/>
    <w:rsid w:val="00926F9B"/>
    <w:rsid w:val="00927058"/>
    <w:rsid w:val="00942750"/>
    <w:rsid w:val="009450CE"/>
    <w:rsid w:val="009459BB"/>
    <w:rsid w:val="00946AB4"/>
    <w:rsid w:val="00947179"/>
    <w:rsid w:val="0095164B"/>
    <w:rsid w:val="009527EA"/>
    <w:rsid w:val="00954090"/>
    <w:rsid w:val="009573E7"/>
    <w:rsid w:val="0096131E"/>
    <w:rsid w:val="00963E05"/>
    <w:rsid w:val="00964A45"/>
    <w:rsid w:val="00967843"/>
    <w:rsid w:val="00967D54"/>
    <w:rsid w:val="00971028"/>
    <w:rsid w:val="009735CB"/>
    <w:rsid w:val="00990165"/>
    <w:rsid w:val="00993B84"/>
    <w:rsid w:val="0099483D"/>
    <w:rsid w:val="00996483"/>
    <w:rsid w:val="00996F5A"/>
    <w:rsid w:val="009A2FE6"/>
    <w:rsid w:val="009B041A"/>
    <w:rsid w:val="009C37C3"/>
    <w:rsid w:val="009C7C86"/>
    <w:rsid w:val="009D0B1E"/>
    <w:rsid w:val="009D2FF7"/>
    <w:rsid w:val="009E22C7"/>
    <w:rsid w:val="009E2438"/>
    <w:rsid w:val="009E6C12"/>
    <w:rsid w:val="009E7884"/>
    <w:rsid w:val="009E788A"/>
    <w:rsid w:val="009F0E08"/>
    <w:rsid w:val="00A04889"/>
    <w:rsid w:val="00A1763D"/>
    <w:rsid w:val="00A17CEC"/>
    <w:rsid w:val="00A27EF0"/>
    <w:rsid w:val="00A42361"/>
    <w:rsid w:val="00A50B20"/>
    <w:rsid w:val="00A51390"/>
    <w:rsid w:val="00A526D7"/>
    <w:rsid w:val="00A60D13"/>
    <w:rsid w:val="00A6759B"/>
    <w:rsid w:val="00A7223D"/>
    <w:rsid w:val="00A72745"/>
    <w:rsid w:val="00A75119"/>
    <w:rsid w:val="00A76EFC"/>
    <w:rsid w:val="00A87D50"/>
    <w:rsid w:val="00A91010"/>
    <w:rsid w:val="00A93461"/>
    <w:rsid w:val="00A97F29"/>
    <w:rsid w:val="00AA702E"/>
    <w:rsid w:val="00AA7D26"/>
    <w:rsid w:val="00AB0964"/>
    <w:rsid w:val="00AB5011"/>
    <w:rsid w:val="00AB568A"/>
    <w:rsid w:val="00AC7368"/>
    <w:rsid w:val="00AC73DE"/>
    <w:rsid w:val="00AD16B9"/>
    <w:rsid w:val="00AE377D"/>
    <w:rsid w:val="00AE490D"/>
    <w:rsid w:val="00AF0EBA"/>
    <w:rsid w:val="00AF6DF5"/>
    <w:rsid w:val="00B02C8A"/>
    <w:rsid w:val="00B11C7E"/>
    <w:rsid w:val="00B17FBD"/>
    <w:rsid w:val="00B315A6"/>
    <w:rsid w:val="00B31813"/>
    <w:rsid w:val="00B33365"/>
    <w:rsid w:val="00B36288"/>
    <w:rsid w:val="00B41DDA"/>
    <w:rsid w:val="00B57B36"/>
    <w:rsid w:val="00B57E6F"/>
    <w:rsid w:val="00B8686D"/>
    <w:rsid w:val="00B93F69"/>
    <w:rsid w:val="00BB1DDC"/>
    <w:rsid w:val="00BB23ED"/>
    <w:rsid w:val="00BC30C9"/>
    <w:rsid w:val="00BD077D"/>
    <w:rsid w:val="00BE3E58"/>
    <w:rsid w:val="00BE7EB1"/>
    <w:rsid w:val="00C01616"/>
    <w:rsid w:val="00C0162B"/>
    <w:rsid w:val="00C068ED"/>
    <w:rsid w:val="00C11E51"/>
    <w:rsid w:val="00C22E0C"/>
    <w:rsid w:val="00C26674"/>
    <w:rsid w:val="00C345B1"/>
    <w:rsid w:val="00C40142"/>
    <w:rsid w:val="00C52C3C"/>
    <w:rsid w:val="00C57182"/>
    <w:rsid w:val="00C57863"/>
    <w:rsid w:val="00C640AF"/>
    <w:rsid w:val="00C655FD"/>
    <w:rsid w:val="00C73406"/>
    <w:rsid w:val="00C75407"/>
    <w:rsid w:val="00C82CA3"/>
    <w:rsid w:val="00C870A8"/>
    <w:rsid w:val="00C8725E"/>
    <w:rsid w:val="00C94434"/>
    <w:rsid w:val="00C97817"/>
    <w:rsid w:val="00CA0461"/>
    <w:rsid w:val="00CA0D75"/>
    <w:rsid w:val="00CA1C95"/>
    <w:rsid w:val="00CA4665"/>
    <w:rsid w:val="00CA5A9C"/>
    <w:rsid w:val="00CB315E"/>
    <w:rsid w:val="00CB4F07"/>
    <w:rsid w:val="00CC4C20"/>
    <w:rsid w:val="00CD3517"/>
    <w:rsid w:val="00CD5FE2"/>
    <w:rsid w:val="00CE7C68"/>
    <w:rsid w:val="00CF3335"/>
    <w:rsid w:val="00D02B4C"/>
    <w:rsid w:val="00D038BB"/>
    <w:rsid w:val="00D040C4"/>
    <w:rsid w:val="00D20307"/>
    <w:rsid w:val="00D20AD1"/>
    <w:rsid w:val="00D265F7"/>
    <w:rsid w:val="00D46B7E"/>
    <w:rsid w:val="00D519D0"/>
    <w:rsid w:val="00D57C84"/>
    <w:rsid w:val="00D6057D"/>
    <w:rsid w:val="00D71640"/>
    <w:rsid w:val="00D836C5"/>
    <w:rsid w:val="00D84576"/>
    <w:rsid w:val="00DA1399"/>
    <w:rsid w:val="00DA24C6"/>
    <w:rsid w:val="00DA4D7B"/>
    <w:rsid w:val="00DB0E15"/>
    <w:rsid w:val="00DD271C"/>
    <w:rsid w:val="00DD2C93"/>
    <w:rsid w:val="00DE264A"/>
    <w:rsid w:val="00DE56DD"/>
    <w:rsid w:val="00DE7B59"/>
    <w:rsid w:val="00DF05BD"/>
    <w:rsid w:val="00DF5072"/>
    <w:rsid w:val="00E009E1"/>
    <w:rsid w:val="00E02D18"/>
    <w:rsid w:val="00E041E7"/>
    <w:rsid w:val="00E227AF"/>
    <w:rsid w:val="00E23CA1"/>
    <w:rsid w:val="00E3040A"/>
    <w:rsid w:val="00E409A8"/>
    <w:rsid w:val="00E50C12"/>
    <w:rsid w:val="00E625CA"/>
    <w:rsid w:val="00E65B91"/>
    <w:rsid w:val="00E7209D"/>
    <w:rsid w:val="00E72EAD"/>
    <w:rsid w:val="00E77223"/>
    <w:rsid w:val="00E8528B"/>
    <w:rsid w:val="00E85B94"/>
    <w:rsid w:val="00E902FD"/>
    <w:rsid w:val="00E95ED2"/>
    <w:rsid w:val="00E978D0"/>
    <w:rsid w:val="00EA4613"/>
    <w:rsid w:val="00EA7F91"/>
    <w:rsid w:val="00EB1523"/>
    <w:rsid w:val="00EC0E49"/>
    <w:rsid w:val="00EC101F"/>
    <w:rsid w:val="00EC1D9F"/>
    <w:rsid w:val="00EE0131"/>
    <w:rsid w:val="00EE17B0"/>
    <w:rsid w:val="00EF06D9"/>
    <w:rsid w:val="00F3049E"/>
    <w:rsid w:val="00F30C64"/>
    <w:rsid w:val="00F32BA2"/>
    <w:rsid w:val="00F32CDB"/>
    <w:rsid w:val="00F52C46"/>
    <w:rsid w:val="00F565FE"/>
    <w:rsid w:val="00F63A70"/>
    <w:rsid w:val="00F63D8C"/>
    <w:rsid w:val="00F660C2"/>
    <w:rsid w:val="00F73365"/>
    <w:rsid w:val="00F7534E"/>
    <w:rsid w:val="00F77CB5"/>
    <w:rsid w:val="00F9292C"/>
    <w:rsid w:val="00F93EDF"/>
    <w:rsid w:val="00FA1802"/>
    <w:rsid w:val="00FA21D0"/>
    <w:rsid w:val="00FA5F5F"/>
    <w:rsid w:val="00FB730C"/>
    <w:rsid w:val="00FC2695"/>
    <w:rsid w:val="00FC3E03"/>
    <w:rsid w:val="00FC3FC1"/>
    <w:rsid w:val="00FE2A70"/>
    <w:rsid w:val="00FE6478"/>
    <w:rsid w:val="00FE700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slov1">
    <w:name w:val="heading 1"/>
    <w:basedOn w:val="CETHeading1"/>
    <w:next w:val="Navaden"/>
    <w:link w:val="Naslov1Znak"/>
    <w:uiPriority w:val="9"/>
    <w:rsid w:val="004F5E36"/>
    <w:pPr>
      <w:tabs>
        <w:tab w:val="right" w:pos="7100"/>
      </w:tabs>
      <w:jc w:val="both"/>
      <w:outlineLvl w:val="0"/>
    </w:pPr>
    <w:rPr>
      <w:lang w:val="en-GB"/>
    </w:rPr>
  </w:style>
  <w:style w:type="paragraph" w:styleId="Naslov2">
    <w:name w:val="heading 2"/>
    <w:basedOn w:val="Navaden"/>
    <w:next w:val="Navaden"/>
    <w:link w:val="Naslov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unhideWhenUsed/>
  </w:style>
  <w:style w:type="table" w:default="1" w:styleId="Navadnatabela">
    <w:name w:val="Normal Table"/>
    <w:link w:val="NavadnatabelaOdstavek"/>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41DDA"/>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eprosta1">
    <w:name w:val="Table Simple 1"/>
    <w:basedOn w:val="Navadnatabela"/>
    <w:link w:val="Tabelapreprosta1Odstavek"/>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41DD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Pripombasklic">
    <w:name w:val="annotation reference"/>
    <w:basedOn w:val="Privzetapisavaodstavka"/>
    <w:uiPriority w:val="99"/>
    <w:semiHidden/>
    <w:unhideWhenUsed/>
    <w:rsid w:val="004577FE"/>
    <w:rPr>
      <w:sz w:val="16"/>
      <w:szCs w:val="16"/>
    </w:rPr>
  </w:style>
  <w:style w:type="paragraph" w:styleId="Besedilooblaka">
    <w:name w:val="Balloon Text"/>
    <w:basedOn w:val="Navaden"/>
    <w:link w:val="BesedilooblakaZnak"/>
    <w:uiPriority w:val="99"/>
    <w:semiHidden/>
    <w:unhideWhenUsed/>
    <w:rsid w:val="000D34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4BE"/>
    <w:rPr>
      <w:rFonts w:ascii="Tahoma" w:hAnsi="Tahoma" w:cs="Tahoma"/>
      <w:sz w:val="16"/>
      <w:szCs w:val="16"/>
    </w:rPr>
  </w:style>
  <w:style w:type="paragraph" w:styleId="Bibliografija">
    <w:name w:val="Bibliography"/>
    <w:basedOn w:val="CETReferencetext"/>
    <w:uiPriority w:val="37"/>
    <w:unhideWhenUsed/>
    <w:rsid w:val="00631B33"/>
    <w:pPr>
      <w:spacing w:line="240" w:lineRule="auto"/>
      <w:ind w:left="720" w:hanging="720"/>
    </w:pPr>
  </w:style>
  <w:style w:type="paragraph" w:styleId="Telobesedila2">
    <w:name w:val="Body Text 2"/>
    <w:basedOn w:val="Navaden"/>
    <w:link w:val="Telobesedila2Znak"/>
    <w:uiPriority w:val="99"/>
    <w:semiHidden/>
    <w:unhideWhenUsed/>
    <w:rsid w:val="0003148D"/>
    <w:pPr>
      <w:spacing w:after="120" w:line="480" w:lineRule="auto"/>
    </w:pPr>
  </w:style>
  <w:style w:type="character" w:customStyle="1" w:styleId="Telobesedila2Znak">
    <w:name w:val="Telo besedila 2 Znak"/>
    <w:basedOn w:val="Privzetapisavaodstavka"/>
    <w:link w:val="Telobesedila2"/>
    <w:uiPriority w:val="99"/>
    <w:semiHidden/>
    <w:rsid w:val="0003148D"/>
  </w:style>
  <w:style w:type="paragraph" w:styleId="Telobesedila3">
    <w:name w:val="Body Text 3"/>
    <w:basedOn w:val="Navaden"/>
    <w:link w:val="Telobesedila3Znak"/>
    <w:uiPriority w:val="99"/>
    <w:semiHidden/>
    <w:unhideWhenUsed/>
    <w:rsid w:val="0003148D"/>
    <w:pPr>
      <w:spacing w:after="120"/>
    </w:pPr>
    <w:rPr>
      <w:sz w:val="16"/>
      <w:szCs w:val="16"/>
    </w:rPr>
  </w:style>
  <w:style w:type="character" w:customStyle="1" w:styleId="Telobesedila3Znak">
    <w:name w:val="Telo besedila 3 Znak"/>
    <w:basedOn w:val="Privzetapisavaodstavka"/>
    <w:link w:val="Telobesedila3"/>
    <w:uiPriority w:val="99"/>
    <w:semiHidden/>
    <w:rsid w:val="0003148D"/>
    <w:rPr>
      <w:sz w:val="16"/>
      <w:szCs w:val="16"/>
    </w:rPr>
  </w:style>
  <w:style w:type="paragraph" w:styleId="Telobesedila">
    <w:name w:val="Body Text"/>
    <w:basedOn w:val="Navaden"/>
    <w:link w:val="TelobesedilaZnak"/>
    <w:uiPriority w:val="99"/>
    <w:semiHidden/>
    <w:unhideWhenUsed/>
    <w:rsid w:val="0003148D"/>
    <w:pPr>
      <w:spacing w:after="120"/>
    </w:pPr>
  </w:style>
  <w:style w:type="character" w:customStyle="1" w:styleId="TelobesedilaZnak">
    <w:name w:val="Telo besedila Znak"/>
    <w:basedOn w:val="Privzetapisavaodstavka"/>
    <w:link w:val="Telobesedila"/>
    <w:uiPriority w:val="99"/>
    <w:semiHidden/>
    <w:rsid w:val="0003148D"/>
  </w:style>
  <w:style w:type="paragraph" w:styleId="Datum">
    <w:name w:val="Date"/>
    <w:basedOn w:val="Navaden"/>
    <w:next w:val="Navaden"/>
    <w:link w:val="DatumZnak"/>
    <w:uiPriority w:val="99"/>
    <w:semiHidden/>
    <w:unhideWhenUsed/>
    <w:rsid w:val="0003148D"/>
  </w:style>
  <w:style w:type="character" w:customStyle="1" w:styleId="DatumZnak">
    <w:name w:val="Datum Znak"/>
    <w:basedOn w:val="Privzetapisavaodstavka"/>
    <w:link w:val="Datum"/>
    <w:uiPriority w:val="99"/>
    <w:semiHidden/>
    <w:rsid w:val="0003148D"/>
  </w:style>
  <w:style w:type="paragraph" w:styleId="Napis">
    <w:name w:val="caption"/>
    <w:basedOn w:val="Navaden"/>
    <w:next w:val="Navaden"/>
    <w:uiPriority w:val="35"/>
    <w:semiHidden/>
    <w:unhideWhenUsed/>
    <w:qFormat/>
    <w:rsid w:val="0003148D"/>
    <w:pPr>
      <w:spacing w:line="240" w:lineRule="auto"/>
    </w:pPr>
    <w:rPr>
      <w:b/>
      <w:bCs/>
      <w:color w:val="4F81BD" w:themeColor="accent1"/>
      <w:szCs w:val="18"/>
    </w:rPr>
  </w:style>
  <w:style w:type="paragraph" w:styleId="Seznam">
    <w:name w:val="List"/>
    <w:basedOn w:val="Navaden"/>
    <w:uiPriority w:val="99"/>
    <w:semiHidden/>
    <w:unhideWhenUsed/>
    <w:rsid w:val="0003148D"/>
    <w:pPr>
      <w:ind w:left="283" w:hanging="283"/>
      <w:contextualSpacing/>
    </w:pPr>
  </w:style>
  <w:style w:type="paragraph" w:styleId="Seznam2">
    <w:name w:val="List 2"/>
    <w:basedOn w:val="Navaden"/>
    <w:uiPriority w:val="99"/>
    <w:semiHidden/>
    <w:unhideWhenUsed/>
    <w:rsid w:val="0003148D"/>
    <w:pPr>
      <w:ind w:left="566" w:hanging="283"/>
      <w:contextualSpacing/>
    </w:pPr>
  </w:style>
  <w:style w:type="paragraph" w:styleId="Seznam3">
    <w:name w:val="List 3"/>
    <w:basedOn w:val="Navaden"/>
    <w:uiPriority w:val="99"/>
    <w:semiHidden/>
    <w:unhideWhenUsed/>
    <w:rsid w:val="0003148D"/>
    <w:pPr>
      <w:ind w:left="849" w:hanging="283"/>
      <w:contextualSpacing/>
    </w:pPr>
  </w:style>
  <w:style w:type="paragraph" w:styleId="Seznam4">
    <w:name w:val="List 4"/>
    <w:basedOn w:val="Navaden"/>
    <w:uiPriority w:val="99"/>
    <w:semiHidden/>
    <w:unhideWhenUsed/>
    <w:rsid w:val="0003148D"/>
    <w:pPr>
      <w:ind w:left="1132" w:hanging="283"/>
      <w:contextualSpacing/>
    </w:pPr>
  </w:style>
  <w:style w:type="paragraph" w:styleId="Seznam5">
    <w:name w:val="List 5"/>
    <w:basedOn w:val="Navaden"/>
    <w:uiPriority w:val="99"/>
    <w:semiHidden/>
    <w:unhideWhenUsed/>
    <w:rsid w:val="0003148D"/>
    <w:pPr>
      <w:ind w:left="1415" w:hanging="283"/>
      <w:contextualSpacing/>
    </w:pPr>
  </w:style>
  <w:style w:type="paragraph" w:styleId="Seznam-nadaljevanje">
    <w:name w:val="List Continue"/>
    <w:basedOn w:val="Navaden"/>
    <w:uiPriority w:val="99"/>
    <w:semiHidden/>
    <w:unhideWhenUsed/>
    <w:rsid w:val="0003148D"/>
    <w:pPr>
      <w:spacing w:after="120"/>
      <w:ind w:left="283"/>
      <w:contextualSpacing/>
    </w:pPr>
  </w:style>
  <w:style w:type="paragraph" w:styleId="Seznam-nadaljevanje2">
    <w:name w:val="List Continue 2"/>
    <w:basedOn w:val="Navaden"/>
    <w:uiPriority w:val="99"/>
    <w:semiHidden/>
    <w:unhideWhenUsed/>
    <w:rsid w:val="0003148D"/>
    <w:pPr>
      <w:spacing w:after="120"/>
      <w:ind w:left="566"/>
      <w:contextualSpacing/>
    </w:pPr>
  </w:style>
  <w:style w:type="paragraph" w:styleId="Seznam-nadaljevanje3">
    <w:name w:val="List Continue 3"/>
    <w:basedOn w:val="Navaden"/>
    <w:uiPriority w:val="99"/>
    <w:semiHidden/>
    <w:unhideWhenUsed/>
    <w:rsid w:val="0003148D"/>
    <w:pPr>
      <w:spacing w:after="120"/>
      <w:ind w:left="849"/>
      <w:contextualSpacing/>
    </w:pPr>
  </w:style>
  <w:style w:type="paragraph" w:styleId="Seznam-nadaljevanje4">
    <w:name w:val="List Continue 4"/>
    <w:basedOn w:val="Navaden"/>
    <w:uiPriority w:val="99"/>
    <w:semiHidden/>
    <w:unhideWhenUsed/>
    <w:rsid w:val="0003148D"/>
    <w:pPr>
      <w:spacing w:after="120"/>
      <w:ind w:left="1132"/>
      <w:contextualSpacing/>
    </w:pPr>
  </w:style>
  <w:style w:type="paragraph" w:styleId="Seznam-nadaljevanje5">
    <w:name w:val="List Continue 5"/>
    <w:basedOn w:val="Navaden"/>
    <w:uiPriority w:val="99"/>
    <w:semiHidden/>
    <w:unhideWhenUsed/>
    <w:rsid w:val="0003148D"/>
    <w:pPr>
      <w:spacing w:after="120"/>
      <w:ind w:left="1415"/>
      <w:contextualSpacing/>
    </w:pPr>
  </w:style>
  <w:style w:type="paragraph" w:styleId="Podpis">
    <w:name w:val="Signature"/>
    <w:basedOn w:val="Navaden"/>
    <w:link w:val="PodpisZnak"/>
    <w:uiPriority w:val="99"/>
    <w:semiHidden/>
    <w:unhideWhenUsed/>
    <w:rsid w:val="0003148D"/>
    <w:pPr>
      <w:spacing w:line="240" w:lineRule="auto"/>
      <w:ind w:left="4252"/>
    </w:pPr>
  </w:style>
  <w:style w:type="character" w:customStyle="1" w:styleId="PodpisZnak">
    <w:name w:val="Podpis Znak"/>
    <w:basedOn w:val="Privzetapisavaodstavka"/>
    <w:link w:val="Podpis"/>
    <w:uiPriority w:val="99"/>
    <w:semiHidden/>
    <w:rsid w:val="0003148D"/>
  </w:style>
  <w:style w:type="paragraph" w:styleId="E-potnipodpis">
    <w:name w:val="E-mail Signature"/>
    <w:basedOn w:val="Navaden"/>
    <w:link w:val="E-potnipodpisZnak"/>
    <w:uiPriority w:val="99"/>
    <w:semiHidden/>
    <w:unhideWhenUsed/>
    <w:rsid w:val="0003148D"/>
    <w:pPr>
      <w:spacing w:line="240" w:lineRule="auto"/>
    </w:pPr>
  </w:style>
  <w:style w:type="character" w:customStyle="1" w:styleId="E-potnipodpisZnak">
    <w:name w:val="E-poštni podpis Znak"/>
    <w:basedOn w:val="Privzetapisavaodstavka"/>
    <w:link w:val="E-potnipodpis"/>
    <w:uiPriority w:val="99"/>
    <w:semiHidden/>
    <w:rsid w:val="0003148D"/>
  </w:style>
  <w:style w:type="paragraph" w:styleId="Uvodnipozdrav">
    <w:name w:val="Salutation"/>
    <w:basedOn w:val="Navaden"/>
    <w:next w:val="Navaden"/>
    <w:link w:val="UvodnipozdravZnak"/>
    <w:uiPriority w:val="99"/>
    <w:semiHidden/>
    <w:unhideWhenUsed/>
    <w:rsid w:val="0003148D"/>
  </w:style>
  <w:style w:type="character" w:customStyle="1" w:styleId="UvodnipozdravZnak">
    <w:name w:val="Uvodni pozdrav Znak"/>
    <w:basedOn w:val="Privzetapisavaodstavka"/>
    <w:link w:val="Uvodnipozdrav"/>
    <w:uiPriority w:val="99"/>
    <w:semiHidden/>
    <w:rsid w:val="0003148D"/>
  </w:style>
  <w:style w:type="paragraph" w:styleId="Zakljunipozdrav">
    <w:name w:val="Closing"/>
    <w:basedOn w:val="Navaden"/>
    <w:link w:val="ZakljunipozdravZnak"/>
    <w:uiPriority w:val="99"/>
    <w:semiHidden/>
    <w:unhideWhenUsed/>
    <w:rsid w:val="0003148D"/>
    <w:pPr>
      <w:spacing w:line="240" w:lineRule="auto"/>
      <w:ind w:left="4252"/>
    </w:pPr>
  </w:style>
  <w:style w:type="character" w:customStyle="1" w:styleId="ZakljunipozdravZnak">
    <w:name w:val="Zaključni pozdrav Znak"/>
    <w:basedOn w:val="Privzetapisavaodstavka"/>
    <w:link w:val="Zakljunipozdrav"/>
    <w:uiPriority w:val="99"/>
    <w:semiHidden/>
    <w:rsid w:val="0003148D"/>
  </w:style>
  <w:style w:type="paragraph" w:styleId="Stvarnokazalo1">
    <w:name w:val="index 1"/>
    <w:basedOn w:val="Navaden"/>
    <w:next w:val="Navaden"/>
    <w:autoRedefine/>
    <w:uiPriority w:val="99"/>
    <w:semiHidden/>
    <w:unhideWhenUsed/>
    <w:rsid w:val="0003148D"/>
    <w:pPr>
      <w:spacing w:line="240" w:lineRule="auto"/>
      <w:ind w:left="220" w:hanging="220"/>
    </w:pPr>
  </w:style>
  <w:style w:type="paragraph" w:styleId="Stvarnokazalo2">
    <w:name w:val="index 2"/>
    <w:basedOn w:val="Navaden"/>
    <w:next w:val="Navaden"/>
    <w:autoRedefine/>
    <w:uiPriority w:val="99"/>
    <w:semiHidden/>
    <w:unhideWhenUsed/>
    <w:rsid w:val="0003148D"/>
    <w:pPr>
      <w:spacing w:line="240" w:lineRule="auto"/>
      <w:ind w:left="440" w:hanging="220"/>
    </w:pPr>
  </w:style>
  <w:style w:type="paragraph" w:styleId="Stvarnokazalo3">
    <w:name w:val="index 3"/>
    <w:basedOn w:val="Navaden"/>
    <w:next w:val="Navaden"/>
    <w:autoRedefine/>
    <w:uiPriority w:val="99"/>
    <w:semiHidden/>
    <w:unhideWhenUsed/>
    <w:rsid w:val="0003148D"/>
    <w:pPr>
      <w:spacing w:line="240" w:lineRule="auto"/>
      <w:ind w:left="660" w:hanging="220"/>
    </w:pPr>
  </w:style>
  <w:style w:type="paragraph" w:styleId="Stvarnokazalo4">
    <w:name w:val="index 4"/>
    <w:basedOn w:val="Navaden"/>
    <w:next w:val="Navaden"/>
    <w:autoRedefine/>
    <w:uiPriority w:val="99"/>
    <w:semiHidden/>
    <w:unhideWhenUsed/>
    <w:rsid w:val="0003148D"/>
    <w:pPr>
      <w:spacing w:line="240" w:lineRule="auto"/>
      <w:ind w:left="880" w:hanging="220"/>
    </w:pPr>
  </w:style>
  <w:style w:type="paragraph" w:styleId="Stvarnokazalo5">
    <w:name w:val="index 5"/>
    <w:basedOn w:val="Navaden"/>
    <w:next w:val="Navaden"/>
    <w:autoRedefine/>
    <w:uiPriority w:val="99"/>
    <w:semiHidden/>
    <w:unhideWhenUsed/>
    <w:rsid w:val="0003148D"/>
    <w:pPr>
      <w:spacing w:line="240" w:lineRule="auto"/>
      <w:ind w:left="1100" w:hanging="220"/>
    </w:pPr>
  </w:style>
  <w:style w:type="paragraph" w:styleId="Stvarnokazalo6">
    <w:name w:val="index 6"/>
    <w:basedOn w:val="Navaden"/>
    <w:next w:val="Navaden"/>
    <w:autoRedefine/>
    <w:uiPriority w:val="99"/>
    <w:semiHidden/>
    <w:unhideWhenUsed/>
    <w:rsid w:val="0003148D"/>
    <w:pPr>
      <w:spacing w:line="240" w:lineRule="auto"/>
      <w:ind w:left="1320" w:hanging="220"/>
    </w:pPr>
  </w:style>
  <w:style w:type="paragraph" w:styleId="Stvarnokazalo7">
    <w:name w:val="index 7"/>
    <w:basedOn w:val="Navaden"/>
    <w:next w:val="Navaden"/>
    <w:autoRedefine/>
    <w:uiPriority w:val="99"/>
    <w:semiHidden/>
    <w:unhideWhenUsed/>
    <w:rsid w:val="0003148D"/>
    <w:pPr>
      <w:spacing w:line="240" w:lineRule="auto"/>
      <w:ind w:left="1540" w:hanging="220"/>
    </w:pPr>
  </w:style>
  <w:style w:type="paragraph" w:styleId="Stvarnokazalo8">
    <w:name w:val="index 8"/>
    <w:basedOn w:val="Navaden"/>
    <w:next w:val="Navaden"/>
    <w:autoRedefine/>
    <w:uiPriority w:val="99"/>
    <w:semiHidden/>
    <w:unhideWhenUsed/>
    <w:rsid w:val="0003148D"/>
    <w:pPr>
      <w:spacing w:line="240" w:lineRule="auto"/>
      <w:ind w:left="1760" w:hanging="220"/>
    </w:pPr>
  </w:style>
  <w:style w:type="paragraph" w:styleId="Stvarnokazalo9">
    <w:name w:val="index 9"/>
    <w:basedOn w:val="Navaden"/>
    <w:next w:val="Navaden"/>
    <w:autoRedefine/>
    <w:uiPriority w:val="99"/>
    <w:semiHidden/>
    <w:unhideWhenUsed/>
    <w:rsid w:val="0003148D"/>
    <w:pPr>
      <w:spacing w:line="240" w:lineRule="auto"/>
      <w:ind w:left="1980" w:hanging="220"/>
    </w:pPr>
  </w:style>
  <w:style w:type="paragraph" w:styleId="Kazaloslik">
    <w:name w:val="table of figures"/>
    <w:basedOn w:val="Navaden"/>
    <w:next w:val="Navaden"/>
    <w:uiPriority w:val="99"/>
    <w:semiHidden/>
    <w:unhideWhenUsed/>
    <w:rsid w:val="0003148D"/>
  </w:style>
  <w:style w:type="paragraph" w:styleId="Kazalovirov">
    <w:name w:val="table of authorities"/>
    <w:basedOn w:val="Navaden"/>
    <w:next w:val="Navaden"/>
    <w:uiPriority w:val="99"/>
    <w:semiHidden/>
    <w:unhideWhenUsed/>
    <w:rsid w:val="0003148D"/>
    <w:pPr>
      <w:ind w:left="220" w:hanging="220"/>
    </w:pPr>
  </w:style>
  <w:style w:type="paragraph" w:styleId="Naslovnaslovnika">
    <w:name w:val="envelope address"/>
    <w:basedOn w:val="Navade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naslov">
    <w:name w:val="HTML Address"/>
    <w:basedOn w:val="Navaden"/>
    <w:link w:val="HTMLnaslovZnak"/>
    <w:uiPriority w:val="99"/>
    <w:semiHidden/>
    <w:unhideWhenUsed/>
    <w:rsid w:val="0003148D"/>
    <w:pPr>
      <w:spacing w:line="240" w:lineRule="auto"/>
    </w:pPr>
    <w:rPr>
      <w:i/>
      <w:iCs/>
    </w:rPr>
  </w:style>
  <w:style w:type="character" w:customStyle="1" w:styleId="HTMLnaslovZnak">
    <w:name w:val="HTML naslov Znak"/>
    <w:basedOn w:val="Privzetapisavaodstavka"/>
    <w:link w:val="HTMLnaslov"/>
    <w:uiPriority w:val="99"/>
    <w:semiHidden/>
    <w:rsid w:val="0003148D"/>
    <w:rPr>
      <w:i/>
      <w:iCs/>
    </w:rPr>
  </w:style>
  <w:style w:type="paragraph" w:styleId="Naslovpoiljatelja">
    <w:name w:val="envelope return"/>
    <w:basedOn w:val="Navaden"/>
    <w:uiPriority w:val="99"/>
    <w:semiHidden/>
    <w:unhideWhenUsed/>
    <w:rsid w:val="0003148D"/>
    <w:pPr>
      <w:spacing w:line="240" w:lineRule="auto"/>
    </w:pPr>
    <w:rPr>
      <w:rFonts w:asciiTheme="majorHAnsi" w:eastAsiaTheme="majorEastAsia" w:hAnsiTheme="majorHAnsi" w:cstheme="majorBidi"/>
    </w:rPr>
  </w:style>
  <w:style w:type="paragraph" w:styleId="Glavasporoila">
    <w:name w:val="Message Header"/>
    <w:basedOn w:val="Navaden"/>
    <w:link w:val="Glavasporoila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uiPriority w:val="99"/>
    <w:semiHidden/>
    <w:rsid w:val="0003148D"/>
    <w:rPr>
      <w:rFonts w:asciiTheme="majorHAnsi" w:eastAsiaTheme="majorEastAsia" w:hAnsiTheme="majorHAnsi" w:cstheme="majorBidi"/>
      <w:sz w:val="24"/>
      <w:szCs w:val="24"/>
      <w:shd w:val="pct20" w:color="auto" w:fill="auto"/>
    </w:rPr>
  </w:style>
  <w:style w:type="paragraph" w:styleId="Opomba-naslov">
    <w:name w:val="Note Heading"/>
    <w:basedOn w:val="Navaden"/>
    <w:next w:val="Navaden"/>
    <w:link w:val="Opomba-naslovZnak"/>
    <w:uiPriority w:val="99"/>
    <w:semiHidden/>
    <w:unhideWhenUsed/>
    <w:rsid w:val="0003148D"/>
    <w:pPr>
      <w:spacing w:line="240" w:lineRule="auto"/>
    </w:pPr>
  </w:style>
  <w:style w:type="character" w:customStyle="1" w:styleId="Opomba-naslovZnak">
    <w:name w:val="Opomba - naslov Znak"/>
    <w:basedOn w:val="Privzetapisavaodstavka"/>
    <w:link w:val="Opomba-naslov"/>
    <w:uiPriority w:val="99"/>
    <w:semiHidden/>
    <w:rsid w:val="0003148D"/>
  </w:style>
  <w:style w:type="paragraph" w:styleId="Zgradbadokumenta">
    <w:name w:val="Document Map"/>
    <w:basedOn w:val="Navaden"/>
    <w:link w:val="ZgradbadokumentaZnak"/>
    <w:uiPriority w:val="99"/>
    <w:semiHidden/>
    <w:unhideWhenUsed/>
    <w:rsid w:val="0003148D"/>
    <w:pPr>
      <w:spacing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3148D"/>
    <w:rPr>
      <w:rFonts w:ascii="Tahoma" w:hAnsi="Tahoma" w:cs="Tahoma"/>
      <w:sz w:val="16"/>
      <w:szCs w:val="16"/>
    </w:rPr>
  </w:style>
  <w:style w:type="paragraph" w:styleId="Navadensplet">
    <w:name w:val="Normal (Web)"/>
    <w:basedOn w:val="Navaden"/>
    <w:uiPriority w:val="99"/>
    <w:semiHidden/>
    <w:unhideWhenUsed/>
    <w:rsid w:val="0003148D"/>
    <w:rPr>
      <w:sz w:val="24"/>
      <w:szCs w:val="24"/>
    </w:rPr>
  </w:style>
  <w:style w:type="paragraph" w:styleId="Otevilenseznam">
    <w:name w:val="List Number"/>
    <w:basedOn w:val="Navaden"/>
    <w:uiPriority w:val="99"/>
    <w:semiHidden/>
    <w:unhideWhenUsed/>
    <w:rsid w:val="0003148D"/>
    <w:pPr>
      <w:numPr>
        <w:numId w:val="2"/>
      </w:numPr>
      <w:contextualSpacing/>
    </w:pPr>
  </w:style>
  <w:style w:type="paragraph" w:styleId="Otevilenseznam2">
    <w:name w:val="List Number 2"/>
    <w:basedOn w:val="Navaden"/>
    <w:uiPriority w:val="99"/>
    <w:semiHidden/>
    <w:unhideWhenUsed/>
    <w:rsid w:val="0003148D"/>
    <w:pPr>
      <w:numPr>
        <w:numId w:val="3"/>
      </w:numPr>
      <w:contextualSpacing/>
    </w:pPr>
  </w:style>
  <w:style w:type="paragraph" w:styleId="Otevilenseznam3">
    <w:name w:val="List Number 3"/>
    <w:basedOn w:val="Navaden"/>
    <w:uiPriority w:val="99"/>
    <w:semiHidden/>
    <w:unhideWhenUsed/>
    <w:rsid w:val="0003148D"/>
    <w:pPr>
      <w:numPr>
        <w:numId w:val="4"/>
      </w:numPr>
      <w:contextualSpacing/>
    </w:pPr>
  </w:style>
  <w:style w:type="paragraph" w:styleId="Otevilenseznam4">
    <w:name w:val="List Number 4"/>
    <w:basedOn w:val="Navaden"/>
    <w:uiPriority w:val="99"/>
    <w:semiHidden/>
    <w:unhideWhenUsed/>
    <w:rsid w:val="0003148D"/>
    <w:pPr>
      <w:numPr>
        <w:numId w:val="5"/>
      </w:numPr>
      <w:contextualSpacing/>
    </w:pPr>
  </w:style>
  <w:style w:type="paragraph" w:styleId="Otevilenseznam5">
    <w:name w:val="List Number 5"/>
    <w:basedOn w:val="Navaden"/>
    <w:uiPriority w:val="99"/>
    <w:semiHidden/>
    <w:unhideWhenUsed/>
    <w:rsid w:val="0003148D"/>
    <w:pPr>
      <w:numPr>
        <w:numId w:val="6"/>
      </w:numPr>
      <w:contextualSpacing/>
    </w:pPr>
  </w:style>
  <w:style w:type="paragraph" w:styleId="HTML-oblikovano">
    <w:name w:val="HTML Preformatted"/>
    <w:basedOn w:val="Navaden"/>
    <w:link w:val="HTML-oblikovanoZnak"/>
    <w:uiPriority w:val="99"/>
    <w:semiHidden/>
    <w:unhideWhenUsed/>
    <w:rsid w:val="0003148D"/>
    <w:pPr>
      <w:spacing w:line="240" w:lineRule="auto"/>
    </w:pPr>
    <w:rPr>
      <w:rFonts w:ascii="Consolas" w:hAnsi="Consolas" w:cs="Consolas"/>
    </w:rPr>
  </w:style>
  <w:style w:type="character" w:customStyle="1" w:styleId="HTML-oblikovanoZnak">
    <w:name w:val="HTML-oblikovano Znak"/>
    <w:basedOn w:val="Privzetapisavaodstavka"/>
    <w:link w:val="HTML-oblikovano"/>
    <w:uiPriority w:val="99"/>
    <w:semiHidden/>
    <w:rsid w:val="0003148D"/>
    <w:rPr>
      <w:rFonts w:ascii="Consolas" w:hAnsi="Consolas" w:cs="Consolas"/>
      <w:sz w:val="20"/>
      <w:szCs w:val="20"/>
    </w:rPr>
  </w:style>
  <w:style w:type="paragraph" w:styleId="Telobesedila-prvizamik">
    <w:name w:val="Body Text First Indent"/>
    <w:basedOn w:val="Telobesedila"/>
    <w:link w:val="Telobesedila-prvizamikZnak"/>
    <w:uiPriority w:val="99"/>
    <w:semiHidden/>
    <w:unhideWhenUsed/>
    <w:rsid w:val="0003148D"/>
    <w:pPr>
      <w:spacing w:after="200"/>
      <w:ind w:firstLine="360"/>
    </w:pPr>
  </w:style>
  <w:style w:type="character" w:customStyle="1" w:styleId="Telobesedila-prvizamikZnak">
    <w:name w:val="Telo besedila - prvi zamik Znak"/>
    <w:basedOn w:val="TelobesedilaZnak"/>
    <w:link w:val="Telobesedila-prvizamik"/>
    <w:uiPriority w:val="99"/>
    <w:semiHidden/>
    <w:rsid w:val="0003148D"/>
  </w:style>
  <w:style w:type="paragraph" w:styleId="Telobesedila-zamik">
    <w:name w:val="Body Text Indent"/>
    <w:basedOn w:val="Navaden"/>
    <w:link w:val="Telobesedila-zamikZnak"/>
    <w:uiPriority w:val="99"/>
    <w:semiHidden/>
    <w:unhideWhenUsed/>
    <w:rsid w:val="0003148D"/>
    <w:pPr>
      <w:spacing w:after="120"/>
      <w:ind w:left="283"/>
    </w:pPr>
  </w:style>
  <w:style w:type="character" w:customStyle="1" w:styleId="Telobesedila-zamikZnak">
    <w:name w:val="Telo besedila - zamik Znak"/>
    <w:basedOn w:val="Privzetapisavaodstavka"/>
    <w:link w:val="Telobesedila-zamik"/>
    <w:uiPriority w:val="99"/>
    <w:semiHidden/>
    <w:rsid w:val="0003148D"/>
  </w:style>
  <w:style w:type="paragraph" w:styleId="Telobesedila-prvizamik2">
    <w:name w:val="Body Text First Indent 2"/>
    <w:basedOn w:val="Telobesedila-zamik"/>
    <w:link w:val="Telobesedila-prvizamik2Znak"/>
    <w:uiPriority w:val="99"/>
    <w:semiHidden/>
    <w:unhideWhenUsed/>
    <w:rsid w:val="0003148D"/>
    <w:pPr>
      <w:spacing w:after="200"/>
      <w:ind w:left="360" w:firstLine="360"/>
    </w:pPr>
  </w:style>
  <w:style w:type="character" w:customStyle="1" w:styleId="Telobesedila-prvizamik2Znak">
    <w:name w:val="Telo besedila - prvi zamik 2 Znak"/>
    <w:basedOn w:val="Telobesedila-zamikZnak"/>
    <w:link w:val="Telobesedila-prvizamik2"/>
    <w:uiPriority w:val="99"/>
    <w:semiHidden/>
    <w:rsid w:val="0003148D"/>
  </w:style>
  <w:style w:type="paragraph" w:styleId="Oznaenseznam">
    <w:name w:val="List Bullet"/>
    <w:basedOn w:val="Navaden"/>
    <w:uiPriority w:val="99"/>
    <w:semiHidden/>
    <w:unhideWhenUsed/>
    <w:rsid w:val="0003148D"/>
    <w:pPr>
      <w:numPr>
        <w:numId w:val="7"/>
      </w:numPr>
      <w:contextualSpacing/>
    </w:pPr>
  </w:style>
  <w:style w:type="paragraph" w:styleId="Oznaenseznam2">
    <w:name w:val="List Bullet 2"/>
    <w:basedOn w:val="Navaden"/>
    <w:uiPriority w:val="99"/>
    <w:semiHidden/>
    <w:unhideWhenUsed/>
    <w:rsid w:val="0003148D"/>
    <w:pPr>
      <w:numPr>
        <w:numId w:val="8"/>
      </w:numPr>
      <w:contextualSpacing/>
    </w:pPr>
  </w:style>
  <w:style w:type="paragraph" w:styleId="Oznaenseznam3">
    <w:name w:val="List Bullet 3"/>
    <w:basedOn w:val="Navaden"/>
    <w:uiPriority w:val="99"/>
    <w:semiHidden/>
    <w:unhideWhenUsed/>
    <w:rsid w:val="0003148D"/>
    <w:pPr>
      <w:numPr>
        <w:numId w:val="9"/>
      </w:numPr>
      <w:contextualSpacing/>
    </w:pPr>
  </w:style>
  <w:style w:type="paragraph" w:styleId="Oznaenseznam4">
    <w:name w:val="List Bullet 4"/>
    <w:basedOn w:val="Navaden"/>
    <w:uiPriority w:val="99"/>
    <w:semiHidden/>
    <w:unhideWhenUsed/>
    <w:rsid w:val="0003148D"/>
    <w:pPr>
      <w:numPr>
        <w:numId w:val="10"/>
      </w:numPr>
      <w:contextualSpacing/>
    </w:pPr>
  </w:style>
  <w:style w:type="paragraph" w:styleId="Oznaenseznam5">
    <w:name w:val="List Bullet 5"/>
    <w:basedOn w:val="Navaden"/>
    <w:uiPriority w:val="99"/>
    <w:semiHidden/>
    <w:unhideWhenUsed/>
    <w:rsid w:val="0003148D"/>
    <w:pPr>
      <w:numPr>
        <w:numId w:val="11"/>
      </w:numPr>
      <w:contextualSpacing/>
    </w:pPr>
  </w:style>
  <w:style w:type="paragraph" w:styleId="Telobesedila-zamik2">
    <w:name w:val="Body Text Indent 2"/>
    <w:basedOn w:val="Navaden"/>
    <w:link w:val="Telobesedila-zamik2Znak"/>
    <w:uiPriority w:val="99"/>
    <w:semiHidden/>
    <w:unhideWhenUsed/>
    <w:rsid w:val="0003148D"/>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03148D"/>
  </w:style>
  <w:style w:type="paragraph" w:styleId="Telobesedila-zamik3">
    <w:name w:val="Body Text Indent 3"/>
    <w:basedOn w:val="Navaden"/>
    <w:link w:val="Telobesedila-zamik3Znak"/>
    <w:uiPriority w:val="99"/>
    <w:semiHidden/>
    <w:unhideWhenUsed/>
    <w:rsid w:val="0003148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3148D"/>
    <w:rPr>
      <w:sz w:val="16"/>
      <w:szCs w:val="16"/>
    </w:rPr>
  </w:style>
  <w:style w:type="paragraph" w:styleId="Navaden-zamik">
    <w:name w:val="Normal Indent"/>
    <w:basedOn w:val="Navaden"/>
    <w:uiPriority w:val="99"/>
    <w:semiHidden/>
    <w:unhideWhenUsed/>
    <w:rsid w:val="0003148D"/>
    <w:pPr>
      <w:ind w:left="720"/>
    </w:pPr>
  </w:style>
  <w:style w:type="paragraph" w:styleId="Pripombabesedilo">
    <w:name w:val="annotation text"/>
    <w:basedOn w:val="Navaden"/>
    <w:link w:val="PripombabesediloZnak"/>
    <w:uiPriority w:val="99"/>
    <w:unhideWhenUsed/>
    <w:rsid w:val="0003148D"/>
    <w:pPr>
      <w:spacing w:line="240" w:lineRule="auto"/>
    </w:pPr>
  </w:style>
  <w:style w:type="character" w:customStyle="1" w:styleId="PripombabesediloZnak">
    <w:name w:val="Pripomba – besedilo Znak"/>
    <w:basedOn w:val="Privzetapisavaodstavka"/>
    <w:link w:val="Pripombabesedilo"/>
    <w:uiPriority w:val="99"/>
    <w:rsid w:val="0003148D"/>
    <w:rPr>
      <w:sz w:val="20"/>
      <w:szCs w:val="20"/>
    </w:rPr>
  </w:style>
  <w:style w:type="paragraph" w:styleId="Zadevapripombe">
    <w:name w:val="annotation subject"/>
    <w:basedOn w:val="Pripombabesedilo"/>
    <w:next w:val="Pripombabesedilo"/>
    <w:link w:val="ZadevapripombeZnak"/>
    <w:uiPriority w:val="99"/>
    <w:semiHidden/>
    <w:unhideWhenUsed/>
    <w:rsid w:val="0003148D"/>
    <w:rPr>
      <w:b/>
      <w:bCs/>
    </w:rPr>
  </w:style>
  <w:style w:type="character" w:customStyle="1" w:styleId="ZadevapripombeZnak">
    <w:name w:val="Zadeva pripombe Znak"/>
    <w:basedOn w:val="PripombabesediloZnak"/>
    <w:link w:val="Zadevapripombe"/>
    <w:uiPriority w:val="99"/>
    <w:semiHidden/>
    <w:rsid w:val="0003148D"/>
    <w:rPr>
      <w:b/>
      <w:bCs/>
      <w:sz w:val="20"/>
      <w:szCs w:val="20"/>
    </w:rPr>
  </w:style>
  <w:style w:type="paragraph" w:styleId="Kazalovsebine1">
    <w:name w:val="toc 1"/>
    <w:basedOn w:val="Navaden"/>
    <w:next w:val="Navaden"/>
    <w:autoRedefine/>
    <w:uiPriority w:val="39"/>
    <w:semiHidden/>
    <w:unhideWhenUsed/>
    <w:rsid w:val="0003148D"/>
    <w:pPr>
      <w:spacing w:after="100"/>
    </w:pPr>
  </w:style>
  <w:style w:type="paragraph" w:styleId="Kazalovsebine2">
    <w:name w:val="toc 2"/>
    <w:basedOn w:val="Navaden"/>
    <w:next w:val="Navaden"/>
    <w:autoRedefine/>
    <w:uiPriority w:val="39"/>
    <w:semiHidden/>
    <w:unhideWhenUsed/>
    <w:rsid w:val="0003148D"/>
    <w:pPr>
      <w:spacing w:after="100"/>
      <w:ind w:left="220"/>
    </w:pPr>
  </w:style>
  <w:style w:type="paragraph" w:styleId="Kazalovsebine3">
    <w:name w:val="toc 3"/>
    <w:basedOn w:val="Navaden"/>
    <w:next w:val="Navaden"/>
    <w:autoRedefine/>
    <w:uiPriority w:val="39"/>
    <w:semiHidden/>
    <w:unhideWhenUsed/>
    <w:rsid w:val="0003148D"/>
    <w:pPr>
      <w:spacing w:after="100"/>
      <w:ind w:left="440"/>
    </w:pPr>
  </w:style>
  <w:style w:type="paragraph" w:styleId="Kazalovsebine4">
    <w:name w:val="toc 4"/>
    <w:basedOn w:val="Navaden"/>
    <w:next w:val="Navaden"/>
    <w:autoRedefine/>
    <w:uiPriority w:val="39"/>
    <w:semiHidden/>
    <w:unhideWhenUsed/>
    <w:rsid w:val="0003148D"/>
    <w:pPr>
      <w:spacing w:after="100"/>
      <w:ind w:left="660"/>
    </w:pPr>
  </w:style>
  <w:style w:type="paragraph" w:styleId="Kazalovsebine5">
    <w:name w:val="toc 5"/>
    <w:basedOn w:val="Navaden"/>
    <w:next w:val="Navaden"/>
    <w:autoRedefine/>
    <w:uiPriority w:val="39"/>
    <w:semiHidden/>
    <w:unhideWhenUsed/>
    <w:rsid w:val="0003148D"/>
    <w:pPr>
      <w:spacing w:after="100"/>
      <w:ind w:left="880"/>
    </w:pPr>
  </w:style>
  <w:style w:type="paragraph" w:styleId="Kazalovsebine6">
    <w:name w:val="toc 6"/>
    <w:basedOn w:val="Navaden"/>
    <w:next w:val="Navaden"/>
    <w:autoRedefine/>
    <w:uiPriority w:val="39"/>
    <w:semiHidden/>
    <w:unhideWhenUsed/>
    <w:rsid w:val="0003148D"/>
    <w:pPr>
      <w:spacing w:after="100"/>
      <w:ind w:left="1100"/>
    </w:pPr>
  </w:style>
  <w:style w:type="paragraph" w:styleId="Kazalovsebine7">
    <w:name w:val="toc 7"/>
    <w:basedOn w:val="Navaden"/>
    <w:next w:val="Navaden"/>
    <w:autoRedefine/>
    <w:uiPriority w:val="39"/>
    <w:semiHidden/>
    <w:unhideWhenUsed/>
    <w:rsid w:val="0003148D"/>
    <w:pPr>
      <w:spacing w:after="100"/>
      <w:ind w:left="1320"/>
    </w:pPr>
  </w:style>
  <w:style w:type="paragraph" w:styleId="Kazalovsebine8">
    <w:name w:val="toc 8"/>
    <w:basedOn w:val="Navaden"/>
    <w:next w:val="Navaden"/>
    <w:autoRedefine/>
    <w:uiPriority w:val="39"/>
    <w:semiHidden/>
    <w:unhideWhenUsed/>
    <w:rsid w:val="0003148D"/>
    <w:pPr>
      <w:spacing w:after="100"/>
      <w:ind w:left="1540"/>
    </w:pPr>
  </w:style>
  <w:style w:type="paragraph" w:styleId="Kazalovsebine9">
    <w:name w:val="toc 9"/>
    <w:basedOn w:val="Navaden"/>
    <w:next w:val="Navaden"/>
    <w:autoRedefine/>
    <w:uiPriority w:val="39"/>
    <w:semiHidden/>
    <w:unhideWhenUsed/>
    <w:rsid w:val="0003148D"/>
    <w:pPr>
      <w:spacing w:after="100"/>
      <w:ind w:left="1760"/>
    </w:pPr>
  </w:style>
  <w:style w:type="paragraph" w:styleId="Blokbesedila">
    <w:name w:val="Block Text"/>
    <w:basedOn w:val="Navade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besedilo">
    <w:name w:val="macro"/>
    <w:link w:val="Makrobesedilo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besediloZnak">
    <w:name w:val="Makro besedilo Znak"/>
    <w:basedOn w:val="Privzetapisavaodstavka"/>
    <w:link w:val="Makrobesedilo"/>
    <w:uiPriority w:val="99"/>
    <w:semiHidden/>
    <w:rsid w:val="0003148D"/>
    <w:rPr>
      <w:rFonts w:ascii="Consolas" w:hAnsi="Consolas" w:cs="Consolas"/>
      <w:sz w:val="20"/>
      <w:szCs w:val="20"/>
    </w:rPr>
  </w:style>
  <w:style w:type="paragraph" w:styleId="Golobesedilo">
    <w:name w:val="Plain Text"/>
    <w:basedOn w:val="Navaden"/>
    <w:link w:val="GolobesediloZnak"/>
    <w:uiPriority w:val="99"/>
    <w:semiHidden/>
    <w:unhideWhenUsed/>
    <w:rsid w:val="0003148D"/>
    <w:pPr>
      <w:spacing w:line="240" w:lineRule="auto"/>
    </w:pPr>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03148D"/>
    <w:rPr>
      <w:rFonts w:ascii="Consolas" w:hAnsi="Consolas" w:cs="Consolas"/>
      <w:sz w:val="21"/>
      <w:szCs w:val="21"/>
    </w:rPr>
  </w:style>
  <w:style w:type="paragraph" w:styleId="Sprotnaopomba-besedilo">
    <w:name w:val="footnote text"/>
    <w:basedOn w:val="Navaden"/>
    <w:link w:val="Sprotnaopomba-besediloZnak"/>
    <w:uiPriority w:val="99"/>
    <w:semiHidden/>
    <w:unhideWhenUsed/>
    <w:rsid w:val="0003148D"/>
    <w:pPr>
      <w:spacing w:line="240" w:lineRule="auto"/>
    </w:pPr>
  </w:style>
  <w:style w:type="character" w:customStyle="1" w:styleId="Sprotnaopomba-besediloZnak">
    <w:name w:val="Sprotna opomba - besedilo Znak"/>
    <w:basedOn w:val="Privzetapisavaodstavka"/>
    <w:link w:val="Sprotnaopomba-besedilo"/>
    <w:uiPriority w:val="99"/>
    <w:semiHidden/>
    <w:rsid w:val="0003148D"/>
    <w:rPr>
      <w:sz w:val="20"/>
      <w:szCs w:val="20"/>
    </w:rPr>
  </w:style>
  <w:style w:type="paragraph" w:styleId="Konnaopomba-besedilo">
    <w:name w:val="endnote text"/>
    <w:basedOn w:val="Navaden"/>
    <w:link w:val="Konnaopomba-besediloZnak"/>
    <w:uiPriority w:val="99"/>
    <w:semiHidden/>
    <w:unhideWhenUsed/>
    <w:rsid w:val="0003148D"/>
    <w:pPr>
      <w:spacing w:line="240" w:lineRule="auto"/>
    </w:pPr>
  </w:style>
  <w:style w:type="character" w:customStyle="1" w:styleId="Konnaopomba-besediloZnak">
    <w:name w:val="Končna opomba - besedilo Znak"/>
    <w:basedOn w:val="Privzetapisavaodstavka"/>
    <w:link w:val="Konnaopomba-besedilo"/>
    <w:uiPriority w:val="99"/>
    <w:semiHidden/>
    <w:rsid w:val="0003148D"/>
    <w:rPr>
      <w:sz w:val="20"/>
      <w:szCs w:val="20"/>
    </w:rPr>
  </w:style>
  <w:style w:type="character" w:customStyle="1" w:styleId="Naslov1Znak">
    <w:name w:val="Naslov 1 Znak"/>
    <w:basedOn w:val="Privzetapisavaodstavka"/>
    <w:link w:val="Naslov1"/>
    <w:uiPriority w:val="9"/>
    <w:rsid w:val="004F5E36"/>
    <w:rPr>
      <w:rFonts w:ascii="Arial" w:eastAsia="Times New Roman" w:hAnsi="Arial" w:cs="Times New Roman"/>
      <w:b/>
      <w:sz w:val="20"/>
      <w:szCs w:val="20"/>
      <w:lang w:val="en-GB"/>
    </w:rPr>
  </w:style>
  <w:style w:type="character" w:customStyle="1" w:styleId="Naslov2Znak">
    <w:name w:val="Naslov 2 Znak"/>
    <w:basedOn w:val="Privzetapisavaodstavka"/>
    <w:link w:val="Naslov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3148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3148D"/>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03148D"/>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03148D"/>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03148D"/>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03148D"/>
    <w:rPr>
      <w:rFonts w:asciiTheme="majorHAnsi" w:eastAsiaTheme="majorEastAsia" w:hAnsiTheme="majorHAnsi" w:cstheme="majorBidi"/>
      <w:i/>
      <w:iCs/>
      <w:color w:val="404040" w:themeColor="text1" w:themeTint="BF"/>
      <w:sz w:val="20"/>
      <w:szCs w:val="20"/>
    </w:rPr>
  </w:style>
  <w:style w:type="paragraph" w:styleId="Stvarnokazalo-naslov">
    <w:name w:val="index heading"/>
    <w:basedOn w:val="Navaden"/>
    <w:next w:val="Stvarnokazalo1"/>
    <w:uiPriority w:val="99"/>
    <w:semiHidden/>
    <w:unhideWhenUsed/>
    <w:rsid w:val="0003148D"/>
    <w:rPr>
      <w:rFonts w:asciiTheme="majorHAnsi" w:eastAsiaTheme="majorEastAsia" w:hAnsiTheme="majorHAnsi" w:cstheme="majorBidi"/>
      <w:b/>
      <w:bCs/>
    </w:rPr>
  </w:style>
  <w:style w:type="paragraph" w:styleId="Kazalovirov-naslov">
    <w:name w:val="toa heading"/>
    <w:basedOn w:val="Navaden"/>
    <w:next w:val="Navaden"/>
    <w:uiPriority w:val="99"/>
    <w:semiHidden/>
    <w:unhideWhenUsed/>
    <w:rsid w:val="0003148D"/>
    <w:pPr>
      <w:spacing w:before="120"/>
    </w:pPr>
    <w:rPr>
      <w:rFonts w:asciiTheme="majorHAnsi" w:eastAsiaTheme="majorEastAsia" w:hAnsiTheme="majorHAnsi" w:cstheme="majorBidi"/>
      <w:b/>
      <w:bCs/>
      <w:sz w:val="24"/>
      <w:szCs w:val="24"/>
    </w:rPr>
  </w:style>
  <w:style w:type="paragraph" w:styleId="NaslovTOC">
    <w:name w:val="TOC Heading"/>
    <w:basedOn w:val="Naslov1"/>
    <w:next w:val="Navade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rivzetapisavaodstavk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Glava">
    <w:name w:val="header"/>
    <w:basedOn w:val="Navaden"/>
    <w:link w:val="GlavaZnak"/>
    <w:uiPriority w:val="99"/>
    <w:unhideWhenUsed/>
    <w:rsid w:val="005278B7"/>
    <w:pPr>
      <w:tabs>
        <w:tab w:val="clear" w:pos="7100"/>
        <w:tab w:val="center" w:pos="4819"/>
        <w:tab w:val="right" w:pos="9638"/>
      </w:tabs>
      <w:spacing w:line="240" w:lineRule="auto"/>
    </w:pPr>
  </w:style>
  <w:style w:type="character" w:customStyle="1" w:styleId="GlavaZnak">
    <w:name w:val="Glava Znak"/>
    <w:basedOn w:val="Privzetapisavaodstavka"/>
    <w:link w:val="Glava"/>
    <w:uiPriority w:val="99"/>
    <w:rsid w:val="005278B7"/>
    <w:rPr>
      <w:rFonts w:ascii="Arial" w:eastAsia="Times New Roman" w:hAnsi="Arial" w:cs="Times New Roman"/>
      <w:sz w:val="18"/>
      <w:szCs w:val="20"/>
      <w:lang w:val="en-GB"/>
    </w:rPr>
  </w:style>
  <w:style w:type="paragraph" w:styleId="Noga">
    <w:name w:val="footer"/>
    <w:basedOn w:val="Navaden"/>
    <w:link w:val="NogaZnak"/>
    <w:uiPriority w:val="99"/>
    <w:unhideWhenUsed/>
    <w:rsid w:val="005278B7"/>
    <w:pPr>
      <w:tabs>
        <w:tab w:val="clear" w:pos="7100"/>
        <w:tab w:val="center" w:pos="4819"/>
        <w:tab w:val="right" w:pos="9638"/>
      </w:tabs>
      <w:spacing w:line="240" w:lineRule="auto"/>
    </w:pPr>
  </w:style>
  <w:style w:type="character" w:customStyle="1" w:styleId="NogaZnak">
    <w:name w:val="Noga Znak"/>
    <w:basedOn w:val="Privzetapisavaodstavka"/>
    <w:link w:val="Noga"/>
    <w:uiPriority w:val="99"/>
    <w:rsid w:val="005278B7"/>
    <w:rPr>
      <w:rFonts w:ascii="Arial" w:eastAsia="Times New Roman" w:hAnsi="Arial" w:cs="Times New Roman"/>
      <w:sz w:val="18"/>
      <w:szCs w:val="20"/>
      <w:lang w:val="en-GB"/>
    </w:rPr>
  </w:style>
  <w:style w:type="table" w:styleId="Tabelamrea">
    <w:name w:val="Table Grid"/>
    <w:basedOn w:val="Navadnatabel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04C62"/>
    <w:rPr>
      <w:color w:val="0000FF" w:themeColor="hyperlink"/>
      <w:u w:val="single"/>
    </w:rPr>
  </w:style>
  <w:style w:type="character" w:customStyle="1" w:styleId="eudoraheader">
    <w:name w:val="eudoraheader"/>
    <w:basedOn w:val="Privzetapisavaodstavk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kseznama">
    <w:name w:val="List Paragraph"/>
    <w:basedOn w:val="Navaden"/>
    <w:uiPriority w:val="34"/>
    <w:rsid w:val="00280FAF"/>
    <w:pPr>
      <w:ind w:left="720"/>
      <w:contextualSpacing/>
    </w:pPr>
  </w:style>
  <w:style w:type="paragraph" w:customStyle="1" w:styleId="Slog1">
    <w:name w:val="Slog1"/>
    <w:link w:val="Slog1Znak"/>
    <w:qFormat/>
    <w:rsid w:val="009E2438"/>
    <w:rPr>
      <w:rFonts w:ascii="Arial" w:hAnsi="Arial" w:cs="Arial"/>
      <w:b/>
      <w:bCs/>
      <w:sz w:val="18"/>
      <w:szCs w:val="18"/>
    </w:rPr>
  </w:style>
  <w:style w:type="character" w:customStyle="1" w:styleId="label">
    <w:name w:val="label"/>
    <w:basedOn w:val="Privzetapisavaodstavka"/>
    <w:rsid w:val="003813C6"/>
  </w:style>
  <w:style w:type="paragraph" w:customStyle="1" w:styleId="NavadnatabelaOdstavek">
    <w:name w:val="Navadna tabela Odstavek"/>
    <w:basedOn w:val="Navaden"/>
    <w:link w:val="Navadnatabela"/>
    <w:uiPriority w:val="99"/>
    <w:rsid w:val="009E2438"/>
  </w:style>
  <w:style w:type="paragraph" w:customStyle="1" w:styleId="Tabelapreprosta1Odstavek">
    <w:name w:val="Tabela – preprosta 1 Odstavek"/>
    <w:basedOn w:val="NavadnatabelaOdstavek"/>
    <w:link w:val="Tabelapreprosta1"/>
    <w:rsid w:val="009E2438"/>
  </w:style>
  <w:style w:type="character" w:customStyle="1" w:styleId="Slog1Znak">
    <w:name w:val="Slog1 Znak"/>
    <w:link w:val="Slog1"/>
    <w:rsid w:val="009E2438"/>
    <w:rPr>
      <w:rFonts w:ascii="Arial" w:eastAsia="Times New Roman" w:hAnsi="Arial" w:cs="Arial"/>
      <w:b/>
      <w:bCs/>
      <w:sz w:val="18"/>
      <w:szCs w:val="18"/>
      <w:lang w:eastAsia="it-IT"/>
    </w:rPr>
  </w:style>
  <w:style w:type="character" w:customStyle="1" w:styleId="mjxassistivemathml">
    <w:name w:val="mjx_assistive_mathml"/>
    <w:basedOn w:val="Privzetapisavaodstavka"/>
    <w:rsid w:val="003813C6"/>
  </w:style>
  <w:style w:type="character" w:styleId="Poudarek">
    <w:name w:val="Emphasis"/>
    <w:basedOn w:val="Privzetapisavaodstavka"/>
    <w:uiPriority w:val="20"/>
    <w:qFormat/>
    <w:rsid w:val="003813C6"/>
    <w:rPr>
      <w:i/>
      <w:iCs/>
    </w:rPr>
  </w:style>
  <w:style w:type="paragraph" w:styleId="Revizija">
    <w:name w:val="Revision"/>
    <w:hidden/>
    <w:uiPriority w:val="99"/>
    <w:semiHidden/>
    <w:rsid w:val="00F9292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6926">
      <w:bodyDiv w:val="1"/>
      <w:marLeft w:val="0"/>
      <w:marRight w:val="0"/>
      <w:marTop w:val="0"/>
      <w:marBottom w:val="0"/>
      <w:divBdr>
        <w:top w:val="none" w:sz="0" w:space="0" w:color="auto"/>
        <w:left w:val="none" w:sz="0" w:space="0" w:color="auto"/>
        <w:bottom w:val="none" w:sz="0" w:space="0" w:color="auto"/>
        <w:right w:val="none" w:sz="0" w:space="0" w:color="auto"/>
      </w:divBdr>
    </w:div>
    <w:div w:id="140136246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10203</Words>
  <Characters>58161</Characters>
  <Application>Microsoft Office Word</Application>
  <DocSecurity>0</DocSecurity>
  <Lines>484</Lines>
  <Paragraphs>136</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68228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Katja Vasić</cp:lastModifiedBy>
  <cp:revision>11</cp:revision>
  <cp:lastPrinted>2015-05-12T18:31:00Z</cp:lastPrinted>
  <dcterms:created xsi:type="dcterms:W3CDTF">2023-03-01T10:35:00Z</dcterms:created>
  <dcterms:modified xsi:type="dcterms:W3CDTF">2023-03-01T12:37:00Z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id="2uGdlZss"/&gt;&lt;style id="http://www.zotero.org/styles/organic-geochemistry" hasBibliography="1" bibliographyStyleHasBeenSet="1"/&gt;&lt;prefs&gt;&lt;pref name="fieldType" value="Field"/&gt;&lt;pref name="storeReferen</vt:lpwstr>
  </property>
  <property fmtid="{D5CDD505-2E9C-101B-9397-08002B2CF9AE}" pid="3" name="ZOTERO_PREF_2">
    <vt:lpwstr>ces" value="true"/&gt;&lt;/prefs&gt;&lt;/data&gt;</vt:lpwstr>
  </property>
</Properties>
</file>