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77777777"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proofErr w:type="spellStart"/>
            <w:r w:rsidRPr="00293D18">
              <w:rPr>
                <w:rFonts w:ascii="Tahoma" w:hAnsi="Tahoma" w:cs="Tahoma"/>
                <w:sz w:val="14"/>
                <w:szCs w:val="14"/>
              </w:rPr>
              <w:t>Sauro</w:t>
            </w:r>
            <w:proofErr w:type="spellEnd"/>
            <w:r w:rsidRPr="00293D18">
              <w:rPr>
                <w:rFonts w:ascii="Tahoma" w:hAnsi="Tahoma" w:cs="Tahoma"/>
                <w:sz w:val="14"/>
                <w:szCs w:val="14"/>
              </w:rPr>
              <w:t xml:space="preserve"> </w:t>
            </w:r>
            <w:proofErr w:type="spellStart"/>
            <w:r w:rsidRPr="00293D18">
              <w:rPr>
                <w:rFonts w:ascii="Tahoma" w:hAnsi="Tahoma" w:cs="Tahoma"/>
                <w:sz w:val="14"/>
                <w:szCs w:val="14"/>
              </w:rPr>
              <w:t>Pierucci</w:t>
            </w:r>
            <w:proofErr w:type="spellEnd"/>
            <w:r w:rsidRPr="00293D18">
              <w:rPr>
                <w:rFonts w:ascii="Tahoma" w:hAnsi="Tahoma" w:cs="Tahoma"/>
                <w:sz w:val="14"/>
                <w:szCs w:val="14"/>
              </w:rPr>
              <w:t xml:space="preserve">, </w:t>
            </w:r>
            <w:proofErr w:type="spellStart"/>
            <w:r w:rsidRPr="00293D18">
              <w:rPr>
                <w:rFonts w:ascii="Tahoma" w:hAnsi="Tahoma" w:cs="Tahoma"/>
                <w:sz w:val="14"/>
                <w:szCs w:val="14"/>
                <w:shd w:val="clear" w:color="auto" w:fill="FFFFFF"/>
              </w:rPr>
              <w:t>Jiří</w:t>
            </w:r>
            <w:proofErr w:type="spellEnd"/>
            <w:r w:rsidRPr="00293D18">
              <w:rPr>
                <w:rFonts w:ascii="Tahoma" w:hAnsi="Tahoma" w:cs="Tahoma"/>
                <w:sz w:val="14"/>
                <w:szCs w:val="14"/>
                <w:shd w:val="clear" w:color="auto" w:fill="FFFFFF"/>
              </w:rPr>
              <w:t xml:space="preserve"> Jaromír </w:t>
            </w:r>
            <w:proofErr w:type="spellStart"/>
            <w:r w:rsidRPr="00293D18">
              <w:rPr>
                <w:rFonts w:ascii="Tahoma" w:hAnsi="Tahoma" w:cs="Tahoma"/>
                <w:sz w:val="14"/>
                <w:szCs w:val="14"/>
                <w:shd w:val="clear" w:color="auto" w:fill="FFFFFF"/>
              </w:rPr>
              <w:t>Klemeš</w:t>
            </w:r>
            <w:proofErr w:type="spellEnd"/>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Servizi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4121A8CD" w:rsidR="00E978D0" w:rsidRPr="00B57B36" w:rsidRDefault="00304C8E" w:rsidP="00E978D0">
      <w:pPr>
        <w:pStyle w:val="CETTitle"/>
      </w:pPr>
      <w:r>
        <w:t>A</w:t>
      </w:r>
      <w:r w:rsidRPr="00304C8E">
        <w:t xml:space="preserve">chieving Effective </w:t>
      </w:r>
      <w:r w:rsidR="009E20C6">
        <w:t>Process Safety</w:t>
      </w:r>
      <w:r w:rsidRPr="00304C8E">
        <w:t xml:space="preserve"> Through Incident Investigation</w:t>
      </w:r>
    </w:p>
    <w:p w14:paraId="0488FED2" w14:textId="7FBBB0D7" w:rsidR="00B57E6F" w:rsidRPr="000D779D" w:rsidRDefault="00636264" w:rsidP="00B57E6F">
      <w:pPr>
        <w:pStyle w:val="CETAuthors"/>
        <w:rPr>
          <w:lang w:val="it-IT"/>
        </w:rPr>
      </w:pPr>
      <w:r w:rsidRPr="000D779D">
        <w:rPr>
          <w:lang w:val="it-IT"/>
        </w:rPr>
        <w:t>Sara Perelli</w:t>
      </w:r>
      <w:r w:rsidR="00304C8E" w:rsidRPr="000D779D">
        <w:rPr>
          <w:lang w:val="it-IT"/>
        </w:rPr>
        <w:t>*</w:t>
      </w:r>
      <w:r w:rsidR="00B57E6F" w:rsidRPr="000D779D">
        <w:rPr>
          <w:lang w:val="it-IT"/>
        </w:rPr>
        <w:t xml:space="preserve">, </w:t>
      </w:r>
      <w:r w:rsidRPr="000D779D">
        <w:rPr>
          <w:lang w:val="it-IT"/>
        </w:rPr>
        <w:t>Gianluca Zanon</w:t>
      </w:r>
      <w:r w:rsidR="00AB14F2">
        <w:rPr>
          <w:lang w:val="it-IT"/>
        </w:rPr>
        <w:t>, Leonardo Michele Carluccio</w:t>
      </w:r>
    </w:p>
    <w:p w14:paraId="3D72B0B0" w14:textId="4458D464" w:rsidR="00B57E6F" w:rsidRPr="00304C8E" w:rsidRDefault="00304C8E" w:rsidP="00636264">
      <w:pPr>
        <w:pStyle w:val="CETAddress"/>
        <w:jc w:val="both"/>
        <w:rPr>
          <w:lang w:val="it-IT"/>
        </w:rPr>
      </w:pPr>
      <w:r w:rsidRPr="00304C8E">
        <w:rPr>
          <w:lang w:val="it-IT"/>
        </w:rPr>
        <w:t xml:space="preserve">DEKRA Italia s.r.l., </w:t>
      </w:r>
      <w:r w:rsidR="009E20C6">
        <w:rPr>
          <w:lang w:val="it-IT"/>
        </w:rPr>
        <w:t>Process Safety</w:t>
      </w:r>
      <w:r w:rsidRPr="00304C8E">
        <w:rPr>
          <w:lang w:val="it-IT"/>
        </w:rPr>
        <w:t xml:space="preserve"> Business Unit, Via Fratelli Gracchi 27, 20122 Cinisello Balsamo (MI)</w:t>
      </w:r>
      <w:r w:rsidR="00B57E6F" w:rsidRPr="00304C8E">
        <w:rPr>
          <w:lang w:val="it-IT"/>
        </w:rPr>
        <w:t xml:space="preserve"> </w:t>
      </w:r>
    </w:p>
    <w:p w14:paraId="73F1267A" w14:textId="5F737D79" w:rsidR="00B57E6F" w:rsidRPr="00304C8E" w:rsidRDefault="00304C8E" w:rsidP="00B57E6F">
      <w:pPr>
        <w:pStyle w:val="CETemail"/>
      </w:pPr>
      <w:r>
        <w:t>sara.perelli@dekra.com</w:t>
      </w:r>
    </w:p>
    <w:p w14:paraId="0FEC5634" w14:textId="3088D6C2" w:rsidR="00D94D0D" w:rsidRDefault="00D94D0D" w:rsidP="00D94D0D">
      <w:pPr>
        <w:pStyle w:val="CETBodytext"/>
        <w:rPr>
          <w:lang w:val="en-GB"/>
        </w:rPr>
      </w:pPr>
      <w:r w:rsidRPr="00F41A88">
        <w:rPr>
          <w:lang w:val="en-GB"/>
        </w:rPr>
        <w:t xml:space="preserve">A </w:t>
      </w:r>
      <w:r>
        <w:rPr>
          <w:lang w:val="en-GB"/>
        </w:rPr>
        <w:t>robust</w:t>
      </w:r>
      <w:r w:rsidRPr="00F41A88">
        <w:rPr>
          <w:lang w:val="en-GB"/>
        </w:rPr>
        <w:t xml:space="preserve"> </w:t>
      </w:r>
      <w:r w:rsidR="009E20C6">
        <w:rPr>
          <w:lang w:val="en-GB"/>
        </w:rPr>
        <w:t>Process Safety</w:t>
      </w:r>
      <w:r w:rsidRPr="00F41A88">
        <w:rPr>
          <w:lang w:val="en-GB"/>
        </w:rPr>
        <w:t xml:space="preserve"> system is crucial in reducing</w:t>
      </w:r>
      <w:r>
        <w:rPr>
          <w:lang w:val="en-GB"/>
        </w:rPr>
        <w:t xml:space="preserve"> </w:t>
      </w:r>
      <w:r w:rsidRPr="00F41A88">
        <w:rPr>
          <w:lang w:val="en-GB"/>
        </w:rPr>
        <w:t>the risk of a catastrophic event to tolerable levels. Among the</w:t>
      </w:r>
      <w:r>
        <w:rPr>
          <w:lang w:val="en-GB"/>
        </w:rPr>
        <w:t xml:space="preserve"> </w:t>
      </w:r>
      <w:r w:rsidRPr="00F41A88">
        <w:rPr>
          <w:lang w:val="en-GB"/>
        </w:rPr>
        <w:t xml:space="preserve">twenty </w:t>
      </w:r>
      <w:r>
        <w:rPr>
          <w:lang w:val="en-GB"/>
        </w:rPr>
        <w:t xml:space="preserve">PSM </w:t>
      </w:r>
      <w:r w:rsidRPr="00F41A88">
        <w:rPr>
          <w:lang w:val="en-GB"/>
        </w:rPr>
        <w:t xml:space="preserve">elements identified by CCPS, </w:t>
      </w:r>
      <w:r w:rsidR="009E20C6">
        <w:rPr>
          <w:lang w:val="en-GB"/>
        </w:rPr>
        <w:t>I</w:t>
      </w:r>
      <w:r w:rsidRPr="00F41A88">
        <w:rPr>
          <w:lang w:val="en-GB"/>
        </w:rPr>
        <w:t xml:space="preserve">ncident </w:t>
      </w:r>
      <w:r w:rsidR="009E20C6">
        <w:rPr>
          <w:lang w:val="en-GB"/>
        </w:rPr>
        <w:t>I</w:t>
      </w:r>
      <w:r w:rsidRPr="00F41A88">
        <w:rPr>
          <w:lang w:val="en-GB"/>
        </w:rPr>
        <w:t>nvestigation provides an</w:t>
      </w:r>
      <w:r>
        <w:rPr>
          <w:lang w:val="en-GB"/>
        </w:rPr>
        <w:t xml:space="preserve"> </w:t>
      </w:r>
      <w:r w:rsidRPr="00F41A88">
        <w:rPr>
          <w:lang w:val="en-GB"/>
        </w:rPr>
        <w:t>opportunity for organizations to learn valuable lessons from minor</w:t>
      </w:r>
      <w:r>
        <w:rPr>
          <w:lang w:val="en-GB"/>
        </w:rPr>
        <w:t xml:space="preserve"> </w:t>
      </w:r>
      <w:r w:rsidRPr="00F41A88">
        <w:rPr>
          <w:lang w:val="en-GB"/>
        </w:rPr>
        <w:t>incidents that then help prevent major disasters. Choosing the right</w:t>
      </w:r>
      <w:r>
        <w:rPr>
          <w:lang w:val="en-GB"/>
        </w:rPr>
        <w:t xml:space="preserve"> </w:t>
      </w:r>
      <w:r w:rsidRPr="00F41A88">
        <w:rPr>
          <w:lang w:val="en-GB"/>
        </w:rPr>
        <w:t xml:space="preserve">methodology for </w:t>
      </w:r>
      <w:r w:rsidR="009E20C6">
        <w:rPr>
          <w:lang w:val="en-GB"/>
        </w:rPr>
        <w:t>I</w:t>
      </w:r>
      <w:r w:rsidRPr="00F41A88">
        <w:rPr>
          <w:lang w:val="en-GB"/>
        </w:rPr>
        <w:t xml:space="preserve">ncident </w:t>
      </w:r>
      <w:r w:rsidR="009E20C6">
        <w:rPr>
          <w:lang w:val="en-GB"/>
        </w:rPr>
        <w:t>I</w:t>
      </w:r>
      <w:r w:rsidRPr="00F41A88">
        <w:rPr>
          <w:lang w:val="en-GB"/>
        </w:rPr>
        <w:t>nvestigation facilitates the process and</w:t>
      </w:r>
      <w:r>
        <w:rPr>
          <w:lang w:val="en-GB"/>
        </w:rPr>
        <w:t xml:space="preserve"> </w:t>
      </w:r>
      <w:r w:rsidRPr="00F41A88">
        <w:rPr>
          <w:lang w:val="en-GB"/>
        </w:rPr>
        <w:t xml:space="preserve">must be tailored to the purpose and available resources </w:t>
      </w:r>
      <w:proofErr w:type="gramStart"/>
      <w:r w:rsidRPr="00F41A88">
        <w:rPr>
          <w:lang w:val="en-GB"/>
        </w:rPr>
        <w:t>in order to</w:t>
      </w:r>
      <w:proofErr w:type="gramEnd"/>
      <w:r>
        <w:rPr>
          <w:lang w:val="en-GB"/>
        </w:rPr>
        <w:t xml:space="preserve"> </w:t>
      </w:r>
      <w:r w:rsidRPr="00F41A88">
        <w:rPr>
          <w:lang w:val="en-GB"/>
        </w:rPr>
        <w:t>be effective</w:t>
      </w:r>
      <w:r>
        <w:rPr>
          <w:lang w:val="en-GB"/>
        </w:rPr>
        <w:t xml:space="preserve">. Care should be exercised, however, when searching for the </w:t>
      </w:r>
      <w:r w:rsidRPr="00F41A88">
        <w:rPr>
          <w:lang w:val="en-GB"/>
        </w:rPr>
        <w:t>relationship between minor incidents and full-blown catastrophes</w:t>
      </w:r>
      <w:r>
        <w:rPr>
          <w:lang w:val="en-GB"/>
        </w:rPr>
        <w:t xml:space="preserve">, </w:t>
      </w:r>
      <w:proofErr w:type="gramStart"/>
      <w:r>
        <w:rPr>
          <w:lang w:val="en-GB"/>
        </w:rPr>
        <w:t>in order to</w:t>
      </w:r>
      <w:proofErr w:type="gramEnd"/>
      <w:r>
        <w:rPr>
          <w:lang w:val="en-GB"/>
        </w:rPr>
        <w:t xml:space="preserve"> fully exploit the potential of </w:t>
      </w:r>
      <w:r w:rsidR="009E20C6">
        <w:rPr>
          <w:lang w:val="en-GB"/>
        </w:rPr>
        <w:t>I</w:t>
      </w:r>
      <w:r>
        <w:rPr>
          <w:lang w:val="en-GB"/>
        </w:rPr>
        <w:t xml:space="preserve">ncident </w:t>
      </w:r>
      <w:r w:rsidR="009E20C6">
        <w:rPr>
          <w:lang w:val="en-GB"/>
        </w:rPr>
        <w:t>I</w:t>
      </w:r>
      <w:r>
        <w:rPr>
          <w:lang w:val="en-GB"/>
        </w:rPr>
        <w:t xml:space="preserve">nvestigations and use their results </w:t>
      </w:r>
      <w:r w:rsidRPr="00F41A88">
        <w:rPr>
          <w:lang w:val="en-GB"/>
        </w:rPr>
        <w:t xml:space="preserve">as drivers for </w:t>
      </w:r>
      <w:r w:rsidR="009E20C6">
        <w:rPr>
          <w:lang w:val="en-GB"/>
        </w:rPr>
        <w:t>Process Safety</w:t>
      </w:r>
      <w:r w:rsidRPr="00F41A88">
        <w:rPr>
          <w:lang w:val="en-GB"/>
        </w:rPr>
        <w:t xml:space="preserve"> risk reduction</w:t>
      </w:r>
      <w:r>
        <w:rPr>
          <w:lang w:val="en-GB"/>
        </w:rPr>
        <w:t xml:space="preserve">. </w:t>
      </w:r>
      <w:r w:rsidRPr="00F41A88">
        <w:rPr>
          <w:lang w:val="en-GB"/>
        </w:rPr>
        <w:t xml:space="preserve">While most organizations have </w:t>
      </w:r>
      <w:r w:rsidR="009E20C6">
        <w:rPr>
          <w:lang w:val="en-GB"/>
        </w:rPr>
        <w:t>I</w:t>
      </w:r>
      <w:r w:rsidRPr="00F41A88">
        <w:rPr>
          <w:lang w:val="en-GB"/>
        </w:rPr>
        <w:t>ncident</w:t>
      </w:r>
      <w:r>
        <w:rPr>
          <w:lang w:val="en-GB"/>
        </w:rPr>
        <w:t xml:space="preserve"> </w:t>
      </w:r>
      <w:r w:rsidR="009E20C6">
        <w:rPr>
          <w:lang w:val="en-GB"/>
        </w:rPr>
        <w:t>I</w:t>
      </w:r>
      <w:r w:rsidRPr="00F41A88">
        <w:rPr>
          <w:lang w:val="en-GB"/>
        </w:rPr>
        <w:t xml:space="preserve">nvestigation processes in place, </w:t>
      </w:r>
      <w:r>
        <w:rPr>
          <w:lang w:val="en-GB"/>
        </w:rPr>
        <w:t xml:space="preserve">statistical </w:t>
      </w:r>
      <w:r w:rsidRPr="00F41A88">
        <w:rPr>
          <w:lang w:val="en-GB"/>
        </w:rPr>
        <w:t>evidence shows that the lessons</w:t>
      </w:r>
      <w:r>
        <w:rPr>
          <w:lang w:val="en-GB"/>
        </w:rPr>
        <w:t xml:space="preserve"> </w:t>
      </w:r>
      <w:r w:rsidRPr="00F41A88">
        <w:rPr>
          <w:lang w:val="en-GB"/>
        </w:rPr>
        <w:t>learned during investigations seldom take root, resulting</w:t>
      </w:r>
      <w:r>
        <w:rPr>
          <w:lang w:val="en-GB"/>
        </w:rPr>
        <w:t xml:space="preserve"> </w:t>
      </w:r>
      <w:r w:rsidRPr="00F41A88">
        <w:rPr>
          <w:lang w:val="en-GB"/>
        </w:rPr>
        <w:t xml:space="preserve">in repeated accidents. </w:t>
      </w:r>
      <w:r>
        <w:rPr>
          <w:lang w:val="en-GB"/>
        </w:rPr>
        <w:t xml:space="preserve">This is most likely caused by the lack of implementation of the changes (or root actions) required. A particularly important role in incident investigation is played by near-misses, as they represent </w:t>
      </w:r>
      <w:r w:rsidRPr="00F41A88">
        <w:rPr>
          <w:lang w:val="en-GB"/>
        </w:rPr>
        <w:t>valuable</w:t>
      </w:r>
      <w:r>
        <w:rPr>
          <w:lang w:val="en-GB"/>
        </w:rPr>
        <w:t xml:space="preserve"> </w:t>
      </w:r>
      <w:r w:rsidRPr="00F41A88">
        <w:rPr>
          <w:lang w:val="en-GB"/>
        </w:rPr>
        <w:t>sources of information</w:t>
      </w:r>
      <w:r>
        <w:rPr>
          <w:lang w:val="en-GB"/>
        </w:rPr>
        <w:t xml:space="preserve"> and provide helpful </w:t>
      </w:r>
      <w:r w:rsidRPr="00F41A88">
        <w:rPr>
          <w:lang w:val="en-GB"/>
        </w:rPr>
        <w:t>opportunities for learning</w:t>
      </w:r>
      <w:r>
        <w:rPr>
          <w:lang w:val="en-GB"/>
        </w:rPr>
        <w:t xml:space="preserve">. </w:t>
      </w:r>
      <w:r w:rsidRPr="00F41A88">
        <w:rPr>
          <w:lang w:val="en-GB"/>
        </w:rPr>
        <w:t>A near</w:t>
      </w:r>
      <w:r w:rsidR="00891342">
        <w:rPr>
          <w:lang w:val="en-GB"/>
        </w:rPr>
        <w:t>-</w:t>
      </w:r>
      <w:r w:rsidRPr="00F41A88">
        <w:rPr>
          <w:lang w:val="en-GB"/>
        </w:rPr>
        <w:t xml:space="preserve">miss is much less </w:t>
      </w:r>
      <w:r w:rsidR="00B857F7">
        <w:rPr>
          <w:lang w:val="en-GB"/>
        </w:rPr>
        <w:t>grievous</w:t>
      </w:r>
      <w:r w:rsidRPr="00F41A88">
        <w:rPr>
          <w:lang w:val="en-GB"/>
        </w:rPr>
        <w:t xml:space="preserve"> than a full-blown disaster: evidence is</w:t>
      </w:r>
      <w:r>
        <w:rPr>
          <w:lang w:val="en-GB"/>
        </w:rPr>
        <w:t xml:space="preserve"> </w:t>
      </w:r>
      <w:r w:rsidRPr="00F41A88">
        <w:rPr>
          <w:lang w:val="en-GB"/>
        </w:rPr>
        <w:t>usually easier to find; people are more willing to be frank; and</w:t>
      </w:r>
      <w:r>
        <w:rPr>
          <w:lang w:val="en-GB"/>
        </w:rPr>
        <w:t xml:space="preserve"> </w:t>
      </w:r>
      <w:r w:rsidRPr="00F41A88">
        <w:rPr>
          <w:lang w:val="en-GB"/>
        </w:rPr>
        <w:t>greater frequency means learning can happen more often and more</w:t>
      </w:r>
      <w:r>
        <w:rPr>
          <w:lang w:val="en-GB"/>
        </w:rPr>
        <w:t xml:space="preserve"> </w:t>
      </w:r>
      <w:r w:rsidRPr="00F41A88">
        <w:rPr>
          <w:lang w:val="en-GB"/>
        </w:rPr>
        <w:t>consistently.</w:t>
      </w:r>
      <w:r>
        <w:rPr>
          <w:lang w:val="en-GB"/>
        </w:rPr>
        <w:t xml:space="preserve"> This article discusses how </w:t>
      </w:r>
      <w:r w:rsidRPr="00F41A88">
        <w:rPr>
          <w:lang w:val="en-GB"/>
        </w:rPr>
        <w:t>thorough investigations and appropriate follow-up</w:t>
      </w:r>
      <w:r>
        <w:rPr>
          <w:lang w:val="en-GB"/>
        </w:rPr>
        <w:t xml:space="preserve"> </w:t>
      </w:r>
      <w:r w:rsidRPr="00F41A88">
        <w:rPr>
          <w:lang w:val="en-GB"/>
        </w:rPr>
        <w:t>combined with increased attention on near-miss events can</w:t>
      </w:r>
      <w:r>
        <w:rPr>
          <w:lang w:val="en-GB"/>
        </w:rPr>
        <w:t xml:space="preserve"> </w:t>
      </w:r>
      <w:r w:rsidRPr="00F41A88">
        <w:rPr>
          <w:lang w:val="en-GB"/>
        </w:rPr>
        <w:t>translate into safer operations and fewer tragedies.</w:t>
      </w:r>
      <w:r>
        <w:rPr>
          <w:lang w:val="en-GB"/>
        </w:rPr>
        <w:t xml:space="preserve"> </w:t>
      </w:r>
    </w:p>
    <w:p w14:paraId="4F552153" w14:textId="77777777" w:rsidR="00D94D0D" w:rsidRDefault="00D94D0D" w:rsidP="00600535">
      <w:pPr>
        <w:pStyle w:val="CETBodytext"/>
        <w:rPr>
          <w:lang w:val="en-GB"/>
        </w:rPr>
      </w:pPr>
    </w:p>
    <w:p w14:paraId="476B2F2E" w14:textId="06185B3F" w:rsidR="00600535" w:rsidRPr="009B55FC" w:rsidRDefault="00600535" w:rsidP="00600535">
      <w:pPr>
        <w:pStyle w:val="CETHeading1"/>
        <w:rPr>
          <w:lang w:val="en-GB"/>
        </w:rPr>
      </w:pPr>
      <w:r w:rsidRPr="009B55FC">
        <w:rPr>
          <w:lang w:val="en-GB"/>
        </w:rPr>
        <w:t>Introduction</w:t>
      </w:r>
    </w:p>
    <w:p w14:paraId="4D05B05B" w14:textId="7D7F82A7" w:rsidR="003261C0" w:rsidRDefault="003261C0" w:rsidP="003261C0">
      <w:pPr>
        <w:pStyle w:val="CETBodytext"/>
        <w:rPr>
          <w:lang w:val="en-GB"/>
        </w:rPr>
      </w:pPr>
      <w:r>
        <w:rPr>
          <w:lang w:val="en-GB"/>
        </w:rPr>
        <w:t xml:space="preserve">In the first 20 days of 2023 alone, </w:t>
      </w:r>
      <w:proofErr w:type="gramStart"/>
      <w:r>
        <w:rPr>
          <w:lang w:val="en-GB"/>
        </w:rPr>
        <w:t>a number of</w:t>
      </w:r>
      <w:proofErr w:type="gramEnd"/>
      <w:r>
        <w:rPr>
          <w:lang w:val="en-GB"/>
        </w:rPr>
        <w:t xml:space="preserve"> Process Safety Incidents were responsible for several fatalities, as summarized in the list below:</w:t>
      </w:r>
    </w:p>
    <w:p w14:paraId="4018F0A5" w14:textId="7AB738E4" w:rsidR="00FB0775" w:rsidRDefault="00FB0775" w:rsidP="00FB0775">
      <w:pPr>
        <w:pStyle w:val="CETBodytext"/>
        <w:numPr>
          <w:ilvl w:val="0"/>
          <w:numId w:val="24"/>
        </w:numPr>
        <w:rPr>
          <w:lang w:val="en-GB"/>
        </w:rPr>
      </w:pPr>
      <w:r>
        <w:rPr>
          <w:lang w:val="en-GB"/>
        </w:rPr>
        <w:t>Propane distribution factory explosion, Canada, 12</w:t>
      </w:r>
      <w:r w:rsidRPr="00FB0775">
        <w:rPr>
          <w:vertAlign w:val="superscript"/>
          <w:lang w:val="en-GB"/>
        </w:rPr>
        <w:t>th</w:t>
      </w:r>
      <w:r>
        <w:rPr>
          <w:lang w:val="en-GB"/>
        </w:rPr>
        <w:t xml:space="preserve"> January: 3 </w:t>
      </w:r>
      <w:r w:rsidR="003261C0">
        <w:rPr>
          <w:lang w:val="en-GB"/>
        </w:rPr>
        <w:t>fatalities</w:t>
      </w:r>
      <w:r w:rsidR="00056055">
        <w:rPr>
          <w:lang w:val="en-GB"/>
        </w:rPr>
        <w:t xml:space="preserve"> (</w:t>
      </w:r>
      <w:r w:rsidR="00056055" w:rsidRPr="00056055">
        <w:rPr>
          <w:lang w:val="en-GB"/>
        </w:rPr>
        <w:t>Hazardexonthenet.net, 2023</w:t>
      </w:r>
      <w:r w:rsidR="00056055">
        <w:rPr>
          <w:lang w:val="en-GB"/>
        </w:rPr>
        <w:t>a)</w:t>
      </w:r>
      <w:r>
        <w:rPr>
          <w:lang w:val="en-GB"/>
        </w:rPr>
        <w:t>;</w:t>
      </w:r>
    </w:p>
    <w:p w14:paraId="5853823B" w14:textId="61B747C3" w:rsidR="00FB0775" w:rsidRDefault="00FB0775" w:rsidP="00FB0775">
      <w:pPr>
        <w:pStyle w:val="CETBodytext"/>
        <w:numPr>
          <w:ilvl w:val="0"/>
          <w:numId w:val="24"/>
        </w:numPr>
        <w:rPr>
          <w:lang w:val="en-GB"/>
        </w:rPr>
      </w:pPr>
      <w:r>
        <w:rPr>
          <w:lang w:val="en-GB"/>
        </w:rPr>
        <w:t>Hazardous waste facility explosion, Canada, 12</w:t>
      </w:r>
      <w:r w:rsidRPr="00FB0775">
        <w:rPr>
          <w:vertAlign w:val="superscript"/>
          <w:lang w:val="en-GB"/>
        </w:rPr>
        <w:t>th</w:t>
      </w:r>
      <w:r>
        <w:rPr>
          <w:lang w:val="en-GB"/>
        </w:rPr>
        <w:t xml:space="preserve"> January: 1 </w:t>
      </w:r>
      <w:r w:rsidR="003261C0">
        <w:rPr>
          <w:lang w:val="en-GB"/>
        </w:rPr>
        <w:t>fatality</w:t>
      </w:r>
      <w:r w:rsidR="00056055">
        <w:rPr>
          <w:lang w:val="en-GB"/>
        </w:rPr>
        <w:t xml:space="preserve"> (H</w:t>
      </w:r>
      <w:r w:rsidR="00056055" w:rsidRPr="00056055">
        <w:rPr>
          <w:lang w:val="en-GB"/>
        </w:rPr>
        <w:t>azardexonthenet.net, 2023</w:t>
      </w:r>
      <w:r w:rsidR="00056055">
        <w:rPr>
          <w:lang w:val="en-GB"/>
        </w:rPr>
        <w:t>b)</w:t>
      </w:r>
      <w:r>
        <w:rPr>
          <w:lang w:val="en-GB"/>
        </w:rPr>
        <w:t>;</w:t>
      </w:r>
    </w:p>
    <w:p w14:paraId="2D0B1D17" w14:textId="327C0AA6" w:rsidR="00FB0775" w:rsidRDefault="00FB0775" w:rsidP="00FB0775">
      <w:pPr>
        <w:pStyle w:val="CETBodytext"/>
        <w:numPr>
          <w:ilvl w:val="0"/>
          <w:numId w:val="24"/>
        </w:numPr>
        <w:rPr>
          <w:lang w:val="en-GB"/>
        </w:rPr>
      </w:pPr>
      <w:r>
        <w:rPr>
          <w:lang w:val="en-GB"/>
        </w:rPr>
        <w:t>Gas pipeline explosion, Lithuania, 13</w:t>
      </w:r>
      <w:r w:rsidRPr="00FB0775">
        <w:rPr>
          <w:vertAlign w:val="superscript"/>
          <w:lang w:val="en-GB"/>
        </w:rPr>
        <w:t>th</w:t>
      </w:r>
      <w:r>
        <w:rPr>
          <w:lang w:val="en-GB"/>
        </w:rPr>
        <w:t xml:space="preserve"> January: no casualties</w:t>
      </w:r>
      <w:r w:rsidR="00056055">
        <w:rPr>
          <w:lang w:val="en-GB"/>
        </w:rPr>
        <w:t xml:space="preserve"> </w:t>
      </w:r>
      <w:r w:rsidR="00056055" w:rsidRPr="00056055">
        <w:rPr>
          <w:lang w:val="en-GB"/>
        </w:rPr>
        <w:t>(Wikipedia Contributors, 2023)</w:t>
      </w:r>
      <w:r>
        <w:rPr>
          <w:lang w:val="en-GB"/>
        </w:rPr>
        <w:t>;</w:t>
      </w:r>
    </w:p>
    <w:p w14:paraId="2CD6681B" w14:textId="7C3CB3CF" w:rsidR="00FB0775" w:rsidRDefault="00FB0775" w:rsidP="00FB0775">
      <w:pPr>
        <w:pStyle w:val="CETBodytext"/>
        <w:numPr>
          <w:ilvl w:val="0"/>
          <w:numId w:val="24"/>
        </w:numPr>
        <w:rPr>
          <w:lang w:val="en-GB"/>
        </w:rPr>
      </w:pPr>
      <w:r>
        <w:rPr>
          <w:lang w:val="en-GB"/>
        </w:rPr>
        <w:t>Petrochemical plant explosion, China, 15</w:t>
      </w:r>
      <w:r w:rsidRPr="00FB0775">
        <w:rPr>
          <w:vertAlign w:val="superscript"/>
          <w:lang w:val="en-GB"/>
        </w:rPr>
        <w:t>th</w:t>
      </w:r>
      <w:r>
        <w:rPr>
          <w:lang w:val="en-GB"/>
        </w:rPr>
        <w:t xml:space="preserve"> January: 5 </w:t>
      </w:r>
      <w:r w:rsidR="003261C0">
        <w:rPr>
          <w:lang w:val="en-GB"/>
        </w:rPr>
        <w:t>fatalities</w:t>
      </w:r>
      <w:r w:rsidR="00BB2F1D">
        <w:rPr>
          <w:lang w:val="en-GB"/>
        </w:rPr>
        <w:t xml:space="preserve"> </w:t>
      </w:r>
      <w:r w:rsidR="00BB2F1D" w:rsidRPr="00BB2F1D">
        <w:rPr>
          <w:lang w:val="en-GB"/>
        </w:rPr>
        <w:t>(Reuters, 2023)</w:t>
      </w:r>
      <w:r>
        <w:rPr>
          <w:lang w:val="en-GB"/>
        </w:rPr>
        <w:t>;</w:t>
      </w:r>
    </w:p>
    <w:p w14:paraId="6F7124D3" w14:textId="7B0F0AF6" w:rsidR="00B857F7" w:rsidRDefault="00FB0775" w:rsidP="00FB0775">
      <w:pPr>
        <w:pStyle w:val="CETBodytext"/>
        <w:numPr>
          <w:ilvl w:val="0"/>
          <w:numId w:val="24"/>
        </w:numPr>
        <w:rPr>
          <w:lang w:val="en-GB"/>
        </w:rPr>
      </w:pPr>
      <w:r>
        <w:rPr>
          <w:lang w:val="en-GB"/>
        </w:rPr>
        <w:t>Oil tanker explosion, Thailand, 17</w:t>
      </w:r>
      <w:r w:rsidRPr="00FB0775">
        <w:rPr>
          <w:vertAlign w:val="superscript"/>
          <w:lang w:val="en-GB"/>
        </w:rPr>
        <w:t>th</w:t>
      </w:r>
      <w:r>
        <w:rPr>
          <w:lang w:val="en-GB"/>
        </w:rPr>
        <w:t xml:space="preserve"> January: 1 </w:t>
      </w:r>
      <w:r w:rsidR="003261C0">
        <w:rPr>
          <w:lang w:val="en-GB"/>
        </w:rPr>
        <w:t>fatality</w:t>
      </w:r>
      <w:r w:rsidR="00BB2F1D">
        <w:rPr>
          <w:lang w:val="en-GB"/>
        </w:rPr>
        <w:t xml:space="preserve"> </w:t>
      </w:r>
      <w:r w:rsidR="00BB2F1D" w:rsidRPr="00BB2F1D">
        <w:rPr>
          <w:lang w:val="en-GB"/>
        </w:rPr>
        <w:t>(Marine Insight, 2023)</w:t>
      </w:r>
      <w:r>
        <w:rPr>
          <w:lang w:val="en-GB"/>
        </w:rPr>
        <w:t>.</w:t>
      </w:r>
    </w:p>
    <w:p w14:paraId="4C491E46" w14:textId="7E1E94BA" w:rsidR="002F5ADF" w:rsidRPr="00414918" w:rsidRDefault="003261C0" w:rsidP="00B857F7">
      <w:pPr>
        <w:pStyle w:val="CETBodytext"/>
        <w:rPr>
          <w:lang w:val="en-GB"/>
        </w:rPr>
      </w:pPr>
      <w:r w:rsidRPr="00414918">
        <w:rPr>
          <w:lang w:val="en-GB"/>
        </w:rPr>
        <w:t xml:space="preserve">According to the </w:t>
      </w:r>
      <w:proofErr w:type="spellStart"/>
      <w:r w:rsidRPr="00414918">
        <w:rPr>
          <w:lang w:val="en-GB"/>
        </w:rPr>
        <w:t>Center</w:t>
      </w:r>
      <w:proofErr w:type="spellEnd"/>
      <w:r w:rsidRPr="00414918">
        <w:rPr>
          <w:lang w:val="en-GB"/>
        </w:rPr>
        <w:t xml:space="preserve"> for Chemical Process Safety, a Process Safety Incident is a</w:t>
      </w:r>
      <w:r w:rsidR="003D27D0" w:rsidRPr="00414918">
        <w:rPr>
          <w:lang w:val="en-GB"/>
        </w:rPr>
        <w:t>n event that is potentially catastrophic, involving the loss of containment of hazardous materials that can result in large-scale health and environmental consequences</w:t>
      </w:r>
      <w:r w:rsidR="00414918" w:rsidRPr="00414918">
        <w:rPr>
          <w:lang w:val="en-GB"/>
        </w:rPr>
        <w:t xml:space="preserve"> (CCPS, 2010)</w:t>
      </w:r>
      <w:r w:rsidR="003D27D0" w:rsidRPr="00414918">
        <w:rPr>
          <w:lang w:val="en-GB"/>
        </w:rPr>
        <w:t>.</w:t>
      </w:r>
      <w:r w:rsidR="00B30E38" w:rsidRPr="00414918">
        <w:rPr>
          <w:lang w:val="en-GB"/>
        </w:rPr>
        <w:t xml:space="preserve"> A</w:t>
      </w:r>
      <w:r w:rsidR="00091329" w:rsidRPr="00414918">
        <w:rPr>
          <w:lang w:val="en-GB"/>
        </w:rPr>
        <w:t xml:space="preserve">s can be </w:t>
      </w:r>
      <w:r w:rsidR="002F5ADF" w:rsidRPr="00414918">
        <w:rPr>
          <w:lang w:val="en-GB"/>
        </w:rPr>
        <w:t xml:space="preserve">inferred </w:t>
      </w:r>
      <w:r w:rsidR="00091329" w:rsidRPr="00414918">
        <w:rPr>
          <w:lang w:val="en-GB"/>
        </w:rPr>
        <w:t xml:space="preserve">from the </w:t>
      </w:r>
      <w:r w:rsidR="002F5ADF" w:rsidRPr="00414918">
        <w:rPr>
          <w:lang w:val="en-GB"/>
        </w:rPr>
        <w:t>list above</w:t>
      </w:r>
      <w:r w:rsidR="00091329" w:rsidRPr="00414918">
        <w:rPr>
          <w:lang w:val="en-GB"/>
        </w:rPr>
        <w:t xml:space="preserve">, </w:t>
      </w:r>
      <w:r w:rsidR="002F5ADF" w:rsidRPr="00414918">
        <w:rPr>
          <w:lang w:val="en-GB"/>
        </w:rPr>
        <w:t xml:space="preserve">reduction of </w:t>
      </w:r>
      <w:r w:rsidR="00CC1857" w:rsidRPr="00414918">
        <w:rPr>
          <w:lang w:val="en-GB"/>
        </w:rPr>
        <w:t>P</w:t>
      </w:r>
      <w:r w:rsidR="00091329" w:rsidRPr="00414918">
        <w:rPr>
          <w:lang w:val="en-GB"/>
        </w:rPr>
        <w:t xml:space="preserve">rocess </w:t>
      </w:r>
      <w:r w:rsidR="00CC1857" w:rsidRPr="00414918">
        <w:rPr>
          <w:lang w:val="en-GB"/>
        </w:rPr>
        <w:t>S</w:t>
      </w:r>
      <w:r w:rsidR="00091329" w:rsidRPr="00414918">
        <w:rPr>
          <w:lang w:val="en-GB"/>
        </w:rPr>
        <w:t xml:space="preserve">afety </w:t>
      </w:r>
      <w:r w:rsidR="002F5ADF" w:rsidRPr="00414918">
        <w:rPr>
          <w:lang w:val="en-GB"/>
        </w:rPr>
        <w:t>I</w:t>
      </w:r>
      <w:r w:rsidR="00091329" w:rsidRPr="00414918">
        <w:rPr>
          <w:lang w:val="en-GB"/>
        </w:rPr>
        <w:t>ncidents</w:t>
      </w:r>
      <w:r w:rsidR="00B30E38" w:rsidRPr="00414918">
        <w:rPr>
          <w:lang w:val="en-GB"/>
        </w:rPr>
        <w:t xml:space="preserve"> </w:t>
      </w:r>
      <w:r w:rsidR="002F5ADF" w:rsidRPr="00414918">
        <w:rPr>
          <w:lang w:val="en-GB"/>
        </w:rPr>
        <w:t xml:space="preserve">is still </w:t>
      </w:r>
      <w:r w:rsidR="00414918" w:rsidRPr="00414918">
        <w:rPr>
          <w:lang w:val="en-GB"/>
        </w:rPr>
        <w:t xml:space="preserve">today </w:t>
      </w:r>
      <w:r w:rsidR="00B30E38" w:rsidRPr="00414918">
        <w:rPr>
          <w:lang w:val="en-GB"/>
        </w:rPr>
        <w:t xml:space="preserve">a </w:t>
      </w:r>
      <w:r w:rsidR="005B0C81" w:rsidRPr="00414918">
        <w:rPr>
          <w:lang w:val="en-GB"/>
        </w:rPr>
        <w:t xml:space="preserve">difficult </w:t>
      </w:r>
      <w:r w:rsidR="00B30E38" w:rsidRPr="00414918">
        <w:rPr>
          <w:lang w:val="en-GB"/>
        </w:rPr>
        <w:t>goal to achieve</w:t>
      </w:r>
      <w:r w:rsidR="002F5ADF" w:rsidRPr="00414918">
        <w:rPr>
          <w:lang w:val="en-GB"/>
        </w:rPr>
        <w:t xml:space="preserve">. </w:t>
      </w:r>
      <w:r w:rsidR="00091329" w:rsidRPr="00414918">
        <w:rPr>
          <w:lang w:val="en-GB"/>
        </w:rPr>
        <w:t xml:space="preserve">If the accidents above were </w:t>
      </w:r>
      <w:r w:rsidR="002F5ADF" w:rsidRPr="00414918">
        <w:rPr>
          <w:lang w:val="en-GB"/>
        </w:rPr>
        <w:t xml:space="preserve">to be </w:t>
      </w:r>
      <w:r w:rsidR="00414918" w:rsidRPr="00414918">
        <w:rPr>
          <w:lang w:val="en-GB"/>
        </w:rPr>
        <w:t xml:space="preserve">systematically </w:t>
      </w:r>
      <w:r w:rsidR="00091329" w:rsidRPr="00414918">
        <w:rPr>
          <w:lang w:val="en-GB"/>
        </w:rPr>
        <w:t xml:space="preserve">analysed, </w:t>
      </w:r>
      <w:r w:rsidR="002F5ADF" w:rsidRPr="00414918">
        <w:rPr>
          <w:lang w:val="en-GB"/>
        </w:rPr>
        <w:t xml:space="preserve">the results would probably point to the same root causes that have contributed to </w:t>
      </w:r>
      <w:r w:rsidR="00414918" w:rsidRPr="00414918">
        <w:rPr>
          <w:lang w:val="en-GB"/>
        </w:rPr>
        <w:t xml:space="preserve">many </w:t>
      </w:r>
      <w:r w:rsidR="002F5ADF" w:rsidRPr="00414918">
        <w:rPr>
          <w:lang w:val="en-GB"/>
        </w:rPr>
        <w:t xml:space="preserve">other Process Safety Incidents in the past. </w:t>
      </w:r>
    </w:p>
    <w:p w14:paraId="649B591C" w14:textId="19F2478E" w:rsidR="00091329" w:rsidRPr="00414918" w:rsidRDefault="002F5ADF" w:rsidP="00B857F7">
      <w:pPr>
        <w:pStyle w:val="CETBodytext"/>
        <w:rPr>
          <w:lang w:val="en-GB"/>
        </w:rPr>
      </w:pPr>
      <w:r w:rsidRPr="00414918">
        <w:rPr>
          <w:lang w:val="en-GB"/>
        </w:rPr>
        <w:t>It is widely understood</w:t>
      </w:r>
      <w:r w:rsidR="000203C5" w:rsidRPr="00414918">
        <w:rPr>
          <w:lang w:val="en-GB"/>
        </w:rPr>
        <w:t xml:space="preserve"> that the only way to </w:t>
      </w:r>
      <w:r w:rsidRPr="00414918">
        <w:rPr>
          <w:lang w:val="en-GB"/>
        </w:rPr>
        <w:t>nullify</w:t>
      </w:r>
      <w:r w:rsidR="000203C5" w:rsidRPr="00414918">
        <w:rPr>
          <w:lang w:val="en-GB"/>
        </w:rPr>
        <w:t xml:space="preserve"> the risk</w:t>
      </w:r>
      <w:r w:rsidR="00B30E38" w:rsidRPr="00414918">
        <w:rPr>
          <w:lang w:val="en-GB"/>
        </w:rPr>
        <w:t xml:space="preserve"> (and reduce to zero the</w:t>
      </w:r>
      <w:r w:rsidR="000203C5" w:rsidRPr="00414918">
        <w:rPr>
          <w:lang w:val="en-GB"/>
        </w:rPr>
        <w:t xml:space="preserve"> </w:t>
      </w:r>
      <w:r w:rsidR="00B30E38" w:rsidRPr="00414918">
        <w:rPr>
          <w:lang w:val="en-GB"/>
        </w:rPr>
        <w:t xml:space="preserve">occurrence of Process Safety Incidents) </w:t>
      </w:r>
      <w:r w:rsidR="000203C5" w:rsidRPr="00414918">
        <w:rPr>
          <w:lang w:val="en-GB"/>
        </w:rPr>
        <w:t>is removing the hazard</w:t>
      </w:r>
      <w:r w:rsidRPr="00414918">
        <w:rPr>
          <w:lang w:val="en-GB"/>
        </w:rPr>
        <w:t xml:space="preserve">, but as the world </w:t>
      </w:r>
      <w:r w:rsidR="000203C5" w:rsidRPr="00414918">
        <w:rPr>
          <w:lang w:val="en-GB"/>
        </w:rPr>
        <w:t xml:space="preserve">cannot </w:t>
      </w:r>
      <w:r w:rsidRPr="00414918">
        <w:rPr>
          <w:lang w:val="en-GB"/>
        </w:rPr>
        <w:t xml:space="preserve">make </w:t>
      </w:r>
      <w:r w:rsidR="000203C5" w:rsidRPr="00414918">
        <w:rPr>
          <w:lang w:val="en-GB"/>
        </w:rPr>
        <w:t>do without pharmaceutical, food, chemical and petrochemical industr</w:t>
      </w:r>
      <w:r w:rsidRPr="00414918">
        <w:rPr>
          <w:lang w:val="en-GB"/>
        </w:rPr>
        <w:t>ies, the risk of major incidents needs to be accounted for and properly managed.</w:t>
      </w:r>
      <w:r w:rsidR="000203C5" w:rsidRPr="00414918">
        <w:rPr>
          <w:lang w:val="en-GB"/>
        </w:rPr>
        <w:t xml:space="preserve"> </w:t>
      </w:r>
      <w:r w:rsidR="00824494" w:rsidRPr="00414918">
        <w:rPr>
          <w:lang w:val="en-GB"/>
        </w:rPr>
        <w:t xml:space="preserve">What can be done is continuing to learn from previous mistakes, </w:t>
      </w:r>
      <w:r w:rsidR="000203C5" w:rsidRPr="00414918">
        <w:rPr>
          <w:lang w:val="en-GB"/>
        </w:rPr>
        <w:t>improv</w:t>
      </w:r>
      <w:r w:rsidR="00824494" w:rsidRPr="00414918">
        <w:rPr>
          <w:lang w:val="en-GB"/>
        </w:rPr>
        <w:t>ing</w:t>
      </w:r>
      <w:r w:rsidR="000203C5" w:rsidRPr="00414918">
        <w:rPr>
          <w:lang w:val="en-GB"/>
        </w:rPr>
        <w:t xml:space="preserve"> the analysis techniques </w:t>
      </w:r>
      <w:proofErr w:type="gramStart"/>
      <w:r w:rsidR="000203C5" w:rsidRPr="00414918">
        <w:rPr>
          <w:lang w:val="en-GB"/>
        </w:rPr>
        <w:t>in order to</w:t>
      </w:r>
      <w:proofErr w:type="gramEnd"/>
      <w:r w:rsidR="000203C5" w:rsidRPr="00414918">
        <w:rPr>
          <w:lang w:val="en-GB"/>
        </w:rPr>
        <w:t xml:space="preserve"> </w:t>
      </w:r>
      <w:r w:rsidR="00824494" w:rsidRPr="00414918">
        <w:rPr>
          <w:lang w:val="en-GB"/>
        </w:rPr>
        <w:t xml:space="preserve">progressively </w:t>
      </w:r>
      <w:r w:rsidR="000203C5" w:rsidRPr="00414918">
        <w:rPr>
          <w:lang w:val="en-GB"/>
        </w:rPr>
        <w:t>reduce this risk</w:t>
      </w:r>
      <w:r w:rsidR="007D200A" w:rsidRPr="00414918">
        <w:rPr>
          <w:lang w:val="en-GB"/>
        </w:rPr>
        <w:t xml:space="preserve"> and put all possible effort</w:t>
      </w:r>
      <w:r w:rsidR="00CC3072">
        <w:rPr>
          <w:lang w:val="en-GB"/>
        </w:rPr>
        <w:t>s</w:t>
      </w:r>
      <w:r w:rsidR="007D200A" w:rsidRPr="00414918">
        <w:rPr>
          <w:lang w:val="en-GB"/>
        </w:rPr>
        <w:t xml:space="preserve"> into analysing and implementing the results that come out from these studies</w:t>
      </w:r>
      <w:r w:rsidR="000203C5" w:rsidRPr="00414918">
        <w:rPr>
          <w:lang w:val="en-GB"/>
        </w:rPr>
        <w:t>.</w:t>
      </w:r>
    </w:p>
    <w:p w14:paraId="64AC487D" w14:textId="33A8CE4E" w:rsidR="00E35623" w:rsidRPr="00D57522" w:rsidRDefault="00E35623" w:rsidP="00B857F7">
      <w:pPr>
        <w:pStyle w:val="CETBodytext"/>
        <w:rPr>
          <w:lang w:val="en-GB"/>
        </w:rPr>
      </w:pPr>
      <w:r w:rsidRPr="00D57522">
        <w:rPr>
          <w:lang w:val="en-GB"/>
        </w:rPr>
        <w:lastRenderedPageBreak/>
        <w:t xml:space="preserve">The </w:t>
      </w:r>
      <w:r w:rsidR="00891342" w:rsidRPr="00D57522">
        <w:rPr>
          <w:lang w:val="en-GB"/>
        </w:rPr>
        <w:t xml:space="preserve">efforts made in this direction led to the creation, </w:t>
      </w:r>
      <w:r w:rsidRPr="00D57522">
        <w:rPr>
          <w:lang w:val="en-GB"/>
        </w:rPr>
        <w:t xml:space="preserve">among other things, </w:t>
      </w:r>
      <w:r w:rsidR="00891342" w:rsidRPr="00D57522">
        <w:rPr>
          <w:lang w:val="en-GB"/>
        </w:rPr>
        <w:t>of</w:t>
      </w:r>
      <w:r w:rsidRPr="00D57522">
        <w:rPr>
          <w:lang w:val="en-GB"/>
        </w:rPr>
        <w:t xml:space="preserve"> the Process Safety Management (PSM) System</w:t>
      </w:r>
      <w:r w:rsidR="00891342" w:rsidRPr="00D57522">
        <w:rPr>
          <w:lang w:val="en-GB"/>
        </w:rPr>
        <w:t xml:space="preserve">: </w:t>
      </w:r>
      <w:r w:rsidRPr="00D57522">
        <w:rPr>
          <w:lang w:val="en-GB"/>
        </w:rPr>
        <w:t xml:space="preserve">one of the key elements of PSM is incident investigation, </w:t>
      </w:r>
      <w:r w:rsidR="00891342" w:rsidRPr="00D57522">
        <w:rPr>
          <w:lang w:val="en-GB"/>
        </w:rPr>
        <w:t>meaning</w:t>
      </w:r>
      <w:r w:rsidRPr="00D57522">
        <w:rPr>
          <w:lang w:val="en-GB"/>
        </w:rPr>
        <w:t xml:space="preserve"> the branch that analyses accidents and near-misses that have occurred, </w:t>
      </w:r>
      <w:r w:rsidR="00891342" w:rsidRPr="00D57522">
        <w:rPr>
          <w:lang w:val="en-GB"/>
        </w:rPr>
        <w:t>so</w:t>
      </w:r>
      <w:r w:rsidRPr="00D57522">
        <w:rPr>
          <w:lang w:val="en-GB"/>
        </w:rPr>
        <w:t xml:space="preserve"> to avoid them in the future.</w:t>
      </w:r>
    </w:p>
    <w:p w14:paraId="639E9809" w14:textId="798EBEB0" w:rsidR="00E35623" w:rsidRPr="00D57522" w:rsidRDefault="00E35623" w:rsidP="00B857F7">
      <w:pPr>
        <w:pStyle w:val="CETBodytext"/>
        <w:rPr>
          <w:lang w:val="en-GB"/>
        </w:rPr>
      </w:pPr>
      <w:r w:rsidRPr="00D57522">
        <w:rPr>
          <w:lang w:val="en-GB"/>
        </w:rPr>
        <w:t>The analysis of accidents (and near</w:t>
      </w:r>
      <w:r w:rsidR="00891342" w:rsidRPr="00D57522">
        <w:rPr>
          <w:lang w:val="en-GB"/>
        </w:rPr>
        <w:t>-</w:t>
      </w:r>
      <w:r w:rsidRPr="00D57522">
        <w:rPr>
          <w:lang w:val="en-GB"/>
        </w:rPr>
        <w:t xml:space="preserve">misses) however, must not be an </w:t>
      </w:r>
      <w:proofErr w:type="gramStart"/>
      <w:r w:rsidRPr="00D57522">
        <w:rPr>
          <w:lang w:val="en-GB"/>
        </w:rPr>
        <w:t>end in itself, but</w:t>
      </w:r>
      <w:proofErr w:type="gramEnd"/>
      <w:r w:rsidRPr="00D57522">
        <w:rPr>
          <w:lang w:val="en-GB"/>
        </w:rPr>
        <w:t xml:space="preserve"> must be included in a continuous improvement cycle, so that it can serve as a basis for future risk analyses</w:t>
      </w:r>
      <w:r w:rsidR="00891342" w:rsidRPr="00D57522">
        <w:rPr>
          <w:lang w:val="en-GB"/>
        </w:rPr>
        <w:t>. As such</w:t>
      </w:r>
      <w:r w:rsidRPr="00D57522">
        <w:rPr>
          <w:lang w:val="en-GB"/>
        </w:rPr>
        <w:t xml:space="preserve">, </w:t>
      </w:r>
      <w:r w:rsidR="00891342" w:rsidRPr="00D57522">
        <w:rPr>
          <w:lang w:val="en-GB"/>
        </w:rPr>
        <w:t>incident investigation</w:t>
      </w:r>
      <w:r w:rsidRPr="00D57522">
        <w:rPr>
          <w:lang w:val="en-GB"/>
        </w:rPr>
        <w:t xml:space="preserve"> </w:t>
      </w:r>
      <w:r w:rsidR="00891342" w:rsidRPr="00D57522">
        <w:rPr>
          <w:lang w:val="en-GB"/>
        </w:rPr>
        <w:t>should</w:t>
      </w:r>
      <w:r w:rsidRPr="00D57522">
        <w:rPr>
          <w:lang w:val="en-GB"/>
        </w:rPr>
        <w:t xml:space="preserve"> be included in a Management System that allows to keep track of the recommendations that have emerged, </w:t>
      </w:r>
      <w:r w:rsidR="00891342" w:rsidRPr="00D57522">
        <w:rPr>
          <w:lang w:val="en-GB"/>
        </w:rPr>
        <w:t>supporting</w:t>
      </w:r>
      <w:r w:rsidRPr="00D57522">
        <w:rPr>
          <w:lang w:val="en-GB"/>
        </w:rPr>
        <w:t xml:space="preserve"> the implementation of these </w:t>
      </w:r>
      <w:r w:rsidR="00B30E38" w:rsidRPr="00D57522">
        <w:rPr>
          <w:lang w:val="en-GB"/>
        </w:rPr>
        <w:t>recommendations,</w:t>
      </w:r>
      <w:r w:rsidRPr="00D57522">
        <w:rPr>
          <w:lang w:val="en-GB"/>
        </w:rPr>
        <w:t xml:space="preserve"> and </w:t>
      </w:r>
      <w:r w:rsidR="00891342" w:rsidRPr="00D57522">
        <w:rPr>
          <w:lang w:val="en-GB"/>
        </w:rPr>
        <w:t>facilitating</w:t>
      </w:r>
      <w:r w:rsidRPr="00D57522">
        <w:rPr>
          <w:lang w:val="en-GB"/>
        </w:rPr>
        <w:t xml:space="preserve"> the diffusion of information not only within the company, but </w:t>
      </w:r>
      <w:r w:rsidR="00891342" w:rsidRPr="00D57522">
        <w:rPr>
          <w:lang w:val="en-GB"/>
        </w:rPr>
        <w:t>also outside</w:t>
      </w:r>
      <w:r w:rsidRPr="00D57522">
        <w:rPr>
          <w:lang w:val="en-GB"/>
        </w:rPr>
        <w:t xml:space="preserve">. </w:t>
      </w:r>
      <w:r w:rsidR="007D200A" w:rsidRPr="00D57522">
        <w:rPr>
          <w:lang w:val="en-GB"/>
        </w:rPr>
        <w:t>All Management Systems are based on the Deming Cycle: Plan, Do, Check and Act</w:t>
      </w:r>
      <w:r w:rsidR="00E542D6">
        <w:rPr>
          <w:lang w:val="en-GB"/>
        </w:rPr>
        <w:t xml:space="preserve"> (</w:t>
      </w:r>
      <w:r w:rsidR="00E542D6">
        <w:rPr>
          <w:lang w:val="en-GB"/>
        </w:rPr>
        <w:fldChar w:fldCharType="begin"/>
      </w:r>
      <w:r w:rsidR="00E542D6">
        <w:rPr>
          <w:lang w:val="en-GB"/>
        </w:rPr>
        <w:instrText xml:space="preserve"> REF _Ref132374558 \h </w:instrText>
      </w:r>
      <w:r w:rsidR="00E542D6">
        <w:rPr>
          <w:lang w:val="en-GB"/>
        </w:rPr>
      </w:r>
      <w:r w:rsidR="00E542D6">
        <w:rPr>
          <w:lang w:val="en-GB"/>
        </w:rPr>
        <w:fldChar w:fldCharType="separate"/>
      </w:r>
      <w:r w:rsidR="002239AE" w:rsidRPr="006F0BC0">
        <w:rPr>
          <w:rStyle w:val="CETCaptionCarattere"/>
        </w:rPr>
        <w:t xml:space="preserve">Figure </w:t>
      </w:r>
      <w:r w:rsidR="002239AE">
        <w:rPr>
          <w:rStyle w:val="CETCaptionCarattere"/>
          <w:noProof/>
        </w:rPr>
        <w:t>1</w:t>
      </w:r>
      <w:r w:rsidR="00E542D6">
        <w:rPr>
          <w:lang w:val="en-GB"/>
        </w:rPr>
        <w:fldChar w:fldCharType="end"/>
      </w:r>
      <w:r w:rsidR="00E542D6">
        <w:rPr>
          <w:lang w:val="en-GB"/>
        </w:rPr>
        <w:t>). I</w:t>
      </w:r>
      <w:r w:rsidR="00891342" w:rsidRPr="00D57522">
        <w:rPr>
          <w:lang w:val="en-GB"/>
        </w:rPr>
        <w:t>n</w:t>
      </w:r>
      <w:r w:rsidR="007D200A" w:rsidRPr="00D57522">
        <w:rPr>
          <w:lang w:val="en-GB"/>
        </w:rPr>
        <w:t xml:space="preserve"> a Management System whose objective is to avoid major accidents (and many </w:t>
      </w:r>
      <w:r w:rsidR="00891342" w:rsidRPr="00D57522">
        <w:rPr>
          <w:lang w:val="en-GB"/>
        </w:rPr>
        <w:t>fatalities</w:t>
      </w:r>
      <w:r w:rsidR="007D200A" w:rsidRPr="00D57522">
        <w:rPr>
          <w:lang w:val="en-GB"/>
        </w:rPr>
        <w:t xml:space="preserve">), even more importance should be given to this </w:t>
      </w:r>
      <w:r w:rsidR="00891342" w:rsidRPr="00D57522">
        <w:rPr>
          <w:lang w:val="en-GB"/>
        </w:rPr>
        <w:t>concept</w:t>
      </w:r>
      <w:r w:rsidR="007D200A" w:rsidRPr="00D57522">
        <w:rPr>
          <w:lang w:val="en-GB"/>
        </w:rPr>
        <w:t xml:space="preserve"> of never stopping and using all </w:t>
      </w:r>
      <w:r w:rsidR="00891342" w:rsidRPr="00D57522">
        <w:rPr>
          <w:lang w:val="en-GB"/>
        </w:rPr>
        <w:t xml:space="preserve">past </w:t>
      </w:r>
      <w:r w:rsidR="007D200A" w:rsidRPr="00D57522">
        <w:rPr>
          <w:lang w:val="en-GB"/>
        </w:rPr>
        <w:t xml:space="preserve">experiences to reduce the risks and therefore the future accidents. </w:t>
      </w:r>
      <w:r w:rsidRPr="00D57522">
        <w:rPr>
          <w:lang w:val="en-GB"/>
        </w:rPr>
        <w:t xml:space="preserve">Only </w:t>
      </w:r>
      <w:r w:rsidR="00891342" w:rsidRPr="00D57522">
        <w:rPr>
          <w:lang w:val="en-GB"/>
        </w:rPr>
        <w:t>by combining</w:t>
      </w:r>
      <w:r w:rsidRPr="00D57522">
        <w:rPr>
          <w:lang w:val="en-GB"/>
        </w:rPr>
        <w:t xml:space="preserve"> efforts and knowledge of all</w:t>
      </w:r>
      <w:r w:rsidR="00C5112A" w:rsidRPr="00D57522">
        <w:rPr>
          <w:lang w:val="en-GB"/>
        </w:rPr>
        <w:t xml:space="preserve"> involved stakeholders</w:t>
      </w:r>
      <w:r w:rsidRPr="00D57522">
        <w:rPr>
          <w:lang w:val="en-GB"/>
        </w:rPr>
        <w:t xml:space="preserve"> will</w:t>
      </w:r>
      <w:r w:rsidR="00C5112A" w:rsidRPr="00D57522">
        <w:rPr>
          <w:lang w:val="en-GB"/>
        </w:rPr>
        <w:t xml:space="preserve"> it</w:t>
      </w:r>
      <w:r w:rsidRPr="00D57522">
        <w:rPr>
          <w:lang w:val="en-GB"/>
        </w:rPr>
        <w:t xml:space="preserve"> be possible to achieve satisfactory results in a short time.</w:t>
      </w:r>
    </w:p>
    <w:p w14:paraId="0B987E27" w14:textId="742C5F47" w:rsidR="006F0BC0" w:rsidRDefault="006F0BC0" w:rsidP="00B857F7">
      <w:pPr>
        <w:pStyle w:val="CETBodytext"/>
        <w:rPr>
          <w:color w:val="4F81BD" w:themeColor="accent1"/>
          <w:lang w:val="en-GB"/>
        </w:rPr>
      </w:pPr>
    </w:p>
    <w:p w14:paraId="2027BFA7" w14:textId="326D1F2F" w:rsidR="006F0BC0" w:rsidRDefault="002D515A" w:rsidP="006F0BC0">
      <w:pPr>
        <w:pStyle w:val="CETBodytext"/>
        <w:keepNext/>
      </w:pPr>
      <w:r>
        <w:rPr>
          <w:noProof/>
        </w:rPr>
        <w:drawing>
          <wp:inline distT="0" distB="0" distL="0" distR="0" wp14:anchorId="1F520D64" wp14:editId="202791F3">
            <wp:extent cx="3124800" cy="30384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24800" cy="3038400"/>
                    </a:xfrm>
                    <a:prstGeom prst="rect">
                      <a:avLst/>
                    </a:prstGeom>
                  </pic:spPr>
                </pic:pic>
              </a:graphicData>
            </a:graphic>
          </wp:inline>
        </w:drawing>
      </w:r>
    </w:p>
    <w:p w14:paraId="65502113" w14:textId="76C5774C" w:rsidR="006F0BC0" w:rsidRPr="006F0BC0" w:rsidRDefault="006F0BC0" w:rsidP="006F0BC0">
      <w:pPr>
        <w:pStyle w:val="CETCaption"/>
        <w:spacing w:before="0"/>
        <w:rPr>
          <w:rStyle w:val="CETCaptionCarattere"/>
        </w:rPr>
      </w:pPr>
      <w:bookmarkStart w:id="0" w:name="_Ref132374558"/>
      <w:r w:rsidRPr="006F0BC0">
        <w:rPr>
          <w:rStyle w:val="CETCaptionCarattere"/>
        </w:rPr>
        <w:t xml:space="preserve">Figure </w:t>
      </w:r>
      <w:r w:rsidRPr="006F0BC0">
        <w:rPr>
          <w:rStyle w:val="CETCaptionCarattere"/>
        </w:rPr>
        <w:fldChar w:fldCharType="begin"/>
      </w:r>
      <w:r w:rsidRPr="006F0BC0">
        <w:rPr>
          <w:rStyle w:val="CETCaptionCarattere"/>
        </w:rPr>
        <w:instrText xml:space="preserve"> SEQ Figure \* ARABIC </w:instrText>
      </w:r>
      <w:r w:rsidRPr="006F0BC0">
        <w:rPr>
          <w:rStyle w:val="CETCaptionCarattere"/>
        </w:rPr>
        <w:fldChar w:fldCharType="separate"/>
      </w:r>
      <w:r w:rsidR="002239AE">
        <w:rPr>
          <w:rStyle w:val="CETCaptionCarattere"/>
          <w:noProof/>
        </w:rPr>
        <w:t>1</w:t>
      </w:r>
      <w:r w:rsidRPr="006F0BC0">
        <w:rPr>
          <w:rStyle w:val="CETCaptionCarattere"/>
        </w:rPr>
        <w:fldChar w:fldCharType="end"/>
      </w:r>
      <w:bookmarkEnd w:id="0"/>
      <w:r>
        <w:rPr>
          <w:rStyle w:val="CETCaptionCarattere"/>
        </w:rPr>
        <w:t xml:space="preserve">: </w:t>
      </w:r>
      <w:r w:rsidR="007E5440">
        <w:rPr>
          <w:rStyle w:val="CETCaptionCarattere"/>
        </w:rPr>
        <w:t xml:space="preserve">Representation of PDCA Cycle </w:t>
      </w:r>
      <w:r w:rsidR="002D515A">
        <w:rPr>
          <w:rStyle w:val="CETCaptionCarattere"/>
        </w:rPr>
        <w:t xml:space="preserve">adapted by </w:t>
      </w:r>
      <w:proofErr w:type="spellStart"/>
      <w:r w:rsidR="002D515A">
        <w:rPr>
          <w:rStyle w:val="CETCaptionCarattere"/>
        </w:rPr>
        <w:t>SafetyCulture</w:t>
      </w:r>
      <w:proofErr w:type="spellEnd"/>
      <w:r w:rsidR="00647C1B">
        <w:rPr>
          <w:rStyle w:val="CETCaptionCarattere"/>
        </w:rPr>
        <w:t xml:space="preserve"> </w:t>
      </w:r>
      <w:r w:rsidR="00647C1B" w:rsidRPr="00647C1B">
        <w:rPr>
          <w:rStyle w:val="CETCaptionCarattere"/>
        </w:rPr>
        <w:t>(Reyes, 2022)</w:t>
      </w:r>
      <w:r w:rsidR="007E5440">
        <w:rPr>
          <w:rStyle w:val="CETCaptionCarattere"/>
        </w:rPr>
        <w:t>.</w:t>
      </w:r>
    </w:p>
    <w:p w14:paraId="3BF9F20C" w14:textId="403901FE" w:rsidR="00E96EA3" w:rsidRDefault="009E20C6" w:rsidP="00E96EA3">
      <w:pPr>
        <w:pStyle w:val="CETHeading1"/>
        <w:rPr>
          <w:lang w:val="en-GB"/>
        </w:rPr>
      </w:pPr>
      <w:r>
        <w:rPr>
          <w:lang w:val="en-GB"/>
        </w:rPr>
        <w:t>Process Safety</w:t>
      </w:r>
      <w:r w:rsidR="00E96EA3">
        <w:rPr>
          <w:lang w:val="en-GB"/>
        </w:rPr>
        <w:t xml:space="preserve"> Management System</w:t>
      </w:r>
    </w:p>
    <w:p w14:paraId="20F02658" w14:textId="710F74DB" w:rsidR="001D0AF1" w:rsidRPr="00D57522" w:rsidRDefault="00C5112A" w:rsidP="00D171BC">
      <w:pPr>
        <w:pStyle w:val="CETBodytext"/>
        <w:rPr>
          <w:lang w:val="en-GB"/>
        </w:rPr>
      </w:pPr>
      <w:r w:rsidRPr="00D57522">
        <w:rPr>
          <w:lang w:val="en-GB"/>
        </w:rPr>
        <w:t xml:space="preserve">The </w:t>
      </w:r>
      <w:proofErr w:type="spellStart"/>
      <w:r w:rsidRPr="00D57522">
        <w:rPr>
          <w:lang w:val="en-GB"/>
        </w:rPr>
        <w:t>Center</w:t>
      </w:r>
      <w:proofErr w:type="spellEnd"/>
      <w:r w:rsidRPr="00D57522">
        <w:rPr>
          <w:lang w:val="en-GB"/>
        </w:rPr>
        <w:t xml:space="preserve"> for Chemical Process Safety (CCPS) was established back in the 1980s by the American Institute of Chemical Engineers (AIChE), as an active response to the catastrophic incidents of Bhopal and San Juan </w:t>
      </w:r>
      <w:proofErr w:type="spellStart"/>
      <w:r w:rsidRPr="00D57522">
        <w:rPr>
          <w:lang w:val="en-GB"/>
        </w:rPr>
        <w:t>Ixhuatepec</w:t>
      </w:r>
      <w:proofErr w:type="spellEnd"/>
      <w:r w:rsidRPr="00D57522">
        <w:rPr>
          <w:lang w:val="en-GB"/>
        </w:rPr>
        <w:t xml:space="preserve">. Its goal was to develop the tools required to comprehensively identify, </w:t>
      </w:r>
      <w:proofErr w:type="gramStart"/>
      <w:r w:rsidRPr="00D57522">
        <w:rPr>
          <w:lang w:val="en-GB"/>
        </w:rPr>
        <w:t>assess</w:t>
      </w:r>
      <w:proofErr w:type="gramEnd"/>
      <w:r w:rsidRPr="00D57522">
        <w:rPr>
          <w:lang w:val="en-GB"/>
        </w:rPr>
        <w:t xml:space="preserve"> and manage Process Safety risks</w:t>
      </w:r>
      <w:r w:rsidR="001D0AF1" w:rsidRPr="00D57522">
        <w:rPr>
          <w:lang w:val="en-GB"/>
        </w:rPr>
        <w:t xml:space="preserve">, and resulted in the creation of a Process Safety Management System (PSM). Such system focuses on prevention of, preparedness for, mitigation of, response to, and restoration from catastrophic releases of chemicals or energy from a process associated with a facility (CCPS, 2010). </w:t>
      </w:r>
      <w:r w:rsidR="0048517A" w:rsidRPr="00D57522">
        <w:rPr>
          <w:lang w:val="en-GB"/>
        </w:rPr>
        <w:t xml:space="preserve">One of the many outcomes of PSM </w:t>
      </w:r>
      <w:r w:rsidR="001D0AF1" w:rsidRPr="00D57522">
        <w:rPr>
          <w:lang w:val="en-GB"/>
        </w:rPr>
        <w:t>has been</w:t>
      </w:r>
      <w:r w:rsidR="0048517A" w:rsidRPr="00D57522">
        <w:rPr>
          <w:lang w:val="en-GB"/>
        </w:rPr>
        <w:t xml:space="preserve"> the Risk-Based approach</w:t>
      </w:r>
      <w:r w:rsidR="001D0AF1" w:rsidRPr="00D57522">
        <w:rPr>
          <w:lang w:val="en-GB"/>
        </w:rPr>
        <w:t xml:space="preserve">, which highlights how all hazards (and related risks) are different. In a Risk-Based methodology it is possible to provide a ranking for all the assessed risks (from the highest to the lowest), which helps define an effective strategy in which the most dangerous situations are addressed first. As a result, companies can efficiently invest in Process Safety matters their </w:t>
      </w:r>
      <w:r w:rsidR="00B03708" w:rsidRPr="00D57522">
        <w:rPr>
          <w:lang w:val="en-GB"/>
        </w:rPr>
        <w:t>often-limited</w:t>
      </w:r>
      <w:r w:rsidR="001D0AF1" w:rsidRPr="00D57522">
        <w:rPr>
          <w:lang w:val="en-GB"/>
        </w:rPr>
        <w:t xml:space="preserve"> resources. </w:t>
      </w:r>
    </w:p>
    <w:p w14:paraId="4423AA42" w14:textId="38CF7C68" w:rsidR="002D515A" w:rsidRPr="00D57522" w:rsidRDefault="005E018F" w:rsidP="002D515A">
      <w:pPr>
        <w:pStyle w:val="CETBodytext"/>
        <w:rPr>
          <w:lang w:val="en-GB"/>
        </w:rPr>
      </w:pPr>
      <w:r w:rsidRPr="00D57522">
        <w:rPr>
          <w:lang w:val="en-GB"/>
        </w:rPr>
        <w:t>CCPS identified twenty</w:t>
      </w:r>
      <w:r w:rsidR="00FF77DC" w:rsidRPr="00D57522">
        <w:rPr>
          <w:lang w:val="en-GB"/>
        </w:rPr>
        <w:t xml:space="preserve"> Risk</w:t>
      </w:r>
      <w:r w:rsidR="001D0AF1" w:rsidRPr="00D57522">
        <w:rPr>
          <w:lang w:val="en-GB"/>
        </w:rPr>
        <w:t>-</w:t>
      </w:r>
      <w:r w:rsidR="00FF77DC" w:rsidRPr="00D57522">
        <w:rPr>
          <w:lang w:val="en-GB"/>
        </w:rPr>
        <w:t xml:space="preserve">Based </w:t>
      </w:r>
      <w:r w:rsidR="009E20C6" w:rsidRPr="00D57522">
        <w:rPr>
          <w:lang w:val="en-GB"/>
        </w:rPr>
        <w:t>Process Safety</w:t>
      </w:r>
      <w:r w:rsidRPr="00D57522">
        <w:rPr>
          <w:lang w:val="en-GB"/>
        </w:rPr>
        <w:t xml:space="preserve"> </w:t>
      </w:r>
      <w:r w:rsidR="00FF77DC" w:rsidRPr="00D57522">
        <w:rPr>
          <w:lang w:val="en-GB"/>
        </w:rPr>
        <w:t>E</w:t>
      </w:r>
      <w:r w:rsidRPr="00D57522">
        <w:rPr>
          <w:lang w:val="en-GB"/>
        </w:rPr>
        <w:t>lements</w:t>
      </w:r>
      <w:r w:rsidR="00FF77DC" w:rsidRPr="00D57522">
        <w:rPr>
          <w:lang w:val="en-GB"/>
        </w:rPr>
        <w:t xml:space="preserve">, as shown in </w:t>
      </w:r>
      <w:r w:rsidR="00230B04" w:rsidRPr="00D57522">
        <w:rPr>
          <w:lang w:val="en-GB"/>
        </w:rPr>
        <w:fldChar w:fldCharType="begin"/>
      </w:r>
      <w:r w:rsidR="00230B04" w:rsidRPr="00D57522">
        <w:rPr>
          <w:lang w:val="en-GB"/>
        </w:rPr>
        <w:instrText xml:space="preserve"> REF _Ref125118372 \h  \* MERGEFORMAT </w:instrText>
      </w:r>
      <w:r w:rsidR="00230B04" w:rsidRPr="00D57522">
        <w:rPr>
          <w:lang w:val="en-GB"/>
        </w:rPr>
      </w:r>
      <w:r w:rsidR="00230B04" w:rsidRPr="00D57522">
        <w:rPr>
          <w:lang w:val="en-GB"/>
        </w:rPr>
        <w:fldChar w:fldCharType="separate"/>
      </w:r>
      <w:r w:rsidR="002239AE" w:rsidRPr="002239AE">
        <w:t>Table 1</w:t>
      </w:r>
      <w:r w:rsidR="00230B04" w:rsidRPr="00D57522">
        <w:rPr>
          <w:lang w:val="en-GB"/>
        </w:rPr>
        <w:fldChar w:fldCharType="end"/>
      </w:r>
      <w:r w:rsidR="0048517A" w:rsidRPr="00D57522">
        <w:rPr>
          <w:lang w:val="en-GB"/>
        </w:rPr>
        <w:t>, divided in</w:t>
      </w:r>
      <w:r w:rsidR="00B03708" w:rsidRPr="00D57522">
        <w:rPr>
          <w:lang w:val="en-GB"/>
        </w:rPr>
        <w:t>to</w:t>
      </w:r>
      <w:r w:rsidR="0048517A" w:rsidRPr="00D57522">
        <w:rPr>
          <w:lang w:val="en-GB"/>
        </w:rPr>
        <w:t xml:space="preserve"> four Accident Prevention Pillars.</w:t>
      </w:r>
      <w:r w:rsidR="004C1D70" w:rsidRPr="00D57522">
        <w:rPr>
          <w:lang w:val="en-GB"/>
        </w:rPr>
        <w:t xml:space="preserve"> Th</w:t>
      </w:r>
      <w:r w:rsidR="00B03708" w:rsidRPr="00D57522">
        <w:rPr>
          <w:lang w:val="en-GB"/>
        </w:rPr>
        <w:t>is structur</w:t>
      </w:r>
      <w:r w:rsidR="004C1D70" w:rsidRPr="00D57522">
        <w:rPr>
          <w:lang w:val="en-GB"/>
        </w:rPr>
        <w:t xml:space="preserve">e </w:t>
      </w:r>
      <w:r w:rsidR="00B03708" w:rsidRPr="00D57522">
        <w:rPr>
          <w:lang w:val="en-GB"/>
        </w:rPr>
        <w:t xml:space="preserve">should guide </w:t>
      </w:r>
      <w:r w:rsidR="004C1D70" w:rsidRPr="00D57522">
        <w:rPr>
          <w:lang w:val="en-GB"/>
        </w:rPr>
        <w:t>organization</w:t>
      </w:r>
      <w:r w:rsidR="00B03708" w:rsidRPr="00D57522">
        <w:rPr>
          <w:lang w:val="en-GB"/>
        </w:rPr>
        <w:t>s</w:t>
      </w:r>
      <w:r w:rsidR="004C1D70" w:rsidRPr="00D57522">
        <w:rPr>
          <w:lang w:val="en-GB"/>
        </w:rPr>
        <w:t xml:space="preserve"> </w:t>
      </w:r>
      <w:r w:rsidR="00B03708" w:rsidRPr="00D57522">
        <w:rPr>
          <w:lang w:val="en-GB"/>
        </w:rPr>
        <w:t>in their</w:t>
      </w:r>
      <w:r w:rsidR="004C1D70" w:rsidRPr="00D57522">
        <w:rPr>
          <w:lang w:val="en-GB"/>
        </w:rPr>
        <w:t xml:space="preserve"> invest</w:t>
      </w:r>
      <w:r w:rsidR="00B03708" w:rsidRPr="00D57522">
        <w:rPr>
          <w:lang w:val="en-GB"/>
        </w:rPr>
        <w:t>ment</w:t>
      </w:r>
      <w:r w:rsidR="004C1D70" w:rsidRPr="00D57522">
        <w:rPr>
          <w:lang w:val="en-GB"/>
        </w:rPr>
        <w:t xml:space="preserve">s and </w:t>
      </w:r>
      <w:r w:rsidR="00B03708" w:rsidRPr="00D57522">
        <w:rPr>
          <w:lang w:val="en-GB"/>
        </w:rPr>
        <w:t>efforts,</w:t>
      </w:r>
      <w:r w:rsidR="004C1D70" w:rsidRPr="00D57522">
        <w:rPr>
          <w:lang w:val="en-GB"/>
        </w:rPr>
        <w:t xml:space="preserve"> </w:t>
      </w:r>
      <w:r w:rsidR="00B03708" w:rsidRPr="00D57522">
        <w:rPr>
          <w:lang w:val="en-GB"/>
        </w:rPr>
        <w:t>furthering the</w:t>
      </w:r>
      <w:r w:rsidR="004C1D70" w:rsidRPr="00D57522">
        <w:rPr>
          <w:lang w:val="en-GB"/>
        </w:rPr>
        <w:t xml:space="preserve"> develop</w:t>
      </w:r>
      <w:r w:rsidR="00B03708" w:rsidRPr="00D57522">
        <w:rPr>
          <w:lang w:val="en-GB"/>
        </w:rPr>
        <w:t>ment of</w:t>
      </w:r>
      <w:r w:rsidR="004C1D70" w:rsidRPr="00D57522">
        <w:rPr>
          <w:lang w:val="en-GB"/>
        </w:rPr>
        <w:t xml:space="preserve"> a more effective </w:t>
      </w:r>
      <w:r w:rsidR="009E20C6" w:rsidRPr="00D57522">
        <w:rPr>
          <w:lang w:val="en-GB"/>
        </w:rPr>
        <w:t>Process Safety</w:t>
      </w:r>
      <w:r w:rsidR="004642C0" w:rsidRPr="00D57522">
        <w:rPr>
          <w:lang w:val="en-GB"/>
        </w:rPr>
        <w:t xml:space="preserve"> system</w:t>
      </w:r>
      <w:r w:rsidR="004C1D70" w:rsidRPr="00D57522">
        <w:rPr>
          <w:lang w:val="en-GB"/>
        </w:rPr>
        <w:t xml:space="preserve">, reducing the number of </w:t>
      </w:r>
      <w:proofErr w:type="gramStart"/>
      <w:r w:rsidR="004C1D70" w:rsidRPr="00D57522">
        <w:rPr>
          <w:lang w:val="en-GB"/>
        </w:rPr>
        <w:t>incidents</w:t>
      </w:r>
      <w:proofErr w:type="gramEnd"/>
      <w:r w:rsidR="004C1D70" w:rsidRPr="00D57522">
        <w:rPr>
          <w:lang w:val="en-GB"/>
        </w:rPr>
        <w:t xml:space="preserve"> and improving environmental and business performance.</w:t>
      </w:r>
      <w:r w:rsidR="00E542D6">
        <w:rPr>
          <w:lang w:val="en-GB"/>
        </w:rPr>
        <w:t xml:space="preserve"> </w:t>
      </w:r>
      <w:r w:rsidR="002D515A" w:rsidRPr="00D57522">
        <w:rPr>
          <w:lang w:val="en-GB"/>
        </w:rPr>
        <w:t xml:space="preserve">The present paper focuses on the last pillar, the so-called “Learn from Experience”. </w:t>
      </w:r>
    </w:p>
    <w:p w14:paraId="27476BF6" w14:textId="77777777" w:rsidR="002D515A" w:rsidRPr="00D57522" w:rsidRDefault="002D515A" w:rsidP="002D515A">
      <w:pPr>
        <w:pStyle w:val="CETBodytext"/>
        <w:rPr>
          <w:lang w:val="en-GB"/>
        </w:rPr>
      </w:pPr>
      <w:r w:rsidRPr="00D57522">
        <w:rPr>
          <w:lang w:val="en-GB"/>
        </w:rPr>
        <w:t xml:space="preserve">There is widespread agreement in the hazardous industries that lessons learned are critical to reducing accident risk (Wood et al., 2022). The idea is far older than chemical Process Safety. Biblical reference to history repeating itself is as early as Ecclesiastes 1:9: ‘There is nothing new under the sun’, and it has been taken for granted since the beginning of the industrial age that we need to learn from technological disasters to prevent similar tragedies. </w:t>
      </w:r>
    </w:p>
    <w:p w14:paraId="0ABDA5DD" w14:textId="14E62B10" w:rsidR="00230B04" w:rsidRPr="00230B04" w:rsidRDefault="00230B04" w:rsidP="00230B04">
      <w:pPr>
        <w:pStyle w:val="Didascalia"/>
        <w:keepNext/>
        <w:rPr>
          <w:b w:val="0"/>
          <w:bCs w:val="0"/>
          <w:i/>
          <w:color w:val="auto"/>
          <w:szCs w:val="20"/>
        </w:rPr>
      </w:pPr>
      <w:bookmarkStart w:id="1" w:name="_Ref125118372"/>
      <w:r w:rsidRPr="00230B04">
        <w:rPr>
          <w:b w:val="0"/>
          <w:bCs w:val="0"/>
          <w:i/>
          <w:color w:val="auto"/>
          <w:szCs w:val="20"/>
        </w:rPr>
        <w:lastRenderedPageBreak/>
        <w:t xml:space="preserve">Table </w:t>
      </w:r>
      <w:r w:rsidRPr="00230B04">
        <w:rPr>
          <w:b w:val="0"/>
          <w:bCs w:val="0"/>
          <w:i/>
          <w:color w:val="auto"/>
          <w:szCs w:val="20"/>
        </w:rPr>
        <w:fldChar w:fldCharType="begin"/>
      </w:r>
      <w:r w:rsidRPr="00230B04">
        <w:rPr>
          <w:b w:val="0"/>
          <w:bCs w:val="0"/>
          <w:i/>
          <w:color w:val="auto"/>
          <w:szCs w:val="20"/>
        </w:rPr>
        <w:instrText xml:space="preserve"> SEQ Table \* ARABIC </w:instrText>
      </w:r>
      <w:r w:rsidRPr="00230B04">
        <w:rPr>
          <w:b w:val="0"/>
          <w:bCs w:val="0"/>
          <w:i/>
          <w:color w:val="auto"/>
          <w:szCs w:val="20"/>
        </w:rPr>
        <w:fldChar w:fldCharType="separate"/>
      </w:r>
      <w:r w:rsidR="002239AE">
        <w:rPr>
          <w:b w:val="0"/>
          <w:bCs w:val="0"/>
          <w:i/>
          <w:noProof/>
          <w:color w:val="auto"/>
          <w:szCs w:val="20"/>
        </w:rPr>
        <w:t>1</w:t>
      </w:r>
      <w:r w:rsidRPr="00230B04">
        <w:rPr>
          <w:b w:val="0"/>
          <w:bCs w:val="0"/>
          <w:i/>
          <w:color w:val="auto"/>
          <w:szCs w:val="20"/>
        </w:rPr>
        <w:fldChar w:fldCharType="end"/>
      </w:r>
      <w:bookmarkEnd w:id="1"/>
      <w:r w:rsidRPr="00230B04">
        <w:rPr>
          <w:b w:val="0"/>
          <w:bCs w:val="0"/>
          <w:i/>
          <w:color w:val="auto"/>
          <w:szCs w:val="20"/>
        </w:rPr>
        <w:t>: Risk</w:t>
      </w:r>
      <w:r w:rsidR="001D0AF1">
        <w:rPr>
          <w:b w:val="0"/>
          <w:bCs w:val="0"/>
          <w:i/>
          <w:color w:val="auto"/>
          <w:szCs w:val="20"/>
        </w:rPr>
        <w:t>-</w:t>
      </w:r>
      <w:r w:rsidRPr="00230B04">
        <w:rPr>
          <w:b w:val="0"/>
          <w:bCs w:val="0"/>
          <w:i/>
          <w:color w:val="auto"/>
          <w:szCs w:val="20"/>
        </w:rPr>
        <w:t>Base</w:t>
      </w:r>
      <w:r w:rsidR="004642C0">
        <w:rPr>
          <w:b w:val="0"/>
          <w:bCs w:val="0"/>
          <w:i/>
          <w:color w:val="auto"/>
          <w:szCs w:val="20"/>
        </w:rPr>
        <w:t>d</w:t>
      </w:r>
      <w:r w:rsidRPr="00230B04">
        <w:rPr>
          <w:b w:val="0"/>
          <w:bCs w:val="0"/>
          <w:i/>
          <w:color w:val="auto"/>
          <w:szCs w:val="20"/>
        </w:rPr>
        <w:t xml:space="preserve"> </w:t>
      </w:r>
      <w:r w:rsidR="009E20C6">
        <w:rPr>
          <w:b w:val="0"/>
          <w:bCs w:val="0"/>
          <w:i/>
          <w:color w:val="auto"/>
          <w:szCs w:val="20"/>
        </w:rPr>
        <w:t>Process Safety</w:t>
      </w:r>
      <w:r w:rsidRPr="00230B04">
        <w:rPr>
          <w:b w:val="0"/>
          <w:bCs w:val="0"/>
          <w:i/>
          <w:color w:val="auto"/>
          <w:szCs w:val="20"/>
        </w:rPr>
        <w:t xml:space="preserve"> </w:t>
      </w:r>
      <w:r w:rsidR="00F92DCD">
        <w:rPr>
          <w:b w:val="0"/>
          <w:bCs w:val="0"/>
          <w:i/>
          <w:color w:val="auto"/>
          <w:szCs w:val="20"/>
        </w:rPr>
        <w:t xml:space="preserve">(RBPS) </w:t>
      </w:r>
      <w:r w:rsidRPr="00230B04">
        <w:rPr>
          <w:b w:val="0"/>
          <w:bCs w:val="0"/>
          <w:i/>
          <w:color w:val="auto"/>
          <w:szCs w:val="20"/>
        </w:rPr>
        <w:t>Elements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694"/>
        <w:gridCol w:w="4422"/>
      </w:tblGrid>
      <w:tr w:rsidR="00FF77DC" w:rsidRPr="00B57B36" w14:paraId="6D5039CB" w14:textId="77777777" w:rsidTr="00B34A7E">
        <w:tc>
          <w:tcPr>
            <w:tcW w:w="2694" w:type="dxa"/>
            <w:tcBorders>
              <w:top w:val="single" w:sz="12" w:space="0" w:color="008000"/>
              <w:bottom w:val="single" w:sz="4" w:space="0" w:color="008000"/>
            </w:tcBorders>
            <w:shd w:val="clear" w:color="auto" w:fill="FFFFFF"/>
          </w:tcPr>
          <w:p w14:paraId="6E372CD0" w14:textId="05199CF1" w:rsidR="00FF77DC" w:rsidRPr="00B57B36" w:rsidRDefault="0048517A" w:rsidP="00703781">
            <w:pPr>
              <w:pStyle w:val="CETBodytext"/>
              <w:rPr>
                <w:lang w:val="en-GB"/>
              </w:rPr>
            </w:pPr>
            <w:r>
              <w:rPr>
                <w:lang w:val="en-GB"/>
              </w:rPr>
              <w:t>Accident Prevention Pillars</w:t>
            </w:r>
          </w:p>
        </w:tc>
        <w:tc>
          <w:tcPr>
            <w:tcW w:w="4422" w:type="dxa"/>
            <w:tcBorders>
              <w:top w:val="single" w:sz="12" w:space="0" w:color="008000"/>
              <w:bottom w:val="single" w:sz="4" w:space="0" w:color="008000"/>
            </w:tcBorders>
            <w:shd w:val="clear" w:color="auto" w:fill="FFFFFF"/>
          </w:tcPr>
          <w:p w14:paraId="55BF0E23" w14:textId="0CA5A6B5" w:rsidR="00FF77DC" w:rsidRPr="00B57B36" w:rsidRDefault="00FF77DC" w:rsidP="00703781">
            <w:pPr>
              <w:pStyle w:val="CETBodytext"/>
              <w:rPr>
                <w:lang w:val="en-GB"/>
              </w:rPr>
            </w:pPr>
            <w:r>
              <w:rPr>
                <w:lang w:val="en-GB"/>
              </w:rPr>
              <w:t>RBPS Element</w:t>
            </w:r>
          </w:p>
        </w:tc>
      </w:tr>
      <w:tr w:rsidR="00FF77DC" w:rsidRPr="00B57B36" w14:paraId="5D4FCD46" w14:textId="77777777" w:rsidTr="00B34A7E">
        <w:tc>
          <w:tcPr>
            <w:tcW w:w="2694" w:type="dxa"/>
            <w:tcBorders>
              <w:top w:val="single" w:sz="4" w:space="0" w:color="008000"/>
            </w:tcBorders>
            <w:shd w:val="clear" w:color="auto" w:fill="FFFFFF"/>
          </w:tcPr>
          <w:p w14:paraId="39C60AB2" w14:textId="347B0E83" w:rsidR="00FF77DC" w:rsidRPr="00B57B36" w:rsidRDefault="0048517A" w:rsidP="00703781">
            <w:pPr>
              <w:pStyle w:val="CETBodytext"/>
              <w:rPr>
                <w:lang w:val="en-GB"/>
              </w:rPr>
            </w:pPr>
            <w:r>
              <w:rPr>
                <w:lang w:val="en-GB"/>
              </w:rPr>
              <w:t xml:space="preserve">Commit to </w:t>
            </w:r>
            <w:r w:rsidR="009E20C6">
              <w:rPr>
                <w:lang w:val="en-GB"/>
              </w:rPr>
              <w:t>Process Safety</w:t>
            </w:r>
          </w:p>
        </w:tc>
        <w:tc>
          <w:tcPr>
            <w:tcW w:w="4422" w:type="dxa"/>
            <w:tcBorders>
              <w:top w:val="single" w:sz="4" w:space="0" w:color="008000"/>
            </w:tcBorders>
            <w:shd w:val="clear" w:color="auto" w:fill="FFFFFF"/>
          </w:tcPr>
          <w:p w14:paraId="7D952281" w14:textId="459C179A" w:rsidR="00FF77DC" w:rsidRPr="00B57B36" w:rsidRDefault="009E20C6" w:rsidP="00703781">
            <w:pPr>
              <w:pStyle w:val="CETBodytext"/>
              <w:rPr>
                <w:lang w:val="en-GB"/>
              </w:rPr>
            </w:pPr>
            <w:r>
              <w:rPr>
                <w:lang w:val="en-GB"/>
              </w:rPr>
              <w:t>Process Safety</w:t>
            </w:r>
            <w:r w:rsidR="00FF77DC">
              <w:rPr>
                <w:lang w:val="en-GB"/>
              </w:rPr>
              <w:t xml:space="preserve"> Culture</w:t>
            </w:r>
          </w:p>
        </w:tc>
      </w:tr>
      <w:tr w:rsidR="00FF77DC" w:rsidRPr="00B57B36" w14:paraId="75A58847" w14:textId="77777777" w:rsidTr="00B34A7E">
        <w:tc>
          <w:tcPr>
            <w:tcW w:w="2694" w:type="dxa"/>
            <w:shd w:val="clear" w:color="auto" w:fill="FFFFFF"/>
          </w:tcPr>
          <w:p w14:paraId="2613B944" w14:textId="77777777" w:rsidR="00FF77DC" w:rsidRPr="00B57B36" w:rsidRDefault="00FF77DC" w:rsidP="00703781">
            <w:pPr>
              <w:pStyle w:val="CETBodytext"/>
              <w:rPr>
                <w:lang w:val="en-GB"/>
              </w:rPr>
            </w:pPr>
          </w:p>
        </w:tc>
        <w:tc>
          <w:tcPr>
            <w:tcW w:w="4422" w:type="dxa"/>
            <w:shd w:val="clear" w:color="auto" w:fill="FFFFFF"/>
          </w:tcPr>
          <w:p w14:paraId="5DB71DD3" w14:textId="2052B83D" w:rsidR="00FF77DC" w:rsidRPr="00B57B36" w:rsidRDefault="00FF77DC" w:rsidP="00703781">
            <w:pPr>
              <w:pStyle w:val="CETBodytext"/>
              <w:rPr>
                <w:lang w:val="en-GB"/>
              </w:rPr>
            </w:pPr>
            <w:r>
              <w:rPr>
                <w:lang w:val="en-GB"/>
              </w:rPr>
              <w:t>Compliance with Standards</w:t>
            </w:r>
          </w:p>
        </w:tc>
      </w:tr>
      <w:tr w:rsidR="00FF77DC" w:rsidRPr="00B57B36" w14:paraId="4D0C6A95" w14:textId="77777777" w:rsidTr="00B34A7E">
        <w:tc>
          <w:tcPr>
            <w:tcW w:w="2694" w:type="dxa"/>
            <w:shd w:val="clear" w:color="auto" w:fill="FFFFFF"/>
          </w:tcPr>
          <w:p w14:paraId="554CA174" w14:textId="77777777" w:rsidR="00FF77DC" w:rsidRPr="00B57B36" w:rsidRDefault="00FF77DC" w:rsidP="00703781">
            <w:pPr>
              <w:pStyle w:val="CETBodytext"/>
              <w:rPr>
                <w:lang w:val="en-GB"/>
              </w:rPr>
            </w:pPr>
          </w:p>
        </w:tc>
        <w:tc>
          <w:tcPr>
            <w:tcW w:w="4422" w:type="dxa"/>
            <w:shd w:val="clear" w:color="auto" w:fill="FFFFFF"/>
          </w:tcPr>
          <w:p w14:paraId="77DACB42" w14:textId="5A3F9512" w:rsidR="00FF77DC" w:rsidRPr="00B57B36" w:rsidRDefault="009E20C6" w:rsidP="00703781">
            <w:pPr>
              <w:pStyle w:val="CETBodytext"/>
              <w:rPr>
                <w:lang w:val="en-GB"/>
              </w:rPr>
            </w:pPr>
            <w:r>
              <w:rPr>
                <w:lang w:val="en-GB"/>
              </w:rPr>
              <w:t>Process Safety</w:t>
            </w:r>
            <w:r w:rsidR="00FF77DC">
              <w:rPr>
                <w:lang w:val="en-GB"/>
              </w:rPr>
              <w:t xml:space="preserve"> Competency</w:t>
            </w:r>
          </w:p>
        </w:tc>
      </w:tr>
      <w:tr w:rsidR="00FF77DC" w:rsidRPr="00B57B36" w14:paraId="78A17399" w14:textId="77777777" w:rsidTr="00B34A7E">
        <w:tc>
          <w:tcPr>
            <w:tcW w:w="2694" w:type="dxa"/>
            <w:shd w:val="clear" w:color="auto" w:fill="FFFFFF"/>
          </w:tcPr>
          <w:p w14:paraId="595496D5" w14:textId="77777777" w:rsidR="00FF77DC" w:rsidRPr="00B57B36" w:rsidRDefault="00FF77DC" w:rsidP="00703781">
            <w:pPr>
              <w:pStyle w:val="CETBodytext"/>
              <w:rPr>
                <w:lang w:val="en-GB"/>
              </w:rPr>
            </w:pPr>
          </w:p>
        </w:tc>
        <w:tc>
          <w:tcPr>
            <w:tcW w:w="4422" w:type="dxa"/>
            <w:shd w:val="clear" w:color="auto" w:fill="FFFFFF"/>
          </w:tcPr>
          <w:p w14:paraId="1D2B5B6C" w14:textId="506000D5" w:rsidR="00FF77DC" w:rsidRPr="00B57B36" w:rsidRDefault="00FF77DC" w:rsidP="00703781">
            <w:pPr>
              <w:pStyle w:val="CETBodytext"/>
              <w:rPr>
                <w:lang w:val="en-GB"/>
              </w:rPr>
            </w:pPr>
            <w:r>
              <w:rPr>
                <w:lang w:val="en-GB"/>
              </w:rPr>
              <w:t>Workforce Involvement</w:t>
            </w:r>
          </w:p>
        </w:tc>
      </w:tr>
      <w:tr w:rsidR="00FF77DC" w:rsidRPr="00B57B36" w14:paraId="6FEE4F4A" w14:textId="77777777" w:rsidTr="00B34A7E">
        <w:tc>
          <w:tcPr>
            <w:tcW w:w="2694" w:type="dxa"/>
            <w:tcBorders>
              <w:bottom w:val="single" w:sz="4" w:space="0" w:color="008000"/>
            </w:tcBorders>
            <w:shd w:val="clear" w:color="auto" w:fill="FFFFFF"/>
          </w:tcPr>
          <w:p w14:paraId="773D9309" w14:textId="77777777" w:rsidR="00FF77DC" w:rsidRPr="00B57B36" w:rsidRDefault="00FF77DC" w:rsidP="00703781">
            <w:pPr>
              <w:pStyle w:val="CETBodytext"/>
              <w:rPr>
                <w:lang w:val="en-GB"/>
              </w:rPr>
            </w:pPr>
          </w:p>
        </w:tc>
        <w:tc>
          <w:tcPr>
            <w:tcW w:w="4422" w:type="dxa"/>
            <w:tcBorders>
              <w:bottom w:val="single" w:sz="4" w:space="0" w:color="008000"/>
            </w:tcBorders>
            <w:shd w:val="clear" w:color="auto" w:fill="FFFFFF"/>
          </w:tcPr>
          <w:p w14:paraId="103EAF8B" w14:textId="3B27811B" w:rsidR="00FF77DC" w:rsidRPr="00B57B36" w:rsidRDefault="00FF77DC" w:rsidP="00703781">
            <w:pPr>
              <w:pStyle w:val="CETBodytext"/>
              <w:rPr>
                <w:lang w:val="en-GB"/>
              </w:rPr>
            </w:pPr>
            <w:r>
              <w:rPr>
                <w:lang w:val="en-GB"/>
              </w:rPr>
              <w:t>Stakeholder Outreach</w:t>
            </w:r>
          </w:p>
        </w:tc>
      </w:tr>
      <w:tr w:rsidR="00FF77DC" w:rsidRPr="00B57B36" w14:paraId="08224E15" w14:textId="77777777" w:rsidTr="00B34A7E">
        <w:tc>
          <w:tcPr>
            <w:tcW w:w="2694" w:type="dxa"/>
            <w:tcBorders>
              <w:top w:val="single" w:sz="4" w:space="0" w:color="008000"/>
              <w:bottom w:val="nil"/>
            </w:tcBorders>
            <w:shd w:val="clear" w:color="auto" w:fill="FFFFFF"/>
          </w:tcPr>
          <w:p w14:paraId="37A0F32B" w14:textId="06AD786C" w:rsidR="00FF77DC" w:rsidRPr="00B57B36" w:rsidRDefault="00FF77DC" w:rsidP="00703781">
            <w:pPr>
              <w:pStyle w:val="CETBodytext"/>
              <w:rPr>
                <w:lang w:val="en-GB"/>
              </w:rPr>
            </w:pPr>
            <w:r>
              <w:rPr>
                <w:lang w:val="en-GB"/>
              </w:rPr>
              <w:t>Understand Hazards and Risk</w:t>
            </w:r>
          </w:p>
        </w:tc>
        <w:tc>
          <w:tcPr>
            <w:tcW w:w="4422" w:type="dxa"/>
            <w:tcBorders>
              <w:top w:val="single" w:sz="4" w:space="0" w:color="008000"/>
              <w:bottom w:val="nil"/>
            </w:tcBorders>
            <w:shd w:val="clear" w:color="auto" w:fill="FFFFFF"/>
          </w:tcPr>
          <w:p w14:paraId="349D83DA" w14:textId="0C9A7D10" w:rsidR="00FF77DC" w:rsidRPr="00B57B36" w:rsidRDefault="00230B04" w:rsidP="00703781">
            <w:pPr>
              <w:pStyle w:val="CETBodytext"/>
              <w:rPr>
                <w:lang w:val="en-GB"/>
              </w:rPr>
            </w:pPr>
            <w:r>
              <w:rPr>
                <w:lang w:val="en-GB"/>
              </w:rPr>
              <w:t>Process Knowledge Management</w:t>
            </w:r>
          </w:p>
        </w:tc>
      </w:tr>
      <w:tr w:rsidR="00FF77DC" w:rsidRPr="00B57B36" w14:paraId="288955DA" w14:textId="77777777" w:rsidTr="00B34A7E">
        <w:tc>
          <w:tcPr>
            <w:tcW w:w="2694" w:type="dxa"/>
            <w:tcBorders>
              <w:top w:val="nil"/>
              <w:bottom w:val="single" w:sz="4" w:space="0" w:color="008000"/>
            </w:tcBorders>
            <w:shd w:val="clear" w:color="auto" w:fill="FFFFFF"/>
          </w:tcPr>
          <w:p w14:paraId="5982E852" w14:textId="77777777" w:rsidR="00FF77DC" w:rsidRPr="00B57B36" w:rsidRDefault="00FF77DC" w:rsidP="00703781">
            <w:pPr>
              <w:pStyle w:val="CETBodytext"/>
              <w:ind w:right="-1"/>
              <w:rPr>
                <w:rFonts w:cs="Arial"/>
                <w:szCs w:val="18"/>
                <w:lang w:val="en-GB"/>
              </w:rPr>
            </w:pPr>
          </w:p>
        </w:tc>
        <w:tc>
          <w:tcPr>
            <w:tcW w:w="4422" w:type="dxa"/>
            <w:tcBorders>
              <w:top w:val="nil"/>
              <w:bottom w:val="single" w:sz="4" w:space="0" w:color="008000"/>
            </w:tcBorders>
            <w:shd w:val="clear" w:color="auto" w:fill="FFFFFF"/>
          </w:tcPr>
          <w:p w14:paraId="0E176F3A" w14:textId="33D77421" w:rsidR="00FF77DC" w:rsidRPr="00B57B36" w:rsidRDefault="00230B04" w:rsidP="00703781">
            <w:pPr>
              <w:pStyle w:val="CETBodytext"/>
              <w:ind w:right="-1"/>
              <w:rPr>
                <w:rFonts w:cs="Arial"/>
                <w:szCs w:val="18"/>
                <w:lang w:val="en-GB"/>
              </w:rPr>
            </w:pPr>
            <w:r>
              <w:rPr>
                <w:rFonts w:cs="Arial"/>
                <w:szCs w:val="18"/>
                <w:lang w:val="en-GB"/>
              </w:rPr>
              <w:t>Hazard Identification and Risk Analysis</w:t>
            </w:r>
          </w:p>
        </w:tc>
      </w:tr>
      <w:tr w:rsidR="00230B04" w:rsidRPr="00B57B36" w14:paraId="11684A90" w14:textId="77777777" w:rsidTr="00B34A7E">
        <w:tc>
          <w:tcPr>
            <w:tcW w:w="2694" w:type="dxa"/>
            <w:tcBorders>
              <w:top w:val="single" w:sz="4" w:space="0" w:color="008000"/>
              <w:bottom w:val="nil"/>
            </w:tcBorders>
            <w:shd w:val="clear" w:color="auto" w:fill="FFFFFF"/>
          </w:tcPr>
          <w:p w14:paraId="187720BC" w14:textId="43514A2A" w:rsidR="00230B04" w:rsidRPr="00B57B36" w:rsidRDefault="00230B04" w:rsidP="00703781">
            <w:pPr>
              <w:pStyle w:val="CETBodytext"/>
              <w:ind w:right="-1"/>
              <w:rPr>
                <w:rFonts w:cs="Arial"/>
                <w:szCs w:val="18"/>
                <w:lang w:val="en-GB"/>
              </w:rPr>
            </w:pPr>
            <w:r>
              <w:rPr>
                <w:rFonts w:cs="Arial"/>
                <w:szCs w:val="18"/>
                <w:lang w:val="en-GB"/>
              </w:rPr>
              <w:t>Manage Risk</w:t>
            </w:r>
          </w:p>
        </w:tc>
        <w:tc>
          <w:tcPr>
            <w:tcW w:w="4422" w:type="dxa"/>
            <w:tcBorders>
              <w:top w:val="single" w:sz="4" w:space="0" w:color="008000"/>
              <w:bottom w:val="nil"/>
            </w:tcBorders>
            <w:shd w:val="clear" w:color="auto" w:fill="FFFFFF"/>
          </w:tcPr>
          <w:p w14:paraId="2D2F7A01" w14:textId="39E1469A" w:rsidR="00230B04" w:rsidRDefault="00230B04" w:rsidP="00703781">
            <w:pPr>
              <w:pStyle w:val="CETBodytext"/>
              <w:ind w:right="-1"/>
              <w:rPr>
                <w:rFonts w:cs="Arial"/>
                <w:szCs w:val="18"/>
                <w:lang w:val="en-GB"/>
              </w:rPr>
            </w:pPr>
            <w:r>
              <w:rPr>
                <w:rFonts w:cs="Arial"/>
                <w:szCs w:val="18"/>
                <w:lang w:val="en-GB"/>
              </w:rPr>
              <w:t>Operating Procedures</w:t>
            </w:r>
          </w:p>
        </w:tc>
      </w:tr>
      <w:tr w:rsidR="00230B04" w:rsidRPr="00B57B36" w14:paraId="09646692" w14:textId="77777777" w:rsidTr="00B34A7E">
        <w:tc>
          <w:tcPr>
            <w:tcW w:w="2694" w:type="dxa"/>
            <w:tcBorders>
              <w:top w:val="nil"/>
              <w:bottom w:val="nil"/>
            </w:tcBorders>
            <w:shd w:val="clear" w:color="auto" w:fill="FFFFFF"/>
          </w:tcPr>
          <w:p w14:paraId="537C4CE6" w14:textId="77777777" w:rsidR="00230B04" w:rsidRDefault="00230B04" w:rsidP="00703781">
            <w:pPr>
              <w:pStyle w:val="CETBodytext"/>
              <w:ind w:right="-1"/>
              <w:rPr>
                <w:rFonts w:cs="Arial"/>
                <w:szCs w:val="18"/>
                <w:lang w:val="en-GB"/>
              </w:rPr>
            </w:pPr>
          </w:p>
        </w:tc>
        <w:tc>
          <w:tcPr>
            <w:tcW w:w="4422" w:type="dxa"/>
            <w:tcBorders>
              <w:top w:val="nil"/>
              <w:bottom w:val="nil"/>
            </w:tcBorders>
            <w:shd w:val="clear" w:color="auto" w:fill="FFFFFF"/>
          </w:tcPr>
          <w:p w14:paraId="629F03DF" w14:textId="5FCCE8B6" w:rsidR="00230B04" w:rsidRDefault="00230B04" w:rsidP="00703781">
            <w:pPr>
              <w:pStyle w:val="CETBodytext"/>
              <w:ind w:right="-1"/>
              <w:rPr>
                <w:rFonts w:cs="Arial"/>
                <w:szCs w:val="18"/>
                <w:lang w:val="en-GB"/>
              </w:rPr>
            </w:pPr>
            <w:r>
              <w:rPr>
                <w:rFonts w:cs="Arial"/>
                <w:szCs w:val="18"/>
                <w:lang w:val="en-GB"/>
              </w:rPr>
              <w:t>Safe Work Practices</w:t>
            </w:r>
          </w:p>
        </w:tc>
      </w:tr>
      <w:tr w:rsidR="00230B04" w:rsidRPr="00B57B36" w14:paraId="7C047571" w14:textId="77777777" w:rsidTr="00B34A7E">
        <w:tc>
          <w:tcPr>
            <w:tcW w:w="2694" w:type="dxa"/>
            <w:tcBorders>
              <w:top w:val="nil"/>
              <w:bottom w:val="nil"/>
            </w:tcBorders>
            <w:shd w:val="clear" w:color="auto" w:fill="FFFFFF"/>
          </w:tcPr>
          <w:p w14:paraId="313423DB" w14:textId="77777777" w:rsidR="00230B04" w:rsidRDefault="00230B04" w:rsidP="00703781">
            <w:pPr>
              <w:pStyle w:val="CETBodytext"/>
              <w:ind w:right="-1"/>
              <w:rPr>
                <w:rFonts w:cs="Arial"/>
                <w:szCs w:val="18"/>
                <w:lang w:val="en-GB"/>
              </w:rPr>
            </w:pPr>
          </w:p>
        </w:tc>
        <w:tc>
          <w:tcPr>
            <w:tcW w:w="4422" w:type="dxa"/>
            <w:tcBorders>
              <w:top w:val="nil"/>
              <w:bottom w:val="nil"/>
            </w:tcBorders>
            <w:shd w:val="clear" w:color="auto" w:fill="FFFFFF"/>
          </w:tcPr>
          <w:p w14:paraId="38504F71" w14:textId="0B86A66E" w:rsidR="00230B04" w:rsidRDefault="00230B04" w:rsidP="00703781">
            <w:pPr>
              <w:pStyle w:val="CETBodytext"/>
              <w:ind w:right="-1"/>
              <w:rPr>
                <w:rFonts w:cs="Arial"/>
                <w:szCs w:val="18"/>
                <w:lang w:val="en-GB"/>
              </w:rPr>
            </w:pPr>
            <w:r>
              <w:rPr>
                <w:rFonts w:cs="Arial"/>
                <w:szCs w:val="18"/>
                <w:lang w:val="en-GB"/>
              </w:rPr>
              <w:t>Asset Integrity and Reliability</w:t>
            </w:r>
          </w:p>
        </w:tc>
      </w:tr>
      <w:tr w:rsidR="00230B04" w:rsidRPr="00B57B36" w14:paraId="3F1B9D34" w14:textId="77777777" w:rsidTr="00B34A7E">
        <w:tc>
          <w:tcPr>
            <w:tcW w:w="2694" w:type="dxa"/>
            <w:tcBorders>
              <w:top w:val="nil"/>
              <w:bottom w:val="nil"/>
            </w:tcBorders>
            <w:shd w:val="clear" w:color="auto" w:fill="FFFFFF"/>
          </w:tcPr>
          <w:p w14:paraId="7456D59D" w14:textId="77777777" w:rsidR="00230B04" w:rsidRDefault="00230B04" w:rsidP="00703781">
            <w:pPr>
              <w:pStyle w:val="CETBodytext"/>
              <w:ind w:right="-1"/>
              <w:rPr>
                <w:rFonts w:cs="Arial"/>
                <w:szCs w:val="18"/>
                <w:lang w:val="en-GB"/>
              </w:rPr>
            </w:pPr>
          </w:p>
        </w:tc>
        <w:tc>
          <w:tcPr>
            <w:tcW w:w="4422" w:type="dxa"/>
            <w:tcBorders>
              <w:top w:val="nil"/>
              <w:bottom w:val="nil"/>
            </w:tcBorders>
            <w:shd w:val="clear" w:color="auto" w:fill="FFFFFF"/>
          </w:tcPr>
          <w:p w14:paraId="424DD61B" w14:textId="485044F0" w:rsidR="00230B04" w:rsidRDefault="00230B04" w:rsidP="00703781">
            <w:pPr>
              <w:pStyle w:val="CETBodytext"/>
              <w:ind w:right="-1"/>
              <w:rPr>
                <w:rFonts w:cs="Arial"/>
                <w:szCs w:val="18"/>
                <w:lang w:val="en-GB"/>
              </w:rPr>
            </w:pPr>
            <w:r>
              <w:rPr>
                <w:rFonts w:cs="Arial"/>
                <w:szCs w:val="18"/>
                <w:lang w:val="en-GB"/>
              </w:rPr>
              <w:t>Contractor Management</w:t>
            </w:r>
          </w:p>
        </w:tc>
      </w:tr>
      <w:tr w:rsidR="00230B04" w:rsidRPr="00B57B36" w14:paraId="2499E3BB" w14:textId="77777777" w:rsidTr="00B34A7E">
        <w:tc>
          <w:tcPr>
            <w:tcW w:w="2694" w:type="dxa"/>
            <w:tcBorders>
              <w:top w:val="nil"/>
              <w:bottom w:val="nil"/>
            </w:tcBorders>
            <w:shd w:val="clear" w:color="auto" w:fill="FFFFFF"/>
          </w:tcPr>
          <w:p w14:paraId="37C02C68" w14:textId="77777777" w:rsidR="00230B04" w:rsidRDefault="00230B04" w:rsidP="00703781">
            <w:pPr>
              <w:pStyle w:val="CETBodytext"/>
              <w:ind w:right="-1"/>
              <w:rPr>
                <w:rFonts w:cs="Arial"/>
                <w:szCs w:val="18"/>
                <w:lang w:val="en-GB"/>
              </w:rPr>
            </w:pPr>
          </w:p>
        </w:tc>
        <w:tc>
          <w:tcPr>
            <w:tcW w:w="4422" w:type="dxa"/>
            <w:tcBorders>
              <w:top w:val="nil"/>
              <w:bottom w:val="nil"/>
            </w:tcBorders>
            <w:shd w:val="clear" w:color="auto" w:fill="FFFFFF"/>
          </w:tcPr>
          <w:p w14:paraId="6274597C" w14:textId="3F044F1C" w:rsidR="00230B04" w:rsidRDefault="00230B04" w:rsidP="00703781">
            <w:pPr>
              <w:pStyle w:val="CETBodytext"/>
              <w:ind w:right="-1"/>
              <w:rPr>
                <w:rFonts w:cs="Arial"/>
                <w:szCs w:val="18"/>
                <w:lang w:val="en-GB"/>
              </w:rPr>
            </w:pPr>
            <w:r>
              <w:rPr>
                <w:rFonts w:cs="Arial"/>
                <w:szCs w:val="18"/>
                <w:lang w:val="en-GB"/>
              </w:rPr>
              <w:t>Training and Performance Assurance</w:t>
            </w:r>
          </w:p>
        </w:tc>
      </w:tr>
      <w:tr w:rsidR="00230B04" w:rsidRPr="00B57B36" w14:paraId="24A01565" w14:textId="77777777" w:rsidTr="00B34A7E">
        <w:tc>
          <w:tcPr>
            <w:tcW w:w="2694" w:type="dxa"/>
            <w:tcBorders>
              <w:top w:val="nil"/>
              <w:bottom w:val="nil"/>
            </w:tcBorders>
            <w:shd w:val="clear" w:color="auto" w:fill="FFFFFF"/>
          </w:tcPr>
          <w:p w14:paraId="40018D36" w14:textId="77777777" w:rsidR="00230B04" w:rsidRDefault="00230B04" w:rsidP="00703781">
            <w:pPr>
              <w:pStyle w:val="CETBodytext"/>
              <w:ind w:right="-1"/>
              <w:rPr>
                <w:rFonts w:cs="Arial"/>
                <w:szCs w:val="18"/>
                <w:lang w:val="en-GB"/>
              </w:rPr>
            </w:pPr>
          </w:p>
        </w:tc>
        <w:tc>
          <w:tcPr>
            <w:tcW w:w="4422" w:type="dxa"/>
            <w:tcBorders>
              <w:top w:val="nil"/>
              <w:bottom w:val="nil"/>
            </w:tcBorders>
            <w:shd w:val="clear" w:color="auto" w:fill="FFFFFF"/>
          </w:tcPr>
          <w:p w14:paraId="16931BD9" w14:textId="4859C6DB" w:rsidR="00230B04" w:rsidRDefault="00230B04" w:rsidP="00703781">
            <w:pPr>
              <w:pStyle w:val="CETBodytext"/>
              <w:ind w:right="-1"/>
              <w:rPr>
                <w:rFonts w:cs="Arial"/>
                <w:szCs w:val="18"/>
                <w:lang w:val="en-GB"/>
              </w:rPr>
            </w:pPr>
            <w:r>
              <w:rPr>
                <w:rFonts w:cs="Arial"/>
                <w:szCs w:val="18"/>
                <w:lang w:val="en-GB"/>
              </w:rPr>
              <w:t>Management of Change</w:t>
            </w:r>
          </w:p>
        </w:tc>
      </w:tr>
      <w:tr w:rsidR="00230B04" w:rsidRPr="00B57B36" w14:paraId="7CABDF8D" w14:textId="77777777" w:rsidTr="00B34A7E">
        <w:tc>
          <w:tcPr>
            <w:tcW w:w="2694" w:type="dxa"/>
            <w:tcBorders>
              <w:top w:val="nil"/>
              <w:bottom w:val="nil"/>
            </w:tcBorders>
            <w:shd w:val="clear" w:color="auto" w:fill="FFFFFF"/>
          </w:tcPr>
          <w:p w14:paraId="392AFE44" w14:textId="77777777" w:rsidR="00230B04" w:rsidRDefault="00230B04" w:rsidP="00703781">
            <w:pPr>
              <w:pStyle w:val="CETBodytext"/>
              <w:ind w:right="-1"/>
              <w:rPr>
                <w:rFonts w:cs="Arial"/>
                <w:szCs w:val="18"/>
                <w:lang w:val="en-GB"/>
              </w:rPr>
            </w:pPr>
          </w:p>
        </w:tc>
        <w:tc>
          <w:tcPr>
            <w:tcW w:w="4422" w:type="dxa"/>
            <w:tcBorders>
              <w:top w:val="nil"/>
              <w:bottom w:val="nil"/>
            </w:tcBorders>
            <w:shd w:val="clear" w:color="auto" w:fill="FFFFFF"/>
          </w:tcPr>
          <w:p w14:paraId="41693891" w14:textId="669386CE" w:rsidR="00230B04" w:rsidRDefault="00230B04" w:rsidP="00703781">
            <w:pPr>
              <w:pStyle w:val="CETBodytext"/>
              <w:ind w:right="-1"/>
              <w:rPr>
                <w:rFonts w:cs="Arial"/>
                <w:szCs w:val="18"/>
                <w:lang w:val="en-GB"/>
              </w:rPr>
            </w:pPr>
            <w:r>
              <w:rPr>
                <w:rFonts w:cs="Arial"/>
                <w:szCs w:val="18"/>
                <w:lang w:val="en-GB"/>
              </w:rPr>
              <w:t>Operational Readiness</w:t>
            </w:r>
          </w:p>
        </w:tc>
      </w:tr>
      <w:tr w:rsidR="00230B04" w:rsidRPr="00B57B36" w14:paraId="661FF4AB" w14:textId="77777777" w:rsidTr="00B34A7E">
        <w:tc>
          <w:tcPr>
            <w:tcW w:w="2694" w:type="dxa"/>
            <w:tcBorders>
              <w:top w:val="nil"/>
              <w:bottom w:val="nil"/>
            </w:tcBorders>
            <w:shd w:val="clear" w:color="auto" w:fill="FFFFFF"/>
          </w:tcPr>
          <w:p w14:paraId="7C8CA6F8" w14:textId="77777777" w:rsidR="00230B04" w:rsidRDefault="00230B04" w:rsidP="00703781">
            <w:pPr>
              <w:pStyle w:val="CETBodytext"/>
              <w:ind w:right="-1"/>
              <w:rPr>
                <w:rFonts w:cs="Arial"/>
                <w:szCs w:val="18"/>
                <w:lang w:val="en-GB"/>
              </w:rPr>
            </w:pPr>
          </w:p>
        </w:tc>
        <w:tc>
          <w:tcPr>
            <w:tcW w:w="4422" w:type="dxa"/>
            <w:tcBorders>
              <w:top w:val="nil"/>
              <w:bottom w:val="nil"/>
            </w:tcBorders>
            <w:shd w:val="clear" w:color="auto" w:fill="FFFFFF"/>
          </w:tcPr>
          <w:p w14:paraId="3AEE6185" w14:textId="2F5D418E" w:rsidR="00230B04" w:rsidRDefault="00230B04" w:rsidP="00703781">
            <w:pPr>
              <w:pStyle w:val="CETBodytext"/>
              <w:ind w:right="-1"/>
              <w:rPr>
                <w:rFonts w:cs="Arial"/>
                <w:szCs w:val="18"/>
                <w:lang w:val="en-GB"/>
              </w:rPr>
            </w:pPr>
            <w:r>
              <w:rPr>
                <w:rFonts w:cs="Arial"/>
                <w:szCs w:val="18"/>
                <w:lang w:val="en-GB"/>
              </w:rPr>
              <w:t>Conduct of Operations</w:t>
            </w:r>
          </w:p>
        </w:tc>
      </w:tr>
      <w:tr w:rsidR="00230B04" w:rsidRPr="00B57B36" w14:paraId="4C5F0582" w14:textId="77777777" w:rsidTr="00B34A7E">
        <w:tc>
          <w:tcPr>
            <w:tcW w:w="2694" w:type="dxa"/>
            <w:tcBorders>
              <w:top w:val="nil"/>
              <w:bottom w:val="single" w:sz="4" w:space="0" w:color="008000"/>
            </w:tcBorders>
            <w:shd w:val="clear" w:color="auto" w:fill="FFFFFF"/>
          </w:tcPr>
          <w:p w14:paraId="2337A8DA" w14:textId="77777777" w:rsidR="00230B04" w:rsidRDefault="00230B04" w:rsidP="00703781">
            <w:pPr>
              <w:pStyle w:val="CETBodytext"/>
              <w:ind w:right="-1"/>
              <w:rPr>
                <w:rFonts w:cs="Arial"/>
                <w:szCs w:val="18"/>
                <w:lang w:val="en-GB"/>
              </w:rPr>
            </w:pPr>
          </w:p>
        </w:tc>
        <w:tc>
          <w:tcPr>
            <w:tcW w:w="4422" w:type="dxa"/>
            <w:tcBorders>
              <w:top w:val="nil"/>
              <w:bottom w:val="single" w:sz="4" w:space="0" w:color="008000"/>
            </w:tcBorders>
            <w:shd w:val="clear" w:color="auto" w:fill="FFFFFF"/>
          </w:tcPr>
          <w:p w14:paraId="2955670C" w14:textId="0FA6BE15" w:rsidR="00230B04" w:rsidRDefault="00230B04" w:rsidP="00703781">
            <w:pPr>
              <w:pStyle w:val="CETBodytext"/>
              <w:ind w:right="-1"/>
              <w:rPr>
                <w:rFonts w:cs="Arial"/>
                <w:szCs w:val="18"/>
                <w:lang w:val="en-GB"/>
              </w:rPr>
            </w:pPr>
            <w:r>
              <w:rPr>
                <w:rFonts w:cs="Arial"/>
                <w:szCs w:val="18"/>
                <w:lang w:val="en-GB"/>
              </w:rPr>
              <w:t>Emergency Management</w:t>
            </w:r>
          </w:p>
        </w:tc>
      </w:tr>
      <w:tr w:rsidR="00230B04" w:rsidRPr="00B57B36" w14:paraId="559FF9B4" w14:textId="77777777" w:rsidTr="00B34A7E">
        <w:tc>
          <w:tcPr>
            <w:tcW w:w="2694" w:type="dxa"/>
            <w:tcBorders>
              <w:top w:val="single" w:sz="4" w:space="0" w:color="008000"/>
              <w:bottom w:val="nil"/>
            </w:tcBorders>
            <w:shd w:val="clear" w:color="auto" w:fill="FFFFFF"/>
          </w:tcPr>
          <w:p w14:paraId="28008A0B" w14:textId="0464C8E4" w:rsidR="00230B04" w:rsidRDefault="00230B04" w:rsidP="00703781">
            <w:pPr>
              <w:pStyle w:val="CETBodytext"/>
              <w:ind w:right="-1"/>
              <w:rPr>
                <w:rFonts w:cs="Arial"/>
                <w:szCs w:val="18"/>
                <w:lang w:val="en-GB"/>
              </w:rPr>
            </w:pPr>
            <w:r>
              <w:rPr>
                <w:rFonts w:cs="Arial"/>
                <w:szCs w:val="18"/>
                <w:lang w:val="en-GB"/>
              </w:rPr>
              <w:t>Learn from Experience</w:t>
            </w:r>
          </w:p>
        </w:tc>
        <w:tc>
          <w:tcPr>
            <w:tcW w:w="4422" w:type="dxa"/>
            <w:tcBorders>
              <w:top w:val="single" w:sz="4" w:space="0" w:color="008000"/>
              <w:bottom w:val="nil"/>
            </w:tcBorders>
            <w:shd w:val="clear" w:color="auto" w:fill="FFFFFF"/>
          </w:tcPr>
          <w:p w14:paraId="37BC80A5" w14:textId="55EDACB7" w:rsidR="00230B04" w:rsidRDefault="00230B04" w:rsidP="00703781">
            <w:pPr>
              <w:pStyle w:val="CETBodytext"/>
              <w:ind w:right="-1"/>
              <w:rPr>
                <w:rFonts w:cs="Arial"/>
                <w:szCs w:val="18"/>
                <w:lang w:val="en-GB"/>
              </w:rPr>
            </w:pPr>
            <w:r>
              <w:rPr>
                <w:rFonts w:cs="Arial"/>
                <w:szCs w:val="18"/>
                <w:lang w:val="en-GB"/>
              </w:rPr>
              <w:t>Incident Investigation</w:t>
            </w:r>
          </w:p>
        </w:tc>
      </w:tr>
      <w:tr w:rsidR="00230B04" w:rsidRPr="00B57B36" w14:paraId="28FC273B" w14:textId="77777777" w:rsidTr="00B34A7E">
        <w:tc>
          <w:tcPr>
            <w:tcW w:w="2694" w:type="dxa"/>
            <w:tcBorders>
              <w:top w:val="nil"/>
              <w:bottom w:val="nil"/>
            </w:tcBorders>
            <w:shd w:val="clear" w:color="auto" w:fill="FFFFFF"/>
          </w:tcPr>
          <w:p w14:paraId="26ECE80C" w14:textId="77777777" w:rsidR="00230B04" w:rsidRDefault="00230B04" w:rsidP="00703781">
            <w:pPr>
              <w:pStyle w:val="CETBodytext"/>
              <w:ind w:right="-1"/>
              <w:rPr>
                <w:rFonts w:cs="Arial"/>
                <w:szCs w:val="18"/>
                <w:lang w:val="en-GB"/>
              </w:rPr>
            </w:pPr>
          </w:p>
        </w:tc>
        <w:tc>
          <w:tcPr>
            <w:tcW w:w="4422" w:type="dxa"/>
            <w:tcBorders>
              <w:top w:val="nil"/>
              <w:bottom w:val="nil"/>
            </w:tcBorders>
            <w:shd w:val="clear" w:color="auto" w:fill="FFFFFF"/>
          </w:tcPr>
          <w:p w14:paraId="698EDE89" w14:textId="1A7855B6" w:rsidR="00230B04" w:rsidRDefault="00230B04" w:rsidP="00703781">
            <w:pPr>
              <w:pStyle w:val="CETBodytext"/>
              <w:ind w:right="-1"/>
              <w:rPr>
                <w:rFonts w:cs="Arial"/>
                <w:szCs w:val="18"/>
                <w:lang w:val="en-GB"/>
              </w:rPr>
            </w:pPr>
            <w:r>
              <w:rPr>
                <w:rFonts w:cs="Arial"/>
                <w:szCs w:val="18"/>
                <w:lang w:val="en-GB"/>
              </w:rPr>
              <w:t>Measurement and Metrics</w:t>
            </w:r>
          </w:p>
        </w:tc>
      </w:tr>
      <w:tr w:rsidR="00230B04" w:rsidRPr="00B57B36" w14:paraId="41372DE1" w14:textId="77777777" w:rsidTr="00B34A7E">
        <w:tc>
          <w:tcPr>
            <w:tcW w:w="2694" w:type="dxa"/>
            <w:tcBorders>
              <w:top w:val="nil"/>
              <w:bottom w:val="nil"/>
            </w:tcBorders>
            <w:shd w:val="clear" w:color="auto" w:fill="FFFFFF"/>
          </w:tcPr>
          <w:p w14:paraId="583222BF" w14:textId="77777777" w:rsidR="00230B04" w:rsidRDefault="00230B04" w:rsidP="00703781">
            <w:pPr>
              <w:pStyle w:val="CETBodytext"/>
              <w:ind w:right="-1"/>
              <w:rPr>
                <w:rFonts w:cs="Arial"/>
                <w:szCs w:val="18"/>
                <w:lang w:val="en-GB"/>
              </w:rPr>
            </w:pPr>
          </w:p>
        </w:tc>
        <w:tc>
          <w:tcPr>
            <w:tcW w:w="4422" w:type="dxa"/>
            <w:tcBorders>
              <w:top w:val="nil"/>
              <w:bottom w:val="nil"/>
            </w:tcBorders>
            <w:shd w:val="clear" w:color="auto" w:fill="FFFFFF"/>
          </w:tcPr>
          <w:p w14:paraId="166BD0D5" w14:textId="1A4BF944" w:rsidR="00230B04" w:rsidRDefault="00230B04" w:rsidP="00703781">
            <w:pPr>
              <w:pStyle w:val="CETBodytext"/>
              <w:ind w:right="-1"/>
              <w:rPr>
                <w:rFonts w:cs="Arial"/>
                <w:szCs w:val="18"/>
                <w:lang w:val="en-GB"/>
              </w:rPr>
            </w:pPr>
            <w:r>
              <w:rPr>
                <w:rFonts w:cs="Arial"/>
                <w:szCs w:val="18"/>
                <w:lang w:val="en-GB"/>
              </w:rPr>
              <w:t>Auditing</w:t>
            </w:r>
          </w:p>
        </w:tc>
      </w:tr>
      <w:tr w:rsidR="00230B04" w:rsidRPr="00B57B36" w14:paraId="0368532C" w14:textId="77777777" w:rsidTr="00B34A7E">
        <w:tc>
          <w:tcPr>
            <w:tcW w:w="2694" w:type="dxa"/>
            <w:tcBorders>
              <w:top w:val="nil"/>
            </w:tcBorders>
            <w:shd w:val="clear" w:color="auto" w:fill="FFFFFF"/>
          </w:tcPr>
          <w:p w14:paraId="2A7C9977" w14:textId="4CDF7CD0" w:rsidR="00230B04" w:rsidRDefault="00230B04" w:rsidP="00703781">
            <w:pPr>
              <w:pStyle w:val="CETBodytext"/>
              <w:ind w:right="-1"/>
              <w:rPr>
                <w:rFonts w:cs="Arial"/>
                <w:szCs w:val="18"/>
                <w:lang w:val="en-GB"/>
              </w:rPr>
            </w:pPr>
          </w:p>
        </w:tc>
        <w:tc>
          <w:tcPr>
            <w:tcW w:w="4422" w:type="dxa"/>
            <w:tcBorders>
              <w:top w:val="nil"/>
            </w:tcBorders>
            <w:shd w:val="clear" w:color="auto" w:fill="FFFFFF"/>
          </w:tcPr>
          <w:p w14:paraId="091846FF" w14:textId="54810A71" w:rsidR="00230B04" w:rsidRDefault="00230B04" w:rsidP="00703781">
            <w:pPr>
              <w:pStyle w:val="CETBodytext"/>
              <w:ind w:right="-1"/>
              <w:rPr>
                <w:rFonts w:cs="Arial"/>
                <w:szCs w:val="18"/>
                <w:lang w:val="en-GB"/>
              </w:rPr>
            </w:pPr>
            <w:r>
              <w:rPr>
                <w:rFonts w:cs="Arial"/>
                <w:szCs w:val="18"/>
                <w:lang w:val="en-GB"/>
              </w:rPr>
              <w:t>Management Review and Continuous Improvement</w:t>
            </w:r>
          </w:p>
        </w:tc>
      </w:tr>
    </w:tbl>
    <w:p w14:paraId="77E28B36" w14:textId="6A81B449" w:rsidR="00D94D0D" w:rsidRDefault="00D94D0D" w:rsidP="00D94D0D">
      <w:pPr>
        <w:pStyle w:val="CETBodytext"/>
        <w:rPr>
          <w:lang w:val="en-GB"/>
        </w:rPr>
      </w:pPr>
    </w:p>
    <w:p w14:paraId="5602B31A" w14:textId="3D8745F0" w:rsidR="00FB5E04" w:rsidRPr="00D57522" w:rsidRDefault="00FB5E04" w:rsidP="00FB5E04">
      <w:pPr>
        <w:pStyle w:val="CETBodytext"/>
        <w:rPr>
          <w:lang w:val="en-GB"/>
        </w:rPr>
      </w:pPr>
      <w:r w:rsidRPr="00D57522">
        <w:rPr>
          <w:lang w:val="en-GB"/>
        </w:rPr>
        <w:t xml:space="preserve">One of the most </w:t>
      </w:r>
      <w:r w:rsidR="004642C0" w:rsidRPr="00D57522">
        <w:rPr>
          <w:lang w:val="en-GB"/>
        </w:rPr>
        <w:t>famous quotations</w:t>
      </w:r>
      <w:r w:rsidRPr="00D57522">
        <w:rPr>
          <w:lang w:val="en-GB"/>
        </w:rPr>
        <w:t xml:space="preserve"> attributed to Confucius </w:t>
      </w:r>
      <w:proofErr w:type="gramStart"/>
      <w:r w:rsidRPr="00D57522">
        <w:rPr>
          <w:lang w:val="en-GB"/>
        </w:rPr>
        <w:t>says</w:t>
      </w:r>
      <w:proofErr w:type="gramEnd"/>
      <w:r w:rsidRPr="00D57522">
        <w:rPr>
          <w:lang w:val="en-GB"/>
        </w:rPr>
        <w:t xml:space="preserve"> “By three methods we may learn wisdom: first, by reflection, which is noblest; second, by imitation, which is easiest; and third by experience, which is the bitterest”. Considering this framework </w:t>
      </w:r>
      <w:proofErr w:type="gramStart"/>
      <w:r w:rsidRPr="00D57522">
        <w:rPr>
          <w:lang w:val="en-GB"/>
        </w:rPr>
        <w:t>in light of</w:t>
      </w:r>
      <w:proofErr w:type="gramEnd"/>
      <w:r w:rsidRPr="00D57522">
        <w:rPr>
          <w:lang w:val="en-GB"/>
        </w:rPr>
        <w:t xml:space="preserve"> Confucius’ assessment, “Hazard Identification and Risk Analysis” would clearly best represent “learning by reflection”; “Learning by imitation” can be metaphorically compared to “Compliance with Standards”. Designing a process based on standards and regulations is like imitating practices carried out in the past. </w:t>
      </w:r>
      <w:proofErr w:type="gramStart"/>
      <w:r w:rsidRPr="00D57522">
        <w:rPr>
          <w:lang w:val="en-GB"/>
        </w:rPr>
        <w:t>Last but not least</w:t>
      </w:r>
      <w:proofErr w:type="gramEnd"/>
      <w:r w:rsidRPr="00D57522">
        <w:rPr>
          <w:lang w:val="en-GB"/>
        </w:rPr>
        <w:t>, “Learning by</w:t>
      </w:r>
      <w:r w:rsidR="00582112" w:rsidRPr="00D57522">
        <w:rPr>
          <w:lang w:val="en-GB"/>
        </w:rPr>
        <w:t xml:space="preserve"> experience” can be identified with the “Incident Investigation”.</w:t>
      </w:r>
    </w:p>
    <w:p w14:paraId="2CE8F46F" w14:textId="4786FC60" w:rsidR="001D619A" w:rsidRPr="00D57522" w:rsidRDefault="00582112" w:rsidP="001D619A">
      <w:pPr>
        <w:pStyle w:val="CETBodytext"/>
        <w:rPr>
          <w:lang w:val="en-GB"/>
        </w:rPr>
      </w:pPr>
      <w:r w:rsidRPr="00D57522">
        <w:rPr>
          <w:lang w:val="en-GB"/>
        </w:rPr>
        <w:t>Moreover, e</w:t>
      </w:r>
      <w:r w:rsidR="002D5BAF" w:rsidRPr="00D57522">
        <w:rPr>
          <w:lang w:val="en-GB"/>
        </w:rPr>
        <w:t xml:space="preserve">xperience is something </w:t>
      </w:r>
      <w:r w:rsidR="00FB5E04" w:rsidRPr="00D57522">
        <w:rPr>
          <w:lang w:val="en-GB"/>
        </w:rPr>
        <w:t>everyone</w:t>
      </w:r>
      <w:r w:rsidR="002D5BAF" w:rsidRPr="00D57522">
        <w:rPr>
          <w:lang w:val="en-GB"/>
        </w:rPr>
        <w:t xml:space="preserve"> use</w:t>
      </w:r>
      <w:r w:rsidR="00FB5E04" w:rsidRPr="00D57522">
        <w:rPr>
          <w:lang w:val="en-GB"/>
        </w:rPr>
        <w:t>s</w:t>
      </w:r>
      <w:r w:rsidR="002D5BAF" w:rsidRPr="00D57522">
        <w:rPr>
          <w:lang w:val="en-GB"/>
        </w:rPr>
        <w:t xml:space="preserve"> from an early age </w:t>
      </w:r>
      <w:proofErr w:type="gramStart"/>
      <w:r w:rsidR="002D5BAF" w:rsidRPr="00D57522">
        <w:rPr>
          <w:lang w:val="en-GB"/>
        </w:rPr>
        <w:t>in order to</w:t>
      </w:r>
      <w:proofErr w:type="gramEnd"/>
      <w:r w:rsidR="002D5BAF" w:rsidRPr="00D57522">
        <w:rPr>
          <w:lang w:val="en-GB"/>
        </w:rPr>
        <w:t xml:space="preserve"> learn how the world works</w:t>
      </w:r>
      <w:r w:rsidR="007B3CE8" w:rsidRPr="00D57522">
        <w:rPr>
          <w:lang w:val="en-GB"/>
        </w:rPr>
        <w:t xml:space="preserve">. </w:t>
      </w:r>
    </w:p>
    <w:p w14:paraId="7D9B077C" w14:textId="0D7086EA" w:rsidR="007E13E4" w:rsidRPr="00D57522" w:rsidRDefault="00582112" w:rsidP="001D619A">
      <w:pPr>
        <w:pStyle w:val="CETBodytext"/>
        <w:rPr>
          <w:lang w:val="en-GB"/>
        </w:rPr>
      </w:pPr>
      <w:r w:rsidRPr="00D57522">
        <w:rPr>
          <w:lang w:val="en-GB"/>
        </w:rPr>
        <w:t xml:space="preserve">So, it is possible to conclude that experience is something that man has always used to improve his way of life and there is no reason it cannot be used to reduce </w:t>
      </w:r>
      <w:r w:rsidR="009E20C6" w:rsidRPr="00D57522">
        <w:rPr>
          <w:lang w:val="en-GB"/>
        </w:rPr>
        <w:t>Process Safety</w:t>
      </w:r>
      <w:r w:rsidRPr="00D57522">
        <w:rPr>
          <w:lang w:val="en-GB"/>
        </w:rPr>
        <w:t xml:space="preserve"> </w:t>
      </w:r>
      <w:r w:rsidR="00F92DCD" w:rsidRPr="00D57522">
        <w:rPr>
          <w:lang w:val="en-GB"/>
        </w:rPr>
        <w:t>I</w:t>
      </w:r>
      <w:r w:rsidRPr="00D57522">
        <w:rPr>
          <w:lang w:val="en-GB"/>
        </w:rPr>
        <w:t>ncidents.</w:t>
      </w:r>
      <w:r w:rsidR="007E13E4" w:rsidRPr="00D57522">
        <w:rPr>
          <w:lang w:val="en-GB"/>
        </w:rPr>
        <w:t xml:space="preserve"> But Incident Investigation needs to be carried out in the correct way to be effective.</w:t>
      </w:r>
    </w:p>
    <w:p w14:paraId="4C12B8B3" w14:textId="1D105A57" w:rsidR="007E13E4" w:rsidRPr="00D57522" w:rsidRDefault="007E13E4" w:rsidP="001D619A">
      <w:pPr>
        <w:pStyle w:val="CETBodytext"/>
        <w:rPr>
          <w:lang w:val="en-GB"/>
        </w:rPr>
      </w:pPr>
      <w:r w:rsidRPr="00D57522">
        <w:rPr>
          <w:lang w:val="en-GB"/>
        </w:rPr>
        <w:t>The purpose of</w:t>
      </w:r>
      <w:r w:rsidR="00F92DCD" w:rsidRPr="00D57522">
        <w:rPr>
          <w:lang w:val="en-GB"/>
        </w:rPr>
        <w:t xml:space="preserve"> the</w:t>
      </w:r>
      <w:r w:rsidRPr="00D57522">
        <w:rPr>
          <w:lang w:val="en-GB"/>
        </w:rPr>
        <w:t xml:space="preserve"> Incident Investigation element is not only to describe how an incident should be analysed</w:t>
      </w:r>
      <w:r w:rsidR="00356592" w:rsidRPr="00D57522">
        <w:rPr>
          <w:lang w:val="en-GB"/>
        </w:rPr>
        <w:t xml:space="preserve"> </w:t>
      </w:r>
      <w:proofErr w:type="gramStart"/>
      <w:r w:rsidR="004642C0" w:rsidRPr="00D57522">
        <w:rPr>
          <w:lang w:val="en-GB"/>
        </w:rPr>
        <w:t>in order to</w:t>
      </w:r>
      <w:proofErr w:type="gramEnd"/>
      <w:r w:rsidR="004642C0" w:rsidRPr="00D57522">
        <w:rPr>
          <w:lang w:val="en-GB"/>
        </w:rPr>
        <w:t xml:space="preserve"> understand its</w:t>
      </w:r>
      <w:r w:rsidR="00356592" w:rsidRPr="00D57522">
        <w:rPr>
          <w:lang w:val="en-GB"/>
        </w:rPr>
        <w:t xml:space="preserve"> causes</w:t>
      </w:r>
      <w:r w:rsidRPr="00D57522">
        <w:rPr>
          <w:lang w:val="en-GB"/>
        </w:rPr>
        <w:t xml:space="preserve">, but also how a company should </w:t>
      </w:r>
      <w:r w:rsidR="00356592" w:rsidRPr="00D57522">
        <w:rPr>
          <w:lang w:val="en-GB"/>
        </w:rPr>
        <w:t>track the information and implement the lesson</w:t>
      </w:r>
      <w:r w:rsidR="004642C0" w:rsidRPr="00D57522">
        <w:rPr>
          <w:lang w:val="en-GB"/>
        </w:rPr>
        <w:t>s</w:t>
      </w:r>
      <w:r w:rsidR="00356592" w:rsidRPr="00D57522">
        <w:rPr>
          <w:lang w:val="en-GB"/>
        </w:rPr>
        <w:t xml:space="preserve"> learned. A good Incident Investigation process should not stop after finding the root cause</w:t>
      </w:r>
      <w:r w:rsidR="004642C0" w:rsidRPr="00D57522">
        <w:rPr>
          <w:lang w:val="en-GB"/>
        </w:rPr>
        <w:t>s</w:t>
      </w:r>
      <w:r w:rsidR="00356592" w:rsidRPr="00D57522">
        <w:rPr>
          <w:lang w:val="en-GB"/>
        </w:rPr>
        <w:t xml:space="preserve"> of an event, that should be only the starting point.</w:t>
      </w:r>
    </w:p>
    <w:p w14:paraId="0C66117E" w14:textId="7BF64FBE" w:rsidR="00C60CB1" w:rsidRPr="00D57522" w:rsidRDefault="00356592" w:rsidP="001D619A">
      <w:pPr>
        <w:pStyle w:val="CETBodytext"/>
        <w:rPr>
          <w:lang w:val="en-GB"/>
        </w:rPr>
      </w:pPr>
      <w:r w:rsidRPr="00D57522">
        <w:rPr>
          <w:lang w:val="en-GB"/>
        </w:rPr>
        <w:t xml:space="preserve">Most people are confused on the scope of the Incident Investigation. In fact, they can think that Incident Investigation is used to assign blame to personnel involved in an incident, but this approach results in ineffective recommendations being implemented (CCPS, 2010). </w:t>
      </w:r>
      <w:r w:rsidR="004A6C2E" w:rsidRPr="00D57522">
        <w:rPr>
          <w:lang w:val="en-GB"/>
        </w:rPr>
        <w:t xml:space="preserve">Indeed, removing the culprit is certainly not the solution </w:t>
      </w:r>
      <w:proofErr w:type="gramStart"/>
      <w:r w:rsidR="004A6C2E" w:rsidRPr="00D57522">
        <w:rPr>
          <w:lang w:val="en-GB"/>
        </w:rPr>
        <w:t>in order to</w:t>
      </w:r>
      <w:proofErr w:type="gramEnd"/>
      <w:r w:rsidR="004A6C2E" w:rsidRPr="00D57522">
        <w:rPr>
          <w:lang w:val="en-GB"/>
        </w:rPr>
        <w:t xml:space="preserve"> avoid future accidents. If the accident occurred, it is because there was the "ideal" context for it to occur. Therefore, the root causes that led to the event will have to be investigated. </w:t>
      </w:r>
    </w:p>
    <w:p w14:paraId="14D49F74" w14:textId="3A3ABFDF" w:rsidR="00356592" w:rsidRPr="00D57522" w:rsidRDefault="00356592" w:rsidP="001D619A">
      <w:pPr>
        <w:pStyle w:val="CETBodytext"/>
        <w:rPr>
          <w:lang w:val="en-GB"/>
        </w:rPr>
      </w:pPr>
      <w:r w:rsidRPr="00D57522">
        <w:rPr>
          <w:lang w:val="en-GB"/>
        </w:rPr>
        <w:t>A much better approach is identifying the causes of an event to develop valuable recommendations that could help the company (or even better,</w:t>
      </w:r>
      <w:r w:rsidR="00217B9F" w:rsidRPr="00D57522">
        <w:rPr>
          <w:lang w:val="en-GB"/>
        </w:rPr>
        <w:t xml:space="preserve"> in a </w:t>
      </w:r>
      <w:r w:rsidR="00F92DCD" w:rsidRPr="00D57522">
        <w:rPr>
          <w:lang w:val="en-GB"/>
        </w:rPr>
        <w:t>visionary</w:t>
      </w:r>
      <w:r w:rsidR="00217B9F" w:rsidRPr="00D57522">
        <w:rPr>
          <w:lang w:val="en-GB"/>
        </w:rPr>
        <w:t xml:space="preserve"> world,</w:t>
      </w:r>
      <w:r w:rsidRPr="00D57522">
        <w:rPr>
          <w:lang w:val="en-GB"/>
        </w:rPr>
        <w:t xml:space="preserve"> all the companies</w:t>
      </w:r>
      <w:r w:rsidR="00217B9F" w:rsidRPr="00D57522">
        <w:rPr>
          <w:lang w:val="en-GB"/>
        </w:rPr>
        <w:t xml:space="preserve"> </w:t>
      </w:r>
      <w:r w:rsidRPr="00D57522">
        <w:rPr>
          <w:lang w:val="en-GB"/>
        </w:rPr>
        <w:t xml:space="preserve">that share the same process / substance / type of plant) </w:t>
      </w:r>
      <w:r w:rsidR="00C60CB1" w:rsidRPr="00D57522">
        <w:rPr>
          <w:lang w:val="en-GB"/>
        </w:rPr>
        <w:t>to avoid future</w:t>
      </w:r>
      <w:r w:rsidR="00217B9F" w:rsidRPr="00D57522">
        <w:rPr>
          <w:lang w:val="en-GB"/>
        </w:rPr>
        <w:t xml:space="preserve"> accidents with the same underlying, system-related causes.</w:t>
      </w:r>
    </w:p>
    <w:p w14:paraId="5821B76D" w14:textId="212E1BD3" w:rsidR="004A5BEB" w:rsidRDefault="009E20C6" w:rsidP="004A5BEB">
      <w:pPr>
        <w:pStyle w:val="CETHeading1"/>
        <w:rPr>
          <w:lang w:val="en-GB"/>
        </w:rPr>
      </w:pPr>
      <w:r>
        <w:rPr>
          <w:lang w:val="en-GB"/>
        </w:rPr>
        <w:t>Process Safety</w:t>
      </w:r>
      <w:r w:rsidR="004A5BEB">
        <w:rPr>
          <w:lang w:val="en-GB"/>
        </w:rPr>
        <w:t xml:space="preserve"> Incident </w:t>
      </w:r>
      <w:r w:rsidR="00E542D6">
        <w:rPr>
          <w:lang w:val="en-GB"/>
        </w:rPr>
        <w:t>and</w:t>
      </w:r>
      <w:r w:rsidR="004A5BEB">
        <w:rPr>
          <w:lang w:val="en-GB"/>
        </w:rPr>
        <w:t xml:space="preserve"> </w:t>
      </w:r>
      <w:r w:rsidR="00B3741A">
        <w:rPr>
          <w:lang w:val="en-GB"/>
        </w:rPr>
        <w:t>N</w:t>
      </w:r>
      <w:r w:rsidR="004A5BEB">
        <w:rPr>
          <w:lang w:val="en-GB"/>
        </w:rPr>
        <w:t>ear</w:t>
      </w:r>
      <w:r w:rsidR="00891342">
        <w:rPr>
          <w:lang w:val="en-GB"/>
        </w:rPr>
        <w:t>-</w:t>
      </w:r>
      <w:r w:rsidR="00B3741A">
        <w:rPr>
          <w:lang w:val="en-GB"/>
        </w:rPr>
        <w:t>M</w:t>
      </w:r>
      <w:r w:rsidR="004A5BEB">
        <w:rPr>
          <w:lang w:val="en-GB"/>
        </w:rPr>
        <w:t>iss</w:t>
      </w:r>
    </w:p>
    <w:p w14:paraId="4A1E3804" w14:textId="2844600E" w:rsidR="00221505" w:rsidRDefault="00E16B8A" w:rsidP="001D619A">
      <w:pPr>
        <w:pStyle w:val="CETBodytext"/>
        <w:rPr>
          <w:lang w:val="en-GB"/>
        </w:rPr>
      </w:pPr>
      <w:r>
        <w:rPr>
          <w:lang w:val="en-GB"/>
        </w:rPr>
        <w:t>I</w:t>
      </w:r>
      <w:r w:rsidR="00221505">
        <w:rPr>
          <w:lang w:val="en-GB"/>
        </w:rPr>
        <w:t xml:space="preserve">t is important to understand how </w:t>
      </w:r>
      <w:r w:rsidR="00DB01A9">
        <w:rPr>
          <w:lang w:val="en-GB"/>
        </w:rPr>
        <w:t xml:space="preserve">the Incident Investigation </w:t>
      </w:r>
      <w:r w:rsidR="00221505">
        <w:rPr>
          <w:lang w:val="en-GB"/>
        </w:rPr>
        <w:t xml:space="preserve">can be </w:t>
      </w:r>
      <w:r w:rsidR="00C60CB1">
        <w:rPr>
          <w:lang w:val="en-GB"/>
        </w:rPr>
        <w:t xml:space="preserve">efficiently </w:t>
      </w:r>
      <w:r w:rsidR="00DB01A9">
        <w:rPr>
          <w:lang w:val="en-GB"/>
        </w:rPr>
        <w:t>applied</w:t>
      </w:r>
      <w:r w:rsidR="00221505">
        <w:rPr>
          <w:lang w:val="en-GB"/>
        </w:rPr>
        <w:t xml:space="preserve"> </w:t>
      </w:r>
      <w:r w:rsidR="00DB01A9">
        <w:rPr>
          <w:lang w:val="en-GB"/>
        </w:rPr>
        <w:t xml:space="preserve">to </w:t>
      </w:r>
      <w:r w:rsidR="009E20C6">
        <w:rPr>
          <w:lang w:val="en-GB"/>
        </w:rPr>
        <w:t>Process Safety</w:t>
      </w:r>
      <w:r w:rsidR="00DB01A9">
        <w:rPr>
          <w:lang w:val="en-GB"/>
        </w:rPr>
        <w:t>.</w:t>
      </w:r>
    </w:p>
    <w:p w14:paraId="3B3D80BC" w14:textId="106840BD" w:rsidR="00AC209F" w:rsidRDefault="00221505" w:rsidP="009C70DD">
      <w:pPr>
        <w:pStyle w:val="CETBodytext"/>
        <w:rPr>
          <w:lang w:val="en-GB"/>
        </w:rPr>
      </w:pPr>
      <w:r w:rsidRPr="00221505">
        <w:rPr>
          <w:lang w:val="en-GB"/>
        </w:rPr>
        <w:t>Nearly a century ago, Herbert William Heinrich, an assistant</w:t>
      </w:r>
      <w:r>
        <w:rPr>
          <w:lang w:val="en-GB"/>
        </w:rPr>
        <w:t xml:space="preserve"> </w:t>
      </w:r>
      <w:r w:rsidRPr="00221505">
        <w:rPr>
          <w:lang w:val="en-GB"/>
        </w:rPr>
        <w:t>superintendent at an insurance company, analysed thousands of</w:t>
      </w:r>
      <w:r>
        <w:rPr>
          <w:lang w:val="en-GB"/>
        </w:rPr>
        <w:t xml:space="preserve"> </w:t>
      </w:r>
      <w:r w:rsidRPr="00221505">
        <w:rPr>
          <w:lang w:val="en-GB"/>
        </w:rPr>
        <w:t>incident reports to formulate an early scientific theory of incidents.</w:t>
      </w:r>
      <w:r>
        <w:rPr>
          <w:lang w:val="en-GB"/>
        </w:rPr>
        <w:t xml:space="preserve"> </w:t>
      </w:r>
      <w:r w:rsidRPr="00221505">
        <w:rPr>
          <w:lang w:val="en-GB"/>
        </w:rPr>
        <w:t>He summarized his findings in a seminal book and in what is</w:t>
      </w:r>
      <w:r>
        <w:rPr>
          <w:lang w:val="en-GB"/>
        </w:rPr>
        <w:t xml:space="preserve"> </w:t>
      </w:r>
      <w:r w:rsidRPr="00221505">
        <w:rPr>
          <w:lang w:val="en-GB"/>
        </w:rPr>
        <w:t>nowadays commonly known as the Heinrich triangle (or pyramid)</w:t>
      </w:r>
      <w:r>
        <w:rPr>
          <w:lang w:val="en-GB"/>
        </w:rPr>
        <w:t xml:space="preserve">, shown in </w:t>
      </w:r>
      <w:r w:rsidRPr="00221505">
        <w:rPr>
          <w:i/>
          <w:iCs/>
          <w:lang w:val="en-GB"/>
        </w:rPr>
        <w:fldChar w:fldCharType="begin"/>
      </w:r>
      <w:r w:rsidRPr="00221505">
        <w:rPr>
          <w:i/>
          <w:iCs/>
          <w:lang w:val="en-GB"/>
        </w:rPr>
        <w:instrText xml:space="preserve"> REF _Ref125124682 \h </w:instrText>
      </w:r>
      <w:r>
        <w:rPr>
          <w:i/>
          <w:iCs/>
          <w:lang w:val="en-GB"/>
        </w:rPr>
        <w:instrText xml:space="preserve"> \* MERGEFORMAT </w:instrText>
      </w:r>
      <w:r w:rsidRPr="00221505">
        <w:rPr>
          <w:i/>
          <w:iCs/>
          <w:lang w:val="en-GB"/>
        </w:rPr>
      </w:r>
      <w:r w:rsidRPr="00221505">
        <w:rPr>
          <w:i/>
          <w:iCs/>
          <w:lang w:val="en-GB"/>
        </w:rPr>
        <w:fldChar w:fldCharType="separate"/>
      </w:r>
      <w:r w:rsidR="002239AE" w:rsidRPr="002239AE">
        <w:rPr>
          <w:rStyle w:val="CETCaptionCarattere"/>
          <w:i w:val="0"/>
          <w:iCs/>
        </w:rPr>
        <w:t>Figure 2</w:t>
      </w:r>
      <w:r w:rsidRPr="00221505">
        <w:rPr>
          <w:i/>
          <w:iCs/>
          <w:lang w:val="en-GB"/>
        </w:rPr>
        <w:fldChar w:fldCharType="end"/>
      </w:r>
      <w:r>
        <w:rPr>
          <w:lang w:val="en-GB"/>
        </w:rPr>
        <w:t>.</w:t>
      </w:r>
      <w:r w:rsidR="001A40EF">
        <w:rPr>
          <w:lang w:val="en-GB"/>
        </w:rPr>
        <w:t xml:space="preserve"> </w:t>
      </w:r>
      <w:r w:rsidR="001A40EF" w:rsidRPr="001A40EF">
        <w:rPr>
          <w:lang w:val="en-GB"/>
        </w:rPr>
        <w:t xml:space="preserve">Heinrich’s main thesis was </w:t>
      </w:r>
      <w:proofErr w:type="gramStart"/>
      <w:r w:rsidR="001A40EF" w:rsidRPr="001A40EF">
        <w:rPr>
          <w:lang w:val="en-GB"/>
        </w:rPr>
        <w:t>fairly simple</w:t>
      </w:r>
      <w:proofErr w:type="gramEnd"/>
      <w:r w:rsidR="001A40EF" w:rsidRPr="001A40EF">
        <w:rPr>
          <w:lang w:val="en-GB"/>
        </w:rPr>
        <w:t>: there is a constant numeric</w:t>
      </w:r>
      <w:r w:rsidR="001A40EF">
        <w:rPr>
          <w:lang w:val="en-GB"/>
        </w:rPr>
        <w:t xml:space="preserve"> </w:t>
      </w:r>
      <w:r w:rsidR="001A40EF" w:rsidRPr="001A40EF">
        <w:rPr>
          <w:lang w:val="en-GB"/>
        </w:rPr>
        <w:t xml:space="preserve">ratio between the different incident severity categories, </w:t>
      </w:r>
      <w:r w:rsidR="00C60CB1" w:rsidRPr="001A40EF">
        <w:rPr>
          <w:lang w:val="en-GB"/>
        </w:rPr>
        <w:t>i.e.,</w:t>
      </w:r>
      <w:r w:rsidR="001A40EF" w:rsidRPr="001A40EF">
        <w:rPr>
          <w:lang w:val="en-GB"/>
        </w:rPr>
        <w:t xml:space="preserve"> for every</w:t>
      </w:r>
      <w:r w:rsidR="001A40EF">
        <w:rPr>
          <w:lang w:val="en-GB"/>
        </w:rPr>
        <w:t xml:space="preserve"> </w:t>
      </w:r>
      <w:r w:rsidR="001A40EF" w:rsidRPr="001A40EF">
        <w:rPr>
          <w:lang w:val="en-GB"/>
        </w:rPr>
        <w:t>600 near</w:t>
      </w:r>
      <w:r w:rsidR="00891342">
        <w:rPr>
          <w:lang w:val="en-GB"/>
        </w:rPr>
        <w:t>-</w:t>
      </w:r>
      <w:r w:rsidR="001A40EF" w:rsidRPr="001A40EF">
        <w:rPr>
          <w:lang w:val="en-GB"/>
        </w:rPr>
        <w:t>misses there will be, on average, one fatal incident.</w:t>
      </w:r>
      <w:r w:rsidR="001A40EF">
        <w:rPr>
          <w:lang w:val="en-GB"/>
        </w:rPr>
        <w:t xml:space="preserve"> </w:t>
      </w:r>
      <w:r w:rsidR="001A40EF" w:rsidRPr="001A40EF">
        <w:rPr>
          <w:lang w:val="en-GB"/>
        </w:rPr>
        <w:t>One would be tempted to conclude, along with Heinrich, that</w:t>
      </w:r>
      <w:r w:rsidR="001A40EF">
        <w:rPr>
          <w:lang w:val="en-GB"/>
        </w:rPr>
        <w:t xml:space="preserve"> </w:t>
      </w:r>
      <w:r w:rsidR="001A40EF" w:rsidRPr="001A40EF">
        <w:rPr>
          <w:lang w:val="en-GB"/>
        </w:rPr>
        <w:t>reducing the number of near</w:t>
      </w:r>
      <w:r w:rsidR="00891342">
        <w:rPr>
          <w:lang w:val="en-GB"/>
        </w:rPr>
        <w:t>-</w:t>
      </w:r>
      <w:r w:rsidR="001A40EF" w:rsidRPr="001A40EF">
        <w:rPr>
          <w:lang w:val="en-GB"/>
        </w:rPr>
        <w:t>misses (or minor incidents) would</w:t>
      </w:r>
      <w:r w:rsidR="001A40EF">
        <w:rPr>
          <w:lang w:val="en-GB"/>
        </w:rPr>
        <w:t xml:space="preserve"> </w:t>
      </w:r>
      <w:r w:rsidR="001A40EF" w:rsidRPr="001A40EF">
        <w:rPr>
          <w:lang w:val="en-GB"/>
        </w:rPr>
        <w:t>automatically mean a reduction in fatalities and, even, in</w:t>
      </w:r>
      <w:r w:rsidR="001A40EF">
        <w:rPr>
          <w:lang w:val="en-GB"/>
        </w:rPr>
        <w:t xml:space="preserve"> </w:t>
      </w:r>
      <w:r w:rsidR="001A40EF" w:rsidRPr="001A40EF">
        <w:rPr>
          <w:lang w:val="en-GB"/>
        </w:rPr>
        <w:t>catastrophic events. Unfortunately, experience has taught us</w:t>
      </w:r>
      <w:r w:rsidR="001A40EF">
        <w:rPr>
          <w:lang w:val="en-GB"/>
        </w:rPr>
        <w:t xml:space="preserve"> </w:t>
      </w:r>
      <w:r w:rsidR="001A40EF" w:rsidRPr="001A40EF">
        <w:rPr>
          <w:lang w:val="en-GB"/>
        </w:rPr>
        <w:t>otherwise.</w:t>
      </w:r>
      <w:r w:rsidR="001A40EF">
        <w:rPr>
          <w:lang w:val="en-GB"/>
        </w:rPr>
        <w:t xml:space="preserve"> </w:t>
      </w:r>
      <w:r w:rsidR="001A40EF" w:rsidRPr="001A40EF">
        <w:rPr>
          <w:lang w:val="en-GB"/>
        </w:rPr>
        <w:t>The problem here is one well known to statisticians and logicians:</w:t>
      </w:r>
      <w:r w:rsidR="001A40EF">
        <w:rPr>
          <w:lang w:val="en-GB"/>
        </w:rPr>
        <w:t xml:space="preserve"> </w:t>
      </w:r>
      <w:r w:rsidR="001A40EF" w:rsidRPr="001A40EF">
        <w:rPr>
          <w:lang w:val="en-GB"/>
        </w:rPr>
        <w:t xml:space="preserve">one cannot infer </w:t>
      </w:r>
      <w:r w:rsidR="001A40EF" w:rsidRPr="001A40EF">
        <w:rPr>
          <w:lang w:val="en-GB"/>
        </w:rPr>
        <w:lastRenderedPageBreak/>
        <w:t>causation from correlation.</w:t>
      </w:r>
      <w:r w:rsidR="009C70DD">
        <w:rPr>
          <w:lang w:val="en-GB"/>
        </w:rPr>
        <w:t xml:space="preserve"> </w:t>
      </w:r>
      <w:r w:rsidR="009C70DD" w:rsidRPr="009C70DD">
        <w:rPr>
          <w:lang w:val="en-GB"/>
        </w:rPr>
        <w:t>In other words,</w:t>
      </w:r>
      <w:r w:rsidR="009C70DD">
        <w:rPr>
          <w:lang w:val="en-GB"/>
        </w:rPr>
        <w:t xml:space="preserve"> </w:t>
      </w:r>
      <w:r w:rsidR="009C70DD" w:rsidRPr="009C70DD">
        <w:rPr>
          <w:lang w:val="en-GB"/>
        </w:rPr>
        <w:t>and contrary to Heinrich’s thesis, we cannot expect that by reducing</w:t>
      </w:r>
      <w:r w:rsidR="00AC209F">
        <w:rPr>
          <w:lang w:val="en-GB"/>
        </w:rPr>
        <w:t xml:space="preserve"> </w:t>
      </w:r>
      <w:r w:rsidR="009C70DD" w:rsidRPr="009C70DD">
        <w:rPr>
          <w:lang w:val="en-GB"/>
        </w:rPr>
        <w:t>the number of minor incidents we will achieve a commensurate</w:t>
      </w:r>
      <w:r w:rsidR="009C70DD">
        <w:rPr>
          <w:lang w:val="en-GB"/>
        </w:rPr>
        <w:t xml:space="preserve"> </w:t>
      </w:r>
      <w:r w:rsidR="009C70DD" w:rsidRPr="009C70DD">
        <w:rPr>
          <w:lang w:val="en-GB"/>
        </w:rPr>
        <w:t>reduction in fatalities.</w:t>
      </w:r>
      <w:r w:rsidR="009C70DD">
        <w:rPr>
          <w:lang w:val="en-GB"/>
        </w:rPr>
        <w:t xml:space="preserve"> </w:t>
      </w:r>
    </w:p>
    <w:p w14:paraId="16E7BCBC" w14:textId="77777777" w:rsidR="00CE1459" w:rsidRDefault="00CE1459" w:rsidP="009C70DD">
      <w:pPr>
        <w:pStyle w:val="CETBodytext"/>
        <w:rPr>
          <w:lang w:val="en-GB"/>
        </w:rPr>
      </w:pPr>
    </w:p>
    <w:p w14:paraId="5EC38774" w14:textId="10639E16" w:rsidR="00F40164" w:rsidRDefault="00CE1459" w:rsidP="00315F02">
      <w:pPr>
        <w:pStyle w:val="CETBodytext"/>
      </w:pPr>
      <w:r>
        <w:rPr>
          <w:noProof/>
        </w:rPr>
        <w:drawing>
          <wp:inline distT="0" distB="0" distL="0" distR="0" wp14:anchorId="0E76DDBF" wp14:editId="5FCD20A9">
            <wp:extent cx="3501304" cy="2631057"/>
            <wp:effectExtent l="0" t="0" r="444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10183" cy="2637729"/>
                    </a:xfrm>
                    <a:prstGeom prst="rect">
                      <a:avLst/>
                    </a:prstGeom>
                  </pic:spPr>
                </pic:pic>
              </a:graphicData>
            </a:graphic>
          </wp:inline>
        </w:drawing>
      </w:r>
      <w:r w:rsidR="00F40164">
        <w:t xml:space="preserve">    </w:t>
      </w:r>
    </w:p>
    <w:p w14:paraId="2D55E57B" w14:textId="77777777" w:rsidR="00F40164" w:rsidRDefault="00F40164" w:rsidP="004A6C2E">
      <w:pPr>
        <w:pStyle w:val="CETBodytext"/>
        <w:keepNext/>
      </w:pPr>
    </w:p>
    <w:p w14:paraId="59B237B1" w14:textId="2B97573A" w:rsidR="004A6C2E" w:rsidRDefault="004A6C2E" w:rsidP="004A6C2E">
      <w:pPr>
        <w:pStyle w:val="CETCaption"/>
        <w:spacing w:before="0"/>
        <w:rPr>
          <w:rStyle w:val="CETCaptionCarattere"/>
        </w:rPr>
      </w:pPr>
      <w:bookmarkStart w:id="2" w:name="_Ref125124682"/>
      <w:r w:rsidRPr="00221505">
        <w:rPr>
          <w:rStyle w:val="CETCaptionCarattere"/>
        </w:rPr>
        <w:t xml:space="preserve">Figure </w:t>
      </w:r>
      <w:r w:rsidRPr="00221505">
        <w:rPr>
          <w:rStyle w:val="CETCaptionCarattere"/>
        </w:rPr>
        <w:fldChar w:fldCharType="begin"/>
      </w:r>
      <w:r w:rsidRPr="00221505">
        <w:rPr>
          <w:rStyle w:val="CETCaptionCarattere"/>
        </w:rPr>
        <w:instrText xml:space="preserve"> SEQ Figure \* ARABIC </w:instrText>
      </w:r>
      <w:r w:rsidRPr="00221505">
        <w:rPr>
          <w:rStyle w:val="CETCaptionCarattere"/>
        </w:rPr>
        <w:fldChar w:fldCharType="separate"/>
      </w:r>
      <w:r w:rsidR="002239AE">
        <w:rPr>
          <w:rStyle w:val="CETCaptionCarattere"/>
          <w:noProof/>
        </w:rPr>
        <w:t>2</w:t>
      </w:r>
      <w:r w:rsidRPr="00221505">
        <w:rPr>
          <w:rStyle w:val="CETCaptionCarattere"/>
        </w:rPr>
        <w:fldChar w:fldCharType="end"/>
      </w:r>
      <w:bookmarkEnd w:id="2"/>
      <w:r w:rsidRPr="00221505">
        <w:rPr>
          <w:rStyle w:val="CETCaptionCarattere"/>
        </w:rPr>
        <w:t>:</w:t>
      </w:r>
      <w:r w:rsidR="006F0BC0">
        <w:rPr>
          <w:rStyle w:val="CETCaptionCarattere"/>
        </w:rPr>
        <w:t xml:space="preserve"> </w:t>
      </w:r>
      <w:r w:rsidR="00315F02">
        <w:rPr>
          <w:rStyle w:val="CETCaptionCarattere"/>
        </w:rPr>
        <w:t>DEKRA interpretation of the</w:t>
      </w:r>
      <w:r w:rsidRPr="00221505">
        <w:rPr>
          <w:rStyle w:val="CETCaptionCarattere"/>
        </w:rPr>
        <w:t xml:space="preserve"> Heinrich's pyramid</w:t>
      </w:r>
      <w:r w:rsidR="006F0BC0">
        <w:rPr>
          <w:rStyle w:val="CETCaptionCarattere"/>
        </w:rPr>
        <w:t>.</w:t>
      </w:r>
    </w:p>
    <w:p w14:paraId="7A741276" w14:textId="7D8EEA6A" w:rsidR="002D5BAF" w:rsidRDefault="009C70DD" w:rsidP="009C70DD">
      <w:pPr>
        <w:pStyle w:val="CETBodytext"/>
        <w:rPr>
          <w:lang w:val="en-GB"/>
        </w:rPr>
      </w:pPr>
      <w:r>
        <w:rPr>
          <w:lang w:val="en-GB"/>
        </w:rPr>
        <w:t xml:space="preserve">This </w:t>
      </w:r>
      <w:r w:rsidR="001E5382">
        <w:rPr>
          <w:lang w:val="en-GB"/>
        </w:rPr>
        <w:t xml:space="preserve">is mainly due to two contributing factors: first, </w:t>
      </w:r>
      <w:r>
        <w:rPr>
          <w:lang w:val="en-GB"/>
        </w:rPr>
        <w:t xml:space="preserve">low severity </w:t>
      </w:r>
      <w:r w:rsidR="00AC209F">
        <w:rPr>
          <w:lang w:val="en-GB"/>
        </w:rPr>
        <w:t xml:space="preserve">injuries do not have the same potential </w:t>
      </w:r>
      <w:r w:rsidR="001E5382">
        <w:rPr>
          <w:lang w:val="en-GB"/>
        </w:rPr>
        <w:t>of occurrence as</w:t>
      </w:r>
      <w:r w:rsidR="00AC209F">
        <w:rPr>
          <w:lang w:val="en-GB"/>
        </w:rPr>
        <w:t xml:space="preserve"> serious </w:t>
      </w:r>
      <w:r w:rsidR="001E5382">
        <w:rPr>
          <w:lang w:val="en-GB"/>
        </w:rPr>
        <w:t xml:space="preserve">ones; second, </w:t>
      </w:r>
      <w:r w:rsidR="00AC209F">
        <w:rPr>
          <w:lang w:val="en-GB"/>
        </w:rPr>
        <w:t xml:space="preserve">injuries of differing severity do not have the same underlying </w:t>
      </w:r>
      <w:r w:rsidR="001E5382">
        <w:rPr>
          <w:lang w:val="en-GB"/>
        </w:rPr>
        <w:t xml:space="preserve">(root) </w:t>
      </w:r>
      <w:r w:rsidR="00AC209F">
        <w:rPr>
          <w:lang w:val="en-GB"/>
        </w:rPr>
        <w:t xml:space="preserve">causes. </w:t>
      </w:r>
    </w:p>
    <w:p w14:paraId="7203BBA3" w14:textId="29CECD30" w:rsidR="0091385E" w:rsidRDefault="001E5382" w:rsidP="0091385E">
      <w:pPr>
        <w:pStyle w:val="CETBodytext"/>
        <w:rPr>
          <w:lang w:val="en-GB"/>
        </w:rPr>
      </w:pPr>
      <w:r>
        <w:rPr>
          <w:lang w:val="en-GB"/>
        </w:rPr>
        <w:t xml:space="preserve">Consequently, </w:t>
      </w:r>
      <w:proofErr w:type="gramStart"/>
      <w:r w:rsidR="0091385E" w:rsidRPr="0091385E">
        <w:rPr>
          <w:lang w:val="en-GB"/>
        </w:rPr>
        <w:t xml:space="preserve">it would seem that </w:t>
      </w:r>
      <w:r w:rsidR="009E20C6">
        <w:rPr>
          <w:lang w:val="en-GB"/>
        </w:rPr>
        <w:t>I</w:t>
      </w:r>
      <w:r w:rsidR="0091385E" w:rsidRPr="0091385E">
        <w:rPr>
          <w:lang w:val="en-GB"/>
        </w:rPr>
        <w:t>ncident</w:t>
      </w:r>
      <w:proofErr w:type="gramEnd"/>
      <w:r w:rsidR="0091385E" w:rsidRPr="0091385E">
        <w:rPr>
          <w:lang w:val="en-GB"/>
        </w:rPr>
        <w:t xml:space="preserve"> </w:t>
      </w:r>
      <w:r w:rsidR="009E20C6">
        <w:rPr>
          <w:lang w:val="en-GB"/>
        </w:rPr>
        <w:t>I</w:t>
      </w:r>
      <w:r w:rsidR="0091385E" w:rsidRPr="0091385E">
        <w:rPr>
          <w:lang w:val="en-GB"/>
        </w:rPr>
        <w:t xml:space="preserve">nvestigation is applicable only in case of </w:t>
      </w:r>
      <w:r>
        <w:rPr>
          <w:lang w:val="en-GB"/>
        </w:rPr>
        <w:t>major</w:t>
      </w:r>
      <w:r w:rsidR="0091385E" w:rsidRPr="0091385E">
        <w:rPr>
          <w:lang w:val="en-GB"/>
        </w:rPr>
        <w:t xml:space="preserve"> accidents. This would mean being able to act only after major consequences have occurred.</w:t>
      </w:r>
      <w:r w:rsidR="0091385E">
        <w:rPr>
          <w:lang w:val="en-GB"/>
        </w:rPr>
        <w:t xml:space="preserve"> Also, </w:t>
      </w:r>
      <w:r w:rsidR="0091385E" w:rsidRPr="0091385E">
        <w:rPr>
          <w:lang w:val="en-GB"/>
        </w:rPr>
        <w:t>there are very few major accidents compared to the number of near</w:t>
      </w:r>
      <w:r w:rsidR="00891342">
        <w:rPr>
          <w:lang w:val="en-GB"/>
        </w:rPr>
        <w:t>-</w:t>
      </w:r>
      <w:r w:rsidR="0091385E" w:rsidRPr="0091385E">
        <w:rPr>
          <w:lang w:val="en-GB"/>
        </w:rPr>
        <w:t xml:space="preserve">misses or minor accidents (as the </w:t>
      </w:r>
      <w:r w:rsidR="0091385E">
        <w:rPr>
          <w:lang w:val="en-GB"/>
        </w:rPr>
        <w:t xml:space="preserve">Heinrich’s </w:t>
      </w:r>
      <w:r w:rsidR="0091385E" w:rsidRPr="0091385E">
        <w:rPr>
          <w:lang w:val="en-GB"/>
        </w:rPr>
        <w:t>pyramid reminds us)</w:t>
      </w:r>
      <w:r w:rsidR="0091385E">
        <w:rPr>
          <w:lang w:val="en-GB"/>
        </w:rPr>
        <w:t xml:space="preserve">. </w:t>
      </w:r>
      <w:r w:rsidR="000D779D">
        <w:rPr>
          <w:lang w:val="en-GB"/>
        </w:rPr>
        <w:t>Finally, i</w:t>
      </w:r>
      <w:r w:rsidR="00FF1932">
        <w:rPr>
          <w:lang w:val="en-GB"/>
        </w:rPr>
        <w:t>n case of a new process</w:t>
      </w:r>
      <w:r>
        <w:rPr>
          <w:lang w:val="en-GB"/>
        </w:rPr>
        <w:t>,</w:t>
      </w:r>
      <w:r w:rsidR="00FF1932">
        <w:rPr>
          <w:lang w:val="en-GB"/>
        </w:rPr>
        <w:t xml:space="preserve"> no </w:t>
      </w:r>
      <w:r>
        <w:rPr>
          <w:lang w:val="en-GB"/>
        </w:rPr>
        <w:t xml:space="preserve">historical </w:t>
      </w:r>
      <w:r w:rsidR="00FF1932">
        <w:rPr>
          <w:lang w:val="en-GB"/>
        </w:rPr>
        <w:t>data would be available to be investigated until the first major event.</w:t>
      </w:r>
    </w:p>
    <w:p w14:paraId="59C4CC9D" w14:textId="359EB619" w:rsidR="0091385E" w:rsidRDefault="001E5382" w:rsidP="001D619A">
      <w:pPr>
        <w:pStyle w:val="CETBodytext"/>
        <w:rPr>
          <w:lang w:val="en-GB"/>
        </w:rPr>
      </w:pPr>
      <w:proofErr w:type="gramStart"/>
      <w:r>
        <w:rPr>
          <w:lang w:val="en-GB"/>
        </w:rPr>
        <w:t>Actually</w:t>
      </w:r>
      <w:r w:rsidR="00FF1932">
        <w:rPr>
          <w:lang w:val="en-GB"/>
        </w:rPr>
        <w:t xml:space="preserve">, </w:t>
      </w:r>
      <w:r w:rsidR="009E20C6">
        <w:rPr>
          <w:lang w:val="en-GB"/>
        </w:rPr>
        <w:t>Process</w:t>
      </w:r>
      <w:proofErr w:type="gramEnd"/>
      <w:r w:rsidR="009E20C6">
        <w:rPr>
          <w:lang w:val="en-GB"/>
        </w:rPr>
        <w:t xml:space="preserve"> Safety</w:t>
      </w:r>
      <w:r w:rsidR="00FF1932">
        <w:rPr>
          <w:lang w:val="en-GB"/>
        </w:rPr>
        <w:t xml:space="preserve"> Incident Investigation can be really useful not only after a major incident, but also in cas</w:t>
      </w:r>
      <w:r w:rsidR="00971585">
        <w:rPr>
          <w:lang w:val="en-GB"/>
        </w:rPr>
        <w:t>e</w:t>
      </w:r>
      <w:r w:rsidR="00FF1932">
        <w:rPr>
          <w:lang w:val="en-GB"/>
        </w:rPr>
        <w:t xml:space="preserve"> of near</w:t>
      </w:r>
      <w:r w:rsidR="00891342">
        <w:rPr>
          <w:lang w:val="en-GB"/>
        </w:rPr>
        <w:t>-</w:t>
      </w:r>
      <w:r w:rsidR="00FF1932">
        <w:rPr>
          <w:lang w:val="en-GB"/>
        </w:rPr>
        <w:t>misses</w:t>
      </w:r>
      <w:r>
        <w:rPr>
          <w:lang w:val="en-GB"/>
        </w:rPr>
        <w:t>, and that is b</w:t>
      </w:r>
      <w:r w:rsidR="00FF1932">
        <w:rPr>
          <w:lang w:val="en-GB"/>
        </w:rPr>
        <w:t>ecause there are the</w:t>
      </w:r>
      <w:r w:rsidR="00971585">
        <w:rPr>
          <w:lang w:val="en-GB"/>
        </w:rPr>
        <w:t xml:space="preserve"> </w:t>
      </w:r>
      <w:r>
        <w:rPr>
          <w:lang w:val="en-GB"/>
        </w:rPr>
        <w:t xml:space="preserve">numerous </w:t>
      </w:r>
      <w:r w:rsidR="00971585">
        <w:rPr>
          <w:lang w:val="en-GB"/>
        </w:rPr>
        <w:t>minor</w:t>
      </w:r>
      <w:r w:rsidR="00FF1932">
        <w:rPr>
          <w:lang w:val="en-GB"/>
        </w:rPr>
        <w:t xml:space="preserve"> incidents that have:</w:t>
      </w:r>
    </w:p>
    <w:p w14:paraId="28D255D3" w14:textId="4F186684" w:rsidR="00FF1932" w:rsidRDefault="00FF1932" w:rsidP="00FF1932">
      <w:pPr>
        <w:pStyle w:val="CETBodytext"/>
        <w:numPr>
          <w:ilvl w:val="0"/>
          <w:numId w:val="23"/>
        </w:numPr>
        <w:rPr>
          <w:lang w:val="en-GB"/>
        </w:rPr>
      </w:pPr>
      <w:r>
        <w:rPr>
          <w:lang w:val="en-GB"/>
        </w:rPr>
        <w:t>the potential to escalate into a major incident, or</w:t>
      </w:r>
    </w:p>
    <w:p w14:paraId="7D774008" w14:textId="7621B077" w:rsidR="00FF1932" w:rsidRDefault="00FF1932" w:rsidP="00FF1932">
      <w:pPr>
        <w:pStyle w:val="CETBodytext"/>
        <w:numPr>
          <w:ilvl w:val="0"/>
          <w:numId w:val="23"/>
        </w:numPr>
        <w:rPr>
          <w:lang w:val="en-GB"/>
        </w:rPr>
      </w:pPr>
      <w:r>
        <w:rPr>
          <w:lang w:val="en-GB"/>
        </w:rPr>
        <w:t>common causes with major incidents.</w:t>
      </w:r>
    </w:p>
    <w:p w14:paraId="057BAF42" w14:textId="60BE09EB" w:rsidR="00FF1932" w:rsidRDefault="000D779D" w:rsidP="00FF1932">
      <w:pPr>
        <w:pStyle w:val="CETBodytext"/>
        <w:rPr>
          <w:lang w:val="en-GB"/>
        </w:rPr>
      </w:pPr>
      <w:r>
        <w:rPr>
          <w:lang w:val="en-GB"/>
        </w:rPr>
        <w:t>These</w:t>
      </w:r>
      <w:r w:rsidR="001E5382">
        <w:rPr>
          <w:lang w:val="en-GB"/>
        </w:rPr>
        <w:t xml:space="preserve"> minor</w:t>
      </w:r>
      <w:r>
        <w:rPr>
          <w:lang w:val="en-GB"/>
        </w:rPr>
        <w:t xml:space="preserve"> incidents </w:t>
      </w:r>
      <w:r w:rsidR="001E5382">
        <w:rPr>
          <w:lang w:val="en-GB"/>
        </w:rPr>
        <w:t xml:space="preserve">are of the utmost importance ad they </w:t>
      </w:r>
      <w:r>
        <w:rPr>
          <w:lang w:val="en-GB"/>
        </w:rPr>
        <w:t xml:space="preserve">have the potential to escalate into a </w:t>
      </w:r>
      <w:r w:rsidR="009E20C6">
        <w:rPr>
          <w:lang w:val="en-GB"/>
        </w:rPr>
        <w:t>Process Safety</w:t>
      </w:r>
      <w:r>
        <w:rPr>
          <w:lang w:val="en-GB"/>
        </w:rPr>
        <w:t xml:space="preserve"> event and cause </w:t>
      </w:r>
      <w:r w:rsidR="001E5382">
        <w:rPr>
          <w:lang w:val="en-GB"/>
        </w:rPr>
        <w:t>s</w:t>
      </w:r>
      <w:r>
        <w:rPr>
          <w:lang w:val="en-GB"/>
        </w:rPr>
        <w:t xml:space="preserve">erious </w:t>
      </w:r>
      <w:r w:rsidR="001E5382">
        <w:rPr>
          <w:lang w:val="en-GB"/>
        </w:rPr>
        <w:t>i</w:t>
      </w:r>
      <w:r>
        <w:rPr>
          <w:lang w:val="en-GB"/>
        </w:rPr>
        <w:t xml:space="preserve">njuries or </w:t>
      </w:r>
      <w:r w:rsidR="001E5382">
        <w:rPr>
          <w:lang w:val="en-GB"/>
        </w:rPr>
        <w:t>f</w:t>
      </w:r>
      <w:r>
        <w:rPr>
          <w:lang w:val="en-GB"/>
        </w:rPr>
        <w:t>atalities</w:t>
      </w:r>
      <w:r w:rsidR="001E5382">
        <w:rPr>
          <w:lang w:val="en-GB"/>
        </w:rPr>
        <w:t xml:space="preserve"> (often referred to as SIF</w:t>
      </w:r>
      <w:r>
        <w:rPr>
          <w:lang w:val="en-GB"/>
        </w:rPr>
        <w:t>).</w:t>
      </w:r>
    </w:p>
    <w:p w14:paraId="7DA39733" w14:textId="09D52818" w:rsidR="004A5BEB" w:rsidRDefault="000D779D" w:rsidP="00FF1932">
      <w:pPr>
        <w:pStyle w:val="CETBodytext"/>
        <w:rPr>
          <w:lang w:val="en-GB"/>
        </w:rPr>
      </w:pPr>
      <w:r>
        <w:rPr>
          <w:lang w:val="en-GB"/>
        </w:rPr>
        <w:t xml:space="preserve">In this context, </w:t>
      </w:r>
      <w:r w:rsidR="009E20C6">
        <w:rPr>
          <w:lang w:val="en-GB"/>
        </w:rPr>
        <w:t>I</w:t>
      </w:r>
      <w:r>
        <w:rPr>
          <w:lang w:val="en-GB"/>
        </w:rPr>
        <w:t xml:space="preserve">ncident </w:t>
      </w:r>
      <w:r w:rsidR="009E20C6">
        <w:rPr>
          <w:lang w:val="en-GB"/>
        </w:rPr>
        <w:t>I</w:t>
      </w:r>
      <w:r>
        <w:rPr>
          <w:lang w:val="en-GB"/>
        </w:rPr>
        <w:t>nvestigation of minor events provides a fantastic opportunity to learn major incident prevention lessons “for free”</w:t>
      </w:r>
      <w:r w:rsidR="001E5382">
        <w:rPr>
          <w:lang w:val="en-GB"/>
        </w:rPr>
        <w:t>, meaning that</w:t>
      </w:r>
      <w:r w:rsidR="00C452B5">
        <w:rPr>
          <w:lang w:val="en-GB"/>
        </w:rPr>
        <w:t xml:space="preserve"> it </w:t>
      </w:r>
      <w:r w:rsidR="001E5382">
        <w:rPr>
          <w:lang w:val="en-GB"/>
        </w:rPr>
        <w:t xml:space="preserve">can </w:t>
      </w:r>
      <w:r w:rsidR="00C452B5">
        <w:rPr>
          <w:lang w:val="en-GB"/>
        </w:rPr>
        <w:t xml:space="preserve">provides results without </w:t>
      </w:r>
      <w:r w:rsidR="001E5382">
        <w:rPr>
          <w:lang w:val="en-GB"/>
        </w:rPr>
        <w:t xml:space="preserve">having to experience </w:t>
      </w:r>
      <w:r w:rsidR="00C452B5">
        <w:rPr>
          <w:lang w:val="en-GB"/>
        </w:rPr>
        <w:t>the harm</w:t>
      </w:r>
      <w:r w:rsidR="001E5382">
        <w:rPr>
          <w:lang w:val="en-GB"/>
        </w:rPr>
        <w:t xml:space="preserve"> first</w:t>
      </w:r>
      <w:r w:rsidR="00C452B5">
        <w:rPr>
          <w:lang w:val="en-GB"/>
        </w:rPr>
        <w:t>.</w:t>
      </w:r>
      <w:r w:rsidR="00760663">
        <w:rPr>
          <w:lang w:val="en-GB"/>
        </w:rPr>
        <w:t xml:space="preserve"> </w:t>
      </w:r>
    </w:p>
    <w:p w14:paraId="16A92992" w14:textId="59CF6571" w:rsidR="004C7902" w:rsidRPr="00C61632" w:rsidRDefault="00DB73F2" w:rsidP="004C7902">
      <w:pPr>
        <w:pStyle w:val="CETBodytext"/>
        <w:rPr>
          <w:highlight w:val="yellow"/>
          <w:lang w:val="en-GB"/>
        </w:rPr>
      </w:pPr>
      <w:r>
        <w:rPr>
          <w:lang w:val="en-GB"/>
        </w:rPr>
        <w:t>Moreover, i</w:t>
      </w:r>
      <w:r w:rsidR="00760663">
        <w:rPr>
          <w:lang w:val="en-GB"/>
        </w:rPr>
        <w:t>t is not rare that a major accident in the chemical and in process industry was caused by “atypical scenario”, that may be defined as unexpected scenarios which were not identified by conventional hazard identification processes</w:t>
      </w:r>
      <w:r w:rsidR="004A5BEB">
        <w:rPr>
          <w:lang w:val="en-GB"/>
        </w:rPr>
        <w:t xml:space="preserve">. Common HAZID techniques are often unable to capture low probability or </w:t>
      </w:r>
      <w:r w:rsidR="00E80079">
        <w:rPr>
          <w:lang w:val="en-GB"/>
        </w:rPr>
        <w:t>little-known accidents. The HAZID process also has a large potential for human error with little or no feedback pertaining to those errors</w:t>
      </w:r>
      <w:r w:rsidR="00760663">
        <w:rPr>
          <w:lang w:val="en-GB"/>
        </w:rPr>
        <w:t xml:space="preserve"> (Paltrinieri et al., 2011). </w:t>
      </w:r>
      <w:proofErr w:type="gramStart"/>
      <w:r w:rsidR="004A5BEB">
        <w:rPr>
          <w:lang w:val="en-GB"/>
        </w:rPr>
        <w:t>It is clear that hazard</w:t>
      </w:r>
      <w:proofErr w:type="gramEnd"/>
      <w:r w:rsidR="004A5BEB">
        <w:rPr>
          <w:lang w:val="en-GB"/>
        </w:rPr>
        <w:t xml:space="preserve"> identification cannot be the only tool to prevent or at least reduce the frequency of </w:t>
      </w:r>
      <w:r w:rsidR="009E20C6">
        <w:rPr>
          <w:lang w:val="en-GB"/>
        </w:rPr>
        <w:t>Process Safety</w:t>
      </w:r>
      <w:r w:rsidR="004A5BEB">
        <w:rPr>
          <w:lang w:val="en-GB"/>
        </w:rPr>
        <w:t xml:space="preserve"> events</w:t>
      </w:r>
      <w:r w:rsidR="00E80079">
        <w:rPr>
          <w:lang w:val="en-GB"/>
        </w:rPr>
        <w:t>, but Incident Investigation is required too.</w:t>
      </w:r>
      <w:r w:rsidR="0099430B">
        <w:rPr>
          <w:lang w:val="en-GB"/>
        </w:rPr>
        <w:t xml:space="preserve"> Ac</w:t>
      </w:r>
      <w:r w:rsidR="0099430B" w:rsidRPr="0099430B">
        <w:rPr>
          <w:lang w:val="en-GB"/>
        </w:rPr>
        <w:t xml:space="preserve">cident investigation and risk analysis are intricately part of the same process of increasing the resilience and coping capacity of systems in the face of potential hazards. Experience has shown that there is a natural relationship between </w:t>
      </w:r>
      <w:r w:rsidR="0099430B">
        <w:rPr>
          <w:lang w:val="en-GB"/>
        </w:rPr>
        <w:t>Ac</w:t>
      </w:r>
      <w:r w:rsidR="0099430B" w:rsidRPr="0099430B">
        <w:rPr>
          <w:lang w:val="en-GB"/>
        </w:rPr>
        <w:t xml:space="preserve">cident </w:t>
      </w:r>
      <w:r w:rsidR="0099430B">
        <w:rPr>
          <w:lang w:val="en-GB"/>
        </w:rPr>
        <w:t>I</w:t>
      </w:r>
      <w:r w:rsidR="0099430B" w:rsidRPr="0099430B">
        <w:rPr>
          <w:lang w:val="en-GB"/>
        </w:rPr>
        <w:t>nvestigation and risk assessment, and there are several advantages for having an active cooperation between them</w:t>
      </w:r>
      <w:r w:rsidR="0099430B">
        <w:rPr>
          <w:lang w:val="en-GB"/>
        </w:rPr>
        <w:t xml:space="preserve"> (</w:t>
      </w:r>
      <w:proofErr w:type="spellStart"/>
      <w:r w:rsidR="0099430B">
        <w:rPr>
          <w:lang w:val="en-GB"/>
        </w:rPr>
        <w:t>ESReDA</w:t>
      </w:r>
      <w:proofErr w:type="spellEnd"/>
      <w:r w:rsidR="0099430B">
        <w:rPr>
          <w:lang w:val="en-GB"/>
        </w:rPr>
        <w:t>, 2009)</w:t>
      </w:r>
      <w:r w:rsidR="0099430B" w:rsidRPr="0099430B">
        <w:rPr>
          <w:lang w:val="en-GB"/>
        </w:rPr>
        <w:t>.</w:t>
      </w:r>
      <w:r w:rsidR="006C629A">
        <w:rPr>
          <w:lang w:val="en-GB"/>
        </w:rPr>
        <w:t xml:space="preserve"> The two approaches can be seen as complementary to each other. And near</w:t>
      </w:r>
      <w:r w:rsidR="00891342">
        <w:rPr>
          <w:lang w:val="en-GB"/>
        </w:rPr>
        <w:t>-</w:t>
      </w:r>
      <w:r w:rsidR="006C629A">
        <w:rPr>
          <w:lang w:val="en-GB"/>
        </w:rPr>
        <w:t>miss can be one of the links between them. Carrying out a HAZOP or a HAZID based on a list of near</w:t>
      </w:r>
      <w:r w:rsidR="00891342">
        <w:rPr>
          <w:lang w:val="en-GB"/>
        </w:rPr>
        <w:t>-</w:t>
      </w:r>
      <w:r w:rsidR="006C629A">
        <w:rPr>
          <w:lang w:val="en-GB"/>
        </w:rPr>
        <w:t xml:space="preserve">misses that the plant encountered in the previous years, it could help to unearth future causes of incidents. </w:t>
      </w:r>
      <w:r w:rsidR="00661042">
        <w:rPr>
          <w:lang w:val="en-GB"/>
        </w:rPr>
        <w:t>Of course,</w:t>
      </w:r>
      <w:r w:rsidR="006C629A">
        <w:rPr>
          <w:lang w:val="en-GB"/>
        </w:rPr>
        <w:t xml:space="preserve"> it is required a good PSM system in place to track all the near</w:t>
      </w:r>
      <w:r w:rsidR="00891342">
        <w:rPr>
          <w:lang w:val="en-GB"/>
        </w:rPr>
        <w:t>-</w:t>
      </w:r>
      <w:r w:rsidR="006C629A">
        <w:rPr>
          <w:lang w:val="en-GB"/>
        </w:rPr>
        <w:t>misses that happen inside of the company.</w:t>
      </w:r>
    </w:p>
    <w:p w14:paraId="4E28EF95" w14:textId="77777777" w:rsidR="004E1655" w:rsidRDefault="000D04C4" w:rsidP="00FF1932">
      <w:pPr>
        <w:pStyle w:val="CETBodytext"/>
        <w:rPr>
          <w:lang w:val="en-GB"/>
        </w:rPr>
      </w:pPr>
      <w:r>
        <w:rPr>
          <w:lang w:val="en-GB"/>
        </w:rPr>
        <w:t>Near</w:t>
      </w:r>
      <w:r w:rsidR="00891342">
        <w:rPr>
          <w:lang w:val="en-GB"/>
        </w:rPr>
        <w:t>-</w:t>
      </w:r>
      <w:r>
        <w:rPr>
          <w:lang w:val="en-GB"/>
        </w:rPr>
        <w:t>misses have another advantage</w:t>
      </w:r>
      <w:r w:rsidR="006C629A">
        <w:rPr>
          <w:lang w:val="en-GB"/>
        </w:rPr>
        <w:t xml:space="preserve"> that is directly connected to the previous point</w:t>
      </w:r>
      <w:r>
        <w:rPr>
          <w:lang w:val="en-GB"/>
        </w:rPr>
        <w:t>: They can be studied from a statistical perspective. In case of a major incident the main analysis that is carried out is</w:t>
      </w:r>
      <w:r w:rsidR="0072462D">
        <w:rPr>
          <w:lang w:val="en-GB"/>
        </w:rPr>
        <w:t xml:space="preserve"> always</w:t>
      </w:r>
      <w:r>
        <w:rPr>
          <w:lang w:val="en-GB"/>
        </w:rPr>
        <w:t xml:space="preserve"> a R</w:t>
      </w:r>
      <w:r w:rsidR="0072462D">
        <w:rPr>
          <w:lang w:val="en-GB"/>
        </w:rPr>
        <w:t xml:space="preserve">oot </w:t>
      </w:r>
      <w:r>
        <w:rPr>
          <w:lang w:val="en-GB"/>
        </w:rPr>
        <w:t>C</w:t>
      </w:r>
      <w:r w:rsidR="0072462D">
        <w:rPr>
          <w:lang w:val="en-GB"/>
        </w:rPr>
        <w:t>ause Analysis</w:t>
      </w:r>
      <w:r>
        <w:rPr>
          <w:lang w:val="en-GB"/>
        </w:rPr>
        <w:t xml:space="preserve"> (or similar)</w:t>
      </w:r>
      <w:r w:rsidR="0072462D">
        <w:rPr>
          <w:lang w:val="en-GB"/>
        </w:rPr>
        <w:t xml:space="preserve">. RCA </w:t>
      </w:r>
      <w:r w:rsidR="001E5382">
        <w:rPr>
          <w:lang w:val="en-GB"/>
        </w:rPr>
        <w:t xml:space="preserve">is resource-consuming, in terms of </w:t>
      </w:r>
      <w:r w:rsidR="0072462D">
        <w:rPr>
          <w:lang w:val="en-GB"/>
        </w:rPr>
        <w:t>time, people and money. In case of near</w:t>
      </w:r>
      <w:r w:rsidR="00891342">
        <w:rPr>
          <w:lang w:val="en-GB"/>
        </w:rPr>
        <w:t>-</w:t>
      </w:r>
      <w:r w:rsidR="0072462D">
        <w:rPr>
          <w:lang w:val="en-GB"/>
        </w:rPr>
        <w:t xml:space="preserve">misses </w:t>
      </w:r>
      <w:r w:rsidR="004E1655">
        <w:rPr>
          <w:lang w:val="en-GB"/>
        </w:rPr>
        <w:t xml:space="preserve">it </w:t>
      </w:r>
      <w:r w:rsidR="0072462D">
        <w:rPr>
          <w:lang w:val="en-GB"/>
        </w:rPr>
        <w:t xml:space="preserve">is always possible to carry out </w:t>
      </w:r>
      <w:r w:rsidR="001E5382">
        <w:rPr>
          <w:lang w:val="en-GB"/>
        </w:rPr>
        <w:t>an</w:t>
      </w:r>
      <w:r w:rsidR="0072462D">
        <w:rPr>
          <w:lang w:val="en-GB"/>
        </w:rPr>
        <w:t xml:space="preserve"> RCA, but it is also possible to develop a statistical analysis</w:t>
      </w:r>
      <w:r w:rsidR="004E1655">
        <w:rPr>
          <w:lang w:val="en-GB"/>
        </w:rPr>
        <w:t xml:space="preserve">, which </w:t>
      </w:r>
      <w:r w:rsidR="0072462D">
        <w:rPr>
          <w:lang w:val="en-GB"/>
        </w:rPr>
        <w:t xml:space="preserve">is easier and requires less resources. </w:t>
      </w:r>
    </w:p>
    <w:p w14:paraId="7C063218" w14:textId="750EA6FB" w:rsidR="0081281E" w:rsidRPr="006C629A" w:rsidRDefault="0072462D" w:rsidP="00FF1932">
      <w:pPr>
        <w:pStyle w:val="CETBodytext"/>
        <w:rPr>
          <w:lang w:val="en-GB"/>
        </w:rPr>
      </w:pPr>
      <w:r>
        <w:rPr>
          <w:lang w:val="en-GB"/>
        </w:rPr>
        <w:t xml:space="preserve">A good example could be a company that has two very similar plants. </w:t>
      </w:r>
      <w:r w:rsidR="001E5382">
        <w:rPr>
          <w:lang w:val="en-GB"/>
        </w:rPr>
        <w:t>The</w:t>
      </w:r>
      <w:r>
        <w:rPr>
          <w:lang w:val="en-GB"/>
        </w:rPr>
        <w:t xml:space="preserve"> statistical analysis could </w:t>
      </w:r>
      <w:r w:rsidR="001E5382">
        <w:rPr>
          <w:lang w:val="en-GB"/>
        </w:rPr>
        <w:t>enable the detection of</w:t>
      </w:r>
      <w:r>
        <w:rPr>
          <w:lang w:val="en-GB"/>
        </w:rPr>
        <w:t xml:space="preserve"> some design </w:t>
      </w:r>
      <w:proofErr w:type="gramStart"/>
      <w:r>
        <w:rPr>
          <w:lang w:val="en-GB"/>
        </w:rPr>
        <w:t>issue:</w:t>
      </w:r>
      <w:proofErr w:type="gramEnd"/>
      <w:r>
        <w:rPr>
          <w:lang w:val="en-GB"/>
        </w:rPr>
        <w:t xml:space="preserve"> </w:t>
      </w:r>
      <w:r w:rsidR="00905B20">
        <w:rPr>
          <w:lang w:val="en-GB"/>
        </w:rPr>
        <w:t>let’s take for example</w:t>
      </w:r>
      <w:r>
        <w:rPr>
          <w:lang w:val="en-GB"/>
        </w:rPr>
        <w:t xml:space="preserve"> one plant (Plant A) </w:t>
      </w:r>
      <w:r w:rsidR="00905B20">
        <w:rPr>
          <w:lang w:val="en-GB"/>
        </w:rPr>
        <w:t xml:space="preserve">that </w:t>
      </w:r>
      <w:r>
        <w:rPr>
          <w:lang w:val="en-GB"/>
        </w:rPr>
        <w:t xml:space="preserve">needs to be stopped </w:t>
      </w:r>
      <w:r w:rsidR="00905B20">
        <w:rPr>
          <w:lang w:val="en-GB"/>
        </w:rPr>
        <w:t xml:space="preserve">every month </w:t>
      </w:r>
      <w:r>
        <w:rPr>
          <w:lang w:val="en-GB"/>
        </w:rPr>
        <w:lastRenderedPageBreak/>
        <w:t>for extraordinary maintenance</w:t>
      </w:r>
      <w:r w:rsidR="00905B20">
        <w:rPr>
          <w:lang w:val="en-GB"/>
        </w:rPr>
        <w:t>, while a similar plant</w:t>
      </w:r>
      <w:r>
        <w:rPr>
          <w:lang w:val="en-GB"/>
        </w:rPr>
        <w:t xml:space="preserve"> (Plant B) </w:t>
      </w:r>
      <w:r w:rsidR="00905B20">
        <w:rPr>
          <w:lang w:val="en-GB"/>
        </w:rPr>
        <w:t>is regularly shut-down</w:t>
      </w:r>
      <w:r>
        <w:rPr>
          <w:lang w:val="en-GB"/>
        </w:rPr>
        <w:t xml:space="preserve"> only </w:t>
      </w:r>
      <w:r w:rsidR="00905B20">
        <w:rPr>
          <w:lang w:val="en-GB"/>
        </w:rPr>
        <w:t>for</w:t>
      </w:r>
      <w:r>
        <w:rPr>
          <w:lang w:val="en-GB"/>
        </w:rPr>
        <w:t xml:space="preserve"> planned maintenance. Looking at the statistical analysis, it would be clear that</w:t>
      </w:r>
      <w:r w:rsidR="004C7902">
        <w:rPr>
          <w:lang w:val="en-GB"/>
        </w:rPr>
        <w:t xml:space="preserve"> Plant A is not working </w:t>
      </w:r>
      <w:r w:rsidR="006C629A">
        <w:rPr>
          <w:lang w:val="en-GB"/>
        </w:rPr>
        <w:t>properly,</w:t>
      </w:r>
      <w:r w:rsidR="004C7902">
        <w:rPr>
          <w:lang w:val="en-GB"/>
        </w:rPr>
        <w:t xml:space="preserve"> and a deeper look could </w:t>
      </w:r>
      <w:r w:rsidR="00905B20">
        <w:rPr>
          <w:lang w:val="en-GB"/>
        </w:rPr>
        <w:t>reveal</w:t>
      </w:r>
      <w:r w:rsidR="004C7902">
        <w:rPr>
          <w:lang w:val="en-GB"/>
        </w:rPr>
        <w:t xml:space="preserve"> that the there is some</w:t>
      </w:r>
      <w:r w:rsidR="00905B20">
        <w:rPr>
          <w:lang w:val="en-GB"/>
        </w:rPr>
        <w:t xml:space="preserve"> basic</w:t>
      </w:r>
      <w:r w:rsidR="004C7902">
        <w:rPr>
          <w:lang w:val="en-GB"/>
        </w:rPr>
        <w:t xml:space="preserve"> issue </w:t>
      </w:r>
      <w:r w:rsidR="00905B20">
        <w:rPr>
          <w:lang w:val="en-GB"/>
        </w:rPr>
        <w:t>with</w:t>
      </w:r>
      <w:r w:rsidR="004C7902">
        <w:rPr>
          <w:lang w:val="en-GB"/>
        </w:rPr>
        <w:t xml:space="preserve"> the design of the plant</w:t>
      </w:r>
      <w:r w:rsidR="006C629A">
        <w:rPr>
          <w:lang w:val="en-GB"/>
        </w:rPr>
        <w:t xml:space="preserve">. </w:t>
      </w:r>
      <w:r w:rsidR="006C629A" w:rsidRPr="006C629A">
        <w:rPr>
          <w:lang w:val="en-GB"/>
        </w:rPr>
        <w:t xml:space="preserve">This could give the opportunity to prevent a </w:t>
      </w:r>
      <w:r w:rsidR="006C629A">
        <w:rPr>
          <w:lang w:val="en-GB"/>
        </w:rPr>
        <w:t>certain number of accidents with a relatively small economic impact.</w:t>
      </w:r>
    </w:p>
    <w:p w14:paraId="21AA15FD" w14:textId="4C0A11D2" w:rsidR="00661042" w:rsidRPr="002C68C7" w:rsidRDefault="00661042" w:rsidP="00661042">
      <w:pPr>
        <w:pStyle w:val="CETBodytext"/>
        <w:rPr>
          <w:lang w:val="en-GB"/>
        </w:rPr>
      </w:pPr>
      <w:r w:rsidRPr="002C68C7">
        <w:rPr>
          <w:lang w:val="en-GB"/>
        </w:rPr>
        <w:t>In addition</w:t>
      </w:r>
      <w:r>
        <w:rPr>
          <w:lang w:val="en-GB"/>
        </w:rPr>
        <w:t>, a</w:t>
      </w:r>
      <w:r w:rsidRPr="002C68C7">
        <w:rPr>
          <w:lang w:val="en-GB"/>
        </w:rPr>
        <w:t xml:space="preserve"> near</w:t>
      </w:r>
      <w:r w:rsidR="00891342">
        <w:rPr>
          <w:lang w:val="en-GB"/>
        </w:rPr>
        <w:t>-</w:t>
      </w:r>
      <w:r w:rsidRPr="002C68C7">
        <w:rPr>
          <w:lang w:val="en-GB"/>
        </w:rPr>
        <w:t>miss is much less fraught than a full-blown disaster: evidence is</w:t>
      </w:r>
      <w:r>
        <w:rPr>
          <w:lang w:val="en-GB"/>
        </w:rPr>
        <w:t xml:space="preserve"> </w:t>
      </w:r>
      <w:r w:rsidRPr="002C68C7">
        <w:rPr>
          <w:lang w:val="en-GB"/>
        </w:rPr>
        <w:t>usually easier to find; people are more willing to be frank; and</w:t>
      </w:r>
      <w:r>
        <w:rPr>
          <w:lang w:val="en-GB"/>
        </w:rPr>
        <w:t xml:space="preserve"> </w:t>
      </w:r>
      <w:r w:rsidRPr="002C68C7">
        <w:rPr>
          <w:lang w:val="en-GB"/>
        </w:rPr>
        <w:t>greater frequency means learning can happen more often and more</w:t>
      </w:r>
      <w:r>
        <w:rPr>
          <w:lang w:val="en-GB"/>
        </w:rPr>
        <w:t xml:space="preserve"> </w:t>
      </w:r>
      <w:r w:rsidRPr="002C68C7">
        <w:rPr>
          <w:lang w:val="en-GB"/>
        </w:rPr>
        <w:t>consistently.</w:t>
      </w:r>
    </w:p>
    <w:p w14:paraId="29979FB8" w14:textId="2B6D342B" w:rsidR="001A40EF" w:rsidRDefault="009E20C6" w:rsidP="001A40EF">
      <w:pPr>
        <w:pStyle w:val="CETHeading1"/>
        <w:rPr>
          <w:lang w:val="en-GB"/>
        </w:rPr>
      </w:pPr>
      <w:r>
        <w:rPr>
          <w:lang w:val="en-GB"/>
        </w:rPr>
        <w:t>Process Safety</w:t>
      </w:r>
      <w:r w:rsidR="001A40EF">
        <w:rPr>
          <w:lang w:val="en-GB"/>
        </w:rPr>
        <w:t xml:space="preserve"> Incident Investigation and follow-up</w:t>
      </w:r>
    </w:p>
    <w:p w14:paraId="50B0349A" w14:textId="77777777" w:rsidR="00DE3D78" w:rsidRDefault="004E1655" w:rsidP="001A40EF">
      <w:pPr>
        <w:pStyle w:val="CETBodytext"/>
      </w:pPr>
      <w:r w:rsidRPr="004E1655">
        <w:t xml:space="preserve">Root </w:t>
      </w:r>
      <w:r w:rsidR="00B25D97">
        <w:t>C</w:t>
      </w:r>
      <w:r w:rsidRPr="004E1655">
        <w:t>ause is defined a</w:t>
      </w:r>
      <w:r>
        <w:t>s “</w:t>
      </w:r>
      <w:r w:rsidRPr="004E1655">
        <w:t>causal factor with no predecessor that is relevant for the purpose of the analysis</w:t>
      </w:r>
      <w:r>
        <w:t xml:space="preserve">” (IEC 62740, 2015): applying this definition </w:t>
      </w:r>
      <w:r w:rsidR="00B25D97">
        <w:t xml:space="preserve">within the framework of a </w:t>
      </w:r>
      <w:r>
        <w:t>Process Safety</w:t>
      </w:r>
      <w:r w:rsidR="00B25D97">
        <w:t xml:space="preserve"> Management System, a Root Cause can be identified as a deficiency of the Management System that allowed the onset of a causal factor. </w:t>
      </w:r>
      <w:r w:rsidR="00DE3D78">
        <w:t>Such deficiency is usually a performance gap, meaning the difference between the expected performance of an item (a piece of equipment, a person, a barrier, a procedure, etc.) and its real operation.</w:t>
      </w:r>
    </w:p>
    <w:p w14:paraId="4F34CAA6" w14:textId="7AC345EF" w:rsidR="0064165B" w:rsidRPr="004E1655" w:rsidRDefault="00DE3D78" w:rsidP="00BC174C">
      <w:pPr>
        <w:pStyle w:val="CETBodytext"/>
        <w:tabs>
          <w:tab w:val="left" w:pos="4111"/>
        </w:tabs>
      </w:pPr>
      <w:r>
        <w:t xml:space="preserve">Root Causes can be eliminated by implementing appropriate Root Actions, which are corrective measures aimed at fixing the performance gaps identified within the PSM. Those measures, taken together, </w:t>
      </w:r>
      <w:r w:rsidRPr="00DE3D78">
        <w:t>break the causal network and prevent the focus event occurring again</w:t>
      </w:r>
      <w:r>
        <w:t xml:space="preserve">. In this sense, Root Actions </w:t>
      </w:r>
      <w:r w:rsidR="0064165B">
        <w:t xml:space="preserve">are meant to </w:t>
      </w:r>
      <w:r>
        <w:t>address</w:t>
      </w:r>
      <w:r w:rsidR="0064165B">
        <w:t xml:space="preserve"> the underlying cause of a problem, rather than just the “symptom”. Root Actions need to be practical, </w:t>
      </w:r>
      <w:proofErr w:type="gramStart"/>
      <w:r w:rsidR="0064165B">
        <w:t>effective</w:t>
      </w:r>
      <w:proofErr w:type="gramEnd"/>
      <w:r w:rsidR="0064165B">
        <w:t xml:space="preserve"> and realistic, and care should be taken that the identified actions do not introduce </w:t>
      </w:r>
      <w:r w:rsidR="0064165B" w:rsidRPr="00D57522">
        <w:t>new</w:t>
      </w:r>
      <w:r w:rsidR="0064165B">
        <w:t xml:space="preserve"> hazards or risk within the system. </w:t>
      </w:r>
    </w:p>
    <w:p w14:paraId="5869E524" w14:textId="06AC16E4" w:rsidR="002A4C97" w:rsidRPr="004E1655" w:rsidRDefault="0064165B" w:rsidP="001A40EF">
      <w:pPr>
        <w:pStyle w:val="CETBodytext"/>
      </w:pPr>
      <w:r>
        <w:t xml:space="preserve">Additionally, adequate Process Safety improvement can only be achieved if the Root Actions are implemented in a timely manner: the longer a gap in PSM is left </w:t>
      </w:r>
      <w:r w:rsidR="00700F85">
        <w:t>unresolved</w:t>
      </w:r>
      <w:r>
        <w:t xml:space="preserve">, the </w:t>
      </w:r>
      <w:r w:rsidR="00700F85">
        <w:t>more likely it is for an accident to occur again. For this reason, a Root Cause Analysis should not be considered finished until each action is assigned an owner and a deadline for its implementation.</w:t>
      </w:r>
    </w:p>
    <w:p w14:paraId="1E99F630" w14:textId="716CE307" w:rsidR="00700F85" w:rsidRDefault="002E67FF" w:rsidP="001A40EF">
      <w:pPr>
        <w:pStyle w:val="CETBodytext"/>
        <w:rPr>
          <w:lang w:val="en-GB"/>
        </w:rPr>
      </w:pPr>
      <w:r w:rsidRPr="002E67FF">
        <w:rPr>
          <w:lang w:val="en-GB"/>
        </w:rPr>
        <w:t>At the end of an Incident Investigation, it is fundamental to communicate findings externally. Auditors and the company itself should always share findings and lessons learned with industry peer group, respecting business confidentiality (CCPS, 2010).</w:t>
      </w:r>
      <w:r>
        <w:rPr>
          <w:lang w:val="en-GB"/>
        </w:rPr>
        <w:t xml:space="preserve"> </w:t>
      </w:r>
      <w:r w:rsidRPr="002E67FF">
        <w:rPr>
          <w:lang w:val="en-GB"/>
        </w:rPr>
        <w:t>Lessons learned can be discussed during conferences or can b</w:t>
      </w:r>
      <w:r>
        <w:rPr>
          <w:lang w:val="en-GB"/>
        </w:rPr>
        <w:t>e added to specific tool developed by many authorities</w:t>
      </w:r>
      <w:r w:rsidR="006E5116">
        <w:rPr>
          <w:lang w:val="en-GB"/>
        </w:rPr>
        <w:t xml:space="preserve"> </w:t>
      </w:r>
      <w:r>
        <w:rPr>
          <w:lang w:val="en-GB"/>
        </w:rPr>
        <w:t>and institutions all around the world. For example, in the Netherlands, the “Safety First” programme (</w:t>
      </w:r>
      <w:proofErr w:type="spellStart"/>
      <w:r>
        <w:rPr>
          <w:lang w:val="en-GB"/>
        </w:rPr>
        <w:t>Veiligheid</w:t>
      </w:r>
      <w:proofErr w:type="spellEnd"/>
      <w:r>
        <w:rPr>
          <w:lang w:val="en-GB"/>
        </w:rPr>
        <w:t xml:space="preserve"> </w:t>
      </w:r>
      <w:proofErr w:type="spellStart"/>
      <w:r>
        <w:rPr>
          <w:lang w:val="en-GB"/>
        </w:rPr>
        <w:t>Voorop</w:t>
      </w:r>
      <w:proofErr w:type="spellEnd"/>
      <w:r>
        <w:rPr>
          <w:lang w:val="en-GB"/>
        </w:rPr>
        <w:t xml:space="preserve">, 2020) published a paper on the </w:t>
      </w:r>
      <w:r w:rsidR="00011275">
        <w:rPr>
          <w:lang w:val="en-GB"/>
        </w:rPr>
        <w:t>value</w:t>
      </w:r>
      <w:r>
        <w:rPr>
          <w:lang w:val="en-GB"/>
        </w:rPr>
        <w:t xml:space="preserve"> of sharing information at sector level</w:t>
      </w:r>
      <w:r w:rsidR="00011275">
        <w:rPr>
          <w:lang w:val="en-GB"/>
        </w:rPr>
        <w:t>. In this way</w:t>
      </w:r>
      <w:r>
        <w:rPr>
          <w:lang w:val="en-GB"/>
        </w:rPr>
        <w:t xml:space="preserve"> other companies and sectors</w:t>
      </w:r>
      <w:r w:rsidR="00011275">
        <w:rPr>
          <w:lang w:val="en-GB"/>
        </w:rPr>
        <w:t xml:space="preserve"> can</w:t>
      </w:r>
      <w:r>
        <w:rPr>
          <w:lang w:val="en-GB"/>
        </w:rPr>
        <w:t xml:space="preserve"> learn from specific and </w:t>
      </w:r>
      <w:proofErr w:type="gramStart"/>
      <w:r>
        <w:rPr>
          <w:lang w:val="en-GB"/>
        </w:rPr>
        <w:t>particular incidents</w:t>
      </w:r>
      <w:proofErr w:type="gramEnd"/>
      <w:r w:rsidR="00700F85">
        <w:rPr>
          <w:lang w:val="en-GB"/>
        </w:rPr>
        <w:t xml:space="preserve"> or near-misses</w:t>
      </w:r>
      <w:r>
        <w:rPr>
          <w:lang w:val="en-GB"/>
        </w:rPr>
        <w:t xml:space="preserve"> (</w:t>
      </w:r>
      <w:r w:rsidR="00011275">
        <w:rPr>
          <w:lang w:val="en-GB"/>
        </w:rPr>
        <w:t xml:space="preserve">Manuel et al., 2022). </w:t>
      </w:r>
      <w:r w:rsidR="00011275" w:rsidRPr="006E5116">
        <w:rPr>
          <w:lang w:val="en-GB"/>
        </w:rPr>
        <w:t xml:space="preserve">The </w:t>
      </w:r>
      <w:r w:rsidR="006E5116" w:rsidRPr="006E5116">
        <w:rPr>
          <w:lang w:val="en-GB"/>
        </w:rPr>
        <w:t>often-mentioned</w:t>
      </w:r>
      <w:r w:rsidR="00011275" w:rsidRPr="006E5116">
        <w:rPr>
          <w:lang w:val="en-GB"/>
        </w:rPr>
        <w:t xml:space="preserve"> </w:t>
      </w:r>
      <w:r w:rsidR="006E5116" w:rsidRPr="006E5116">
        <w:rPr>
          <w:lang w:val="en-GB"/>
        </w:rPr>
        <w:t>CSB (U.S. Chemical Safety and Haza</w:t>
      </w:r>
      <w:r w:rsidR="006E5116">
        <w:rPr>
          <w:lang w:val="en-GB"/>
        </w:rPr>
        <w:t xml:space="preserve">rd Investigation Board), an independent federal agency based in the United States, publishes outcomes of investigations of incidents for all to benefit. </w:t>
      </w:r>
      <w:r w:rsidR="006E5116" w:rsidRPr="006E5116">
        <w:rPr>
          <w:lang w:val="en-GB"/>
        </w:rPr>
        <w:t>In Europe, as specified in Annex VI of the S</w:t>
      </w:r>
      <w:r w:rsidR="006E5116">
        <w:rPr>
          <w:lang w:val="en-GB"/>
        </w:rPr>
        <w:t xml:space="preserve">eveso III Directive, major accidents </w:t>
      </w:r>
      <w:r w:rsidR="00700F85">
        <w:rPr>
          <w:lang w:val="en-GB"/>
        </w:rPr>
        <w:t>must</w:t>
      </w:r>
      <w:r w:rsidR="006E5116">
        <w:rPr>
          <w:lang w:val="en-GB"/>
        </w:rPr>
        <w:t xml:space="preserve"> be reported </w:t>
      </w:r>
      <w:r w:rsidR="00700F85">
        <w:rPr>
          <w:lang w:val="en-GB"/>
        </w:rPr>
        <w:t>in</w:t>
      </w:r>
      <w:r w:rsidR="006E5116">
        <w:rPr>
          <w:lang w:val="en-GB"/>
        </w:rPr>
        <w:t>to the Major Accident Reporting System (MARS).</w:t>
      </w:r>
      <w:r w:rsidR="0022423E">
        <w:rPr>
          <w:lang w:val="en-GB"/>
        </w:rPr>
        <w:t xml:space="preserve"> </w:t>
      </w:r>
    </w:p>
    <w:p w14:paraId="2B26E0A8" w14:textId="59FBE105" w:rsidR="00700F85" w:rsidRDefault="00700F85" w:rsidP="001A40EF">
      <w:pPr>
        <w:pStyle w:val="CETBodytext"/>
        <w:rPr>
          <w:lang w:val="en-GB"/>
        </w:rPr>
      </w:pPr>
      <w:r>
        <w:rPr>
          <w:lang w:val="en-GB"/>
        </w:rPr>
        <w:t>Like any element of a Management System, Incident Investigation should be part of a continuous improvement cycle</w:t>
      </w:r>
      <w:r w:rsidR="004A1C3D">
        <w:rPr>
          <w:lang w:val="en-GB"/>
        </w:rPr>
        <w:t xml:space="preserve">, enabling companies </w:t>
      </w:r>
      <w:r w:rsidR="004A1C3D" w:rsidRPr="004B6CA0">
        <w:rPr>
          <w:lang w:val="en-GB"/>
        </w:rPr>
        <w:t>to intervene proactively</w:t>
      </w:r>
      <w:r w:rsidR="004A1C3D">
        <w:rPr>
          <w:lang w:val="en-GB"/>
        </w:rPr>
        <w:t xml:space="preserve">, based on </w:t>
      </w:r>
      <w:r w:rsidR="004A1C3D" w:rsidRPr="004B6CA0">
        <w:rPr>
          <w:lang w:val="en-GB"/>
        </w:rPr>
        <w:t>previous experience</w:t>
      </w:r>
      <w:r w:rsidR="004A1C3D">
        <w:rPr>
          <w:lang w:val="en-GB"/>
        </w:rPr>
        <w:t xml:space="preserve">s. In a Process Safety Management System, this translates into </w:t>
      </w:r>
      <w:r w:rsidR="004A1C3D" w:rsidRPr="004A1C3D">
        <w:rPr>
          <w:lang w:val="en-GB"/>
        </w:rPr>
        <w:t>capitaliz</w:t>
      </w:r>
      <w:r w:rsidR="004A1C3D">
        <w:rPr>
          <w:lang w:val="en-GB"/>
        </w:rPr>
        <w:t xml:space="preserve">ing </w:t>
      </w:r>
      <w:r w:rsidR="004A1C3D" w:rsidRPr="004A1C3D">
        <w:rPr>
          <w:lang w:val="en-GB"/>
        </w:rPr>
        <w:t>on the lessons learned from accidents and near</w:t>
      </w:r>
      <w:r w:rsidR="004A1C3D">
        <w:rPr>
          <w:lang w:val="en-GB"/>
        </w:rPr>
        <w:t>-</w:t>
      </w:r>
      <w:r w:rsidR="004A1C3D" w:rsidRPr="004A1C3D">
        <w:rPr>
          <w:lang w:val="en-GB"/>
        </w:rPr>
        <w:t>misses</w:t>
      </w:r>
      <w:r w:rsidR="004A1C3D">
        <w:rPr>
          <w:lang w:val="en-GB"/>
        </w:rPr>
        <w:t xml:space="preserve">, using this newly acquired knowledge as additional input information for the other Pillars of the RBPS. </w:t>
      </w:r>
    </w:p>
    <w:p w14:paraId="021D989A" w14:textId="1232CABC" w:rsidR="0020326D" w:rsidRDefault="004B6CA0" w:rsidP="001A40EF">
      <w:pPr>
        <w:pStyle w:val="CETBodytext"/>
        <w:rPr>
          <w:lang w:val="en-GB"/>
        </w:rPr>
      </w:pPr>
      <w:r w:rsidRPr="004B6CA0">
        <w:rPr>
          <w:lang w:val="en-GB"/>
        </w:rPr>
        <w:t xml:space="preserve">All the </w:t>
      </w:r>
      <w:r w:rsidR="004A1C3D">
        <w:rPr>
          <w:lang w:val="en-GB"/>
        </w:rPr>
        <w:t xml:space="preserve">corrective </w:t>
      </w:r>
      <w:r w:rsidRPr="004B6CA0">
        <w:rPr>
          <w:lang w:val="en-GB"/>
        </w:rPr>
        <w:t xml:space="preserve">measures that emerge from an </w:t>
      </w:r>
      <w:r w:rsidR="004A1C3D">
        <w:rPr>
          <w:lang w:val="en-GB"/>
        </w:rPr>
        <w:t>Incident Investigation</w:t>
      </w:r>
      <w:r w:rsidRPr="004B6CA0">
        <w:rPr>
          <w:lang w:val="en-GB"/>
        </w:rPr>
        <w:t xml:space="preserve"> are functional to reducing the probability of Process Safety </w:t>
      </w:r>
      <w:r w:rsidR="004A1C3D">
        <w:rPr>
          <w:lang w:val="en-GB"/>
        </w:rPr>
        <w:t>I</w:t>
      </w:r>
      <w:r w:rsidRPr="004B6CA0">
        <w:rPr>
          <w:lang w:val="en-GB"/>
        </w:rPr>
        <w:t>ncidents in the future</w:t>
      </w:r>
      <w:r w:rsidR="004A1C3D">
        <w:rPr>
          <w:lang w:val="en-GB"/>
        </w:rPr>
        <w:t xml:space="preserve">: </w:t>
      </w:r>
      <w:r w:rsidR="0020326D">
        <w:rPr>
          <w:lang w:val="en-GB"/>
        </w:rPr>
        <w:t xml:space="preserve">there is value in the </w:t>
      </w:r>
      <w:r w:rsidR="0020326D" w:rsidRPr="004B6CA0">
        <w:rPr>
          <w:lang w:val="en-GB"/>
        </w:rPr>
        <w:t xml:space="preserve">statistical </w:t>
      </w:r>
      <w:r w:rsidR="0020326D">
        <w:rPr>
          <w:lang w:val="en-GB"/>
        </w:rPr>
        <w:t xml:space="preserve">significance of a near-miss analysis, as there is equal value in using the results of an RCA to identify </w:t>
      </w:r>
      <w:r w:rsidRPr="004B6CA0">
        <w:rPr>
          <w:lang w:val="en-GB"/>
        </w:rPr>
        <w:t xml:space="preserve">possible </w:t>
      </w:r>
      <w:r w:rsidR="0020326D">
        <w:rPr>
          <w:lang w:val="en-GB"/>
        </w:rPr>
        <w:t>process deviations</w:t>
      </w:r>
      <w:r w:rsidRPr="004B6CA0">
        <w:rPr>
          <w:lang w:val="en-GB"/>
        </w:rPr>
        <w:t xml:space="preserve"> otherwise not considered in any HIRA </w:t>
      </w:r>
      <w:r w:rsidR="0020326D">
        <w:rPr>
          <w:lang w:val="en-GB"/>
        </w:rPr>
        <w:t>(</w:t>
      </w:r>
      <w:r w:rsidR="0020326D" w:rsidRPr="0020326D">
        <w:rPr>
          <w:lang w:val="en-GB"/>
        </w:rPr>
        <w:t>Hazard Identification and Risk Analysis</w:t>
      </w:r>
      <w:r w:rsidR="0020326D">
        <w:rPr>
          <w:lang w:val="en-GB"/>
        </w:rPr>
        <w:t xml:space="preserve">) </w:t>
      </w:r>
      <w:r>
        <w:rPr>
          <w:lang w:val="en-GB"/>
        </w:rPr>
        <w:t>study</w:t>
      </w:r>
      <w:r w:rsidRPr="004B6CA0">
        <w:rPr>
          <w:lang w:val="en-GB"/>
        </w:rPr>
        <w:t xml:space="preserve">. </w:t>
      </w:r>
      <w:r w:rsidR="0020326D">
        <w:rPr>
          <w:lang w:val="en-GB"/>
        </w:rPr>
        <w:t>Based on the outcome of an Incident Investigation</w:t>
      </w:r>
      <w:r w:rsidRPr="004B6CA0">
        <w:rPr>
          <w:lang w:val="en-GB"/>
        </w:rPr>
        <w:t xml:space="preserve">, </w:t>
      </w:r>
      <w:r w:rsidR="0020326D">
        <w:rPr>
          <w:lang w:val="en-GB"/>
        </w:rPr>
        <w:t>companies sh</w:t>
      </w:r>
      <w:r w:rsidRPr="004B6CA0">
        <w:rPr>
          <w:lang w:val="en-GB"/>
        </w:rPr>
        <w:t xml:space="preserve">ould </w:t>
      </w:r>
      <w:r w:rsidR="0020326D">
        <w:rPr>
          <w:lang w:val="en-GB"/>
        </w:rPr>
        <w:t>prompt the</w:t>
      </w:r>
      <w:r w:rsidRPr="004B6CA0">
        <w:rPr>
          <w:lang w:val="en-GB"/>
        </w:rPr>
        <w:t xml:space="preserve"> review a study (even a recent one) that did not include specific causes</w:t>
      </w:r>
      <w:r w:rsidR="0020326D">
        <w:rPr>
          <w:lang w:val="en-GB"/>
        </w:rPr>
        <w:t>,</w:t>
      </w:r>
      <w:r w:rsidRPr="004B6CA0">
        <w:rPr>
          <w:lang w:val="en-GB"/>
        </w:rPr>
        <w:t xml:space="preserve"> or that </w:t>
      </w:r>
      <w:r w:rsidR="0020326D">
        <w:rPr>
          <w:lang w:val="en-GB"/>
        </w:rPr>
        <w:t xml:space="preserve">wrongly </w:t>
      </w:r>
      <w:r w:rsidRPr="004B6CA0">
        <w:rPr>
          <w:lang w:val="en-GB"/>
        </w:rPr>
        <w:t>consider</w:t>
      </w:r>
      <w:r w:rsidR="0020326D">
        <w:rPr>
          <w:lang w:val="en-GB"/>
        </w:rPr>
        <w:t>ed</w:t>
      </w:r>
      <w:r w:rsidRPr="004B6CA0">
        <w:rPr>
          <w:lang w:val="en-GB"/>
        </w:rPr>
        <w:t xml:space="preserve"> them </w:t>
      </w:r>
      <w:r w:rsidR="0020326D">
        <w:rPr>
          <w:lang w:val="en-GB"/>
        </w:rPr>
        <w:t>as non-</w:t>
      </w:r>
      <w:r w:rsidRPr="004B6CA0">
        <w:rPr>
          <w:lang w:val="en-GB"/>
        </w:rPr>
        <w:t>credible.</w:t>
      </w:r>
      <w:r w:rsidR="00F81CFE">
        <w:rPr>
          <w:lang w:val="en-GB"/>
        </w:rPr>
        <w:t xml:space="preserve"> </w:t>
      </w:r>
      <w:r w:rsidR="0020326D">
        <w:rPr>
          <w:lang w:val="en-GB"/>
        </w:rPr>
        <w:t xml:space="preserve">This way, an exercise in </w:t>
      </w:r>
      <w:r w:rsidR="0020326D" w:rsidRPr="00F81CFE">
        <w:rPr>
          <w:lang w:val="en-GB"/>
        </w:rPr>
        <w:t>Incident Investigation</w:t>
      </w:r>
      <w:r w:rsidR="0020326D">
        <w:rPr>
          <w:lang w:val="en-GB"/>
        </w:rPr>
        <w:t xml:space="preserve"> provides added value for everyone involved in the safety of</w:t>
      </w:r>
      <w:r w:rsidR="0022423E">
        <w:rPr>
          <w:lang w:val="en-GB"/>
        </w:rPr>
        <w:t xml:space="preserve"> the plant, shedding light on </w:t>
      </w:r>
      <w:r w:rsidR="0022423E" w:rsidRPr="00F81CFE">
        <w:rPr>
          <w:lang w:val="en-GB"/>
        </w:rPr>
        <w:t>causes that would otherwise have gone unnoticed</w:t>
      </w:r>
      <w:r w:rsidR="0022423E" w:rsidRPr="00D57522">
        <w:rPr>
          <w:lang w:val="en-GB"/>
        </w:rPr>
        <w:t xml:space="preserve">. </w:t>
      </w:r>
      <w:r w:rsidR="00AC11BF" w:rsidRPr="00D57522">
        <w:rPr>
          <w:lang w:val="en-GB"/>
        </w:rPr>
        <w:t xml:space="preserve">Many severe events in the process industry were caused by “atypical scenarios”, that may be defined as unexpected scenarios which were not addressed by standard hazard identification analyses (Paltrinieri et al., 2011). </w:t>
      </w:r>
      <w:r w:rsidR="00FC78A4" w:rsidRPr="00D57522">
        <w:rPr>
          <w:lang w:val="en-GB"/>
        </w:rPr>
        <w:t xml:space="preserve">This derives from the fact that often some chains of events had never occurred all together, but most likely they occurred individually several times without leading to serious consequences. Therefore, by implementing the results of Incident Investigations conducted on near misses, it allows to intervene in this chain of events by working not on the entire chain, but on a single </w:t>
      </w:r>
      <w:r w:rsidR="006F0BC0" w:rsidRPr="00D57522">
        <w:rPr>
          <w:lang w:val="en-GB"/>
        </w:rPr>
        <w:t>chain link</w:t>
      </w:r>
      <w:r w:rsidR="00FC78A4" w:rsidRPr="00D57522">
        <w:rPr>
          <w:lang w:val="en-GB"/>
        </w:rPr>
        <w:t>.</w:t>
      </w:r>
    </w:p>
    <w:p w14:paraId="64F5B9AB" w14:textId="607C55B3" w:rsidR="001A40EF" w:rsidRDefault="001A40EF" w:rsidP="001A40EF">
      <w:pPr>
        <w:pStyle w:val="CETHeading1"/>
        <w:rPr>
          <w:lang w:val="en-GB"/>
        </w:rPr>
      </w:pPr>
      <w:r>
        <w:rPr>
          <w:lang w:val="en-GB"/>
        </w:rPr>
        <w:t>Conclusions</w:t>
      </w:r>
    </w:p>
    <w:p w14:paraId="3A60F2DC" w14:textId="5B6ADF84" w:rsidR="00DB73F2" w:rsidRDefault="00DB73F2" w:rsidP="001A40EF">
      <w:pPr>
        <w:pStyle w:val="CETBodytext"/>
        <w:rPr>
          <w:lang w:val="en-GB"/>
        </w:rPr>
      </w:pPr>
      <w:r>
        <w:rPr>
          <w:lang w:val="en-GB"/>
        </w:rPr>
        <w:t xml:space="preserve">A sound organizational </w:t>
      </w:r>
      <w:r w:rsidR="009E20C6">
        <w:rPr>
          <w:lang w:val="en-GB"/>
        </w:rPr>
        <w:t>Process Safety</w:t>
      </w:r>
      <w:r>
        <w:rPr>
          <w:lang w:val="en-GB"/>
        </w:rPr>
        <w:t xml:space="preserve"> System is key in reducing the risk of a catastrophic event to tolerable levels. Among the twenty elements identified by CCPS as essential for </w:t>
      </w:r>
      <w:r w:rsidR="009E20C6">
        <w:rPr>
          <w:lang w:val="en-GB"/>
        </w:rPr>
        <w:t>Process Safety</w:t>
      </w:r>
      <w:r>
        <w:rPr>
          <w:lang w:val="en-GB"/>
        </w:rPr>
        <w:t xml:space="preserve"> performance</w:t>
      </w:r>
      <w:r w:rsidR="00B3741A">
        <w:rPr>
          <w:lang w:val="en-GB"/>
        </w:rPr>
        <w:t xml:space="preserve"> in its Risk-Based Process Safety framework</w:t>
      </w:r>
      <w:r>
        <w:rPr>
          <w:lang w:val="en-GB"/>
        </w:rPr>
        <w:t xml:space="preserve">, </w:t>
      </w:r>
      <w:r w:rsidR="009E20C6">
        <w:rPr>
          <w:lang w:val="en-GB"/>
        </w:rPr>
        <w:t>I</w:t>
      </w:r>
      <w:r>
        <w:rPr>
          <w:lang w:val="en-GB"/>
        </w:rPr>
        <w:t xml:space="preserve">ncident </w:t>
      </w:r>
      <w:r w:rsidR="009E20C6">
        <w:rPr>
          <w:lang w:val="en-GB"/>
        </w:rPr>
        <w:t>I</w:t>
      </w:r>
      <w:r>
        <w:rPr>
          <w:lang w:val="en-GB"/>
        </w:rPr>
        <w:t xml:space="preserve">nvestigation is crucial in that it provides an opportunity for organizations to learn valuable lessons from minor incidents that then help prevent major disasters. Choosing the right methodology for </w:t>
      </w:r>
      <w:r w:rsidR="009E20C6">
        <w:rPr>
          <w:lang w:val="en-GB"/>
        </w:rPr>
        <w:t>I</w:t>
      </w:r>
      <w:r>
        <w:rPr>
          <w:lang w:val="en-GB"/>
        </w:rPr>
        <w:t xml:space="preserve">ncident </w:t>
      </w:r>
      <w:r w:rsidR="009E20C6">
        <w:rPr>
          <w:lang w:val="en-GB"/>
        </w:rPr>
        <w:t>I</w:t>
      </w:r>
      <w:r>
        <w:rPr>
          <w:lang w:val="en-GB"/>
        </w:rPr>
        <w:t xml:space="preserve">nvestigation facilitates the process and must be tailored to the purpose and available resources </w:t>
      </w:r>
      <w:proofErr w:type="gramStart"/>
      <w:r>
        <w:rPr>
          <w:lang w:val="en-GB"/>
        </w:rPr>
        <w:t>in order to</w:t>
      </w:r>
      <w:proofErr w:type="gramEnd"/>
      <w:r>
        <w:rPr>
          <w:lang w:val="en-GB"/>
        </w:rPr>
        <w:t xml:space="preserve"> be effective.</w:t>
      </w:r>
    </w:p>
    <w:p w14:paraId="25E6D18F" w14:textId="3EE44732" w:rsidR="00BC174C" w:rsidRPr="00D57522" w:rsidRDefault="00D44C9A" w:rsidP="001A40EF">
      <w:pPr>
        <w:pStyle w:val="CETBodytext"/>
        <w:rPr>
          <w:lang w:val="en-GB"/>
        </w:rPr>
      </w:pPr>
      <w:r w:rsidRPr="00D57522">
        <w:rPr>
          <w:lang w:val="en-GB"/>
        </w:rPr>
        <w:t>Major accidents, fortunately, do not happen every day; moreover, it is often difficult to be able to analyse a catastrophic event, due to the complexity of the event itself and due to lack of information. It would therefore seem that the Incident Investigation is limited by a rather limited database of events and information. However, these limits can easily be overcome if near misses are also included in the Incident Investigation. As Heinrich's pyramid shows us, these occur in a much higher number than major accidents. In case of a near miss, it is also easier to trace the root causes with respect to a major event. On the one hand there are usually fewer linked events (which otherwise could have led to a tragic accident), on the other hand the stakeholders are more inclined to share all the information as no deaths and huge economic damages are involved.</w:t>
      </w:r>
    </w:p>
    <w:p w14:paraId="568C1969" w14:textId="7AA20334" w:rsidR="00F44870" w:rsidRPr="00D57522" w:rsidRDefault="00F44870" w:rsidP="001A40EF">
      <w:pPr>
        <w:pStyle w:val="CETBodytext"/>
        <w:rPr>
          <w:lang w:val="en-GB"/>
        </w:rPr>
      </w:pPr>
      <w:r w:rsidRPr="00D57522">
        <w:rPr>
          <w:lang w:val="en-GB"/>
        </w:rPr>
        <w:t>Once a Root Cause has been identified, it is necessary to move on to the next step, that is to make improvements or even technical or organizational changes to the process. For this reason, whenever the Root Cause of an event has been defined, it is necessary to associate it with a Root Action. In fact, having understood what is at the root of the problem, action must be taken to prevent it from generating future accidents.</w:t>
      </w:r>
      <w:r w:rsidR="00627AF9" w:rsidRPr="00D57522">
        <w:rPr>
          <w:lang w:val="en-GB"/>
        </w:rPr>
        <w:t xml:space="preserve"> </w:t>
      </w:r>
      <w:r w:rsidR="00540362">
        <w:rPr>
          <w:lang w:val="en-GB"/>
        </w:rPr>
        <w:t>S</w:t>
      </w:r>
      <w:r w:rsidR="00627AF9" w:rsidRPr="00D57522">
        <w:rPr>
          <w:lang w:val="en-GB"/>
        </w:rPr>
        <w:t xml:space="preserve">haring </w:t>
      </w:r>
      <w:r w:rsidR="00540362">
        <w:rPr>
          <w:lang w:val="en-GB"/>
        </w:rPr>
        <w:t>the</w:t>
      </w:r>
      <w:r w:rsidR="00627AF9" w:rsidRPr="00D57522">
        <w:rPr>
          <w:lang w:val="en-GB"/>
        </w:rPr>
        <w:t xml:space="preserve"> information </w:t>
      </w:r>
      <w:r w:rsidR="00540362">
        <w:rPr>
          <w:lang w:val="en-GB"/>
        </w:rPr>
        <w:t>should be the following step and should always be</w:t>
      </w:r>
      <w:r w:rsidR="00627AF9" w:rsidRPr="00D57522">
        <w:rPr>
          <w:lang w:val="en-GB"/>
        </w:rPr>
        <w:t xml:space="preserve"> at the basis of the Incident Investigation. </w:t>
      </w:r>
      <w:r w:rsidR="00540362">
        <w:rPr>
          <w:lang w:val="en-GB"/>
        </w:rPr>
        <w:t>In fact, sh</w:t>
      </w:r>
      <w:r w:rsidR="00627AF9" w:rsidRPr="00D57522">
        <w:rPr>
          <w:lang w:val="en-GB"/>
        </w:rPr>
        <w:t xml:space="preserve">aring the results of the </w:t>
      </w:r>
      <w:r w:rsidR="00AC11BF" w:rsidRPr="00D57522">
        <w:rPr>
          <w:lang w:val="en-GB"/>
        </w:rPr>
        <w:t>analyses</w:t>
      </w:r>
      <w:r w:rsidR="00627AF9" w:rsidRPr="00D57522">
        <w:rPr>
          <w:lang w:val="en-GB"/>
        </w:rPr>
        <w:t xml:space="preserve"> </w:t>
      </w:r>
      <w:r w:rsidR="00540362">
        <w:rPr>
          <w:lang w:val="en-GB"/>
        </w:rPr>
        <w:t xml:space="preserve">with all the stakeholders </w:t>
      </w:r>
      <w:r w:rsidR="00627AF9" w:rsidRPr="00D57522">
        <w:rPr>
          <w:lang w:val="en-GB"/>
        </w:rPr>
        <w:t>not only facilitates the dissemination of vital information that can also be absorbed and re-processed by different realities</w:t>
      </w:r>
      <w:r w:rsidR="009C2F2D">
        <w:rPr>
          <w:lang w:val="en-GB"/>
        </w:rPr>
        <w:t xml:space="preserve"> all over the world</w:t>
      </w:r>
      <w:r w:rsidR="00627AF9" w:rsidRPr="00D57522">
        <w:rPr>
          <w:lang w:val="en-GB"/>
        </w:rPr>
        <w:t xml:space="preserve">, but </w:t>
      </w:r>
      <w:r w:rsidR="009C2F2D">
        <w:rPr>
          <w:lang w:val="en-GB"/>
        </w:rPr>
        <w:t xml:space="preserve">it </w:t>
      </w:r>
      <w:r w:rsidR="00627AF9" w:rsidRPr="00D57522">
        <w:rPr>
          <w:lang w:val="en-GB"/>
        </w:rPr>
        <w:t xml:space="preserve">also allows </w:t>
      </w:r>
      <w:r w:rsidR="00540362">
        <w:rPr>
          <w:lang w:val="en-GB"/>
        </w:rPr>
        <w:t>people</w:t>
      </w:r>
      <w:r w:rsidR="00627AF9" w:rsidRPr="00D57522">
        <w:rPr>
          <w:lang w:val="en-GB"/>
        </w:rPr>
        <w:t xml:space="preserve"> to focus on different problems, increasing the number of events and causes </w:t>
      </w:r>
      <w:r w:rsidR="00540362">
        <w:rPr>
          <w:lang w:val="en-GB"/>
        </w:rPr>
        <w:t>investigated</w:t>
      </w:r>
      <w:r w:rsidR="00627AF9" w:rsidRPr="00D57522">
        <w:rPr>
          <w:lang w:val="en-GB"/>
        </w:rPr>
        <w:t>.</w:t>
      </w:r>
    </w:p>
    <w:p w14:paraId="217045B5" w14:textId="268D7085" w:rsidR="0052132B" w:rsidRPr="00AC11BF" w:rsidRDefault="00627AF9" w:rsidP="002C68C7">
      <w:pPr>
        <w:pStyle w:val="CETBodytext"/>
        <w:rPr>
          <w:lang w:val="en-GB"/>
        </w:rPr>
      </w:pPr>
      <w:r w:rsidRPr="00D57522">
        <w:rPr>
          <w:lang w:val="en-GB"/>
        </w:rPr>
        <w:t>In this way, even</w:t>
      </w:r>
      <w:r w:rsidR="00540362">
        <w:rPr>
          <w:lang w:val="en-GB"/>
        </w:rPr>
        <w:t xml:space="preserve"> (but not only)</w:t>
      </w:r>
      <w:r w:rsidRPr="00D57522">
        <w:rPr>
          <w:lang w:val="en-GB"/>
        </w:rPr>
        <w:t xml:space="preserve"> a recent plant with little experience behind it will be able to increase the effectiveness of the risk analyses conducted. In fact, starting from results shared by </w:t>
      </w:r>
      <w:r w:rsidR="009C2F2D">
        <w:rPr>
          <w:lang w:val="en-GB"/>
        </w:rPr>
        <w:t>plants</w:t>
      </w:r>
      <w:r w:rsidRPr="00D57522">
        <w:rPr>
          <w:lang w:val="en-GB"/>
        </w:rPr>
        <w:t xml:space="preserve"> </w:t>
      </w:r>
      <w:r w:rsidR="009C2F2D">
        <w:rPr>
          <w:lang w:val="en-GB"/>
        </w:rPr>
        <w:t xml:space="preserve">with </w:t>
      </w:r>
      <w:r w:rsidRPr="00D57522">
        <w:rPr>
          <w:lang w:val="en-GB"/>
        </w:rPr>
        <w:t>similar</w:t>
      </w:r>
      <w:r w:rsidR="009C2F2D">
        <w:rPr>
          <w:lang w:val="en-GB"/>
        </w:rPr>
        <w:t xml:space="preserve"> processes</w:t>
      </w:r>
      <w:r w:rsidRPr="00D57522">
        <w:rPr>
          <w:lang w:val="en-GB"/>
        </w:rPr>
        <w:t xml:space="preserve"> and by carrying out historical research on Incident Investigations conducted on </w:t>
      </w:r>
      <w:r w:rsidR="009C2F2D">
        <w:rPr>
          <w:lang w:val="en-GB"/>
        </w:rPr>
        <w:t>them, it</w:t>
      </w:r>
      <w:r w:rsidRPr="00D57522">
        <w:rPr>
          <w:lang w:val="en-GB"/>
        </w:rPr>
        <w:t xml:space="preserve"> will be </w:t>
      </w:r>
      <w:r w:rsidR="009C2F2D">
        <w:rPr>
          <w:lang w:val="en-GB"/>
        </w:rPr>
        <w:t>possible</w:t>
      </w:r>
      <w:r w:rsidRPr="00D57522">
        <w:rPr>
          <w:lang w:val="en-GB"/>
        </w:rPr>
        <w:t xml:space="preserve"> to generate a database of deviations and causes that otherwise would have remained undetected.</w:t>
      </w:r>
    </w:p>
    <w:p w14:paraId="6329E05F" w14:textId="58918B2E" w:rsidR="00AC11BF" w:rsidRPr="00056055" w:rsidRDefault="004A6C2E" w:rsidP="00AC11BF">
      <w:pPr>
        <w:pStyle w:val="CETReference"/>
        <w:rPr>
          <w:lang w:val="it-IT"/>
        </w:rPr>
      </w:pPr>
      <w:proofErr w:type="spellStart"/>
      <w:r w:rsidRPr="00056055">
        <w:rPr>
          <w:lang w:val="it-IT"/>
        </w:rPr>
        <w:t>References</w:t>
      </w:r>
      <w:proofErr w:type="spellEnd"/>
    </w:p>
    <w:p w14:paraId="1FCEEACA" w14:textId="7009FE6C" w:rsidR="00D171BC" w:rsidRPr="00647C1B" w:rsidRDefault="00D171BC" w:rsidP="00822370">
      <w:pPr>
        <w:pStyle w:val="CETReferencetext"/>
      </w:pPr>
      <w:proofErr w:type="spellStart"/>
      <w:r w:rsidRPr="00647C1B">
        <w:t>Center</w:t>
      </w:r>
      <w:proofErr w:type="spellEnd"/>
      <w:r w:rsidRPr="00647C1B">
        <w:t xml:space="preserve"> for Chemical </w:t>
      </w:r>
      <w:r w:rsidR="009E20C6" w:rsidRPr="00647C1B">
        <w:t>Process Safety</w:t>
      </w:r>
      <w:r w:rsidRPr="00647C1B">
        <w:t xml:space="preserve"> (CCPS). Guidelines for risk</w:t>
      </w:r>
      <w:r w:rsidR="001D0AF1" w:rsidRPr="00647C1B">
        <w:t>-</w:t>
      </w:r>
      <w:r w:rsidRPr="00647C1B">
        <w:t xml:space="preserve">based </w:t>
      </w:r>
      <w:r w:rsidR="009E20C6" w:rsidRPr="00647C1B">
        <w:t>Process Safety</w:t>
      </w:r>
      <w:r w:rsidRPr="00647C1B">
        <w:t>. John Wiley &amp; Sons, 2010.</w:t>
      </w:r>
    </w:p>
    <w:p w14:paraId="4B53F478" w14:textId="7644AAE9" w:rsidR="0099430B" w:rsidRPr="00647C1B" w:rsidRDefault="0099430B" w:rsidP="00822370">
      <w:pPr>
        <w:pStyle w:val="CETReferencetext"/>
      </w:pPr>
      <w:r w:rsidRPr="00647C1B">
        <w:t>European Safety Reliability and Data Association (</w:t>
      </w:r>
      <w:proofErr w:type="spellStart"/>
      <w:r w:rsidRPr="00647C1B">
        <w:t>ESReDA</w:t>
      </w:r>
      <w:proofErr w:type="spellEnd"/>
      <w:r w:rsidRPr="00647C1B">
        <w:t>). Guidelines for Safety Investigations of Accidents, 2009.</w:t>
      </w:r>
    </w:p>
    <w:p w14:paraId="435D9B04" w14:textId="4F48F0C9" w:rsidR="00056055" w:rsidRPr="00647C1B" w:rsidRDefault="00056055" w:rsidP="00822370">
      <w:pPr>
        <w:pStyle w:val="CETReferencetext"/>
      </w:pPr>
      <w:r w:rsidRPr="00647C1B">
        <w:t>Hazardexonthenet.net. (2023). Three people killed in propane factory explosion. [online] Available at: https://www.hazardexonthenet.net/article/195434/Three-people-killed-in-propane-factory-explosion.aspx [Accessed 14 Apr. 2023].</w:t>
      </w:r>
    </w:p>
    <w:p w14:paraId="3C4A2CE8" w14:textId="2A05671E" w:rsidR="00056055" w:rsidRPr="00D57522" w:rsidRDefault="00056055" w:rsidP="00822370">
      <w:pPr>
        <w:pStyle w:val="CETReferencetext"/>
      </w:pPr>
      <w:r w:rsidRPr="00647C1B">
        <w:t>H</w:t>
      </w:r>
      <w:r w:rsidRPr="00647C1B">
        <w:t>azardexonthenet.net. (2023). Explosion at Hazardous Waste Facility Kills Worker. [online] Available at: https://www.hazardexonthenet.net/article/195442/Explosion-at-hazardous-waste-facility-kills-worker.aspx [Accessed 14 Apr. 2023].</w:t>
      </w:r>
    </w:p>
    <w:p w14:paraId="629F27A2" w14:textId="34FAA845" w:rsidR="004E1655" w:rsidRPr="00D57522" w:rsidRDefault="004E1655" w:rsidP="004E1655">
      <w:pPr>
        <w:pStyle w:val="CETReferencetext"/>
      </w:pPr>
      <w:r w:rsidRPr="00D57522">
        <w:t>International Electrotechnical Commission (2015) IEC 62740 Root Cause Analysis (RCA), Geneva, Switzerland.</w:t>
      </w:r>
    </w:p>
    <w:p w14:paraId="22EEC970" w14:textId="77777777" w:rsidR="00822370" w:rsidRPr="00D57522" w:rsidRDefault="00822370" w:rsidP="00822370">
      <w:pPr>
        <w:pStyle w:val="CETReferencetext"/>
      </w:pPr>
      <w:r w:rsidRPr="00D57522">
        <w:t xml:space="preserve">Manuel H.J., </w:t>
      </w:r>
      <w:proofErr w:type="spellStart"/>
      <w:r w:rsidRPr="00D57522">
        <w:t>Kooi</w:t>
      </w:r>
      <w:proofErr w:type="spellEnd"/>
      <w:r w:rsidRPr="00D57522">
        <w:t xml:space="preserve"> E., </w:t>
      </w:r>
      <w:proofErr w:type="spellStart"/>
      <w:r w:rsidRPr="00D57522">
        <w:t>Wolting</w:t>
      </w:r>
      <w:proofErr w:type="spellEnd"/>
      <w:r w:rsidRPr="00D57522">
        <w:t xml:space="preserve"> B., 2022, Learning from incidents at Seveso sites: a focus on the safeguarding of containments prior to start of operations, Chemical Engineering Transactions, 90, 637-642.</w:t>
      </w:r>
    </w:p>
    <w:p w14:paraId="109E089E" w14:textId="56B049A0" w:rsidR="00BB2F1D" w:rsidRDefault="00BB2F1D" w:rsidP="00822370">
      <w:pPr>
        <w:pStyle w:val="CETReferencetext"/>
      </w:pPr>
      <w:r w:rsidRPr="00BB2F1D">
        <w:t>Marine Insight. (2023). Oil Tanker Explodes in Thai Waters. [online] Available at: https://www.marineinsight.com/videos/video-oil-tanker-explodes-in-thai-waters-blows-up-workers-leg-500-m-away/ [Accessed 14 Apr. 2023].</w:t>
      </w:r>
    </w:p>
    <w:p w14:paraId="562BD438" w14:textId="0B2474B5" w:rsidR="00D75420" w:rsidRDefault="00D75420" w:rsidP="00822370">
      <w:pPr>
        <w:pStyle w:val="CETReferencetext"/>
      </w:pPr>
      <w:r w:rsidRPr="00D57522">
        <w:t xml:space="preserve">Paltrinieri N., </w:t>
      </w:r>
      <w:proofErr w:type="spellStart"/>
      <w:r w:rsidRPr="00D57522">
        <w:t>Tugnoli</w:t>
      </w:r>
      <w:proofErr w:type="spellEnd"/>
      <w:r w:rsidRPr="00D57522">
        <w:t xml:space="preserve"> A., </w:t>
      </w:r>
      <w:proofErr w:type="spellStart"/>
      <w:r w:rsidRPr="00D57522">
        <w:t>Bonvicini</w:t>
      </w:r>
      <w:proofErr w:type="spellEnd"/>
      <w:r w:rsidRPr="00D57522">
        <w:t xml:space="preserve"> S., </w:t>
      </w:r>
      <w:proofErr w:type="spellStart"/>
      <w:r w:rsidRPr="00D57522">
        <w:t>Cozzani</w:t>
      </w:r>
      <w:proofErr w:type="spellEnd"/>
      <w:r w:rsidRPr="00D57522">
        <w:t xml:space="preserve"> V., 2011, Atypical Scenarios Identification by the </w:t>
      </w:r>
      <w:proofErr w:type="spellStart"/>
      <w:r w:rsidRPr="00D57522">
        <w:t>Dypasi</w:t>
      </w:r>
      <w:proofErr w:type="spellEnd"/>
      <w:r w:rsidRPr="00D57522">
        <w:t xml:space="preserve"> Procedure: Application to </w:t>
      </w:r>
      <w:proofErr w:type="spellStart"/>
      <w:r w:rsidRPr="00D57522">
        <w:t>Lng</w:t>
      </w:r>
      <w:proofErr w:type="spellEnd"/>
      <w:r w:rsidRPr="00D57522">
        <w:t>, Chemical Engineering Transactions, 24, 1171-1176.</w:t>
      </w:r>
    </w:p>
    <w:p w14:paraId="61FBE885" w14:textId="511564BE" w:rsidR="00BB2F1D" w:rsidRDefault="00BB2F1D" w:rsidP="006762F0">
      <w:pPr>
        <w:pStyle w:val="CETReferencetext"/>
      </w:pPr>
      <w:r w:rsidRPr="00BB2F1D">
        <w:t>Reuters (2023). China Petrochemical Plant Shut after Deadly Explosion. Reuters. [online] 16 Jan. Available at: https://www.reuters.com/world/china/china-petrochemical-plant-shut-after-deadly-explosion-sources-2023-01-16/ [Accessed 14 Apr. 2023].</w:t>
      </w:r>
    </w:p>
    <w:p w14:paraId="29E3B8A3" w14:textId="6E51A78F" w:rsidR="006762F0" w:rsidRDefault="00647C1B" w:rsidP="006762F0">
      <w:pPr>
        <w:pStyle w:val="CETReferencetext"/>
      </w:pPr>
      <w:r w:rsidRPr="00647C1B">
        <w:t xml:space="preserve">Reyes, J. (2022). PDCA: Meaning, Stages, &amp; Importance. [online] </w:t>
      </w:r>
      <w:proofErr w:type="spellStart"/>
      <w:r w:rsidRPr="00647C1B">
        <w:t>SafetyCulture</w:t>
      </w:r>
      <w:proofErr w:type="spellEnd"/>
      <w:r w:rsidRPr="00647C1B">
        <w:t>. Available at: https://safetyculture.com/topics/pdca/.</w:t>
      </w:r>
    </w:p>
    <w:p w14:paraId="7AFDFB00" w14:textId="7D30ACDA" w:rsidR="00011275" w:rsidRDefault="00011275" w:rsidP="00011275">
      <w:pPr>
        <w:pStyle w:val="CETReferencetext"/>
      </w:pPr>
      <w:proofErr w:type="spellStart"/>
      <w:r w:rsidRPr="00D57522">
        <w:t>Veiligheid</w:t>
      </w:r>
      <w:proofErr w:type="spellEnd"/>
      <w:r w:rsidRPr="00D57522">
        <w:t xml:space="preserve"> </w:t>
      </w:r>
      <w:proofErr w:type="spellStart"/>
      <w:r w:rsidRPr="00D57522">
        <w:t>voorop</w:t>
      </w:r>
      <w:proofErr w:type="spellEnd"/>
      <w:r w:rsidRPr="00D57522">
        <w:t xml:space="preserve"> (‘Safety first’)</w:t>
      </w:r>
      <w:r w:rsidR="00D50064">
        <w:t xml:space="preserve"> (</w:t>
      </w:r>
      <w:r w:rsidRPr="00D57522">
        <w:t>2020</w:t>
      </w:r>
      <w:r w:rsidR="00D50064">
        <w:t xml:space="preserve">). </w:t>
      </w:r>
      <w:r w:rsidRPr="00D57522">
        <w:t>Handbook for better learning from incidents in the (</w:t>
      </w:r>
      <w:proofErr w:type="spellStart"/>
      <w:r w:rsidRPr="00D57522">
        <w:t>petro</w:t>
      </w:r>
      <w:proofErr w:type="spellEnd"/>
      <w:r w:rsidRPr="00D57522">
        <w:t xml:space="preserve">)chemical industry (Dutch) </w:t>
      </w:r>
      <w:r w:rsidR="00D50064" w:rsidRPr="00D50064">
        <w:t xml:space="preserve">[online] https://crisislab.nl/. </w:t>
      </w:r>
      <w:proofErr w:type="spellStart"/>
      <w:r w:rsidR="00D50064" w:rsidRPr="00D50064">
        <w:t>Veiligheid</w:t>
      </w:r>
      <w:proofErr w:type="spellEnd"/>
      <w:r w:rsidR="00D50064" w:rsidRPr="00D50064">
        <w:t xml:space="preserve"> </w:t>
      </w:r>
      <w:proofErr w:type="spellStart"/>
      <w:r w:rsidR="00D50064" w:rsidRPr="00D50064">
        <w:t>Voorop</w:t>
      </w:r>
      <w:proofErr w:type="spellEnd"/>
      <w:r w:rsidR="00D50064" w:rsidRPr="00D50064">
        <w:t xml:space="preserve">, de VNCI </w:t>
      </w:r>
      <w:proofErr w:type="spellStart"/>
      <w:r w:rsidR="00D50064" w:rsidRPr="00D50064">
        <w:t>en</w:t>
      </w:r>
      <w:proofErr w:type="spellEnd"/>
      <w:r w:rsidR="00D50064" w:rsidRPr="00D50064">
        <w:t xml:space="preserve"> de </w:t>
      </w:r>
      <w:proofErr w:type="spellStart"/>
      <w:r w:rsidR="00D50064" w:rsidRPr="00D50064">
        <w:t>zes</w:t>
      </w:r>
      <w:proofErr w:type="spellEnd"/>
      <w:r w:rsidR="00D50064" w:rsidRPr="00D50064">
        <w:t xml:space="preserve"> </w:t>
      </w:r>
      <w:proofErr w:type="spellStart"/>
      <w:r w:rsidR="00D50064" w:rsidRPr="00D50064">
        <w:t>Regionale</w:t>
      </w:r>
      <w:proofErr w:type="spellEnd"/>
      <w:r w:rsidR="00D50064" w:rsidRPr="00D50064">
        <w:t xml:space="preserve"> </w:t>
      </w:r>
      <w:proofErr w:type="spellStart"/>
      <w:r w:rsidR="00D50064" w:rsidRPr="00D50064">
        <w:t>Veiligheidsnetwerken</w:t>
      </w:r>
      <w:proofErr w:type="spellEnd"/>
      <w:r w:rsidR="00D50064" w:rsidRPr="00D50064">
        <w:t>. Available at: https://crisislab.nl/wordpress/wp-content/uploads/Handreiking-leren-van-incidenten.pdf [Accessed 14 Apr. 2023].</w:t>
      </w:r>
    </w:p>
    <w:p w14:paraId="7F0ADF4D" w14:textId="5A8EFAB7" w:rsidR="00056055" w:rsidRDefault="00056055" w:rsidP="00011275">
      <w:pPr>
        <w:pStyle w:val="CETReferencetext"/>
      </w:pPr>
      <w:r w:rsidRPr="00056055">
        <w:t>Wikipedia Contributors (2023). 2023 Lithuania–Latvia Pipeline Explosion. [online] Wikipedia. Available at: https://en.wikipedia.org/wiki/2023_Lithuania%E2%80%93Latvia_pipeline_explosion [Accessed 14 Apr. 2023].</w:t>
      </w:r>
    </w:p>
    <w:p w14:paraId="2A216602" w14:textId="29FA1B81" w:rsidR="00822370" w:rsidRDefault="00822370" w:rsidP="00011275">
      <w:pPr>
        <w:pStyle w:val="CETReferencetext"/>
      </w:pPr>
      <w:r w:rsidRPr="00D57522">
        <w:t xml:space="preserve">Wood M.H., </w:t>
      </w:r>
      <w:proofErr w:type="spellStart"/>
      <w:r w:rsidRPr="00D57522">
        <w:t>Koutelos</w:t>
      </w:r>
      <w:proofErr w:type="spellEnd"/>
      <w:r w:rsidRPr="00D57522">
        <w:t xml:space="preserve"> K., </w:t>
      </w:r>
      <w:proofErr w:type="spellStart"/>
      <w:r w:rsidRPr="00D57522">
        <w:t>Hailwood</w:t>
      </w:r>
      <w:proofErr w:type="spellEnd"/>
      <w:r w:rsidRPr="00D57522">
        <w:t xml:space="preserve"> M., Cowley C., 2022, Learning lessons from chemical incidents – What’s stopping us and how we can make it happen, Chemical Engineering Transactions, 90, 685-690.</w:t>
      </w:r>
    </w:p>
    <w:p w14:paraId="111931FD" w14:textId="78D727E0" w:rsidR="004A6C2E" w:rsidRDefault="004A6C2E">
      <w:pPr>
        <w:tabs>
          <w:tab w:val="clear" w:pos="7100"/>
        </w:tabs>
        <w:spacing w:after="200" w:line="276" w:lineRule="auto"/>
        <w:jc w:val="left"/>
      </w:pPr>
    </w:p>
    <w:sectPr w:rsidR="004A6C2E"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86373" w14:textId="77777777" w:rsidR="009459BB" w:rsidRDefault="009459BB" w:rsidP="004F5E36">
      <w:r>
        <w:separator/>
      </w:r>
    </w:p>
  </w:endnote>
  <w:endnote w:type="continuationSeparator" w:id="0">
    <w:p w14:paraId="3309EC8C" w14:textId="77777777" w:rsidR="009459BB" w:rsidRDefault="009459B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03BC3" w14:textId="77777777" w:rsidR="009459BB" w:rsidRDefault="009459BB" w:rsidP="004F5E36">
      <w:r>
        <w:separator/>
      </w:r>
    </w:p>
  </w:footnote>
  <w:footnote w:type="continuationSeparator" w:id="0">
    <w:p w14:paraId="40C67519" w14:textId="77777777" w:rsidR="009459BB" w:rsidRDefault="009459BB"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6B007A2"/>
    <w:multiLevelType w:val="hybridMultilevel"/>
    <w:tmpl w:val="E1ECBE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2832504"/>
    <w:multiLevelType w:val="hybridMultilevel"/>
    <w:tmpl w:val="945AD0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2"/>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9"/>
  </w:num>
  <w:num w:numId="13" w16cid:durableId="695733619">
    <w:abstractNumId w:val="14"/>
  </w:num>
  <w:num w:numId="14" w16cid:durableId="145903400">
    <w:abstractNumId w:val="20"/>
  </w:num>
  <w:num w:numId="15" w16cid:durableId="19162326">
    <w:abstractNumId w:val="22"/>
  </w:num>
  <w:num w:numId="16" w16cid:durableId="1977102699">
    <w:abstractNumId w:val="21"/>
  </w:num>
  <w:num w:numId="17" w16cid:durableId="860774865">
    <w:abstractNumId w:val="13"/>
  </w:num>
  <w:num w:numId="18" w16cid:durableId="313221457">
    <w:abstractNumId w:val="14"/>
    <w:lvlOverride w:ilvl="0">
      <w:startOverride w:val="1"/>
    </w:lvlOverride>
  </w:num>
  <w:num w:numId="19" w16cid:durableId="534971577">
    <w:abstractNumId w:val="18"/>
  </w:num>
  <w:num w:numId="20" w16cid:durableId="1150947773">
    <w:abstractNumId w:val="17"/>
  </w:num>
  <w:num w:numId="21" w16cid:durableId="124660497">
    <w:abstractNumId w:val="16"/>
  </w:num>
  <w:num w:numId="22" w16cid:durableId="2099861471">
    <w:abstractNumId w:val="15"/>
  </w:num>
  <w:num w:numId="23" w16cid:durableId="1461145205">
    <w:abstractNumId w:val="10"/>
  </w:num>
  <w:num w:numId="24" w16cid:durableId="17321186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275"/>
    <w:rsid w:val="000117CB"/>
    <w:rsid w:val="000203C5"/>
    <w:rsid w:val="0003148D"/>
    <w:rsid w:val="00031EEC"/>
    <w:rsid w:val="00051566"/>
    <w:rsid w:val="00056055"/>
    <w:rsid w:val="000562A9"/>
    <w:rsid w:val="00062A9A"/>
    <w:rsid w:val="00065058"/>
    <w:rsid w:val="00086C39"/>
    <w:rsid w:val="00091329"/>
    <w:rsid w:val="000A03B2"/>
    <w:rsid w:val="000D0268"/>
    <w:rsid w:val="000D04C4"/>
    <w:rsid w:val="000D34BE"/>
    <w:rsid w:val="000D779D"/>
    <w:rsid w:val="000E102F"/>
    <w:rsid w:val="000E36F1"/>
    <w:rsid w:val="000E3A73"/>
    <w:rsid w:val="000E414A"/>
    <w:rsid w:val="000F093C"/>
    <w:rsid w:val="000F787B"/>
    <w:rsid w:val="0012091F"/>
    <w:rsid w:val="00126BC2"/>
    <w:rsid w:val="001308B6"/>
    <w:rsid w:val="0013121F"/>
    <w:rsid w:val="00131FE6"/>
    <w:rsid w:val="0013263F"/>
    <w:rsid w:val="001331DF"/>
    <w:rsid w:val="00134DE4"/>
    <w:rsid w:val="0014034D"/>
    <w:rsid w:val="00144D16"/>
    <w:rsid w:val="001501DF"/>
    <w:rsid w:val="00150E59"/>
    <w:rsid w:val="00152DE3"/>
    <w:rsid w:val="00164CF9"/>
    <w:rsid w:val="001667A6"/>
    <w:rsid w:val="00184AD6"/>
    <w:rsid w:val="001A40EF"/>
    <w:rsid w:val="001A4AF7"/>
    <w:rsid w:val="001B0349"/>
    <w:rsid w:val="001B1E93"/>
    <w:rsid w:val="001B65C1"/>
    <w:rsid w:val="001C684B"/>
    <w:rsid w:val="001D0AF1"/>
    <w:rsid w:val="001D0CFB"/>
    <w:rsid w:val="001D21AF"/>
    <w:rsid w:val="001D53FC"/>
    <w:rsid w:val="001D619A"/>
    <w:rsid w:val="001E4ACD"/>
    <w:rsid w:val="001E5382"/>
    <w:rsid w:val="001E7A1A"/>
    <w:rsid w:val="001F42A5"/>
    <w:rsid w:val="001F7B9D"/>
    <w:rsid w:val="00201C93"/>
    <w:rsid w:val="0020326D"/>
    <w:rsid w:val="00217B9F"/>
    <w:rsid w:val="00221505"/>
    <w:rsid w:val="002224B4"/>
    <w:rsid w:val="002239AE"/>
    <w:rsid w:val="0022423E"/>
    <w:rsid w:val="00230B04"/>
    <w:rsid w:val="002447EF"/>
    <w:rsid w:val="00251528"/>
    <w:rsid w:val="00251550"/>
    <w:rsid w:val="00263B05"/>
    <w:rsid w:val="0027221A"/>
    <w:rsid w:val="00275B61"/>
    <w:rsid w:val="00280FAF"/>
    <w:rsid w:val="00282656"/>
    <w:rsid w:val="002956AE"/>
    <w:rsid w:val="00296B83"/>
    <w:rsid w:val="002A4C97"/>
    <w:rsid w:val="002B4015"/>
    <w:rsid w:val="002B78CE"/>
    <w:rsid w:val="002C2FB6"/>
    <w:rsid w:val="002C68C7"/>
    <w:rsid w:val="002D515A"/>
    <w:rsid w:val="002D5BAF"/>
    <w:rsid w:val="002E5FA7"/>
    <w:rsid w:val="002E67FF"/>
    <w:rsid w:val="002F3309"/>
    <w:rsid w:val="002F5ADF"/>
    <w:rsid w:val="003008CE"/>
    <w:rsid w:val="003009B7"/>
    <w:rsid w:val="00300E56"/>
    <w:rsid w:val="0030152C"/>
    <w:rsid w:val="0030469C"/>
    <w:rsid w:val="00304C8E"/>
    <w:rsid w:val="00315F02"/>
    <w:rsid w:val="00321CA6"/>
    <w:rsid w:val="00323763"/>
    <w:rsid w:val="00323C5F"/>
    <w:rsid w:val="003261C0"/>
    <w:rsid w:val="00334C09"/>
    <w:rsid w:val="00356592"/>
    <w:rsid w:val="003723D4"/>
    <w:rsid w:val="00381905"/>
    <w:rsid w:val="00384CC8"/>
    <w:rsid w:val="003871FD"/>
    <w:rsid w:val="0039397E"/>
    <w:rsid w:val="003A1E30"/>
    <w:rsid w:val="003A2829"/>
    <w:rsid w:val="003A7D1C"/>
    <w:rsid w:val="003B304B"/>
    <w:rsid w:val="003B3146"/>
    <w:rsid w:val="003D27D0"/>
    <w:rsid w:val="003F015E"/>
    <w:rsid w:val="00400414"/>
    <w:rsid w:val="0041446B"/>
    <w:rsid w:val="00414918"/>
    <w:rsid w:val="0044071E"/>
    <w:rsid w:val="0044329C"/>
    <w:rsid w:val="00453E24"/>
    <w:rsid w:val="00457456"/>
    <w:rsid w:val="004577FE"/>
    <w:rsid w:val="00457B9C"/>
    <w:rsid w:val="0046164A"/>
    <w:rsid w:val="00461C25"/>
    <w:rsid w:val="004628D2"/>
    <w:rsid w:val="00462DCD"/>
    <w:rsid w:val="004642C0"/>
    <w:rsid w:val="004648AD"/>
    <w:rsid w:val="004703A9"/>
    <w:rsid w:val="004760DE"/>
    <w:rsid w:val="004763D7"/>
    <w:rsid w:val="0048517A"/>
    <w:rsid w:val="004A004E"/>
    <w:rsid w:val="004A1C3D"/>
    <w:rsid w:val="004A24CF"/>
    <w:rsid w:val="004A5BEB"/>
    <w:rsid w:val="004A6C2E"/>
    <w:rsid w:val="004B1005"/>
    <w:rsid w:val="004B6CA0"/>
    <w:rsid w:val="004C1D70"/>
    <w:rsid w:val="004C3D1D"/>
    <w:rsid w:val="004C3D84"/>
    <w:rsid w:val="004C7902"/>
    <w:rsid w:val="004C7913"/>
    <w:rsid w:val="004E1655"/>
    <w:rsid w:val="004E4DD6"/>
    <w:rsid w:val="004F5E36"/>
    <w:rsid w:val="00507B47"/>
    <w:rsid w:val="00507BEF"/>
    <w:rsid w:val="00507CC9"/>
    <w:rsid w:val="005119A5"/>
    <w:rsid w:val="0052132B"/>
    <w:rsid w:val="005278B7"/>
    <w:rsid w:val="005309B8"/>
    <w:rsid w:val="00532016"/>
    <w:rsid w:val="005346C8"/>
    <w:rsid w:val="0053726E"/>
    <w:rsid w:val="00540362"/>
    <w:rsid w:val="00543E7D"/>
    <w:rsid w:val="00547A68"/>
    <w:rsid w:val="005531C9"/>
    <w:rsid w:val="00553B16"/>
    <w:rsid w:val="00570C43"/>
    <w:rsid w:val="00582112"/>
    <w:rsid w:val="00584B03"/>
    <w:rsid w:val="005B0C81"/>
    <w:rsid w:val="005B2110"/>
    <w:rsid w:val="005B61E6"/>
    <w:rsid w:val="005C77E1"/>
    <w:rsid w:val="005D668A"/>
    <w:rsid w:val="005D6A2F"/>
    <w:rsid w:val="005E018F"/>
    <w:rsid w:val="005E1A82"/>
    <w:rsid w:val="005E794C"/>
    <w:rsid w:val="005F0A28"/>
    <w:rsid w:val="005F0E5E"/>
    <w:rsid w:val="00600535"/>
    <w:rsid w:val="00610CD6"/>
    <w:rsid w:val="00620DEE"/>
    <w:rsid w:val="00621F92"/>
    <w:rsid w:val="0062280A"/>
    <w:rsid w:val="00625639"/>
    <w:rsid w:val="00627AF9"/>
    <w:rsid w:val="00631B33"/>
    <w:rsid w:val="00636264"/>
    <w:rsid w:val="0064165B"/>
    <w:rsid w:val="0064184D"/>
    <w:rsid w:val="006422CC"/>
    <w:rsid w:val="00647C1B"/>
    <w:rsid w:val="00660E3E"/>
    <w:rsid w:val="00661042"/>
    <w:rsid w:val="00662E74"/>
    <w:rsid w:val="006762F0"/>
    <w:rsid w:val="00680C23"/>
    <w:rsid w:val="00693766"/>
    <w:rsid w:val="006A3281"/>
    <w:rsid w:val="006A398C"/>
    <w:rsid w:val="006B4888"/>
    <w:rsid w:val="006C2E45"/>
    <w:rsid w:val="006C359C"/>
    <w:rsid w:val="006C5579"/>
    <w:rsid w:val="006C629A"/>
    <w:rsid w:val="006D2537"/>
    <w:rsid w:val="006D6E8B"/>
    <w:rsid w:val="006E5116"/>
    <w:rsid w:val="006E737D"/>
    <w:rsid w:val="006F0BC0"/>
    <w:rsid w:val="00700896"/>
    <w:rsid w:val="00700F85"/>
    <w:rsid w:val="007069E3"/>
    <w:rsid w:val="00713973"/>
    <w:rsid w:val="00720A24"/>
    <w:rsid w:val="0072462D"/>
    <w:rsid w:val="00732386"/>
    <w:rsid w:val="0073514D"/>
    <w:rsid w:val="007447F3"/>
    <w:rsid w:val="0075499F"/>
    <w:rsid w:val="00760663"/>
    <w:rsid w:val="007661C8"/>
    <w:rsid w:val="0077098D"/>
    <w:rsid w:val="007931FA"/>
    <w:rsid w:val="007A4861"/>
    <w:rsid w:val="007A7BBA"/>
    <w:rsid w:val="007B0C50"/>
    <w:rsid w:val="007B3CE8"/>
    <w:rsid w:val="007B48F9"/>
    <w:rsid w:val="007C1A43"/>
    <w:rsid w:val="007D0951"/>
    <w:rsid w:val="007D200A"/>
    <w:rsid w:val="007E13E4"/>
    <w:rsid w:val="007E5440"/>
    <w:rsid w:val="0080013E"/>
    <w:rsid w:val="0081281E"/>
    <w:rsid w:val="00813288"/>
    <w:rsid w:val="008168FC"/>
    <w:rsid w:val="00822370"/>
    <w:rsid w:val="00824494"/>
    <w:rsid w:val="00830996"/>
    <w:rsid w:val="008345F1"/>
    <w:rsid w:val="00840084"/>
    <w:rsid w:val="00865B07"/>
    <w:rsid w:val="008667EA"/>
    <w:rsid w:val="0087637F"/>
    <w:rsid w:val="00891342"/>
    <w:rsid w:val="00892AD5"/>
    <w:rsid w:val="008A1512"/>
    <w:rsid w:val="008D32B9"/>
    <w:rsid w:val="008D433B"/>
    <w:rsid w:val="008D4A16"/>
    <w:rsid w:val="008E566E"/>
    <w:rsid w:val="0090161A"/>
    <w:rsid w:val="00901EB6"/>
    <w:rsid w:val="00904C62"/>
    <w:rsid w:val="00905B20"/>
    <w:rsid w:val="0091385E"/>
    <w:rsid w:val="00922BA8"/>
    <w:rsid w:val="00924DAC"/>
    <w:rsid w:val="00927058"/>
    <w:rsid w:val="00942750"/>
    <w:rsid w:val="009450CE"/>
    <w:rsid w:val="009459BB"/>
    <w:rsid w:val="00947179"/>
    <w:rsid w:val="0095164B"/>
    <w:rsid w:val="00954090"/>
    <w:rsid w:val="009573E7"/>
    <w:rsid w:val="00963E05"/>
    <w:rsid w:val="00964A45"/>
    <w:rsid w:val="00967843"/>
    <w:rsid w:val="00967D54"/>
    <w:rsid w:val="00971028"/>
    <w:rsid w:val="00971585"/>
    <w:rsid w:val="00993B84"/>
    <w:rsid w:val="0099430B"/>
    <w:rsid w:val="00996483"/>
    <w:rsid w:val="00996F5A"/>
    <w:rsid w:val="009B041A"/>
    <w:rsid w:val="009B55FC"/>
    <w:rsid w:val="009C2F2D"/>
    <w:rsid w:val="009C37C3"/>
    <w:rsid w:val="009C70DD"/>
    <w:rsid w:val="009C7C86"/>
    <w:rsid w:val="009D2FF7"/>
    <w:rsid w:val="009E20C6"/>
    <w:rsid w:val="009E7884"/>
    <w:rsid w:val="009E788A"/>
    <w:rsid w:val="009F0E08"/>
    <w:rsid w:val="00A1763D"/>
    <w:rsid w:val="00A17CEC"/>
    <w:rsid w:val="00A27EF0"/>
    <w:rsid w:val="00A307FD"/>
    <w:rsid w:val="00A42361"/>
    <w:rsid w:val="00A50B20"/>
    <w:rsid w:val="00A51390"/>
    <w:rsid w:val="00A60D13"/>
    <w:rsid w:val="00A7223D"/>
    <w:rsid w:val="00A72745"/>
    <w:rsid w:val="00A76EFC"/>
    <w:rsid w:val="00A87D50"/>
    <w:rsid w:val="00A91010"/>
    <w:rsid w:val="00A97855"/>
    <w:rsid w:val="00A97F29"/>
    <w:rsid w:val="00AA63DD"/>
    <w:rsid w:val="00AA702E"/>
    <w:rsid w:val="00AA7D26"/>
    <w:rsid w:val="00AB0964"/>
    <w:rsid w:val="00AB14F2"/>
    <w:rsid w:val="00AB5011"/>
    <w:rsid w:val="00AC11BF"/>
    <w:rsid w:val="00AC209F"/>
    <w:rsid w:val="00AC7368"/>
    <w:rsid w:val="00AD16B9"/>
    <w:rsid w:val="00AE377D"/>
    <w:rsid w:val="00AF0EBA"/>
    <w:rsid w:val="00B02C8A"/>
    <w:rsid w:val="00B03708"/>
    <w:rsid w:val="00B17FBD"/>
    <w:rsid w:val="00B25D97"/>
    <w:rsid w:val="00B30E38"/>
    <w:rsid w:val="00B315A6"/>
    <w:rsid w:val="00B31813"/>
    <w:rsid w:val="00B33365"/>
    <w:rsid w:val="00B34A7E"/>
    <w:rsid w:val="00B3741A"/>
    <w:rsid w:val="00B57B36"/>
    <w:rsid w:val="00B57E6F"/>
    <w:rsid w:val="00B857F7"/>
    <w:rsid w:val="00B8686D"/>
    <w:rsid w:val="00B93F69"/>
    <w:rsid w:val="00BA0C7E"/>
    <w:rsid w:val="00BB0844"/>
    <w:rsid w:val="00BB189C"/>
    <w:rsid w:val="00BB1DDC"/>
    <w:rsid w:val="00BB2F1D"/>
    <w:rsid w:val="00BC174C"/>
    <w:rsid w:val="00BC26AD"/>
    <w:rsid w:val="00BC30C9"/>
    <w:rsid w:val="00BC54AD"/>
    <w:rsid w:val="00BD077D"/>
    <w:rsid w:val="00BE3E58"/>
    <w:rsid w:val="00C01616"/>
    <w:rsid w:val="00C0162B"/>
    <w:rsid w:val="00C068ED"/>
    <w:rsid w:val="00C22E0C"/>
    <w:rsid w:val="00C345B1"/>
    <w:rsid w:val="00C40142"/>
    <w:rsid w:val="00C452B5"/>
    <w:rsid w:val="00C5112A"/>
    <w:rsid w:val="00C52C3C"/>
    <w:rsid w:val="00C57182"/>
    <w:rsid w:val="00C57863"/>
    <w:rsid w:val="00C60CB1"/>
    <w:rsid w:val="00C61632"/>
    <w:rsid w:val="00C640AF"/>
    <w:rsid w:val="00C655FD"/>
    <w:rsid w:val="00C75407"/>
    <w:rsid w:val="00C870A8"/>
    <w:rsid w:val="00C94434"/>
    <w:rsid w:val="00CA0D75"/>
    <w:rsid w:val="00CA1C95"/>
    <w:rsid w:val="00CA5A9C"/>
    <w:rsid w:val="00CC1857"/>
    <w:rsid w:val="00CC3072"/>
    <w:rsid w:val="00CC4C20"/>
    <w:rsid w:val="00CD3517"/>
    <w:rsid w:val="00CD5FE2"/>
    <w:rsid w:val="00CE1459"/>
    <w:rsid w:val="00CE797C"/>
    <w:rsid w:val="00CE7C68"/>
    <w:rsid w:val="00D02B4C"/>
    <w:rsid w:val="00D040C4"/>
    <w:rsid w:val="00D171BC"/>
    <w:rsid w:val="00D20AD1"/>
    <w:rsid w:val="00D30282"/>
    <w:rsid w:val="00D44C9A"/>
    <w:rsid w:val="00D46B7E"/>
    <w:rsid w:val="00D47E19"/>
    <w:rsid w:val="00D50064"/>
    <w:rsid w:val="00D57522"/>
    <w:rsid w:val="00D57C84"/>
    <w:rsid w:val="00D6057D"/>
    <w:rsid w:val="00D71640"/>
    <w:rsid w:val="00D75420"/>
    <w:rsid w:val="00D836C5"/>
    <w:rsid w:val="00D84576"/>
    <w:rsid w:val="00D94D0D"/>
    <w:rsid w:val="00D959B3"/>
    <w:rsid w:val="00DA1399"/>
    <w:rsid w:val="00DA24C6"/>
    <w:rsid w:val="00DA4D7B"/>
    <w:rsid w:val="00DB01A9"/>
    <w:rsid w:val="00DB73F2"/>
    <w:rsid w:val="00DD271C"/>
    <w:rsid w:val="00DE264A"/>
    <w:rsid w:val="00DE3D78"/>
    <w:rsid w:val="00DF5072"/>
    <w:rsid w:val="00E02D18"/>
    <w:rsid w:val="00E041E7"/>
    <w:rsid w:val="00E140E8"/>
    <w:rsid w:val="00E16B8A"/>
    <w:rsid w:val="00E23CA1"/>
    <w:rsid w:val="00E35623"/>
    <w:rsid w:val="00E409A8"/>
    <w:rsid w:val="00E50C12"/>
    <w:rsid w:val="00E542D6"/>
    <w:rsid w:val="00E65B91"/>
    <w:rsid w:val="00E7209D"/>
    <w:rsid w:val="00E72EAD"/>
    <w:rsid w:val="00E77223"/>
    <w:rsid w:val="00E80079"/>
    <w:rsid w:val="00E8528B"/>
    <w:rsid w:val="00E85B94"/>
    <w:rsid w:val="00E96EA3"/>
    <w:rsid w:val="00E978D0"/>
    <w:rsid w:val="00EA4613"/>
    <w:rsid w:val="00EA7F91"/>
    <w:rsid w:val="00EB1523"/>
    <w:rsid w:val="00EC0E49"/>
    <w:rsid w:val="00EC101F"/>
    <w:rsid w:val="00EC1D9F"/>
    <w:rsid w:val="00EE0131"/>
    <w:rsid w:val="00EE17B0"/>
    <w:rsid w:val="00EF06D9"/>
    <w:rsid w:val="00F3049E"/>
    <w:rsid w:val="00F30C64"/>
    <w:rsid w:val="00F32BA2"/>
    <w:rsid w:val="00F32CDB"/>
    <w:rsid w:val="00F40164"/>
    <w:rsid w:val="00F44870"/>
    <w:rsid w:val="00F5235E"/>
    <w:rsid w:val="00F565FE"/>
    <w:rsid w:val="00F63A70"/>
    <w:rsid w:val="00F63D8C"/>
    <w:rsid w:val="00F7534E"/>
    <w:rsid w:val="00F81CFE"/>
    <w:rsid w:val="00F92DCD"/>
    <w:rsid w:val="00F93EDF"/>
    <w:rsid w:val="00FA1802"/>
    <w:rsid w:val="00FA21D0"/>
    <w:rsid w:val="00FA294D"/>
    <w:rsid w:val="00FA5F5F"/>
    <w:rsid w:val="00FB0775"/>
    <w:rsid w:val="00FB5E04"/>
    <w:rsid w:val="00FB730C"/>
    <w:rsid w:val="00FC2695"/>
    <w:rsid w:val="00FC3E03"/>
    <w:rsid w:val="00FC3FC1"/>
    <w:rsid w:val="00FC78A4"/>
    <w:rsid w:val="00FF1932"/>
    <w:rsid w:val="00FF77D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Menzionenonrisolta">
    <w:name w:val="Unresolved Mention"/>
    <w:basedOn w:val="Carpredefinitoparagrafo"/>
    <w:uiPriority w:val="99"/>
    <w:semiHidden/>
    <w:unhideWhenUsed/>
    <w:rsid w:val="00D95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8398210">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feadc5-bc09-44b2-928a-ec994b8f3855">
      <Terms xmlns="http://schemas.microsoft.com/office/infopath/2007/PartnerControls"/>
    </lcf76f155ced4ddcb4097134ff3c332f>
    <TaxCatchAll xmlns="de85019f-04e1-4f7c-919e-2a63045bd3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AE600FCDD2BB4F8FEE825292886E9E" ma:contentTypeVersion="16" ma:contentTypeDescription="Create a new document." ma:contentTypeScope="" ma:versionID="c9fe52b7f7b7f682aa00d4a4b39d5d15">
  <xsd:schema xmlns:xsd="http://www.w3.org/2001/XMLSchema" xmlns:xs="http://www.w3.org/2001/XMLSchema" xmlns:p="http://schemas.microsoft.com/office/2006/metadata/properties" xmlns:ns2="9db0b9aa-fbd6-4224-8087-b47519e56762" xmlns:ns3="edfeadc5-bc09-44b2-928a-ec994b8f3855" xmlns:ns4="de85019f-04e1-4f7c-919e-2a63045bd3a6" targetNamespace="http://schemas.microsoft.com/office/2006/metadata/properties" ma:root="true" ma:fieldsID="d984f5e10ec101eeeba8abb4b96f6eb0" ns2:_="" ns3:_="" ns4:_="">
    <xsd:import namespace="9db0b9aa-fbd6-4224-8087-b47519e56762"/>
    <xsd:import namespace="edfeadc5-bc09-44b2-928a-ec994b8f3855"/>
    <xsd:import namespace="de85019f-04e1-4f7c-919e-2a63045bd3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0b9aa-fbd6-4224-8087-b47519e56762" elementFormDefault="qualified">
    <xsd:import namespace="http://schemas.microsoft.com/office/2006/documentManagement/types"/>
    <xsd:import namespace="http://schemas.microsoft.com/office/infopath/2007/PartnerControls"/>
    <xsd:element name="SharedWithUsers" ma:index="8" nillable="true" ma:displayName="Shared With"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feadc5-bc09-44b2-928a-ec994b8f385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3bf995-fbfa-44ea-8187-e0b9c3bf97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85019f-04e1-4f7c-919e-2a63045bd3a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e759327-60d1-4fd5-af6a-4bc822362c85}" ma:internalName="TaxCatchAll" ma:showField="CatchAllData" ma:web="23dce217-bda3-4327-bfeb-444b3b4738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2B4EB-F85B-428B-82AF-14B5FE9FF361}">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de85019f-04e1-4f7c-919e-2a63045bd3a6"/>
    <ds:schemaRef ds:uri="edfeadc5-bc09-44b2-928a-ec994b8f3855"/>
    <ds:schemaRef ds:uri="http://purl.org/dc/elements/1.1/"/>
    <ds:schemaRef ds:uri="http://schemas.microsoft.com/office/2006/metadata/properties"/>
    <ds:schemaRef ds:uri="9db0b9aa-fbd6-4224-8087-b47519e56762"/>
    <ds:schemaRef ds:uri="http://www.w3.org/XML/1998/namespace"/>
    <ds:schemaRef ds:uri="http://purl.org/dc/dcmitype/"/>
  </ds:schemaRefs>
</ds:datastoreItem>
</file>

<file path=customXml/itemProps2.xml><?xml version="1.0" encoding="utf-8"?>
<ds:datastoreItem xmlns:ds="http://schemas.openxmlformats.org/officeDocument/2006/customXml" ds:itemID="{B3F4A044-897F-42D1-9DEE-7D051E77B555}">
  <ds:schemaRefs>
    <ds:schemaRef ds:uri="http://schemas.microsoft.com/sharepoint/v3/contenttype/forms"/>
  </ds:schemaRefs>
</ds:datastoreItem>
</file>

<file path=customXml/itemProps3.xml><?xml version="1.0" encoding="utf-8"?>
<ds:datastoreItem xmlns:ds="http://schemas.openxmlformats.org/officeDocument/2006/customXml" ds:itemID="{ACB79EBF-D34C-4AF9-AB38-DD6AADACD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0b9aa-fbd6-4224-8087-b47519e56762"/>
    <ds:schemaRef ds:uri="edfeadc5-bc09-44b2-928a-ec994b8f3855"/>
    <ds:schemaRef ds:uri="de85019f-04e1-4f7c-919e-2a63045bd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6</Pages>
  <Words>3830</Words>
  <Characters>21837</Characters>
  <Application>Microsoft Office Word</Application>
  <DocSecurity>0</DocSecurity>
  <Lines>181</Lines>
  <Paragraphs>51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Sara PERELLI</cp:lastModifiedBy>
  <cp:revision>9</cp:revision>
  <cp:lastPrinted>2023-01-24T12:48:00Z</cp:lastPrinted>
  <dcterms:created xsi:type="dcterms:W3CDTF">2023-02-15T11:08:00Z</dcterms:created>
  <dcterms:modified xsi:type="dcterms:W3CDTF">2023-04-14T12:53:00Z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0x0101002EAE600FCDD2BB4F8FEE825292886E9E</vt:lpwstr>
  </property>
  <property fmtid="{D5CDD505-2E9C-101B-9397-08002B2CF9AE}" pid="5" name="MediaServiceImageTags">
    <vt:lpwstr/>
  </property>
</Properties>
</file>