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CO" w:eastAsia="es-CO"/>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s-CO" w:eastAsia="es-CO"/>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77777777" w:rsidR="00AA7D26" w:rsidRPr="00F93EDF" w:rsidRDefault="00AA7D26" w:rsidP="00AA7D26">
            <w:pPr>
              <w:ind w:left="-107"/>
              <w:outlineLvl w:val="2"/>
              <w:rPr>
                <w:rFonts w:ascii="Tahoma" w:hAnsi="Tahoma" w:cs="Tahoma"/>
                <w:bCs/>
                <w:color w:val="000000"/>
                <w:sz w:val="14"/>
                <w:szCs w:val="14"/>
                <w:lang w:eastAsia="it-IT"/>
              </w:rPr>
            </w:pPr>
            <w:r w:rsidRPr="00F93EDF">
              <w:rPr>
                <w:rFonts w:ascii="Tahoma" w:hAnsi="Tahoma" w:cs="Tahoma"/>
                <w:iCs/>
                <w:color w:val="333333"/>
                <w:sz w:val="14"/>
                <w:szCs w:val="14"/>
                <w:lang w:eastAsia="it-IT"/>
              </w:rPr>
              <w:t>Guest Editors:</w:t>
            </w:r>
            <w:r w:rsidRPr="00F93EDF">
              <w:rPr>
                <w:rFonts w:ascii="Tahoma" w:hAnsi="Tahoma" w:cs="Tahoma"/>
                <w:color w:val="000000"/>
                <w:sz w:val="14"/>
                <w:szCs w:val="14"/>
                <w:shd w:val="clear" w:color="auto" w:fill="FFFFFF"/>
              </w:rPr>
              <w:t xml:space="preserve"> </w:t>
            </w:r>
            <w:r w:rsidRPr="00293D18">
              <w:rPr>
                <w:rFonts w:ascii="Tahoma" w:hAnsi="Tahoma" w:cs="Tahoma"/>
                <w:sz w:val="14"/>
                <w:szCs w:val="14"/>
              </w:rPr>
              <w:t xml:space="preserve">Sauro Pierucci, </w:t>
            </w:r>
            <w:r w:rsidRPr="00293D18">
              <w:rPr>
                <w:rFonts w:ascii="Tahoma" w:hAnsi="Tahoma" w:cs="Tahoma"/>
                <w:sz w:val="14"/>
                <w:szCs w:val="14"/>
                <w:shd w:val="clear" w:color="auto" w:fill="FFFFFF"/>
              </w:rPr>
              <w:t>Jiří Jaromír Klemeš</w:t>
            </w:r>
          </w:p>
          <w:p w14:paraId="1B0F1814" w14:textId="650290B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Pr>
                <w:rFonts w:ascii="Tahoma" w:hAnsi="Tahoma" w:cs="Tahoma"/>
                <w:sz w:val="14"/>
                <w:szCs w:val="14"/>
              </w:rPr>
              <w:t>97</w:t>
            </w:r>
            <w:r>
              <w:rPr>
                <w:rFonts w:ascii="Tahoma" w:hAnsi="Tahoma" w:cs="Tahoma"/>
                <w:sz w:val="14"/>
                <w:szCs w:val="14"/>
              </w:rPr>
              <w:t>8</w:t>
            </w:r>
            <w:r w:rsidRPr="000562A9">
              <w:rPr>
                <w:rFonts w:ascii="Tahoma" w:hAnsi="Tahoma" w:cs="Tahoma"/>
                <w:sz w:val="14"/>
                <w:szCs w:val="14"/>
              </w:rPr>
              <w:t>-</w:t>
            </w:r>
            <w:r>
              <w:rPr>
                <w:rFonts w:ascii="Tahoma" w:hAnsi="Tahoma" w:cs="Tahoma"/>
                <w:sz w:val="14"/>
                <w:szCs w:val="14"/>
              </w:rPr>
              <w:t>88</w:t>
            </w:r>
            <w:r w:rsidRPr="000562A9">
              <w:rPr>
                <w:rFonts w:ascii="Tahoma" w:hAnsi="Tahoma" w:cs="Tahoma"/>
                <w:sz w:val="14"/>
                <w:szCs w:val="14"/>
              </w:rPr>
              <w:t>-</w:t>
            </w:r>
            <w:r>
              <w:rPr>
                <w:rFonts w:ascii="Tahoma" w:hAnsi="Tahoma" w:cs="Tahoma"/>
                <w:sz w:val="14"/>
                <w:szCs w:val="14"/>
              </w:rPr>
              <w:t>95608-98-3</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4D07182A" w:rsidR="00E978D0" w:rsidRPr="00B57B36" w:rsidRDefault="00A37800" w:rsidP="00E978D0">
      <w:pPr>
        <w:pStyle w:val="CETTitle"/>
      </w:pPr>
      <w:r w:rsidRPr="00A37800">
        <w:t xml:space="preserve">Sustainable </w:t>
      </w:r>
      <w:r>
        <w:t>D</w:t>
      </w:r>
      <w:r w:rsidRPr="00A37800">
        <w:t>esign of Microbiorefineries from Cassava and Rejected Banana Coupled with Renewable Energy in Colombia</w:t>
      </w:r>
    </w:p>
    <w:p w14:paraId="0488FED2" w14:textId="7798B308" w:rsidR="00B57E6F" w:rsidRPr="001C0055" w:rsidRDefault="00C103FA" w:rsidP="00B57E6F">
      <w:pPr>
        <w:pStyle w:val="CETAuthors"/>
        <w:rPr>
          <w:lang w:val="es-ES"/>
        </w:rPr>
      </w:pPr>
      <w:r w:rsidRPr="001C0055">
        <w:rPr>
          <w:lang w:val="es-ES"/>
        </w:rPr>
        <w:t>Jose Pertuz</w:t>
      </w:r>
      <w:r w:rsidR="00B57E6F" w:rsidRPr="001C0055">
        <w:rPr>
          <w:lang w:val="es-ES"/>
        </w:rPr>
        <w:t>,</w:t>
      </w:r>
      <w:r w:rsidRPr="001C0055">
        <w:rPr>
          <w:lang w:val="es-ES"/>
        </w:rPr>
        <w:t xml:space="preserve"> Eduardo Sánchez,</w:t>
      </w:r>
      <w:r w:rsidR="00B57E6F" w:rsidRPr="001C0055">
        <w:rPr>
          <w:lang w:val="es-ES"/>
        </w:rPr>
        <w:t xml:space="preserve"> </w:t>
      </w:r>
      <w:r w:rsidRPr="001C0055">
        <w:rPr>
          <w:lang w:val="es-ES"/>
        </w:rPr>
        <w:t>Karina</w:t>
      </w:r>
      <w:r w:rsidR="00B57E6F" w:rsidRPr="001C0055">
        <w:rPr>
          <w:lang w:val="es-ES"/>
        </w:rPr>
        <w:t xml:space="preserve"> </w:t>
      </w:r>
      <w:r w:rsidRPr="001C0055">
        <w:rPr>
          <w:lang w:val="es-ES"/>
        </w:rPr>
        <w:t>Ojeda</w:t>
      </w:r>
      <w:r w:rsidR="00B57E6F" w:rsidRPr="001C0055">
        <w:rPr>
          <w:lang w:val="es-ES"/>
        </w:rPr>
        <w:t>*</w:t>
      </w:r>
    </w:p>
    <w:p w14:paraId="6B2D21B3" w14:textId="003C5745" w:rsidR="00B57E6F" w:rsidRPr="00C103FA" w:rsidRDefault="00C103FA" w:rsidP="00B57E6F">
      <w:pPr>
        <w:pStyle w:val="CETAddress"/>
      </w:pPr>
      <w:r w:rsidRPr="00C103FA">
        <w:t>Process Design and Biomass Utilization Research Group (IDAB), Chemical Engineering Department, University of Cartagena, Cartagena, Bolivar, Colombia</w:t>
      </w:r>
      <w:r>
        <w:t>.</w:t>
      </w:r>
    </w:p>
    <w:p w14:paraId="73F1267A" w14:textId="55A39949" w:rsidR="00B57E6F" w:rsidRPr="00B57B36" w:rsidRDefault="00C103FA" w:rsidP="00B57E6F">
      <w:pPr>
        <w:pStyle w:val="CETemail"/>
      </w:pPr>
      <w:r w:rsidRPr="00C103FA">
        <w:t>kojedad@unicartagena.edu.co</w:t>
      </w:r>
    </w:p>
    <w:p w14:paraId="245E9D5C" w14:textId="1056CEAD" w:rsidR="00A37800" w:rsidRPr="00B57B36" w:rsidRDefault="00A37800" w:rsidP="00F42646">
      <w:pPr>
        <w:pStyle w:val="CETBodytext"/>
        <w:rPr>
          <w:lang w:val="en-GB"/>
        </w:rPr>
      </w:pPr>
      <w:bookmarkStart w:id="0" w:name="_Hlk495475023"/>
      <w:r w:rsidRPr="00A37800">
        <w:rPr>
          <w:lang w:val="en-GB"/>
        </w:rPr>
        <w:t xml:space="preserve">Interest </w:t>
      </w:r>
      <w:r w:rsidR="003A25DA" w:rsidRPr="003A25DA">
        <w:rPr>
          <w:lang w:val="en-GB"/>
        </w:rPr>
        <w:t>in decentralized small-scale biorefining has increased due to the economical, ecological, and social benefits that these alternative business mod</w:t>
      </w:r>
      <w:r w:rsidR="00A04E86">
        <w:rPr>
          <w:lang w:val="en-GB"/>
        </w:rPr>
        <w:t>els</w:t>
      </w:r>
      <w:r w:rsidR="003A25DA" w:rsidRPr="003A25DA">
        <w:rPr>
          <w:lang w:val="en-GB"/>
        </w:rPr>
        <w:t xml:space="preserve"> possibly bring, especially to developing countries. In this research, two microbiorefineries were conceptually designed in the context of the Colombian Caribbean region. One from cassava produces several products such as cassava starch, calcium citrate, and biogas. The other uses rejected bananas to obtain green banana flour, calcium lactate, and glucose syrup. Design rules for small-scale biorefinery processes developed by previous authors were considered and supported on simulations, literature data, local raw material costs, and equipment quotes to determine the minimum processing scale for economic feasibility (MPSEF) for each case. Aspen Plus® software was used for the simulations in tandem with MATLAB for the calculation of the MPSEF. Values of 4.2 and 22.4 t/day were found for the cassava and rejected banana biorefineries respectively. Applying the WAste Reduction algorithm (WAR), generated potential environmental impacts (PEI) values of -13.1 and -9.4 PEI/h for cassava and rejected banana were obtained, suggesting that these process topologies have an environmentally friendly performance. In addition, an economic evaluation of an energy supply system assisted by solar energy was carried out, based on a non-linear programming optimization model solved with LINGO® software, finding that economic performance in terms of IRR is reduced by 24.9% when solar collectors provide 60% of the energy requirements.</w:t>
      </w:r>
    </w:p>
    <w:bookmarkEnd w:id="0"/>
    <w:p w14:paraId="476B2F2E" w14:textId="77777777" w:rsidR="00600535" w:rsidRPr="00B57B36" w:rsidRDefault="00600535" w:rsidP="00600535">
      <w:pPr>
        <w:pStyle w:val="CETHeading1"/>
        <w:rPr>
          <w:lang w:val="en-GB"/>
        </w:rPr>
      </w:pPr>
      <w:r w:rsidRPr="00B57B36">
        <w:rPr>
          <w:lang w:val="en-GB"/>
        </w:rPr>
        <w:t>Introduction</w:t>
      </w:r>
    </w:p>
    <w:p w14:paraId="47E6B616" w14:textId="2F0F70CB" w:rsidR="00682C01" w:rsidRDefault="00665632" w:rsidP="007C30CC">
      <w:pPr>
        <w:pStyle w:val="CETBodytext"/>
      </w:pPr>
      <w:r w:rsidRPr="00760EB3">
        <w:t>Over</w:t>
      </w:r>
      <w:r w:rsidR="007C30CC" w:rsidRPr="00760EB3">
        <w:t xml:space="preserve"> the last decade, research and experimental prototypes for the development of small-scale biorefineries </w:t>
      </w:r>
      <w:r w:rsidR="00212284" w:rsidRPr="00760EB3">
        <w:t xml:space="preserve">have </w:t>
      </w:r>
      <w:r w:rsidR="007C30CC" w:rsidRPr="00760EB3">
        <w:t>beg</w:t>
      </w:r>
      <w:r w:rsidR="00212284" w:rsidRPr="00760EB3">
        <w:t>u</w:t>
      </w:r>
      <w:r w:rsidR="007C30CC" w:rsidRPr="00760EB3">
        <w:t xml:space="preserve">n to emerge </w:t>
      </w:r>
      <w:r w:rsidR="00212284" w:rsidRPr="00760EB3">
        <w:t>with the aspiration to</w:t>
      </w:r>
      <w:r w:rsidR="007C30CC" w:rsidRPr="00760EB3">
        <w:t xml:space="preserve"> promote </w:t>
      </w:r>
      <w:r w:rsidR="003A25DA">
        <w:t xml:space="preserve">a </w:t>
      </w:r>
      <w:r w:rsidR="007C30CC" w:rsidRPr="00760EB3">
        <w:t>circular economy and take advantage of the benefits generated by small-scale processing of biomass</w:t>
      </w:r>
      <w:r w:rsidR="00212284" w:rsidRPr="00760EB3">
        <w:t xml:space="preserve"> in the agricultural sector</w:t>
      </w:r>
      <w:r w:rsidR="007C30CC" w:rsidRPr="00760EB3">
        <w:t xml:space="preserve">. </w:t>
      </w:r>
      <w:r w:rsidR="00CE28AF" w:rsidRPr="00760EB3">
        <w:t>R</w:t>
      </w:r>
      <w:r w:rsidR="007C30CC" w:rsidRPr="00760EB3">
        <w:t>aw material</w:t>
      </w:r>
      <w:r w:rsidR="00372EDF" w:rsidRPr="00760EB3">
        <w:t xml:space="preserve"> </w:t>
      </w:r>
      <w:r w:rsidR="00CE28AF" w:rsidRPr="00760EB3">
        <w:t>transportation costs</w:t>
      </w:r>
      <w:r w:rsidR="007C30CC" w:rsidRPr="00760EB3">
        <w:t xml:space="preserve"> are greatly reduced with the local processing of biomass, where by-products are also used for applications such as fertilization and soil adaptation</w:t>
      </w:r>
      <w:r w:rsidR="00682C01">
        <w:rPr>
          <w:lang w:val="en-GB"/>
        </w:rPr>
        <w:t xml:space="preserve"> </w:t>
      </w:r>
      <w:r w:rsidR="007C30CC" w:rsidRPr="00760EB3">
        <w:t>(Bruins</w:t>
      </w:r>
      <w:r w:rsidR="00B31ACD">
        <w:t xml:space="preserve"> and </w:t>
      </w:r>
      <w:r w:rsidR="007C30CC" w:rsidRPr="00760EB3">
        <w:t>Sanders, 2012</w:t>
      </w:r>
      <w:r w:rsidR="00087EEC" w:rsidRPr="00760EB3">
        <w:t xml:space="preserve">). </w:t>
      </w:r>
    </w:p>
    <w:p w14:paraId="4BF89E6E" w14:textId="65BEB8CD" w:rsidR="00486CF2" w:rsidRDefault="00087EEC" w:rsidP="007C30CC">
      <w:pPr>
        <w:pStyle w:val="CETBodytext"/>
        <w:rPr>
          <w:lang w:val="en-GB"/>
        </w:rPr>
      </w:pPr>
      <w:r w:rsidRPr="00A84958">
        <w:t>The</w:t>
      </w:r>
      <w:r w:rsidR="00A82097" w:rsidRPr="00A84958">
        <w:t xml:space="preserve"> term</w:t>
      </w:r>
      <w:r w:rsidR="00A82097">
        <w:rPr>
          <w:lang w:val="en-GB"/>
        </w:rPr>
        <w:t xml:space="preserve"> microbiorefinery</w:t>
      </w:r>
      <w:r w:rsidR="004D2DE7">
        <w:rPr>
          <w:lang w:val="en-GB"/>
        </w:rPr>
        <w:t xml:space="preserve"> (MBR)</w:t>
      </w:r>
      <w:r w:rsidR="00A82097">
        <w:rPr>
          <w:lang w:val="en-GB"/>
        </w:rPr>
        <w:t xml:space="preserve"> has originated in this work </w:t>
      </w:r>
      <w:r w:rsidR="002B3105">
        <w:rPr>
          <w:lang w:val="en-GB"/>
        </w:rPr>
        <w:t>by drawing</w:t>
      </w:r>
      <w:r w:rsidR="00A82097">
        <w:rPr>
          <w:lang w:val="en-GB"/>
        </w:rPr>
        <w:t xml:space="preserve"> a parallel </w:t>
      </w:r>
      <w:r w:rsidR="002B3105">
        <w:rPr>
          <w:lang w:val="en-GB"/>
        </w:rPr>
        <w:t>between the biorefinery concept and the</w:t>
      </w:r>
      <w:r w:rsidR="00A82097">
        <w:rPr>
          <w:lang w:val="en-GB"/>
        </w:rPr>
        <w:t xml:space="preserve"> craft beer plants known as microbreweries, which </w:t>
      </w:r>
      <w:r w:rsidR="00A82097" w:rsidRPr="001C3868">
        <w:rPr>
          <w:lang w:val="en-GB"/>
        </w:rPr>
        <w:t xml:space="preserve">usually have a production capacity of </w:t>
      </w:r>
      <w:r w:rsidR="005225CA">
        <w:rPr>
          <w:lang w:val="en-GB"/>
        </w:rPr>
        <w:t>about</w:t>
      </w:r>
      <w:r w:rsidR="00A82097" w:rsidRPr="001C3868">
        <w:rPr>
          <w:lang w:val="en-GB"/>
        </w:rPr>
        <w:t xml:space="preserve"> 10% of a </w:t>
      </w:r>
      <w:r w:rsidR="003A25DA">
        <w:rPr>
          <w:lang w:val="en-GB"/>
        </w:rPr>
        <w:t>commercial-size</w:t>
      </w:r>
      <w:r w:rsidR="00A82097" w:rsidRPr="001C3868">
        <w:rPr>
          <w:lang w:val="en-GB"/>
        </w:rPr>
        <w:t xml:space="preserve"> brewery</w:t>
      </w:r>
      <w:r w:rsidR="00A82097">
        <w:rPr>
          <w:lang w:val="en-GB"/>
        </w:rPr>
        <w:t xml:space="preserve">. </w:t>
      </w:r>
      <w:r w:rsidR="00521F80">
        <w:rPr>
          <w:lang w:val="en-GB"/>
        </w:rPr>
        <w:t>I</w:t>
      </w:r>
      <w:r w:rsidR="0092753F">
        <w:rPr>
          <w:lang w:val="en-GB"/>
        </w:rPr>
        <w:t>t is still</w:t>
      </w:r>
      <w:r w:rsidR="00FE18D7">
        <w:rPr>
          <w:lang w:val="en-GB"/>
        </w:rPr>
        <w:t xml:space="preserve"> </w:t>
      </w:r>
      <w:r w:rsidR="009C6C1B">
        <w:rPr>
          <w:lang w:val="en-GB"/>
        </w:rPr>
        <w:t xml:space="preserve">difficult to define </w:t>
      </w:r>
      <w:r w:rsidR="00835B74">
        <w:rPr>
          <w:lang w:val="en-GB"/>
        </w:rPr>
        <w:t>“</w:t>
      </w:r>
      <w:r w:rsidR="009C6C1B">
        <w:rPr>
          <w:lang w:val="en-GB"/>
        </w:rPr>
        <w:t>small-scale</w:t>
      </w:r>
      <w:r w:rsidR="00835B74">
        <w:rPr>
          <w:lang w:val="en-GB"/>
        </w:rPr>
        <w:t>”</w:t>
      </w:r>
      <w:r w:rsidR="009C6C1B">
        <w:rPr>
          <w:lang w:val="en-GB"/>
        </w:rPr>
        <w:t xml:space="preserve"> </w:t>
      </w:r>
      <w:r w:rsidR="00FE18D7">
        <w:rPr>
          <w:lang w:val="en-GB"/>
        </w:rPr>
        <w:t xml:space="preserve">as </w:t>
      </w:r>
      <w:r w:rsidR="009C6C1B">
        <w:rPr>
          <w:lang w:val="en-GB"/>
        </w:rPr>
        <w:t>this depends on the type of process, products</w:t>
      </w:r>
      <w:r w:rsidR="003A25DA">
        <w:rPr>
          <w:lang w:val="en-GB"/>
        </w:rPr>
        <w:t>,</w:t>
      </w:r>
      <w:r w:rsidR="009C6C1B">
        <w:rPr>
          <w:lang w:val="en-GB"/>
        </w:rPr>
        <w:t xml:space="preserve"> or feedstock</w:t>
      </w:r>
      <w:r w:rsidR="00833C17">
        <w:rPr>
          <w:lang w:val="en-GB"/>
        </w:rPr>
        <w:t>. A</w:t>
      </w:r>
      <w:r w:rsidR="00534AA6">
        <w:rPr>
          <w:lang w:val="en-GB"/>
        </w:rPr>
        <w:t xml:space="preserve"> useful parameter is</w:t>
      </w:r>
      <w:r w:rsidR="00791A5D">
        <w:rPr>
          <w:lang w:val="en-GB"/>
        </w:rPr>
        <w:t xml:space="preserve"> the </w:t>
      </w:r>
      <w:r w:rsidR="00AA2470">
        <w:rPr>
          <w:lang w:val="en-GB"/>
        </w:rPr>
        <w:t>“</w:t>
      </w:r>
      <w:r w:rsidR="00791A5D">
        <w:rPr>
          <w:lang w:val="en-GB"/>
        </w:rPr>
        <w:t>minimum processing scale for economic feasibility</w:t>
      </w:r>
      <w:r w:rsidR="00AA2470">
        <w:rPr>
          <w:lang w:val="en-GB"/>
        </w:rPr>
        <w:t>”</w:t>
      </w:r>
      <w:r w:rsidR="00791A5D">
        <w:rPr>
          <w:lang w:val="en-GB"/>
        </w:rPr>
        <w:t xml:space="preserve"> (MPSEF), </w:t>
      </w:r>
      <w:r w:rsidR="00534AA6">
        <w:rPr>
          <w:lang w:val="en-GB"/>
        </w:rPr>
        <w:t xml:space="preserve">defined in the work of </w:t>
      </w:r>
      <w:r w:rsidR="00EB33ED">
        <w:rPr>
          <w:lang w:val="en-GB"/>
        </w:rPr>
        <w:t>Serna</w:t>
      </w:r>
      <w:r w:rsidR="00B31ACD">
        <w:rPr>
          <w:lang w:val="en-GB"/>
        </w:rPr>
        <w:t>-Loaiza et al.</w:t>
      </w:r>
      <w:r w:rsidR="00EB33ED">
        <w:rPr>
          <w:lang w:val="en-GB"/>
        </w:rPr>
        <w:t xml:space="preserve"> (201</w:t>
      </w:r>
      <w:r w:rsidR="00B31ACD">
        <w:rPr>
          <w:lang w:val="en-GB"/>
        </w:rPr>
        <w:t>8</w:t>
      </w:r>
      <w:r w:rsidR="00EB33ED">
        <w:rPr>
          <w:lang w:val="en-GB"/>
        </w:rPr>
        <w:t xml:space="preserve">), </w:t>
      </w:r>
      <w:r w:rsidR="00665632">
        <w:rPr>
          <w:lang w:val="en-GB"/>
        </w:rPr>
        <w:t>which</w:t>
      </w:r>
      <w:r w:rsidR="00791A5D">
        <w:rPr>
          <w:lang w:val="en-GB"/>
        </w:rPr>
        <w:t xml:space="preserve"> is the scale at which the net present value of the plant is zero at the end of its lifetime, </w:t>
      </w:r>
      <w:r w:rsidR="00EB33ED">
        <w:rPr>
          <w:lang w:val="en-GB"/>
        </w:rPr>
        <w:t>meaning</w:t>
      </w:r>
      <w:r w:rsidR="00791A5D">
        <w:rPr>
          <w:lang w:val="en-GB"/>
        </w:rPr>
        <w:t xml:space="preserve"> that above this scale the plan</w:t>
      </w:r>
      <w:r w:rsidR="00EB33ED">
        <w:rPr>
          <w:lang w:val="en-GB"/>
        </w:rPr>
        <w:t>t</w:t>
      </w:r>
      <w:r w:rsidR="00791A5D">
        <w:rPr>
          <w:lang w:val="en-GB"/>
        </w:rPr>
        <w:t xml:space="preserve"> could be profitable.</w:t>
      </w:r>
    </w:p>
    <w:p w14:paraId="405E5194" w14:textId="219332CC" w:rsidR="0087192D" w:rsidRDefault="00906CE4" w:rsidP="007C30CC">
      <w:pPr>
        <w:pStyle w:val="CETBodytext"/>
        <w:rPr>
          <w:lang w:val="en-GB"/>
        </w:rPr>
      </w:pPr>
      <w:r>
        <w:rPr>
          <w:lang w:val="en-GB"/>
        </w:rPr>
        <w:t xml:space="preserve">Integration </w:t>
      </w:r>
      <w:r w:rsidR="003A25DA">
        <w:rPr>
          <w:lang w:val="en-GB"/>
        </w:rPr>
        <w:t>into</w:t>
      </w:r>
      <w:r>
        <w:rPr>
          <w:lang w:val="en-GB"/>
        </w:rPr>
        <w:t xml:space="preserve"> renewable energy sources for microbiorefineries could be important because </w:t>
      </w:r>
      <w:r w:rsidR="00406ABE">
        <w:rPr>
          <w:lang w:val="en-GB"/>
        </w:rPr>
        <w:t>most of the rural zone</w:t>
      </w:r>
      <w:r w:rsidR="00F83DF9">
        <w:rPr>
          <w:lang w:val="en-GB"/>
        </w:rPr>
        <w:t>s</w:t>
      </w:r>
      <w:r w:rsidR="00406ABE">
        <w:rPr>
          <w:lang w:val="en-GB"/>
        </w:rPr>
        <w:t xml:space="preserve">, which contain the agricultural hubs, in </w:t>
      </w:r>
      <w:r w:rsidR="00F83DF9">
        <w:rPr>
          <w:lang w:val="en-GB"/>
        </w:rPr>
        <w:t>Colombia</w:t>
      </w:r>
      <w:r w:rsidR="00406ABE">
        <w:rPr>
          <w:lang w:val="en-GB"/>
        </w:rPr>
        <w:t xml:space="preserve"> are not connected to the national electric energy grid, and use mostly fossil fuels for power generation. </w:t>
      </w:r>
      <w:r w:rsidR="0092753F">
        <w:rPr>
          <w:lang w:val="en-GB"/>
        </w:rPr>
        <w:t>Over the last decade</w:t>
      </w:r>
      <w:r w:rsidR="003A25DA">
        <w:rPr>
          <w:lang w:val="en-GB"/>
        </w:rPr>
        <w:t>,</w:t>
      </w:r>
      <w:r w:rsidR="0092753F">
        <w:rPr>
          <w:lang w:val="en-GB"/>
        </w:rPr>
        <w:t xml:space="preserve"> there </w:t>
      </w:r>
      <w:r w:rsidR="003A25DA">
        <w:rPr>
          <w:lang w:val="en-GB"/>
        </w:rPr>
        <w:t>have</w:t>
      </w:r>
      <w:r w:rsidR="0092753F">
        <w:rPr>
          <w:lang w:val="en-GB"/>
        </w:rPr>
        <w:t xml:space="preserve"> been several research </w:t>
      </w:r>
      <w:r w:rsidR="0072373E">
        <w:rPr>
          <w:lang w:val="en-GB"/>
        </w:rPr>
        <w:t xml:space="preserve">works </w:t>
      </w:r>
      <w:r w:rsidR="003A25DA">
        <w:rPr>
          <w:lang w:val="en-GB"/>
        </w:rPr>
        <w:t>in</w:t>
      </w:r>
      <w:r w:rsidR="0092753F">
        <w:rPr>
          <w:lang w:val="en-GB"/>
        </w:rPr>
        <w:t xml:space="preserve"> this area, for example, </w:t>
      </w:r>
      <w:r w:rsidR="00C54662">
        <w:rPr>
          <w:lang w:val="en-GB"/>
        </w:rPr>
        <w:t>Tora and El-Halwagi (2010), proposed a method to calculate the solar power contribution of an integrated system minimizing the total annualized cost of the plant.</w:t>
      </w:r>
    </w:p>
    <w:p w14:paraId="47A958B9" w14:textId="000976E6" w:rsidR="007C768A" w:rsidRDefault="007B286B" w:rsidP="007C30CC">
      <w:pPr>
        <w:pStyle w:val="CETBodytext"/>
        <w:rPr>
          <w:lang w:val="en-GB"/>
        </w:rPr>
      </w:pPr>
      <w:r>
        <w:rPr>
          <w:lang w:val="en-GB"/>
        </w:rPr>
        <w:t xml:space="preserve">The aim of this work is to conceptually design and assess </w:t>
      </w:r>
      <w:r w:rsidR="00C54662">
        <w:rPr>
          <w:lang w:val="en-GB"/>
        </w:rPr>
        <w:t>two microbiorefiner</w:t>
      </w:r>
      <w:r w:rsidR="00CA6A10">
        <w:rPr>
          <w:lang w:val="en-GB"/>
        </w:rPr>
        <w:t>ies</w:t>
      </w:r>
      <w:r w:rsidR="00C54662">
        <w:rPr>
          <w:lang w:val="en-GB"/>
        </w:rPr>
        <w:t>, one using cassava as raw material to produce starc</w:t>
      </w:r>
      <w:r w:rsidR="00C54662" w:rsidRPr="00A37800">
        <w:rPr>
          <w:lang w:val="en-GB"/>
        </w:rPr>
        <w:t>h, calcium citrate, and biogas</w:t>
      </w:r>
      <w:r w:rsidR="00C54662">
        <w:rPr>
          <w:lang w:val="en-GB"/>
        </w:rPr>
        <w:t xml:space="preserve">, and the </w:t>
      </w:r>
      <w:r w:rsidR="00C54662" w:rsidRPr="00A37800">
        <w:rPr>
          <w:lang w:val="en-GB"/>
        </w:rPr>
        <w:t>other</w:t>
      </w:r>
      <w:r w:rsidR="00C54662">
        <w:rPr>
          <w:lang w:val="en-GB"/>
        </w:rPr>
        <w:t xml:space="preserve"> using </w:t>
      </w:r>
      <w:r w:rsidR="00C54662" w:rsidRPr="00A37800">
        <w:rPr>
          <w:lang w:val="en-GB"/>
        </w:rPr>
        <w:t xml:space="preserve">rejected </w:t>
      </w:r>
      <w:r w:rsidR="003A25DA">
        <w:rPr>
          <w:lang w:val="en-GB"/>
        </w:rPr>
        <w:t>bananas</w:t>
      </w:r>
      <w:r w:rsidR="00C54662" w:rsidRPr="00A37800">
        <w:rPr>
          <w:lang w:val="en-GB"/>
        </w:rPr>
        <w:t xml:space="preserve"> to obtain green banana flour, calcium lactate</w:t>
      </w:r>
      <w:r w:rsidR="003A25DA">
        <w:rPr>
          <w:lang w:val="en-GB"/>
        </w:rPr>
        <w:t>,</w:t>
      </w:r>
      <w:r w:rsidR="00C54662" w:rsidRPr="00A37800">
        <w:rPr>
          <w:lang w:val="en-GB"/>
        </w:rPr>
        <w:t xml:space="preserve"> and glucose syrup</w:t>
      </w:r>
      <w:r w:rsidR="00F04AB6">
        <w:rPr>
          <w:lang w:val="en-GB"/>
        </w:rPr>
        <w:t xml:space="preserve">. Additionally, integration to solar power </w:t>
      </w:r>
      <w:r w:rsidR="007C4479">
        <w:rPr>
          <w:lang w:val="en-GB"/>
        </w:rPr>
        <w:t xml:space="preserve">in the Colombian Caribbean region </w:t>
      </w:r>
      <w:r w:rsidR="00F04AB6">
        <w:rPr>
          <w:lang w:val="en-GB"/>
        </w:rPr>
        <w:t xml:space="preserve">is </w:t>
      </w:r>
      <w:r w:rsidR="00085710">
        <w:rPr>
          <w:lang w:val="en-GB"/>
        </w:rPr>
        <w:t>analyz</w:t>
      </w:r>
      <w:r>
        <w:rPr>
          <w:lang w:val="en-GB"/>
        </w:rPr>
        <w:t>ed to assess its technical and economic feasibility.</w:t>
      </w:r>
      <w:r w:rsidR="00F04AB6">
        <w:rPr>
          <w:lang w:val="en-GB"/>
        </w:rPr>
        <w:t xml:space="preserve">  </w:t>
      </w:r>
    </w:p>
    <w:p w14:paraId="5741900F" w14:textId="6B3AEAB2" w:rsidR="00453E24" w:rsidRDefault="00C707EE" w:rsidP="00453E24">
      <w:pPr>
        <w:pStyle w:val="CETHeading1"/>
      </w:pPr>
      <w:r>
        <w:lastRenderedPageBreak/>
        <w:t>Methods</w:t>
      </w:r>
    </w:p>
    <w:p w14:paraId="2B1B99CA" w14:textId="093FF61C" w:rsidR="00F7614D" w:rsidRDefault="00083C40" w:rsidP="00453E24">
      <w:pPr>
        <w:pStyle w:val="CETBodytext"/>
        <w:rPr>
          <w:lang w:val="en-GB"/>
        </w:rPr>
      </w:pPr>
      <w:r w:rsidRPr="00FF3A24">
        <w:t>Cassava and banana are the crops with the highest production in the Colombian Caribbean region</w:t>
      </w:r>
      <w:r w:rsidR="00F67DB4">
        <w:t xml:space="preserve">, </w:t>
      </w:r>
      <w:r w:rsidR="003A25DA">
        <w:t xml:space="preserve">with </w:t>
      </w:r>
      <w:r w:rsidR="00FF3A24" w:rsidRPr="001C0055">
        <w:t>1</w:t>
      </w:r>
      <w:r w:rsidR="003972E4" w:rsidRPr="001C0055">
        <w:t>,</w:t>
      </w:r>
      <w:r w:rsidR="00FF3A24" w:rsidRPr="001C0055">
        <w:t>003</w:t>
      </w:r>
      <w:r w:rsidR="003972E4" w:rsidRPr="001C0055">
        <w:t>,</w:t>
      </w:r>
      <w:r w:rsidR="00FF3A24" w:rsidRPr="001C0055">
        <w:t>969</w:t>
      </w:r>
      <w:r w:rsidR="00FF3A24" w:rsidRPr="00FF3A24">
        <w:t xml:space="preserve"> and </w:t>
      </w:r>
      <w:r w:rsidR="00FF3A24" w:rsidRPr="001C0055">
        <w:t>596</w:t>
      </w:r>
      <w:r w:rsidR="003972E4" w:rsidRPr="001C0055">
        <w:t>,</w:t>
      </w:r>
      <w:r w:rsidR="00FF3A24" w:rsidRPr="001C0055">
        <w:t>239</w:t>
      </w:r>
      <w:r w:rsidR="00FF3A24" w:rsidRPr="00FF3A24">
        <w:t xml:space="preserve"> </w:t>
      </w:r>
      <w:r w:rsidR="008C5A94" w:rsidRPr="00FF3A24">
        <w:t>tons</w:t>
      </w:r>
      <w:r w:rsidR="00FF3A24" w:rsidRPr="00FF3A24">
        <w:t xml:space="preserve"> per year in 2020 respectively</w:t>
      </w:r>
      <w:r w:rsidR="00F67DB4">
        <w:t xml:space="preserve"> (</w:t>
      </w:r>
      <w:r w:rsidR="00087EEC">
        <w:t>Ministry of Agriculture</w:t>
      </w:r>
      <w:r w:rsidR="00F67DB4">
        <w:t>, 2020)</w:t>
      </w:r>
      <w:r w:rsidRPr="00FF3A24">
        <w:t>.</w:t>
      </w:r>
      <w:r w:rsidRPr="00083C40">
        <w:t xml:space="preserve"> For this reason, the</w:t>
      </w:r>
      <w:r>
        <w:t>y were selected for the</w:t>
      </w:r>
      <w:r w:rsidRPr="00083C40">
        <w:t xml:space="preserve"> design of small-scale biorefineries </w:t>
      </w:r>
      <w:r>
        <w:t>in this study</w:t>
      </w:r>
      <w:r w:rsidRPr="00A84958">
        <w:t xml:space="preserve">. </w:t>
      </w:r>
      <w:r w:rsidR="00E61CC4" w:rsidRPr="00A84958">
        <w:t xml:space="preserve">Rejected banana is </w:t>
      </w:r>
      <w:r w:rsidR="0034391B" w:rsidRPr="00A84958">
        <w:t>the name given to the</w:t>
      </w:r>
      <w:r w:rsidR="00E61CC4" w:rsidRPr="00A84958">
        <w:t xml:space="preserve"> fraction of banana crops that do not meet</w:t>
      </w:r>
      <w:r w:rsidR="00B416F6" w:rsidRPr="00A84958">
        <w:t xml:space="preserve"> export </w:t>
      </w:r>
      <w:r w:rsidR="00E61CC4" w:rsidRPr="00A84958">
        <w:t>specifications</w:t>
      </w:r>
      <w:r w:rsidR="00F67DB4" w:rsidRPr="00A84958">
        <w:t>,</w:t>
      </w:r>
      <w:r w:rsidR="00FF3A24" w:rsidRPr="00A84958">
        <w:t xml:space="preserve"> </w:t>
      </w:r>
      <w:r w:rsidR="00F67DB4" w:rsidRPr="00A84958">
        <w:t xml:space="preserve">thus approximately </w:t>
      </w:r>
      <w:r w:rsidR="003A25DA">
        <w:t>one-third</w:t>
      </w:r>
      <w:r w:rsidR="00F67DB4" w:rsidRPr="00A84958">
        <w:t xml:space="preserve"> of this banana is considered waste, which is often disposed of in sanitary landfills generating contamination</w:t>
      </w:r>
      <w:r w:rsidR="00FF3A24" w:rsidRPr="00A84958">
        <w:t>.</w:t>
      </w:r>
      <w:r w:rsidR="004669A0" w:rsidRPr="00A84958">
        <w:t xml:space="preserve"> </w:t>
      </w:r>
      <w:r w:rsidR="00682C01">
        <w:t>Considering the</w:t>
      </w:r>
      <w:r w:rsidR="00F7614D" w:rsidRPr="00083C40">
        <w:t xml:space="preserve"> design rules mentioned in </w:t>
      </w:r>
      <w:r w:rsidR="00F7614D" w:rsidRPr="007C30CC">
        <w:rPr>
          <w:lang w:val="en-GB"/>
        </w:rPr>
        <w:t xml:space="preserve">Bruins </w:t>
      </w:r>
      <w:r w:rsidR="00323A55">
        <w:rPr>
          <w:lang w:val="en-GB"/>
        </w:rPr>
        <w:t>and</w:t>
      </w:r>
      <w:r w:rsidR="00F7614D" w:rsidRPr="007C30CC">
        <w:rPr>
          <w:lang w:val="en-GB"/>
        </w:rPr>
        <w:t xml:space="preserve"> Sanders </w:t>
      </w:r>
      <w:r w:rsidR="00F7614D">
        <w:rPr>
          <w:lang w:val="en-GB"/>
        </w:rPr>
        <w:t>(</w:t>
      </w:r>
      <w:r w:rsidR="00F7614D" w:rsidRPr="007C30CC">
        <w:rPr>
          <w:lang w:val="en-GB"/>
        </w:rPr>
        <w:t>2012</w:t>
      </w:r>
      <w:r w:rsidR="00F7614D">
        <w:rPr>
          <w:lang w:val="en-GB"/>
        </w:rPr>
        <w:t xml:space="preserve">), products with </w:t>
      </w:r>
      <w:r w:rsidR="00F7614D" w:rsidRPr="00330D98">
        <w:rPr>
          <w:lang w:val="en-GB"/>
        </w:rPr>
        <w:t>proven</w:t>
      </w:r>
      <w:r w:rsidR="00F7614D">
        <w:rPr>
          <w:lang w:val="en-GB"/>
        </w:rPr>
        <w:t xml:space="preserve"> economic</w:t>
      </w:r>
      <w:r w:rsidR="00F7614D" w:rsidRPr="00330D98">
        <w:rPr>
          <w:lang w:val="en-GB"/>
        </w:rPr>
        <w:t xml:space="preserve"> feasibility for small-scale production</w:t>
      </w:r>
      <w:r w:rsidR="00F7614D">
        <w:rPr>
          <w:lang w:val="en-GB"/>
        </w:rPr>
        <w:t xml:space="preserve"> and that come from primary biomass</w:t>
      </w:r>
      <w:r w:rsidR="00F7614D" w:rsidRPr="00330D98">
        <w:rPr>
          <w:lang w:val="en-GB"/>
        </w:rPr>
        <w:t>, such as cassava</w:t>
      </w:r>
      <w:r w:rsidR="00F7614D">
        <w:rPr>
          <w:lang w:val="en-GB"/>
        </w:rPr>
        <w:t xml:space="preserve"> starch and banana flour were selected. </w:t>
      </w:r>
    </w:p>
    <w:p w14:paraId="2B74E723" w14:textId="508CF0F8" w:rsidR="00C449B0" w:rsidRDefault="00C449B0" w:rsidP="00453E24">
      <w:pPr>
        <w:pStyle w:val="CETBodytext"/>
      </w:pPr>
      <w:r w:rsidRPr="00A84958">
        <w:rPr>
          <w:lang w:val="en-GB"/>
        </w:rPr>
        <w:t xml:space="preserve">Aspen Plus® </w:t>
      </w:r>
      <w:r w:rsidR="00847782" w:rsidRPr="00A84958">
        <w:rPr>
          <w:lang w:val="en-GB"/>
        </w:rPr>
        <w:t xml:space="preserve">software was used to solve the mass balances and to gather the thermodynamical properties of the streams. </w:t>
      </w:r>
      <w:r w:rsidR="008355DE">
        <w:rPr>
          <w:lang w:val="en-GB"/>
        </w:rPr>
        <w:t xml:space="preserve">The </w:t>
      </w:r>
      <w:bookmarkStart w:id="1" w:name="_GoBack"/>
      <w:bookmarkEnd w:id="1"/>
      <w:r w:rsidR="00CE76D5" w:rsidRPr="00A84958">
        <w:rPr>
          <w:lang w:val="en-GB"/>
        </w:rPr>
        <w:t xml:space="preserve">NRTL </w:t>
      </w:r>
      <w:r w:rsidR="00C4123E" w:rsidRPr="00A84958">
        <w:rPr>
          <w:lang w:val="en-GB"/>
        </w:rPr>
        <w:t>thermodynamic model was selected</w:t>
      </w:r>
      <w:r w:rsidR="00C4123E">
        <w:rPr>
          <w:lang w:val="en-GB"/>
        </w:rPr>
        <w:t xml:space="preserve"> as global properties method with some physicochemical properties for the biomass taken from Wooley and Putsche (1996).</w:t>
      </w:r>
      <w:r w:rsidR="00040F47">
        <w:rPr>
          <w:lang w:val="en-GB"/>
        </w:rPr>
        <w:t xml:space="preserve"> </w:t>
      </w:r>
      <w:r w:rsidR="004E5F0A">
        <w:rPr>
          <w:lang w:val="en-GB"/>
        </w:rPr>
        <w:t>In addition</w:t>
      </w:r>
      <w:r w:rsidR="00040F47">
        <w:rPr>
          <w:lang w:val="en-GB"/>
        </w:rPr>
        <w:t xml:space="preserve">, SOLIDS property method was used to model </w:t>
      </w:r>
      <w:r w:rsidR="00ED1E6D">
        <w:rPr>
          <w:lang w:val="en-GB"/>
        </w:rPr>
        <w:t xml:space="preserve">bulk </w:t>
      </w:r>
      <w:r w:rsidR="00040F47">
        <w:rPr>
          <w:lang w:val="en-GB"/>
        </w:rPr>
        <w:t>solids handling.</w:t>
      </w:r>
      <w:r w:rsidR="001C0055">
        <w:rPr>
          <w:lang w:val="en-GB"/>
        </w:rPr>
        <w:t xml:space="preserve"> </w:t>
      </w:r>
      <w:r w:rsidR="00847782">
        <w:rPr>
          <w:lang w:val="en-GB"/>
        </w:rPr>
        <w:t>MATLAB® was used to calculate the equipment capacity</w:t>
      </w:r>
      <w:r w:rsidR="003074D7" w:rsidRPr="003074D7">
        <w:rPr>
          <w:lang w:val="en-GB"/>
        </w:rPr>
        <w:t xml:space="preserve"> and thermal and electrical power requirements, which lead to the capital and utilities costs estimation</w:t>
      </w:r>
      <w:r w:rsidR="00847782">
        <w:rPr>
          <w:lang w:val="en-GB"/>
        </w:rPr>
        <w:t xml:space="preserve">. </w:t>
      </w:r>
      <w:r w:rsidR="002D0131">
        <w:rPr>
          <w:lang w:val="en-GB"/>
        </w:rPr>
        <w:t>Finally,</w:t>
      </w:r>
      <w:r w:rsidR="00B75D0B">
        <w:rPr>
          <w:lang w:val="en-GB"/>
        </w:rPr>
        <w:t xml:space="preserve"> using the same software,</w:t>
      </w:r>
      <w:r w:rsidR="002D0131">
        <w:rPr>
          <w:lang w:val="en-GB"/>
        </w:rPr>
        <w:t xml:space="preserve"> an economic assessment was made for </w:t>
      </w:r>
      <w:r w:rsidR="002E53A5">
        <w:rPr>
          <w:lang w:val="en-GB"/>
        </w:rPr>
        <w:t>a range of raw material processing rat</w:t>
      </w:r>
      <w:r w:rsidR="003E7312">
        <w:rPr>
          <w:lang w:val="en-GB"/>
        </w:rPr>
        <w:t xml:space="preserve">es </w:t>
      </w:r>
      <w:r w:rsidR="00026097">
        <w:rPr>
          <w:lang w:val="en-GB"/>
        </w:rPr>
        <w:t>to</w:t>
      </w:r>
      <w:r w:rsidR="002E53A5">
        <w:rPr>
          <w:lang w:val="en-GB"/>
        </w:rPr>
        <w:t xml:space="preserve"> estimate the MPSEF.</w:t>
      </w:r>
    </w:p>
    <w:p w14:paraId="0636B784" w14:textId="215656FF" w:rsidR="00453E24" w:rsidRDefault="00146B29" w:rsidP="00453E24">
      <w:pPr>
        <w:pStyle w:val="CETheadingx"/>
      </w:pPr>
      <w:r>
        <w:t>Cassava MBR process description</w:t>
      </w:r>
    </w:p>
    <w:p w14:paraId="60716780" w14:textId="1023BA87" w:rsidR="00AA1ACA" w:rsidRDefault="008C5A94" w:rsidP="00AA1ACA">
      <w:pPr>
        <w:pStyle w:val="CETBodytext"/>
      </w:pPr>
      <w:r>
        <w:t>The</w:t>
      </w:r>
      <w:r w:rsidR="00AA1ACA">
        <w:t xml:space="preserve"> process begins with the feeding of the peeled cassava roots to </w:t>
      </w:r>
      <w:r w:rsidR="00A43220">
        <w:t>a grating machine</w:t>
      </w:r>
      <w:r w:rsidR="00AA1ACA">
        <w:t xml:space="preserve"> where the root is </w:t>
      </w:r>
      <w:r w:rsidR="00F746AA">
        <w:t>crushed to</w:t>
      </w:r>
      <w:r w:rsidR="00A43220">
        <w:t xml:space="preserve"> obtain fresh pulp</w:t>
      </w:r>
      <w:r w:rsidR="00AA1ACA">
        <w:t>.</w:t>
      </w:r>
      <w:r w:rsidR="00F746AA">
        <w:t xml:space="preserve"> </w:t>
      </w:r>
      <w:r w:rsidR="00515D89">
        <w:t>This pulp is c</w:t>
      </w:r>
      <w:r w:rsidR="00AA1ACA">
        <w:t xml:space="preserve">ombined with </w:t>
      </w:r>
      <w:r w:rsidR="00515D89">
        <w:t>a stream of water</w:t>
      </w:r>
      <w:r w:rsidR="00DE1586">
        <w:t xml:space="preserve"> </w:t>
      </w:r>
      <w:r w:rsidR="00515D89">
        <w:t>in a</w:t>
      </w:r>
      <w:r w:rsidR="00FF090F">
        <w:t>n</w:t>
      </w:r>
      <w:r w:rsidR="00515D89">
        <w:t xml:space="preserve"> extractor </w:t>
      </w:r>
      <w:r w:rsidR="00AA1ACA">
        <w:t xml:space="preserve">to separate the cassava bagasse that contains most of the fiber and is retained through </w:t>
      </w:r>
      <w:r w:rsidR="00515D89">
        <w:t xml:space="preserve">a sieve </w:t>
      </w:r>
      <w:r w:rsidR="00AA1ACA">
        <w:t>mesh</w:t>
      </w:r>
      <w:r w:rsidR="00515D89">
        <w:t xml:space="preserve"> at the bottom</w:t>
      </w:r>
      <w:r w:rsidR="00AA1ACA">
        <w:t xml:space="preserve">, letting out the slurry that contains the cassava starch (Da et al., 2008). Subsequently, the slurry is </w:t>
      </w:r>
      <w:r w:rsidR="00D910DD">
        <w:t>transported</w:t>
      </w:r>
      <w:r w:rsidR="00F746AA">
        <w:t xml:space="preserve"> to a </w:t>
      </w:r>
      <w:r w:rsidR="00AA1ACA">
        <w:t xml:space="preserve">sedimentation tank in which the starch granules and excess water (which still </w:t>
      </w:r>
      <w:r w:rsidR="003074D7">
        <w:t>contain</w:t>
      </w:r>
      <w:r w:rsidR="00AA1ACA">
        <w:t xml:space="preserve"> starch and fiber residues) are separated. This </w:t>
      </w:r>
      <w:r w:rsidR="009B798B">
        <w:t>wet</w:t>
      </w:r>
      <w:r w:rsidR="00AA1ACA">
        <w:t xml:space="preserve"> s</w:t>
      </w:r>
      <w:r w:rsidR="00217C29">
        <w:t>tarch is</w:t>
      </w:r>
      <w:r w:rsidR="00FF090F">
        <w:t xml:space="preserve"> finally</w:t>
      </w:r>
      <w:r w:rsidR="00217C29">
        <w:t xml:space="preserve"> sent to a drying stage</w:t>
      </w:r>
      <w:r w:rsidR="00FF090F">
        <w:t>.</w:t>
      </w:r>
    </w:p>
    <w:p w14:paraId="4E00256D" w14:textId="52858D72" w:rsidR="00AA1ACA" w:rsidRDefault="00AA1ACA" w:rsidP="00AA1ACA">
      <w:pPr>
        <w:pStyle w:val="CETBodytext"/>
      </w:pPr>
      <w:r>
        <w:t xml:space="preserve">The cassava bagasse generated in the extraction stage is fed to a tank with heating and agitation for the gelatinization process that occurs at 80°C for 40 minutes and in which the </w:t>
      </w:r>
      <w:r w:rsidR="00BA29D3">
        <w:t>bagasse</w:t>
      </w:r>
      <w:r>
        <w:t xml:space="preserve"> is conditioned for better use in fermentation. After </w:t>
      </w:r>
      <w:r w:rsidR="00BA29D3">
        <w:t>that,</w:t>
      </w:r>
      <w:r>
        <w:t xml:space="preserve"> it is transported </w:t>
      </w:r>
      <w:r w:rsidR="003074D7">
        <w:t xml:space="preserve">to </w:t>
      </w:r>
      <w:r w:rsidR="00044B18">
        <w:t xml:space="preserve">a </w:t>
      </w:r>
      <w:r>
        <w:t xml:space="preserve">rotary </w:t>
      </w:r>
      <w:r w:rsidR="003074D7">
        <w:t>drum-type</w:t>
      </w:r>
      <w:r>
        <w:t xml:space="preserve"> </w:t>
      </w:r>
      <w:r w:rsidR="00044B18">
        <w:t>fermenter</w:t>
      </w:r>
      <w:r>
        <w:t xml:space="preserve">, </w:t>
      </w:r>
      <w:r w:rsidR="00044B18">
        <w:t xml:space="preserve">where </w:t>
      </w:r>
      <w:r>
        <w:t xml:space="preserve">solid-state batch fermentation of cassava bagasse is carried out, </w:t>
      </w:r>
      <w:r w:rsidR="00026097">
        <w:t>using</w:t>
      </w:r>
      <w:r>
        <w:t xml:space="preserve"> the fungus </w:t>
      </w:r>
      <w:r w:rsidRPr="00BA29D3">
        <w:rPr>
          <w:i/>
          <w:iCs/>
        </w:rPr>
        <w:t>Asper</w:t>
      </w:r>
      <w:r w:rsidRPr="001B78E2">
        <w:rPr>
          <w:i/>
          <w:iCs/>
        </w:rPr>
        <w:t xml:space="preserve">gillus niger LPB 21, </w:t>
      </w:r>
      <w:r>
        <w:t xml:space="preserve">at a controlled temperature of 28°C for 4-5 days (Prado et al., 2005). The fermented </w:t>
      </w:r>
      <w:r w:rsidR="001B78E2">
        <w:t>broth</w:t>
      </w:r>
      <w:r>
        <w:t xml:space="preserve"> is </w:t>
      </w:r>
      <w:r w:rsidR="00044B18">
        <w:t xml:space="preserve">filtered and then taken to </w:t>
      </w:r>
      <w:r>
        <w:t xml:space="preserve">a conical reactor where it is placed in contact with calcium hydroxide to generate the precipitation reaction at a temperature of 50°C until a pH of 7-7.2 is </w:t>
      </w:r>
      <w:r w:rsidR="00DF229B">
        <w:t xml:space="preserve">reached. </w:t>
      </w:r>
      <w:r>
        <w:t xml:space="preserve">The precipitate that contains calcium citrate is separated </w:t>
      </w:r>
      <w:r w:rsidR="007442B6">
        <w:t xml:space="preserve">and dried </w:t>
      </w:r>
      <w:r>
        <w:t>at a temperature of 60°C in a hot air convection dryer, where a final product with a moisture content of less than 8% is obtained.</w:t>
      </w:r>
    </w:p>
    <w:p w14:paraId="1C18FC19" w14:textId="70142C85" w:rsidR="00AA1ACA" w:rsidRDefault="00AA1ACA" w:rsidP="00AA1ACA">
      <w:pPr>
        <w:pStyle w:val="CETBodytext"/>
      </w:pPr>
      <w:r>
        <w:t xml:space="preserve">Biogas is produced by anaerobic digestion in </w:t>
      </w:r>
      <w:r w:rsidR="002568BC">
        <w:t xml:space="preserve">a covered </w:t>
      </w:r>
      <w:r w:rsidR="003074D7">
        <w:t>lagoon-type</w:t>
      </w:r>
      <w:r w:rsidR="002568BC">
        <w:t xml:space="preserve"> biodigester</w:t>
      </w:r>
      <w:r>
        <w:t xml:space="preserve"> with high-density polyethylene (Santos et al., 2017), </w:t>
      </w:r>
      <w:r w:rsidR="00E6247A">
        <w:t xml:space="preserve">where </w:t>
      </w:r>
      <w:r>
        <w:t>residues of starch and fiber f</w:t>
      </w:r>
      <w:r w:rsidR="00217C29">
        <w:t>rom the sedimentation tank</w:t>
      </w:r>
      <w:r>
        <w:t xml:space="preserve"> and cassava peels</w:t>
      </w:r>
      <w:r w:rsidR="00E6247A">
        <w:t xml:space="preserve"> are used as </w:t>
      </w:r>
      <w:r w:rsidR="003074D7">
        <w:t>substrates</w:t>
      </w:r>
      <w:r>
        <w:t>. The produced biogas is transported through an underground pipeline to a gas scrubber with process water for H</w:t>
      </w:r>
      <w:r w:rsidRPr="00F61580">
        <w:rPr>
          <w:vertAlign w:val="subscript"/>
        </w:rPr>
        <w:t>2</w:t>
      </w:r>
      <w:r>
        <w:t>S removal</w:t>
      </w:r>
      <w:r w:rsidR="00CB7BCE">
        <w:t xml:space="preserve">. </w:t>
      </w:r>
      <w:r w:rsidR="00540EC9" w:rsidRPr="00540EC9">
        <w:rPr>
          <w:lang w:val="en-GB"/>
        </w:rPr>
        <w:t xml:space="preserve">As showed by Walozi et al. (2016), </w:t>
      </w:r>
      <w:r w:rsidR="00026097">
        <w:rPr>
          <w:lang w:val="en-GB"/>
        </w:rPr>
        <w:t>to</w:t>
      </w:r>
      <w:r w:rsidR="00540EC9" w:rsidRPr="00540EC9">
        <w:rPr>
          <w:lang w:val="en-GB"/>
        </w:rPr>
        <w:t xml:space="preserve"> lower costs in the gas washing stage, neither biogas </w:t>
      </w:r>
      <w:r w:rsidR="003074D7">
        <w:rPr>
          <w:lang w:val="en-GB"/>
        </w:rPr>
        <w:t>nor</w:t>
      </w:r>
      <w:r w:rsidR="00540EC9" w:rsidRPr="00540EC9">
        <w:rPr>
          <w:lang w:val="en-GB"/>
        </w:rPr>
        <w:t xml:space="preserve"> washing water </w:t>
      </w:r>
      <w:r w:rsidR="002139C7">
        <w:rPr>
          <w:lang w:val="en-GB"/>
        </w:rPr>
        <w:t>are</w:t>
      </w:r>
      <w:r w:rsidR="00540EC9" w:rsidRPr="00540EC9">
        <w:rPr>
          <w:lang w:val="en-GB"/>
        </w:rPr>
        <w:t xml:space="preserve"> not pressurized</w:t>
      </w:r>
      <w:r w:rsidR="002139C7">
        <w:rPr>
          <w:lang w:val="en-GB"/>
        </w:rPr>
        <w:t xml:space="preserve">, </w:t>
      </w:r>
      <w:r w:rsidR="00540EC9" w:rsidRPr="00540EC9">
        <w:rPr>
          <w:lang w:val="en-GB"/>
        </w:rPr>
        <w:t xml:space="preserve">and also operates with </w:t>
      </w:r>
      <w:r w:rsidR="003074D7">
        <w:rPr>
          <w:lang w:val="en-GB"/>
        </w:rPr>
        <w:t>an</w:t>
      </w:r>
      <w:r w:rsidR="00540EC9" w:rsidRPr="00540EC9">
        <w:rPr>
          <w:lang w:val="en-GB"/>
        </w:rPr>
        <w:t xml:space="preserve"> L/G ratio of 0.75, with these conditions it is possible to obtain a purity of 80% v/v in methane in the biogas.</w:t>
      </w:r>
    </w:p>
    <w:p w14:paraId="0D8B35B9" w14:textId="7B34253F" w:rsidR="00146B29" w:rsidRDefault="00146B29" w:rsidP="005A68CE">
      <w:pPr>
        <w:pStyle w:val="CETheadingx"/>
      </w:pPr>
      <w:r>
        <w:t>Rejected banana MBR process description</w:t>
      </w:r>
    </w:p>
    <w:p w14:paraId="32A2EA3A" w14:textId="3F57F4F6" w:rsidR="00FA167A" w:rsidRDefault="008C5A94" w:rsidP="00B80CD0">
      <w:pPr>
        <w:pStyle w:val="CETBodytext"/>
      </w:pPr>
      <w:r>
        <w:t>Green</w:t>
      </w:r>
      <w:r w:rsidR="005A68CE">
        <w:t xml:space="preserve"> bananas are passed through a hot water tank at 50°C for 5 minutes to facilitate their manual peeling on the conveyor belt. After peeling, the fruit is submerged in a tank with a 0.3% sodium bisulfite solution as a disinfectant and preservative agent</w:t>
      </w:r>
      <w:r w:rsidR="00DF229B">
        <w:t xml:space="preserve">. </w:t>
      </w:r>
      <w:r w:rsidR="005A68CE">
        <w:t>The fruit is cut into slices of controlled thickness</w:t>
      </w:r>
      <w:r w:rsidR="00FC163E">
        <w:t>, which are dried at a tray</w:t>
      </w:r>
      <w:r w:rsidR="005A68CE">
        <w:t xml:space="preserve"> dryer in which the humidity is removed at 60°C for 8 h until it reaches 4 – 6% (da Mota et al., 2000). The dried banana slices are sent to a mill to obtain flour</w:t>
      </w:r>
      <w:r w:rsidR="00FA167A">
        <w:t xml:space="preserve"> which is sifted to obtain the desired g</w:t>
      </w:r>
      <w:r w:rsidR="00EE60CF">
        <w:t>r</w:t>
      </w:r>
      <w:r w:rsidR="00FA167A">
        <w:t>anulometry</w:t>
      </w:r>
      <w:r w:rsidR="005A68CE">
        <w:t>.</w:t>
      </w:r>
    </w:p>
    <w:p w14:paraId="66F8AD4C" w14:textId="454AE9A1" w:rsidR="00367FEC" w:rsidRDefault="00FE5983" w:rsidP="00B80CD0">
      <w:pPr>
        <w:pStyle w:val="CETBodytext"/>
      </w:pPr>
      <w:r>
        <w:t xml:space="preserve">For the production of calcium lactate, banana peels are </w:t>
      </w:r>
      <w:r w:rsidR="00C2208A">
        <w:t xml:space="preserve">passed through a grinder </w:t>
      </w:r>
      <w:r>
        <w:t xml:space="preserve">and dried. Subsequently, they are fed to the </w:t>
      </w:r>
      <w:r w:rsidR="00411CBA">
        <w:t>f</w:t>
      </w:r>
      <w:r>
        <w:t xml:space="preserve">ermenter </w:t>
      </w:r>
      <w:r w:rsidR="003074D7">
        <w:t>where</w:t>
      </w:r>
      <w:r>
        <w:t xml:space="preserve"> they are mixed with water until reaching a concentration of 10% banana peel and necessary nutrients are also added (Mufidah et al., 2017)</w:t>
      </w:r>
      <w:r w:rsidR="00B80CD0">
        <w:t xml:space="preserve">. </w:t>
      </w:r>
      <w:r>
        <w:t xml:space="preserve">The fungus </w:t>
      </w:r>
      <w:r w:rsidRPr="0083738C">
        <w:rPr>
          <w:i/>
          <w:iCs/>
        </w:rPr>
        <w:t>Aspergillus awamori</w:t>
      </w:r>
      <w:r>
        <w:t xml:space="preserve"> is initially inoculated, with which the hydrolysis of the </w:t>
      </w:r>
      <w:r w:rsidRPr="00DD2A82">
        <w:t xml:space="preserve">substrate for the production of fermentable sugars begins at a temperature of 37 °C, after 36 h </w:t>
      </w:r>
      <w:r w:rsidRPr="00C74F86">
        <w:rPr>
          <w:i/>
          <w:iCs/>
        </w:rPr>
        <w:t>Bacillus licheniformis</w:t>
      </w:r>
      <w:r w:rsidRPr="00DD2A82">
        <w:t xml:space="preserve"> is inoculated, for the production of lactic acid in multiple </w:t>
      </w:r>
      <w:r w:rsidR="0089069A" w:rsidRPr="00DD2A82">
        <w:t xml:space="preserve">parallel </w:t>
      </w:r>
      <w:r w:rsidRPr="00DD2A82">
        <w:t xml:space="preserve">fermentation </w:t>
      </w:r>
      <w:r w:rsidR="003074D7">
        <w:t>processes</w:t>
      </w:r>
      <w:r w:rsidR="00367FEC" w:rsidRPr="00DD2A82">
        <w:t xml:space="preserve"> </w:t>
      </w:r>
      <w:r w:rsidR="00504778" w:rsidRPr="00DD2A82">
        <w:t xml:space="preserve">at a </w:t>
      </w:r>
      <w:r w:rsidR="00367FEC" w:rsidRPr="00DD2A82">
        <w:t xml:space="preserve">temperature of 37 °C </w:t>
      </w:r>
      <w:r w:rsidR="00311F81" w:rsidRPr="00DD2A82">
        <w:t>for</w:t>
      </w:r>
      <w:r w:rsidR="00367FEC" w:rsidRPr="00DD2A82">
        <w:t xml:space="preserve"> 48 h, after which the fermentation broth is separated from the reactor and </w:t>
      </w:r>
      <w:r w:rsidR="00DD2A82">
        <w:t>filtered</w:t>
      </w:r>
      <w:r w:rsidR="00367FEC" w:rsidRPr="00DD2A82">
        <w:t>. The</w:t>
      </w:r>
      <w:r w:rsidR="00DD2A82">
        <w:t xml:space="preserve">n, it </w:t>
      </w:r>
      <w:r w:rsidR="00367FEC" w:rsidRPr="00DD2A82">
        <w:t>is taken to a precipitation reactor where it is mixed with calcium hydroxide. Finally, the calcium lactate is dried at a temperature of 60°C in a convection dryer.</w:t>
      </w:r>
    </w:p>
    <w:p w14:paraId="1FC93D6D" w14:textId="1998D5AF" w:rsidR="0053453F" w:rsidRDefault="00314AFF" w:rsidP="00AA1ACA">
      <w:pPr>
        <w:pStyle w:val="CETBodytext"/>
      </w:pPr>
      <w:r>
        <w:t>For glucose syrup production,</w:t>
      </w:r>
      <w:r w:rsidR="005A68CE">
        <w:t xml:space="preserve"> ripe banana</w:t>
      </w:r>
      <w:r w:rsidR="003074D7">
        <w:t>s</w:t>
      </w:r>
      <w:r w:rsidR="005A68CE">
        <w:t xml:space="preserve"> </w:t>
      </w:r>
      <w:r w:rsidR="003074D7">
        <w:t>are</w:t>
      </w:r>
      <w:r w:rsidR="005A68CE">
        <w:t xml:space="preserve"> peeled on the conveyor belt</w:t>
      </w:r>
      <w:r w:rsidR="00B80CD0">
        <w:t xml:space="preserve"> and crushed </w:t>
      </w:r>
      <w:r w:rsidR="005A68CE">
        <w:t xml:space="preserve">to obtain the banana pulp. The pulp is transported to a reactor with a heating jacket and agitator where the liquefaction processes </w:t>
      </w:r>
      <w:r w:rsidR="002B6426">
        <w:t>occur</w:t>
      </w:r>
      <w:r w:rsidR="005A68CE">
        <w:t xml:space="preserve"> through alpha-amylase enzyme at a temperature of 80°C for a period of 60 minutes and enzymatic saccharification at 60 °C for 24 – 48 hours, using glucoamylase (Naranjo et al., 2014).</w:t>
      </w:r>
      <w:r w:rsidR="00074FE9">
        <w:t xml:space="preserve"> </w:t>
      </w:r>
      <w:r w:rsidR="005A68CE">
        <w:t xml:space="preserve">The obtained glucose syrup is decolorized with activated charcoal at 60°C for 15 minutes. Subsequently, it </w:t>
      </w:r>
      <w:r w:rsidR="00C10130">
        <w:t xml:space="preserve">passes through </w:t>
      </w:r>
      <w:r w:rsidR="00026097">
        <w:t xml:space="preserve">a </w:t>
      </w:r>
      <w:r w:rsidR="003074D7">
        <w:t>1-micron</w:t>
      </w:r>
      <w:r w:rsidR="00EA2496">
        <w:t xml:space="preserve"> </w:t>
      </w:r>
      <w:r w:rsidR="003074D7">
        <w:t>pore-size</w:t>
      </w:r>
      <w:r w:rsidR="00C10130">
        <w:t xml:space="preserve"> </w:t>
      </w:r>
      <w:r w:rsidR="00EA2496">
        <w:t xml:space="preserve">filter, and later </w:t>
      </w:r>
      <w:r w:rsidR="005A68CE">
        <w:t xml:space="preserve">ultrafiltration </w:t>
      </w:r>
      <w:r w:rsidR="00627E68">
        <w:t xml:space="preserve">is done </w:t>
      </w:r>
      <w:r w:rsidR="005A68CE">
        <w:t xml:space="preserve">through a </w:t>
      </w:r>
      <w:r w:rsidR="00074FE9">
        <w:t>0.001-micron</w:t>
      </w:r>
      <w:r w:rsidR="005A68CE">
        <w:t xml:space="preserve"> membrane. Finally, the syrup is concentrated through a falling film evaporator at 70°C to a </w:t>
      </w:r>
      <w:r w:rsidR="003074D7">
        <w:t>solid</w:t>
      </w:r>
      <w:r w:rsidR="005A68CE">
        <w:t xml:space="preserve"> concentration between 60–70% w/w.</w:t>
      </w:r>
    </w:p>
    <w:p w14:paraId="18BAFA6F" w14:textId="75AAE80D" w:rsidR="00453E24" w:rsidRPr="00B57B36" w:rsidRDefault="00C707EE" w:rsidP="00453E24">
      <w:pPr>
        <w:pStyle w:val="CETheadingx"/>
      </w:pPr>
      <w:r>
        <w:lastRenderedPageBreak/>
        <w:t>Economic and environmental assessment</w:t>
      </w:r>
    </w:p>
    <w:p w14:paraId="626C4279" w14:textId="174A68E1" w:rsidR="00DB551D" w:rsidRDefault="00196AD9" w:rsidP="00DB551D">
      <w:pPr>
        <w:pStyle w:val="CETBodytext"/>
        <w:rPr>
          <w:lang w:val="en-GB"/>
        </w:rPr>
      </w:pPr>
      <w:r>
        <w:rPr>
          <w:lang w:val="en-GB"/>
        </w:rPr>
        <w:t>Economic</w:t>
      </w:r>
      <w:r w:rsidR="000A3362">
        <w:rPr>
          <w:lang w:val="en-GB"/>
        </w:rPr>
        <w:t xml:space="preserve"> assessment was made using MATLAB software to</w:t>
      </w:r>
      <w:r w:rsidR="002531BD">
        <w:rPr>
          <w:lang w:val="en-GB"/>
        </w:rPr>
        <w:t xml:space="preserve"> calculate</w:t>
      </w:r>
      <w:r w:rsidR="000A3362">
        <w:rPr>
          <w:lang w:val="en-GB"/>
        </w:rPr>
        <w:t xml:space="preserve"> the economic </w:t>
      </w:r>
      <w:r w:rsidR="002531BD">
        <w:rPr>
          <w:lang w:val="en-GB"/>
        </w:rPr>
        <w:t>indicators</w:t>
      </w:r>
      <w:r w:rsidR="000A3362">
        <w:rPr>
          <w:lang w:val="en-GB"/>
        </w:rPr>
        <w:t xml:space="preserve"> for a range of processing scales and to </w:t>
      </w:r>
      <w:r w:rsidR="00416C43">
        <w:rPr>
          <w:lang w:val="en-GB"/>
        </w:rPr>
        <w:t>estimate</w:t>
      </w:r>
      <w:r w:rsidR="000A3362">
        <w:rPr>
          <w:lang w:val="en-GB"/>
        </w:rPr>
        <w:t xml:space="preserve"> the MPSEF</w:t>
      </w:r>
      <w:r w:rsidR="00691FC3">
        <w:rPr>
          <w:lang w:val="en-GB"/>
        </w:rPr>
        <w:t xml:space="preserve"> using data from the simulations in Aspen Plus ®</w:t>
      </w:r>
      <w:r w:rsidR="000A3362">
        <w:rPr>
          <w:lang w:val="en-GB"/>
        </w:rPr>
        <w:t xml:space="preserve">. </w:t>
      </w:r>
      <w:r w:rsidR="00DB551D" w:rsidRPr="00DB551D">
        <w:rPr>
          <w:lang w:val="en-GB"/>
        </w:rPr>
        <w:t xml:space="preserve">In order to have results </w:t>
      </w:r>
      <w:r w:rsidR="009D6C69">
        <w:rPr>
          <w:lang w:val="en-GB"/>
        </w:rPr>
        <w:t>better</w:t>
      </w:r>
      <w:r w:rsidR="00DB551D" w:rsidRPr="00DB551D">
        <w:rPr>
          <w:lang w:val="en-GB"/>
        </w:rPr>
        <w:t xml:space="preserve"> adjusted to the current realities of the Colombian Caribbean region and the small scale of the processes studied, the capital costs of equipment were obtained</w:t>
      </w:r>
      <w:r w:rsidR="009F26EA">
        <w:rPr>
          <w:lang w:val="en-GB"/>
        </w:rPr>
        <w:t xml:space="preserve"> </w:t>
      </w:r>
      <w:r w:rsidR="00DB551D" w:rsidRPr="00DB551D">
        <w:rPr>
          <w:lang w:val="en-GB"/>
        </w:rPr>
        <w:t xml:space="preserve">from quotations to national companies, </w:t>
      </w:r>
      <w:r w:rsidR="003074D7">
        <w:rPr>
          <w:lang w:val="en-GB"/>
        </w:rPr>
        <w:t>catalogues,</w:t>
      </w:r>
      <w:r w:rsidR="00DB551D" w:rsidRPr="00DB551D">
        <w:rPr>
          <w:lang w:val="en-GB"/>
        </w:rPr>
        <w:t xml:space="preserve"> and bibliographic </w:t>
      </w:r>
      <w:r w:rsidR="003074D7">
        <w:rPr>
          <w:lang w:val="en-GB"/>
        </w:rPr>
        <w:t>reviews</w:t>
      </w:r>
      <w:r w:rsidR="00DB551D" w:rsidRPr="00DB551D">
        <w:rPr>
          <w:lang w:val="en-GB"/>
        </w:rPr>
        <w:t xml:space="preserve"> of application examples with similar characteristics.</w:t>
      </w:r>
      <w:r w:rsidR="001B2AB9">
        <w:rPr>
          <w:lang w:val="en-GB"/>
        </w:rPr>
        <w:t xml:space="preserve"> </w:t>
      </w:r>
      <w:r w:rsidR="00691FC3">
        <w:rPr>
          <w:lang w:val="en-GB"/>
        </w:rPr>
        <w:t>Frequently, cost estimation studies have used exponential functions in their models to scale up or down the total capital cost of the plants. However, as pointed out in Leboreiro and Hilaly (2013</w:t>
      </w:r>
      <w:r w:rsidR="003C0936">
        <w:rPr>
          <w:lang w:val="en-GB"/>
        </w:rPr>
        <w:t>), t</w:t>
      </w:r>
      <w:r w:rsidR="003C0936" w:rsidRPr="003C0936">
        <w:rPr>
          <w:lang w:val="en-GB"/>
        </w:rPr>
        <w:t>he use of an exponential function is based on the assumption that all equipment in the plant scales exponentially</w:t>
      </w:r>
      <w:r w:rsidR="00FA7C81">
        <w:rPr>
          <w:lang w:val="en-GB"/>
        </w:rPr>
        <w:t>, nevertheless</w:t>
      </w:r>
      <w:r w:rsidR="003C0936" w:rsidRPr="003C0936">
        <w:rPr>
          <w:lang w:val="en-GB"/>
        </w:rPr>
        <w:t xml:space="preserve">, the volume of large biological reactors, such as saccharification vessels and fermenters is limited by practical constraints. </w:t>
      </w:r>
      <w:r w:rsidR="003074D7">
        <w:rPr>
          <w:lang w:val="en-GB"/>
        </w:rPr>
        <w:t>The scaling</w:t>
      </w:r>
      <w:r w:rsidR="003C0936" w:rsidRPr="003C0936">
        <w:rPr>
          <w:lang w:val="en-GB"/>
        </w:rPr>
        <w:t xml:space="preserve"> capacity of bio-reactor trains in biorefineries is done by the addition of vessels rather than increasing the volume of individual vessels. As a consequence, capital required for bioreactors </w:t>
      </w:r>
      <w:r w:rsidR="003074D7">
        <w:rPr>
          <w:lang w:val="en-GB"/>
        </w:rPr>
        <w:t>scales</w:t>
      </w:r>
      <w:r w:rsidR="003C0936" w:rsidRPr="003C0936">
        <w:rPr>
          <w:lang w:val="en-GB"/>
        </w:rPr>
        <w:t xml:space="preserve"> linearly with capacity while other process equipment </w:t>
      </w:r>
      <w:r w:rsidR="003074D7">
        <w:rPr>
          <w:lang w:val="en-GB"/>
        </w:rPr>
        <w:t>scales</w:t>
      </w:r>
      <w:r w:rsidR="003C0936" w:rsidRPr="003C0936">
        <w:rPr>
          <w:lang w:val="en-GB"/>
        </w:rPr>
        <w:t xml:space="preserve"> exponentially.</w:t>
      </w:r>
      <w:r w:rsidR="00B2761C">
        <w:rPr>
          <w:lang w:val="en-GB"/>
        </w:rPr>
        <w:t xml:space="preserve"> For this reason, </w:t>
      </w:r>
      <w:r w:rsidR="00FA7C81">
        <w:rPr>
          <w:lang w:val="en-GB"/>
        </w:rPr>
        <w:t>Eq(1) proposed in Leboreiro and Hilaly (2013) is used to estimate total capital costs for equipment</w:t>
      </w:r>
      <w:r w:rsidR="00FA4A2E">
        <w:rPr>
          <w:lang w:val="en-GB"/>
        </w:rPr>
        <w:t>.</w:t>
      </w:r>
    </w:p>
    <w:tbl>
      <w:tblPr>
        <w:tblW w:w="5000" w:type="pct"/>
        <w:tblLook w:val="04A0" w:firstRow="1" w:lastRow="0" w:firstColumn="1" w:lastColumn="0" w:noHBand="0" w:noVBand="1"/>
      </w:tblPr>
      <w:tblGrid>
        <w:gridCol w:w="7268"/>
        <w:gridCol w:w="770"/>
        <w:gridCol w:w="749"/>
      </w:tblGrid>
      <w:tr w:rsidR="00FA7C81" w:rsidRPr="00B57B36" w14:paraId="6E5B757C" w14:textId="1C58750F" w:rsidTr="00FA7C81">
        <w:tc>
          <w:tcPr>
            <w:tcW w:w="7268" w:type="dxa"/>
            <w:shd w:val="clear" w:color="auto" w:fill="auto"/>
            <w:vAlign w:val="center"/>
          </w:tcPr>
          <w:p w14:paraId="0E518D57" w14:textId="3779EFFB" w:rsidR="00FA7C81" w:rsidRPr="00FA7C81" w:rsidRDefault="0021109D" w:rsidP="008950E1">
            <w:pPr>
              <w:pStyle w:val="CETEquation"/>
            </w:pPr>
            <m:oMathPara>
              <m:oMathParaPr>
                <m:jc m:val="left"/>
              </m:oMathParaPr>
              <m:oMath>
                <m:sSub>
                  <m:sSubPr>
                    <m:ctrlPr>
                      <w:rPr>
                        <w:rFonts w:ascii="Cambria Math" w:hAnsi="Cambria Math"/>
                        <w:i/>
                      </w:rPr>
                    </m:ctrlPr>
                  </m:sSubPr>
                  <m:e>
                    <m:r>
                      <w:rPr>
                        <w:rFonts w:ascii="Cambria Math" w:hAnsi="Cambria Math"/>
                      </w:rPr>
                      <m:t>C</m:t>
                    </m:r>
                  </m:e>
                  <m:sub>
                    <m:r>
                      <w:rPr>
                        <w:rFonts w:ascii="Cambria Math" w:hAnsi="Cambria Math"/>
                      </w:rPr>
                      <m:t>TPEC</m:t>
                    </m:r>
                  </m:sub>
                </m:sSub>
                <m:r>
                  <w:rPr>
                    <w:rFonts w:ascii="Cambria Math" w:hAnsi="Cambria Math"/>
                  </w:rPr>
                  <m:t>=k∙</m:t>
                </m:r>
                <m:sSup>
                  <m:sSupPr>
                    <m:ctrlPr>
                      <w:rPr>
                        <w:rFonts w:ascii="Cambria Math" w:hAnsi="Cambria Math"/>
                        <w:i/>
                      </w:rPr>
                    </m:ctrlPr>
                  </m:sSupPr>
                  <m:e>
                    <m:r>
                      <w:rPr>
                        <w:rFonts w:ascii="Cambria Math" w:hAnsi="Cambria Math"/>
                      </w:rPr>
                      <m:t>P</m:t>
                    </m:r>
                  </m:e>
                  <m:sup>
                    <m:r>
                      <w:rPr>
                        <w:rFonts w:ascii="Cambria Math" w:hAnsi="Cambria Math"/>
                      </w:rPr>
                      <m:t>α</m:t>
                    </m:r>
                  </m:sup>
                </m:sSup>
                <m:r>
                  <w:rPr>
                    <w:rFonts w:ascii="Cambria Math" w:hAnsi="Cambria Math"/>
                  </w:rPr>
                  <m:t>+m∙P</m:t>
                </m:r>
              </m:oMath>
            </m:oMathPara>
          </w:p>
        </w:tc>
        <w:tc>
          <w:tcPr>
            <w:tcW w:w="770" w:type="dxa"/>
            <w:shd w:val="clear" w:color="auto" w:fill="auto"/>
            <w:vAlign w:val="center"/>
          </w:tcPr>
          <w:p w14:paraId="69A80883" w14:textId="77777777" w:rsidR="00FA7C81" w:rsidRPr="00B57B36" w:rsidRDefault="00FA7C81" w:rsidP="008950E1">
            <w:pPr>
              <w:pStyle w:val="CETEquation"/>
              <w:jc w:val="right"/>
            </w:pPr>
            <w:r w:rsidRPr="00B57B36">
              <w:t>(1)</w:t>
            </w:r>
          </w:p>
        </w:tc>
        <w:tc>
          <w:tcPr>
            <w:tcW w:w="749" w:type="dxa"/>
          </w:tcPr>
          <w:p w14:paraId="088F88E9" w14:textId="77777777" w:rsidR="00FA7C81" w:rsidRPr="00B57B36" w:rsidRDefault="00FA7C81" w:rsidP="008950E1">
            <w:pPr>
              <w:pStyle w:val="CETEquation"/>
              <w:jc w:val="right"/>
            </w:pPr>
          </w:p>
        </w:tc>
      </w:tr>
    </w:tbl>
    <w:p w14:paraId="7E9063E9" w14:textId="356CAAFA" w:rsidR="003D56BB" w:rsidRDefault="003D56BB" w:rsidP="00FA7C81">
      <w:pPr>
        <w:pStyle w:val="CETBodytext"/>
      </w:pPr>
      <w:r>
        <w:rPr>
          <w:lang w:val="en-GB"/>
        </w:rPr>
        <w:t xml:space="preserve">Where </w:t>
      </w:r>
      <m:oMath>
        <m:sSub>
          <m:sSubPr>
            <m:ctrlPr>
              <w:rPr>
                <w:rFonts w:ascii="Cambria Math" w:hAnsi="Cambria Math"/>
                <w:i/>
              </w:rPr>
            </m:ctrlPr>
          </m:sSubPr>
          <m:e>
            <m:r>
              <w:rPr>
                <w:rFonts w:ascii="Cambria Math" w:hAnsi="Cambria Math"/>
              </w:rPr>
              <m:t>C</m:t>
            </m:r>
          </m:e>
          <m:sub>
            <m:r>
              <w:rPr>
                <w:rFonts w:ascii="Cambria Math" w:hAnsi="Cambria Math"/>
              </w:rPr>
              <m:t>TPEC</m:t>
            </m:r>
          </m:sub>
        </m:sSub>
      </m:oMath>
      <w:r>
        <w:t xml:space="preserve"> is the total purchased equipment cost, </w:t>
      </w:r>
      <m:oMath>
        <m:r>
          <w:rPr>
            <w:rFonts w:ascii="Cambria Math" w:hAnsi="Cambria Math"/>
          </w:rPr>
          <m:t>k</m:t>
        </m:r>
      </m:oMath>
      <w:r>
        <w:t xml:space="preserve"> and </w:t>
      </w:r>
      <m:oMath>
        <m:r>
          <w:rPr>
            <w:rFonts w:ascii="Cambria Math" w:hAnsi="Cambria Math"/>
          </w:rPr>
          <m:t>α</m:t>
        </m:r>
      </m:oMath>
      <w:r>
        <w:t xml:space="preserve"> are exponential scaling factors of equipment that scales exponentially, and </w:t>
      </w:r>
      <m:oMath>
        <m:r>
          <w:rPr>
            <w:rFonts w:ascii="Cambria Math" w:hAnsi="Cambria Math"/>
          </w:rPr>
          <m:t>m</m:t>
        </m:r>
      </m:oMath>
      <w:r>
        <w:t xml:space="preserve"> is the linear scale factor for equipment that scales linearly.</w:t>
      </w:r>
    </w:p>
    <w:p w14:paraId="24E814E9" w14:textId="1CA62C19" w:rsidR="003161DE" w:rsidRDefault="003161DE" w:rsidP="00FA7C81">
      <w:pPr>
        <w:pStyle w:val="CETBodytext"/>
        <w:rPr>
          <w:lang w:val="en-GB"/>
        </w:rPr>
      </w:pPr>
      <w:r>
        <w:rPr>
          <w:lang w:val="en-GB"/>
        </w:rPr>
        <w:t>Profitability analysis was made by calculating the net present value (NPV), internal return rate (IRR)</w:t>
      </w:r>
      <w:r w:rsidR="00026097">
        <w:rPr>
          <w:lang w:val="en-GB"/>
        </w:rPr>
        <w:t>,</w:t>
      </w:r>
      <w:r>
        <w:rPr>
          <w:lang w:val="en-GB"/>
        </w:rPr>
        <w:t xml:space="preserve"> and payback period (PBP). </w:t>
      </w:r>
      <w:r w:rsidRPr="003161DE">
        <w:rPr>
          <w:lang w:val="en-GB"/>
        </w:rPr>
        <w:t>For this, capital depreciation was applied using the straight-line method with a salvage percentage of 7%, income tax of 33%</w:t>
      </w:r>
      <w:r w:rsidR="003074D7">
        <w:rPr>
          <w:lang w:val="en-GB"/>
        </w:rPr>
        <w:t>,</w:t>
      </w:r>
      <w:r w:rsidRPr="003161DE">
        <w:rPr>
          <w:lang w:val="en-GB"/>
        </w:rPr>
        <w:t xml:space="preserve"> and a discount rate for </w:t>
      </w:r>
      <w:r w:rsidR="003074D7">
        <w:rPr>
          <w:lang w:val="en-GB"/>
        </w:rPr>
        <w:t xml:space="preserve">a </w:t>
      </w:r>
      <w:r w:rsidRPr="003161DE">
        <w:rPr>
          <w:lang w:val="en-GB"/>
        </w:rPr>
        <w:t>cash flow analysis of 10% (based on the average annual interest rate in Colombian banks).</w:t>
      </w:r>
      <w:r w:rsidR="00196AD9">
        <w:rPr>
          <w:lang w:val="en-GB"/>
        </w:rPr>
        <w:t xml:space="preserve"> </w:t>
      </w:r>
      <w:r w:rsidR="003074D7">
        <w:rPr>
          <w:lang w:val="en-GB"/>
        </w:rPr>
        <w:t>The conversion</w:t>
      </w:r>
      <w:r w:rsidR="00196AD9">
        <w:rPr>
          <w:lang w:val="en-GB"/>
        </w:rPr>
        <w:t xml:space="preserve"> value for prices in US dollars was taken in 2021 as 1 USD = 3400 Colombian pesos (COP).</w:t>
      </w:r>
    </w:p>
    <w:p w14:paraId="10A6817D" w14:textId="5F23F0D7" w:rsidR="00050427" w:rsidRPr="00DB551D" w:rsidRDefault="00760EAA" w:rsidP="00760EAA">
      <w:pPr>
        <w:pStyle w:val="CETBodytext"/>
        <w:rPr>
          <w:lang w:val="en-GB"/>
        </w:rPr>
      </w:pPr>
      <w:r w:rsidRPr="00760EAA">
        <w:rPr>
          <w:lang w:val="en-GB"/>
        </w:rPr>
        <w:t xml:space="preserve">The environmental analysis of each </w:t>
      </w:r>
      <w:r w:rsidR="009154A1">
        <w:rPr>
          <w:lang w:val="en-GB"/>
        </w:rPr>
        <w:t xml:space="preserve">MBR </w:t>
      </w:r>
      <w:r w:rsidRPr="00760EAA">
        <w:rPr>
          <w:lang w:val="en-GB"/>
        </w:rPr>
        <w:t xml:space="preserve">conceptual design was carried out under the standardized waste reduction algorithm using the free license software WARGUI®, developed by the United States Environmental Protection Agency. This algorithm allows describing the generation of </w:t>
      </w:r>
      <w:r w:rsidR="003074D7">
        <w:rPr>
          <w:lang w:val="en-GB"/>
        </w:rPr>
        <w:t xml:space="preserve">the </w:t>
      </w:r>
      <w:r w:rsidRPr="00760EAA">
        <w:rPr>
          <w:lang w:val="en-GB"/>
        </w:rPr>
        <w:t xml:space="preserve">environmental impact of a chemical process, </w:t>
      </w:r>
      <w:r w:rsidR="007E32F0">
        <w:rPr>
          <w:lang w:val="en-GB"/>
        </w:rPr>
        <w:t>using</w:t>
      </w:r>
      <w:r w:rsidRPr="00760EAA">
        <w:rPr>
          <w:lang w:val="en-GB"/>
        </w:rPr>
        <w:t xml:space="preserve"> </w:t>
      </w:r>
      <w:r w:rsidR="003074D7">
        <w:rPr>
          <w:lang w:val="en-GB"/>
        </w:rPr>
        <w:t xml:space="preserve">the </w:t>
      </w:r>
      <w:r w:rsidRPr="00760EAA">
        <w:rPr>
          <w:lang w:val="en-GB"/>
        </w:rPr>
        <w:t>information on the mass flows and composition</w:t>
      </w:r>
      <w:r w:rsidR="007E32F0">
        <w:rPr>
          <w:lang w:val="en-GB"/>
        </w:rPr>
        <w:t xml:space="preserve"> of</w:t>
      </w:r>
      <w:r w:rsidRPr="00760EAA">
        <w:rPr>
          <w:lang w:val="en-GB"/>
        </w:rPr>
        <w:t xml:space="preserve"> input and output streams of the process and</w:t>
      </w:r>
      <w:r>
        <w:rPr>
          <w:lang w:val="en-GB"/>
        </w:rPr>
        <w:t xml:space="preserve"> also</w:t>
      </w:r>
      <w:r w:rsidRPr="00760EAA">
        <w:rPr>
          <w:lang w:val="en-GB"/>
        </w:rPr>
        <w:t xml:space="preserve"> toxicological data of the substances that make up said streams (Young et al., 2000).</w:t>
      </w:r>
      <w:r>
        <w:rPr>
          <w:lang w:val="en-GB"/>
        </w:rPr>
        <w:t xml:space="preserve"> E</w:t>
      </w:r>
      <w:r w:rsidRPr="00760EAA">
        <w:rPr>
          <w:lang w:val="en-GB"/>
        </w:rPr>
        <w:t>ight categories of environmental impact</w:t>
      </w:r>
      <w:r>
        <w:rPr>
          <w:lang w:val="en-GB"/>
        </w:rPr>
        <w:t xml:space="preserve"> are evaluated</w:t>
      </w:r>
      <w:r w:rsidRPr="00760EAA">
        <w:rPr>
          <w:lang w:val="en-GB"/>
        </w:rPr>
        <w:t xml:space="preserve">, which are divided into four categories of global atmospheric impact: </w:t>
      </w:r>
      <w:r>
        <w:rPr>
          <w:lang w:val="en-GB"/>
        </w:rPr>
        <w:t>G</w:t>
      </w:r>
      <w:r w:rsidRPr="00760EAA">
        <w:rPr>
          <w:lang w:val="en-GB"/>
        </w:rPr>
        <w:t xml:space="preserve">lobal </w:t>
      </w:r>
      <w:r>
        <w:rPr>
          <w:lang w:val="en-GB"/>
        </w:rPr>
        <w:t>W</w:t>
      </w:r>
      <w:r w:rsidRPr="00760EAA">
        <w:rPr>
          <w:lang w:val="en-GB"/>
        </w:rPr>
        <w:t xml:space="preserve">arming </w:t>
      </w:r>
      <w:r>
        <w:rPr>
          <w:lang w:val="en-GB"/>
        </w:rPr>
        <w:t>P</w:t>
      </w:r>
      <w:r w:rsidRPr="00760EAA">
        <w:rPr>
          <w:lang w:val="en-GB"/>
        </w:rPr>
        <w:t xml:space="preserve">otential (GWP), </w:t>
      </w:r>
      <w:r>
        <w:rPr>
          <w:lang w:val="en-GB"/>
        </w:rPr>
        <w:t>O</w:t>
      </w:r>
      <w:r w:rsidRPr="00760EAA">
        <w:rPr>
          <w:lang w:val="en-GB"/>
        </w:rPr>
        <w:t xml:space="preserve">zone </w:t>
      </w:r>
      <w:r>
        <w:rPr>
          <w:lang w:val="en-GB"/>
        </w:rPr>
        <w:t>D</w:t>
      </w:r>
      <w:r w:rsidRPr="00760EAA">
        <w:rPr>
          <w:lang w:val="en-GB"/>
        </w:rPr>
        <w:t xml:space="preserve">epletion </w:t>
      </w:r>
      <w:r>
        <w:rPr>
          <w:lang w:val="en-GB"/>
        </w:rPr>
        <w:t>P</w:t>
      </w:r>
      <w:r w:rsidRPr="00760EAA">
        <w:rPr>
          <w:lang w:val="en-GB"/>
        </w:rPr>
        <w:t xml:space="preserve">otential (ODP), </w:t>
      </w:r>
      <w:r>
        <w:rPr>
          <w:lang w:val="en-GB"/>
        </w:rPr>
        <w:t>A</w:t>
      </w:r>
      <w:r w:rsidRPr="00760EAA">
        <w:rPr>
          <w:lang w:val="en-GB"/>
        </w:rPr>
        <w:t xml:space="preserve">cidification </w:t>
      </w:r>
      <w:r>
        <w:rPr>
          <w:lang w:val="en-GB"/>
        </w:rPr>
        <w:t>P</w:t>
      </w:r>
      <w:r w:rsidRPr="00760EAA">
        <w:rPr>
          <w:lang w:val="en-GB"/>
        </w:rPr>
        <w:t>otential (AP)</w:t>
      </w:r>
      <w:r w:rsidR="00026097">
        <w:rPr>
          <w:lang w:val="en-GB"/>
        </w:rPr>
        <w:t>,</w:t>
      </w:r>
      <w:r w:rsidRPr="00760EAA">
        <w:rPr>
          <w:lang w:val="en-GB"/>
        </w:rPr>
        <w:t xml:space="preserve"> and </w:t>
      </w:r>
      <w:r>
        <w:rPr>
          <w:lang w:val="en-GB"/>
        </w:rPr>
        <w:t>Photochemical Oxidation Potential</w:t>
      </w:r>
      <w:r w:rsidRPr="00760EAA">
        <w:rPr>
          <w:lang w:val="en-GB"/>
        </w:rPr>
        <w:t xml:space="preserve"> (PCOP), and four categories of global toxicological impact: </w:t>
      </w:r>
      <w:r>
        <w:rPr>
          <w:lang w:val="en-GB"/>
        </w:rPr>
        <w:t>H</w:t>
      </w:r>
      <w:r w:rsidRPr="00760EAA">
        <w:rPr>
          <w:lang w:val="en-GB"/>
        </w:rPr>
        <w:t>uman Toxicity Potential by Ingestion (HTPI), Human Toxicity Potential by</w:t>
      </w:r>
      <w:r>
        <w:rPr>
          <w:lang w:val="en-GB"/>
        </w:rPr>
        <w:t xml:space="preserve"> </w:t>
      </w:r>
      <w:r w:rsidRPr="00760EAA">
        <w:rPr>
          <w:lang w:val="en-GB"/>
        </w:rPr>
        <w:t xml:space="preserve">Exposure (HTPE), </w:t>
      </w:r>
      <w:r>
        <w:rPr>
          <w:lang w:val="en-GB"/>
        </w:rPr>
        <w:t>A</w:t>
      </w:r>
      <w:r w:rsidRPr="00760EAA">
        <w:rPr>
          <w:lang w:val="en-GB"/>
        </w:rPr>
        <w:t xml:space="preserve">quatic </w:t>
      </w:r>
      <w:r>
        <w:rPr>
          <w:lang w:val="en-GB"/>
        </w:rPr>
        <w:t>T</w:t>
      </w:r>
      <w:r w:rsidRPr="00760EAA">
        <w:rPr>
          <w:lang w:val="en-GB"/>
        </w:rPr>
        <w:t xml:space="preserve">oxicity </w:t>
      </w:r>
      <w:r>
        <w:rPr>
          <w:lang w:val="en-GB"/>
        </w:rPr>
        <w:t>P</w:t>
      </w:r>
      <w:r w:rsidRPr="00760EAA">
        <w:rPr>
          <w:lang w:val="en-GB"/>
        </w:rPr>
        <w:t xml:space="preserve">otential (ATP), and </w:t>
      </w:r>
      <w:r>
        <w:rPr>
          <w:lang w:val="en-GB"/>
        </w:rPr>
        <w:t>T</w:t>
      </w:r>
      <w:r w:rsidRPr="00760EAA">
        <w:rPr>
          <w:lang w:val="en-GB"/>
        </w:rPr>
        <w:t xml:space="preserve">errestrial </w:t>
      </w:r>
      <w:r>
        <w:rPr>
          <w:lang w:val="en-GB"/>
        </w:rPr>
        <w:t>T</w:t>
      </w:r>
      <w:r w:rsidRPr="00760EAA">
        <w:rPr>
          <w:lang w:val="en-GB"/>
        </w:rPr>
        <w:t xml:space="preserve">oxicity </w:t>
      </w:r>
      <w:r>
        <w:rPr>
          <w:lang w:val="en-GB"/>
        </w:rPr>
        <w:t>P</w:t>
      </w:r>
      <w:r w:rsidRPr="00760EAA">
        <w:rPr>
          <w:lang w:val="en-GB"/>
        </w:rPr>
        <w:t>otential (TTP).</w:t>
      </w:r>
    </w:p>
    <w:p w14:paraId="39506C00" w14:textId="5D73068E" w:rsidR="00C707EE" w:rsidRDefault="00A231E5" w:rsidP="00C707EE">
      <w:pPr>
        <w:pStyle w:val="CETheadingx"/>
      </w:pPr>
      <w:r>
        <w:t>Renewable energy integration</w:t>
      </w:r>
    </w:p>
    <w:p w14:paraId="5408F301" w14:textId="23C4C69B" w:rsidR="00B15A68" w:rsidRDefault="009813EC" w:rsidP="00453E24">
      <w:pPr>
        <w:pStyle w:val="CETBodytext"/>
      </w:pPr>
      <w:r>
        <w:t xml:space="preserve">Solar power integration analysis was supported </w:t>
      </w:r>
      <w:r w:rsidR="003074D7">
        <w:t>on</w:t>
      </w:r>
      <w:r>
        <w:t xml:space="preserve"> the r</w:t>
      </w:r>
      <w:r w:rsidR="002C5B62">
        <w:t>esearch of</w:t>
      </w:r>
      <w:r w:rsidR="002C5B62" w:rsidRPr="002C5B62">
        <w:t xml:space="preserve"> Tora and El-Halwagi </w:t>
      </w:r>
      <w:r w:rsidR="002C5B62">
        <w:t>(2010</w:t>
      </w:r>
      <w:r>
        <w:t xml:space="preserve">). In </w:t>
      </w:r>
      <w:r w:rsidR="00FA4A2E">
        <w:t>that</w:t>
      </w:r>
      <w:r>
        <w:t xml:space="preserve"> study,</w:t>
      </w:r>
      <w:r w:rsidR="002C5B62" w:rsidRPr="002C5B62">
        <w:t xml:space="preserve"> non-linear programming models are used to calculate the contribution of solar energy in </w:t>
      </w:r>
      <w:r w:rsidR="00CF643D">
        <w:t>steam generation</w:t>
      </w:r>
      <w:r w:rsidR="002C5B62" w:rsidRPr="002C5B62">
        <w:t xml:space="preserve"> and</w:t>
      </w:r>
      <w:r w:rsidR="002B1AD0">
        <w:t xml:space="preserve"> also</w:t>
      </w:r>
      <w:r w:rsidR="002C5B62" w:rsidRPr="002C5B62">
        <w:t xml:space="preserve"> design</w:t>
      </w:r>
      <w:r w:rsidR="002B1AD0">
        <w:t>ed</w:t>
      </w:r>
      <w:r w:rsidR="002C5B62" w:rsidRPr="002C5B62">
        <w:t xml:space="preserve"> the required area of solar collectors minimizing the total annualized cost of the</w:t>
      </w:r>
      <w:r w:rsidR="00CF643D">
        <w:t xml:space="preserve"> plant</w:t>
      </w:r>
      <w:r w:rsidR="002C5B62" w:rsidRPr="002C5B62">
        <w:t xml:space="preserve">. </w:t>
      </w:r>
      <w:r w:rsidR="00FE681D">
        <w:t xml:space="preserve">The reader is referred to the </w:t>
      </w:r>
      <w:r w:rsidR="003074D7">
        <w:t>before-mentioned p</w:t>
      </w:r>
      <w:r w:rsidR="00FE681D">
        <w:t>aper to</w:t>
      </w:r>
      <w:r w:rsidR="00B15A68">
        <w:t xml:space="preserve"> get</w:t>
      </w:r>
      <w:r w:rsidR="00FE681D">
        <w:t xml:space="preserve"> a detailed explanation of the model and the procedure.</w:t>
      </w:r>
    </w:p>
    <w:p w14:paraId="2F54CC14" w14:textId="3BE32F31" w:rsidR="00B15A68" w:rsidRDefault="00B15A68" w:rsidP="00453E24">
      <w:pPr>
        <w:pStyle w:val="CETBodytext"/>
      </w:pPr>
      <w:r>
        <w:t xml:space="preserve">In the present work, the configuration shown in Figure </w:t>
      </w:r>
      <w:r w:rsidR="00411CBA">
        <w:t>1</w:t>
      </w:r>
      <w:r>
        <w:t xml:space="preserve"> is proposed, where </w:t>
      </w:r>
      <w:r w:rsidRPr="00B15A68">
        <w:t xml:space="preserve">part of the heat generated by the solar collectors </w:t>
      </w:r>
      <w:r>
        <w:t>is</w:t>
      </w:r>
      <w:r w:rsidRPr="00B15A68">
        <w:t xml:space="preserve"> used to generate electrical power through an organic Rankine cycle (ORC</w:t>
      </w:r>
      <w:r w:rsidR="00F23C7C">
        <w:t xml:space="preserve">). </w:t>
      </w:r>
      <w:r>
        <w:t>This type of</w:t>
      </w:r>
      <w:r w:rsidRPr="00B15A68">
        <w:t xml:space="preserve"> cycle </w:t>
      </w:r>
      <w:r w:rsidR="005B4C8A">
        <w:t>is being already used</w:t>
      </w:r>
      <w:r w:rsidR="003074D7">
        <w:t xml:space="preserve"> on</w:t>
      </w:r>
      <w:r w:rsidR="00B37F60">
        <w:t xml:space="preserve"> </w:t>
      </w:r>
      <w:r w:rsidR="003074D7">
        <w:t xml:space="preserve">a </w:t>
      </w:r>
      <w:r w:rsidR="00B37F60">
        <w:t>commercial scale (manufactured by companies like ENOGIA and Rank) and</w:t>
      </w:r>
      <w:r w:rsidR="005B4C8A">
        <w:t xml:space="preserve"> </w:t>
      </w:r>
      <w:r w:rsidRPr="00B15A68">
        <w:t xml:space="preserve">has several advantages for its use in small-scale energy production and with relatively low-temperature sources such as </w:t>
      </w:r>
      <w:r w:rsidR="00021A2D">
        <w:t xml:space="preserve">parabolic </w:t>
      </w:r>
      <w:r w:rsidRPr="00B15A68">
        <w:t>solar collector</w:t>
      </w:r>
      <w:r w:rsidR="00CA0AFA">
        <w:t>s</w:t>
      </w:r>
      <w:r w:rsidRPr="00B15A68">
        <w:t>.</w:t>
      </w:r>
      <w:r w:rsidR="003074D7">
        <w:t xml:space="preserve"> Also, a furnace or gas-fired h</w:t>
      </w:r>
      <w:r w:rsidR="00F23C7C">
        <w:t>eater is used to account for the intermittence of solar power and to maintain a constant thermal oil temperature</w:t>
      </w:r>
      <w:r w:rsidR="00F23C7C" w:rsidRPr="00B15A68">
        <w:t>.</w:t>
      </w:r>
    </w:p>
    <w:p w14:paraId="5E0AFCB7" w14:textId="174F538C" w:rsidR="00087EEC" w:rsidRDefault="00087EEC" w:rsidP="00087EEC">
      <w:pPr>
        <w:pStyle w:val="CETBodytext"/>
      </w:pPr>
      <w:r>
        <w:t xml:space="preserve">LINGO software was used to solve the non-linear programming model to calculate the monthly solar power contribution and optimal solar collector area </w:t>
      </w:r>
      <w:r w:rsidR="00026097">
        <w:t>to</w:t>
      </w:r>
      <w:r>
        <w:t xml:space="preserve"> achieve an annual 60% of solar energy contribution in the system. Solar radiation data was taken from NASA online database at a proposed location for the MBR. Efficiency of the parabolic solar collectors was calculated with equations and parameters fo</w:t>
      </w:r>
      <w:r w:rsidR="003074D7">
        <w:t>und in Bruno et al. (2008). The total</w:t>
      </w:r>
      <w:r>
        <w:t xml:space="preserve"> cost of this equipment was estimated using the correlation presented in the work of </w:t>
      </w:r>
      <w:r w:rsidRPr="002C5B62">
        <w:t xml:space="preserve">Tora and El-Halwagi </w:t>
      </w:r>
      <w:r>
        <w:t>(2010) and adjusted with the customer price index.</w:t>
      </w:r>
    </w:p>
    <w:p w14:paraId="6FBD4D9F" w14:textId="5CE79C78" w:rsidR="0047615D" w:rsidRPr="00F7614D" w:rsidRDefault="00087EEC" w:rsidP="00087EEC">
      <w:pPr>
        <w:pStyle w:val="CETBodytext"/>
        <w:rPr>
          <w:lang w:val="en-GB"/>
        </w:rPr>
      </w:pPr>
      <w:r>
        <w:t xml:space="preserve">Solar collectors’ operations and maintenance costs were taken as 0.016 </w:t>
      </w:r>
      <w:r>
        <w:rPr>
          <w:rFonts w:cs="Arial"/>
          <w:szCs w:val="18"/>
          <w:lang w:val="en-GB"/>
        </w:rPr>
        <w:t xml:space="preserve">USD/kW-h as reported in </w:t>
      </w:r>
      <w:r w:rsidRPr="008C5A94">
        <w:rPr>
          <w:rFonts w:cs="Arial"/>
          <w:szCs w:val="18"/>
          <w:lang w:val="en-GB"/>
        </w:rPr>
        <w:t>International Renewable Energy Agency</w:t>
      </w:r>
      <w:r>
        <w:rPr>
          <w:rFonts w:cs="Arial"/>
          <w:szCs w:val="18"/>
          <w:lang w:val="en-GB"/>
        </w:rPr>
        <w:t xml:space="preserve"> (</w:t>
      </w:r>
      <w:r w:rsidRPr="008C5A94">
        <w:rPr>
          <w:rFonts w:cs="Arial"/>
          <w:szCs w:val="18"/>
          <w:lang w:val="en-GB"/>
        </w:rPr>
        <w:t>2020)</w:t>
      </w:r>
      <w:r>
        <w:rPr>
          <w:rFonts w:cs="Arial"/>
          <w:szCs w:val="18"/>
          <w:lang w:val="en-GB"/>
        </w:rPr>
        <w:t>. For ORC system technical information was taken from Enogia</w:t>
      </w:r>
      <w:r w:rsidR="00DF229B">
        <w:rPr>
          <w:rFonts w:cs="Arial"/>
          <w:szCs w:val="18"/>
          <w:lang w:val="en-GB"/>
        </w:rPr>
        <w:t xml:space="preserve"> catalogues </w:t>
      </w:r>
      <w:r>
        <w:rPr>
          <w:rFonts w:cs="Arial"/>
          <w:szCs w:val="18"/>
          <w:lang w:val="en-GB"/>
        </w:rPr>
        <w:t xml:space="preserve">and economic data such as capital investment cost (2,500 </w:t>
      </w:r>
      <w:r>
        <w:rPr>
          <w:lang w:val="en-GB"/>
        </w:rPr>
        <w:t>€/kW) and operating costs (</w:t>
      </w:r>
      <w:r w:rsidRPr="00883DBC">
        <w:rPr>
          <w:lang w:val="en-GB"/>
        </w:rPr>
        <w:t>0.24 €ct/kW-h</w:t>
      </w:r>
      <w:r>
        <w:rPr>
          <w:lang w:val="en-GB"/>
        </w:rPr>
        <w:t>) from the study of Pál (2017).</w:t>
      </w:r>
    </w:p>
    <w:p w14:paraId="68A9308A" w14:textId="11561B90" w:rsidR="009A69B1" w:rsidRDefault="00BB1C5D" w:rsidP="009A69B1">
      <w:pPr>
        <w:pStyle w:val="CETBodytext"/>
        <w:jc w:val="left"/>
      </w:pPr>
      <w:r>
        <w:object w:dxaOrig="11381" w:dyaOrig="4101" w14:anchorId="5F83ED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25pt;height:138.65pt" o:ole="">
            <v:imagedata r:id="rId10" o:title=""/>
          </v:shape>
          <o:OLEObject Type="Embed" ProgID="Visio.Drawing.15" ShapeID="_x0000_i1025" DrawAspect="Content" ObjectID="_1739691108" r:id="rId11"/>
        </w:object>
      </w:r>
    </w:p>
    <w:p w14:paraId="07F7CCED" w14:textId="4044AAF2" w:rsidR="00765660" w:rsidRPr="00236CBD" w:rsidRDefault="00765660" w:rsidP="00236CBD">
      <w:pPr>
        <w:pStyle w:val="CETCaption"/>
        <w:spacing w:before="0"/>
      </w:pPr>
      <w:r w:rsidRPr="00236CBD">
        <w:rPr>
          <w:rStyle w:val="CETCaptionCarattere"/>
          <w:i/>
        </w:rPr>
        <w:t xml:space="preserve">Figure </w:t>
      </w:r>
      <w:r w:rsidR="00411CBA" w:rsidRPr="00236CBD">
        <w:rPr>
          <w:rStyle w:val="CETCaptionCarattere"/>
          <w:i/>
        </w:rPr>
        <w:t>1</w:t>
      </w:r>
      <w:r w:rsidRPr="00236CBD">
        <w:rPr>
          <w:rStyle w:val="CETCaptionCarattere"/>
          <w:i/>
        </w:rPr>
        <w:t>: Conceptual diagram of proposed power system integrated to solar energy.</w:t>
      </w:r>
    </w:p>
    <w:p w14:paraId="677EBFF0" w14:textId="059E083B" w:rsidR="00600535" w:rsidRDefault="00C707EE" w:rsidP="00600535">
      <w:pPr>
        <w:pStyle w:val="CETHeading1"/>
        <w:tabs>
          <w:tab w:val="clear" w:pos="360"/>
          <w:tab w:val="right" w:pos="7100"/>
        </w:tabs>
        <w:jc w:val="both"/>
        <w:rPr>
          <w:lang w:val="en-GB"/>
        </w:rPr>
      </w:pPr>
      <w:r>
        <w:rPr>
          <w:lang w:val="en-GB"/>
        </w:rPr>
        <w:t>Results</w:t>
      </w:r>
    </w:p>
    <w:p w14:paraId="736A096D" w14:textId="2ECA3B04" w:rsidR="005F481E" w:rsidRDefault="00C707EE" w:rsidP="005D4B97">
      <w:pPr>
        <w:pStyle w:val="CETheadingx"/>
      </w:pPr>
      <w:r>
        <w:t>Mass balance and energy requirements</w:t>
      </w:r>
    </w:p>
    <w:p w14:paraId="6D9C791D" w14:textId="6677BB09" w:rsidR="005F481E" w:rsidRPr="0073715F" w:rsidRDefault="0073715F" w:rsidP="0073715F">
      <w:pPr>
        <w:pStyle w:val="CETBodytext"/>
      </w:pPr>
      <w:r w:rsidRPr="0073715F">
        <w:t>F</w:t>
      </w:r>
      <w:r w:rsidR="000B01BE">
        <w:t>or the simulation of cassava MBR</w:t>
      </w:r>
      <w:r w:rsidR="003B0BEA">
        <w:t>,</w:t>
      </w:r>
      <w:r w:rsidR="000B01BE">
        <w:t xml:space="preserve"> f</w:t>
      </w:r>
      <w:r w:rsidRPr="0073715F">
        <w:t>iber</w:t>
      </w:r>
      <w:r w:rsidR="0043288C" w:rsidRPr="0073715F">
        <w:t xml:space="preserve"> </w:t>
      </w:r>
      <w:r w:rsidR="000B01BE">
        <w:t>fraction</w:t>
      </w:r>
      <w:r w:rsidR="0043288C" w:rsidRPr="0073715F">
        <w:t xml:space="preserve"> </w:t>
      </w:r>
      <w:r w:rsidR="005D4B97" w:rsidRPr="0073715F">
        <w:t>of biomass</w:t>
      </w:r>
      <w:r w:rsidR="0043288C" w:rsidRPr="0073715F">
        <w:t xml:space="preserve"> was </w:t>
      </w:r>
      <w:r w:rsidR="000B01BE">
        <w:t>considered</w:t>
      </w:r>
      <w:r w:rsidR="007D5BE5" w:rsidRPr="0073715F">
        <w:t xml:space="preserve"> as XYLAN</w:t>
      </w:r>
      <w:r w:rsidR="005D5DBF" w:rsidRPr="0073715F">
        <w:t xml:space="preserve"> and</w:t>
      </w:r>
      <w:r w:rsidR="007D5BE5" w:rsidRPr="0073715F">
        <w:t xml:space="preserve"> unknown dissolved solids </w:t>
      </w:r>
      <w:r w:rsidR="00996375" w:rsidRPr="0073715F">
        <w:t xml:space="preserve">or impurities </w:t>
      </w:r>
      <w:r w:rsidR="007D5BE5" w:rsidRPr="0073715F">
        <w:t>as SOLUNKN from</w:t>
      </w:r>
      <w:r w:rsidR="005D4B97" w:rsidRPr="0073715F">
        <w:t xml:space="preserve"> the work of</w:t>
      </w:r>
      <w:r w:rsidR="007D5BE5" w:rsidRPr="0073715F">
        <w:t xml:space="preserve"> Wooley and Putsche (1996)</w:t>
      </w:r>
      <w:r w:rsidR="005D5DBF" w:rsidRPr="0073715F">
        <w:t>.</w:t>
      </w:r>
      <w:r w:rsidR="009A3396">
        <w:t xml:space="preserve"> </w:t>
      </w:r>
    </w:p>
    <w:p w14:paraId="08FD5802" w14:textId="33C432F8" w:rsidR="0078386E" w:rsidRPr="0073715F" w:rsidRDefault="0078386E" w:rsidP="0073715F">
      <w:pPr>
        <w:pStyle w:val="CETBodytext"/>
        <w:rPr>
          <w:lang w:eastAsia="es-CO"/>
        </w:rPr>
      </w:pPr>
      <w:r w:rsidRPr="0073715F">
        <w:t>Production yields obtained based on the processing of one daily ton of cassava were: 254</w:t>
      </w:r>
      <w:r w:rsidR="00637E56">
        <w:t>.6 kg</w:t>
      </w:r>
      <w:r w:rsidRPr="0073715F">
        <w:t xml:space="preserve"> of cassava starch (</w:t>
      </w:r>
      <w:r w:rsidR="009E4015" w:rsidRPr="009A3396">
        <w:t>H</w:t>
      </w:r>
      <w:r w:rsidR="009E4015">
        <w:rPr>
          <w:vertAlign w:val="subscript"/>
        </w:rPr>
        <w:t>2</w:t>
      </w:r>
      <w:r w:rsidR="009E4015">
        <w:t xml:space="preserve">O: </w:t>
      </w:r>
      <w:r w:rsidRPr="0073715F">
        <w:t>8%</w:t>
      </w:r>
      <w:r w:rsidR="009E4015">
        <w:t>, starch: 91.3%, fiber: 0.7%</w:t>
      </w:r>
      <w:r w:rsidRPr="0073715F">
        <w:t>), 19.2 kg of calcium citrate</w:t>
      </w:r>
      <w:r w:rsidR="009E4015">
        <w:t xml:space="preserve"> (</w:t>
      </w:r>
      <w:r w:rsidR="009E4015" w:rsidRPr="009A3396">
        <w:t>H</w:t>
      </w:r>
      <w:r w:rsidR="009E4015">
        <w:rPr>
          <w:vertAlign w:val="subscript"/>
        </w:rPr>
        <w:t>2</w:t>
      </w:r>
      <w:r w:rsidR="009E4015">
        <w:t>O: 6</w:t>
      </w:r>
      <w:r w:rsidR="009E4015" w:rsidRPr="0073715F">
        <w:t>%</w:t>
      </w:r>
      <w:r w:rsidR="009E4015">
        <w:t xml:space="preserve">, calcium citrate: 67.9%, </w:t>
      </w:r>
      <w:r w:rsidR="009E4015" w:rsidRPr="003A25DA">
        <w:t>Ca(OH)</w:t>
      </w:r>
      <w:r w:rsidR="009E4015" w:rsidRPr="003A25DA">
        <w:rPr>
          <w:vertAlign w:val="subscript"/>
        </w:rPr>
        <w:t>2</w:t>
      </w:r>
      <w:r w:rsidR="009E4015">
        <w:t xml:space="preserve">: 1.2%, </w:t>
      </w:r>
      <w:r w:rsidR="009E4015" w:rsidRPr="0073715F">
        <w:t>SOLUNKN</w:t>
      </w:r>
      <w:r w:rsidR="009E4015">
        <w:t>: 24.9%)</w:t>
      </w:r>
      <w:r w:rsidRPr="0073715F">
        <w:t xml:space="preserve"> and 3.5 Nm</w:t>
      </w:r>
      <w:r w:rsidRPr="0014124A">
        <w:rPr>
          <w:vertAlign w:val="superscript"/>
        </w:rPr>
        <w:t>3</w:t>
      </w:r>
      <w:r w:rsidRPr="0073715F">
        <w:t xml:space="preserve"> of biogas</w:t>
      </w:r>
      <w:r w:rsidR="00E96108">
        <w:t xml:space="preserve"> (</w:t>
      </w:r>
      <w:r w:rsidR="00E96108" w:rsidRPr="0081714F">
        <w:rPr>
          <w:lang w:eastAsia="es-CO"/>
        </w:rPr>
        <w:t>CH</w:t>
      </w:r>
      <w:r w:rsidR="00E96108" w:rsidRPr="0081714F">
        <w:rPr>
          <w:vertAlign w:val="subscript"/>
          <w:lang w:eastAsia="es-CO"/>
        </w:rPr>
        <w:t>4</w:t>
      </w:r>
      <w:r w:rsidR="00E96108" w:rsidRPr="0081714F">
        <w:rPr>
          <w:lang w:eastAsia="es-CO"/>
        </w:rPr>
        <w:t>: 57.33% v/v</w:t>
      </w:r>
      <w:r w:rsidR="00E96108">
        <w:rPr>
          <w:lang w:eastAsia="es-CO"/>
        </w:rPr>
        <w:t>, C</w:t>
      </w:r>
      <w:r w:rsidR="00E96108" w:rsidRPr="00E96108">
        <w:rPr>
          <w:lang w:val="en-GB" w:eastAsia="es-CO"/>
        </w:rPr>
        <w:t>O</w:t>
      </w:r>
      <w:r w:rsidR="00E96108" w:rsidRPr="00E96108">
        <w:rPr>
          <w:vertAlign w:val="subscript"/>
          <w:lang w:val="en-GB" w:eastAsia="es-CO"/>
        </w:rPr>
        <w:t>2</w:t>
      </w:r>
      <w:r w:rsidR="00E96108" w:rsidRPr="00E96108">
        <w:rPr>
          <w:lang w:val="en-GB" w:eastAsia="es-CO"/>
        </w:rPr>
        <w:t>: 42.50% v/v</w:t>
      </w:r>
      <w:r w:rsidR="00E96108">
        <w:rPr>
          <w:lang w:val="en-GB" w:eastAsia="es-CO"/>
        </w:rPr>
        <w:t xml:space="preserve">, </w:t>
      </w:r>
      <w:r w:rsidR="00E96108" w:rsidRPr="00E96108">
        <w:rPr>
          <w:lang w:eastAsia="es-CO"/>
        </w:rPr>
        <w:t>H</w:t>
      </w:r>
      <w:r w:rsidR="00E96108" w:rsidRPr="00E96108">
        <w:rPr>
          <w:vertAlign w:val="subscript"/>
          <w:lang w:eastAsia="es-CO"/>
        </w:rPr>
        <w:t>2</w:t>
      </w:r>
      <w:r w:rsidR="00E96108" w:rsidRPr="00E96108">
        <w:rPr>
          <w:lang w:eastAsia="es-CO"/>
        </w:rPr>
        <w:t>O: 0.06 %v/v</w:t>
      </w:r>
      <w:r w:rsidR="00E96108">
        <w:rPr>
          <w:lang w:eastAsia="es-CO"/>
        </w:rPr>
        <w:t xml:space="preserve">, </w:t>
      </w:r>
      <w:r w:rsidR="00E96108" w:rsidRPr="003A25DA">
        <w:rPr>
          <w:lang w:eastAsia="es-CO"/>
        </w:rPr>
        <w:t>H</w:t>
      </w:r>
      <w:r w:rsidR="00E96108" w:rsidRPr="003A25DA">
        <w:rPr>
          <w:vertAlign w:val="subscript"/>
          <w:lang w:eastAsia="es-CO"/>
        </w:rPr>
        <w:t>2</w:t>
      </w:r>
      <w:r w:rsidR="00E96108" w:rsidRPr="003A25DA">
        <w:rPr>
          <w:lang w:eastAsia="es-CO"/>
        </w:rPr>
        <w:t>S: 0.11% v/v)</w:t>
      </w:r>
      <w:r w:rsidRPr="0073715F">
        <w:t>.</w:t>
      </w:r>
      <w:r w:rsidR="00C61173">
        <w:t xml:space="preserve"> </w:t>
      </w:r>
      <w:r w:rsidRPr="0073715F">
        <w:t>It should be noted that the calcium citrate obtained contains impurities of around 25%, this is due to the fact that technologies or purification stages such as ion exchange resins or ultrafiltration were not taken into account due to their prohibitive cost. This product, in order to be marketed to the food or pharmaceutical industries, should be purified in a centralized plant.</w:t>
      </w:r>
    </w:p>
    <w:p w14:paraId="19345C47" w14:textId="1C3062CB" w:rsidR="00BC7072" w:rsidRPr="008D1540" w:rsidRDefault="00045EEF" w:rsidP="008D1540">
      <w:pPr>
        <w:pStyle w:val="CETBodytext"/>
      </w:pPr>
      <w:r w:rsidRPr="0073715F">
        <w:t>For rejected banana MBR</w:t>
      </w:r>
      <w:r w:rsidR="00C61173">
        <w:t xml:space="preserve">, </w:t>
      </w:r>
      <w:r w:rsidRPr="0073715F">
        <w:t>the fruit</w:t>
      </w:r>
      <w:r w:rsidR="00C61173">
        <w:t xml:space="preserve"> pulp</w:t>
      </w:r>
      <w:r w:rsidRPr="0073715F">
        <w:t xml:space="preserve"> was </w:t>
      </w:r>
      <w:r w:rsidRPr="008D1540">
        <w:t xml:space="preserve">divided into equal fractions for the production of flour and glucose syrup. And the </w:t>
      </w:r>
      <w:r w:rsidR="00CB1882" w:rsidRPr="008D1540">
        <w:t>peel</w:t>
      </w:r>
      <w:r w:rsidRPr="008D1540">
        <w:t xml:space="preserve"> obtained in each of these sections was used for the production of calcium lactate. </w:t>
      </w:r>
      <w:r w:rsidR="00546BED">
        <w:t xml:space="preserve"> </w:t>
      </w:r>
      <w:r w:rsidR="00BC7072" w:rsidRPr="008D1540">
        <w:t>Composition of banana pulp</w:t>
      </w:r>
      <w:r w:rsidR="00B31BD3" w:rsidRPr="008D1540">
        <w:t xml:space="preserve"> and peel</w:t>
      </w:r>
      <w:r w:rsidR="00BC7072" w:rsidRPr="008D1540">
        <w:t xml:space="preserve"> was taken from Naranjo et al. (2014)</w:t>
      </w:r>
      <w:r w:rsidR="00223FC2">
        <w:t>.</w:t>
      </w:r>
    </w:p>
    <w:p w14:paraId="7EBD1C27" w14:textId="0F596CF6" w:rsidR="006C4858" w:rsidRDefault="00CB1882" w:rsidP="00DB742D">
      <w:pPr>
        <w:pStyle w:val="CETBodytext"/>
      </w:pPr>
      <w:r w:rsidRPr="008D1540">
        <w:t>For</w:t>
      </w:r>
      <w:r w:rsidR="00045EEF" w:rsidRPr="008D1540">
        <w:t xml:space="preserve"> each processed ton of rejected bananas, the following was obtained: 127</w:t>
      </w:r>
      <w:r w:rsidR="00B31BD3" w:rsidRPr="008D1540">
        <w:t>.</w:t>
      </w:r>
      <w:r w:rsidR="00045EEF" w:rsidRPr="008D1540">
        <w:t xml:space="preserve">5 </w:t>
      </w:r>
      <w:r w:rsidR="00B31BD3" w:rsidRPr="008D1540">
        <w:t xml:space="preserve">kg </w:t>
      </w:r>
      <w:r w:rsidR="00045EEF" w:rsidRPr="008D1540">
        <w:t>of flour</w:t>
      </w:r>
      <w:r w:rsidR="00933C38" w:rsidRPr="008D1540">
        <w:t xml:space="preserve"> (H</w:t>
      </w:r>
      <w:r w:rsidR="00933C38" w:rsidRPr="00032FE1">
        <w:rPr>
          <w:vertAlign w:val="subscript"/>
        </w:rPr>
        <w:t>2</w:t>
      </w:r>
      <w:r w:rsidR="00933C38" w:rsidRPr="008D1540">
        <w:t xml:space="preserve">O: 6%, starch: 88.9%, fiber: 5.1%), </w:t>
      </w:r>
      <w:r w:rsidR="00B31BD3" w:rsidRPr="008D1540">
        <w:t xml:space="preserve">6.3 kg </w:t>
      </w:r>
      <w:r w:rsidR="00045EEF" w:rsidRPr="008D1540">
        <w:t xml:space="preserve">of calcium lactate </w:t>
      </w:r>
      <w:r w:rsidR="00933C38" w:rsidRPr="008D1540">
        <w:t>(H</w:t>
      </w:r>
      <w:r w:rsidR="00933C38" w:rsidRPr="00032FE1">
        <w:rPr>
          <w:vertAlign w:val="subscript"/>
        </w:rPr>
        <w:t>2</w:t>
      </w:r>
      <w:r w:rsidR="00933C38" w:rsidRPr="008D1540">
        <w:t xml:space="preserve">O: 8%, calcium </w:t>
      </w:r>
      <w:r w:rsidR="00F77A86" w:rsidRPr="008D1540">
        <w:t>lactate</w:t>
      </w:r>
      <w:r w:rsidR="00933C38" w:rsidRPr="008D1540">
        <w:t>: 88.4%, Ca(OH)</w:t>
      </w:r>
      <w:r w:rsidR="00933C38" w:rsidRPr="00032FE1">
        <w:rPr>
          <w:vertAlign w:val="subscript"/>
        </w:rPr>
        <w:t>2</w:t>
      </w:r>
      <w:r w:rsidR="00933C38" w:rsidRPr="008D1540">
        <w:t xml:space="preserve">: 3.6%) </w:t>
      </w:r>
      <w:r w:rsidR="00045EEF" w:rsidRPr="008D1540">
        <w:t xml:space="preserve">and 118 </w:t>
      </w:r>
      <w:r w:rsidR="00B31BD3" w:rsidRPr="008D1540">
        <w:t>kg</w:t>
      </w:r>
      <w:r w:rsidR="00045EEF" w:rsidRPr="008D1540">
        <w:t xml:space="preserve"> of glucose syrup</w:t>
      </w:r>
      <w:r w:rsidR="00624CFA" w:rsidRPr="008D1540">
        <w:t xml:space="preserve"> (H</w:t>
      </w:r>
      <w:r w:rsidR="00624CFA" w:rsidRPr="00032FE1">
        <w:rPr>
          <w:vertAlign w:val="subscript"/>
        </w:rPr>
        <w:t>2</w:t>
      </w:r>
      <w:r w:rsidR="00624CFA" w:rsidRPr="008D1540">
        <w:t xml:space="preserve">O: 28%, glucose: 72%). </w:t>
      </w:r>
      <w:r w:rsidR="008D1540" w:rsidRPr="008D1540">
        <w:t>The syrup is usually composed of a mixture of sugars such as dextrose, maltose, and glucose. For simplicity, in the simulator all this composition was taken as glucose</w:t>
      </w:r>
      <w:r w:rsidR="00A84958">
        <w:t>.</w:t>
      </w:r>
    </w:p>
    <w:p w14:paraId="67EBA8F6" w14:textId="692655F9" w:rsidR="00DB742D" w:rsidRDefault="00BD7EA4" w:rsidP="00DB742D">
      <w:pPr>
        <w:pStyle w:val="CETBodytext"/>
      </w:pPr>
      <w:r>
        <w:t xml:space="preserve">Regarding the energy requirements, for </w:t>
      </w:r>
      <w:r w:rsidR="00461ECD">
        <w:t xml:space="preserve">a </w:t>
      </w:r>
      <w:r>
        <w:t>10 t/day processing capacity</w:t>
      </w:r>
      <w:r w:rsidR="00BA231A">
        <w:t xml:space="preserve">, </w:t>
      </w:r>
      <w:r>
        <w:t xml:space="preserve">thermal and electrical power for cassava MBR are </w:t>
      </w:r>
      <w:r w:rsidRPr="00861C88">
        <w:t>5,029.8</w:t>
      </w:r>
      <w:r>
        <w:t xml:space="preserve"> MJ/day and </w:t>
      </w:r>
      <w:r w:rsidRPr="00861C88">
        <w:t>173.4</w:t>
      </w:r>
      <w:r>
        <w:t xml:space="preserve"> kW-h/day. And for the same scale in the rejected banana MBR these values are 10,278.4 MJ/day and 208.5 kW-h/day respectively. </w:t>
      </w:r>
      <w:r w:rsidR="00BA231A">
        <w:t>This difference could be explained by rejected banana MBR</w:t>
      </w:r>
      <w:r w:rsidR="007700E9">
        <w:t xml:space="preserve"> </w:t>
      </w:r>
      <w:r w:rsidR="00204722">
        <w:t xml:space="preserve">having </w:t>
      </w:r>
      <w:r w:rsidR="00F97265" w:rsidRPr="00DB742D">
        <w:t xml:space="preserve">more drying stages for flour and calcium lactate, as well as the evaporation </w:t>
      </w:r>
      <w:r w:rsidR="00471DA1" w:rsidRPr="00DB742D">
        <w:t>step in the glucose syrup production</w:t>
      </w:r>
      <w:r w:rsidR="00806240">
        <w:t>, and also more solid handling equipment which requires more electric</w:t>
      </w:r>
      <w:r w:rsidR="00AE2753">
        <w:t>al</w:t>
      </w:r>
      <w:r w:rsidR="00382F51">
        <w:t xml:space="preserve"> </w:t>
      </w:r>
      <w:r w:rsidR="00806240">
        <w:t>power.</w:t>
      </w:r>
    </w:p>
    <w:p w14:paraId="1F96CA21" w14:textId="5F77F11F" w:rsidR="00600535" w:rsidRPr="00B57B36" w:rsidRDefault="00C707EE" w:rsidP="00FA5F5F">
      <w:pPr>
        <w:pStyle w:val="CETheadingx"/>
      </w:pPr>
      <w:r>
        <w:t xml:space="preserve">Economic </w:t>
      </w:r>
      <w:r w:rsidR="008C07E0">
        <w:t>analysis</w:t>
      </w:r>
    </w:p>
    <w:p w14:paraId="334655F2" w14:textId="7D26402C" w:rsidR="0047615D" w:rsidRDefault="00843A83" w:rsidP="00600535">
      <w:pPr>
        <w:pStyle w:val="CETBodytext"/>
        <w:rPr>
          <w:lang w:val="en-GB"/>
        </w:rPr>
      </w:pPr>
      <w:r>
        <w:rPr>
          <w:lang w:val="en-GB"/>
        </w:rPr>
        <w:t xml:space="preserve">After the </w:t>
      </w:r>
      <w:r w:rsidR="00D862E5">
        <w:rPr>
          <w:lang w:val="en-GB"/>
        </w:rPr>
        <w:t xml:space="preserve">profitability analysis for different scales was made, it was found that the MPSEF for cassava and rejected banana MBRs was 4.2 and 22.4 t/day respectively (Figure </w:t>
      </w:r>
      <w:r w:rsidR="009A7219">
        <w:rPr>
          <w:lang w:val="en-GB"/>
        </w:rPr>
        <w:t>2</w:t>
      </w:r>
      <w:r w:rsidR="00D862E5">
        <w:rPr>
          <w:lang w:val="en-GB"/>
        </w:rPr>
        <w:t>).</w:t>
      </w:r>
    </w:p>
    <w:p w14:paraId="5D4C662F" w14:textId="56F9087E" w:rsidR="0047615D" w:rsidRDefault="0047615D" w:rsidP="00600535">
      <w:pPr>
        <w:pStyle w:val="CETBodytext"/>
        <w:rPr>
          <w:lang w:val="en-GB"/>
        </w:rPr>
      </w:pPr>
    </w:p>
    <w:p w14:paraId="07406D49" w14:textId="354CEEE3" w:rsidR="003A56D8" w:rsidRDefault="00D32672" w:rsidP="00600535">
      <w:pPr>
        <w:pStyle w:val="CETBodytext"/>
        <w:rPr>
          <w:lang w:val="en-GB"/>
        </w:rPr>
      </w:pPr>
      <w:r w:rsidRPr="002E5961">
        <w:rPr>
          <w:noProof/>
          <w:lang w:val="es-CO" w:eastAsia="es-CO"/>
        </w:rPr>
        <mc:AlternateContent>
          <mc:Choice Requires="wps">
            <w:drawing>
              <wp:anchor distT="45720" distB="45720" distL="114300" distR="114300" simplePos="0" relativeHeight="251661312" behindDoc="0" locked="0" layoutInCell="1" allowOverlap="1" wp14:anchorId="02BF515C" wp14:editId="211D37C2">
                <wp:simplePos x="0" y="0"/>
                <wp:positionH relativeFrom="column">
                  <wp:posOffset>4683851</wp:posOffset>
                </wp:positionH>
                <wp:positionV relativeFrom="paragraph">
                  <wp:posOffset>128633</wp:posOffset>
                </wp:positionV>
                <wp:extent cx="332014" cy="21717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014" cy="217170"/>
                        </a:xfrm>
                        <a:prstGeom prst="rect">
                          <a:avLst/>
                        </a:prstGeom>
                        <a:noFill/>
                        <a:ln w="9525">
                          <a:noFill/>
                          <a:miter lim="800000"/>
                          <a:headEnd/>
                          <a:tailEnd/>
                        </a:ln>
                      </wps:spPr>
                      <wps:txbx>
                        <w:txbxContent>
                          <w:p w14:paraId="4E01E998" w14:textId="60986464" w:rsidR="002E5961" w:rsidRPr="00D32672" w:rsidRDefault="002E5961" w:rsidP="002E5961">
                            <w:pPr>
                              <w:rPr>
                                <w:b/>
                                <w:bCs/>
                                <w:sz w:val="12"/>
                                <w:szCs w:val="14"/>
                                <w:lang w:val="es-ES"/>
                              </w:rPr>
                            </w:pPr>
                            <w:r w:rsidRPr="00D32672">
                              <w:rPr>
                                <w:b/>
                                <w:bCs/>
                                <w:sz w:val="14"/>
                                <w:szCs w:val="16"/>
                                <w:lang w:val="es-ES"/>
                              </w:rPr>
                              <w:t>(b</w:t>
                            </w:r>
                            <w:r w:rsidRPr="00D32672">
                              <w:rPr>
                                <w:b/>
                                <w:bCs/>
                                <w:sz w:val="12"/>
                                <w:szCs w:val="14"/>
                                <w:lang w:val="es-E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BF515C" id="_x0000_t202" coordsize="21600,21600" o:spt="202" path="m,l,21600r21600,l21600,xe">
                <v:stroke joinstyle="miter"/>
                <v:path gradientshapeok="t" o:connecttype="rect"/>
              </v:shapetype>
              <v:shape id="Cuadro de texto 2" o:spid="_x0000_s1026" type="#_x0000_t202" style="position:absolute;left:0;text-align:left;margin-left:368.8pt;margin-top:10.15pt;width:26.15pt;height:17.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" filled="f" stroked="f">
                <v:textbox>
                  <w:txbxContent>
                    <w:p w14:paraId="4E01E998" w14:textId="60986464" w:rsidR="002E5961" w:rsidRPr="00D32672" w:rsidRDefault="002E5961" w:rsidP="002E5961">
                      <w:pPr>
                        <w:rPr>
                          <w:b/>
                          <w:bCs/>
                          <w:sz w:val="12"/>
                          <w:szCs w:val="14"/>
                          <w:lang w:val="es-ES"/>
                        </w:rPr>
                      </w:pPr>
                      <w:r w:rsidRPr="00D32672">
                        <w:rPr>
                          <w:b/>
                          <w:bCs/>
                          <w:sz w:val="14"/>
                          <w:szCs w:val="16"/>
                          <w:lang w:val="es-ES"/>
                        </w:rPr>
                        <w:t>(b</w:t>
                      </w:r>
                      <w:r w:rsidRPr="00D32672">
                        <w:rPr>
                          <w:b/>
                          <w:bCs/>
                          <w:sz w:val="12"/>
                          <w:szCs w:val="14"/>
                          <w:lang w:val="es-ES"/>
                        </w:rPr>
                        <w:t>)</w:t>
                      </w:r>
                    </w:p>
                  </w:txbxContent>
                </v:textbox>
              </v:shape>
            </w:pict>
          </mc:Fallback>
        </mc:AlternateContent>
      </w:r>
      <w:r w:rsidRPr="002E5961">
        <w:rPr>
          <w:noProof/>
          <w:lang w:val="es-CO" w:eastAsia="es-CO"/>
        </w:rPr>
        <mc:AlternateContent>
          <mc:Choice Requires="wps">
            <w:drawing>
              <wp:anchor distT="45720" distB="45720" distL="114300" distR="114300" simplePos="0" relativeHeight="251659264" behindDoc="0" locked="0" layoutInCell="1" allowOverlap="1" wp14:anchorId="35ED0BDD" wp14:editId="62EB8671">
                <wp:simplePos x="0" y="0"/>
                <wp:positionH relativeFrom="column">
                  <wp:posOffset>2174693</wp:posOffset>
                </wp:positionH>
                <wp:positionV relativeFrom="paragraph">
                  <wp:posOffset>90533</wp:posOffset>
                </wp:positionV>
                <wp:extent cx="315685" cy="21717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85" cy="217170"/>
                        </a:xfrm>
                        <a:prstGeom prst="rect">
                          <a:avLst/>
                        </a:prstGeom>
                        <a:noFill/>
                        <a:ln w="9525">
                          <a:noFill/>
                          <a:miter lim="800000"/>
                          <a:headEnd/>
                          <a:tailEnd/>
                        </a:ln>
                      </wps:spPr>
                      <wps:txbx>
                        <w:txbxContent>
                          <w:p w14:paraId="4C37A0B9" w14:textId="2E55A773" w:rsidR="002E5961" w:rsidRPr="00D32672" w:rsidRDefault="002E5961">
                            <w:pPr>
                              <w:rPr>
                                <w:b/>
                                <w:bCs/>
                                <w:sz w:val="14"/>
                                <w:szCs w:val="16"/>
                                <w:lang w:val="es-ES"/>
                              </w:rPr>
                            </w:pPr>
                            <w:r w:rsidRPr="00D32672">
                              <w:rPr>
                                <w:b/>
                                <w:bCs/>
                                <w:sz w:val="14"/>
                                <w:szCs w:val="16"/>
                                <w:lang w:val="es-E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D0BDD" id="_x0000_s1027" type="#_x0000_t202" style="position:absolute;left:0;text-align:left;margin-left:171.25pt;margin-top:7.15pt;width:24.85pt;height:17.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" filled="f" stroked="f">
                <v:textbox>
                  <w:txbxContent>
                    <w:p w14:paraId="4C37A0B9" w14:textId="2E55A773" w:rsidR="002E5961" w:rsidRPr="00D32672" w:rsidRDefault="002E5961">
                      <w:pPr>
                        <w:rPr>
                          <w:b/>
                          <w:bCs/>
                          <w:sz w:val="14"/>
                          <w:szCs w:val="16"/>
                          <w:lang w:val="es-ES"/>
                        </w:rPr>
                      </w:pPr>
                      <w:r w:rsidRPr="00D32672">
                        <w:rPr>
                          <w:b/>
                          <w:bCs/>
                          <w:sz w:val="14"/>
                          <w:szCs w:val="16"/>
                          <w:lang w:val="es-ES"/>
                        </w:rPr>
                        <w:t>(a)</w:t>
                      </w:r>
                    </w:p>
                  </w:txbxContent>
                </v:textbox>
              </v:shape>
            </w:pict>
          </mc:Fallback>
        </mc:AlternateContent>
      </w:r>
      <w:r w:rsidR="003A56D8">
        <w:rPr>
          <w:noProof/>
          <w:lang w:val="es-CO" w:eastAsia="es-CO"/>
        </w:rPr>
        <w:drawing>
          <wp:inline distT="0" distB="0" distL="0" distR="0" wp14:anchorId="08914541" wp14:editId="6285201D">
            <wp:extent cx="2656114" cy="1949450"/>
            <wp:effectExtent l="0" t="0" r="0" b="0"/>
            <wp:docPr id="12" name="Gráfico 12">
              <a:extLst xmlns:a="http://schemas.openxmlformats.org/drawingml/2006/main">
                <a:ext uri="{FF2B5EF4-FFF2-40B4-BE49-F238E27FC236}">
                  <a16:creationId xmlns:a16="http://schemas.microsoft.com/office/drawing/2014/main" id="{7C210BFA-ED91-4C3D-9356-B2011C49A9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A818A0">
        <w:rPr>
          <w:noProof/>
          <w:lang w:val="es-CO" w:eastAsia="es-CO"/>
        </w:rPr>
        <w:drawing>
          <wp:inline distT="0" distB="0" distL="0" distR="0" wp14:anchorId="599875C6" wp14:editId="78F0CEE3">
            <wp:extent cx="2774950" cy="1905000"/>
            <wp:effectExtent l="0" t="0" r="0" b="5715"/>
            <wp:docPr id="21" name="Gráfico 21">
              <a:extLst xmlns:a="http://schemas.openxmlformats.org/drawingml/2006/main">
                <a:ext uri="{FF2B5EF4-FFF2-40B4-BE49-F238E27FC236}">
                  <a16:creationId xmlns:a16="http://schemas.microsoft.com/office/drawing/2014/main" id="{CB8B13FF-9A67-4B3F-BE1A-D730BB60AC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95C0A27" w14:textId="139C69AB" w:rsidR="00903D63" w:rsidRPr="00FB56AD" w:rsidRDefault="008B1F6D" w:rsidP="00FB56AD">
      <w:pPr>
        <w:pStyle w:val="CETCaption"/>
        <w:spacing w:before="0"/>
        <w:rPr>
          <w:rStyle w:val="CETCaptionCarattere"/>
          <w:i/>
        </w:rPr>
      </w:pPr>
      <w:r w:rsidRPr="00FB56AD">
        <w:rPr>
          <w:rStyle w:val="CETCaptionCarattere"/>
          <w:i/>
        </w:rPr>
        <w:t xml:space="preserve">Figure </w:t>
      </w:r>
      <w:r w:rsidR="009A7219" w:rsidRPr="00FB56AD">
        <w:rPr>
          <w:rStyle w:val="CETCaptionCarattere"/>
          <w:i/>
        </w:rPr>
        <w:t>2</w:t>
      </w:r>
      <w:r w:rsidRPr="00FB56AD">
        <w:rPr>
          <w:rStyle w:val="CETCaptionCarattere"/>
          <w:i/>
        </w:rPr>
        <w:t>: Cumulative discounted cash flow</w:t>
      </w:r>
      <w:r w:rsidR="002E5961" w:rsidRPr="00FB56AD">
        <w:rPr>
          <w:rStyle w:val="CETCaptionCarattere"/>
          <w:i/>
        </w:rPr>
        <w:t xml:space="preserve"> diagram for different processing scales in (a) Cassava MBR and (b) Rejected banana MBR</w:t>
      </w:r>
      <w:r w:rsidRPr="00FB56AD">
        <w:rPr>
          <w:rStyle w:val="CETCaptionCarattere"/>
          <w:i/>
        </w:rPr>
        <w:t>.</w:t>
      </w:r>
    </w:p>
    <w:p w14:paraId="3F727E9A" w14:textId="54C01E86" w:rsidR="00BB1C5D" w:rsidRDefault="003074D7" w:rsidP="00BB1C5D">
      <w:pPr>
        <w:pStyle w:val="CETBodytext"/>
        <w:rPr>
          <w:lang w:val="en-GB"/>
        </w:rPr>
      </w:pPr>
      <w:r>
        <w:rPr>
          <w:lang w:val="en-GB"/>
        </w:rPr>
        <w:lastRenderedPageBreak/>
        <w:t>These are</w:t>
      </w:r>
      <w:r w:rsidR="00BB1C5D">
        <w:rPr>
          <w:lang w:val="en-GB"/>
        </w:rPr>
        <w:t xml:space="preserve"> scales at which the net present value becomes zero at the end of the </w:t>
      </w:r>
      <w:r>
        <w:rPr>
          <w:lang w:val="en-GB"/>
        </w:rPr>
        <w:t>plant’s</w:t>
      </w:r>
      <w:r w:rsidR="00BB1C5D">
        <w:rPr>
          <w:lang w:val="en-GB"/>
        </w:rPr>
        <w:t xml:space="preserve"> lifetime. This shows, that the cassava MBR is probably more suitable for a small-scale implementation as manufacturing costs are relatively lower than the ones in the rejected banana MBR. This could be explained </w:t>
      </w:r>
      <w:r>
        <w:rPr>
          <w:lang w:val="en-GB"/>
        </w:rPr>
        <w:t>by</w:t>
      </w:r>
      <w:r w:rsidR="00BB1C5D">
        <w:rPr>
          <w:lang w:val="en-GB"/>
        </w:rPr>
        <w:t xml:space="preserve"> the lower complexity and energy requirements of the unit operations involved in each process, for example, utilities take 27% of manufacturing costs in rejected banana MBR versus 12% in the cassava MBR. </w:t>
      </w:r>
    </w:p>
    <w:p w14:paraId="19F65C04" w14:textId="155087A0" w:rsidR="00BB1C5D" w:rsidRPr="000C1B64" w:rsidRDefault="00BB1C5D" w:rsidP="00BB1C5D">
      <w:pPr>
        <w:pStyle w:val="CETBodytext"/>
        <w:rPr>
          <w:lang w:val="en-GB"/>
        </w:rPr>
      </w:pPr>
      <w:r>
        <w:rPr>
          <w:lang w:val="en-GB"/>
        </w:rPr>
        <w:t xml:space="preserve">As for other key economic performance indicators, NPV for cassava MBR at 10 t/day was found to be </w:t>
      </w:r>
      <w:r w:rsidRPr="001D5616">
        <w:t>$2,873,681,443</w:t>
      </w:r>
      <w:r>
        <w:t xml:space="preserve"> COP with an IRR of 41.3% and </w:t>
      </w:r>
      <w:r w:rsidR="003074D7">
        <w:t xml:space="preserve">a </w:t>
      </w:r>
      <w:r>
        <w:t xml:space="preserve">payback period of 2.2 years. For rejected banana MBR, at a capacity of 30 t/day, these values were </w:t>
      </w:r>
      <w:r w:rsidRPr="001D5616">
        <w:t>$945,742,002</w:t>
      </w:r>
      <w:r>
        <w:t xml:space="preserve"> COP, 6.5%</w:t>
      </w:r>
      <w:r w:rsidR="003074D7">
        <w:t>,</w:t>
      </w:r>
      <w:r>
        <w:t xml:space="preserve"> and 6.9 years, respectively. </w:t>
      </w:r>
    </w:p>
    <w:p w14:paraId="7382C781" w14:textId="28BF76F7" w:rsidR="00600535" w:rsidRPr="00B57B36" w:rsidRDefault="00A231E5" w:rsidP="00FA5F5F">
      <w:pPr>
        <w:pStyle w:val="CETheadingx"/>
      </w:pPr>
      <w:r>
        <w:t>Environmental analysis</w:t>
      </w:r>
    </w:p>
    <w:p w14:paraId="28A447FB" w14:textId="262A2E09" w:rsidR="00045EEF" w:rsidRPr="00045EEF" w:rsidRDefault="00045EEF" w:rsidP="00045EEF">
      <w:pPr>
        <w:pStyle w:val="CETBodytext"/>
        <w:rPr>
          <w:lang w:val="en"/>
        </w:rPr>
      </w:pPr>
      <w:r w:rsidRPr="00045EEF">
        <w:rPr>
          <w:lang w:val="en"/>
        </w:rPr>
        <w:t xml:space="preserve">The results of the environmental assessment of the cassava microbiorefinery process are shown in </w:t>
      </w:r>
      <w:r w:rsidR="002D03E0">
        <w:rPr>
          <w:lang w:val="en"/>
        </w:rPr>
        <w:t xml:space="preserve">Figure </w:t>
      </w:r>
      <w:r w:rsidR="00D07A6D">
        <w:rPr>
          <w:lang w:val="en"/>
        </w:rPr>
        <w:t>3</w:t>
      </w:r>
      <w:r w:rsidRPr="00045EEF">
        <w:rPr>
          <w:lang w:val="en"/>
        </w:rPr>
        <w:t xml:space="preserve">. </w:t>
      </w:r>
      <w:r w:rsidR="00D2188B">
        <w:rPr>
          <w:lang w:val="en"/>
        </w:rPr>
        <w:t xml:space="preserve">Natural gas was considered in WARGUI software to account for </w:t>
      </w:r>
      <w:r w:rsidR="00EA5119">
        <w:rPr>
          <w:lang w:val="en"/>
        </w:rPr>
        <w:t>energetic</w:t>
      </w:r>
      <w:r w:rsidR="00D2188B">
        <w:rPr>
          <w:lang w:val="en"/>
        </w:rPr>
        <w:t xml:space="preserve"> requirements. </w:t>
      </w:r>
      <w:r w:rsidR="00102020">
        <w:rPr>
          <w:lang w:val="en"/>
        </w:rPr>
        <w:t>The</w:t>
      </w:r>
      <w:r w:rsidRPr="00045EEF">
        <w:rPr>
          <w:lang w:val="en"/>
        </w:rPr>
        <w:t xml:space="preserve"> categories that contributed the most to the environmental impacts </w:t>
      </w:r>
      <w:r w:rsidR="00381F8A">
        <w:rPr>
          <w:lang w:val="en"/>
        </w:rPr>
        <w:t>for the cassava MBR</w:t>
      </w:r>
      <w:r w:rsidRPr="00045EEF">
        <w:rPr>
          <w:lang w:val="en"/>
        </w:rPr>
        <w:t xml:space="preserve"> were the potential for human toxicity by ingestion (HTPI) and </w:t>
      </w:r>
      <w:r w:rsidR="000D10DA">
        <w:rPr>
          <w:lang w:val="en"/>
        </w:rPr>
        <w:t xml:space="preserve">the </w:t>
      </w:r>
      <w:r w:rsidRPr="00045EEF">
        <w:rPr>
          <w:lang w:val="en"/>
        </w:rPr>
        <w:t>potential for terrestrial toxicity (TTP). This may correspond to effluents that contain a high organic load such as of the starch extraction process.</w:t>
      </w:r>
      <w:r w:rsidR="00E87DBE">
        <w:rPr>
          <w:lang w:val="en"/>
        </w:rPr>
        <w:t xml:space="preserve"> </w:t>
      </w:r>
      <w:r w:rsidRPr="00045EEF">
        <w:rPr>
          <w:lang w:val="en"/>
        </w:rPr>
        <w:t>In total, th</w:t>
      </w:r>
      <w:r w:rsidR="00E87DBE">
        <w:rPr>
          <w:lang w:val="en"/>
        </w:rPr>
        <w:t>is</w:t>
      </w:r>
      <w:r w:rsidRPr="00045EEF">
        <w:rPr>
          <w:lang w:val="en"/>
        </w:rPr>
        <w:t xml:space="preserve"> process generates an output of 0.12 PEI per kg of products. Considering the generation rate per hour</w:t>
      </w:r>
      <w:r w:rsidR="00E87DBE">
        <w:rPr>
          <w:lang w:val="en"/>
        </w:rPr>
        <w:t xml:space="preserve"> at 10 t/day </w:t>
      </w:r>
      <w:r w:rsidR="00102020">
        <w:rPr>
          <w:lang w:val="en"/>
        </w:rPr>
        <w:t>(base case)</w:t>
      </w:r>
      <w:r w:rsidRPr="00045EEF">
        <w:rPr>
          <w:lang w:val="en"/>
        </w:rPr>
        <w:t xml:space="preserve">, there is a total value of </w:t>
      </w:r>
      <w:r w:rsidR="00E87DBE">
        <w:rPr>
          <w:lang w:val="en"/>
        </w:rPr>
        <w:t>-13.1</w:t>
      </w:r>
      <w:r w:rsidRPr="00045EEF">
        <w:rPr>
          <w:lang w:val="en"/>
        </w:rPr>
        <w:t xml:space="preserve"> PEI/h.</w:t>
      </w:r>
      <w:r w:rsidR="00F145BB">
        <w:rPr>
          <w:lang w:val="en"/>
        </w:rPr>
        <w:t xml:space="preserve"> </w:t>
      </w:r>
      <w:r w:rsidR="00102020">
        <w:rPr>
          <w:lang w:val="en"/>
        </w:rPr>
        <w:t>For the rejected banana MBR the</w:t>
      </w:r>
      <w:r w:rsidR="00102020" w:rsidRPr="00102020">
        <w:rPr>
          <w:lang w:val="en"/>
        </w:rPr>
        <w:t xml:space="preserve"> highest environmental impact potentials</w:t>
      </w:r>
      <w:r w:rsidR="00102020">
        <w:rPr>
          <w:lang w:val="en"/>
        </w:rPr>
        <w:t xml:space="preserve"> </w:t>
      </w:r>
      <w:r w:rsidR="00102020" w:rsidRPr="00102020">
        <w:rPr>
          <w:lang w:val="en"/>
        </w:rPr>
        <w:t>were acidification (AP) and global warming (GWP).</w:t>
      </w:r>
      <w:r w:rsidR="00803C43">
        <w:rPr>
          <w:lang w:val="en"/>
        </w:rPr>
        <w:t xml:space="preserve"> </w:t>
      </w:r>
      <w:r w:rsidR="00102020" w:rsidRPr="00102020">
        <w:rPr>
          <w:lang w:val="en"/>
        </w:rPr>
        <w:t>This reflects what was previously mentioned regarding the high energy requirements o</w:t>
      </w:r>
      <w:r w:rsidR="00026097">
        <w:rPr>
          <w:lang w:val="en"/>
        </w:rPr>
        <w:t>f the process for a small scale</w:t>
      </w:r>
      <w:r w:rsidR="00102020" w:rsidRPr="00102020">
        <w:rPr>
          <w:lang w:val="en"/>
        </w:rPr>
        <w:t xml:space="preserve"> since natural gas was taken into account in the WAR program as fuel. In total, the potential environmental impacts resulting from the process are 0.102 PEI per kg of produc</w:t>
      </w:r>
      <w:r w:rsidR="00102020">
        <w:rPr>
          <w:lang w:val="en"/>
        </w:rPr>
        <w:t>t and a rate</w:t>
      </w:r>
      <w:r w:rsidR="00102020" w:rsidRPr="00102020">
        <w:rPr>
          <w:lang w:val="en"/>
        </w:rPr>
        <w:t xml:space="preserve"> of </w:t>
      </w:r>
      <w:r w:rsidR="00102020">
        <w:rPr>
          <w:lang w:val="en"/>
        </w:rPr>
        <w:t>-9.4</w:t>
      </w:r>
      <w:r w:rsidR="00102020" w:rsidRPr="00102020">
        <w:rPr>
          <w:lang w:val="en"/>
        </w:rPr>
        <w:t xml:space="preserve"> PEI/h</w:t>
      </w:r>
      <w:r w:rsidR="00102020">
        <w:rPr>
          <w:lang w:val="en"/>
        </w:rPr>
        <w:t xml:space="preserve"> at </w:t>
      </w:r>
      <w:r w:rsidR="00026097">
        <w:rPr>
          <w:lang w:val="en"/>
        </w:rPr>
        <w:t xml:space="preserve">the </w:t>
      </w:r>
      <w:r w:rsidR="00102020">
        <w:rPr>
          <w:lang w:val="en"/>
        </w:rPr>
        <w:t>base case</w:t>
      </w:r>
      <w:r w:rsidR="00102020" w:rsidRPr="00102020">
        <w:rPr>
          <w:lang w:val="en"/>
        </w:rPr>
        <w:t>. The generated PEI is calculated as</w:t>
      </w:r>
      <w:r w:rsidR="007310F4">
        <w:rPr>
          <w:lang w:val="en"/>
        </w:rPr>
        <w:t xml:space="preserve"> the </w:t>
      </w:r>
      <w:r w:rsidR="00102020" w:rsidRPr="00102020">
        <w:rPr>
          <w:lang w:val="en"/>
        </w:rPr>
        <w:t xml:space="preserve">outflows minus </w:t>
      </w:r>
      <w:r w:rsidR="007310F4">
        <w:rPr>
          <w:lang w:val="en"/>
        </w:rPr>
        <w:t xml:space="preserve">the </w:t>
      </w:r>
      <w:r w:rsidR="00102020" w:rsidRPr="00102020">
        <w:rPr>
          <w:lang w:val="en"/>
        </w:rPr>
        <w:t>inflows</w:t>
      </w:r>
      <w:r w:rsidR="007310F4">
        <w:rPr>
          <w:lang w:val="en"/>
        </w:rPr>
        <w:t xml:space="preserve"> PEI</w:t>
      </w:r>
      <w:r w:rsidR="00102020">
        <w:rPr>
          <w:lang w:val="en"/>
        </w:rPr>
        <w:t>, t</w:t>
      </w:r>
      <w:r w:rsidR="00102020" w:rsidRPr="00102020">
        <w:rPr>
          <w:lang w:val="en"/>
        </w:rPr>
        <w:t xml:space="preserve">his means that processes </w:t>
      </w:r>
      <w:r w:rsidR="00E4635D">
        <w:rPr>
          <w:lang w:val="en"/>
        </w:rPr>
        <w:t>where this value is negative</w:t>
      </w:r>
      <w:r w:rsidR="00026097">
        <w:rPr>
          <w:lang w:val="en"/>
        </w:rPr>
        <w:t>,</w:t>
      </w:r>
      <w:r w:rsidR="00E4635D">
        <w:rPr>
          <w:lang w:val="en"/>
        </w:rPr>
        <w:t xml:space="preserve"> </w:t>
      </w:r>
      <w:r w:rsidR="00F145BB">
        <w:rPr>
          <w:lang w:val="en"/>
        </w:rPr>
        <w:t>could be environmentally sustainable</w:t>
      </w:r>
      <w:r w:rsidR="004E28EB">
        <w:rPr>
          <w:lang w:val="en"/>
        </w:rPr>
        <w:t>, especially in projects like rejected banana</w:t>
      </w:r>
      <w:r w:rsidR="00026097">
        <w:rPr>
          <w:lang w:val="en"/>
        </w:rPr>
        <w:t>s</w:t>
      </w:r>
      <w:r w:rsidR="004E28EB">
        <w:rPr>
          <w:lang w:val="en"/>
        </w:rPr>
        <w:t xml:space="preserve"> as</w:t>
      </w:r>
      <w:r w:rsidR="00E8223D">
        <w:rPr>
          <w:lang w:val="en"/>
        </w:rPr>
        <w:t xml:space="preserve"> one third of</w:t>
      </w:r>
      <w:r w:rsidR="004E28EB">
        <w:rPr>
          <w:lang w:val="en"/>
        </w:rPr>
        <w:t xml:space="preserve"> this raw material is disposed </w:t>
      </w:r>
      <w:r w:rsidR="00E8223D">
        <w:rPr>
          <w:lang w:val="en"/>
        </w:rPr>
        <w:t>as</w:t>
      </w:r>
      <w:r w:rsidR="004E28EB">
        <w:rPr>
          <w:lang w:val="en"/>
        </w:rPr>
        <w:t xml:space="preserve"> waste</w:t>
      </w:r>
      <w:r w:rsidR="00F145BB">
        <w:rPr>
          <w:lang w:val="en"/>
        </w:rPr>
        <w:t>.</w:t>
      </w:r>
    </w:p>
    <w:p w14:paraId="158E0FA0" w14:textId="5BDFA6E2" w:rsidR="006F087F" w:rsidRDefault="006F087F" w:rsidP="00A231E5">
      <w:pPr>
        <w:pStyle w:val="CETBodytext"/>
        <w:rPr>
          <w:lang w:val="en-GB"/>
        </w:rPr>
      </w:pPr>
      <w:r>
        <w:rPr>
          <w:noProof/>
          <w:lang w:val="es-CO" w:eastAsia="es-CO"/>
        </w:rPr>
        <w:drawing>
          <wp:inline distT="0" distB="0" distL="0" distR="0" wp14:anchorId="57B3CBBC" wp14:editId="3E4A848B">
            <wp:extent cx="2667000" cy="1808018"/>
            <wp:effectExtent l="0" t="0" r="0" b="0"/>
            <wp:docPr id="14" name="Gráfico 14">
              <a:extLst xmlns:a="http://schemas.openxmlformats.org/drawingml/2006/main">
                <a:ext uri="{FF2B5EF4-FFF2-40B4-BE49-F238E27FC236}">
                  <a16:creationId xmlns:a16="http://schemas.microsoft.com/office/drawing/2014/main" id="{0EFDCA12-B495-F5EF-7C4D-4B1800F753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lang w:val="es-CO" w:eastAsia="es-CO"/>
        </w:rPr>
        <w:drawing>
          <wp:inline distT="0" distB="0" distL="0" distR="0" wp14:anchorId="2E1220EB" wp14:editId="27CE8AA4">
            <wp:extent cx="2486890" cy="1787237"/>
            <wp:effectExtent l="0" t="0" r="0" b="0"/>
            <wp:docPr id="15" name="Gráfico 15">
              <a:extLst xmlns:a="http://schemas.openxmlformats.org/drawingml/2006/main">
                <a:ext uri="{FF2B5EF4-FFF2-40B4-BE49-F238E27FC236}">
                  <a16:creationId xmlns:a16="http://schemas.microsoft.com/office/drawing/2014/main" id="{EC49DA35-A17E-4A30-8992-0E8C356383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CEF8A56" w14:textId="22DA7286" w:rsidR="006F087F" w:rsidRDefault="006F087F" w:rsidP="006F087F">
      <w:pPr>
        <w:pStyle w:val="CETBodytext"/>
        <w:jc w:val="left"/>
      </w:pPr>
      <w:r w:rsidRPr="00BD077D">
        <w:rPr>
          <w:rStyle w:val="CETCaptionCarattere"/>
        </w:rPr>
        <w:t xml:space="preserve">Figure </w:t>
      </w:r>
      <w:r w:rsidR="00D07A6D">
        <w:rPr>
          <w:rStyle w:val="CETCaptionCarattere"/>
        </w:rPr>
        <w:t>3</w:t>
      </w:r>
      <w:r w:rsidRPr="00BD077D">
        <w:rPr>
          <w:rStyle w:val="CETCaptionCarattere"/>
        </w:rPr>
        <w:t>:</w:t>
      </w:r>
      <w:r>
        <w:rPr>
          <w:rStyle w:val="CETCaptionCarattere"/>
        </w:rPr>
        <w:t xml:space="preserve"> Environmental assessment using WAR Algorithm.</w:t>
      </w:r>
    </w:p>
    <w:p w14:paraId="631C4A74" w14:textId="4D0062B7" w:rsidR="00A231E5" w:rsidRDefault="00A231E5" w:rsidP="00A231E5">
      <w:pPr>
        <w:pStyle w:val="CETheadingx"/>
      </w:pPr>
      <w:r>
        <w:t>Solar power integration</w:t>
      </w:r>
    </w:p>
    <w:p w14:paraId="122D559D" w14:textId="2DA91470" w:rsidR="003D0621" w:rsidRPr="002C03CC" w:rsidRDefault="00CF2882" w:rsidP="002C03CC">
      <w:pPr>
        <w:pStyle w:val="CETBodytext"/>
      </w:pPr>
      <w:r w:rsidRPr="00BA4EB1">
        <w:t xml:space="preserve">For the </w:t>
      </w:r>
      <w:r w:rsidRPr="002C03CC">
        <w:t xml:space="preserve">assessment of solar power integration, cassava MBR </w:t>
      </w:r>
      <w:r w:rsidR="008E0907" w:rsidRPr="002C03CC">
        <w:t xml:space="preserve">at 10 t/day </w:t>
      </w:r>
      <w:r w:rsidRPr="002C03CC">
        <w:t xml:space="preserve">was selected as a case study. Location </w:t>
      </w:r>
      <w:r w:rsidR="00AF1DFC" w:rsidRPr="002C03CC">
        <w:t xml:space="preserve">near municipality of Sahagun was selected (coordinates: </w:t>
      </w:r>
      <w:r w:rsidR="00BA4EB1" w:rsidRPr="002C03CC">
        <w:t>8.9635, -75.421) due to its large cassava annual production.</w:t>
      </w:r>
      <w:r w:rsidR="008E0907" w:rsidRPr="002C03CC">
        <w:t xml:space="preserve"> </w:t>
      </w:r>
      <w:r w:rsidR="007C4133" w:rsidRPr="002C03CC">
        <w:t xml:space="preserve">Optimal </w:t>
      </w:r>
      <w:r w:rsidR="001B7EB3" w:rsidRPr="002C03CC">
        <w:t>opening</w:t>
      </w:r>
      <w:r w:rsidR="007C4133" w:rsidRPr="002C03CC">
        <w:t xml:space="preserve"> are</w:t>
      </w:r>
      <w:r w:rsidR="001B7EB3" w:rsidRPr="002C03CC">
        <w:t>a of s</w:t>
      </w:r>
      <w:r w:rsidR="001B7EB3" w:rsidRPr="00F57F68">
        <w:t>olar collectors</w:t>
      </w:r>
      <w:r w:rsidR="007C4133" w:rsidRPr="00F57F68">
        <w:t xml:space="preserve"> was calculated at </w:t>
      </w:r>
      <w:r w:rsidR="001B7EB3" w:rsidRPr="00F57F68">
        <w:t>596.6</w:t>
      </w:r>
      <w:r w:rsidR="007C4133" w:rsidRPr="00F57F68">
        <w:t xml:space="preserve"> m</w:t>
      </w:r>
      <w:r w:rsidR="007C4133" w:rsidRPr="00F57F68">
        <w:rPr>
          <w:vertAlign w:val="superscript"/>
        </w:rPr>
        <w:t>2</w:t>
      </w:r>
      <w:r w:rsidR="007C4133" w:rsidRPr="00F57F68">
        <w:t xml:space="preserve"> </w:t>
      </w:r>
      <w:r w:rsidR="001B7EB3" w:rsidRPr="00F57F68">
        <w:t>or 1300.6 m</w:t>
      </w:r>
      <w:r w:rsidR="001B7EB3" w:rsidRPr="00F57F68">
        <w:rPr>
          <w:vertAlign w:val="superscript"/>
        </w:rPr>
        <w:t>2</w:t>
      </w:r>
      <w:r w:rsidR="001B7EB3" w:rsidRPr="00F57F68">
        <w:t xml:space="preserve"> in gross area terms, </w:t>
      </w:r>
      <w:r w:rsidR="007C4133" w:rsidRPr="00F57F68">
        <w:t xml:space="preserve">for a 60% annual solar power contribution. </w:t>
      </w:r>
      <w:r w:rsidR="002C03CC" w:rsidRPr="00F57F68">
        <w:t xml:space="preserve">Solar collectors’ capital cost of 240,450,200 COP and </w:t>
      </w:r>
      <w:r w:rsidR="00975E3E">
        <w:t xml:space="preserve">operating cost of </w:t>
      </w:r>
      <w:r w:rsidR="002C03CC" w:rsidRPr="001C0055">
        <w:t>4</w:t>
      </w:r>
      <w:r w:rsidR="002C03CC" w:rsidRPr="00F57F68">
        <w:t>7,</w:t>
      </w:r>
      <w:r w:rsidR="002C03CC" w:rsidRPr="001C0055">
        <w:t>467</w:t>
      </w:r>
      <w:r w:rsidR="002C03CC" w:rsidRPr="00F57F68">
        <w:t>,</w:t>
      </w:r>
      <w:r w:rsidR="002C03CC" w:rsidRPr="001C0055">
        <w:t>389</w:t>
      </w:r>
      <w:r w:rsidR="002C03CC" w:rsidRPr="00F57F68">
        <w:t xml:space="preserve"> COP/year</w:t>
      </w:r>
      <w:r w:rsidR="00F57F68" w:rsidRPr="00F57F68">
        <w:t xml:space="preserve"> </w:t>
      </w:r>
      <w:r w:rsidR="00975E3E">
        <w:t>were</w:t>
      </w:r>
      <w:r w:rsidR="002C03CC" w:rsidRPr="00F57F68">
        <w:t xml:space="preserve"> estimated</w:t>
      </w:r>
      <w:r w:rsidR="00975E3E">
        <w:t>.</w:t>
      </w:r>
    </w:p>
    <w:p w14:paraId="79F069C1" w14:textId="4297F7B8" w:rsidR="00D86056" w:rsidRDefault="000C1B64" w:rsidP="00F77E5A">
      <w:pPr>
        <w:pStyle w:val="CETBodytext"/>
        <w:rPr>
          <w:color w:val="31849B" w:themeColor="accent5" w:themeShade="BF"/>
        </w:rPr>
      </w:pPr>
      <w:r w:rsidRPr="002E5961">
        <w:rPr>
          <w:noProof/>
          <w:lang w:val="es-CO" w:eastAsia="es-CO"/>
        </w:rPr>
        <mc:AlternateContent>
          <mc:Choice Requires="wps">
            <w:drawing>
              <wp:anchor distT="45720" distB="45720" distL="114300" distR="114300" simplePos="0" relativeHeight="251669504" behindDoc="0" locked="0" layoutInCell="1" allowOverlap="1" wp14:anchorId="5EB03D7C" wp14:editId="13D11CE7">
                <wp:simplePos x="0" y="0"/>
                <wp:positionH relativeFrom="column">
                  <wp:posOffset>4734560</wp:posOffset>
                </wp:positionH>
                <wp:positionV relativeFrom="paragraph">
                  <wp:posOffset>95431</wp:posOffset>
                </wp:positionV>
                <wp:extent cx="315685" cy="217170"/>
                <wp:effectExtent l="0" t="0" r="0" b="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85" cy="217170"/>
                        </a:xfrm>
                        <a:prstGeom prst="rect">
                          <a:avLst/>
                        </a:prstGeom>
                        <a:noFill/>
                        <a:ln w="9525">
                          <a:noFill/>
                          <a:miter lim="800000"/>
                          <a:headEnd/>
                          <a:tailEnd/>
                        </a:ln>
                      </wps:spPr>
                      <wps:txbx>
                        <w:txbxContent>
                          <w:p w14:paraId="789C5294" w14:textId="6E49137C" w:rsidR="00DC2D52" w:rsidRPr="00D32672" w:rsidRDefault="00DC2D52" w:rsidP="00DC2D52">
                            <w:pPr>
                              <w:rPr>
                                <w:b/>
                                <w:bCs/>
                                <w:sz w:val="14"/>
                                <w:szCs w:val="16"/>
                                <w:lang w:val="es-ES"/>
                              </w:rPr>
                            </w:pPr>
                            <w:r w:rsidRPr="00D32672">
                              <w:rPr>
                                <w:b/>
                                <w:bCs/>
                                <w:sz w:val="14"/>
                                <w:szCs w:val="16"/>
                                <w:lang w:val="es-ES"/>
                              </w:rPr>
                              <w:t>(</w:t>
                            </w:r>
                            <w:r>
                              <w:rPr>
                                <w:b/>
                                <w:bCs/>
                                <w:sz w:val="14"/>
                                <w:szCs w:val="16"/>
                                <w:lang w:val="es-ES"/>
                              </w:rPr>
                              <w:t>b</w:t>
                            </w:r>
                            <w:r w:rsidRPr="00D32672">
                              <w:rPr>
                                <w:b/>
                                <w:bCs/>
                                <w:sz w:val="14"/>
                                <w:szCs w:val="16"/>
                                <w:lang w:val="es-E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03D7C" id="_x0000_s1028" type="#_x0000_t202" style="position:absolute;left:0;text-align:left;margin-left:372.8pt;margin-top:7.5pt;width:24.85pt;height:17.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" filled="f" stroked="f">
                <v:textbox>
                  <w:txbxContent>
                    <w:p w14:paraId="789C5294" w14:textId="6E49137C" w:rsidR="00DC2D52" w:rsidRPr="00D32672" w:rsidRDefault="00DC2D52" w:rsidP="00DC2D52">
                      <w:pPr>
                        <w:rPr>
                          <w:b/>
                          <w:bCs/>
                          <w:sz w:val="14"/>
                          <w:szCs w:val="16"/>
                          <w:lang w:val="es-ES"/>
                        </w:rPr>
                      </w:pPr>
                      <w:r w:rsidRPr="00D32672">
                        <w:rPr>
                          <w:b/>
                          <w:bCs/>
                          <w:sz w:val="14"/>
                          <w:szCs w:val="16"/>
                          <w:lang w:val="es-ES"/>
                        </w:rPr>
                        <w:t>(</w:t>
                      </w:r>
                      <w:r>
                        <w:rPr>
                          <w:b/>
                          <w:bCs/>
                          <w:sz w:val="14"/>
                          <w:szCs w:val="16"/>
                          <w:lang w:val="es-ES"/>
                        </w:rPr>
                        <w:t>b</w:t>
                      </w:r>
                      <w:r w:rsidRPr="00D32672">
                        <w:rPr>
                          <w:b/>
                          <w:bCs/>
                          <w:sz w:val="14"/>
                          <w:szCs w:val="16"/>
                          <w:lang w:val="es-ES"/>
                        </w:rPr>
                        <w:t>)</w:t>
                      </w:r>
                    </w:p>
                  </w:txbxContent>
                </v:textbox>
              </v:shape>
            </w:pict>
          </mc:Fallback>
        </mc:AlternateContent>
      </w:r>
      <w:r w:rsidRPr="002E5961">
        <w:rPr>
          <w:noProof/>
          <w:lang w:val="es-CO" w:eastAsia="es-CO"/>
        </w:rPr>
        <mc:AlternateContent>
          <mc:Choice Requires="wps">
            <w:drawing>
              <wp:anchor distT="45720" distB="45720" distL="114300" distR="114300" simplePos="0" relativeHeight="251667456" behindDoc="0" locked="0" layoutInCell="1" allowOverlap="1" wp14:anchorId="794E4BE4" wp14:editId="06BC2A74">
                <wp:simplePos x="0" y="0"/>
                <wp:positionH relativeFrom="column">
                  <wp:posOffset>2463891</wp:posOffset>
                </wp:positionH>
                <wp:positionV relativeFrom="paragraph">
                  <wp:posOffset>106680</wp:posOffset>
                </wp:positionV>
                <wp:extent cx="315685" cy="217170"/>
                <wp:effectExtent l="0" t="0" r="0" b="0"/>
                <wp:wrapNone/>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685" cy="217170"/>
                        </a:xfrm>
                        <a:prstGeom prst="rect">
                          <a:avLst/>
                        </a:prstGeom>
                        <a:noFill/>
                        <a:ln w="9525">
                          <a:noFill/>
                          <a:miter lim="800000"/>
                          <a:headEnd/>
                          <a:tailEnd/>
                        </a:ln>
                      </wps:spPr>
                      <wps:txbx>
                        <w:txbxContent>
                          <w:p w14:paraId="4E0DF550" w14:textId="77777777" w:rsidR="00DC2D52" w:rsidRPr="00D32672" w:rsidRDefault="00DC2D52" w:rsidP="00DC2D52">
                            <w:pPr>
                              <w:rPr>
                                <w:b/>
                                <w:bCs/>
                                <w:sz w:val="14"/>
                                <w:szCs w:val="16"/>
                                <w:lang w:val="es-ES"/>
                              </w:rPr>
                            </w:pPr>
                            <w:r w:rsidRPr="00D32672">
                              <w:rPr>
                                <w:b/>
                                <w:bCs/>
                                <w:sz w:val="14"/>
                                <w:szCs w:val="16"/>
                                <w:lang w:val="es-E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E4BE4" id="_x0000_s1029" type="#_x0000_t202" style="position:absolute;left:0;text-align:left;margin-left:194pt;margin-top:8.4pt;width:24.85pt;height:17.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" filled="f" stroked="f">
                <v:textbox>
                  <w:txbxContent>
                    <w:p w14:paraId="4E0DF550" w14:textId="77777777" w:rsidR="00DC2D52" w:rsidRPr="00D32672" w:rsidRDefault="00DC2D52" w:rsidP="00DC2D52">
                      <w:pPr>
                        <w:rPr>
                          <w:b/>
                          <w:bCs/>
                          <w:sz w:val="14"/>
                          <w:szCs w:val="16"/>
                          <w:lang w:val="es-ES"/>
                        </w:rPr>
                      </w:pPr>
                      <w:r w:rsidRPr="00D32672">
                        <w:rPr>
                          <w:b/>
                          <w:bCs/>
                          <w:sz w:val="14"/>
                          <w:szCs w:val="16"/>
                          <w:lang w:val="es-ES"/>
                        </w:rPr>
                        <w:t>(a)</w:t>
                      </w:r>
                    </w:p>
                  </w:txbxContent>
                </v:textbox>
              </v:shape>
            </w:pict>
          </mc:Fallback>
        </mc:AlternateContent>
      </w:r>
      <w:r w:rsidR="00D86056">
        <w:rPr>
          <w:noProof/>
          <w:lang w:val="es-CO" w:eastAsia="es-CO"/>
        </w:rPr>
        <w:drawing>
          <wp:inline distT="0" distB="0" distL="0" distR="0" wp14:anchorId="77E7BCAC" wp14:editId="4ABA8D8F">
            <wp:extent cx="2726267" cy="1752600"/>
            <wp:effectExtent l="0" t="0" r="0" b="5715"/>
            <wp:docPr id="1" name="Gráfico 1">
              <a:extLst xmlns:a="http://schemas.openxmlformats.org/drawingml/2006/main">
                <a:ext uri="{FF2B5EF4-FFF2-40B4-BE49-F238E27FC236}">
                  <a16:creationId xmlns:a16="http://schemas.microsoft.com/office/drawing/2014/main" id="{B431C7CC-7645-4F3B-8FA2-FB7DDC136C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E41BFF">
        <w:rPr>
          <w:noProof/>
          <w:lang w:val="es-CO" w:eastAsia="es-CO"/>
        </w:rPr>
        <w:drawing>
          <wp:inline distT="0" distB="0" distL="0" distR="0" wp14:anchorId="730CD941" wp14:editId="5AB0C676">
            <wp:extent cx="2764972" cy="1778000"/>
            <wp:effectExtent l="0" t="0" r="0" b="0"/>
            <wp:docPr id="17" name="Gráfico 17">
              <a:extLst xmlns:a="http://schemas.openxmlformats.org/drawingml/2006/main">
                <a:ext uri="{FF2B5EF4-FFF2-40B4-BE49-F238E27FC236}">
                  <a16:creationId xmlns:a16="http://schemas.microsoft.com/office/drawing/2014/main" id="{35026677-3577-40F3-A683-1DE4923E62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44DD180" w14:textId="7CFB205B" w:rsidR="00236CBD" w:rsidRPr="00236CBD" w:rsidRDefault="002B7A5E" w:rsidP="00236CBD">
      <w:pPr>
        <w:pStyle w:val="CETCaption"/>
        <w:spacing w:before="0"/>
        <w:rPr>
          <w:rStyle w:val="CETCaptionCarattere"/>
          <w:i/>
        </w:rPr>
      </w:pPr>
      <w:r w:rsidRPr="00236CBD">
        <w:rPr>
          <w:rStyle w:val="CETCaptionCarattere"/>
          <w:i/>
        </w:rPr>
        <w:t xml:space="preserve">Figure </w:t>
      </w:r>
      <w:r w:rsidR="00D07A6D" w:rsidRPr="00236CBD">
        <w:rPr>
          <w:rStyle w:val="CETCaptionCarattere"/>
          <w:i/>
        </w:rPr>
        <w:t>4</w:t>
      </w:r>
      <w:r w:rsidRPr="00236CBD">
        <w:rPr>
          <w:rStyle w:val="CETCaptionCarattere"/>
          <w:i/>
        </w:rPr>
        <w:t xml:space="preserve">: </w:t>
      </w:r>
      <w:r w:rsidR="00866ECA" w:rsidRPr="00236CBD">
        <w:rPr>
          <w:rStyle w:val="CETCaptionCarattere"/>
          <w:i/>
        </w:rPr>
        <w:t>Monthly solar and fossil energy contributions</w:t>
      </w:r>
      <w:r w:rsidR="002C0FBC" w:rsidRPr="00236CBD">
        <w:rPr>
          <w:rStyle w:val="CETCaptionCarattere"/>
          <w:i/>
        </w:rPr>
        <w:t xml:space="preserve"> (a)</w:t>
      </w:r>
      <w:r w:rsidR="00B67443" w:rsidRPr="00236CBD">
        <w:rPr>
          <w:rStyle w:val="CETCaptionCarattere"/>
          <w:i/>
        </w:rPr>
        <w:t xml:space="preserve"> and impact of </w:t>
      </w:r>
      <w:r w:rsidR="00026097" w:rsidRPr="00236CBD">
        <w:rPr>
          <w:rStyle w:val="CETCaptionCarattere"/>
          <w:i/>
        </w:rPr>
        <w:t xml:space="preserve">the </w:t>
      </w:r>
      <w:r w:rsidR="00B67443" w:rsidRPr="00236CBD">
        <w:rPr>
          <w:rStyle w:val="CETCaptionCarattere"/>
          <w:i/>
        </w:rPr>
        <w:t>solar-assisted power system on the economic performance</w:t>
      </w:r>
      <w:r w:rsidR="00866ECA" w:rsidRPr="00236CBD">
        <w:rPr>
          <w:rStyle w:val="CETCaptionCarattere"/>
          <w:i/>
        </w:rPr>
        <w:t xml:space="preserve"> in Cassava MBR</w:t>
      </w:r>
      <w:r w:rsidR="00DC2D52" w:rsidRPr="00236CBD">
        <w:rPr>
          <w:rStyle w:val="CETCaptionCarattere"/>
          <w:i/>
        </w:rPr>
        <w:t xml:space="preserve"> at 10 t/day base case</w:t>
      </w:r>
      <w:r w:rsidR="002C0FBC" w:rsidRPr="00236CBD">
        <w:rPr>
          <w:rStyle w:val="CETCaptionCarattere"/>
          <w:i/>
        </w:rPr>
        <w:t xml:space="preserve"> (b).</w:t>
      </w:r>
    </w:p>
    <w:p w14:paraId="699CB9A7" w14:textId="69A415E4" w:rsidR="00BB1C5D" w:rsidRDefault="00BB1C5D" w:rsidP="00BB1C5D">
      <w:pPr>
        <w:pStyle w:val="CETBodytext"/>
      </w:pPr>
      <w:r w:rsidRPr="002C03CC">
        <w:t xml:space="preserve">Figure </w:t>
      </w:r>
      <w:r>
        <w:t>4</w:t>
      </w:r>
      <w:r w:rsidRPr="002C03CC">
        <w:t xml:space="preserve">a shows </w:t>
      </w:r>
      <w:r w:rsidR="00026097">
        <w:t xml:space="preserve">the </w:t>
      </w:r>
      <w:r w:rsidRPr="002C03CC">
        <w:t>monthly contribution of solar energy, which oscillates between 50 – 70%, as this location does not have a significant variance in solar radiation during the year.</w:t>
      </w:r>
      <w:r w:rsidR="007A346E">
        <w:t xml:space="preserve"> </w:t>
      </w:r>
      <w:r w:rsidRPr="002C03CC">
        <w:t xml:space="preserve">Figure </w:t>
      </w:r>
      <w:r>
        <w:t>4</w:t>
      </w:r>
      <w:r w:rsidRPr="002C03CC">
        <w:t xml:space="preserve">b presents the impact on </w:t>
      </w:r>
      <w:r w:rsidR="00026097">
        <w:t xml:space="preserve">the </w:t>
      </w:r>
      <w:r w:rsidRPr="002C03CC">
        <w:lastRenderedPageBreak/>
        <w:t xml:space="preserve">economic performance of the integrated solar system. </w:t>
      </w:r>
      <w:r w:rsidR="00026097">
        <w:t>The total</w:t>
      </w:r>
      <w:r w:rsidRPr="002C03CC">
        <w:t xml:space="preserve"> installed cost rises with the addition of solar collectors but IRR decreases 24.9%, which means that manufacturing cost savings in natural gas are not enough to increase the profitability over the lifetime of the project.</w:t>
      </w:r>
    </w:p>
    <w:p w14:paraId="68D26B83" w14:textId="77777777" w:rsidR="00600535" w:rsidRPr="00B57B36" w:rsidRDefault="00600535" w:rsidP="00600535">
      <w:pPr>
        <w:pStyle w:val="CETHeading1"/>
        <w:rPr>
          <w:lang w:val="en-GB"/>
        </w:rPr>
      </w:pPr>
      <w:r w:rsidRPr="00B57B36">
        <w:rPr>
          <w:lang w:val="en-GB"/>
        </w:rPr>
        <w:t>Conclusions</w:t>
      </w:r>
    </w:p>
    <w:p w14:paraId="19AF6132" w14:textId="471A7DCE" w:rsidR="000D10DA" w:rsidRDefault="00223E6A" w:rsidP="00600535">
      <w:pPr>
        <w:pStyle w:val="CETBodytext"/>
        <w:rPr>
          <w:lang w:val="en"/>
        </w:rPr>
      </w:pPr>
      <w:r>
        <w:rPr>
          <w:lang w:val="en-GB"/>
        </w:rPr>
        <w:t xml:space="preserve">The present work proposes the conceptual design of </w:t>
      </w:r>
      <w:r w:rsidR="003F00F0">
        <w:rPr>
          <w:lang w:val="en-GB"/>
        </w:rPr>
        <w:t xml:space="preserve">two </w:t>
      </w:r>
      <w:r w:rsidR="00630BDC">
        <w:rPr>
          <w:lang w:val="en-GB"/>
        </w:rPr>
        <w:t>small-scale biorefineries</w:t>
      </w:r>
      <w:r w:rsidR="003F00F0">
        <w:rPr>
          <w:lang w:val="en-GB"/>
        </w:rPr>
        <w:t xml:space="preserve"> </w:t>
      </w:r>
      <w:r w:rsidR="00110E0F">
        <w:rPr>
          <w:lang w:val="en-GB"/>
        </w:rPr>
        <w:t xml:space="preserve">based on cassava and rejected </w:t>
      </w:r>
      <w:r w:rsidR="000D10DA">
        <w:rPr>
          <w:lang w:val="en-GB"/>
        </w:rPr>
        <w:t>bananas</w:t>
      </w:r>
      <w:r w:rsidR="00630BDC">
        <w:rPr>
          <w:lang w:val="en-GB"/>
        </w:rPr>
        <w:t xml:space="preserve"> in the context of </w:t>
      </w:r>
      <w:r w:rsidR="000D10DA">
        <w:rPr>
          <w:lang w:val="en-GB"/>
        </w:rPr>
        <w:t xml:space="preserve">the </w:t>
      </w:r>
      <w:r w:rsidR="00630BDC">
        <w:rPr>
          <w:lang w:val="en-GB"/>
        </w:rPr>
        <w:t>Colombian Caribbean region.</w:t>
      </w:r>
      <w:r w:rsidR="002A2559">
        <w:rPr>
          <w:lang w:val="en-GB"/>
        </w:rPr>
        <w:t xml:space="preserve"> </w:t>
      </w:r>
      <w:r w:rsidR="002A2559" w:rsidRPr="007C30CC">
        <w:rPr>
          <w:lang w:val="en-GB"/>
        </w:rPr>
        <w:t xml:space="preserve">These </w:t>
      </w:r>
      <w:r w:rsidR="002A2559">
        <w:rPr>
          <w:lang w:val="en-GB"/>
        </w:rPr>
        <w:t>types of processes</w:t>
      </w:r>
      <w:r w:rsidR="00877934">
        <w:rPr>
          <w:lang w:val="en-GB"/>
        </w:rPr>
        <w:t xml:space="preserve"> </w:t>
      </w:r>
      <w:r w:rsidR="002A2559">
        <w:rPr>
          <w:lang w:val="en-GB"/>
        </w:rPr>
        <w:t>provide several benefits</w:t>
      </w:r>
      <w:r w:rsidR="002A2559" w:rsidRPr="007C30CC">
        <w:rPr>
          <w:lang w:val="en-GB"/>
        </w:rPr>
        <w:t xml:space="preserve"> applied in the Colombian rural agricultural sector </w:t>
      </w:r>
      <w:r w:rsidR="000D10DA">
        <w:rPr>
          <w:lang w:val="en-GB"/>
        </w:rPr>
        <w:t xml:space="preserve">and </w:t>
      </w:r>
      <w:r w:rsidR="002A2559" w:rsidRPr="007C30CC">
        <w:rPr>
          <w:lang w:val="en-GB"/>
        </w:rPr>
        <w:t xml:space="preserve">could mean a contribution </w:t>
      </w:r>
      <w:r w:rsidR="000D10DA">
        <w:rPr>
          <w:lang w:val="en-GB"/>
        </w:rPr>
        <w:t>to</w:t>
      </w:r>
      <w:r w:rsidR="002A2559" w:rsidRPr="007C30CC">
        <w:rPr>
          <w:lang w:val="en-GB"/>
        </w:rPr>
        <w:t xml:space="preserve"> solving problems such as social inequality and the economic dependence of farmers </w:t>
      </w:r>
      <w:r w:rsidR="000D10DA">
        <w:rPr>
          <w:lang w:val="en-GB"/>
        </w:rPr>
        <w:t>on</w:t>
      </w:r>
      <w:r w:rsidR="002A2559" w:rsidRPr="007C30CC">
        <w:rPr>
          <w:lang w:val="en-GB"/>
        </w:rPr>
        <w:t xml:space="preserve"> the final sectors of the value chain.</w:t>
      </w:r>
      <w:r w:rsidR="002A2559">
        <w:rPr>
          <w:lang w:val="en-GB"/>
        </w:rPr>
        <w:t xml:space="preserve"> </w:t>
      </w:r>
      <w:r w:rsidR="00475782">
        <w:rPr>
          <w:lang w:val="en-GB"/>
        </w:rPr>
        <w:t xml:space="preserve">It was found that the configuration with the </w:t>
      </w:r>
      <w:r w:rsidR="00B93650">
        <w:rPr>
          <w:lang w:val="en-GB"/>
        </w:rPr>
        <w:t>less complex and</w:t>
      </w:r>
      <w:r w:rsidR="007F6667">
        <w:rPr>
          <w:lang w:val="en-GB"/>
        </w:rPr>
        <w:t xml:space="preserve"> </w:t>
      </w:r>
      <w:r w:rsidR="000D10DA">
        <w:rPr>
          <w:lang w:val="en-GB"/>
        </w:rPr>
        <w:t>energy-demanding</w:t>
      </w:r>
      <w:r w:rsidR="00B93650">
        <w:rPr>
          <w:lang w:val="en-GB"/>
        </w:rPr>
        <w:t xml:space="preserve"> unit operations was</w:t>
      </w:r>
      <w:r w:rsidR="00357175">
        <w:rPr>
          <w:lang w:val="en-GB"/>
        </w:rPr>
        <w:t xml:space="preserve"> the most suitable for small-scale, </w:t>
      </w:r>
      <w:r w:rsidR="005976F1">
        <w:rPr>
          <w:lang w:val="en-GB"/>
        </w:rPr>
        <w:t>as an MPSEF of 4.2 t/day was estimated for cassava MBR v</w:t>
      </w:r>
      <w:r w:rsidR="0071559C">
        <w:rPr>
          <w:lang w:val="en-GB"/>
        </w:rPr>
        <w:t>ersus</w:t>
      </w:r>
      <w:r w:rsidR="005976F1">
        <w:rPr>
          <w:lang w:val="en-GB"/>
        </w:rPr>
        <w:t xml:space="preserve"> 22.4 t/day for rejected banana MBR.</w:t>
      </w:r>
      <w:r w:rsidR="0071559C">
        <w:rPr>
          <w:lang w:val="en-GB"/>
        </w:rPr>
        <w:t xml:space="preserve"> </w:t>
      </w:r>
      <w:r w:rsidR="00475782" w:rsidRPr="00475782">
        <w:rPr>
          <w:lang w:val="en"/>
        </w:rPr>
        <w:t>The environmental evaluation gave favorable results</w:t>
      </w:r>
      <w:r w:rsidR="0071559C">
        <w:rPr>
          <w:lang w:val="en"/>
        </w:rPr>
        <w:t>,</w:t>
      </w:r>
      <w:r w:rsidR="00475782" w:rsidRPr="00475782">
        <w:rPr>
          <w:lang w:val="en"/>
        </w:rPr>
        <w:t xml:space="preserve"> with generated PEI values of -13.1 and -9.36 PEI/h respectivel</w:t>
      </w:r>
      <w:r w:rsidR="0071559C">
        <w:rPr>
          <w:lang w:val="en"/>
        </w:rPr>
        <w:t>y</w:t>
      </w:r>
      <w:r w:rsidR="00475782">
        <w:rPr>
          <w:lang w:val="en"/>
        </w:rPr>
        <w:t xml:space="preserve">. </w:t>
      </w:r>
      <w:r w:rsidR="00F940F5">
        <w:rPr>
          <w:lang w:val="en"/>
        </w:rPr>
        <w:t>Regarding the</w:t>
      </w:r>
      <w:r w:rsidR="00475782" w:rsidRPr="00475782">
        <w:rPr>
          <w:lang w:val="en"/>
        </w:rPr>
        <w:t xml:space="preserve"> integration of the </w:t>
      </w:r>
      <w:r w:rsidR="00163997">
        <w:rPr>
          <w:lang w:val="en"/>
        </w:rPr>
        <w:t>MBRs</w:t>
      </w:r>
      <w:r w:rsidR="00475782" w:rsidRPr="00475782">
        <w:rPr>
          <w:lang w:val="en"/>
        </w:rPr>
        <w:t xml:space="preserve"> to a</w:t>
      </w:r>
      <w:r w:rsidR="00163997">
        <w:rPr>
          <w:lang w:val="en"/>
        </w:rPr>
        <w:t xml:space="preserve"> power </w:t>
      </w:r>
      <w:r w:rsidR="00475782" w:rsidRPr="00475782">
        <w:rPr>
          <w:lang w:val="en"/>
        </w:rPr>
        <w:t xml:space="preserve">system assisted by solar energy </w:t>
      </w:r>
      <w:r w:rsidR="00163997">
        <w:rPr>
          <w:lang w:val="en"/>
        </w:rPr>
        <w:t>and</w:t>
      </w:r>
      <w:r w:rsidR="00475782" w:rsidRPr="00475782">
        <w:rPr>
          <w:lang w:val="en"/>
        </w:rPr>
        <w:t xml:space="preserve"> cogeneration </w:t>
      </w:r>
      <w:r w:rsidR="009E2D01">
        <w:rPr>
          <w:lang w:val="en"/>
        </w:rPr>
        <w:t>with an</w:t>
      </w:r>
      <w:r w:rsidR="00FF0A8C">
        <w:rPr>
          <w:lang w:val="en"/>
        </w:rPr>
        <w:t xml:space="preserve"> </w:t>
      </w:r>
      <w:r w:rsidR="00F41421">
        <w:rPr>
          <w:lang w:val="en"/>
        </w:rPr>
        <w:t>ORC</w:t>
      </w:r>
      <w:r w:rsidR="00475782" w:rsidRPr="00475782">
        <w:rPr>
          <w:lang w:val="en"/>
        </w:rPr>
        <w:t xml:space="preserve">, it was found that the weather conditions </w:t>
      </w:r>
      <w:r w:rsidR="000D10DA">
        <w:rPr>
          <w:lang w:val="en"/>
        </w:rPr>
        <w:t xml:space="preserve">in </w:t>
      </w:r>
      <w:r w:rsidR="00475782">
        <w:rPr>
          <w:lang w:val="en"/>
        </w:rPr>
        <w:t xml:space="preserve">the municipality </w:t>
      </w:r>
      <w:r w:rsidR="008355DE">
        <w:rPr>
          <w:lang w:val="en"/>
        </w:rPr>
        <w:t>of Sahagu</w:t>
      </w:r>
      <w:r w:rsidR="00475782">
        <w:rPr>
          <w:lang w:val="en"/>
        </w:rPr>
        <w:t>n</w:t>
      </w:r>
      <w:r w:rsidR="00475782" w:rsidRPr="00475782">
        <w:rPr>
          <w:lang w:val="en"/>
        </w:rPr>
        <w:t xml:space="preserve"> </w:t>
      </w:r>
      <w:r w:rsidR="00FF0A8C">
        <w:rPr>
          <w:lang w:val="en"/>
        </w:rPr>
        <w:t>(</w:t>
      </w:r>
      <w:r w:rsidR="00475782" w:rsidRPr="00475782">
        <w:rPr>
          <w:lang w:val="en"/>
        </w:rPr>
        <w:t>chosen</w:t>
      </w:r>
      <w:r w:rsidR="00475782">
        <w:rPr>
          <w:lang w:val="en"/>
        </w:rPr>
        <w:t xml:space="preserve"> as case study</w:t>
      </w:r>
      <w:r w:rsidR="00475782" w:rsidRPr="00475782">
        <w:rPr>
          <w:lang w:val="en"/>
        </w:rPr>
        <w:t xml:space="preserve"> for the cassava </w:t>
      </w:r>
      <w:r w:rsidR="00475782">
        <w:rPr>
          <w:lang w:val="en"/>
        </w:rPr>
        <w:t>MBR</w:t>
      </w:r>
      <w:r w:rsidR="00FF0A8C">
        <w:rPr>
          <w:lang w:val="en"/>
        </w:rPr>
        <w:t>)</w:t>
      </w:r>
      <w:r w:rsidR="00475782">
        <w:rPr>
          <w:lang w:val="en"/>
        </w:rPr>
        <w:t xml:space="preserve"> </w:t>
      </w:r>
      <w:r w:rsidR="000870D7">
        <w:rPr>
          <w:lang w:val="en"/>
        </w:rPr>
        <w:t>could</w:t>
      </w:r>
      <w:r w:rsidR="00475782" w:rsidRPr="00475782">
        <w:rPr>
          <w:lang w:val="en"/>
        </w:rPr>
        <w:t xml:space="preserve"> make the use of parabolic solar collectors</w:t>
      </w:r>
      <w:r w:rsidR="00475782">
        <w:rPr>
          <w:lang w:val="en"/>
        </w:rPr>
        <w:t xml:space="preserve"> to provide 60% of energy requirements</w:t>
      </w:r>
      <w:r w:rsidR="000870D7">
        <w:rPr>
          <w:lang w:val="en"/>
        </w:rPr>
        <w:t xml:space="preserve"> technically viable</w:t>
      </w:r>
      <w:r w:rsidR="00645F59">
        <w:rPr>
          <w:lang w:val="en"/>
        </w:rPr>
        <w:t xml:space="preserve">. However, </w:t>
      </w:r>
      <w:r w:rsidR="000D10DA">
        <w:rPr>
          <w:lang w:val="en"/>
        </w:rPr>
        <w:t xml:space="preserve">the </w:t>
      </w:r>
      <w:r w:rsidR="002B3E65">
        <w:rPr>
          <w:lang w:val="en"/>
        </w:rPr>
        <w:t xml:space="preserve">profitability of the plant decreases as </w:t>
      </w:r>
      <w:r w:rsidR="002E2E12">
        <w:rPr>
          <w:lang w:val="en"/>
        </w:rPr>
        <w:t xml:space="preserve">savings in natural gas </w:t>
      </w:r>
      <w:r w:rsidR="00026097">
        <w:rPr>
          <w:lang w:val="en"/>
        </w:rPr>
        <w:t>cannot</w:t>
      </w:r>
      <w:r w:rsidR="00F30A0A">
        <w:rPr>
          <w:lang w:val="en"/>
        </w:rPr>
        <w:t xml:space="preserve"> compensate</w:t>
      </w:r>
      <w:r w:rsidR="000D10DA">
        <w:rPr>
          <w:lang w:val="en"/>
        </w:rPr>
        <w:t xml:space="preserve"> for</w:t>
      </w:r>
      <w:r w:rsidR="00F30A0A">
        <w:rPr>
          <w:lang w:val="en"/>
        </w:rPr>
        <w:t xml:space="preserve"> the total installed cost </w:t>
      </w:r>
      <w:r w:rsidR="00683B8F">
        <w:rPr>
          <w:lang w:val="en"/>
        </w:rPr>
        <w:t>increase</w:t>
      </w:r>
      <w:r w:rsidR="00F30A0A">
        <w:rPr>
          <w:lang w:val="en"/>
        </w:rPr>
        <w:t>.</w:t>
      </w:r>
    </w:p>
    <w:p w14:paraId="001E2BEE" w14:textId="77777777" w:rsidR="000D10DA" w:rsidRDefault="000D10DA" w:rsidP="000D10DA">
      <w:pPr>
        <w:pStyle w:val="CETHeading1"/>
        <w:numPr>
          <w:ilvl w:val="0"/>
          <w:numId w:val="0"/>
        </w:numPr>
      </w:pPr>
      <w:r w:rsidRPr="00E04C3F">
        <w:t>Acknowledgements</w:t>
      </w:r>
    </w:p>
    <w:p w14:paraId="78C030D4" w14:textId="30BE4D4D" w:rsidR="000D10DA" w:rsidRPr="000D10DA" w:rsidRDefault="000D10DA" w:rsidP="00600535">
      <w:pPr>
        <w:pStyle w:val="CETBodytext"/>
      </w:pPr>
      <w:r w:rsidRPr="006D6714">
        <w:rPr>
          <w:lang w:eastAsia="ja-JP"/>
        </w:rPr>
        <w:t xml:space="preserve">The authors acknowledge the Universidad de Cartagena for their support </w:t>
      </w:r>
      <w:r>
        <w:rPr>
          <w:lang w:eastAsia="ja-JP"/>
        </w:rPr>
        <w:t>in</w:t>
      </w:r>
      <w:r w:rsidRPr="006D6714">
        <w:rPr>
          <w:lang w:eastAsia="ja-JP"/>
        </w:rPr>
        <w:t xml:space="preserve"> the development</w:t>
      </w:r>
      <w:r w:rsidRPr="000A46FB">
        <w:rPr>
          <w:lang w:val="en-GB"/>
        </w:rPr>
        <w:t xml:space="preserve"> </w:t>
      </w:r>
      <w:r>
        <w:rPr>
          <w:lang w:val="en-GB"/>
        </w:rPr>
        <w:t>this research.</w:t>
      </w:r>
    </w:p>
    <w:p w14:paraId="4F1327F8" w14:textId="77777777" w:rsidR="00600535" w:rsidRPr="00B57B36" w:rsidRDefault="00600535" w:rsidP="003D69FB">
      <w:pPr>
        <w:pStyle w:val="CETHeading1"/>
        <w:numPr>
          <w:ilvl w:val="0"/>
          <w:numId w:val="0"/>
        </w:numPr>
      </w:pPr>
      <w:r w:rsidRPr="00B57B36">
        <w:t>References</w:t>
      </w:r>
    </w:p>
    <w:p w14:paraId="49F02E2C" w14:textId="6E41389F" w:rsidR="00546BED" w:rsidRPr="00B31ACD" w:rsidRDefault="00546BED" w:rsidP="00B31ACD">
      <w:pPr>
        <w:pStyle w:val="CETReferencetext"/>
      </w:pPr>
      <w:r w:rsidRPr="00B31ACD">
        <w:t>Bruins M.E., Sanders J.P.M</w:t>
      </w:r>
      <w:r w:rsidR="003B0BEA">
        <w:t>.</w:t>
      </w:r>
      <w:r w:rsidR="00483C3F" w:rsidRPr="00B31ACD">
        <w:t>,</w:t>
      </w:r>
      <w:r w:rsidRPr="00B31ACD">
        <w:t xml:space="preserve"> 2012</w:t>
      </w:r>
      <w:r w:rsidR="00483C3F" w:rsidRPr="00B31ACD">
        <w:t>,</w:t>
      </w:r>
      <w:r w:rsidRPr="00B31ACD">
        <w:t xml:space="preserve"> Small-scale processing of biomass for biorefinery</w:t>
      </w:r>
      <w:r w:rsidR="00B045B2" w:rsidRPr="00B31ACD">
        <w:t>,</w:t>
      </w:r>
      <w:r w:rsidRPr="00B31ACD">
        <w:t xml:space="preserve"> Biofuels, Bioproducts and Biorefining, 6(2), 135–145. </w:t>
      </w:r>
    </w:p>
    <w:p w14:paraId="1E283A1C" w14:textId="13276C36" w:rsidR="00546BED" w:rsidRPr="00B31ACD" w:rsidRDefault="00546BED" w:rsidP="00B31ACD">
      <w:pPr>
        <w:pStyle w:val="CETReferencetext"/>
      </w:pPr>
      <w:r w:rsidRPr="00B31ACD">
        <w:t>Bruno</w:t>
      </w:r>
      <w:r w:rsidR="00B045B2" w:rsidRPr="00B31ACD">
        <w:t xml:space="preserve"> </w:t>
      </w:r>
      <w:r w:rsidRPr="00B31ACD">
        <w:t>J.C., López-Villada</w:t>
      </w:r>
      <w:r w:rsidR="00B045B2" w:rsidRPr="00B31ACD">
        <w:t xml:space="preserve"> </w:t>
      </w:r>
      <w:r w:rsidRPr="00B31ACD">
        <w:t>J., Letelier</w:t>
      </w:r>
      <w:r w:rsidR="00B045B2" w:rsidRPr="00B31ACD">
        <w:t xml:space="preserve"> </w:t>
      </w:r>
      <w:r w:rsidRPr="00B31ACD">
        <w:t>E., Romera S.</w:t>
      </w:r>
      <w:r w:rsidR="00B045B2" w:rsidRPr="00B31ACD">
        <w:t xml:space="preserve">, </w:t>
      </w:r>
      <w:r w:rsidR="00661980">
        <w:t xml:space="preserve">and </w:t>
      </w:r>
      <w:r w:rsidRPr="00B31ACD">
        <w:t>Coronas A</w:t>
      </w:r>
      <w:r w:rsidR="000620CD">
        <w:t>.</w:t>
      </w:r>
      <w:r w:rsidR="00483C3F" w:rsidRPr="00B31ACD">
        <w:t xml:space="preserve">, </w:t>
      </w:r>
      <w:r w:rsidRPr="00B31ACD">
        <w:t>2008</w:t>
      </w:r>
      <w:r w:rsidR="00483C3F" w:rsidRPr="00B31ACD">
        <w:t>,</w:t>
      </w:r>
      <w:r w:rsidRPr="00B31ACD">
        <w:t xml:space="preserve"> Modelling and optimisation of solar organic </w:t>
      </w:r>
      <w:r w:rsidR="00483C3F" w:rsidRPr="00B31ACD">
        <w:t>Rankine</w:t>
      </w:r>
      <w:r w:rsidRPr="00B31ACD">
        <w:t xml:space="preserve"> cycle engines for reverse osmosis desalination</w:t>
      </w:r>
      <w:r w:rsidR="00B045B2" w:rsidRPr="00B31ACD">
        <w:t xml:space="preserve">, </w:t>
      </w:r>
      <w:r w:rsidRPr="00B31ACD">
        <w:t xml:space="preserve">App Thermal </w:t>
      </w:r>
      <w:r w:rsidR="008355DE" w:rsidRPr="00B31ACD">
        <w:t>Eng.</w:t>
      </w:r>
      <w:r w:rsidRPr="00B31ACD">
        <w:t>, 28</w:t>
      </w:r>
      <w:r w:rsidR="00483C3F" w:rsidRPr="00B31ACD">
        <w:t xml:space="preserve">, </w:t>
      </w:r>
      <w:r w:rsidRPr="00B31ACD">
        <w:t xml:space="preserve">2212–2226. </w:t>
      </w:r>
    </w:p>
    <w:p w14:paraId="0849FBC6" w14:textId="3DEDA05B" w:rsidR="00546BED" w:rsidRPr="00B31ACD" w:rsidRDefault="00546BED" w:rsidP="00B31ACD">
      <w:pPr>
        <w:pStyle w:val="CETReferencetext"/>
      </w:pPr>
      <w:r w:rsidRPr="00B31ACD">
        <w:t>Da</w:t>
      </w:r>
      <w:r w:rsidR="00B045B2" w:rsidRPr="00B31ACD">
        <w:t xml:space="preserve"> </w:t>
      </w:r>
      <w:r w:rsidRPr="00B31ACD">
        <w:t>G., Dufour</w:t>
      </w:r>
      <w:r w:rsidR="00B045B2" w:rsidRPr="00B31ACD">
        <w:t xml:space="preserve"> </w:t>
      </w:r>
      <w:r w:rsidRPr="00B31ACD">
        <w:t>D., Marouzé</w:t>
      </w:r>
      <w:r w:rsidR="00B045B2" w:rsidRPr="00B31ACD">
        <w:t xml:space="preserve"> </w:t>
      </w:r>
      <w:r w:rsidRPr="00B31ACD">
        <w:t>C., Thanh</w:t>
      </w:r>
      <w:r w:rsidR="00B045B2" w:rsidRPr="00B31ACD">
        <w:t xml:space="preserve"> </w:t>
      </w:r>
      <w:r w:rsidRPr="00B31ACD">
        <w:t xml:space="preserve">M. le, </w:t>
      </w:r>
      <w:r w:rsidR="008355DE">
        <w:t xml:space="preserve">and </w:t>
      </w:r>
      <w:r w:rsidRPr="00B31ACD">
        <w:t>Maréchal</w:t>
      </w:r>
      <w:r w:rsidR="00B045B2" w:rsidRPr="00B31ACD">
        <w:t xml:space="preserve"> </w:t>
      </w:r>
      <w:r w:rsidRPr="00B31ACD">
        <w:t>P.A</w:t>
      </w:r>
      <w:r w:rsidR="00B045B2" w:rsidRPr="00B31ACD">
        <w:t xml:space="preserve">., </w:t>
      </w:r>
      <w:r w:rsidRPr="00B31ACD">
        <w:t>2008</w:t>
      </w:r>
      <w:r w:rsidR="00B045B2" w:rsidRPr="00B31ACD">
        <w:t>,</w:t>
      </w:r>
      <w:r w:rsidRPr="00B31ACD">
        <w:t xml:space="preserve"> Cassava starch processing at small scale in North Vietnam</w:t>
      </w:r>
      <w:r w:rsidR="00B045B2" w:rsidRPr="00B31ACD">
        <w:t xml:space="preserve">, </w:t>
      </w:r>
      <w:r w:rsidR="00FF523B" w:rsidRPr="00B31ACD">
        <w:t>Starch</w:t>
      </w:r>
      <w:r w:rsidR="00FF523B">
        <w:t>/</w:t>
      </w:r>
      <w:r w:rsidR="00FF523B" w:rsidRPr="00B31ACD">
        <w:t>Stärke</w:t>
      </w:r>
      <w:r w:rsidRPr="00B31ACD">
        <w:t xml:space="preserve">, 60(7), 358–372. </w:t>
      </w:r>
    </w:p>
    <w:p w14:paraId="194C85DE" w14:textId="12728A42" w:rsidR="00546BED" w:rsidRPr="00B31ACD" w:rsidRDefault="00546BED" w:rsidP="00B31ACD">
      <w:pPr>
        <w:pStyle w:val="CETReferencetext"/>
      </w:pPr>
      <w:r w:rsidRPr="00B31ACD">
        <w:t>da Mota</w:t>
      </w:r>
      <w:r w:rsidR="00B045B2" w:rsidRPr="00B31ACD">
        <w:t xml:space="preserve"> </w:t>
      </w:r>
      <w:r w:rsidRPr="00B31ACD">
        <w:t>R.V., Lajolo</w:t>
      </w:r>
      <w:r w:rsidR="00B045B2" w:rsidRPr="00B31ACD">
        <w:t xml:space="preserve"> </w:t>
      </w:r>
      <w:r w:rsidRPr="00B31ACD">
        <w:t>F.M., Cordenunsi</w:t>
      </w:r>
      <w:r w:rsidR="00B045B2" w:rsidRPr="00B31ACD">
        <w:t xml:space="preserve"> </w:t>
      </w:r>
      <w:r w:rsidRPr="00B31ACD">
        <w:t xml:space="preserve">B.R., </w:t>
      </w:r>
      <w:r w:rsidR="008355DE">
        <w:t xml:space="preserve">and </w:t>
      </w:r>
      <w:r w:rsidRPr="00B31ACD">
        <w:t>Ciacco</w:t>
      </w:r>
      <w:r w:rsidR="00B045B2" w:rsidRPr="00B31ACD">
        <w:t xml:space="preserve"> </w:t>
      </w:r>
      <w:r w:rsidRPr="00B31ACD">
        <w:t>C</w:t>
      </w:r>
      <w:r w:rsidR="000620CD">
        <w:t>.</w:t>
      </w:r>
      <w:r w:rsidR="00B045B2" w:rsidRPr="00B31ACD">
        <w:t xml:space="preserve">, </w:t>
      </w:r>
      <w:r w:rsidRPr="00B31ACD">
        <w:t>2000</w:t>
      </w:r>
      <w:r w:rsidR="00B045B2" w:rsidRPr="00B31ACD">
        <w:t>,</w:t>
      </w:r>
      <w:r w:rsidRPr="00B31ACD">
        <w:t xml:space="preserve"> Composition and Functional Properties of Banana Flour from Different Varieties</w:t>
      </w:r>
      <w:r w:rsidR="00B045B2" w:rsidRPr="00B31ACD">
        <w:t xml:space="preserve">, </w:t>
      </w:r>
      <w:r w:rsidRPr="00B31ACD">
        <w:t>Starch</w:t>
      </w:r>
      <w:r w:rsidR="00FF523B">
        <w:t>/</w:t>
      </w:r>
      <w:r w:rsidRPr="00B31ACD">
        <w:t>Stärke, 52(2</w:t>
      </w:r>
      <w:r w:rsidRPr="00B31ACD">
        <w:rPr>
          <w:rFonts w:ascii="Cambria Math" w:hAnsi="Cambria Math" w:cs="Cambria Math"/>
        </w:rPr>
        <w:t>‐</w:t>
      </w:r>
      <w:r w:rsidRPr="00B31ACD">
        <w:t xml:space="preserve">3), 63–68. </w:t>
      </w:r>
    </w:p>
    <w:p w14:paraId="27B84C33" w14:textId="05247C3B" w:rsidR="00546BED" w:rsidRPr="00B31ACD" w:rsidRDefault="00546BED" w:rsidP="00B31ACD">
      <w:pPr>
        <w:pStyle w:val="CETReferencetext"/>
      </w:pPr>
      <w:r w:rsidRPr="00B31ACD">
        <w:t>International Renewable Energy Agency</w:t>
      </w:r>
      <w:r w:rsidR="00B045B2" w:rsidRPr="00B31ACD">
        <w:t>,</w:t>
      </w:r>
      <w:r w:rsidRPr="00B31ACD">
        <w:t xml:space="preserve"> 2020</w:t>
      </w:r>
      <w:r w:rsidR="00B045B2" w:rsidRPr="00B31ACD">
        <w:t xml:space="preserve">, </w:t>
      </w:r>
      <w:r w:rsidRPr="00B31ACD">
        <w:t>Renewable Power Generation Costs in 2019</w:t>
      </w:r>
      <w:r w:rsidR="00B31ACD">
        <w:t xml:space="preserve"> </w:t>
      </w:r>
      <w:r w:rsidR="00B31ACD" w:rsidRPr="00B31ACD">
        <w:t>&lt;irena.org/publications/2020/Jun/Renewable-Power-Costs-in-2019&gt; accessed 15.</w:t>
      </w:r>
      <w:r w:rsidR="00587F5C">
        <w:t>04</w:t>
      </w:r>
      <w:r w:rsidR="00B31ACD" w:rsidRPr="00B31ACD">
        <w:t>.2021.</w:t>
      </w:r>
    </w:p>
    <w:p w14:paraId="644FFCFE" w14:textId="47FDBE93" w:rsidR="00546BED" w:rsidRPr="00B31ACD" w:rsidRDefault="00546BED" w:rsidP="00B31ACD">
      <w:pPr>
        <w:pStyle w:val="CETReferencetext"/>
      </w:pPr>
      <w:r w:rsidRPr="00B31ACD">
        <w:t>Leboreiro J.</w:t>
      </w:r>
      <w:r w:rsidR="008179B4" w:rsidRPr="00B31ACD">
        <w:t xml:space="preserve">, </w:t>
      </w:r>
      <w:r w:rsidRPr="00B31ACD">
        <w:t>Hilaly A.K.</w:t>
      </w:r>
      <w:r w:rsidR="00B045B2" w:rsidRPr="00B31ACD">
        <w:t xml:space="preserve">, </w:t>
      </w:r>
      <w:r w:rsidRPr="00B31ACD">
        <w:t>2013</w:t>
      </w:r>
      <w:r w:rsidR="00B045B2" w:rsidRPr="00B31ACD">
        <w:t>,</w:t>
      </w:r>
      <w:r w:rsidRPr="00B31ACD">
        <w:t xml:space="preserve"> Analysis of supply chain, scale factor, and optimum plant capacity for the production of ethanol from corn stover</w:t>
      </w:r>
      <w:r w:rsidR="00B045B2" w:rsidRPr="00B31ACD">
        <w:t xml:space="preserve">, </w:t>
      </w:r>
      <w:r w:rsidRPr="00B31ACD">
        <w:t xml:space="preserve">Biomass and Bioenergy, 54, 158–169. </w:t>
      </w:r>
    </w:p>
    <w:p w14:paraId="6BA98C84" w14:textId="68660351" w:rsidR="00546BED" w:rsidRPr="00B31ACD" w:rsidRDefault="00483C3F" w:rsidP="00B31ACD">
      <w:pPr>
        <w:pStyle w:val="CETReferencetext"/>
      </w:pPr>
      <w:r w:rsidRPr="00B31ACD">
        <w:t>Ministry of Agriculture</w:t>
      </w:r>
      <w:r w:rsidR="008179B4" w:rsidRPr="00B31ACD">
        <w:t xml:space="preserve">, </w:t>
      </w:r>
      <w:r w:rsidR="00546BED" w:rsidRPr="00B31ACD">
        <w:t>2</w:t>
      </w:r>
      <w:r w:rsidRPr="00B31ACD">
        <w:t>020</w:t>
      </w:r>
      <w:r w:rsidR="008179B4" w:rsidRPr="00B31ACD">
        <w:t>,</w:t>
      </w:r>
      <w:r w:rsidR="00546BED" w:rsidRPr="00B31ACD">
        <w:t xml:space="preserve"> </w:t>
      </w:r>
      <w:r w:rsidRPr="00B31ACD">
        <w:t xml:space="preserve">Agricultural </w:t>
      </w:r>
      <w:r w:rsidR="0084310A" w:rsidRPr="00B31ACD">
        <w:t xml:space="preserve">annual </w:t>
      </w:r>
      <w:r w:rsidRPr="00B31ACD">
        <w:t>evaluations by department</w:t>
      </w:r>
      <w:r w:rsidR="00084D19">
        <w:t xml:space="preserve"> </w:t>
      </w:r>
      <w:r w:rsidR="00B31ACD" w:rsidRPr="00B31ACD">
        <w:t>&lt;agronet.gov.co/estadistica/&gt; accessed 25.09.2021.</w:t>
      </w:r>
    </w:p>
    <w:p w14:paraId="62808189" w14:textId="75F926A9" w:rsidR="00546BED" w:rsidRPr="00B31ACD" w:rsidRDefault="00546BED" w:rsidP="00B31ACD">
      <w:pPr>
        <w:pStyle w:val="CETReferencetext"/>
      </w:pPr>
      <w:r w:rsidRPr="00B31ACD">
        <w:t>Mufidah E., Prihanto</w:t>
      </w:r>
      <w:r w:rsidR="008179B4" w:rsidRPr="00B31ACD">
        <w:t xml:space="preserve"> </w:t>
      </w:r>
      <w:r w:rsidRPr="00B31ACD">
        <w:t xml:space="preserve">A.A., </w:t>
      </w:r>
      <w:r w:rsidR="008355DE">
        <w:t xml:space="preserve">and </w:t>
      </w:r>
      <w:r w:rsidRPr="00B31ACD">
        <w:t>Wakayama</w:t>
      </w:r>
      <w:r w:rsidR="008179B4" w:rsidRPr="00B31ACD">
        <w:t xml:space="preserve"> </w:t>
      </w:r>
      <w:r w:rsidRPr="00B31ACD">
        <w:t>M.</w:t>
      </w:r>
      <w:r w:rsidR="008179B4" w:rsidRPr="00B31ACD">
        <w:t xml:space="preserve">, </w:t>
      </w:r>
      <w:r w:rsidRPr="00B31ACD">
        <w:t>2017</w:t>
      </w:r>
      <w:r w:rsidR="008179B4" w:rsidRPr="00B31ACD">
        <w:t>,</w:t>
      </w:r>
      <w:r w:rsidRPr="00B31ACD">
        <w:t xml:space="preserve"> Optimization of L-lactic Acid Production from Banana Peel by Multiple Parallel Fermentation with </w:t>
      </w:r>
      <w:r w:rsidRPr="008355DE">
        <w:rPr>
          <w:i/>
        </w:rPr>
        <w:t>Bacillus licheniformis</w:t>
      </w:r>
      <w:r w:rsidRPr="00B31ACD">
        <w:t xml:space="preserve"> and </w:t>
      </w:r>
      <w:r w:rsidRPr="008355DE">
        <w:rPr>
          <w:i/>
        </w:rPr>
        <w:t>Aspergillus awamori</w:t>
      </w:r>
      <w:r w:rsidR="008179B4" w:rsidRPr="00B31ACD">
        <w:t xml:space="preserve">, </w:t>
      </w:r>
      <w:r w:rsidRPr="00B31ACD">
        <w:t>Food Science and Technology Research, 23(1), 137–143.</w:t>
      </w:r>
    </w:p>
    <w:p w14:paraId="76F66006" w14:textId="55836112" w:rsidR="00546BED" w:rsidRPr="00B31ACD" w:rsidRDefault="00546BED" w:rsidP="00B31ACD">
      <w:pPr>
        <w:pStyle w:val="CETReferencetext"/>
      </w:pPr>
      <w:r w:rsidRPr="00B31ACD">
        <w:t>Naranjo</w:t>
      </w:r>
      <w:r w:rsidR="008179B4" w:rsidRPr="00B31ACD">
        <w:t xml:space="preserve"> </w:t>
      </w:r>
      <w:r w:rsidRPr="00B31ACD">
        <w:t xml:space="preserve">J.M., Cardona C.A., </w:t>
      </w:r>
      <w:r w:rsidR="008355DE">
        <w:t xml:space="preserve">and </w:t>
      </w:r>
      <w:r w:rsidRPr="00B31ACD">
        <w:t>Higuita</w:t>
      </w:r>
      <w:r w:rsidR="008179B4" w:rsidRPr="00B31ACD">
        <w:t xml:space="preserve"> </w:t>
      </w:r>
      <w:r w:rsidRPr="00B31ACD">
        <w:t>J.C.</w:t>
      </w:r>
      <w:r w:rsidR="008179B4" w:rsidRPr="00B31ACD">
        <w:t xml:space="preserve">, </w:t>
      </w:r>
      <w:r w:rsidRPr="00B31ACD">
        <w:t>2014</w:t>
      </w:r>
      <w:r w:rsidR="008179B4" w:rsidRPr="00B31ACD">
        <w:t>,</w:t>
      </w:r>
      <w:r w:rsidRPr="00B31ACD">
        <w:t xml:space="preserve"> Use of residual banana for polyhydroxybutyrate (PHB) production: Case of study in an integrated biorefinery</w:t>
      </w:r>
      <w:r w:rsidR="008179B4" w:rsidRPr="00B31ACD">
        <w:t>,</w:t>
      </w:r>
      <w:r w:rsidRPr="00B31ACD">
        <w:t xml:space="preserve"> Waste Management, 34(12), 2634–2640. </w:t>
      </w:r>
    </w:p>
    <w:p w14:paraId="64CEBEAA" w14:textId="377BB49A" w:rsidR="00546BED" w:rsidRPr="00B31ACD" w:rsidRDefault="00546BED" w:rsidP="00B31ACD">
      <w:pPr>
        <w:pStyle w:val="CETReferencetext"/>
      </w:pPr>
      <w:r w:rsidRPr="00B31ACD">
        <w:t>Pál T</w:t>
      </w:r>
      <w:r w:rsidR="00DF52E8" w:rsidRPr="00B31ACD">
        <w:t>.</w:t>
      </w:r>
      <w:r w:rsidR="006A2A4B" w:rsidRPr="00B31ACD">
        <w:t xml:space="preserve">, </w:t>
      </w:r>
      <w:r w:rsidRPr="00B31ACD">
        <w:t>2017</w:t>
      </w:r>
      <w:r w:rsidR="006A2A4B" w:rsidRPr="00B31ACD">
        <w:t>,</w:t>
      </w:r>
      <w:r w:rsidRPr="00B31ACD">
        <w:t xml:space="preserve"> Perspectives for mini-scale ORC power plants coupled with internal combustion engines in the European Union, MSc Thesis, KTH, Sweden.</w:t>
      </w:r>
    </w:p>
    <w:p w14:paraId="6A755C97" w14:textId="2E92E5FB" w:rsidR="00546BED" w:rsidRPr="00B31ACD" w:rsidRDefault="00546BED" w:rsidP="00B31ACD">
      <w:pPr>
        <w:pStyle w:val="CETReferencetext"/>
      </w:pPr>
      <w:r w:rsidRPr="00B31ACD">
        <w:t xml:space="preserve">Prado F.C., Vandenberghe L.P.S., Woiciechowski A.L., Rodrígues-León J.A., </w:t>
      </w:r>
      <w:r w:rsidR="008355DE">
        <w:t xml:space="preserve">and </w:t>
      </w:r>
      <w:r w:rsidRPr="00B31ACD">
        <w:t>Soccol C.R</w:t>
      </w:r>
      <w:r w:rsidR="000620CD">
        <w:t>.</w:t>
      </w:r>
      <w:r w:rsidR="006A2A4B" w:rsidRPr="00B31ACD">
        <w:t xml:space="preserve">, </w:t>
      </w:r>
      <w:r w:rsidRPr="00B31ACD">
        <w:t>2005</w:t>
      </w:r>
      <w:r w:rsidR="006A2A4B" w:rsidRPr="00B31ACD">
        <w:t xml:space="preserve">, </w:t>
      </w:r>
      <w:r w:rsidRPr="00B31ACD">
        <w:t>Citric acid production by solid-state fermentation on a semi-pilot scale using different percentages of treated cassava bagasse</w:t>
      </w:r>
      <w:r w:rsidR="006A2A4B" w:rsidRPr="00B31ACD">
        <w:t xml:space="preserve">, </w:t>
      </w:r>
      <w:r w:rsidRPr="00B31ACD">
        <w:t>Brazilian Journal of Chemical Engineering</w:t>
      </w:r>
      <w:r w:rsidR="006A2A4B" w:rsidRPr="00B31ACD">
        <w:t xml:space="preserve">, </w:t>
      </w:r>
      <w:r w:rsidRPr="00B31ACD">
        <w:t>22,</w:t>
      </w:r>
      <w:r w:rsidR="006A2A4B" w:rsidRPr="00B31ACD">
        <w:t xml:space="preserve"> </w:t>
      </w:r>
      <w:r w:rsidRPr="00B31ACD">
        <w:t>547–555</w:t>
      </w:r>
      <w:r w:rsidR="006A2A4B" w:rsidRPr="00B31ACD">
        <w:t>.</w:t>
      </w:r>
    </w:p>
    <w:p w14:paraId="204566A2" w14:textId="5250B2DA" w:rsidR="00546BED" w:rsidRPr="00B31ACD" w:rsidRDefault="00546BED" w:rsidP="00B31ACD">
      <w:pPr>
        <w:pStyle w:val="CETReferencetext"/>
      </w:pPr>
      <w:r w:rsidRPr="00B31ACD">
        <w:t>Santos A., Lopes Y., Araújo R.,</w:t>
      </w:r>
      <w:r w:rsidR="00BB1C5D" w:rsidRPr="00B31ACD">
        <w:t xml:space="preserve"> </w:t>
      </w:r>
      <w:r w:rsidR="008355DE">
        <w:t xml:space="preserve">and </w:t>
      </w:r>
      <w:r w:rsidRPr="00B31ACD">
        <w:t>Cohim E</w:t>
      </w:r>
      <w:r w:rsidR="00BB1C5D" w:rsidRPr="00B31ACD">
        <w:t xml:space="preserve">., </w:t>
      </w:r>
      <w:r w:rsidRPr="00B31ACD">
        <w:t>201</w:t>
      </w:r>
      <w:r w:rsidR="00BB1C5D" w:rsidRPr="00B31ACD">
        <w:t>7,</w:t>
      </w:r>
      <w:r w:rsidRPr="00B31ACD">
        <w:t xml:space="preserve"> Waste biorefineries for the cassava starch industry: </w:t>
      </w:r>
      <w:r w:rsidR="00BB1C5D" w:rsidRPr="00B31ACD">
        <w:t>new</w:t>
      </w:r>
      <w:r w:rsidRPr="00B31ACD">
        <w:t xml:space="preserve"> trends and review of alternatives</w:t>
      </w:r>
      <w:r w:rsidR="00BB1C5D" w:rsidRPr="00B31ACD">
        <w:t xml:space="preserve">, </w:t>
      </w:r>
      <w:r w:rsidRPr="00B31ACD">
        <w:t>73(February 2016), 1265–1275.</w:t>
      </w:r>
    </w:p>
    <w:p w14:paraId="217F0BB4" w14:textId="52F91560" w:rsidR="00546BED" w:rsidRPr="00B31ACD" w:rsidRDefault="00546BED" w:rsidP="00B31ACD">
      <w:pPr>
        <w:pStyle w:val="CETReferencetext"/>
      </w:pPr>
      <w:r w:rsidRPr="00B31ACD">
        <w:t>Serna-Loaiza S., Carmona-Garcia E.,</w:t>
      </w:r>
      <w:r w:rsidR="00BB1C5D" w:rsidRPr="00B31ACD">
        <w:t xml:space="preserve"> </w:t>
      </w:r>
      <w:r w:rsidR="008355DE">
        <w:t xml:space="preserve">and </w:t>
      </w:r>
      <w:r w:rsidRPr="00B31ACD">
        <w:t>Cardona</w:t>
      </w:r>
      <w:r w:rsidR="00BB1C5D" w:rsidRPr="00B31ACD">
        <w:t xml:space="preserve"> </w:t>
      </w:r>
      <w:r w:rsidRPr="00B31ACD">
        <w:t>C.A</w:t>
      </w:r>
      <w:r w:rsidR="00BB1C5D" w:rsidRPr="00B31ACD">
        <w:t>.,</w:t>
      </w:r>
      <w:r w:rsidRPr="00B31ACD">
        <w:t>2018</w:t>
      </w:r>
      <w:r w:rsidR="00BB1C5D" w:rsidRPr="00B31ACD">
        <w:t>,</w:t>
      </w:r>
      <w:r w:rsidRPr="00B31ACD">
        <w:t xml:space="preserve"> Potential raw materials for biorefineries to ensure food security: The Cocoyam case</w:t>
      </w:r>
      <w:r w:rsidR="00BB1C5D" w:rsidRPr="00B31ACD">
        <w:t>,</w:t>
      </w:r>
      <w:r w:rsidRPr="00B31ACD">
        <w:t xml:space="preserve"> Industrial Crops and Products, 126(April), 92–102. </w:t>
      </w:r>
    </w:p>
    <w:p w14:paraId="3C9D0F28" w14:textId="2DA2CA4E" w:rsidR="00D0751C" w:rsidRPr="00B31ACD" w:rsidRDefault="00546BED" w:rsidP="00B31ACD">
      <w:pPr>
        <w:pStyle w:val="CETReferencetext"/>
      </w:pPr>
      <w:r w:rsidRPr="00B31ACD">
        <w:t>Tora</w:t>
      </w:r>
      <w:r w:rsidR="00BB1C5D" w:rsidRPr="00B31ACD">
        <w:t xml:space="preserve"> </w:t>
      </w:r>
      <w:r w:rsidRPr="00B31ACD">
        <w:t>E.A.,</w:t>
      </w:r>
      <w:r w:rsidR="00BB1C5D" w:rsidRPr="00B31ACD">
        <w:t xml:space="preserve"> </w:t>
      </w:r>
      <w:r w:rsidRPr="00B31ACD">
        <w:t>El-Halwagi M.M.</w:t>
      </w:r>
      <w:r w:rsidR="00BB1C5D" w:rsidRPr="00B31ACD">
        <w:t xml:space="preserve">, </w:t>
      </w:r>
      <w:r w:rsidRPr="00B31ACD">
        <w:t>2010</w:t>
      </w:r>
      <w:r w:rsidR="00BB1C5D" w:rsidRPr="00B31ACD">
        <w:t xml:space="preserve">, </w:t>
      </w:r>
      <w:r w:rsidRPr="00B31ACD">
        <w:t>Integration of solar energy into absorption refrigerators and industrial processes</w:t>
      </w:r>
      <w:r w:rsidR="00BB1C5D" w:rsidRPr="00B31ACD">
        <w:t>,</w:t>
      </w:r>
      <w:r w:rsidRPr="00B31ACD">
        <w:t xml:space="preserve"> Chemical Engineering and Technology, 33(9), 1495–1505.</w:t>
      </w:r>
    </w:p>
    <w:p w14:paraId="0AB0FF6E" w14:textId="085E937F" w:rsidR="00D0751C" w:rsidRPr="00B31ACD" w:rsidRDefault="00D0751C" w:rsidP="00B31ACD">
      <w:pPr>
        <w:pStyle w:val="CETReferencetext"/>
      </w:pPr>
      <w:r w:rsidRPr="00B31ACD">
        <w:t>Walozi</w:t>
      </w:r>
      <w:r w:rsidR="00155BF5" w:rsidRPr="00B31ACD">
        <w:t xml:space="preserve"> </w:t>
      </w:r>
      <w:r w:rsidRPr="00B31ACD">
        <w:t>R., Nabuuma B.,</w:t>
      </w:r>
      <w:r w:rsidR="00155BF5" w:rsidRPr="00B31ACD">
        <w:t xml:space="preserve"> </w:t>
      </w:r>
      <w:r w:rsidR="008355DE">
        <w:t xml:space="preserve">and </w:t>
      </w:r>
      <w:r w:rsidRPr="00B31ACD">
        <w:t>Sebiti A.</w:t>
      </w:r>
      <w:r w:rsidR="00155BF5" w:rsidRPr="00B31ACD">
        <w:t xml:space="preserve">, </w:t>
      </w:r>
      <w:r w:rsidRPr="00B31ACD">
        <w:t>2016</w:t>
      </w:r>
      <w:r w:rsidR="004B273E" w:rsidRPr="00B31ACD">
        <w:t xml:space="preserve">, </w:t>
      </w:r>
      <w:r w:rsidRPr="00B31ACD">
        <w:t xml:space="preserve">Application of low pressure water scrubbing technique for increasing methane content in biogas. Universal Journal of Agricultural Research, 4(2), 60–65. </w:t>
      </w:r>
    </w:p>
    <w:p w14:paraId="701004DA" w14:textId="2E55E2E2" w:rsidR="00D0751C" w:rsidRPr="00B31ACD" w:rsidRDefault="00546BED" w:rsidP="00B31ACD">
      <w:pPr>
        <w:pStyle w:val="CETReferencetext"/>
      </w:pPr>
      <w:r w:rsidRPr="00B31ACD">
        <w:t>Wooley R.J.,</w:t>
      </w:r>
      <w:r w:rsidR="00BB1C5D" w:rsidRPr="00B31ACD">
        <w:t xml:space="preserve"> </w:t>
      </w:r>
      <w:r w:rsidRPr="00B31ACD">
        <w:t>Putsche V.</w:t>
      </w:r>
      <w:r w:rsidR="00BB1C5D" w:rsidRPr="00B31ACD">
        <w:t xml:space="preserve">, </w:t>
      </w:r>
      <w:r w:rsidRPr="00B31ACD">
        <w:t>1996</w:t>
      </w:r>
      <w:r w:rsidR="00BB1C5D" w:rsidRPr="00B31ACD">
        <w:t xml:space="preserve">, </w:t>
      </w:r>
      <w:r w:rsidRPr="00B31ACD">
        <w:t>Development of an ASPEN PLUS Physical Property Database for Biofuels Components</w:t>
      </w:r>
      <w:r w:rsidR="00B31ACD">
        <w:t xml:space="preserve"> </w:t>
      </w:r>
      <w:r w:rsidR="00B31ACD" w:rsidRPr="00B31ACD">
        <w:t>&lt;https://www.osti.gov/servlets/purl/257362 &gt; accessed 25.0</w:t>
      </w:r>
      <w:r w:rsidR="00084D19">
        <w:t>1</w:t>
      </w:r>
      <w:r w:rsidR="00B31ACD" w:rsidRPr="00B31ACD">
        <w:t>.2021.</w:t>
      </w:r>
    </w:p>
    <w:p w14:paraId="2AF6AF57" w14:textId="6287F042" w:rsidR="000B01BE" w:rsidRPr="00546BED" w:rsidRDefault="001620D9" w:rsidP="0005484A">
      <w:pPr>
        <w:pStyle w:val="CETReferencetext"/>
      </w:pPr>
      <w:r w:rsidRPr="00B31ACD">
        <w:t xml:space="preserve">Young D., Scharp R., </w:t>
      </w:r>
      <w:r w:rsidR="008355DE">
        <w:t xml:space="preserve">and </w:t>
      </w:r>
      <w:r w:rsidRPr="00B31ACD">
        <w:t>Cabezas H., 2000, The waste reduction (WAR) algorithm: Environmental impacts, energy consumption, and engineering economics, Waste Management, 20(8), 605–615.</w:t>
      </w:r>
    </w:p>
    <w:sectPr w:rsidR="000B01BE" w:rsidRPr="00546BED" w:rsidSect="007A346E">
      <w:type w:val="continuous"/>
      <w:pgSz w:w="11906" w:h="16838" w:code="9"/>
      <w:pgMar w:top="1701" w:right="1418" w:bottom="1276"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0A53C" w14:textId="77777777" w:rsidR="0021109D" w:rsidRDefault="0021109D" w:rsidP="004F5E36">
      <w:r>
        <w:separator/>
      </w:r>
    </w:p>
  </w:endnote>
  <w:endnote w:type="continuationSeparator" w:id="0">
    <w:p w14:paraId="3191DB65" w14:textId="77777777" w:rsidR="0021109D" w:rsidRDefault="0021109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8FAAE" w14:textId="77777777" w:rsidR="0021109D" w:rsidRDefault="0021109D" w:rsidP="004F5E36">
      <w:r>
        <w:separator/>
      </w:r>
    </w:p>
  </w:footnote>
  <w:footnote w:type="continuationSeparator" w:id="0">
    <w:p w14:paraId="10D8A08F" w14:textId="77777777" w:rsidR="0021109D" w:rsidRDefault="0021109D"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A31"/>
    <w:rsid w:val="000117CB"/>
    <w:rsid w:val="00012A1F"/>
    <w:rsid w:val="00021865"/>
    <w:rsid w:val="00021A2D"/>
    <w:rsid w:val="0002422E"/>
    <w:rsid w:val="00024AEE"/>
    <w:rsid w:val="00026097"/>
    <w:rsid w:val="00030FA0"/>
    <w:rsid w:val="0003148D"/>
    <w:rsid w:val="0003155B"/>
    <w:rsid w:val="00031EEC"/>
    <w:rsid w:val="00032FE1"/>
    <w:rsid w:val="00033E99"/>
    <w:rsid w:val="00033FD8"/>
    <w:rsid w:val="000346FB"/>
    <w:rsid w:val="0004053A"/>
    <w:rsid w:val="00040F47"/>
    <w:rsid w:val="00044B18"/>
    <w:rsid w:val="00045EEF"/>
    <w:rsid w:val="00050427"/>
    <w:rsid w:val="00051566"/>
    <w:rsid w:val="0005484A"/>
    <w:rsid w:val="00054CE7"/>
    <w:rsid w:val="00055169"/>
    <w:rsid w:val="000562A9"/>
    <w:rsid w:val="000579BD"/>
    <w:rsid w:val="000620CD"/>
    <w:rsid w:val="000627C5"/>
    <w:rsid w:val="00062A9A"/>
    <w:rsid w:val="00062BBA"/>
    <w:rsid w:val="00065058"/>
    <w:rsid w:val="0006554A"/>
    <w:rsid w:val="000659F3"/>
    <w:rsid w:val="00065AA6"/>
    <w:rsid w:val="00074FE9"/>
    <w:rsid w:val="00083C40"/>
    <w:rsid w:val="00084D19"/>
    <w:rsid w:val="00085710"/>
    <w:rsid w:val="00086C39"/>
    <w:rsid w:val="000870D7"/>
    <w:rsid w:val="00087EEC"/>
    <w:rsid w:val="0009208E"/>
    <w:rsid w:val="00097963"/>
    <w:rsid w:val="000A03B2"/>
    <w:rsid w:val="000A2A96"/>
    <w:rsid w:val="000A3362"/>
    <w:rsid w:val="000A3A99"/>
    <w:rsid w:val="000B01BE"/>
    <w:rsid w:val="000B0957"/>
    <w:rsid w:val="000B1B5A"/>
    <w:rsid w:val="000B4850"/>
    <w:rsid w:val="000C1B64"/>
    <w:rsid w:val="000C6925"/>
    <w:rsid w:val="000C6FA2"/>
    <w:rsid w:val="000D0268"/>
    <w:rsid w:val="000D10DA"/>
    <w:rsid w:val="000D2ABC"/>
    <w:rsid w:val="000D34BE"/>
    <w:rsid w:val="000D5BA7"/>
    <w:rsid w:val="000D6220"/>
    <w:rsid w:val="000E0D2D"/>
    <w:rsid w:val="000E102F"/>
    <w:rsid w:val="000E36F1"/>
    <w:rsid w:val="000E3A73"/>
    <w:rsid w:val="000E414A"/>
    <w:rsid w:val="000E64CD"/>
    <w:rsid w:val="000E659E"/>
    <w:rsid w:val="000F093C"/>
    <w:rsid w:val="000F135E"/>
    <w:rsid w:val="000F598E"/>
    <w:rsid w:val="000F5BE5"/>
    <w:rsid w:val="000F787B"/>
    <w:rsid w:val="00102020"/>
    <w:rsid w:val="00103218"/>
    <w:rsid w:val="001040A0"/>
    <w:rsid w:val="0010611E"/>
    <w:rsid w:val="001075FB"/>
    <w:rsid w:val="00110E0F"/>
    <w:rsid w:val="00114EFB"/>
    <w:rsid w:val="0012091F"/>
    <w:rsid w:val="00125A15"/>
    <w:rsid w:val="00125D68"/>
    <w:rsid w:val="00126BC2"/>
    <w:rsid w:val="00130105"/>
    <w:rsid w:val="001308B6"/>
    <w:rsid w:val="0013121F"/>
    <w:rsid w:val="00131FE6"/>
    <w:rsid w:val="0013263F"/>
    <w:rsid w:val="0013317A"/>
    <w:rsid w:val="001331DF"/>
    <w:rsid w:val="00134DE4"/>
    <w:rsid w:val="0014034D"/>
    <w:rsid w:val="0014124A"/>
    <w:rsid w:val="00144D16"/>
    <w:rsid w:val="00146B29"/>
    <w:rsid w:val="00150E59"/>
    <w:rsid w:val="00152DE3"/>
    <w:rsid w:val="00155BF5"/>
    <w:rsid w:val="00156940"/>
    <w:rsid w:val="001620D9"/>
    <w:rsid w:val="00162A98"/>
    <w:rsid w:val="00163997"/>
    <w:rsid w:val="00164CF9"/>
    <w:rsid w:val="001667A6"/>
    <w:rsid w:val="00167345"/>
    <w:rsid w:val="001723DA"/>
    <w:rsid w:val="00174AE8"/>
    <w:rsid w:val="00181663"/>
    <w:rsid w:val="00184AD6"/>
    <w:rsid w:val="001948F3"/>
    <w:rsid w:val="00196AD9"/>
    <w:rsid w:val="001A352E"/>
    <w:rsid w:val="001A4AF7"/>
    <w:rsid w:val="001B0349"/>
    <w:rsid w:val="001B0F4D"/>
    <w:rsid w:val="001B1E93"/>
    <w:rsid w:val="001B269E"/>
    <w:rsid w:val="001B2AB9"/>
    <w:rsid w:val="001B60E4"/>
    <w:rsid w:val="001B6553"/>
    <w:rsid w:val="001B65C1"/>
    <w:rsid w:val="001B78E2"/>
    <w:rsid w:val="001B7EB3"/>
    <w:rsid w:val="001C0055"/>
    <w:rsid w:val="001C0D0E"/>
    <w:rsid w:val="001C35DC"/>
    <w:rsid w:val="001C3868"/>
    <w:rsid w:val="001C400D"/>
    <w:rsid w:val="001C4547"/>
    <w:rsid w:val="001C684B"/>
    <w:rsid w:val="001D025C"/>
    <w:rsid w:val="001D0CFB"/>
    <w:rsid w:val="001D1423"/>
    <w:rsid w:val="001D21AF"/>
    <w:rsid w:val="001D2809"/>
    <w:rsid w:val="001D53FC"/>
    <w:rsid w:val="001D5616"/>
    <w:rsid w:val="001D697B"/>
    <w:rsid w:val="001E2FAF"/>
    <w:rsid w:val="001E56BF"/>
    <w:rsid w:val="001E7F6A"/>
    <w:rsid w:val="001F42A5"/>
    <w:rsid w:val="001F7B9D"/>
    <w:rsid w:val="002018BE"/>
    <w:rsid w:val="00201C93"/>
    <w:rsid w:val="00203CA2"/>
    <w:rsid w:val="00204000"/>
    <w:rsid w:val="0020402B"/>
    <w:rsid w:val="00204722"/>
    <w:rsid w:val="0021109D"/>
    <w:rsid w:val="00211EE2"/>
    <w:rsid w:val="00212284"/>
    <w:rsid w:val="0021279C"/>
    <w:rsid w:val="002139C7"/>
    <w:rsid w:val="00215D8A"/>
    <w:rsid w:val="00217C29"/>
    <w:rsid w:val="002224B4"/>
    <w:rsid w:val="00223E6A"/>
    <w:rsid w:val="00223FC2"/>
    <w:rsid w:val="002249F0"/>
    <w:rsid w:val="00225C6E"/>
    <w:rsid w:val="00231EC6"/>
    <w:rsid w:val="00232897"/>
    <w:rsid w:val="00236CBD"/>
    <w:rsid w:val="002404CE"/>
    <w:rsid w:val="002447EF"/>
    <w:rsid w:val="0024517D"/>
    <w:rsid w:val="00251550"/>
    <w:rsid w:val="002517BC"/>
    <w:rsid w:val="00251873"/>
    <w:rsid w:val="002531BD"/>
    <w:rsid w:val="00254C1B"/>
    <w:rsid w:val="002568BC"/>
    <w:rsid w:val="00260EA1"/>
    <w:rsid w:val="00261DF6"/>
    <w:rsid w:val="00262957"/>
    <w:rsid w:val="00263B05"/>
    <w:rsid w:val="00265F9C"/>
    <w:rsid w:val="0027221A"/>
    <w:rsid w:val="00275B61"/>
    <w:rsid w:val="00280FAF"/>
    <w:rsid w:val="00281E28"/>
    <w:rsid w:val="00282656"/>
    <w:rsid w:val="00284664"/>
    <w:rsid w:val="00296B83"/>
    <w:rsid w:val="002A2559"/>
    <w:rsid w:val="002A6A80"/>
    <w:rsid w:val="002B0E2F"/>
    <w:rsid w:val="002B1AD0"/>
    <w:rsid w:val="002B3105"/>
    <w:rsid w:val="002B3E65"/>
    <w:rsid w:val="002B4015"/>
    <w:rsid w:val="002B6426"/>
    <w:rsid w:val="002B78CE"/>
    <w:rsid w:val="002B7A5E"/>
    <w:rsid w:val="002C03CC"/>
    <w:rsid w:val="002C0FBC"/>
    <w:rsid w:val="002C2FB6"/>
    <w:rsid w:val="002C5B62"/>
    <w:rsid w:val="002C707A"/>
    <w:rsid w:val="002D0131"/>
    <w:rsid w:val="002D03E0"/>
    <w:rsid w:val="002D4C12"/>
    <w:rsid w:val="002E2238"/>
    <w:rsid w:val="002E2E12"/>
    <w:rsid w:val="002E3BCF"/>
    <w:rsid w:val="002E446F"/>
    <w:rsid w:val="002E4EB7"/>
    <w:rsid w:val="002E53A5"/>
    <w:rsid w:val="002E5961"/>
    <w:rsid w:val="002E5FA7"/>
    <w:rsid w:val="002F3309"/>
    <w:rsid w:val="002F79AA"/>
    <w:rsid w:val="003008CE"/>
    <w:rsid w:val="003009B7"/>
    <w:rsid w:val="00300E56"/>
    <w:rsid w:val="0030152C"/>
    <w:rsid w:val="0030469C"/>
    <w:rsid w:val="003074D7"/>
    <w:rsid w:val="0030763C"/>
    <w:rsid w:val="003076AA"/>
    <w:rsid w:val="00311F81"/>
    <w:rsid w:val="00313BA8"/>
    <w:rsid w:val="00314AFF"/>
    <w:rsid w:val="003161DE"/>
    <w:rsid w:val="003217FA"/>
    <w:rsid w:val="00321CA6"/>
    <w:rsid w:val="0032363B"/>
    <w:rsid w:val="00323763"/>
    <w:rsid w:val="00323A55"/>
    <w:rsid w:val="00323C5F"/>
    <w:rsid w:val="00325C7C"/>
    <w:rsid w:val="003263BC"/>
    <w:rsid w:val="00330D98"/>
    <w:rsid w:val="00334222"/>
    <w:rsid w:val="00334C09"/>
    <w:rsid w:val="0034391B"/>
    <w:rsid w:val="00346F67"/>
    <w:rsid w:val="00354E28"/>
    <w:rsid w:val="00357175"/>
    <w:rsid w:val="00367FEC"/>
    <w:rsid w:val="003723D4"/>
    <w:rsid w:val="00372EDF"/>
    <w:rsid w:val="00375472"/>
    <w:rsid w:val="00375B5E"/>
    <w:rsid w:val="00380B9C"/>
    <w:rsid w:val="00380DD3"/>
    <w:rsid w:val="00381905"/>
    <w:rsid w:val="00381F8A"/>
    <w:rsid w:val="00382F51"/>
    <w:rsid w:val="0038464C"/>
    <w:rsid w:val="00384CC8"/>
    <w:rsid w:val="0038685A"/>
    <w:rsid w:val="003871FD"/>
    <w:rsid w:val="00387DA4"/>
    <w:rsid w:val="00387FA1"/>
    <w:rsid w:val="0039081C"/>
    <w:rsid w:val="003972E4"/>
    <w:rsid w:val="00397409"/>
    <w:rsid w:val="003A1E30"/>
    <w:rsid w:val="003A25DA"/>
    <w:rsid w:val="003A2829"/>
    <w:rsid w:val="003A56D8"/>
    <w:rsid w:val="003A7D1C"/>
    <w:rsid w:val="003B09E9"/>
    <w:rsid w:val="003B0BEA"/>
    <w:rsid w:val="003B304B"/>
    <w:rsid w:val="003B3146"/>
    <w:rsid w:val="003B6A86"/>
    <w:rsid w:val="003C0806"/>
    <w:rsid w:val="003C0936"/>
    <w:rsid w:val="003C2722"/>
    <w:rsid w:val="003D0621"/>
    <w:rsid w:val="003D0D9F"/>
    <w:rsid w:val="003D1529"/>
    <w:rsid w:val="003D56BB"/>
    <w:rsid w:val="003D69FB"/>
    <w:rsid w:val="003E2F2E"/>
    <w:rsid w:val="003E7312"/>
    <w:rsid w:val="003F00F0"/>
    <w:rsid w:val="003F015E"/>
    <w:rsid w:val="003F14B7"/>
    <w:rsid w:val="004001BF"/>
    <w:rsid w:val="00400414"/>
    <w:rsid w:val="004027A4"/>
    <w:rsid w:val="00406ABE"/>
    <w:rsid w:val="004072EE"/>
    <w:rsid w:val="004076B2"/>
    <w:rsid w:val="00411CBA"/>
    <w:rsid w:val="00411F52"/>
    <w:rsid w:val="0041328C"/>
    <w:rsid w:val="0041446B"/>
    <w:rsid w:val="00416C43"/>
    <w:rsid w:val="00420DE9"/>
    <w:rsid w:val="004210ED"/>
    <w:rsid w:val="00422246"/>
    <w:rsid w:val="0042261F"/>
    <w:rsid w:val="00422F97"/>
    <w:rsid w:val="004243AC"/>
    <w:rsid w:val="004326A9"/>
    <w:rsid w:val="0043288C"/>
    <w:rsid w:val="0044071E"/>
    <w:rsid w:val="0044329C"/>
    <w:rsid w:val="00451CA2"/>
    <w:rsid w:val="00453E24"/>
    <w:rsid w:val="00456905"/>
    <w:rsid w:val="00457456"/>
    <w:rsid w:val="004577FE"/>
    <w:rsid w:val="00457B9C"/>
    <w:rsid w:val="0046164A"/>
    <w:rsid w:val="00461ECD"/>
    <w:rsid w:val="004628D2"/>
    <w:rsid w:val="00462DCD"/>
    <w:rsid w:val="004648AD"/>
    <w:rsid w:val="004669A0"/>
    <w:rsid w:val="004703A9"/>
    <w:rsid w:val="004713A7"/>
    <w:rsid w:val="00471DA1"/>
    <w:rsid w:val="00471FAF"/>
    <w:rsid w:val="00473624"/>
    <w:rsid w:val="0047446E"/>
    <w:rsid w:val="004745D6"/>
    <w:rsid w:val="00475782"/>
    <w:rsid w:val="004760DE"/>
    <w:rsid w:val="0047615D"/>
    <w:rsid w:val="004763D7"/>
    <w:rsid w:val="00477C58"/>
    <w:rsid w:val="00483C3F"/>
    <w:rsid w:val="00486CF2"/>
    <w:rsid w:val="0049608D"/>
    <w:rsid w:val="004A004E"/>
    <w:rsid w:val="004A0BAD"/>
    <w:rsid w:val="004A159E"/>
    <w:rsid w:val="004A24CF"/>
    <w:rsid w:val="004A3900"/>
    <w:rsid w:val="004A4881"/>
    <w:rsid w:val="004B273E"/>
    <w:rsid w:val="004B2FA3"/>
    <w:rsid w:val="004C0B8D"/>
    <w:rsid w:val="004C2F64"/>
    <w:rsid w:val="004C3D1D"/>
    <w:rsid w:val="004C3D84"/>
    <w:rsid w:val="004C66DA"/>
    <w:rsid w:val="004C6B0E"/>
    <w:rsid w:val="004C7913"/>
    <w:rsid w:val="004C7A3D"/>
    <w:rsid w:val="004D2DE7"/>
    <w:rsid w:val="004E15FE"/>
    <w:rsid w:val="004E28EB"/>
    <w:rsid w:val="004E4DD6"/>
    <w:rsid w:val="004E5F0A"/>
    <w:rsid w:val="004F3889"/>
    <w:rsid w:val="004F5E36"/>
    <w:rsid w:val="004F73A1"/>
    <w:rsid w:val="00504778"/>
    <w:rsid w:val="00506A2C"/>
    <w:rsid w:val="00507B47"/>
    <w:rsid w:val="00507BEF"/>
    <w:rsid w:val="00507CC9"/>
    <w:rsid w:val="00507D77"/>
    <w:rsid w:val="00510991"/>
    <w:rsid w:val="005113F4"/>
    <w:rsid w:val="005119A5"/>
    <w:rsid w:val="00512668"/>
    <w:rsid w:val="00514954"/>
    <w:rsid w:val="00515D89"/>
    <w:rsid w:val="00516DFE"/>
    <w:rsid w:val="00521F80"/>
    <w:rsid w:val="005225CA"/>
    <w:rsid w:val="005251B8"/>
    <w:rsid w:val="005278B7"/>
    <w:rsid w:val="00530DE0"/>
    <w:rsid w:val="00532016"/>
    <w:rsid w:val="0053453F"/>
    <w:rsid w:val="005346C8"/>
    <w:rsid w:val="00534AA6"/>
    <w:rsid w:val="00535C0B"/>
    <w:rsid w:val="00540EC9"/>
    <w:rsid w:val="00541B98"/>
    <w:rsid w:val="00543E7D"/>
    <w:rsid w:val="0054620E"/>
    <w:rsid w:val="005463F8"/>
    <w:rsid w:val="00546BED"/>
    <w:rsid w:val="0054702D"/>
    <w:rsid w:val="00547A68"/>
    <w:rsid w:val="005505A2"/>
    <w:rsid w:val="005531C9"/>
    <w:rsid w:val="00556F8C"/>
    <w:rsid w:val="00557093"/>
    <w:rsid w:val="00563816"/>
    <w:rsid w:val="00565B43"/>
    <w:rsid w:val="00566C01"/>
    <w:rsid w:val="00570C43"/>
    <w:rsid w:val="005730B3"/>
    <w:rsid w:val="0057604C"/>
    <w:rsid w:val="00581FF8"/>
    <w:rsid w:val="0058210F"/>
    <w:rsid w:val="005825BA"/>
    <w:rsid w:val="0058578E"/>
    <w:rsid w:val="00587F5C"/>
    <w:rsid w:val="00591177"/>
    <w:rsid w:val="00593DBB"/>
    <w:rsid w:val="005976F1"/>
    <w:rsid w:val="00597701"/>
    <w:rsid w:val="005A0021"/>
    <w:rsid w:val="005A086D"/>
    <w:rsid w:val="005A21EC"/>
    <w:rsid w:val="005A68CE"/>
    <w:rsid w:val="005A77B9"/>
    <w:rsid w:val="005B2110"/>
    <w:rsid w:val="005B41A9"/>
    <w:rsid w:val="005B4C8A"/>
    <w:rsid w:val="005B5EEF"/>
    <w:rsid w:val="005B61E6"/>
    <w:rsid w:val="005C05EA"/>
    <w:rsid w:val="005C1A3A"/>
    <w:rsid w:val="005C3436"/>
    <w:rsid w:val="005C77E1"/>
    <w:rsid w:val="005C7832"/>
    <w:rsid w:val="005D1D74"/>
    <w:rsid w:val="005D4693"/>
    <w:rsid w:val="005D4B97"/>
    <w:rsid w:val="005D5DBF"/>
    <w:rsid w:val="005D668A"/>
    <w:rsid w:val="005D67E3"/>
    <w:rsid w:val="005D6A2F"/>
    <w:rsid w:val="005E1A82"/>
    <w:rsid w:val="005E35BC"/>
    <w:rsid w:val="005E43A8"/>
    <w:rsid w:val="005E794C"/>
    <w:rsid w:val="005F0A28"/>
    <w:rsid w:val="005F0E5E"/>
    <w:rsid w:val="005F481E"/>
    <w:rsid w:val="00600535"/>
    <w:rsid w:val="00604399"/>
    <w:rsid w:val="00610CD6"/>
    <w:rsid w:val="00620DEE"/>
    <w:rsid w:val="00621F92"/>
    <w:rsid w:val="0062280A"/>
    <w:rsid w:val="00622861"/>
    <w:rsid w:val="00623941"/>
    <w:rsid w:val="00624CFA"/>
    <w:rsid w:val="00625639"/>
    <w:rsid w:val="00627E68"/>
    <w:rsid w:val="00630BDC"/>
    <w:rsid w:val="0063179D"/>
    <w:rsid w:val="00631B33"/>
    <w:rsid w:val="00631E9D"/>
    <w:rsid w:val="00632E2C"/>
    <w:rsid w:val="006346E4"/>
    <w:rsid w:val="00637E56"/>
    <w:rsid w:val="0064184D"/>
    <w:rsid w:val="006422CC"/>
    <w:rsid w:val="006427CE"/>
    <w:rsid w:val="00645F4C"/>
    <w:rsid w:val="00645F59"/>
    <w:rsid w:val="00651B3D"/>
    <w:rsid w:val="00655687"/>
    <w:rsid w:val="00657141"/>
    <w:rsid w:val="00660E3E"/>
    <w:rsid w:val="00661980"/>
    <w:rsid w:val="00662E74"/>
    <w:rsid w:val="00663249"/>
    <w:rsid w:val="00665632"/>
    <w:rsid w:val="0066678B"/>
    <w:rsid w:val="00673F02"/>
    <w:rsid w:val="0068076D"/>
    <w:rsid w:val="00680AF5"/>
    <w:rsid w:val="00680C23"/>
    <w:rsid w:val="00682C01"/>
    <w:rsid w:val="00683B8F"/>
    <w:rsid w:val="006864C1"/>
    <w:rsid w:val="00690032"/>
    <w:rsid w:val="00691FC3"/>
    <w:rsid w:val="00693766"/>
    <w:rsid w:val="006A06DC"/>
    <w:rsid w:val="006A0F96"/>
    <w:rsid w:val="006A19AB"/>
    <w:rsid w:val="006A2A4B"/>
    <w:rsid w:val="006A3281"/>
    <w:rsid w:val="006A79E1"/>
    <w:rsid w:val="006B4888"/>
    <w:rsid w:val="006C0BE0"/>
    <w:rsid w:val="006C2E45"/>
    <w:rsid w:val="006C359C"/>
    <w:rsid w:val="006C4858"/>
    <w:rsid w:val="006C5579"/>
    <w:rsid w:val="006C5AF2"/>
    <w:rsid w:val="006D054D"/>
    <w:rsid w:val="006D6E8B"/>
    <w:rsid w:val="006E737D"/>
    <w:rsid w:val="006F087F"/>
    <w:rsid w:val="006F14DB"/>
    <w:rsid w:val="006F57D6"/>
    <w:rsid w:val="00700B48"/>
    <w:rsid w:val="00701AD0"/>
    <w:rsid w:val="00703700"/>
    <w:rsid w:val="00703781"/>
    <w:rsid w:val="00713973"/>
    <w:rsid w:val="007151AA"/>
    <w:rsid w:val="007152FC"/>
    <w:rsid w:val="0071559C"/>
    <w:rsid w:val="00720A24"/>
    <w:rsid w:val="00721B37"/>
    <w:rsid w:val="0072373E"/>
    <w:rsid w:val="00724933"/>
    <w:rsid w:val="0072723B"/>
    <w:rsid w:val="007310F4"/>
    <w:rsid w:val="00731928"/>
    <w:rsid w:val="00732386"/>
    <w:rsid w:val="0073514D"/>
    <w:rsid w:val="0073715F"/>
    <w:rsid w:val="00740723"/>
    <w:rsid w:val="007442B6"/>
    <w:rsid w:val="007447F3"/>
    <w:rsid w:val="00744DA7"/>
    <w:rsid w:val="0075499F"/>
    <w:rsid w:val="00755004"/>
    <w:rsid w:val="00760EAA"/>
    <w:rsid w:val="00760EB3"/>
    <w:rsid w:val="007627F0"/>
    <w:rsid w:val="00765660"/>
    <w:rsid w:val="007661C8"/>
    <w:rsid w:val="00767524"/>
    <w:rsid w:val="007700E9"/>
    <w:rsid w:val="0077098D"/>
    <w:rsid w:val="00770D69"/>
    <w:rsid w:val="00771FAD"/>
    <w:rsid w:val="00774CD6"/>
    <w:rsid w:val="007771F4"/>
    <w:rsid w:val="00777408"/>
    <w:rsid w:val="0078386E"/>
    <w:rsid w:val="0078395B"/>
    <w:rsid w:val="00791A5D"/>
    <w:rsid w:val="00791A5E"/>
    <w:rsid w:val="007931FA"/>
    <w:rsid w:val="00794E44"/>
    <w:rsid w:val="00797A85"/>
    <w:rsid w:val="007A1B40"/>
    <w:rsid w:val="007A1C3D"/>
    <w:rsid w:val="007A346E"/>
    <w:rsid w:val="007A4861"/>
    <w:rsid w:val="007A69EA"/>
    <w:rsid w:val="007A7BBA"/>
    <w:rsid w:val="007B0C50"/>
    <w:rsid w:val="007B23CF"/>
    <w:rsid w:val="007B286B"/>
    <w:rsid w:val="007B48F9"/>
    <w:rsid w:val="007C1A43"/>
    <w:rsid w:val="007C2DAF"/>
    <w:rsid w:val="007C30CC"/>
    <w:rsid w:val="007C4133"/>
    <w:rsid w:val="007C4479"/>
    <w:rsid w:val="007C44D5"/>
    <w:rsid w:val="007C6BA5"/>
    <w:rsid w:val="007C768A"/>
    <w:rsid w:val="007C7C4D"/>
    <w:rsid w:val="007D0951"/>
    <w:rsid w:val="007D176E"/>
    <w:rsid w:val="007D2C88"/>
    <w:rsid w:val="007D5453"/>
    <w:rsid w:val="007D58BB"/>
    <w:rsid w:val="007D5BE5"/>
    <w:rsid w:val="007D68FD"/>
    <w:rsid w:val="007E32F0"/>
    <w:rsid w:val="007F002A"/>
    <w:rsid w:val="007F4134"/>
    <w:rsid w:val="007F6667"/>
    <w:rsid w:val="0080013B"/>
    <w:rsid w:val="0080013E"/>
    <w:rsid w:val="00803C43"/>
    <w:rsid w:val="00806240"/>
    <w:rsid w:val="00813288"/>
    <w:rsid w:val="00816852"/>
    <w:rsid w:val="008168FC"/>
    <w:rsid w:val="008179B4"/>
    <w:rsid w:val="00823010"/>
    <w:rsid w:val="00830996"/>
    <w:rsid w:val="00831003"/>
    <w:rsid w:val="008326A4"/>
    <w:rsid w:val="00833C17"/>
    <w:rsid w:val="008345F1"/>
    <w:rsid w:val="008352F5"/>
    <w:rsid w:val="008355DE"/>
    <w:rsid w:val="00835B74"/>
    <w:rsid w:val="0083738C"/>
    <w:rsid w:val="00840E7A"/>
    <w:rsid w:val="0084310A"/>
    <w:rsid w:val="00843A83"/>
    <w:rsid w:val="00847782"/>
    <w:rsid w:val="00851172"/>
    <w:rsid w:val="0085157B"/>
    <w:rsid w:val="00865B07"/>
    <w:rsid w:val="008667EA"/>
    <w:rsid w:val="00866ECA"/>
    <w:rsid w:val="00867DF2"/>
    <w:rsid w:val="0087192D"/>
    <w:rsid w:val="0087637F"/>
    <w:rsid w:val="00877934"/>
    <w:rsid w:val="00883DBC"/>
    <w:rsid w:val="00883F67"/>
    <w:rsid w:val="00884A4E"/>
    <w:rsid w:val="00884F74"/>
    <w:rsid w:val="008873AC"/>
    <w:rsid w:val="0089069A"/>
    <w:rsid w:val="00892AD5"/>
    <w:rsid w:val="008933D9"/>
    <w:rsid w:val="0089681E"/>
    <w:rsid w:val="00897041"/>
    <w:rsid w:val="008A0DEE"/>
    <w:rsid w:val="008A1512"/>
    <w:rsid w:val="008A5D09"/>
    <w:rsid w:val="008A7936"/>
    <w:rsid w:val="008B1F6D"/>
    <w:rsid w:val="008B2B53"/>
    <w:rsid w:val="008B7018"/>
    <w:rsid w:val="008B7231"/>
    <w:rsid w:val="008C07E0"/>
    <w:rsid w:val="008C3D69"/>
    <w:rsid w:val="008C5557"/>
    <w:rsid w:val="008C59D6"/>
    <w:rsid w:val="008C5A94"/>
    <w:rsid w:val="008D1540"/>
    <w:rsid w:val="008D32B9"/>
    <w:rsid w:val="008D433B"/>
    <w:rsid w:val="008D453E"/>
    <w:rsid w:val="008D4A16"/>
    <w:rsid w:val="008D534C"/>
    <w:rsid w:val="008E0907"/>
    <w:rsid w:val="008E284D"/>
    <w:rsid w:val="008E3040"/>
    <w:rsid w:val="008E5623"/>
    <w:rsid w:val="008E566E"/>
    <w:rsid w:val="008F31B9"/>
    <w:rsid w:val="008F3630"/>
    <w:rsid w:val="008F6C85"/>
    <w:rsid w:val="0090161A"/>
    <w:rsid w:val="00901EB6"/>
    <w:rsid w:val="00903D63"/>
    <w:rsid w:val="00904614"/>
    <w:rsid w:val="00904C62"/>
    <w:rsid w:val="00906CE4"/>
    <w:rsid w:val="009154A1"/>
    <w:rsid w:val="00920460"/>
    <w:rsid w:val="00922BA8"/>
    <w:rsid w:val="0092359C"/>
    <w:rsid w:val="00924DAC"/>
    <w:rsid w:val="00927058"/>
    <w:rsid w:val="0092753F"/>
    <w:rsid w:val="00931303"/>
    <w:rsid w:val="00931E2B"/>
    <w:rsid w:val="00933C38"/>
    <w:rsid w:val="00937A94"/>
    <w:rsid w:val="0094156C"/>
    <w:rsid w:val="00942750"/>
    <w:rsid w:val="009450CE"/>
    <w:rsid w:val="009459BB"/>
    <w:rsid w:val="00947179"/>
    <w:rsid w:val="00950C2C"/>
    <w:rsid w:val="0095164B"/>
    <w:rsid w:val="0095319B"/>
    <w:rsid w:val="00954090"/>
    <w:rsid w:val="00954FF2"/>
    <w:rsid w:val="009573E7"/>
    <w:rsid w:val="00961CE4"/>
    <w:rsid w:val="00963E05"/>
    <w:rsid w:val="00964A45"/>
    <w:rsid w:val="00967843"/>
    <w:rsid w:val="00967D54"/>
    <w:rsid w:val="00970937"/>
    <w:rsid w:val="00971028"/>
    <w:rsid w:val="009712D7"/>
    <w:rsid w:val="00971313"/>
    <w:rsid w:val="0097351B"/>
    <w:rsid w:val="00973D44"/>
    <w:rsid w:val="00975E3E"/>
    <w:rsid w:val="00976AD6"/>
    <w:rsid w:val="00980CCE"/>
    <w:rsid w:val="009813EC"/>
    <w:rsid w:val="00983584"/>
    <w:rsid w:val="00991035"/>
    <w:rsid w:val="00993B84"/>
    <w:rsid w:val="00994FCD"/>
    <w:rsid w:val="00995A8C"/>
    <w:rsid w:val="00996375"/>
    <w:rsid w:val="00996483"/>
    <w:rsid w:val="00996F5A"/>
    <w:rsid w:val="009A002C"/>
    <w:rsid w:val="009A31E9"/>
    <w:rsid w:val="009A3396"/>
    <w:rsid w:val="009A69B1"/>
    <w:rsid w:val="009A7219"/>
    <w:rsid w:val="009B041A"/>
    <w:rsid w:val="009B170E"/>
    <w:rsid w:val="009B1C62"/>
    <w:rsid w:val="009B437A"/>
    <w:rsid w:val="009B4FC1"/>
    <w:rsid w:val="009B6995"/>
    <w:rsid w:val="009B798B"/>
    <w:rsid w:val="009C0494"/>
    <w:rsid w:val="009C28C3"/>
    <w:rsid w:val="009C377B"/>
    <w:rsid w:val="009C37C3"/>
    <w:rsid w:val="009C4A25"/>
    <w:rsid w:val="009C5E19"/>
    <w:rsid w:val="009C6C1B"/>
    <w:rsid w:val="009C7C86"/>
    <w:rsid w:val="009D2FF7"/>
    <w:rsid w:val="009D6419"/>
    <w:rsid w:val="009D6C69"/>
    <w:rsid w:val="009E136D"/>
    <w:rsid w:val="009E157F"/>
    <w:rsid w:val="009E2D01"/>
    <w:rsid w:val="009E4015"/>
    <w:rsid w:val="009E771D"/>
    <w:rsid w:val="009E7884"/>
    <w:rsid w:val="009E788A"/>
    <w:rsid w:val="009F0E08"/>
    <w:rsid w:val="009F26EA"/>
    <w:rsid w:val="009F32F8"/>
    <w:rsid w:val="009F58E3"/>
    <w:rsid w:val="00A02E70"/>
    <w:rsid w:val="00A04E86"/>
    <w:rsid w:val="00A069E5"/>
    <w:rsid w:val="00A1763D"/>
    <w:rsid w:val="00A17CEC"/>
    <w:rsid w:val="00A21565"/>
    <w:rsid w:val="00A231E5"/>
    <w:rsid w:val="00A2423B"/>
    <w:rsid w:val="00A263DC"/>
    <w:rsid w:val="00A27EF0"/>
    <w:rsid w:val="00A37800"/>
    <w:rsid w:val="00A41EA1"/>
    <w:rsid w:val="00A42361"/>
    <w:rsid w:val="00A43220"/>
    <w:rsid w:val="00A448DC"/>
    <w:rsid w:val="00A50AC3"/>
    <w:rsid w:val="00A50B20"/>
    <w:rsid w:val="00A51390"/>
    <w:rsid w:val="00A54D90"/>
    <w:rsid w:val="00A60D13"/>
    <w:rsid w:val="00A62D47"/>
    <w:rsid w:val="00A65153"/>
    <w:rsid w:val="00A66084"/>
    <w:rsid w:val="00A66E7D"/>
    <w:rsid w:val="00A7223D"/>
    <w:rsid w:val="00A72745"/>
    <w:rsid w:val="00A76EFC"/>
    <w:rsid w:val="00A818A0"/>
    <w:rsid w:val="00A82097"/>
    <w:rsid w:val="00A84958"/>
    <w:rsid w:val="00A87D50"/>
    <w:rsid w:val="00A91010"/>
    <w:rsid w:val="00A9472A"/>
    <w:rsid w:val="00A95ACC"/>
    <w:rsid w:val="00A968CF"/>
    <w:rsid w:val="00A9770A"/>
    <w:rsid w:val="00A97F29"/>
    <w:rsid w:val="00AA1ACA"/>
    <w:rsid w:val="00AA1CB6"/>
    <w:rsid w:val="00AA2470"/>
    <w:rsid w:val="00AA58D0"/>
    <w:rsid w:val="00AA6CAA"/>
    <w:rsid w:val="00AA702E"/>
    <w:rsid w:val="00AA7D26"/>
    <w:rsid w:val="00AB0964"/>
    <w:rsid w:val="00AB0CD9"/>
    <w:rsid w:val="00AB21C2"/>
    <w:rsid w:val="00AB22BC"/>
    <w:rsid w:val="00AB236D"/>
    <w:rsid w:val="00AB32E3"/>
    <w:rsid w:val="00AB3808"/>
    <w:rsid w:val="00AB38FB"/>
    <w:rsid w:val="00AB480A"/>
    <w:rsid w:val="00AB5011"/>
    <w:rsid w:val="00AB5589"/>
    <w:rsid w:val="00AB6C9D"/>
    <w:rsid w:val="00AB7B9D"/>
    <w:rsid w:val="00AC7368"/>
    <w:rsid w:val="00AC76DF"/>
    <w:rsid w:val="00AD0023"/>
    <w:rsid w:val="00AD0E48"/>
    <w:rsid w:val="00AD0F56"/>
    <w:rsid w:val="00AD16B9"/>
    <w:rsid w:val="00AD5290"/>
    <w:rsid w:val="00AD5424"/>
    <w:rsid w:val="00AE2753"/>
    <w:rsid w:val="00AE377D"/>
    <w:rsid w:val="00AE6752"/>
    <w:rsid w:val="00AF0EBA"/>
    <w:rsid w:val="00AF1DFC"/>
    <w:rsid w:val="00AF1F4B"/>
    <w:rsid w:val="00AF5ED5"/>
    <w:rsid w:val="00AF5F40"/>
    <w:rsid w:val="00AF7029"/>
    <w:rsid w:val="00B02C8A"/>
    <w:rsid w:val="00B039DC"/>
    <w:rsid w:val="00B045B2"/>
    <w:rsid w:val="00B05FFE"/>
    <w:rsid w:val="00B15A68"/>
    <w:rsid w:val="00B17FBD"/>
    <w:rsid w:val="00B236DC"/>
    <w:rsid w:val="00B2761C"/>
    <w:rsid w:val="00B315A6"/>
    <w:rsid w:val="00B31813"/>
    <w:rsid w:val="00B31ACD"/>
    <w:rsid w:val="00B31BD3"/>
    <w:rsid w:val="00B33365"/>
    <w:rsid w:val="00B37F60"/>
    <w:rsid w:val="00B40DA8"/>
    <w:rsid w:val="00B41322"/>
    <w:rsid w:val="00B416F6"/>
    <w:rsid w:val="00B42B79"/>
    <w:rsid w:val="00B4367C"/>
    <w:rsid w:val="00B449EE"/>
    <w:rsid w:val="00B465F4"/>
    <w:rsid w:val="00B46CFE"/>
    <w:rsid w:val="00B55C05"/>
    <w:rsid w:val="00B57B36"/>
    <w:rsid w:val="00B57E6F"/>
    <w:rsid w:val="00B64509"/>
    <w:rsid w:val="00B67443"/>
    <w:rsid w:val="00B71B8C"/>
    <w:rsid w:val="00B7379C"/>
    <w:rsid w:val="00B75D0B"/>
    <w:rsid w:val="00B75DCB"/>
    <w:rsid w:val="00B80CD0"/>
    <w:rsid w:val="00B83715"/>
    <w:rsid w:val="00B845FB"/>
    <w:rsid w:val="00B8686D"/>
    <w:rsid w:val="00B918DC"/>
    <w:rsid w:val="00B93650"/>
    <w:rsid w:val="00B93F69"/>
    <w:rsid w:val="00B94193"/>
    <w:rsid w:val="00B97B38"/>
    <w:rsid w:val="00BA2157"/>
    <w:rsid w:val="00BA231A"/>
    <w:rsid w:val="00BA29D3"/>
    <w:rsid w:val="00BA4EB1"/>
    <w:rsid w:val="00BB0A25"/>
    <w:rsid w:val="00BB1AB3"/>
    <w:rsid w:val="00BB1C5D"/>
    <w:rsid w:val="00BB1DDC"/>
    <w:rsid w:val="00BC249E"/>
    <w:rsid w:val="00BC30C9"/>
    <w:rsid w:val="00BC4727"/>
    <w:rsid w:val="00BC7072"/>
    <w:rsid w:val="00BC75C4"/>
    <w:rsid w:val="00BD077D"/>
    <w:rsid w:val="00BD5015"/>
    <w:rsid w:val="00BD6C0C"/>
    <w:rsid w:val="00BD769F"/>
    <w:rsid w:val="00BD7C10"/>
    <w:rsid w:val="00BD7EA4"/>
    <w:rsid w:val="00BE3E58"/>
    <w:rsid w:val="00BE5B01"/>
    <w:rsid w:val="00BF5690"/>
    <w:rsid w:val="00BF5E74"/>
    <w:rsid w:val="00BF677E"/>
    <w:rsid w:val="00C01616"/>
    <w:rsid w:val="00C0162B"/>
    <w:rsid w:val="00C0240D"/>
    <w:rsid w:val="00C03D8B"/>
    <w:rsid w:val="00C04EC9"/>
    <w:rsid w:val="00C05CFA"/>
    <w:rsid w:val="00C068ED"/>
    <w:rsid w:val="00C10130"/>
    <w:rsid w:val="00C103FA"/>
    <w:rsid w:val="00C11F7F"/>
    <w:rsid w:val="00C1431F"/>
    <w:rsid w:val="00C17672"/>
    <w:rsid w:val="00C212F0"/>
    <w:rsid w:val="00C21BFC"/>
    <w:rsid w:val="00C2208A"/>
    <w:rsid w:val="00C22E0C"/>
    <w:rsid w:val="00C23A1D"/>
    <w:rsid w:val="00C265FC"/>
    <w:rsid w:val="00C276D2"/>
    <w:rsid w:val="00C31E0A"/>
    <w:rsid w:val="00C345B1"/>
    <w:rsid w:val="00C40142"/>
    <w:rsid w:val="00C4123E"/>
    <w:rsid w:val="00C439E2"/>
    <w:rsid w:val="00C43BD7"/>
    <w:rsid w:val="00C4434B"/>
    <w:rsid w:val="00C449B0"/>
    <w:rsid w:val="00C50BF9"/>
    <w:rsid w:val="00C52C3C"/>
    <w:rsid w:val="00C5426F"/>
    <w:rsid w:val="00C54662"/>
    <w:rsid w:val="00C57182"/>
    <w:rsid w:val="00C574CD"/>
    <w:rsid w:val="00C57863"/>
    <w:rsid w:val="00C57D77"/>
    <w:rsid w:val="00C60CF0"/>
    <w:rsid w:val="00C61173"/>
    <w:rsid w:val="00C62AAE"/>
    <w:rsid w:val="00C640AF"/>
    <w:rsid w:val="00C655FD"/>
    <w:rsid w:val="00C707EE"/>
    <w:rsid w:val="00C731B0"/>
    <w:rsid w:val="00C74F86"/>
    <w:rsid w:val="00C75407"/>
    <w:rsid w:val="00C80FFD"/>
    <w:rsid w:val="00C823CE"/>
    <w:rsid w:val="00C82735"/>
    <w:rsid w:val="00C84C17"/>
    <w:rsid w:val="00C870A8"/>
    <w:rsid w:val="00C92D17"/>
    <w:rsid w:val="00C94434"/>
    <w:rsid w:val="00C96254"/>
    <w:rsid w:val="00C96B8B"/>
    <w:rsid w:val="00C96DDB"/>
    <w:rsid w:val="00CA0AFA"/>
    <w:rsid w:val="00CA0D75"/>
    <w:rsid w:val="00CA1C95"/>
    <w:rsid w:val="00CA2D6E"/>
    <w:rsid w:val="00CA5A9C"/>
    <w:rsid w:val="00CA6A10"/>
    <w:rsid w:val="00CA6A20"/>
    <w:rsid w:val="00CB1882"/>
    <w:rsid w:val="00CB7BCE"/>
    <w:rsid w:val="00CC3633"/>
    <w:rsid w:val="00CC4C20"/>
    <w:rsid w:val="00CD3517"/>
    <w:rsid w:val="00CD3F9F"/>
    <w:rsid w:val="00CD5FE2"/>
    <w:rsid w:val="00CD68D4"/>
    <w:rsid w:val="00CE192E"/>
    <w:rsid w:val="00CE28AF"/>
    <w:rsid w:val="00CE4BF9"/>
    <w:rsid w:val="00CE56EC"/>
    <w:rsid w:val="00CE76D5"/>
    <w:rsid w:val="00CE7C68"/>
    <w:rsid w:val="00CF2882"/>
    <w:rsid w:val="00CF3673"/>
    <w:rsid w:val="00CF4169"/>
    <w:rsid w:val="00CF4DF9"/>
    <w:rsid w:val="00CF643D"/>
    <w:rsid w:val="00D02B4C"/>
    <w:rsid w:val="00D03DC0"/>
    <w:rsid w:val="00D040C4"/>
    <w:rsid w:val="00D05911"/>
    <w:rsid w:val="00D0751C"/>
    <w:rsid w:val="00D07A6D"/>
    <w:rsid w:val="00D10879"/>
    <w:rsid w:val="00D11620"/>
    <w:rsid w:val="00D20A42"/>
    <w:rsid w:val="00D20AD1"/>
    <w:rsid w:val="00D2188B"/>
    <w:rsid w:val="00D247FD"/>
    <w:rsid w:val="00D27948"/>
    <w:rsid w:val="00D32672"/>
    <w:rsid w:val="00D328E1"/>
    <w:rsid w:val="00D4191A"/>
    <w:rsid w:val="00D46B7E"/>
    <w:rsid w:val="00D47725"/>
    <w:rsid w:val="00D47B83"/>
    <w:rsid w:val="00D55C10"/>
    <w:rsid w:val="00D56884"/>
    <w:rsid w:val="00D57C84"/>
    <w:rsid w:val="00D6057D"/>
    <w:rsid w:val="00D6172F"/>
    <w:rsid w:val="00D71640"/>
    <w:rsid w:val="00D768AA"/>
    <w:rsid w:val="00D80354"/>
    <w:rsid w:val="00D822E5"/>
    <w:rsid w:val="00D836C5"/>
    <w:rsid w:val="00D84576"/>
    <w:rsid w:val="00D849DD"/>
    <w:rsid w:val="00D85062"/>
    <w:rsid w:val="00D86056"/>
    <w:rsid w:val="00D862E5"/>
    <w:rsid w:val="00D910DD"/>
    <w:rsid w:val="00D9194A"/>
    <w:rsid w:val="00D944A2"/>
    <w:rsid w:val="00DA03CE"/>
    <w:rsid w:val="00DA0FDA"/>
    <w:rsid w:val="00DA1399"/>
    <w:rsid w:val="00DA24C6"/>
    <w:rsid w:val="00DA4D7B"/>
    <w:rsid w:val="00DB28F5"/>
    <w:rsid w:val="00DB2DB1"/>
    <w:rsid w:val="00DB551D"/>
    <w:rsid w:val="00DB742D"/>
    <w:rsid w:val="00DB78B8"/>
    <w:rsid w:val="00DC2D52"/>
    <w:rsid w:val="00DC4205"/>
    <w:rsid w:val="00DC69B1"/>
    <w:rsid w:val="00DD271C"/>
    <w:rsid w:val="00DD2A82"/>
    <w:rsid w:val="00DD4ECF"/>
    <w:rsid w:val="00DD6FDE"/>
    <w:rsid w:val="00DD736F"/>
    <w:rsid w:val="00DE0877"/>
    <w:rsid w:val="00DE1586"/>
    <w:rsid w:val="00DE264A"/>
    <w:rsid w:val="00DE5FD9"/>
    <w:rsid w:val="00DF0A77"/>
    <w:rsid w:val="00DF229B"/>
    <w:rsid w:val="00DF251C"/>
    <w:rsid w:val="00DF5072"/>
    <w:rsid w:val="00DF52E8"/>
    <w:rsid w:val="00E017D8"/>
    <w:rsid w:val="00E02D18"/>
    <w:rsid w:val="00E03618"/>
    <w:rsid w:val="00E041E7"/>
    <w:rsid w:val="00E066D1"/>
    <w:rsid w:val="00E1338D"/>
    <w:rsid w:val="00E13E53"/>
    <w:rsid w:val="00E17729"/>
    <w:rsid w:val="00E21880"/>
    <w:rsid w:val="00E23BA9"/>
    <w:rsid w:val="00E23CA1"/>
    <w:rsid w:val="00E26E83"/>
    <w:rsid w:val="00E27A22"/>
    <w:rsid w:val="00E30351"/>
    <w:rsid w:val="00E33F7B"/>
    <w:rsid w:val="00E409A8"/>
    <w:rsid w:val="00E41BFF"/>
    <w:rsid w:val="00E41E97"/>
    <w:rsid w:val="00E443F8"/>
    <w:rsid w:val="00E4635D"/>
    <w:rsid w:val="00E50C12"/>
    <w:rsid w:val="00E51A6A"/>
    <w:rsid w:val="00E566CA"/>
    <w:rsid w:val="00E57DF9"/>
    <w:rsid w:val="00E61CC4"/>
    <w:rsid w:val="00E6247A"/>
    <w:rsid w:val="00E63946"/>
    <w:rsid w:val="00E64B60"/>
    <w:rsid w:val="00E65B91"/>
    <w:rsid w:val="00E70787"/>
    <w:rsid w:val="00E7131E"/>
    <w:rsid w:val="00E7209D"/>
    <w:rsid w:val="00E72592"/>
    <w:rsid w:val="00E72EAD"/>
    <w:rsid w:val="00E731EE"/>
    <w:rsid w:val="00E77223"/>
    <w:rsid w:val="00E77D12"/>
    <w:rsid w:val="00E8223D"/>
    <w:rsid w:val="00E82587"/>
    <w:rsid w:val="00E83AD8"/>
    <w:rsid w:val="00E840A3"/>
    <w:rsid w:val="00E8528B"/>
    <w:rsid w:val="00E85A65"/>
    <w:rsid w:val="00E85B94"/>
    <w:rsid w:val="00E87DBE"/>
    <w:rsid w:val="00E953BE"/>
    <w:rsid w:val="00E96108"/>
    <w:rsid w:val="00E978D0"/>
    <w:rsid w:val="00EA0430"/>
    <w:rsid w:val="00EA2496"/>
    <w:rsid w:val="00EA2FD1"/>
    <w:rsid w:val="00EA4613"/>
    <w:rsid w:val="00EA5119"/>
    <w:rsid w:val="00EA7F91"/>
    <w:rsid w:val="00EB1523"/>
    <w:rsid w:val="00EB191A"/>
    <w:rsid w:val="00EB33ED"/>
    <w:rsid w:val="00EB5563"/>
    <w:rsid w:val="00EB7045"/>
    <w:rsid w:val="00EC0E49"/>
    <w:rsid w:val="00EC101F"/>
    <w:rsid w:val="00EC1D9F"/>
    <w:rsid w:val="00EC2DB2"/>
    <w:rsid w:val="00ED1E6D"/>
    <w:rsid w:val="00ED3CA8"/>
    <w:rsid w:val="00ED3DCC"/>
    <w:rsid w:val="00ED5F61"/>
    <w:rsid w:val="00EE0131"/>
    <w:rsid w:val="00EE17B0"/>
    <w:rsid w:val="00EE5350"/>
    <w:rsid w:val="00EE56B9"/>
    <w:rsid w:val="00EE60CF"/>
    <w:rsid w:val="00EF018C"/>
    <w:rsid w:val="00EF06D9"/>
    <w:rsid w:val="00EF286E"/>
    <w:rsid w:val="00EF3B29"/>
    <w:rsid w:val="00EF53D3"/>
    <w:rsid w:val="00EF6AD1"/>
    <w:rsid w:val="00F03026"/>
    <w:rsid w:val="00F04AB6"/>
    <w:rsid w:val="00F145BB"/>
    <w:rsid w:val="00F17B6C"/>
    <w:rsid w:val="00F21D56"/>
    <w:rsid w:val="00F23C7C"/>
    <w:rsid w:val="00F2721D"/>
    <w:rsid w:val="00F3049E"/>
    <w:rsid w:val="00F30A0A"/>
    <w:rsid w:val="00F30C64"/>
    <w:rsid w:val="00F31D3D"/>
    <w:rsid w:val="00F32BA2"/>
    <w:rsid w:val="00F32CDB"/>
    <w:rsid w:val="00F41421"/>
    <w:rsid w:val="00F42646"/>
    <w:rsid w:val="00F44211"/>
    <w:rsid w:val="00F46F62"/>
    <w:rsid w:val="00F4775C"/>
    <w:rsid w:val="00F505A6"/>
    <w:rsid w:val="00F56424"/>
    <w:rsid w:val="00F565FE"/>
    <w:rsid w:val="00F57F68"/>
    <w:rsid w:val="00F61580"/>
    <w:rsid w:val="00F63A70"/>
    <w:rsid w:val="00F63D8C"/>
    <w:rsid w:val="00F67DB4"/>
    <w:rsid w:val="00F71115"/>
    <w:rsid w:val="00F71A0D"/>
    <w:rsid w:val="00F746AA"/>
    <w:rsid w:val="00F7534E"/>
    <w:rsid w:val="00F7614D"/>
    <w:rsid w:val="00F76479"/>
    <w:rsid w:val="00F77A86"/>
    <w:rsid w:val="00F77E5A"/>
    <w:rsid w:val="00F83DF9"/>
    <w:rsid w:val="00F9086E"/>
    <w:rsid w:val="00F92557"/>
    <w:rsid w:val="00F93EDF"/>
    <w:rsid w:val="00F940F5"/>
    <w:rsid w:val="00F97265"/>
    <w:rsid w:val="00F97FCF"/>
    <w:rsid w:val="00FA167A"/>
    <w:rsid w:val="00FA1802"/>
    <w:rsid w:val="00FA21D0"/>
    <w:rsid w:val="00FA299C"/>
    <w:rsid w:val="00FA4311"/>
    <w:rsid w:val="00FA4A2E"/>
    <w:rsid w:val="00FA5F5F"/>
    <w:rsid w:val="00FA7C81"/>
    <w:rsid w:val="00FB11FC"/>
    <w:rsid w:val="00FB56AD"/>
    <w:rsid w:val="00FB730C"/>
    <w:rsid w:val="00FB7375"/>
    <w:rsid w:val="00FC163E"/>
    <w:rsid w:val="00FC1CBE"/>
    <w:rsid w:val="00FC2695"/>
    <w:rsid w:val="00FC28AA"/>
    <w:rsid w:val="00FC3E03"/>
    <w:rsid w:val="00FC3F7D"/>
    <w:rsid w:val="00FC3FC1"/>
    <w:rsid w:val="00FC4A63"/>
    <w:rsid w:val="00FE1204"/>
    <w:rsid w:val="00FE18D7"/>
    <w:rsid w:val="00FE1F9F"/>
    <w:rsid w:val="00FE233D"/>
    <w:rsid w:val="00FE5983"/>
    <w:rsid w:val="00FE681D"/>
    <w:rsid w:val="00FF090F"/>
    <w:rsid w:val="00FF0A8C"/>
    <w:rsid w:val="00FF35C0"/>
    <w:rsid w:val="00FF3A24"/>
    <w:rsid w:val="00FF523B"/>
    <w:rsid w:val="00FF78E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8C3D69"/>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customStyle="1" w:styleId="Mencinsinresolver1">
    <w:name w:val="Mención sin resolver1"/>
    <w:basedOn w:val="Fuentedeprrafopredeter"/>
    <w:uiPriority w:val="99"/>
    <w:semiHidden/>
    <w:unhideWhenUsed/>
    <w:rsid w:val="00C103FA"/>
    <w:rPr>
      <w:color w:val="605E5C"/>
      <w:shd w:val="clear" w:color="auto" w:fill="E1DFDD"/>
    </w:rPr>
  </w:style>
  <w:style w:type="character" w:styleId="Textodelmarcadordeposicin">
    <w:name w:val="Placeholder Text"/>
    <w:basedOn w:val="Fuentedeprrafopredeter"/>
    <w:uiPriority w:val="99"/>
    <w:semiHidden/>
    <w:rsid w:val="00FA7C81"/>
    <w:rPr>
      <w:color w:val="808080"/>
    </w:rPr>
  </w:style>
  <w:style w:type="paragraph" w:styleId="Revisin">
    <w:name w:val="Revision"/>
    <w:hidden/>
    <w:uiPriority w:val="99"/>
    <w:semiHidden/>
    <w:rsid w:val="00265F9C"/>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os&#233;%20Carlos\Desktop\NPVCassavaCOPDATA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os&#233;%20Carlos\Desktop\Project%20Results\Matlab%20MBR\Excel%20Graphs\NPVBananaCOPDATA.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xosec\Documents\Maestr&#237;a%20en%20Ingenier&#237;a%20Qu&#237;mica\MBR%20Resultados\MBR%20Design\Graficos%20de%20comparaci&#243;n%20ENG.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xosec\Documents\Maestr&#237;a%20en%20Ingenier&#237;a%20Qu&#237;mica\MBR%20Resultados\MBR%20Design\Graficos%20de%20comparaci&#243;n%20ENG.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xosec\Documents\Maestr&#237;a%20en%20Ingenier&#237;a%20Qu&#237;mica\MBR%20Resultados\MBR%20Design\COP\Libro1.xlsx" TargetMode="External"/><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xosec\Documents\Maestr&#237;a%20en%20Ingenier&#237;a%20Qu&#237;mica\MBR%20Resultados\Solar%20and%20Biomass%20Energy%20Colombia\Gr&#225;ficos%20sistemas%20energ&#233;ticos%20COP%20Real%20data.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34042946124272"/>
          <c:y val="5.3706460986437068E-2"/>
          <c:w val="0.80010946392894922"/>
          <c:h val="0.81039952771239521"/>
        </c:manualLayout>
      </c:layout>
      <c:scatterChart>
        <c:scatterStyle val="lineMarker"/>
        <c:varyColors val="0"/>
        <c:ser>
          <c:idx val="0"/>
          <c:order val="0"/>
          <c:tx>
            <c:v>1 t/d</c:v>
          </c:tx>
          <c:spPr>
            <a:ln w="9525" cap="rnd">
              <a:solidFill>
                <a:schemeClr val="accent1"/>
              </a:solidFill>
              <a:round/>
            </a:ln>
            <a:effectLst/>
          </c:spPr>
          <c:marker>
            <c:symbol val="x"/>
            <c:size val="3"/>
            <c:spPr>
              <a:solidFill>
                <a:schemeClr val="accent1"/>
              </a:solidFill>
              <a:ln w="9525">
                <a:solidFill>
                  <a:schemeClr val="accent1"/>
                </a:solidFill>
              </a:ln>
              <a:effectLst/>
            </c:spPr>
          </c:marker>
          <c:xVal>
            <c:numRef>
              <c:f>'NPV (2)'!$B$4:$B$15</c:f>
              <c:numCache>
                <c:formatCode>General</c:formatCode>
                <c:ptCount val="12"/>
                <c:pt idx="0">
                  <c:v>0</c:v>
                </c:pt>
                <c:pt idx="1">
                  <c:v>1</c:v>
                </c:pt>
                <c:pt idx="2">
                  <c:v>2</c:v>
                </c:pt>
                <c:pt idx="3">
                  <c:v>3</c:v>
                </c:pt>
                <c:pt idx="4">
                  <c:v>4</c:v>
                </c:pt>
                <c:pt idx="5">
                  <c:v>5</c:v>
                </c:pt>
                <c:pt idx="6">
                  <c:v>6</c:v>
                </c:pt>
                <c:pt idx="7">
                  <c:v>7</c:v>
                </c:pt>
                <c:pt idx="8">
                  <c:v>8</c:v>
                </c:pt>
                <c:pt idx="9">
                  <c:v>9</c:v>
                </c:pt>
                <c:pt idx="10">
                  <c:v>10</c:v>
                </c:pt>
                <c:pt idx="11">
                  <c:v>11</c:v>
                </c:pt>
              </c:numCache>
            </c:numRef>
          </c:xVal>
          <c:yVal>
            <c:numRef>
              <c:f>'NPV (2)'!$C$4:$C$15</c:f>
              <c:numCache>
                <c:formatCode>_-"$"\ * #.##0_-;\-"$"\ * #.##0_-;_-"$"\ * "-"??_-;_-@_-</c:formatCode>
                <c:ptCount val="12"/>
                <c:pt idx="0" formatCode="General">
                  <c:v>0</c:v>
                </c:pt>
                <c:pt idx="1">
                  <c:v>-245.56297356354554</c:v>
                </c:pt>
                <c:pt idx="2">
                  <c:v>-405.90130593541909</c:v>
                </c:pt>
                <c:pt idx="3">
                  <c:v>-556.22314098260313</c:v>
                </c:pt>
                <c:pt idx="4">
                  <c:v>-697.14890570767102</c:v>
                </c:pt>
                <c:pt idx="5">
                  <c:v>-829.26108961880902</c:v>
                </c:pt>
                <c:pt idx="6">
                  <c:v>-953.10651855000867</c:v>
                </c:pt>
                <c:pt idx="7">
                  <c:v>-1069.1984965457907</c:v>
                </c:pt>
                <c:pt idx="8">
                  <c:v>-1178.0188230461592</c:v>
                </c:pt>
                <c:pt idx="9">
                  <c:v>-1280.0196922524958</c:v>
                </c:pt>
                <c:pt idx="10">
                  <c:v>-1375.6254812131322</c:v>
                </c:pt>
                <c:pt idx="11">
                  <c:v>-1465.2344328384004</c:v>
                </c:pt>
              </c:numCache>
            </c:numRef>
          </c:yVal>
          <c:smooth val="0"/>
          <c:extLst xmlns="http://schemas.openxmlformats.org/drawingml/2006/chart">
            <c:ext xmlns:c16="http://schemas.microsoft.com/office/drawing/2014/chart" uri="{C3380CC4-5D6E-409C-BE32-E72D297353CC}">
              <c16:uniqueId val="{00000000-9E13-4B82-921C-9A05367F573C}"/>
            </c:ext>
          </c:extLst>
        </c:ser>
        <c:ser>
          <c:idx val="1"/>
          <c:order val="1"/>
          <c:tx>
            <c:v>3 t/d</c:v>
          </c:tx>
          <c:spPr>
            <a:ln w="9525" cap="rnd">
              <a:solidFill>
                <a:srgbClr val="FFFF00"/>
              </a:solidFill>
              <a:round/>
            </a:ln>
            <a:effectLst/>
          </c:spPr>
          <c:marker>
            <c:symbol val="circle"/>
            <c:size val="3"/>
            <c:spPr>
              <a:solidFill>
                <a:srgbClr val="FFFF00"/>
              </a:solidFill>
              <a:ln w="9525">
                <a:solidFill>
                  <a:srgbClr val="FFFF00">
                    <a:alpha val="98000"/>
                  </a:srgbClr>
                </a:solidFill>
              </a:ln>
              <a:effectLst/>
            </c:spPr>
          </c:marker>
          <c:xVal>
            <c:numRef>
              <c:f>'NPV (2)'!$B$4:$B$15</c:f>
              <c:numCache>
                <c:formatCode>General</c:formatCode>
                <c:ptCount val="12"/>
                <c:pt idx="0">
                  <c:v>0</c:v>
                </c:pt>
                <c:pt idx="1">
                  <c:v>1</c:v>
                </c:pt>
                <c:pt idx="2">
                  <c:v>2</c:v>
                </c:pt>
                <c:pt idx="3">
                  <c:v>3</c:v>
                </c:pt>
                <c:pt idx="4">
                  <c:v>4</c:v>
                </c:pt>
                <c:pt idx="5">
                  <c:v>5</c:v>
                </c:pt>
                <c:pt idx="6">
                  <c:v>6</c:v>
                </c:pt>
                <c:pt idx="7">
                  <c:v>7</c:v>
                </c:pt>
                <c:pt idx="8">
                  <c:v>8</c:v>
                </c:pt>
                <c:pt idx="9">
                  <c:v>9</c:v>
                </c:pt>
                <c:pt idx="10">
                  <c:v>10</c:v>
                </c:pt>
                <c:pt idx="11">
                  <c:v>11</c:v>
                </c:pt>
              </c:numCache>
            </c:numRef>
          </c:xVal>
          <c:yVal>
            <c:numRef>
              <c:f>'NPV (2)'!$E$4:$E$15</c:f>
              <c:numCache>
                <c:formatCode>_-"$"\ * #.##0_-;\-"$"\ * #.##0_-;_-"$"\ * "-"??_-;_-@_-</c:formatCode>
                <c:ptCount val="12"/>
                <c:pt idx="0" formatCode="General">
                  <c:v>0</c:v>
                </c:pt>
                <c:pt idx="1">
                  <c:v>-469.66426202403244</c:v>
                </c:pt>
                <c:pt idx="2">
                  <c:v>-479.96851974302672</c:v>
                </c:pt>
                <c:pt idx="3">
                  <c:v>-489.97442377746131</c:v>
                </c:pt>
                <c:pt idx="4">
                  <c:v>-499.66847192484033</c:v>
                </c:pt>
                <c:pt idx="5">
                  <c:v>-509.0409746997409</c:v>
                </c:pt>
                <c:pt idx="6">
                  <c:v>-518.08554420763562</c:v>
                </c:pt>
                <c:pt idx="7">
                  <c:v>-526.79863995390099</c:v>
                </c:pt>
                <c:pt idx="8">
                  <c:v>-535.17916574586729</c:v>
                </c:pt>
                <c:pt idx="9">
                  <c:v>-543.22811241926172</c:v>
                </c:pt>
                <c:pt idx="10">
                  <c:v>-550.94824163906708</c:v>
                </c:pt>
                <c:pt idx="11">
                  <c:v>-558.34380649380205</c:v>
                </c:pt>
              </c:numCache>
            </c:numRef>
          </c:yVal>
          <c:smooth val="0"/>
          <c:extLst xmlns="http://schemas.openxmlformats.org/drawingml/2006/chart">
            <c:ext xmlns:c16="http://schemas.microsoft.com/office/drawing/2014/chart" uri="{C3380CC4-5D6E-409C-BE32-E72D297353CC}">
              <c16:uniqueId val="{00000001-9E13-4B82-921C-9A05367F573C}"/>
            </c:ext>
          </c:extLst>
        </c:ser>
        <c:ser>
          <c:idx val="5"/>
          <c:order val="2"/>
          <c:tx>
            <c:v>4.2 t/d (MPSEF)</c:v>
          </c:tx>
          <c:spPr>
            <a:ln w="9525">
              <a:solidFill>
                <a:srgbClr val="FFC000"/>
              </a:solidFill>
            </a:ln>
          </c:spPr>
          <c:marker>
            <c:symbol val="circle"/>
            <c:size val="3"/>
            <c:spPr>
              <a:solidFill>
                <a:srgbClr val="FFC000"/>
              </a:solidFill>
              <a:ln w="9525">
                <a:solidFill>
                  <a:srgbClr val="FFC000"/>
                </a:solidFill>
              </a:ln>
            </c:spPr>
          </c:marker>
          <c:xVal>
            <c:numRef>
              <c:f>'NPV (2)'!$I$43:$I$54</c:f>
              <c:numCache>
                <c:formatCode>General</c:formatCode>
                <c:ptCount val="12"/>
                <c:pt idx="0">
                  <c:v>0</c:v>
                </c:pt>
                <c:pt idx="1">
                  <c:v>1</c:v>
                </c:pt>
                <c:pt idx="2">
                  <c:v>2</c:v>
                </c:pt>
                <c:pt idx="3">
                  <c:v>3</c:v>
                </c:pt>
                <c:pt idx="4">
                  <c:v>4</c:v>
                </c:pt>
                <c:pt idx="5">
                  <c:v>5</c:v>
                </c:pt>
                <c:pt idx="6">
                  <c:v>6</c:v>
                </c:pt>
                <c:pt idx="7">
                  <c:v>7</c:v>
                </c:pt>
                <c:pt idx="8">
                  <c:v>8</c:v>
                </c:pt>
                <c:pt idx="9">
                  <c:v>9</c:v>
                </c:pt>
                <c:pt idx="10">
                  <c:v>10</c:v>
                </c:pt>
                <c:pt idx="11">
                  <c:v>11</c:v>
                </c:pt>
              </c:numCache>
            </c:numRef>
          </c:xVal>
          <c:yVal>
            <c:numRef>
              <c:f>'NPV (2)'!$M$43:$M$54</c:f>
              <c:numCache>
                <c:formatCode>_("$"* #,##0.00_);_("$"* \(#,##0.00\);_("$"* "-"??_);_(@_)</c:formatCode>
                <c:ptCount val="12"/>
                <c:pt idx="0">
                  <c:v>0</c:v>
                </c:pt>
                <c:pt idx="1">
                  <c:v>-551.81021440735901</c:v>
                </c:pt>
                <c:pt idx="2">
                  <c:v>-477.08691475963207</c:v>
                </c:pt>
                <c:pt idx="3">
                  <c:v>-407.53861158899599</c:v>
                </c:pt>
                <c:pt idx="4">
                  <c:v>-342.79781626430901</c:v>
                </c:pt>
                <c:pt idx="5">
                  <c:v>-282.52389585582</c:v>
                </c:pt>
                <c:pt idx="6">
                  <c:v>-226.401048675879</c:v>
                </c:pt>
                <c:pt idx="7">
                  <c:v>-174.13643732706601</c:v>
                </c:pt>
                <c:pt idx="8">
                  <c:v>-125.45846662743001</c:v>
                </c:pt>
                <c:pt idx="9">
                  <c:v>-80.115194823288306</c:v>
                </c:pt>
                <c:pt idx="10" formatCode="_-&quot;$&quot;\ * #.##0000_-;\-&quot;$&quot;\ * #.##0000_-;_-&quot;$&quot;\ * &quot;-&quot;??_-;_-@_-">
                  <c:v>-0.37872867453021802</c:v>
                </c:pt>
                <c:pt idx="11" formatCode="_-&quot;$&quot;\ * #.##0000_-;\-&quot;$&quot;\ * #.##0000_-;_-&quot;$&quot;\ * &quot;-&quot;??_-;_-@_-">
                  <c:v>1.48543590196922</c:v>
                </c:pt>
              </c:numCache>
            </c:numRef>
          </c:yVal>
          <c:smooth val="0"/>
          <c:extLst xmlns="http://schemas.openxmlformats.org/drawingml/2006/chart">
            <c:ext xmlns:c16="http://schemas.microsoft.com/office/drawing/2014/chart" uri="{C3380CC4-5D6E-409C-BE32-E72D297353CC}">
              <c16:uniqueId val="{00000002-9E13-4B82-921C-9A05367F573C}"/>
            </c:ext>
          </c:extLst>
        </c:ser>
        <c:ser>
          <c:idx val="4"/>
          <c:order val="3"/>
          <c:tx>
            <c:v>6 t/d</c:v>
          </c:tx>
          <c:spPr>
            <a:ln w="15875"/>
          </c:spPr>
          <c:marker>
            <c:symbol val="star"/>
            <c:size val="3"/>
          </c:marker>
          <c:xVal>
            <c:numRef>
              <c:f>'NPV (2)'!$B$4:$B$15</c:f>
              <c:numCache>
                <c:formatCode>General</c:formatCode>
                <c:ptCount val="12"/>
                <c:pt idx="0">
                  <c:v>0</c:v>
                </c:pt>
                <c:pt idx="1">
                  <c:v>1</c:v>
                </c:pt>
                <c:pt idx="2">
                  <c:v>2</c:v>
                </c:pt>
                <c:pt idx="3">
                  <c:v>3</c:v>
                </c:pt>
                <c:pt idx="4">
                  <c:v>4</c:v>
                </c:pt>
                <c:pt idx="5">
                  <c:v>5</c:v>
                </c:pt>
                <c:pt idx="6">
                  <c:v>6</c:v>
                </c:pt>
                <c:pt idx="7">
                  <c:v>7</c:v>
                </c:pt>
                <c:pt idx="8">
                  <c:v>8</c:v>
                </c:pt>
                <c:pt idx="9">
                  <c:v>9</c:v>
                </c:pt>
                <c:pt idx="10">
                  <c:v>10</c:v>
                </c:pt>
                <c:pt idx="11">
                  <c:v>11</c:v>
                </c:pt>
              </c:numCache>
            </c:numRef>
          </c:xVal>
          <c:yVal>
            <c:numRef>
              <c:f>'NPV (2)'!$H$4:$H$15</c:f>
              <c:numCache>
                <c:formatCode>_-"$"\ * #.##0_-;\-"$"\ * #.##0_-;_-"$"\ * "-"??_-;_-@_-</c:formatCode>
                <c:ptCount val="12"/>
                <c:pt idx="0" formatCode="General">
                  <c:v>0</c:v>
                </c:pt>
                <c:pt idx="1">
                  <c:v>-737.69723423393123</c:v>
                </c:pt>
                <c:pt idx="2">
                  <c:v>-518.79326559444428</c:v>
                </c:pt>
                <c:pt idx="3">
                  <c:v>-314.38087003660991</c:v>
                </c:pt>
                <c:pt idx="4">
                  <c:v>-123.48682740688059</c:v>
                </c:pt>
                <c:pt idx="5">
                  <c:v>54.795511244041833</c:v>
                </c:pt>
                <c:pt idx="6">
                  <c:v>221.31088173899104</c:v>
                </c:pt>
                <c:pt idx="7">
                  <c:v>376.84643009004202</c:v>
                </c:pt>
                <c:pt idx="8">
                  <c:v>522.13572584053702</c:v>
                </c:pt>
                <c:pt idx="9">
                  <c:v>657.8624883275395</c:v>
                </c:pt>
                <c:pt idx="10">
                  <c:v>784.66404701387569</c:v>
                </c:pt>
                <c:pt idx="11">
                  <c:v>903.13455543121108</c:v>
                </c:pt>
              </c:numCache>
            </c:numRef>
          </c:yVal>
          <c:smooth val="0"/>
          <c:extLst xmlns="http://schemas.openxmlformats.org/drawingml/2006/chart">
            <c:ext xmlns:c16="http://schemas.microsoft.com/office/drawing/2014/chart" uri="{C3380CC4-5D6E-409C-BE32-E72D297353CC}">
              <c16:uniqueId val="{00000003-9E13-4B82-921C-9A05367F573C}"/>
            </c:ext>
          </c:extLst>
        </c:ser>
        <c:ser>
          <c:idx val="2"/>
          <c:order val="4"/>
          <c:tx>
            <c:v>10 t/d</c:v>
          </c:tx>
          <c:spPr>
            <a:ln w="9525">
              <a:solidFill>
                <a:srgbClr val="92D050"/>
              </a:solidFill>
            </a:ln>
          </c:spPr>
          <c:marker>
            <c:symbol val="triangle"/>
            <c:size val="3"/>
            <c:spPr>
              <a:solidFill>
                <a:srgbClr val="92D050"/>
              </a:solidFill>
              <a:ln w="3175">
                <a:solidFill>
                  <a:srgbClr val="92D050"/>
                </a:solidFill>
              </a:ln>
            </c:spPr>
          </c:marker>
          <c:xVal>
            <c:numRef>
              <c:f>'NPV (2)'!$B$4:$B$15</c:f>
              <c:numCache>
                <c:formatCode>General</c:formatCode>
                <c:ptCount val="12"/>
                <c:pt idx="0">
                  <c:v>0</c:v>
                </c:pt>
                <c:pt idx="1">
                  <c:v>1</c:v>
                </c:pt>
                <c:pt idx="2">
                  <c:v>2</c:v>
                </c:pt>
                <c:pt idx="3">
                  <c:v>3</c:v>
                </c:pt>
                <c:pt idx="4">
                  <c:v>4</c:v>
                </c:pt>
                <c:pt idx="5">
                  <c:v>5</c:v>
                </c:pt>
                <c:pt idx="6">
                  <c:v>6</c:v>
                </c:pt>
                <c:pt idx="7">
                  <c:v>7</c:v>
                </c:pt>
                <c:pt idx="8">
                  <c:v>8</c:v>
                </c:pt>
                <c:pt idx="9">
                  <c:v>9</c:v>
                </c:pt>
                <c:pt idx="10">
                  <c:v>10</c:v>
                </c:pt>
                <c:pt idx="11">
                  <c:v>11</c:v>
                </c:pt>
              </c:numCache>
            </c:numRef>
          </c:xVal>
          <c:yVal>
            <c:numRef>
              <c:f>'NPV (2)'!$L$4:$L$15</c:f>
              <c:numCache>
                <c:formatCode>_-"$"\ * #.##0_-;\-"$"\ * #.##0_-;_-"$"\ * "-"??_-;_-@_-</c:formatCode>
                <c:ptCount val="12"/>
                <c:pt idx="0" formatCode="General">
                  <c:v>0</c:v>
                </c:pt>
                <c:pt idx="1">
                  <c:v>-1080.318870344531</c:v>
                </c:pt>
                <c:pt idx="2">
                  <c:v>-554.90343552964907</c:v>
                </c:pt>
                <c:pt idx="3">
                  <c:v>-63.745552834330738</c:v>
                </c:pt>
                <c:pt idx="4">
                  <c:v>395.40953328080718</c:v>
                </c:pt>
                <c:pt idx="5">
                  <c:v>824.66630032124158</c:v>
                </c:pt>
                <c:pt idx="6">
                  <c:v>1225.9891285052895</c:v>
                </c:pt>
                <c:pt idx="7">
                  <c:v>1601.2117774997782</c:v>
                </c:pt>
                <c:pt idx="8">
                  <c:v>1952.0462090494675</c:v>
                </c:pt>
                <c:pt idx="9">
                  <c:v>2280.09080176528</c:v>
                </c:pt>
                <c:pt idx="10">
                  <c:v>2586.8380009704274</c:v>
                </c:pt>
                <c:pt idx="11">
                  <c:v>2873.6814433901041</c:v>
                </c:pt>
              </c:numCache>
            </c:numRef>
          </c:yVal>
          <c:smooth val="0"/>
          <c:extLst xmlns="http://schemas.openxmlformats.org/drawingml/2006/chart">
            <c:ext xmlns:c16="http://schemas.microsoft.com/office/drawing/2014/chart" uri="{C3380CC4-5D6E-409C-BE32-E72D297353CC}">
              <c16:uniqueId val="{00000004-9E13-4B82-921C-9A05367F573C}"/>
            </c:ext>
          </c:extLst>
        </c:ser>
        <c:dLbls>
          <c:showLegendKey val="0"/>
          <c:showVal val="0"/>
          <c:showCatName val="0"/>
          <c:showSerName val="0"/>
          <c:showPercent val="0"/>
          <c:showBubbleSize val="0"/>
        </c:dLbls>
        <c:axId val="912343312"/>
        <c:axId val="1"/>
      </c:scatterChart>
      <c:valAx>
        <c:axId val="912343312"/>
        <c:scaling>
          <c:orientation val="minMax"/>
          <c:max val="11"/>
        </c:scaling>
        <c:delete val="0"/>
        <c:axPos val="b"/>
        <c:title>
          <c:tx>
            <c:rich>
              <a:bodyPr/>
              <a:lstStyle/>
              <a:p>
                <a:pPr>
                  <a:defRPr/>
                </a:pPr>
                <a:r>
                  <a:rPr lang="en"/>
                  <a:t>Year</a:t>
                </a:r>
              </a:p>
            </c:rich>
          </c:tx>
          <c:overlay val="0"/>
        </c:title>
        <c:numFmt formatCode="General" sourceLinked="1"/>
        <c:majorTickMark val="cross"/>
        <c:minorTickMark val="none"/>
        <c:tickLblPos val="low"/>
        <c:spPr>
          <a:noFill/>
          <a:ln w="9525" cap="flat" cmpd="sng" algn="ctr">
            <a:solidFill>
              <a:schemeClr val="bg1">
                <a:lumMod val="75000"/>
              </a:schemeClr>
            </a:solidFill>
            <a:round/>
          </a:ln>
          <a:effectLst/>
        </c:spPr>
        <c:txPr>
          <a:bodyPr rot="0" vert="horz"/>
          <a:lstStyle/>
          <a:p>
            <a:pPr>
              <a:defRPr>
                <a:solidFill>
                  <a:schemeClr val="tx1"/>
                </a:solidFill>
              </a:defRPr>
            </a:pPr>
            <a:endParaRPr lang="es-CO"/>
          </a:p>
        </c:txPr>
        <c:crossAx val="1"/>
        <c:crossesAt val="0"/>
        <c:crossBetween val="midCat"/>
        <c:majorUnit val="1"/>
      </c:val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
                  <a:t>NPV (Millions of COP)</a:t>
                </a:r>
              </a:p>
            </c:rich>
          </c:tx>
          <c:overlay val="0"/>
        </c:title>
        <c:numFmt formatCode="&quot;$&quot;#,##0_);[Red]\(&quot;$&quot;#,##0\)" sourceLinked="0"/>
        <c:majorTickMark val="out"/>
        <c:minorTickMark val="none"/>
        <c:tickLblPos val="low"/>
        <c:spPr>
          <a:noFill/>
          <a:ln w="9525" cap="flat" cmpd="sng" algn="ctr">
            <a:solidFill>
              <a:schemeClr val="bg1">
                <a:lumMod val="75000"/>
              </a:schemeClr>
            </a:solidFill>
            <a:round/>
          </a:ln>
          <a:effectLst/>
        </c:spPr>
        <c:txPr>
          <a:bodyPr rot="0" vert="horz"/>
          <a:lstStyle/>
          <a:p>
            <a:pPr>
              <a:defRPr/>
            </a:pPr>
            <a:endParaRPr lang="es-CO"/>
          </a:p>
        </c:txPr>
        <c:crossAx val="912343312"/>
        <c:crosses val="autoZero"/>
        <c:crossBetween val="midCat"/>
      </c:valAx>
      <c:spPr>
        <a:noFill/>
        <a:ln w="9525">
          <a:solidFill>
            <a:schemeClr val="bg1">
              <a:lumMod val="85000"/>
            </a:schemeClr>
          </a:solidFill>
        </a:ln>
      </c:spPr>
    </c:plotArea>
    <c:legend>
      <c:legendPos val="r"/>
      <c:layout>
        <c:manualLayout>
          <c:xMode val="edge"/>
          <c:yMode val="edge"/>
          <c:x val="0.19040377415509629"/>
          <c:y val="6.8886256474577842E-2"/>
          <c:w val="0.32637476285613548"/>
          <c:h val="0.36660395326690359"/>
        </c:manualLayout>
      </c:layout>
      <c:overlay val="0"/>
    </c:legend>
    <c:plotVisOnly val="1"/>
    <c:dispBlanksAs val="gap"/>
    <c:showDLblsOverMax val="0"/>
  </c:chart>
  <c:spPr>
    <a:noFill/>
    <a:ln w="9525" cap="flat" cmpd="sng" algn="ctr">
      <a:noFill/>
      <a:round/>
    </a:ln>
    <a:effectLst/>
  </c:spPr>
  <c:txPr>
    <a:bodyPr/>
    <a:lstStyle/>
    <a:p>
      <a:pPr>
        <a:defRPr sz="600" b="0" i="0" u="none" strike="noStrike" baseline="0">
          <a:solidFill>
            <a:srgbClr val="000000"/>
          </a:solidFill>
          <a:latin typeface="Calibri"/>
          <a:ea typeface="Calibri"/>
          <a:cs typeface="Calibri"/>
        </a:defRPr>
      </a:pPr>
      <a:endParaRPr lang="es-C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039099726268123"/>
          <c:y val="3.0337424959173197E-2"/>
          <c:w val="0.79081071947551618"/>
          <c:h val="0.81818920638814985"/>
        </c:manualLayout>
      </c:layout>
      <c:scatterChart>
        <c:scatterStyle val="lineMarker"/>
        <c:varyColors val="0"/>
        <c:ser>
          <c:idx val="0"/>
          <c:order val="0"/>
          <c:tx>
            <c:v>5,0 t/d</c:v>
          </c:tx>
          <c:spPr>
            <a:ln w="9525" cap="rnd">
              <a:solidFill>
                <a:schemeClr val="accent1">
                  <a:lumMod val="60000"/>
                  <a:lumOff val="40000"/>
                </a:schemeClr>
              </a:solidFill>
              <a:round/>
            </a:ln>
            <a:effectLst/>
          </c:spPr>
          <c:marker>
            <c:symbol val="x"/>
            <c:size val="3"/>
            <c:spPr>
              <a:solidFill>
                <a:schemeClr val="accent1">
                  <a:lumMod val="60000"/>
                  <a:lumOff val="40000"/>
                </a:schemeClr>
              </a:solidFill>
              <a:ln w="9525">
                <a:solidFill>
                  <a:schemeClr val="accent1"/>
                </a:solidFill>
              </a:ln>
              <a:effectLst/>
            </c:spPr>
          </c:marker>
          <c:xVal>
            <c:numRef>
              <c:f>NPV!$B$4:$B$15</c:f>
              <c:numCache>
                <c:formatCode>General</c:formatCode>
                <c:ptCount val="12"/>
                <c:pt idx="0">
                  <c:v>0</c:v>
                </c:pt>
                <c:pt idx="1">
                  <c:v>1</c:v>
                </c:pt>
                <c:pt idx="2">
                  <c:v>2</c:v>
                </c:pt>
                <c:pt idx="3">
                  <c:v>3</c:v>
                </c:pt>
                <c:pt idx="4">
                  <c:v>4</c:v>
                </c:pt>
                <c:pt idx="5">
                  <c:v>5</c:v>
                </c:pt>
                <c:pt idx="6">
                  <c:v>6</c:v>
                </c:pt>
                <c:pt idx="7">
                  <c:v>7</c:v>
                </c:pt>
                <c:pt idx="8">
                  <c:v>8</c:v>
                </c:pt>
                <c:pt idx="9">
                  <c:v>9</c:v>
                </c:pt>
                <c:pt idx="10">
                  <c:v>10</c:v>
                </c:pt>
                <c:pt idx="11">
                  <c:v>11</c:v>
                </c:pt>
              </c:numCache>
            </c:numRef>
          </c:xVal>
          <c:yVal>
            <c:numRef>
              <c:f>NPV!$G$4:$G$15</c:f>
              <c:numCache>
                <c:formatCode>General</c:formatCode>
                <c:ptCount val="12"/>
                <c:pt idx="0">
                  <c:v>0</c:v>
                </c:pt>
                <c:pt idx="1">
                  <c:v>-941.9718183012908</c:v>
                </c:pt>
                <c:pt idx="2">
                  <c:v>-1092.6352540319854</c:v>
                </c:pt>
                <c:pt idx="3">
                  <c:v>-1234.4277714997429</c:v>
                </c:pt>
                <c:pt idx="4">
                  <c:v>-1367.8487241467574</c:v>
                </c:pt>
                <c:pt idx="5">
                  <c:v>-1493.3716119723713</c:v>
                </c:pt>
                <c:pt idx="6">
                  <c:v>-1611.4451882435874</c:v>
                </c:pt>
                <c:pt idx="7">
                  <c:v>-1722.4945447338705</c:v>
                </c:pt>
                <c:pt idx="8">
                  <c:v>-1826.9221724061433</c:v>
                </c:pt>
                <c:pt idx="9">
                  <c:v>-1925.1089950567164</c:v>
                </c:pt>
                <c:pt idx="10">
                  <c:v>-2017.41537396274</c:v>
                </c:pt>
                <c:pt idx="11">
                  <c:v>-2104.1820820346907</c:v>
                </c:pt>
              </c:numCache>
            </c:numRef>
          </c:yVal>
          <c:smooth val="0"/>
          <c:extLst xmlns="http://schemas.openxmlformats.org/drawingml/2006/chart">
            <c:ext xmlns:c16="http://schemas.microsoft.com/office/drawing/2014/chart" uri="{C3380CC4-5D6E-409C-BE32-E72D297353CC}">
              <c16:uniqueId val="{00000000-37AD-4A12-9C59-7378F571B316}"/>
            </c:ext>
          </c:extLst>
        </c:ser>
        <c:ser>
          <c:idx val="2"/>
          <c:order val="1"/>
          <c:tx>
            <c:v>15,0 t/d</c:v>
          </c:tx>
          <c:spPr>
            <a:ln w="9525">
              <a:solidFill>
                <a:schemeClr val="accent6"/>
              </a:solidFill>
            </a:ln>
          </c:spPr>
          <c:marker>
            <c:symbol val="triangle"/>
            <c:size val="3"/>
            <c:spPr>
              <a:solidFill>
                <a:srgbClr val="FFC000"/>
              </a:solidFill>
              <a:ln>
                <a:solidFill>
                  <a:srgbClr val="FFC000"/>
                </a:solidFill>
              </a:ln>
            </c:spPr>
          </c:marker>
          <c:xVal>
            <c:numRef>
              <c:f>NPV!$B$4:$B$15</c:f>
              <c:numCache>
                <c:formatCode>General</c:formatCode>
                <c:ptCount val="12"/>
                <c:pt idx="0">
                  <c:v>0</c:v>
                </c:pt>
                <c:pt idx="1">
                  <c:v>1</c:v>
                </c:pt>
                <c:pt idx="2">
                  <c:v>2</c:v>
                </c:pt>
                <c:pt idx="3">
                  <c:v>3</c:v>
                </c:pt>
                <c:pt idx="4">
                  <c:v>4</c:v>
                </c:pt>
                <c:pt idx="5">
                  <c:v>5</c:v>
                </c:pt>
                <c:pt idx="6">
                  <c:v>6</c:v>
                </c:pt>
                <c:pt idx="7">
                  <c:v>7</c:v>
                </c:pt>
                <c:pt idx="8">
                  <c:v>8</c:v>
                </c:pt>
                <c:pt idx="9">
                  <c:v>9</c:v>
                </c:pt>
                <c:pt idx="10">
                  <c:v>10</c:v>
                </c:pt>
                <c:pt idx="11">
                  <c:v>11</c:v>
                </c:pt>
              </c:numCache>
            </c:numRef>
          </c:xVal>
          <c:yVal>
            <c:numRef>
              <c:f>NPV!$Q$4:$Q$15</c:f>
              <c:numCache>
                <c:formatCode>General</c:formatCode>
                <c:ptCount val="12"/>
                <c:pt idx="0">
                  <c:v>0</c:v>
                </c:pt>
                <c:pt idx="1">
                  <c:v>-1823.4618182577829</c:v>
                </c:pt>
                <c:pt idx="2">
                  <c:v>-1724.9051648789102</c:v>
                </c:pt>
                <c:pt idx="3">
                  <c:v>-1634.0077872076761</c:v>
                </c:pt>
                <c:pt idx="4">
                  <c:v>-1550.1561414559189</c:v>
                </c:pt>
                <c:pt idx="5">
                  <c:v>-1472.7871943796356</c:v>
                </c:pt>
                <c:pt idx="6">
                  <c:v>-1401.3841665308496</c:v>
                </c:pt>
                <c:pt idx="7">
                  <c:v>-1335.4726411607944</c:v>
                </c:pt>
                <c:pt idx="8">
                  <c:v>-1274.6170068904767</c:v>
                </c:pt>
                <c:pt idx="9">
                  <c:v>-1218.4172050768718</c:v>
                </c:pt>
                <c:pt idx="10">
                  <c:v>-1166.5057553650101</c:v>
                </c:pt>
                <c:pt idx="11">
                  <c:v>-1118.5450352504856</c:v>
                </c:pt>
              </c:numCache>
            </c:numRef>
          </c:yVal>
          <c:smooth val="0"/>
          <c:extLst xmlns="http://schemas.openxmlformats.org/drawingml/2006/chart">
            <c:ext xmlns:c16="http://schemas.microsoft.com/office/drawing/2014/chart" uri="{C3380CC4-5D6E-409C-BE32-E72D297353CC}">
              <c16:uniqueId val="{00000001-37AD-4A12-9C59-7378F571B316}"/>
            </c:ext>
          </c:extLst>
        </c:ser>
        <c:ser>
          <c:idx val="3"/>
          <c:order val="2"/>
          <c:tx>
            <c:v>22,4 t/d (MPSEF)</c:v>
          </c:tx>
          <c:spPr>
            <a:ln w="9525">
              <a:solidFill>
                <a:srgbClr val="92D050"/>
              </a:solidFill>
            </a:ln>
          </c:spPr>
          <c:marker>
            <c:symbol val="x"/>
            <c:size val="3"/>
            <c:spPr>
              <a:solidFill>
                <a:schemeClr val="accent3">
                  <a:alpha val="99000"/>
                </a:schemeClr>
              </a:solidFill>
              <a:ln>
                <a:solidFill>
                  <a:schemeClr val="accent3"/>
                </a:solidFill>
              </a:ln>
            </c:spPr>
          </c:marker>
          <c:xVal>
            <c:numRef>
              <c:f>NPV!$I$42:$I$53</c:f>
              <c:numCache>
                <c:formatCode>General</c:formatCode>
                <c:ptCount val="12"/>
                <c:pt idx="0">
                  <c:v>0</c:v>
                </c:pt>
                <c:pt idx="1">
                  <c:v>1</c:v>
                </c:pt>
                <c:pt idx="2">
                  <c:v>2</c:v>
                </c:pt>
                <c:pt idx="3">
                  <c:v>3</c:v>
                </c:pt>
                <c:pt idx="4">
                  <c:v>4</c:v>
                </c:pt>
                <c:pt idx="5">
                  <c:v>5</c:v>
                </c:pt>
                <c:pt idx="6">
                  <c:v>6</c:v>
                </c:pt>
                <c:pt idx="7">
                  <c:v>7</c:v>
                </c:pt>
                <c:pt idx="8">
                  <c:v>8</c:v>
                </c:pt>
                <c:pt idx="9">
                  <c:v>9</c:v>
                </c:pt>
                <c:pt idx="10">
                  <c:v>10</c:v>
                </c:pt>
                <c:pt idx="11">
                  <c:v>11</c:v>
                </c:pt>
              </c:numCache>
            </c:numRef>
          </c:xVal>
          <c:yVal>
            <c:numRef>
              <c:f>NPV!$K$42:$K$53</c:f>
              <c:numCache>
                <c:formatCode>_("$"* #,##0.00_);_("$"* \(#,##0.00\);_("$"* "-"??_);_(@_)</c:formatCode>
                <c:ptCount val="12"/>
                <c:pt idx="0">
                  <c:v>0</c:v>
                </c:pt>
                <c:pt idx="1">
                  <c:v>-2354.5563915602102</c:v>
                </c:pt>
                <c:pt idx="2">
                  <c:v>-2036.9085251633201</c:v>
                </c:pt>
                <c:pt idx="3">
                  <c:v>-1741.2662172641799</c:v>
                </c:pt>
                <c:pt idx="4">
                  <c:v>-1466.0662411071501</c:v>
                </c:pt>
                <c:pt idx="5">
                  <c:v>-1209.85965464227</c:v>
                </c:pt>
                <c:pt idx="6">
                  <c:v>-971.30318180396</c:v>
                </c:pt>
                <c:pt idx="7">
                  <c:v>-749.15126462287492</c:v>
                </c:pt>
                <c:pt idx="8">
                  <c:v>-542.24873235683799</c:v>
                </c:pt>
                <c:pt idx="9">
                  <c:v>-349.52403826300105</c:v>
                </c:pt>
                <c:pt idx="10">
                  <c:v>-169.98301869480198</c:v>
                </c:pt>
                <c:pt idx="11">
                  <c:v>-2.7031329269219899</c:v>
                </c:pt>
              </c:numCache>
            </c:numRef>
          </c:yVal>
          <c:smooth val="0"/>
          <c:extLst xmlns="http://schemas.openxmlformats.org/drawingml/2006/chart">
            <c:ext xmlns:c16="http://schemas.microsoft.com/office/drawing/2014/chart" uri="{C3380CC4-5D6E-409C-BE32-E72D297353CC}">
              <c16:uniqueId val="{00000002-37AD-4A12-9C59-7378F571B316}"/>
            </c:ext>
          </c:extLst>
        </c:ser>
        <c:ser>
          <c:idx val="1"/>
          <c:order val="3"/>
          <c:tx>
            <c:v>30,0 t/d</c:v>
          </c:tx>
          <c:spPr>
            <a:ln w="9525" cap="rnd">
              <a:solidFill>
                <a:srgbClr val="0070C0"/>
              </a:solidFill>
              <a:round/>
            </a:ln>
            <a:effectLst/>
          </c:spPr>
          <c:marker>
            <c:symbol val="circle"/>
            <c:size val="3"/>
            <c:spPr>
              <a:solidFill>
                <a:srgbClr val="0070C0"/>
              </a:solidFill>
              <a:ln w="9525">
                <a:solidFill>
                  <a:srgbClr val="0070C0">
                    <a:alpha val="98000"/>
                  </a:srgbClr>
                </a:solidFill>
              </a:ln>
              <a:effectLst/>
            </c:spPr>
          </c:marker>
          <c:xVal>
            <c:numRef>
              <c:f>NPV!$B$4:$B$15</c:f>
              <c:numCache>
                <c:formatCode>General</c:formatCode>
                <c:ptCount val="12"/>
                <c:pt idx="0">
                  <c:v>0</c:v>
                </c:pt>
                <c:pt idx="1">
                  <c:v>1</c:v>
                </c:pt>
                <c:pt idx="2">
                  <c:v>2</c:v>
                </c:pt>
                <c:pt idx="3">
                  <c:v>3</c:v>
                </c:pt>
                <c:pt idx="4">
                  <c:v>4</c:v>
                </c:pt>
                <c:pt idx="5">
                  <c:v>5</c:v>
                </c:pt>
                <c:pt idx="6">
                  <c:v>6</c:v>
                </c:pt>
                <c:pt idx="7">
                  <c:v>7</c:v>
                </c:pt>
                <c:pt idx="8">
                  <c:v>8</c:v>
                </c:pt>
                <c:pt idx="9">
                  <c:v>9</c:v>
                </c:pt>
                <c:pt idx="10">
                  <c:v>10</c:v>
                </c:pt>
                <c:pt idx="11">
                  <c:v>11</c:v>
                </c:pt>
              </c:numCache>
            </c:numRef>
          </c:xVal>
          <c:yVal>
            <c:numRef>
              <c:f>NPV!$AE$4:$AE$15</c:f>
              <c:numCache>
                <c:formatCode>General</c:formatCode>
                <c:ptCount val="12"/>
                <c:pt idx="0">
                  <c:v>0</c:v>
                </c:pt>
                <c:pt idx="1">
                  <c:v>-2694.2045209351368</c:v>
                </c:pt>
                <c:pt idx="2">
                  <c:v>-2224.5658923072497</c:v>
                </c:pt>
                <c:pt idx="3">
                  <c:v>-1786.8634029411583</c:v>
                </c:pt>
                <c:pt idx="4">
                  <c:v>-1378.8783853644979</c:v>
                </c:pt>
                <c:pt idx="5">
                  <c:v>-998.55030255325175</c:v>
                </c:pt>
                <c:pt idx="6">
                  <c:v>-643.96514485610044</c:v>
                </c:pt>
                <c:pt idx="7">
                  <c:v>-313.34470531712952</c:v>
                </c:pt>
                <c:pt idx="8">
                  <c:v>-5.0366647696445588</c:v>
                </c:pt>
                <c:pt idx="9">
                  <c:v>282.4945764017549</c:v>
                </c:pt>
                <c:pt idx="10">
                  <c:v>550.67637786607384</c:v>
                </c:pt>
                <c:pt idx="11">
                  <c:v>800.83570370349707</c:v>
                </c:pt>
              </c:numCache>
            </c:numRef>
          </c:yVal>
          <c:smooth val="0"/>
          <c:extLst xmlns="http://schemas.openxmlformats.org/drawingml/2006/chart">
            <c:ext xmlns:c16="http://schemas.microsoft.com/office/drawing/2014/chart" uri="{C3380CC4-5D6E-409C-BE32-E72D297353CC}">
              <c16:uniqueId val="{00000003-37AD-4A12-9C59-7378F571B316}"/>
            </c:ext>
          </c:extLst>
        </c:ser>
        <c:dLbls>
          <c:showLegendKey val="0"/>
          <c:showVal val="0"/>
          <c:showCatName val="0"/>
          <c:showSerName val="0"/>
          <c:showPercent val="0"/>
          <c:showBubbleSize val="0"/>
        </c:dLbls>
        <c:axId val="912343312"/>
        <c:axId val="1"/>
      </c:scatterChart>
      <c:valAx>
        <c:axId val="912343312"/>
        <c:scaling>
          <c:orientation val="minMax"/>
          <c:max val="11"/>
        </c:scaling>
        <c:delete val="0"/>
        <c:axPos val="b"/>
        <c:title>
          <c:tx>
            <c:rich>
              <a:bodyPr/>
              <a:lstStyle/>
              <a:p>
                <a:pPr>
                  <a:defRPr/>
                </a:pPr>
                <a:r>
                  <a:rPr lang="en"/>
                  <a:t>Year</a:t>
                </a:r>
              </a:p>
            </c:rich>
          </c:tx>
          <c:overlay val="0"/>
        </c:title>
        <c:numFmt formatCode="General" sourceLinked="1"/>
        <c:majorTickMark val="cross"/>
        <c:minorTickMark val="none"/>
        <c:tickLblPos val="low"/>
        <c:spPr>
          <a:noFill/>
          <a:ln w="9525" cap="flat" cmpd="sng" algn="ctr">
            <a:solidFill>
              <a:schemeClr val="bg1">
                <a:lumMod val="75000"/>
              </a:schemeClr>
            </a:solidFill>
            <a:round/>
          </a:ln>
          <a:effectLst/>
        </c:spPr>
        <c:txPr>
          <a:bodyPr rot="0" vert="horz"/>
          <a:lstStyle/>
          <a:p>
            <a:pPr>
              <a:defRPr/>
            </a:pPr>
            <a:endParaRPr lang="es-CO"/>
          </a:p>
        </c:txPr>
        <c:crossAx val="1"/>
        <c:crossesAt val="0"/>
        <c:crossBetween val="midCat"/>
        <c:majorUnit val="1"/>
      </c:val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
                  <a:t>NPV (Millions of COP)</a:t>
                </a:r>
              </a:p>
            </c:rich>
          </c:tx>
          <c:overlay val="0"/>
        </c:title>
        <c:numFmt formatCode="&quot;$&quot;#,##0_);[Red]\(&quot;$&quot;#,##0\)" sourceLinked="0"/>
        <c:majorTickMark val="out"/>
        <c:minorTickMark val="none"/>
        <c:tickLblPos val="low"/>
        <c:spPr>
          <a:noFill/>
          <a:ln w="9525" cap="flat" cmpd="sng" algn="ctr">
            <a:solidFill>
              <a:schemeClr val="bg1">
                <a:lumMod val="75000"/>
              </a:schemeClr>
            </a:solidFill>
            <a:round/>
          </a:ln>
          <a:effectLst/>
        </c:spPr>
        <c:txPr>
          <a:bodyPr rot="0" vert="horz"/>
          <a:lstStyle/>
          <a:p>
            <a:pPr>
              <a:defRPr/>
            </a:pPr>
            <a:endParaRPr lang="es-CO"/>
          </a:p>
        </c:txPr>
        <c:crossAx val="912343312"/>
        <c:crosses val="autoZero"/>
        <c:crossBetween val="midCat"/>
      </c:valAx>
      <c:spPr>
        <a:noFill/>
        <a:ln w="9525">
          <a:solidFill>
            <a:schemeClr val="bg1">
              <a:lumMod val="85000"/>
            </a:schemeClr>
          </a:solidFill>
        </a:ln>
      </c:spPr>
    </c:plotArea>
    <c:legend>
      <c:legendPos val="r"/>
      <c:layout>
        <c:manualLayout>
          <c:xMode val="edge"/>
          <c:yMode val="edge"/>
          <c:x val="0.40868405934236751"/>
          <c:y val="0.61772290599597379"/>
          <c:w val="0.34392416613159404"/>
          <c:h val="0.2411895115052366"/>
        </c:manualLayout>
      </c:layout>
      <c:overlay val="0"/>
      <c:txPr>
        <a:bodyPr/>
        <a:lstStyle/>
        <a:p>
          <a:pPr>
            <a:defRPr sz="500"/>
          </a:pPr>
          <a:endParaRPr lang="es-CO"/>
        </a:p>
      </c:txPr>
    </c:legend>
    <c:plotVisOnly val="1"/>
    <c:dispBlanksAs val="gap"/>
    <c:showDLblsOverMax val="0"/>
  </c:chart>
  <c:spPr>
    <a:noFill/>
    <a:ln w="9525" cap="flat" cmpd="sng" algn="ctr">
      <a:noFill/>
      <a:round/>
    </a:ln>
    <a:effectLst/>
  </c:spPr>
  <c:txPr>
    <a:bodyPr/>
    <a:lstStyle/>
    <a:p>
      <a:pPr>
        <a:defRPr sz="600" b="0" i="0" u="none" strike="noStrike" baseline="0">
          <a:solidFill>
            <a:srgbClr val="000000"/>
          </a:solidFill>
          <a:latin typeface="Calibri"/>
          <a:ea typeface="Calibri"/>
          <a:cs typeface="Calibri"/>
        </a:defRPr>
      </a:pPr>
      <a:endParaRPr lang="es-C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spc="0" baseline="0">
                <a:solidFill>
                  <a:schemeClr val="tx1"/>
                </a:solidFill>
                <a:latin typeface="+mn-lt"/>
                <a:ea typeface="+mn-ea"/>
                <a:cs typeface="+mn-cs"/>
              </a:defRPr>
            </a:pPr>
            <a:r>
              <a:rPr lang="es-CO" sz="800" b="1">
                <a:solidFill>
                  <a:schemeClr val="tx1"/>
                </a:solidFill>
              </a:rPr>
              <a:t>Cassava MBR</a:t>
            </a:r>
          </a:p>
        </c:rich>
      </c:tx>
      <c:overlay val="0"/>
      <c:spPr>
        <a:noFill/>
        <a:ln>
          <a:noFill/>
        </a:ln>
        <a:effectLst/>
      </c:spPr>
      <c:txPr>
        <a:bodyPr rot="0" spcFirstLastPara="1" vertOverflow="ellipsis" vert="horz" wrap="square" anchor="ctr" anchorCtr="1"/>
        <a:lstStyle/>
        <a:p>
          <a:pPr>
            <a:defRPr sz="800" b="1" i="0" u="none" strike="noStrike" kern="1200" spc="0" baseline="0">
              <a:solidFill>
                <a:schemeClr val="tx1"/>
              </a:solidFill>
              <a:latin typeface="+mn-lt"/>
              <a:ea typeface="+mn-ea"/>
              <a:cs typeface="+mn-cs"/>
            </a:defRPr>
          </a:pPr>
          <a:endParaRPr lang="es-CO"/>
        </a:p>
      </c:txPr>
    </c:title>
    <c:autoTitleDeleted val="0"/>
    <c:plotArea>
      <c:layout>
        <c:manualLayout>
          <c:layoutTarget val="inner"/>
          <c:xMode val="edge"/>
          <c:yMode val="edge"/>
          <c:x val="0.20852802646244561"/>
          <c:y val="0.19790584687552354"/>
          <c:w val="0.74124366303527123"/>
          <c:h val="0.66030532752554871"/>
        </c:manualLayout>
      </c:layout>
      <c:barChart>
        <c:barDir val="col"/>
        <c:grouping val="clustered"/>
        <c:varyColors val="0"/>
        <c:ser>
          <c:idx val="0"/>
          <c:order val="0"/>
          <c:spPr>
            <a:solidFill>
              <a:schemeClr val="accent1"/>
            </a:solidFill>
            <a:ln>
              <a:noFill/>
            </a:ln>
            <a:effectLst/>
          </c:spPr>
          <c:invertIfNegative val="0"/>
          <c:dPt>
            <c:idx val="7"/>
            <c:invertIfNegative val="0"/>
            <c:bubble3D val="0"/>
            <c:spPr>
              <a:solidFill>
                <a:schemeClr val="accent2"/>
              </a:solidFill>
              <a:ln>
                <a:noFill/>
              </a:ln>
              <a:effectLst/>
            </c:spPr>
            <c:extLst>
              <c:ext xmlns:c16="http://schemas.microsoft.com/office/drawing/2014/chart" uri="{C3380CC4-5D6E-409C-BE32-E72D297353CC}">
                <c16:uniqueId val="{00000001-62E3-4DFF-A54D-38D6E0880959}"/>
              </c:ext>
            </c:extLst>
          </c:dPt>
          <c:cat>
            <c:strRef>
              <c:f>Ambiental!$D$48:$L$48</c:f>
              <c:strCache>
                <c:ptCount val="9"/>
                <c:pt idx="0">
                  <c:v>HTPI</c:v>
                </c:pt>
                <c:pt idx="1">
                  <c:v>HTPE</c:v>
                </c:pt>
                <c:pt idx="2">
                  <c:v>TTP</c:v>
                </c:pt>
                <c:pt idx="3">
                  <c:v>ATP</c:v>
                </c:pt>
                <c:pt idx="4">
                  <c:v>GWP</c:v>
                </c:pt>
                <c:pt idx="5">
                  <c:v>ODP</c:v>
                </c:pt>
                <c:pt idx="6">
                  <c:v>PCOP</c:v>
                </c:pt>
                <c:pt idx="7">
                  <c:v>AP</c:v>
                </c:pt>
                <c:pt idx="8">
                  <c:v>TOTAL</c:v>
                </c:pt>
              </c:strCache>
            </c:strRef>
          </c:cat>
          <c:val>
            <c:numRef>
              <c:f>Ambiental!$D$49:$L$49</c:f>
              <c:numCache>
                <c:formatCode>0.00E+00</c:formatCode>
                <c:ptCount val="9"/>
                <c:pt idx="0">
                  <c:v>-5.3999999999999999E-2</c:v>
                </c:pt>
                <c:pt idx="1">
                  <c:v>-1.0399999999999999E-3</c:v>
                </c:pt>
                <c:pt idx="2">
                  <c:v>-5.3999999999999999E-2</c:v>
                </c:pt>
                <c:pt idx="3">
                  <c:v>-7.2600000000000003E-5</c:v>
                </c:pt>
                <c:pt idx="4">
                  <c:v>3.2400000000000001E-4</c:v>
                </c:pt>
                <c:pt idx="5">
                  <c:v>1.2199999999999999E-9</c:v>
                </c:pt>
                <c:pt idx="6">
                  <c:v>2.0499999999999999E-6</c:v>
                </c:pt>
                <c:pt idx="7">
                  <c:v>3.3300000000000001E-3</c:v>
                </c:pt>
                <c:pt idx="8">
                  <c:v>-0.105</c:v>
                </c:pt>
              </c:numCache>
            </c:numRef>
          </c:val>
          <c:extLst>
            <c:ext xmlns:c16="http://schemas.microsoft.com/office/drawing/2014/chart" uri="{C3380CC4-5D6E-409C-BE32-E72D297353CC}">
              <c16:uniqueId val="{00000002-62E3-4DFF-A54D-38D6E0880959}"/>
            </c:ext>
          </c:extLst>
        </c:ser>
        <c:dLbls>
          <c:showLegendKey val="0"/>
          <c:showVal val="0"/>
          <c:showCatName val="0"/>
          <c:showSerName val="0"/>
          <c:showPercent val="0"/>
          <c:showBubbleSize val="0"/>
        </c:dLbls>
        <c:gapWidth val="219"/>
        <c:overlap val="-27"/>
        <c:axId val="1072280272"/>
        <c:axId val="1072281104"/>
      </c:barChart>
      <c:catAx>
        <c:axId val="1072280272"/>
        <c:scaling>
          <c:orientation val="minMax"/>
        </c:scaling>
        <c:delete val="0"/>
        <c:axPos val="b"/>
        <c:title>
          <c:tx>
            <c:rich>
              <a:bodyPr rot="0" spcFirstLastPara="1" vertOverflow="ellipsis" vert="horz" wrap="square" anchor="ctr" anchorCtr="1"/>
              <a:lstStyle/>
              <a:p>
                <a:pPr>
                  <a:defRPr sz="600" b="0" i="0" u="none" strike="noStrike" kern="1200" baseline="0">
                    <a:solidFill>
                      <a:schemeClr val="tx1"/>
                    </a:solidFill>
                    <a:latin typeface="+mn-lt"/>
                    <a:ea typeface="+mn-ea"/>
                    <a:cs typeface="+mn-cs"/>
                  </a:defRPr>
                </a:pPr>
                <a:r>
                  <a:rPr lang="es-CO">
                    <a:solidFill>
                      <a:schemeClr val="tx1"/>
                    </a:solidFill>
                  </a:rPr>
                  <a:t>Category</a:t>
                </a:r>
              </a:p>
            </c:rich>
          </c:tx>
          <c:overlay val="0"/>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mn-lt"/>
                  <a:ea typeface="+mn-ea"/>
                  <a:cs typeface="+mn-cs"/>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baseline="0">
                <a:solidFill>
                  <a:schemeClr val="tx1"/>
                </a:solidFill>
                <a:latin typeface="+mn-lt"/>
                <a:ea typeface="+mn-ea"/>
                <a:cs typeface="+mn-cs"/>
              </a:defRPr>
            </a:pPr>
            <a:endParaRPr lang="es-CO"/>
          </a:p>
        </c:txPr>
        <c:crossAx val="1072281104"/>
        <c:crosses val="autoZero"/>
        <c:auto val="1"/>
        <c:lblAlgn val="ctr"/>
        <c:lblOffset val="100"/>
        <c:noMultiLvlLbl val="0"/>
      </c:catAx>
      <c:valAx>
        <c:axId val="1072281104"/>
        <c:scaling>
          <c:orientation val="minMax"/>
        </c:scaling>
        <c:delete val="0"/>
        <c:axPos val="l"/>
        <c:majorGridlines>
          <c:spPr>
            <a:ln w="6350"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baseline="0">
                    <a:solidFill>
                      <a:schemeClr val="tx1"/>
                    </a:solidFill>
                    <a:latin typeface="+mn-lt"/>
                    <a:ea typeface="+mn-ea"/>
                    <a:cs typeface="+mn-cs"/>
                  </a:defRPr>
                </a:pPr>
                <a:r>
                  <a:rPr lang="es-CO">
                    <a:solidFill>
                      <a:schemeClr val="tx1"/>
                    </a:solidFill>
                  </a:rPr>
                  <a:t>Generated</a:t>
                </a:r>
                <a:r>
                  <a:rPr lang="es-CO" baseline="0">
                    <a:solidFill>
                      <a:schemeClr val="tx1"/>
                    </a:solidFill>
                  </a:rPr>
                  <a:t> PEI per kg of product</a:t>
                </a:r>
                <a:endParaRPr lang="es-CO">
                  <a:solidFill>
                    <a:schemeClr val="tx1"/>
                  </a:solidFill>
                </a:endParaRPr>
              </a:p>
            </c:rich>
          </c:tx>
          <c:layout>
            <c:manualLayout>
              <c:xMode val="edge"/>
              <c:yMode val="edge"/>
              <c:x val="3.1963470319634701E-2"/>
              <c:y val="0.24340079996649358"/>
            </c:manualLayout>
          </c:layout>
          <c:overlay val="0"/>
          <c:spPr>
            <a:noFill/>
            <a:ln>
              <a:noFill/>
            </a:ln>
            <a:effectLst/>
          </c:spPr>
          <c:txPr>
            <a:bodyPr rot="-5400000" spcFirstLastPara="1" vertOverflow="ellipsis" vert="horz" wrap="square" anchor="ctr" anchorCtr="1"/>
            <a:lstStyle/>
            <a:p>
              <a:pPr>
                <a:defRPr sz="600" b="0" i="0" u="none" strike="noStrike" kern="1200" baseline="0">
                  <a:solidFill>
                    <a:schemeClr val="tx1"/>
                  </a:solidFill>
                  <a:latin typeface="+mn-lt"/>
                  <a:ea typeface="+mn-ea"/>
                  <a:cs typeface="+mn-cs"/>
                </a:defRPr>
              </a:pPr>
              <a:endParaRPr lang="es-CO"/>
            </a:p>
          </c:txPr>
        </c:title>
        <c:numFmt formatCode="0.0E+0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solidFill>
                <a:latin typeface="+mn-lt"/>
                <a:ea typeface="+mn-ea"/>
                <a:cs typeface="+mn-cs"/>
              </a:defRPr>
            </a:pPr>
            <a:endParaRPr lang="es-CO"/>
          </a:p>
        </c:txPr>
        <c:crossAx val="107228027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sz="600"/>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spc="0" baseline="0">
                <a:solidFill>
                  <a:schemeClr val="tx1"/>
                </a:solidFill>
                <a:latin typeface="+mn-lt"/>
                <a:ea typeface="+mn-ea"/>
                <a:cs typeface="+mn-cs"/>
              </a:defRPr>
            </a:pPr>
            <a:r>
              <a:rPr lang="es-CO" sz="800" b="1">
                <a:solidFill>
                  <a:schemeClr val="tx1"/>
                </a:solidFill>
              </a:rPr>
              <a:t>Rejected banana MBR</a:t>
            </a:r>
          </a:p>
        </c:rich>
      </c:tx>
      <c:overlay val="0"/>
      <c:spPr>
        <a:noFill/>
        <a:ln>
          <a:noFill/>
        </a:ln>
        <a:effectLst/>
      </c:spPr>
      <c:txPr>
        <a:bodyPr rot="0" spcFirstLastPara="1" vertOverflow="ellipsis" vert="horz" wrap="square" anchor="ctr" anchorCtr="1"/>
        <a:lstStyle/>
        <a:p>
          <a:pPr>
            <a:defRPr sz="800" b="1" i="0" u="none" strike="noStrike" kern="1200" spc="0" baseline="0">
              <a:solidFill>
                <a:schemeClr val="tx1"/>
              </a:solidFill>
              <a:latin typeface="+mn-lt"/>
              <a:ea typeface="+mn-ea"/>
              <a:cs typeface="+mn-cs"/>
            </a:defRPr>
          </a:pPr>
          <a:endParaRPr lang="es-CO"/>
        </a:p>
      </c:txPr>
    </c:title>
    <c:autoTitleDeleted val="0"/>
    <c:plotArea>
      <c:layout>
        <c:manualLayout>
          <c:layoutTarget val="inner"/>
          <c:xMode val="edge"/>
          <c:yMode val="edge"/>
          <c:x val="0.19717023010755813"/>
          <c:y val="0.19633930982901543"/>
          <c:w val="0.75199797691647152"/>
          <c:h val="0.6629942035609665"/>
        </c:manualLayout>
      </c:layout>
      <c:barChart>
        <c:barDir val="col"/>
        <c:grouping val="clustered"/>
        <c:varyColors val="0"/>
        <c:ser>
          <c:idx val="0"/>
          <c:order val="0"/>
          <c:spPr>
            <a:solidFill>
              <a:schemeClr val="accent1"/>
            </a:solidFill>
            <a:ln>
              <a:noFill/>
            </a:ln>
            <a:effectLst/>
          </c:spPr>
          <c:invertIfNegative val="0"/>
          <c:dPt>
            <c:idx val="4"/>
            <c:invertIfNegative val="0"/>
            <c:bubble3D val="0"/>
            <c:spPr>
              <a:solidFill>
                <a:schemeClr val="accent2"/>
              </a:solidFill>
              <a:ln>
                <a:noFill/>
              </a:ln>
              <a:effectLst/>
            </c:spPr>
            <c:extLst>
              <c:ext xmlns:c16="http://schemas.microsoft.com/office/drawing/2014/chart" uri="{C3380CC4-5D6E-409C-BE32-E72D297353CC}">
                <c16:uniqueId val="{00000001-DEE4-4564-9C01-1C6EE10E9B3B}"/>
              </c:ext>
            </c:extLst>
          </c:dPt>
          <c:dPt>
            <c:idx val="7"/>
            <c:invertIfNegative val="0"/>
            <c:bubble3D val="0"/>
            <c:spPr>
              <a:solidFill>
                <a:schemeClr val="accent2"/>
              </a:solidFill>
              <a:ln>
                <a:noFill/>
              </a:ln>
              <a:effectLst/>
            </c:spPr>
            <c:extLst>
              <c:ext xmlns:c16="http://schemas.microsoft.com/office/drawing/2014/chart" uri="{C3380CC4-5D6E-409C-BE32-E72D297353CC}">
                <c16:uniqueId val="{00000003-DEE4-4564-9C01-1C6EE10E9B3B}"/>
              </c:ext>
            </c:extLst>
          </c:dPt>
          <c:cat>
            <c:strRef>
              <c:f>Ambiental!$D$48:$L$48</c:f>
              <c:strCache>
                <c:ptCount val="9"/>
                <c:pt idx="0">
                  <c:v>HTPI</c:v>
                </c:pt>
                <c:pt idx="1">
                  <c:v>HTPE</c:v>
                </c:pt>
                <c:pt idx="2">
                  <c:v>TTP</c:v>
                </c:pt>
                <c:pt idx="3">
                  <c:v>ATP</c:v>
                </c:pt>
                <c:pt idx="4">
                  <c:v>GWP</c:v>
                </c:pt>
                <c:pt idx="5">
                  <c:v>ODP</c:v>
                </c:pt>
                <c:pt idx="6">
                  <c:v>PCOP</c:v>
                </c:pt>
                <c:pt idx="7">
                  <c:v>AP</c:v>
                </c:pt>
                <c:pt idx="8">
                  <c:v>TOTAL</c:v>
                </c:pt>
              </c:strCache>
            </c:strRef>
          </c:cat>
          <c:val>
            <c:numRef>
              <c:f>Ambiental!$D$59:$L$59</c:f>
              <c:numCache>
                <c:formatCode>0.00E+00</c:formatCode>
                <c:ptCount val="9"/>
                <c:pt idx="0">
                  <c:v>-6.5100000000000005E-2</c:v>
                </c:pt>
                <c:pt idx="1">
                  <c:v>4.82E-7</c:v>
                </c:pt>
                <c:pt idx="2">
                  <c:v>-6.5100000000000005E-2</c:v>
                </c:pt>
                <c:pt idx="3">
                  <c:v>5.1699999999999999E-4</c:v>
                </c:pt>
                <c:pt idx="4">
                  <c:v>3.5500000000000002E-3</c:v>
                </c:pt>
                <c:pt idx="5">
                  <c:v>1.35E-8</c:v>
                </c:pt>
                <c:pt idx="6">
                  <c:v>2.6000000000000001E-6</c:v>
                </c:pt>
                <c:pt idx="7">
                  <c:v>3.6799999999999999E-2</c:v>
                </c:pt>
                <c:pt idx="8">
                  <c:v>-8.8999999999999996E-2</c:v>
                </c:pt>
              </c:numCache>
            </c:numRef>
          </c:val>
          <c:extLst>
            <c:ext xmlns:c16="http://schemas.microsoft.com/office/drawing/2014/chart" uri="{C3380CC4-5D6E-409C-BE32-E72D297353CC}">
              <c16:uniqueId val="{00000004-DEE4-4564-9C01-1C6EE10E9B3B}"/>
            </c:ext>
          </c:extLst>
        </c:ser>
        <c:dLbls>
          <c:showLegendKey val="0"/>
          <c:showVal val="0"/>
          <c:showCatName val="0"/>
          <c:showSerName val="0"/>
          <c:showPercent val="0"/>
          <c:showBubbleSize val="0"/>
        </c:dLbls>
        <c:gapWidth val="219"/>
        <c:overlap val="-27"/>
        <c:axId val="1072280272"/>
        <c:axId val="1072281104"/>
      </c:barChart>
      <c:catAx>
        <c:axId val="1072280272"/>
        <c:scaling>
          <c:orientation val="minMax"/>
        </c:scaling>
        <c:delete val="0"/>
        <c:axPos val="b"/>
        <c:title>
          <c:tx>
            <c:rich>
              <a:bodyPr rot="0" spcFirstLastPara="1" vertOverflow="ellipsis" vert="horz" wrap="square" anchor="ctr" anchorCtr="1"/>
              <a:lstStyle/>
              <a:p>
                <a:pPr>
                  <a:defRPr sz="600" b="0" i="0" u="none" strike="noStrike" kern="1200" baseline="0">
                    <a:solidFill>
                      <a:schemeClr val="tx1"/>
                    </a:solidFill>
                    <a:latin typeface="+mn-lt"/>
                    <a:ea typeface="+mn-ea"/>
                    <a:cs typeface="+mn-cs"/>
                  </a:defRPr>
                </a:pPr>
                <a:r>
                  <a:rPr lang="es-CO">
                    <a:solidFill>
                      <a:schemeClr val="tx1"/>
                    </a:solidFill>
                  </a:rPr>
                  <a:t>Category</a:t>
                </a:r>
              </a:p>
            </c:rich>
          </c:tx>
          <c:overlay val="0"/>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mn-lt"/>
                  <a:ea typeface="+mn-ea"/>
                  <a:cs typeface="+mn-cs"/>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baseline="0">
                <a:solidFill>
                  <a:schemeClr val="tx1"/>
                </a:solidFill>
                <a:latin typeface="+mn-lt"/>
                <a:ea typeface="+mn-ea"/>
                <a:cs typeface="+mn-cs"/>
              </a:defRPr>
            </a:pPr>
            <a:endParaRPr lang="es-CO"/>
          </a:p>
        </c:txPr>
        <c:crossAx val="1072281104"/>
        <c:crosses val="autoZero"/>
        <c:auto val="1"/>
        <c:lblAlgn val="ctr"/>
        <c:lblOffset val="100"/>
        <c:noMultiLvlLbl val="0"/>
      </c:catAx>
      <c:valAx>
        <c:axId val="1072281104"/>
        <c:scaling>
          <c:orientation val="minMax"/>
        </c:scaling>
        <c:delete val="0"/>
        <c:axPos val="l"/>
        <c:majorGridlines>
          <c:spPr>
            <a:ln w="6350"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baseline="0">
                    <a:solidFill>
                      <a:schemeClr val="tx1"/>
                    </a:solidFill>
                    <a:latin typeface="+mn-lt"/>
                    <a:ea typeface="+mn-ea"/>
                    <a:cs typeface="+mn-cs"/>
                  </a:defRPr>
                </a:pPr>
                <a:r>
                  <a:rPr lang="es-CO">
                    <a:solidFill>
                      <a:schemeClr val="tx1"/>
                    </a:solidFill>
                  </a:rPr>
                  <a:t>Generated</a:t>
                </a:r>
                <a:r>
                  <a:rPr lang="es-CO" baseline="0">
                    <a:solidFill>
                      <a:schemeClr val="tx1"/>
                    </a:solidFill>
                  </a:rPr>
                  <a:t> PEI per kg of product</a:t>
                </a:r>
                <a:endParaRPr lang="es-CO">
                  <a:solidFill>
                    <a:schemeClr val="tx1"/>
                  </a:solidFill>
                </a:endParaRPr>
              </a:p>
            </c:rich>
          </c:tx>
          <c:layout>
            <c:manualLayout>
              <c:xMode val="edge"/>
              <c:yMode val="edge"/>
              <c:x val="3.2347504621072089E-2"/>
              <c:y val="0.26522084640475352"/>
            </c:manualLayout>
          </c:layout>
          <c:overlay val="0"/>
          <c:spPr>
            <a:noFill/>
            <a:ln>
              <a:noFill/>
            </a:ln>
            <a:effectLst/>
          </c:spPr>
          <c:txPr>
            <a:bodyPr rot="-5400000" spcFirstLastPara="1" vertOverflow="ellipsis" vert="horz" wrap="square" anchor="ctr" anchorCtr="1"/>
            <a:lstStyle/>
            <a:p>
              <a:pPr>
                <a:defRPr sz="600" b="0" i="0" u="none" strike="noStrike" kern="1200" baseline="0">
                  <a:solidFill>
                    <a:schemeClr val="tx1"/>
                  </a:solidFill>
                  <a:latin typeface="+mn-lt"/>
                  <a:ea typeface="+mn-ea"/>
                  <a:cs typeface="+mn-cs"/>
                </a:defRPr>
              </a:pPr>
              <a:endParaRPr lang="es-CO"/>
            </a:p>
          </c:txPr>
        </c:title>
        <c:numFmt formatCode="0.0E+0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solidFill>
                <a:latin typeface="+mn-lt"/>
                <a:ea typeface="+mn-ea"/>
                <a:cs typeface="+mn-cs"/>
              </a:defRPr>
            </a:pPr>
            <a:endParaRPr lang="es-CO"/>
          </a:p>
        </c:txPr>
        <c:crossAx val="107228027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sz="600"/>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718565858118911"/>
          <c:y val="4.8134769084040484E-2"/>
          <c:w val="0.82076471086275504"/>
          <c:h val="0.71760740221096064"/>
        </c:manualLayout>
      </c:layout>
      <c:barChart>
        <c:barDir val="col"/>
        <c:grouping val="stacked"/>
        <c:varyColors val="0"/>
        <c:ser>
          <c:idx val="0"/>
          <c:order val="0"/>
          <c:tx>
            <c:strRef>
              <c:f>Hoja1!$F$3</c:f>
              <c:strCache>
                <c:ptCount val="1"/>
                <c:pt idx="0">
                  <c:v>Solar</c:v>
                </c:pt>
              </c:strCache>
            </c:strRef>
          </c:tx>
          <c:spPr>
            <a:solidFill>
              <a:srgbClr val="FFC000"/>
            </a:solidFill>
            <a:ln>
              <a:noFill/>
            </a:ln>
            <a:effectLst/>
          </c:spPr>
          <c:invertIfNegative val="0"/>
          <c:cat>
            <c:strRef>
              <c:f>Hoja1!$B$4:$B$15</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Hoja1!$F$4:$F$15</c:f>
              <c:numCache>
                <c:formatCode>0.0%</c:formatCode>
                <c:ptCount val="12"/>
                <c:pt idx="0">
                  <c:v>0.64142305168768676</c:v>
                </c:pt>
                <c:pt idx="1">
                  <c:v>0.70283589706203986</c:v>
                </c:pt>
                <c:pt idx="2">
                  <c:v>0.7359043522636145</c:v>
                </c:pt>
                <c:pt idx="3">
                  <c:v>0.69863672814755406</c:v>
                </c:pt>
                <c:pt idx="4">
                  <c:v>0.67554129911788274</c:v>
                </c:pt>
                <c:pt idx="5">
                  <c:v>0.50862433476707736</c:v>
                </c:pt>
                <c:pt idx="6">
                  <c:v>0.54116789385434128</c:v>
                </c:pt>
                <c:pt idx="7">
                  <c:v>0.48185463293723119</c:v>
                </c:pt>
                <c:pt idx="8">
                  <c:v>0.58525916745644091</c:v>
                </c:pt>
                <c:pt idx="9">
                  <c:v>0.49182765910913462</c:v>
                </c:pt>
                <c:pt idx="10">
                  <c:v>0.60992928482904429</c:v>
                </c:pt>
                <c:pt idx="11">
                  <c:v>0.52699569876795216</c:v>
                </c:pt>
              </c:numCache>
            </c:numRef>
          </c:val>
          <c:extLst>
            <c:ext xmlns:c16="http://schemas.microsoft.com/office/drawing/2014/chart" uri="{C3380CC4-5D6E-409C-BE32-E72D297353CC}">
              <c16:uniqueId val="{00000000-BFDF-42BD-8AE9-8719C48E6E1B}"/>
            </c:ext>
          </c:extLst>
        </c:ser>
        <c:ser>
          <c:idx val="1"/>
          <c:order val="1"/>
          <c:tx>
            <c:strRef>
              <c:f>Hoja1!$G$3</c:f>
              <c:strCache>
                <c:ptCount val="1"/>
                <c:pt idx="0">
                  <c:v>Fossil</c:v>
                </c:pt>
              </c:strCache>
            </c:strRef>
          </c:tx>
          <c:spPr>
            <a:solidFill>
              <a:schemeClr val="tx2"/>
            </a:solidFill>
            <a:ln>
              <a:noFill/>
            </a:ln>
            <a:effectLst/>
          </c:spPr>
          <c:invertIfNegative val="0"/>
          <c:cat>
            <c:strRef>
              <c:f>Hoja1!$B$4:$B$15</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Hoja1!$G$4:$G$15</c:f>
              <c:numCache>
                <c:formatCode>0.0%</c:formatCode>
                <c:ptCount val="12"/>
                <c:pt idx="0">
                  <c:v>0.35857694831231324</c:v>
                </c:pt>
                <c:pt idx="1">
                  <c:v>0.29716410293796014</c:v>
                </c:pt>
                <c:pt idx="2">
                  <c:v>0.26409564773638555</c:v>
                </c:pt>
                <c:pt idx="3">
                  <c:v>0.30136327185244594</c:v>
                </c:pt>
                <c:pt idx="4">
                  <c:v>0.3244587008821172</c:v>
                </c:pt>
                <c:pt idx="5">
                  <c:v>0.49137566523292264</c:v>
                </c:pt>
                <c:pt idx="6">
                  <c:v>0.45883210614565884</c:v>
                </c:pt>
                <c:pt idx="7">
                  <c:v>0.51814536706276892</c:v>
                </c:pt>
                <c:pt idx="8">
                  <c:v>0.41474083254355915</c:v>
                </c:pt>
                <c:pt idx="9">
                  <c:v>0.50817234089086538</c:v>
                </c:pt>
                <c:pt idx="10">
                  <c:v>0.39007071517095582</c:v>
                </c:pt>
                <c:pt idx="11">
                  <c:v>0.47300430123204779</c:v>
                </c:pt>
              </c:numCache>
            </c:numRef>
          </c:val>
          <c:extLst>
            <c:ext xmlns:c16="http://schemas.microsoft.com/office/drawing/2014/chart" uri="{C3380CC4-5D6E-409C-BE32-E72D297353CC}">
              <c16:uniqueId val="{00000001-BFDF-42BD-8AE9-8719C48E6E1B}"/>
            </c:ext>
          </c:extLst>
        </c:ser>
        <c:dLbls>
          <c:showLegendKey val="0"/>
          <c:showVal val="0"/>
          <c:showCatName val="0"/>
          <c:showSerName val="0"/>
          <c:showPercent val="0"/>
          <c:showBubbleSize val="0"/>
        </c:dLbls>
        <c:gapWidth val="219"/>
        <c:overlap val="100"/>
        <c:axId val="1232864448"/>
        <c:axId val="1318821680"/>
      </c:barChart>
      <c:catAx>
        <c:axId val="1232864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solidFill>
                <a:latin typeface="+mn-lt"/>
                <a:ea typeface="+mn-ea"/>
                <a:cs typeface="+mn-cs"/>
              </a:defRPr>
            </a:pPr>
            <a:endParaRPr lang="es-CO"/>
          </a:p>
        </c:txPr>
        <c:crossAx val="1318821680"/>
        <c:crosses val="autoZero"/>
        <c:auto val="1"/>
        <c:lblAlgn val="ctr"/>
        <c:lblOffset val="100"/>
        <c:noMultiLvlLbl val="0"/>
      </c:catAx>
      <c:valAx>
        <c:axId val="1318821680"/>
        <c:scaling>
          <c:orientation val="minMax"/>
          <c:max val="1"/>
        </c:scaling>
        <c:delete val="0"/>
        <c:axPos val="l"/>
        <c:majorGridlines>
          <c:spPr>
            <a:ln w="6350"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solidFill>
                    <a:latin typeface="+mn-lt"/>
                    <a:ea typeface="+mn-ea"/>
                    <a:cs typeface="+mn-cs"/>
                  </a:defRPr>
                </a:pPr>
                <a:r>
                  <a:rPr lang="es-CO" sz="700">
                    <a:solidFill>
                      <a:schemeClr val="tx1"/>
                    </a:solidFill>
                  </a:rPr>
                  <a:t>Energy contribution</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es-CO"/>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es-CO"/>
          </a:p>
        </c:txPr>
        <c:crossAx val="1232864448"/>
        <c:crosses val="autoZero"/>
        <c:crossBetween val="between"/>
      </c:valAx>
      <c:spPr>
        <a:noFill/>
        <a:ln>
          <a:noFill/>
        </a:ln>
        <a:effectLst/>
      </c:spPr>
    </c:plotArea>
    <c:legend>
      <c:legendPos val="r"/>
      <c:layout>
        <c:manualLayout>
          <c:xMode val="edge"/>
          <c:yMode val="edge"/>
          <c:x val="0.20941944920070371"/>
          <c:y val="0.93635178047440615"/>
          <c:w val="0.54191711675727217"/>
          <c:h val="6.1952827365666076E-2"/>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es-CO"/>
        </a:p>
      </c:txPr>
    </c:legend>
    <c:plotVisOnly val="1"/>
    <c:dispBlanksAs val="gap"/>
    <c:showDLblsOverMax val="0"/>
  </c:chart>
  <c:spPr>
    <a:noFill/>
    <a:ln w="9525" cap="flat" cmpd="sng" algn="ctr">
      <a:no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English!$B$16</c:f>
              <c:strCache>
                <c:ptCount val="1"/>
                <c:pt idx="0">
                  <c:v>Total installed cost</c:v>
                </c:pt>
              </c:strCache>
            </c:strRef>
          </c:tx>
          <c:spPr>
            <a:solidFill>
              <a:srgbClr val="4F81BD"/>
            </a:solidFill>
            <a:ln>
              <a:noFill/>
            </a:ln>
            <a:effectLst/>
          </c:spPr>
          <c:invertIfNegative val="0"/>
          <c:cat>
            <c:strRef>
              <c:f>English!$C$15:$D$15</c:f>
              <c:strCache>
                <c:ptCount val="2"/>
                <c:pt idx="0">
                  <c:v>Natural gas</c:v>
                </c:pt>
                <c:pt idx="1">
                  <c:v>Solar energy + Natural gas</c:v>
                </c:pt>
              </c:strCache>
            </c:strRef>
          </c:cat>
          <c:val>
            <c:numRef>
              <c:f>English!$C$16:$D$16</c:f>
              <c:numCache>
                <c:formatCode>_("$"* #,##0.00_);_("$"* \(#,##0.00\);_("$"* "-"??_);_(@_)</c:formatCode>
                <c:ptCount val="2"/>
                <c:pt idx="0">
                  <c:v>1021237458.12</c:v>
                </c:pt>
                <c:pt idx="1">
                  <c:v>1440994170.3445301</c:v>
                </c:pt>
              </c:numCache>
            </c:numRef>
          </c:val>
          <c:extLst>
            <c:ext xmlns:c16="http://schemas.microsoft.com/office/drawing/2014/chart" uri="{C3380CC4-5D6E-409C-BE32-E72D297353CC}">
              <c16:uniqueId val="{00000000-3AF7-4A3E-AA5A-1E6AAC9961D8}"/>
            </c:ext>
          </c:extLst>
        </c:ser>
        <c:ser>
          <c:idx val="1"/>
          <c:order val="1"/>
          <c:tx>
            <c:strRef>
              <c:f>English!$B$17</c:f>
              <c:strCache>
                <c:ptCount val="1"/>
                <c:pt idx="0">
                  <c:v>NPV</c:v>
                </c:pt>
              </c:strCache>
            </c:strRef>
          </c:tx>
          <c:spPr>
            <a:solidFill>
              <a:schemeClr val="accent2"/>
            </a:solidFill>
            <a:ln>
              <a:noFill/>
            </a:ln>
            <a:effectLst/>
          </c:spPr>
          <c:invertIfNegative val="0"/>
          <c:cat>
            <c:strRef>
              <c:f>English!$C$15:$D$15</c:f>
              <c:strCache>
                <c:ptCount val="2"/>
                <c:pt idx="0">
                  <c:v>Natural gas</c:v>
                </c:pt>
                <c:pt idx="1">
                  <c:v>Solar energy + Natural gas</c:v>
                </c:pt>
              </c:strCache>
            </c:strRef>
          </c:cat>
          <c:val>
            <c:numRef>
              <c:f>English!$C$17:$D$17</c:f>
              <c:numCache>
                <c:formatCode>_("$"* #,##0.00_);_("$"* \(#,##0.00\);_("$"* "-"??_);_(@_)</c:formatCode>
                <c:ptCount val="2"/>
                <c:pt idx="0">
                  <c:v>2873681443.3899999</c:v>
                </c:pt>
                <c:pt idx="1">
                  <c:v>2866091032.5367398</c:v>
                </c:pt>
              </c:numCache>
            </c:numRef>
          </c:val>
          <c:extLst>
            <c:ext xmlns:c16="http://schemas.microsoft.com/office/drawing/2014/chart" uri="{C3380CC4-5D6E-409C-BE32-E72D297353CC}">
              <c16:uniqueId val="{00000001-3AF7-4A3E-AA5A-1E6AAC9961D8}"/>
            </c:ext>
          </c:extLst>
        </c:ser>
        <c:dLbls>
          <c:showLegendKey val="0"/>
          <c:showVal val="0"/>
          <c:showCatName val="0"/>
          <c:showSerName val="0"/>
          <c:showPercent val="0"/>
          <c:showBubbleSize val="0"/>
        </c:dLbls>
        <c:gapWidth val="219"/>
        <c:overlap val="-27"/>
        <c:axId val="1738720144"/>
        <c:axId val="1739609232"/>
      </c:barChart>
      <c:lineChart>
        <c:grouping val="standard"/>
        <c:varyColors val="0"/>
        <c:ser>
          <c:idx val="3"/>
          <c:order val="2"/>
          <c:tx>
            <c:strRef>
              <c:f>English!$B$19</c:f>
              <c:strCache>
                <c:ptCount val="1"/>
                <c:pt idx="0">
                  <c:v>IRR</c:v>
                </c:pt>
              </c:strCache>
            </c:strRef>
          </c:tx>
          <c:spPr>
            <a:ln w="15875" cap="rnd">
              <a:solidFill>
                <a:srgbClr val="FFC000"/>
              </a:solidFill>
              <a:round/>
            </a:ln>
            <a:effectLst/>
          </c:spPr>
          <c:marker>
            <c:symbol val="triangle"/>
            <c:size val="7"/>
            <c:spPr>
              <a:solidFill>
                <a:srgbClr val="FFC000"/>
              </a:solidFill>
              <a:ln w="9525">
                <a:solidFill>
                  <a:srgbClr val="FFC000"/>
                </a:solidFill>
              </a:ln>
              <a:effectLst/>
            </c:spPr>
          </c:marker>
          <c:cat>
            <c:strRef>
              <c:f>English!$C$15:$D$15</c:f>
              <c:strCache>
                <c:ptCount val="2"/>
                <c:pt idx="0">
                  <c:v>Natural gas</c:v>
                </c:pt>
                <c:pt idx="1">
                  <c:v>Solar energy + Natural gas</c:v>
                </c:pt>
              </c:strCache>
            </c:strRef>
          </c:cat>
          <c:val>
            <c:numRef>
              <c:f>English!$C$19:$D$19</c:f>
              <c:numCache>
                <c:formatCode>0.0%</c:formatCode>
                <c:ptCount val="2"/>
                <c:pt idx="0">
                  <c:v>0.41299999999999998</c:v>
                </c:pt>
                <c:pt idx="1">
                  <c:v>0.307</c:v>
                </c:pt>
              </c:numCache>
            </c:numRef>
          </c:val>
          <c:smooth val="0"/>
          <c:extLst>
            <c:ext xmlns:c16="http://schemas.microsoft.com/office/drawing/2014/chart" uri="{C3380CC4-5D6E-409C-BE32-E72D297353CC}">
              <c16:uniqueId val="{00000002-3AF7-4A3E-AA5A-1E6AAC9961D8}"/>
            </c:ext>
          </c:extLst>
        </c:ser>
        <c:dLbls>
          <c:showLegendKey val="0"/>
          <c:showVal val="0"/>
          <c:showCatName val="0"/>
          <c:showSerName val="0"/>
          <c:showPercent val="0"/>
          <c:showBubbleSize val="0"/>
        </c:dLbls>
        <c:marker val="1"/>
        <c:smooth val="0"/>
        <c:axId val="1738727344"/>
        <c:axId val="1739599664"/>
      </c:lineChart>
      <c:catAx>
        <c:axId val="1738720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solidFill>
                <a:latin typeface="+mn-lt"/>
                <a:ea typeface="+mn-ea"/>
                <a:cs typeface="+mn-cs"/>
              </a:defRPr>
            </a:pPr>
            <a:endParaRPr lang="es-CO"/>
          </a:p>
        </c:txPr>
        <c:crossAx val="1739609232"/>
        <c:crosses val="autoZero"/>
        <c:auto val="1"/>
        <c:lblAlgn val="ctr"/>
        <c:lblOffset val="100"/>
        <c:noMultiLvlLbl val="0"/>
      </c:catAx>
      <c:valAx>
        <c:axId val="1739609232"/>
        <c:scaling>
          <c:orientation val="minMax"/>
        </c:scaling>
        <c:delete val="0"/>
        <c:axPos val="l"/>
        <c:majorGridlines>
          <c:spPr>
            <a:ln w="6350"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baseline="0">
                    <a:solidFill>
                      <a:schemeClr val="tx1"/>
                    </a:solidFill>
                    <a:latin typeface="+mn-lt"/>
                    <a:ea typeface="+mn-ea"/>
                    <a:cs typeface="+mn-cs"/>
                  </a:defRPr>
                </a:pPr>
                <a:r>
                  <a:rPr lang="es-CO">
                    <a:solidFill>
                      <a:schemeClr val="tx1"/>
                    </a:solidFill>
                  </a:rPr>
                  <a:t>Cost and NPV (millions of COP)</a:t>
                </a:r>
              </a:p>
            </c:rich>
          </c:tx>
          <c:overlay val="0"/>
          <c:spPr>
            <a:noFill/>
            <a:ln>
              <a:noFill/>
            </a:ln>
            <a:effectLst/>
          </c:spPr>
          <c:txPr>
            <a:bodyPr rot="-5400000" spcFirstLastPara="1" vertOverflow="ellipsis" vert="horz" wrap="square" anchor="ctr" anchorCtr="1"/>
            <a:lstStyle/>
            <a:p>
              <a:pPr>
                <a:defRPr sz="600" b="0" i="0" u="none" strike="noStrike" kern="1200" baseline="0">
                  <a:solidFill>
                    <a:schemeClr val="tx1"/>
                  </a:solidFill>
                  <a:latin typeface="+mn-lt"/>
                  <a:ea typeface="+mn-ea"/>
                  <a:cs typeface="+mn-cs"/>
                </a:defRPr>
              </a:pPr>
              <a:endParaRPr lang="es-CO"/>
            </a:p>
          </c:txPr>
        </c:title>
        <c:numFmt formatCode="_(&quot;$&quot;* #,##0.00_);_(&quot;$&quot;* \(#,##0.00\);_(&quot;$&quot;* &quot;-&quot;??_);_(@_)"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solidFill>
                <a:latin typeface="+mn-lt"/>
                <a:ea typeface="+mn-ea"/>
                <a:cs typeface="+mn-cs"/>
              </a:defRPr>
            </a:pPr>
            <a:endParaRPr lang="es-CO"/>
          </a:p>
        </c:txPr>
        <c:crossAx val="1738720144"/>
        <c:crosses val="autoZero"/>
        <c:crossBetween val="between"/>
        <c:dispUnits>
          <c:builtInUnit val="millions"/>
        </c:dispUnits>
      </c:valAx>
      <c:valAx>
        <c:axId val="1739599664"/>
        <c:scaling>
          <c:orientation val="minMax"/>
        </c:scaling>
        <c:delete val="0"/>
        <c:axPos val="r"/>
        <c:title>
          <c:tx>
            <c:rich>
              <a:bodyPr rot="-5400000" spcFirstLastPara="1" vertOverflow="ellipsis" vert="horz" wrap="square" anchor="ctr" anchorCtr="1"/>
              <a:lstStyle/>
              <a:p>
                <a:pPr>
                  <a:defRPr sz="600" b="0" i="0" u="none" strike="noStrike" kern="1200" baseline="0">
                    <a:solidFill>
                      <a:schemeClr val="tx1"/>
                    </a:solidFill>
                    <a:latin typeface="+mn-lt"/>
                    <a:ea typeface="+mn-ea"/>
                    <a:cs typeface="+mn-cs"/>
                  </a:defRPr>
                </a:pPr>
                <a:r>
                  <a:rPr lang="es-CO">
                    <a:solidFill>
                      <a:schemeClr val="tx1"/>
                    </a:solidFill>
                  </a:rPr>
                  <a:t>IRR</a:t>
                </a:r>
              </a:p>
            </c:rich>
          </c:tx>
          <c:overlay val="0"/>
          <c:spPr>
            <a:noFill/>
            <a:ln>
              <a:noFill/>
            </a:ln>
            <a:effectLst/>
          </c:spPr>
          <c:txPr>
            <a:bodyPr rot="-5400000" spcFirstLastPara="1" vertOverflow="ellipsis" vert="horz" wrap="square" anchor="ctr" anchorCtr="1"/>
            <a:lstStyle/>
            <a:p>
              <a:pPr>
                <a:defRPr sz="600" b="0" i="0" u="none" strike="noStrike" kern="1200" baseline="0">
                  <a:solidFill>
                    <a:schemeClr val="tx1"/>
                  </a:solidFill>
                  <a:latin typeface="+mn-lt"/>
                  <a:ea typeface="+mn-ea"/>
                  <a:cs typeface="+mn-cs"/>
                </a:defRPr>
              </a:pPr>
              <a:endParaRPr lang="es-CO"/>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solidFill>
                <a:latin typeface="+mn-lt"/>
                <a:ea typeface="+mn-ea"/>
                <a:cs typeface="+mn-cs"/>
              </a:defRPr>
            </a:pPr>
            <a:endParaRPr lang="es-CO"/>
          </a:p>
        </c:txPr>
        <c:crossAx val="1738727344"/>
        <c:crosses val="max"/>
        <c:crossBetween val="between"/>
      </c:valAx>
      <c:catAx>
        <c:axId val="1738727344"/>
        <c:scaling>
          <c:orientation val="minMax"/>
        </c:scaling>
        <c:delete val="1"/>
        <c:axPos val="b"/>
        <c:numFmt formatCode="General" sourceLinked="1"/>
        <c:majorTickMark val="none"/>
        <c:minorTickMark val="none"/>
        <c:tickLblPos val="nextTo"/>
        <c:crossAx val="173959966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solidFill>
              <a:latin typeface="+mn-lt"/>
              <a:ea typeface="+mn-ea"/>
              <a:cs typeface="+mn-cs"/>
            </a:defRPr>
          </a:pPr>
          <a:endParaRPr lang="es-CO"/>
        </a:p>
      </c:txPr>
    </c:legend>
    <c:plotVisOnly val="1"/>
    <c:dispBlanksAs val="gap"/>
    <c:showDLblsOverMax val="0"/>
  </c:chart>
  <c:spPr>
    <a:noFill/>
    <a:ln w="9525" cap="flat" cmpd="sng" algn="ctr">
      <a:noFill/>
      <a:round/>
    </a:ln>
    <a:effectLst/>
  </c:spPr>
  <c:txPr>
    <a:bodyPr/>
    <a:lstStyle/>
    <a:p>
      <a:pPr>
        <a:defRPr sz="600"/>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399D27B-5BED-42AA-AACE-931CBDC5D414}">
  <we:reference id="wa104382081" version="1.46.0.0" store="es-ES" storeType="OMEX"/>
  <we:alternateReferences>
    <we:reference id="WA104382081" version="1.46.0.0" store="es-E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7E392-EC5F-4539-A41F-31F2D648B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3985</Words>
  <Characters>21918</Characters>
  <Application>Microsoft Office Word</Application>
  <DocSecurity>0</DocSecurity>
  <Lines>182</Lines>
  <Paragraphs>51</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Eduardo SÁNCHEZ</cp:lastModifiedBy>
  <cp:revision>5</cp:revision>
  <cp:lastPrinted>2023-02-13T07:07:00Z</cp:lastPrinted>
  <dcterms:created xsi:type="dcterms:W3CDTF">2023-03-07T14:59:00Z</dcterms:created>
  <dcterms:modified xsi:type="dcterms:W3CDTF">2023-03-07T15:45:00Z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04c436793e8281476aae56ae1d4cafe5e27ad001695b285dd661fdfe445f8744</vt:lpwstr>
  </property>
</Properties>
</file>