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9D4B04E" w:rsidR="000A03B2" w:rsidRPr="00B57B36" w:rsidRDefault="00A76EFC" w:rsidP="00B57E6F">
            <w:pPr>
              <w:tabs>
                <w:tab w:val="left" w:pos="-108"/>
              </w:tabs>
              <w:ind w:left="-108"/>
              <w:rPr>
                <w:rFonts w:cs="Arial"/>
                <w:b/>
                <w:bCs/>
                <w:i/>
                <w:iCs/>
                <w:color w:val="000066"/>
                <w:sz w:val="22"/>
                <w:szCs w:val="22"/>
                <w:lang w:eastAsia="it-IT"/>
              </w:rPr>
            </w:pPr>
            <w:proofErr w:type="gramStart"/>
            <w:r w:rsidRPr="00B57B36">
              <w:rPr>
                <w:rFonts w:cs="Arial"/>
                <w:b/>
                <w:bCs/>
                <w:i/>
                <w:iCs/>
                <w:color w:val="000066"/>
                <w:sz w:val="22"/>
                <w:szCs w:val="22"/>
                <w:lang w:eastAsia="it-IT"/>
              </w:rPr>
              <w:t xml:space="preserve">VOL.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9C1EE0">
              <w:rPr>
                <w:rFonts w:cs="Arial"/>
                <w:b/>
                <w:bCs/>
                <w:i/>
                <w:iCs/>
                <w:color w:val="000066"/>
                <w:sz w:val="22"/>
                <w:szCs w:val="22"/>
                <w:lang w:eastAsia="it-IT"/>
              </w:rPr>
              <w:t>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722BA7"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A75FCA" w:rsidRDefault="000D0268" w:rsidP="00CD5FE2">
            <w:pPr>
              <w:spacing w:line="140" w:lineRule="atLeast"/>
              <w:jc w:val="right"/>
              <w:rPr>
                <w:rFonts w:cs="Arial"/>
                <w:sz w:val="13"/>
                <w:szCs w:val="13"/>
                <w:lang w:val="nb-NO"/>
              </w:rPr>
            </w:pPr>
            <w:r w:rsidRPr="00A75FCA">
              <w:rPr>
                <w:rFonts w:cs="Arial"/>
                <w:sz w:val="13"/>
                <w:szCs w:val="13"/>
                <w:lang w:val="nb-NO"/>
              </w:rPr>
              <w:t>Online at www.cetjournal.it</w:t>
            </w:r>
          </w:p>
        </w:tc>
      </w:tr>
      <w:tr w:rsidR="000A03B2" w:rsidRPr="00776F52" w14:paraId="2D1B7169" w14:textId="77777777" w:rsidTr="00DE264A">
        <w:trPr>
          <w:trHeight w:val="68"/>
          <w:jc w:val="center"/>
        </w:trPr>
        <w:tc>
          <w:tcPr>
            <w:tcW w:w="8789" w:type="dxa"/>
            <w:gridSpan w:val="2"/>
          </w:tcPr>
          <w:p w14:paraId="4B0BB442" w14:textId="0791161F" w:rsidR="00300E56" w:rsidRPr="00EF37BC" w:rsidRDefault="00300E56" w:rsidP="00B57E6F">
            <w:pPr>
              <w:ind w:left="-107"/>
              <w:outlineLvl w:val="2"/>
              <w:rPr>
                <w:rFonts w:ascii="Tahoma" w:hAnsi="Tahoma" w:cs="Tahoma"/>
                <w:bCs/>
                <w:color w:val="000000"/>
                <w:sz w:val="14"/>
                <w:szCs w:val="14"/>
                <w:lang w:val="nb-NO" w:eastAsia="it-IT"/>
              </w:rPr>
            </w:pPr>
            <w:proofErr w:type="spellStart"/>
            <w:r w:rsidRPr="00EF37BC">
              <w:rPr>
                <w:rFonts w:ascii="Tahoma" w:hAnsi="Tahoma" w:cs="Tahoma"/>
                <w:iCs/>
                <w:color w:val="333333"/>
                <w:sz w:val="14"/>
                <w:szCs w:val="14"/>
                <w:lang w:val="nb-NO" w:eastAsia="it-IT"/>
              </w:rPr>
              <w:t>Guest</w:t>
            </w:r>
            <w:proofErr w:type="spellEnd"/>
            <w:r w:rsidRPr="00EF37BC">
              <w:rPr>
                <w:rFonts w:ascii="Tahoma" w:hAnsi="Tahoma" w:cs="Tahoma"/>
                <w:iCs/>
                <w:color w:val="333333"/>
                <w:sz w:val="14"/>
                <w:szCs w:val="14"/>
                <w:lang w:val="nb-NO" w:eastAsia="it-IT"/>
              </w:rPr>
              <w:t xml:space="preserve"> Editors:</w:t>
            </w:r>
            <w:r w:rsidR="00904C62" w:rsidRPr="00EF37BC">
              <w:rPr>
                <w:rFonts w:ascii="Tahoma" w:hAnsi="Tahoma" w:cs="Tahoma"/>
                <w:iCs/>
                <w:color w:val="333333"/>
                <w:sz w:val="14"/>
                <w:szCs w:val="14"/>
                <w:lang w:val="nb-NO" w:eastAsia="it-IT"/>
              </w:rPr>
              <w:t xml:space="preserve"> </w:t>
            </w:r>
            <w:proofErr w:type="spellStart"/>
            <w:r w:rsidR="009C1EE0" w:rsidRPr="00EF37BC">
              <w:rPr>
                <w:rFonts w:ascii="Tahoma" w:hAnsi="Tahoma" w:cs="Tahoma"/>
                <w:iCs/>
                <w:color w:val="333333"/>
                <w:sz w:val="14"/>
                <w:szCs w:val="14"/>
                <w:lang w:val="nb-NO" w:eastAsia="it-IT"/>
              </w:rPr>
              <w:t>Sauro</w:t>
            </w:r>
            <w:proofErr w:type="spellEnd"/>
            <w:r w:rsidR="009C1EE0" w:rsidRPr="00EF37BC">
              <w:rPr>
                <w:rFonts w:ascii="Tahoma" w:hAnsi="Tahoma" w:cs="Tahoma"/>
                <w:iCs/>
                <w:color w:val="333333"/>
                <w:sz w:val="14"/>
                <w:szCs w:val="14"/>
                <w:lang w:val="nb-NO" w:eastAsia="it-IT"/>
              </w:rPr>
              <w:t xml:space="preserve"> </w:t>
            </w:r>
            <w:proofErr w:type="spellStart"/>
            <w:r w:rsidR="009C1EE0" w:rsidRPr="00EF37BC">
              <w:rPr>
                <w:rFonts w:ascii="Tahoma" w:hAnsi="Tahoma" w:cs="Tahoma"/>
                <w:iCs/>
                <w:color w:val="333333"/>
                <w:sz w:val="14"/>
                <w:szCs w:val="14"/>
                <w:lang w:val="nb-NO" w:eastAsia="it-IT"/>
              </w:rPr>
              <w:t>Pierucci</w:t>
            </w:r>
            <w:proofErr w:type="spellEnd"/>
            <w:r w:rsidR="009C1EE0" w:rsidRPr="00EF37BC">
              <w:rPr>
                <w:rFonts w:ascii="Tahoma" w:hAnsi="Tahoma" w:cs="Tahoma"/>
                <w:iCs/>
                <w:color w:val="333333"/>
                <w:sz w:val="14"/>
                <w:szCs w:val="14"/>
                <w:lang w:val="nb-NO" w:eastAsia="it-IT"/>
              </w:rPr>
              <w:t xml:space="preserve">, </w:t>
            </w:r>
            <w:proofErr w:type="spellStart"/>
            <w:r w:rsidR="009C1EE0" w:rsidRPr="00EF37BC">
              <w:rPr>
                <w:rFonts w:ascii="Tahoma" w:hAnsi="Tahoma" w:cs="Tahoma"/>
                <w:iCs/>
                <w:color w:val="333333"/>
                <w:sz w:val="14"/>
                <w:szCs w:val="14"/>
                <w:lang w:val="nb-NO" w:eastAsia="it-IT"/>
              </w:rPr>
              <w:t>Jiří</w:t>
            </w:r>
            <w:proofErr w:type="spellEnd"/>
            <w:r w:rsidR="009C1EE0" w:rsidRPr="00EF37BC">
              <w:rPr>
                <w:rFonts w:ascii="Tahoma" w:hAnsi="Tahoma" w:cs="Tahoma"/>
                <w:iCs/>
                <w:color w:val="333333"/>
                <w:sz w:val="14"/>
                <w:szCs w:val="14"/>
                <w:lang w:val="nb-NO" w:eastAsia="it-IT"/>
              </w:rPr>
              <w:t xml:space="preserve"> </w:t>
            </w:r>
            <w:proofErr w:type="spellStart"/>
            <w:r w:rsidR="009C1EE0" w:rsidRPr="00EF37BC">
              <w:rPr>
                <w:rFonts w:ascii="Tahoma" w:hAnsi="Tahoma" w:cs="Tahoma"/>
                <w:iCs/>
                <w:color w:val="333333"/>
                <w:sz w:val="14"/>
                <w:szCs w:val="14"/>
                <w:lang w:val="nb-NO" w:eastAsia="it-IT"/>
              </w:rPr>
              <w:t>Jaromír</w:t>
            </w:r>
            <w:proofErr w:type="spellEnd"/>
            <w:r w:rsidR="009C1EE0" w:rsidRPr="00EF37BC">
              <w:rPr>
                <w:rFonts w:ascii="Tahoma" w:hAnsi="Tahoma" w:cs="Tahoma"/>
                <w:iCs/>
                <w:color w:val="333333"/>
                <w:sz w:val="14"/>
                <w:szCs w:val="14"/>
                <w:lang w:val="nb-NO" w:eastAsia="it-IT"/>
              </w:rPr>
              <w:t xml:space="preserve"> </w:t>
            </w:r>
            <w:proofErr w:type="spellStart"/>
            <w:r w:rsidR="009C1EE0" w:rsidRPr="00EF37BC">
              <w:rPr>
                <w:rFonts w:ascii="Tahoma" w:hAnsi="Tahoma" w:cs="Tahoma"/>
                <w:iCs/>
                <w:color w:val="333333"/>
                <w:sz w:val="14"/>
                <w:szCs w:val="14"/>
                <w:lang w:val="nb-NO" w:eastAsia="it-IT"/>
              </w:rPr>
              <w:t>Klemeš</w:t>
            </w:r>
            <w:proofErr w:type="spellEnd"/>
          </w:p>
          <w:p w14:paraId="1B0F1814" w14:textId="6C8C1324" w:rsidR="000A03B2" w:rsidRPr="00513F6D" w:rsidRDefault="00FA5F5F" w:rsidP="00B57E6F">
            <w:pPr>
              <w:tabs>
                <w:tab w:val="left" w:pos="-108"/>
              </w:tabs>
              <w:spacing w:line="140" w:lineRule="atLeast"/>
              <w:ind w:left="-107"/>
              <w:jc w:val="left"/>
              <w:rPr>
                <w:lang w:val="en-US"/>
              </w:rPr>
            </w:pPr>
            <w:r w:rsidRPr="00513F6D">
              <w:rPr>
                <w:rFonts w:ascii="Tahoma" w:hAnsi="Tahoma" w:cs="Tahoma"/>
                <w:iCs/>
                <w:color w:val="333333"/>
                <w:sz w:val="14"/>
                <w:szCs w:val="14"/>
                <w:lang w:val="en-US" w:eastAsia="it-IT"/>
              </w:rPr>
              <w:t>Copyright © 20</w:t>
            </w:r>
            <w:r w:rsidR="00DF5072" w:rsidRPr="00513F6D">
              <w:rPr>
                <w:rFonts w:ascii="Tahoma" w:hAnsi="Tahoma" w:cs="Tahoma"/>
                <w:iCs/>
                <w:color w:val="333333"/>
                <w:sz w:val="14"/>
                <w:szCs w:val="14"/>
                <w:lang w:val="en-US" w:eastAsia="it-IT"/>
              </w:rPr>
              <w:t>2</w:t>
            </w:r>
            <w:r w:rsidR="009C1EE0" w:rsidRPr="00513F6D">
              <w:rPr>
                <w:rFonts w:ascii="Tahoma" w:hAnsi="Tahoma" w:cs="Tahoma"/>
                <w:iCs/>
                <w:color w:val="333333"/>
                <w:sz w:val="14"/>
                <w:szCs w:val="14"/>
                <w:lang w:val="en-US" w:eastAsia="it-IT"/>
              </w:rPr>
              <w:t>3</w:t>
            </w:r>
            <w:r w:rsidR="00904C62" w:rsidRPr="00513F6D">
              <w:rPr>
                <w:rFonts w:ascii="Tahoma" w:hAnsi="Tahoma" w:cs="Tahoma"/>
                <w:iCs/>
                <w:color w:val="333333"/>
                <w:sz w:val="14"/>
                <w:szCs w:val="14"/>
                <w:lang w:val="en-US" w:eastAsia="it-IT"/>
              </w:rPr>
              <w:t xml:space="preserve">, AIDIC </w:t>
            </w:r>
            <w:proofErr w:type="spellStart"/>
            <w:r w:rsidR="00904C62" w:rsidRPr="00513F6D">
              <w:rPr>
                <w:rFonts w:ascii="Tahoma" w:hAnsi="Tahoma" w:cs="Tahoma"/>
                <w:iCs/>
                <w:color w:val="333333"/>
                <w:sz w:val="14"/>
                <w:szCs w:val="14"/>
                <w:lang w:val="en-US" w:eastAsia="it-IT"/>
              </w:rPr>
              <w:t>Servizi</w:t>
            </w:r>
            <w:proofErr w:type="spellEnd"/>
            <w:r w:rsidR="00904C62" w:rsidRPr="00513F6D">
              <w:rPr>
                <w:rFonts w:ascii="Tahoma" w:hAnsi="Tahoma" w:cs="Tahoma"/>
                <w:iCs/>
                <w:color w:val="333333"/>
                <w:sz w:val="14"/>
                <w:szCs w:val="14"/>
                <w:lang w:val="en-US" w:eastAsia="it-IT"/>
              </w:rPr>
              <w:t xml:space="preserve"> </w:t>
            </w:r>
            <w:proofErr w:type="spellStart"/>
            <w:r w:rsidR="00904C62" w:rsidRPr="00513F6D">
              <w:rPr>
                <w:rFonts w:ascii="Tahoma" w:hAnsi="Tahoma" w:cs="Tahoma"/>
                <w:iCs/>
                <w:color w:val="333333"/>
                <w:sz w:val="14"/>
                <w:szCs w:val="14"/>
                <w:lang w:val="en-US" w:eastAsia="it-IT"/>
              </w:rPr>
              <w:t>S.r.l</w:t>
            </w:r>
            <w:proofErr w:type="spellEnd"/>
            <w:r w:rsidR="00904C62" w:rsidRPr="00513F6D">
              <w:rPr>
                <w:rFonts w:ascii="Tahoma" w:hAnsi="Tahoma" w:cs="Tahoma"/>
                <w:iCs/>
                <w:color w:val="333333"/>
                <w:sz w:val="14"/>
                <w:szCs w:val="14"/>
                <w:lang w:val="en-US" w:eastAsia="it-IT"/>
              </w:rPr>
              <w:t>.</w:t>
            </w:r>
            <w:r w:rsidR="00300E56" w:rsidRPr="00513F6D">
              <w:rPr>
                <w:rFonts w:ascii="Tahoma" w:hAnsi="Tahoma" w:cs="Tahoma"/>
                <w:iCs/>
                <w:color w:val="333333"/>
                <w:sz w:val="14"/>
                <w:szCs w:val="14"/>
                <w:lang w:val="en-US" w:eastAsia="it-IT"/>
              </w:rPr>
              <w:br/>
            </w:r>
            <w:r w:rsidR="00300E56" w:rsidRPr="00513F6D">
              <w:rPr>
                <w:rFonts w:ascii="Tahoma" w:hAnsi="Tahoma" w:cs="Tahoma"/>
                <w:b/>
                <w:iCs/>
                <w:color w:val="000000"/>
                <w:sz w:val="14"/>
                <w:szCs w:val="14"/>
                <w:lang w:val="en-US" w:eastAsia="it-IT"/>
              </w:rPr>
              <w:t>ISBN</w:t>
            </w:r>
            <w:r w:rsidR="00300E56" w:rsidRPr="00513F6D">
              <w:rPr>
                <w:rFonts w:ascii="Tahoma" w:hAnsi="Tahoma" w:cs="Tahoma"/>
                <w:iCs/>
                <w:color w:val="000000"/>
                <w:sz w:val="14"/>
                <w:szCs w:val="14"/>
                <w:lang w:val="en-US" w:eastAsia="it-IT"/>
              </w:rPr>
              <w:t xml:space="preserve"> </w:t>
            </w:r>
            <w:r w:rsidR="008D32B9" w:rsidRPr="00513F6D">
              <w:rPr>
                <w:rFonts w:ascii="Tahoma" w:hAnsi="Tahoma" w:cs="Tahoma"/>
                <w:sz w:val="14"/>
                <w:szCs w:val="14"/>
                <w:lang w:val="en-US"/>
              </w:rPr>
              <w:t>978-88-95608</w:t>
            </w:r>
            <w:r w:rsidR="00D46B7E" w:rsidRPr="00513F6D">
              <w:rPr>
                <w:rFonts w:ascii="Tahoma" w:hAnsi="Tahoma" w:cs="Tahoma"/>
                <w:sz w:val="14"/>
                <w:szCs w:val="14"/>
                <w:lang w:val="en-US"/>
              </w:rPr>
              <w:t>-</w:t>
            </w:r>
            <w:r w:rsidR="009C1EE0" w:rsidRPr="00513F6D">
              <w:rPr>
                <w:rFonts w:ascii="Tahoma" w:hAnsi="Tahoma" w:cs="Tahoma"/>
                <w:sz w:val="14"/>
                <w:szCs w:val="14"/>
                <w:lang w:val="en-US"/>
              </w:rPr>
              <w:t>98</w:t>
            </w:r>
            <w:r w:rsidR="00D46B7E" w:rsidRPr="00513F6D">
              <w:rPr>
                <w:rFonts w:ascii="Tahoma" w:hAnsi="Tahoma" w:cs="Tahoma"/>
                <w:sz w:val="14"/>
                <w:szCs w:val="14"/>
                <w:lang w:val="en-US"/>
              </w:rPr>
              <w:t>-</w:t>
            </w:r>
            <w:r w:rsidR="009C1EE0" w:rsidRPr="00513F6D">
              <w:rPr>
                <w:rFonts w:ascii="Tahoma" w:hAnsi="Tahoma" w:cs="Tahoma"/>
                <w:sz w:val="14"/>
                <w:szCs w:val="14"/>
                <w:lang w:val="en-US"/>
              </w:rPr>
              <w:t>3</w:t>
            </w:r>
            <w:r w:rsidR="007B48F9" w:rsidRPr="00513F6D">
              <w:rPr>
                <w:rFonts w:ascii="Tahoma" w:hAnsi="Tahoma" w:cs="Tahoma"/>
                <w:iCs/>
                <w:color w:val="333333"/>
                <w:sz w:val="14"/>
                <w:szCs w:val="14"/>
                <w:lang w:val="en-US" w:eastAsia="it-IT"/>
              </w:rPr>
              <w:t>;</w:t>
            </w:r>
            <w:r w:rsidR="00300E56" w:rsidRPr="00513F6D">
              <w:rPr>
                <w:rFonts w:ascii="Tahoma" w:hAnsi="Tahoma" w:cs="Tahoma"/>
                <w:iCs/>
                <w:color w:val="333333"/>
                <w:sz w:val="14"/>
                <w:szCs w:val="14"/>
                <w:lang w:val="en-US" w:eastAsia="it-IT"/>
              </w:rPr>
              <w:t xml:space="preserve"> </w:t>
            </w:r>
            <w:r w:rsidR="00300E56" w:rsidRPr="00513F6D">
              <w:rPr>
                <w:rFonts w:ascii="Tahoma" w:hAnsi="Tahoma" w:cs="Tahoma"/>
                <w:b/>
                <w:iCs/>
                <w:color w:val="333333"/>
                <w:sz w:val="14"/>
                <w:szCs w:val="14"/>
                <w:lang w:val="en-US" w:eastAsia="it-IT"/>
              </w:rPr>
              <w:t>ISSN</w:t>
            </w:r>
            <w:r w:rsidR="00300E56" w:rsidRPr="00513F6D">
              <w:rPr>
                <w:rFonts w:ascii="Tahoma" w:hAnsi="Tahoma" w:cs="Tahoma"/>
                <w:iCs/>
                <w:color w:val="333333"/>
                <w:sz w:val="14"/>
                <w:szCs w:val="14"/>
                <w:lang w:val="en-US" w:eastAsia="it-IT"/>
              </w:rPr>
              <w:t xml:space="preserve"> 2283-9216</w:t>
            </w:r>
          </w:p>
        </w:tc>
      </w:tr>
    </w:tbl>
    <w:p w14:paraId="10DAA130" w14:textId="77777777" w:rsidR="000A03B2" w:rsidRPr="00513F6D" w:rsidRDefault="000A03B2" w:rsidP="000A03B2">
      <w:pPr>
        <w:pStyle w:val="CETAuthors"/>
        <w:rPr>
          <w:lang w:val="en-US"/>
        </w:rPr>
        <w:sectPr w:rsidR="000A03B2" w:rsidRPr="00513F6D" w:rsidSect="00CD5FE2">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701" w:right="1418" w:bottom="1701" w:left="1701" w:header="1701" w:footer="0" w:gutter="0"/>
          <w:cols w:space="708"/>
          <w:titlePg/>
          <w:docGrid w:linePitch="360"/>
        </w:sectPr>
      </w:pPr>
    </w:p>
    <w:p w14:paraId="2E667253" w14:textId="719CA243" w:rsidR="00E978D0" w:rsidRPr="00756FDF" w:rsidRDefault="000B3B7A" w:rsidP="00E978D0">
      <w:pPr>
        <w:pStyle w:val="CETTitle"/>
        <w:rPr>
          <w:lang w:val="en-US"/>
        </w:rPr>
      </w:pPr>
      <w:r>
        <w:t xml:space="preserve">Toward Risk-based Inspection of Hydrogen Technologies: </w:t>
      </w:r>
      <w:r w:rsidR="00756FDF" w:rsidRPr="00756FDF">
        <w:rPr>
          <w:lang w:val="en-US"/>
        </w:rPr>
        <w:t xml:space="preserve">A </w:t>
      </w:r>
      <w:r w:rsidR="00F23E6E">
        <w:rPr>
          <w:lang w:val="en-US"/>
        </w:rPr>
        <w:t xml:space="preserve">Methodology for the Calculation of the Damage Factor </w:t>
      </w:r>
      <w:r w:rsidR="004B6CF4">
        <w:rPr>
          <w:lang w:val="en-US"/>
        </w:rPr>
        <w:t>for</w:t>
      </w:r>
      <w:r w:rsidR="00F23E6E">
        <w:rPr>
          <w:lang w:val="en-US"/>
        </w:rPr>
        <w:t xml:space="preserve"> Hydrogen Embrittlement</w:t>
      </w:r>
    </w:p>
    <w:p w14:paraId="0488FED2" w14:textId="53F1ED2A" w:rsidR="00B57E6F" w:rsidRPr="00766C14" w:rsidRDefault="00766C14" w:rsidP="00B57E6F">
      <w:pPr>
        <w:pStyle w:val="CETAuthors"/>
        <w:rPr>
          <w:lang w:val="it-IT"/>
        </w:rPr>
      </w:pPr>
      <w:r w:rsidRPr="00766C14">
        <w:rPr>
          <w:lang w:val="it-IT"/>
        </w:rPr>
        <w:t>Alessandro Campari</w:t>
      </w:r>
      <w:r w:rsidR="00B57E6F" w:rsidRPr="00766C14">
        <w:rPr>
          <w:vertAlign w:val="superscript"/>
          <w:lang w:val="it-IT"/>
        </w:rPr>
        <w:t>a</w:t>
      </w:r>
      <w:r w:rsidR="00756FDF">
        <w:rPr>
          <w:vertAlign w:val="superscript"/>
          <w:lang w:val="it-IT"/>
        </w:rPr>
        <w:t>,</w:t>
      </w:r>
      <w:r w:rsidR="00756FDF" w:rsidRPr="00756FDF">
        <w:rPr>
          <w:lang w:val="it-IT"/>
        </w:rPr>
        <w:t>*</w:t>
      </w:r>
      <w:r w:rsidR="00B57E6F" w:rsidRPr="00766C14">
        <w:rPr>
          <w:lang w:val="it-IT"/>
        </w:rPr>
        <w:t xml:space="preserve">, </w:t>
      </w:r>
      <w:r w:rsidR="00820970">
        <w:rPr>
          <w:lang w:val="it-IT"/>
        </w:rPr>
        <w:t>Antonio Alvaro</w:t>
      </w:r>
      <w:r w:rsidR="00820970">
        <w:rPr>
          <w:vertAlign w:val="superscript"/>
          <w:lang w:val="it-IT"/>
        </w:rPr>
        <w:t>b</w:t>
      </w:r>
      <w:r w:rsidR="00820970">
        <w:rPr>
          <w:lang w:val="it-IT"/>
        </w:rPr>
        <w:t xml:space="preserve">, </w:t>
      </w:r>
      <w:r w:rsidR="00A81352">
        <w:rPr>
          <w:lang w:val="it-IT"/>
        </w:rPr>
        <w:t>Federico Ustolin</w:t>
      </w:r>
      <w:r w:rsidR="00A81352">
        <w:rPr>
          <w:vertAlign w:val="superscript"/>
          <w:lang w:val="it-IT"/>
        </w:rPr>
        <w:t>a</w:t>
      </w:r>
      <w:r w:rsidR="00A81352">
        <w:rPr>
          <w:lang w:val="it-IT"/>
        </w:rPr>
        <w:t xml:space="preserve">, </w:t>
      </w:r>
      <w:r>
        <w:rPr>
          <w:lang w:val="it-IT"/>
        </w:rPr>
        <w:t>Nicola Paltrinieri</w:t>
      </w:r>
      <w:r>
        <w:rPr>
          <w:vertAlign w:val="superscript"/>
          <w:lang w:val="it-IT"/>
        </w:rPr>
        <w:t>a</w:t>
      </w:r>
    </w:p>
    <w:p w14:paraId="7C2EC7F9" w14:textId="77777777" w:rsidR="00766C14" w:rsidRPr="00B57B36" w:rsidRDefault="00766C14" w:rsidP="00766C14">
      <w:pPr>
        <w:pStyle w:val="CETAddress"/>
      </w:pPr>
      <w:r w:rsidRPr="00B57B36">
        <w:rPr>
          <w:vertAlign w:val="superscript"/>
        </w:rPr>
        <w:t>a</w:t>
      </w:r>
      <w:r w:rsidRPr="00747E02">
        <w:t xml:space="preserve"> </w:t>
      </w:r>
      <w:r w:rsidRPr="009525D8">
        <w:t>Department of Mechanical and Industrial Engineering, NTNU, Trondheim, Norway</w:t>
      </w:r>
    </w:p>
    <w:p w14:paraId="29BA9A2A" w14:textId="59FD1AFA" w:rsidR="00766C14" w:rsidRPr="00820970" w:rsidRDefault="00766C14" w:rsidP="00766C14">
      <w:pPr>
        <w:pStyle w:val="CETAddress"/>
        <w:spacing w:line="264" w:lineRule="auto"/>
        <w:rPr>
          <w:lang w:val="en-US"/>
        </w:rPr>
      </w:pPr>
      <w:r w:rsidRPr="00820970">
        <w:rPr>
          <w:vertAlign w:val="superscript"/>
          <w:lang w:val="en-US"/>
        </w:rPr>
        <w:t>b</w:t>
      </w:r>
      <w:r w:rsidRPr="00820970">
        <w:rPr>
          <w:lang w:val="en-US"/>
        </w:rPr>
        <w:t xml:space="preserve"> </w:t>
      </w:r>
      <w:r w:rsidR="00756FDF" w:rsidRPr="00820970">
        <w:rPr>
          <w:lang w:val="en-US"/>
        </w:rPr>
        <w:t>SINTEF Industry, SINTEF, Trondheim, Norway</w:t>
      </w:r>
    </w:p>
    <w:p w14:paraId="76B8F6BA" w14:textId="6C0FE679" w:rsidR="00766C14" w:rsidRPr="00A26F5D" w:rsidRDefault="00766C14" w:rsidP="00766C14">
      <w:pPr>
        <w:pStyle w:val="CETemail"/>
      </w:pPr>
      <w:r w:rsidRPr="00820970">
        <w:rPr>
          <w:lang w:val="en-US"/>
        </w:rPr>
        <w:t xml:space="preserve"> </w:t>
      </w:r>
      <w:r w:rsidR="00756FDF" w:rsidRPr="00820970">
        <w:rPr>
          <w:lang w:val="en-US"/>
        </w:rPr>
        <w:t>alessandro.campari@ntnu.no</w:t>
      </w:r>
    </w:p>
    <w:p w14:paraId="6893AF25" w14:textId="2D1C278B" w:rsidR="00600535" w:rsidRPr="00B57B36" w:rsidRDefault="00CB5BAE" w:rsidP="00600535">
      <w:pPr>
        <w:pStyle w:val="CETBodytext"/>
        <w:rPr>
          <w:lang w:val="en-GB"/>
        </w:rPr>
      </w:pPr>
      <w:r w:rsidRPr="00CB5BAE">
        <w:rPr>
          <w:lang w:val="en-GB"/>
        </w:rPr>
        <w:t>Hydrogen is considered a promising energy carrier to achieve the ambitious target of a zero-emission society in the forthcoming years. Despite its environmental advantages, hydrogen-induced material damages represent a serious safety concern. Hence, inspection and maintenance activities must be performed to guarantee the equipment's integrity. The risk-based inspection (RBI) is the most beneficial methodology for inspection planning but has never been adopted for components operating in hydrogen environments. The probability of failure of each piece of equipment is quantified through the definition of the damage factor, a parameter that accounts for the damage mechanism likely to occur. Hydrogen embrittlement (HE) is the main active degrading mechanism in equipment exposed to hydrogenated environments; if not appropriately accounted for, it can cause failures at unexpectedly low stress levels. This study aims to bridge a gap in knowledge by proposing a qualitative methodology to assess the degradation of equipment operating in hydrogenated environments and potentially subjected to HE. The environmental severity is estimated based on the operating conditions, while the material’s susceptibility depends on microstructure, strength, and adoption of post-weld heat treatments. This study could set the basis for the application of the RBI methodology to industrial equipment for producing, handling, and storing hydrogen. Hence, it will facilitate the inspection and maintenance of emerging hydrogen technologies</w:t>
      </w:r>
      <w:r w:rsidR="000B2DA3">
        <w:rPr>
          <w:lang w:val="en-GB"/>
        </w:rPr>
        <w:t>.</w:t>
      </w:r>
    </w:p>
    <w:p w14:paraId="476B2F2E" w14:textId="67F22F9A" w:rsidR="00600535" w:rsidRDefault="00600535" w:rsidP="00600535">
      <w:pPr>
        <w:pStyle w:val="CETHeading1"/>
        <w:rPr>
          <w:lang w:val="en-GB"/>
        </w:rPr>
      </w:pPr>
      <w:r w:rsidRPr="00B57B36">
        <w:rPr>
          <w:lang w:val="en-GB"/>
        </w:rPr>
        <w:t>Introduction</w:t>
      </w:r>
    </w:p>
    <w:p w14:paraId="0FF5A267" w14:textId="59D9D0E6" w:rsidR="00EB63D5" w:rsidRPr="00BB236B" w:rsidRDefault="00F0377A" w:rsidP="00A30BD0">
      <w:pPr>
        <w:pStyle w:val="CETBodytext"/>
      </w:pPr>
      <w:r w:rsidRPr="00BB236B">
        <w:t xml:space="preserve">The rising demand for clean and affordable energy sources and the necessity for countries to be energetically self-sufficient are stimulating the research of sustainable energy carriers. The European Commission indicated hydrogen as a promising solution to reduce greenhouse gas emissions in power production, transportation, and several industrial sectors (Campari et al., 2022a). Despite the considerable environmental advantages, safety aspects represent </w:t>
      </w:r>
      <w:r w:rsidR="009E3C71">
        <w:t xml:space="preserve">one of </w:t>
      </w:r>
      <w:r w:rsidRPr="00BB236B">
        <w:t>the bottleneck</w:t>
      </w:r>
      <w:r w:rsidR="009E3C71">
        <w:t>s</w:t>
      </w:r>
      <w:r w:rsidRPr="00BB236B">
        <w:t xml:space="preserve"> for a broad-based rollout of this energy carrier. Hydrogen’s capability of permeating and embrittling most metallic materials makes its transportation and storage challenging. Hydrogen embrittlement is a long-known</w:t>
      </w:r>
      <w:r w:rsidR="00213FC0" w:rsidRPr="00BB236B">
        <w:t xml:space="preserve"> material degradation</w:t>
      </w:r>
      <w:r w:rsidRPr="00BB236B">
        <w:t xml:space="preserve"> phenomenon; nevertheless, it is still responsible for several component failures and subsequent hazardous releases in the </w:t>
      </w:r>
      <w:r w:rsidR="00266E5B" w:rsidRPr="00BB236B">
        <w:t>environment</w:t>
      </w:r>
      <w:r w:rsidRPr="00BB236B">
        <w:t xml:space="preserve"> (Campari et al., 2023). Approximately 99% of equipment breakdowns are preceded by signs that a failure will occur; hence, efficient inspection and maintenance activities could timely detect these failure precursors and prevent undesired hydrogen releases.</w:t>
      </w:r>
      <w:r w:rsidR="00513F6D" w:rsidRPr="00BB236B">
        <w:t xml:space="preserve"> </w:t>
      </w:r>
      <w:r w:rsidR="00B718A7" w:rsidRPr="00BB236B">
        <w:t xml:space="preserve"> </w:t>
      </w:r>
      <w:r w:rsidR="00513F6D" w:rsidRPr="00BB236B">
        <w:t xml:space="preserve">In </w:t>
      </w:r>
      <w:r w:rsidR="00B718A7" w:rsidRPr="00BB236B">
        <w:t>the case of hydrogen embrittlement</w:t>
      </w:r>
      <w:r w:rsidR="006115B6">
        <w:t>-</w:t>
      </w:r>
      <w:r w:rsidR="00B718A7" w:rsidRPr="00BB236B">
        <w:t xml:space="preserve">related failure, </w:t>
      </w:r>
      <w:r w:rsidR="00847DF8" w:rsidRPr="00BB236B">
        <w:t>such precursor</w:t>
      </w:r>
      <w:r w:rsidR="00A17DD8">
        <w:t>s</w:t>
      </w:r>
      <w:r w:rsidR="00847DF8" w:rsidRPr="00BB236B">
        <w:t xml:space="preserve"> may be strongly reduced </w:t>
      </w:r>
      <w:r w:rsidR="007B1E0B">
        <w:t>or</w:t>
      </w:r>
      <w:r w:rsidR="00847DF8" w:rsidRPr="00BB236B">
        <w:t xml:space="preserve"> even absent. Therefore, </w:t>
      </w:r>
      <w:r w:rsidRPr="00BB236B">
        <w:t xml:space="preserve">effective inspection planning </w:t>
      </w:r>
      <w:r w:rsidR="008D3BA3" w:rsidRPr="00BB236B">
        <w:t>is</w:t>
      </w:r>
      <w:r w:rsidR="004A2CAE" w:rsidRPr="00BB236B">
        <w:t>, if possible, even more critical</w:t>
      </w:r>
      <w:r w:rsidR="00DB7B36" w:rsidRPr="00BB236B">
        <w:t xml:space="preserve"> to </w:t>
      </w:r>
      <w:r w:rsidRPr="00BB236B">
        <w:t>reduce the inspection frequency and complexity, while guaranteeing the utilization of facilities and equipment under safe conditions</w:t>
      </w:r>
      <w:r w:rsidR="00F35EC0">
        <w:t xml:space="preserve"> (</w:t>
      </w:r>
      <w:proofErr w:type="spellStart"/>
      <w:r w:rsidR="00F35EC0">
        <w:t>Defteraios</w:t>
      </w:r>
      <w:proofErr w:type="spellEnd"/>
      <w:r w:rsidR="00F35EC0">
        <w:t xml:space="preserve"> et al., 2020)</w:t>
      </w:r>
      <w:r w:rsidRPr="00BB236B">
        <w:t xml:space="preserve">. </w:t>
      </w:r>
      <w:r w:rsidR="001E5224">
        <w:t>R</w:t>
      </w:r>
      <w:r w:rsidRPr="00BB236B">
        <w:t xml:space="preserve">isk-based inspection methodology can be used to identify critical components and prioritize their inspection to mitigate the overall risk of the plant. RBI has been largely adopted in the chemical and petrochemical industries with satisfactory results. Despite this, the </w:t>
      </w:r>
      <w:r w:rsidR="00AD1F09" w:rsidRPr="00BB236B">
        <w:t xml:space="preserve">current definitions in the </w:t>
      </w:r>
      <w:r w:rsidRPr="00BB236B">
        <w:t xml:space="preserve">existing RBI standards and recommended practices are not suitable for hydrogen technologies, and this is reflected by the absence of specific guidelines for the </w:t>
      </w:r>
      <w:r w:rsidR="00E77C3C" w:rsidRPr="00BB236B">
        <w:t>evaluation of</w:t>
      </w:r>
      <w:r w:rsidRPr="00BB236B">
        <w:t xml:space="preserve"> hydrogen embrittlement (Campari et al., </w:t>
      </w:r>
      <w:r w:rsidRPr="00BB236B">
        <w:lastRenderedPageBreak/>
        <w:t xml:space="preserve">2022b). This study aims to bridge this gap in knowledge by developing a </w:t>
      </w:r>
      <w:r w:rsidR="00E77C3C" w:rsidRPr="00BB236B">
        <w:t>qualitative</w:t>
      </w:r>
      <w:r w:rsidRPr="00BB236B">
        <w:t xml:space="preserve"> methodology to assess the degradation of components operating in a pure hydrogen environment</w:t>
      </w:r>
      <w:r w:rsidR="00E77C3C" w:rsidRPr="00BB236B">
        <w:t>,</w:t>
      </w:r>
      <w:r w:rsidRPr="00BB236B">
        <w:t xml:space="preserve"> thus potentially subjected to HE. The</w:t>
      </w:r>
      <w:r w:rsidR="00E77C3C" w:rsidRPr="00BB236B">
        <w:t xml:space="preserve"> final</w:t>
      </w:r>
      <w:r w:rsidRPr="00BB236B">
        <w:t xml:space="preserve"> purpose is the application of the RBI methodology to industrial equipment for hydrogen production, handling, and storage to facilitate their utilization on an increasingly large scale</w:t>
      </w:r>
      <w:r w:rsidR="00180DAA" w:rsidRPr="00BB236B">
        <w:t>.</w:t>
      </w:r>
    </w:p>
    <w:p w14:paraId="5741900F" w14:textId="5BD1848B" w:rsidR="00453E24" w:rsidRDefault="00AA6FE7" w:rsidP="00453E24">
      <w:pPr>
        <w:pStyle w:val="CETHeading1"/>
      </w:pPr>
      <w:r>
        <w:t>Risk-based inspection methodology</w:t>
      </w:r>
    </w:p>
    <w:p w14:paraId="37CD4E86" w14:textId="5BA8543F" w:rsidR="00526F02" w:rsidRPr="00BB236B" w:rsidRDefault="00F903D3" w:rsidP="0008534C">
      <w:pPr>
        <w:pStyle w:val="CETBodytext"/>
      </w:pPr>
      <w:r w:rsidRPr="00BB236B">
        <w:t xml:space="preserve">Inspection activities are a fundamental part of predictive maintenance. The inspection does not reduce the risk of failure </w:t>
      </w:r>
      <w:r w:rsidR="00AF010E" w:rsidRPr="00BB236B">
        <w:t xml:space="preserve">by itself </w:t>
      </w:r>
      <w:r w:rsidRPr="00BB236B">
        <w:t>but allows</w:t>
      </w:r>
      <w:r w:rsidR="0047395C" w:rsidRPr="00BB236B">
        <w:t xml:space="preserve"> the</w:t>
      </w:r>
      <w:r w:rsidRPr="00BB236B">
        <w:t xml:space="preserve"> monitoring </w:t>
      </w:r>
      <w:r w:rsidR="005C7068" w:rsidRPr="00BB236B">
        <w:t xml:space="preserve">of </w:t>
      </w:r>
      <w:r w:rsidRPr="00BB236B">
        <w:t xml:space="preserve">the equipment degradation level and </w:t>
      </w:r>
      <w:r w:rsidR="00161B18" w:rsidRPr="00BB236B">
        <w:t>indicate</w:t>
      </w:r>
      <w:r w:rsidR="00EE5127">
        <w:t>s</w:t>
      </w:r>
      <w:r w:rsidRPr="00BB236B">
        <w:t xml:space="preserve"> when it will reach a critical point</w:t>
      </w:r>
      <w:r w:rsidR="00190EEE" w:rsidRPr="00BB236B">
        <w:t xml:space="preserve">, making possible </w:t>
      </w:r>
      <w:r w:rsidR="00934F9F" w:rsidRPr="00BB236B">
        <w:t xml:space="preserve">intervention before </w:t>
      </w:r>
      <w:r w:rsidR="00E430BD" w:rsidRPr="00BB236B">
        <w:t xml:space="preserve">the </w:t>
      </w:r>
      <w:r w:rsidRPr="00BB236B">
        <w:t>predicted failure date. Risk-based inspection is an inspection planning methodology developed by the American Petroleum Institute (API) which assumes that most of the total risk</w:t>
      </w:r>
      <w:r w:rsidR="00975117" w:rsidRPr="00BB236B">
        <w:t xml:space="preserve"> in a plant</w:t>
      </w:r>
      <w:r w:rsidRPr="00BB236B">
        <w:t xml:space="preserve"> is associated with a small number of components (API, 2016)</w:t>
      </w:r>
      <w:r w:rsidR="008D4865" w:rsidRPr="00BB236B">
        <w:t>.</w:t>
      </w:r>
      <w:r w:rsidR="00C072C9" w:rsidRPr="00BB236B">
        <w:t xml:space="preserve"> Hence, the risk management effort focuses on these high-risk items, prioritizing their inspection to guarantee the major benefits and reduce the overall risk. The risk combines the probability of failure (</w:t>
      </w: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f</m:t>
            </m:r>
          </m:sub>
        </m:sSub>
      </m:oMath>
      <w:r w:rsidR="00C072C9" w:rsidRPr="00BB236B">
        <w:t>) with its consequences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f</m:t>
            </m:r>
          </m:sub>
        </m:sSub>
      </m:oMath>
      <w:r w:rsidR="00C072C9" w:rsidRPr="00BB236B">
        <w:t>):</w:t>
      </w:r>
    </w:p>
    <w:tbl>
      <w:tblPr>
        <w:tblW w:w="5000" w:type="pct"/>
        <w:tblLook w:val="04A0" w:firstRow="1" w:lastRow="0" w:firstColumn="1" w:lastColumn="0" w:noHBand="0" w:noVBand="1"/>
      </w:tblPr>
      <w:tblGrid>
        <w:gridCol w:w="7993"/>
        <w:gridCol w:w="794"/>
      </w:tblGrid>
      <w:tr w:rsidR="00C072C9" w:rsidRPr="00BB236B" w14:paraId="68A89324" w14:textId="77777777" w:rsidTr="00DE5189">
        <w:tc>
          <w:tcPr>
            <w:tcW w:w="7993" w:type="dxa"/>
            <w:shd w:val="clear" w:color="auto" w:fill="auto"/>
            <w:vAlign w:val="center"/>
          </w:tcPr>
          <w:p w14:paraId="3EC851C6" w14:textId="149A793B" w:rsidR="00C072C9" w:rsidRPr="00BB236B" w:rsidRDefault="00000000" w:rsidP="00DE5189">
            <w:pPr>
              <w:pStyle w:val="CETEquation"/>
            </w:pPr>
            <m:oMathPara>
              <m:oMathParaPr>
                <m:jc m:val="left"/>
              </m:oMathParaP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f</m:t>
                    </m:r>
                  </m:sub>
                </m:sSub>
                <m:d>
                  <m:dPr>
                    <m:ctrlPr>
                      <w:rPr>
                        <w:rFonts w:ascii="Cambria Math" w:hAnsi="Cambria Math"/>
                      </w:rPr>
                    </m:ctrlPr>
                  </m:dPr>
                  <m:e>
                    <m:r>
                      <m:rPr>
                        <m:sty m:val="p"/>
                      </m:rPr>
                      <w:rPr>
                        <w:rFonts w:ascii="Cambria Math" w:hAnsi="Cambria Math"/>
                      </w:rPr>
                      <m:t>t,</m:t>
                    </m:r>
                    <m:sSub>
                      <m:sSubPr>
                        <m:ctrlPr>
                          <w:rPr>
                            <w:rFonts w:ascii="Cambria Math" w:hAnsi="Cambria Math"/>
                          </w:rPr>
                        </m:ctrlPr>
                      </m:sSubPr>
                      <m:e>
                        <m:r>
                          <m:rPr>
                            <m:sty m:val="p"/>
                          </m:rPr>
                          <w:rPr>
                            <w:rFonts w:ascii="Cambria Math" w:hAnsi="Cambria Math"/>
                          </w:rPr>
                          <m:t>I</m:t>
                        </m:r>
                      </m:e>
                      <m:sub>
                        <m:r>
                          <m:rPr>
                            <m:sty m:val="p"/>
                          </m:rPr>
                          <w:rPr>
                            <w:rFonts w:ascii="Cambria Math" w:hAnsi="Cambria Math"/>
                          </w:rPr>
                          <m:t>E</m:t>
                        </m:r>
                      </m:sub>
                    </m:sSub>
                  </m:e>
                </m:d>
                <m:r>
                  <m:rPr>
                    <m:sty m:val="p"/>
                  </m:rPr>
                  <w:rPr>
                    <w:rFonts w:ascii="Cambria Math" w:hAnsi="Cambria Math"/>
                  </w:rPr>
                  <m:t>=</m:t>
                </m:r>
                <w:bookmarkStart w:id="0" w:name="_Hlk114669712"/>
                <m:sSub>
                  <m:sSubPr>
                    <m:ctrlPr>
                      <w:rPr>
                        <w:rFonts w:ascii="Cambria Math" w:hAnsi="Cambria Math"/>
                      </w:rPr>
                    </m:ctrlPr>
                  </m:sSubPr>
                  <m:e>
                    <m:r>
                      <m:rPr>
                        <m:sty m:val="p"/>
                      </m:rPr>
                      <w:rPr>
                        <w:rFonts w:ascii="Cambria Math" w:hAnsi="Cambria Math"/>
                      </w:rPr>
                      <m:t>P</m:t>
                    </m:r>
                  </m:e>
                  <m:sub>
                    <m:r>
                      <m:rPr>
                        <m:sty m:val="p"/>
                      </m:rPr>
                      <w:rPr>
                        <w:rFonts w:ascii="Cambria Math" w:hAnsi="Cambria Math"/>
                      </w:rPr>
                      <m:t>f</m:t>
                    </m:r>
                  </m:sub>
                </m:sSub>
                <w:bookmarkEnd w:id="0"/>
                <m:r>
                  <m:rPr>
                    <m:sty m:val="p"/>
                  </m:rPr>
                  <w:rPr>
                    <w:rFonts w:ascii="Cambria Math" w:hAnsi="Cambria Math"/>
                  </w:rPr>
                  <m:t>(t,</m:t>
                </m:r>
                <m:sSub>
                  <m:sSubPr>
                    <m:ctrlPr>
                      <w:rPr>
                        <w:rFonts w:ascii="Cambria Math" w:hAnsi="Cambria Math"/>
                      </w:rPr>
                    </m:ctrlPr>
                  </m:sSubPr>
                  <m:e>
                    <m:r>
                      <m:rPr>
                        <m:sty m:val="p"/>
                      </m:rPr>
                      <w:rPr>
                        <w:rFonts w:ascii="Cambria Math" w:hAnsi="Cambria Math"/>
                      </w:rPr>
                      <m:t>I</m:t>
                    </m:r>
                  </m:e>
                  <m:sub>
                    <m:r>
                      <m:rPr>
                        <m:sty m:val="p"/>
                      </m:rPr>
                      <w:rPr>
                        <w:rFonts w:ascii="Cambria Math" w:hAnsi="Cambria Math"/>
                      </w:rPr>
                      <m:t>E</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f</m:t>
                    </m:r>
                  </m:sub>
                </m:sSub>
              </m:oMath>
            </m:oMathPara>
          </w:p>
        </w:tc>
        <w:tc>
          <w:tcPr>
            <w:tcW w:w="794" w:type="dxa"/>
            <w:shd w:val="clear" w:color="auto" w:fill="auto"/>
            <w:vAlign w:val="center"/>
          </w:tcPr>
          <w:p w14:paraId="25F5FAF0" w14:textId="77777777" w:rsidR="00C072C9" w:rsidRPr="00BB236B" w:rsidRDefault="00C072C9" w:rsidP="00DE5189">
            <w:pPr>
              <w:pStyle w:val="CETEquation"/>
              <w:jc w:val="right"/>
            </w:pPr>
            <w:r w:rsidRPr="00BB236B">
              <w:t>(1)</w:t>
            </w:r>
          </w:p>
        </w:tc>
      </w:tr>
    </w:tbl>
    <w:p w14:paraId="2F28F25E" w14:textId="3A1B7275" w:rsidR="004F1474" w:rsidRPr="00BB236B" w:rsidRDefault="004F1474" w:rsidP="004F1474">
      <w:pPr>
        <w:pStyle w:val="CETBodytext"/>
      </w:pPr>
      <w:r w:rsidRPr="00BB236B">
        <w:t>The probability of failure is calculated as the product of a generic failure frequency (</w:t>
      </w:r>
      <m:oMath>
        <m:r>
          <m:rPr>
            <m:sty m:val="p"/>
          </m:rPr>
          <w:rPr>
            <w:rFonts w:ascii="Cambria Math" w:hAnsi="Cambria Math"/>
          </w:rPr>
          <m:t>gff</m:t>
        </m:r>
      </m:oMath>
      <w:r w:rsidRPr="00BB236B">
        <w:t>)</w:t>
      </w:r>
      <w:r w:rsidR="00975117" w:rsidRPr="00BB236B">
        <w:t>,</w:t>
      </w:r>
      <w:r w:rsidRPr="00BB236B">
        <w:t xml:space="preserve"> a damage factor (</w:t>
      </w: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f</m:t>
            </m:r>
          </m:sub>
        </m:sSub>
      </m:oMath>
      <w:r w:rsidRPr="00BB236B">
        <w:t>), and a management system factor</w:t>
      </w:r>
      <w:r w:rsidR="00AC037A" w:rsidRPr="00BB236B">
        <w:t xml:space="preserve">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MS</m:t>
            </m:r>
          </m:sub>
        </m:sSub>
      </m:oMath>
      <w:r w:rsidR="00AC037A" w:rsidRPr="00BB236B">
        <w:t>)</w:t>
      </w:r>
      <w:r w:rsidRPr="00BB236B">
        <w:t>:</w:t>
      </w:r>
    </w:p>
    <w:tbl>
      <w:tblPr>
        <w:tblW w:w="5000" w:type="pct"/>
        <w:tblLook w:val="04A0" w:firstRow="1" w:lastRow="0" w:firstColumn="1" w:lastColumn="0" w:noHBand="0" w:noVBand="1"/>
      </w:tblPr>
      <w:tblGrid>
        <w:gridCol w:w="7993"/>
        <w:gridCol w:w="794"/>
      </w:tblGrid>
      <w:tr w:rsidR="004F1474" w:rsidRPr="00BB236B" w14:paraId="63701164" w14:textId="77777777" w:rsidTr="00DE5189">
        <w:tc>
          <w:tcPr>
            <w:tcW w:w="7993" w:type="dxa"/>
            <w:shd w:val="clear" w:color="auto" w:fill="auto"/>
            <w:vAlign w:val="center"/>
          </w:tcPr>
          <w:p w14:paraId="50E6BD4A" w14:textId="08E976F3" w:rsidR="004F1474" w:rsidRPr="00BB236B" w:rsidRDefault="00000000" w:rsidP="00DE5189">
            <w:pPr>
              <w:pStyle w:val="CETEquation"/>
            </w:pPr>
            <m:oMathPara>
              <m:oMathParaPr>
                <m:jc m:val="left"/>
              </m:oMathParaP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f</m:t>
                    </m:r>
                  </m:sub>
                </m:sSub>
                <m:d>
                  <m:dPr>
                    <m:ctrlPr>
                      <w:rPr>
                        <w:rFonts w:ascii="Cambria Math" w:hAnsi="Cambria Math"/>
                      </w:rPr>
                    </m:ctrlPr>
                  </m:dPr>
                  <m:e>
                    <m:r>
                      <m:rPr>
                        <m:sty m:val="p"/>
                      </m:rPr>
                      <w:rPr>
                        <w:rFonts w:ascii="Cambria Math" w:hAnsi="Cambria Math"/>
                      </w:rPr>
                      <m:t>t,</m:t>
                    </m:r>
                    <m:sSub>
                      <m:sSubPr>
                        <m:ctrlPr>
                          <w:rPr>
                            <w:rFonts w:ascii="Cambria Math" w:hAnsi="Cambria Math"/>
                          </w:rPr>
                        </m:ctrlPr>
                      </m:sSubPr>
                      <m:e>
                        <m:r>
                          <m:rPr>
                            <m:sty m:val="p"/>
                          </m:rPr>
                          <w:rPr>
                            <w:rFonts w:ascii="Cambria Math" w:hAnsi="Cambria Math"/>
                          </w:rPr>
                          <m:t>I</m:t>
                        </m:r>
                      </m:e>
                      <m:sub>
                        <m:r>
                          <m:rPr>
                            <m:sty m:val="p"/>
                          </m:rPr>
                          <w:rPr>
                            <w:rFonts w:ascii="Cambria Math" w:hAnsi="Cambria Math"/>
                          </w:rPr>
                          <m:t>E</m:t>
                        </m:r>
                      </m:sub>
                    </m:sSub>
                  </m:e>
                </m:d>
                <m:r>
                  <m:rPr>
                    <m:sty m:val="p"/>
                  </m:rPr>
                  <w:rPr>
                    <w:rFonts w:ascii="Cambria Math" w:hAnsi="Cambria Math"/>
                  </w:rPr>
                  <m:t>=gff∙</m:t>
                </m:r>
                <w:bookmarkStart w:id="1" w:name="_Hlk114832329"/>
                <m:sSub>
                  <m:sSubPr>
                    <m:ctrlPr>
                      <w:rPr>
                        <w:rFonts w:ascii="Cambria Math" w:hAnsi="Cambria Math"/>
                      </w:rPr>
                    </m:ctrlPr>
                  </m:sSubPr>
                  <m:e>
                    <m:r>
                      <m:rPr>
                        <m:sty m:val="p"/>
                      </m:rPr>
                      <w:rPr>
                        <w:rFonts w:ascii="Cambria Math" w:hAnsi="Cambria Math"/>
                      </w:rPr>
                      <m:t>D</m:t>
                    </m:r>
                  </m:e>
                  <m:sub>
                    <m:r>
                      <m:rPr>
                        <m:sty m:val="p"/>
                      </m:rPr>
                      <w:rPr>
                        <w:rFonts w:ascii="Cambria Math" w:hAnsi="Cambria Math"/>
                      </w:rPr>
                      <m:t>f</m:t>
                    </m:r>
                  </m:sub>
                </m:sSub>
                <w:bookmarkEnd w:id="1"/>
                <m:r>
                  <m:rPr>
                    <m:sty m:val="p"/>
                  </m:rPr>
                  <w:rPr>
                    <w:rFonts w:ascii="Cambria Math" w:hAnsi="Cambria Math"/>
                  </w:rPr>
                  <m:t>(t,</m:t>
                </m:r>
                <m:sSub>
                  <m:sSubPr>
                    <m:ctrlPr>
                      <w:rPr>
                        <w:rFonts w:ascii="Cambria Math" w:hAnsi="Cambria Math"/>
                      </w:rPr>
                    </m:ctrlPr>
                  </m:sSubPr>
                  <m:e>
                    <m:r>
                      <m:rPr>
                        <m:sty m:val="p"/>
                      </m:rPr>
                      <w:rPr>
                        <w:rFonts w:ascii="Cambria Math" w:hAnsi="Cambria Math"/>
                      </w:rPr>
                      <m:t>I</m:t>
                    </m:r>
                  </m:e>
                  <m:sub>
                    <m:r>
                      <m:rPr>
                        <m:sty m:val="p"/>
                      </m:rPr>
                      <w:rPr>
                        <w:rFonts w:ascii="Cambria Math" w:hAnsi="Cambria Math"/>
                      </w:rPr>
                      <m:t>E</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MS</m:t>
                    </m:r>
                  </m:sub>
                </m:sSub>
              </m:oMath>
            </m:oMathPara>
          </w:p>
        </w:tc>
        <w:tc>
          <w:tcPr>
            <w:tcW w:w="794" w:type="dxa"/>
            <w:shd w:val="clear" w:color="auto" w:fill="auto"/>
            <w:vAlign w:val="center"/>
          </w:tcPr>
          <w:p w14:paraId="3EF8A21D" w14:textId="77777777" w:rsidR="004F1474" w:rsidRPr="00BB236B" w:rsidRDefault="004F1474" w:rsidP="00DE5189">
            <w:pPr>
              <w:pStyle w:val="CETEquation"/>
              <w:jc w:val="right"/>
            </w:pPr>
            <w:r w:rsidRPr="00BB236B">
              <w:t>(2)</w:t>
            </w:r>
          </w:p>
        </w:tc>
      </w:tr>
    </w:tbl>
    <w:p w14:paraId="6FC8D285" w14:textId="4D7AAB8F" w:rsidR="00C072C9" w:rsidRPr="00BB236B" w:rsidRDefault="004F1474" w:rsidP="0008534C">
      <w:pPr>
        <w:pStyle w:val="CETBodytext"/>
      </w:pPr>
      <w:r w:rsidRPr="00BB236B">
        <w:t xml:space="preserve">The </w:t>
      </w:r>
      <w:r w:rsidR="00FF3996" w:rsidRPr="00BB236B">
        <w:t xml:space="preserve">generic failure frequency </w:t>
      </w:r>
      <w:r w:rsidR="00AC037A" w:rsidRPr="00BB236B">
        <w:t>is</w:t>
      </w:r>
      <w:r w:rsidRPr="00BB236B">
        <w:t xml:space="preserve"> </w:t>
      </w:r>
      <w:r w:rsidR="00AC037A" w:rsidRPr="00BB236B">
        <w:t>defined as the number of failures per year</w:t>
      </w:r>
      <w:r w:rsidR="00FF3996" w:rsidRPr="00BB236B">
        <w:t xml:space="preserve"> of a certain type of equipment</w:t>
      </w:r>
      <w:r w:rsidR="00AC037A" w:rsidRPr="00BB236B">
        <w:t xml:space="preserve"> and relies on statistical analys</w:t>
      </w:r>
      <w:r w:rsidR="00F903D3" w:rsidRPr="00BB236B">
        <w:t>e</w:t>
      </w:r>
      <w:r w:rsidR="00AC037A" w:rsidRPr="00BB236B">
        <w:t>s of historical data</w:t>
      </w:r>
      <w:r w:rsidR="00FF3996" w:rsidRPr="00BB236B">
        <w:t xml:space="preserve">. The damage factor adjusts the </w:t>
      </w:r>
      <m:oMath>
        <m:r>
          <m:rPr>
            <m:sty m:val="p"/>
          </m:rPr>
          <w:rPr>
            <w:rFonts w:ascii="Cambria Math" w:hAnsi="Cambria Math"/>
          </w:rPr>
          <m:t>gff</m:t>
        </m:r>
      </m:oMath>
      <w:r w:rsidR="0063495F" w:rsidRPr="00BB236B">
        <w:t xml:space="preserve"> and considers the </w:t>
      </w:r>
      <w:r w:rsidR="00FF3DC9" w:rsidRPr="00BB236B">
        <w:t xml:space="preserve">level of </w:t>
      </w:r>
      <w:r w:rsidR="0063495F" w:rsidRPr="00BB236B">
        <w:t xml:space="preserve">susceptibility of the component to a </w:t>
      </w:r>
      <w:r w:rsidR="00FA65D7" w:rsidRPr="00BB236B">
        <w:t xml:space="preserve">defined </w:t>
      </w:r>
      <w:r w:rsidR="0063495F" w:rsidRPr="00BB236B">
        <w:t>damage mechanism, depending on the service time</w:t>
      </w:r>
      <w:r w:rsidR="003F633F" w:rsidRPr="00BB236B">
        <w:t xml:space="preserve">, the material, the operating conditions, and </w:t>
      </w:r>
      <w:r w:rsidR="0063495F" w:rsidRPr="00BB236B">
        <w:t>the</w:t>
      </w:r>
      <w:r w:rsidR="003F633F" w:rsidRPr="00BB236B">
        <w:t xml:space="preserve"> number and</w:t>
      </w:r>
      <w:r w:rsidR="0063495F" w:rsidRPr="00BB236B">
        <w:t xml:space="preserve"> effectiveness of previous inspections</w:t>
      </w:r>
      <w:r w:rsidR="003F633F" w:rsidRPr="00BB236B">
        <w:t>. The management system factor</w:t>
      </w:r>
      <w:r w:rsidR="00D800BA" w:rsidRPr="00BB236B">
        <w:t xml:space="preserve"> accounts for the probability that accumulating damage will be detected before the failure occurrence.</w:t>
      </w:r>
      <w:r w:rsidR="00A171B3" w:rsidRPr="00BB236B">
        <w:t xml:space="preserve"> </w:t>
      </w:r>
      <w:r w:rsidR="00246BD4" w:rsidRPr="00BB236B">
        <w:t xml:space="preserve">The consequence of failure is determined through well-established consequence analysis techniques based on empirical equations and predefined hole sizes. It </w:t>
      </w:r>
      <w:r w:rsidR="00A171B3" w:rsidRPr="00BB236B">
        <w:t>can be</w:t>
      </w:r>
      <w:r w:rsidR="00246BD4" w:rsidRPr="00BB236B">
        <w:t xml:space="preserve"> expressed </w:t>
      </w:r>
      <w:r w:rsidR="00A171B3" w:rsidRPr="00BB236B">
        <w:t xml:space="preserve">in financial terms or as </w:t>
      </w:r>
      <w:r w:rsidR="00133C2E" w:rsidRPr="00BB236B">
        <w:t xml:space="preserve">an </w:t>
      </w:r>
      <w:r w:rsidR="00A171B3" w:rsidRPr="00BB236B">
        <w:t>i</w:t>
      </w:r>
      <w:r w:rsidR="00246BD4" w:rsidRPr="00BB236B">
        <w:t xml:space="preserve">mpact area in case of flammable </w:t>
      </w:r>
      <w:r w:rsidR="004C6D58" w:rsidRPr="00BB236B">
        <w:t>or toxic</w:t>
      </w:r>
      <w:r w:rsidR="00133C2E" w:rsidRPr="00BB236B">
        <w:t xml:space="preserve"> releases</w:t>
      </w:r>
      <w:r w:rsidR="00F1698B" w:rsidRPr="00BB236B">
        <w:t xml:space="preserve"> (API, 2019)</w:t>
      </w:r>
      <w:r w:rsidR="00A171B3" w:rsidRPr="00BB236B">
        <w:t xml:space="preserve">. Any error in estimating both the </w:t>
      </w: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f</m:t>
            </m:r>
          </m:sub>
        </m:sSub>
      </m:oMath>
      <w:r w:rsidR="00A171B3" w:rsidRPr="00BB236B">
        <w:t xml:space="preserve"> and the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f</m:t>
            </m:r>
          </m:sub>
        </m:sSub>
      </m:oMath>
      <w:r w:rsidR="00A171B3" w:rsidRPr="00BB236B">
        <w:t xml:space="preserve"> can </w:t>
      </w:r>
      <w:r w:rsidR="005C7068" w:rsidRPr="00BB236B">
        <w:t xml:space="preserve">be </w:t>
      </w:r>
      <w:r w:rsidR="00A171B3" w:rsidRPr="00BB236B">
        <w:t>propagate</w:t>
      </w:r>
      <w:r w:rsidR="005C7068" w:rsidRPr="00BB236B">
        <w:t>d</w:t>
      </w:r>
      <w:r w:rsidR="00A171B3" w:rsidRPr="00BB236B">
        <w:t xml:space="preserve"> to the resulting</w:t>
      </w:r>
      <w:r w:rsidR="0063010C" w:rsidRPr="00BB236B">
        <w:t xml:space="preserve"> </w:t>
      </w:r>
      <w:r w:rsidR="0003499D" w:rsidRPr="00BB236B">
        <w:t>determination of</w:t>
      </w:r>
      <w:r w:rsidR="00A171B3" w:rsidRPr="00BB236B">
        <w:t xml:space="preserve"> risk and </w:t>
      </w:r>
      <w:r w:rsidR="0003499D" w:rsidRPr="00BB236B">
        <w:t xml:space="preserve">subsequently </w:t>
      </w:r>
      <w:r w:rsidR="00A171B3" w:rsidRPr="00BB236B">
        <w:t>affect the inspection planning</w:t>
      </w:r>
      <w:r w:rsidR="00975117" w:rsidRPr="00BB236B">
        <w:t xml:space="preserve"> decisions</w:t>
      </w:r>
      <w:r w:rsidR="00A171B3" w:rsidRPr="00BB236B">
        <w:t>. The logical progression of the RBI</w:t>
      </w:r>
      <w:r w:rsidR="00F1698B" w:rsidRPr="00BB236B">
        <w:t xml:space="preserve"> methodology, as presented in API RP 581, is depicted in </w:t>
      </w:r>
      <w:r w:rsidR="00975117" w:rsidRPr="00BB236B">
        <w:fldChar w:fldCharType="begin"/>
      </w:r>
      <w:r w:rsidR="00975117" w:rsidRPr="00BB236B">
        <w:instrText xml:space="preserve"> REF _Ref120107159 \h </w:instrText>
      </w:r>
      <w:r w:rsidR="00BB236B" w:rsidRPr="00BB236B">
        <w:instrText xml:space="preserve"> \* MERGEFORMAT </w:instrText>
      </w:r>
      <w:r w:rsidR="00975117" w:rsidRPr="00BB236B">
        <w:fldChar w:fldCharType="separate"/>
      </w:r>
      <w:r w:rsidR="00722BA7">
        <w:t xml:space="preserve">Figure </w:t>
      </w:r>
      <w:r w:rsidR="00722BA7">
        <w:rPr>
          <w:noProof/>
        </w:rPr>
        <w:t>1</w:t>
      </w:r>
      <w:r w:rsidR="00975117" w:rsidRPr="00BB236B">
        <w:fldChar w:fldCharType="end"/>
      </w:r>
      <w:r w:rsidR="00F1698B" w:rsidRPr="00BB236B">
        <w:t>:</w:t>
      </w:r>
    </w:p>
    <w:p w14:paraId="22F1E05D" w14:textId="77777777" w:rsidR="002C0EDB" w:rsidRDefault="002C0EDB" w:rsidP="0008534C">
      <w:pPr>
        <w:pStyle w:val="CETBodytext"/>
      </w:pPr>
    </w:p>
    <w:p w14:paraId="6200B2CD" w14:textId="77777777" w:rsidR="0011797E" w:rsidRDefault="00973FE7" w:rsidP="0011797E">
      <w:pPr>
        <w:pStyle w:val="CETBodytext"/>
        <w:keepNext/>
      </w:pPr>
      <w:r>
        <w:rPr>
          <w:noProof/>
        </w:rPr>
        <w:drawing>
          <wp:inline distT="0" distB="0" distL="0" distR="0" wp14:anchorId="3A9CFB6F" wp14:editId="63F7238A">
            <wp:extent cx="5048250" cy="2385984"/>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26127" cy="2422791"/>
                    </a:xfrm>
                    <a:prstGeom prst="rect">
                      <a:avLst/>
                    </a:prstGeom>
                    <a:noFill/>
                    <a:ln>
                      <a:noFill/>
                    </a:ln>
                  </pic:spPr>
                </pic:pic>
              </a:graphicData>
            </a:graphic>
          </wp:inline>
        </w:drawing>
      </w:r>
    </w:p>
    <w:p w14:paraId="7D714BCD" w14:textId="38CBF989" w:rsidR="00973FE7" w:rsidRDefault="0011797E" w:rsidP="0011797E">
      <w:pPr>
        <w:pStyle w:val="CETCaption"/>
      </w:pPr>
      <w:bookmarkStart w:id="2" w:name="_Ref120107159"/>
      <w:r>
        <w:t xml:space="preserve">Figure </w:t>
      </w:r>
      <w:r>
        <w:fldChar w:fldCharType="begin"/>
      </w:r>
      <w:r>
        <w:instrText xml:space="preserve"> SEQ Figure \* ARABIC </w:instrText>
      </w:r>
      <w:r>
        <w:fldChar w:fldCharType="separate"/>
      </w:r>
      <w:r w:rsidR="00722BA7">
        <w:rPr>
          <w:noProof/>
        </w:rPr>
        <w:t>1</w:t>
      </w:r>
      <w:r>
        <w:fldChar w:fldCharType="end"/>
      </w:r>
      <w:bookmarkEnd w:id="2"/>
      <w:r>
        <w:t xml:space="preserve">: </w:t>
      </w:r>
      <w:r w:rsidRPr="0011797E">
        <w:t>Flow diagram of the API risk-based inspection methodology</w:t>
      </w:r>
    </w:p>
    <w:p w14:paraId="72839A36" w14:textId="45241659" w:rsidR="00131797" w:rsidRPr="00BB236B" w:rsidRDefault="00133C2E" w:rsidP="0008534C">
      <w:pPr>
        <w:pStyle w:val="CETBodytext"/>
      </w:pPr>
      <w:r w:rsidRPr="00BB236B">
        <w:t xml:space="preserve">The RBI process starts </w:t>
      </w:r>
      <w:r w:rsidR="004F486B" w:rsidRPr="00BB236B">
        <w:t>with</w:t>
      </w:r>
      <w:r w:rsidR="002A6981" w:rsidRPr="00BB236B">
        <w:t xml:space="preserve"> collecti</w:t>
      </w:r>
      <w:r w:rsidR="004F486B" w:rsidRPr="00BB236B">
        <w:t>ng</w:t>
      </w:r>
      <w:r w:rsidR="002A6981" w:rsidRPr="00BB236B">
        <w:t xml:space="preserve"> and validatin</w:t>
      </w:r>
      <w:r w:rsidR="004F486B" w:rsidRPr="00BB236B">
        <w:t>g</w:t>
      </w:r>
      <w:r w:rsidR="002A6981" w:rsidRPr="00BB236B">
        <w:t xml:space="preserve"> technical data and historical information on the facility. Secondly, all the damage mechanisms </w:t>
      </w:r>
      <w:r w:rsidR="00F271DC" w:rsidRPr="00BB236B">
        <w:t>likely to occur</w:t>
      </w:r>
      <w:r w:rsidR="00DC28C3" w:rsidRPr="00BB236B">
        <w:t xml:space="preserve"> must be identified</w:t>
      </w:r>
      <w:r w:rsidR="002A6981" w:rsidRPr="00BB236B">
        <w:t>, determin</w:t>
      </w:r>
      <w:r w:rsidR="00DC28C3" w:rsidRPr="00BB236B">
        <w:t>ing</w:t>
      </w:r>
      <w:r w:rsidR="002A6981" w:rsidRPr="00BB236B">
        <w:t xml:space="preserve"> the</w:t>
      </w:r>
      <w:r w:rsidR="00F271DC" w:rsidRPr="00BB236B">
        <w:t xml:space="preserve"> damage</w:t>
      </w:r>
      <w:r w:rsidR="002A6981" w:rsidRPr="00BB236B">
        <w:t xml:space="preserve"> </w:t>
      </w:r>
      <w:r w:rsidR="00F271DC" w:rsidRPr="00BB236B">
        <w:t>susceptibility of each component</w:t>
      </w:r>
      <w:r w:rsidR="003C49A6" w:rsidRPr="00BB236B">
        <w:t>, and calculat</w:t>
      </w:r>
      <w:r w:rsidR="00DC28C3" w:rsidRPr="00BB236B">
        <w:t>ing</w:t>
      </w:r>
      <w:r w:rsidR="003C49A6" w:rsidRPr="00BB236B">
        <w:t xml:space="preserve"> the </w:t>
      </w: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f</m:t>
            </m:r>
          </m:sub>
        </m:sSub>
      </m:oMath>
      <w:r w:rsidR="003C49A6" w:rsidRPr="00BB236B">
        <w:t>. All the credible</w:t>
      </w:r>
      <w:r w:rsidR="005A13E0" w:rsidRPr="00BB236B">
        <w:t xml:space="preserve"> failure modes and the related</w:t>
      </w:r>
      <w:r w:rsidR="003C49A6" w:rsidRPr="00BB236B">
        <w:t xml:space="preserve"> consequence scenarios </w:t>
      </w:r>
      <w:r w:rsidR="005A13E0" w:rsidRPr="00BB236B">
        <w:t xml:space="preserve">should be considered. Then, the analysts must calculate the risk associated </w:t>
      </w:r>
      <w:r w:rsidR="004F486B" w:rsidRPr="00BB236B">
        <w:t>with</w:t>
      </w:r>
      <w:r w:rsidR="005A13E0" w:rsidRPr="00BB236B">
        <w:t xml:space="preserve"> each piece of equipment</w:t>
      </w:r>
      <w:r w:rsidR="00426521" w:rsidRPr="00BB236B">
        <w:t xml:space="preserve"> and rank them. The inspection plan should be developed, prioritizing the high-risk components.</w:t>
      </w:r>
      <w:r w:rsidR="00131797" w:rsidRPr="00BB236B">
        <w:t xml:space="preserve"> </w:t>
      </w:r>
      <w:r w:rsidR="00CB0ED7" w:rsidRPr="00BB236B">
        <w:t>Then, the entire process is reassessed accordingly to the results of previous inspections.</w:t>
      </w:r>
    </w:p>
    <w:p w14:paraId="7E1E0F1E" w14:textId="222A40B7" w:rsidR="00756FDF" w:rsidRDefault="00AA6FE7" w:rsidP="001F0C40">
      <w:pPr>
        <w:pStyle w:val="CETHeading1"/>
        <w:tabs>
          <w:tab w:val="clear" w:pos="360"/>
          <w:tab w:val="right" w:pos="7100"/>
        </w:tabs>
        <w:jc w:val="both"/>
        <w:rPr>
          <w:lang w:val="en-GB"/>
        </w:rPr>
      </w:pPr>
      <w:r>
        <w:rPr>
          <w:lang w:val="en-GB"/>
        </w:rPr>
        <w:lastRenderedPageBreak/>
        <w:t>Hydrogen embrittlement</w:t>
      </w:r>
    </w:p>
    <w:p w14:paraId="4A016FEA" w14:textId="6E1CA003" w:rsidR="00544C59" w:rsidRPr="00BB236B" w:rsidRDefault="00544C59" w:rsidP="00544C59">
      <w:pPr>
        <w:pStyle w:val="CETBodytext"/>
        <w:rPr>
          <w:lang w:val="en-GB"/>
        </w:rPr>
      </w:pPr>
      <w:r w:rsidRPr="00BB236B">
        <w:rPr>
          <w:lang w:val="en-GB"/>
        </w:rPr>
        <w:t>Hydrogen embrittlement is a</w:t>
      </w:r>
      <w:r w:rsidR="00BD31F8" w:rsidRPr="00BB236B">
        <w:rPr>
          <w:lang w:val="en-GB"/>
        </w:rPr>
        <w:t xml:space="preserve"> </w:t>
      </w:r>
      <w:r w:rsidR="00E172E4" w:rsidRPr="00BB236B">
        <w:rPr>
          <w:lang w:val="en-GB"/>
        </w:rPr>
        <w:t>degradation mechanism</w:t>
      </w:r>
      <w:r w:rsidR="00A7254B" w:rsidRPr="00BB236B">
        <w:rPr>
          <w:lang w:val="en-GB"/>
        </w:rPr>
        <w:t xml:space="preserve"> that may result in the material</w:t>
      </w:r>
      <w:r w:rsidRPr="00BB236B">
        <w:rPr>
          <w:lang w:val="en-GB"/>
        </w:rPr>
        <w:t xml:space="preserve"> loss of ductility, strength, </w:t>
      </w:r>
      <w:r w:rsidR="00A8756A" w:rsidRPr="00BB236B">
        <w:rPr>
          <w:lang w:val="en-GB"/>
        </w:rPr>
        <w:t>and resistance to crack both under static and cyclic loading</w:t>
      </w:r>
      <w:r w:rsidR="00672F49" w:rsidRPr="00BB236B">
        <w:rPr>
          <w:lang w:val="en-GB"/>
        </w:rPr>
        <w:t xml:space="preserve"> and it is connected to </w:t>
      </w:r>
      <w:r w:rsidR="004B6DFE" w:rsidRPr="00BB236B">
        <w:rPr>
          <w:lang w:val="en-GB"/>
        </w:rPr>
        <w:t>the interaction of metal</w:t>
      </w:r>
      <w:r w:rsidR="00672F49" w:rsidRPr="00BB236B">
        <w:rPr>
          <w:lang w:val="en-GB"/>
        </w:rPr>
        <w:t xml:space="preserve">lic </w:t>
      </w:r>
      <w:r w:rsidR="0021794F" w:rsidRPr="00BB236B">
        <w:rPr>
          <w:lang w:val="en-GB"/>
        </w:rPr>
        <w:t>component</w:t>
      </w:r>
      <w:r w:rsidR="006102C6">
        <w:rPr>
          <w:lang w:val="en-GB"/>
        </w:rPr>
        <w:t>s</w:t>
      </w:r>
      <w:r w:rsidR="0021794F" w:rsidRPr="00BB236B">
        <w:rPr>
          <w:lang w:val="en-GB"/>
        </w:rPr>
        <w:t xml:space="preserve"> when exposed to hydrogenated environment</w:t>
      </w:r>
      <w:r w:rsidR="006102C6">
        <w:rPr>
          <w:lang w:val="en-GB"/>
        </w:rPr>
        <w:t>s</w:t>
      </w:r>
      <w:r w:rsidR="00000900" w:rsidRPr="00BB236B">
        <w:rPr>
          <w:lang w:val="en-GB"/>
        </w:rPr>
        <w:t xml:space="preserve"> (API, 2020)</w:t>
      </w:r>
      <w:r w:rsidR="00771BB4" w:rsidRPr="00BB236B">
        <w:rPr>
          <w:lang w:val="en-GB"/>
        </w:rPr>
        <w:t>. Absorbed hydrogen tends to diffuse in region</w:t>
      </w:r>
      <w:r w:rsidR="002932BA" w:rsidRPr="00BB236B">
        <w:rPr>
          <w:lang w:val="en-GB"/>
        </w:rPr>
        <w:t>s</w:t>
      </w:r>
      <w:r w:rsidR="00771BB4" w:rsidRPr="00BB236B">
        <w:rPr>
          <w:lang w:val="en-GB"/>
        </w:rPr>
        <w:t xml:space="preserve"> with high triaxial stress and accumulates, affecting the resistance to external loadings and provoking sudden components’ failures</w:t>
      </w:r>
      <w:r w:rsidR="009A5A5F" w:rsidRPr="00BB236B">
        <w:rPr>
          <w:lang w:val="en-GB"/>
        </w:rPr>
        <w:t xml:space="preserve"> (</w:t>
      </w:r>
      <w:r w:rsidR="00AB48C2">
        <w:rPr>
          <w:lang w:val="en-GB"/>
        </w:rPr>
        <w:t>Campari et al.</w:t>
      </w:r>
      <w:r w:rsidR="009A5A5F" w:rsidRPr="00BB236B">
        <w:rPr>
          <w:lang w:val="en-GB"/>
        </w:rPr>
        <w:t>, 202</w:t>
      </w:r>
      <w:r w:rsidR="00AB48C2">
        <w:rPr>
          <w:lang w:val="en-GB"/>
        </w:rPr>
        <w:t>2b</w:t>
      </w:r>
      <w:r w:rsidR="009A5A5F" w:rsidRPr="00BB236B">
        <w:rPr>
          <w:lang w:val="en-GB"/>
        </w:rPr>
        <w:t>)</w:t>
      </w:r>
      <w:r w:rsidR="00771BB4" w:rsidRPr="00BB236B">
        <w:rPr>
          <w:lang w:val="en-GB"/>
        </w:rPr>
        <w:t xml:space="preserve">. HE is responsible for </w:t>
      </w:r>
      <w:r w:rsidR="002932BA" w:rsidRPr="00BB236B">
        <w:rPr>
          <w:lang w:val="en-GB"/>
        </w:rPr>
        <w:t xml:space="preserve">the </w:t>
      </w:r>
      <w:r w:rsidR="00E62C60" w:rsidRPr="00BB236B">
        <w:rPr>
          <w:lang w:val="en-GB"/>
        </w:rPr>
        <w:t xml:space="preserve">brittle cracking of otherwise ductile materials and may affect a variety of </w:t>
      </w:r>
      <w:r w:rsidR="002932BA" w:rsidRPr="00BB236B">
        <w:rPr>
          <w:lang w:val="en-GB"/>
        </w:rPr>
        <w:t>hydrogen technologies</w:t>
      </w:r>
      <w:r w:rsidR="00E62C60" w:rsidRPr="00BB236B">
        <w:rPr>
          <w:lang w:val="en-GB"/>
        </w:rPr>
        <w:t>, such as storage tanks, cylinders, pipes, fuel cells, and transport pipelines.</w:t>
      </w:r>
      <w:r w:rsidR="0080774B" w:rsidRPr="00BB236B">
        <w:rPr>
          <w:lang w:val="en-GB"/>
        </w:rPr>
        <w:t xml:space="preserve"> In this case, hydrogen embrittlement refers to quasi-static loading conditions</w:t>
      </w:r>
      <w:r w:rsidR="00965BEF" w:rsidRPr="00BB236B">
        <w:rPr>
          <w:lang w:val="en-GB"/>
        </w:rPr>
        <w:t xml:space="preserve"> resulting from the </w:t>
      </w:r>
      <w:r w:rsidR="009E7765" w:rsidRPr="00BB236B">
        <w:rPr>
          <w:lang w:val="en-GB"/>
        </w:rPr>
        <w:t xml:space="preserve">gas </w:t>
      </w:r>
      <w:r w:rsidR="00965BEF" w:rsidRPr="00BB236B">
        <w:rPr>
          <w:lang w:val="en-GB"/>
        </w:rPr>
        <w:t>pressure within the containment system</w:t>
      </w:r>
      <w:r w:rsidR="009E7765" w:rsidRPr="00BB236B">
        <w:rPr>
          <w:lang w:val="en-GB"/>
        </w:rPr>
        <w:t xml:space="preserve"> or </w:t>
      </w:r>
      <w:r w:rsidR="007725E9">
        <w:rPr>
          <w:lang w:val="en-GB"/>
        </w:rPr>
        <w:t>from</w:t>
      </w:r>
      <w:r w:rsidR="009E7765" w:rsidRPr="00BB236B">
        <w:rPr>
          <w:lang w:val="en-GB"/>
        </w:rPr>
        <w:t xml:space="preserve"> internal stresses</w:t>
      </w:r>
      <w:r w:rsidR="00F254FF" w:rsidRPr="00BB236B">
        <w:rPr>
          <w:lang w:val="en-GB"/>
        </w:rPr>
        <w:t>,</w:t>
      </w:r>
      <w:r w:rsidR="009E7765" w:rsidRPr="00BB236B">
        <w:rPr>
          <w:lang w:val="en-GB"/>
        </w:rPr>
        <w:t xml:space="preserve"> especially in weldments</w:t>
      </w:r>
      <w:r w:rsidR="00F254FF" w:rsidRPr="00BB236B">
        <w:rPr>
          <w:lang w:val="en-GB"/>
        </w:rPr>
        <w:t xml:space="preserve">. </w:t>
      </w:r>
      <w:r w:rsidR="00A55F80" w:rsidRPr="00BB236B">
        <w:rPr>
          <w:lang w:val="en-GB"/>
        </w:rPr>
        <w:t xml:space="preserve">From </w:t>
      </w:r>
      <w:r w:rsidR="00D203E9">
        <w:rPr>
          <w:lang w:val="en-GB"/>
        </w:rPr>
        <w:t xml:space="preserve">the </w:t>
      </w:r>
      <w:r w:rsidR="00A55F80" w:rsidRPr="00BB236B">
        <w:rPr>
          <w:lang w:val="en-GB"/>
        </w:rPr>
        <w:t>RBI p</w:t>
      </w:r>
      <w:r w:rsidR="00513F6D" w:rsidRPr="00BB236B">
        <w:rPr>
          <w:lang w:val="en-GB"/>
        </w:rPr>
        <w:t>er</w:t>
      </w:r>
      <w:r w:rsidR="00A55F80" w:rsidRPr="00BB236B">
        <w:rPr>
          <w:lang w:val="en-GB"/>
        </w:rPr>
        <w:t xml:space="preserve">spective, </w:t>
      </w:r>
      <w:r w:rsidR="00FC4398">
        <w:rPr>
          <w:lang w:val="en-GB"/>
        </w:rPr>
        <w:t>h</w:t>
      </w:r>
      <w:r w:rsidR="00E533D2" w:rsidRPr="00BB236B">
        <w:rPr>
          <w:lang w:val="en-GB"/>
        </w:rPr>
        <w:t>ydrogen-</w:t>
      </w:r>
      <w:r w:rsidR="00FC4398">
        <w:rPr>
          <w:lang w:val="en-GB"/>
        </w:rPr>
        <w:t>e</w:t>
      </w:r>
      <w:r w:rsidR="00E533D2" w:rsidRPr="00BB236B">
        <w:rPr>
          <w:lang w:val="en-GB"/>
        </w:rPr>
        <w:t xml:space="preserve">nhanced </w:t>
      </w:r>
      <w:r w:rsidR="00FC4398">
        <w:rPr>
          <w:lang w:val="en-GB"/>
        </w:rPr>
        <w:t>f</w:t>
      </w:r>
      <w:r w:rsidR="00E533D2" w:rsidRPr="00BB236B">
        <w:rPr>
          <w:lang w:val="en-GB"/>
        </w:rPr>
        <w:t xml:space="preserve">atigue </w:t>
      </w:r>
      <w:r w:rsidR="00FC4398">
        <w:rPr>
          <w:lang w:val="en-GB"/>
        </w:rPr>
        <w:t>c</w:t>
      </w:r>
      <w:r w:rsidR="00E533D2" w:rsidRPr="00BB236B">
        <w:rPr>
          <w:lang w:val="en-GB"/>
        </w:rPr>
        <w:t xml:space="preserve">rack </w:t>
      </w:r>
      <w:r w:rsidR="00FC4398">
        <w:rPr>
          <w:lang w:val="en-GB"/>
        </w:rPr>
        <w:t>g</w:t>
      </w:r>
      <w:r w:rsidR="00E533D2" w:rsidRPr="00BB236B">
        <w:rPr>
          <w:lang w:val="en-GB"/>
        </w:rPr>
        <w:t>rowth (HEFC</w:t>
      </w:r>
      <w:r w:rsidR="00A55F80" w:rsidRPr="00BB236B">
        <w:rPr>
          <w:lang w:val="en-GB"/>
        </w:rPr>
        <w:t>G</w:t>
      </w:r>
      <w:r w:rsidR="006C3F27" w:rsidRPr="00BB236B">
        <w:rPr>
          <w:lang w:val="en-GB"/>
        </w:rPr>
        <w:t xml:space="preserve">) </w:t>
      </w:r>
      <w:r w:rsidR="00F254FF" w:rsidRPr="00BB236B">
        <w:rPr>
          <w:lang w:val="en-GB"/>
        </w:rPr>
        <w:t>under cyclic loading is</w:t>
      </w:r>
      <w:r w:rsidR="009E7765" w:rsidRPr="00BB236B">
        <w:rPr>
          <w:lang w:val="en-GB"/>
        </w:rPr>
        <w:t xml:space="preserve"> considered a different damage </w:t>
      </w:r>
      <w:r w:rsidR="00F254FF" w:rsidRPr="00BB236B">
        <w:rPr>
          <w:lang w:val="en-GB"/>
        </w:rPr>
        <w:t>type</w:t>
      </w:r>
      <w:r w:rsidR="0059029D" w:rsidRPr="00BB236B">
        <w:rPr>
          <w:lang w:val="en-GB"/>
        </w:rPr>
        <w:t>.</w:t>
      </w:r>
      <w:r w:rsidR="006C3F27" w:rsidRPr="00BB236B">
        <w:rPr>
          <w:lang w:val="en-GB"/>
        </w:rPr>
        <w:t xml:space="preserve"> </w:t>
      </w:r>
      <w:r w:rsidR="0059029D" w:rsidRPr="00BB236B">
        <w:rPr>
          <w:lang w:val="en-GB"/>
        </w:rPr>
        <w:t>H</w:t>
      </w:r>
      <w:r w:rsidR="006C3F27" w:rsidRPr="00BB236B">
        <w:rPr>
          <w:lang w:val="en-GB"/>
        </w:rPr>
        <w:t>ydrogen embrittlement</w:t>
      </w:r>
      <w:r w:rsidR="0059029D" w:rsidRPr="00BB236B">
        <w:rPr>
          <w:lang w:val="en-GB"/>
        </w:rPr>
        <w:t xml:space="preserve"> happens </w:t>
      </w:r>
      <w:proofErr w:type="gramStart"/>
      <w:r w:rsidR="0059029D" w:rsidRPr="00BB236B">
        <w:rPr>
          <w:lang w:val="en-GB"/>
        </w:rPr>
        <w:t xml:space="preserve">as </w:t>
      </w:r>
      <w:r w:rsidR="00D203E9">
        <w:rPr>
          <w:lang w:val="en-GB"/>
        </w:rPr>
        <w:t xml:space="preserve">a </w:t>
      </w:r>
      <w:r w:rsidR="0059029D" w:rsidRPr="00BB236B">
        <w:rPr>
          <w:lang w:val="en-GB"/>
        </w:rPr>
        <w:t>result of</w:t>
      </w:r>
      <w:proofErr w:type="gramEnd"/>
      <w:r w:rsidR="0059029D" w:rsidRPr="00BB236B">
        <w:rPr>
          <w:lang w:val="en-GB"/>
        </w:rPr>
        <w:t xml:space="preserve"> the </w:t>
      </w:r>
      <w:r w:rsidR="006C3F27" w:rsidRPr="00BB236B">
        <w:rPr>
          <w:lang w:val="en-GB"/>
        </w:rPr>
        <w:t>synergistic interplay of several factors</w:t>
      </w:r>
      <w:r w:rsidR="00307FDD" w:rsidRPr="00BB236B">
        <w:rPr>
          <w:lang w:val="en-GB"/>
        </w:rPr>
        <w:t xml:space="preserve"> (NASA, 2005)</w:t>
      </w:r>
      <w:r w:rsidR="006C3F27" w:rsidRPr="00BB236B">
        <w:rPr>
          <w:lang w:val="en-GB"/>
        </w:rPr>
        <w:t>:</w:t>
      </w:r>
    </w:p>
    <w:p w14:paraId="7C7DF50A" w14:textId="23609B87" w:rsidR="006C3F27" w:rsidRPr="00BB236B" w:rsidRDefault="006C3F27" w:rsidP="006C3F27">
      <w:pPr>
        <w:pStyle w:val="CETBodytext"/>
        <w:numPr>
          <w:ilvl w:val="0"/>
          <w:numId w:val="39"/>
        </w:numPr>
      </w:pPr>
      <w:r w:rsidRPr="00BB236B">
        <w:t>Environment</w:t>
      </w:r>
      <w:r w:rsidR="00C16343" w:rsidRPr="00BB236B">
        <w:t xml:space="preserve"> –</w:t>
      </w:r>
      <w:r w:rsidRPr="00BB236B">
        <w:t xml:space="preserve"> hydrogen partial pressure, temperature, purity (presence of inhibitors), form (atomic or molecular), and source of hydrogen (e.g., cathodic protection</w:t>
      </w:r>
      <w:r w:rsidR="002347E8" w:rsidRPr="00BB236B">
        <w:t>, manufacturing processes, etc.</w:t>
      </w:r>
      <w:proofErr w:type="gramStart"/>
      <w:r w:rsidR="002347E8" w:rsidRPr="00BB236B">
        <w:t>)</w:t>
      </w:r>
      <w:r w:rsidR="00C16343" w:rsidRPr="00BB236B">
        <w:t>;</w:t>
      </w:r>
      <w:proofErr w:type="gramEnd"/>
    </w:p>
    <w:p w14:paraId="61B99606" w14:textId="4757DE78" w:rsidR="006C3F27" w:rsidRPr="00BB236B" w:rsidRDefault="006C3F27" w:rsidP="006C3F27">
      <w:pPr>
        <w:pStyle w:val="CETBodytext"/>
        <w:numPr>
          <w:ilvl w:val="0"/>
          <w:numId w:val="39"/>
        </w:numPr>
        <w:rPr>
          <w:lang w:val="en-GB"/>
        </w:rPr>
      </w:pPr>
      <w:r w:rsidRPr="00BB236B">
        <w:rPr>
          <w:lang w:val="en-GB"/>
        </w:rPr>
        <w:t>Material</w:t>
      </w:r>
      <w:r w:rsidR="00C16343" w:rsidRPr="00BB236B">
        <w:rPr>
          <w:lang w:val="en-GB"/>
        </w:rPr>
        <w:t xml:space="preserve"> – chemical composition, grain size, grain boundaries, phase stability, strength, surface conditions, presence of welds and </w:t>
      </w:r>
      <w:r w:rsidR="009A5A5F" w:rsidRPr="00BB236B">
        <w:rPr>
          <w:lang w:val="en-GB"/>
        </w:rPr>
        <w:t>heat-affected zone</w:t>
      </w:r>
      <w:r w:rsidR="00C16343" w:rsidRPr="00BB236B">
        <w:rPr>
          <w:lang w:val="en-GB"/>
        </w:rPr>
        <w:t>s</w:t>
      </w:r>
      <w:r w:rsidR="009A5A5F" w:rsidRPr="00BB236B">
        <w:rPr>
          <w:lang w:val="en-GB"/>
        </w:rPr>
        <w:t xml:space="preserve"> (HAZ</w:t>
      </w:r>
      <w:proofErr w:type="gramStart"/>
      <w:r w:rsidR="009A5A5F" w:rsidRPr="00BB236B">
        <w:rPr>
          <w:lang w:val="en-GB"/>
        </w:rPr>
        <w:t>)</w:t>
      </w:r>
      <w:r w:rsidR="00C16343" w:rsidRPr="00BB236B">
        <w:rPr>
          <w:lang w:val="en-GB"/>
        </w:rPr>
        <w:t>;</w:t>
      </w:r>
      <w:proofErr w:type="gramEnd"/>
    </w:p>
    <w:p w14:paraId="63C3EE1C" w14:textId="2322D495" w:rsidR="006C3F27" w:rsidRPr="00BB236B" w:rsidRDefault="006C3F27" w:rsidP="006C3F27">
      <w:pPr>
        <w:pStyle w:val="CETBodytext"/>
        <w:numPr>
          <w:ilvl w:val="0"/>
          <w:numId w:val="39"/>
        </w:numPr>
        <w:rPr>
          <w:lang w:val="en-GB"/>
        </w:rPr>
      </w:pPr>
      <w:r w:rsidRPr="00BB236B">
        <w:rPr>
          <w:lang w:val="en-GB"/>
        </w:rPr>
        <w:t xml:space="preserve">Loading condition </w:t>
      </w:r>
      <w:r w:rsidR="00C16343" w:rsidRPr="00BB236B">
        <w:rPr>
          <w:lang w:val="en-GB"/>
        </w:rPr>
        <w:t>– level of applied and residual stresses, type of loading (monotonic or cyclic).</w:t>
      </w:r>
    </w:p>
    <w:p w14:paraId="0A421FFD" w14:textId="78207E5A" w:rsidR="00C16343" w:rsidRPr="00BB236B" w:rsidRDefault="00A35F5F" w:rsidP="00C16343">
      <w:pPr>
        <w:pStyle w:val="CETBodytext"/>
        <w:rPr>
          <w:lang w:val="en-GB"/>
        </w:rPr>
      </w:pPr>
      <w:r w:rsidRPr="00BB236B">
        <w:rPr>
          <w:lang w:val="en-GB"/>
        </w:rPr>
        <w:t xml:space="preserve">Temperature </w:t>
      </w:r>
      <w:r w:rsidR="001413DB" w:rsidRPr="00BB236B">
        <w:rPr>
          <w:lang w:val="en-GB"/>
        </w:rPr>
        <w:t>influences</w:t>
      </w:r>
      <w:r w:rsidR="00D90D40" w:rsidRPr="00BB236B">
        <w:rPr>
          <w:lang w:val="en-GB"/>
        </w:rPr>
        <w:t xml:space="preserve"> </w:t>
      </w:r>
      <w:r w:rsidR="00E4719F" w:rsidRPr="00BB236B">
        <w:rPr>
          <w:lang w:val="en-GB"/>
        </w:rPr>
        <w:t>surface reactions</w:t>
      </w:r>
      <w:r w:rsidR="00D2442A" w:rsidRPr="00BB236B">
        <w:rPr>
          <w:lang w:val="en-GB"/>
        </w:rPr>
        <w:t xml:space="preserve"> that </w:t>
      </w:r>
      <w:r w:rsidR="00995CC9" w:rsidRPr="00BB236B">
        <w:rPr>
          <w:lang w:val="en-GB"/>
        </w:rPr>
        <w:t>affect hydrogen uptake kinetics</w:t>
      </w:r>
      <w:r w:rsidR="00DB1A54" w:rsidRPr="00BB236B">
        <w:rPr>
          <w:lang w:val="en-GB"/>
        </w:rPr>
        <w:t xml:space="preserve">, </w:t>
      </w:r>
      <w:r w:rsidR="00E4719F" w:rsidRPr="00BB236B">
        <w:rPr>
          <w:lang w:val="en-GB"/>
        </w:rPr>
        <w:t>solubility, diffusivity, and trapping into the metal lattice. At low temperatures, the diffusion is slow</w:t>
      </w:r>
      <w:r w:rsidR="00A7339B" w:rsidRPr="00BB236B">
        <w:rPr>
          <w:lang w:val="en-GB"/>
        </w:rPr>
        <w:t>er</w:t>
      </w:r>
      <w:r w:rsidR="00E4719F" w:rsidRPr="00BB236B">
        <w:rPr>
          <w:lang w:val="en-GB"/>
        </w:rPr>
        <w:t xml:space="preserve"> while, at high temperatures, </w:t>
      </w:r>
      <w:r w:rsidR="004029E3" w:rsidRPr="00BB236B">
        <w:rPr>
          <w:lang w:val="en-GB"/>
        </w:rPr>
        <w:t xml:space="preserve">atoms’ mobility is enhanced, and hydrogen de-trapping </w:t>
      </w:r>
      <w:r w:rsidR="00A7339B" w:rsidRPr="00BB236B">
        <w:rPr>
          <w:lang w:val="en-GB"/>
        </w:rPr>
        <w:t>is favoured</w:t>
      </w:r>
      <w:r w:rsidR="004029E3" w:rsidRPr="00BB236B">
        <w:rPr>
          <w:lang w:val="en-GB"/>
        </w:rPr>
        <w:t xml:space="preserve">. Hence, </w:t>
      </w:r>
      <w:r w:rsidR="00D90D40" w:rsidRPr="00BB236B">
        <w:rPr>
          <w:lang w:val="en-GB"/>
        </w:rPr>
        <w:t xml:space="preserve">the </w:t>
      </w:r>
      <w:r w:rsidR="0052235B" w:rsidRPr="00BB236B">
        <w:rPr>
          <w:lang w:val="en-GB"/>
        </w:rPr>
        <w:t xml:space="preserve">degrading </w:t>
      </w:r>
      <w:r w:rsidR="00D90D40" w:rsidRPr="00BB236B">
        <w:rPr>
          <w:lang w:val="en-GB"/>
        </w:rPr>
        <w:t xml:space="preserve">effect of environmental </w:t>
      </w:r>
      <w:r w:rsidR="004029E3" w:rsidRPr="00BB236B">
        <w:rPr>
          <w:lang w:val="en-GB"/>
        </w:rPr>
        <w:t xml:space="preserve">HE </w:t>
      </w:r>
      <w:r w:rsidR="00D90D40" w:rsidRPr="00BB236B">
        <w:rPr>
          <w:lang w:val="en-GB"/>
        </w:rPr>
        <w:t>reach</w:t>
      </w:r>
      <w:r w:rsidR="004029E3" w:rsidRPr="00BB236B">
        <w:rPr>
          <w:lang w:val="en-GB"/>
        </w:rPr>
        <w:t>es</w:t>
      </w:r>
      <w:r w:rsidR="00D90D40" w:rsidRPr="00BB236B">
        <w:rPr>
          <w:lang w:val="en-GB"/>
        </w:rPr>
        <w:t xml:space="preserve"> a maximum in the temperature rang</w:t>
      </w:r>
      <w:r w:rsidR="00DB1A54" w:rsidRPr="00BB236B">
        <w:rPr>
          <w:lang w:val="en-GB"/>
        </w:rPr>
        <w:t>e</w:t>
      </w:r>
      <w:r w:rsidR="00D90D40" w:rsidRPr="00BB236B">
        <w:rPr>
          <w:lang w:val="en-GB"/>
        </w:rPr>
        <w:t xml:space="preserve"> between -70 and 30°C</w:t>
      </w:r>
      <w:r w:rsidR="004029E3" w:rsidRPr="00BB236B">
        <w:rPr>
          <w:lang w:val="en-GB"/>
        </w:rPr>
        <w:t xml:space="preserve"> </w:t>
      </w:r>
      <w:r w:rsidR="000B2CA5" w:rsidRPr="00BB236B">
        <w:rPr>
          <w:lang w:val="en-GB"/>
        </w:rPr>
        <w:t>depending on the material system</w:t>
      </w:r>
      <w:r w:rsidR="00D90D40" w:rsidRPr="00BB236B">
        <w:rPr>
          <w:lang w:val="en-GB"/>
        </w:rPr>
        <w:t>.</w:t>
      </w:r>
      <w:r w:rsidR="000A4D17" w:rsidRPr="00BB236B">
        <w:rPr>
          <w:lang w:val="en-GB"/>
        </w:rPr>
        <w:t xml:space="preserve"> According to Sievert’s law, the hydrogen concentration in the metal lattice is proportional to the hydrogen partial pressure, following a square root dependence, and the same goes for the HE effects. Nevertheless, above a certain pressure, saturation </w:t>
      </w:r>
      <w:r w:rsidR="00274E91" w:rsidRPr="00BB236B">
        <w:rPr>
          <w:lang w:val="en-GB"/>
        </w:rPr>
        <w:t>occurs,</w:t>
      </w:r>
      <w:r w:rsidR="000A4D17" w:rsidRPr="00BB236B">
        <w:rPr>
          <w:lang w:val="en-GB"/>
        </w:rPr>
        <w:t xml:space="preserve"> and further pressure increases do not affect the HE susceptibility.</w:t>
      </w:r>
      <w:r w:rsidR="00274E91" w:rsidRPr="00BB236B">
        <w:rPr>
          <w:lang w:val="en-GB"/>
        </w:rPr>
        <w:t xml:space="preserve"> </w:t>
      </w:r>
      <w:r w:rsidR="00DB6E71" w:rsidRPr="00BB236B">
        <w:rPr>
          <w:lang w:val="en-GB"/>
        </w:rPr>
        <w:t>As a rule of th</w:t>
      </w:r>
      <w:r w:rsidR="00891FDD" w:rsidRPr="00BB236B">
        <w:rPr>
          <w:lang w:val="en-GB"/>
        </w:rPr>
        <w:t>umb</w:t>
      </w:r>
      <w:r w:rsidR="00C21EB8" w:rsidRPr="00BB236B">
        <w:rPr>
          <w:lang w:val="en-GB"/>
        </w:rPr>
        <w:t>, the susceptibility to HE increases</w:t>
      </w:r>
      <w:r w:rsidR="00240088" w:rsidRPr="00BB236B">
        <w:rPr>
          <w:lang w:val="en-GB"/>
        </w:rPr>
        <w:t xml:space="preserve"> as the material strength increases. Moreover, </w:t>
      </w:r>
      <w:r w:rsidR="00891FDD" w:rsidRPr="00BB236B">
        <w:rPr>
          <w:lang w:val="en-GB"/>
        </w:rPr>
        <w:t xml:space="preserve">for a given strength level, </w:t>
      </w:r>
      <w:r w:rsidR="00240088" w:rsidRPr="00BB236B">
        <w:rPr>
          <w:lang w:val="en-GB"/>
        </w:rPr>
        <w:t>certain microstructures (e.g., untampered martensite) are more susceptible than others (e.g., austenite)</w:t>
      </w:r>
      <w:r w:rsidR="00891FDD" w:rsidRPr="00BB236B">
        <w:rPr>
          <w:lang w:val="en-GB"/>
        </w:rPr>
        <w:t>.</w:t>
      </w:r>
      <w:r w:rsidR="00472E9D" w:rsidRPr="00BB236B">
        <w:rPr>
          <w:lang w:val="en-GB"/>
        </w:rPr>
        <w:t xml:space="preserve"> Low-alloy steels, high-strength steels, 400 series stainless steels, precipitation </w:t>
      </w:r>
      <w:proofErr w:type="spellStart"/>
      <w:r w:rsidR="00472E9D" w:rsidRPr="00BB236B">
        <w:rPr>
          <w:lang w:val="en-GB"/>
        </w:rPr>
        <w:t>hardenable</w:t>
      </w:r>
      <w:proofErr w:type="spellEnd"/>
      <w:r w:rsidR="00472E9D" w:rsidRPr="00BB236B">
        <w:rPr>
          <w:lang w:val="en-GB"/>
        </w:rPr>
        <w:t xml:space="preserve"> stainless steels, duplex stainless steel, and some high-strength nickel-based </w:t>
      </w:r>
      <w:r w:rsidR="000F26BF" w:rsidRPr="00BB236B">
        <w:rPr>
          <w:lang w:val="en-GB"/>
        </w:rPr>
        <w:t xml:space="preserve">and titanium-based </w:t>
      </w:r>
      <w:r w:rsidR="00472E9D" w:rsidRPr="00BB236B">
        <w:rPr>
          <w:lang w:val="en-GB"/>
        </w:rPr>
        <w:t>alloys are potentially susceptible to HE</w:t>
      </w:r>
      <w:r w:rsidR="008C7972" w:rsidRPr="00BB236B">
        <w:rPr>
          <w:lang w:val="en-GB"/>
        </w:rPr>
        <w:t xml:space="preserve"> (San </w:t>
      </w:r>
      <w:proofErr w:type="spellStart"/>
      <w:r w:rsidR="008C7972" w:rsidRPr="00BB236B">
        <w:rPr>
          <w:lang w:val="en-GB"/>
        </w:rPr>
        <w:t>Marchi</w:t>
      </w:r>
      <w:proofErr w:type="spellEnd"/>
      <w:r w:rsidR="008C7972" w:rsidRPr="00BB236B">
        <w:rPr>
          <w:lang w:val="en-GB"/>
        </w:rPr>
        <w:t xml:space="preserve"> and </w:t>
      </w:r>
      <w:proofErr w:type="spellStart"/>
      <w:r w:rsidR="008C7972" w:rsidRPr="00BB236B">
        <w:rPr>
          <w:lang w:val="en-GB"/>
        </w:rPr>
        <w:t>Somerday</w:t>
      </w:r>
      <w:proofErr w:type="spellEnd"/>
      <w:r w:rsidR="008C7972" w:rsidRPr="00BB236B">
        <w:rPr>
          <w:lang w:val="en-GB"/>
        </w:rPr>
        <w:t>, 2012)</w:t>
      </w:r>
      <w:r w:rsidR="00472E9D" w:rsidRPr="00BB236B">
        <w:rPr>
          <w:lang w:val="en-GB"/>
        </w:rPr>
        <w:t>.</w:t>
      </w:r>
    </w:p>
    <w:p w14:paraId="54C7BD69" w14:textId="082BB5CD" w:rsidR="00AA6FE7" w:rsidRDefault="00AA6FE7" w:rsidP="00AA6FE7">
      <w:pPr>
        <w:pStyle w:val="CETHeading1"/>
      </w:pPr>
      <w:r>
        <w:t xml:space="preserve">Calculation of the </w:t>
      </w:r>
      <w:r w:rsidR="00DB6786">
        <w:t>d</w:t>
      </w:r>
      <w:r>
        <w:t xml:space="preserve">amage </w:t>
      </w:r>
      <w:r w:rsidR="00DB6786">
        <w:t>f</w:t>
      </w:r>
      <w:r>
        <w:t>actor</w:t>
      </w:r>
    </w:p>
    <w:p w14:paraId="3C9021B6" w14:textId="1C9F2727" w:rsidR="0010423D" w:rsidRPr="00BB236B" w:rsidRDefault="00605A8E" w:rsidP="001B0799">
      <w:pPr>
        <w:pStyle w:val="CETBodytext"/>
      </w:pPr>
      <w:r w:rsidRPr="00BB236B">
        <w:t xml:space="preserve">API RP 581 is the </w:t>
      </w:r>
      <w:r w:rsidR="005B6796" w:rsidRPr="00BB236B">
        <w:t>most</w:t>
      </w:r>
      <w:r w:rsidRPr="00BB236B">
        <w:t xml:space="preserve">-known reference for putting in action a </w:t>
      </w:r>
      <w:r w:rsidR="00B623F7" w:rsidRPr="00BB236B">
        <w:t>semi-</w:t>
      </w:r>
      <w:r w:rsidRPr="00BB236B">
        <w:t xml:space="preserve">quantitative RBI. </w:t>
      </w:r>
      <w:r w:rsidR="009B2CF2" w:rsidRPr="00BB236B">
        <w:t>Hence, the methodology proposed in this study to calculate the hydrogen embrittlement damage factor is based on this recommended practice</w:t>
      </w:r>
      <w:r w:rsidRPr="00BB236B">
        <w:t>.</w:t>
      </w:r>
      <w:r w:rsidR="009B2CF2" w:rsidRPr="00BB236B">
        <w:t xml:space="preserve"> </w:t>
      </w:r>
      <w:r w:rsidR="009B2CF2" w:rsidRPr="00BB236B">
        <w:fldChar w:fldCharType="begin"/>
      </w:r>
      <w:r w:rsidR="009B2CF2" w:rsidRPr="00BB236B">
        <w:instrText xml:space="preserve"> REF _Ref120116657 \h </w:instrText>
      </w:r>
      <w:r w:rsidR="00BB236B" w:rsidRPr="00BB236B">
        <w:instrText xml:space="preserve"> \* MERGEFORMAT </w:instrText>
      </w:r>
      <w:r w:rsidR="009B2CF2" w:rsidRPr="00BB236B">
        <w:fldChar w:fldCharType="separate"/>
      </w:r>
      <w:r w:rsidR="00722BA7">
        <w:t xml:space="preserve">Table </w:t>
      </w:r>
      <w:r w:rsidR="00722BA7">
        <w:rPr>
          <w:noProof/>
        </w:rPr>
        <w:t>1</w:t>
      </w:r>
      <w:r w:rsidR="009B2CF2" w:rsidRPr="00BB236B">
        <w:fldChar w:fldCharType="end"/>
      </w:r>
      <w:r w:rsidR="009B2CF2" w:rsidRPr="00BB236B">
        <w:t xml:space="preserve"> summarizes the information required for the determination of the </w:t>
      </w:r>
      <m:oMath>
        <m:sSubSup>
          <m:sSubSupPr>
            <m:ctrlPr>
              <w:rPr>
                <w:rFonts w:ascii="Cambria Math" w:hAnsi="Cambria Math"/>
              </w:rPr>
            </m:ctrlPr>
          </m:sSubSupPr>
          <m:e>
            <m:r>
              <m:rPr>
                <m:sty m:val="p"/>
              </m:rPr>
              <w:rPr>
                <w:rFonts w:ascii="Cambria Math" w:hAnsi="Cambria Math"/>
              </w:rPr>
              <m:t>D</m:t>
            </m:r>
          </m:e>
          <m:sub>
            <m:r>
              <m:rPr>
                <m:sty m:val="p"/>
              </m:rPr>
              <w:rPr>
                <w:rFonts w:ascii="Cambria Math" w:hAnsi="Cambria Math"/>
              </w:rPr>
              <m:t>f</m:t>
            </m:r>
          </m:sub>
          <m:sup>
            <m:r>
              <m:rPr>
                <m:sty m:val="p"/>
              </m:rPr>
              <w:rPr>
                <w:rFonts w:ascii="Cambria Math" w:hAnsi="Cambria Math"/>
              </w:rPr>
              <m:t>HE</m:t>
            </m:r>
          </m:sup>
        </m:sSubSup>
      </m:oMath>
      <w:r w:rsidR="005C3B08" w:rsidRPr="00BB236B">
        <w:t>.</w:t>
      </w:r>
    </w:p>
    <w:p w14:paraId="3DF380DA" w14:textId="4BCE3707" w:rsidR="001B0799" w:rsidRDefault="001B0799" w:rsidP="001B0799">
      <w:pPr>
        <w:pStyle w:val="CETTabletitle"/>
      </w:pPr>
      <w:bookmarkStart w:id="3" w:name="_Ref120116657"/>
      <w:r>
        <w:t xml:space="preserve">Table </w:t>
      </w:r>
      <w:r>
        <w:fldChar w:fldCharType="begin"/>
      </w:r>
      <w:r>
        <w:instrText xml:space="preserve"> SEQ Table \* ARABIC </w:instrText>
      </w:r>
      <w:r>
        <w:fldChar w:fldCharType="separate"/>
      </w:r>
      <w:r w:rsidR="00722BA7">
        <w:rPr>
          <w:noProof/>
        </w:rPr>
        <w:t>1</w:t>
      </w:r>
      <w:r>
        <w:fldChar w:fldCharType="end"/>
      </w:r>
      <w:bookmarkEnd w:id="3"/>
      <w:r>
        <w:t xml:space="preserve">: </w:t>
      </w:r>
      <w:r w:rsidRPr="005463C2">
        <w:t xml:space="preserve">Data required for the determination of the </w:t>
      </w:r>
      <w:r w:rsidR="00DB6786">
        <w:t>d</w:t>
      </w:r>
      <w:r w:rsidRPr="005463C2">
        <w:t xml:space="preserve">amage </w:t>
      </w:r>
      <w:r w:rsidR="00DB6786">
        <w:t>f</w:t>
      </w:r>
      <w:r w:rsidRPr="005463C2">
        <w:t xml:space="preserve">actor for hydrogen </w:t>
      </w:r>
      <w:proofErr w:type="gramStart"/>
      <w:r w:rsidRPr="005463C2">
        <w:t>embrittlement</w:t>
      </w:r>
      <w:proofErr w:type="gramEnd"/>
    </w:p>
    <w:tbl>
      <w:tblPr>
        <w:tblW w:w="873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40"/>
        <w:gridCol w:w="2610"/>
        <w:gridCol w:w="4680"/>
      </w:tblGrid>
      <w:tr w:rsidR="0010423D" w:rsidRPr="00B57B36" w14:paraId="40D3277F" w14:textId="77777777" w:rsidTr="00363A5E">
        <w:tc>
          <w:tcPr>
            <w:tcW w:w="1440" w:type="dxa"/>
            <w:tcBorders>
              <w:top w:val="single" w:sz="12" w:space="0" w:color="008000"/>
              <w:bottom w:val="single" w:sz="6" w:space="0" w:color="008000"/>
            </w:tcBorders>
            <w:shd w:val="clear" w:color="auto" w:fill="FFFFFF"/>
          </w:tcPr>
          <w:p w14:paraId="608DDDE5" w14:textId="77777777" w:rsidR="0010423D" w:rsidRPr="00B57B36" w:rsidRDefault="0010423D" w:rsidP="008F741D">
            <w:pPr>
              <w:pStyle w:val="CETBodytext"/>
              <w:jc w:val="left"/>
              <w:rPr>
                <w:lang w:val="en-GB"/>
              </w:rPr>
            </w:pPr>
            <w:r>
              <w:rPr>
                <w:lang w:val="en-GB"/>
              </w:rPr>
              <w:t>Required data</w:t>
            </w:r>
          </w:p>
        </w:tc>
        <w:tc>
          <w:tcPr>
            <w:tcW w:w="2610" w:type="dxa"/>
            <w:tcBorders>
              <w:top w:val="single" w:sz="12" w:space="0" w:color="008000"/>
              <w:bottom w:val="single" w:sz="6" w:space="0" w:color="008000"/>
            </w:tcBorders>
            <w:shd w:val="clear" w:color="auto" w:fill="FFFFFF"/>
          </w:tcPr>
          <w:p w14:paraId="3D869094" w14:textId="77777777" w:rsidR="0010423D" w:rsidRPr="00B57B36" w:rsidRDefault="0010423D" w:rsidP="008F741D">
            <w:pPr>
              <w:pStyle w:val="CETBodytext"/>
              <w:ind w:right="-1"/>
              <w:jc w:val="left"/>
              <w:rPr>
                <w:rFonts w:cs="Arial"/>
                <w:szCs w:val="18"/>
                <w:lang w:val="en-GB"/>
              </w:rPr>
            </w:pPr>
            <w:r>
              <w:rPr>
                <w:rFonts w:cs="Arial"/>
                <w:szCs w:val="18"/>
                <w:lang w:val="en-GB"/>
              </w:rPr>
              <w:t>Specific information</w:t>
            </w:r>
          </w:p>
        </w:tc>
        <w:tc>
          <w:tcPr>
            <w:tcW w:w="4680" w:type="dxa"/>
            <w:tcBorders>
              <w:top w:val="single" w:sz="12" w:space="0" w:color="008000"/>
              <w:bottom w:val="single" w:sz="6" w:space="0" w:color="008000"/>
            </w:tcBorders>
            <w:shd w:val="clear" w:color="auto" w:fill="FFFFFF"/>
          </w:tcPr>
          <w:p w14:paraId="6E65574D" w14:textId="77777777" w:rsidR="0010423D" w:rsidRDefault="0010423D" w:rsidP="008F741D">
            <w:pPr>
              <w:pStyle w:val="CETBodytext"/>
              <w:ind w:right="-1"/>
              <w:jc w:val="left"/>
              <w:rPr>
                <w:rFonts w:cs="Arial"/>
                <w:szCs w:val="18"/>
                <w:lang w:val="en-GB"/>
              </w:rPr>
            </w:pPr>
            <w:r>
              <w:rPr>
                <w:rFonts w:cs="Arial"/>
                <w:szCs w:val="18"/>
                <w:lang w:val="en-GB"/>
              </w:rPr>
              <w:t>Comments</w:t>
            </w:r>
          </w:p>
        </w:tc>
      </w:tr>
      <w:tr w:rsidR="00CA0826" w:rsidRPr="00E313B3" w14:paraId="48E33806" w14:textId="77777777" w:rsidTr="00363A5E">
        <w:tc>
          <w:tcPr>
            <w:tcW w:w="1440" w:type="dxa"/>
            <w:vMerge w:val="restart"/>
            <w:shd w:val="clear" w:color="auto" w:fill="FFFFFF"/>
          </w:tcPr>
          <w:p w14:paraId="7F9F1D28" w14:textId="77777777" w:rsidR="00CA0826" w:rsidRPr="00B57B36" w:rsidRDefault="00CA0826" w:rsidP="008F741D">
            <w:pPr>
              <w:pStyle w:val="CETBodytext"/>
              <w:jc w:val="left"/>
              <w:rPr>
                <w:lang w:val="en-GB"/>
              </w:rPr>
            </w:pPr>
            <w:r>
              <w:rPr>
                <w:lang w:val="en-GB"/>
              </w:rPr>
              <w:t>Environmental severity</w:t>
            </w:r>
          </w:p>
        </w:tc>
        <w:tc>
          <w:tcPr>
            <w:tcW w:w="2610" w:type="dxa"/>
            <w:shd w:val="clear" w:color="auto" w:fill="FFFFFF"/>
          </w:tcPr>
          <w:p w14:paraId="162E8890" w14:textId="7676FB30" w:rsidR="00CA0826" w:rsidRPr="00E313B3" w:rsidRDefault="00CA0826" w:rsidP="008F741D">
            <w:pPr>
              <w:pStyle w:val="CETBodytext"/>
              <w:ind w:right="-1"/>
              <w:jc w:val="left"/>
              <w:rPr>
                <w:rFonts w:cs="Arial"/>
                <w:szCs w:val="18"/>
              </w:rPr>
            </w:pPr>
            <w:r w:rsidRPr="00E313B3">
              <w:rPr>
                <w:rFonts w:cs="Arial"/>
                <w:szCs w:val="18"/>
              </w:rPr>
              <w:t xml:space="preserve">Hydrogen </w:t>
            </w:r>
            <w:r w:rsidR="00A25722">
              <w:rPr>
                <w:rFonts w:cs="Arial"/>
                <w:szCs w:val="18"/>
              </w:rPr>
              <w:t xml:space="preserve">partial </w:t>
            </w:r>
            <w:r w:rsidRPr="00E313B3">
              <w:rPr>
                <w:rFonts w:cs="Arial"/>
                <w:szCs w:val="18"/>
              </w:rPr>
              <w:t>pressur</w:t>
            </w:r>
            <w:r>
              <w:rPr>
                <w:rFonts w:cs="Arial"/>
                <w:szCs w:val="18"/>
              </w:rPr>
              <w:t>e</w:t>
            </w:r>
          </w:p>
        </w:tc>
        <w:tc>
          <w:tcPr>
            <w:tcW w:w="4680" w:type="dxa"/>
            <w:shd w:val="clear" w:color="auto" w:fill="FFFFFF"/>
          </w:tcPr>
          <w:p w14:paraId="1239A7B3" w14:textId="51D31F03" w:rsidR="00CA0826" w:rsidRPr="00E313B3" w:rsidRDefault="008F741D" w:rsidP="008F741D">
            <w:pPr>
              <w:pStyle w:val="CETBodytext"/>
              <w:ind w:right="-1"/>
              <w:jc w:val="left"/>
              <w:rPr>
                <w:rFonts w:cs="Arial"/>
                <w:szCs w:val="18"/>
              </w:rPr>
            </w:pPr>
            <w:r>
              <w:rPr>
                <w:rFonts w:cs="Arial"/>
                <w:szCs w:val="18"/>
              </w:rPr>
              <w:t>Determine the operating pressure and the pressure during</w:t>
            </w:r>
            <w:r w:rsidR="00186B39">
              <w:rPr>
                <w:rFonts w:cs="Arial"/>
                <w:szCs w:val="18"/>
              </w:rPr>
              <w:t xml:space="preserve"> start-up</w:t>
            </w:r>
            <w:r>
              <w:rPr>
                <w:rFonts w:cs="Arial"/>
                <w:szCs w:val="18"/>
              </w:rPr>
              <w:t xml:space="preserve">, </w:t>
            </w:r>
            <w:r w:rsidR="00186B39">
              <w:rPr>
                <w:rFonts w:cs="Arial"/>
                <w:szCs w:val="18"/>
              </w:rPr>
              <w:t>shutdown</w:t>
            </w:r>
            <w:r>
              <w:rPr>
                <w:rFonts w:cs="Arial"/>
                <w:szCs w:val="18"/>
              </w:rPr>
              <w:t>, and upset conditions</w:t>
            </w:r>
          </w:p>
        </w:tc>
      </w:tr>
      <w:tr w:rsidR="00CA0826" w:rsidRPr="00E313B3" w14:paraId="5403D11E" w14:textId="77777777" w:rsidTr="00363A5E">
        <w:tc>
          <w:tcPr>
            <w:tcW w:w="1440" w:type="dxa"/>
            <w:vMerge/>
            <w:shd w:val="clear" w:color="auto" w:fill="FFFFFF"/>
          </w:tcPr>
          <w:p w14:paraId="4FE90848" w14:textId="64AC200E" w:rsidR="00CA0826" w:rsidRPr="00E313B3" w:rsidRDefault="00CA0826" w:rsidP="008F741D">
            <w:pPr>
              <w:pStyle w:val="CETBodytext"/>
              <w:ind w:right="-1"/>
              <w:jc w:val="left"/>
              <w:rPr>
                <w:rFonts w:cs="Arial"/>
                <w:szCs w:val="18"/>
              </w:rPr>
            </w:pPr>
          </w:p>
        </w:tc>
        <w:tc>
          <w:tcPr>
            <w:tcW w:w="2610" w:type="dxa"/>
            <w:shd w:val="clear" w:color="auto" w:fill="FFFFFF"/>
          </w:tcPr>
          <w:p w14:paraId="39EFA4A6" w14:textId="0E3049CD" w:rsidR="00CA0826" w:rsidRPr="00E313B3" w:rsidRDefault="00CA0826" w:rsidP="008F741D">
            <w:pPr>
              <w:pStyle w:val="CETBodytext"/>
              <w:ind w:right="-1"/>
              <w:jc w:val="left"/>
              <w:rPr>
                <w:rFonts w:cs="Arial"/>
                <w:szCs w:val="18"/>
              </w:rPr>
            </w:pPr>
            <w:r>
              <w:rPr>
                <w:rFonts w:cs="Arial"/>
                <w:szCs w:val="18"/>
              </w:rPr>
              <w:t>Temperature</w:t>
            </w:r>
          </w:p>
        </w:tc>
        <w:tc>
          <w:tcPr>
            <w:tcW w:w="4680" w:type="dxa"/>
            <w:shd w:val="clear" w:color="auto" w:fill="FFFFFF"/>
          </w:tcPr>
          <w:p w14:paraId="398C3CC3" w14:textId="40D67494" w:rsidR="00CA0826" w:rsidRPr="00E313B3" w:rsidRDefault="008F741D" w:rsidP="008F741D">
            <w:pPr>
              <w:pStyle w:val="CETBodytext"/>
              <w:ind w:right="-1"/>
              <w:jc w:val="left"/>
              <w:rPr>
                <w:rFonts w:cs="Arial"/>
                <w:szCs w:val="18"/>
              </w:rPr>
            </w:pPr>
            <w:r w:rsidRPr="008F741D">
              <w:rPr>
                <w:rFonts w:cs="Arial"/>
                <w:szCs w:val="18"/>
              </w:rPr>
              <w:t xml:space="preserve">Determine the operating </w:t>
            </w:r>
            <w:r>
              <w:rPr>
                <w:rFonts w:cs="Arial"/>
                <w:szCs w:val="18"/>
              </w:rPr>
              <w:t>temperature</w:t>
            </w:r>
            <w:r w:rsidRPr="008F741D">
              <w:rPr>
                <w:rFonts w:cs="Arial"/>
                <w:szCs w:val="18"/>
              </w:rPr>
              <w:t xml:space="preserve">, and the </w:t>
            </w:r>
            <w:r>
              <w:rPr>
                <w:rFonts w:cs="Arial"/>
                <w:szCs w:val="18"/>
              </w:rPr>
              <w:t>temperature</w:t>
            </w:r>
            <w:r w:rsidRPr="008F741D">
              <w:rPr>
                <w:rFonts w:cs="Arial"/>
                <w:szCs w:val="18"/>
              </w:rPr>
              <w:t xml:space="preserve"> during start-up</w:t>
            </w:r>
            <w:r>
              <w:rPr>
                <w:rFonts w:cs="Arial"/>
                <w:szCs w:val="18"/>
              </w:rPr>
              <w:t>,</w:t>
            </w:r>
            <w:r w:rsidRPr="008F741D">
              <w:rPr>
                <w:rFonts w:cs="Arial"/>
                <w:szCs w:val="18"/>
              </w:rPr>
              <w:t xml:space="preserve"> shutdown</w:t>
            </w:r>
            <w:r>
              <w:rPr>
                <w:rFonts w:cs="Arial"/>
                <w:szCs w:val="18"/>
              </w:rPr>
              <w:t>, and upset conditions</w:t>
            </w:r>
          </w:p>
        </w:tc>
      </w:tr>
      <w:tr w:rsidR="00A25722" w:rsidRPr="00E313B3" w14:paraId="3A6FD81C" w14:textId="77777777" w:rsidTr="00363A5E">
        <w:tc>
          <w:tcPr>
            <w:tcW w:w="1440" w:type="dxa"/>
            <w:vMerge w:val="restart"/>
            <w:shd w:val="clear" w:color="auto" w:fill="FFFFFF"/>
          </w:tcPr>
          <w:p w14:paraId="2810582B" w14:textId="135FDB11" w:rsidR="00A25722" w:rsidRPr="00E313B3" w:rsidRDefault="00A25722" w:rsidP="008F741D">
            <w:pPr>
              <w:pStyle w:val="CETBodytext"/>
              <w:ind w:right="-1"/>
              <w:jc w:val="left"/>
              <w:rPr>
                <w:rFonts w:cs="Arial"/>
                <w:szCs w:val="18"/>
              </w:rPr>
            </w:pPr>
            <w:r>
              <w:rPr>
                <w:rFonts w:cs="Arial"/>
                <w:szCs w:val="18"/>
              </w:rPr>
              <w:t>Materials susceptibility</w:t>
            </w:r>
          </w:p>
        </w:tc>
        <w:tc>
          <w:tcPr>
            <w:tcW w:w="2610" w:type="dxa"/>
            <w:shd w:val="clear" w:color="auto" w:fill="FFFFFF"/>
          </w:tcPr>
          <w:p w14:paraId="161331EE" w14:textId="3332802D" w:rsidR="00A25722" w:rsidRDefault="00A25722" w:rsidP="008F741D">
            <w:pPr>
              <w:pStyle w:val="CETBodytext"/>
              <w:ind w:right="-1"/>
              <w:jc w:val="left"/>
              <w:rPr>
                <w:rFonts w:cs="Arial"/>
                <w:szCs w:val="18"/>
              </w:rPr>
            </w:pPr>
            <w:r>
              <w:rPr>
                <w:rFonts w:cs="Arial"/>
                <w:szCs w:val="18"/>
              </w:rPr>
              <w:t>Microstructure, composition, strength</w:t>
            </w:r>
          </w:p>
        </w:tc>
        <w:tc>
          <w:tcPr>
            <w:tcW w:w="4680" w:type="dxa"/>
            <w:shd w:val="clear" w:color="auto" w:fill="FFFFFF"/>
          </w:tcPr>
          <w:p w14:paraId="796F35CC" w14:textId="49CF9DDA" w:rsidR="00A25722" w:rsidRPr="00E313B3" w:rsidRDefault="00A25722" w:rsidP="008F741D">
            <w:pPr>
              <w:pStyle w:val="CETBodytext"/>
              <w:ind w:right="-1"/>
              <w:jc w:val="left"/>
              <w:rPr>
                <w:rFonts w:cs="Arial"/>
                <w:szCs w:val="18"/>
              </w:rPr>
            </w:pPr>
            <w:r w:rsidRPr="00303309">
              <w:rPr>
                <w:rFonts w:cs="Arial"/>
                <w:szCs w:val="18"/>
              </w:rPr>
              <w:t xml:space="preserve">Determine what </w:t>
            </w:r>
            <w:r>
              <w:rPr>
                <w:rFonts w:cs="Arial"/>
                <w:szCs w:val="18"/>
              </w:rPr>
              <w:t>kind of alloy or steel</w:t>
            </w:r>
            <w:r w:rsidRPr="00303309">
              <w:rPr>
                <w:rFonts w:cs="Arial"/>
                <w:szCs w:val="18"/>
              </w:rPr>
              <w:t xml:space="preserve"> was used to fabricate the component</w:t>
            </w:r>
          </w:p>
        </w:tc>
      </w:tr>
      <w:tr w:rsidR="00A25722" w:rsidRPr="00E313B3" w14:paraId="58276617" w14:textId="77777777" w:rsidTr="00363A5E">
        <w:tc>
          <w:tcPr>
            <w:tcW w:w="1440" w:type="dxa"/>
            <w:vMerge/>
            <w:shd w:val="clear" w:color="auto" w:fill="FFFFFF"/>
          </w:tcPr>
          <w:p w14:paraId="12729A02" w14:textId="77777777" w:rsidR="00A25722" w:rsidRDefault="00A25722" w:rsidP="008F741D">
            <w:pPr>
              <w:pStyle w:val="CETBodytext"/>
              <w:ind w:right="-1"/>
              <w:jc w:val="left"/>
              <w:rPr>
                <w:rFonts w:cs="Arial"/>
                <w:szCs w:val="18"/>
              </w:rPr>
            </w:pPr>
          </w:p>
        </w:tc>
        <w:tc>
          <w:tcPr>
            <w:tcW w:w="2610" w:type="dxa"/>
            <w:shd w:val="clear" w:color="auto" w:fill="FFFFFF"/>
          </w:tcPr>
          <w:p w14:paraId="518B0BFA" w14:textId="7859D834" w:rsidR="00A25722" w:rsidRDefault="00A25722" w:rsidP="008F741D">
            <w:pPr>
              <w:pStyle w:val="CETBodytext"/>
              <w:ind w:right="-1"/>
              <w:jc w:val="left"/>
              <w:rPr>
                <w:rFonts w:cs="Arial"/>
                <w:szCs w:val="18"/>
              </w:rPr>
            </w:pPr>
            <w:r>
              <w:rPr>
                <w:rFonts w:cs="Arial"/>
                <w:szCs w:val="18"/>
              </w:rPr>
              <w:t>Welds</w:t>
            </w:r>
          </w:p>
        </w:tc>
        <w:tc>
          <w:tcPr>
            <w:tcW w:w="4680" w:type="dxa"/>
            <w:shd w:val="clear" w:color="auto" w:fill="FFFFFF"/>
          </w:tcPr>
          <w:p w14:paraId="5E575A13" w14:textId="0611D45C" w:rsidR="00A25722" w:rsidRPr="00E313B3" w:rsidRDefault="00A25722" w:rsidP="008F741D">
            <w:pPr>
              <w:pStyle w:val="CETBodytext"/>
              <w:ind w:right="-1"/>
              <w:jc w:val="left"/>
              <w:rPr>
                <w:rFonts w:cs="Arial"/>
                <w:szCs w:val="18"/>
              </w:rPr>
            </w:pPr>
            <w:r>
              <w:rPr>
                <w:rFonts w:cs="Arial"/>
                <w:szCs w:val="18"/>
              </w:rPr>
              <w:t>Determine if post-weld heat treatments (PWHT) were performed</w:t>
            </w:r>
          </w:p>
        </w:tc>
      </w:tr>
      <w:tr w:rsidR="00A25722" w:rsidRPr="00E313B3" w14:paraId="7380F5C2" w14:textId="77777777" w:rsidTr="00363A5E">
        <w:tc>
          <w:tcPr>
            <w:tcW w:w="1440" w:type="dxa"/>
            <w:vMerge w:val="restart"/>
            <w:shd w:val="clear" w:color="auto" w:fill="FFFFFF"/>
          </w:tcPr>
          <w:p w14:paraId="07834185" w14:textId="18B03B5C" w:rsidR="00A25722" w:rsidRDefault="00A25722" w:rsidP="008F741D">
            <w:pPr>
              <w:pStyle w:val="CETBodytext"/>
              <w:ind w:right="-1"/>
              <w:jc w:val="left"/>
              <w:rPr>
                <w:rFonts w:cs="Arial"/>
                <w:szCs w:val="18"/>
              </w:rPr>
            </w:pPr>
            <w:r>
              <w:rPr>
                <w:rFonts w:cs="Arial"/>
                <w:szCs w:val="18"/>
              </w:rPr>
              <w:t>Component’s history</w:t>
            </w:r>
          </w:p>
        </w:tc>
        <w:tc>
          <w:tcPr>
            <w:tcW w:w="2610" w:type="dxa"/>
            <w:shd w:val="clear" w:color="auto" w:fill="FFFFFF"/>
          </w:tcPr>
          <w:p w14:paraId="51754130" w14:textId="7ECAC8A7" w:rsidR="00A25722" w:rsidRDefault="00A25722" w:rsidP="008F741D">
            <w:pPr>
              <w:pStyle w:val="CETBodytext"/>
              <w:ind w:right="-1"/>
              <w:jc w:val="left"/>
              <w:rPr>
                <w:rFonts w:cs="Arial"/>
                <w:szCs w:val="18"/>
              </w:rPr>
            </w:pPr>
            <w:r>
              <w:rPr>
                <w:rFonts w:cs="Arial"/>
                <w:szCs w:val="18"/>
              </w:rPr>
              <w:t>Time since the last inspection</w:t>
            </w:r>
          </w:p>
        </w:tc>
        <w:tc>
          <w:tcPr>
            <w:tcW w:w="4680" w:type="dxa"/>
            <w:shd w:val="clear" w:color="auto" w:fill="FFFFFF"/>
          </w:tcPr>
          <w:p w14:paraId="1A52BF48" w14:textId="62BF6A5C" w:rsidR="00A25722" w:rsidRPr="00E313B3" w:rsidRDefault="00A25722" w:rsidP="008F741D">
            <w:pPr>
              <w:pStyle w:val="CETBodytext"/>
              <w:ind w:right="-1"/>
              <w:jc w:val="left"/>
              <w:rPr>
                <w:rFonts w:cs="Arial"/>
                <w:szCs w:val="18"/>
              </w:rPr>
            </w:pPr>
            <w:r w:rsidRPr="00363A5E">
              <w:rPr>
                <w:rFonts w:cs="Arial"/>
                <w:szCs w:val="18"/>
              </w:rPr>
              <w:t xml:space="preserve">Use inspection history to determine the time since the last </w:t>
            </w:r>
            <w:r>
              <w:rPr>
                <w:rFonts w:cs="Arial"/>
                <w:szCs w:val="18"/>
              </w:rPr>
              <w:t>HE inspection</w:t>
            </w:r>
          </w:p>
        </w:tc>
      </w:tr>
      <w:tr w:rsidR="00A25722" w:rsidRPr="00E313B3" w14:paraId="2CD68784" w14:textId="77777777" w:rsidTr="00363A5E">
        <w:tc>
          <w:tcPr>
            <w:tcW w:w="1440" w:type="dxa"/>
            <w:vMerge/>
            <w:shd w:val="clear" w:color="auto" w:fill="FFFFFF"/>
          </w:tcPr>
          <w:p w14:paraId="1B133E1E" w14:textId="7A40C26B" w:rsidR="00A25722" w:rsidRDefault="00A25722" w:rsidP="008F741D">
            <w:pPr>
              <w:pStyle w:val="CETBodytext"/>
              <w:ind w:right="-1"/>
              <w:jc w:val="left"/>
              <w:rPr>
                <w:rFonts w:cs="Arial"/>
                <w:szCs w:val="18"/>
              </w:rPr>
            </w:pPr>
          </w:p>
        </w:tc>
        <w:tc>
          <w:tcPr>
            <w:tcW w:w="2610" w:type="dxa"/>
            <w:shd w:val="clear" w:color="auto" w:fill="FFFFFF"/>
          </w:tcPr>
          <w:p w14:paraId="4C42BA3F" w14:textId="3D9784BE" w:rsidR="00A25722" w:rsidRDefault="00A25722" w:rsidP="008F741D">
            <w:pPr>
              <w:pStyle w:val="CETBodytext"/>
              <w:ind w:right="-1"/>
              <w:jc w:val="left"/>
              <w:rPr>
                <w:rFonts w:cs="Arial"/>
                <w:szCs w:val="18"/>
              </w:rPr>
            </w:pPr>
            <w:r>
              <w:rPr>
                <w:rFonts w:cs="Arial"/>
                <w:szCs w:val="18"/>
              </w:rPr>
              <w:t>Inspection effectiveness category</w:t>
            </w:r>
          </w:p>
        </w:tc>
        <w:tc>
          <w:tcPr>
            <w:tcW w:w="4680" w:type="dxa"/>
            <w:shd w:val="clear" w:color="auto" w:fill="FFFFFF"/>
          </w:tcPr>
          <w:p w14:paraId="36EFE951" w14:textId="24E35A3E" w:rsidR="00A25722" w:rsidRPr="00363A5E" w:rsidRDefault="00A25722" w:rsidP="008F741D">
            <w:pPr>
              <w:pStyle w:val="CETBodytext"/>
              <w:ind w:right="-1"/>
              <w:jc w:val="left"/>
              <w:rPr>
                <w:rFonts w:cs="Arial"/>
                <w:szCs w:val="18"/>
              </w:rPr>
            </w:pPr>
            <w:r>
              <w:rPr>
                <w:rFonts w:cs="Arial"/>
                <w:szCs w:val="18"/>
              </w:rPr>
              <w:t>Determine t</w:t>
            </w:r>
            <w:r w:rsidRPr="00363A5E">
              <w:rPr>
                <w:rFonts w:cs="Arial"/>
                <w:szCs w:val="18"/>
              </w:rPr>
              <w:t xml:space="preserve">he effectiveness category </w:t>
            </w:r>
            <w:r>
              <w:rPr>
                <w:rFonts w:cs="Arial"/>
                <w:szCs w:val="18"/>
              </w:rPr>
              <w:t xml:space="preserve">for the inspection </w:t>
            </w:r>
            <w:r w:rsidRPr="00363A5E">
              <w:rPr>
                <w:rFonts w:cs="Arial"/>
                <w:szCs w:val="18"/>
              </w:rPr>
              <w:t>that has been performed on the component</w:t>
            </w:r>
          </w:p>
        </w:tc>
      </w:tr>
      <w:tr w:rsidR="00A25722" w:rsidRPr="00E313B3" w14:paraId="77BB5944" w14:textId="77777777" w:rsidTr="00363A5E">
        <w:tc>
          <w:tcPr>
            <w:tcW w:w="1440" w:type="dxa"/>
            <w:vMerge/>
            <w:shd w:val="clear" w:color="auto" w:fill="FFFFFF"/>
          </w:tcPr>
          <w:p w14:paraId="43A6BC85" w14:textId="77777777" w:rsidR="00A25722" w:rsidRDefault="00A25722" w:rsidP="008F741D">
            <w:pPr>
              <w:pStyle w:val="CETBodytext"/>
              <w:ind w:right="-1"/>
              <w:jc w:val="left"/>
              <w:rPr>
                <w:rFonts w:cs="Arial"/>
                <w:szCs w:val="18"/>
              </w:rPr>
            </w:pPr>
          </w:p>
        </w:tc>
        <w:tc>
          <w:tcPr>
            <w:tcW w:w="2610" w:type="dxa"/>
            <w:shd w:val="clear" w:color="auto" w:fill="FFFFFF"/>
          </w:tcPr>
          <w:p w14:paraId="6E9B0731" w14:textId="70201465" w:rsidR="00A25722" w:rsidRDefault="00A25722" w:rsidP="008F741D">
            <w:pPr>
              <w:pStyle w:val="CETBodytext"/>
              <w:ind w:right="-1"/>
              <w:jc w:val="left"/>
              <w:rPr>
                <w:rFonts w:cs="Arial"/>
                <w:szCs w:val="18"/>
              </w:rPr>
            </w:pPr>
            <w:r>
              <w:rPr>
                <w:rFonts w:cs="Arial"/>
                <w:szCs w:val="18"/>
              </w:rPr>
              <w:t>Number of inspections</w:t>
            </w:r>
          </w:p>
        </w:tc>
        <w:tc>
          <w:tcPr>
            <w:tcW w:w="4680" w:type="dxa"/>
            <w:shd w:val="clear" w:color="auto" w:fill="FFFFFF"/>
          </w:tcPr>
          <w:p w14:paraId="4C6FCA93" w14:textId="7A220CA0" w:rsidR="00A25722" w:rsidRPr="00363A5E" w:rsidRDefault="00A25722" w:rsidP="008F741D">
            <w:pPr>
              <w:pStyle w:val="CETBodytext"/>
              <w:ind w:right="-1"/>
              <w:jc w:val="left"/>
              <w:rPr>
                <w:rFonts w:cs="Arial"/>
                <w:szCs w:val="18"/>
              </w:rPr>
            </w:pPr>
            <w:r>
              <w:rPr>
                <w:rFonts w:cs="Arial"/>
                <w:szCs w:val="18"/>
              </w:rPr>
              <w:t>Determine t</w:t>
            </w:r>
            <w:r w:rsidRPr="00363A5E">
              <w:rPr>
                <w:rFonts w:cs="Arial"/>
                <w:szCs w:val="18"/>
              </w:rPr>
              <w:t>he number of inspections in each effectiveness category that have been performed</w:t>
            </w:r>
            <w:r>
              <w:rPr>
                <w:rFonts w:cs="Arial"/>
                <w:szCs w:val="18"/>
              </w:rPr>
              <w:t xml:space="preserve"> on the component</w:t>
            </w:r>
          </w:p>
        </w:tc>
      </w:tr>
      <w:tr w:rsidR="003D1D37" w:rsidRPr="00E313B3" w14:paraId="34EC5F58" w14:textId="77777777" w:rsidTr="00363A5E">
        <w:tc>
          <w:tcPr>
            <w:tcW w:w="1440" w:type="dxa"/>
            <w:shd w:val="clear" w:color="auto" w:fill="FFFFFF"/>
          </w:tcPr>
          <w:p w14:paraId="39C060C9" w14:textId="182B3A5D" w:rsidR="003D1D37" w:rsidRDefault="003D1D37" w:rsidP="008F741D">
            <w:pPr>
              <w:pStyle w:val="CETBodytext"/>
              <w:ind w:right="-1"/>
              <w:jc w:val="left"/>
              <w:rPr>
                <w:rFonts w:cs="Arial"/>
                <w:szCs w:val="18"/>
              </w:rPr>
            </w:pPr>
            <w:r>
              <w:rPr>
                <w:rFonts w:cs="Arial"/>
                <w:szCs w:val="18"/>
              </w:rPr>
              <w:t>On-line monitoring</w:t>
            </w:r>
          </w:p>
        </w:tc>
        <w:tc>
          <w:tcPr>
            <w:tcW w:w="2610" w:type="dxa"/>
            <w:shd w:val="clear" w:color="auto" w:fill="FFFFFF"/>
          </w:tcPr>
          <w:p w14:paraId="244DDBC8" w14:textId="7D15A11F" w:rsidR="003D1D37" w:rsidRDefault="003D1D37" w:rsidP="008F741D">
            <w:pPr>
              <w:pStyle w:val="CETBodytext"/>
              <w:ind w:right="-1"/>
              <w:jc w:val="left"/>
              <w:rPr>
                <w:rFonts w:cs="Arial"/>
                <w:szCs w:val="18"/>
              </w:rPr>
            </w:pPr>
            <w:r>
              <w:rPr>
                <w:rFonts w:cs="Arial"/>
                <w:szCs w:val="18"/>
              </w:rPr>
              <w:t>Hydrogen probes and/or process variable monitoring</w:t>
            </w:r>
          </w:p>
        </w:tc>
        <w:tc>
          <w:tcPr>
            <w:tcW w:w="4680" w:type="dxa"/>
            <w:shd w:val="clear" w:color="auto" w:fill="FFFFFF"/>
          </w:tcPr>
          <w:p w14:paraId="59F55C8C" w14:textId="62DBFBF0" w:rsidR="003D1D37" w:rsidRDefault="003D1D37" w:rsidP="008F741D">
            <w:pPr>
              <w:pStyle w:val="CETBodytext"/>
              <w:ind w:right="-1"/>
              <w:jc w:val="left"/>
              <w:rPr>
                <w:rFonts w:cs="Arial"/>
                <w:szCs w:val="18"/>
              </w:rPr>
            </w:pPr>
            <w:r>
              <w:rPr>
                <w:rFonts w:cs="Arial"/>
                <w:szCs w:val="18"/>
              </w:rPr>
              <w:t>Determine t</w:t>
            </w:r>
            <w:r w:rsidRPr="003D1D37">
              <w:rPr>
                <w:rFonts w:cs="Arial"/>
                <w:szCs w:val="18"/>
              </w:rPr>
              <w:t>he type of proactive monitoring methods</w:t>
            </w:r>
            <w:r>
              <w:rPr>
                <w:rFonts w:cs="Arial"/>
                <w:szCs w:val="18"/>
              </w:rPr>
              <w:t xml:space="preserve"> employed</w:t>
            </w:r>
          </w:p>
        </w:tc>
      </w:tr>
    </w:tbl>
    <w:p w14:paraId="5F7F9551" w14:textId="77777777" w:rsidR="0010423D" w:rsidRPr="00E313B3" w:rsidRDefault="0010423D" w:rsidP="00605A8E">
      <w:pPr>
        <w:pStyle w:val="CETBodytext"/>
      </w:pPr>
    </w:p>
    <w:p w14:paraId="562FEA49" w14:textId="0805465B" w:rsidR="00AA6FE7" w:rsidRDefault="005C3B08" w:rsidP="00605A8E">
      <w:pPr>
        <w:pStyle w:val="CETBodytext"/>
      </w:pPr>
      <w:r>
        <w:t>The following procedure may be used to calculate the damage factor for HE</w:t>
      </w:r>
      <w:r w:rsidR="003764BD">
        <w:t>:</w:t>
      </w:r>
    </w:p>
    <w:p w14:paraId="4D68C236" w14:textId="1DE3970F" w:rsidR="005C3B08" w:rsidRDefault="005C3B08" w:rsidP="005C3B08">
      <w:pPr>
        <w:pStyle w:val="CETBodytext"/>
        <w:numPr>
          <w:ilvl w:val="0"/>
          <w:numId w:val="35"/>
        </w:numPr>
      </w:pPr>
      <w:r>
        <w:lastRenderedPageBreak/>
        <w:t xml:space="preserve">STEP 1 – Determine the environmental severity (i.e., the potential level of hydrogen uptake) based on hydrogen partial pressure and temperature, using </w:t>
      </w:r>
      <w:r>
        <w:fldChar w:fldCharType="begin"/>
      </w:r>
      <w:r>
        <w:instrText xml:space="preserve"> REF _Ref120116942 \h </w:instrText>
      </w:r>
      <w:r>
        <w:fldChar w:fldCharType="separate"/>
      </w:r>
      <w:r w:rsidR="00722BA7">
        <w:t xml:space="preserve">Table </w:t>
      </w:r>
      <w:r w:rsidR="00722BA7">
        <w:rPr>
          <w:noProof/>
        </w:rPr>
        <w:t>2</w:t>
      </w:r>
      <w:r>
        <w:fldChar w:fldCharType="end"/>
      </w:r>
      <w:r w:rsidR="00AA6145">
        <w:t xml:space="preserve"> (San </w:t>
      </w:r>
      <w:proofErr w:type="spellStart"/>
      <w:r w:rsidR="00AA6145">
        <w:t>Marchi</w:t>
      </w:r>
      <w:proofErr w:type="spellEnd"/>
      <w:r w:rsidR="00AA6145">
        <w:t xml:space="preserve"> and </w:t>
      </w:r>
      <w:proofErr w:type="spellStart"/>
      <w:r w:rsidR="00AA6145">
        <w:t>Somerday</w:t>
      </w:r>
      <w:proofErr w:type="spellEnd"/>
      <w:r w:rsidR="00AA6145">
        <w:t>, 2012)</w:t>
      </w:r>
      <w:r>
        <w:t>.</w:t>
      </w:r>
    </w:p>
    <w:p w14:paraId="2640EB9A" w14:textId="389FE1E3" w:rsidR="005C3B08" w:rsidRDefault="005C3B08" w:rsidP="005C3B08">
      <w:pPr>
        <w:pStyle w:val="CETCaption"/>
      </w:pPr>
      <w:bookmarkStart w:id="4" w:name="_Ref120116942"/>
      <w:r>
        <w:t xml:space="preserve">Table </w:t>
      </w:r>
      <w:r>
        <w:fldChar w:fldCharType="begin"/>
      </w:r>
      <w:r>
        <w:instrText xml:space="preserve"> SEQ Table \* ARABIC </w:instrText>
      </w:r>
      <w:r>
        <w:fldChar w:fldCharType="separate"/>
      </w:r>
      <w:r w:rsidR="00722BA7">
        <w:rPr>
          <w:noProof/>
        </w:rPr>
        <w:t>2</w:t>
      </w:r>
      <w:r>
        <w:fldChar w:fldCharType="end"/>
      </w:r>
      <w:bookmarkEnd w:id="4"/>
      <w:r>
        <w:t xml:space="preserve">: Environmental severity based on hydrogen partial pressure and </w:t>
      </w:r>
      <w:proofErr w:type="gramStart"/>
      <w:r>
        <w:t>temperature</w:t>
      </w:r>
      <w:proofErr w:type="gramEnd"/>
    </w:p>
    <w:tbl>
      <w:tblPr>
        <w:tblW w:w="0" w:type="auto"/>
        <w:tblBorders>
          <w:top w:val="single" w:sz="12" w:space="0" w:color="008000"/>
          <w:bottom w:val="single" w:sz="12" w:space="0" w:color="008000"/>
        </w:tblBorders>
        <w:tblCellMar>
          <w:left w:w="0" w:type="dxa"/>
          <w:right w:w="0" w:type="dxa"/>
        </w:tblCellMar>
        <w:tblLook w:val="00A0" w:firstRow="1" w:lastRow="0" w:firstColumn="1" w:lastColumn="0" w:noHBand="0" w:noVBand="0"/>
      </w:tblPr>
      <w:tblGrid>
        <w:gridCol w:w="1740"/>
        <w:gridCol w:w="1740"/>
        <w:gridCol w:w="1740"/>
        <w:gridCol w:w="1740"/>
        <w:gridCol w:w="1740"/>
      </w:tblGrid>
      <w:tr w:rsidR="005C3B08" w:rsidRPr="00F709AC" w14:paraId="62E23A92" w14:textId="77777777" w:rsidTr="005D212A">
        <w:trPr>
          <w:trHeight w:val="257"/>
        </w:trPr>
        <w:tc>
          <w:tcPr>
            <w:tcW w:w="1740" w:type="dxa"/>
            <w:vMerge w:val="restart"/>
            <w:tcBorders>
              <w:top w:val="single" w:sz="12" w:space="0" w:color="008000"/>
            </w:tcBorders>
            <w:shd w:val="clear" w:color="auto" w:fill="FFFFFF"/>
            <w:vAlign w:val="center"/>
          </w:tcPr>
          <w:p w14:paraId="239B3E7A" w14:textId="77777777" w:rsidR="005C3B08" w:rsidRPr="00F709AC" w:rsidRDefault="005C3B08" w:rsidP="005D212A">
            <w:pPr>
              <w:jc w:val="center"/>
            </w:pPr>
            <w:r>
              <w:t>Hydrogen pressure (MPa)</w:t>
            </w:r>
          </w:p>
        </w:tc>
        <w:tc>
          <w:tcPr>
            <w:tcW w:w="6960" w:type="dxa"/>
            <w:gridSpan w:val="4"/>
            <w:tcBorders>
              <w:top w:val="single" w:sz="12" w:space="0" w:color="008000"/>
              <w:bottom w:val="single" w:sz="2" w:space="0" w:color="008000"/>
            </w:tcBorders>
            <w:shd w:val="clear" w:color="auto" w:fill="FFFFFF"/>
          </w:tcPr>
          <w:p w14:paraId="15B88565" w14:textId="77777777" w:rsidR="005C3B08" w:rsidRPr="00F709AC" w:rsidRDefault="005C3B08" w:rsidP="001F7B50">
            <w:pPr>
              <w:jc w:val="center"/>
            </w:pPr>
            <w:r>
              <w:t>Temperature (</w:t>
            </w:r>
            <w:r>
              <w:rPr>
                <w:rFonts w:cs="Arial"/>
              </w:rPr>
              <w:t>°</w:t>
            </w:r>
            <w:r>
              <w:t>C)</w:t>
            </w:r>
          </w:p>
        </w:tc>
      </w:tr>
      <w:tr w:rsidR="005C3B08" w:rsidRPr="00F709AC" w14:paraId="37113373" w14:textId="77777777" w:rsidTr="001F7B50">
        <w:trPr>
          <w:trHeight w:val="257"/>
        </w:trPr>
        <w:tc>
          <w:tcPr>
            <w:tcW w:w="1740" w:type="dxa"/>
            <w:vMerge/>
            <w:tcBorders>
              <w:bottom w:val="single" w:sz="6" w:space="0" w:color="008000"/>
            </w:tcBorders>
            <w:shd w:val="clear" w:color="auto" w:fill="FFFFFF"/>
          </w:tcPr>
          <w:p w14:paraId="1BEDECCD" w14:textId="77777777" w:rsidR="005C3B08" w:rsidRDefault="005C3B08" w:rsidP="001F7B50">
            <w:pPr>
              <w:jc w:val="left"/>
            </w:pPr>
          </w:p>
        </w:tc>
        <w:tc>
          <w:tcPr>
            <w:tcW w:w="1740" w:type="dxa"/>
            <w:tcBorders>
              <w:top w:val="single" w:sz="2" w:space="0" w:color="008000"/>
              <w:bottom w:val="single" w:sz="6" w:space="0" w:color="008000"/>
            </w:tcBorders>
            <w:shd w:val="clear" w:color="auto" w:fill="FFFFFF"/>
          </w:tcPr>
          <w:p w14:paraId="11A22E52" w14:textId="125D3766" w:rsidR="005C3B08" w:rsidRPr="008B2845" w:rsidRDefault="00107C66" w:rsidP="001F7B50">
            <w:pPr>
              <w:jc w:val="left"/>
            </w:pPr>
            <m:oMathPara>
              <m:oMathParaPr>
                <m:jc m:val="left"/>
              </m:oMathParaPr>
              <m:oMath>
                <m:r>
                  <w:rPr>
                    <w:rFonts w:ascii="Cambria Math" w:hAnsi="Cambria Math"/>
                  </w:rPr>
                  <m:t>T&lt;-70</m:t>
                </m:r>
              </m:oMath>
            </m:oMathPara>
          </w:p>
        </w:tc>
        <w:tc>
          <w:tcPr>
            <w:tcW w:w="1740" w:type="dxa"/>
            <w:tcBorders>
              <w:top w:val="single" w:sz="2" w:space="0" w:color="008000"/>
              <w:bottom w:val="single" w:sz="6" w:space="0" w:color="008000"/>
            </w:tcBorders>
            <w:shd w:val="clear" w:color="auto" w:fill="FFFFFF"/>
          </w:tcPr>
          <w:p w14:paraId="15D7BBF6" w14:textId="6D58C719" w:rsidR="005C3B08" w:rsidRPr="008B2845" w:rsidRDefault="00107C66" w:rsidP="001F7B50">
            <w:pPr>
              <w:jc w:val="left"/>
            </w:pPr>
            <m:oMathPara>
              <m:oMathParaPr>
                <m:jc m:val="left"/>
              </m:oMathParaPr>
              <m:oMath>
                <m:r>
                  <w:rPr>
                    <w:rFonts w:ascii="Cambria Math" w:hAnsi="Cambria Math"/>
                  </w:rPr>
                  <m:t>-70≤T≤30</m:t>
                </m:r>
              </m:oMath>
            </m:oMathPara>
          </w:p>
        </w:tc>
        <w:tc>
          <w:tcPr>
            <w:tcW w:w="1740" w:type="dxa"/>
            <w:tcBorders>
              <w:top w:val="single" w:sz="2" w:space="0" w:color="008000"/>
              <w:bottom w:val="single" w:sz="6" w:space="0" w:color="008000"/>
            </w:tcBorders>
            <w:shd w:val="clear" w:color="auto" w:fill="FFFFFF"/>
          </w:tcPr>
          <w:p w14:paraId="10527A60" w14:textId="729192A5" w:rsidR="005C3B08" w:rsidRPr="008B2845" w:rsidRDefault="00107C66" w:rsidP="001F7B50">
            <w:pPr>
              <w:ind w:right="-1"/>
              <w:jc w:val="left"/>
              <w:rPr>
                <w:rFonts w:cs="Arial"/>
                <w:szCs w:val="18"/>
              </w:rPr>
            </w:pPr>
            <m:oMathPara>
              <m:oMathParaPr>
                <m:jc m:val="left"/>
              </m:oMathParaPr>
              <m:oMath>
                <m:r>
                  <w:rPr>
                    <w:rFonts w:ascii="Cambria Math" w:hAnsi="Cambria Math" w:cs="Arial"/>
                    <w:szCs w:val="18"/>
                  </w:rPr>
                  <m:t>30&lt;T≤200</m:t>
                </m:r>
              </m:oMath>
            </m:oMathPara>
          </w:p>
        </w:tc>
        <w:tc>
          <w:tcPr>
            <w:tcW w:w="1740" w:type="dxa"/>
            <w:tcBorders>
              <w:top w:val="single" w:sz="2" w:space="0" w:color="008000"/>
              <w:bottom w:val="single" w:sz="6" w:space="0" w:color="008000"/>
            </w:tcBorders>
            <w:shd w:val="clear" w:color="auto" w:fill="FFFFFF"/>
          </w:tcPr>
          <w:p w14:paraId="472D7C95" w14:textId="571818B7" w:rsidR="005C3B08" w:rsidRPr="008B2845" w:rsidRDefault="00107C66" w:rsidP="001F7B50">
            <w:pPr>
              <w:ind w:right="-1"/>
              <w:jc w:val="left"/>
              <w:rPr>
                <w:rFonts w:cs="Arial"/>
                <w:szCs w:val="18"/>
              </w:rPr>
            </w:pPr>
            <m:oMathPara>
              <m:oMathParaPr>
                <m:jc m:val="left"/>
              </m:oMathParaPr>
              <m:oMath>
                <m:r>
                  <w:rPr>
                    <w:rFonts w:ascii="Cambria Math" w:hAnsi="Cambria Math" w:cs="Arial"/>
                    <w:szCs w:val="18"/>
                  </w:rPr>
                  <m:t>T&gt;200</m:t>
                </m:r>
              </m:oMath>
            </m:oMathPara>
          </w:p>
        </w:tc>
      </w:tr>
      <w:tr w:rsidR="005C3B08" w:rsidRPr="00F709AC" w14:paraId="7565E406" w14:textId="77777777" w:rsidTr="001F7B50">
        <w:trPr>
          <w:trHeight w:val="257"/>
        </w:trPr>
        <w:tc>
          <w:tcPr>
            <w:tcW w:w="1740" w:type="dxa"/>
            <w:shd w:val="clear" w:color="auto" w:fill="FFFFFF"/>
          </w:tcPr>
          <w:p w14:paraId="29EF9C05" w14:textId="6975FDE3" w:rsidR="005C3B08" w:rsidRPr="000258CA" w:rsidRDefault="00000000" w:rsidP="000258CA">
            <w:pPr>
              <w:rPr>
                <w:rFonts w:ascii="Cambria Math" w:hAnsi="Cambria Math"/>
                <w:i/>
                <w:lang w:val="nb-NO"/>
              </w:rPr>
            </w:pPr>
            <m:oMathPara>
              <m:oMathParaPr>
                <m:jc m:val="left"/>
              </m:oMathParaPr>
              <m:oMath>
                <m:sSub>
                  <m:sSubPr>
                    <m:ctrlPr>
                      <w:rPr>
                        <w:rFonts w:ascii="Cambria Math" w:hAnsi="Cambria Math" w:cs="Arial"/>
                        <w:i/>
                        <w:szCs w:val="18"/>
                      </w:rPr>
                    </m:ctrlPr>
                  </m:sSubPr>
                  <m:e>
                    <m:r>
                      <w:rPr>
                        <w:rFonts w:ascii="Cambria Math" w:hAnsi="Cambria Math" w:cs="Arial"/>
                        <w:szCs w:val="18"/>
                      </w:rPr>
                      <m:t>p</m:t>
                    </m:r>
                  </m:e>
                  <m:sub>
                    <m:sSub>
                      <m:sSubPr>
                        <m:ctrlPr>
                          <w:rPr>
                            <w:rFonts w:ascii="Cambria Math" w:hAnsi="Cambria Math" w:cs="Arial"/>
                            <w:i/>
                            <w:szCs w:val="18"/>
                          </w:rPr>
                        </m:ctrlPr>
                      </m:sSubPr>
                      <m:e>
                        <m:r>
                          <w:rPr>
                            <w:rFonts w:ascii="Cambria Math" w:hAnsi="Cambria Math" w:cs="Arial"/>
                            <w:szCs w:val="18"/>
                          </w:rPr>
                          <m:t>H</m:t>
                        </m:r>
                      </m:e>
                      <m:sub>
                        <m:r>
                          <w:rPr>
                            <w:rFonts w:ascii="Cambria Math" w:hAnsi="Cambria Math" w:cs="Arial"/>
                            <w:szCs w:val="18"/>
                          </w:rPr>
                          <m:t>2</m:t>
                        </m:r>
                      </m:sub>
                    </m:sSub>
                  </m:sub>
                </m:sSub>
                <m:r>
                  <w:rPr>
                    <w:rFonts w:ascii="Cambria Math" w:hAnsi="Cambria Math"/>
                    <w:szCs w:val="18"/>
                  </w:rPr>
                  <m:t>&lt;0.1</m:t>
                </m:r>
              </m:oMath>
            </m:oMathPara>
          </w:p>
        </w:tc>
        <w:tc>
          <w:tcPr>
            <w:tcW w:w="1740" w:type="dxa"/>
            <w:shd w:val="clear" w:color="auto" w:fill="FFFFFF"/>
          </w:tcPr>
          <w:p w14:paraId="68412C1A" w14:textId="27472B31" w:rsidR="005C3B08" w:rsidRPr="00F709AC" w:rsidRDefault="00895D71" w:rsidP="001F7B50">
            <w:pPr>
              <w:jc w:val="left"/>
            </w:pPr>
            <w:r>
              <w:t>Negligible</w:t>
            </w:r>
          </w:p>
        </w:tc>
        <w:tc>
          <w:tcPr>
            <w:tcW w:w="1740" w:type="dxa"/>
            <w:shd w:val="clear" w:color="auto" w:fill="FFFFFF"/>
          </w:tcPr>
          <w:p w14:paraId="2745DBCE" w14:textId="457FFC47" w:rsidR="005C3B08" w:rsidRPr="00F709AC" w:rsidRDefault="008B2845" w:rsidP="001F7B50">
            <w:pPr>
              <w:jc w:val="left"/>
            </w:pPr>
            <w:r>
              <w:t>Moderate</w:t>
            </w:r>
          </w:p>
        </w:tc>
        <w:tc>
          <w:tcPr>
            <w:tcW w:w="1740" w:type="dxa"/>
            <w:shd w:val="clear" w:color="auto" w:fill="FFFFFF"/>
          </w:tcPr>
          <w:p w14:paraId="3E0E3910" w14:textId="03147899" w:rsidR="005C3B08" w:rsidRPr="00F709AC" w:rsidRDefault="008B2845" w:rsidP="001F7B50">
            <w:pPr>
              <w:ind w:right="-1"/>
              <w:jc w:val="left"/>
              <w:rPr>
                <w:rFonts w:cs="Arial"/>
                <w:szCs w:val="18"/>
              </w:rPr>
            </w:pPr>
            <w:r>
              <w:rPr>
                <w:rFonts w:cs="Arial"/>
                <w:szCs w:val="18"/>
              </w:rPr>
              <w:t>Negligible</w:t>
            </w:r>
          </w:p>
        </w:tc>
        <w:tc>
          <w:tcPr>
            <w:tcW w:w="1740" w:type="dxa"/>
            <w:shd w:val="clear" w:color="auto" w:fill="FFFFFF"/>
          </w:tcPr>
          <w:p w14:paraId="42B002BD" w14:textId="55680CD4" w:rsidR="005C3B08" w:rsidRPr="00F709AC" w:rsidRDefault="008B2845" w:rsidP="001F7B50">
            <w:pPr>
              <w:ind w:right="-1"/>
              <w:jc w:val="left"/>
              <w:rPr>
                <w:rFonts w:cs="Arial"/>
                <w:szCs w:val="18"/>
              </w:rPr>
            </w:pPr>
            <w:r>
              <w:rPr>
                <w:rFonts w:cs="Arial"/>
                <w:szCs w:val="18"/>
              </w:rPr>
              <w:t>Negligible</w:t>
            </w:r>
          </w:p>
        </w:tc>
      </w:tr>
      <w:tr w:rsidR="005C3B08" w:rsidRPr="00F709AC" w14:paraId="593A693B" w14:textId="77777777" w:rsidTr="001F7B50">
        <w:trPr>
          <w:trHeight w:val="257"/>
        </w:trPr>
        <w:tc>
          <w:tcPr>
            <w:tcW w:w="1740" w:type="dxa"/>
            <w:shd w:val="clear" w:color="auto" w:fill="FFFFFF"/>
          </w:tcPr>
          <w:p w14:paraId="60E9B270" w14:textId="3C39DA54" w:rsidR="005C3B08" w:rsidRPr="000258CA" w:rsidRDefault="000258CA" w:rsidP="000258CA">
            <m:oMathPara>
              <m:oMathParaPr>
                <m:jc m:val="left"/>
              </m:oMathParaPr>
              <m:oMath>
                <m:r>
                  <w:rPr>
                    <w:rFonts w:ascii="Cambria Math" w:hAnsi="Cambria Math" w:cs="Arial"/>
                    <w:szCs w:val="18"/>
                  </w:rPr>
                  <m:t>0.1&lt;</m:t>
                </m:r>
                <m:sSub>
                  <m:sSubPr>
                    <m:ctrlPr>
                      <w:rPr>
                        <w:rFonts w:ascii="Cambria Math" w:hAnsi="Cambria Math" w:cs="Arial"/>
                        <w:i/>
                        <w:szCs w:val="18"/>
                      </w:rPr>
                    </m:ctrlPr>
                  </m:sSubPr>
                  <m:e>
                    <m:r>
                      <w:rPr>
                        <w:rFonts w:ascii="Cambria Math" w:hAnsi="Cambria Math" w:cs="Arial"/>
                        <w:szCs w:val="18"/>
                      </w:rPr>
                      <m:t>p</m:t>
                    </m:r>
                  </m:e>
                  <m:sub>
                    <m:sSub>
                      <m:sSubPr>
                        <m:ctrlPr>
                          <w:rPr>
                            <w:rFonts w:ascii="Cambria Math" w:hAnsi="Cambria Math" w:cs="Arial"/>
                            <w:i/>
                            <w:szCs w:val="18"/>
                          </w:rPr>
                        </m:ctrlPr>
                      </m:sSubPr>
                      <m:e>
                        <m:r>
                          <w:rPr>
                            <w:rFonts w:ascii="Cambria Math" w:hAnsi="Cambria Math" w:cs="Arial"/>
                            <w:szCs w:val="18"/>
                          </w:rPr>
                          <m:t>H</m:t>
                        </m:r>
                      </m:e>
                      <m:sub>
                        <m:r>
                          <w:rPr>
                            <w:rFonts w:ascii="Cambria Math" w:hAnsi="Cambria Math" w:cs="Arial"/>
                            <w:szCs w:val="18"/>
                          </w:rPr>
                          <m:t>2</m:t>
                        </m:r>
                      </m:sub>
                    </m:sSub>
                  </m:sub>
                </m:sSub>
                <m:r>
                  <w:rPr>
                    <w:rFonts w:ascii="Cambria Math" w:hAnsi="Cambria Math" w:cs="Arial"/>
                    <w:szCs w:val="18"/>
                  </w:rPr>
                  <m:t>&lt;5.0</m:t>
                </m:r>
              </m:oMath>
            </m:oMathPara>
          </w:p>
        </w:tc>
        <w:tc>
          <w:tcPr>
            <w:tcW w:w="1740" w:type="dxa"/>
            <w:shd w:val="clear" w:color="auto" w:fill="FFFFFF"/>
          </w:tcPr>
          <w:p w14:paraId="006F6110" w14:textId="2EA744D1" w:rsidR="005C3B08" w:rsidRPr="00F709AC" w:rsidRDefault="008B2845" w:rsidP="001F7B50">
            <w:pPr>
              <w:jc w:val="left"/>
            </w:pPr>
            <w:r>
              <w:t>Negligible</w:t>
            </w:r>
          </w:p>
        </w:tc>
        <w:tc>
          <w:tcPr>
            <w:tcW w:w="1740" w:type="dxa"/>
            <w:shd w:val="clear" w:color="auto" w:fill="FFFFFF"/>
          </w:tcPr>
          <w:p w14:paraId="4BEB4547" w14:textId="004E59C7" w:rsidR="005C3B08" w:rsidRPr="00F709AC" w:rsidRDefault="008B2845" w:rsidP="001F7B50">
            <w:pPr>
              <w:jc w:val="left"/>
            </w:pPr>
            <w:r>
              <w:t>High</w:t>
            </w:r>
          </w:p>
        </w:tc>
        <w:tc>
          <w:tcPr>
            <w:tcW w:w="1740" w:type="dxa"/>
            <w:shd w:val="clear" w:color="auto" w:fill="FFFFFF"/>
          </w:tcPr>
          <w:p w14:paraId="1BCDA3EA" w14:textId="5234F7AF" w:rsidR="005C3B08" w:rsidRPr="00F709AC" w:rsidRDefault="008B2845" w:rsidP="001F7B50">
            <w:pPr>
              <w:ind w:right="-1"/>
              <w:jc w:val="left"/>
              <w:rPr>
                <w:rFonts w:cs="Arial"/>
                <w:szCs w:val="18"/>
              </w:rPr>
            </w:pPr>
            <w:r>
              <w:rPr>
                <w:rFonts w:cs="Arial"/>
                <w:szCs w:val="18"/>
              </w:rPr>
              <w:t>Moderate</w:t>
            </w:r>
          </w:p>
        </w:tc>
        <w:tc>
          <w:tcPr>
            <w:tcW w:w="1740" w:type="dxa"/>
            <w:shd w:val="clear" w:color="auto" w:fill="FFFFFF"/>
          </w:tcPr>
          <w:p w14:paraId="3B161542" w14:textId="7B89944D" w:rsidR="005C3B08" w:rsidRPr="00F709AC" w:rsidRDefault="008B2845" w:rsidP="001F7B50">
            <w:pPr>
              <w:ind w:right="-1"/>
              <w:jc w:val="left"/>
              <w:rPr>
                <w:rFonts w:cs="Arial"/>
                <w:szCs w:val="18"/>
              </w:rPr>
            </w:pPr>
            <w:r>
              <w:rPr>
                <w:rFonts w:cs="Arial"/>
                <w:szCs w:val="18"/>
              </w:rPr>
              <w:t>Negligible</w:t>
            </w:r>
          </w:p>
        </w:tc>
      </w:tr>
      <w:tr w:rsidR="005C3B08" w:rsidRPr="00F709AC" w14:paraId="726F2FDD" w14:textId="77777777" w:rsidTr="001F7B50">
        <w:trPr>
          <w:trHeight w:val="257"/>
        </w:trPr>
        <w:tc>
          <w:tcPr>
            <w:tcW w:w="1740" w:type="dxa"/>
            <w:shd w:val="clear" w:color="auto" w:fill="FFFFFF"/>
          </w:tcPr>
          <w:p w14:paraId="30E3D79F" w14:textId="515AF0CC" w:rsidR="005C3B08" w:rsidRPr="000258CA" w:rsidRDefault="008B2845" w:rsidP="000258CA">
            <m:oMathPara>
              <m:oMathParaPr>
                <m:jc m:val="left"/>
              </m:oMathParaPr>
              <m:oMath>
                <m:r>
                  <w:rPr>
                    <w:rFonts w:ascii="Cambria Math" w:hAnsi="Cambria Math" w:cs="Arial"/>
                    <w:szCs w:val="18"/>
                  </w:rPr>
                  <m:t>5.0&lt;</m:t>
                </m:r>
                <m:sSub>
                  <m:sSubPr>
                    <m:ctrlPr>
                      <w:rPr>
                        <w:rFonts w:ascii="Cambria Math" w:hAnsi="Cambria Math" w:cs="Arial"/>
                        <w:i/>
                        <w:szCs w:val="18"/>
                      </w:rPr>
                    </m:ctrlPr>
                  </m:sSubPr>
                  <m:e>
                    <m:r>
                      <w:rPr>
                        <w:rFonts w:ascii="Cambria Math" w:hAnsi="Cambria Math" w:cs="Arial"/>
                        <w:szCs w:val="18"/>
                      </w:rPr>
                      <m:t>p</m:t>
                    </m:r>
                  </m:e>
                  <m:sub>
                    <m:sSub>
                      <m:sSubPr>
                        <m:ctrlPr>
                          <w:rPr>
                            <w:rFonts w:ascii="Cambria Math" w:hAnsi="Cambria Math" w:cs="Arial"/>
                            <w:i/>
                            <w:szCs w:val="18"/>
                          </w:rPr>
                        </m:ctrlPr>
                      </m:sSubPr>
                      <m:e>
                        <m:r>
                          <w:rPr>
                            <w:rFonts w:ascii="Cambria Math" w:hAnsi="Cambria Math" w:cs="Arial"/>
                            <w:szCs w:val="18"/>
                          </w:rPr>
                          <m:t>H</m:t>
                        </m:r>
                      </m:e>
                      <m:sub>
                        <m:r>
                          <w:rPr>
                            <w:rFonts w:ascii="Cambria Math" w:hAnsi="Cambria Math" w:cs="Arial"/>
                            <w:szCs w:val="18"/>
                          </w:rPr>
                          <m:t>2</m:t>
                        </m:r>
                      </m:sub>
                    </m:sSub>
                  </m:sub>
                </m:sSub>
                <m:r>
                  <w:rPr>
                    <w:rFonts w:ascii="Cambria Math" w:hAnsi="Cambria Math" w:cs="Arial"/>
                    <w:szCs w:val="18"/>
                  </w:rPr>
                  <m:t>&lt;15.0</m:t>
                </m:r>
              </m:oMath>
            </m:oMathPara>
          </w:p>
        </w:tc>
        <w:tc>
          <w:tcPr>
            <w:tcW w:w="1740" w:type="dxa"/>
            <w:shd w:val="clear" w:color="auto" w:fill="FFFFFF"/>
          </w:tcPr>
          <w:p w14:paraId="2FD3CAC6" w14:textId="55A78517" w:rsidR="005C3B08" w:rsidRPr="00F709AC" w:rsidRDefault="008B2845" w:rsidP="001F7B50">
            <w:pPr>
              <w:jc w:val="left"/>
            </w:pPr>
            <w:r>
              <w:t>Moderate</w:t>
            </w:r>
          </w:p>
        </w:tc>
        <w:tc>
          <w:tcPr>
            <w:tcW w:w="1740" w:type="dxa"/>
            <w:shd w:val="clear" w:color="auto" w:fill="FFFFFF"/>
          </w:tcPr>
          <w:p w14:paraId="6B16E9DD" w14:textId="5EA59611" w:rsidR="005C3B08" w:rsidRPr="00F709AC" w:rsidRDefault="008B2845" w:rsidP="001F7B50">
            <w:pPr>
              <w:jc w:val="left"/>
            </w:pPr>
            <w:r>
              <w:t>Severe</w:t>
            </w:r>
          </w:p>
        </w:tc>
        <w:tc>
          <w:tcPr>
            <w:tcW w:w="1740" w:type="dxa"/>
            <w:shd w:val="clear" w:color="auto" w:fill="FFFFFF"/>
          </w:tcPr>
          <w:p w14:paraId="6916BE9D" w14:textId="6CD9C84B" w:rsidR="005C3B08" w:rsidRPr="00F709AC" w:rsidRDefault="008B2845" w:rsidP="001F7B50">
            <w:pPr>
              <w:ind w:right="-1"/>
              <w:jc w:val="left"/>
              <w:rPr>
                <w:rFonts w:cs="Arial"/>
                <w:szCs w:val="18"/>
              </w:rPr>
            </w:pPr>
            <w:r>
              <w:rPr>
                <w:rFonts w:cs="Arial"/>
                <w:szCs w:val="18"/>
              </w:rPr>
              <w:t>High</w:t>
            </w:r>
          </w:p>
        </w:tc>
        <w:tc>
          <w:tcPr>
            <w:tcW w:w="1740" w:type="dxa"/>
            <w:shd w:val="clear" w:color="auto" w:fill="FFFFFF"/>
          </w:tcPr>
          <w:p w14:paraId="289B8CA4" w14:textId="2AB63942" w:rsidR="005C3B08" w:rsidRPr="00F709AC" w:rsidRDefault="008B2845" w:rsidP="001F7B50">
            <w:pPr>
              <w:ind w:right="-1"/>
              <w:jc w:val="left"/>
              <w:rPr>
                <w:rFonts w:cs="Arial"/>
                <w:szCs w:val="18"/>
              </w:rPr>
            </w:pPr>
            <w:r>
              <w:rPr>
                <w:rFonts w:cs="Arial"/>
                <w:szCs w:val="18"/>
              </w:rPr>
              <w:t>Moderate</w:t>
            </w:r>
          </w:p>
        </w:tc>
      </w:tr>
      <w:tr w:rsidR="005C3B08" w:rsidRPr="00F709AC" w14:paraId="40EC0665" w14:textId="77777777" w:rsidTr="001F7B50">
        <w:trPr>
          <w:trHeight w:val="257"/>
        </w:trPr>
        <w:tc>
          <w:tcPr>
            <w:tcW w:w="1740" w:type="dxa"/>
            <w:shd w:val="clear" w:color="auto" w:fill="FFFFFF"/>
          </w:tcPr>
          <w:p w14:paraId="2E8C2BA5" w14:textId="0BE9BB15" w:rsidR="005C3B08" w:rsidRPr="000258CA" w:rsidRDefault="008B2845" w:rsidP="000258CA">
            <m:oMathPara>
              <m:oMathParaPr>
                <m:jc m:val="left"/>
              </m:oMathParaPr>
              <m:oMath>
                <m:r>
                  <w:rPr>
                    <w:rFonts w:ascii="Cambria Math" w:hAnsi="Cambria Math" w:cs="Arial"/>
                    <w:szCs w:val="18"/>
                  </w:rPr>
                  <m:t>15.0&lt;</m:t>
                </m:r>
                <m:sSub>
                  <m:sSubPr>
                    <m:ctrlPr>
                      <w:rPr>
                        <w:rFonts w:ascii="Cambria Math" w:hAnsi="Cambria Math" w:cs="Arial"/>
                        <w:i/>
                        <w:szCs w:val="18"/>
                      </w:rPr>
                    </m:ctrlPr>
                  </m:sSubPr>
                  <m:e>
                    <m:r>
                      <w:rPr>
                        <w:rFonts w:ascii="Cambria Math" w:hAnsi="Cambria Math" w:cs="Arial"/>
                        <w:szCs w:val="18"/>
                      </w:rPr>
                      <m:t>p</m:t>
                    </m:r>
                  </m:e>
                  <m:sub>
                    <m:sSub>
                      <m:sSubPr>
                        <m:ctrlPr>
                          <w:rPr>
                            <w:rFonts w:ascii="Cambria Math" w:hAnsi="Cambria Math" w:cs="Arial"/>
                            <w:i/>
                            <w:szCs w:val="18"/>
                          </w:rPr>
                        </m:ctrlPr>
                      </m:sSubPr>
                      <m:e>
                        <m:r>
                          <w:rPr>
                            <w:rFonts w:ascii="Cambria Math" w:hAnsi="Cambria Math" w:cs="Arial"/>
                            <w:szCs w:val="18"/>
                          </w:rPr>
                          <m:t>H</m:t>
                        </m:r>
                      </m:e>
                      <m:sub>
                        <m:r>
                          <w:rPr>
                            <w:rFonts w:ascii="Cambria Math" w:hAnsi="Cambria Math" w:cs="Arial"/>
                            <w:szCs w:val="18"/>
                          </w:rPr>
                          <m:t>2</m:t>
                        </m:r>
                      </m:sub>
                    </m:sSub>
                  </m:sub>
                </m:sSub>
                <m:r>
                  <w:rPr>
                    <w:rFonts w:ascii="Cambria Math" w:hAnsi="Cambria Math" w:cs="Arial"/>
                    <w:szCs w:val="18"/>
                  </w:rPr>
                  <m:t>&lt;35.0</m:t>
                </m:r>
              </m:oMath>
            </m:oMathPara>
          </w:p>
        </w:tc>
        <w:tc>
          <w:tcPr>
            <w:tcW w:w="1740" w:type="dxa"/>
            <w:shd w:val="clear" w:color="auto" w:fill="FFFFFF"/>
          </w:tcPr>
          <w:p w14:paraId="5273243E" w14:textId="45147AC3" w:rsidR="005C3B08" w:rsidRPr="00F709AC" w:rsidRDefault="008B2845" w:rsidP="001F7B50">
            <w:pPr>
              <w:jc w:val="left"/>
            </w:pPr>
            <w:r>
              <w:t>Moderate</w:t>
            </w:r>
          </w:p>
        </w:tc>
        <w:tc>
          <w:tcPr>
            <w:tcW w:w="1740" w:type="dxa"/>
            <w:shd w:val="clear" w:color="auto" w:fill="FFFFFF"/>
          </w:tcPr>
          <w:p w14:paraId="26424D6B" w14:textId="2D430079" w:rsidR="005C3B08" w:rsidRPr="00F709AC" w:rsidRDefault="008B2845" w:rsidP="001F7B50">
            <w:pPr>
              <w:jc w:val="left"/>
            </w:pPr>
            <w:r>
              <w:t>Extreme</w:t>
            </w:r>
          </w:p>
        </w:tc>
        <w:tc>
          <w:tcPr>
            <w:tcW w:w="1740" w:type="dxa"/>
            <w:shd w:val="clear" w:color="auto" w:fill="FFFFFF"/>
          </w:tcPr>
          <w:p w14:paraId="58A0D51E" w14:textId="3CB75EB7" w:rsidR="005C3B08" w:rsidRPr="00F709AC" w:rsidRDefault="008B2845" w:rsidP="001F7B50">
            <w:pPr>
              <w:ind w:right="-1"/>
              <w:jc w:val="left"/>
              <w:rPr>
                <w:rFonts w:cs="Arial"/>
                <w:szCs w:val="18"/>
              </w:rPr>
            </w:pPr>
            <w:r>
              <w:rPr>
                <w:rFonts w:cs="Arial"/>
                <w:szCs w:val="18"/>
              </w:rPr>
              <w:t>Severe</w:t>
            </w:r>
          </w:p>
        </w:tc>
        <w:tc>
          <w:tcPr>
            <w:tcW w:w="1740" w:type="dxa"/>
            <w:shd w:val="clear" w:color="auto" w:fill="FFFFFF"/>
          </w:tcPr>
          <w:p w14:paraId="2D1CB22C" w14:textId="4BFAAFA1" w:rsidR="005C3B08" w:rsidRPr="00F709AC" w:rsidRDefault="008B2845" w:rsidP="001F7B50">
            <w:pPr>
              <w:ind w:right="-1"/>
              <w:jc w:val="left"/>
              <w:rPr>
                <w:rFonts w:cs="Arial"/>
                <w:szCs w:val="18"/>
              </w:rPr>
            </w:pPr>
            <w:r>
              <w:rPr>
                <w:rFonts w:cs="Arial"/>
                <w:szCs w:val="18"/>
              </w:rPr>
              <w:t>Moderate</w:t>
            </w:r>
          </w:p>
        </w:tc>
      </w:tr>
      <w:tr w:rsidR="005C3B08" w:rsidRPr="00F709AC" w14:paraId="70ED83AC" w14:textId="77777777" w:rsidTr="001F7B50">
        <w:trPr>
          <w:trHeight w:val="257"/>
        </w:trPr>
        <w:tc>
          <w:tcPr>
            <w:tcW w:w="1740" w:type="dxa"/>
            <w:tcBorders>
              <w:bottom w:val="single" w:sz="12" w:space="0" w:color="008000"/>
            </w:tcBorders>
            <w:shd w:val="clear" w:color="auto" w:fill="FFFFFF"/>
          </w:tcPr>
          <w:p w14:paraId="39BE2450" w14:textId="3D7C1EEE" w:rsidR="005C3B08" w:rsidRPr="000258CA" w:rsidRDefault="00000000" w:rsidP="000258CA">
            <w:pPr>
              <w:ind w:right="-1"/>
              <w:rPr>
                <w:rFonts w:ascii="Cambria Math" w:hAnsi="Cambria Math" w:cs="Arial"/>
                <w:iCs/>
                <w:szCs w:val="18"/>
              </w:rPr>
            </w:pPr>
            <m:oMathPara>
              <m:oMathParaPr>
                <m:jc m:val="left"/>
              </m:oMathParaPr>
              <m:oMath>
                <m:sSub>
                  <m:sSubPr>
                    <m:ctrlPr>
                      <w:rPr>
                        <w:rFonts w:ascii="Cambria Math" w:hAnsi="Cambria Math" w:cs="Arial"/>
                        <w:i/>
                        <w:szCs w:val="18"/>
                      </w:rPr>
                    </m:ctrlPr>
                  </m:sSubPr>
                  <m:e>
                    <m:r>
                      <w:rPr>
                        <w:rFonts w:ascii="Cambria Math" w:hAnsi="Cambria Math" w:cs="Arial"/>
                        <w:szCs w:val="18"/>
                      </w:rPr>
                      <m:t>p</m:t>
                    </m:r>
                  </m:e>
                  <m:sub>
                    <m:sSub>
                      <m:sSubPr>
                        <m:ctrlPr>
                          <w:rPr>
                            <w:rFonts w:ascii="Cambria Math" w:hAnsi="Cambria Math" w:cs="Arial"/>
                            <w:i/>
                            <w:szCs w:val="18"/>
                          </w:rPr>
                        </m:ctrlPr>
                      </m:sSubPr>
                      <m:e>
                        <m:r>
                          <w:rPr>
                            <w:rFonts w:ascii="Cambria Math" w:hAnsi="Cambria Math" w:cs="Arial"/>
                            <w:szCs w:val="18"/>
                          </w:rPr>
                          <m:t>H</m:t>
                        </m:r>
                      </m:e>
                      <m:sub>
                        <m:r>
                          <w:rPr>
                            <w:rFonts w:ascii="Cambria Math" w:hAnsi="Cambria Math" w:cs="Arial"/>
                            <w:szCs w:val="18"/>
                          </w:rPr>
                          <m:t>2</m:t>
                        </m:r>
                      </m:sub>
                    </m:sSub>
                  </m:sub>
                </m:sSub>
                <m:r>
                  <w:rPr>
                    <w:rFonts w:ascii="Cambria Math" w:hAnsi="Cambria Math" w:cs="Arial"/>
                    <w:szCs w:val="18"/>
                  </w:rPr>
                  <m:t>&gt;35.0</m:t>
                </m:r>
              </m:oMath>
            </m:oMathPara>
          </w:p>
        </w:tc>
        <w:tc>
          <w:tcPr>
            <w:tcW w:w="1740" w:type="dxa"/>
            <w:tcBorders>
              <w:bottom w:val="single" w:sz="12" w:space="0" w:color="008000"/>
            </w:tcBorders>
            <w:shd w:val="clear" w:color="auto" w:fill="FFFFFF"/>
          </w:tcPr>
          <w:p w14:paraId="4E83DFD0" w14:textId="536BF97D" w:rsidR="005C3B08" w:rsidRPr="00F709AC" w:rsidRDefault="008B2845" w:rsidP="001F7B50">
            <w:pPr>
              <w:ind w:right="-1"/>
              <w:jc w:val="left"/>
              <w:rPr>
                <w:rFonts w:cs="Arial"/>
                <w:szCs w:val="18"/>
              </w:rPr>
            </w:pPr>
            <w:r>
              <w:rPr>
                <w:rFonts w:cs="Arial"/>
                <w:szCs w:val="18"/>
              </w:rPr>
              <w:t>Moderate</w:t>
            </w:r>
          </w:p>
        </w:tc>
        <w:tc>
          <w:tcPr>
            <w:tcW w:w="1740" w:type="dxa"/>
            <w:tcBorders>
              <w:bottom w:val="single" w:sz="12" w:space="0" w:color="008000"/>
            </w:tcBorders>
            <w:shd w:val="clear" w:color="auto" w:fill="FFFFFF"/>
          </w:tcPr>
          <w:p w14:paraId="342E04BB" w14:textId="646D8C12" w:rsidR="005C3B08" w:rsidRPr="00F709AC" w:rsidRDefault="008B2845" w:rsidP="001F7B50">
            <w:pPr>
              <w:ind w:right="-1"/>
              <w:jc w:val="left"/>
              <w:rPr>
                <w:rFonts w:cs="Arial"/>
                <w:szCs w:val="18"/>
              </w:rPr>
            </w:pPr>
            <w:r>
              <w:rPr>
                <w:rFonts w:cs="Arial"/>
                <w:szCs w:val="18"/>
              </w:rPr>
              <w:t>Extreme</w:t>
            </w:r>
          </w:p>
        </w:tc>
        <w:tc>
          <w:tcPr>
            <w:tcW w:w="1740" w:type="dxa"/>
            <w:tcBorders>
              <w:bottom w:val="single" w:sz="12" w:space="0" w:color="008000"/>
            </w:tcBorders>
            <w:shd w:val="clear" w:color="auto" w:fill="FFFFFF"/>
          </w:tcPr>
          <w:p w14:paraId="64784F6D" w14:textId="5C2AD8C9" w:rsidR="005C3B08" w:rsidRPr="00F709AC" w:rsidRDefault="00C879DA" w:rsidP="001F7B50">
            <w:pPr>
              <w:ind w:right="-1"/>
              <w:jc w:val="left"/>
              <w:rPr>
                <w:rFonts w:cs="Arial"/>
                <w:szCs w:val="18"/>
              </w:rPr>
            </w:pPr>
            <w:r>
              <w:rPr>
                <w:rFonts w:cs="Arial"/>
                <w:szCs w:val="18"/>
              </w:rPr>
              <w:t xml:space="preserve">Severe </w:t>
            </w:r>
          </w:p>
        </w:tc>
        <w:tc>
          <w:tcPr>
            <w:tcW w:w="1740" w:type="dxa"/>
            <w:tcBorders>
              <w:bottom w:val="single" w:sz="12" w:space="0" w:color="008000"/>
            </w:tcBorders>
            <w:shd w:val="clear" w:color="auto" w:fill="FFFFFF"/>
          </w:tcPr>
          <w:p w14:paraId="768BEC19" w14:textId="7BACEC4B" w:rsidR="005C3B08" w:rsidRPr="00F709AC" w:rsidRDefault="008B2845" w:rsidP="001F7B50">
            <w:pPr>
              <w:ind w:right="-1"/>
              <w:jc w:val="left"/>
              <w:rPr>
                <w:rFonts w:cs="Arial"/>
                <w:szCs w:val="18"/>
              </w:rPr>
            </w:pPr>
            <w:r>
              <w:rPr>
                <w:rFonts w:cs="Arial"/>
                <w:szCs w:val="18"/>
              </w:rPr>
              <w:t>Moderate</w:t>
            </w:r>
          </w:p>
        </w:tc>
      </w:tr>
    </w:tbl>
    <w:p w14:paraId="6D930C44" w14:textId="276B6FAC" w:rsidR="005C3B08" w:rsidRDefault="005C3B08" w:rsidP="005C3B08">
      <w:pPr>
        <w:pStyle w:val="CETBodytext"/>
      </w:pPr>
    </w:p>
    <w:p w14:paraId="5FA7E0F7" w14:textId="6A17942A" w:rsidR="005C3B08" w:rsidRDefault="005C3B08" w:rsidP="005C3B08">
      <w:pPr>
        <w:pStyle w:val="CETBodytext"/>
        <w:numPr>
          <w:ilvl w:val="0"/>
          <w:numId w:val="35"/>
        </w:numPr>
      </w:pPr>
      <w:r>
        <w:t xml:space="preserve">STEP 2 – Determine the material susceptibility </w:t>
      </w:r>
      <w:r w:rsidR="00F672E2">
        <w:t xml:space="preserve">based on the type of alloy or steel used to fabricate the component, using </w:t>
      </w:r>
      <w:r w:rsidR="00F672E2">
        <w:fldChar w:fldCharType="begin"/>
      </w:r>
      <w:r w:rsidR="00F672E2">
        <w:instrText xml:space="preserve"> REF _Ref120117459 \h </w:instrText>
      </w:r>
      <w:r w:rsidR="00F672E2">
        <w:fldChar w:fldCharType="separate"/>
      </w:r>
      <w:r w:rsidR="00722BA7" w:rsidRPr="00560AC4">
        <w:t xml:space="preserve">Table </w:t>
      </w:r>
      <w:r w:rsidR="00722BA7">
        <w:rPr>
          <w:noProof/>
        </w:rPr>
        <w:t>3</w:t>
      </w:r>
      <w:r w:rsidR="00F672E2">
        <w:fldChar w:fldCharType="end"/>
      </w:r>
      <w:r w:rsidR="00F672E2">
        <w:t xml:space="preserve">. The values tabulated should be increased by one severity level in absence of post-weld heat </w:t>
      </w:r>
      <w:r w:rsidR="0094383F">
        <w:t>treatment</w:t>
      </w:r>
      <w:r w:rsidR="009E3C71">
        <w:t>s</w:t>
      </w:r>
      <w:r w:rsidR="00CD2962">
        <w:t>.</w:t>
      </w:r>
    </w:p>
    <w:p w14:paraId="1A0D2825" w14:textId="6BE3B0F1" w:rsidR="005C3B08" w:rsidRPr="005C3B08" w:rsidRDefault="005C3B08" w:rsidP="005C3B08">
      <w:pPr>
        <w:pStyle w:val="CETCaption"/>
      </w:pPr>
      <w:bookmarkStart w:id="5" w:name="_Ref120117459"/>
      <w:r w:rsidRPr="00560AC4">
        <w:t xml:space="preserve">Table </w:t>
      </w:r>
      <w:r w:rsidRPr="00560AC4">
        <w:fldChar w:fldCharType="begin"/>
      </w:r>
      <w:r w:rsidRPr="00560AC4">
        <w:instrText xml:space="preserve"> SEQ Table \* ARABIC </w:instrText>
      </w:r>
      <w:r w:rsidRPr="00560AC4">
        <w:fldChar w:fldCharType="separate"/>
      </w:r>
      <w:r w:rsidR="00722BA7">
        <w:rPr>
          <w:noProof/>
        </w:rPr>
        <w:t>3</w:t>
      </w:r>
      <w:r w:rsidRPr="00560AC4">
        <w:fldChar w:fldCharType="end"/>
      </w:r>
      <w:bookmarkEnd w:id="5"/>
      <w:r w:rsidRPr="00560AC4">
        <w:t xml:space="preserve">: Material susceptibility based on the embrittlement indexes tabulated by </w:t>
      </w:r>
      <w:r w:rsidR="00DE0985">
        <w:t xml:space="preserve">the </w:t>
      </w:r>
      <w:r w:rsidRPr="00560AC4">
        <w:t>NASA</w:t>
      </w:r>
      <w:r w:rsidR="00560AC4">
        <w:t xml:space="preserve"> (</w:t>
      </w:r>
      <w:r w:rsidRPr="00560AC4">
        <w:t>2016)</w:t>
      </w:r>
    </w:p>
    <w:tbl>
      <w:tblPr>
        <w:tblW w:w="0" w:type="auto"/>
        <w:tblBorders>
          <w:top w:val="single" w:sz="12" w:space="0" w:color="008000"/>
          <w:bottom w:val="single" w:sz="12" w:space="0" w:color="008000"/>
        </w:tblBorders>
        <w:tblCellMar>
          <w:left w:w="0" w:type="dxa"/>
          <w:right w:w="0" w:type="dxa"/>
        </w:tblCellMar>
        <w:tblLook w:val="00A0" w:firstRow="1" w:lastRow="0" w:firstColumn="1" w:lastColumn="0" w:noHBand="0" w:noVBand="0"/>
      </w:tblPr>
      <w:tblGrid>
        <w:gridCol w:w="1460"/>
        <w:gridCol w:w="1150"/>
        <w:gridCol w:w="1260"/>
        <w:gridCol w:w="1800"/>
        <w:gridCol w:w="90"/>
        <w:gridCol w:w="1440"/>
        <w:gridCol w:w="1564"/>
      </w:tblGrid>
      <w:tr w:rsidR="009E3C71" w:rsidRPr="00FB14C0" w14:paraId="1FDC1E66" w14:textId="77777777" w:rsidTr="002C43AE">
        <w:trPr>
          <w:trHeight w:val="177"/>
        </w:trPr>
        <w:tc>
          <w:tcPr>
            <w:tcW w:w="1460" w:type="dxa"/>
            <w:vMerge w:val="restart"/>
            <w:tcBorders>
              <w:top w:val="single" w:sz="12" w:space="0" w:color="008000"/>
              <w:bottom w:val="nil"/>
              <w:right w:val="nil"/>
            </w:tcBorders>
            <w:shd w:val="clear" w:color="auto" w:fill="FFFFFF"/>
            <w:vAlign w:val="center"/>
          </w:tcPr>
          <w:p w14:paraId="05C9DA1A" w14:textId="77777777" w:rsidR="009E3C71" w:rsidRPr="00C74DAA" w:rsidRDefault="009E3C71" w:rsidP="005D212A">
            <w:pPr>
              <w:jc w:val="center"/>
              <w:rPr>
                <w:lang w:val="en-US"/>
              </w:rPr>
            </w:pPr>
            <w:r w:rsidRPr="00FB14C0">
              <w:rPr>
                <w:lang w:val="en-US"/>
              </w:rPr>
              <w:t>Material class</w:t>
            </w:r>
          </w:p>
        </w:tc>
        <w:tc>
          <w:tcPr>
            <w:tcW w:w="7304" w:type="dxa"/>
            <w:gridSpan w:val="6"/>
            <w:tcBorders>
              <w:top w:val="single" w:sz="12" w:space="0" w:color="008000"/>
              <w:left w:val="nil"/>
              <w:bottom w:val="nil"/>
            </w:tcBorders>
            <w:shd w:val="clear" w:color="auto" w:fill="FFFFFF"/>
          </w:tcPr>
          <w:p w14:paraId="2BC0D5F0" w14:textId="4F86CC78" w:rsidR="009E3C71" w:rsidRPr="00FB14C0" w:rsidRDefault="009E3C71" w:rsidP="009E3C71">
            <w:pPr>
              <w:ind w:right="-1"/>
              <w:jc w:val="center"/>
              <w:rPr>
                <w:rFonts w:cs="Arial"/>
                <w:szCs w:val="18"/>
                <w:lang w:val="en-US"/>
              </w:rPr>
            </w:pPr>
            <w:r w:rsidRPr="00FB14C0">
              <w:rPr>
                <w:lang w:val="en-US"/>
              </w:rPr>
              <w:t>HE Susceptibility</w:t>
            </w:r>
          </w:p>
        </w:tc>
      </w:tr>
      <w:tr w:rsidR="002318A1" w:rsidRPr="00FB14C0" w14:paraId="3AE57721" w14:textId="77777777" w:rsidTr="00375F41">
        <w:trPr>
          <w:trHeight w:val="206"/>
        </w:trPr>
        <w:tc>
          <w:tcPr>
            <w:tcW w:w="1460" w:type="dxa"/>
            <w:vMerge/>
            <w:tcBorders>
              <w:top w:val="nil"/>
              <w:bottom w:val="single" w:sz="2" w:space="0" w:color="008000"/>
              <w:right w:val="nil"/>
            </w:tcBorders>
            <w:shd w:val="clear" w:color="auto" w:fill="FFFFFF"/>
          </w:tcPr>
          <w:p w14:paraId="5A86EA19" w14:textId="77777777" w:rsidR="005C3B08" w:rsidRPr="00FB14C0" w:rsidRDefault="005C3B08" w:rsidP="001F7B50">
            <w:pPr>
              <w:jc w:val="left"/>
              <w:rPr>
                <w:lang w:val="en-US"/>
              </w:rPr>
            </w:pPr>
          </w:p>
        </w:tc>
        <w:tc>
          <w:tcPr>
            <w:tcW w:w="1150" w:type="dxa"/>
            <w:tcBorders>
              <w:top w:val="nil"/>
              <w:left w:val="nil"/>
              <w:bottom w:val="single" w:sz="2" w:space="0" w:color="008000"/>
              <w:right w:val="nil"/>
            </w:tcBorders>
            <w:shd w:val="clear" w:color="auto" w:fill="FFFFFF"/>
          </w:tcPr>
          <w:p w14:paraId="04CFA005" w14:textId="761FEF63" w:rsidR="005C3B08" w:rsidRPr="00FB14C0" w:rsidRDefault="005D212A" w:rsidP="001F7B50">
            <w:pPr>
              <w:jc w:val="left"/>
              <w:rPr>
                <w:lang w:val="en-US"/>
              </w:rPr>
            </w:pPr>
            <w:r>
              <w:rPr>
                <w:lang w:val="en-US"/>
              </w:rPr>
              <w:t>Negligible</w:t>
            </w:r>
          </w:p>
        </w:tc>
        <w:tc>
          <w:tcPr>
            <w:tcW w:w="1260" w:type="dxa"/>
            <w:tcBorders>
              <w:top w:val="nil"/>
              <w:left w:val="nil"/>
              <w:bottom w:val="single" w:sz="2" w:space="0" w:color="008000"/>
              <w:right w:val="nil"/>
            </w:tcBorders>
            <w:shd w:val="clear" w:color="auto" w:fill="FFFFFF"/>
          </w:tcPr>
          <w:p w14:paraId="2C3A989D" w14:textId="422CF85A" w:rsidR="005C3B08" w:rsidRPr="00FB14C0" w:rsidRDefault="005D212A" w:rsidP="001F7B50">
            <w:pPr>
              <w:jc w:val="left"/>
              <w:rPr>
                <w:lang w:val="en-US"/>
              </w:rPr>
            </w:pPr>
            <w:r>
              <w:rPr>
                <w:lang w:val="en-US"/>
              </w:rPr>
              <w:t>Moderate</w:t>
            </w:r>
          </w:p>
        </w:tc>
        <w:tc>
          <w:tcPr>
            <w:tcW w:w="1890" w:type="dxa"/>
            <w:gridSpan w:val="2"/>
            <w:tcBorders>
              <w:top w:val="nil"/>
              <w:left w:val="nil"/>
              <w:bottom w:val="single" w:sz="2" w:space="0" w:color="008000"/>
              <w:right w:val="nil"/>
            </w:tcBorders>
            <w:shd w:val="clear" w:color="auto" w:fill="FFFFFF"/>
          </w:tcPr>
          <w:p w14:paraId="5EFD8CBC" w14:textId="77777777" w:rsidR="005C3B08" w:rsidRPr="00FB14C0" w:rsidRDefault="005C3B08" w:rsidP="001F7B50">
            <w:pPr>
              <w:ind w:right="-1"/>
              <w:jc w:val="left"/>
              <w:rPr>
                <w:rFonts w:cs="Arial"/>
                <w:szCs w:val="18"/>
                <w:lang w:val="en-US"/>
              </w:rPr>
            </w:pPr>
            <w:r w:rsidRPr="00FB14C0">
              <w:rPr>
                <w:rFonts w:cs="Arial"/>
                <w:szCs w:val="18"/>
                <w:lang w:val="en-US"/>
              </w:rPr>
              <w:t>High</w:t>
            </w:r>
          </w:p>
        </w:tc>
        <w:tc>
          <w:tcPr>
            <w:tcW w:w="1440" w:type="dxa"/>
            <w:tcBorders>
              <w:top w:val="nil"/>
              <w:left w:val="nil"/>
              <w:bottom w:val="single" w:sz="2" w:space="0" w:color="008000"/>
              <w:right w:val="nil"/>
            </w:tcBorders>
            <w:shd w:val="clear" w:color="auto" w:fill="FFFFFF"/>
          </w:tcPr>
          <w:p w14:paraId="400CEFFF" w14:textId="77777777" w:rsidR="005C3B08" w:rsidRPr="00FB14C0" w:rsidRDefault="005C3B08" w:rsidP="001F7B50">
            <w:pPr>
              <w:ind w:right="-1"/>
              <w:jc w:val="left"/>
              <w:rPr>
                <w:rFonts w:cs="Arial"/>
                <w:szCs w:val="18"/>
                <w:lang w:val="en-US"/>
              </w:rPr>
            </w:pPr>
            <w:r w:rsidRPr="00FB14C0">
              <w:rPr>
                <w:rFonts w:cs="Arial"/>
                <w:szCs w:val="18"/>
                <w:lang w:val="en-US"/>
              </w:rPr>
              <w:t>Severe</w:t>
            </w:r>
          </w:p>
        </w:tc>
        <w:tc>
          <w:tcPr>
            <w:tcW w:w="1564" w:type="dxa"/>
            <w:tcBorders>
              <w:top w:val="nil"/>
              <w:left w:val="nil"/>
              <w:bottom w:val="single" w:sz="2" w:space="0" w:color="008000"/>
            </w:tcBorders>
            <w:shd w:val="clear" w:color="auto" w:fill="FFFFFF"/>
          </w:tcPr>
          <w:p w14:paraId="4B5FF276" w14:textId="77777777" w:rsidR="005C3B08" w:rsidRPr="00FB14C0" w:rsidRDefault="005C3B08" w:rsidP="001F7B50">
            <w:pPr>
              <w:ind w:right="-1"/>
              <w:jc w:val="left"/>
              <w:rPr>
                <w:rFonts w:cs="Arial"/>
                <w:szCs w:val="18"/>
                <w:lang w:val="en-US"/>
              </w:rPr>
            </w:pPr>
            <w:r w:rsidRPr="00FB14C0">
              <w:rPr>
                <w:rFonts w:cs="Arial"/>
                <w:szCs w:val="18"/>
                <w:lang w:val="en-US"/>
              </w:rPr>
              <w:t>Extreme</w:t>
            </w:r>
          </w:p>
        </w:tc>
      </w:tr>
      <w:tr w:rsidR="005C3B08" w:rsidRPr="00FB14C0" w14:paraId="51EC6709" w14:textId="77777777" w:rsidTr="00375F41">
        <w:trPr>
          <w:trHeight w:val="147"/>
        </w:trPr>
        <w:tc>
          <w:tcPr>
            <w:tcW w:w="1460" w:type="dxa"/>
            <w:tcBorders>
              <w:top w:val="single" w:sz="2" w:space="0" w:color="008000"/>
              <w:bottom w:val="nil"/>
              <w:right w:val="nil"/>
            </w:tcBorders>
            <w:shd w:val="clear" w:color="auto" w:fill="FFFFFF"/>
          </w:tcPr>
          <w:p w14:paraId="1017F3CC" w14:textId="77777777" w:rsidR="005C3B08" w:rsidRPr="00C74DAA" w:rsidRDefault="005C3B08" w:rsidP="001F7B50">
            <w:pPr>
              <w:jc w:val="left"/>
              <w:rPr>
                <w:lang w:val="en-US"/>
              </w:rPr>
            </w:pPr>
            <w:r w:rsidRPr="00FB14C0">
              <w:rPr>
                <w:lang w:val="en-US"/>
              </w:rPr>
              <w:t>Nickel-based alloys</w:t>
            </w:r>
          </w:p>
        </w:tc>
        <w:tc>
          <w:tcPr>
            <w:tcW w:w="1150" w:type="dxa"/>
            <w:tcBorders>
              <w:top w:val="single" w:sz="2" w:space="0" w:color="008000"/>
              <w:left w:val="nil"/>
              <w:bottom w:val="nil"/>
              <w:right w:val="nil"/>
            </w:tcBorders>
            <w:shd w:val="clear" w:color="auto" w:fill="FFFFFF"/>
          </w:tcPr>
          <w:p w14:paraId="01F0A58A" w14:textId="77777777" w:rsidR="005C3B08" w:rsidRPr="00C74DAA" w:rsidRDefault="005C3B08" w:rsidP="001F7B50">
            <w:pPr>
              <w:jc w:val="left"/>
              <w:rPr>
                <w:lang w:val="en-US"/>
              </w:rPr>
            </w:pPr>
          </w:p>
        </w:tc>
        <w:tc>
          <w:tcPr>
            <w:tcW w:w="1260" w:type="dxa"/>
            <w:tcBorders>
              <w:top w:val="single" w:sz="2" w:space="0" w:color="008000"/>
              <w:left w:val="nil"/>
              <w:bottom w:val="nil"/>
              <w:right w:val="nil"/>
            </w:tcBorders>
            <w:shd w:val="clear" w:color="auto" w:fill="FFFFFF"/>
          </w:tcPr>
          <w:p w14:paraId="080B5D1A" w14:textId="77777777" w:rsidR="005C3B08" w:rsidRPr="00C74DAA" w:rsidRDefault="005C3B08" w:rsidP="001F7B50">
            <w:pPr>
              <w:jc w:val="left"/>
              <w:rPr>
                <w:lang w:val="en-US"/>
              </w:rPr>
            </w:pPr>
          </w:p>
        </w:tc>
        <w:tc>
          <w:tcPr>
            <w:tcW w:w="1890" w:type="dxa"/>
            <w:gridSpan w:val="2"/>
            <w:tcBorders>
              <w:top w:val="single" w:sz="2" w:space="0" w:color="008000"/>
              <w:left w:val="nil"/>
              <w:bottom w:val="nil"/>
              <w:right w:val="nil"/>
            </w:tcBorders>
            <w:shd w:val="clear" w:color="auto" w:fill="FFFFFF"/>
          </w:tcPr>
          <w:p w14:paraId="36FF6A3E" w14:textId="77777777" w:rsidR="005C3B08" w:rsidRPr="00C74DAA" w:rsidRDefault="005C3B08" w:rsidP="001F7B50">
            <w:pPr>
              <w:ind w:right="-1"/>
              <w:jc w:val="left"/>
              <w:rPr>
                <w:rFonts w:cs="Arial"/>
                <w:szCs w:val="18"/>
                <w:lang w:val="en-US"/>
              </w:rPr>
            </w:pPr>
            <w:r w:rsidRPr="00FB14C0">
              <w:rPr>
                <w:rFonts w:cs="Arial"/>
                <w:szCs w:val="18"/>
                <w:lang w:val="en-US"/>
              </w:rPr>
              <w:t>Nickel 270</w:t>
            </w:r>
          </w:p>
        </w:tc>
        <w:tc>
          <w:tcPr>
            <w:tcW w:w="1440" w:type="dxa"/>
            <w:tcBorders>
              <w:top w:val="single" w:sz="2" w:space="0" w:color="008000"/>
              <w:left w:val="nil"/>
              <w:bottom w:val="nil"/>
              <w:right w:val="nil"/>
            </w:tcBorders>
            <w:shd w:val="clear" w:color="auto" w:fill="FFFFFF"/>
          </w:tcPr>
          <w:p w14:paraId="7F9B950B" w14:textId="77777777" w:rsidR="005C3B08" w:rsidRPr="00C74DAA" w:rsidRDefault="005C3B08" w:rsidP="001F7B50">
            <w:pPr>
              <w:ind w:right="-1"/>
              <w:jc w:val="left"/>
              <w:rPr>
                <w:rFonts w:cs="Arial"/>
                <w:szCs w:val="18"/>
                <w:lang w:val="en-US"/>
              </w:rPr>
            </w:pPr>
          </w:p>
        </w:tc>
        <w:tc>
          <w:tcPr>
            <w:tcW w:w="1564" w:type="dxa"/>
            <w:tcBorders>
              <w:top w:val="single" w:sz="2" w:space="0" w:color="008000"/>
              <w:left w:val="nil"/>
              <w:bottom w:val="nil"/>
            </w:tcBorders>
            <w:shd w:val="clear" w:color="auto" w:fill="FFFFFF"/>
          </w:tcPr>
          <w:p w14:paraId="0EB1B153" w14:textId="77777777" w:rsidR="005C3B08" w:rsidRPr="00FB14C0" w:rsidRDefault="005C3B08" w:rsidP="001F7B50">
            <w:pPr>
              <w:ind w:right="-1"/>
              <w:jc w:val="left"/>
              <w:rPr>
                <w:rFonts w:cs="Arial"/>
                <w:szCs w:val="18"/>
                <w:lang w:val="en-US"/>
              </w:rPr>
            </w:pPr>
            <w:r w:rsidRPr="00FB14C0">
              <w:rPr>
                <w:rFonts w:cs="Arial"/>
                <w:szCs w:val="18"/>
                <w:lang w:val="en-US"/>
              </w:rPr>
              <w:t>Nickel 301, K-Monel</w:t>
            </w:r>
          </w:p>
        </w:tc>
      </w:tr>
      <w:tr w:rsidR="005C3B08" w:rsidRPr="00FB14C0" w14:paraId="21617AD4" w14:textId="77777777" w:rsidTr="00375F41">
        <w:trPr>
          <w:trHeight w:val="99"/>
        </w:trPr>
        <w:tc>
          <w:tcPr>
            <w:tcW w:w="1460" w:type="dxa"/>
            <w:tcBorders>
              <w:top w:val="nil"/>
              <w:bottom w:val="nil"/>
              <w:right w:val="nil"/>
            </w:tcBorders>
            <w:shd w:val="clear" w:color="auto" w:fill="FFFFFF"/>
          </w:tcPr>
          <w:p w14:paraId="7539B2B6" w14:textId="77777777" w:rsidR="005C3B08" w:rsidRPr="00C74DAA" w:rsidRDefault="005C3B08" w:rsidP="001F7B50">
            <w:pPr>
              <w:ind w:right="-1"/>
              <w:jc w:val="left"/>
              <w:rPr>
                <w:rFonts w:cs="Arial"/>
                <w:szCs w:val="18"/>
                <w:lang w:val="en-US"/>
              </w:rPr>
            </w:pPr>
            <w:r w:rsidRPr="00FB14C0">
              <w:rPr>
                <w:rFonts w:cs="Arial"/>
                <w:szCs w:val="18"/>
                <w:lang w:val="en-US"/>
              </w:rPr>
              <w:t>Titanium-based alloys</w:t>
            </w:r>
          </w:p>
        </w:tc>
        <w:tc>
          <w:tcPr>
            <w:tcW w:w="1150" w:type="dxa"/>
            <w:tcBorders>
              <w:top w:val="nil"/>
              <w:left w:val="nil"/>
              <w:bottom w:val="nil"/>
              <w:right w:val="nil"/>
            </w:tcBorders>
            <w:shd w:val="clear" w:color="auto" w:fill="FFFFFF"/>
          </w:tcPr>
          <w:p w14:paraId="4189E648" w14:textId="77777777" w:rsidR="005C3B08" w:rsidRPr="00C74DAA" w:rsidRDefault="005C3B08" w:rsidP="001F7B50">
            <w:pPr>
              <w:ind w:right="-1"/>
              <w:jc w:val="left"/>
              <w:rPr>
                <w:rFonts w:cs="Arial"/>
                <w:szCs w:val="18"/>
                <w:lang w:val="en-US"/>
              </w:rPr>
            </w:pPr>
          </w:p>
        </w:tc>
        <w:tc>
          <w:tcPr>
            <w:tcW w:w="1260" w:type="dxa"/>
            <w:tcBorders>
              <w:top w:val="nil"/>
              <w:left w:val="nil"/>
              <w:bottom w:val="nil"/>
              <w:right w:val="nil"/>
            </w:tcBorders>
            <w:shd w:val="clear" w:color="auto" w:fill="FFFFFF"/>
          </w:tcPr>
          <w:p w14:paraId="62541CDD" w14:textId="77777777" w:rsidR="005C3B08" w:rsidRPr="00C74DAA" w:rsidRDefault="005C3B08" w:rsidP="001F7B50">
            <w:pPr>
              <w:ind w:right="-1"/>
              <w:jc w:val="left"/>
              <w:rPr>
                <w:rFonts w:cs="Arial"/>
                <w:szCs w:val="18"/>
                <w:lang w:val="en-US"/>
              </w:rPr>
            </w:pPr>
            <w:r w:rsidRPr="00FB14C0">
              <w:rPr>
                <w:rFonts w:cs="Arial"/>
                <w:szCs w:val="18"/>
                <w:lang w:val="en-US"/>
              </w:rPr>
              <w:t>Titanium</w:t>
            </w:r>
          </w:p>
        </w:tc>
        <w:tc>
          <w:tcPr>
            <w:tcW w:w="1890" w:type="dxa"/>
            <w:gridSpan w:val="2"/>
            <w:tcBorders>
              <w:top w:val="nil"/>
              <w:left w:val="nil"/>
              <w:bottom w:val="nil"/>
              <w:right w:val="nil"/>
            </w:tcBorders>
            <w:shd w:val="clear" w:color="auto" w:fill="FFFFFF"/>
          </w:tcPr>
          <w:p w14:paraId="4FE439C7" w14:textId="77777777" w:rsidR="005C3B08" w:rsidRPr="00C74DAA" w:rsidRDefault="005C3B08" w:rsidP="001F7B50">
            <w:pPr>
              <w:ind w:right="-1"/>
              <w:jc w:val="left"/>
              <w:rPr>
                <w:rFonts w:cs="Arial"/>
                <w:szCs w:val="18"/>
                <w:lang w:val="it-IT"/>
              </w:rPr>
            </w:pPr>
            <w:r w:rsidRPr="005C3B08">
              <w:rPr>
                <w:rFonts w:cs="Arial"/>
                <w:szCs w:val="18"/>
                <w:lang w:val="it-IT"/>
              </w:rPr>
              <w:t>Ti-6Al-4V (</w:t>
            </w:r>
            <w:proofErr w:type="spellStart"/>
            <w:r w:rsidRPr="005C3B08">
              <w:rPr>
                <w:rFonts w:cs="Arial"/>
                <w:szCs w:val="18"/>
                <w:lang w:val="it-IT"/>
              </w:rPr>
              <w:t>annealed</w:t>
            </w:r>
            <w:proofErr w:type="spellEnd"/>
            <w:r w:rsidRPr="005C3B08">
              <w:rPr>
                <w:rFonts w:cs="Arial"/>
                <w:szCs w:val="18"/>
                <w:lang w:val="it-IT"/>
              </w:rPr>
              <w:t>), Ti-5Al-2.5Sn</w:t>
            </w:r>
          </w:p>
        </w:tc>
        <w:tc>
          <w:tcPr>
            <w:tcW w:w="1440" w:type="dxa"/>
            <w:tcBorders>
              <w:top w:val="nil"/>
              <w:left w:val="nil"/>
              <w:bottom w:val="nil"/>
              <w:right w:val="nil"/>
            </w:tcBorders>
            <w:shd w:val="clear" w:color="auto" w:fill="FFFFFF"/>
          </w:tcPr>
          <w:p w14:paraId="01896BED" w14:textId="77777777" w:rsidR="005C3B08" w:rsidRPr="00C74DAA" w:rsidRDefault="005C3B08" w:rsidP="001F7B50">
            <w:pPr>
              <w:ind w:right="-1"/>
              <w:jc w:val="left"/>
              <w:rPr>
                <w:rFonts w:cs="Arial"/>
                <w:szCs w:val="18"/>
                <w:lang w:val="en-US"/>
              </w:rPr>
            </w:pPr>
            <w:r w:rsidRPr="00FB14C0">
              <w:rPr>
                <w:rFonts w:cs="Arial"/>
                <w:szCs w:val="18"/>
                <w:lang w:val="en-US"/>
              </w:rPr>
              <w:t>Ti-6Al-4V (STA)</w:t>
            </w:r>
          </w:p>
        </w:tc>
        <w:tc>
          <w:tcPr>
            <w:tcW w:w="1564" w:type="dxa"/>
            <w:tcBorders>
              <w:top w:val="nil"/>
              <w:left w:val="nil"/>
              <w:bottom w:val="nil"/>
            </w:tcBorders>
            <w:shd w:val="clear" w:color="auto" w:fill="FFFFFF"/>
          </w:tcPr>
          <w:p w14:paraId="0FFE1467" w14:textId="77777777" w:rsidR="005C3B08" w:rsidRPr="00FB14C0" w:rsidRDefault="005C3B08" w:rsidP="001F7B50">
            <w:pPr>
              <w:ind w:right="-1"/>
              <w:jc w:val="left"/>
              <w:rPr>
                <w:rFonts w:cs="Arial"/>
                <w:szCs w:val="18"/>
                <w:lang w:val="en-US"/>
              </w:rPr>
            </w:pPr>
            <w:r w:rsidRPr="00FB14C0">
              <w:rPr>
                <w:rFonts w:cs="Arial"/>
                <w:szCs w:val="18"/>
                <w:lang w:val="en-US"/>
              </w:rPr>
              <w:t xml:space="preserve">Ti-11.5Mo-6Zr-4.5Sn, Alpha-2 </w:t>
            </w:r>
            <w:proofErr w:type="spellStart"/>
            <w:r w:rsidRPr="00FB14C0">
              <w:rPr>
                <w:rFonts w:cs="Arial"/>
                <w:szCs w:val="18"/>
                <w:lang w:val="en-US"/>
              </w:rPr>
              <w:t>TiAl</w:t>
            </w:r>
            <w:proofErr w:type="spellEnd"/>
            <w:r w:rsidRPr="00FB14C0">
              <w:rPr>
                <w:rFonts w:cs="Arial"/>
                <w:szCs w:val="18"/>
                <w:lang w:val="en-US"/>
              </w:rPr>
              <w:t>, Gamma-</w:t>
            </w:r>
            <w:proofErr w:type="spellStart"/>
            <w:r w:rsidRPr="00FB14C0">
              <w:rPr>
                <w:rFonts w:cs="Arial"/>
                <w:szCs w:val="18"/>
                <w:lang w:val="en-US"/>
              </w:rPr>
              <w:t>TiAl</w:t>
            </w:r>
            <w:proofErr w:type="spellEnd"/>
          </w:p>
        </w:tc>
      </w:tr>
      <w:tr w:rsidR="00BB3558" w:rsidRPr="00FB14C0" w14:paraId="658354BF" w14:textId="77777777" w:rsidTr="00375F41">
        <w:trPr>
          <w:trHeight w:val="99"/>
        </w:trPr>
        <w:tc>
          <w:tcPr>
            <w:tcW w:w="1460" w:type="dxa"/>
            <w:tcBorders>
              <w:top w:val="nil"/>
              <w:bottom w:val="nil"/>
              <w:right w:val="nil"/>
            </w:tcBorders>
            <w:shd w:val="clear" w:color="auto" w:fill="FFFFFF"/>
          </w:tcPr>
          <w:p w14:paraId="2C212857" w14:textId="1399C185" w:rsidR="00BB3558" w:rsidRPr="00FB14C0" w:rsidRDefault="00BB3558" w:rsidP="001F7B50">
            <w:pPr>
              <w:ind w:right="-1"/>
              <w:jc w:val="left"/>
              <w:rPr>
                <w:rFonts w:cs="Arial"/>
                <w:szCs w:val="18"/>
                <w:lang w:val="en-US"/>
              </w:rPr>
            </w:pPr>
            <w:r>
              <w:rPr>
                <w:rFonts w:cs="Arial"/>
                <w:szCs w:val="18"/>
                <w:lang w:val="en-US"/>
              </w:rPr>
              <w:t>Copper-based alloys</w:t>
            </w:r>
          </w:p>
        </w:tc>
        <w:tc>
          <w:tcPr>
            <w:tcW w:w="1150" w:type="dxa"/>
            <w:tcBorders>
              <w:top w:val="nil"/>
              <w:left w:val="nil"/>
              <w:bottom w:val="nil"/>
              <w:right w:val="nil"/>
            </w:tcBorders>
            <w:shd w:val="clear" w:color="auto" w:fill="FFFFFF"/>
          </w:tcPr>
          <w:p w14:paraId="0F1558DE" w14:textId="4A1A2580" w:rsidR="00BB3558" w:rsidRPr="00C74DAA" w:rsidRDefault="00BB3558" w:rsidP="001F7B50">
            <w:pPr>
              <w:ind w:right="-1"/>
              <w:jc w:val="left"/>
              <w:rPr>
                <w:rFonts w:cs="Arial"/>
                <w:szCs w:val="18"/>
                <w:lang w:val="en-US"/>
              </w:rPr>
            </w:pPr>
            <w:r>
              <w:rPr>
                <w:rFonts w:cs="Arial"/>
                <w:szCs w:val="18"/>
                <w:lang w:val="en-US"/>
              </w:rPr>
              <w:t>All</w:t>
            </w:r>
          </w:p>
        </w:tc>
        <w:tc>
          <w:tcPr>
            <w:tcW w:w="1260" w:type="dxa"/>
            <w:tcBorders>
              <w:top w:val="nil"/>
              <w:left w:val="nil"/>
              <w:bottom w:val="nil"/>
              <w:right w:val="nil"/>
            </w:tcBorders>
            <w:shd w:val="clear" w:color="auto" w:fill="FFFFFF"/>
          </w:tcPr>
          <w:p w14:paraId="40FEE629" w14:textId="6BCA1EB3" w:rsidR="00BB3558" w:rsidRPr="00FB14C0" w:rsidRDefault="00BB3558" w:rsidP="001F7B50">
            <w:pPr>
              <w:ind w:right="-1"/>
              <w:jc w:val="left"/>
              <w:rPr>
                <w:rFonts w:cs="Arial"/>
                <w:szCs w:val="18"/>
                <w:lang w:val="en-US"/>
              </w:rPr>
            </w:pPr>
            <w:r>
              <w:rPr>
                <w:rFonts w:cs="Arial"/>
                <w:szCs w:val="18"/>
                <w:lang w:val="en-US"/>
              </w:rPr>
              <w:t>Be-Cu alloy 25</w:t>
            </w:r>
          </w:p>
        </w:tc>
        <w:tc>
          <w:tcPr>
            <w:tcW w:w="1890" w:type="dxa"/>
            <w:gridSpan w:val="2"/>
            <w:tcBorders>
              <w:top w:val="nil"/>
              <w:left w:val="nil"/>
              <w:bottom w:val="nil"/>
              <w:right w:val="nil"/>
            </w:tcBorders>
            <w:shd w:val="clear" w:color="auto" w:fill="FFFFFF"/>
          </w:tcPr>
          <w:p w14:paraId="0DD07E80" w14:textId="77777777" w:rsidR="00BB3558" w:rsidRPr="005C3B08" w:rsidRDefault="00BB3558" w:rsidP="001F7B50">
            <w:pPr>
              <w:ind w:right="-1"/>
              <w:jc w:val="left"/>
              <w:rPr>
                <w:rFonts w:cs="Arial"/>
                <w:szCs w:val="18"/>
                <w:lang w:val="it-IT"/>
              </w:rPr>
            </w:pPr>
          </w:p>
        </w:tc>
        <w:tc>
          <w:tcPr>
            <w:tcW w:w="1440" w:type="dxa"/>
            <w:tcBorders>
              <w:top w:val="nil"/>
              <w:left w:val="nil"/>
              <w:bottom w:val="nil"/>
              <w:right w:val="nil"/>
            </w:tcBorders>
            <w:shd w:val="clear" w:color="auto" w:fill="FFFFFF"/>
          </w:tcPr>
          <w:p w14:paraId="1291B28B" w14:textId="77777777" w:rsidR="00BB3558" w:rsidRPr="00FB14C0" w:rsidRDefault="00BB3558" w:rsidP="001F7B50">
            <w:pPr>
              <w:ind w:right="-1"/>
              <w:jc w:val="left"/>
              <w:rPr>
                <w:rFonts w:cs="Arial"/>
                <w:szCs w:val="18"/>
                <w:lang w:val="en-US"/>
              </w:rPr>
            </w:pPr>
          </w:p>
        </w:tc>
        <w:tc>
          <w:tcPr>
            <w:tcW w:w="1564" w:type="dxa"/>
            <w:tcBorders>
              <w:top w:val="nil"/>
              <w:left w:val="nil"/>
              <w:bottom w:val="nil"/>
            </w:tcBorders>
            <w:shd w:val="clear" w:color="auto" w:fill="FFFFFF"/>
          </w:tcPr>
          <w:p w14:paraId="7A7B4141" w14:textId="77777777" w:rsidR="00BB3558" w:rsidRPr="00FB14C0" w:rsidRDefault="00BB3558" w:rsidP="001F7B50">
            <w:pPr>
              <w:ind w:right="-1"/>
              <w:jc w:val="left"/>
              <w:rPr>
                <w:rFonts w:cs="Arial"/>
                <w:szCs w:val="18"/>
                <w:lang w:val="en-US"/>
              </w:rPr>
            </w:pPr>
          </w:p>
        </w:tc>
      </w:tr>
      <w:tr w:rsidR="002318A1" w:rsidRPr="00FB14C0" w14:paraId="4EC5E637" w14:textId="77777777" w:rsidTr="00375F41">
        <w:trPr>
          <w:trHeight w:val="99"/>
        </w:trPr>
        <w:tc>
          <w:tcPr>
            <w:tcW w:w="1460" w:type="dxa"/>
            <w:tcBorders>
              <w:top w:val="nil"/>
              <w:bottom w:val="nil"/>
              <w:right w:val="nil"/>
            </w:tcBorders>
            <w:shd w:val="clear" w:color="auto" w:fill="FFFFFF"/>
          </w:tcPr>
          <w:p w14:paraId="33B1D9F7" w14:textId="77777777" w:rsidR="005C3B08" w:rsidRPr="00FB14C0" w:rsidRDefault="005C3B08" w:rsidP="001F7B50">
            <w:pPr>
              <w:ind w:right="-1"/>
              <w:jc w:val="left"/>
              <w:rPr>
                <w:rFonts w:cs="Arial"/>
                <w:szCs w:val="18"/>
                <w:lang w:val="en-US"/>
              </w:rPr>
            </w:pPr>
            <w:r w:rsidRPr="00FB14C0">
              <w:rPr>
                <w:rFonts w:cs="Arial"/>
                <w:szCs w:val="18"/>
                <w:lang w:val="en-US"/>
              </w:rPr>
              <w:t>Austenitic steels</w:t>
            </w:r>
          </w:p>
        </w:tc>
        <w:tc>
          <w:tcPr>
            <w:tcW w:w="1150" w:type="dxa"/>
            <w:tcBorders>
              <w:top w:val="nil"/>
              <w:left w:val="nil"/>
              <w:bottom w:val="nil"/>
              <w:right w:val="nil"/>
            </w:tcBorders>
            <w:shd w:val="clear" w:color="auto" w:fill="FFFFFF"/>
          </w:tcPr>
          <w:p w14:paraId="4903AABD" w14:textId="2E33F504" w:rsidR="005C3B08" w:rsidRPr="00FB14C0" w:rsidRDefault="005C3B08" w:rsidP="001F7B50">
            <w:pPr>
              <w:ind w:right="-1"/>
              <w:jc w:val="left"/>
              <w:rPr>
                <w:rFonts w:cs="Arial"/>
                <w:szCs w:val="18"/>
                <w:lang w:val="en-US"/>
              </w:rPr>
            </w:pPr>
            <w:r w:rsidRPr="00FB14C0">
              <w:rPr>
                <w:rFonts w:cs="Arial"/>
                <w:szCs w:val="18"/>
                <w:lang w:val="en-US"/>
              </w:rPr>
              <w:t>A286, 216, 316,</w:t>
            </w:r>
            <w:r w:rsidR="00BB3558">
              <w:rPr>
                <w:rFonts w:cs="Arial"/>
                <w:szCs w:val="18"/>
                <w:lang w:val="en-US"/>
              </w:rPr>
              <w:t xml:space="preserve"> </w:t>
            </w:r>
            <w:proofErr w:type="spellStart"/>
            <w:r w:rsidR="00BB3558">
              <w:rPr>
                <w:rFonts w:cs="Arial"/>
                <w:szCs w:val="18"/>
                <w:lang w:val="en-US"/>
              </w:rPr>
              <w:t>Nitronic</w:t>
            </w:r>
            <w:proofErr w:type="spellEnd"/>
            <w:r w:rsidR="00BB3558">
              <w:rPr>
                <w:rFonts w:cs="Arial"/>
                <w:szCs w:val="18"/>
                <w:lang w:val="en-US"/>
              </w:rPr>
              <w:t xml:space="preserve"> 50</w:t>
            </w:r>
          </w:p>
        </w:tc>
        <w:tc>
          <w:tcPr>
            <w:tcW w:w="1260" w:type="dxa"/>
            <w:tcBorders>
              <w:top w:val="nil"/>
              <w:left w:val="nil"/>
              <w:bottom w:val="nil"/>
              <w:right w:val="nil"/>
            </w:tcBorders>
            <w:shd w:val="clear" w:color="auto" w:fill="FFFFFF"/>
          </w:tcPr>
          <w:p w14:paraId="2CB9FA3A" w14:textId="22DA25C5" w:rsidR="005C3B08" w:rsidRPr="00FB14C0" w:rsidRDefault="005C3B08" w:rsidP="001F7B50">
            <w:pPr>
              <w:ind w:right="-1"/>
              <w:jc w:val="left"/>
              <w:rPr>
                <w:rFonts w:cs="Arial"/>
                <w:szCs w:val="18"/>
                <w:lang w:val="en-US"/>
              </w:rPr>
            </w:pPr>
            <w:r w:rsidRPr="00FB14C0">
              <w:rPr>
                <w:rFonts w:cs="Arial"/>
                <w:szCs w:val="18"/>
                <w:lang w:val="en-US"/>
              </w:rPr>
              <w:t>309, 310, 347, 18-3-Mn</w:t>
            </w:r>
          </w:p>
        </w:tc>
        <w:tc>
          <w:tcPr>
            <w:tcW w:w="1890" w:type="dxa"/>
            <w:gridSpan w:val="2"/>
            <w:tcBorders>
              <w:top w:val="nil"/>
              <w:left w:val="nil"/>
              <w:bottom w:val="nil"/>
              <w:right w:val="nil"/>
            </w:tcBorders>
            <w:shd w:val="clear" w:color="auto" w:fill="FFFFFF"/>
          </w:tcPr>
          <w:p w14:paraId="75C151E4" w14:textId="7B5D9F9F" w:rsidR="005C3B08" w:rsidRPr="00FB14C0" w:rsidRDefault="005C3B08" w:rsidP="001F7B50">
            <w:pPr>
              <w:ind w:right="-1"/>
              <w:jc w:val="left"/>
              <w:rPr>
                <w:rFonts w:cs="Arial"/>
                <w:szCs w:val="18"/>
                <w:lang w:val="en-US"/>
              </w:rPr>
            </w:pPr>
            <w:proofErr w:type="spellStart"/>
            <w:r w:rsidRPr="00FB14C0">
              <w:rPr>
                <w:rFonts w:cs="Arial"/>
                <w:szCs w:val="18"/>
                <w:lang w:val="en-US"/>
              </w:rPr>
              <w:t>Tenelon</w:t>
            </w:r>
            <w:proofErr w:type="spellEnd"/>
            <w:r w:rsidRPr="00FB14C0">
              <w:rPr>
                <w:rFonts w:cs="Arial"/>
                <w:szCs w:val="18"/>
                <w:lang w:val="en-US"/>
              </w:rPr>
              <w:t xml:space="preserve">, A302B, 304, 305, 308, 321, </w:t>
            </w:r>
            <w:proofErr w:type="spellStart"/>
            <w:r w:rsidR="00BB3558">
              <w:rPr>
                <w:rFonts w:cs="Arial"/>
                <w:szCs w:val="18"/>
                <w:lang w:val="en-US"/>
              </w:rPr>
              <w:t>Nitronic</w:t>
            </w:r>
            <w:proofErr w:type="spellEnd"/>
            <w:r w:rsidR="00BB3558">
              <w:rPr>
                <w:rFonts w:cs="Arial"/>
                <w:szCs w:val="18"/>
                <w:lang w:val="en-US"/>
              </w:rPr>
              <w:t xml:space="preserve"> 40</w:t>
            </w:r>
          </w:p>
        </w:tc>
        <w:tc>
          <w:tcPr>
            <w:tcW w:w="1440" w:type="dxa"/>
            <w:tcBorders>
              <w:top w:val="nil"/>
              <w:left w:val="nil"/>
              <w:bottom w:val="nil"/>
              <w:right w:val="nil"/>
            </w:tcBorders>
            <w:shd w:val="clear" w:color="auto" w:fill="FFFFFF"/>
          </w:tcPr>
          <w:p w14:paraId="146F9B55" w14:textId="62C88421" w:rsidR="005C3B08" w:rsidRPr="00FB14C0" w:rsidRDefault="00BB3558" w:rsidP="001F7B50">
            <w:pPr>
              <w:ind w:right="-1"/>
              <w:jc w:val="left"/>
              <w:rPr>
                <w:rFonts w:cs="Arial"/>
                <w:szCs w:val="18"/>
                <w:lang w:val="en-US"/>
              </w:rPr>
            </w:pPr>
            <w:proofErr w:type="spellStart"/>
            <w:r>
              <w:rPr>
                <w:rFonts w:cs="Arial"/>
                <w:szCs w:val="18"/>
                <w:lang w:val="en-US"/>
              </w:rPr>
              <w:t>Nitronic</w:t>
            </w:r>
            <w:proofErr w:type="spellEnd"/>
            <w:r>
              <w:rPr>
                <w:rFonts w:cs="Arial"/>
                <w:szCs w:val="18"/>
                <w:lang w:val="en-US"/>
              </w:rPr>
              <w:t xml:space="preserve"> 32</w:t>
            </w:r>
            <w:r w:rsidR="005C3B08" w:rsidRPr="00FB14C0">
              <w:rPr>
                <w:rFonts w:cs="Arial"/>
                <w:szCs w:val="18"/>
                <w:lang w:val="en-US"/>
              </w:rPr>
              <w:t>, 18-18 Plus, 18-2-Mn</w:t>
            </w:r>
          </w:p>
        </w:tc>
        <w:tc>
          <w:tcPr>
            <w:tcW w:w="1564" w:type="dxa"/>
            <w:tcBorders>
              <w:top w:val="nil"/>
              <w:left w:val="nil"/>
              <w:bottom w:val="nil"/>
            </w:tcBorders>
            <w:shd w:val="clear" w:color="auto" w:fill="FFFFFF"/>
          </w:tcPr>
          <w:p w14:paraId="18A6B6F7" w14:textId="77777777" w:rsidR="005C3B08" w:rsidRPr="00FB14C0" w:rsidRDefault="005C3B08" w:rsidP="001F7B50">
            <w:pPr>
              <w:ind w:right="-1"/>
              <w:jc w:val="left"/>
              <w:rPr>
                <w:rFonts w:cs="Arial"/>
                <w:szCs w:val="18"/>
                <w:lang w:val="en-US"/>
              </w:rPr>
            </w:pPr>
            <w:r w:rsidRPr="00FB14C0">
              <w:rPr>
                <w:rFonts w:cs="Arial"/>
                <w:szCs w:val="18"/>
                <w:lang w:val="en-US"/>
              </w:rPr>
              <w:t>CG-27</w:t>
            </w:r>
          </w:p>
        </w:tc>
      </w:tr>
      <w:tr w:rsidR="002318A1" w:rsidRPr="00FB14C0" w14:paraId="035C5B4D" w14:textId="77777777" w:rsidTr="00375F41">
        <w:trPr>
          <w:trHeight w:val="99"/>
        </w:trPr>
        <w:tc>
          <w:tcPr>
            <w:tcW w:w="1460" w:type="dxa"/>
            <w:tcBorders>
              <w:top w:val="nil"/>
              <w:bottom w:val="nil"/>
              <w:right w:val="nil"/>
            </w:tcBorders>
            <w:shd w:val="clear" w:color="auto" w:fill="FFFFFF"/>
          </w:tcPr>
          <w:p w14:paraId="191DA692" w14:textId="77777777" w:rsidR="005C3B08" w:rsidRPr="00FB14C0" w:rsidRDefault="005C3B08" w:rsidP="001F7B50">
            <w:pPr>
              <w:ind w:right="-1"/>
              <w:jc w:val="left"/>
              <w:rPr>
                <w:rFonts w:cs="Arial"/>
                <w:szCs w:val="18"/>
                <w:lang w:val="en-US"/>
              </w:rPr>
            </w:pPr>
            <w:r w:rsidRPr="00FB14C0">
              <w:rPr>
                <w:rFonts w:cs="Arial"/>
                <w:szCs w:val="18"/>
                <w:lang w:val="en-US"/>
              </w:rPr>
              <w:t>Ferritic steels</w:t>
            </w:r>
          </w:p>
        </w:tc>
        <w:tc>
          <w:tcPr>
            <w:tcW w:w="1150" w:type="dxa"/>
            <w:tcBorders>
              <w:top w:val="nil"/>
              <w:left w:val="nil"/>
              <w:bottom w:val="nil"/>
              <w:right w:val="nil"/>
            </w:tcBorders>
            <w:shd w:val="clear" w:color="auto" w:fill="FFFFFF"/>
          </w:tcPr>
          <w:p w14:paraId="218BF9AB" w14:textId="77777777" w:rsidR="005C3B08" w:rsidRPr="00FB14C0" w:rsidRDefault="005C3B08" w:rsidP="001F7B50">
            <w:pPr>
              <w:ind w:right="-1"/>
              <w:jc w:val="left"/>
              <w:rPr>
                <w:rFonts w:cs="Arial"/>
                <w:szCs w:val="18"/>
                <w:lang w:val="en-US"/>
              </w:rPr>
            </w:pPr>
          </w:p>
        </w:tc>
        <w:tc>
          <w:tcPr>
            <w:tcW w:w="1260" w:type="dxa"/>
            <w:tcBorders>
              <w:top w:val="nil"/>
              <w:left w:val="nil"/>
              <w:bottom w:val="nil"/>
              <w:right w:val="nil"/>
            </w:tcBorders>
            <w:shd w:val="clear" w:color="auto" w:fill="FFFFFF"/>
          </w:tcPr>
          <w:p w14:paraId="11F5EBAB" w14:textId="77777777" w:rsidR="005C3B08" w:rsidRPr="00FB14C0" w:rsidRDefault="005C3B08" w:rsidP="001F7B50">
            <w:pPr>
              <w:ind w:right="-1"/>
              <w:jc w:val="left"/>
              <w:rPr>
                <w:rFonts w:cs="Arial"/>
                <w:szCs w:val="18"/>
                <w:lang w:val="en-US"/>
              </w:rPr>
            </w:pPr>
          </w:p>
        </w:tc>
        <w:tc>
          <w:tcPr>
            <w:tcW w:w="1890" w:type="dxa"/>
            <w:gridSpan w:val="2"/>
            <w:tcBorders>
              <w:top w:val="nil"/>
              <w:left w:val="nil"/>
              <w:bottom w:val="nil"/>
              <w:right w:val="nil"/>
            </w:tcBorders>
            <w:shd w:val="clear" w:color="auto" w:fill="FFFFFF"/>
          </w:tcPr>
          <w:p w14:paraId="225EAABB" w14:textId="24B8DD6A" w:rsidR="005C3B08" w:rsidRPr="002D47EC" w:rsidRDefault="005C3B08" w:rsidP="001F7B50">
            <w:pPr>
              <w:ind w:right="-1"/>
              <w:jc w:val="left"/>
              <w:rPr>
                <w:rFonts w:cs="Arial"/>
                <w:szCs w:val="18"/>
                <w:lang w:val="es-ES"/>
              </w:rPr>
            </w:pPr>
            <w:r w:rsidRPr="00FB14C0">
              <w:rPr>
                <w:rFonts w:cs="Arial"/>
                <w:szCs w:val="18"/>
                <w:lang w:val="en-US"/>
              </w:rPr>
              <w:t>A106, A515</w:t>
            </w:r>
            <w:r w:rsidRPr="002D47EC">
              <w:rPr>
                <w:rFonts w:cs="Arial"/>
                <w:szCs w:val="18"/>
                <w:lang w:val="es-ES"/>
              </w:rPr>
              <w:t xml:space="preserve">, A516, A517, A533, HY-80, HY-100, </w:t>
            </w:r>
            <w:proofErr w:type="spellStart"/>
            <w:r w:rsidRPr="002D47EC">
              <w:rPr>
                <w:rFonts w:cs="Arial"/>
                <w:szCs w:val="18"/>
                <w:lang w:val="es-ES"/>
              </w:rPr>
              <w:t>Ir</w:t>
            </w:r>
            <w:r>
              <w:rPr>
                <w:rFonts w:cs="Arial"/>
                <w:szCs w:val="18"/>
                <w:lang w:val="es-ES"/>
              </w:rPr>
              <w:t>on</w:t>
            </w:r>
            <w:proofErr w:type="spellEnd"/>
            <w:r>
              <w:rPr>
                <w:rFonts w:cs="Arial"/>
                <w:szCs w:val="18"/>
                <w:lang w:val="es-ES"/>
              </w:rPr>
              <w:t>, X60, X65, X70, 1020, C1025</w:t>
            </w:r>
          </w:p>
        </w:tc>
        <w:tc>
          <w:tcPr>
            <w:tcW w:w="1440" w:type="dxa"/>
            <w:tcBorders>
              <w:top w:val="nil"/>
              <w:left w:val="nil"/>
              <w:bottom w:val="nil"/>
              <w:right w:val="nil"/>
            </w:tcBorders>
            <w:shd w:val="clear" w:color="auto" w:fill="FFFFFF"/>
          </w:tcPr>
          <w:p w14:paraId="24C896D6" w14:textId="0F2E46E9" w:rsidR="005C3B08" w:rsidRPr="00FB14C0" w:rsidRDefault="005C3B08" w:rsidP="001F7B50">
            <w:pPr>
              <w:ind w:right="-1"/>
              <w:jc w:val="left"/>
              <w:rPr>
                <w:rFonts w:cs="Arial"/>
                <w:szCs w:val="18"/>
                <w:lang w:val="en-US"/>
              </w:rPr>
            </w:pPr>
            <w:r w:rsidRPr="00FB14C0">
              <w:rPr>
                <w:rFonts w:cs="Arial"/>
                <w:szCs w:val="18"/>
                <w:lang w:val="en-US"/>
              </w:rPr>
              <w:t>A212-61T, A372</w:t>
            </w:r>
            <w:r>
              <w:rPr>
                <w:rFonts w:cs="Arial"/>
                <w:szCs w:val="18"/>
                <w:lang w:val="en-US"/>
              </w:rPr>
              <w:t xml:space="preserve">, </w:t>
            </w:r>
            <w:r w:rsidRPr="002D47EC">
              <w:rPr>
                <w:rFonts w:cs="Arial"/>
                <w:szCs w:val="18"/>
                <w:lang w:val="en-US"/>
              </w:rPr>
              <w:t>X42</w:t>
            </w:r>
            <w:r>
              <w:rPr>
                <w:rFonts w:cs="Arial"/>
                <w:szCs w:val="18"/>
                <w:lang w:val="en-US"/>
              </w:rPr>
              <w:t>, X52, 430</w:t>
            </w:r>
          </w:p>
        </w:tc>
        <w:tc>
          <w:tcPr>
            <w:tcW w:w="1564" w:type="dxa"/>
            <w:tcBorders>
              <w:top w:val="nil"/>
              <w:left w:val="nil"/>
              <w:bottom w:val="nil"/>
            </w:tcBorders>
            <w:shd w:val="clear" w:color="auto" w:fill="FFFFFF"/>
          </w:tcPr>
          <w:p w14:paraId="3E4F4D7C" w14:textId="77777777" w:rsidR="005C3B08" w:rsidRPr="00FB14C0" w:rsidRDefault="005C3B08" w:rsidP="001F7B50">
            <w:pPr>
              <w:ind w:right="-1"/>
              <w:jc w:val="left"/>
              <w:rPr>
                <w:rFonts w:cs="Arial"/>
                <w:szCs w:val="18"/>
                <w:lang w:val="en-US"/>
              </w:rPr>
            </w:pPr>
            <w:r w:rsidRPr="002D47EC">
              <w:rPr>
                <w:rFonts w:cs="Arial"/>
                <w:szCs w:val="18"/>
                <w:lang w:val="en-US"/>
              </w:rPr>
              <w:t>X</w:t>
            </w:r>
            <w:r>
              <w:rPr>
                <w:rFonts w:cs="Arial"/>
                <w:szCs w:val="18"/>
                <w:lang w:val="en-US"/>
              </w:rPr>
              <w:t>100, 1080, 1042, 4140, 4340</w:t>
            </w:r>
          </w:p>
        </w:tc>
      </w:tr>
      <w:tr w:rsidR="005C3B08" w:rsidRPr="00FB14C0" w14:paraId="2ECA44F2" w14:textId="77777777" w:rsidTr="002318A1">
        <w:trPr>
          <w:trHeight w:val="99"/>
        </w:trPr>
        <w:tc>
          <w:tcPr>
            <w:tcW w:w="1460" w:type="dxa"/>
            <w:tcBorders>
              <w:top w:val="nil"/>
              <w:bottom w:val="single" w:sz="12" w:space="0" w:color="008000"/>
              <w:right w:val="nil"/>
            </w:tcBorders>
            <w:shd w:val="clear" w:color="auto" w:fill="FFFFFF"/>
          </w:tcPr>
          <w:p w14:paraId="092756DE" w14:textId="77777777" w:rsidR="005C3B08" w:rsidRPr="00FB14C0" w:rsidRDefault="005C3B08" w:rsidP="001F7B50">
            <w:pPr>
              <w:ind w:right="-1"/>
              <w:jc w:val="left"/>
              <w:rPr>
                <w:rFonts w:cs="Arial"/>
                <w:szCs w:val="18"/>
                <w:lang w:val="en-US"/>
              </w:rPr>
            </w:pPr>
            <w:r>
              <w:rPr>
                <w:rFonts w:cs="Arial"/>
                <w:szCs w:val="18"/>
                <w:lang w:val="en-US"/>
              </w:rPr>
              <w:t>Martensitic steels</w:t>
            </w:r>
          </w:p>
        </w:tc>
        <w:tc>
          <w:tcPr>
            <w:tcW w:w="1150" w:type="dxa"/>
            <w:tcBorders>
              <w:top w:val="nil"/>
              <w:left w:val="nil"/>
              <w:bottom w:val="single" w:sz="12" w:space="0" w:color="008000"/>
              <w:right w:val="nil"/>
            </w:tcBorders>
            <w:shd w:val="clear" w:color="auto" w:fill="FFFFFF"/>
          </w:tcPr>
          <w:p w14:paraId="453C3779" w14:textId="77777777" w:rsidR="005C3B08" w:rsidRPr="00FB14C0" w:rsidRDefault="005C3B08" w:rsidP="001F7B50">
            <w:pPr>
              <w:ind w:right="-1"/>
              <w:jc w:val="left"/>
              <w:rPr>
                <w:rFonts w:cs="Arial"/>
                <w:szCs w:val="18"/>
                <w:lang w:val="en-US"/>
              </w:rPr>
            </w:pPr>
          </w:p>
        </w:tc>
        <w:tc>
          <w:tcPr>
            <w:tcW w:w="1260" w:type="dxa"/>
            <w:tcBorders>
              <w:top w:val="nil"/>
              <w:left w:val="nil"/>
              <w:bottom w:val="single" w:sz="12" w:space="0" w:color="008000"/>
              <w:right w:val="nil"/>
            </w:tcBorders>
            <w:shd w:val="clear" w:color="auto" w:fill="FFFFFF"/>
          </w:tcPr>
          <w:p w14:paraId="3228F8F8" w14:textId="77777777" w:rsidR="005C3B08" w:rsidRPr="00FB14C0" w:rsidRDefault="005C3B08" w:rsidP="001F7B50">
            <w:pPr>
              <w:ind w:right="-1"/>
              <w:jc w:val="left"/>
              <w:rPr>
                <w:rFonts w:cs="Arial"/>
                <w:szCs w:val="18"/>
                <w:lang w:val="en-US"/>
              </w:rPr>
            </w:pPr>
          </w:p>
        </w:tc>
        <w:tc>
          <w:tcPr>
            <w:tcW w:w="1800" w:type="dxa"/>
            <w:tcBorders>
              <w:top w:val="nil"/>
              <w:left w:val="nil"/>
              <w:bottom w:val="single" w:sz="12" w:space="0" w:color="008000"/>
              <w:right w:val="nil"/>
            </w:tcBorders>
            <w:shd w:val="clear" w:color="auto" w:fill="FFFFFF"/>
          </w:tcPr>
          <w:p w14:paraId="68E41E07" w14:textId="77777777" w:rsidR="005C3B08" w:rsidRPr="00FB14C0" w:rsidRDefault="005C3B08" w:rsidP="001F7B50">
            <w:pPr>
              <w:ind w:right="-1"/>
              <w:jc w:val="left"/>
              <w:rPr>
                <w:rFonts w:cs="Arial"/>
                <w:szCs w:val="18"/>
                <w:lang w:val="en-US"/>
              </w:rPr>
            </w:pPr>
          </w:p>
        </w:tc>
        <w:tc>
          <w:tcPr>
            <w:tcW w:w="1530" w:type="dxa"/>
            <w:gridSpan w:val="2"/>
            <w:tcBorders>
              <w:top w:val="nil"/>
              <w:left w:val="nil"/>
              <w:bottom w:val="single" w:sz="12" w:space="0" w:color="008000"/>
              <w:right w:val="nil"/>
            </w:tcBorders>
            <w:shd w:val="clear" w:color="auto" w:fill="FFFFFF"/>
          </w:tcPr>
          <w:p w14:paraId="1260EDE1" w14:textId="77777777" w:rsidR="005C3B08" w:rsidRPr="00FB14C0" w:rsidRDefault="005C3B08" w:rsidP="001F7B50">
            <w:pPr>
              <w:ind w:right="-1"/>
              <w:jc w:val="left"/>
              <w:rPr>
                <w:rFonts w:cs="Arial"/>
                <w:szCs w:val="18"/>
                <w:lang w:val="en-US"/>
              </w:rPr>
            </w:pPr>
          </w:p>
        </w:tc>
        <w:tc>
          <w:tcPr>
            <w:tcW w:w="1564" w:type="dxa"/>
            <w:tcBorders>
              <w:top w:val="nil"/>
              <w:left w:val="nil"/>
              <w:bottom w:val="single" w:sz="12" w:space="0" w:color="008000"/>
            </w:tcBorders>
            <w:shd w:val="clear" w:color="auto" w:fill="FFFFFF"/>
          </w:tcPr>
          <w:p w14:paraId="2B928377" w14:textId="225FCFDC" w:rsidR="005C3B08" w:rsidRPr="002D47EC" w:rsidRDefault="00BB3558" w:rsidP="001F7B50">
            <w:pPr>
              <w:ind w:right="-1"/>
              <w:jc w:val="left"/>
              <w:rPr>
                <w:rFonts w:cs="Arial"/>
                <w:szCs w:val="18"/>
                <w:lang w:val="en-US"/>
              </w:rPr>
            </w:pPr>
            <w:r>
              <w:rPr>
                <w:rFonts w:cs="Arial"/>
                <w:szCs w:val="18"/>
                <w:lang w:val="en-US"/>
              </w:rPr>
              <w:t>All</w:t>
            </w:r>
          </w:p>
        </w:tc>
      </w:tr>
    </w:tbl>
    <w:p w14:paraId="3A5CED6C" w14:textId="1E78F138" w:rsidR="005C3B08" w:rsidRDefault="005C3B08" w:rsidP="005C3B08">
      <w:pPr>
        <w:pStyle w:val="CETBodytext"/>
      </w:pPr>
    </w:p>
    <w:p w14:paraId="128D037D" w14:textId="204A81EC" w:rsidR="001C1207" w:rsidRDefault="00DD718A" w:rsidP="001C1207">
      <w:pPr>
        <w:pStyle w:val="CETBodytext"/>
        <w:numPr>
          <w:ilvl w:val="0"/>
          <w:numId w:val="35"/>
        </w:numPr>
      </w:pPr>
      <w:r>
        <w:t>STEP 3 – Determine the Severity Index</w:t>
      </w:r>
      <w:r w:rsidR="001C1207">
        <w:t xml:space="preserve">, according to </w:t>
      </w:r>
      <w:r w:rsidR="00F44991">
        <w:fldChar w:fldCharType="begin"/>
      </w:r>
      <w:r w:rsidR="00F44991">
        <w:instrText xml:space="preserve"> REF _Ref120118928 \h </w:instrText>
      </w:r>
      <w:r w:rsidR="00F44991">
        <w:fldChar w:fldCharType="separate"/>
      </w:r>
      <w:r w:rsidR="00722BA7">
        <w:t xml:space="preserve">Table </w:t>
      </w:r>
      <w:r w:rsidR="00722BA7">
        <w:rPr>
          <w:noProof/>
        </w:rPr>
        <w:t>4</w:t>
      </w:r>
      <w:r w:rsidR="00F44991">
        <w:fldChar w:fldCharType="end"/>
      </w:r>
      <w:r w:rsidR="00F44991">
        <w:t>.</w:t>
      </w:r>
    </w:p>
    <w:p w14:paraId="275F1142" w14:textId="77113998" w:rsidR="001C1207" w:rsidRDefault="001C1207" w:rsidP="001C1207">
      <w:pPr>
        <w:pStyle w:val="CETCaption"/>
      </w:pPr>
      <w:bookmarkStart w:id="6" w:name="_Ref120118928"/>
      <w:r>
        <w:t xml:space="preserve">Table </w:t>
      </w:r>
      <w:r>
        <w:fldChar w:fldCharType="begin"/>
      </w:r>
      <w:r>
        <w:instrText xml:space="preserve"> SEQ Table \* ARABIC </w:instrText>
      </w:r>
      <w:r>
        <w:fldChar w:fldCharType="separate"/>
      </w:r>
      <w:r w:rsidR="00722BA7">
        <w:rPr>
          <w:noProof/>
        </w:rPr>
        <w:t>4</w:t>
      </w:r>
      <w:r>
        <w:fldChar w:fldCharType="end"/>
      </w:r>
      <w:bookmarkEnd w:id="6"/>
      <w:r>
        <w:t>: Severity Index for hydrogen embrittlement</w:t>
      </w:r>
    </w:p>
    <w:tbl>
      <w:tblPr>
        <w:tblW w:w="8803" w:type="dxa"/>
        <w:tblBorders>
          <w:top w:val="single" w:sz="12" w:space="0" w:color="008000"/>
          <w:bottom w:val="single" w:sz="12" w:space="0" w:color="008000"/>
        </w:tblBorders>
        <w:tblCellMar>
          <w:left w:w="0" w:type="dxa"/>
          <w:right w:w="0" w:type="dxa"/>
        </w:tblCellMar>
        <w:tblLook w:val="00A0" w:firstRow="1" w:lastRow="0" w:firstColumn="1" w:lastColumn="0" w:noHBand="0" w:noVBand="0"/>
      </w:tblPr>
      <w:tblGrid>
        <w:gridCol w:w="1273"/>
        <w:gridCol w:w="1255"/>
        <w:gridCol w:w="1254"/>
        <w:gridCol w:w="1254"/>
        <w:gridCol w:w="1254"/>
        <w:gridCol w:w="1254"/>
        <w:gridCol w:w="1259"/>
      </w:tblGrid>
      <w:tr w:rsidR="005D212A" w:rsidRPr="001C1207" w14:paraId="51F50483" w14:textId="224B4F7C" w:rsidTr="00320710">
        <w:trPr>
          <w:trHeight w:val="284"/>
        </w:trPr>
        <w:tc>
          <w:tcPr>
            <w:tcW w:w="2528" w:type="dxa"/>
            <w:gridSpan w:val="2"/>
            <w:vMerge w:val="restart"/>
            <w:tcBorders>
              <w:top w:val="single" w:sz="12" w:space="0" w:color="008000"/>
            </w:tcBorders>
            <w:shd w:val="clear" w:color="auto" w:fill="FFFFFF"/>
          </w:tcPr>
          <w:p w14:paraId="55559BA7" w14:textId="338C043E" w:rsidR="005D212A" w:rsidRPr="001C1207" w:rsidRDefault="005D212A" w:rsidP="001C1207"/>
        </w:tc>
        <w:tc>
          <w:tcPr>
            <w:tcW w:w="6275" w:type="dxa"/>
            <w:gridSpan w:val="5"/>
            <w:tcBorders>
              <w:top w:val="single" w:sz="12" w:space="0" w:color="008000"/>
              <w:bottom w:val="nil"/>
            </w:tcBorders>
            <w:shd w:val="clear" w:color="auto" w:fill="FFFFFF"/>
          </w:tcPr>
          <w:p w14:paraId="3E351513" w14:textId="0C4FAAB1" w:rsidR="005D212A" w:rsidRPr="001C1207" w:rsidRDefault="005D212A" w:rsidP="005D212A">
            <w:pPr>
              <w:ind w:right="-1"/>
              <w:jc w:val="center"/>
              <w:rPr>
                <w:rFonts w:cs="Arial"/>
                <w:szCs w:val="18"/>
              </w:rPr>
            </w:pPr>
            <w:r>
              <w:rPr>
                <w:rFonts w:cs="Arial"/>
                <w:szCs w:val="18"/>
              </w:rPr>
              <w:t>Material susceptibility</w:t>
            </w:r>
          </w:p>
        </w:tc>
      </w:tr>
      <w:tr w:rsidR="005D212A" w:rsidRPr="001C1207" w14:paraId="1C9903A2" w14:textId="15764941" w:rsidTr="00320710">
        <w:trPr>
          <w:trHeight w:val="284"/>
        </w:trPr>
        <w:tc>
          <w:tcPr>
            <w:tcW w:w="2528" w:type="dxa"/>
            <w:gridSpan w:val="2"/>
            <w:vMerge/>
            <w:tcBorders>
              <w:bottom w:val="single" w:sz="6" w:space="0" w:color="008000"/>
            </w:tcBorders>
            <w:shd w:val="clear" w:color="auto" w:fill="FFFFFF"/>
          </w:tcPr>
          <w:p w14:paraId="02E1B0BB" w14:textId="77777777" w:rsidR="005D212A" w:rsidRPr="001C1207" w:rsidRDefault="005D212A" w:rsidP="001C1207"/>
        </w:tc>
        <w:tc>
          <w:tcPr>
            <w:tcW w:w="1254" w:type="dxa"/>
            <w:tcBorders>
              <w:top w:val="nil"/>
              <w:bottom w:val="single" w:sz="6" w:space="0" w:color="008000"/>
            </w:tcBorders>
            <w:shd w:val="clear" w:color="auto" w:fill="FFFFFF"/>
          </w:tcPr>
          <w:p w14:paraId="2745A0CB" w14:textId="0156B9A9" w:rsidR="005D212A" w:rsidRPr="001C1207" w:rsidRDefault="005D212A" w:rsidP="001C1207">
            <w:r>
              <w:t>Negligible</w:t>
            </w:r>
          </w:p>
        </w:tc>
        <w:tc>
          <w:tcPr>
            <w:tcW w:w="1254" w:type="dxa"/>
            <w:tcBorders>
              <w:top w:val="nil"/>
              <w:bottom w:val="single" w:sz="6" w:space="0" w:color="008000"/>
            </w:tcBorders>
            <w:shd w:val="clear" w:color="auto" w:fill="FFFFFF"/>
          </w:tcPr>
          <w:p w14:paraId="353661B1" w14:textId="4074D063" w:rsidR="005D212A" w:rsidRPr="001C1207" w:rsidRDefault="005D212A" w:rsidP="001C1207">
            <w:pPr>
              <w:ind w:right="-1"/>
              <w:rPr>
                <w:rFonts w:cs="Arial"/>
                <w:szCs w:val="18"/>
              </w:rPr>
            </w:pPr>
            <w:r>
              <w:rPr>
                <w:rFonts w:cs="Arial"/>
                <w:szCs w:val="18"/>
              </w:rPr>
              <w:t>Moderate</w:t>
            </w:r>
          </w:p>
        </w:tc>
        <w:tc>
          <w:tcPr>
            <w:tcW w:w="1254" w:type="dxa"/>
            <w:tcBorders>
              <w:top w:val="nil"/>
              <w:bottom w:val="single" w:sz="6" w:space="0" w:color="008000"/>
            </w:tcBorders>
            <w:shd w:val="clear" w:color="auto" w:fill="FFFFFF"/>
          </w:tcPr>
          <w:p w14:paraId="024E9AE5" w14:textId="77579AE7" w:rsidR="005D212A" w:rsidRPr="001C1207" w:rsidRDefault="005D212A" w:rsidP="001C1207">
            <w:pPr>
              <w:ind w:right="-1"/>
              <w:rPr>
                <w:rFonts w:cs="Arial"/>
                <w:szCs w:val="18"/>
              </w:rPr>
            </w:pPr>
            <w:r>
              <w:rPr>
                <w:rFonts w:cs="Arial"/>
                <w:szCs w:val="18"/>
              </w:rPr>
              <w:t>High</w:t>
            </w:r>
          </w:p>
        </w:tc>
        <w:tc>
          <w:tcPr>
            <w:tcW w:w="1254" w:type="dxa"/>
            <w:tcBorders>
              <w:top w:val="nil"/>
              <w:bottom w:val="single" w:sz="6" w:space="0" w:color="008000"/>
            </w:tcBorders>
            <w:shd w:val="clear" w:color="auto" w:fill="FFFFFF"/>
          </w:tcPr>
          <w:p w14:paraId="282549D9" w14:textId="04491A2C" w:rsidR="005D212A" w:rsidRDefault="005D212A" w:rsidP="001C1207">
            <w:pPr>
              <w:ind w:right="-1"/>
              <w:rPr>
                <w:rFonts w:cs="Arial"/>
                <w:szCs w:val="18"/>
              </w:rPr>
            </w:pPr>
            <w:r>
              <w:rPr>
                <w:rFonts w:cs="Arial"/>
                <w:szCs w:val="18"/>
              </w:rPr>
              <w:t>Severe</w:t>
            </w:r>
          </w:p>
        </w:tc>
        <w:tc>
          <w:tcPr>
            <w:tcW w:w="1256" w:type="dxa"/>
            <w:tcBorders>
              <w:top w:val="nil"/>
              <w:bottom w:val="single" w:sz="6" w:space="0" w:color="008000"/>
            </w:tcBorders>
            <w:shd w:val="clear" w:color="auto" w:fill="FFFFFF"/>
          </w:tcPr>
          <w:p w14:paraId="75E503CC" w14:textId="74FD177C" w:rsidR="005D212A" w:rsidRDefault="005D212A" w:rsidP="001C1207">
            <w:pPr>
              <w:ind w:right="-1"/>
              <w:rPr>
                <w:rFonts w:cs="Arial"/>
                <w:szCs w:val="18"/>
              </w:rPr>
            </w:pPr>
            <w:r>
              <w:rPr>
                <w:rFonts w:cs="Arial"/>
                <w:szCs w:val="18"/>
              </w:rPr>
              <w:t>Extreme</w:t>
            </w:r>
          </w:p>
        </w:tc>
      </w:tr>
      <w:tr w:rsidR="005D212A" w:rsidRPr="001C1207" w14:paraId="49F00FE5" w14:textId="6DCFAA5C" w:rsidTr="002F7665">
        <w:trPr>
          <w:trHeight w:val="272"/>
        </w:trPr>
        <w:tc>
          <w:tcPr>
            <w:tcW w:w="1273" w:type="dxa"/>
            <w:vMerge w:val="restart"/>
            <w:tcBorders>
              <w:top w:val="single" w:sz="6" w:space="0" w:color="008000"/>
            </w:tcBorders>
            <w:shd w:val="clear" w:color="auto" w:fill="FFFFFF"/>
            <w:textDirection w:val="btLr"/>
            <w:vAlign w:val="center"/>
          </w:tcPr>
          <w:p w14:paraId="352D196C" w14:textId="232B1BE6" w:rsidR="005D212A" w:rsidRPr="001C1207" w:rsidRDefault="005D212A" w:rsidP="002F7665">
            <w:pPr>
              <w:ind w:left="113" w:right="-1"/>
              <w:jc w:val="center"/>
              <w:rPr>
                <w:rFonts w:cs="Arial"/>
                <w:szCs w:val="18"/>
              </w:rPr>
            </w:pPr>
            <w:r>
              <w:rPr>
                <w:rFonts w:cs="Arial"/>
                <w:szCs w:val="18"/>
              </w:rPr>
              <w:t>Environmental severity</w:t>
            </w:r>
          </w:p>
        </w:tc>
        <w:tc>
          <w:tcPr>
            <w:tcW w:w="1254" w:type="dxa"/>
            <w:tcBorders>
              <w:top w:val="single" w:sz="6" w:space="0" w:color="008000"/>
              <w:bottom w:val="nil"/>
            </w:tcBorders>
            <w:shd w:val="clear" w:color="auto" w:fill="FFFFFF"/>
          </w:tcPr>
          <w:p w14:paraId="1E351E3A" w14:textId="3E0C9D65" w:rsidR="005D212A" w:rsidRPr="001C1207" w:rsidRDefault="005D212A" w:rsidP="001C1207">
            <w:pPr>
              <w:ind w:right="-1"/>
              <w:rPr>
                <w:rFonts w:cs="Arial"/>
                <w:szCs w:val="18"/>
              </w:rPr>
            </w:pPr>
            <w:r>
              <w:rPr>
                <w:rFonts w:cs="Arial"/>
                <w:szCs w:val="18"/>
              </w:rPr>
              <w:t>Extreme</w:t>
            </w:r>
          </w:p>
        </w:tc>
        <w:tc>
          <w:tcPr>
            <w:tcW w:w="1254" w:type="dxa"/>
            <w:tcBorders>
              <w:top w:val="single" w:sz="6" w:space="0" w:color="008000"/>
              <w:bottom w:val="nil"/>
            </w:tcBorders>
            <w:shd w:val="clear" w:color="auto" w:fill="FFFFFF"/>
          </w:tcPr>
          <w:p w14:paraId="76D55050" w14:textId="54DE6501" w:rsidR="005D212A" w:rsidRPr="001C1207" w:rsidRDefault="0049050A" w:rsidP="001C1207">
            <w:pPr>
              <w:ind w:right="-1"/>
              <w:rPr>
                <w:rFonts w:cs="Arial"/>
                <w:szCs w:val="18"/>
              </w:rPr>
            </w:pPr>
            <w:r>
              <w:rPr>
                <w:rFonts w:cs="Arial"/>
                <w:szCs w:val="18"/>
              </w:rPr>
              <w:t>Moderate</w:t>
            </w:r>
          </w:p>
        </w:tc>
        <w:tc>
          <w:tcPr>
            <w:tcW w:w="1254" w:type="dxa"/>
            <w:tcBorders>
              <w:top w:val="single" w:sz="6" w:space="0" w:color="008000"/>
              <w:bottom w:val="nil"/>
            </w:tcBorders>
            <w:shd w:val="clear" w:color="auto" w:fill="FFFFFF"/>
          </w:tcPr>
          <w:p w14:paraId="70770492" w14:textId="2A256EC3" w:rsidR="005D212A" w:rsidRPr="001C1207" w:rsidRDefault="000B7849" w:rsidP="001C1207">
            <w:pPr>
              <w:ind w:right="-1"/>
              <w:rPr>
                <w:rFonts w:cs="Arial"/>
                <w:szCs w:val="18"/>
              </w:rPr>
            </w:pPr>
            <w:r>
              <w:rPr>
                <w:rFonts w:cs="Arial"/>
                <w:szCs w:val="18"/>
              </w:rPr>
              <w:t>High</w:t>
            </w:r>
          </w:p>
        </w:tc>
        <w:tc>
          <w:tcPr>
            <w:tcW w:w="1254" w:type="dxa"/>
            <w:tcBorders>
              <w:top w:val="single" w:sz="6" w:space="0" w:color="008000"/>
              <w:bottom w:val="nil"/>
            </w:tcBorders>
            <w:shd w:val="clear" w:color="auto" w:fill="FFFFFF"/>
          </w:tcPr>
          <w:p w14:paraId="20F74A74" w14:textId="6A4898BE" w:rsidR="005D212A" w:rsidRPr="001C1207" w:rsidRDefault="000B7849" w:rsidP="001C1207">
            <w:pPr>
              <w:ind w:right="-1"/>
              <w:rPr>
                <w:rFonts w:cs="Arial"/>
                <w:szCs w:val="18"/>
              </w:rPr>
            </w:pPr>
            <w:r>
              <w:rPr>
                <w:rFonts w:cs="Arial"/>
                <w:szCs w:val="18"/>
              </w:rPr>
              <w:t>Severe</w:t>
            </w:r>
          </w:p>
        </w:tc>
        <w:tc>
          <w:tcPr>
            <w:tcW w:w="1254" w:type="dxa"/>
            <w:tcBorders>
              <w:top w:val="single" w:sz="6" w:space="0" w:color="008000"/>
              <w:bottom w:val="nil"/>
            </w:tcBorders>
            <w:shd w:val="clear" w:color="auto" w:fill="FFFFFF"/>
          </w:tcPr>
          <w:p w14:paraId="3925D624" w14:textId="3208F2FD" w:rsidR="005D212A" w:rsidRPr="001C1207" w:rsidRDefault="000B7849" w:rsidP="001C1207">
            <w:pPr>
              <w:ind w:right="-1"/>
              <w:rPr>
                <w:rFonts w:cs="Arial"/>
                <w:szCs w:val="18"/>
              </w:rPr>
            </w:pPr>
            <w:r>
              <w:rPr>
                <w:rFonts w:cs="Arial"/>
                <w:szCs w:val="18"/>
              </w:rPr>
              <w:t>Extreme</w:t>
            </w:r>
          </w:p>
        </w:tc>
        <w:tc>
          <w:tcPr>
            <w:tcW w:w="1256" w:type="dxa"/>
            <w:tcBorders>
              <w:top w:val="single" w:sz="6" w:space="0" w:color="008000"/>
              <w:bottom w:val="nil"/>
            </w:tcBorders>
            <w:shd w:val="clear" w:color="auto" w:fill="FFFFFF"/>
          </w:tcPr>
          <w:p w14:paraId="52C771FF" w14:textId="40978995" w:rsidR="005D212A" w:rsidRPr="001C1207" w:rsidRDefault="0049050A" w:rsidP="001C1207">
            <w:pPr>
              <w:ind w:right="-1"/>
              <w:rPr>
                <w:rFonts w:cs="Arial"/>
                <w:szCs w:val="18"/>
              </w:rPr>
            </w:pPr>
            <w:r>
              <w:rPr>
                <w:rFonts w:cs="Arial"/>
                <w:szCs w:val="18"/>
              </w:rPr>
              <w:t>Extreme</w:t>
            </w:r>
          </w:p>
        </w:tc>
      </w:tr>
      <w:tr w:rsidR="005D212A" w:rsidRPr="001C1207" w14:paraId="3E0ED968" w14:textId="77777777" w:rsidTr="00320710">
        <w:trPr>
          <w:trHeight w:val="284"/>
        </w:trPr>
        <w:tc>
          <w:tcPr>
            <w:tcW w:w="1273" w:type="dxa"/>
            <w:vMerge/>
            <w:shd w:val="clear" w:color="auto" w:fill="FFFFFF"/>
          </w:tcPr>
          <w:p w14:paraId="33C23E88" w14:textId="77777777" w:rsidR="005D212A" w:rsidRPr="001C1207" w:rsidRDefault="005D212A" w:rsidP="001C1207">
            <w:pPr>
              <w:ind w:right="-1"/>
              <w:rPr>
                <w:rFonts w:cs="Arial"/>
                <w:szCs w:val="18"/>
              </w:rPr>
            </w:pPr>
          </w:p>
        </w:tc>
        <w:tc>
          <w:tcPr>
            <w:tcW w:w="1254" w:type="dxa"/>
            <w:tcBorders>
              <w:top w:val="nil"/>
            </w:tcBorders>
            <w:shd w:val="clear" w:color="auto" w:fill="FFFFFF"/>
          </w:tcPr>
          <w:p w14:paraId="3DE5C238" w14:textId="7FB09077" w:rsidR="005D212A" w:rsidRDefault="005D212A" w:rsidP="001C1207">
            <w:pPr>
              <w:ind w:right="-1"/>
              <w:rPr>
                <w:rFonts w:cs="Arial"/>
                <w:szCs w:val="18"/>
              </w:rPr>
            </w:pPr>
            <w:r>
              <w:rPr>
                <w:rFonts w:cs="Arial"/>
                <w:szCs w:val="18"/>
              </w:rPr>
              <w:t>Severe</w:t>
            </w:r>
          </w:p>
        </w:tc>
        <w:tc>
          <w:tcPr>
            <w:tcW w:w="1254" w:type="dxa"/>
            <w:tcBorders>
              <w:top w:val="nil"/>
            </w:tcBorders>
            <w:shd w:val="clear" w:color="auto" w:fill="FFFFFF"/>
          </w:tcPr>
          <w:p w14:paraId="3258BDE1" w14:textId="65B2B868" w:rsidR="005D212A" w:rsidRPr="001C1207" w:rsidRDefault="0049050A" w:rsidP="001C1207">
            <w:pPr>
              <w:ind w:right="-1"/>
              <w:rPr>
                <w:rFonts w:cs="Arial"/>
                <w:szCs w:val="18"/>
              </w:rPr>
            </w:pPr>
            <w:r>
              <w:rPr>
                <w:rFonts w:cs="Arial"/>
                <w:szCs w:val="18"/>
              </w:rPr>
              <w:t>Moderate</w:t>
            </w:r>
          </w:p>
        </w:tc>
        <w:tc>
          <w:tcPr>
            <w:tcW w:w="1254" w:type="dxa"/>
            <w:tcBorders>
              <w:top w:val="nil"/>
            </w:tcBorders>
            <w:shd w:val="clear" w:color="auto" w:fill="FFFFFF"/>
          </w:tcPr>
          <w:p w14:paraId="11792AEC" w14:textId="02A4D98E" w:rsidR="005D212A" w:rsidRPr="001C1207" w:rsidRDefault="000B7849" w:rsidP="001C1207">
            <w:pPr>
              <w:ind w:right="-1"/>
              <w:rPr>
                <w:rFonts w:cs="Arial"/>
                <w:szCs w:val="18"/>
              </w:rPr>
            </w:pPr>
            <w:r>
              <w:rPr>
                <w:rFonts w:cs="Arial"/>
                <w:szCs w:val="18"/>
              </w:rPr>
              <w:t>High</w:t>
            </w:r>
          </w:p>
        </w:tc>
        <w:tc>
          <w:tcPr>
            <w:tcW w:w="1254" w:type="dxa"/>
            <w:tcBorders>
              <w:top w:val="nil"/>
            </w:tcBorders>
            <w:shd w:val="clear" w:color="auto" w:fill="FFFFFF"/>
          </w:tcPr>
          <w:p w14:paraId="70704C77" w14:textId="0385E3C3" w:rsidR="005D212A" w:rsidRPr="001C1207" w:rsidRDefault="000B7849" w:rsidP="001C1207">
            <w:pPr>
              <w:ind w:right="-1"/>
              <w:rPr>
                <w:rFonts w:cs="Arial"/>
                <w:szCs w:val="18"/>
              </w:rPr>
            </w:pPr>
            <w:r>
              <w:rPr>
                <w:rFonts w:cs="Arial"/>
                <w:szCs w:val="18"/>
              </w:rPr>
              <w:t>High</w:t>
            </w:r>
          </w:p>
        </w:tc>
        <w:tc>
          <w:tcPr>
            <w:tcW w:w="1254" w:type="dxa"/>
            <w:tcBorders>
              <w:top w:val="nil"/>
            </w:tcBorders>
            <w:shd w:val="clear" w:color="auto" w:fill="FFFFFF"/>
          </w:tcPr>
          <w:p w14:paraId="1F325BEE" w14:textId="37D0C619" w:rsidR="005D212A" w:rsidRPr="001C1207" w:rsidRDefault="0049050A" w:rsidP="001C1207">
            <w:pPr>
              <w:ind w:right="-1"/>
              <w:rPr>
                <w:rFonts w:cs="Arial"/>
                <w:szCs w:val="18"/>
              </w:rPr>
            </w:pPr>
            <w:r>
              <w:rPr>
                <w:rFonts w:cs="Arial"/>
                <w:szCs w:val="18"/>
              </w:rPr>
              <w:t>Severe</w:t>
            </w:r>
          </w:p>
        </w:tc>
        <w:tc>
          <w:tcPr>
            <w:tcW w:w="1256" w:type="dxa"/>
            <w:tcBorders>
              <w:top w:val="nil"/>
            </w:tcBorders>
            <w:shd w:val="clear" w:color="auto" w:fill="FFFFFF"/>
          </w:tcPr>
          <w:p w14:paraId="69FD861C" w14:textId="7BB7BF26" w:rsidR="005D212A" w:rsidRPr="001C1207" w:rsidRDefault="000B7849" w:rsidP="001C1207">
            <w:pPr>
              <w:ind w:right="-1"/>
              <w:rPr>
                <w:rFonts w:cs="Arial"/>
                <w:szCs w:val="18"/>
              </w:rPr>
            </w:pPr>
            <w:r>
              <w:rPr>
                <w:rFonts w:cs="Arial"/>
                <w:szCs w:val="18"/>
              </w:rPr>
              <w:t>Extreme</w:t>
            </w:r>
          </w:p>
        </w:tc>
      </w:tr>
      <w:tr w:rsidR="005D212A" w:rsidRPr="001C1207" w14:paraId="2C9152C5" w14:textId="77777777" w:rsidTr="00320710">
        <w:trPr>
          <w:trHeight w:val="272"/>
        </w:trPr>
        <w:tc>
          <w:tcPr>
            <w:tcW w:w="1273" w:type="dxa"/>
            <w:vMerge/>
            <w:shd w:val="clear" w:color="auto" w:fill="FFFFFF"/>
          </w:tcPr>
          <w:p w14:paraId="4A57659A" w14:textId="77777777" w:rsidR="005D212A" w:rsidRPr="001C1207" w:rsidRDefault="005D212A" w:rsidP="001C1207">
            <w:pPr>
              <w:ind w:right="-1"/>
              <w:rPr>
                <w:rFonts w:cs="Arial"/>
                <w:szCs w:val="18"/>
              </w:rPr>
            </w:pPr>
          </w:p>
        </w:tc>
        <w:tc>
          <w:tcPr>
            <w:tcW w:w="1254" w:type="dxa"/>
            <w:shd w:val="clear" w:color="auto" w:fill="FFFFFF"/>
          </w:tcPr>
          <w:p w14:paraId="15E19B57" w14:textId="4A5F18A9" w:rsidR="005D212A" w:rsidRDefault="005D212A" w:rsidP="001C1207">
            <w:pPr>
              <w:ind w:right="-1"/>
              <w:rPr>
                <w:rFonts w:cs="Arial"/>
                <w:szCs w:val="18"/>
              </w:rPr>
            </w:pPr>
            <w:r>
              <w:rPr>
                <w:rFonts w:cs="Arial"/>
                <w:szCs w:val="18"/>
              </w:rPr>
              <w:t>High</w:t>
            </w:r>
          </w:p>
        </w:tc>
        <w:tc>
          <w:tcPr>
            <w:tcW w:w="1254" w:type="dxa"/>
            <w:shd w:val="clear" w:color="auto" w:fill="FFFFFF"/>
          </w:tcPr>
          <w:p w14:paraId="0B111CA5" w14:textId="2E7C8AAD" w:rsidR="005D212A" w:rsidRPr="001C1207" w:rsidRDefault="0049050A" w:rsidP="001C1207">
            <w:pPr>
              <w:ind w:right="-1"/>
              <w:rPr>
                <w:rFonts w:cs="Arial"/>
                <w:szCs w:val="18"/>
              </w:rPr>
            </w:pPr>
            <w:r>
              <w:rPr>
                <w:rFonts w:cs="Arial"/>
                <w:szCs w:val="18"/>
              </w:rPr>
              <w:t>Moderate</w:t>
            </w:r>
          </w:p>
        </w:tc>
        <w:tc>
          <w:tcPr>
            <w:tcW w:w="1254" w:type="dxa"/>
            <w:shd w:val="clear" w:color="auto" w:fill="FFFFFF"/>
          </w:tcPr>
          <w:p w14:paraId="2A8496B9" w14:textId="7C97FD4B" w:rsidR="005D212A" w:rsidRPr="001C1207" w:rsidRDefault="000B7849" w:rsidP="001C1207">
            <w:pPr>
              <w:ind w:right="-1"/>
              <w:rPr>
                <w:rFonts w:cs="Arial"/>
                <w:szCs w:val="18"/>
              </w:rPr>
            </w:pPr>
            <w:r>
              <w:rPr>
                <w:rFonts w:cs="Arial"/>
                <w:szCs w:val="18"/>
              </w:rPr>
              <w:t>Moderate</w:t>
            </w:r>
          </w:p>
        </w:tc>
        <w:tc>
          <w:tcPr>
            <w:tcW w:w="1254" w:type="dxa"/>
            <w:shd w:val="clear" w:color="auto" w:fill="FFFFFF"/>
          </w:tcPr>
          <w:p w14:paraId="3B96F433" w14:textId="61AC33D6" w:rsidR="005D212A" w:rsidRPr="001C1207" w:rsidRDefault="0049050A" w:rsidP="001C1207">
            <w:pPr>
              <w:ind w:right="-1"/>
              <w:rPr>
                <w:rFonts w:cs="Arial"/>
                <w:szCs w:val="18"/>
              </w:rPr>
            </w:pPr>
            <w:r>
              <w:rPr>
                <w:rFonts w:cs="Arial"/>
                <w:szCs w:val="18"/>
              </w:rPr>
              <w:t>High</w:t>
            </w:r>
          </w:p>
        </w:tc>
        <w:tc>
          <w:tcPr>
            <w:tcW w:w="1254" w:type="dxa"/>
            <w:shd w:val="clear" w:color="auto" w:fill="FFFFFF"/>
          </w:tcPr>
          <w:p w14:paraId="29231CD3" w14:textId="07A102FC" w:rsidR="005D212A" w:rsidRPr="001C1207" w:rsidRDefault="000B7849" w:rsidP="001C1207">
            <w:pPr>
              <w:ind w:right="-1"/>
              <w:rPr>
                <w:rFonts w:cs="Arial"/>
                <w:szCs w:val="18"/>
              </w:rPr>
            </w:pPr>
            <w:r>
              <w:rPr>
                <w:rFonts w:cs="Arial"/>
                <w:szCs w:val="18"/>
              </w:rPr>
              <w:t>High</w:t>
            </w:r>
          </w:p>
        </w:tc>
        <w:tc>
          <w:tcPr>
            <w:tcW w:w="1256" w:type="dxa"/>
            <w:shd w:val="clear" w:color="auto" w:fill="FFFFFF"/>
          </w:tcPr>
          <w:p w14:paraId="43158B64" w14:textId="79924282" w:rsidR="005D212A" w:rsidRPr="001C1207" w:rsidRDefault="000B7849" w:rsidP="001C1207">
            <w:pPr>
              <w:ind w:right="-1"/>
              <w:rPr>
                <w:rFonts w:cs="Arial"/>
                <w:szCs w:val="18"/>
              </w:rPr>
            </w:pPr>
            <w:r>
              <w:rPr>
                <w:rFonts w:cs="Arial"/>
                <w:szCs w:val="18"/>
              </w:rPr>
              <w:t>Severe</w:t>
            </w:r>
          </w:p>
        </w:tc>
      </w:tr>
      <w:tr w:rsidR="005D212A" w:rsidRPr="001C1207" w14:paraId="5FDF154E" w14:textId="77777777" w:rsidTr="00320710">
        <w:trPr>
          <w:trHeight w:val="284"/>
        </w:trPr>
        <w:tc>
          <w:tcPr>
            <w:tcW w:w="1273" w:type="dxa"/>
            <w:vMerge/>
            <w:shd w:val="clear" w:color="auto" w:fill="FFFFFF"/>
          </w:tcPr>
          <w:p w14:paraId="3730B6B8" w14:textId="77777777" w:rsidR="005D212A" w:rsidRPr="001C1207" w:rsidRDefault="005D212A" w:rsidP="001C1207">
            <w:pPr>
              <w:ind w:right="-1"/>
              <w:rPr>
                <w:rFonts w:cs="Arial"/>
                <w:szCs w:val="18"/>
              </w:rPr>
            </w:pPr>
          </w:p>
        </w:tc>
        <w:tc>
          <w:tcPr>
            <w:tcW w:w="1254" w:type="dxa"/>
            <w:shd w:val="clear" w:color="auto" w:fill="FFFFFF"/>
          </w:tcPr>
          <w:p w14:paraId="62DE83F0" w14:textId="04A1777D" w:rsidR="005D212A" w:rsidRDefault="005D212A" w:rsidP="001C1207">
            <w:pPr>
              <w:ind w:right="-1"/>
              <w:rPr>
                <w:rFonts w:cs="Arial"/>
                <w:szCs w:val="18"/>
              </w:rPr>
            </w:pPr>
            <w:r>
              <w:rPr>
                <w:rFonts w:cs="Arial"/>
                <w:szCs w:val="18"/>
              </w:rPr>
              <w:t>Moderate</w:t>
            </w:r>
          </w:p>
        </w:tc>
        <w:tc>
          <w:tcPr>
            <w:tcW w:w="1254" w:type="dxa"/>
            <w:shd w:val="clear" w:color="auto" w:fill="FFFFFF"/>
          </w:tcPr>
          <w:p w14:paraId="0D7878E4" w14:textId="02A9A3FA" w:rsidR="005D212A" w:rsidRPr="001C1207" w:rsidRDefault="0049050A" w:rsidP="001C1207">
            <w:pPr>
              <w:ind w:right="-1"/>
              <w:rPr>
                <w:rFonts w:cs="Arial"/>
                <w:szCs w:val="18"/>
              </w:rPr>
            </w:pPr>
            <w:r>
              <w:rPr>
                <w:rFonts w:cs="Arial"/>
                <w:szCs w:val="18"/>
              </w:rPr>
              <w:t>Negligible</w:t>
            </w:r>
          </w:p>
        </w:tc>
        <w:tc>
          <w:tcPr>
            <w:tcW w:w="1254" w:type="dxa"/>
            <w:shd w:val="clear" w:color="auto" w:fill="FFFFFF"/>
          </w:tcPr>
          <w:p w14:paraId="61C2691D" w14:textId="3D59516F" w:rsidR="005D212A" w:rsidRPr="001C1207" w:rsidRDefault="0049050A" w:rsidP="001C1207">
            <w:pPr>
              <w:ind w:right="-1"/>
              <w:rPr>
                <w:rFonts w:cs="Arial"/>
                <w:szCs w:val="18"/>
              </w:rPr>
            </w:pPr>
            <w:r>
              <w:rPr>
                <w:rFonts w:cs="Arial"/>
                <w:szCs w:val="18"/>
              </w:rPr>
              <w:t>Moderate</w:t>
            </w:r>
          </w:p>
        </w:tc>
        <w:tc>
          <w:tcPr>
            <w:tcW w:w="1254" w:type="dxa"/>
            <w:shd w:val="clear" w:color="auto" w:fill="FFFFFF"/>
          </w:tcPr>
          <w:p w14:paraId="7A4776C4" w14:textId="30D42723" w:rsidR="005D212A" w:rsidRPr="001C1207" w:rsidRDefault="000B7849" w:rsidP="001C1207">
            <w:pPr>
              <w:ind w:right="-1"/>
              <w:rPr>
                <w:rFonts w:cs="Arial"/>
                <w:szCs w:val="18"/>
              </w:rPr>
            </w:pPr>
            <w:r>
              <w:rPr>
                <w:rFonts w:cs="Arial"/>
                <w:szCs w:val="18"/>
              </w:rPr>
              <w:t>Moderate</w:t>
            </w:r>
          </w:p>
        </w:tc>
        <w:tc>
          <w:tcPr>
            <w:tcW w:w="1254" w:type="dxa"/>
            <w:shd w:val="clear" w:color="auto" w:fill="FFFFFF"/>
          </w:tcPr>
          <w:p w14:paraId="22A4395D" w14:textId="3BD44D4A" w:rsidR="005D212A" w:rsidRPr="001C1207" w:rsidRDefault="000B7849" w:rsidP="001C1207">
            <w:pPr>
              <w:ind w:right="-1"/>
              <w:rPr>
                <w:rFonts w:cs="Arial"/>
                <w:szCs w:val="18"/>
              </w:rPr>
            </w:pPr>
            <w:r>
              <w:rPr>
                <w:rFonts w:cs="Arial"/>
                <w:szCs w:val="18"/>
              </w:rPr>
              <w:t>High</w:t>
            </w:r>
          </w:p>
        </w:tc>
        <w:tc>
          <w:tcPr>
            <w:tcW w:w="1256" w:type="dxa"/>
            <w:shd w:val="clear" w:color="auto" w:fill="FFFFFF"/>
          </w:tcPr>
          <w:p w14:paraId="11395784" w14:textId="16871F5E" w:rsidR="005D212A" w:rsidRPr="001C1207" w:rsidRDefault="000B7849" w:rsidP="001C1207">
            <w:pPr>
              <w:ind w:right="-1"/>
              <w:rPr>
                <w:rFonts w:cs="Arial"/>
                <w:szCs w:val="18"/>
              </w:rPr>
            </w:pPr>
            <w:r>
              <w:rPr>
                <w:rFonts w:cs="Arial"/>
                <w:szCs w:val="18"/>
              </w:rPr>
              <w:t>High</w:t>
            </w:r>
          </w:p>
        </w:tc>
      </w:tr>
      <w:tr w:rsidR="005D212A" w:rsidRPr="001C1207" w14:paraId="7F37ECE7" w14:textId="77777777" w:rsidTr="00320710">
        <w:trPr>
          <w:trHeight w:val="176"/>
        </w:trPr>
        <w:tc>
          <w:tcPr>
            <w:tcW w:w="1273" w:type="dxa"/>
            <w:vMerge/>
            <w:tcBorders>
              <w:bottom w:val="single" w:sz="12" w:space="0" w:color="008000"/>
            </w:tcBorders>
            <w:shd w:val="clear" w:color="auto" w:fill="FFFFFF"/>
          </w:tcPr>
          <w:p w14:paraId="251138A3" w14:textId="77777777" w:rsidR="005D212A" w:rsidRPr="001C1207" w:rsidRDefault="005D212A" w:rsidP="001C1207">
            <w:pPr>
              <w:ind w:right="-1"/>
              <w:rPr>
                <w:rFonts w:cs="Arial"/>
                <w:szCs w:val="18"/>
              </w:rPr>
            </w:pPr>
          </w:p>
        </w:tc>
        <w:tc>
          <w:tcPr>
            <w:tcW w:w="1254" w:type="dxa"/>
            <w:tcBorders>
              <w:bottom w:val="single" w:sz="12" w:space="0" w:color="008000"/>
            </w:tcBorders>
            <w:shd w:val="clear" w:color="auto" w:fill="FFFFFF"/>
          </w:tcPr>
          <w:p w14:paraId="20B69D42" w14:textId="05805989" w:rsidR="005D212A" w:rsidRDefault="005D212A" w:rsidP="001C1207">
            <w:pPr>
              <w:ind w:right="-1"/>
              <w:rPr>
                <w:rFonts w:cs="Arial"/>
                <w:szCs w:val="18"/>
              </w:rPr>
            </w:pPr>
            <w:r>
              <w:rPr>
                <w:rFonts w:cs="Arial"/>
                <w:szCs w:val="18"/>
              </w:rPr>
              <w:t>Negligible</w:t>
            </w:r>
          </w:p>
        </w:tc>
        <w:tc>
          <w:tcPr>
            <w:tcW w:w="1254" w:type="dxa"/>
            <w:tcBorders>
              <w:bottom w:val="single" w:sz="12" w:space="0" w:color="008000"/>
            </w:tcBorders>
            <w:shd w:val="clear" w:color="auto" w:fill="FFFFFF"/>
          </w:tcPr>
          <w:p w14:paraId="18BBB0DD" w14:textId="3446C467" w:rsidR="005D212A" w:rsidRPr="001C1207" w:rsidRDefault="0049050A" w:rsidP="001C1207">
            <w:pPr>
              <w:ind w:right="-1"/>
              <w:rPr>
                <w:rFonts w:cs="Arial"/>
                <w:szCs w:val="18"/>
              </w:rPr>
            </w:pPr>
            <w:r>
              <w:rPr>
                <w:rFonts w:cs="Arial"/>
                <w:szCs w:val="18"/>
              </w:rPr>
              <w:t>Negligible</w:t>
            </w:r>
          </w:p>
        </w:tc>
        <w:tc>
          <w:tcPr>
            <w:tcW w:w="1254" w:type="dxa"/>
            <w:tcBorders>
              <w:bottom w:val="single" w:sz="12" w:space="0" w:color="008000"/>
            </w:tcBorders>
            <w:shd w:val="clear" w:color="auto" w:fill="FFFFFF"/>
          </w:tcPr>
          <w:p w14:paraId="737CD77D" w14:textId="17B0A1E7" w:rsidR="005D212A" w:rsidRPr="001C1207" w:rsidRDefault="0049050A" w:rsidP="001C1207">
            <w:pPr>
              <w:ind w:right="-1"/>
              <w:rPr>
                <w:rFonts w:cs="Arial"/>
                <w:szCs w:val="18"/>
              </w:rPr>
            </w:pPr>
            <w:r>
              <w:rPr>
                <w:rFonts w:cs="Arial"/>
                <w:szCs w:val="18"/>
              </w:rPr>
              <w:t>Negligible</w:t>
            </w:r>
          </w:p>
        </w:tc>
        <w:tc>
          <w:tcPr>
            <w:tcW w:w="1254" w:type="dxa"/>
            <w:tcBorders>
              <w:bottom w:val="single" w:sz="12" w:space="0" w:color="008000"/>
            </w:tcBorders>
            <w:shd w:val="clear" w:color="auto" w:fill="FFFFFF"/>
          </w:tcPr>
          <w:p w14:paraId="1763C203" w14:textId="41A5646C" w:rsidR="005D212A" w:rsidRPr="001C1207" w:rsidRDefault="000B7849" w:rsidP="001C1207">
            <w:pPr>
              <w:ind w:right="-1"/>
              <w:rPr>
                <w:rFonts w:cs="Arial"/>
                <w:szCs w:val="18"/>
              </w:rPr>
            </w:pPr>
            <w:r>
              <w:rPr>
                <w:rFonts w:cs="Arial"/>
                <w:szCs w:val="18"/>
              </w:rPr>
              <w:t>Moderate</w:t>
            </w:r>
          </w:p>
        </w:tc>
        <w:tc>
          <w:tcPr>
            <w:tcW w:w="1254" w:type="dxa"/>
            <w:tcBorders>
              <w:bottom w:val="single" w:sz="12" w:space="0" w:color="008000"/>
            </w:tcBorders>
            <w:shd w:val="clear" w:color="auto" w:fill="FFFFFF"/>
          </w:tcPr>
          <w:p w14:paraId="69169A45" w14:textId="687E95F0" w:rsidR="005D212A" w:rsidRPr="001C1207" w:rsidRDefault="000B7849" w:rsidP="001C1207">
            <w:pPr>
              <w:ind w:right="-1"/>
              <w:rPr>
                <w:rFonts w:cs="Arial"/>
                <w:szCs w:val="18"/>
              </w:rPr>
            </w:pPr>
            <w:r>
              <w:rPr>
                <w:rFonts w:cs="Arial"/>
                <w:szCs w:val="18"/>
              </w:rPr>
              <w:t>Moderate</w:t>
            </w:r>
          </w:p>
        </w:tc>
        <w:tc>
          <w:tcPr>
            <w:tcW w:w="1256" w:type="dxa"/>
            <w:tcBorders>
              <w:bottom w:val="single" w:sz="12" w:space="0" w:color="008000"/>
            </w:tcBorders>
            <w:shd w:val="clear" w:color="auto" w:fill="FFFFFF"/>
          </w:tcPr>
          <w:p w14:paraId="23293737" w14:textId="0D449171" w:rsidR="005D212A" w:rsidRPr="001C1207" w:rsidRDefault="000B7849" w:rsidP="001C1207">
            <w:pPr>
              <w:ind w:right="-1"/>
              <w:rPr>
                <w:rFonts w:cs="Arial"/>
                <w:szCs w:val="18"/>
              </w:rPr>
            </w:pPr>
            <w:r>
              <w:rPr>
                <w:rFonts w:cs="Arial"/>
                <w:szCs w:val="18"/>
              </w:rPr>
              <w:t>High</w:t>
            </w:r>
          </w:p>
        </w:tc>
      </w:tr>
    </w:tbl>
    <w:p w14:paraId="0AADD231" w14:textId="3170B98D" w:rsidR="001C1207" w:rsidRDefault="001C1207" w:rsidP="001C1207">
      <w:pPr>
        <w:pStyle w:val="CETBodytext"/>
      </w:pPr>
    </w:p>
    <w:p w14:paraId="4C8B1AEF" w14:textId="2CA6DE4D" w:rsidR="00F44991" w:rsidRDefault="00F44991" w:rsidP="00F44991">
      <w:pPr>
        <w:pStyle w:val="CETBodytext"/>
        <w:numPr>
          <w:ilvl w:val="0"/>
          <w:numId w:val="35"/>
        </w:numPr>
      </w:pPr>
      <w:r>
        <w:t>STEP 4 – Determine the age and the time-in-service since the last inspection with no damage detected</w:t>
      </w:r>
      <w:r w:rsidR="00AD1663">
        <w:t>.</w:t>
      </w:r>
    </w:p>
    <w:p w14:paraId="011F453E" w14:textId="64D40B18" w:rsidR="00F44991" w:rsidRDefault="00F44991" w:rsidP="00F44991">
      <w:pPr>
        <w:pStyle w:val="CETBodytext"/>
        <w:numPr>
          <w:ilvl w:val="0"/>
          <w:numId w:val="35"/>
        </w:numPr>
      </w:pPr>
      <w:r>
        <w:t>STEP 5 – Determine the number of past inspection and their inspection effectiveness</w:t>
      </w:r>
      <w:r w:rsidR="00923938">
        <w:t xml:space="preserve"> according to </w:t>
      </w:r>
      <w:r w:rsidR="00923938">
        <w:rPr>
          <w:highlight w:val="yellow"/>
        </w:rPr>
        <w:fldChar w:fldCharType="begin"/>
      </w:r>
      <w:r w:rsidR="00923938">
        <w:instrText xml:space="preserve"> REF _Ref120119190 \h </w:instrText>
      </w:r>
      <w:r w:rsidR="00923938">
        <w:rPr>
          <w:highlight w:val="yellow"/>
        </w:rPr>
      </w:r>
      <w:r w:rsidR="00923938">
        <w:rPr>
          <w:highlight w:val="yellow"/>
        </w:rPr>
        <w:fldChar w:fldCharType="separate"/>
      </w:r>
      <w:r w:rsidR="00722BA7">
        <w:t xml:space="preserve">Table </w:t>
      </w:r>
      <w:r w:rsidR="00722BA7">
        <w:rPr>
          <w:noProof/>
        </w:rPr>
        <w:t>5</w:t>
      </w:r>
      <w:r w:rsidR="00923938">
        <w:rPr>
          <w:highlight w:val="yellow"/>
        </w:rPr>
        <w:fldChar w:fldCharType="end"/>
      </w:r>
      <w:r w:rsidR="00923938">
        <w:t xml:space="preserve"> (API, 2020)</w:t>
      </w:r>
      <w:r w:rsidR="009E3C71">
        <w:t xml:space="preserve">. Possible inspection techniques are </w:t>
      </w:r>
      <w:r w:rsidR="00923938">
        <w:t>l</w:t>
      </w:r>
      <w:r w:rsidR="009E3C71" w:rsidRPr="009E3C71">
        <w:t xml:space="preserve">iquid </w:t>
      </w:r>
      <w:r w:rsidR="00923938">
        <w:t>p</w:t>
      </w:r>
      <w:r w:rsidR="009E3C71" w:rsidRPr="009E3C71">
        <w:t xml:space="preserve">enetrant </w:t>
      </w:r>
      <w:r w:rsidR="00923938">
        <w:t>t</w:t>
      </w:r>
      <w:r w:rsidR="009E3C71" w:rsidRPr="009E3C71">
        <w:t>esting</w:t>
      </w:r>
      <w:r w:rsidR="00923938">
        <w:t xml:space="preserve"> (PT)</w:t>
      </w:r>
      <w:r w:rsidR="009E3C71" w:rsidRPr="009E3C71">
        <w:t xml:space="preserve">, </w:t>
      </w:r>
      <w:r w:rsidR="00923938">
        <w:t>m</w:t>
      </w:r>
      <w:r w:rsidR="009E3C71" w:rsidRPr="009E3C71">
        <w:t xml:space="preserve">agnetic </w:t>
      </w:r>
      <w:r w:rsidR="00923938">
        <w:t>p</w:t>
      </w:r>
      <w:r w:rsidR="009E3C71" w:rsidRPr="009E3C71">
        <w:t xml:space="preserve">article </w:t>
      </w:r>
      <w:r w:rsidR="00923938">
        <w:t>t</w:t>
      </w:r>
      <w:r w:rsidR="009E3C71" w:rsidRPr="009E3C71">
        <w:t>esting</w:t>
      </w:r>
      <w:r w:rsidR="00923938">
        <w:t xml:space="preserve"> (MT)</w:t>
      </w:r>
      <w:r w:rsidR="009E3C71" w:rsidRPr="009E3C71">
        <w:t xml:space="preserve">, </w:t>
      </w:r>
      <w:r w:rsidR="00923938">
        <w:t>w</w:t>
      </w:r>
      <w:r w:rsidR="009E3C71" w:rsidRPr="009E3C71">
        <w:t xml:space="preserve">et </w:t>
      </w:r>
      <w:r w:rsidR="00923938">
        <w:t>f</w:t>
      </w:r>
      <w:r w:rsidR="009E3C71" w:rsidRPr="009E3C71">
        <w:t xml:space="preserve">luorescent </w:t>
      </w:r>
      <w:r w:rsidR="00923938">
        <w:t>m</w:t>
      </w:r>
      <w:r w:rsidR="009E3C71" w:rsidRPr="009E3C71">
        <w:t xml:space="preserve">agnetic </w:t>
      </w:r>
      <w:r w:rsidR="00923938">
        <w:t>p</w:t>
      </w:r>
      <w:r w:rsidR="009E3C71" w:rsidRPr="009E3C71">
        <w:t xml:space="preserve">article </w:t>
      </w:r>
      <w:r w:rsidR="00923938">
        <w:t>t</w:t>
      </w:r>
      <w:r w:rsidR="009E3C71" w:rsidRPr="009E3C71">
        <w:t>esting</w:t>
      </w:r>
      <w:r w:rsidR="00923938">
        <w:t xml:space="preserve"> (WFMT)</w:t>
      </w:r>
      <w:r w:rsidR="009E3C71" w:rsidRPr="009E3C71">
        <w:t>,</w:t>
      </w:r>
      <w:r w:rsidR="00923938">
        <w:t xml:space="preserve"> s</w:t>
      </w:r>
      <w:r w:rsidR="009E3C71" w:rsidRPr="009E3C71">
        <w:t xml:space="preserve">hear </w:t>
      </w:r>
      <w:r w:rsidR="00923938">
        <w:t>w</w:t>
      </w:r>
      <w:r w:rsidR="009E3C71" w:rsidRPr="009E3C71">
        <w:t xml:space="preserve">ave </w:t>
      </w:r>
      <w:r w:rsidR="00923938">
        <w:t>u</w:t>
      </w:r>
      <w:r w:rsidR="009E3C71" w:rsidRPr="009E3C71">
        <w:t xml:space="preserve">ltrasonic </w:t>
      </w:r>
      <w:r w:rsidR="00923938">
        <w:t>t</w:t>
      </w:r>
      <w:r w:rsidR="009E3C71" w:rsidRPr="009E3C71">
        <w:t>esting</w:t>
      </w:r>
      <w:r w:rsidR="00923938">
        <w:t xml:space="preserve"> (SWUT)</w:t>
      </w:r>
      <w:r w:rsidR="009E3C71" w:rsidRPr="009E3C71">
        <w:t xml:space="preserve">, </w:t>
      </w:r>
      <w:r w:rsidR="00295898">
        <w:t xml:space="preserve">and </w:t>
      </w:r>
      <w:r w:rsidR="00923938">
        <w:t>p</w:t>
      </w:r>
      <w:r w:rsidR="009E3C71" w:rsidRPr="009E3C71">
        <w:t xml:space="preserve">hased </w:t>
      </w:r>
      <w:r w:rsidR="00923938">
        <w:t>a</w:t>
      </w:r>
      <w:r w:rsidR="009E3C71" w:rsidRPr="009E3C71">
        <w:t xml:space="preserve">rray </w:t>
      </w:r>
      <w:r w:rsidR="00923938">
        <w:t>u</w:t>
      </w:r>
      <w:r w:rsidR="009E3C71" w:rsidRPr="009E3C71">
        <w:t xml:space="preserve">ltrasonic </w:t>
      </w:r>
      <w:r w:rsidR="00923938">
        <w:t>t</w:t>
      </w:r>
      <w:r w:rsidR="009E3C71" w:rsidRPr="009E3C71">
        <w:t>esting</w:t>
      </w:r>
      <w:r w:rsidR="00923938">
        <w:t xml:space="preserve"> (PAUT).</w:t>
      </w:r>
    </w:p>
    <w:p w14:paraId="096FFBBB" w14:textId="6AA2565B" w:rsidR="00754E22" w:rsidRDefault="00754E22" w:rsidP="00754E22">
      <w:pPr>
        <w:pStyle w:val="CETCaption"/>
      </w:pPr>
      <w:bookmarkStart w:id="7" w:name="_Ref120119190"/>
      <w:r>
        <w:lastRenderedPageBreak/>
        <w:t xml:space="preserve">Table </w:t>
      </w:r>
      <w:r>
        <w:fldChar w:fldCharType="begin"/>
      </w:r>
      <w:r>
        <w:instrText xml:space="preserve"> SEQ Table \* ARABIC </w:instrText>
      </w:r>
      <w:r>
        <w:fldChar w:fldCharType="separate"/>
      </w:r>
      <w:r w:rsidR="00722BA7">
        <w:rPr>
          <w:noProof/>
        </w:rPr>
        <w:t>5</w:t>
      </w:r>
      <w:r>
        <w:fldChar w:fldCharType="end"/>
      </w:r>
      <w:bookmarkEnd w:id="7"/>
      <w:r>
        <w:t>:</w:t>
      </w:r>
      <w:r w:rsidR="00EA41B3">
        <w:t xml:space="preserve"> Inspection effectiveness of</w:t>
      </w:r>
      <w:r w:rsidR="0077155B">
        <w:t xml:space="preserve"> an example</w:t>
      </w:r>
      <w:r w:rsidR="00EA41B3">
        <w:t xml:space="preserve"> technique for hydrogen embrittlement </w:t>
      </w:r>
      <w:r w:rsidR="0077155B">
        <w:t>detection</w:t>
      </w:r>
    </w:p>
    <w:tbl>
      <w:tblPr>
        <w:tblW w:w="8920" w:type="dxa"/>
        <w:tblBorders>
          <w:top w:val="single" w:sz="12" w:space="0" w:color="008000"/>
          <w:bottom w:val="single" w:sz="12" w:space="0" w:color="008000"/>
        </w:tblBorders>
        <w:tblCellMar>
          <w:left w:w="0" w:type="dxa"/>
          <w:right w:w="0" w:type="dxa"/>
        </w:tblCellMar>
        <w:tblLook w:val="00A0" w:firstRow="1" w:lastRow="0" w:firstColumn="1" w:lastColumn="0" w:noHBand="0" w:noVBand="0"/>
      </w:tblPr>
      <w:tblGrid>
        <w:gridCol w:w="900"/>
        <w:gridCol w:w="1530"/>
        <w:gridCol w:w="2970"/>
        <w:gridCol w:w="3520"/>
      </w:tblGrid>
      <w:tr w:rsidR="006B718D" w:rsidRPr="00754E22" w14:paraId="1A202DD4" w14:textId="77777777" w:rsidTr="00565511">
        <w:trPr>
          <w:trHeight w:val="431"/>
        </w:trPr>
        <w:tc>
          <w:tcPr>
            <w:tcW w:w="900" w:type="dxa"/>
            <w:tcBorders>
              <w:top w:val="single" w:sz="12" w:space="0" w:color="008000"/>
              <w:bottom w:val="single" w:sz="6" w:space="0" w:color="008000"/>
            </w:tcBorders>
            <w:shd w:val="clear" w:color="auto" w:fill="FFFFFF"/>
          </w:tcPr>
          <w:p w14:paraId="4C6E1BFD" w14:textId="1796C0DB" w:rsidR="006B718D" w:rsidRPr="00754E22" w:rsidRDefault="006B718D" w:rsidP="000F26BF">
            <w:pPr>
              <w:jc w:val="left"/>
            </w:pPr>
            <w:r>
              <w:t>Inspection category</w:t>
            </w:r>
            <w:r w:rsidRPr="00754E22">
              <w:t xml:space="preserve"> </w:t>
            </w:r>
          </w:p>
        </w:tc>
        <w:tc>
          <w:tcPr>
            <w:tcW w:w="1530" w:type="dxa"/>
            <w:tcBorders>
              <w:top w:val="single" w:sz="12" w:space="0" w:color="008000"/>
              <w:bottom w:val="single" w:sz="6" w:space="0" w:color="008000"/>
            </w:tcBorders>
            <w:shd w:val="clear" w:color="auto" w:fill="FFFFFF"/>
          </w:tcPr>
          <w:p w14:paraId="3734A88E" w14:textId="69C816FA" w:rsidR="006B718D" w:rsidRPr="00754E22" w:rsidRDefault="006B718D" w:rsidP="000F26BF">
            <w:pPr>
              <w:jc w:val="left"/>
            </w:pPr>
            <w:r>
              <w:t>Inspection effectiveness</w:t>
            </w:r>
          </w:p>
        </w:tc>
        <w:tc>
          <w:tcPr>
            <w:tcW w:w="2970" w:type="dxa"/>
            <w:tcBorders>
              <w:top w:val="single" w:sz="12" w:space="0" w:color="008000"/>
              <w:bottom w:val="single" w:sz="6" w:space="0" w:color="008000"/>
            </w:tcBorders>
            <w:shd w:val="clear" w:color="auto" w:fill="FFFFFF"/>
          </w:tcPr>
          <w:p w14:paraId="7A331BC9" w14:textId="4AB47EF9" w:rsidR="006B718D" w:rsidRPr="00754E22" w:rsidRDefault="006B718D" w:rsidP="000F26BF">
            <w:pPr>
              <w:jc w:val="left"/>
            </w:pPr>
            <w:r>
              <w:t>Intrusive inspection</w:t>
            </w:r>
          </w:p>
        </w:tc>
        <w:tc>
          <w:tcPr>
            <w:tcW w:w="3520" w:type="dxa"/>
            <w:tcBorders>
              <w:top w:val="single" w:sz="12" w:space="0" w:color="008000"/>
              <w:bottom w:val="single" w:sz="6" w:space="0" w:color="008000"/>
            </w:tcBorders>
            <w:shd w:val="clear" w:color="auto" w:fill="FFFFFF"/>
          </w:tcPr>
          <w:p w14:paraId="15BDE3CF" w14:textId="29FC1226" w:rsidR="006B718D" w:rsidRPr="00754E22" w:rsidRDefault="006B718D" w:rsidP="000F26BF">
            <w:pPr>
              <w:ind w:right="-1"/>
              <w:jc w:val="left"/>
              <w:rPr>
                <w:rFonts w:cs="Arial"/>
                <w:szCs w:val="18"/>
              </w:rPr>
            </w:pPr>
            <w:r>
              <w:rPr>
                <w:rFonts w:cs="Arial"/>
                <w:szCs w:val="18"/>
              </w:rPr>
              <w:t>Non-intrusive inspection</w:t>
            </w:r>
          </w:p>
        </w:tc>
      </w:tr>
      <w:tr w:rsidR="006B718D" w:rsidRPr="00754E22" w14:paraId="4824526A" w14:textId="77777777" w:rsidTr="00565511">
        <w:trPr>
          <w:trHeight w:val="206"/>
        </w:trPr>
        <w:tc>
          <w:tcPr>
            <w:tcW w:w="900" w:type="dxa"/>
            <w:shd w:val="clear" w:color="auto" w:fill="FFFFFF"/>
          </w:tcPr>
          <w:p w14:paraId="5F8ADE87" w14:textId="26504781" w:rsidR="006B718D" w:rsidRPr="00754E22" w:rsidRDefault="006B718D" w:rsidP="000F26BF">
            <w:pPr>
              <w:jc w:val="left"/>
            </w:pPr>
            <w:r>
              <w:t>A</w:t>
            </w:r>
          </w:p>
        </w:tc>
        <w:tc>
          <w:tcPr>
            <w:tcW w:w="1530" w:type="dxa"/>
            <w:shd w:val="clear" w:color="auto" w:fill="FFFFFF"/>
          </w:tcPr>
          <w:p w14:paraId="55ADC8D3" w14:textId="77777777" w:rsidR="006B718D" w:rsidRDefault="006B718D" w:rsidP="000F26BF">
            <w:pPr>
              <w:jc w:val="left"/>
            </w:pPr>
            <w:r>
              <w:t>Highly Effective</w:t>
            </w:r>
          </w:p>
          <w:p w14:paraId="6D87C9F1" w14:textId="742F306B" w:rsidR="00565511" w:rsidRPr="00754E22" w:rsidRDefault="00565511" w:rsidP="000F26BF">
            <w:pPr>
              <w:jc w:val="left"/>
            </w:pPr>
            <w:r>
              <w:t>(80 – 100%)</w:t>
            </w:r>
          </w:p>
        </w:tc>
        <w:tc>
          <w:tcPr>
            <w:tcW w:w="2970" w:type="dxa"/>
            <w:shd w:val="clear" w:color="auto" w:fill="FFFFFF"/>
          </w:tcPr>
          <w:p w14:paraId="0D5B07C8" w14:textId="551C4A2D" w:rsidR="000F26BF" w:rsidRPr="00754E22" w:rsidRDefault="000F26BF" w:rsidP="000F26BF">
            <w:pPr>
              <w:jc w:val="left"/>
            </w:pPr>
            <w:r>
              <w:t>For the total weld area:</w:t>
            </w:r>
            <w:r w:rsidR="0077155B">
              <w:t xml:space="preserve"> </w:t>
            </w:r>
            <w:r>
              <w:t xml:space="preserve">PT/MT/WFMT with </w:t>
            </w:r>
            <w:r w:rsidR="00224EF6">
              <w:t>SW</w:t>
            </w:r>
            <w:r>
              <w:t>UT</w:t>
            </w:r>
            <w:r w:rsidR="00224EF6">
              <w:t>/PAUT</w:t>
            </w:r>
            <w:r>
              <w:t xml:space="preserve"> follow-up of indications</w:t>
            </w:r>
          </w:p>
        </w:tc>
        <w:tc>
          <w:tcPr>
            <w:tcW w:w="3520" w:type="dxa"/>
            <w:shd w:val="clear" w:color="auto" w:fill="FFFFFF"/>
          </w:tcPr>
          <w:p w14:paraId="7846466A" w14:textId="72E84374" w:rsidR="000F26BF" w:rsidRPr="000F26BF" w:rsidRDefault="000F26BF" w:rsidP="00DD2643"/>
        </w:tc>
      </w:tr>
      <w:tr w:rsidR="006B718D" w:rsidRPr="00754E22" w14:paraId="245DA94E" w14:textId="77777777" w:rsidTr="00565511">
        <w:trPr>
          <w:trHeight w:val="206"/>
        </w:trPr>
        <w:tc>
          <w:tcPr>
            <w:tcW w:w="900" w:type="dxa"/>
            <w:shd w:val="clear" w:color="auto" w:fill="FFFFFF"/>
          </w:tcPr>
          <w:p w14:paraId="4D2DA70E" w14:textId="3BB8A64F" w:rsidR="006B718D" w:rsidRDefault="006B718D" w:rsidP="000F26BF">
            <w:pPr>
              <w:jc w:val="left"/>
            </w:pPr>
            <w:r>
              <w:t>B</w:t>
            </w:r>
          </w:p>
        </w:tc>
        <w:tc>
          <w:tcPr>
            <w:tcW w:w="1530" w:type="dxa"/>
            <w:shd w:val="clear" w:color="auto" w:fill="FFFFFF"/>
          </w:tcPr>
          <w:p w14:paraId="241B17E4" w14:textId="77777777" w:rsidR="006B718D" w:rsidRDefault="006B718D" w:rsidP="000F26BF">
            <w:pPr>
              <w:jc w:val="left"/>
            </w:pPr>
            <w:proofErr w:type="gramStart"/>
            <w:r>
              <w:t>Usually</w:t>
            </w:r>
            <w:proofErr w:type="gramEnd"/>
            <w:r>
              <w:t xml:space="preserve"> Effective</w:t>
            </w:r>
          </w:p>
          <w:p w14:paraId="6B6E9DFF" w14:textId="331D73D0" w:rsidR="00565511" w:rsidRPr="00754E22" w:rsidRDefault="00565511" w:rsidP="000F26BF">
            <w:pPr>
              <w:jc w:val="left"/>
            </w:pPr>
            <w:r>
              <w:t>(60 – 80%)</w:t>
            </w:r>
          </w:p>
        </w:tc>
        <w:tc>
          <w:tcPr>
            <w:tcW w:w="2970" w:type="dxa"/>
            <w:shd w:val="clear" w:color="auto" w:fill="FFFFFF"/>
          </w:tcPr>
          <w:p w14:paraId="0DB03EA5" w14:textId="72CC4127" w:rsidR="006B718D" w:rsidRPr="00754E22" w:rsidRDefault="000F26BF" w:rsidP="000F26BF">
            <w:pPr>
              <w:jc w:val="left"/>
            </w:pPr>
            <w:r>
              <w:t xml:space="preserve">For the selected weld area: &gt; </w:t>
            </w:r>
            <w:r w:rsidR="00224EF6">
              <w:t>6</w:t>
            </w:r>
            <w:r>
              <w:t xml:space="preserve">5% PT/MT/WFMT with </w:t>
            </w:r>
            <w:r w:rsidR="00224EF6">
              <w:t>SWUT/PAUT</w:t>
            </w:r>
            <w:r>
              <w:t xml:space="preserve"> follow-up of indications</w:t>
            </w:r>
          </w:p>
        </w:tc>
        <w:tc>
          <w:tcPr>
            <w:tcW w:w="3520" w:type="dxa"/>
            <w:shd w:val="clear" w:color="auto" w:fill="FFFFFF"/>
          </w:tcPr>
          <w:p w14:paraId="3D5FEEEC" w14:textId="7E7CF4D5" w:rsidR="006B718D" w:rsidRPr="000F26BF" w:rsidRDefault="000F26BF" w:rsidP="000F26BF">
            <w:pPr>
              <w:jc w:val="left"/>
            </w:pPr>
            <w:r>
              <w:t xml:space="preserve">For the </w:t>
            </w:r>
            <w:r w:rsidR="0077155B">
              <w:t>total weld area</w:t>
            </w:r>
            <w:r>
              <w:t>:</w:t>
            </w:r>
            <w:r>
              <w:rPr>
                <w:rFonts w:cs="Arial"/>
                <w:szCs w:val="18"/>
              </w:rPr>
              <w:t xml:space="preserve"> automated or manual ultrasonic scanning</w:t>
            </w:r>
          </w:p>
        </w:tc>
      </w:tr>
      <w:tr w:rsidR="006B718D" w:rsidRPr="00754E22" w14:paraId="505BFE2B" w14:textId="77777777" w:rsidTr="00565511">
        <w:trPr>
          <w:trHeight w:val="206"/>
        </w:trPr>
        <w:tc>
          <w:tcPr>
            <w:tcW w:w="900" w:type="dxa"/>
            <w:shd w:val="clear" w:color="auto" w:fill="FFFFFF"/>
          </w:tcPr>
          <w:p w14:paraId="6533711C" w14:textId="35D0FD44" w:rsidR="006B718D" w:rsidRDefault="006B718D" w:rsidP="000F26BF">
            <w:pPr>
              <w:jc w:val="left"/>
            </w:pPr>
            <w:r>
              <w:t>C</w:t>
            </w:r>
          </w:p>
        </w:tc>
        <w:tc>
          <w:tcPr>
            <w:tcW w:w="1530" w:type="dxa"/>
            <w:shd w:val="clear" w:color="auto" w:fill="FFFFFF"/>
          </w:tcPr>
          <w:p w14:paraId="30E11174" w14:textId="77777777" w:rsidR="006B718D" w:rsidRDefault="006B718D" w:rsidP="000F26BF">
            <w:pPr>
              <w:jc w:val="left"/>
            </w:pPr>
            <w:r>
              <w:t>Fairly Effective</w:t>
            </w:r>
          </w:p>
          <w:p w14:paraId="01871FAF" w14:textId="52F8195B" w:rsidR="00565511" w:rsidRPr="00754E22" w:rsidRDefault="00565511" w:rsidP="000F26BF">
            <w:pPr>
              <w:jc w:val="left"/>
            </w:pPr>
            <w:r>
              <w:t>(40 – 60%)</w:t>
            </w:r>
          </w:p>
        </w:tc>
        <w:tc>
          <w:tcPr>
            <w:tcW w:w="2970" w:type="dxa"/>
            <w:shd w:val="clear" w:color="auto" w:fill="FFFFFF"/>
          </w:tcPr>
          <w:p w14:paraId="37D72E41" w14:textId="5B9AB504" w:rsidR="006B718D" w:rsidRPr="00754E22" w:rsidRDefault="000F26BF" w:rsidP="000F26BF">
            <w:pPr>
              <w:jc w:val="left"/>
            </w:pPr>
            <w:r>
              <w:t xml:space="preserve">For the selected weld area: &gt; 35% PT/MT/WFMT with </w:t>
            </w:r>
            <w:r w:rsidR="00224EF6">
              <w:t>SW</w:t>
            </w:r>
            <w:r>
              <w:t>UT</w:t>
            </w:r>
            <w:r w:rsidR="00224EF6">
              <w:t>/PAUT</w:t>
            </w:r>
            <w:r>
              <w:t xml:space="preserve"> follow-up of indications</w:t>
            </w:r>
          </w:p>
        </w:tc>
        <w:tc>
          <w:tcPr>
            <w:tcW w:w="3520" w:type="dxa"/>
            <w:shd w:val="clear" w:color="auto" w:fill="FFFFFF"/>
          </w:tcPr>
          <w:p w14:paraId="55163780" w14:textId="6A4AD4C4" w:rsidR="006B718D" w:rsidRPr="00754E22" w:rsidRDefault="0077155B" w:rsidP="000F26BF">
            <w:pPr>
              <w:ind w:right="-1"/>
              <w:jc w:val="left"/>
              <w:rPr>
                <w:rFonts w:cs="Arial"/>
                <w:szCs w:val="18"/>
              </w:rPr>
            </w:pPr>
            <w:r w:rsidRPr="0077155B">
              <w:rPr>
                <w:rFonts w:cs="Arial"/>
                <w:szCs w:val="18"/>
              </w:rPr>
              <w:t xml:space="preserve">For the selected weld area: &gt; </w:t>
            </w:r>
            <w:r w:rsidR="00224EF6">
              <w:rPr>
                <w:rFonts w:cs="Arial"/>
                <w:szCs w:val="18"/>
              </w:rPr>
              <w:t>6</w:t>
            </w:r>
            <w:r w:rsidRPr="0077155B">
              <w:rPr>
                <w:rFonts w:cs="Arial"/>
                <w:szCs w:val="18"/>
              </w:rPr>
              <w:t>5% automated or manual ultrasonic scanning</w:t>
            </w:r>
          </w:p>
        </w:tc>
      </w:tr>
      <w:tr w:rsidR="006B718D" w:rsidRPr="00754E22" w14:paraId="023FFD65" w14:textId="77777777" w:rsidTr="00565511">
        <w:trPr>
          <w:trHeight w:val="206"/>
        </w:trPr>
        <w:tc>
          <w:tcPr>
            <w:tcW w:w="900" w:type="dxa"/>
            <w:shd w:val="clear" w:color="auto" w:fill="FFFFFF"/>
          </w:tcPr>
          <w:p w14:paraId="01B2B495" w14:textId="2D90E801" w:rsidR="006B718D" w:rsidRDefault="006B718D" w:rsidP="000F26BF">
            <w:pPr>
              <w:jc w:val="left"/>
            </w:pPr>
            <w:r>
              <w:t>D</w:t>
            </w:r>
          </w:p>
        </w:tc>
        <w:tc>
          <w:tcPr>
            <w:tcW w:w="1530" w:type="dxa"/>
            <w:shd w:val="clear" w:color="auto" w:fill="FFFFFF"/>
          </w:tcPr>
          <w:p w14:paraId="5BB2D0FB" w14:textId="77777777" w:rsidR="006B718D" w:rsidRDefault="006B718D" w:rsidP="000F26BF">
            <w:pPr>
              <w:jc w:val="left"/>
            </w:pPr>
            <w:r>
              <w:t>Poorly Effective</w:t>
            </w:r>
          </w:p>
          <w:p w14:paraId="3FC6628A" w14:textId="2FF601BF" w:rsidR="00565511" w:rsidRPr="00754E22" w:rsidRDefault="00565511" w:rsidP="000F26BF">
            <w:pPr>
              <w:jc w:val="left"/>
            </w:pPr>
            <w:r>
              <w:t>(20 – 40%)</w:t>
            </w:r>
          </w:p>
        </w:tc>
        <w:tc>
          <w:tcPr>
            <w:tcW w:w="2970" w:type="dxa"/>
            <w:shd w:val="clear" w:color="auto" w:fill="FFFFFF"/>
          </w:tcPr>
          <w:p w14:paraId="38BF1AA2" w14:textId="3879B894" w:rsidR="006B718D" w:rsidRPr="00754E22" w:rsidRDefault="000F26BF" w:rsidP="000F26BF">
            <w:pPr>
              <w:jc w:val="left"/>
            </w:pPr>
            <w:r>
              <w:t xml:space="preserve">For the selected weld area: &gt; 10% PT/MT/WFMT with </w:t>
            </w:r>
            <w:r w:rsidR="00224EF6">
              <w:t>SW</w:t>
            </w:r>
            <w:r>
              <w:t>UT</w:t>
            </w:r>
            <w:r w:rsidR="00224EF6">
              <w:t>/PAUT</w:t>
            </w:r>
            <w:r>
              <w:t xml:space="preserve"> follow-up of indications</w:t>
            </w:r>
          </w:p>
        </w:tc>
        <w:tc>
          <w:tcPr>
            <w:tcW w:w="3520" w:type="dxa"/>
            <w:shd w:val="clear" w:color="auto" w:fill="FFFFFF"/>
          </w:tcPr>
          <w:p w14:paraId="166D82CF" w14:textId="75F3C825" w:rsidR="006B718D" w:rsidRPr="00754E22" w:rsidRDefault="0077155B" w:rsidP="000F26BF">
            <w:pPr>
              <w:ind w:right="-1"/>
              <w:jc w:val="left"/>
              <w:rPr>
                <w:rFonts w:cs="Arial"/>
                <w:szCs w:val="18"/>
              </w:rPr>
            </w:pPr>
            <w:r w:rsidRPr="0077155B">
              <w:rPr>
                <w:rFonts w:cs="Arial"/>
                <w:szCs w:val="18"/>
              </w:rPr>
              <w:t xml:space="preserve">For the selected weld area: &gt; </w:t>
            </w:r>
            <w:r w:rsidR="00224EF6">
              <w:rPr>
                <w:rFonts w:cs="Arial"/>
                <w:szCs w:val="18"/>
              </w:rPr>
              <w:t>35</w:t>
            </w:r>
            <w:r w:rsidRPr="0077155B">
              <w:rPr>
                <w:rFonts w:cs="Arial"/>
                <w:szCs w:val="18"/>
              </w:rPr>
              <w:t>% automated or manual ultrasonic scanning</w:t>
            </w:r>
          </w:p>
        </w:tc>
      </w:tr>
      <w:tr w:rsidR="006B718D" w:rsidRPr="00754E22" w14:paraId="79BABFDF" w14:textId="77777777" w:rsidTr="00565511">
        <w:trPr>
          <w:trHeight w:val="215"/>
        </w:trPr>
        <w:tc>
          <w:tcPr>
            <w:tcW w:w="900" w:type="dxa"/>
            <w:tcBorders>
              <w:bottom w:val="single" w:sz="12" w:space="0" w:color="008000"/>
            </w:tcBorders>
            <w:shd w:val="clear" w:color="auto" w:fill="FFFFFF"/>
          </w:tcPr>
          <w:p w14:paraId="347A885F" w14:textId="2B214116" w:rsidR="006B718D" w:rsidRPr="00754E22" w:rsidRDefault="006B718D" w:rsidP="000F26BF">
            <w:pPr>
              <w:ind w:right="-1"/>
              <w:jc w:val="left"/>
              <w:rPr>
                <w:rFonts w:cs="Arial"/>
                <w:szCs w:val="18"/>
              </w:rPr>
            </w:pPr>
            <w:r>
              <w:rPr>
                <w:rFonts w:cs="Arial"/>
                <w:szCs w:val="18"/>
              </w:rPr>
              <w:t>E</w:t>
            </w:r>
          </w:p>
        </w:tc>
        <w:tc>
          <w:tcPr>
            <w:tcW w:w="1530" w:type="dxa"/>
            <w:tcBorders>
              <w:bottom w:val="single" w:sz="12" w:space="0" w:color="008000"/>
            </w:tcBorders>
            <w:shd w:val="clear" w:color="auto" w:fill="FFFFFF"/>
          </w:tcPr>
          <w:p w14:paraId="27CC5790" w14:textId="77777777" w:rsidR="006B718D" w:rsidRDefault="006B718D" w:rsidP="000F26BF">
            <w:pPr>
              <w:ind w:right="-1"/>
              <w:jc w:val="left"/>
              <w:rPr>
                <w:rFonts w:cs="Arial"/>
                <w:szCs w:val="18"/>
              </w:rPr>
            </w:pPr>
            <w:r>
              <w:rPr>
                <w:rFonts w:cs="Arial"/>
                <w:szCs w:val="18"/>
              </w:rPr>
              <w:t>Ineffective</w:t>
            </w:r>
          </w:p>
          <w:p w14:paraId="5BCE7283" w14:textId="350D2A8C" w:rsidR="00565511" w:rsidRPr="00754E22" w:rsidRDefault="00565511" w:rsidP="000F26BF">
            <w:pPr>
              <w:ind w:right="-1"/>
              <w:jc w:val="left"/>
              <w:rPr>
                <w:rFonts w:cs="Arial"/>
                <w:szCs w:val="18"/>
              </w:rPr>
            </w:pPr>
            <w:r>
              <w:rPr>
                <w:rFonts w:cs="Arial"/>
                <w:szCs w:val="18"/>
              </w:rPr>
              <w:t>(&lt; 20%)</w:t>
            </w:r>
          </w:p>
        </w:tc>
        <w:tc>
          <w:tcPr>
            <w:tcW w:w="2970" w:type="dxa"/>
            <w:tcBorders>
              <w:bottom w:val="single" w:sz="12" w:space="0" w:color="008000"/>
            </w:tcBorders>
            <w:shd w:val="clear" w:color="auto" w:fill="FFFFFF"/>
          </w:tcPr>
          <w:p w14:paraId="1A0BE8CE" w14:textId="7FB69330" w:rsidR="006B718D" w:rsidRPr="0077155B" w:rsidRDefault="00224EF6" w:rsidP="00DD2643">
            <w:pPr>
              <w:ind w:right="-1"/>
              <w:rPr>
                <w:rFonts w:cs="Arial"/>
                <w:szCs w:val="18"/>
              </w:rPr>
            </w:pPr>
            <w:r>
              <w:rPr>
                <w:rFonts w:cs="Arial"/>
                <w:szCs w:val="18"/>
              </w:rPr>
              <w:t>Ineffective inspection techniques</w:t>
            </w:r>
          </w:p>
        </w:tc>
        <w:tc>
          <w:tcPr>
            <w:tcW w:w="3520" w:type="dxa"/>
            <w:tcBorders>
              <w:bottom w:val="single" w:sz="12" w:space="0" w:color="008000"/>
            </w:tcBorders>
            <w:shd w:val="clear" w:color="auto" w:fill="FFFFFF"/>
          </w:tcPr>
          <w:p w14:paraId="55EED8D0" w14:textId="122AFCC2" w:rsidR="006B718D" w:rsidRPr="00754E22" w:rsidRDefault="0077155B" w:rsidP="000F26BF">
            <w:pPr>
              <w:ind w:right="-1"/>
              <w:jc w:val="left"/>
              <w:rPr>
                <w:rFonts w:cs="Arial"/>
                <w:szCs w:val="18"/>
              </w:rPr>
            </w:pPr>
            <w:r>
              <w:rPr>
                <w:rFonts w:cs="Arial"/>
                <w:szCs w:val="18"/>
              </w:rPr>
              <w:t>Radiographic testing or visual inspections</w:t>
            </w:r>
          </w:p>
        </w:tc>
      </w:tr>
    </w:tbl>
    <w:p w14:paraId="3A79B002" w14:textId="5E8C8CE3" w:rsidR="00754E22" w:rsidRDefault="00754E22" w:rsidP="00754E22">
      <w:pPr>
        <w:pStyle w:val="CETBodytext"/>
      </w:pPr>
    </w:p>
    <w:p w14:paraId="5105C1F2" w14:textId="1398471F" w:rsidR="003913E5" w:rsidRPr="00BB236B" w:rsidRDefault="003913E5" w:rsidP="00AD1663">
      <w:pPr>
        <w:pStyle w:val="CETBodytext"/>
        <w:numPr>
          <w:ilvl w:val="0"/>
          <w:numId w:val="37"/>
        </w:numPr>
      </w:pPr>
      <w:r w:rsidRPr="00BB236B">
        <w:t xml:space="preserve">STEP 6 – Determine the base </w:t>
      </w: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f</m:t>
            </m:r>
          </m:sub>
        </m:sSub>
      </m:oMath>
      <w:r w:rsidRPr="00BB236B">
        <w:t xml:space="preserve"> for HE, using</w:t>
      </w:r>
      <w:r w:rsidR="00AD1663" w:rsidRPr="00BB236B">
        <w:t xml:space="preserve"> the number of inspections and the highest inspection effectiveness from STEP 5 and the Severity Index from STEP 3</w:t>
      </w:r>
      <w:r w:rsidR="00923938">
        <w:t xml:space="preserve">, and </w:t>
      </w:r>
      <w:r w:rsidR="00DB44EF" w:rsidRPr="00BB236B">
        <w:t>t</w:t>
      </w:r>
      <w:r w:rsidR="00923938">
        <w:t>he t</w:t>
      </w:r>
      <w:r w:rsidR="00DB44EF" w:rsidRPr="00BB236B">
        <w:t xml:space="preserve">able provided </w:t>
      </w:r>
      <w:r w:rsidR="00923938">
        <w:t xml:space="preserve">in </w:t>
      </w:r>
      <w:r w:rsidR="00DB44EF" w:rsidRPr="00BB236B">
        <w:t>API (2019).</w:t>
      </w:r>
    </w:p>
    <w:p w14:paraId="1A0E71C1" w14:textId="4EF4423E" w:rsidR="003913E5" w:rsidRPr="00BB236B" w:rsidRDefault="00AD1663" w:rsidP="00AD1663">
      <w:pPr>
        <w:pStyle w:val="CETBodytext"/>
        <w:numPr>
          <w:ilvl w:val="0"/>
          <w:numId w:val="37"/>
        </w:numPr>
      </w:pPr>
      <w:r w:rsidRPr="00BB236B">
        <w:t>STEP 7 – Determine the on-line adjustment factor</w:t>
      </w:r>
      <w:r w:rsidR="00770C46" w:rsidRPr="00BB236B">
        <w:t xml:space="preserve">.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OM</m:t>
            </m:r>
          </m:sub>
        </m:sSub>
      </m:oMath>
      <w:r w:rsidR="00770C46" w:rsidRPr="00BB236B">
        <w:t xml:space="preserve"> is equal to 1 if no on-line monitoring methods are employed, 2 if hydrogen probes or process variables </w:t>
      </w:r>
      <w:r w:rsidR="00DB44EF" w:rsidRPr="00BB236B">
        <w:t>monitoring are used</w:t>
      </w:r>
      <w:r w:rsidR="00770C46" w:rsidRPr="00BB236B">
        <w:t>, 4 if hydrogen probes are used in combination with process variables monitoring.</w:t>
      </w:r>
    </w:p>
    <w:p w14:paraId="357DDF90" w14:textId="3BD01F6C" w:rsidR="00AD1663" w:rsidRPr="00BB236B" w:rsidRDefault="00AD1663" w:rsidP="00AD1663">
      <w:pPr>
        <w:pStyle w:val="CETBodytext"/>
        <w:numPr>
          <w:ilvl w:val="0"/>
          <w:numId w:val="37"/>
        </w:numPr>
      </w:pPr>
      <w:r w:rsidRPr="00BB236B">
        <w:t xml:space="preserve">STEP 8 – Calculate the final </w:t>
      </w:r>
      <w:r w:rsidR="00DB6786" w:rsidRPr="00BB236B">
        <w:t>d</w:t>
      </w:r>
      <w:r w:rsidRPr="00BB236B">
        <w:t xml:space="preserve">amage </w:t>
      </w:r>
      <w:r w:rsidR="00DB6786" w:rsidRPr="00BB236B">
        <w:t>f</w:t>
      </w:r>
      <w:r w:rsidRPr="00BB236B">
        <w:t>actor using Equation (</w:t>
      </w:r>
      <w:r w:rsidR="00D27B68" w:rsidRPr="00BB236B">
        <w:t>3</w:t>
      </w:r>
      <w:r w:rsidRPr="00BB236B">
        <w:t>), based on the time-in-service since the last inspection from STEP 4 and the on-line adjustment factor from STEP 7.</w:t>
      </w:r>
    </w:p>
    <w:p w14:paraId="1F39F6AC" w14:textId="77777777" w:rsidR="00DD5D58" w:rsidRPr="00BB236B" w:rsidRDefault="00DD5D58" w:rsidP="00DD5D58">
      <w:pPr>
        <w:pStyle w:val="CETBodytext"/>
      </w:pPr>
    </w:p>
    <w:tbl>
      <w:tblPr>
        <w:tblW w:w="4709" w:type="pct"/>
        <w:tblInd w:w="677" w:type="dxa"/>
        <w:tblLook w:val="04A0" w:firstRow="1" w:lastRow="0" w:firstColumn="1" w:lastColumn="0" w:noHBand="0" w:noVBand="1"/>
      </w:tblPr>
      <w:tblGrid>
        <w:gridCol w:w="7529"/>
        <w:gridCol w:w="747"/>
      </w:tblGrid>
      <w:tr w:rsidR="00C37F0D" w:rsidRPr="00BB236B" w14:paraId="22BEF270" w14:textId="77777777" w:rsidTr="002F7665">
        <w:trPr>
          <w:trHeight w:val="428"/>
        </w:trPr>
        <w:tc>
          <w:tcPr>
            <w:tcW w:w="7528" w:type="dxa"/>
            <w:shd w:val="clear" w:color="auto" w:fill="auto"/>
            <w:vAlign w:val="center"/>
          </w:tcPr>
          <w:p w14:paraId="31DFC68F" w14:textId="1751E792" w:rsidR="00C37F0D" w:rsidRPr="00BB236B" w:rsidRDefault="00000000" w:rsidP="00617119">
            <w:pPr>
              <w:pStyle w:val="CETBodytext"/>
            </w:pPr>
            <m:oMathPara>
              <m:oMathParaPr>
                <m:jc m:val="left"/>
              </m:oMathParaPr>
              <m:oMath>
                <m:sSubSup>
                  <m:sSubSupPr>
                    <m:ctrlPr>
                      <w:rPr>
                        <w:rFonts w:ascii="Cambria Math" w:hAnsi="Cambria Math"/>
                      </w:rPr>
                    </m:ctrlPr>
                  </m:sSubSupPr>
                  <m:e>
                    <m:r>
                      <m:rPr>
                        <m:sty m:val="p"/>
                      </m:rPr>
                      <w:rPr>
                        <w:rFonts w:ascii="Cambria Math" w:hAnsi="Cambria Math"/>
                      </w:rPr>
                      <m:t>D</m:t>
                    </m:r>
                  </m:e>
                  <m:sub>
                    <m:r>
                      <m:rPr>
                        <m:sty m:val="p"/>
                      </m:rPr>
                      <w:rPr>
                        <w:rFonts w:ascii="Cambria Math" w:hAnsi="Cambria Math"/>
                      </w:rPr>
                      <m:t>f</m:t>
                    </m:r>
                  </m:sub>
                  <m:sup>
                    <m:r>
                      <m:rPr>
                        <m:sty m:val="p"/>
                      </m:rPr>
                      <w:rPr>
                        <w:rFonts w:ascii="Cambria Math" w:hAnsi="Cambria Math"/>
                      </w:rPr>
                      <m:t>HE</m:t>
                    </m:r>
                  </m:sup>
                </m:sSubSup>
                <m:r>
                  <m:rPr>
                    <m:sty m:val="p"/>
                  </m:rPr>
                  <w:rPr>
                    <w:rFonts w:ascii="Cambria Math" w:hAnsi="Cambria Math"/>
                  </w:rPr>
                  <m:t>=min</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m:rPr>
                                <m:sty m:val="p"/>
                              </m:rPr>
                              <w:rPr>
                                <w:rFonts w:ascii="Cambria Math" w:hAnsi="Cambria Math"/>
                              </w:rPr>
                              <m:t>D</m:t>
                            </m:r>
                          </m:e>
                          <m:sub>
                            <m:r>
                              <m:rPr>
                                <m:sty m:val="p"/>
                              </m:rPr>
                              <w:rPr>
                                <w:rFonts w:ascii="Cambria Math" w:hAnsi="Cambria Math"/>
                              </w:rPr>
                              <m:t>fB</m:t>
                            </m:r>
                          </m:sub>
                          <m:sup>
                            <m:r>
                              <m:rPr>
                                <m:sty m:val="p"/>
                              </m:rPr>
                              <w:rPr>
                                <w:rFonts w:ascii="Cambria Math" w:hAnsi="Cambria Math"/>
                              </w:rPr>
                              <m:t>HE</m:t>
                            </m:r>
                          </m:sup>
                        </m:sSubSup>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age,1.0</m:t>
                                    </m:r>
                                  </m:e>
                                </m:d>
                              </m:e>
                            </m:d>
                          </m:e>
                          <m:sup>
                            <m:r>
                              <m:rPr>
                                <m:sty m:val="p"/>
                              </m:rPr>
                              <w:rPr>
                                <w:rFonts w:ascii="Cambria Math" w:hAnsi="Cambria Math"/>
                              </w:rPr>
                              <m:t>1.1</m:t>
                            </m:r>
                          </m:sup>
                        </m:sSup>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OM</m:t>
                            </m:r>
                          </m:sub>
                        </m:sSub>
                      </m:den>
                    </m:f>
                    <m:r>
                      <m:rPr>
                        <m:sty m:val="p"/>
                      </m:rPr>
                      <w:rPr>
                        <w:rFonts w:ascii="Cambria Math" w:hAnsi="Cambria Math"/>
                      </w:rPr>
                      <m:t>,5000</m:t>
                    </m:r>
                  </m:e>
                </m:d>
              </m:oMath>
            </m:oMathPara>
          </w:p>
        </w:tc>
        <w:tc>
          <w:tcPr>
            <w:tcW w:w="747" w:type="dxa"/>
            <w:shd w:val="clear" w:color="auto" w:fill="auto"/>
            <w:vAlign w:val="center"/>
          </w:tcPr>
          <w:p w14:paraId="70D12680" w14:textId="77777777" w:rsidR="00C37F0D" w:rsidRPr="00BB236B" w:rsidRDefault="00C37F0D" w:rsidP="00617119">
            <w:pPr>
              <w:pStyle w:val="CETEquation"/>
              <w:jc w:val="right"/>
            </w:pPr>
            <w:r w:rsidRPr="00BB236B">
              <w:t>(3)</w:t>
            </w:r>
          </w:p>
        </w:tc>
      </w:tr>
    </w:tbl>
    <w:p w14:paraId="43F82DDE" w14:textId="0DB8F9AE" w:rsidR="00C37F0D" w:rsidRPr="00BB236B" w:rsidRDefault="00C37F0D" w:rsidP="00C37F0D">
      <w:pPr>
        <w:pStyle w:val="CETBodytext"/>
      </w:pPr>
    </w:p>
    <w:p w14:paraId="28335088" w14:textId="2DF5A300" w:rsidR="00AE481C" w:rsidRPr="00BB236B" w:rsidRDefault="00DD5D58" w:rsidP="00C37F0D">
      <w:pPr>
        <w:pStyle w:val="CETBodytext"/>
      </w:pPr>
      <w:r w:rsidRPr="00BB236B">
        <w:t xml:space="preserve">The process for the calculation of the HE </w:t>
      </w:r>
      <w:proofErr w:type="gramStart"/>
      <w:r w:rsidR="00DB6786" w:rsidRPr="00BB236B">
        <w:t>d</w:t>
      </w:r>
      <w:r w:rsidRPr="00BB236B">
        <w:t>amage</w:t>
      </w:r>
      <w:proofErr w:type="gramEnd"/>
      <w:r w:rsidRPr="00BB236B">
        <w:t xml:space="preserve"> </w:t>
      </w:r>
      <w:r w:rsidR="00DB6786" w:rsidRPr="00BB236B">
        <w:t>f</w:t>
      </w:r>
      <w:r w:rsidRPr="00BB236B">
        <w:t xml:space="preserve">actor is summarized </w:t>
      </w:r>
      <w:r w:rsidR="00D27B68" w:rsidRPr="00BB236B">
        <w:t xml:space="preserve">as a flow diagram </w:t>
      </w:r>
      <w:r w:rsidRPr="00BB236B">
        <w:t>in</w:t>
      </w:r>
      <w:r w:rsidR="001B61CB">
        <w:t xml:space="preserve"> Figure 2</w:t>
      </w:r>
      <w:r w:rsidR="00C879DA" w:rsidRPr="00BB236B">
        <w:t>:</w:t>
      </w:r>
    </w:p>
    <w:p w14:paraId="50C5FA8D" w14:textId="77777777" w:rsidR="00AE481C" w:rsidRDefault="00AE481C" w:rsidP="00C37F0D">
      <w:pPr>
        <w:pStyle w:val="CETBodytext"/>
      </w:pPr>
    </w:p>
    <w:p w14:paraId="1BC44B68" w14:textId="77777777" w:rsidR="003354E6" w:rsidRDefault="003354E6" w:rsidP="003354E6">
      <w:pPr>
        <w:pStyle w:val="CETBodytext"/>
        <w:keepNext/>
      </w:pPr>
      <w:r>
        <w:rPr>
          <w:noProof/>
        </w:rPr>
        <w:drawing>
          <wp:inline distT="0" distB="0" distL="0" distR="0" wp14:anchorId="68542D2D" wp14:editId="06261EB9">
            <wp:extent cx="4806950" cy="2657033"/>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29270" cy="2724645"/>
                    </a:xfrm>
                    <a:prstGeom prst="rect">
                      <a:avLst/>
                    </a:prstGeom>
                    <a:noFill/>
                    <a:ln>
                      <a:noFill/>
                    </a:ln>
                  </pic:spPr>
                </pic:pic>
              </a:graphicData>
            </a:graphic>
          </wp:inline>
        </w:drawing>
      </w:r>
    </w:p>
    <w:p w14:paraId="548DA0AF" w14:textId="4B5D6EE0" w:rsidR="003354E6" w:rsidRDefault="003354E6" w:rsidP="003354E6">
      <w:pPr>
        <w:pStyle w:val="CETCaption"/>
      </w:pPr>
      <w:r>
        <w:t xml:space="preserve">Figure </w:t>
      </w:r>
      <w:r>
        <w:fldChar w:fldCharType="begin"/>
      </w:r>
      <w:r>
        <w:instrText xml:space="preserve"> SEQ Figure \* ARABIC </w:instrText>
      </w:r>
      <w:r>
        <w:fldChar w:fldCharType="separate"/>
      </w:r>
      <w:r w:rsidR="00722BA7">
        <w:rPr>
          <w:noProof/>
        </w:rPr>
        <w:t>2</w:t>
      </w:r>
      <w:r>
        <w:fldChar w:fldCharType="end"/>
      </w:r>
      <w:r>
        <w:t xml:space="preserve">: </w:t>
      </w:r>
      <w:r w:rsidRPr="004E7511">
        <w:t xml:space="preserve">Flow diagram for the determination of the HE </w:t>
      </w:r>
      <w:proofErr w:type="gramStart"/>
      <w:r w:rsidR="005C7068">
        <w:t>d</w:t>
      </w:r>
      <w:r w:rsidRPr="004E7511">
        <w:t>amage</w:t>
      </w:r>
      <w:proofErr w:type="gramEnd"/>
      <w:r w:rsidRPr="004E7511">
        <w:t xml:space="preserve"> </w:t>
      </w:r>
      <w:r w:rsidR="005C7068">
        <w:t>f</w:t>
      </w:r>
      <w:r w:rsidRPr="004E7511">
        <w:t>actor</w:t>
      </w:r>
    </w:p>
    <w:p w14:paraId="6559FF0C" w14:textId="7D84FD01" w:rsidR="002A6981" w:rsidRDefault="002A6981" w:rsidP="003354E6">
      <w:pPr>
        <w:pStyle w:val="CETHeading1"/>
      </w:pPr>
      <w:r>
        <w:t>Discussion</w:t>
      </w:r>
    </w:p>
    <w:p w14:paraId="46D8788D" w14:textId="3C7FF0C6" w:rsidR="000F5C9C" w:rsidRPr="00BB236B" w:rsidRDefault="00BC2F65" w:rsidP="002A6981">
      <w:pPr>
        <w:pStyle w:val="CETBodytext"/>
      </w:pPr>
      <w:r w:rsidRPr="00BB236B">
        <w:t xml:space="preserve">The </w:t>
      </w:r>
      <w:r w:rsidR="000F3DEF" w:rsidRPr="00BB236B">
        <w:t xml:space="preserve">methodology proposed </w:t>
      </w:r>
      <w:r w:rsidR="00F62CBC" w:rsidRPr="00BB236B">
        <w:t>aims at filling a gap in the existing RBI standards and recommended practice</w:t>
      </w:r>
      <w:r w:rsidR="003C3AF0" w:rsidRPr="00BB236B">
        <w:t>s</w:t>
      </w:r>
      <w:r w:rsidR="00010879" w:rsidRPr="00BB236B">
        <w:t>: the evaluation of the environmental damage associated with hydrogen embrittlement</w:t>
      </w:r>
      <w:r w:rsidR="00C2496F" w:rsidRPr="00BB236B">
        <w:t xml:space="preserve"> through </w:t>
      </w:r>
      <w:r w:rsidR="00DF015D" w:rsidRPr="00BB236B">
        <w:t xml:space="preserve">a reliable definition of </w:t>
      </w:r>
      <w:r w:rsidR="00DF015D" w:rsidRPr="00BB236B">
        <w:lastRenderedPageBreak/>
        <w:t>the damage factor</w:t>
      </w:r>
      <w:r w:rsidR="00010879" w:rsidRPr="00BB236B">
        <w:t>.</w:t>
      </w:r>
      <w:r w:rsidR="00664ED1" w:rsidRPr="00BB236B">
        <w:t xml:space="preserve"> When it comes to planning </w:t>
      </w:r>
      <w:r w:rsidR="0074215C">
        <w:t xml:space="preserve">the </w:t>
      </w:r>
      <w:r w:rsidR="00664ED1" w:rsidRPr="00BB236B">
        <w:t xml:space="preserve">inspection of hydrogen-related industrial plants, the major bottleneck is the limited market penetration of these technologies, </w:t>
      </w:r>
      <w:r w:rsidR="000A6826" w:rsidRPr="00BB236B">
        <w:t>which</w:t>
      </w:r>
      <w:r w:rsidR="00664ED1" w:rsidRPr="00BB236B">
        <w:t xml:space="preserve"> makes it difficult to gather the data </w:t>
      </w:r>
      <w:r w:rsidR="003C3AF0" w:rsidRPr="00BB236B">
        <w:t xml:space="preserve">required </w:t>
      </w:r>
      <w:r w:rsidR="00383F91" w:rsidRPr="00BB236B">
        <w:t>to</w:t>
      </w:r>
      <w:r w:rsidR="003C3AF0" w:rsidRPr="00BB236B">
        <w:t xml:space="preserve"> develop</w:t>
      </w:r>
      <w:r w:rsidR="00664ED1" w:rsidRPr="00BB236B">
        <w:t xml:space="preserve"> accurate </w:t>
      </w:r>
      <w:r w:rsidR="00383F91" w:rsidRPr="00BB236B">
        <w:t>reliability</w:t>
      </w:r>
      <w:r w:rsidR="00664ED1" w:rsidRPr="00BB236B">
        <w:t xml:space="preserve"> models.</w:t>
      </w:r>
      <w:r w:rsidR="00894721" w:rsidRPr="00BB236B">
        <w:t xml:space="preserve"> This is the case of recently developed components</w:t>
      </w:r>
      <w:r w:rsidR="00D7076A" w:rsidRPr="00BB236B">
        <w:t xml:space="preserve"> (e.g., </w:t>
      </w:r>
      <w:r w:rsidR="00894721" w:rsidRPr="00BB236B">
        <w:t>fuel cells</w:t>
      </w:r>
      <w:r w:rsidR="009C1046" w:rsidRPr="00BB236B">
        <w:t xml:space="preserve"> and electrolyzers</w:t>
      </w:r>
      <w:r w:rsidR="00D7076A" w:rsidRPr="00BB236B">
        <w:t>), for which the generic failure frequency can be determined only with high uncertainty</w:t>
      </w:r>
      <w:r w:rsidR="00DF015D" w:rsidRPr="00BB236B">
        <w:t xml:space="preserve"> since little to no relevant data are available</w:t>
      </w:r>
      <w:r w:rsidR="00D7076A" w:rsidRPr="00BB236B">
        <w:t>. On the other hand, several industrial components, such as vessels, cylinders, compressors, pipes, and pipelines, are normally used both in the chemical industr</w:t>
      </w:r>
      <w:r w:rsidR="00DE20CA">
        <w:t>y</w:t>
      </w:r>
      <w:r w:rsidR="00D7076A" w:rsidRPr="00BB236B">
        <w:t xml:space="preserve"> and for transporting and storing </w:t>
      </w:r>
      <w:r w:rsidR="005914C7" w:rsidRPr="00BB236B">
        <w:t xml:space="preserve">pressurized </w:t>
      </w:r>
      <w:r w:rsidR="00D7076A" w:rsidRPr="00BB236B">
        <w:t>hydrogen</w:t>
      </w:r>
      <w:r w:rsidR="005914C7" w:rsidRPr="00BB236B">
        <w:t xml:space="preserve"> gas</w:t>
      </w:r>
      <w:r w:rsidR="00D7076A" w:rsidRPr="00BB236B">
        <w:t xml:space="preserve">. Hence, the problem shifts from the determination of the </w:t>
      </w:r>
      <m:oMath>
        <m:r>
          <m:rPr>
            <m:sty m:val="p"/>
          </m:rPr>
          <w:rPr>
            <w:rFonts w:ascii="Cambria Math" w:hAnsi="Cambria Math"/>
          </w:rPr>
          <m:t>gff</m:t>
        </m:r>
      </m:oMath>
      <w:r w:rsidR="00D7076A" w:rsidRPr="00BB236B">
        <w:t xml:space="preserve"> to the calculation of the </w:t>
      </w: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f</m:t>
            </m:r>
          </m:sub>
        </m:sSub>
      </m:oMath>
      <w:r w:rsidR="00D7076A" w:rsidRPr="00BB236B">
        <w:t xml:space="preserve"> for an operating environment that was not considered like</w:t>
      </w:r>
      <w:r w:rsidR="000A327C">
        <w:t>ly</w:t>
      </w:r>
      <w:r w:rsidR="00C158B6" w:rsidRPr="00BB236B">
        <w:t>, i.e.,</w:t>
      </w:r>
      <w:r w:rsidR="00FF1161">
        <w:t xml:space="preserve"> pure and</w:t>
      </w:r>
      <w:r w:rsidR="00C158B6" w:rsidRPr="00BB236B">
        <w:t xml:space="preserve"> </w:t>
      </w:r>
      <w:r w:rsidR="00E77DFD">
        <w:t xml:space="preserve">compressed </w:t>
      </w:r>
      <w:r w:rsidR="00B53441" w:rsidRPr="00BB236B">
        <w:t>gaseous</w:t>
      </w:r>
      <w:r w:rsidR="00C158B6" w:rsidRPr="00BB236B">
        <w:t xml:space="preserve"> hydroge</w:t>
      </w:r>
      <w:r w:rsidR="00E77DFD">
        <w:t>n</w:t>
      </w:r>
      <w:r w:rsidR="00C158B6" w:rsidRPr="00BB236B">
        <w:t>. In this perspective, t</w:t>
      </w:r>
      <w:r w:rsidR="000E3A70" w:rsidRPr="00BB236B">
        <w:t xml:space="preserve">he environmental severity has been determined according </w:t>
      </w:r>
      <w:r w:rsidR="000A6826" w:rsidRPr="00BB236B">
        <w:t>to</w:t>
      </w:r>
      <w:r w:rsidR="000E3A70" w:rsidRPr="00BB236B">
        <w:t xml:space="preserve"> the relevant scientific literature regarding hydrogen embrittlement. The most severe scenario </w:t>
      </w:r>
      <w:r w:rsidR="00AA53CD" w:rsidRPr="00BB236B">
        <w:t>seems to be</w:t>
      </w:r>
      <w:r w:rsidR="000E3A70" w:rsidRPr="00BB236B">
        <w:t xml:space="preserve"> a </w:t>
      </w:r>
      <w:r w:rsidR="00F62CBC" w:rsidRPr="00BB236B">
        <w:t>high-pressure</w:t>
      </w:r>
      <w:r w:rsidR="000E3A70" w:rsidRPr="00BB236B">
        <w:t xml:space="preserve"> environment at near-ambient temperature, which is the case </w:t>
      </w:r>
      <w:r w:rsidR="00B53441" w:rsidRPr="00BB236B">
        <w:t>for</w:t>
      </w:r>
      <w:r w:rsidR="000E3A70" w:rsidRPr="00BB236B">
        <w:t xml:space="preserve"> </w:t>
      </w:r>
      <w:r w:rsidR="00C158B6" w:rsidRPr="00BB236B">
        <w:t>most of</w:t>
      </w:r>
      <w:r w:rsidR="00B53441" w:rsidRPr="00BB236B">
        <w:t xml:space="preserve"> the</w:t>
      </w:r>
      <w:r w:rsidR="00C158B6" w:rsidRPr="00BB236B">
        <w:t xml:space="preserve"> </w:t>
      </w:r>
      <w:r w:rsidR="000E3A70" w:rsidRPr="00BB236B">
        <w:t>equipment for gaseous hydrogen transport and storage. Moreover</w:t>
      </w:r>
      <w:r w:rsidR="00F62CBC" w:rsidRPr="00BB236B">
        <w:t xml:space="preserve">, </w:t>
      </w:r>
      <w:r w:rsidR="00416861" w:rsidRPr="00BB236B">
        <w:t>one of the most common parameter</w:t>
      </w:r>
      <w:r w:rsidR="00B54714" w:rsidRPr="00BB236B">
        <w:t>s</w:t>
      </w:r>
      <w:r w:rsidR="00DA3646" w:rsidRPr="00BB236B">
        <w:t xml:space="preserve"> </w:t>
      </w:r>
      <w:r w:rsidR="00416861" w:rsidRPr="00BB236B">
        <w:t xml:space="preserve">used to quantify </w:t>
      </w:r>
      <w:r w:rsidR="00F62CBC" w:rsidRPr="00BB236B">
        <w:t xml:space="preserve">the material susceptibility </w:t>
      </w:r>
      <w:r w:rsidR="00416861" w:rsidRPr="00BB236B">
        <w:t xml:space="preserve">to hydrogen embrittlement </w:t>
      </w:r>
      <w:r w:rsidR="00DA3646" w:rsidRPr="00BB236B">
        <w:t xml:space="preserve">is </w:t>
      </w:r>
      <w:r w:rsidR="00771319" w:rsidRPr="00BB236B">
        <w:t>the</w:t>
      </w:r>
      <w:r w:rsidR="00F62CBC" w:rsidRPr="00BB236B">
        <w:t xml:space="preserve"> </w:t>
      </w:r>
      <w:r w:rsidR="00771319" w:rsidRPr="00BB236B">
        <w:t>E</w:t>
      </w:r>
      <w:r w:rsidR="00F62CBC" w:rsidRPr="00BB236B">
        <w:t xml:space="preserve">mbrittlement </w:t>
      </w:r>
      <w:r w:rsidR="00771319" w:rsidRPr="00BB236B">
        <w:t>I</w:t>
      </w:r>
      <w:r w:rsidR="00F62CBC" w:rsidRPr="00BB236B">
        <w:t>ndex</w:t>
      </w:r>
      <w:r w:rsidR="00771319" w:rsidRPr="00BB236B">
        <w:t xml:space="preserve"> (EI)</w:t>
      </w:r>
      <w:r w:rsidR="00DA3646" w:rsidRPr="00BB236B">
        <w:t>,</w:t>
      </w:r>
      <w:r w:rsidR="00C6778A" w:rsidRPr="00BB236B">
        <w:t xml:space="preserve"> which indicate</w:t>
      </w:r>
      <w:r w:rsidR="00B54714" w:rsidRPr="00BB236B">
        <w:t>s the</w:t>
      </w:r>
      <w:r w:rsidR="00360537" w:rsidRPr="00BB236B">
        <w:t xml:space="preserve"> relative </w:t>
      </w:r>
      <w:r w:rsidR="00681E5D" w:rsidRPr="00BB236B">
        <w:t xml:space="preserve">difference in </w:t>
      </w:r>
      <w:r w:rsidR="00360537" w:rsidRPr="00BB236B">
        <w:t xml:space="preserve">reduction of </w:t>
      </w:r>
      <w:r w:rsidR="00AA1450">
        <w:t xml:space="preserve">the </w:t>
      </w:r>
      <w:r w:rsidR="00681E5D" w:rsidRPr="00BB236B">
        <w:t>cross-sectional area for</w:t>
      </w:r>
      <w:r w:rsidR="00AA1450">
        <w:t xml:space="preserve"> a</w:t>
      </w:r>
      <w:r w:rsidR="00681E5D" w:rsidRPr="00BB236B">
        <w:t xml:space="preserve"> tensile test performed in </w:t>
      </w:r>
      <w:r w:rsidR="00AA1450">
        <w:t xml:space="preserve">a </w:t>
      </w:r>
      <w:r w:rsidR="00681E5D" w:rsidRPr="00BB236B">
        <w:t>relevant hydrogen environment with respect to the same value obtained from the test performed in a reference environment</w:t>
      </w:r>
      <w:r w:rsidR="00DA3646" w:rsidRPr="00BB236B">
        <w:t xml:space="preserve"> (e.g., in </w:t>
      </w:r>
      <w:r w:rsidR="006304FC">
        <w:t xml:space="preserve">the </w:t>
      </w:r>
      <w:r w:rsidR="00DA3646" w:rsidRPr="00BB236B">
        <w:t>air)</w:t>
      </w:r>
      <w:r w:rsidR="00F62CBC" w:rsidRPr="00BB236B">
        <w:t xml:space="preserve">. </w:t>
      </w:r>
      <w:r w:rsidR="00514009" w:rsidRPr="00514009">
        <w:t>The higher the EI value, the higher will be the susceptibility of the material to HE</w:t>
      </w:r>
      <w:r w:rsidR="006D23F7" w:rsidRPr="00BB236B">
        <w:t>. As a first step,</w:t>
      </w:r>
      <w:r w:rsidR="00F62CBC" w:rsidRPr="00BB236B">
        <w:t xml:space="preserve"> </w:t>
      </w:r>
      <w:r w:rsidR="00A42003" w:rsidRPr="00BB236B">
        <w:t>t</w:t>
      </w:r>
      <w:r w:rsidR="00F62CBC" w:rsidRPr="00BB236B">
        <w:t>h</w:t>
      </w:r>
      <w:r w:rsidR="00954FFC" w:rsidRPr="00BB236B">
        <w:t xml:space="preserve">e modified RBI approach can be applied to a case study and compared with </w:t>
      </w:r>
      <w:r w:rsidR="00C158B6" w:rsidRPr="00BB236B">
        <w:t>consolidated</w:t>
      </w:r>
      <w:r w:rsidR="00954FFC" w:rsidRPr="00BB236B">
        <w:t xml:space="preserve"> methodolog</w:t>
      </w:r>
      <w:r w:rsidR="00C158B6" w:rsidRPr="00BB236B">
        <w:t>ies</w:t>
      </w:r>
      <w:r w:rsidR="00954FFC" w:rsidRPr="00BB236B">
        <w:t xml:space="preserve"> for inspection planning. </w:t>
      </w:r>
      <w:r w:rsidR="00C158B6" w:rsidRPr="00BB236B">
        <w:t>For instance, t</w:t>
      </w:r>
      <w:r w:rsidR="00954FFC" w:rsidRPr="00BB236B">
        <w:t xml:space="preserve">he time-based approach can be considered a benchmark since it is still largely adopted </w:t>
      </w:r>
      <w:r w:rsidR="001239B7" w:rsidRPr="00BB236B">
        <w:t>for its simplicity</w:t>
      </w:r>
      <w:r w:rsidR="00865606" w:rsidRPr="00BB236B">
        <w:t xml:space="preserve">, </w:t>
      </w:r>
      <w:r w:rsidR="001239B7" w:rsidRPr="00BB236B">
        <w:t xml:space="preserve">despite the over-conservative </w:t>
      </w:r>
      <w:r w:rsidR="00865606" w:rsidRPr="00BB236B">
        <w:t xml:space="preserve">assumptions and the excessive </w:t>
      </w:r>
      <w:r w:rsidR="001239B7" w:rsidRPr="00BB236B">
        <w:t>inspection frequency.</w:t>
      </w:r>
      <w:r w:rsidR="002D320B" w:rsidRPr="00BB236B">
        <w:t xml:space="preserve"> After this validation, this study could facilitate the application of the RBI methodology to industrial equipment for hydrogen production, transportation, and storage, thus stimulating their widespread rollout in the future.</w:t>
      </w:r>
    </w:p>
    <w:p w14:paraId="6456CD4C" w14:textId="08FDB7A2" w:rsidR="00782022" w:rsidRDefault="00782022" w:rsidP="00756FDF">
      <w:pPr>
        <w:pStyle w:val="CETHeading1"/>
      </w:pPr>
      <w:r>
        <w:t>Conclusion</w:t>
      </w:r>
      <w:r w:rsidR="00307661">
        <w:t>s</w:t>
      </w:r>
    </w:p>
    <w:p w14:paraId="379CCC60" w14:textId="3A7E9C7D" w:rsidR="00D77F59" w:rsidRPr="00BB236B" w:rsidRDefault="00CE3681" w:rsidP="005F09CF">
      <w:pPr>
        <w:pStyle w:val="CETBodytext"/>
      </w:pPr>
      <w:r w:rsidRPr="00BB236B">
        <w:t xml:space="preserve">This study proposes a </w:t>
      </w:r>
      <w:r w:rsidR="000F5C9C" w:rsidRPr="00BB236B">
        <w:t>qu</w:t>
      </w:r>
      <w:r w:rsidR="00B623F7" w:rsidRPr="00BB236B">
        <w:t>al</w:t>
      </w:r>
      <w:r w:rsidR="000F5C9C" w:rsidRPr="00BB236B">
        <w:t>itative</w:t>
      </w:r>
      <w:r w:rsidRPr="00BB236B">
        <w:t xml:space="preserve"> methodology </w:t>
      </w:r>
      <w:r w:rsidR="00B623F7" w:rsidRPr="00BB236B">
        <w:t>for</w:t>
      </w:r>
      <w:r w:rsidR="00303BD4">
        <w:t xml:space="preserve"> calculating</w:t>
      </w:r>
      <w:r w:rsidR="00552C3B" w:rsidRPr="00BB236B">
        <w:t xml:space="preserve"> </w:t>
      </w:r>
      <w:r w:rsidR="00303BD4">
        <w:t xml:space="preserve">the </w:t>
      </w:r>
      <w:r w:rsidR="00552C3B" w:rsidRPr="00BB236B">
        <w:t>HE</w:t>
      </w:r>
      <w:r w:rsidR="000F5C9C" w:rsidRPr="00BB236B">
        <w:t xml:space="preserve"> </w:t>
      </w:r>
      <w:proofErr w:type="gramStart"/>
      <w:r w:rsidR="005C7068" w:rsidRPr="00BB236B">
        <w:t>d</w:t>
      </w:r>
      <w:r w:rsidRPr="00BB236B">
        <w:t>amage</w:t>
      </w:r>
      <w:proofErr w:type="gramEnd"/>
      <w:r w:rsidRPr="00BB236B">
        <w:t xml:space="preserve"> </w:t>
      </w:r>
      <w:r w:rsidR="005C7068" w:rsidRPr="00BB236B">
        <w:t>f</w:t>
      </w:r>
      <w:r w:rsidRPr="00BB236B">
        <w:t>actor</w:t>
      </w:r>
      <w:r w:rsidR="000466CE" w:rsidRPr="00BB236B">
        <w:t>, based on environmental severity and material susceptibility</w:t>
      </w:r>
      <w:r w:rsidRPr="00BB236B">
        <w:t xml:space="preserve">. </w:t>
      </w:r>
      <w:r w:rsidR="000466CE" w:rsidRPr="00BB236B">
        <w:t>While t</w:t>
      </w:r>
      <w:r w:rsidRPr="00BB236B">
        <w:t xml:space="preserve">he </w:t>
      </w:r>
      <w:r w:rsidR="000466CE" w:rsidRPr="00BB236B">
        <w:t>former</w:t>
      </w:r>
      <w:r w:rsidRPr="00BB236B">
        <w:t xml:space="preserve"> </w:t>
      </w:r>
      <w:r w:rsidR="000466CE" w:rsidRPr="00BB236B">
        <w:t>depends</w:t>
      </w:r>
      <w:r w:rsidRPr="00BB236B">
        <w:t xml:space="preserve"> on the equipment operating conditions, the </w:t>
      </w:r>
      <w:r w:rsidR="000466CE" w:rsidRPr="00BB236B">
        <w:t>latter relies</w:t>
      </w:r>
      <w:r w:rsidR="002E4D37" w:rsidRPr="00BB236B">
        <w:t xml:space="preserve"> on </w:t>
      </w:r>
      <w:r w:rsidRPr="00BB236B">
        <w:t>the</w:t>
      </w:r>
      <w:r w:rsidR="002E5751" w:rsidRPr="00BB236B">
        <w:t xml:space="preserve"> material</w:t>
      </w:r>
      <w:r w:rsidRPr="00BB236B">
        <w:t xml:space="preserve"> microstructure, </w:t>
      </w:r>
      <w:r w:rsidR="002E5751" w:rsidRPr="00BB236B">
        <w:t>its</w:t>
      </w:r>
      <w:r w:rsidRPr="00BB236B">
        <w:t xml:space="preserve"> strength, and the presence of </w:t>
      </w:r>
      <w:r w:rsidR="000F5C9C" w:rsidRPr="00BB236B">
        <w:t>PWHT</w:t>
      </w:r>
      <w:r w:rsidRPr="00BB236B">
        <w:t>.</w:t>
      </w:r>
      <w:r w:rsidR="000466CE" w:rsidRPr="00BB236B">
        <w:t xml:space="preserve"> An example of inspection technique</w:t>
      </w:r>
      <w:r w:rsidR="00DA3B0B" w:rsidRPr="00BB236B">
        <w:t>s</w:t>
      </w:r>
      <w:r w:rsidR="000466CE" w:rsidRPr="00BB236B">
        <w:t xml:space="preserve"> for </w:t>
      </w:r>
      <w:proofErr w:type="gramStart"/>
      <w:r w:rsidR="000466CE" w:rsidRPr="00BB236B">
        <w:t>HE</w:t>
      </w:r>
      <w:proofErr w:type="gramEnd"/>
      <w:r w:rsidR="000466CE" w:rsidRPr="00BB236B">
        <w:t xml:space="preserve"> detection is also provided. This methodology is compliant with the existing API RBI</w:t>
      </w:r>
      <w:r w:rsidR="00DA3B0B" w:rsidRPr="00BB236B">
        <w:t xml:space="preserve"> and</w:t>
      </w:r>
      <w:r w:rsidR="000466CE" w:rsidRPr="00BB236B">
        <w:t xml:space="preserve"> thus can be used for planning inspection activities of hydrogen technologies. Nevertheless</w:t>
      </w:r>
      <w:r w:rsidRPr="00BB236B">
        <w:t xml:space="preserve">, this method could only </w:t>
      </w:r>
      <w:r w:rsidR="00962235" w:rsidRPr="00BB236B">
        <w:t>qualitatively indicate</w:t>
      </w:r>
      <w:r w:rsidRPr="00BB236B">
        <w:t xml:space="preserve"> the severity of </w:t>
      </w:r>
      <w:r w:rsidR="002E4D37" w:rsidRPr="00BB236B">
        <w:t xml:space="preserve">the </w:t>
      </w:r>
      <w:r w:rsidR="00FC16DE">
        <w:t>H</w:t>
      </w:r>
      <w:r w:rsidR="00FC16DE" w:rsidRPr="00FC16DE">
        <w:rPr>
          <w:vertAlign w:val="subscript"/>
        </w:rPr>
        <w:t>2</w:t>
      </w:r>
      <w:r w:rsidR="002E4D37" w:rsidRPr="00BB236B">
        <w:t>-induced material damage</w:t>
      </w:r>
      <w:r w:rsidR="000466CE" w:rsidRPr="00BB236B">
        <w:t>, without</w:t>
      </w:r>
      <w:r w:rsidR="00962235" w:rsidRPr="00BB236B">
        <w:t xml:space="preserve"> providing</w:t>
      </w:r>
      <w:r w:rsidR="000C1DA1" w:rsidRPr="00BB236B">
        <w:t xml:space="preserve"> numerical </w:t>
      </w:r>
      <w:r w:rsidR="00FC16DE">
        <w:t xml:space="preserve">values </w:t>
      </w:r>
      <w:r w:rsidR="000C1DA1" w:rsidRPr="00BB236B">
        <w:t>for a quantitative or semi-quantitative RBI</w:t>
      </w:r>
      <w:r w:rsidRPr="00BB236B">
        <w:t xml:space="preserve">. Further studies </w:t>
      </w:r>
      <w:r w:rsidR="002E4D37" w:rsidRPr="00BB236B">
        <w:t>are required</w:t>
      </w:r>
      <w:r w:rsidR="00513F6D" w:rsidRPr="00BB236B">
        <w:t>,</w:t>
      </w:r>
      <w:r w:rsidRPr="00BB236B">
        <w:t xml:space="preserve"> </w:t>
      </w:r>
      <w:r w:rsidR="00A227AB" w:rsidRPr="00BB236B">
        <w:t xml:space="preserve">and work is ongoing </w:t>
      </w:r>
      <w:r w:rsidRPr="00BB236B">
        <w:t xml:space="preserve">to numerically quantify the </w:t>
      </w: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f</m:t>
            </m:r>
          </m:sub>
        </m:sSub>
      </m:oMath>
      <w:r w:rsidRPr="00BB236B">
        <w:t xml:space="preserve"> for hydrogen embrittlement through </w:t>
      </w:r>
      <w:r w:rsidR="000C1DA1" w:rsidRPr="00BB236B">
        <w:t xml:space="preserve">experimental tests </w:t>
      </w:r>
      <w:r w:rsidR="00FA3C27" w:rsidRPr="00BB236B">
        <w:t>coupled with</w:t>
      </w:r>
      <w:r w:rsidRPr="00BB236B">
        <w:t xml:space="preserve"> </w:t>
      </w:r>
      <w:r w:rsidR="00C40F84" w:rsidRPr="00BB236B">
        <w:t>advanced AI</w:t>
      </w:r>
      <w:r w:rsidRPr="00BB236B">
        <w:t xml:space="preserve"> approaches.</w:t>
      </w:r>
    </w:p>
    <w:p w14:paraId="7D1D00D9" w14:textId="77777777" w:rsidR="008A7429" w:rsidRPr="00B57B36" w:rsidRDefault="008A7429" w:rsidP="008A7429">
      <w:pPr>
        <w:pStyle w:val="CETAcknowledgementstitle"/>
      </w:pPr>
      <w:r w:rsidRPr="00B57B36">
        <w:t>Acknowledgments</w:t>
      </w:r>
    </w:p>
    <w:p w14:paraId="3AD29FD6" w14:textId="18CF9FFE" w:rsidR="008A7429" w:rsidRPr="008A7429" w:rsidRDefault="008A7429" w:rsidP="005F09CF">
      <w:pPr>
        <w:pStyle w:val="CETBodytext"/>
        <w:rPr>
          <w:lang w:val="en-GB"/>
        </w:rPr>
      </w:pPr>
      <w:r w:rsidRPr="00B0202C">
        <w:rPr>
          <w:lang w:val="en-GB"/>
        </w:rPr>
        <w:t>This work was undertaken as a part of the research project</w:t>
      </w:r>
      <w:r>
        <w:rPr>
          <w:lang w:val="en-GB"/>
        </w:rPr>
        <w:t>s</w:t>
      </w:r>
      <w:r w:rsidRPr="00B0202C">
        <w:rPr>
          <w:lang w:val="en-GB"/>
        </w:rPr>
        <w:t xml:space="preserve"> H</w:t>
      </w:r>
      <w:r w:rsidRPr="00B0202C">
        <w:rPr>
          <w:vertAlign w:val="subscript"/>
          <w:lang w:val="en-GB"/>
        </w:rPr>
        <w:t>2</w:t>
      </w:r>
      <w:r w:rsidRPr="00B0202C">
        <w:rPr>
          <w:lang w:val="en-GB"/>
        </w:rPr>
        <w:t>CoopStorage</w:t>
      </w:r>
      <w:r>
        <w:rPr>
          <w:lang w:val="en-GB"/>
        </w:rPr>
        <w:t xml:space="preserve"> and SH</w:t>
      </w:r>
      <w:r w:rsidRPr="0067075E">
        <w:rPr>
          <w:vertAlign w:val="subscript"/>
          <w:lang w:val="en-GB"/>
        </w:rPr>
        <w:t>2</w:t>
      </w:r>
      <w:r>
        <w:rPr>
          <w:lang w:val="en-GB"/>
        </w:rPr>
        <w:t>IFT-2</w:t>
      </w:r>
      <w:r w:rsidRPr="00B0202C">
        <w:rPr>
          <w:lang w:val="en-GB"/>
        </w:rPr>
        <w:t>, and the authors would like to acknowledge the financial support of the Nordic Energy Research within the program ERA-Net Smart Energy System (Grant No. 106291)</w:t>
      </w:r>
      <w:r>
        <w:rPr>
          <w:lang w:val="en-GB"/>
        </w:rPr>
        <w:t xml:space="preserve"> and of the Research Council of Norway (Grant No. </w:t>
      </w:r>
      <w:r w:rsidRPr="00AD44ED">
        <w:rPr>
          <w:lang w:val="en-GB"/>
        </w:rPr>
        <w:t>327009</w:t>
      </w:r>
      <w:r>
        <w:rPr>
          <w:lang w:val="en-GB"/>
        </w:rPr>
        <w:t>)</w:t>
      </w:r>
      <w:r w:rsidRPr="00B0202C">
        <w:rPr>
          <w:lang w:val="en-GB"/>
        </w:rPr>
        <w:t>.</w:t>
      </w:r>
    </w:p>
    <w:p w14:paraId="4F1327F8" w14:textId="77777777" w:rsidR="00600535" w:rsidRPr="00B57B36" w:rsidRDefault="00600535" w:rsidP="00600535">
      <w:pPr>
        <w:pStyle w:val="CETReference"/>
      </w:pPr>
      <w:r w:rsidRPr="00B57B36">
        <w:t>References</w:t>
      </w:r>
    </w:p>
    <w:p w14:paraId="338AC7A4" w14:textId="77AE57B4" w:rsidR="005B27A7" w:rsidRPr="003B750D" w:rsidRDefault="005B27A7" w:rsidP="00671E1F">
      <w:pPr>
        <w:pStyle w:val="CETReferencetext"/>
      </w:pPr>
      <w:r w:rsidRPr="003B750D">
        <w:t>API, 2016, API Recommended Practice 580 – Risk-Based Inspection, Washington, USA.</w:t>
      </w:r>
    </w:p>
    <w:p w14:paraId="2D5DCF00" w14:textId="2CE6F67C" w:rsidR="008D5872" w:rsidRPr="003B750D" w:rsidRDefault="00DE6EB7" w:rsidP="00671E1F">
      <w:pPr>
        <w:pStyle w:val="CETReferencetext"/>
      </w:pPr>
      <w:r w:rsidRPr="003B750D">
        <w:t>API, 2019, API R</w:t>
      </w:r>
      <w:r w:rsidR="005B27A7" w:rsidRPr="003B750D">
        <w:t xml:space="preserve">ecommended </w:t>
      </w:r>
      <w:r w:rsidRPr="003B750D">
        <w:t>P</w:t>
      </w:r>
      <w:r w:rsidR="005B27A7" w:rsidRPr="003B750D">
        <w:t>ractice</w:t>
      </w:r>
      <w:r w:rsidRPr="003B750D">
        <w:t xml:space="preserve"> 581 – Risk-Based Inspection Methodology, Washington, USA.</w:t>
      </w:r>
    </w:p>
    <w:p w14:paraId="0C91758E" w14:textId="41AD4287" w:rsidR="00C85440" w:rsidRPr="003B750D" w:rsidRDefault="005B27A7" w:rsidP="00671E1F">
      <w:pPr>
        <w:pStyle w:val="CETReferencetext"/>
      </w:pPr>
      <w:r w:rsidRPr="003B750D">
        <w:t>API, 2020, API Recommended Practice 571 – Damage Mechanisms Affecting Fixed Equipment in the Refining Industry, Washington, USA.</w:t>
      </w:r>
    </w:p>
    <w:p w14:paraId="28C43771" w14:textId="72746B44" w:rsidR="008C2279" w:rsidRPr="003B750D" w:rsidRDefault="008C2279" w:rsidP="00671E1F">
      <w:pPr>
        <w:pStyle w:val="CETReferencetext"/>
        <w:rPr>
          <w:lang w:val="en-US"/>
        </w:rPr>
      </w:pPr>
      <w:r w:rsidRPr="003B750D">
        <w:rPr>
          <w:lang w:val="en-US"/>
        </w:rPr>
        <w:t xml:space="preserve">Campari A., Pio G., </w:t>
      </w:r>
      <w:proofErr w:type="spellStart"/>
      <w:r w:rsidRPr="003B750D">
        <w:rPr>
          <w:lang w:val="en-US"/>
        </w:rPr>
        <w:t>Ustolin</w:t>
      </w:r>
      <w:proofErr w:type="spellEnd"/>
      <w:r w:rsidRPr="003B750D">
        <w:rPr>
          <w:lang w:val="en-US"/>
        </w:rPr>
        <w:t xml:space="preserve"> F., Paltrinieri N., </w:t>
      </w:r>
      <w:proofErr w:type="spellStart"/>
      <w:r w:rsidRPr="003B750D">
        <w:rPr>
          <w:lang w:val="en-US"/>
        </w:rPr>
        <w:t>Salzano</w:t>
      </w:r>
      <w:proofErr w:type="spellEnd"/>
      <w:r w:rsidRPr="003B750D">
        <w:rPr>
          <w:lang w:val="en-US"/>
        </w:rPr>
        <w:t xml:space="preserve"> E., 2022</w:t>
      </w:r>
      <w:r w:rsidR="004D7614" w:rsidRPr="003B750D">
        <w:rPr>
          <w:lang w:val="en-US"/>
        </w:rPr>
        <w:t>a</w:t>
      </w:r>
      <w:r w:rsidRPr="003B750D">
        <w:rPr>
          <w:lang w:val="en-US"/>
        </w:rPr>
        <w:t>, Design and Optimization of an Emergency Auto-thermal Burner for Liquid Hydrogen, Chem. Eng. Trans</w:t>
      </w:r>
      <w:r w:rsidR="00AC2272" w:rsidRPr="003B750D">
        <w:rPr>
          <w:lang w:val="en-US"/>
        </w:rPr>
        <w:t>., 91, 325-330</w:t>
      </w:r>
      <w:r w:rsidR="00DB1119">
        <w:rPr>
          <w:lang w:val="en-US"/>
        </w:rPr>
        <w:t xml:space="preserve">, DOI: </w:t>
      </w:r>
      <w:r w:rsidR="00DB1119">
        <w:t>10.3303/CET2291055</w:t>
      </w:r>
      <w:r w:rsidR="00AC2272" w:rsidRPr="003B750D">
        <w:rPr>
          <w:lang w:val="en-US"/>
        </w:rPr>
        <w:t>.</w:t>
      </w:r>
    </w:p>
    <w:p w14:paraId="224876BD" w14:textId="5523ACB2" w:rsidR="004D7614" w:rsidRPr="003B750D" w:rsidRDefault="004D7614" w:rsidP="00671E1F">
      <w:pPr>
        <w:pStyle w:val="CETReferencetext"/>
        <w:rPr>
          <w:lang w:val="en-US"/>
        </w:rPr>
      </w:pPr>
      <w:r w:rsidRPr="003B750D">
        <w:rPr>
          <w:lang w:val="en-US"/>
        </w:rPr>
        <w:t xml:space="preserve">Campari A., </w:t>
      </w:r>
      <w:proofErr w:type="spellStart"/>
      <w:r w:rsidRPr="003B750D">
        <w:rPr>
          <w:lang w:val="en-US"/>
        </w:rPr>
        <w:t>Darabi</w:t>
      </w:r>
      <w:proofErr w:type="spellEnd"/>
      <w:r w:rsidRPr="003B750D">
        <w:rPr>
          <w:lang w:val="en-US"/>
        </w:rPr>
        <w:t xml:space="preserve"> M.A., </w:t>
      </w:r>
      <w:proofErr w:type="spellStart"/>
      <w:r w:rsidRPr="003B750D">
        <w:rPr>
          <w:lang w:val="en-US"/>
        </w:rPr>
        <w:t>Ustolin</w:t>
      </w:r>
      <w:proofErr w:type="spellEnd"/>
      <w:r w:rsidRPr="003B750D">
        <w:rPr>
          <w:lang w:val="en-US"/>
        </w:rPr>
        <w:t xml:space="preserve"> F., Alvaro A., Paltrinieri N., 2022b, Applicability of Risk-based Inspection Methodology to Hydrogen Technologies: A Preliminary Review of the Existing Standards, Proceedings of the </w:t>
      </w:r>
      <w:r w:rsidR="00B44A2B">
        <w:rPr>
          <w:lang w:val="en-US"/>
        </w:rPr>
        <w:t>32</w:t>
      </w:r>
      <w:r w:rsidR="00B44A2B" w:rsidRPr="00B44A2B">
        <w:rPr>
          <w:vertAlign w:val="superscript"/>
          <w:lang w:val="en-US"/>
        </w:rPr>
        <w:t>nd</w:t>
      </w:r>
      <w:r w:rsidR="00B44A2B">
        <w:rPr>
          <w:lang w:val="en-US"/>
        </w:rPr>
        <w:t xml:space="preserve"> </w:t>
      </w:r>
      <w:r w:rsidR="00A14CB5">
        <w:rPr>
          <w:lang w:val="en-US"/>
        </w:rPr>
        <w:t>ESREL</w:t>
      </w:r>
      <w:r w:rsidRPr="003B750D">
        <w:rPr>
          <w:lang w:val="en-US"/>
        </w:rPr>
        <w:t>, Dublin, Ireland, 574-581</w:t>
      </w:r>
      <w:r w:rsidR="009344DE">
        <w:rPr>
          <w:lang w:val="en-US"/>
        </w:rPr>
        <w:t xml:space="preserve">, DOI: </w:t>
      </w:r>
      <w:r w:rsidR="00256DDE" w:rsidRPr="00256DDE">
        <w:rPr>
          <w:lang w:val="en-US"/>
        </w:rPr>
        <w:t>10.3850/978-981-18-5183-4_R13-01-095-cd</w:t>
      </w:r>
      <w:r w:rsidR="009344DE">
        <w:rPr>
          <w:lang w:val="en-US"/>
        </w:rPr>
        <w:t>.</w:t>
      </w:r>
    </w:p>
    <w:p w14:paraId="75B1B353" w14:textId="73AA9A75" w:rsidR="00E0072F" w:rsidRPr="003B750D" w:rsidRDefault="00E0072F" w:rsidP="0040080E">
      <w:pPr>
        <w:pStyle w:val="CETReferencetext"/>
        <w:rPr>
          <w:lang w:val="en-US"/>
        </w:rPr>
      </w:pPr>
      <w:r w:rsidRPr="003B750D">
        <w:rPr>
          <w:lang w:val="en-US"/>
        </w:rPr>
        <w:t xml:space="preserve">Campari A., </w:t>
      </w:r>
      <w:proofErr w:type="spellStart"/>
      <w:r w:rsidRPr="003B750D">
        <w:rPr>
          <w:lang w:val="en-US"/>
        </w:rPr>
        <w:t>Nakhal</w:t>
      </w:r>
      <w:proofErr w:type="spellEnd"/>
      <w:r w:rsidRPr="003B750D">
        <w:rPr>
          <w:lang w:val="en-US"/>
        </w:rPr>
        <w:t xml:space="preserve"> A.J., </w:t>
      </w:r>
      <w:proofErr w:type="spellStart"/>
      <w:r w:rsidRPr="003B750D">
        <w:rPr>
          <w:lang w:val="en-US"/>
        </w:rPr>
        <w:t>Ustolin</w:t>
      </w:r>
      <w:proofErr w:type="spellEnd"/>
      <w:r w:rsidRPr="003B750D">
        <w:rPr>
          <w:lang w:val="en-US"/>
        </w:rPr>
        <w:t xml:space="preserve"> F., Alvaro A., </w:t>
      </w:r>
      <w:proofErr w:type="spellStart"/>
      <w:r w:rsidRPr="003B750D">
        <w:rPr>
          <w:lang w:val="en-US"/>
        </w:rPr>
        <w:t>Ledda</w:t>
      </w:r>
      <w:proofErr w:type="spellEnd"/>
      <w:r w:rsidRPr="003B750D">
        <w:rPr>
          <w:lang w:val="en-US"/>
        </w:rPr>
        <w:t xml:space="preserve"> A., </w:t>
      </w:r>
      <w:proofErr w:type="spellStart"/>
      <w:r w:rsidRPr="003B750D">
        <w:rPr>
          <w:lang w:val="en-US"/>
        </w:rPr>
        <w:t>Agnello</w:t>
      </w:r>
      <w:proofErr w:type="spellEnd"/>
      <w:r w:rsidRPr="003B750D">
        <w:rPr>
          <w:lang w:val="en-US"/>
        </w:rPr>
        <w:t xml:space="preserve"> P., </w:t>
      </w:r>
      <w:r w:rsidR="007D0984">
        <w:rPr>
          <w:lang w:val="en-US"/>
        </w:rPr>
        <w:t xml:space="preserve">Moretto P., </w:t>
      </w:r>
      <w:proofErr w:type="spellStart"/>
      <w:r w:rsidRPr="003B750D">
        <w:rPr>
          <w:lang w:val="en-US"/>
        </w:rPr>
        <w:t>Patriarca</w:t>
      </w:r>
      <w:proofErr w:type="spellEnd"/>
      <w:r w:rsidRPr="003B750D">
        <w:rPr>
          <w:lang w:val="en-US"/>
        </w:rPr>
        <w:t xml:space="preserve"> R., Paltrinieri N., 202</w:t>
      </w:r>
      <w:r w:rsidR="004D7614" w:rsidRPr="003B750D">
        <w:rPr>
          <w:lang w:val="en-US"/>
        </w:rPr>
        <w:t>3</w:t>
      </w:r>
      <w:r w:rsidRPr="003B750D">
        <w:rPr>
          <w:lang w:val="en-US"/>
        </w:rPr>
        <w:t xml:space="preserve">, Lessons Learned from HIAD 2.0: Inspection and Maintenance to Avoid Hydrogen-Induced Material Failures, </w:t>
      </w:r>
      <w:proofErr w:type="spellStart"/>
      <w:r w:rsidR="004D7614" w:rsidRPr="003B750D">
        <w:rPr>
          <w:lang w:val="en-US"/>
        </w:rPr>
        <w:t>Comput</w:t>
      </w:r>
      <w:proofErr w:type="spellEnd"/>
      <w:r w:rsidR="004D7614" w:rsidRPr="003B750D">
        <w:rPr>
          <w:lang w:val="en-US"/>
        </w:rPr>
        <w:t>. Chem. Eng.</w:t>
      </w:r>
      <w:r w:rsidR="00E013CE">
        <w:rPr>
          <w:lang w:val="en-US"/>
        </w:rPr>
        <w:t xml:space="preserve">, </w:t>
      </w:r>
      <w:r w:rsidR="0040080E">
        <w:rPr>
          <w:lang w:val="en-US"/>
        </w:rPr>
        <w:t>173</w:t>
      </w:r>
      <w:r w:rsidR="00E013CE">
        <w:rPr>
          <w:lang w:val="en-US"/>
        </w:rPr>
        <w:t>, DOI:</w:t>
      </w:r>
      <w:r w:rsidR="009344DE">
        <w:rPr>
          <w:lang w:val="en-US"/>
        </w:rPr>
        <w:t xml:space="preserve"> </w:t>
      </w:r>
      <w:r w:rsidR="0040080E" w:rsidRPr="0040080E">
        <w:rPr>
          <w:lang w:val="en-US"/>
        </w:rPr>
        <w:t>10.1016/j.compchemeng.2023.108199</w:t>
      </w:r>
      <w:r w:rsidR="009344DE">
        <w:rPr>
          <w:lang w:val="en-US"/>
        </w:rPr>
        <w:t>.</w:t>
      </w:r>
    </w:p>
    <w:p w14:paraId="1E3B724D" w14:textId="185B6DB2" w:rsidR="0012734F" w:rsidRDefault="0012734F" w:rsidP="0012734F">
      <w:pPr>
        <w:pStyle w:val="CETReferencetext"/>
        <w:rPr>
          <w:lang w:val="en-US"/>
        </w:rPr>
      </w:pPr>
      <w:proofErr w:type="spellStart"/>
      <w:r w:rsidRPr="0012734F">
        <w:rPr>
          <w:lang w:val="en-US"/>
        </w:rPr>
        <w:t>Defteraios</w:t>
      </w:r>
      <w:proofErr w:type="spellEnd"/>
      <w:r w:rsidRPr="0012734F">
        <w:rPr>
          <w:lang w:val="en-US"/>
        </w:rPr>
        <w:t xml:space="preserve"> N., </w:t>
      </w:r>
      <w:proofErr w:type="spellStart"/>
      <w:r w:rsidRPr="0012734F">
        <w:rPr>
          <w:lang w:val="en-US"/>
        </w:rPr>
        <w:t>Kyranoudis</w:t>
      </w:r>
      <w:proofErr w:type="spellEnd"/>
      <w:r w:rsidRPr="0012734F">
        <w:rPr>
          <w:lang w:val="en-US"/>
        </w:rPr>
        <w:t xml:space="preserve"> C., </w:t>
      </w:r>
      <w:proofErr w:type="spellStart"/>
      <w:r w:rsidRPr="0012734F">
        <w:rPr>
          <w:lang w:val="en-US"/>
        </w:rPr>
        <w:t>Nivolianitou</w:t>
      </w:r>
      <w:proofErr w:type="spellEnd"/>
      <w:r w:rsidRPr="0012734F">
        <w:rPr>
          <w:lang w:val="en-US"/>
        </w:rPr>
        <w:t xml:space="preserve"> Z., </w:t>
      </w:r>
      <w:proofErr w:type="spellStart"/>
      <w:r w:rsidRPr="0012734F">
        <w:rPr>
          <w:lang w:val="en-US"/>
        </w:rPr>
        <w:t>Aneziris</w:t>
      </w:r>
      <w:proofErr w:type="spellEnd"/>
      <w:r>
        <w:rPr>
          <w:lang w:val="en-US"/>
        </w:rPr>
        <w:t xml:space="preserve"> </w:t>
      </w:r>
      <w:r w:rsidRPr="0012734F">
        <w:rPr>
          <w:lang w:val="en-US"/>
        </w:rPr>
        <w:t>O.</w:t>
      </w:r>
      <w:r>
        <w:rPr>
          <w:lang w:val="en-US"/>
        </w:rPr>
        <w:t xml:space="preserve">, </w:t>
      </w:r>
      <w:r w:rsidRPr="0012734F">
        <w:rPr>
          <w:lang w:val="en-US"/>
        </w:rPr>
        <w:t>2020, Hydrogen explosion incident mitigation in steam reforming units through enhanced</w:t>
      </w:r>
      <w:r>
        <w:rPr>
          <w:lang w:val="en-US"/>
        </w:rPr>
        <w:t xml:space="preserve"> </w:t>
      </w:r>
      <w:r w:rsidRPr="0012734F">
        <w:rPr>
          <w:lang w:val="en-US"/>
        </w:rPr>
        <w:t>inspection and forecasting corrosion tools implementation, J</w:t>
      </w:r>
      <w:r w:rsidR="003F5D5F">
        <w:rPr>
          <w:lang w:val="en-US"/>
        </w:rPr>
        <w:t xml:space="preserve">. </w:t>
      </w:r>
      <w:r w:rsidRPr="0012734F">
        <w:rPr>
          <w:lang w:val="en-US"/>
        </w:rPr>
        <w:t>Loss Prev</w:t>
      </w:r>
      <w:r w:rsidR="003F5D5F">
        <w:rPr>
          <w:lang w:val="en-US"/>
        </w:rPr>
        <w:t>. Process</w:t>
      </w:r>
      <w:r w:rsidRPr="0012734F">
        <w:rPr>
          <w:lang w:val="en-US"/>
        </w:rPr>
        <w:t xml:space="preserve">, 63, </w:t>
      </w:r>
      <w:r w:rsidR="00E013CE">
        <w:rPr>
          <w:lang w:val="en-US"/>
        </w:rPr>
        <w:t xml:space="preserve">DOI: </w:t>
      </w:r>
      <w:r w:rsidRPr="0012734F">
        <w:rPr>
          <w:lang w:val="en-US"/>
        </w:rPr>
        <w:t>10.1016/j.jlp.2019.104016.</w:t>
      </w:r>
    </w:p>
    <w:p w14:paraId="37443C9F" w14:textId="4A89AC37" w:rsidR="00356D93" w:rsidRPr="003B750D" w:rsidRDefault="00356D93" w:rsidP="00671E1F">
      <w:pPr>
        <w:pStyle w:val="CETReferencetext"/>
        <w:rPr>
          <w:lang w:val="en-US"/>
        </w:rPr>
      </w:pPr>
      <w:r w:rsidRPr="003B750D">
        <w:rPr>
          <w:lang w:val="en-US"/>
        </w:rPr>
        <w:t xml:space="preserve">NASA, 2005, </w:t>
      </w:r>
      <w:r w:rsidR="003D6710" w:rsidRPr="003B750D">
        <w:rPr>
          <w:lang w:val="en-US"/>
        </w:rPr>
        <w:t xml:space="preserve">NSS 1740.16 – </w:t>
      </w:r>
      <w:r w:rsidRPr="003B750D">
        <w:rPr>
          <w:lang w:val="en-US"/>
        </w:rPr>
        <w:t>Safety Standard for Hydrogen and Hydrogen Systems, Washington, USA</w:t>
      </w:r>
      <w:r w:rsidR="00F41C4F" w:rsidRPr="003B750D">
        <w:rPr>
          <w:lang w:val="en-US"/>
        </w:rPr>
        <w:t>.</w:t>
      </w:r>
    </w:p>
    <w:p w14:paraId="77F8F45E" w14:textId="1EA0849D" w:rsidR="004D7614" w:rsidRPr="003B750D" w:rsidRDefault="004D7614" w:rsidP="00671E1F">
      <w:pPr>
        <w:pStyle w:val="CETReferencetext"/>
        <w:rPr>
          <w:lang w:val="en-US"/>
        </w:rPr>
      </w:pPr>
      <w:r w:rsidRPr="003B750D">
        <w:rPr>
          <w:lang w:val="en-US"/>
        </w:rPr>
        <w:t>NASA, 20</w:t>
      </w:r>
      <w:r w:rsidR="003D6710" w:rsidRPr="003B750D">
        <w:rPr>
          <w:lang w:val="en-US"/>
        </w:rPr>
        <w:t>1</w:t>
      </w:r>
      <w:r w:rsidRPr="003B750D">
        <w:rPr>
          <w:lang w:val="en-US"/>
        </w:rPr>
        <w:t xml:space="preserve">6, </w:t>
      </w:r>
      <w:r w:rsidR="003D6710" w:rsidRPr="003B750D">
        <w:rPr>
          <w:lang w:val="en-US"/>
        </w:rPr>
        <w:t xml:space="preserve">NASA/TM-2016–218602 – </w:t>
      </w:r>
      <w:r w:rsidRPr="003B750D">
        <w:rPr>
          <w:lang w:val="en-US"/>
        </w:rPr>
        <w:t>Hydrogen Embrittlement</w:t>
      </w:r>
      <w:r w:rsidR="003D6710" w:rsidRPr="003B750D">
        <w:rPr>
          <w:lang w:val="en-US"/>
        </w:rPr>
        <w:t>, Huntsville, USA</w:t>
      </w:r>
      <w:r w:rsidR="00F41C4F" w:rsidRPr="003B750D">
        <w:rPr>
          <w:lang w:val="en-US"/>
        </w:rPr>
        <w:t>.</w:t>
      </w:r>
    </w:p>
    <w:p w14:paraId="1CA5DE92" w14:textId="6F0205B1" w:rsidR="00E05CEF" w:rsidRPr="003B750D" w:rsidRDefault="00E05CEF" w:rsidP="00671E1F">
      <w:pPr>
        <w:pStyle w:val="CETReferencetext"/>
        <w:rPr>
          <w:lang w:val="en-US"/>
        </w:rPr>
      </w:pPr>
      <w:r w:rsidRPr="003B750D">
        <w:rPr>
          <w:lang w:val="en-US"/>
        </w:rPr>
        <w:t xml:space="preserve">San </w:t>
      </w:r>
      <w:proofErr w:type="spellStart"/>
      <w:r w:rsidRPr="003B750D">
        <w:rPr>
          <w:lang w:val="en-US"/>
        </w:rPr>
        <w:t>Marchi</w:t>
      </w:r>
      <w:proofErr w:type="spellEnd"/>
      <w:r w:rsidRPr="003B750D">
        <w:rPr>
          <w:lang w:val="en-US"/>
        </w:rPr>
        <w:t xml:space="preserve"> C., </w:t>
      </w:r>
      <w:proofErr w:type="spellStart"/>
      <w:r w:rsidRPr="003B750D">
        <w:rPr>
          <w:lang w:val="en-US"/>
        </w:rPr>
        <w:t>Somerday</w:t>
      </w:r>
      <w:proofErr w:type="spellEnd"/>
      <w:r w:rsidRPr="003B750D">
        <w:rPr>
          <w:lang w:val="en-US"/>
        </w:rPr>
        <w:t xml:space="preserve"> B.P., 2012, Technical Reference for Hydrogen Compatibility of Materials, USA.</w:t>
      </w:r>
    </w:p>
    <w:sectPr w:rsidR="00E05CEF" w:rsidRPr="003B750D"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C6213" w14:textId="77777777" w:rsidR="000F2802" w:rsidRDefault="000F2802" w:rsidP="004F5E36">
      <w:r>
        <w:separator/>
      </w:r>
    </w:p>
  </w:endnote>
  <w:endnote w:type="continuationSeparator" w:id="0">
    <w:p w14:paraId="5F9E6B4B" w14:textId="77777777" w:rsidR="000F2802" w:rsidRDefault="000F280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94174" w14:textId="77777777" w:rsidR="00A75FCA" w:rsidRDefault="00A75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3271" w14:textId="77777777" w:rsidR="00A75FCA" w:rsidRDefault="00A75F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F5C7" w14:textId="77777777" w:rsidR="00A75FCA" w:rsidRDefault="00A75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B72D6" w14:textId="77777777" w:rsidR="000F2802" w:rsidRDefault="000F2802" w:rsidP="004F5E36">
      <w:r>
        <w:separator/>
      </w:r>
    </w:p>
  </w:footnote>
  <w:footnote w:type="continuationSeparator" w:id="0">
    <w:p w14:paraId="3EC60DFD" w14:textId="77777777" w:rsidR="000F2802" w:rsidRDefault="000F2802"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4A11" w14:textId="77777777" w:rsidR="00A75FCA" w:rsidRDefault="00A75F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F5606" w14:textId="77777777" w:rsidR="00A75FCA" w:rsidRDefault="00A75F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FC2D" w14:textId="77777777" w:rsidR="00A75FCA" w:rsidRDefault="00A75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B85EBA"/>
    <w:multiLevelType w:val="hybridMultilevel"/>
    <w:tmpl w:val="90360BD0"/>
    <w:lvl w:ilvl="0" w:tplc="719AC3E4">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3EB5C2E"/>
    <w:multiLevelType w:val="hybridMultilevel"/>
    <w:tmpl w:val="29AAA6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7EE3BF4"/>
    <w:multiLevelType w:val="hybridMultilevel"/>
    <w:tmpl w:val="92EA95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BDD3583"/>
    <w:multiLevelType w:val="hybridMultilevel"/>
    <w:tmpl w:val="304AE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271C2D"/>
    <w:multiLevelType w:val="hybridMultilevel"/>
    <w:tmpl w:val="4E72F0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2A2F1901"/>
    <w:multiLevelType w:val="hybridMultilevel"/>
    <w:tmpl w:val="65A605C4"/>
    <w:lvl w:ilvl="0" w:tplc="68F04A44">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6A93807"/>
    <w:multiLevelType w:val="hybridMultilevel"/>
    <w:tmpl w:val="465204BA"/>
    <w:lvl w:ilvl="0" w:tplc="D44055C2">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3A6C5F"/>
    <w:multiLevelType w:val="hybridMultilevel"/>
    <w:tmpl w:val="D5E2E702"/>
    <w:lvl w:ilvl="0" w:tplc="F98CF8D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3E7D1521"/>
    <w:multiLevelType w:val="hybridMultilevel"/>
    <w:tmpl w:val="A184F0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0827BD0"/>
    <w:multiLevelType w:val="hybridMultilevel"/>
    <w:tmpl w:val="65DAEA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90808E3"/>
    <w:multiLevelType w:val="hybridMultilevel"/>
    <w:tmpl w:val="B4083348"/>
    <w:lvl w:ilvl="0" w:tplc="49FE21A8">
      <w:start w:val="8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4FB358A"/>
    <w:multiLevelType w:val="hybridMultilevel"/>
    <w:tmpl w:val="45FC2C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A3C4569"/>
    <w:multiLevelType w:val="hybridMultilevel"/>
    <w:tmpl w:val="2606FC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133146F"/>
    <w:multiLevelType w:val="hybridMultilevel"/>
    <w:tmpl w:val="29A03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D030B0"/>
    <w:multiLevelType w:val="hybridMultilevel"/>
    <w:tmpl w:val="97F079BE"/>
    <w:lvl w:ilvl="0" w:tplc="30A8EA56">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7DBB364F"/>
    <w:multiLevelType w:val="hybridMultilevel"/>
    <w:tmpl w:val="CF3271EA"/>
    <w:lvl w:ilvl="0" w:tplc="D5A0F24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F95456A"/>
    <w:multiLevelType w:val="hybridMultilevel"/>
    <w:tmpl w:val="751648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FFA75BC"/>
    <w:multiLevelType w:val="hybridMultilevel"/>
    <w:tmpl w:val="60B691F8"/>
    <w:lvl w:ilvl="0" w:tplc="B79C5F2A">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858278118">
    <w:abstractNumId w:val="15"/>
  </w:num>
  <w:num w:numId="2" w16cid:durableId="2114855949">
    <w:abstractNumId w:val="8"/>
  </w:num>
  <w:num w:numId="3" w16cid:durableId="1943567543">
    <w:abstractNumId w:val="3"/>
  </w:num>
  <w:num w:numId="4" w16cid:durableId="278487782">
    <w:abstractNumId w:val="2"/>
  </w:num>
  <w:num w:numId="5" w16cid:durableId="849372526">
    <w:abstractNumId w:val="1"/>
  </w:num>
  <w:num w:numId="6" w16cid:durableId="1611627599">
    <w:abstractNumId w:val="0"/>
  </w:num>
  <w:num w:numId="7" w16cid:durableId="1006829679">
    <w:abstractNumId w:val="9"/>
  </w:num>
  <w:num w:numId="8" w16cid:durableId="20784044">
    <w:abstractNumId w:val="7"/>
  </w:num>
  <w:num w:numId="9" w16cid:durableId="93016865">
    <w:abstractNumId w:val="6"/>
  </w:num>
  <w:num w:numId="10" w16cid:durableId="670648119">
    <w:abstractNumId w:val="5"/>
  </w:num>
  <w:num w:numId="11" w16cid:durableId="669218851">
    <w:abstractNumId w:val="4"/>
  </w:num>
  <w:num w:numId="12" w16cid:durableId="336272775">
    <w:abstractNumId w:val="28"/>
  </w:num>
  <w:num w:numId="13" w16cid:durableId="2113163245">
    <w:abstractNumId w:val="18"/>
  </w:num>
  <w:num w:numId="14" w16cid:durableId="1260411111">
    <w:abstractNumId w:val="29"/>
  </w:num>
  <w:num w:numId="15" w16cid:durableId="1051883723">
    <w:abstractNumId w:val="32"/>
  </w:num>
  <w:num w:numId="16" w16cid:durableId="2030325678">
    <w:abstractNumId w:val="31"/>
  </w:num>
  <w:num w:numId="17" w16cid:durableId="495609876">
    <w:abstractNumId w:val="17"/>
  </w:num>
  <w:num w:numId="18" w16cid:durableId="932516863">
    <w:abstractNumId w:val="18"/>
    <w:lvlOverride w:ilvl="0">
      <w:startOverride w:val="1"/>
    </w:lvlOverride>
  </w:num>
  <w:num w:numId="19" w16cid:durableId="1561557580">
    <w:abstractNumId w:val="27"/>
  </w:num>
  <w:num w:numId="20" w16cid:durableId="795762154">
    <w:abstractNumId w:val="26"/>
  </w:num>
  <w:num w:numId="21" w16cid:durableId="724066060">
    <w:abstractNumId w:val="22"/>
  </w:num>
  <w:num w:numId="22" w16cid:durableId="74742106">
    <w:abstractNumId w:val="20"/>
  </w:num>
  <w:num w:numId="23" w16cid:durableId="1305700205">
    <w:abstractNumId w:val="34"/>
  </w:num>
  <w:num w:numId="24" w16cid:durableId="889267291">
    <w:abstractNumId w:val="13"/>
  </w:num>
  <w:num w:numId="25" w16cid:durableId="1803579046">
    <w:abstractNumId w:val="16"/>
  </w:num>
  <w:num w:numId="26" w16cid:durableId="600797687">
    <w:abstractNumId w:val="19"/>
  </w:num>
  <w:num w:numId="27" w16cid:durableId="1518156464">
    <w:abstractNumId w:val="10"/>
  </w:num>
  <w:num w:numId="28" w16cid:durableId="21639892">
    <w:abstractNumId w:val="14"/>
  </w:num>
  <w:num w:numId="29" w16cid:durableId="110787148">
    <w:abstractNumId w:val="12"/>
  </w:num>
  <w:num w:numId="30" w16cid:durableId="1432243582">
    <w:abstractNumId w:val="35"/>
  </w:num>
  <w:num w:numId="31" w16cid:durableId="1622344026">
    <w:abstractNumId w:val="37"/>
  </w:num>
  <w:num w:numId="32" w16cid:durableId="1803500970">
    <w:abstractNumId w:val="38"/>
  </w:num>
  <w:num w:numId="33" w16cid:durableId="292829069">
    <w:abstractNumId w:val="36"/>
  </w:num>
  <w:num w:numId="34" w16cid:durableId="2091660724">
    <w:abstractNumId w:val="21"/>
  </w:num>
  <w:num w:numId="35" w16cid:durableId="181552317">
    <w:abstractNumId w:val="24"/>
  </w:num>
  <w:num w:numId="36" w16cid:durableId="10763226">
    <w:abstractNumId w:val="33"/>
  </w:num>
  <w:num w:numId="37" w16cid:durableId="824397740">
    <w:abstractNumId w:val="23"/>
  </w:num>
  <w:num w:numId="38" w16cid:durableId="1947616846">
    <w:abstractNumId w:val="30"/>
  </w:num>
  <w:num w:numId="39" w16cid:durableId="1008484189">
    <w:abstractNumId w:val="11"/>
  </w:num>
  <w:num w:numId="40" w16cid:durableId="105500826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900"/>
    <w:rsid w:val="000027C0"/>
    <w:rsid w:val="000027DD"/>
    <w:rsid w:val="00002BE6"/>
    <w:rsid w:val="00005215"/>
    <w:rsid w:val="000052FB"/>
    <w:rsid w:val="00010879"/>
    <w:rsid w:val="000117CB"/>
    <w:rsid w:val="00012688"/>
    <w:rsid w:val="0001443C"/>
    <w:rsid w:val="0001559C"/>
    <w:rsid w:val="000258CA"/>
    <w:rsid w:val="00030A2C"/>
    <w:rsid w:val="0003148D"/>
    <w:rsid w:val="00031CD4"/>
    <w:rsid w:val="00031EEC"/>
    <w:rsid w:val="00033336"/>
    <w:rsid w:val="0003499D"/>
    <w:rsid w:val="00036BBC"/>
    <w:rsid w:val="00041AAC"/>
    <w:rsid w:val="000437B3"/>
    <w:rsid w:val="000466CE"/>
    <w:rsid w:val="00047ADC"/>
    <w:rsid w:val="000500C7"/>
    <w:rsid w:val="00051566"/>
    <w:rsid w:val="00053A70"/>
    <w:rsid w:val="00061991"/>
    <w:rsid w:val="00062A9A"/>
    <w:rsid w:val="00062DA0"/>
    <w:rsid w:val="0006499E"/>
    <w:rsid w:val="00065058"/>
    <w:rsid w:val="000658D1"/>
    <w:rsid w:val="00072CAE"/>
    <w:rsid w:val="00073D55"/>
    <w:rsid w:val="00084078"/>
    <w:rsid w:val="00084F11"/>
    <w:rsid w:val="00084FF7"/>
    <w:rsid w:val="0008534C"/>
    <w:rsid w:val="00086C39"/>
    <w:rsid w:val="00086E48"/>
    <w:rsid w:val="0008748B"/>
    <w:rsid w:val="00094F81"/>
    <w:rsid w:val="00097FC4"/>
    <w:rsid w:val="000A03B2"/>
    <w:rsid w:val="000A082A"/>
    <w:rsid w:val="000A327C"/>
    <w:rsid w:val="000A390C"/>
    <w:rsid w:val="000A4D17"/>
    <w:rsid w:val="000A6826"/>
    <w:rsid w:val="000A7E9E"/>
    <w:rsid w:val="000B2CA5"/>
    <w:rsid w:val="000B2DA3"/>
    <w:rsid w:val="000B3B7A"/>
    <w:rsid w:val="000B4BC6"/>
    <w:rsid w:val="000B7849"/>
    <w:rsid w:val="000C1DA1"/>
    <w:rsid w:val="000D0268"/>
    <w:rsid w:val="000D34BE"/>
    <w:rsid w:val="000D47D7"/>
    <w:rsid w:val="000D6F27"/>
    <w:rsid w:val="000E102F"/>
    <w:rsid w:val="000E36F1"/>
    <w:rsid w:val="000E3A70"/>
    <w:rsid w:val="000E3A73"/>
    <w:rsid w:val="000E414A"/>
    <w:rsid w:val="000E6F6D"/>
    <w:rsid w:val="000F093C"/>
    <w:rsid w:val="000F26BF"/>
    <w:rsid w:val="000F2802"/>
    <w:rsid w:val="000F3DEF"/>
    <w:rsid w:val="000F5C9C"/>
    <w:rsid w:val="000F71F0"/>
    <w:rsid w:val="000F746D"/>
    <w:rsid w:val="000F7791"/>
    <w:rsid w:val="000F787B"/>
    <w:rsid w:val="000F7CA4"/>
    <w:rsid w:val="00100799"/>
    <w:rsid w:val="001007A1"/>
    <w:rsid w:val="00101DEC"/>
    <w:rsid w:val="0010423D"/>
    <w:rsid w:val="00105288"/>
    <w:rsid w:val="00107C66"/>
    <w:rsid w:val="001115D9"/>
    <w:rsid w:val="0011797E"/>
    <w:rsid w:val="0012091F"/>
    <w:rsid w:val="001237D2"/>
    <w:rsid w:val="001239B7"/>
    <w:rsid w:val="001248A5"/>
    <w:rsid w:val="00124DB5"/>
    <w:rsid w:val="00126BC2"/>
    <w:rsid w:val="0012734F"/>
    <w:rsid w:val="001308B6"/>
    <w:rsid w:val="0013121F"/>
    <w:rsid w:val="00131797"/>
    <w:rsid w:val="00131FE6"/>
    <w:rsid w:val="0013263F"/>
    <w:rsid w:val="001331DF"/>
    <w:rsid w:val="00133C2E"/>
    <w:rsid w:val="00133D94"/>
    <w:rsid w:val="00134DE4"/>
    <w:rsid w:val="0014034D"/>
    <w:rsid w:val="001410BD"/>
    <w:rsid w:val="001413DB"/>
    <w:rsid w:val="0014304A"/>
    <w:rsid w:val="00144049"/>
    <w:rsid w:val="00144D16"/>
    <w:rsid w:val="00146D20"/>
    <w:rsid w:val="00150E59"/>
    <w:rsid w:val="00152DE3"/>
    <w:rsid w:val="00153D1F"/>
    <w:rsid w:val="00155C41"/>
    <w:rsid w:val="00157002"/>
    <w:rsid w:val="00161B18"/>
    <w:rsid w:val="00161BA8"/>
    <w:rsid w:val="00162784"/>
    <w:rsid w:val="00164CF9"/>
    <w:rsid w:val="001667A6"/>
    <w:rsid w:val="00174279"/>
    <w:rsid w:val="00175AE8"/>
    <w:rsid w:val="00180DAA"/>
    <w:rsid w:val="00184AD6"/>
    <w:rsid w:val="00185BFE"/>
    <w:rsid w:val="00186B39"/>
    <w:rsid w:val="001903EA"/>
    <w:rsid w:val="00190EEE"/>
    <w:rsid w:val="00195BBF"/>
    <w:rsid w:val="001A4AF7"/>
    <w:rsid w:val="001A7821"/>
    <w:rsid w:val="001A7910"/>
    <w:rsid w:val="001B0349"/>
    <w:rsid w:val="001B0799"/>
    <w:rsid w:val="001B17F3"/>
    <w:rsid w:val="001B1E93"/>
    <w:rsid w:val="001B364A"/>
    <w:rsid w:val="001B3C0A"/>
    <w:rsid w:val="001B61CB"/>
    <w:rsid w:val="001B6463"/>
    <w:rsid w:val="001B65C1"/>
    <w:rsid w:val="001B6C7F"/>
    <w:rsid w:val="001B7D47"/>
    <w:rsid w:val="001B7DF4"/>
    <w:rsid w:val="001C1207"/>
    <w:rsid w:val="001C2637"/>
    <w:rsid w:val="001C2D17"/>
    <w:rsid w:val="001C684B"/>
    <w:rsid w:val="001C72E1"/>
    <w:rsid w:val="001C78C3"/>
    <w:rsid w:val="001D0CFB"/>
    <w:rsid w:val="001D47EC"/>
    <w:rsid w:val="001D53FC"/>
    <w:rsid w:val="001E5224"/>
    <w:rsid w:val="001E6B33"/>
    <w:rsid w:val="001F0C40"/>
    <w:rsid w:val="001F42A5"/>
    <w:rsid w:val="001F7B9D"/>
    <w:rsid w:val="00201C93"/>
    <w:rsid w:val="002102B4"/>
    <w:rsid w:val="00211768"/>
    <w:rsid w:val="00213FC0"/>
    <w:rsid w:val="002151C2"/>
    <w:rsid w:val="00215A80"/>
    <w:rsid w:val="0021794F"/>
    <w:rsid w:val="002218C2"/>
    <w:rsid w:val="002224B4"/>
    <w:rsid w:val="00222A74"/>
    <w:rsid w:val="00224EF6"/>
    <w:rsid w:val="00226D04"/>
    <w:rsid w:val="002318A1"/>
    <w:rsid w:val="0023207D"/>
    <w:rsid w:val="002347E8"/>
    <w:rsid w:val="00240088"/>
    <w:rsid w:val="002415F9"/>
    <w:rsid w:val="00241D28"/>
    <w:rsid w:val="002447EF"/>
    <w:rsid w:val="002460F0"/>
    <w:rsid w:val="00246BD4"/>
    <w:rsid w:val="002514D4"/>
    <w:rsid w:val="00251550"/>
    <w:rsid w:val="00252E20"/>
    <w:rsid w:val="00253042"/>
    <w:rsid w:val="00254B69"/>
    <w:rsid w:val="00256DDE"/>
    <w:rsid w:val="00256EA1"/>
    <w:rsid w:val="00263B05"/>
    <w:rsid w:val="0026510C"/>
    <w:rsid w:val="00266E5B"/>
    <w:rsid w:val="0027221A"/>
    <w:rsid w:val="0027454B"/>
    <w:rsid w:val="00274E91"/>
    <w:rsid w:val="00275B61"/>
    <w:rsid w:val="00280FAF"/>
    <w:rsid w:val="00282656"/>
    <w:rsid w:val="00285BC3"/>
    <w:rsid w:val="002871B1"/>
    <w:rsid w:val="00290366"/>
    <w:rsid w:val="00290821"/>
    <w:rsid w:val="002932BA"/>
    <w:rsid w:val="002950DD"/>
    <w:rsid w:val="00295898"/>
    <w:rsid w:val="00296B83"/>
    <w:rsid w:val="00297057"/>
    <w:rsid w:val="002A0E16"/>
    <w:rsid w:val="002A2A70"/>
    <w:rsid w:val="002A6981"/>
    <w:rsid w:val="002A6B9E"/>
    <w:rsid w:val="002B4015"/>
    <w:rsid w:val="002B78CE"/>
    <w:rsid w:val="002C0271"/>
    <w:rsid w:val="002C0A6B"/>
    <w:rsid w:val="002C0EDB"/>
    <w:rsid w:val="002C2FB6"/>
    <w:rsid w:val="002D320B"/>
    <w:rsid w:val="002D47EC"/>
    <w:rsid w:val="002E0E00"/>
    <w:rsid w:val="002E3799"/>
    <w:rsid w:val="002E4D37"/>
    <w:rsid w:val="002E56F2"/>
    <w:rsid w:val="002E5751"/>
    <w:rsid w:val="002E5FA7"/>
    <w:rsid w:val="002E7641"/>
    <w:rsid w:val="002E7BC1"/>
    <w:rsid w:val="002F3309"/>
    <w:rsid w:val="002F47D3"/>
    <w:rsid w:val="002F5BF6"/>
    <w:rsid w:val="002F69AE"/>
    <w:rsid w:val="002F7665"/>
    <w:rsid w:val="003008CE"/>
    <w:rsid w:val="003009B7"/>
    <w:rsid w:val="00300E56"/>
    <w:rsid w:val="00303309"/>
    <w:rsid w:val="00303622"/>
    <w:rsid w:val="00303BD4"/>
    <w:rsid w:val="0030469C"/>
    <w:rsid w:val="00306CDB"/>
    <w:rsid w:val="003073CB"/>
    <w:rsid w:val="00307661"/>
    <w:rsid w:val="00307FDD"/>
    <w:rsid w:val="003205C0"/>
    <w:rsid w:val="00320710"/>
    <w:rsid w:val="003209B7"/>
    <w:rsid w:val="00321A62"/>
    <w:rsid w:val="00321CA6"/>
    <w:rsid w:val="00323763"/>
    <w:rsid w:val="00327646"/>
    <w:rsid w:val="0033070B"/>
    <w:rsid w:val="0033141B"/>
    <w:rsid w:val="003319BA"/>
    <w:rsid w:val="0033216A"/>
    <w:rsid w:val="0033323B"/>
    <w:rsid w:val="00333A03"/>
    <w:rsid w:val="00334B35"/>
    <w:rsid w:val="00334C09"/>
    <w:rsid w:val="003354E6"/>
    <w:rsid w:val="003363C8"/>
    <w:rsid w:val="003436D6"/>
    <w:rsid w:val="00347A15"/>
    <w:rsid w:val="00347C33"/>
    <w:rsid w:val="00350A40"/>
    <w:rsid w:val="00356D93"/>
    <w:rsid w:val="003601EE"/>
    <w:rsid w:val="00360537"/>
    <w:rsid w:val="0036229C"/>
    <w:rsid w:val="003632F9"/>
    <w:rsid w:val="00363A5E"/>
    <w:rsid w:val="00364720"/>
    <w:rsid w:val="00364C3C"/>
    <w:rsid w:val="003659FB"/>
    <w:rsid w:val="003723D4"/>
    <w:rsid w:val="00374AE0"/>
    <w:rsid w:val="00374AF4"/>
    <w:rsid w:val="00375F41"/>
    <w:rsid w:val="003764BD"/>
    <w:rsid w:val="00381905"/>
    <w:rsid w:val="003833FC"/>
    <w:rsid w:val="00383F91"/>
    <w:rsid w:val="00384CC8"/>
    <w:rsid w:val="003871FD"/>
    <w:rsid w:val="00387A19"/>
    <w:rsid w:val="003913E5"/>
    <w:rsid w:val="00393B30"/>
    <w:rsid w:val="003A1E30"/>
    <w:rsid w:val="003A2829"/>
    <w:rsid w:val="003A56A1"/>
    <w:rsid w:val="003A7D1C"/>
    <w:rsid w:val="003B264C"/>
    <w:rsid w:val="003B2E66"/>
    <w:rsid w:val="003B304B"/>
    <w:rsid w:val="003B3146"/>
    <w:rsid w:val="003B750D"/>
    <w:rsid w:val="003C10BD"/>
    <w:rsid w:val="003C3AF0"/>
    <w:rsid w:val="003C49A6"/>
    <w:rsid w:val="003C6E0D"/>
    <w:rsid w:val="003D1D37"/>
    <w:rsid w:val="003D6710"/>
    <w:rsid w:val="003E4B71"/>
    <w:rsid w:val="003E5BC8"/>
    <w:rsid w:val="003F015E"/>
    <w:rsid w:val="003F5D5F"/>
    <w:rsid w:val="003F633F"/>
    <w:rsid w:val="00400414"/>
    <w:rsid w:val="0040080E"/>
    <w:rsid w:val="00401677"/>
    <w:rsid w:val="004029E3"/>
    <w:rsid w:val="00402F67"/>
    <w:rsid w:val="004063D8"/>
    <w:rsid w:val="0041446B"/>
    <w:rsid w:val="00416861"/>
    <w:rsid w:val="00426521"/>
    <w:rsid w:val="004304C1"/>
    <w:rsid w:val="004329CB"/>
    <w:rsid w:val="00432E66"/>
    <w:rsid w:val="0044151D"/>
    <w:rsid w:val="004416F4"/>
    <w:rsid w:val="0044329C"/>
    <w:rsid w:val="00446D81"/>
    <w:rsid w:val="00453E24"/>
    <w:rsid w:val="00457456"/>
    <w:rsid w:val="0045777E"/>
    <w:rsid w:val="004577FE"/>
    <w:rsid w:val="00457B9C"/>
    <w:rsid w:val="0046164A"/>
    <w:rsid w:val="004628D2"/>
    <w:rsid w:val="00462DCD"/>
    <w:rsid w:val="004648AD"/>
    <w:rsid w:val="00466090"/>
    <w:rsid w:val="004703A9"/>
    <w:rsid w:val="00472E9D"/>
    <w:rsid w:val="0047395C"/>
    <w:rsid w:val="0047586B"/>
    <w:rsid w:val="004760DE"/>
    <w:rsid w:val="004763D7"/>
    <w:rsid w:val="00476FE0"/>
    <w:rsid w:val="00481B99"/>
    <w:rsid w:val="00484D91"/>
    <w:rsid w:val="0048725B"/>
    <w:rsid w:val="00487962"/>
    <w:rsid w:val="0049050A"/>
    <w:rsid w:val="00492272"/>
    <w:rsid w:val="00493FC7"/>
    <w:rsid w:val="004A004E"/>
    <w:rsid w:val="004A24CF"/>
    <w:rsid w:val="004A2699"/>
    <w:rsid w:val="004A2CAE"/>
    <w:rsid w:val="004A3225"/>
    <w:rsid w:val="004A7CEC"/>
    <w:rsid w:val="004B26EC"/>
    <w:rsid w:val="004B6852"/>
    <w:rsid w:val="004B6CF4"/>
    <w:rsid w:val="004B6DFE"/>
    <w:rsid w:val="004C3D1D"/>
    <w:rsid w:val="004C6D58"/>
    <w:rsid w:val="004C7913"/>
    <w:rsid w:val="004D5713"/>
    <w:rsid w:val="004D7614"/>
    <w:rsid w:val="004D7DBB"/>
    <w:rsid w:val="004E2A15"/>
    <w:rsid w:val="004E2A66"/>
    <w:rsid w:val="004E4DD6"/>
    <w:rsid w:val="004F1474"/>
    <w:rsid w:val="004F147F"/>
    <w:rsid w:val="004F486B"/>
    <w:rsid w:val="004F4CDA"/>
    <w:rsid w:val="004F5E36"/>
    <w:rsid w:val="00507B47"/>
    <w:rsid w:val="00507BEF"/>
    <w:rsid w:val="00507CC9"/>
    <w:rsid w:val="005119A5"/>
    <w:rsid w:val="00513D7B"/>
    <w:rsid w:val="00513F6D"/>
    <w:rsid w:val="00514009"/>
    <w:rsid w:val="005146A0"/>
    <w:rsid w:val="00516489"/>
    <w:rsid w:val="005201CF"/>
    <w:rsid w:val="005202AD"/>
    <w:rsid w:val="0052235B"/>
    <w:rsid w:val="005228F4"/>
    <w:rsid w:val="00524FA0"/>
    <w:rsid w:val="005255BD"/>
    <w:rsid w:val="00525824"/>
    <w:rsid w:val="00526F02"/>
    <w:rsid w:val="005278B7"/>
    <w:rsid w:val="005305F6"/>
    <w:rsid w:val="00532016"/>
    <w:rsid w:val="00532F8B"/>
    <w:rsid w:val="005346C8"/>
    <w:rsid w:val="00537D6C"/>
    <w:rsid w:val="005435F7"/>
    <w:rsid w:val="00543E7D"/>
    <w:rsid w:val="00544C59"/>
    <w:rsid w:val="00547A68"/>
    <w:rsid w:val="00547E75"/>
    <w:rsid w:val="00550743"/>
    <w:rsid w:val="00550F87"/>
    <w:rsid w:val="00552C3B"/>
    <w:rsid w:val="005531C9"/>
    <w:rsid w:val="00553F54"/>
    <w:rsid w:val="00560AC4"/>
    <w:rsid w:val="00565511"/>
    <w:rsid w:val="00565C54"/>
    <w:rsid w:val="00570C43"/>
    <w:rsid w:val="00581693"/>
    <w:rsid w:val="00582AE5"/>
    <w:rsid w:val="00582D5C"/>
    <w:rsid w:val="00584040"/>
    <w:rsid w:val="0059029D"/>
    <w:rsid w:val="005914C7"/>
    <w:rsid w:val="00591F9F"/>
    <w:rsid w:val="005926A2"/>
    <w:rsid w:val="00594980"/>
    <w:rsid w:val="00595841"/>
    <w:rsid w:val="005A13E0"/>
    <w:rsid w:val="005A3198"/>
    <w:rsid w:val="005A36AC"/>
    <w:rsid w:val="005A5289"/>
    <w:rsid w:val="005B0D11"/>
    <w:rsid w:val="005B1CE9"/>
    <w:rsid w:val="005B2110"/>
    <w:rsid w:val="005B27A7"/>
    <w:rsid w:val="005B61E6"/>
    <w:rsid w:val="005B6796"/>
    <w:rsid w:val="005C37B6"/>
    <w:rsid w:val="005C3B08"/>
    <w:rsid w:val="005C410D"/>
    <w:rsid w:val="005C7068"/>
    <w:rsid w:val="005C77E1"/>
    <w:rsid w:val="005D105F"/>
    <w:rsid w:val="005D1174"/>
    <w:rsid w:val="005D212A"/>
    <w:rsid w:val="005D668A"/>
    <w:rsid w:val="005D6A2F"/>
    <w:rsid w:val="005E0985"/>
    <w:rsid w:val="005E1A82"/>
    <w:rsid w:val="005E4CA4"/>
    <w:rsid w:val="005E794C"/>
    <w:rsid w:val="005F09CF"/>
    <w:rsid w:val="005F0A28"/>
    <w:rsid w:val="005F0E5E"/>
    <w:rsid w:val="005F1CC9"/>
    <w:rsid w:val="005F2691"/>
    <w:rsid w:val="005F2906"/>
    <w:rsid w:val="005F7841"/>
    <w:rsid w:val="00600535"/>
    <w:rsid w:val="00601DA6"/>
    <w:rsid w:val="00604601"/>
    <w:rsid w:val="00605A8E"/>
    <w:rsid w:val="00606DCA"/>
    <w:rsid w:val="006102C6"/>
    <w:rsid w:val="00610CD6"/>
    <w:rsid w:val="006115B6"/>
    <w:rsid w:val="00614F59"/>
    <w:rsid w:val="006160F7"/>
    <w:rsid w:val="00617F63"/>
    <w:rsid w:val="00620DEE"/>
    <w:rsid w:val="00621F92"/>
    <w:rsid w:val="0062280A"/>
    <w:rsid w:val="00622899"/>
    <w:rsid w:val="00625639"/>
    <w:rsid w:val="00626480"/>
    <w:rsid w:val="0063008F"/>
    <w:rsid w:val="0063010C"/>
    <w:rsid w:val="006304FC"/>
    <w:rsid w:val="00630ABB"/>
    <w:rsid w:val="00630AFF"/>
    <w:rsid w:val="00630F57"/>
    <w:rsid w:val="00631B33"/>
    <w:rsid w:val="0063495F"/>
    <w:rsid w:val="00635D20"/>
    <w:rsid w:val="00636853"/>
    <w:rsid w:val="0064184D"/>
    <w:rsid w:val="006422CC"/>
    <w:rsid w:val="0064286A"/>
    <w:rsid w:val="00642E1A"/>
    <w:rsid w:val="00644237"/>
    <w:rsid w:val="00651987"/>
    <w:rsid w:val="00660E3E"/>
    <w:rsid w:val="00662E74"/>
    <w:rsid w:val="00664ED1"/>
    <w:rsid w:val="00666B18"/>
    <w:rsid w:val="00671E1F"/>
    <w:rsid w:val="00672F49"/>
    <w:rsid w:val="0067431F"/>
    <w:rsid w:val="00675E53"/>
    <w:rsid w:val="0068004B"/>
    <w:rsid w:val="00680C23"/>
    <w:rsid w:val="00681AC7"/>
    <w:rsid w:val="00681E5D"/>
    <w:rsid w:val="00685328"/>
    <w:rsid w:val="00686491"/>
    <w:rsid w:val="00691DBD"/>
    <w:rsid w:val="00693766"/>
    <w:rsid w:val="00695931"/>
    <w:rsid w:val="006A3281"/>
    <w:rsid w:val="006A53F0"/>
    <w:rsid w:val="006B1648"/>
    <w:rsid w:val="006B2C24"/>
    <w:rsid w:val="006B3680"/>
    <w:rsid w:val="006B4888"/>
    <w:rsid w:val="006B6B7E"/>
    <w:rsid w:val="006B718D"/>
    <w:rsid w:val="006B7507"/>
    <w:rsid w:val="006C2721"/>
    <w:rsid w:val="006C2E45"/>
    <w:rsid w:val="006C359C"/>
    <w:rsid w:val="006C3F27"/>
    <w:rsid w:val="006C5579"/>
    <w:rsid w:val="006C7B3D"/>
    <w:rsid w:val="006D092B"/>
    <w:rsid w:val="006D23F7"/>
    <w:rsid w:val="006D6E8B"/>
    <w:rsid w:val="006D7839"/>
    <w:rsid w:val="006E301E"/>
    <w:rsid w:val="006E31CD"/>
    <w:rsid w:val="006E339E"/>
    <w:rsid w:val="006E737D"/>
    <w:rsid w:val="006E7A1C"/>
    <w:rsid w:val="006E7B91"/>
    <w:rsid w:val="006E7D00"/>
    <w:rsid w:val="006F205B"/>
    <w:rsid w:val="006F2C98"/>
    <w:rsid w:val="006F62ED"/>
    <w:rsid w:val="0070058E"/>
    <w:rsid w:val="00707C77"/>
    <w:rsid w:val="007122B7"/>
    <w:rsid w:val="0071264E"/>
    <w:rsid w:val="0071285B"/>
    <w:rsid w:val="00713973"/>
    <w:rsid w:val="0071398A"/>
    <w:rsid w:val="007155AA"/>
    <w:rsid w:val="00716EAC"/>
    <w:rsid w:val="00720A24"/>
    <w:rsid w:val="007229A8"/>
    <w:rsid w:val="00722BA7"/>
    <w:rsid w:val="00723064"/>
    <w:rsid w:val="00724EB4"/>
    <w:rsid w:val="00730B7D"/>
    <w:rsid w:val="00732386"/>
    <w:rsid w:val="00733306"/>
    <w:rsid w:val="0073514D"/>
    <w:rsid w:val="00735C17"/>
    <w:rsid w:val="0074215C"/>
    <w:rsid w:val="007447F3"/>
    <w:rsid w:val="00751BED"/>
    <w:rsid w:val="0075499F"/>
    <w:rsid w:val="00754E22"/>
    <w:rsid w:val="00756FDF"/>
    <w:rsid w:val="00761D7A"/>
    <w:rsid w:val="00763C86"/>
    <w:rsid w:val="00763F91"/>
    <w:rsid w:val="007661C8"/>
    <w:rsid w:val="00766C14"/>
    <w:rsid w:val="00766F91"/>
    <w:rsid w:val="00767C2A"/>
    <w:rsid w:val="0077098D"/>
    <w:rsid w:val="00770C46"/>
    <w:rsid w:val="00771319"/>
    <w:rsid w:val="0077155B"/>
    <w:rsid w:val="00771BB4"/>
    <w:rsid w:val="007725E9"/>
    <w:rsid w:val="00774342"/>
    <w:rsid w:val="00774629"/>
    <w:rsid w:val="00776F52"/>
    <w:rsid w:val="00782022"/>
    <w:rsid w:val="007856C1"/>
    <w:rsid w:val="00787530"/>
    <w:rsid w:val="00791C07"/>
    <w:rsid w:val="007931FA"/>
    <w:rsid w:val="00793974"/>
    <w:rsid w:val="00793BD9"/>
    <w:rsid w:val="007952D6"/>
    <w:rsid w:val="00796833"/>
    <w:rsid w:val="007A218F"/>
    <w:rsid w:val="007A4861"/>
    <w:rsid w:val="007A7BBA"/>
    <w:rsid w:val="007B0C50"/>
    <w:rsid w:val="007B1A02"/>
    <w:rsid w:val="007B1E0B"/>
    <w:rsid w:val="007B3562"/>
    <w:rsid w:val="007B48F9"/>
    <w:rsid w:val="007C07B2"/>
    <w:rsid w:val="007C0820"/>
    <w:rsid w:val="007C1A43"/>
    <w:rsid w:val="007C1A9D"/>
    <w:rsid w:val="007C4718"/>
    <w:rsid w:val="007C7E1F"/>
    <w:rsid w:val="007D0984"/>
    <w:rsid w:val="007D5E88"/>
    <w:rsid w:val="007E10E4"/>
    <w:rsid w:val="007E6490"/>
    <w:rsid w:val="007E7F6F"/>
    <w:rsid w:val="007F1A72"/>
    <w:rsid w:val="007F209E"/>
    <w:rsid w:val="007F2A97"/>
    <w:rsid w:val="008000EA"/>
    <w:rsid w:val="0080013E"/>
    <w:rsid w:val="0080329B"/>
    <w:rsid w:val="00807406"/>
    <w:rsid w:val="0080774B"/>
    <w:rsid w:val="008131FA"/>
    <w:rsid w:val="00813288"/>
    <w:rsid w:val="0081378F"/>
    <w:rsid w:val="008168FC"/>
    <w:rsid w:val="00820970"/>
    <w:rsid w:val="00824C5E"/>
    <w:rsid w:val="0082658A"/>
    <w:rsid w:val="008279C5"/>
    <w:rsid w:val="00830728"/>
    <w:rsid w:val="00830996"/>
    <w:rsid w:val="0083124F"/>
    <w:rsid w:val="008328D7"/>
    <w:rsid w:val="008345F1"/>
    <w:rsid w:val="00834C42"/>
    <w:rsid w:val="00835718"/>
    <w:rsid w:val="008370EE"/>
    <w:rsid w:val="00837AC3"/>
    <w:rsid w:val="00847AC2"/>
    <w:rsid w:val="00847DF8"/>
    <w:rsid w:val="00854750"/>
    <w:rsid w:val="008568D6"/>
    <w:rsid w:val="008612D0"/>
    <w:rsid w:val="00861350"/>
    <w:rsid w:val="00865606"/>
    <w:rsid w:val="00865B07"/>
    <w:rsid w:val="008667EA"/>
    <w:rsid w:val="00870EE9"/>
    <w:rsid w:val="0087637F"/>
    <w:rsid w:val="008815F7"/>
    <w:rsid w:val="00881601"/>
    <w:rsid w:val="00881D4E"/>
    <w:rsid w:val="00882084"/>
    <w:rsid w:val="0088407B"/>
    <w:rsid w:val="00891FDD"/>
    <w:rsid w:val="00892AD5"/>
    <w:rsid w:val="008931A0"/>
    <w:rsid w:val="00894721"/>
    <w:rsid w:val="00895D71"/>
    <w:rsid w:val="00897E8E"/>
    <w:rsid w:val="008A1512"/>
    <w:rsid w:val="008A1EB6"/>
    <w:rsid w:val="008A2640"/>
    <w:rsid w:val="008A498E"/>
    <w:rsid w:val="008A5E2F"/>
    <w:rsid w:val="008A7429"/>
    <w:rsid w:val="008B1869"/>
    <w:rsid w:val="008B2845"/>
    <w:rsid w:val="008B595B"/>
    <w:rsid w:val="008B6368"/>
    <w:rsid w:val="008C108F"/>
    <w:rsid w:val="008C2279"/>
    <w:rsid w:val="008C70ED"/>
    <w:rsid w:val="008C7972"/>
    <w:rsid w:val="008D32B9"/>
    <w:rsid w:val="008D3BA3"/>
    <w:rsid w:val="008D433B"/>
    <w:rsid w:val="008D4865"/>
    <w:rsid w:val="008D5872"/>
    <w:rsid w:val="008D6A1D"/>
    <w:rsid w:val="008D6EC3"/>
    <w:rsid w:val="008E566E"/>
    <w:rsid w:val="008E675B"/>
    <w:rsid w:val="008F0040"/>
    <w:rsid w:val="008F1F75"/>
    <w:rsid w:val="008F1FB8"/>
    <w:rsid w:val="008F3830"/>
    <w:rsid w:val="008F741D"/>
    <w:rsid w:val="0090161A"/>
    <w:rsid w:val="00901D95"/>
    <w:rsid w:val="00901EB6"/>
    <w:rsid w:val="00902EF7"/>
    <w:rsid w:val="00903D9D"/>
    <w:rsid w:val="00904C62"/>
    <w:rsid w:val="009055DF"/>
    <w:rsid w:val="009212DB"/>
    <w:rsid w:val="0092160A"/>
    <w:rsid w:val="00922BA8"/>
    <w:rsid w:val="00923938"/>
    <w:rsid w:val="00923C2D"/>
    <w:rsid w:val="00924DAC"/>
    <w:rsid w:val="009251FC"/>
    <w:rsid w:val="00925F9B"/>
    <w:rsid w:val="00927058"/>
    <w:rsid w:val="009344DE"/>
    <w:rsid w:val="00934F9F"/>
    <w:rsid w:val="0093651D"/>
    <w:rsid w:val="00942750"/>
    <w:rsid w:val="0094383F"/>
    <w:rsid w:val="00944A44"/>
    <w:rsid w:val="009450CE"/>
    <w:rsid w:val="0094548E"/>
    <w:rsid w:val="0094648E"/>
    <w:rsid w:val="00947179"/>
    <w:rsid w:val="0095164B"/>
    <w:rsid w:val="00952005"/>
    <w:rsid w:val="009520A3"/>
    <w:rsid w:val="009536BE"/>
    <w:rsid w:val="00954090"/>
    <w:rsid w:val="00954FFC"/>
    <w:rsid w:val="009573E7"/>
    <w:rsid w:val="00962235"/>
    <w:rsid w:val="00963E05"/>
    <w:rsid w:val="00965A77"/>
    <w:rsid w:val="00965BEF"/>
    <w:rsid w:val="00967843"/>
    <w:rsid w:val="00967D54"/>
    <w:rsid w:val="009701BD"/>
    <w:rsid w:val="00971028"/>
    <w:rsid w:val="009726F5"/>
    <w:rsid w:val="00973FE7"/>
    <w:rsid w:val="00975117"/>
    <w:rsid w:val="00980261"/>
    <w:rsid w:val="00980827"/>
    <w:rsid w:val="00982A0B"/>
    <w:rsid w:val="00993B84"/>
    <w:rsid w:val="00995CC9"/>
    <w:rsid w:val="00996483"/>
    <w:rsid w:val="00996F5A"/>
    <w:rsid w:val="009A45C8"/>
    <w:rsid w:val="009A4F55"/>
    <w:rsid w:val="009A5A5F"/>
    <w:rsid w:val="009A6544"/>
    <w:rsid w:val="009A7178"/>
    <w:rsid w:val="009B041A"/>
    <w:rsid w:val="009B2CF2"/>
    <w:rsid w:val="009C0683"/>
    <w:rsid w:val="009C1046"/>
    <w:rsid w:val="009C1B4F"/>
    <w:rsid w:val="009C1EE0"/>
    <w:rsid w:val="009C37C3"/>
    <w:rsid w:val="009C3C85"/>
    <w:rsid w:val="009C5805"/>
    <w:rsid w:val="009C5EC4"/>
    <w:rsid w:val="009C6819"/>
    <w:rsid w:val="009C7C86"/>
    <w:rsid w:val="009D2460"/>
    <w:rsid w:val="009D2FF7"/>
    <w:rsid w:val="009D3582"/>
    <w:rsid w:val="009D547C"/>
    <w:rsid w:val="009D7C7F"/>
    <w:rsid w:val="009E3C71"/>
    <w:rsid w:val="009E713C"/>
    <w:rsid w:val="009E7765"/>
    <w:rsid w:val="009E7884"/>
    <w:rsid w:val="009E788A"/>
    <w:rsid w:val="009F0311"/>
    <w:rsid w:val="009F0E08"/>
    <w:rsid w:val="00A022DF"/>
    <w:rsid w:val="00A03924"/>
    <w:rsid w:val="00A14CB5"/>
    <w:rsid w:val="00A171B3"/>
    <w:rsid w:val="00A1763D"/>
    <w:rsid w:val="00A17A5F"/>
    <w:rsid w:val="00A17CEC"/>
    <w:rsid w:val="00A17DD8"/>
    <w:rsid w:val="00A21F6F"/>
    <w:rsid w:val="00A227AB"/>
    <w:rsid w:val="00A249BA"/>
    <w:rsid w:val="00A25722"/>
    <w:rsid w:val="00A27EF0"/>
    <w:rsid w:val="00A30090"/>
    <w:rsid w:val="00A30BD0"/>
    <w:rsid w:val="00A3119A"/>
    <w:rsid w:val="00A31E63"/>
    <w:rsid w:val="00A348F5"/>
    <w:rsid w:val="00A35F5F"/>
    <w:rsid w:val="00A376DA"/>
    <w:rsid w:val="00A404FD"/>
    <w:rsid w:val="00A40B89"/>
    <w:rsid w:val="00A42003"/>
    <w:rsid w:val="00A42361"/>
    <w:rsid w:val="00A44D49"/>
    <w:rsid w:val="00A50B20"/>
    <w:rsid w:val="00A51390"/>
    <w:rsid w:val="00A51E66"/>
    <w:rsid w:val="00A55F80"/>
    <w:rsid w:val="00A60D13"/>
    <w:rsid w:val="00A619B0"/>
    <w:rsid w:val="00A6525E"/>
    <w:rsid w:val="00A66590"/>
    <w:rsid w:val="00A66C10"/>
    <w:rsid w:val="00A67A88"/>
    <w:rsid w:val="00A71E37"/>
    <w:rsid w:val="00A723B9"/>
    <w:rsid w:val="00A7254B"/>
    <w:rsid w:val="00A72745"/>
    <w:rsid w:val="00A72853"/>
    <w:rsid w:val="00A7339B"/>
    <w:rsid w:val="00A75960"/>
    <w:rsid w:val="00A75FCA"/>
    <w:rsid w:val="00A76EFC"/>
    <w:rsid w:val="00A80C28"/>
    <w:rsid w:val="00A81352"/>
    <w:rsid w:val="00A819EE"/>
    <w:rsid w:val="00A848CB"/>
    <w:rsid w:val="00A868A6"/>
    <w:rsid w:val="00A8756A"/>
    <w:rsid w:val="00A87B99"/>
    <w:rsid w:val="00A905D8"/>
    <w:rsid w:val="00A91010"/>
    <w:rsid w:val="00A97F29"/>
    <w:rsid w:val="00AA0FE9"/>
    <w:rsid w:val="00AA1450"/>
    <w:rsid w:val="00AA53CD"/>
    <w:rsid w:val="00AA5979"/>
    <w:rsid w:val="00AA6145"/>
    <w:rsid w:val="00AA6FE7"/>
    <w:rsid w:val="00AA702E"/>
    <w:rsid w:val="00AB0964"/>
    <w:rsid w:val="00AB3A48"/>
    <w:rsid w:val="00AB48C2"/>
    <w:rsid w:val="00AB5011"/>
    <w:rsid w:val="00AB7BBE"/>
    <w:rsid w:val="00AC037A"/>
    <w:rsid w:val="00AC2272"/>
    <w:rsid w:val="00AC7368"/>
    <w:rsid w:val="00AC79A0"/>
    <w:rsid w:val="00AD1663"/>
    <w:rsid w:val="00AD16B9"/>
    <w:rsid w:val="00AD1F09"/>
    <w:rsid w:val="00AD58A3"/>
    <w:rsid w:val="00AE05AE"/>
    <w:rsid w:val="00AE377D"/>
    <w:rsid w:val="00AE3D38"/>
    <w:rsid w:val="00AE3D7E"/>
    <w:rsid w:val="00AE43DE"/>
    <w:rsid w:val="00AE481C"/>
    <w:rsid w:val="00AE5001"/>
    <w:rsid w:val="00AF010E"/>
    <w:rsid w:val="00AF0EBA"/>
    <w:rsid w:val="00AF48C8"/>
    <w:rsid w:val="00AF7442"/>
    <w:rsid w:val="00B002C5"/>
    <w:rsid w:val="00B007F4"/>
    <w:rsid w:val="00B00B63"/>
    <w:rsid w:val="00B01516"/>
    <w:rsid w:val="00B02C8A"/>
    <w:rsid w:val="00B07148"/>
    <w:rsid w:val="00B1545F"/>
    <w:rsid w:val="00B17FBD"/>
    <w:rsid w:val="00B203C4"/>
    <w:rsid w:val="00B2067E"/>
    <w:rsid w:val="00B22195"/>
    <w:rsid w:val="00B2421A"/>
    <w:rsid w:val="00B315A6"/>
    <w:rsid w:val="00B31813"/>
    <w:rsid w:val="00B32908"/>
    <w:rsid w:val="00B33365"/>
    <w:rsid w:val="00B3406F"/>
    <w:rsid w:val="00B370DF"/>
    <w:rsid w:val="00B37503"/>
    <w:rsid w:val="00B40C8B"/>
    <w:rsid w:val="00B448E3"/>
    <w:rsid w:val="00B44A2B"/>
    <w:rsid w:val="00B4712F"/>
    <w:rsid w:val="00B51A1B"/>
    <w:rsid w:val="00B53441"/>
    <w:rsid w:val="00B54714"/>
    <w:rsid w:val="00B55A64"/>
    <w:rsid w:val="00B57B36"/>
    <w:rsid w:val="00B57E6F"/>
    <w:rsid w:val="00B57F02"/>
    <w:rsid w:val="00B6231E"/>
    <w:rsid w:val="00B623F7"/>
    <w:rsid w:val="00B62FFD"/>
    <w:rsid w:val="00B647A5"/>
    <w:rsid w:val="00B658BA"/>
    <w:rsid w:val="00B70931"/>
    <w:rsid w:val="00B718A7"/>
    <w:rsid w:val="00B76BF4"/>
    <w:rsid w:val="00B8686D"/>
    <w:rsid w:val="00B90EBF"/>
    <w:rsid w:val="00B9191E"/>
    <w:rsid w:val="00B9274F"/>
    <w:rsid w:val="00B93F69"/>
    <w:rsid w:val="00BA112D"/>
    <w:rsid w:val="00BA189E"/>
    <w:rsid w:val="00BB09D2"/>
    <w:rsid w:val="00BB1DDC"/>
    <w:rsid w:val="00BB236B"/>
    <w:rsid w:val="00BB3558"/>
    <w:rsid w:val="00BB6C78"/>
    <w:rsid w:val="00BC2F65"/>
    <w:rsid w:val="00BC2FC9"/>
    <w:rsid w:val="00BC30C9"/>
    <w:rsid w:val="00BD077D"/>
    <w:rsid w:val="00BD0B1F"/>
    <w:rsid w:val="00BD31F8"/>
    <w:rsid w:val="00BD5B52"/>
    <w:rsid w:val="00BE3E58"/>
    <w:rsid w:val="00BE55B4"/>
    <w:rsid w:val="00BE6643"/>
    <w:rsid w:val="00BF1013"/>
    <w:rsid w:val="00BF7A31"/>
    <w:rsid w:val="00C01616"/>
    <w:rsid w:val="00C0162B"/>
    <w:rsid w:val="00C068ED"/>
    <w:rsid w:val="00C06EBA"/>
    <w:rsid w:val="00C072C9"/>
    <w:rsid w:val="00C12069"/>
    <w:rsid w:val="00C158B6"/>
    <w:rsid w:val="00C15F50"/>
    <w:rsid w:val="00C16343"/>
    <w:rsid w:val="00C17DA6"/>
    <w:rsid w:val="00C21EB8"/>
    <w:rsid w:val="00C22E0C"/>
    <w:rsid w:val="00C2496F"/>
    <w:rsid w:val="00C26AF9"/>
    <w:rsid w:val="00C32040"/>
    <w:rsid w:val="00C344D5"/>
    <w:rsid w:val="00C345B1"/>
    <w:rsid w:val="00C37F0D"/>
    <w:rsid w:val="00C40142"/>
    <w:rsid w:val="00C40F84"/>
    <w:rsid w:val="00C436B7"/>
    <w:rsid w:val="00C43861"/>
    <w:rsid w:val="00C46C23"/>
    <w:rsid w:val="00C50B38"/>
    <w:rsid w:val="00C52C3C"/>
    <w:rsid w:val="00C55BF7"/>
    <w:rsid w:val="00C560BF"/>
    <w:rsid w:val="00C57182"/>
    <w:rsid w:val="00C57863"/>
    <w:rsid w:val="00C6288B"/>
    <w:rsid w:val="00C62B9A"/>
    <w:rsid w:val="00C655FD"/>
    <w:rsid w:val="00C6778A"/>
    <w:rsid w:val="00C67B32"/>
    <w:rsid w:val="00C74DAA"/>
    <w:rsid w:val="00C75407"/>
    <w:rsid w:val="00C7752E"/>
    <w:rsid w:val="00C77F50"/>
    <w:rsid w:val="00C85379"/>
    <w:rsid w:val="00C85440"/>
    <w:rsid w:val="00C86058"/>
    <w:rsid w:val="00C870A8"/>
    <w:rsid w:val="00C8757C"/>
    <w:rsid w:val="00C879DA"/>
    <w:rsid w:val="00C9221B"/>
    <w:rsid w:val="00C93372"/>
    <w:rsid w:val="00C94434"/>
    <w:rsid w:val="00C957D6"/>
    <w:rsid w:val="00C964C1"/>
    <w:rsid w:val="00CA0826"/>
    <w:rsid w:val="00CA0D75"/>
    <w:rsid w:val="00CA1C95"/>
    <w:rsid w:val="00CA5A9C"/>
    <w:rsid w:val="00CA6C13"/>
    <w:rsid w:val="00CA76AA"/>
    <w:rsid w:val="00CB0ED7"/>
    <w:rsid w:val="00CB54B1"/>
    <w:rsid w:val="00CB5BAE"/>
    <w:rsid w:val="00CC11CB"/>
    <w:rsid w:val="00CC4BE4"/>
    <w:rsid w:val="00CC4C20"/>
    <w:rsid w:val="00CD016B"/>
    <w:rsid w:val="00CD2962"/>
    <w:rsid w:val="00CD3517"/>
    <w:rsid w:val="00CD5FE2"/>
    <w:rsid w:val="00CE1328"/>
    <w:rsid w:val="00CE3681"/>
    <w:rsid w:val="00CE7C68"/>
    <w:rsid w:val="00CE7D91"/>
    <w:rsid w:val="00CF0394"/>
    <w:rsid w:val="00CF29BF"/>
    <w:rsid w:val="00D00876"/>
    <w:rsid w:val="00D02B4C"/>
    <w:rsid w:val="00D03C15"/>
    <w:rsid w:val="00D040C4"/>
    <w:rsid w:val="00D06BA7"/>
    <w:rsid w:val="00D15DD8"/>
    <w:rsid w:val="00D172AA"/>
    <w:rsid w:val="00D203E9"/>
    <w:rsid w:val="00D20C54"/>
    <w:rsid w:val="00D211E5"/>
    <w:rsid w:val="00D2442A"/>
    <w:rsid w:val="00D27B68"/>
    <w:rsid w:val="00D332AB"/>
    <w:rsid w:val="00D370FA"/>
    <w:rsid w:val="00D41D2F"/>
    <w:rsid w:val="00D46B7E"/>
    <w:rsid w:val="00D55F17"/>
    <w:rsid w:val="00D57BB6"/>
    <w:rsid w:val="00D57C84"/>
    <w:rsid w:val="00D60148"/>
    <w:rsid w:val="00D6057D"/>
    <w:rsid w:val="00D60FF4"/>
    <w:rsid w:val="00D61A20"/>
    <w:rsid w:val="00D7076A"/>
    <w:rsid w:val="00D74584"/>
    <w:rsid w:val="00D74EB5"/>
    <w:rsid w:val="00D7672B"/>
    <w:rsid w:val="00D7723F"/>
    <w:rsid w:val="00D77F59"/>
    <w:rsid w:val="00D800BA"/>
    <w:rsid w:val="00D80EBD"/>
    <w:rsid w:val="00D80EE8"/>
    <w:rsid w:val="00D836C5"/>
    <w:rsid w:val="00D84576"/>
    <w:rsid w:val="00D86155"/>
    <w:rsid w:val="00D878D4"/>
    <w:rsid w:val="00D87D50"/>
    <w:rsid w:val="00D90C19"/>
    <w:rsid w:val="00D90D40"/>
    <w:rsid w:val="00D9499C"/>
    <w:rsid w:val="00DA1399"/>
    <w:rsid w:val="00DA24C6"/>
    <w:rsid w:val="00DA3646"/>
    <w:rsid w:val="00DA3B0B"/>
    <w:rsid w:val="00DA4D7B"/>
    <w:rsid w:val="00DA5601"/>
    <w:rsid w:val="00DA73C4"/>
    <w:rsid w:val="00DB1119"/>
    <w:rsid w:val="00DB12A5"/>
    <w:rsid w:val="00DB1A54"/>
    <w:rsid w:val="00DB2679"/>
    <w:rsid w:val="00DB44EF"/>
    <w:rsid w:val="00DB6786"/>
    <w:rsid w:val="00DB6E71"/>
    <w:rsid w:val="00DB7B36"/>
    <w:rsid w:val="00DC1486"/>
    <w:rsid w:val="00DC28C3"/>
    <w:rsid w:val="00DC31BC"/>
    <w:rsid w:val="00DC7EA8"/>
    <w:rsid w:val="00DD1934"/>
    <w:rsid w:val="00DD2524"/>
    <w:rsid w:val="00DD2643"/>
    <w:rsid w:val="00DD5D58"/>
    <w:rsid w:val="00DD67D6"/>
    <w:rsid w:val="00DD718A"/>
    <w:rsid w:val="00DE0985"/>
    <w:rsid w:val="00DE20CA"/>
    <w:rsid w:val="00DE245A"/>
    <w:rsid w:val="00DE264A"/>
    <w:rsid w:val="00DE2FF7"/>
    <w:rsid w:val="00DE460B"/>
    <w:rsid w:val="00DE6BAA"/>
    <w:rsid w:val="00DE6EB7"/>
    <w:rsid w:val="00DF015D"/>
    <w:rsid w:val="00DF4242"/>
    <w:rsid w:val="00DF5072"/>
    <w:rsid w:val="00E0072F"/>
    <w:rsid w:val="00E013CE"/>
    <w:rsid w:val="00E02D18"/>
    <w:rsid w:val="00E03E06"/>
    <w:rsid w:val="00E041E7"/>
    <w:rsid w:val="00E05CEF"/>
    <w:rsid w:val="00E12709"/>
    <w:rsid w:val="00E172E4"/>
    <w:rsid w:val="00E23CA1"/>
    <w:rsid w:val="00E2447D"/>
    <w:rsid w:val="00E313B3"/>
    <w:rsid w:val="00E409A8"/>
    <w:rsid w:val="00E4288C"/>
    <w:rsid w:val="00E430BD"/>
    <w:rsid w:val="00E46DAA"/>
    <w:rsid w:val="00E4719F"/>
    <w:rsid w:val="00E50C12"/>
    <w:rsid w:val="00E533D2"/>
    <w:rsid w:val="00E541CC"/>
    <w:rsid w:val="00E54475"/>
    <w:rsid w:val="00E60B39"/>
    <w:rsid w:val="00E6289B"/>
    <w:rsid w:val="00E62C60"/>
    <w:rsid w:val="00E649D8"/>
    <w:rsid w:val="00E65B91"/>
    <w:rsid w:val="00E7209D"/>
    <w:rsid w:val="00E7226B"/>
    <w:rsid w:val="00E72EAD"/>
    <w:rsid w:val="00E77223"/>
    <w:rsid w:val="00E7735F"/>
    <w:rsid w:val="00E77C3C"/>
    <w:rsid w:val="00E77DFD"/>
    <w:rsid w:val="00E83F00"/>
    <w:rsid w:val="00E85183"/>
    <w:rsid w:val="00E8528B"/>
    <w:rsid w:val="00E85B94"/>
    <w:rsid w:val="00E91D31"/>
    <w:rsid w:val="00E95091"/>
    <w:rsid w:val="00E978D0"/>
    <w:rsid w:val="00EA29B5"/>
    <w:rsid w:val="00EA3B84"/>
    <w:rsid w:val="00EA41B3"/>
    <w:rsid w:val="00EA4613"/>
    <w:rsid w:val="00EA5A29"/>
    <w:rsid w:val="00EA62F3"/>
    <w:rsid w:val="00EA693B"/>
    <w:rsid w:val="00EA713A"/>
    <w:rsid w:val="00EA7F91"/>
    <w:rsid w:val="00EB0200"/>
    <w:rsid w:val="00EB1356"/>
    <w:rsid w:val="00EB1523"/>
    <w:rsid w:val="00EB30DB"/>
    <w:rsid w:val="00EB5B08"/>
    <w:rsid w:val="00EB63D5"/>
    <w:rsid w:val="00EC0E49"/>
    <w:rsid w:val="00EC101F"/>
    <w:rsid w:val="00EC1D9F"/>
    <w:rsid w:val="00EC49A1"/>
    <w:rsid w:val="00EC6351"/>
    <w:rsid w:val="00ED117B"/>
    <w:rsid w:val="00ED338B"/>
    <w:rsid w:val="00EE0131"/>
    <w:rsid w:val="00EE02E6"/>
    <w:rsid w:val="00EE17B0"/>
    <w:rsid w:val="00EE32BE"/>
    <w:rsid w:val="00EE5127"/>
    <w:rsid w:val="00EE5BBF"/>
    <w:rsid w:val="00EE7D20"/>
    <w:rsid w:val="00EF06D9"/>
    <w:rsid w:val="00EF37BC"/>
    <w:rsid w:val="00EF5BAF"/>
    <w:rsid w:val="00F02EBB"/>
    <w:rsid w:val="00F0377A"/>
    <w:rsid w:val="00F076BB"/>
    <w:rsid w:val="00F077C2"/>
    <w:rsid w:val="00F102C8"/>
    <w:rsid w:val="00F10F54"/>
    <w:rsid w:val="00F12334"/>
    <w:rsid w:val="00F129E8"/>
    <w:rsid w:val="00F13460"/>
    <w:rsid w:val="00F15E81"/>
    <w:rsid w:val="00F1698B"/>
    <w:rsid w:val="00F20501"/>
    <w:rsid w:val="00F22BC4"/>
    <w:rsid w:val="00F23E6E"/>
    <w:rsid w:val="00F254FF"/>
    <w:rsid w:val="00F26DE1"/>
    <w:rsid w:val="00F271DC"/>
    <w:rsid w:val="00F30464"/>
    <w:rsid w:val="00F30C64"/>
    <w:rsid w:val="00F32BA2"/>
    <w:rsid w:val="00F32CDB"/>
    <w:rsid w:val="00F35EC0"/>
    <w:rsid w:val="00F36F9D"/>
    <w:rsid w:val="00F40F55"/>
    <w:rsid w:val="00F41A58"/>
    <w:rsid w:val="00F41C4F"/>
    <w:rsid w:val="00F42336"/>
    <w:rsid w:val="00F44991"/>
    <w:rsid w:val="00F55806"/>
    <w:rsid w:val="00F55D86"/>
    <w:rsid w:val="00F565FE"/>
    <w:rsid w:val="00F56BBD"/>
    <w:rsid w:val="00F62CBC"/>
    <w:rsid w:val="00F636A2"/>
    <w:rsid w:val="00F63A70"/>
    <w:rsid w:val="00F6718D"/>
    <w:rsid w:val="00F672E2"/>
    <w:rsid w:val="00F709AC"/>
    <w:rsid w:val="00F72A2F"/>
    <w:rsid w:val="00F7534E"/>
    <w:rsid w:val="00F80355"/>
    <w:rsid w:val="00F81BAB"/>
    <w:rsid w:val="00F82B6A"/>
    <w:rsid w:val="00F86BAF"/>
    <w:rsid w:val="00F86D69"/>
    <w:rsid w:val="00F903D3"/>
    <w:rsid w:val="00F919B2"/>
    <w:rsid w:val="00F95DC0"/>
    <w:rsid w:val="00FA21D0"/>
    <w:rsid w:val="00FA2EA2"/>
    <w:rsid w:val="00FA3C27"/>
    <w:rsid w:val="00FA5F5F"/>
    <w:rsid w:val="00FA65D7"/>
    <w:rsid w:val="00FB14C0"/>
    <w:rsid w:val="00FB3D8C"/>
    <w:rsid w:val="00FB3F56"/>
    <w:rsid w:val="00FB4496"/>
    <w:rsid w:val="00FB730C"/>
    <w:rsid w:val="00FC16DE"/>
    <w:rsid w:val="00FC1D25"/>
    <w:rsid w:val="00FC205F"/>
    <w:rsid w:val="00FC2695"/>
    <w:rsid w:val="00FC3E03"/>
    <w:rsid w:val="00FC3FC1"/>
    <w:rsid w:val="00FC4398"/>
    <w:rsid w:val="00FD0CF1"/>
    <w:rsid w:val="00FD2BF4"/>
    <w:rsid w:val="00FD2F9B"/>
    <w:rsid w:val="00FD3243"/>
    <w:rsid w:val="00FD49F5"/>
    <w:rsid w:val="00FE580F"/>
    <w:rsid w:val="00FE5900"/>
    <w:rsid w:val="00FF1161"/>
    <w:rsid w:val="00FF3996"/>
    <w:rsid w:val="00FF3DC9"/>
    <w:rsid w:val="00FF43B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5E0EA068-4673-4465-87FC-EB567569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qFormat/>
    <w:rsid w:val="00280FAF"/>
    <w:pPr>
      <w:ind w:left="720"/>
      <w:contextualSpacing/>
    </w:pPr>
  </w:style>
  <w:style w:type="character" w:styleId="PlaceholderText">
    <w:name w:val="Placeholder Text"/>
    <w:basedOn w:val="DefaultParagraphFont"/>
    <w:uiPriority w:val="99"/>
    <w:semiHidden/>
    <w:rsid w:val="005926A2"/>
    <w:rPr>
      <w:color w:val="808080"/>
    </w:rPr>
  </w:style>
  <w:style w:type="paragraph" w:customStyle="1" w:styleId="Default">
    <w:name w:val="Default"/>
    <w:rsid w:val="002D47EC"/>
    <w:pPr>
      <w:autoSpaceDE w:val="0"/>
      <w:autoSpaceDN w:val="0"/>
      <w:adjustRightInd w:val="0"/>
      <w:spacing w:after="0" w:line="240" w:lineRule="auto"/>
    </w:pPr>
    <w:rPr>
      <w:rFonts w:ascii="Calibri" w:hAnsi="Calibri" w:cs="Calibri"/>
      <w:color w:val="000000"/>
      <w:sz w:val="24"/>
      <w:szCs w:val="24"/>
      <w:lang w:val="nb-NO"/>
    </w:rPr>
  </w:style>
  <w:style w:type="paragraph" w:styleId="Revision">
    <w:name w:val="Revision"/>
    <w:hidden/>
    <w:uiPriority w:val="99"/>
    <w:semiHidden/>
    <w:rsid w:val="009A7178"/>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80312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542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152673">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712B8ECA5D3D54ABC726CC16E3FCD8A" ma:contentTypeVersion="2" ma:contentTypeDescription="Create a new document." ma:contentTypeScope="" ma:versionID="51482d53f0c201cbfa307d1405676731">
  <xsd:schema xmlns:xsd="http://www.w3.org/2001/XMLSchema" xmlns:xs="http://www.w3.org/2001/XMLSchema" xmlns:p="http://schemas.microsoft.com/office/2006/metadata/properties" xmlns:ns2="174713d4-ce47-492d-baed-5011acf22725" targetNamespace="http://schemas.microsoft.com/office/2006/metadata/properties" ma:root="true" ma:fieldsID="a42b2fe678dc11d83168fb8db8d573bc" ns2:_="">
    <xsd:import namespace="174713d4-ce47-492d-baed-5011acf2272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713d4-ce47-492d-baed-5011acf227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1FFBB3-CB84-407E-90D5-1C1DD31E714B}">
  <ds:schemaRefs>
    <ds:schemaRef ds:uri="http://schemas.microsoft.com/sharepoint/v3/contenttype/forms"/>
  </ds:schemaRefs>
</ds:datastoreItem>
</file>

<file path=customXml/itemProps2.xml><?xml version="1.0" encoding="utf-8"?>
<ds:datastoreItem xmlns:ds="http://schemas.openxmlformats.org/officeDocument/2006/customXml" ds:itemID="{1ADABB53-EF8B-4A84-BE8E-E04B3D5E49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customXml/itemProps4.xml><?xml version="1.0" encoding="utf-8"?>
<ds:datastoreItem xmlns:ds="http://schemas.openxmlformats.org/officeDocument/2006/customXml" ds:itemID="{AFFB1FB6-E796-40D1-BE45-E16FA6F76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713d4-ce47-492d-baed-5011acf227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3476</Words>
  <Characters>18423</Characters>
  <Application>Microsoft Office Word</Application>
  <DocSecurity>0</DocSecurity>
  <Lines>153</Lines>
  <Paragraphs>43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Alessandro Campari</cp:lastModifiedBy>
  <cp:revision>140</cp:revision>
  <cp:lastPrinted>2023-03-08T13:42:00Z</cp:lastPrinted>
  <dcterms:created xsi:type="dcterms:W3CDTF">2023-02-07T10:57:00Z</dcterms:created>
  <dcterms:modified xsi:type="dcterms:W3CDTF">2023-03-08T13:42:00Z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http://www.zotero.org/styles/computers-and-chemical-engineering</vt:lpwstr>
  </property>
  <property fmtid="{D5CDD505-2E9C-101B-9397-08002B2CF9AE}" pid="15" name="Mendeley Recent Style Name 5_1">
    <vt:lpwstr>Computers and Chemical Engineering</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http://csl.mendeley.com/styles/512602661/ieee</vt:lpwstr>
  </property>
  <property fmtid="{D5CDD505-2E9C-101B-9397-08002B2CF9AE}" pid="19" name="Mendeley Recent Style Name 7_1">
    <vt:lpwstr>IEEE - IJHE</vt:lpwstr>
  </property>
  <property fmtid="{D5CDD505-2E9C-101B-9397-08002B2CF9AE}" pid="20" name="Mendeley Recent Style Id 8_1">
    <vt:lpwstr>http://www.zotero.org/styles/journal-of-marine-science-and-engineering</vt:lpwstr>
  </property>
  <property fmtid="{D5CDD505-2E9C-101B-9397-08002B2CF9AE}" pid="21" name="Mendeley Recent Style Name 8_1">
    <vt:lpwstr>Journal of Marine Science and Engineering</vt:lpwstr>
  </property>
  <property fmtid="{D5CDD505-2E9C-101B-9397-08002B2CF9AE}" pid="22" name="Mendeley Recent Style Id 9_1">
    <vt:lpwstr>http://www.zotero.org/styles/modern-humanities-research-association</vt:lpwstr>
  </property>
  <property fmtid="{D5CDD505-2E9C-101B-9397-08002B2CF9AE}" pid="23" name="Mendeley Recent Style Name 9_1">
    <vt:lpwstr>Modern Humanities Research Association 3rd edition (note with bibliography)</vt:lpwstr>
  </property>
  <property fmtid="{D5CDD505-2E9C-101B-9397-08002B2CF9AE}" pid="24" name="ContentTypeId">
    <vt:lpwstr>0x0101008712B8ECA5D3D54ABC726CC16E3FCD8A</vt:lpwstr>
  </property>
</Properties>
</file>