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1A53A0AB" w:rsidR="000A03B2" w:rsidRPr="00B57B36" w:rsidRDefault="00A76EFC" w:rsidP="00B57E6F">
            <w:pPr>
              <w:tabs>
                <w:tab w:val="left" w:pos="-108"/>
              </w:tabs>
              <w:ind w:left="-108"/>
              <w:rPr>
                <w:rFonts w:cs="Arial"/>
                <w:b/>
                <w:bCs/>
                <w:i/>
                <w:iCs/>
                <w:color w:val="000066"/>
                <w:sz w:val="22"/>
                <w:szCs w:val="22"/>
                <w:lang w:eastAsia="it-IT"/>
              </w:rPr>
            </w:pPr>
            <w:proofErr w:type="gramStart"/>
            <w:r w:rsidRPr="00B57B36">
              <w:rPr>
                <w:rFonts w:cs="Arial"/>
                <w:b/>
                <w:bCs/>
                <w:i/>
                <w:iCs/>
                <w:color w:val="000066"/>
                <w:sz w:val="22"/>
                <w:szCs w:val="22"/>
                <w:lang w:eastAsia="it-IT"/>
              </w:rPr>
              <w:t xml:space="preserve">VOL. </w:t>
            </w:r>
            <w:r w:rsidR="007B48F9">
              <w:rPr>
                <w:rFonts w:cs="Arial"/>
                <w:b/>
                <w:bCs/>
                <w:i/>
                <w:iCs/>
                <w:color w:val="000066"/>
                <w:sz w:val="22"/>
                <w:szCs w:val="22"/>
                <w:lang w:eastAsia="it-IT"/>
              </w:rPr>
              <w:t>,</w:t>
            </w:r>
            <w:proofErr w:type="gramEnd"/>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6B517D">
              <w:rPr>
                <w:rFonts w:cs="Arial"/>
                <w:b/>
                <w:bCs/>
                <w:i/>
                <w:iCs/>
                <w:color w:val="000066"/>
                <w:sz w:val="22"/>
                <w:szCs w:val="22"/>
                <w:lang w:eastAsia="it-IT"/>
              </w:rPr>
              <w:t>3</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FE188E"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A75FCA" w:rsidRDefault="000D0268" w:rsidP="00CD5FE2">
            <w:pPr>
              <w:spacing w:line="140" w:lineRule="atLeast"/>
              <w:jc w:val="right"/>
              <w:rPr>
                <w:rFonts w:cs="Arial"/>
                <w:sz w:val="13"/>
                <w:szCs w:val="13"/>
                <w:lang w:val="nb-NO"/>
              </w:rPr>
            </w:pPr>
            <w:r w:rsidRPr="00A75FCA">
              <w:rPr>
                <w:rFonts w:cs="Arial"/>
                <w:sz w:val="13"/>
                <w:szCs w:val="13"/>
                <w:lang w:val="nb-NO"/>
              </w:rPr>
              <w:t>Online at www.cetjournal.it</w:t>
            </w:r>
          </w:p>
        </w:tc>
      </w:tr>
      <w:tr w:rsidR="000A03B2" w:rsidRPr="00912DE2" w14:paraId="2D1B7169" w14:textId="77777777" w:rsidTr="00DE264A">
        <w:trPr>
          <w:trHeight w:val="68"/>
          <w:jc w:val="center"/>
        </w:trPr>
        <w:tc>
          <w:tcPr>
            <w:tcW w:w="8789" w:type="dxa"/>
            <w:gridSpan w:val="2"/>
          </w:tcPr>
          <w:p w14:paraId="4B0BB442" w14:textId="5754EA8C" w:rsidR="00300E56" w:rsidRPr="006B517D" w:rsidRDefault="00300E56" w:rsidP="00B57E6F">
            <w:pPr>
              <w:ind w:left="-107"/>
              <w:outlineLvl w:val="2"/>
              <w:rPr>
                <w:rFonts w:ascii="Tahoma" w:hAnsi="Tahoma" w:cs="Tahoma"/>
                <w:bCs/>
                <w:color w:val="000000"/>
                <w:sz w:val="14"/>
                <w:szCs w:val="14"/>
                <w:lang w:val="nb-NO" w:eastAsia="it-IT"/>
              </w:rPr>
            </w:pPr>
            <w:proofErr w:type="spellStart"/>
            <w:r w:rsidRPr="006B517D">
              <w:rPr>
                <w:rFonts w:ascii="Tahoma" w:hAnsi="Tahoma" w:cs="Tahoma"/>
                <w:iCs/>
                <w:color w:val="333333"/>
                <w:sz w:val="14"/>
                <w:szCs w:val="14"/>
                <w:lang w:val="nb-NO" w:eastAsia="it-IT"/>
              </w:rPr>
              <w:t>Guest</w:t>
            </w:r>
            <w:proofErr w:type="spellEnd"/>
            <w:r w:rsidRPr="006B517D">
              <w:rPr>
                <w:rFonts w:ascii="Tahoma" w:hAnsi="Tahoma" w:cs="Tahoma"/>
                <w:iCs/>
                <w:color w:val="333333"/>
                <w:sz w:val="14"/>
                <w:szCs w:val="14"/>
                <w:lang w:val="nb-NO" w:eastAsia="it-IT"/>
              </w:rPr>
              <w:t xml:space="preserve"> Editors:</w:t>
            </w:r>
            <w:r w:rsidR="00904C62" w:rsidRPr="006B517D">
              <w:rPr>
                <w:rFonts w:ascii="Tahoma" w:hAnsi="Tahoma" w:cs="Tahoma"/>
                <w:iCs/>
                <w:color w:val="333333"/>
                <w:sz w:val="14"/>
                <w:szCs w:val="14"/>
                <w:lang w:val="nb-NO" w:eastAsia="it-IT"/>
              </w:rPr>
              <w:t xml:space="preserve"> </w:t>
            </w:r>
            <w:proofErr w:type="spellStart"/>
            <w:r w:rsidR="006B517D" w:rsidRPr="006B517D">
              <w:rPr>
                <w:rFonts w:ascii="Tahoma" w:hAnsi="Tahoma" w:cs="Tahoma"/>
                <w:iCs/>
                <w:color w:val="333333"/>
                <w:sz w:val="14"/>
                <w:szCs w:val="14"/>
                <w:lang w:val="nb-NO" w:eastAsia="it-IT"/>
              </w:rPr>
              <w:t>Sauro</w:t>
            </w:r>
            <w:proofErr w:type="spellEnd"/>
            <w:r w:rsidR="006B517D" w:rsidRPr="006B517D">
              <w:rPr>
                <w:rFonts w:ascii="Tahoma" w:hAnsi="Tahoma" w:cs="Tahoma"/>
                <w:iCs/>
                <w:color w:val="333333"/>
                <w:sz w:val="14"/>
                <w:szCs w:val="14"/>
                <w:lang w:val="nb-NO" w:eastAsia="it-IT"/>
              </w:rPr>
              <w:t xml:space="preserve"> </w:t>
            </w:r>
            <w:proofErr w:type="spellStart"/>
            <w:r w:rsidR="006B517D" w:rsidRPr="006B517D">
              <w:rPr>
                <w:rFonts w:ascii="Tahoma" w:hAnsi="Tahoma" w:cs="Tahoma"/>
                <w:iCs/>
                <w:color w:val="333333"/>
                <w:sz w:val="14"/>
                <w:szCs w:val="14"/>
                <w:lang w:val="nb-NO" w:eastAsia="it-IT"/>
              </w:rPr>
              <w:t>Pierucci</w:t>
            </w:r>
            <w:proofErr w:type="spellEnd"/>
            <w:r w:rsidR="006B517D" w:rsidRPr="006B517D">
              <w:rPr>
                <w:rFonts w:ascii="Tahoma" w:hAnsi="Tahoma" w:cs="Tahoma"/>
                <w:iCs/>
                <w:color w:val="333333"/>
                <w:sz w:val="14"/>
                <w:szCs w:val="14"/>
                <w:lang w:val="nb-NO" w:eastAsia="it-IT"/>
              </w:rPr>
              <w:t xml:space="preserve">, </w:t>
            </w:r>
            <w:proofErr w:type="spellStart"/>
            <w:r w:rsidR="006B517D" w:rsidRPr="006B517D">
              <w:rPr>
                <w:rFonts w:ascii="Tahoma" w:hAnsi="Tahoma" w:cs="Tahoma"/>
                <w:iCs/>
                <w:color w:val="333333"/>
                <w:sz w:val="14"/>
                <w:szCs w:val="14"/>
                <w:lang w:val="nb-NO" w:eastAsia="it-IT"/>
              </w:rPr>
              <w:t>Jiří</w:t>
            </w:r>
            <w:proofErr w:type="spellEnd"/>
            <w:r w:rsidR="006B517D" w:rsidRPr="006B517D">
              <w:rPr>
                <w:rFonts w:ascii="Tahoma" w:hAnsi="Tahoma" w:cs="Tahoma"/>
                <w:iCs/>
                <w:color w:val="333333"/>
                <w:sz w:val="14"/>
                <w:szCs w:val="14"/>
                <w:lang w:val="nb-NO" w:eastAsia="it-IT"/>
              </w:rPr>
              <w:t xml:space="preserve"> </w:t>
            </w:r>
            <w:proofErr w:type="spellStart"/>
            <w:r w:rsidR="006B517D" w:rsidRPr="006B517D">
              <w:rPr>
                <w:rFonts w:ascii="Tahoma" w:hAnsi="Tahoma" w:cs="Tahoma"/>
                <w:iCs/>
                <w:color w:val="333333"/>
                <w:sz w:val="14"/>
                <w:szCs w:val="14"/>
                <w:lang w:val="nb-NO" w:eastAsia="it-IT"/>
              </w:rPr>
              <w:t>Jaromír</w:t>
            </w:r>
            <w:proofErr w:type="spellEnd"/>
            <w:r w:rsidR="006B517D" w:rsidRPr="006B517D">
              <w:rPr>
                <w:rFonts w:ascii="Tahoma" w:hAnsi="Tahoma" w:cs="Tahoma"/>
                <w:iCs/>
                <w:color w:val="333333"/>
                <w:sz w:val="14"/>
                <w:szCs w:val="14"/>
                <w:lang w:val="nb-NO" w:eastAsia="it-IT"/>
              </w:rPr>
              <w:t xml:space="preserve"> </w:t>
            </w:r>
            <w:proofErr w:type="spellStart"/>
            <w:r w:rsidR="006B517D" w:rsidRPr="006B517D">
              <w:rPr>
                <w:rFonts w:ascii="Tahoma" w:hAnsi="Tahoma" w:cs="Tahoma"/>
                <w:iCs/>
                <w:color w:val="333333"/>
                <w:sz w:val="14"/>
                <w:szCs w:val="14"/>
                <w:lang w:val="nb-NO" w:eastAsia="it-IT"/>
              </w:rPr>
              <w:t>Klemeš</w:t>
            </w:r>
            <w:proofErr w:type="spellEnd"/>
          </w:p>
          <w:p w14:paraId="1B0F1814" w14:textId="45BBA773" w:rsidR="000A03B2" w:rsidRPr="00F83CE6" w:rsidRDefault="00FA5F5F" w:rsidP="00B57E6F">
            <w:pPr>
              <w:tabs>
                <w:tab w:val="left" w:pos="-108"/>
              </w:tabs>
              <w:spacing w:line="140" w:lineRule="atLeast"/>
              <w:ind w:left="-107"/>
              <w:jc w:val="left"/>
            </w:pPr>
            <w:r w:rsidRPr="00F83CE6">
              <w:rPr>
                <w:rFonts w:ascii="Tahoma" w:hAnsi="Tahoma" w:cs="Tahoma"/>
                <w:iCs/>
                <w:color w:val="333333"/>
                <w:sz w:val="14"/>
                <w:szCs w:val="14"/>
                <w:lang w:eastAsia="it-IT"/>
              </w:rPr>
              <w:t>Copyright © 20</w:t>
            </w:r>
            <w:r w:rsidR="00DF5072" w:rsidRPr="00F83CE6">
              <w:rPr>
                <w:rFonts w:ascii="Tahoma" w:hAnsi="Tahoma" w:cs="Tahoma"/>
                <w:iCs/>
                <w:color w:val="333333"/>
                <w:sz w:val="14"/>
                <w:szCs w:val="14"/>
                <w:lang w:eastAsia="it-IT"/>
              </w:rPr>
              <w:t>2</w:t>
            </w:r>
            <w:r w:rsidR="00E72EAD" w:rsidRPr="00F83CE6">
              <w:rPr>
                <w:rFonts w:ascii="Tahoma" w:hAnsi="Tahoma" w:cs="Tahoma"/>
                <w:iCs/>
                <w:color w:val="333333"/>
                <w:sz w:val="14"/>
                <w:szCs w:val="14"/>
                <w:lang w:eastAsia="it-IT"/>
              </w:rPr>
              <w:t>2</w:t>
            </w:r>
            <w:r w:rsidR="00904C62" w:rsidRPr="00F83CE6">
              <w:rPr>
                <w:rFonts w:ascii="Tahoma" w:hAnsi="Tahoma" w:cs="Tahoma"/>
                <w:iCs/>
                <w:color w:val="333333"/>
                <w:sz w:val="14"/>
                <w:szCs w:val="14"/>
                <w:lang w:eastAsia="it-IT"/>
              </w:rPr>
              <w:t xml:space="preserve">, AIDIC </w:t>
            </w:r>
            <w:proofErr w:type="spellStart"/>
            <w:r w:rsidR="00904C62" w:rsidRPr="00F83CE6">
              <w:rPr>
                <w:rFonts w:ascii="Tahoma" w:hAnsi="Tahoma" w:cs="Tahoma"/>
                <w:iCs/>
                <w:color w:val="333333"/>
                <w:sz w:val="14"/>
                <w:szCs w:val="14"/>
                <w:lang w:eastAsia="it-IT"/>
              </w:rPr>
              <w:t>Servizi</w:t>
            </w:r>
            <w:proofErr w:type="spellEnd"/>
            <w:r w:rsidR="00904C62" w:rsidRPr="00F83CE6">
              <w:rPr>
                <w:rFonts w:ascii="Tahoma" w:hAnsi="Tahoma" w:cs="Tahoma"/>
                <w:iCs/>
                <w:color w:val="333333"/>
                <w:sz w:val="14"/>
                <w:szCs w:val="14"/>
                <w:lang w:eastAsia="it-IT"/>
              </w:rPr>
              <w:t xml:space="preserve"> </w:t>
            </w:r>
            <w:proofErr w:type="spellStart"/>
            <w:r w:rsidR="00904C62" w:rsidRPr="00F83CE6">
              <w:rPr>
                <w:rFonts w:ascii="Tahoma" w:hAnsi="Tahoma" w:cs="Tahoma"/>
                <w:iCs/>
                <w:color w:val="333333"/>
                <w:sz w:val="14"/>
                <w:szCs w:val="14"/>
                <w:lang w:eastAsia="it-IT"/>
              </w:rPr>
              <w:t>S.r.l</w:t>
            </w:r>
            <w:proofErr w:type="spellEnd"/>
            <w:r w:rsidR="00904C62" w:rsidRPr="00F83CE6">
              <w:rPr>
                <w:rFonts w:ascii="Tahoma" w:hAnsi="Tahoma" w:cs="Tahoma"/>
                <w:iCs/>
                <w:color w:val="333333"/>
                <w:sz w:val="14"/>
                <w:szCs w:val="14"/>
                <w:lang w:eastAsia="it-IT"/>
              </w:rPr>
              <w:t>.</w:t>
            </w:r>
            <w:r w:rsidR="00300E56" w:rsidRPr="00F83CE6">
              <w:rPr>
                <w:rFonts w:ascii="Tahoma" w:hAnsi="Tahoma" w:cs="Tahoma"/>
                <w:iCs/>
                <w:color w:val="333333"/>
                <w:sz w:val="14"/>
                <w:szCs w:val="14"/>
                <w:lang w:eastAsia="it-IT"/>
              </w:rPr>
              <w:br/>
            </w:r>
            <w:r w:rsidR="00300E56" w:rsidRPr="00F83CE6">
              <w:rPr>
                <w:rFonts w:ascii="Tahoma" w:hAnsi="Tahoma" w:cs="Tahoma"/>
                <w:b/>
                <w:iCs/>
                <w:color w:val="000000"/>
                <w:sz w:val="14"/>
                <w:szCs w:val="14"/>
                <w:lang w:eastAsia="it-IT"/>
              </w:rPr>
              <w:t>ISBN</w:t>
            </w:r>
            <w:r w:rsidR="00300E56" w:rsidRPr="00F83CE6">
              <w:rPr>
                <w:rFonts w:ascii="Tahoma" w:hAnsi="Tahoma" w:cs="Tahoma"/>
                <w:iCs/>
                <w:color w:val="000000"/>
                <w:sz w:val="14"/>
                <w:szCs w:val="14"/>
                <w:lang w:eastAsia="it-IT"/>
              </w:rPr>
              <w:t xml:space="preserve"> </w:t>
            </w:r>
            <w:r w:rsidR="006B517D" w:rsidRPr="00F83CE6">
              <w:rPr>
                <w:rFonts w:ascii="Tahoma" w:hAnsi="Tahoma" w:cs="Tahoma"/>
                <w:sz w:val="14"/>
                <w:szCs w:val="14"/>
              </w:rPr>
              <w:t>978-88-95608-98-3</w:t>
            </w:r>
            <w:r w:rsidR="007B48F9" w:rsidRPr="00F83CE6">
              <w:rPr>
                <w:rFonts w:ascii="Tahoma" w:hAnsi="Tahoma" w:cs="Tahoma"/>
                <w:iCs/>
                <w:color w:val="333333"/>
                <w:sz w:val="14"/>
                <w:szCs w:val="14"/>
                <w:lang w:eastAsia="it-IT"/>
              </w:rPr>
              <w:t>;</w:t>
            </w:r>
            <w:r w:rsidR="00300E56" w:rsidRPr="00F83CE6">
              <w:rPr>
                <w:rFonts w:ascii="Tahoma" w:hAnsi="Tahoma" w:cs="Tahoma"/>
                <w:iCs/>
                <w:color w:val="333333"/>
                <w:sz w:val="14"/>
                <w:szCs w:val="14"/>
                <w:lang w:eastAsia="it-IT"/>
              </w:rPr>
              <w:t xml:space="preserve"> </w:t>
            </w:r>
            <w:r w:rsidR="00300E56" w:rsidRPr="00F83CE6">
              <w:rPr>
                <w:rFonts w:ascii="Tahoma" w:hAnsi="Tahoma" w:cs="Tahoma"/>
                <w:b/>
                <w:iCs/>
                <w:color w:val="333333"/>
                <w:sz w:val="14"/>
                <w:szCs w:val="14"/>
                <w:lang w:eastAsia="it-IT"/>
              </w:rPr>
              <w:t>ISSN</w:t>
            </w:r>
            <w:r w:rsidR="00300E56" w:rsidRPr="00F83CE6">
              <w:rPr>
                <w:rFonts w:ascii="Tahoma" w:hAnsi="Tahoma" w:cs="Tahoma"/>
                <w:iCs/>
                <w:color w:val="333333"/>
                <w:sz w:val="14"/>
                <w:szCs w:val="14"/>
                <w:lang w:eastAsia="it-IT"/>
              </w:rPr>
              <w:t xml:space="preserve"> 2283-9216</w:t>
            </w:r>
          </w:p>
        </w:tc>
      </w:tr>
    </w:tbl>
    <w:p w14:paraId="10DAA130" w14:textId="77777777" w:rsidR="000A03B2" w:rsidRPr="00F83CE6" w:rsidRDefault="000A03B2" w:rsidP="000A03B2">
      <w:pPr>
        <w:pStyle w:val="CETAuthors"/>
        <w:sectPr w:rsidR="000A03B2" w:rsidRPr="00F83CE6" w:rsidSect="00CD5FE2">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701" w:right="1418" w:bottom="1701" w:left="1701" w:header="1701" w:footer="0" w:gutter="0"/>
          <w:cols w:space="708"/>
          <w:titlePg/>
          <w:docGrid w:linePitch="360"/>
        </w:sectPr>
      </w:pPr>
    </w:p>
    <w:p w14:paraId="2E667253" w14:textId="75247F15" w:rsidR="00E978D0" w:rsidRPr="00756FDF" w:rsidRDefault="00756FDF" w:rsidP="00E978D0">
      <w:pPr>
        <w:pStyle w:val="CETTitle"/>
        <w:rPr>
          <w:lang w:val="en-US"/>
        </w:rPr>
      </w:pPr>
      <w:r w:rsidRPr="00756FDF">
        <w:rPr>
          <w:lang w:val="en-US"/>
        </w:rPr>
        <w:t>A Machine Learning Approach t</w:t>
      </w:r>
      <w:r>
        <w:rPr>
          <w:lang w:val="en-US"/>
        </w:rPr>
        <w:t xml:space="preserve">o Predict the </w:t>
      </w:r>
      <w:r w:rsidR="00F33E2A">
        <w:rPr>
          <w:lang w:val="en-US"/>
        </w:rPr>
        <w:t xml:space="preserve">Materials’ </w:t>
      </w:r>
      <w:r>
        <w:rPr>
          <w:lang w:val="en-US"/>
        </w:rPr>
        <w:t>Susceptibility to Hydrogen Embrittlement</w:t>
      </w:r>
    </w:p>
    <w:p w14:paraId="0488FED2" w14:textId="380CF2FD" w:rsidR="00B57E6F" w:rsidRPr="00766C14" w:rsidRDefault="00766C14" w:rsidP="00B57E6F">
      <w:pPr>
        <w:pStyle w:val="CETAuthors"/>
        <w:rPr>
          <w:lang w:val="it-IT"/>
        </w:rPr>
      </w:pPr>
      <w:r w:rsidRPr="00766C14">
        <w:rPr>
          <w:lang w:val="it-IT"/>
        </w:rPr>
        <w:t>Alessandro Campari</w:t>
      </w:r>
      <w:r w:rsidR="00B57E6F" w:rsidRPr="00766C14">
        <w:rPr>
          <w:vertAlign w:val="superscript"/>
          <w:lang w:val="it-IT"/>
        </w:rPr>
        <w:t>a</w:t>
      </w:r>
      <w:r w:rsidR="00756FDF">
        <w:rPr>
          <w:vertAlign w:val="superscript"/>
          <w:lang w:val="it-IT"/>
        </w:rPr>
        <w:t>,</w:t>
      </w:r>
      <w:r w:rsidR="00756FDF" w:rsidRPr="00756FDF">
        <w:rPr>
          <w:lang w:val="it-IT"/>
        </w:rPr>
        <w:t>*</w:t>
      </w:r>
      <w:r w:rsidR="00B57E6F" w:rsidRPr="00766C14">
        <w:rPr>
          <w:lang w:val="it-IT"/>
        </w:rPr>
        <w:t xml:space="preserve">, </w:t>
      </w:r>
      <w:bookmarkStart w:id="0" w:name="_Hlk85718464"/>
      <w:r w:rsidR="00756FDF">
        <w:rPr>
          <w:lang w:val="it-IT"/>
        </w:rPr>
        <w:t>Maryam Darabi</w:t>
      </w:r>
      <w:r w:rsidR="00756FDF">
        <w:rPr>
          <w:vertAlign w:val="superscript"/>
          <w:lang w:val="it-IT"/>
        </w:rPr>
        <w:t>a</w:t>
      </w:r>
      <w:r w:rsidR="00756FDF">
        <w:rPr>
          <w:lang w:val="it-IT"/>
        </w:rPr>
        <w:t>, Antonio Alvaro</w:t>
      </w:r>
      <w:bookmarkEnd w:id="0"/>
      <w:r w:rsidR="00756FDF">
        <w:rPr>
          <w:vertAlign w:val="superscript"/>
          <w:lang w:val="it-IT"/>
        </w:rPr>
        <w:t>b</w:t>
      </w:r>
      <w:r w:rsidR="00B57E6F" w:rsidRPr="00766C14">
        <w:rPr>
          <w:lang w:val="it-IT"/>
        </w:rPr>
        <w:t xml:space="preserve">, </w:t>
      </w:r>
      <w:r>
        <w:rPr>
          <w:lang w:val="it-IT"/>
        </w:rPr>
        <w:t>Federico Ustolin</w:t>
      </w:r>
      <w:r>
        <w:rPr>
          <w:vertAlign w:val="superscript"/>
          <w:lang w:val="it-IT"/>
        </w:rPr>
        <w:t>a</w:t>
      </w:r>
      <w:r w:rsidRPr="00766C14">
        <w:rPr>
          <w:lang w:val="it-IT"/>
        </w:rPr>
        <w:t xml:space="preserve">, </w:t>
      </w:r>
      <w:r>
        <w:rPr>
          <w:lang w:val="it-IT"/>
        </w:rPr>
        <w:t>Nicola Paltrinieri</w:t>
      </w:r>
      <w:r>
        <w:rPr>
          <w:vertAlign w:val="superscript"/>
          <w:lang w:val="it-IT"/>
        </w:rPr>
        <w:t>a</w:t>
      </w:r>
    </w:p>
    <w:p w14:paraId="7C2EC7F9" w14:textId="77777777" w:rsidR="00766C14" w:rsidRPr="00B57B36" w:rsidRDefault="00766C14" w:rsidP="00766C14">
      <w:pPr>
        <w:pStyle w:val="CETAddress"/>
      </w:pPr>
      <w:r w:rsidRPr="00B57B36">
        <w:rPr>
          <w:vertAlign w:val="superscript"/>
        </w:rPr>
        <w:t>a</w:t>
      </w:r>
      <w:r w:rsidRPr="00747E02">
        <w:t xml:space="preserve"> </w:t>
      </w:r>
      <w:r w:rsidRPr="009525D8">
        <w:t>Department of Mechanical and Industrial Engineering, NTNU, Trondheim, Norway</w:t>
      </w:r>
    </w:p>
    <w:p w14:paraId="29BA9A2A" w14:textId="59FD1AFA" w:rsidR="00766C14" w:rsidRPr="001209D6" w:rsidRDefault="00766C14" w:rsidP="00766C14">
      <w:pPr>
        <w:pStyle w:val="CETAddress"/>
        <w:spacing w:line="264" w:lineRule="auto"/>
        <w:rPr>
          <w:lang w:val="en-US"/>
        </w:rPr>
      </w:pPr>
      <w:r w:rsidRPr="001209D6">
        <w:rPr>
          <w:vertAlign w:val="superscript"/>
          <w:lang w:val="en-US"/>
        </w:rPr>
        <w:t>b</w:t>
      </w:r>
      <w:r w:rsidRPr="001209D6">
        <w:rPr>
          <w:lang w:val="en-US"/>
        </w:rPr>
        <w:t xml:space="preserve"> </w:t>
      </w:r>
      <w:r w:rsidR="00756FDF" w:rsidRPr="001209D6">
        <w:rPr>
          <w:lang w:val="en-US"/>
        </w:rPr>
        <w:t>SINTEF Industry, SINTEF, Trondheim, Norway</w:t>
      </w:r>
    </w:p>
    <w:p w14:paraId="76B8F6BA" w14:textId="6C0FE679" w:rsidR="00766C14" w:rsidRPr="00A26F5D" w:rsidRDefault="00766C14" w:rsidP="00766C14">
      <w:pPr>
        <w:pStyle w:val="CETemail"/>
      </w:pPr>
      <w:r w:rsidRPr="001209D6">
        <w:rPr>
          <w:lang w:val="en-US"/>
        </w:rPr>
        <w:t xml:space="preserve"> </w:t>
      </w:r>
      <w:r w:rsidR="00756FDF" w:rsidRPr="001209D6">
        <w:rPr>
          <w:lang w:val="en-US"/>
        </w:rPr>
        <w:t>alessandro.campari@ntnu.no</w:t>
      </w:r>
    </w:p>
    <w:p w14:paraId="6893AF25" w14:textId="075042BB" w:rsidR="00600535" w:rsidRPr="0061723B" w:rsidRDefault="0061723B" w:rsidP="001209D6">
      <w:pPr>
        <w:pStyle w:val="CETBodytext"/>
      </w:pPr>
      <w:r w:rsidRPr="0061723B">
        <w:t xml:space="preserve">Hydrogen is widely considered a promising energy carrier capable of mitigating human </w:t>
      </w:r>
      <w:r w:rsidR="005107F1">
        <w:t>environmental</w:t>
      </w:r>
      <w:r w:rsidR="00FF6CC7">
        <w:t xml:space="preserve"> impact</w:t>
      </w:r>
      <w:r w:rsidRPr="0061723B">
        <w:t xml:space="preserve">. Nevertheless, safety aspects represent </w:t>
      </w:r>
      <w:r w:rsidR="00E02F3C">
        <w:t xml:space="preserve">one of </w:t>
      </w:r>
      <w:r w:rsidRPr="0061723B">
        <w:t>the major bottleneck</w:t>
      </w:r>
      <w:r w:rsidR="00F83CE6">
        <w:t>s</w:t>
      </w:r>
      <w:r w:rsidRPr="0061723B">
        <w:t xml:space="preserve"> for the widespread utilization of hydrogen technologies. Industrial equipment operating in</w:t>
      </w:r>
      <w:r w:rsidR="001326C7">
        <w:t xml:space="preserve"> </w:t>
      </w:r>
      <w:r w:rsidRPr="0061723B">
        <w:t>hydrogen environment</w:t>
      </w:r>
      <w:r w:rsidR="00C2084C">
        <w:t>s</w:t>
      </w:r>
      <w:r w:rsidRPr="0061723B">
        <w:t xml:space="preserve"> is prone to </w:t>
      </w:r>
      <w:r w:rsidR="001A36FA">
        <w:t>h</w:t>
      </w:r>
      <w:r w:rsidR="0001112B" w:rsidRPr="0061723B">
        <w:t>ydrogen-induced damage</w:t>
      </w:r>
      <w:r w:rsidR="001A36FA">
        <w:t>s, which</w:t>
      </w:r>
      <w:r w:rsidR="00EA47A8">
        <w:t xml:space="preserve"> </w:t>
      </w:r>
      <w:r w:rsidR="00F43588">
        <w:t xml:space="preserve">may </w:t>
      </w:r>
      <w:r w:rsidRPr="0061723B">
        <w:t xml:space="preserve">manifest </w:t>
      </w:r>
      <w:r w:rsidR="00F43588">
        <w:t>through a reduction of mechanical properties</w:t>
      </w:r>
      <w:r w:rsidR="00F83CE6">
        <w:t xml:space="preserve">, </w:t>
      </w:r>
      <w:r w:rsidRPr="0061723B">
        <w:t>fracture toughness</w:t>
      </w:r>
      <w:r w:rsidR="009A51AD">
        <w:t>, and fatigue performance</w:t>
      </w:r>
      <w:r w:rsidRPr="0061723B">
        <w:t xml:space="preserve">. </w:t>
      </w:r>
      <w:r w:rsidR="00C2084C">
        <w:t>They</w:t>
      </w:r>
      <w:r w:rsidRPr="0061723B">
        <w:t xml:space="preserve"> may cause component failures at stress levels significantly below the</w:t>
      </w:r>
      <w:r w:rsidR="00EB5256">
        <w:t xml:space="preserve"> </w:t>
      </w:r>
      <w:r w:rsidR="00340198">
        <w:t>design</w:t>
      </w:r>
      <w:r w:rsidRPr="0061723B">
        <w:t xml:space="preserve"> </w:t>
      </w:r>
      <w:r w:rsidR="00340198">
        <w:t>level</w:t>
      </w:r>
      <w:r w:rsidR="000D6F2F">
        <w:t xml:space="preserve">, </w:t>
      </w:r>
      <w:r w:rsidR="00A63DC8">
        <w:t xml:space="preserve">therefore determining </w:t>
      </w:r>
      <w:r w:rsidR="005463B3">
        <w:t>loss of containment</w:t>
      </w:r>
      <w:r w:rsidRPr="0061723B">
        <w:t xml:space="preserve">. The occurrence of </w:t>
      </w:r>
      <w:r w:rsidR="00F623A1">
        <w:t>hydrogen embrittlement (HE)</w:t>
      </w:r>
      <w:r w:rsidRPr="0061723B">
        <w:t xml:space="preserve"> relies on the synergy of several factors, such as hydrogen concentration, operating conditions, level of internal and applied stress, </w:t>
      </w:r>
      <w:proofErr w:type="gramStart"/>
      <w:r w:rsidRPr="0061723B">
        <w:t>microstructure</w:t>
      </w:r>
      <w:proofErr w:type="gramEnd"/>
      <w:r w:rsidRPr="0061723B">
        <w:t xml:space="preserve"> and chemical composition of the material. However, the </w:t>
      </w:r>
      <w:r w:rsidR="00A63DC8">
        <w:t>interlinked dependence</w:t>
      </w:r>
      <w:r w:rsidRPr="0061723B">
        <w:t xml:space="preserve"> of these factors </w:t>
      </w:r>
      <w:r w:rsidR="00C510F3">
        <w:t>makes a direct and clear evaluation challenging</w:t>
      </w:r>
      <w:r w:rsidR="000E070C">
        <w:t>, subsequently creating</w:t>
      </w:r>
      <w:r w:rsidRPr="0061723B">
        <w:t xml:space="preserve"> serious difficulties in planning inspection and maintenance activities. In this study, </w:t>
      </w:r>
      <w:r w:rsidR="000E070C">
        <w:t xml:space="preserve">a </w:t>
      </w:r>
      <w:r w:rsidR="004C0F59">
        <w:t>compreh</w:t>
      </w:r>
      <w:r w:rsidR="000D6F2F">
        <w:t>en</w:t>
      </w:r>
      <w:r w:rsidR="004C0F59">
        <w:t xml:space="preserve">sive review of </w:t>
      </w:r>
      <w:r w:rsidRPr="0061723B">
        <w:t xml:space="preserve">the experimental data of tensile tests carried out </w:t>
      </w:r>
      <w:r w:rsidR="00614317">
        <w:t xml:space="preserve">in hydrogen was </w:t>
      </w:r>
      <w:r w:rsidR="005A173D">
        <w:t xml:space="preserve">performed and </w:t>
      </w:r>
      <w:r w:rsidRPr="0061723B">
        <w:t xml:space="preserve">analyzed through an advanced machine learning approach. This study </w:t>
      </w:r>
      <w:r w:rsidR="00F623A1">
        <w:t>can</w:t>
      </w:r>
      <w:r w:rsidRPr="0061723B">
        <w:t xml:space="preserve"> provide </w:t>
      </w:r>
      <w:r w:rsidR="004374B8">
        <w:t xml:space="preserve">critical </w:t>
      </w:r>
      <w:r w:rsidRPr="0061723B">
        <w:t xml:space="preserve">insights into the susceptibility to </w:t>
      </w:r>
      <w:r w:rsidR="00A3433A">
        <w:t>hydrogen embrittlement</w:t>
      </w:r>
      <w:r w:rsidR="00F623A1">
        <w:t xml:space="preserve"> </w:t>
      </w:r>
      <w:r w:rsidRPr="0061723B">
        <w:t xml:space="preserve">for </w:t>
      </w:r>
      <w:r w:rsidR="004374B8">
        <w:t>several</w:t>
      </w:r>
      <w:r w:rsidRPr="0061723B">
        <w:t xml:space="preserve"> materials </w:t>
      </w:r>
      <w:r w:rsidR="004374B8">
        <w:t>operating under</w:t>
      </w:r>
      <w:r w:rsidRPr="0061723B">
        <w:t xml:space="preserve"> different </w:t>
      </w:r>
      <w:r w:rsidR="004374B8">
        <w:t>environmental</w:t>
      </w:r>
      <w:r w:rsidRPr="0061723B">
        <w:t xml:space="preserve"> conditions. In particular, the </w:t>
      </w:r>
      <w:r w:rsidR="00861FED">
        <w:t>E</w:t>
      </w:r>
      <w:r w:rsidRPr="0061723B">
        <w:t xml:space="preserve">mbrittlement </w:t>
      </w:r>
      <w:r w:rsidR="00861FED">
        <w:t>I</w:t>
      </w:r>
      <w:r w:rsidRPr="0061723B">
        <w:t xml:space="preserve">ndex was estimated </w:t>
      </w:r>
      <w:r w:rsidR="005F5352">
        <w:t xml:space="preserve">and used as determining parameter </w:t>
      </w:r>
      <w:r w:rsidRPr="0061723B">
        <w:t>to predict the likelihood of component failures. The model demonstrated accurate and reliable predicting capabilities. The outcome of this study can increase the understanding of hydrogen-induced material damages and facilitate decision-making process</w:t>
      </w:r>
      <w:r w:rsidR="006E7651">
        <w:t>es</w:t>
      </w:r>
      <w:r w:rsidRPr="0061723B">
        <w:t xml:space="preserve"> in planning </w:t>
      </w:r>
      <w:r w:rsidR="006E7651">
        <w:t xml:space="preserve">the </w:t>
      </w:r>
      <w:r w:rsidRPr="0061723B">
        <w:t>inspection and maintenance of hydrogen technologies</w:t>
      </w:r>
      <w:r w:rsidR="001209D6" w:rsidRPr="0061723B">
        <w:t>.</w:t>
      </w:r>
    </w:p>
    <w:p w14:paraId="476B2F2E" w14:textId="67F22F9A" w:rsidR="00600535" w:rsidRDefault="00600535" w:rsidP="00600535">
      <w:pPr>
        <w:pStyle w:val="CETHeading1"/>
        <w:rPr>
          <w:lang w:val="en-GB"/>
        </w:rPr>
      </w:pPr>
      <w:r w:rsidRPr="00B57B36">
        <w:rPr>
          <w:lang w:val="en-GB"/>
        </w:rPr>
        <w:t>Introduction</w:t>
      </w:r>
    </w:p>
    <w:p w14:paraId="69EC4DAD" w14:textId="7FF94EB3" w:rsidR="00940E1D" w:rsidRDefault="00336D75" w:rsidP="002E3799">
      <w:pPr>
        <w:pStyle w:val="CETBodytext"/>
      </w:pPr>
      <w:r w:rsidRPr="00336D75">
        <w:t>The European Commission indicated hydrogen as a promising energy carrier to mitigate the issue of global warming and make the countries energetically self-sufficient in the long term (Campari et al., 2022). It can be produced from water electrolysis or methane steam reforming coupled with carbon capture and storage with reduced environmental impact (</w:t>
      </w:r>
      <w:proofErr w:type="spellStart"/>
      <w:r w:rsidRPr="00336D75">
        <w:t>Ustolin</w:t>
      </w:r>
      <w:proofErr w:type="spellEnd"/>
      <w:r w:rsidRPr="00336D75">
        <w:t xml:space="preserve"> et al., 2022). In addition, hydrogen can be efficiently used in fuel cell systems or directly burned in thermal engines with near-zero pollutant emissions. Nevertheless, hydrogen production, transport, and storage entail some safety concerns related to the extreme combustion properties of this substance and its capability of permeating and embrittling most metallic materials. Hydrogen embrittlement is a long-known phenomenon which often manifests as a degradation in materials' mechanical properties and cracks resistance properties under monotonic or cyclic loading. </w:t>
      </w:r>
      <w:r w:rsidR="00AB4980" w:rsidRPr="00AB4980">
        <w:t xml:space="preserve">HE can particularly reduce the ductility of </w:t>
      </w:r>
      <w:proofErr w:type="gramStart"/>
      <w:r w:rsidR="00AB4980" w:rsidRPr="00AB4980">
        <w:t>metals</w:t>
      </w:r>
      <w:proofErr w:type="gramEnd"/>
      <w:r w:rsidRPr="00336D75">
        <w:t xml:space="preserve"> and this can lead to component failures under stress levels below the nominal tensile strength. Storage tanks, fasteners, process reactors, pipelines, fuel cell vehicles, and aircraft components are likely to be affected by HE; this can result in sudden equipment failures with potentially severe consequences and significant financial losses (Campari et al., 2023). For this reason, several codes and standards have been developed over the years to facilitate the selection of metallic materials for hydrogen service. For instance, the Technical Report ISO/TR 15916 provides a list of metals suitable for hydrogen applications based on their low HE susceptibility </w:t>
      </w:r>
      <w:r w:rsidRPr="00336D75">
        <w:lastRenderedPageBreak/>
        <w:t>(ISO, 2015). The European Industrial Gases Association (EIGA) has produced Codes of Practice on material testing and selection, which divide materials for H</w:t>
      </w:r>
      <w:r w:rsidRPr="0096257F">
        <w:rPr>
          <w:vertAlign w:val="subscript"/>
        </w:rPr>
        <w:t>2</w:t>
      </w:r>
      <w:r w:rsidRPr="00336D75">
        <w:t xml:space="preserve"> service into different classes based on compositional and strength ranges (EIGA, 2011, 2014). Nevertheless, the material classes and the classification methods need to be updated based on the most recent data describing their performances under realistic operating conditions. Given this background, this study aims to develop a machine-learning approach capable of identifying the best-suited materials for hydrogen service and predicting their performances under different operating conditions. As an initial user case, the model has been trained with the results of experimental tests carried out in compressed gaseous hydrogen environments in compliance with the testing methodology prescribed in ISO 11114-4 (ISO, 2017) and published in international scientific journals and technical reports.</w:t>
      </w:r>
    </w:p>
    <w:p w14:paraId="02AD805B" w14:textId="46A84389" w:rsidR="0080329B" w:rsidRDefault="00EC79C2" w:rsidP="0080329B">
      <w:pPr>
        <w:pStyle w:val="CETHeading1"/>
      </w:pPr>
      <w:r>
        <w:t>Hydrogen embrittlement</w:t>
      </w:r>
    </w:p>
    <w:p w14:paraId="6E3D3373" w14:textId="391F572A" w:rsidR="00044AED" w:rsidRPr="00A47F57" w:rsidRDefault="00A5349D" w:rsidP="00E0474B">
      <w:pPr>
        <w:pStyle w:val="CETBodytext"/>
        <w:rPr>
          <w:lang w:val="en-GB"/>
        </w:rPr>
      </w:pPr>
      <w:r>
        <w:rPr>
          <w:rFonts w:cs="Arial"/>
          <w:color w:val="000000"/>
          <w:szCs w:val="18"/>
          <w:shd w:val="clear" w:color="auto" w:fill="FFFFFF"/>
        </w:rPr>
        <w:t>H</w:t>
      </w:r>
      <w:r w:rsidR="00AE428B" w:rsidRPr="00AE428B">
        <w:rPr>
          <w:rFonts w:cs="Arial"/>
          <w:color w:val="000000"/>
          <w:szCs w:val="18"/>
          <w:shd w:val="clear" w:color="auto" w:fill="FFFFFF"/>
        </w:rPr>
        <w:t xml:space="preserve">ydrogen </w:t>
      </w:r>
      <w:r>
        <w:rPr>
          <w:rFonts w:cs="Arial"/>
          <w:color w:val="000000"/>
          <w:szCs w:val="18"/>
          <w:shd w:val="clear" w:color="auto" w:fill="FFFFFF"/>
        </w:rPr>
        <w:t xml:space="preserve">environment </w:t>
      </w:r>
      <w:r w:rsidR="00AE428B" w:rsidRPr="00AE428B">
        <w:rPr>
          <w:rFonts w:cs="Arial"/>
          <w:color w:val="000000"/>
          <w:szCs w:val="18"/>
          <w:shd w:val="clear" w:color="auto" w:fill="FFFFFF"/>
        </w:rPr>
        <w:t>embrittlement</w:t>
      </w:r>
      <w:r w:rsidR="00480201">
        <w:rPr>
          <w:rFonts w:cs="Arial"/>
          <w:color w:val="000000"/>
          <w:szCs w:val="18"/>
          <w:shd w:val="clear" w:color="auto" w:fill="FFFFFF"/>
        </w:rPr>
        <w:t xml:space="preserve"> </w:t>
      </w:r>
      <w:r w:rsidR="00293021">
        <w:rPr>
          <w:rFonts w:cs="Arial"/>
          <w:color w:val="000000"/>
          <w:szCs w:val="18"/>
          <w:shd w:val="clear" w:color="auto" w:fill="FFFFFF"/>
        </w:rPr>
        <w:t xml:space="preserve">is </w:t>
      </w:r>
      <w:r w:rsidR="002136E3">
        <w:rPr>
          <w:rFonts w:cs="Arial"/>
          <w:color w:val="000000"/>
          <w:szCs w:val="18"/>
          <w:shd w:val="clear" w:color="auto" w:fill="FFFFFF"/>
        </w:rPr>
        <w:t>a</w:t>
      </w:r>
      <w:r w:rsidR="00607CA5">
        <w:rPr>
          <w:rFonts w:cs="Arial"/>
          <w:color w:val="000000"/>
          <w:szCs w:val="18"/>
          <w:shd w:val="clear" w:color="auto" w:fill="FFFFFF"/>
        </w:rPr>
        <w:t xml:space="preserve"> material degradation </w:t>
      </w:r>
      <w:r w:rsidR="00B343C2">
        <w:rPr>
          <w:rFonts w:cs="Arial"/>
          <w:color w:val="000000"/>
          <w:szCs w:val="18"/>
          <w:shd w:val="clear" w:color="auto" w:fill="FFFFFF"/>
        </w:rPr>
        <w:t>resulting from</w:t>
      </w:r>
      <w:r w:rsidR="006C6FED">
        <w:rPr>
          <w:rFonts w:cs="Arial"/>
          <w:color w:val="000000"/>
          <w:szCs w:val="18"/>
          <w:shd w:val="clear" w:color="auto" w:fill="FFFFFF"/>
        </w:rPr>
        <w:t xml:space="preserve"> </w:t>
      </w:r>
      <w:r w:rsidR="00AE428B" w:rsidRPr="00AE428B">
        <w:rPr>
          <w:rFonts w:cs="Arial"/>
          <w:color w:val="000000"/>
          <w:szCs w:val="18"/>
          <w:shd w:val="clear" w:color="auto" w:fill="FFFFFF"/>
        </w:rPr>
        <w:t xml:space="preserve">the </w:t>
      </w:r>
      <w:r w:rsidR="009B55D4">
        <w:rPr>
          <w:rFonts w:cs="Arial"/>
          <w:color w:val="000000"/>
          <w:szCs w:val="18"/>
          <w:shd w:val="clear" w:color="auto" w:fill="FFFFFF"/>
        </w:rPr>
        <w:t>combined effect of stress</w:t>
      </w:r>
      <w:r w:rsidR="00C76D76">
        <w:rPr>
          <w:rFonts w:cs="Arial"/>
          <w:color w:val="000000"/>
          <w:szCs w:val="18"/>
          <w:shd w:val="clear" w:color="auto" w:fill="FFFFFF"/>
        </w:rPr>
        <w:t xml:space="preserve"> (residual or applied), susceptible metallurgy</w:t>
      </w:r>
      <w:r w:rsidR="006C6FED">
        <w:rPr>
          <w:rFonts w:cs="Arial"/>
          <w:color w:val="000000"/>
          <w:szCs w:val="18"/>
          <w:shd w:val="clear" w:color="auto" w:fill="FFFFFF"/>
        </w:rPr>
        <w:t xml:space="preserve">, </w:t>
      </w:r>
      <w:r w:rsidR="009B55D4">
        <w:rPr>
          <w:rFonts w:cs="Arial"/>
          <w:color w:val="000000"/>
          <w:szCs w:val="18"/>
          <w:shd w:val="clear" w:color="auto" w:fill="FFFFFF"/>
        </w:rPr>
        <w:t xml:space="preserve">and </w:t>
      </w:r>
      <w:r w:rsidR="00AE428B" w:rsidRPr="00AE428B">
        <w:rPr>
          <w:rFonts w:cs="Arial"/>
          <w:color w:val="000000"/>
          <w:szCs w:val="18"/>
          <w:shd w:val="clear" w:color="auto" w:fill="FFFFFF"/>
        </w:rPr>
        <w:t>hydrogen</w:t>
      </w:r>
      <w:r w:rsidR="008E1E3A">
        <w:rPr>
          <w:rFonts w:cs="Arial"/>
          <w:color w:val="000000"/>
          <w:szCs w:val="18"/>
          <w:shd w:val="clear" w:color="auto" w:fill="FFFFFF"/>
        </w:rPr>
        <w:t xml:space="preserve"> environment</w:t>
      </w:r>
      <w:r w:rsidR="00AE428B" w:rsidRPr="00AE428B">
        <w:rPr>
          <w:rFonts w:cs="Arial"/>
          <w:color w:val="000000"/>
          <w:szCs w:val="18"/>
          <w:shd w:val="clear" w:color="auto" w:fill="FFFFFF"/>
        </w:rPr>
        <w:t>.</w:t>
      </w:r>
      <w:r w:rsidR="00D006BF">
        <w:rPr>
          <w:rFonts w:cs="Arial"/>
          <w:color w:val="000000"/>
          <w:szCs w:val="18"/>
          <w:shd w:val="clear" w:color="auto" w:fill="FFFFFF"/>
        </w:rPr>
        <w:t xml:space="preserve"> Hydrogen </w:t>
      </w:r>
      <w:r w:rsidR="00350F71">
        <w:rPr>
          <w:rFonts w:cs="Arial"/>
          <w:color w:val="000000"/>
          <w:szCs w:val="18"/>
          <w:shd w:val="clear" w:color="auto" w:fill="FFFFFF"/>
        </w:rPr>
        <w:t xml:space="preserve">molecules are dissociated </w:t>
      </w:r>
      <w:r w:rsidR="00286F58">
        <w:rPr>
          <w:rFonts w:cs="Arial"/>
          <w:color w:val="000000"/>
          <w:szCs w:val="18"/>
          <w:shd w:val="clear" w:color="auto" w:fill="FFFFFF"/>
        </w:rPr>
        <w:t xml:space="preserve">into atoms </w:t>
      </w:r>
      <w:r w:rsidR="00350F71">
        <w:rPr>
          <w:rFonts w:cs="Arial"/>
          <w:color w:val="000000"/>
          <w:szCs w:val="18"/>
          <w:shd w:val="clear" w:color="auto" w:fill="FFFFFF"/>
        </w:rPr>
        <w:t>and absorbed into the metal lattice</w:t>
      </w:r>
      <w:r w:rsidR="001E2683">
        <w:rPr>
          <w:rFonts w:cs="Arial"/>
          <w:color w:val="000000"/>
          <w:szCs w:val="18"/>
          <w:shd w:val="clear" w:color="auto" w:fill="FFFFFF"/>
        </w:rPr>
        <w:t>; then, atoms diffuse in regions with high triaxial stress</w:t>
      </w:r>
      <w:r w:rsidR="001A6952">
        <w:rPr>
          <w:rFonts w:cs="Arial"/>
          <w:color w:val="000000"/>
          <w:szCs w:val="18"/>
          <w:shd w:val="clear" w:color="auto" w:fill="FFFFFF"/>
        </w:rPr>
        <w:t xml:space="preserve">, locally affecting </w:t>
      </w:r>
      <w:r w:rsidR="00895A1E">
        <w:rPr>
          <w:rFonts w:cs="Arial"/>
          <w:color w:val="000000"/>
          <w:szCs w:val="18"/>
          <w:shd w:val="clear" w:color="auto" w:fill="FFFFFF"/>
        </w:rPr>
        <w:t>the mechanical properties of the material</w:t>
      </w:r>
      <w:r w:rsidR="008C443E">
        <w:rPr>
          <w:rFonts w:cs="Arial"/>
          <w:color w:val="000000"/>
          <w:szCs w:val="18"/>
          <w:shd w:val="clear" w:color="auto" w:fill="FFFFFF"/>
        </w:rPr>
        <w:t xml:space="preserve"> (tensile and fracture properties</w:t>
      </w:r>
      <w:r w:rsidR="003719BE">
        <w:rPr>
          <w:rFonts w:cs="Arial"/>
          <w:color w:val="000000"/>
          <w:szCs w:val="18"/>
          <w:shd w:val="clear" w:color="auto" w:fill="FFFFFF"/>
        </w:rPr>
        <w:t xml:space="preserve"> and fatigue performance).</w:t>
      </w:r>
      <w:r w:rsidR="00817560">
        <w:rPr>
          <w:rFonts w:cs="Arial"/>
          <w:color w:val="000000"/>
          <w:szCs w:val="18"/>
          <w:shd w:val="clear" w:color="auto" w:fill="FFFFFF"/>
        </w:rPr>
        <w:t xml:space="preserve"> </w:t>
      </w:r>
      <w:r w:rsidR="00CC1442">
        <w:rPr>
          <w:rFonts w:cs="Arial"/>
          <w:color w:val="000000"/>
          <w:szCs w:val="18"/>
          <w:shd w:val="clear" w:color="auto" w:fill="FFFFFF"/>
        </w:rPr>
        <w:t>Figure 1</w:t>
      </w:r>
      <w:r w:rsidR="00A0503D">
        <w:rPr>
          <w:rFonts w:cs="Arial"/>
          <w:color w:val="000000"/>
          <w:szCs w:val="18"/>
          <w:shd w:val="clear" w:color="auto" w:fill="FFFFFF"/>
        </w:rPr>
        <w:t xml:space="preserve"> shows </w:t>
      </w:r>
      <w:r w:rsidR="006154EE">
        <w:rPr>
          <w:rFonts w:cs="Arial"/>
          <w:color w:val="000000"/>
          <w:szCs w:val="18"/>
          <w:shd w:val="clear" w:color="auto" w:fill="FFFFFF"/>
        </w:rPr>
        <w:t xml:space="preserve">a </w:t>
      </w:r>
      <w:r w:rsidR="00B94647">
        <w:rPr>
          <w:rFonts w:cs="Arial"/>
          <w:color w:val="000000"/>
          <w:szCs w:val="18"/>
          <w:shd w:val="clear" w:color="auto" w:fill="FFFFFF"/>
        </w:rPr>
        <w:t>summar</w:t>
      </w:r>
      <w:r w:rsidR="006154EE">
        <w:rPr>
          <w:rFonts w:cs="Arial"/>
          <w:color w:val="000000"/>
          <w:szCs w:val="18"/>
          <w:shd w:val="clear" w:color="auto" w:fill="FFFFFF"/>
        </w:rPr>
        <w:t>y of</w:t>
      </w:r>
      <w:r w:rsidR="00B94647">
        <w:rPr>
          <w:rFonts w:cs="Arial"/>
          <w:color w:val="000000"/>
          <w:szCs w:val="18"/>
          <w:shd w:val="clear" w:color="auto" w:fill="FFFFFF"/>
        </w:rPr>
        <w:t xml:space="preserve"> the mai</w:t>
      </w:r>
      <w:r w:rsidR="007303E7">
        <w:rPr>
          <w:rFonts w:cs="Arial"/>
          <w:color w:val="000000"/>
          <w:szCs w:val="18"/>
          <w:shd w:val="clear" w:color="auto" w:fill="FFFFFF"/>
        </w:rPr>
        <w:t>n</w:t>
      </w:r>
      <w:r w:rsidR="00B94647">
        <w:rPr>
          <w:rFonts w:cs="Arial"/>
          <w:color w:val="000000"/>
          <w:szCs w:val="18"/>
          <w:shd w:val="clear" w:color="auto" w:fill="FFFFFF"/>
        </w:rPr>
        <w:t xml:space="preserve"> parameters influencing </w:t>
      </w:r>
      <w:r w:rsidR="007303E7">
        <w:rPr>
          <w:rFonts w:cs="Arial"/>
          <w:color w:val="000000"/>
          <w:szCs w:val="18"/>
          <w:shd w:val="clear" w:color="auto" w:fill="FFFFFF"/>
        </w:rPr>
        <w:t>HE and a</w:t>
      </w:r>
      <w:r w:rsidR="006154EE">
        <w:rPr>
          <w:rFonts w:cs="Arial"/>
          <w:color w:val="000000"/>
          <w:szCs w:val="18"/>
          <w:shd w:val="clear" w:color="auto" w:fill="FFFFFF"/>
        </w:rPr>
        <w:t xml:space="preserve"> sim</w:t>
      </w:r>
      <w:r w:rsidR="007303E7">
        <w:rPr>
          <w:rFonts w:cs="Arial"/>
          <w:color w:val="000000"/>
          <w:szCs w:val="18"/>
          <w:shd w:val="clear" w:color="auto" w:fill="FFFFFF"/>
        </w:rPr>
        <w:t xml:space="preserve">plified </w:t>
      </w:r>
      <w:r w:rsidR="006154EE">
        <w:rPr>
          <w:rFonts w:cs="Arial"/>
          <w:color w:val="000000"/>
          <w:szCs w:val="18"/>
          <w:shd w:val="clear" w:color="auto" w:fill="FFFFFF"/>
        </w:rPr>
        <w:t xml:space="preserve">schematic of the </w:t>
      </w:r>
      <w:r w:rsidR="007B7131">
        <w:rPr>
          <w:rFonts w:cs="Arial"/>
          <w:color w:val="000000"/>
          <w:szCs w:val="18"/>
          <w:shd w:val="clear" w:color="auto" w:fill="FFFFFF"/>
        </w:rPr>
        <w:t>processes involved in the actualization of HE degradation</w:t>
      </w:r>
      <w:r w:rsidR="00A2600F">
        <w:rPr>
          <w:rFonts w:cs="Arial"/>
          <w:color w:val="000000"/>
          <w:szCs w:val="18"/>
          <w:shd w:val="clear" w:color="auto" w:fill="FFFFFF"/>
        </w:rPr>
        <w:t>.</w:t>
      </w:r>
    </w:p>
    <w:p w14:paraId="7A7F5BEA" w14:textId="77777777" w:rsidR="00B76671" w:rsidRDefault="00B76671" w:rsidP="00E0474B">
      <w:pPr>
        <w:pStyle w:val="CETBodytext"/>
        <w:rPr>
          <w:rFonts w:cs="Arial"/>
          <w:color w:val="000000"/>
          <w:szCs w:val="18"/>
          <w:shd w:val="clear" w:color="auto" w:fill="FFFFFF"/>
        </w:rPr>
      </w:pPr>
    </w:p>
    <w:p w14:paraId="0F4D639B" w14:textId="77777777" w:rsidR="00134576" w:rsidRDefault="00134576" w:rsidP="00134576">
      <w:pPr>
        <w:pStyle w:val="CETBodytext"/>
        <w:keepNext/>
      </w:pPr>
      <w:r>
        <w:rPr>
          <w:noProof/>
        </w:rPr>
        <w:drawing>
          <wp:inline distT="0" distB="0" distL="0" distR="0" wp14:anchorId="67976993" wp14:editId="6BF5E9A7">
            <wp:extent cx="5505450" cy="1695157"/>
            <wp:effectExtent l="0" t="0" r="0" b="635"/>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12232" cy="1728036"/>
                    </a:xfrm>
                    <a:prstGeom prst="rect">
                      <a:avLst/>
                    </a:prstGeom>
                    <a:noFill/>
                    <a:ln>
                      <a:noFill/>
                    </a:ln>
                  </pic:spPr>
                </pic:pic>
              </a:graphicData>
            </a:graphic>
          </wp:inline>
        </w:drawing>
      </w:r>
    </w:p>
    <w:p w14:paraId="752CC344" w14:textId="1CAA429D" w:rsidR="00CC1442" w:rsidRPr="00134576" w:rsidRDefault="00134576" w:rsidP="00134576">
      <w:pPr>
        <w:pStyle w:val="CETCaption"/>
      </w:pPr>
      <w:r>
        <w:t xml:space="preserve">Figure </w:t>
      </w:r>
      <w:r>
        <w:fldChar w:fldCharType="begin"/>
      </w:r>
      <w:r>
        <w:instrText xml:space="preserve"> SEQ Figure \* ARABIC </w:instrText>
      </w:r>
      <w:r>
        <w:fldChar w:fldCharType="separate"/>
      </w:r>
      <w:r w:rsidR="00B60A90">
        <w:rPr>
          <w:noProof/>
        </w:rPr>
        <w:t>1</w:t>
      </w:r>
      <w:r>
        <w:fldChar w:fldCharType="end"/>
      </w:r>
      <w:r>
        <w:t xml:space="preserve">: </w:t>
      </w:r>
      <w:r w:rsidRPr="00961588">
        <w:t>Hydrogen embrittlement</w:t>
      </w:r>
      <w:r>
        <w:t xml:space="preserve"> resulting from the combination of several </w:t>
      </w:r>
      <w:proofErr w:type="gramStart"/>
      <w:r>
        <w:t>factors</w:t>
      </w:r>
      <w:proofErr w:type="gramEnd"/>
    </w:p>
    <w:p w14:paraId="38F803E6" w14:textId="50C306E2" w:rsidR="007E69E5" w:rsidRPr="00AD0F2E" w:rsidRDefault="00F722F7" w:rsidP="00E0474B">
      <w:pPr>
        <w:pStyle w:val="CETBodytext"/>
        <w:rPr>
          <w:rFonts w:cs="Arial"/>
          <w:color w:val="000000"/>
          <w:szCs w:val="18"/>
          <w:shd w:val="clear" w:color="auto" w:fill="FFFFFF"/>
        </w:rPr>
      </w:pPr>
      <w:r>
        <w:t>When a component operating in a compressed gaseous hydrogen</w:t>
      </w:r>
      <w:r w:rsidR="004345F8">
        <w:t xml:space="preserve"> (CGH</w:t>
      </w:r>
      <w:r w:rsidR="004345F8" w:rsidRPr="004345F8">
        <w:rPr>
          <w:vertAlign w:val="subscript"/>
        </w:rPr>
        <w:t>2</w:t>
      </w:r>
      <w:r w:rsidR="004345F8">
        <w:t>)</w:t>
      </w:r>
      <w:r>
        <w:t xml:space="preserve"> environment undergoes tension, the stress concentration gradient </w:t>
      </w:r>
      <w:r w:rsidR="00652575">
        <w:t>generated in</w:t>
      </w:r>
      <w:r w:rsidR="00072B48">
        <w:t xml:space="preserve"> the</w:t>
      </w:r>
      <w:r w:rsidR="00652575">
        <w:t xml:space="preserve"> proximity of heterogeneities </w:t>
      </w:r>
      <w:r w:rsidR="00DB3128">
        <w:t xml:space="preserve">can </w:t>
      </w:r>
      <w:r>
        <w:t>cause the migration of absorbed hydrogen in defects and inclusions</w:t>
      </w:r>
      <w:r w:rsidR="009D4469">
        <w:t>.</w:t>
      </w:r>
      <w:r>
        <w:t xml:space="preserve"> </w:t>
      </w:r>
      <w:r w:rsidR="009D4469">
        <w:t xml:space="preserve">It </w:t>
      </w:r>
      <w:r>
        <w:t>provok</w:t>
      </w:r>
      <w:r w:rsidR="009D4469">
        <w:t>es</w:t>
      </w:r>
      <w:r>
        <w:t xml:space="preserve"> local embrittlement and </w:t>
      </w:r>
      <w:r w:rsidR="00DB3128">
        <w:t xml:space="preserve">eventually </w:t>
      </w:r>
      <w:r>
        <w:t>facilita</w:t>
      </w:r>
      <w:r w:rsidR="00964249">
        <w:t>tes</w:t>
      </w:r>
      <w:r>
        <w:t xml:space="preserve"> the crack initiation</w:t>
      </w:r>
      <w:r w:rsidR="00F7505A">
        <w:t xml:space="preserve"> from the </w:t>
      </w:r>
      <w:r w:rsidR="00AB164C">
        <w:t>metal surface or stress concentrators (e.g., notches)</w:t>
      </w:r>
      <w:r>
        <w:t xml:space="preserve">. The crack progressively grows due to a further hydrogen migration to the crack tip, until a critical load is reached, and fracture occurs. </w:t>
      </w:r>
      <w:r w:rsidR="00082124">
        <w:rPr>
          <w:rFonts w:cs="Arial"/>
          <w:color w:val="000000"/>
          <w:szCs w:val="18"/>
          <w:shd w:val="clear" w:color="auto" w:fill="FFFFFF"/>
        </w:rPr>
        <w:t xml:space="preserve">The applied load can be </w:t>
      </w:r>
      <w:r w:rsidR="00655032">
        <w:rPr>
          <w:rFonts w:cs="Arial"/>
          <w:color w:val="000000"/>
          <w:szCs w:val="18"/>
          <w:shd w:val="clear" w:color="auto" w:fill="FFFFFF"/>
        </w:rPr>
        <w:t xml:space="preserve">roughly </w:t>
      </w:r>
      <w:r w:rsidR="00082124">
        <w:rPr>
          <w:rFonts w:cs="Arial"/>
          <w:color w:val="000000"/>
          <w:szCs w:val="18"/>
          <w:shd w:val="clear" w:color="auto" w:fill="FFFFFF"/>
        </w:rPr>
        <w:t>divided into two categories: quasi</w:t>
      </w:r>
      <w:r w:rsidR="00C0061E">
        <w:rPr>
          <w:rFonts w:cs="Arial"/>
          <w:color w:val="000000"/>
          <w:szCs w:val="18"/>
          <w:shd w:val="clear" w:color="auto" w:fill="FFFFFF"/>
        </w:rPr>
        <w:t xml:space="preserve">-static and cyclic. The former </w:t>
      </w:r>
      <w:r w:rsidR="008F50EC">
        <w:rPr>
          <w:rFonts w:cs="Arial"/>
          <w:color w:val="000000"/>
          <w:szCs w:val="18"/>
          <w:shd w:val="clear" w:color="auto" w:fill="FFFFFF"/>
        </w:rPr>
        <w:t xml:space="preserve">refers to a stress level which is constant or varies slowly enough to maintain </w:t>
      </w:r>
      <w:r w:rsidR="00470863">
        <w:rPr>
          <w:rFonts w:cs="Arial"/>
          <w:color w:val="000000"/>
          <w:szCs w:val="18"/>
          <w:shd w:val="clear" w:color="auto" w:fill="FFFFFF"/>
        </w:rPr>
        <w:t>a steady-state hydrogen distribution into the metal lattice</w:t>
      </w:r>
      <w:r w:rsidR="009D22A7">
        <w:rPr>
          <w:rFonts w:cs="Arial"/>
          <w:color w:val="000000"/>
          <w:szCs w:val="18"/>
          <w:shd w:val="clear" w:color="auto" w:fill="FFFFFF"/>
        </w:rPr>
        <w:t>, while the latter</w:t>
      </w:r>
      <w:r w:rsidR="00044AED" w:rsidRPr="00044AED">
        <w:t xml:space="preserve"> </w:t>
      </w:r>
      <w:r w:rsidR="00044AED" w:rsidRPr="00044AED">
        <w:rPr>
          <w:rFonts w:cs="Arial"/>
          <w:color w:val="000000"/>
          <w:szCs w:val="18"/>
          <w:shd w:val="clear" w:color="auto" w:fill="FFFFFF"/>
        </w:rPr>
        <w:t>is associated with dynamic components</w:t>
      </w:r>
      <w:r w:rsidR="00044AED">
        <w:rPr>
          <w:rFonts w:cs="Arial"/>
          <w:color w:val="000000"/>
          <w:szCs w:val="18"/>
          <w:shd w:val="clear" w:color="auto" w:fill="FFFFFF"/>
        </w:rPr>
        <w:t xml:space="preserve"> or</w:t>
      </w:r>
      <w:r w:rsidR="00044AED" w:rsidRPr="00044AED">
        <w:rPr>
          <w:rFonts w:cs="Arial"/>
          <w:color w:val="000000"/>
          <w:szCs w:val="18"/>
          <w:shd w:val="clear" w:color="auto" w:fill="FFFFFF"/>
        </w:rPr>
        <w:t xml:space="preserve"> </w:t>
      </w:r>
      <w:r w:rsidR="00044AED">
        <w:rPr>
          <w:rFonts w:cs="Arial"/>
          <w:color w:val="000000"/>
          <w:szCs w:val="18"/>
          <w:shd w:val="clear" w:color="auto" w:fill="FFFFFF"/>
        </w:rPr>
        <w:t xml:space="preserve">undesired </w:t>
      </w:r>
      <w:r w:rsidR="00044AED" w:rsidRPr="00044AED">
        <w:rPr>
          <w:rFonts w:cs="Arial"/>
          <w:color w:val="000000"/>
          <w:szCs w:val="18"/>
          <w:shd w:val="clear" w:color="auto" w:fill="FFFFFF"/>
        </w:rPr>
        <w:t>vibrations in static equipment</w:t>
      </w:r>
      <w:r w:rsidR="00044AED">
        <w:rPr>
          <w:rFonts w:cs="Arial"/>
          <w:color w:val="000000"/>
          <w:szCs w:val="18"/>
          <w:shd w:val="clear" w:color="auto" w:fill="FFFFFF"/>
        </w:rPr>
        <w:t>.</w:t>
      </w:r>
      <w:r w:rsidR="00012235">
        <w:rPr>
          <w:rFonts w:cs="Arial"/>
          <w:color w:val="000000"/>
          <w:szCs w:val="18"/>
          <w:shd w:val="clear" w:color="auto" w:fill="FFFFFF"/>
        </w:rPr>
        <w:t xml:space="preserve"> </w:t>
      </w:r>
      <w:r w:rsidR="002718A1">
        <w:rPr>
          <w:rFonts w:cs="Arial"/>
          <w:color w:val="000000"/>
          <w:szCs w:val="18"/>
          <w:shd w:val="clear" w:color="auto" w:fill="FFFFFF"/>
        </w:rPr>
        <w:t xml:space="preserve">The material resistance against quasi-static loads is </w:t>
      </w:r>
      <w:r w:rsidR="00044AED">
        <w:rPr>
          <w:rFonts w:cs="Arial"/>
          <w:color w:val="000000"/>
          <w:szCs w:val="18"/>
          <w:shd w:val="clear" w:color="auto" w:fill="FFFFFF"/>
        </w:rPr>
        <w:t xml:space="preserve">mainly </w:t>
      </w:r>
      <w:r w:rsidR="002718A1">
        <w:rPr>
          <w:rFonts w:cs="Arial"/>
          <w:color w:val="000000"/>
          <w:szCs w:val="18"/>
          <w:shd w:val="clear" w:color="auto" w:fill="FFFFFF"/>
        </w:rPr>
        <w:t>defined by its tensile properties</w:t>
      </w:r>
      <w:r w:rsidR="00655032">
        <w:rPr>
          <w:rFonts w:cs="Arial"/>
          <w:color w:val="000000"/>
          <w:szCs w:val="18"/>
          <w:shd w:val="clear" w:color="auto" w:fill="FFFFFF"/>
        </w:rPr>
        <w:t xml:space="preserve"> and its fracture toughness</w:t>
      </w:r>
      <w:r w:rsidR="006756E5">
        <w:rPr>
          <w:rFonts w:cs="Arial"/>
          <w:color w:val="000000"/>
          <w:szCs w:val="18"/>
          <w:shd w:val="clear" w:color="auto" w:fill="FFFFFF"/>
        </w:rPr>
        <w:t>.</w:t>
      </w:r>
      <w:r w:rsidR="006756E5" w:rsidRPr="006756E5">
        <w:rPr>
          <w:rFonts w:cs="Arial"/>
          <w:color w:val="000000"/>
          <w:szCs w:val="18"/>
          <w:shd w:val="clear" w:color="auto" w:fill="FFFFFF"/>
        </w:rPr>
        <w:t xml:space="preserve"> </w:t>
      </w:r>
      <w:r w:rsidR="006756E5">
        <w:rPr>
          <w:rFonts w:cs="Arial"/>
          <w:color w:val="000000"/>
          <w:szCs w:val="18"/>
          <w:shd w:val="clear" w:color="auto" w:fill="FFFFFF"/>
        </w:rPr>
        <w:t xml:space="preserve">The ductility loss, </w:t>
      </w:r>
      <w:r w:rsidR="00917F24">
        <w:rPr>
          <w:rFonts w:cs="Arial"/>
          <w:color w:val="000000"/>
          <w:szCs w:val="18"/>
          <w:shd w:val="clear" w:color="auto" w:fill="FFFFFF"/>
        </w:rPr>
        <w:t>tested through slow strain rate tests (SSRT) or linearly increasing stress tests (LIST),</w:t>
      </w:r>
      <w:r w:rsidR="006756E5">
        <w:rPr>
          <w:rFonts w:cs="Arial"/>
          <w:color w:val="000000"/>
          <w:szCs w:val="18"/>
          <w:shd w:val="clear" w:color="auto" w:fill="FFFFFF"/>
        </w:rPr>
        <w:t xml:space="preserve"> is a common effect of HE and </w:t>
      </w:r>
      <w:r w:rsidR="00113AA9">
        <w:rPr>
          <w:rFonts w:cs="Arial"/>
          <w:color w:val="000000"/>
          <w:szCs w:val="18"/>
          <w:shd w:val="clear" w:color="auto" w:fill="FFFFFF"/>
        </w:rPr>
        <w:t xml:space="preserve">may </w:t>
      </w:r>
      <w:r w:rsidR="006756E5">
        <w:rPr>
          <w:rFonts w:cs="Arial"/>
          <w:color w:val="000000"/>
          <w:szCs w:val="18"/>
          <w:shd w:val="clear" w:color="auto" w:fill="FFFFFF"/>
        </w:rPr>
        <w:t>represent a serious concern for static pressurized components</w:t>
      </w:r>
      <w:r w:rsidR="002D6068">
        <w:rPr>
          <w:rFonts w:cs="Arial"/>
          <w:color w:val="000000"/>
          <w:szCs w:val="18"/>
          <w:shd w:val="clear" w:color="auto" w:fill="FFFFFF"/>
        </w:rPr>
        <w:t xml:space="preserve"> (Hagen and Alvaro, 2020)</w:t>
      </w:r>
      <w:r w:rsidR="006756E5">
        <w:rPr>
          <w:rFonts w:cs="Arial"/>
          <w:color w:val="000000"/>
          <w:szCs w:val="18"/>
          <w:shd w:val="clear" w:color="auto" w:fill="FFFFFF"/>
        </w:rPr>
        <w:t xml:space="preserve">. </w:t>
      </w:r>
      <w:r w:rsidR="00113AA9">
        <w:rPr>
          <w:rFonts w:cs="Arial"/>
          <w:color w:val="000000"/>
          <w:szCs w:val="18"/>
          <w:shd w:val="clear" w:color="auto" w:fill="FFFFFF"/>
        </w:rPr>
        <w:t xml:space="preserve">A common parameter used to quantify the degree of susceptibility </w:t>
      </w:r>
      <w:r w:rsidR="001A7DC7">
        <w:rPr>
          <w:rFonts w:cs="Arial"/>
          <w:color w:val="000000"/>
          <w:szCs w:val="18"/>
          <w:shd w:val="clear" w:color="auto" w:fill="FFFFFF"/>
        </w:rPr>
        <w:t>against H</w:t>
      </w:r>
      <w:r w:rsidR="00FD5C45">
        <w:rPr>
          <w:rFonts w:cs="Arial"/>
          <w:color w:val="000000"/>
          <w:szCs w:val="18"/>
          <w:shd w:val="clear" w:color="auto" w:fill="FFFFFF"/>
        </w:rPr>
        <w:t>E</w:t>
      </w:r>
      <w:r w:rsidR="001A7DC7">
        <w:rPr>
          <w:rFonts w:cs="Arial"/>
          <w:color w:val="000000"/>
          <w:szCs w:val="18"/>
          <w:shd w:val="clear" w:color="auto" w:fill="FFFFFF"/>
        </w:rPr>
        <w:t xml:space="preserve"> for a give</w:t>
      </w:r>
      <w:r w:rsidR="00FD5C45">
        <w:rPr>
          <w:rFonts w:cs="Arial"/>
          <w:color w:val="000000"/>
          <w:szCs w:val="18"/>
          <w:shd w:val="clear" w:color="auto" w:fill="FFFFFF"/>
        </w:rPr>
        <w:t>n</w:t>
      </w:r>
      <w:r w:rsidR="001A7DC7">
        <w:rPr>
          <w:rFonts w:cs="Arial"/>
          <w:color w:val="000000"/>
          <w:szCs w:val="18"/>
          <w:shd w:val="clear" w:color="auto" w:fill="FFFFFF"/>
        </w:rPr>
        <w:t xml:space="preserve"> material</w:t>
      </w:r>
      <w:r w:rsidR="006756E5">
        <w:rPr>
          <w:rFonts w:cs="Arial"/>
          <w:color w:val="000000"/>
          <w:szCs w:val="18"/>
          <w:shd w:val="clear" w:color="auto" w:fill="FFFFFF"/>
        </w:rPr>
        <w:t xml:space="preserve"> </w:t>
      </w:r>
      <w:r w:rsidR="0004568B">
        <w:rPr>
          <w:rFonts w:cs="Arial"/>
          <w:color w:val="000000"/>
          <w:szCs w:val="18"/>
          <w:shd w:val="clear" w:color="auto" w:fill="FFFFFF"/>
        </w:rPr>
        <w:t>i</w:t>
      </w:r>
      <w:r w:rsidR="000D5B05">
        <w:rPr>
          <w:rFonts w:cs="Arial"/>
          <w:color w:val="000000"/>
          <w:szCs w:val="18"/>
          <w:shd w:val="clear" w:color="auto" w:fill="FFFFFF"/>
        </w:rPr>
        <w:t>s</w:t>
      </w:r>
      <w:r w:rsidR="0004568B">
        <w:rPr>
          <w:rFonts w:cs="Arial"/>
          <w:color w:val="000000"/>
          <w:szCs w:val="18"/>
          <w:shd w:val="clear" w:color="auto" w:fill="FFFFFF"/>
        </w:rPr>
        <w:t xml:space="preserve"> the Embrittlement Index (EI)</w:t>
      </w:r>
      <w:r w:rsidR="000D5B05">
        <w:rPr>
          <w:rFonts w:cs="Arial"/>
          <w:color w:val="000000"/>
          <w:szCs w:val="18"/>
          <w:shd w:val="clear" w:color="auto" w:fill="FFFFFF"/>
        </w:rPr>
        <w:t>, which</w:t>
      </w:r>
      <w:r w:rsidR="0004568B">
        <w:rPr>
          <w:rFonts w:cs="Arial"/>
          <w:color w:val="000000"/>
          <w:szCs w:val="18"/>
          <w:shd w:val="clear" w:color="auto" w:fill="FFFFFF"/>
        </w:rPr>
        <w:t xml:space="preserve"> is </w:t>
      </w:r>
      <w:r w:rsidR="006756E5">
        <w:rPr>
          <w:rFonts w:cs="Arial"/>
          <w:color w:val="000000"/>
          <w:szCs w:val="18"/>
          <w:shd w:val="clear" w:color="auto" w:fill="FFFFFF"/>
        </w:rPr>
        <w:t xml:space="preserve">expressed </w:t>
      </w:r>
      <w:r w:rsidR="0004568B">
        <w:rPr>
          <w:rFonts w:cs="Arial"/>
          <w:color w:val="000000"/>
          <w:szCs w:val="18"/>
          <w:shd w:val="clear" w:color="auto" w:fill="FFFFFF"/>
        </w:rPr>
        <w:t xml:space="preserve">as the relative change of </w:t>
      </w:r>
      <w:r w:rsidR="006756E5">
        <w:rPr>
          <w:rFonts w:cs="Arial"/>
          <w:color w:val="000000"/>
          <w:szCs w:val="18"/>
          <w:shd w:val="clear" w:color="auto" w:fill="FFFFFF"/>
        </w:rPr>
        <w:t>reduced areas obtained</w:t>
      </w:r>
      <w:r w:rsidR="00A47F57">
        <w:rPr>
          <w:rFonts w:cs="Arial"/>
          <w:color w:val="000000"/>
          <w:szCs w:val="18"/>
          <w:shd w:val="clear" w:color="auto" w:fill="FFFFFF"/>
        </w:rPr>
        <w:t xml:space="preserve"> </w:t>
      </w:r>
      <w:r w:rsidR="001A5F14">
        <w:rPr>
          <w:rFonts w:cs="Arial"/>
          <w:color w:val="000000"/>
          <w:szCs w:val="18"/>
          <w:shd w:val="clear" w:color="auto" w:fill="FFFFFF"/>
        </w:rPr>
        <w:t xml:space="preserve">when a tensile test is performed in </w:t>
      </w:r>
      <w:r w:rsidR="000D5B05">
        <w:rPr>
          <w:rFonts w:cs="Arial"/>
          <w:color w:val="000000"/>
          <w:szCs w:val="18"/>
          <w:shd w:val="clear" w:color="auto" w:fill="FFFFFF"/>
        </w:rPr>
        <w:t xml:space="preserve">a </w:t>
      </w:r>
      <w:r w:rsidR="001A5F14">
        <w:rPr>
          <w:rFonts w:cs="Arial"/>
          <w:color w:val="000000"/>
          <w:szCs w:val="18"/>
          <w:shd w:val="clear" w:color="auto" w:fill="FFFFFF"/>
        </w:rPr>
        <w:t>hydrogenated environment a</w:t>
      </w:r>
      <w:r w:rsidR="00394C57">
        <w:rPr>
          <w:rFonts w:cs="Arial"/>
          <w:color w:val="000000"/>
          <w:szCs w:val="18"/>
          <w:shd w:val="clear" w:color="auto" w:fill="FFFFFF"/>
        </w:rPr>
        <w:t>nd in a reference environment</w:t>
      </w:r>
      <w:r w:rsidR="00244EBB">
        <w:rPr>
          <w:rFonts w:cs="Arial"/>
          <w:color w:val="000000"/>
          <w:szCs w:val="18"/>
          <w:shd w:val="clear" w:color="auto" w:fill="FFFFFF"/>
        </w:rPr>
        <w:t xml:space="preserve"> (</w:t>
      </w:r>
      <w:r w:rsidR="00657CD5">
        <w:rPr>
          <w:rFonts w:cs="Arial"/>
          <w:color w:val="000000"/>
          <w:szCs w:val="18"/>
          <w:shd w:val="clear" w:color="auto" w:fill="FFFFFF"/>
        </w:rPr>
        <w:t>e.g</w:t>
      </w:r>
      <w:r w:rsidR="00244EBB">
        <w:rPr>
          <w:rFonts w:cs="Arial"/>
          <w:color w:val="000000"/>
          <w:szCs w:val="18"/>
          <w:shd w:val="clear" w:color="auto" w:fill="FFFFFF"/>
        </w:rPr>
        <w:t>., in air)</w:t>
      </w:r>
      <w:r w:rsidR="00394C57">
        <w:rPr>
          <w:rFonts w:cs="Arial"/>
          <w:color w:val="000000"/>
          <w:szCs w:val="18"/>
          <w:shd w:val="clear" w:color="auto" w:fill="FFFFFF"/>
        </w:rPr>
        <w:t>:</w:t>
      </w:r>
    </w:p>
    <w:tbl>
      <w:tblPr>
        <w:tblW w:w="5000" w:type="pct"/>
        <w:tblLook w:val="04A0" w:firstRow="1" w:lastRow="0" w:firstColumn="1" w:lastColumn="0" w:noHBand="0" w:noVBand="1"/>
      </w:tblPr>
      <w:tblGrid>
        <w:gridCol w:w="7993"/>
        <w:gridCol w:w="794"/>
      </w:tblGrid>
      <w:tr w:rsidR="002132E7" w:rsidRPr="00B57B36" w14:paraId="40B7D59E" w14:textId="77777777" w:rsidTr="00981FB5">
        <w:trPr>
          <w:trHeight w:val="639"/>
        </w:trPr>
        <w:tc>
          <w:tcPr>
            <w:tcW w:w="7993" w:type="dxa"/>
            <w:shd w:val="clear" w:color="auto" w:fill="auto"/>
            <w:vAlign w:val="center"/>
          </w:tcPr>
          <w:p w14:paraId="7C3AE7E0" w14:textId="0A261199" w:rsidR="002132E7" w:rsidRPr="00054BCE" w:rsidRDefault="00054BCE" w:rsidP="00F0622D">
            <w:pPr>
              <w:pStyle w:val="CETEquation"/>
              <w:rPr>
                <w:iCs/>
                <w:lang w:val="nb-NO"/>
              </w:rPr>
            </w:pPr>
            <m:oMathPara>
              <m:oMathParaPr>
                <m:jc m:val="left"/>
              </m:oMathParaPr>
              <m:oMath>
                <m:r>
                  <m:rPr>
                    <m:sty m:val="p"/>
                  </m:rPr>
                  <w:rPr>
                    <w:rFonts w:ascii="Cambria Math" w:hAnsi="Cambria Math"/>
                  </w:rPr>
                  <m:t>EI=</m:t>
                </m:r>
                <m:f>
                  <m:fPr>
                    <m:ctrlPr>
                      <w:rPr>
                        <w:rFonts w:ascii="Cambria Math" w:hAnsi="Cambria Math"/>
                        <w:iCs/>
                      </w:rPr>
                    </m:ctrlPr>
                  </m:fPr>
                  <m:num>
                    <m:sSub>
                      <m:sSubPr>
                        <m:ctrlPr>
                          <w:rPr>
                            <w:rFonts w:ascii="Cambria Math" w:hAnsi="Cambria Math"/>
                            <w:iCs/>
                          </w:rPr>
                        </m:ctrlPr>
                      </m:sSubPr>
                      <m:e>
                        <m:r>
                          <m:rPr>
                            <m:sty m:val="p"/>
                          </m:rPr>
                          <w:rPr>
                            <w:rFonts w:ascii="Cambria Math" w:hAnsi="Cambria Math"/>
                          </w:rPr>
                          <m:t>RA</m:t>
                        </m:r>
                      </m:e>
                      <m:sub>
                        <m:r>
                          <m:rPr>
                            <m:sty m:val="p"/>
                          </m:rPr>
                          <w:rPr>
                            <w:rFonts w:ascii="Cambria Math" w:hAnsi="Cambria Math"/>
                          </w:rPr>
                          <m:t>air</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RA</m:t>
                        </m:r>
                      </m:e>
                      <m:sub>
                        <m:sSub>
                          <m:sSubPr>
                            <m:ctrlPr>
                              <w:rPr>
                                <w:rFonts w:ascii="Cambria Math" w:hAnsi="Cambria Math"/>
                                <w:iCs/>
                              </w:rPr>
                            </m:ctrlPr>
                          </m:sSubPr>
                          <m:e>
                            <m:r>
                              <m:rPr>
                                <m:sty m:val="p"/>
                              </m:rPr>
                              <w:rPr>
                                <w:rFonts w:ascii="Cambria Math" w:hAnsi="Cambria Math"/>
                              </w:rPr>
                              <m:t>H</m:t>
                            </m:r>
                          </m:e>
                          <m:sub>
                            <m:r>
                              <m:rPr>
                                <m:sty m:val="p"/>
                              </m:rPr>
                              <w:rPr>
                                <w:rFonts w:ascii="Cambria Math" w:hAnsi="Cambria Math"/>
                              </w:rPr>
                              <m:t>2</m:t>
                            </m:r>
                          </m:sub>
                        </m:sSub>
                      </m:sub>
                    </m:sSub>
                  </m:num>
                  <m:den>
                    <m:sSub>
                      <m:sSubPr>
                        <m:ctrlPr>
                          <w:rPr>
                            <w:rFonts w:ascii="Cambria Math" w:hAnsi="Cambria Math"/>
                            <w:iCs/>
                          </w:rPr>
                        </m:ctrlPr>
                      </m:sSubPr>
                      <m:e>
                        <m:r>
                          <m:rPr>
                            <m:sty m:val="p"/>
                          </m:rPr>
                          <w:rPr>
                            <w:rFonts w:ascii="Cambria Math" w:hAnsi="Cambria Math"/>
                          </w:rPr>
                          <m:t>RA</m:t>
                        </m:r>
                      </m:e>
                      <m:sub>
                        <m:r>
                          <m:rPr>
                            <m:sty m:val="p"/>
                          </m:rPr>
                          <w:rPr>
                            <w:rFonts w:ascii="Cambria Math" w:hAnsi="Cambria Math"/>
                          </w:rPr>
                          <m:t>air</m:t>
                        </m:r>
                      </m:sub>
                    </m:sSub>
                  </m:den>
                </m:f>
                <m:r>
                  <m:rPr>
                    <m:sty m:val="p"/>
                  </m:rPr>
                  <w:rPr>
                    <w:rFonts w:ascii="Cambria Math" w:hAnsi="Cambria Math"/>
                  </w:rPr>
                  <m:t>∙100=</m:t>
                </m:r>
                <m:f>
                  <m:fPr>
                    <m:ctrlPr>
                      <w:rPr>
                        <w:rFonts w:ascii="Cambria Math" w:hAnsi="Cambria Math"/>
                        <w:iCs/>
                      </w:rPr>
                    </m:ctrlPr>
                  </m:fPr>
                  <m:num>
                    <m:sSub>
                      <m:sSubPr>
                        <m:ctrlPr>
                          <w:rPr>
                            <w:rFonts w:ascii="Cambria Math" w:hAnsi="Cambria Math"/>
                            <w:iCs/>
                          </w:rPr>
                        </m:ctrlPr>
                      </m:sSubPr>
                      <m:e>
                        <m:d>
                          <m:dPr>
                            <m:begChr m:val="["/>
                            <m:endChr m:val="]"/>
                            <m:ctrlPr>
                              <w:rPr>
                                <w:rFonts w:ascii="Cambria Math" w:hAnsi="Cambria Math"/>
                                <w:iCs/>
                              </w:rPr>
                            </m:ctrlPr>
                          </m:dPr>
                          <m:e>
                            <m:f>
                              <m:fPr>
                                <m:type m:val="lin"/>
                                <m:ctrlPr>
                                  <w:rPr>
                                    <w:rFonts w:ascii="Cambria Math" w:hAnsi="Cambria Math"/>
                                    <w:iCs/>
                                  </w:rPr>
                                </m:ctrlPr>
                              </m:fPr>
                              <m:num>
                                <m:d>
                                  <m:dPr>
                                    <m:ctrlPr>
                                      <w:rPr>
                                        <w:rFonts w:ascii="Cambria Math" w:hAnsi="Cambria Math"/>
                                        <w:iCs/>
                                      </w:rPr>
                                    </m:ctrlPr>
                                  </m:dPr>
                                  <m:e>
                                    <m:sSub>
                                      <m:sSubPr>
                                        <m:ctrlPr>
                                          <w:rPr>
                                            <w:rFonts w:ascii="Cambria Math" w:hAnsi="Cambria Math"/>
                                            <w:iCs/>
                                          </w:rPr>
                                        </m:ctrlPr>
                                      </m:sSubPr>
                                      <m:e>
                                        <m:r>
                                          <m:rPr>
                                            <m:sty m:val="p"/>
                                          </m:rPr>
                                          <w:rPr>
                                            <w:rFonts w:ascii="Cambria Math" w:hAnsi="Cambria Math"/>
                                          </w:rPr>
                                          <m:t>A</m:t>
                                        </m:r>
                                      </m:e>
                                      <m:sub>
                                        <m:r>
                                          <m:rPr>
                                            <m:sty m:val="p"/>
                                          </m:rPr>
                                          <w:rPr>
                                            <w:rFonts w:ascii="Cambria Math" w:hAnsi="Cambria Math"/>
                                          </w:rPr>
                                          <m:t>i</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A</m:t>
                                        </m:r>
                                      </m:e>
                                      <m:sub>
                                        <m:r>
                                          <m:rPr>
                                            <m:sty m:val="p"/>
                                          </m:rPr>
                                          <w:rPr>
                                            <w:rFonts w:ascii="Cambria Math" w:hAnsi="Cambria Math"/>
                                          </w:rPr>
                                          <m:t>f</m:t>
                                        </m:r>
                                      </m:sub>
                                    </m:sSub>
                                  </m:e>
                                </m:d>
                              </m:num>
                              <m:den>
                                <m:sSub>
                                  <m:sSubPr>
                                    <m:ctrlPr>
                                      <w:rPr>
                                        <w:rFonts w:ascii="Cambria Math" w:hAnsi="Cambria Math"/>
                                        <w:iCs/>
                                      </w:rPr>
                                    </m:ctrlPr>
                                  </m:sSubPr>
                                  <m:e>
                                    <m:r>
                                      <m:rPr>
                                        <m:sty m:val="p"/>
                                      </m:rPr>
                                      <w:rPr>
                                        <w:rFonts w:ascii="Cambria Math" w:hAnsi="Cambria Math"/>
                                      </w:rPr>
                                      <m:t>A</m:t>
                                    </m:r>
                                  </m:e>
                                  <m:sub>
                                    <m:r>
                                      <m:rPr>
                                        <m:sty m:val="p"/>
                                      </m:rPr>
                                      <w:rPr>
                                        <w:rFonts w:ascii="Cambria Math" w:hAnsi="Cambria Math"/>
                                      </w:rPr>
                                      <m:t>f</m:t>
                                    </m:r>
                                  </m:sub>
                                </m:sSub>
                              </m:den>
                            </m:f>
                          </m:e>
                        </m:d>
                      </m:e>
                      <m:sub>
                        <m:r>
                          <m:rPr>
                            <m:sty m:val="p"/>
                          </m:rPr>
                          <w:rPr>
                            <w:rFonts w:ascii="Cambria Math" w:hAnsi="Cambria Math"/>
                          </w:rPr>
                          <m:t>air</m:t>
                        </m:r>
                      </m:sub>
                    </m:sSub>
                    <m:r>
                      <m:rPr>
                        <m:sty m:val="p"/>
                      </m:rPr>
                      <w:rPr>
                        <w:rFonts w:ascii="Cambria Math" w:hAnsi="Cambria Math"/>
                      </w:rPr>
                      <m:t>-</m:t>
                    </m:r>
                    <m:sSub>
                      <m:sSubPr>
                        <m:ctrlPr>
                          <w:rPr>
                            <w:rFonts w:ascii="Cambria Math" w:hAnsi="Cambria Math"/>
                            <w:iCs/>
                          </w:rPr>
                        </m:ctrlPr>
                      </m:sSubPr>
                      <m:e>
                        <m:d>
                          <m:dPr>
                            <m:begChr m:val="["/>
                            <m:endChr m:val="]"/>
                            <m:ctrlPr>
                              <w:rPr>
                                <w:rFonts w:ascii="Cambria Math" w:hAnsi="Cambria Math"/>
                                <w:iCs/>
                              </w:rPr>
                            </m:ctrlPr>
                          </m:dPr>
                          <m:e>
                            <m:f>
                              <m:fPr>
                                <m:type m:val="lin"/>
                                <m:ctrlPr>
                                  <w:rPr>
                                    <w:rFonts w:ascii="Cambria Math" w:hAnsi="Cambria Math"/>
                                    <w:iCs/>
                                  </w:rPr>
                                </m:ctrlPr>
                              </m:fPr>
                              <m:num>
                                <m:d>
                                  <m:dPr>
                                    <m:ctrlPr>
                                      <w:rPr>
                                        <w:rFonts w:ascii="Cambria Math" w:hAnsi="Cambria Math"/>
                                        <w:iCs/>
                                      </w:rPr>
                                    </m:ctrlPr>
                                  </m:dPr>
                                  <m:e>
                                    <m:sSub>
                                      <m:sSubPr>
                                        <m:ctrlPr>
                                          <w:rPr>
                                            <w:rFonts w:ascii="Cambria Math" w:hAnsi="Cambria Math"/>
                                            <w:iCs/>
                                          </w:rPr>
                                        </m:ctrlPr>
                                      </m:sSubPr>
                                      <m:e>
                                        <m:r>
                                          <m:rPr>
                                            <m:sty m:val="p"/>
                                          </m:rPr>
                                          <w:rPr>
                                            <w:rFonts w:ascii="Cambria Math" w:hAnsi="Cambria Math"/>
                                          </w:rPr>
                                          <m:t>A</m:t>
                                        </m:r>
                                      </m:e>
                                      <m:sub>
                                        <m:r>
                                          <m:rPr>
                                            <m:sty m:val="p"/>
                                          </m:rPr>
                                          <w:rPr>
                                            <w:rFonts w:ascii="Cambria Math" w:hAnsi="Cambria Math"/>
                                          </w:rPr>
                                          <m:t>i</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A</m:t>
                                        </m:r>
                                      </m:e>
                                      <m:sub>
                                        <m:r>
                                          <m:rPr>
                                            <m:sty m:val="p"/>
                                          </m:rPr>
                                          <w:rPr>
                                            <w:rFonts w:ascii="Cambria Math" w:hAnsi="Cambria Math"/>
                                          </w:rPr>
                                          <m:t>f</m:t>
                                        </m:r>
                                      </m:sub>
                                    </m:sSub>
                                  </m:e>
                                </m:d>
                              </m:num>
                              <m:den>
                                <m:sSub>
                                  <m:sSubPr>
                                    <m:ctrlPr>
                                      <w:rPr>
                                        <w:rFonts w:ascii="Cambria Math" w:hAnsi="Cambria Math"/>
                                        <w:iCs/>
                                      </w:rPr>
                                    </m:ctrlPr>
                                  </m:sSubPr>
                                  <m:e>
                                    <m:r>
                                      <m:rPr>
                                        <m:sty m:val="p"/>
                                      </m:rPr>
                                      <w:rPr>
                                        <w:rFonts w:ascii="Cambria Math" w:hAnsi="Cambria Math"/>
                                      </w:rPr>
                                      <m:t>A</m:t>
                                    </m:r>
                                  </m:e>
                                  <m:sub>
                                    <m:r>
                                      <m:rPr>
                                        <m:sty m:val="p"/>
                                      </m:rPr>
                                      <w:rPr>
                                        <w:rFonts w:ascii="Cambria Math" w:hAnsi="Cambria Math"/>
                                      </w:rPr>
                                      <m:t>f</m:t>
                                    </m:r>
                                  </m:sub>
                                </m:sSub>
                              </m:den>
                            </m:f>
                          </m:e>
                        </m:d>
                      </m:e>
                      <m:sub>
                        <m:sSub>
                          <m:sSubPr>
                            <m:ctrlPr>
                              <w:rPr>
                                <w:rFonts w:ascii="Cambria Math" w:hAnsi="Cambria Math"/>
                                <w:iCs/>
                              </w:rPr>
                            </m:ctrlPr>
                          </m:sSubPr>
                          <m:e>
                            <m:r>
                              <m:rPr>
                                <m:sty m:val="p"/>
                              </m:rPr>
                              <w:rPr>
                                <w:rFonts w:ascii="Cambria Math" w:hAnsi="Cambria Math"/>
                              </w:rPr>
                              <m:t>H</m:t>
                            </m:r>
                          </m:e>
                          <m:sub>
                            <m:r>
                              <m:rPr>
                                <m:sty m:val="p"/>
                              </m:rPr>
                              <w:rPr>
                                <w:rFonts w:ascii="Cambria Math" w:hAnsi="Cambria Math"/>
                              </w:rPr>
                              <m:t>2</m:t>
                            </m:r>
                          </m:sub>
                        </m:sSub>
                      </m:sub>
                    </m:sSub>
                  </m:num>
                  <m:den>
                    <m:sSub>
                      <m:sSubPr>
                        <m:ctrlPr>
                          <w:rPr>
                            <w:rFonts w:ascii="Cambria Math" w:hAnsi="Cambria Math"/>
                            <w:iCs/>
                          </w:rPr>
                        </m:ctrlPr>
                      </m:sSubPr>
                      <m:e>
                        <m:d>
                          <m:dPr>
                            <m:begChr m:val="["/>
                            <m:endChr m:val="]"/>
                            <m:ctrlPr>
                              <w:rPr>
                                <w:rFonts w:ascii="Cambria Math" w:hAnsi="Cambria Math"/>
                                <w:iCs/>
                              </w:rPr>
                            </m:ctrlPr>
                          </m:dPr>
                          <m:e>
                            <m:f>
                              <m:fPr>
                                <m:type m:val="lin"/>
                                <m:ctrlPr>
                                  <w:rPr>
                                    <w:rFonts w:ascii="Cambria Math" w:hAnsi="Cambria Math"/>
                                    <w:iCs/>
                                  </w:rPr>
                                </m:ctrlPr>
                              </m:fPr>
                              <m:num>
                                <m:d>
                                  <m:dPr>
                                    <m:ctrlPr>
                                      <w:rPr>
                                        <w:rFonts w:ascii="Cambria Math" w:hAnsi="Cambria Math"/>
                                        <w:iCs/>
                                      </w:rPr>
                                    </m:ctrlPr>
                                  </m:dPr>
                                  <m:e>
                                    <m:sSub>
                                      <m:sSubPr>
                                        <m:ctrlPr>
                                          <w:rPr>
                                            <w:rFonts w:ascii="Cambria Math" w:hAnsi="Cambria Math"/>
                                            <w:iCs/>
                                          </w:rPr>
                                        </m:ctrlPr>
                                      </m:sSubPr>
                                      <m:e>
                                        <m:r>
                                          <m:rPr>
                                            <m:sty m:val="p"/>
                                          </m:rPr>
                                          <w:rPr>
                                            <w:rFonts w:ascii="Cambria Math" w:hAnsi="Cambria Math"/>
                                          </w:rPr>
                                          <m:t>A</m:t>
                                        </m:r>
                                      </m:e>
                                      <m:sub>
                                        <m:r>
                                          <m:rPr>
                                            <m:sty m:val="p"/>
                                          </m:rPr>
                                          <w:rPr>
                                            <w:rFonts w:ascii="Cambria Math" w:hAnsi="Cambria Math"/>
                                          </w:rPr>
                                          <m:t>i</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A</m:t>
                                        </m:r>
                                      </m:e>
                                      <m:sub>
                                        <m:r>
                                          <m:rPr>
                                            <m:sty m:val="p"/>
                                          </m:rPr>
                                          <w:rPr>
                                            <w:rFonts w:ascii="Cambria Math" w:hAnsi="Cambria Math"/>
                                          </w:rPr>
                                          <m:t>f</m:t>
                                        </m:r>
                                      </m:sub>
                                    </m:sSub>
                                  </m:e>
                                </m:d>
                              </m:num>
                              <m:den>
                                <m:sSub>
                                  <m:sSubPr>
                                    <m:ctrlPr>
                                      <w:rPr>
                                        <w:rFonts w:ascii="Cambria Math" w:hAnsi="Cambria Math"/>
                                        <w:iCs/>
                                      </w:rPr>
                                    </m:ctrlPr>
                                  </m:sSubPr>
                                  <m:e>
                                    <m:r>
                                      <m:rPr>
                                        <m:sty m:val="p"/>
                                      </m:rPr>
                                      <w:rPr>
                                        <w:rFonts w:ascii="Cambria Math" w:hAnsi="Cambria Math"/>
                                      </w:rPr>
                                      <m:t>A</m:t>
                                    </m:r>
                                  </m:e>
                                  <m:sub>
                                    <m:r>
                                      <m:rPr>
                                        <m:sty m:val="p"/>
                                      </m:rPr>
                                      <w:rPr>
                                        <w:rFonts w:ascii="Cambria Math" w:hAnsi="Cambria Math"/>
                                      </w:rPr>
                                      <m:t>f</m:t>
                                    </m:r>
                                  </m:sub>
                                </m:sSub>
                              </m:den>
                            </m:f>
                          </m:e>
                        </m:d>
                      </m:e>
                      <m:sub>
                        <m:r>
                          <m:rPr>
                            <m:sty m:val="p"/>
                          </m:rPr>
                          <w:rPr>
                            <w:rFonts w:ascii="Cambria Math" w:hAnsi="Cambria Math"/>
                          </w:rPr>
                          <m:t>air</m:t>
                        </m:r>
                      </m:sub>
                    </m:sSub>
                  </m:den>
                </m:f>
                <m:r>
                  <m:rPr>
                    <m:sty m:val="p"/>
                  </m:rPr>
                  <w:rPr>
                    <w:rFonts w:ascii="Cambria Math" w:hAnsi="Cambria Math"/>
                  </w:rPr>
                  <m:t>∙100</m:t>
                </m:r>
              </m:oMath>
            </m:oMathPara>
          </w:p>
        </w:tc>
        <w:tc>
          <w:tcPr>
            <w:tcW w:w="794" w:type="dxa"/>
            <w:shd w:val="clear" w:color="auto" w:fill="auto"/>
            <w:vAlign w:val="center"/>
          </w:tcPr>
          <w:p w14:paraId="7ADE6439" w14:textId="4EE364AE" w:rsidR="002132E7" w:rsidRPr="00B57B36" w:rsidRDefault="002132E7" w:rsidP="00F0622D">
            <w:pPr>
              <w:pStyle w:val="CETEquation"/>
              <w:jc w:val="right"/>
            </w:pPr>
            <w:r w:rsidRPr="00B57B36">
              <w:t>(</w:t>
            </w:r>
            <w:r w:rsidR="00AD0F2E">
              <w:t>1</w:t>
            </w:r>
            <w:r w:rsidRPr="00B57B36">
              <w:t>)</w:t>
            </w:r>
          </w:p>
        </w:tc>
      </w:tr>
    </w:tbl>
    <w:p w14:paraId="1C08B888" w14:textId="5FC98377" w:rsidR="00646B32" w:rsidRPr="0090189B" w:rsidRDefault="002132E7" w:rsidP="00756FDF">
      <w:pPr>
        <w:pStyle w:val="CETBodytext"/>
        <w:rPr>
          <w:rFonts w:cs="Arial"/>
          <w:lang w:val="en-GB"/>
        </w:rPr>
      </w:pPr>
      <w:r w:rsidRPr="00054BCE">
        <w:rPr>
          <w:lang w:val="en-GB"/>
        </w:rPr>
        <w:t>w</w:t>
      </w:r>
      <w:r w:rsidRPr="00054BCE">
        <w:t xml:space="preserve">here </w:t>
      </w:r>
      <w:proofErr w:type="spellStart"/>
      <w:r w:rsidR="0016711F">
        <w:t>RA</w:t>
      </w:r>
      <w:r w:rsidR="0016711F">
        <w:rPr>
          <w:vertAlign w:val="subscript"/>
        </w:rPr>
        <w:t>air</w:t>
      </w:r>
      <w:proofErr w:type="spellEnd"/>
      <w:r w:rsidRPr="00054BCE">
        <w:t xml:space="preserve"> and </w:t>
      </w:r>
      <w:r w:rsidR="0016711F">
        <w:t>RA</w:t>
      </w:r>
      <w:r w:rsidR="0016711F">
        <w:rPr>
          <w:vertAlign w:val="subscript"/>
        </w:rPr>
        <w:t>H2</w:t>
      </w:r>
      <w:r w:rsidR="0016711F">
        <w:t xml:space="preserve"> </w:t>
      </w:r>
      <w:r w:rsidRPr="00054BCE">
        <w:t>represent the reduced area at fracture in air and hydrogen atmosphere</w:t>
      </w:r>
      <w:r w:rsidR="00470CA7">
        <w:t>s, respectively</w:t>
      </w:r>
      <w:r w:rsidR="00A47F57">
        <w:t xml:space="preserve">, </w:t>
      </w:r>
      <w:r w:rsidR="00496AFB" w:rsidRPr="00054BCE">
        <w:t>whil</w:t>
      </w:r>
      <w:r w:rsidR="005965B3" w:rsidRPr="00054BCE">
        <w:t>e</w:t>
      </w:r>
      <w:r w:rsidR="0090189B" w:rsidRPr="00054BCE">
        <w:t xml:space="preserve"> </w:t>
      </w:r>
      <w:r w:rsidR="0016711F">
        <w:t>A</w:t>
      </w:r>
      <w:r w:rsidR="0016711F">
        <w:rPr>
          <w:vertAlign w:val="subscript"/>
        </w:rPr>
        <w:t>i</w:t>
      </w:r>
      <w:r w:rsidR="0090189B" w:rsidRPr="00054BCE">
        <w:rPr>
          <w:rFonts w:cs="Arial"/>
          <w:lang w:val="en-GB"/>
        </w:rPr>
        <w:t xml:space="preserve"> and </w:t>
      </w:r>
      <w:proofErr w:type="spellStart"/>
      <w:r w:rsidR="0016711F">
        <w:rPr>
          <w:rFonts w:cs="Arial"/>
          <w:lang w:val="en-GB"/>
        </w:rPr>
        <w:t>A</w:t>
      </w:r>
      <w:r w:rsidR="0016711F">
        <w:rPr>
          <w:rFonts w:cs="Arial"/>
          <w:vertAlign w:val="subscript"/>
          <w:lang w:val="en-GB"/>
        </w:rPr>
        <w:t>f</w:t>
      </w:r>
      <w:proofErr w:type="spellEnd"/>
      <w:r w:rsidR="0090189B" w:rsidRPr="00054BCE">
        <w:rPr>
          <w:rFonts w:cs="Arial"/>
          <w:lang w:val="en-GB"/>
        </w:rPr>
        <w:t xml:space="preserve"> represent the initial and final fracture areas, respectively. </w:t>
      </w:r>
      <w:r w:rsidRPr="00054BCE">
        <w:t>The higher</w:t>
      </w:r>
      <w:r w:rsidR="00893572" w:rsidRPr="00054BCE">
        <w:t xml:space="preserve"> the</w:t>
      </w:r>
      <w:r w:rsidRPr="00054BCE">
        <w:t xml:space="preserve"> </w:t>
      </w:r>
      <w:r w:rsidR="0016711F">
        <w:t>EI</w:t>
      </w:r>
      <w:r w:rsidRPr="00054BCE">
        <w:t>, the higher</w:t>
      </w:r>
      <w:r w:rsidR="00EE09A9" w:rsidRPr="00054BCE">
        <w:t xml:space="preserve"> will be </w:t>
      </w:r>
      <w:r w:rsidR="00B66D8E" w:rsidRPr="00054BCE">
        <w:t xml:space="preserve">the difference in </w:t>
      </w:r>
      <w:r w:rsidR="00934F9B">
        <w:t xml:space="preserve">the </w:t>
      </w:r>
      <w:r w:rsidR="00B66D8E" w:rsidRPr="00054BCE">
        <w:t>reduced area</w:t>
      </w:r>
      <w:r w:rsidR="007731DF" w:rsidRPr="00054BCE">
        <w:t xml:space="preserve"> </w:t>
      </w:r>
      <w:r w:rsidR="00893572" w:rsidRPr="00054BCE">
        <w:t>in air and in</w:t>
      </w:r>
      <w:r w:rsidR="00934F9B">
        <w:t xml:space="preserve"> an</w:t>
      </w:r>
      <w:r w:rsidR="00893572" w:rsidRPr="00054BCE">
        <w:t xml:space="preserve"> H</w:t>
      </w:r>
      <w:r w:rsidR="00893572" w:rsidRPr="00054BCE">
        <w:rPr>
          <w:vertAlign w:val="subscript"/>
        </w:rPr>
        <w:t>2</w:t>
      </w:r>
      <w:r w:rsidR="00893572" w:rsidRPr="00054BCE">
        <w:t xml:space="preserve"> atmosphere, and consequently the</w:t>
      </w:r>
      <w:r w:rsidR="003B073F">
        <w:t xml:space="preserve"> HE</w:t>
      </w:r>
      <w:r w:rsidR="00893572" w:rsidRPr="00054BCE">
        <w:t xml:space="preserve"> susceptibility</w:t>
      </w:r>
      <w:r w:rsidR="00FB5B5D" w:rsidRPr="00054BCE">
        <w:t xml:space="preserve"> of the material.</w:t>
      </w:r>
      <w:r w:rsidR="00406C2A" w:rsidRPr="00054BCE">
        <w:t xml:space="preserve"> </w:t>
      </w:r>
      <w:r w:rsidR="00336FF6" w:rsidRPr="00054BCE">
        <w:t xml:space="preserve">In most ferritic steels, </w:t>
      </w:r>
      <w:r w:rsidR="00D87953" w:rsidRPr="00054BCE">
        <w:t xml:space="preserve">HE causes a loss of </w:t>
      </w:r>
      <w:r w:rsidR="0067606A">
        <w:t>RA</w:t>
      </w:r>
      <w:r w:rsidR="00D87953" w:rsidRPr="00054BCE">
        <w:t xml:space="preserve"> </w:t>
      </w:r>
      <w:r w:rsidR="00A64332" w:rsidRPr="00054BCE">
        <w:t xml:space="preserve">ranging </w:t>
      </w:r>
      <w:r w:rsidR="00330ECB" w:rsidRPr="00054BCE">
        <w:t xml:space="preserve">from 20% to 50% </w:t>
      </w:r>
      <w:r w:rsidR="00223226" w:rsidRPr="00054BCE">
        <w:t>for</w:t>
      </w:r>
      <w:r w:rsidR="00A64332" w:rsidRPr="00054BCE">
        <w:t xml:space="preserve"> smooth specimens and </w:t>
      </w:r>
      <w:r w:rsidR="00966177" w:rsidRPr="00054BCE">
        <w:t>up to 80%</w:t>
      </w:r>
      <w:r w:rsidR="00966177">
        <w:t xml:space="preserve"> </w:t>
      </w:r>
      <w:r w:rsidR="00223226">
        <w:t>for</w:t>
      </w:r>
      <w:r w:rsidR="00966177">
        <w:t xml:space="preserve"> notched specimens</w:t>
      </w:r>
      <w:r w:rsidR="00CE036E">
        <w:t xml:space="preserve"> </w:t>
      </w:r>
      <w:r w:rsidR="002D6068">
        <w:t>(NASA, 201</w:t>
      </w:r>
      <w:r w:rsidR="00C970E7">
        <w:t>6).</w:t>
      </w:r>
      <w:r w:rsidR="008B4220">
        <w:t xml:space="preserve"> </w:t>
      </w:r>
      <w:r w:rsidR="004F21B1">
        <w:t>The triaxial stress region</w:t>
      </w:r>
      <w:r w:rsidR="00A8275F">
        <w:t xml:space="preserve"> ahead of the notch </w:t>
      </w:r>
      <w:r w:rsidR="004213EE">
        <w:t xml:space="preserve">causes a </w:t>
      </w:r>
      <w:r w:rsidR="002D0647">
        <w:t>more significant</w:t>
      </w:r>
      <w:r w:rsidR="004213EE">
        <w:t xml:space="preserve"> hydrogen accumulation</w:t>
      </w:r>
      <w:r w:rsidR="00223226">
        <w:t>, which</w:t>
      </w:r>
      <w:r w:rsidR="004213EE">
        <w:t xml:space="preserve"> enhance</w:t>
      </w:r>
      <w:r w:rsidR="00223226">
        <w:t>s the</w:t>
      </w:r>
      <w:r w:rsidR="004213EE">
        <w:t xml:space="preserve"> </w:t>
      </w:r>
      <w:r w:rsidR="00223226">
        <w:t>HE</w:t>
      </w:r>
      <w:r w:rsidR="004213EE">
        <w:t xml:space="preserve"> effect</w:t>
      </w:r>
      <w:r w:rsidR="00223226">
        <w:t>s</w:t>
      </w:r>
      <w:r w:rsidR="004213EE">
        <w:t>.</w:t>
      </w:r>
    </w:p>
    <w:p w14:paraId="5AB85B0A" w14:textId="76FEDB0F" w:rsidR="003B5902" w:rsidRPr="001C01D7" w:rsidRDefault="00922EEC" w:rsidP="00756FDF">
      <w:pPr>
        <w:pStyle w:val="CETBodytext"/>
      </w:pPr>
      <w:r w:rsidRPr="00922EEC">
        <w:lastRenderedPageBreak/>
        <w:t>As a rule of thumb, the hydrogen concentration in the metal lattice is proportional to the hydrogen partial pressure (according to Sievert’s law), and the same goes for the H</w:t>
      </w:r>
      <w:r w:rsidRPr="002D6068">
        <w:rPr>
          <w:vertAlign w:val="subscript"/>
        </w:rPr>
        <w:t>2</w:t>
      </w:r>
      <w:r w:rsidRPr="00922EEC">
        <w:t>-induced detriment in tensile properties. A saturation level can be observed so that further pressure increases above a certain level (the specific value depends on the material) does not further affect ductility. On the other hand, the temperature effect is more complex since it affects the kinetic of surface reactions, hydrogen solubility, diffusivity, and trapping contemporarily. At high temperatures, atoms’ mobility is high and de-trapping is favored, while, at low temperatures, the diffusion through the metal lattice is slow and longer exposure times are required to obtain the critical combination of local hydrogen concentration</w:t>
      </w:r>
      <w:r w:rsidR="0063323D">
        <w:t xml:space="preserve"> and</w:t>
      </w:r>
      <w:r w:rsidRPr="00922EEC">
        <w:t xml:space="preserve"> </w:t>
      </w:r>
      <w:r w:rsidR="0063323D">
        <w:t xml:space="preserve">local </w:t>
      </w:r>
      <w:r w:rsidRPr="00922EEC">
        <w:t xml:space="preserve">stress for embrittlement to be displayed. As a result, HE </w:t>
      </w:r>
      <w:proofErr w:type="gramStart"/>
      <w:r w:rsidRPr="00922EEC">
        <w:t>impact</w:t>
      </w:r>
      <w:proofErr w:type="gramEnd"/>
      <w:r w:rsidRPr="00922EEC">
        <w:t xml:space="preserve"> reaches a maximum at near-ambient temperature for a wide variety of ferritic steels (</w:t>
      </w:r>
      <w:proofErr w:type="spellStart"/>
      <w:r w:rsidRPr="00922EEC">
        <w:t>Gangloff</w:t>
      </w:r>
      <w:proofErr w:type="spellEnd"/>
      <w:r w:rsidRPr="00922EEC">
        <w:t xml:space="preserve"> and </w:t>
      </w:r>
      <w:proofErr w:type="spellStart"/>
      <w:r w:rsidRPr="00922EEC">
        <w:t>Somerday</w:t>
      </w:r>
      <w:proofErr w:type="spellEnd"/>
      <w:r w:rsidRPr="00922EEC">
        <w:t xml:space="preserve">, 2012). Finally, materials metallurgy is also considered an overriding factor for the occurrence of hydrogen embrittlement. High-strength steels are normally more prone to HE, and certain microstructures (e.g., martensite) are more susceptible than others (e.g., austenite) even at the same strength level. Moreover, the chemical composition represents an important parameter: aluminum and copper alloys can always be used, along with austenitic steels with Ni content above 7% (San </w:t>
      </w:r>
      <w:proofErr w:type="spellStart"/>
      <w:r w:rsidRPr="00922EEC">
        <w:t>Marchi</w:t>
      </w:r>
      <w:proofErr w:type="spellEnd"/>
      <w:r w:rsidRPr="00922EEC">
        <w:t xml:space="preserve"> and </w:t>
      </w:r>
      <w:proofErr w:type="spellStart"/>
      <w:r w:rsidRPr="00922EEC">
        <w:t>Somerday</w:t>
      </w:r>
      <w:proofErr w:type="spellEnd"/>
      <w:r w:rsidRPr="00922EEC">
        <w:t>, 2012). Finally, the testing conditions</w:t>
      </w:r>
      <w:r w:rsidR="00EC4DA5">
        <w:t xml:space="preserve"> </w:t>
      </w:r>
      <w:r w:rsidR="00793E79">
        <w:t>influence the HE severity. In the case of tensile tests, the nominal strain rate</w:t>
      </w:r>
      <w:r w:rsidR="00D86640">
        <w:t xml:space="preserve"> is the most important factor. It should be low enough to allow hydrogen </w:t>
      </w:r>
      <w:r w:rsidR="00794EEE">
        <w:t xml:space="preserve">to </w:t>
      </w:r>
      <w:r w:rsidR="00D86640">
        <w:t>diffus</w:t>
      </w:r>
      <w:r w:rsidR="00794EEE">
        <w:t>e</w:t>
      </w:r>
      <w:r w:rsidR="00D86640">
        <w:t xml:space="preserve"> </w:t>
      </w:r>
      <w:r w:rsidR="00A84FF6">
        <w:t xml:space="preserve">through the metal lattice and accumulate </w:t>
      </w:r>
      <w:r w:rsidR="006A3C7A">
        <w:t>near</w:t>
      </w:r>
      <w:r w:rsidR="000B57DB">
        <w:t xml:space="preserve"> defects</w:t>
      </w:r>
      <w:r w:rsidR="00794EEE">
        <w:t xml:space="preserve"> and inclusions.</w:t>
      </w:r>
    </w:p>
    <w:p w14:paraId="5741900F" w14:textId="49F73E59" w:rsidR="00453E24" w:rsidRDefault="00EC6351" w:rsidP="00453E24">
      <w:pPr>
        <w:pStyle w:val="CETHeading1"/>
      </w:pPr>
      <w:r>
        <w:t>Method</w:t>
      </w:r>
      <w:r w:rsidR="00782022">
        <w:t>ology</w:t>
      </w:r>
    </w:p>
    <w:p w14:paraId="08350032" w14:textId="2FFE9E60" w:rsidR="00582AE5" w:rsidRDefault="00A77B4F" w:rsidP="002E3799">
      <w:pPr>
        <w:pStyle w:val="CETBodytext"/>
      </w:pPr>
      <w:r>
        <w:t xml:space="preserve">The </w:t>
      </w:r>
      <w:r w:rsidR="00A85885">
        <w:t>methodology adopted</w:t>
      </w:r>
      <w:r w:rsidR="004C1BD1">
        <w:t xml:space="preserve"> for</w:t>
      </w:r>
      <w:r w:rsidR="005B4FFF">
        <w:t xml:space="preserve"> classifying the materials based on their hydrogen embrittlement susceptibility</w:t>
      </w:r>
      <w:r w:rsidR="00A85885">
        <w:t xml:space="preserve"> can be divided into three main steps: data</w:t>
      </w:r>
      <w:r w:rsidR="00AB6B75">
        <w:t>base creation</w:t>
      </w:r>
      <w:r w:rsidR="005F7EDA">
        <w:t xml:space="preserve"> and pre-processing</w:t>
      </w:r>
      <w:r w:rsidR="00A85885">
        <w:t xml:space="preserve">, </w:t>
      </w:r>
      <w:r w:rsidR="00A903F5">
        <w:t>target definition</w:t>
      </w:r>
      <w:r w:rsidR="00E04460">
        <w:t>, and machine learning simulation</w:t>
      </w:r>
      <w:r w:rsidR="000E35C0">
        <w:t>. It is described in detail in the following</w:t>
      </w:r>
      <w:r w:rsidR="00EE066D">
        <w:t xml:space="preserve"> section</w:t>
      </w:r>
      <w:r w:rsidR="00A47F57">
        <w:t>s</w:t>
      </w:r>
      <w:r w:rsidR="000E35C0">
        <w:t>.</w:t>
      </w:r>
    </w:p>
    <w:p w14:paraId="4F54AA4A" w14:textId="0032FE78" w:rsidR="00A85885" w:rsidRDefault="00A85885" w:rsidP="00EE066D">
      <w:pPr>
        <w:pStyle w:val="CETheadingx"/>
      </w:pPr>
      <w:r>
        <w:t>Data</w:t>
      </w:r>
      <w:r w:rsidR="00CD4463">
        <w:t>base creation</w:t>
      </w:r>
      <w:r w:rsidR="00A4554E">
        <w:t xml:space="preserve"> and pre-processing</w:t>
      </w:r>
    </w:p>
    <w:p w14:paraId="703EB74C" w14:textId="0179751C" w:rsidR="005F5577" w:rsidRPr="005F5577" w:rsidRDefault="00463CD6" w:rsidP="00CF3CB2">
      <w:pPr>
        <w:pStyle w:val="CETBodytext"/>
      </w:pPr>
      <w:r>
        <w:t>The</w:t>
      </w:r>
      <w:r w:rsidR="002456B5">
        <w:t xml:space="preserve"> </w:t>
      </w:r>
      <w:r w:rsidR="005E4BCA">
        <w:t>data</w:t>
      </w:r>
      <w:r w:rsidR="005B6F8D">
        <w:t>base contains information</w:t>
      </w:r>
      <w:r w:rsidR="00BE7317">
        <w:t xml:space="preserve"> about </w:t>
      </w:r>
      <w:r w:rsidR="00961737">
        <w:t xml:space="preserve">tensile </w:t>
      </w:r>
      <w:r w:rsidR="00BE7317">
        <w:t>test</w:t>
      </w:r>
      <w:r w:rsidR="00EE066D">
        <w:t xml:space="preserve"> results</w:t>
      </w:r>
      <w:r w:rsidR="00961737">
        <w:t xml:space="preserve">, where </w:t>
      </w:r>
      <w:r w:rsidR="006701CD">
        <w:t>the specimens were subjected to stress</w:t>
      </w:r>
      <w:r w:rsidR="00710164">
        <w:t xml:space="preserve"> in combination with exposure to high-pressure hydrogen gas</w:t>
      </w:r>
      <w:r w:rsidR="006A5D92">
        <w:t>.</w:t>
      </w:r>
      <w:r w:rsidR="006302ED">
        <w:t xml:space="preserve"> The features </w:t>
      </w:r>
      <w:r w:rsidR="000454EE">
        <w:t>include</w:t>
      </w:r>
      <w:r w:rsidR="003626BF">
        <w:t xml:space="preserve"> environmental parameters (</w:t>
      </w:r>
      <w:r w:rsidR="00E40F7D">
        <w:t xml:space="preserve">i.e., </w:t>
      </w:r>
      <w:r w:rsidR="00EE066D">
        <w:t>testing</w:t>
      </w:r>
      <w:r w:rsidR="0027637B">
        <w:t xml:space="preserve"> environmental</w:t>
      </w:r>
      <w:r w:rsidR="003626BF">
        <w:t xml:space="preserve"> conditions)</w:t>
      </w:r>
      <w:r w:rsidR="00E40F7D">
        <w:t xml:space="preserve">, material </w:t>
      </w:r>
      <w:r w:rsidR="00867BA5">
        <w:t>properties</w:t>
      </w:r>
      <w:r w:rsidR="00E40F7D">
        <w:t xml:space="preserve"> (</w:t>
      </w:r>
      <w:r w:rsidR="00E55255">
        <w:t>i.e.</w:t>
      </w:r>
      <w:r w:rsidR="00EC73CD">
        <w:t>,</w:t>
      </w:r>
      <w:r w:rsidR="00E413BA">
        <w:t xml:space="preserve"> metallurgy and</w:t>
      </w:r>
      <w:r w:rsidR="00E55255">
        <w:t xml:space="preserve"> </w:t>
      </w:r>
      <w:r w:rsidR="00867BA5">
        <w:t>characterization of the specimen</w:t>
      </w:r>
      <w:r w:rsidR="00F3337E">
        <w:t>)</w:t>
      </w:r>
      <w:r w:rsidR="0008211A">
        <w:t>, and loading conditions</w:t>
      </w:r>
      <w:r w:rsidR="005D03EE">
        <w:t xml:space="preserve"> (i.e., </w:t>
      </w:r>
      <w:r w:rsidR="00B75F9F">
        <w:t xml:space="preserve">nominal </w:t>
      </w:r>
      <w:r w:rsidR="007036F7">
        <w:t xml:space="preserve">strain rate </w:t>
      </w:r>
      <w:r w:rsidR="00FA3ED2">
        <w:t>and presence of stress concentrators)</w:t>
      </w:r>
      <w:r w:rsidR="007036F7">
        <w:t xml:space="preserve">. All these </w:t>
      </w:r>
      <w:r w:rsidR="006C2BAF">
        <w:t xml:space="preserve">data have been </w:t>
      </w:r>
      <w:r w:rsidR="001643A3">
        <w:t>retrieved from the literature</w:t>
      </w:r>
      <w:r w:rsidR="003779AD">
        <w:t>. Among the other</w:t>
      </w:r>
      <w:r w:rsidR="002E5BA2">
        <w:t>s</w:t>
      </w:r>
      <w:r w:rsidR="002402BF">
        <w:t>,</w:t>
      </w:r>
      <w:r w:rsidR="003779AD">
        <w:t xml:space="preserve"> the “Technical Reference for Hydrogen Compatibility of Materials”</w:t>
      </w:r>
      <w:r w:rsidR="002402BF">
        <w:t xml:space="preserve"> (San </w:t>
      </w:r>
      <w:proofErr w:type="spellStart"/>
      <w:r w:rsidR="002402BF">
        <w:t>Marchi</w:t>
      </w:r>
      <w:proofErr w:type="spellEnd"/>
      <w:r w:rsidR="002402BF">
        <w:t xml:space="preserve"> and </w:t>
      </w:r>
      <w:proofErr w:type="spellStart"/>
      <w:r w:rsidR="002402BF">
        <w:t>Somerday</w:t>
      </w:r>
      <w:proofErr w:type="spellEnd"/>
      <w:r w:rsidR="002402BF">
        <w:t xml:space="preserve">, 2012) represents </w:t>
      </w:r>
      <w:r w:rsidR="00DE6858">
        <w:t xml:space="preserve">the primary source of information. </w:t>
      </w:r>
      <w:r w:rsidR="0062716A">
        <w:t xml:space="preserve">The structure of the </w:t>
      </w:r>
      <w:r w:rsidR="00D25C7C">
        <w:t xml:space="preserve">original </w:t>
      </w:r>
      <w:r w:rsidR="0062716A">
        <w:t xml:space="preserve">database is summarized in Table 1. </w:t>
      </w:r>
      <w:r w:rsidR="00DE6858">
        <w:t xml:space="preserve">Considering that most tests </w:t>
      </w:r>
      <w:r w:rsidR="008F4633">
        <w:t>have been</w:t>
      </w:r>
      <w:r w:rsidR="00DE6858">
        <w:t xml:space="preserve"> performed under stand</w:t>
      </w:r>
      <w:r w:rsidR="00DA0928">
        <w:t xml:space="preserve">ard hydrogen </w:t>
      </w:r>
      <w:r w:rsidR="00903969">
        <w:t>purity level</w:t>
      </w:r>
      <w:r w:rsidR="00673F9D">
        <w:t xml:space="preserve"> (i.e., </w:t>
      </w:r>
      <w:r w:rsidR="00C90637">
        <w:rPr>
          <w:rFonts w:cs="Arial"/>
        </w:rPr>
        <w:t>99.9</w:t>
      </w:r>
      <w:r w:rsidR="00903969">
        <w:rPr>
          <w:rFonts w:cs="Arial"/>
        </w:rPr>
        <w:t>9</w:t>
      </w:r>
      <w:r w:rsidR="00C90637">
        <w:rPr>
          <w:rFonts w:cs="Arial"/>
        </w:rPr>
        <w:t>%)</w:t>
      </w:r>
      <w:r w:rsidR="00D73EC1">
        <w:rPr>
          <w:rFonts w:cs="Arial"/>
        </w:rPr>
        <w:t>,</w:t>
      </w:r>
      <w:r w:rsidR="00CE21EC">
        <w:rPr>
          <w:rFonts w:cs="Arial"/>
        </w:rPr>
        <w:t xml:space="preserve"> the correspondent feature ha</w:t>
      </w:r>
      <w:r w:rsidR="00A4616B">
        <w:rPr>
          <w:rFonts w:cs="Arial"/>
        </w:rPr>
        <w:t>s</w:t>
      </w:r>
      <w:r w:rsidR="00CE21EC">
        <w:rPr>
          <w:rFonts w:cs="Arial"/>
        </w:rPr>
        <w:t xml:space="preserve"> not been deemed relevant for the analyses and ha</w:t>
      </w:r>
      <w:r w:rsidR="00A4616B">
        <w:rPr>
          <w:rFonts w:cs="Arial"/>
        </w:rPr>
        <w:t>s</w:t>
      </w:r>
      <w:r w:rsidR="00CE21EC">
        <w:rPr>
          <w:rFonts w:cs="Arial"/>
        </w:rPr>
        <w:t xml:space="preserve"> been discarded.</w:t>
      </w:r>
      <w:r w:rsidR="00010A6F">
        <w:rPr>
          <w:rFonts w:cs="Arial"/>
        </w:rPr>
        <w:t xml:space="preserve"> Mo</w:t>
      </w:r>
      <w:r w:rsidR="00CB7641">
        <w:rPr>
          <w:rFonts w:cs="Arial"/>
        </w:rPr>
        <w:t xml:space="preserve">reover, </w:t>
      </w:r>
      <w:r w:rsidR="00E05EBE">
        <w:rPr>
          <w:rFonts w:cs="Arial"/>
        </w:rPr>
        <w:t>the</w:t>
      </w:r>
      <w:r w:rsidR="00703AA1">
        <w:rPr>
          <w:rFonts w:cs="Arial"/>
        </w:rPr>
        <w:t xml:space="preserve"> features’ values</w:t>
      </w:r>
      <w:r w:rsidR="00CE7AE4">
        <w:rPr>
          <w:rFonts w:cs="Arial"/>
        </w:rPr>
        <w:t xml:space="preserve"> </w:t>
      </w:r>
      <w:r w:rsidR="00CE446B">
        <w:rPr>
          <w:rFonts w:cs="Arial"/>
        </w:rPr>
        <w:t>have been</w:t>
      </w:r>
      <w:r w:rsidR="00CE7AE4">
        <w:rPr>
          <w:rFonts w:cs="Arial"/>
        </w:rPr>
        <w:t xml:space="preserve"> converted</w:t>
      </w:r>
      <w:r w:rsidR="00E05EBE">
        <w:rPr>
          <w:rFonts w:cs="Arial"/>
        </w:rPr>
        <w:t xml:space="preserve"> </w:t>
      </w:r>
      <w:r w:rsidR="00CE7AE4">
        <w:rPr>
          <w:rFonts w:cs="Arial"/>
        </w:rPr>
        <w:t xml:space="preserve">to </w:t>
      </w:r>
      <w:r w:rsidR="00E05EBE">
        <w:rPr>
          <w:rFonts w:cs="Arial"/>
        </w:rPr>
        <w:t>have a</w:t>
      </w:r>
      <w:r w:rsidR="00CE7AE4">
        <w:rPr>
          <w:rFonts w:cs="Arial"/>
        </w:rPr>
        <w:t xml:space="preserve"> </w:t>
      </w:r>
      <w:r w:rsidR="00595A2E">
        <w:rPr>
          <w:rFonts w:cs="Arial"/>
        </w:rPr>
        <w:t>unique</w:t>
      </w:r>
      <w:r w:rsidR="00E05EBE">
        <w:rPr>
          <w:rFonts w:cs="Arial"/>
        </w:rPr>
        <w:t xml:space="preserve"> unit</w:t>
      </w:r>
      <w:r w:rsidR="00595A2E">
        <w:rPr>
          <w:rFonts w:cs="Arial"/>
        </w:rPr>
        <w:t xml:space="preserve"> for each </w:t>
      </w:r>
      <w:r w:rsidR="00125C7A">
        <w:rPr>
          <w:rFonts w:cs="Arial"/>
        </w:rPr>
        <w:t>physical quantity.</w:t>
      </w:r>
      <w:r w:rsidR="00A84F4F">
        <w:rPr>
          <w:rFonts w:cs="Arial"/>
        </w:rPr>
        <w:t xml:space="preserve"> In this case, the </w:t>
      </w:r>
      <w:r w:rsidR="00A84F4F" w:rsidRPr="00CE446B">
        <w:rPr>
          <w:rFonts w:cs="Arial"/>
        </w:rPr>
        <w:t xml:space="preserve">normalization </w:t>
      </w:r>
      <w:r w:rsidR="00DE5127" w:rsidRPr="00CE446B">
        <w:rPr>
          <w:rFonts w:cs="Arial"/>
        </w:rPr>
        <w:t>of the numerical values was not deemed useful since no scale effects were observed.</w:t>
      </w:r>
      <w:r w:rsidR="00384207" w:rsidRPr="00CE446B">
        <w:rPr>
          <w:rFonts w:cs="Arial"/>
        </w:rPr>
        <w:t xml:space="preserve"> T</w:t>
      </w:r>
      <w:r w:rsidR="0075075A" w:rsidRPr="00CE446B">
        <w:rPr>
          <w:rFonts w:cs="Arial"/>
        </w:rPr>
        <w:t xml:space="preserve">he pre-processed database included </w:t>
      </w:r>
      <w:r w:rsidR="00CE446B" w:rsidRPr="00CE446B">
        <w:rPr>
          <w:rFonts w:cs="Arial"/>
        </w:rPr>
        <w:t>200</w:t>
      </w:r>
      <w:r w:rsidR="0075075A" w:rsidRPr="00CE446B">
        <w:rPr>
          <w:rFonts w:cs="Arial"/>
        </w:rPr>
        <w:t xml:space="preserve"> tests (i.e., rows) and </w:t>
      </w:r>
      <w:r w:rsidR="001F01DF">
        <w:rPr>
          <w:rFonts w:cs="Arial"/>
        </w:rPr>
        <w:t>24</w:t>
      </w:r>
      <w:r w:rsidR="0075075A" w:rsidRPr="00CE446B">
        <w:rPr>
          <w:rFonts w:cs="Arial"/>
        </w:rPr>
        <w:t xml:space="preserve"> features </w:t>
      </w:r>
      <w:r w:rsidR="0075075A">
        <w:rPr>
          <w:rFonts w:cs="Arial"/>
        </w:rPr>
        <w:t>(i.e., columns).</w:t>
      </w:r>
    </w:p>
    <w:p w14:paraId="14B402A5" w14:textId="2A840F75" w:rsidR="00CA7C6E" w:rsidRDefault="00CA7C6E" w:rsidP="00CA7C6E">
      <w:pPr>
        <w:pStyle w:val="CETTabletitle"/>
      </w:pPr>
      <w:bookmarkStart w:id="1" w:name="_Ref120116657"/>
      <w:r>
        <w:t xml:space="preserve">Table </w:t>
      </w:r>
      <w:r>
        <w:fldChar w:fldCharType="begin"/>
      </w:r>
      <w:r>
        <w:instrText xml:space="preserve"> SEQ Table \* ARABIC </w:instrText>
      </w:r>
      <w:r>
        <w:fldChar w:fldCharType="separate"/>
      </w:r>
      <w:r w:rsidR="005D4256">
        <w:rPr>
          <w:noProof/>
        </w:rPr>
        <w:t>1</w:t>
      </w:r>
      <w:r>
        <w:fldChar w:fldCharType="end"/>
      </w:r>
      <w:bookmarkEnd w:id="1"/>
      <w:r>
        <w:t xml:space="preserve">: </w:t>
      </w:r>
      <w:r w:rsidR="00840075">
        <w:t>Structure of the</w:t>
      </w:r>
      <w:r w:rsidR="009700A8">
        <w:t xml:space="preserve"> </w:t>
      </w:r>
      <w:r w:rsidR="00840075">
        <w:t>database</w:t>
      </w:r>
      <w:r w:rsidR="00280563">
        <w:t xml:space="preserve"> (EB: </w:t>
      </w:r>
      <w:r w:rsidR="00F77F3E">
        <w:t>Electron Beam</w:t>
      </w:r>
      <w:r w:rsidR="00280563">
        <w:t xml:space="preserve">; ERW: </w:t>
      </w:r>
      <w:r w:rsidR="00EA000F">
        <w:rPr>
          <w:rFonts w:cs="Arial"/>
          <w:szCs w:val="18"/>
        </w:rPr>
        <w:t>E</w:t>
      </w:r>
      <w:r w:rsidR="00EA000F" w:rsidRPr="00ED2E13">
        <w:rPr>
          <w:rFonts w:cs="Arial"/>
          <w:szCs w:val="18"/>
        </w:rPr>
        <w:t xml:space="preserve">lectric </w:t>
      </w:r>
      <w:r w:rsidR="00EA000F">
        <w:rPr>
          <w:rFonts w:cs="Arial"/>
          <w:szCs w:val="18"/>
        </w:rPr>
        <w:t>R</w:t>
      </w:r>
      <w:r w:rsidR="00EA000F" w:rsidRPr="00ED2E13">
        <w:rPr>
          <w:rFonts w:cs="Arial"/>
          <w:szCs w:val="18"/>
        </w:rPr>
        <w:t xml:space="preserve">esistance </w:t>
      </w:r>
      <w:r w:rsidR="00EA000F">
        <w:rPr>
          <w:rFonts w:cs="Arial"/>
          <w:szCs w:val="18"/>
        </w:rPr>
        <w:t>W</w:t>
      </w:r>
      <w:r w:rsidR="00EA000F" w:rsidRPr="00ED2E13">
        <w:rPr>
          <w:rFonts w:cs="Arial"/>
          <w:szCs w:val="18"/>
        </w:rPr>
        <w:t>eld</w:t>
      </w:r>
      <w:r w:rsidR="00280563">
        <w:t>;</w:t>
      </w:r>
      <w:r w:rsidR="007A2263">
        <w:t xml:space="preserve"> GMA: </w:t>
      </w:r>
      <w:r w:rsidR="00C82977">
        <w:t>Gas Metal Arc</w:t>
      </w:r>
      <w:r w:rsidR="007A2263">
        <w:t xml:space="preserve">; GTA: </w:t>
      </w:r>
      <w:r w:rsidR="00EA000F">
        <w:rPr>
          <w:rFonts w:cs="Arial"/>
          <w:szCs w:val="18"/>
        </w:rPr>
        <w:t>Gas Tungsten Arc</w:t>
      </w:r>
      <w:r w:rsidR="007A2263">
        <w:t xml:space="preserve">; HAZ: </w:t>
      </w:r>
      <w:r w:rsidR="00EA000F">
        <w:t>Heat-Affected Zone</w:t>
      </w:r>
      <w:r w:rsidR="007A2263">
        <w:t xml:space="preserve">; SA: </w:t>
      </w:r>
      <w:r w:rsidR="005A3FB2">
        <w:t>Submerged Arc</w:t>
      </w:r>
      <w:r w:rsidR="007A2263">
        <w:t xml:space="preserve">; SMA: </w:t>
      </w:r>
      <w:r w:rsidR="00102FBA" w:rsidRPr="00102FBA">
        <w:t>Shielded Metal Arc</w:t>
      </w:r>
      <w:r w:rsidR="00102FBA">
        <w:t>)</w:t>
      </w:r>
    </w:p>
    <w:tbl>
      <w:tblPr>
        <w:tblW w:w="8730"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260"/>
        <w:gridCol w:w="6300"/>
        <w:gridCol w:w="1170"/>
      </w:tblGrid>
      <w:tr w:rsidR="00CA7C6E" w:rsidRPr="00B57B36" w14:paraId="70CA4950" w14:textId="77777777" w:rsidTr="000A6820">
        <w:tc>
          <w:tcPr>
            <w:tcW w:w="1260" w:type="dxa"/>
            <w:tcBorders>
              <w:top w:val="single" w:sz="12" w:space="0" w:color="008000"/>
              <w:bottom w:val="single" w:sz="6" w:space="0" w:color="008000"/>
            </w:tcBorders>
            <w:shd w:val="clear" w:color="auto" w:fill="FFFFFF"/>
          </w:tcPr>
          <w:p w14:paraId="58D62D8F" w14:textId="6C87D8D5" w:rsidR="00CA7C6E" w:rsidRPr="00B57B36" w:rsidRDefault="00CF1D25" w:rsidP="00F0622D">
            <w:pPr>
              <w:pStyle w:val="CETBodytext"/>
              <w:jc w:val="left"/>
              <w:rPr>
                <w:lang w:val="en-GB"/>
              </w:rPr>
            </w:pPr>
            <w:r>
              <w:rPr>
                <w:lang w:val="en-GB"/>
              </w:rPr>
              <w:t>Factor</w:t>
            </w:r>
          </w:p>
        </w:tc>
        <w:tc>
          <w:tcPr>
            <w:tcW w:w="6300" w:type="dxa"/>
            <w:tcBorders>
              <w:top w:val="single" w:sz="12" w:space="0" w:color="008000"/>
              <w:bottom w:val="single" w:sz="6" w:space="0" w:color="008000"/>
            </w:tcBorders>
            <w:shd w:val="clear" w:color="auto" w:fill="FFFFFF"/>
          </w:tcPr>
          <w:p w14:paraId="2B9EBAF1" w14:textId="31AACA84" w:rsidR="00CA7C6E" w:rsidRPr="00B57B36" w:rsidRDefault="00A14601" w:rsidP="00F0622D">
            <w:pPr>
              <w:pStyle w:val="CETBodytext"/>
              <w:ind w:right="-1"/>
              <w:jc w:val="left"/>
              <w:rPr>
                <w:rFonts w:cs="Arial"/>
                <w:szCs w:val="18"/>
                <w:lang w:val="en-GB"/>
              </w:rPr>
            </w:pPr>
            <w:r>
              <w:rPr>
                <w:rFonts w:cs="Arial"/>
                <w:szCs w:val="18"/>
                <w:lang w:val="en-GB"/>
              </w:rPr>
              <w:t>Feature</w:t>
            </w:r>
          </w:p>
        </w:tc>
        <w:tc>
          <w:tcPr>
            <w:tcW w:w="1170" w:type="dxa"/>
            <w:tcBorders>
              <w:top w:val="single" w:sz="12" w:space="0" w:color="008000"/>
              <w:bottom w:val="single" w:sz="6" w:space="0" w:color="008000"/>
            </w:tcBorders>
            <w:shd w:val="clear" w:color="auto" w:fill="FFFFFF"/>
          </w:tcPr>
          <w:p w14:paraId="037669ED" w14:textId="6476F799" w:rsidR="00CA7C6E" w:rsidRDefault="00A14601" w:rsidP="00F0622D">
            <w:pPr>
              <w:pStyle w:val="CETBodytext"/>
              <w:ind w:right="-1"/>
              <w:jc w:val="left"/>
              <w:rPr>
                <w:rFonts w:cs="Arial"/>
                <w:szCs w:val="18"/>
                <w:lang w:val="en-GB"/>
              </w:rPr>
            </w:pPr>
            <w:r>
              <w:rPr>
                <w:rFonts w:cs="Arial"/>
                <w:szCs w:val="18"/>
                <w:lang w:val="en-GB"/>
              </w:rPr>
              <w:t>Feature type</w:t>
            </w:r>
          </w:p>
        </w:tc>
      </w:tr>
      <w:tr w:rsidR="00D05DE9" w:rsidRPr="00E313B3" w14:paraId="0B773BC6" w14:textId="77777777" w:rsidTr="000A6820">
        <w:tc>
          <w:tcPr>
            <w:tcW w:w="1260" w:type="dxa"/>
            <w:vMerge w:val="restart"/>
            <w:shd w:val="clear" w:color="auto" w:fill="FFFFFF"/>
          </w:tcPr>
          <w:p w14:paraId="1B6B8650" w14:textId="11928AC2" w:rsidR="00D05DE9" w:rsidRPr="00B57B36" w:rsidRDefault="00D05DE9" w:rsidP="00F0622D">
            <w:pPr>
              <w:pStyle w:val="CETBodytext"/>
              <w:jc w:val="left"/>
              <w:rPr>
                <w:lang w:val="en-GB"/>
              </w:rPr>
            </w:pPr>
            <w:r>
              <w:rPr>
                <w:lang w:val="en-GB"/>
              </w:rPr>
              <w:t>Environment</w:t>
            </w:r>
          </w:p>
        </w:tc>
        <w:tc>
          <w:tcPr>
            <w:tcW w:w="6300" w:type="dxa"/>
            <w:shd w:val="clear" w:color="auto" w:fill="FFFFFF"/>
          </w:tcPr>
          <w:p w14:paraId="070C7578" w14:textId="3F39A201" w:rsidR="00D05DE9" w:rsidRPr="00E313B3" w:rsidRDefault="00D05DE9" w:rsidP="00F0622D">
            <w:pPr>
              <w:pStyle w:val="CETBodytext"/>
              <w:ind w:right="-1"/>
              <w:jc w:val="left"/>
              <w:rPr>
                <w:rFonts w:cs="Arial"/>
                <w:szCs w:val="18"/>
              </w:rPr>
            </w:pPr>
            <w:r>
              <w:rPr>
                <w:rFonts w:cs="Arial"/>
                <w:szCs w:val="18"/>
              </w:rPr>
              <w:t>P</w:t>
            </w:r>
            <w:r w:rsidRPr="00E313B3">
              <w:rPr>
                <w:rFonts w:cs="Arial"/>
                <w:szCs w:val="18"/>
              </w:rPr>
              <w:t>ressur</w:t>
            </w:r>
            <w:r>
              <w:rPr>
                <w:rFonts w:cs="Arial"/>
                <w:szCs w:val="18"/>
              </w:rPr>
              <w:t>e (MPa)</w:t>
            </w:r>
          </w:p>
        </w:tc>
        <w:tc>
          <w:tcPr>
            <w:tcW w:w="1170" w:type="dxa"/>
            <w:shd w:val="clear" w:color="auto" w:fill="FFFFFF"/>
          </w:tcPr>
          <w:p w14:paraId="04033E3C" w14:textId="5864FEDF" w:rsidR="00D05DE9" w:rsidRPr="00E313B3" w:rsidRDefault="00D05DE9" w:rsidP="00F0622D">
            <w:pPr>
              <w:pStyle w:val="CETBodytext"/>
              <w:ind w:right="-1"/>
              <w:jc w:val="left"/>
              <w:rPr>
                <w:rFonts w:cs="Arial"/>
                <w:szCs w:val="18"/>
              </w:rPr>
            </w:pPr>
            <w:r>
              <w:rPr>
                <w:rFonts w:cs="Arial"/>
                <w:szCs w:val="18"/>
              </w:rPr>
              <w:t>Numerical</w:t>
            </w:r>
          </w:p>
        </w:tc>
      </w:tr>
      <w:tr w:rsidR="00D05DE9" w:rsidRPr="00E313B3" w14:paraId="1D5AF2DC" w14:textId="77777777" w:rsidTr="000A6820">
        <w:tc>
          <w:tcPr>
            <w:tcW w:w="1260" w:type="dxa"/>
            <w:vMerge/>
            <w:shd w:val="clear" w:color="auto" w:fill="FFFFFF"/>
          </w:tcPr>
          <w:p w14:paraId="783CC257" w14:textId="77777777" w:rsidR="00D05DE9" w:rsidRPr="00E313B3" w:rsidRDefault="00D05DE9" w:rsidP="00F0622D">
            <w:pPr>
              <w:pStyle w:val="CETBodytext"/>
              <w:ind w:right="-1"/>
              <w:jc w:val="left"/>
              <w:rPr>
                <w:rFonts w:cs="Arial"/>
                <w:szCs w:val="18"/>
              </w:rPr>
            </w:pPr>
          </w:p>
        </w:tc>
        <w:tc>
          <w:tcPr>
            <w:tcW w:w="6300" w:type="dxa"/>
            <w:shd w:val="clear" w:color="auto" w:fill="FFFFFF"/>
          </w:tcPr>
          <w:p w14:paraId="4DF87246" w14:textId="1296C254" w:rsidR="00D05DE9" w:rsidRPr="00E313B3" w:rsidRDefault="00D05DE9" w:rsidP="00F0622D">
            <w:pPr>
              <w:pStyle w:val="CETBodytext"/>
              <w:ind w:right="-1"/>
              <w:jc w:val="left"/>
              <w:rPr>
                <w:rFonts w:cs="Arial"/>
                <w:szCs w:val="18"/>
              </w:rPr>
            </w:pPr>
            <w:r>
              <w:rPr>
                <w:rFonts w:cs="Arial"/>
                <w:szCs w:val="18"/>
              </w:rPr>
              <w:t>Temperature (°C)</w:t>
            </w:r>
          </w:p>
        </w:tc>
        <w:tc>
          <w:tcPr>
            <w:tcW w:w="1170" w:type="dxa"/>
            <w:shd w:val="clear" w:color="auto" w:fill="FFFFFF"/>
          </w:tcPr>
          <w:p w14:paraId="4F44CC35" w14:textId="5FF84119" w:rsidR="00D05DE9" w:rsidRPr="00E313B3" w:rsidRDefault="00D05DE9" w:rsidP="00F0622D">
            <w:pPr>
              <w:pStyle w:val="CETBodytext"/>
              <w:ind w:right="-1"/>
              <w:jc w:val="left"/>
              <w:rPr>
                <w:rFonts w:cs="Arial"/>
                <w:szCs w:val="18"/>
              </w:rPr>
            </w:pPr>
            <w:r>
              <w:rPr>
                <w:rFonts w:cs="Arial"/>
                <w:szCs w:val="18"/>
              </w:rPr>
              <w:t>Numerical</w:t>
            </w:r>
          </w:p>
        </w:tc>
      </w:tr>
      <w:tr w:rsidR="00D05DE9" w:rsidRPr="00E313B3" w14:paraId="52D67FBC" w14:textId="77777777" w:rsidTr="000A6820">
        <w:tc>
          <w:tcPr>
            <w:tcW w:w="1260" w:type="dxa"/>
            <w:vMerge/>
            <w:shd w:val="clear" w:color="auto" w:fill="FFFFFF"/>
          </w:tcPr>
          <w:p w14:paraId="3C5E6C45" w14:textId="77777777" w:rsidR="00D05DE9" w:rsidRDefault="00D05DE9" w:rsidP="00F0622D">
            <w:pPr>
              <w:pStyle w:val="CETBodytext"/>
              <w:ind w:right="-1"/>
              <w:jc w:val="left"/>
              <w:rPr>
                <w:rFonts w:cs="Arial"/>
                <w:szCs w:val="18"/>
              </w:rPr>
            </w:pPr>
          </w:p>
        </w:tc>
        <w:tc>
          <w:tcPr>
            <w:tcW w:w="6300" w:type="dxa"/>
            <w:shd w:val="clear" w:color="auto" w:fill="FFFFFF"/>
          </w:tcPr>
          <w:p w14:paraId="0D6C7347" w14:textId="41DED4BA" w:rsidR="00D05DE9" w:rsidRPr="00FC0DB5" w:rsidRDefault="00D05DE9" w:rsidP="00F0622D">
            <w:pPr>
              <w:pStyle w:val="CETBodytext"/>
              <w:ind w:right="-1"/>
              <w:jc w:val="left"/>
              <w:rPr>
                <w:rFonts w:cs="Arial"/>
                <w:szCs w:val="18"/>
                <w:lang w:val="es-ES"/>
              </w:rPr>
            </w:pPr>
            <w:r w:rsidRPr="00D05DE9">
              <w:rPr>
                <w:rFonts w:cs="Arial"/>
                <w:szCs w:val="18"/>
              </w:rPr>
              <w:t>Hydrogen purity</w:t>
            </w:r>
            <w:r>
              <w:rPr>
                <w:rFonts w:cs="Arial"/>
                <w:szCs w:val="18"/>
                <w:lang w:val="es-ES"/>
              </w:rPr>
              <w:t xml:space="preserve"> (%)</w:t>
            </w:r>
          </w:p>
        </w:tc>
        <w:tc>
          <w:tcPr>
            <w:tcW w:w="1170" w:type="dxa"/>
            <w:shd w:val="clear" w:color="auto" w:fill="FFFFFF"/>
          </w:tcPr>
          <w:p w14:paraId="148F26F7" w14:textId="419E62B9" w:rsidR="00D05DE9" w:rsidRDefault="00D05DE9" w:rsidP="00F0622D">
            <w:pPr>
              <w:pStyle w:val="CETBodytext"/>
              <w:ind w:right="-1"/>
              <w:jc w:val="left"/>
              <w:rPr>
                <w:rFonts w:cs="Arial"/>
                <w:szCs w:val="18"/>
              </w:rPr>
            </w:pPr>
            <w:r>
              <w:rPr>
                <w:rFonts w:cs="Arial"/>
                <w:szCs w:val="18"/>
              </w:rPr>
              <w:t>Numerical</w:t>
            </w:r>
          </w:p>
        </w:tc>
      </w:tr>
      <w:tr w:rsidR="000A6820" w:rsidRPr="00E313B3" w14:paraId="6A29B639" w14:textId="77777777" w:rsidTr="000A6820">
        <w:tc>
          <w:tcPr>
            <w:tcW w:w="1260" w:type="dxa"/>
            <w:vMerge w:val="restart"/>
            <w:shd w:val="clear" w:color="auto" w:fill="FFFFFF"/>
          </w:tcPr>
          <w:p w14:paraId="4523A116" w14:textId="09B1E947" w:rsidR="000A6820" w:rsidRPr="00E313B3" w:rsidRDefault="000A6820" w:rsidP="00F0622D">
            <w:pPr>
              <w:pStyle w:val="CETBodytext"/>
              <w:ind w:right="-1"/>
              <w:jc w:val="left"/>
              <w:rPr>
                <w:rFonts w:cs="Arial"/>
                <w:szCs w:val="18"/>
              </w:rPr>
            </w:pPr>
            <w:r>
              <w:rPr>
                <w:rFonts w:cs="Arial"/>
                <w:szCs w:val="18"/>
              </w:rPr>
              <w:t>Material</w:t>
            </w:r>
          </w:p>
        </w:tc>
        <w:tc>
          <w:tcPr>
            <w:tcW w:w="6300" w:type="dxa"/>
            <w:shd w:val="clear" w:color="auto" w:fill="FFFFFF"/>
          </w:tcPr>
          <w:p w14:paraId="02E7A78E" w14:textId="0A8FEC3B" w:rsidR="000A6820" w:rsidRPr="00FC0DB5" w:rsidRDefault="000A6820" w:rsidP="00F0622D">
            <w:pPr>
              <w:pStyle w:val="CETBodytext"/>
              <w:ind w:right="-1"/>
              <w:jc w:val="left"/>
              <w:rPr>
                <w:rFonts w:cs="Arial"/>
                <w:szCs w:val="18"/>
                <w:lang w:val="es-ES"/>
              </w:rPr>
            </w:pPr>
            <w:r w:rsidRPr="00FC0DB5">
              <w:rPr>
                <w:rFonts w:cs="Arial"/>
                <w:szCs w:val="18"/>
                <w:lang w:val="es-ES"/>
              </w:rPr>
              <w:t>Material</w:t>
            </w:r>
            <w:r>
              <w:rPr>
                <w:rFonts w:cs="Arial"/>
                <w:szCs w:val="18"/>
                <w:lang w:val="es-ES"/>
              </w:rPr>
              <w:t xml:space="preserve">: </w:t>
            </w:r>
            <w:r w:rsidRPr="00FC0DB5">
              <w:rPr>
                <w:rFonts w:cs="Arial"/>
                <w:szCs w:val="18"/>
                <w:lang w:val="es-ES"/>
              </w:rPr>
              <w:t>X80, X100, A515, A516, etc</w:t>
            </w:r>
            <w:r>
              <w:rPr>
                <w:rFonts w:cs="Arial"/>
                <w:szCs w:val="18"/>
                <w:lang w:val="es-ES"/>
              </w:rPr>
              <w:t>.</w:t>
            </w:r>
          </w:p>
        </w:tc>
        <w:tc>
          <w:tcPr>
            <w:tcW w:w="1170" w:type="dxa"/>
            <w:shd w:val="clear" w:color="auto" w:fill="FFFFFF"/>
          </w:tcPr>
          <w:p w14:paraId="0C13AEE8" w14:textId="1DD39ACF" w:rsidR="000A6820" w:rsidRPr="00E313B3" w:rsidRDefault="000A6820" w:rsidP="00F0622D">
            <w:pPr>
              <w:pStyle w:val="CETBodytext"/>
              <w:ind w:right="-1"/>
              <w:jc w:val="left"/>
              <w:rPr>
                <w:rFonts w:cs="Arial"/>
                <w:szCs w:val="18"/>
              </w:rPr>
            </w:pPr>
            <w:r>
              <w:rPr>
                <w:rFonts w:cs="Arial"/>
                <w:szCs w:val="18"/>
              </w:rPr>
              <w:t>Categorical</w:t>
            </w:r>
          </w:p>
        </w:tc>
      </w:tr>
      <w:tr w:rsidR="000A6820" w:rsidRPr="00E313B3" w14:paraId="4243854B" w14:textId="77777777" w:rsidTr="000A6820">
        <w:tc>
          <w:tcPr>
            <w:tcW w:w="1260" w:type="dxa"/>
            <w:vMerge/>
            <w:shd w:val="clear" w:color="auto" w:fill="FFFFFF"/>
          </w:tcPr>
          <w:p w14:paraId="5D40A587" w14:textId="77777777" w:rsidR="000A6820" w:rsidRDefault="000A6820" w:rsidP="00F0622D">
            <w:pPr>
              <w:pStyle w:val="CETBodytext"/>
              <w:ind w:right="-1"/>
              <w:jc w:val="left"/>
              <w:rPr>
                <w:rFonts w:cs="Arial"/>
                <w:szCs w:val="18"/>
              </w:rPr>
            </w:pPr>
          </w:p>
        </w:tc>
        <w:tc>
          <w:tcPr>
            <w:tcW w:w="6300" w:type="dxa"/>
            <w:shd w:val="clear" w:color="auto" w:fill="FFFFFF"/>
          </w:tcPr>
          <w:p w14:paraId="141B0E21" w14:textId="1A583B1C" w:rsidR="000A6820" w:rsidRPr="00614A0A" w:rsidRDefault="000A6820" w:rsidP="00F0622D">
            <w:pPr>
              <w:pStyle w:val="CETBodytext"/>
              <w:ind w:right="-1"/>
              <w:jc w:val="left"/>
              <w:rPr>
                <w:rFonts w:cs="Arial"/>
                <w:szCs w:val="18"/>
                <w:lang w:val="it-IT"/>
              </w:rPr>
            </w:pPr>
            <w:proofErr w:type="spellStart"/>
            <w:r w:rsidRPr="009D22A7">
              <w:rPr>
                <w:rFonts w:cs="Arial"/>
                <w:szCs w:val="18"/>
                <w:lang w:val="it-IT"/>
              </w:rPr>
              <w:t>Composition</w:t>
            </w:r>
            <w:proofErr w:type="spellEnd"/>
            <w:r w:rsidRPr="00614A0A">
              <w:rPr>
                <w:rFonts w:cs="Arial"/>
                <w:szCs w:val="18"/>
                <w:lang w:val="it-IT"/>
              </w:rPr>
              <w:t xml:space="preserve">: Fe, Cr, Ni, Mn, Mo, Nb, Ti, V, Al, Cu, Si, C, N, </w:t>
            </w:r>
            <w:r>
              <w:rPr>
                <w:rFonts w:cs="Arial"/>
                <w:szCs w:val="18"/>
                <w:lang w:val="it-IT"/>
              </w:rPr>
              <w:t xml:space="preserve">B, S, P, Co </w:t>
            </w:r>
            <w:r w:rsidRPr="00614A0A">
              <w:rPr>
                <w:rFonts w:cs="Arial"/>
                <w:szCs w:val="18"/>
                <w:lang w:val="it-IT"/>
              </w:rPr>
              <w:t>(%)</w:t>
            </w:r>
          </w:p>
        </w:tc>
        <w:tc>
          <w:tcPr>
            <w:tcW w:w="1170" w:type="dxa"/>
            <w:shd w:val="clear" w:color="auto" w:fill="FFFFFF"/>
          </w:tcPr>
          <w:p w14:paraId="6CF9B28C" w14:textId="61A96236" w:rsidR="000A6820" w:rsidRPr="00E313B3" w:rsidRDefault="000A6820" w:rsidP="00F0622D">
            <w:pPr>
              <w:pStyle w:val="CETBodytext"/>
              <w:ind w:right="-1"/>
              <w:jc w:val="left"/>
              <w:rPr>
                <w:rFonts w:cs="Arial"/>
                <w:szCs w:val="18"/>
              </w:rPr>
            </w:pPr>
            <w:r>
              <w:rPr>
                <w:rFonts w:cs="Arial"/>
                <w:szCs w:val="18"/>
              </w:rPr>
              <w:t>Numerical</w:t>
            </w:r>
          </w:p>
        </w:tc>
      </w:tr>
      <w:tr w:rsidR="000A6820" w:rsidRPr="00E313B3" w14:paraId="23DF1C83" w14:textId="77777777" w:rsidTr="000A6820">
        <w:tc>
          <w:tcPr>
            <w:tcW w:w="1260" w:type="dxa"/>
            <w:vMerge/>
            <w:shd w:val="clear" w:color="auto" w:fill="FFFFFF"/>
          </w:tcPr>
          <w:p w14:paraId="335D5F65" w14:textId="77777777" w:rsidR="000A6820" w:rsidRDefault="000A6820" w:rsidP="00F0622D">
            <w:pPr>
              <w:pStyle w:val="CETBodytext"/>
              <w:ind w:right="-1"/>
              <w:jc w:val="left"/>
              <w:rPr>
                <w:rFonts w:cs="Arial"/>
                <w:szCs w:val="18"/>
              </w:rPr>
            </w:pPr>
          </w:p>
        </w:tc>
        <w:tc>
          <w:tcPr>
            <w:tcW w:w="6300" w:type="dxa"/>
            <w:shd w:val="clear" w:color="auto" w:fill="FFFFFF"/>
          </w:tcPr>
          <w:p w14:paraId="202174AB" w14:textId="00E76E0C" w:rsidR="000A6820" w:rsidRDefault="000A6820" w:rsidP="00F0622D">
            <w:pPr>
              <w:pStyle w:val="CETBodytext"/>
              <w:ind w:right="-1"/>
              <w:jc w:val="left"/>
              <w:rPr>
                <w:rFonts w:cs="Arial"/>
                <w:szCs w:val="18"/>
              </w:rPr>
            </w:pPr>
            <w:r>
              <w:rPr>
                <w:rFonts w:cs="Arial"/>
                <w:szCs w:val="18"/>
              </w:rPr>
              <w:t xml:space="preserve">Microstructure: ferritic, pearlitic, bainitic, martensitic, </w:t>
            </w:r>
            <w:r w:rsidR="00EB1B8A">
              <w:rPr>
                <w:rFonts w:cs="Arial"/>
                <w:szCs w:val="18"/>
              </w:rPr>
              <w:t>austenitic</w:t>
            </w:r>
          </w:p>
        </w:tc>
        <w:tc>
          <w:tcPr>
            <w:tcW w:w="1170" w:type="dxa"/>
            <w:shd w:val="clear" w:color="auto" w:fill="FFFFFF"/>
          </w:tcPr>
          <w:p w14:paraId="3E8588D5" w14:textId="5017A35F" w:rsidR="000A6820" w:rsidRDefault="000A6820" w:rsidP="00F0622D">
            <w:pPr>
              <w:pStyle w:val="CETBodytext"/>
              <w:ind w:right="-1"/>
              <w:jc w:val="left"/>
              <w:rPr>
                <w:rFonts w:cs="Arial"/>
                <w:szCs w:val="18"/>
              </w:rPr>
            </w:pPr>
            <w:r>
              <w:rPr>
                <w:rFonts w:cs="Arial"/>
                <w:szCs w:val="18"/>
              </w:rPr>
              <w:t>Categorical</w:t>
            </w:r>
          </w:p>
        </w:tc>
      </w:tr>
      <w:tr w:rsidR="000A6820" w:rsidRPr="00E313B3" w14:paraId="33511141" w14:textId="77777777" w:rsidTr="000A6820">
        <w:tc>
          <w:tcPr>
            <w:tcW w:w="1260" w:type="dxa"/>
            <w:vMerge/>
            <w:shd w:val="clear" w:color="auto" w:fill="FFFFFF"/>
          </w:tcPr>
          <w:p w14:paraId="205D4807" w14:textId="77777777" w:rsidR="000A6820" w:rsidRDefault="000A6820" w:rsidP="00F0622D">
            <w:pPr>
              <w:pStyle w:val="CETBodytext"/>
              <w:ind w:right="-1"/>
              <w:jc w:val="left"/>
              <w:rPr>
                <w:rFonts w:cs="Arial"/>
                <w:szCs w:val="18"/>
              </w:rPr>
            </w:pPr>
          </w:p>
        </w:tc>
        <w:tc>
          <w:tcPr>
            <w:tcW w:w="6300" w:type="dxa"/>
            <w:shd w:val="clear" w:color="auto" w:fill="FFFFFF"/>
          </w:tcPr>
          <w:p w14:paraId="35A1094A" w14:textId="7F6F6ED6" w:rsidR="000A6820" w:rsidRDefault="00EB1B8A" w:rsidP="00F0622D">
            <w:pPr>
              <w:pStyle w:val="CETBodytext"/>
              <w:ind w:right="-1"/>
              <w:jc w:val="left"/>
              <w:rPr>
                <w:rFonts w:cs="Arial"/>
                <w:szCs w:val="18"/>
              </w:rPr>
            </w:pPr>
            <w:r>
              <w:rPr>
                <w:rFonts w:cs="Arial"/>
                <w:szCs w:val="18"/>
              </w:rPr>
              <w:t>Type of w</w:t>
            </w:r>
            <w:r w:rsidR="000A6820">
              <w:rPr>
                <w:rFonts w:cs="Arial"/>
                <w:szCs w:val="18"/>
              </w:rPr>
              <w:t xml:space="preserve">eld or </w:t>
            </w:r>
            <w:r w:rsidR="00EA000F">
              <w:rPr>
                <w:rFonts w:cs="Arial"/>
                <w:szCs w:val="18"/>
              </w:rPr>
              <w:t>HAZ</w:t>
            </w:r>
            <w:r w:rsidR="008F0D0C">
              <w:rPr>
                <w:rFonts w:cs="Arial"/>
                <w:szCs w:val="18"/>
              </w:rPr>
              <w:t xml:space="preserve">: </w:t>
            </w:r>
            <w:r w:rsidR="00294F32">
              <w:rPr>
                <w:rFonts w:cs="Arial"/>
                <w:szCs w:val="18"/>
              </w:rPr>
              <w:t xml:space="preserve">EB, ERW, </w:t>
            </w:r>
            <w:r w:rsidR="008F0D0C">
              <w:rPr>
                <w:rFonts w:cs="Arial"/>
                <w:szCs w:val="18"/>
              </w:rPr>
              <w:t xml:space="preserve">GMA, GTA, </w:t>
            </w:r>
            <w:r w:rsidR="00294F32">
              <w:rPr>
                <w:rFonts w:cs="Arial"/>
                <w:szCs w:val="18"/>
              </w:rPr>
              <w:t xml:space="preserve">SA, </w:t>
            </w:r>
            <w:r w:rsidR="008F0D0C">
              <w:rPr>
                <w:rFonts w:cs="Arial"/>
                <w:szCs w:val="18"/>
              </w:rPr>
              <w:t xml:space="preserve">SMA </w:t>
            </w:r>
          </w:p>
        </w:tc>
        <w:tc>
          <w:tcPr>
            <w:tcW w:w="1170" w:type="dxa"/>
            <w:shd w:val="clear" w:color="auto" w:fill="FFFFFF"/>
          </w:tcPr>
          <w:p w14:paraId="7DEE2010" w14:textId="45299A3E" w:rsidR="000A6820" w:rsidRDefault="000A6820" w:rsidP="00F0622D">
            <w:pPr>
              <w:pStyle w:val="CETBodytext"/>
              <w:ind w:right="-1"/>
              <w:jc w:val="left"/>
              <w:rPr>
                <w:rFonts w:cs="Arial"/>
                <w:szCs w:val="18"/>
              </w:rPr>
            </w:pPr>
            <w:r>
              <w:rPr>
                <w:rFonts w:cs="Arial"/>
                <w:szCs w:val="18"/>
              </w:rPr>
              <w:t>Categorical</w:t>
            </w:r>
          </w:p>
        </w:tc>
      </w:tr>
      <w:tr w:rsidR="000A6820" w:rsidRPr="00E313B3" w14:paraId="387BBD99" w14:textId="77777777" w:rsidTr="000A6820">
        <w:tc>
          <w:tcPr>
            <w:tcW w:w="1260" w:type="dxa"/>
            <w:vMerge/>
            <w:shd w:val="clear" w:color="auto" w:fill="FFFFFF"/>
          </w:tcPr>
          <w:p w14:paraId="20CFD20F" w14:textId="77777777" w:rsidR="000A6820" w:rsidRDefault="000A6820" w:rsidP="00F0622D">
            <w:pPr>
              <w:pStyle w:val="CETBodytext"/>
              <w:ind w:right="-1"/>
              <w:jc w:val="left"/>
              <w:rPr>
                <w:rFonts w:cs="Arial"/>
                <w:szCs w:val="18"/>
              </w:rPr>
            </w:pPr>
          </w:p>
        </w:tc>
        <w:tc>
          <w:tcPr>
            <w:tcW w:w="6300" w:type="dxa"/>
            <w:shd w:val="clear" w:color="auto" w:fill="FFFFFF"/>
          </w:tcPr>
          <w:p w14:paraId="5FBA5CB1" w14:textId="65681623" w:rsidR="000A6820" w:rsidRDefault="000A6820" w:rsidP="00F0622D">
            <w:pPr>
              <w:pStyle w:val="CETBodytext"/>
              <w:ind w:right="-1"/>
              <w:jc w:val="left"/>
              <w:rPr>
                <w:rFonts w:cs="Arial"/>
                <w:szCs w:val="18"/>
              </w:rPr>
            </w:pPr>
            <w:r>
              <w:rPr>
                <w:rFonts w:cs="Arial"/>
                <w:szCs w:val="18"/>
              </w:rPr>
              <w:t>Yield strength (MPa)</w:t>
            </w:r>
          </w:p>
        </w:tc>
        <w:tc>
          <w:tcPr>
            <w:tcW w:w="1170" w:type="dxa"/>
            <w:shd w:val="clear" w:color="auto" w:fill="FFFFFF"/>
          </w:tcPr>
          <w:p w14:paraId="0B82EAF0" w14:textId="50E87DF4" w:rsidR="000A6820" w:rsidRDefault="000A6820" w:rsidP="00F0622D">
            <w:pPr>
              <w:pStyle w:val="CETBodytext"/>
              <w:ind w:right="-1"/>
              <w:jc w:val="left"/>
              <w:rPr>
                <w:rFonts w:cs="Arial"/>
                <w:szCs w:val="18"/>
              </w:rPr>
            </w:pPr>
            <w:r>
              <w:rPr>
                <w:rFonts w:cs="Arial"/>
                <w:szCs w:val="18"/>
              </w:rPr>
              <w:t>Numerical</w:t>
            </w:r>
          </w:p>
        </w:tc>
      </w:tr>
      <w:tr w:rsidR="000A6820" w:rsidRPr="00E313B3" w14:paraId="5D32ABEF" w14:textId="77777777" w:rsidTr="000A6820">
        <w:tc>
          <w:tcPr>
            <w:tcW w:w="1260" w:type="dxa"/>
            <w:vMerge/>
            <w:shd w:val="clear" w:color="auto" w:fill="FFFFFF"/>
          </w:tcPr>
          <w:p w14:paraId="428843F3" w14:textId="77777777" w:rsidR="000A6820" w:rsidRDefault="000A6820" w:rsidP="00F0622D">
            <w:pPr>
              <w:pStyle w:val="CETBodytext"/>
              <w:ind w:right="-1"/>
              <w:jc w:val="left"/>
              <w:rPr>
                <w:rFonts w:cs="Arial"/>
                <w:szCs w:val="18"/>
              </w:rPr>
            </w:pPr>
          </w:p>
        </w:tc>
        <w:tc>
          <w:tcPr>
            <w:tcW w:w="6300" w:type="dxa"/>
            <w:shd w:val="clear" w:color="auto" w:fill="FFFFFF"/>
          </w:tcPr>
          <w:p w14:paraId="00A3A71C" w14:textId="4F61A3FE" w:rsidR="000A6820" w:rsidRDefault="000A6820" w:rsidP="00F0622D">
            <w:pPr>
              <w:pStyle w:val="CETBodytext"/>
              <w:ind w:right="-1"/>
              <w:jc w:val="left"/>
              <w:rPr>
                <w:rFonts w:cs="Arial"/>
                <w:szCs w:val="18"/>
              </w:rPr>
            </w:pPr>
            <w:r>
              <w:rPr>
                <w:rFonts w:cs="Arial"/>
                <w:szCs w:val="18"/>
              </w:rPr>
              <w:t>Ultimate tensile strength (MPa)</w:t>
            </w:r>
          </w:p>
        </w:tc>
        <w:tc>
          <w:tcPr>
            <w:tcW w:w="1170" w:type="dxa"/>
            <w:shd w:val="clear" w:color="auto" w:fill="FFFFFF"/>
          </w:tcPr>
          <w:p w14:paraId="214E8AE1" w14:textId="6A86F01A" w:rsidR="000A6820" w:rsidRDefault="000A6820" w:rsidP="00F0622D">
            <w:pPr>
              <w:pStyle w:val="CETBodytext"/>
              <w:ind w:right="-1"/>
              <w:jc w:val="left"/>
              <w:rPr>
                <w:rFonts w:cs="Arial"/>
                <w:szCs w:val="18"/>
              </w:rPr>
            </w:pPr>
            <w:r>
              <w:rPr>
                <w:rFonts w:cs="Arial"/>
                <w:szCs w:val="18"/>
              </w:rPr>
              <w:t>Numerical</w:t>
            </w:r>
          </w:p>
        </w:tc>
      </w:tr>
      <w:tr w:rsidR="00A14601" w:rsidRPr="00E313B3" w14:paraId="7119D859" w14:textId="77777777" w:rsidTr="000A6820">
        <w:tc>
          <w:tcPr>
            <w:tcW w:w="1260" w:type="dxa"/>
            <w:shd w:val="clear" w:color="auto" w:fill="FFFFFF"/>
          </w:tcPr>
          <w:p w14:paraId="63C6A63C" w14:textId="206B6465" w:rsidR="00A14601" w:rsidRDefault="00A14601" w:rsidP="00F0622D">
            <w:pPr>
              <w:pStyle w:val="CETBodytext"/>
              <w:ind w:right="-1"/>
              <w:jc w:val="left"/>
              <w:rPr>
                <w:rFonts w:cs="Arial"/>
                <w:szCs w:val="18"/>
              </w:rPr>
            </w:pPr>
            <w:r>
              <w:rPr>
                <w:rFonts w:cs="Arial"/>
                <w:szCs w:val="18"/>
              </w:rPr>
              <w:t>Load</w:t>
            </w:r>
          </w:p>
        </w:tc>
        <w:tc>
          <w:tcPr>
            <w:tcW w:w="6300" w:type="dxa"/>
            <w:shd w:val="clear" w:color="auto" w:fill="FFFFFF"/>
          </w:tcPr>
          <w:p w14:paraId="56E43A8A" w14:textId="32AA579D" w:rsidR="00A14601" w:rsidRDefault="001F01DF" w:rsidP="00F0622D">
            <w:pPr>
              <w:pStyle w:val="CETBodytext"/>
              <w:ind w:right="-1"/>
              <w:jc w:val="left"/>
              <w:rPr>
                <w:rFonts w:cs="Arial"/>
                <w:szCs w:val="18"/>
              </w:rPr>
            </w:pPr>
            <w:r w:rsidRPr="001F01DF">
              <w:rPr>
                <w:rFonts w:cs="Arial"/>
                <w:szCs w:val="18"/>
              </w:rPr>
              <w:t>Stress intensity factor</w:t>
            </w:r>
          </w:p>
        </w:tc>
        <w:tc>
          <w:tcPr>
            <w:tcW w:w="1170" w:type="dxa"/>
            <w:shd w:val="clear" w:color="auto" w:fill="FFFFFF"/>
          </w:tcPr>
          <w:p w14:paraId="0CA6ABCF" w14:textId="33D3B544" w:rsidR="00A14601" w:rsidRDefault="001F01DF" w:rsidP="00F0622D">
            <w:pPr>
              <w:pStyle w:val="CETBodytext"/>
              <w:ind w:right="-1"/>
              <w:jc w:val="left"/>
              <w:rPr>
                <w:rFonts w:cs="Arial"/>
                <w:szCs w:val="18"/>
              </w:rPr>
            </w:pPr>
            <w:r>
              <w:rPr>
                <w:rFonts w:cs="Arial"/>
                <w:szCs w:val="18"/>
              </w:rPr>
              <w:t>Nume</w:t>
            </w:r>
            <w:r w:rsidR="00A14601">
              <w:rPr>
                <w:rFonts w:cs="Arial"/>
                <w:szCs w:val="18"/>
              </w:rPr>
              <w:t>rical</w:t>
            </w:r>
          </w:p>
        </w:tc>
      </w:tr>
      <w:tr w:rsidR="00C17245" w:rsidRPr="00E313B3" w14:paraId="1F67890A" w14:textId="77777777" w:rsidTr="000A6820">
        <w:tc>
          <w:tcPr>
            <w:tcW w:w="1260" w:type="dxa"/>
            <w:shd w:val="clear" w:color="auto" w:fill="FFFFFF"/>
          </w:tcPr>
          <w:p w14:paraId="39054852" w14:textId="77777777" w:rsidR="00C17245" w:rsidRDefault="00C17245" w:rsidP="00F0622D">
            <w:pPr>
              <w:pStyle w:val="CETBodytext"/>
              <w:ind w:right="-1"/>
              <w:jc w:val="left"/>
              <w:rPr>
                <w:rFonts w:cs="Arial"/>
                <w:szCs w:val="18"/>
              </w:rPr>
            </w:pPr>
          </w:p>
        </w:tc>
        <w:tc>
          <w:tcPr>
            <w:tcW w:w="6300" w:type="dxa"/>
            <w:shd w:val="clear" w:color="auto" w:fill="FFFFFF"/>
          </w:tcPr>
          <w:p w14:paraId="1AB43321" w14:textId="0B84176B" w:rsidR="00C17245" w:rsidRDefault="00CF1FC0" w:rsidP="00F0622D">
            <w:pPr>
              <w:pStyle w:val="CETBodytext"/>
              <w:ind w:right="-1"/>
              <w:jc w:val="left"/>
              <w:rPr>
                <w:rFonts w:cs="Arial"/>
                <w:szCs w:val="18"/>
              </w:rPr>
            </w:pPr>
            <w:r>
              <w:rPr>
                <w:rFonts w:cs="Arial"/>
                <w:szCs w:val="18"/>
              </w:rPr>
              <w:t>Nominal s</w:t>
            </w:r>
            <w:r w:rsidR="00C17245">
              <w:rPr>
                <w:rFonts w:cs="Arial"/>
                <w:szCs w:val="18"/>
              </w:rPr>
              <w:t>train rate (s</w:t>
            </w:r>
            <w:r w:rsidR="00C17245" w:rsidRPr="00C17245">
              <w:rPr>
                <w:rFonts w:cs="Arial"/>
                <w:szCs w:val="18"/>
                <w:vertAlign w:val="superscript"/>
              </w:rPr>
              <w:t>-1</w:t>
            </w:r>
            <w:r w:rsidR="00C17245">
              <w:rPr>
                <w:rFonts w:cs="Arial"/>
                <w:szCs w:val="18"/>
              </w:rPr>
              <w:t>)</w:t>
            </w:r>
          </w:p>
        </w:tc>
        <w:tc>
          <w:tcPr>
            <w:tcW w:w="1170" w:type="dxa"/>
            <w:shd w:val="clear" w:color="auto" w:fill="FFFFFF"/>
          </w:tcPr>
          <w:p w14:paraId="0E1A3B74" w14:textId="15DAD6C6" w:rsidR="00C17245" w:rsidRDefault="00C17245" w:rsidP="00F0622D">
            <w:pPr>
              <w:pStyle w:val="CETBodytext"/>
              <w:ind w:right="-1"/>
              <w:jc w:val="left"/>
              <w:rPr>
                <w:rFonts w:cs="Arial"/>
                <w:szCs w:val="18"/>
              </w:rPr>
            </w:pPr>
            <w:r>
              <w:rPr>
                <w:rFonts w:cs="Arial"/>
                <w:szCs w:val="18"/>
              </w:rPr>
              <w:t>Numerical</w:t>
            </w:r>
          </w:p>
        </w:tc>
      </w:tr>
    </w:tbl>
    <w:p w14:paraId="4AAAC77E" w14:textId="77777777" w:rsidR="00CA7C6E" w:rsidRPr="00CA7C6E" w:rsidRDefault="00CA7C6E" w:rsidP="008A5C0D">
      <w:pPr>
        <w:pStyle w:val="CETBodytext"/>
        <w:rPr>
          <w:lang w:val="en-GB"/>
        </w:rPr>
      </w:pPr>
    </w:p>
    <w:p w14:paraId="0772E26B" w14:textId="0C4BBAA9" w:rsidR="008A5C0D" w:rsidRDefault="008A5C0D" w:rsidP="00EE066D">
      <w:pPr>
        <w:pStyle w:val="CETheadingx"/>
      </w:pPr>
      <w:r>
        <w:t>Target identification</w:t>
      </w:r>
    </w:p>
    <w:p w14:paraId="01E53663" w14:textId="787EBDEB" w:rsidR="0093380A" w:rsidRPr="00054BCE" w:rsidRDefault="00377557" w:rsidP="005D4256">
      <w:pPr>
        <w:pStyle w:val="CETBodytext"/>
      </w:pPr>
      <w:r w:rsidRPr="00054BCE">
        <w:t xml:space="preserve">The </w:t>
      </w:r>
      <w:r w:rsidR="00180493" w:rsidRPr="00054BCE">
        <w:t xml:space="preserve">susceptibility to </w:t>
      </w:r>
      <w:r w:rsidR="00A5533D" w:rsidRPr="00054BCE">
        <w:t>HE</w:t>
      </w:r>
      <w:r w:rsidR="00334CCD" w:rsidRPr="00054BCE">
        <w:t xml:space="preserve"> can be determined through the </w:t>
      </w:r>
      <w:r w:rsidR="009A07D6" w:rsidRPr="00054BCE">
        <w:t>effect</w:t>
      </w:r>
      <w:r w:rsidR="00A25622" w:rsidRPr="00054BCE">
        <w:t>s</w:t>
      </w:r>
      <w:r w:rsidR="009A07D6" w:rsidRPr="00054BCE">
        <w:t xml:space="preserve"> </w:t>
      </w:r>
      <w:r w:rsidR="0021167D">
        <w:t>of</w:t>
      </w:r>
      <w:r w:rsidR="009A07D6" w:rsidRPr="00054BCE">
        <w:t xml:space="preserve"> hydrogen on </w:t>
      </w:r>
      <w:r w:rsidR="00F510EC" w:rsidRPr="00054BCE">
        <w:t xml:space="preserve">material tensile properties. </w:t>
      </w:r>
      <w:r w:rsidR="00A25622" w:rsidRPr="00054BCE">
        <w:t>These effects</w:t>
      </w:r>
      <w:r w:rsidR="00F975EA" w:rsidRPr="00054BCE">
        <w:t xml:space="preserve"> can be quantified </w:t>
      </w:r>
      <w:r w:rsidR="00575F02" w:rsidRPr="00054BCE">
        <w:t xml:space="preserve">by </w:t>
      </w:r>
      <w:r w:rsidR="00F975EA" w:rsidRPr="00054BCE">
        <w:t xml:space="preserve">comparing the </w:t>
      </w:r>
      <w:r w:rsidR="006E1D70" w:rsidRPr="00054BCE">
        <w:t>elongation or the reduced are</w:t>
      </w:r>
      <w:r w:rsidR="00A25622" w:rsidRPr="00054BCE">
        <w:t>a</w:t>
      </w:r>
      <w:r w:rsidR="006E1D70" w:rsidRPr="00054BCE">
        <w:t xml:space="preserve"> in</w:t>
      </w:r>
      <w:r w:rsidR="00575F02" w:rsidRPr="00054BCE">
        <w:t xml:space="preserve"> the</w:t>
      </w:r>
      <w:r w:rsidR="006E1D70" w:rsidRPr="00054BCE">
        <w:t xml:space="preserve"> air with those in H</w:t>
      </w:r>
      <w:r w:rsidR="006E1D70" w:rsidRPr="00054BCE">
        <w:rPr>
          <w:vertAlign w:val="subscript"/>
        </w:rPr>
        <w:t>2</w:t>
      </w:r>
      <w:r w:rsidR="00793E3E" w:rsidRPr="00054BCE">
        <w:t xml:space="preserve">, thus </w:t>
      </w:r>
      <w:r w:rsidR="00793E3E" w:rsidRPr="00054BCE">
        <w:lastRenderedPageBreak/>
        <w:t xml:space="preserve">obtaining the elongation reduction or the </w:t>
      </w:r>
      <w:r w:rsidR="00B80416">
        <w:t>EI</w:t>
      </w:r>
      <w:r w:rsidR="00662937" w:rsidRPr="00054BCE">
        <w:t xml:space="preserve">. </w:t>
      </w:r>
      <w:r w:rsidR="00C01EB8" w:rsidRPr="00054BCE">
        <w:t xml:space="preserve">The </w:t>
      </w:r>
      <w:r w:rsidR="00793E3E" w:rsidRPr="00054BCE">
        <w:t>latter</w:t>
      </w:r>
      <w:r w:rsidR="00214BF4" w:rsidRPr="00054BCE">
        <w:t xml:space="preserve"> parameter</w:t>
      </w:r>
      <w:r w:rsidR="00C01EB8" w:rsidRPr="00054BCE">
        <w:t xml:space="preserve"> was chosen as</w:t>
      </w:r>
      <w:r w:rsidR="00B306C4" w:rsidRPr="00054BCE">
        <w:t xml:space="preserve"> </w:t>
      </w:r>
      <w:r w:rsidR="00C01EB8" w:rsidRPr="00054BCE">
        <w:t>target</w:t>
      </w:r>
      <w:r w:rsidR="009A17C5" w:rsidRPr="00054BCE">
        <w:t>. H</w:t>
      </w:r>
      <w:r w:rsidR="000B2AA4" w:rsidRPr="00054BCE">
        <w:t xml:space="preserve">ence, all the tests which did not provide the information to calculate the </w:t>
      </w:r>
      <w:r w:rsidR="0016711F">
        <w:t>EI</w:t>
      </w:r>
      <w:r w:rsidR="00E2429E" w:rsidRPr="00054BCE">
        <w:t xml:space="preserve"> were excluded</w:t>
      </w:r>
      <w:r w:rsidR="00C01138" w:rsidRPr="00054BCE">
        <w:t xml:space="preserve">. </w:t>
      </w:r>
      <w:r w:rsidR="0070390F" w:rsidRPr="00054BCE">
        <w:t>Two</w:t>
      </w:r>
      <w:r w:rsidR="00696891" w:rsidRPr="00054BCE">
        <w:t xml:space="preserve"> </w:t>
      </w:r>
      <w:r w:rsidR="0068620A" w:rsidRPr="00054BCE">
        <w:t xml:space="preserve">susceptibility </w:t>
      </w:r>
      <w:r w:rsidR="00696891" w:rsidRPr="00054BCE">
        <w:t xml:space="preserve">classes were defined based on the </w:t>
      </w:r>
      <w:r w:rsidR="0016711F">
        <w:t>EI</w:t>
      </w:r>
      <w:r w:rsidR="00DC22E8" w:rsidRPr="00054BCE">
        <w:t xml:space="preserve"> value</w:t>
      </w:r>
      <w:r w:rsidR="002E1964" w:rsidRPr="00054BCE">
        <w:t xml:space="preserve">, according to the classification provided </w:t>
      </w:r>
      <w:r w:rsidR="00E46082" w:rsidRPr="00054BCE">
        <w:t xml:space="preserve">in the </w:t>
      </w:r>
      <w:r w:rsidR="00B36F17" w:rsidRPr="00054BCE">
        <w:t>technical</w:t>
      </w:r>
      <w:r w:rsidR="00E46082" w:rsidRPr="00054BCE">
        <w:t xml:space="preserve"> report </w:t>
      </w:r>
      <w:r w:rsidR="00B36F17" w:rsidRPr="00054BCE">
        <w:t>NASA/TM-2016-218602 (NASA, 2016)</w:t>
      </w:r>
      <w:r w:rsidR="0093380A" w:rsidRPr="00054BCE">
        <w:t>.</w:t>
      </w:r>
      <w:r w:rsidR="00917F77" w:rsidRPr="00054BCE">
        <w:t xml:space="preserve"> The</w:t>
      </w:r>
      <w:r w:rsidR="00DC22E8" w:rsidRPr="00054BCE">
        <w:t>se classes</w:t>
      </w:r>
      <w:r w:rsidR="00917F77" w:rsidRPr="00054BCE">
        <w:t xml:space="preserve"> are </w:t>
      </w:r>
      <w:r w:rsidR="0070390F" w:rsidRPr="00054BCE">
        <w:t>report</w:t>
      </w:r>
      <w:r w:rsidR="00DC22E8" w:rsidRPr="00054BCE">
        <w:t>ed</w:t>
      </w:r>
      <w:r w:rsidR="008D7C74" w:rsidRPr="00054BCE">
        <w:t xml:space="preserve"> in Table 2</w:t>
      </w:r>
      <w:r w:rsidR="00DC22E8" w:rsidRPr="00054BCE">
        <w:t>, together with recommendation</w:t>
      </w:r>
      <w:r w:rsidR="005F138B">
        <w:t>s</w:t>
      </w:r>
      <w:r w:rsidR="00DC22E8" w:rsidRPr="00054BCE">
        <w:t xml:space="preserve"> </w:t>
      </w:r>
      <w:r w:rsidR="002D7CD4" w:rsidRPr="00054BCE">
        <w:t>regarding</w:t>
      </w:r>
      <w:r w:rsidR="00DC22E8" w:rsidRPr="00054BCE">
        <w:t xml:space="preserve"> the use of materials for hydrogen applications.</w:t>
      </w:r>
      <w:r w:rsidR="00EA5CA3" w:rsidRPr="00054BCE">
        <w:t xml:space="preserve"> The susceptibility classes “Small”, “Medium”, and “High”</w:t>
      </w:r>
      <w:r w:rsidR="001D5A40" w:rsidRPr="00054BCE">
        <w:t xml:space="preserve"> have been merged </w:t>
      </w:r>
      <w:r w:rsidR="002B2781" w:rsidRPr="00054BCE">
        <w:t xml:space="preserve">since the small range of </w:t>
      </w:r>
      <w:r w:rsidR="00663F33" w:rsidRPr="00054BCE">
        <w:t>testing</w:t>
      </w:r>
      <w:r w:rsidR="002B2781" w:rsidRPr="00054BCE">
        <w:t xml:space="preserve"> conditions does not allow</w:t>
      </w:r>
      <w:r w:rsidR="00663F33" w:rsidRPr="00054BCE">
        <w:t xml:space="preserve"> </w:t>
      </w:r>
      <w:r w:rsidR="005403C9" w:rsidRPr="00054BCE">
        <w:t xml:space="preserve">a </w:t>
      </w:r>
      <w:r w:rsidR="0000230A" w:rsidRPr="00054BCE">
        <w:t>narrower</w:t>
      </w:r>
      <w:r w:rsidR="009B4E2F" w:rsidRPr="00054BCE">
        <w:t xml:space="preserve"> classification.</w:t>
      </w:r>
    </w:p>
    <w:p w14:paraId="64B7F014" w14:textId="0BD09D0F" w:rsidR="005D4256" w:rsidRPr="00CE12BA" w:rsidRDefault="005D4256" w:rsidP="005D4256">
      <w:pPr>
        <w:pStyle w:val="CETTabletitle"/>
        <w:rPr>
          <w:lang w:val="en-US"/>
        </w:rPr>
      </w:pPr>
      <w:r w:rsidRPr="00CE12BA">
        <w:rPr>
          <w:lang w:val="en-US"/>
        </w:rPr>
        <w:t xml:space="preserve">Table </w:t>
      </w:r>
      <w:r w:rsidRPr="00CE12BA">
        <w:rPr>
          <w:lang w:val="en-US"/>
        </w:rPr>
        <w:fldChar w:fldCharType="begin"/>
      </w:r>
      <w:r w:rsidRPr="00CE12BA">
        <w:rPr>
          <w:lang w:val="en-US"/>
        </w:rPr>
        <w:instrText xml:space="preserve"> SEQ Table \* ARABIC </w:instrText>
      </w:r>
      <w:r w:rsidRPr="00CE12BA">
        <w:rPr>
          <w:lang w:val="en-US"/>
        </w:rPr>
        <w:fldChar w:fldCharType="separate"/>
      </w:r>
      <w:r w:rsidRPr="00CE12BA">
        <w:rPr>
          <w:noProof/>
          <w:lang w:val="en-US"/>
        </w:rPr>
        <w:t>2</w:t>
      </w:r>
      <w:r w:rsidRPr="00CE12BA">
        <w:rPr>
          <w:lang w:val="en-US"/>
        </w:rPr>
        <w:fldChar w:fldCharType="end"/>
      </w:r>
      <w:r w:rsidRPr="00CE12BA">
        <w:rPr>
          <w:lang w:val="en-US"/>
        </w:rPr>
        <w:t xml:space="preserve">: </w:t>
      </w:r>
      <w:r w:rsidR="009B306D" w:rsidRPr="00CE12BA">
        <w:rPr>
          <w:lang w:val="en-US"/>
        </w:rPr>
        <w:t>Hydrogen embrittlement s</w:t>
      </w:r>
      <w:r w:rsidR="001A0F93" w:rsidRPr="00CE12BA">
        <w:rPr>
          <w:lang w:val="en-US"/>
        </w:rPr>
        <w:t>usceptibility classes</w:t>
      </w:r>
    </w:p>
    <w:tbl>
      <w:tblPr>
        <w:tblW w:w="8730"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980"/>
        <w:gridCol w:w="1890"/>
        <w:gridCol w:w="4860"/>
      </w:tblGrid>
      <w:tr w:rsidR="003414FE" w:rsidRPr="00B57B36" w14:paraId="6A5E17CB" w14:textId="7519BE6B" w:rsidTr="00EE419E">
        <w:tc>
          <w:tcPr>
            <w:tcW w:w="1980" w:type="dxa"/>
            <w:tcBorders>
              <w:top w:val="single" w:sz="12" w:space="0" w:color="008000"/>
              <w:bottom w:val="single" w:sz="6" w:space="0" w:color="008000"/>
            </w:tcBorders>
            <w:shd w:val="clear" w:color="auto" w:fill="FFFFFF"/>
          </w:tcPr>
          <w:p w14:paraId="0AA8C776" w14:textId="30017AEB" w:rsidR="003414FE" w:rsidRPr="00B57B36" w:rsidRDefault="00AA298C" w:rsidP="00F0622D">
            <w:pPr>
              <w:pStyle w:val="CETBodytext"/>
              <w:ind w:right="-1"/>
              <w:jc w:val="left"/>
              <w:rPr>
                <w:rFonts w:cs="Arial"/>
                <w:szCs w:val="18"/>
                <w:lang w:val="en-GB"/>
              </w:rPr>
            </w:pPr>
            <w:r>
              <w:rPr>
                <w:rFonts w:cs="Arial"/>
                <w:szCs w:val="18"/>
                <w:lang w:val="en-GB"/>
              </w:rPr>
              <w:t>Susceptibility</w:t>
            </w:r>
          </w:p>
        </w:tc>
        <w:tc>
          <w:tcPr>
            <w:tcW w:w="1890" w:type="dxa"/>
            <w:tcBorders>
              <w:top w:val="single" w:sz="12" w:space="0" w:color="008000"/>
              <w:bottom w:val="single" w:sz="6" w:space="0" w:color="008000"/>
            </w:tcBorders>
            <w:shd w:val="clear" w:color="auto" w:fill="FFFFFF"/>
          </w:tcPr>
          <w:p w14:paraId="07F8AEFF" w14:textId="19B88133" w:rsidR="003414FE" w:rsidRDefault="000F721E" w:rsidP="00F0622D">
            <w:pPr>
              <w:pStyle w:val="CETBodytext"/>
              <w:ind w:right="-1"/>
              <w:jc w:val="left"/>
              <w:rPr>
                <w:rFonts w:cs="Arial"/>
                <w:szCs w:val="18"/>
                <w:lang w:val="en-GB"/>
              </w:rPr>
            </w:pPr>
            <w:r>
              <w:rPr>
                <w:rFonts w:cs="Arial"/>
                <w:szCs w:val="18"/>
                <w:lang w:val="en-GB"/>
              </w:rPr>
              <w:t xml:space="preserve">Embrittlement </w:t>
            </w:r>
            <w:r w:rsidR="001A45E0">
              <w:rPr>
                <w:rFonts w:cs="Arial"/>
                <w:szCs w:val="18"/>
                <w:lang w:val="en-GB"/>
              </w:rPr>
              <w:t>i</w:t>
            </w:r>
            <w:r>
              <w:rPr>
                <w:rFonts w:cs="Arial"/>
                <w:szCs w:val="18"/>
                <w:lang w:val="en-GB"/>
              </w:rPr>
              <w:t>ndex</w:t>
            </w:r>
          </w:p>
        </w:tc>
        <w:tc>
          <w:tcPr>
            <w:tcW w:w="4860" w:type="dxa"/>
            <w:tcBorders>
              <w:top w:val="single" w:sz="12" w:space="0" w:color="008000"/>
              <w:bottom w:val="single" w:sz="6" w:space="0" w:color="008000"/>
            </w:tcBorders>
            <w:shd w:val="clear" w:color="auto" w:fill="FFFFFF"/>
          </w:tcPr>
          <w:p w14:paraId="77AAFAEA" w14:textId="54208E7B" w:rsidR="003414FE" w:rsidRDefault="005B2AA6" w:rsidP="00F0622D">
            <w:pPr>
              <w:pStyle w:val="CETBodytext"/>
              <w:ind w:right="-1"/>
              <w:jc w:val="left"/>
              <w:rPr>
                <w:rFonts w:cs="Arial"/>
                <w:szCs w:val="18"/>
                <w:lang w:val="en-GB"/>
              </w:rPr>
            </w:pPr>
            <w:r>
              <w:rPr>
                <w:rFonts w:cs="Arial"/>
                <w:szCs w:val="18"/>
                <w:lang w:val="en-GB"/>
              </w:rPr>
              <w:t>Material screening notes</w:t>
            </w:r>
          </w:p>
        </w:tc>
      </w:tr>
      <w:tr w:rsidR="003414FE" w:rsidRPr="00E313B3" w14:paraId="407ACF6A" w14:textId="0653CC28" w:rsidTr="00EE419E">
        <w:tc>
          <w:tcPr>
            <w:tcW w:w="1980" w:type="dxa"/>
            <w:shd w:val="clear" w:color="auto" w:fill="FFFFFF"/>
          </w:tcPr>
          <w:p w14:paraId="13C36A36" w14:textId="1911B3DF" w:rsidR="003414FE" w:rsidRDefault="001F2B1A" w:rsidP="00F0622D">
            <w:pPr>
              <w:pStyle w:val="CETBodytext"/>
              <w:ind w:right="-1"/>
              <w:jc w:val="left"/>
              <w:rPr>
                <w:rFonts w:cs="Arial"/>
                <w:szCs w:val="18"/>
              </w:rPr>
            </w:pPr>
            <w:r>
              <w:rPr>
                <w:rFonts w:cs="Arial"/>
                <w:szCs w:val="18"/>
              </w:rPr>
              <w:t>Small</w:t>
            </w:r>
            <w:r w:rsidR="00EE419E">
              <w:rPr>
                <w:rFonts w:cs="Arial"/>
                <w:szCs w:val="18"/>
              </w:rPr>
              <w:t xml:space="preserve"> </w:t>
            </w:r>
            <w:r w:rsidR="0087390D">
              <w:rPr>
                <w:rFonts w:cs="Arial"/>
                <w:szCs w:val="18"/>
              </w:rPr>
              <w:t>/</w:t>
            </w:r>
            <w:r w:rsidR="00EE419E">
              <w:rPr>
                <w:rFonts w:cs="Arial"/>
                <w:szCs w:val="18"/>
              </w:rPr>
              <w:t xml:space="preserve"> </w:t>
            </w:r>
            <w:r w:rsidR="0087390D">
              <w:rPr>
                <w:rFonts w:cs="Arial"/>
                <w:szCs w:val="18"/>
              </w:rPr>
              <w:t>Medium</w:t>
            </w:r>
            <w:r w:rsidR="00EE419E">
              <w:rPr>
                <w:rFonts w:cs="Arial"/>
                <w:szCs w:val="18"/>
              </w:rPr>
              <w:t xml:space="preserve"> </w:t>
            </w:r>
            <w:r w:rsidR="0087390D">
              <w:rPr>
                <w:rFonts w:cs="Arial"/>
                <w:szCs w:val="18"/>
              </w:rPr>
              <w:t>/</w:t>
            </w:r>
            <w:r w:rsidR="00EE419E">
              <w:rPr>
                <w:rFonts w:cs="Arial"/>
                <w:szCs w:val="18"/>
              </w:rPr>
              <w:t xml:space="preserve"> </w:t>
            </w:r>
            <w:r w:rsidR="0087390D">
              <w:rPr>
                <w:rFonts w:cs="Arial"/>
                <w:szCs w:val="18"/>
              </w:rPr>
              <w:t>High</w:t>
            </w:r>
          </w:p>
          <w:p w14:paraId="572E2436" w14:textId="090CA82C" w:rsidR="0095381E" w:rsidRDefault="0095381E" w:rsidP="00F0622D">
            <w:pPr>
              <w:pStyle w:val="CETBodytext"/>
              <w:ind w:right="-1"/>
              <w:jc w:val="left"/>
              <w:rPr>
                <w:rFonts w:cs="Arial"/>
                <w:szCs w:val="18"/>
              </w:rPr>
            </w:pPr>
            <w:r>
              <w:rPr>
                <w:rFonts w:cs="Arial"/>
                <w:szCs w:val="18"/>
              </w:rPr>
              <w:t>(SMH)</w:t>
            </w:r>
          </w:p>
          <w:p w14:paraId="0D8C42C8" w14:textId="527CAB45" w:rsidR="0087390D" w:rsidRPr="00E313B3" w:rsidRDefault="0087390D" w:rsidP="00F0622D">
            <w:pPr>
              <w:pStyle w:val="CETBodytext"/>
              <w:ind w:right="-1"/>
              <w:jc w:val="left"/>
              <w:rPr>
                <w:rFonts w:cs="Arial"/>
                <w:szCs w:val="18"/>
              </w:rPr>
            </w:pPr>
          </w:p>
        </w:tc>
        <w:tc>
          <w:tcPr>
            <w:tcW w:w="1890" w:type="dxa"/>
            <w:shd w:val="clear" w:color="auto" w:fill="FFFFFF"/>
          </w:tcPr>
          <w:p w14:paraId="58EABDA9" w14:textId="5A1137F5" w:rsidR="003414FE" w:rsidRPr="001E0644" w:rsidRDefault="001E0644" w:rsidP="00F0622D">
            <w:pPr>
              <w:pStyle w:val="CETBodytext"/>
              <w:ind w:right="-1"/>
              <w:jc w:val="left"/>
              <w:rPr>
                <w:rFonts w:cs="Arial"/>
                <w:szCs w:val="18"/>
              </w:rPr>
            </w:pPr>
            <m:oMathPara>
              <m:oMathParaPr>
                <m:jc m:val="left"/>
              </m:oMathParaPr>
              <m:oMath>
                <m:r>
                  <w:rPr>
                    <w:rFonts w:ascii="Cambria Math" w:hAnsi="Cambria Math" w:cs="Arial"/>
                    <w:szCs w:val="18"/>
                  </w:rPr>
                  <m:t>EI&lt;50%</m:t>
                </m:r>
              </m:oMath>
            </m:oMathPara>
          </w:p>
        </w:tc>
        <w:tc>
          <w:tcPr>
            <w:tcW w:w="4860" w:type="dxa"/>
            <w:shd w:val="clear" w:color="auto" w:fill="FFFFFF"/>
          </w:tcPr>
          <w:p w14:paraId="57CBDE1E" w14:textId="08B37AE3" w:rsidR="003414FE" w:rsidRDefault="00C87931" w:rsidP="00F0622D">
            <w:pPr>
              <w:pStyle w:val="CETBodytext"/>
              <w:ind w:right="-1"/>
              <w:jc w:val="left"/>
              <w:rPr>
                <w:rFonts w:cs="Arial"/>
                <w:szCs w:val="18"/>
              </w:rPr>
            </w:pPr>
            <w:r>
              <w:rPr>
                <w:rFonts w:cs="Arial"/>
                <w:szCs w:val="18"/>
              </w:rPr>
              <w:t>Recommended</w:t>
            </w:r>
            <w:r w:rsidR="004A4323" w:rsidRPr="004A4323">
              <w:rPr>
                <w:rFonts w:cs="Arial"/>
                <w:szCs w:val="18"/>
              </w:rPr>
              <w:t xml:space="preserve"> </w:t>
            </w:r>
            <w:r w:rsidR="006C1A9F">
              <w:rPr>
                <w:rFonts w:cs="Arial"/>
                <w:szCs w:val="18"/>
              </w:rPr>
              <w:t xml:space="preserve">for hydrogen </w:t>
            </w:r>
            <w:r w:rsidR="00681FBD">
              <w:rPr>
                <w:rFonts w:cs="Arial"/>
                <w:szCs w:val="18"/>
              </w:rPr>
              <w:t>service</w:t>
            </w:r>
            <w:r w:rsidR="00BF1C27">
              <w:rPr>
                <w:rFonts w:cs="Arial"/>
                <w:szCs w:val="18"/>
              </w:rPr>
              <w:t xml:space="preserve"> at specific operating conditions</w:t>
            </w:r>
            <w:r w:rsidR="00FE3E36">
              <w:rPr>
                <w:rFonts w:cs="Arial"/>
                <w:szCs w:val="18"/>
              </w:rPr>
              <w:t xml:space="preserve"> and with tailored inspection and maintenance activities</w:t>
            </w:r>
          </w:p>
        </w:tc>
      </w:tr>
      <w:tr w:rsidR="003414FE" w:rsidRPr="00E313B3" w14:paraId="3FB7DBBE" w14:textId="18E6D448" w:rsidTr="00EE419E">
        <w:tc>
          <w:tcPr>
            <w:tcW w:w="1980" w:type="dxa"/>
            <w:shd w:val="clear" w:color="auto" w:fill="FFFFFF"/>
          </w:tcPr>
          <w:p w14:paraId="1BD5898A" w14:textId="77777777" w:rsidR="003414FE" w:rsidRDefault="001E0644" w:rsidP="00F0622D">
            <w:pPr>
              <w:pStyle w:val="CETBodytext"/>
              <w:ind w:right="-1"/>
              <w:jc w:val="left"/>
              <w:rPr>
                <w:rFonts w:cs="Arial"/>
                <w:szCs w:val="18"/>
              </w:rPr>
            </w:pPr>
            <w:r>
              <w:rPr>
                <w:rFonts w:cs="Arial"/>
                <w:szCs w:val="18"/>
              </w:rPr>
              <w:t>Extreme</w:t>
            </w:r>
          </w:p>
          <w:p w14:paraId="2E85F46D" w14:textId="160C19A5" w:rsidR="0095381E" w:rsidRDefault="0095381E" w:rsidP="00F0622D">
            <w:pPr>
              <w:pStyle w:val="CETBodytext"/>
              <w:ind w:right="-1"/>
              <w:jc w:val="left"/>
              <w:rPr>
                <w:rFonts w:cs="Arial"/>
                <w:szCs w:val="18"/>
              </w:rPr>
            </w:pPr>
            <w:r>
              <w:rPr>
                <w:rFonts w:cs="Arial"/>
                <w:szCs w:val="18"/>
              </w:rPr>
              <w:t>(E)</w:t>
            </w:r>
          </w:p>
        </w:tc>
        <w:tc>
          <w:tcPr>
            <w:tcW w:w="1890" w:type="dxa"/>
            <w:shd w:val="clear" w:color="auto" w:fill="FFFFFF"/>
          </w:tcPr>
          <w:p w14:paraId="63FEC426" w14:textId="1FB492D7" w:rsidR="003414FE" w:rsidRPr="000F721E" w:rsidRDefault="000F721E" w:rsidP="00F0622D">
            <w:pPr>
              <w:pStyle w:val="CETBodytext"/>
              <w:ind w:right="-1"/>
              <w:jc w:val="left"/>
              <w:rPr>
                <w:rFonts w:cs="Arial"/>
                <w:szCs w:val="18"/>
              </w:rPr>
            </w:pPr>
            <m:oMathPara>
              <m:oMathParaPr>
                <m:jc m:val="left"/>
              </m:oMathParaPr>
              <m:oMath>
                <m:r>
                  <w:rPr>
                    <w:rFonts w:ascii="Cambria Math" w:hAnsi="Cambria Math" w:cs="Arial"/>
                    <w:szCs w:val="18"/>
                  </w:rPr>
                  <m:t>EI≥50%</m:t>
                </m:r>
              </m:oMath>
            </m:oMathPara>
          </w:p>
        </w:tc>
        <w:tc>
          <w:tcPr>
            <w:tcW w:w="4860" w:type="dxa"/>
            <w:shd w:val="clear" w:color="auto" w:fill="FFFFFF"/>
          </w:tcPr>
          <w:p w14:paraId="6A6A8ED1" w14:textId="5F96EFD6" w:rsidR="003414FE" w:rsidRDefault="00C87931" w:rsidP="00F0622D">
            <w:pPr>
              <w:pStyle w:val="CETBodytext"/>
              <w:ind w:right="-1"/>
              <w:jc w:val="left"/>
              <w:rPr>
                <w:rFonts w:cs="Arial"/>
                <w:szCs w:val="18"/>
              </w:rPr>
            </w:pPr>
            <w:r>
              <w:rPr>
                <w:rFonts w:cs="Arial"/>
                <w:szCs w:val="18"/>
              </w:rPr>
              <w:t>Not recommended for hydrogen applications in any temperature and pressure range</w:t>
            </w:r>
          </w:p>
        </w:tc>
      </w:tr>
    </w:tbl>
    <w:p w14:paraId="0F7C0801" w14:textId="77777777" w:rsidR="0093380A" w:rsidRDefault="0093380A" w:rsidP="00F445C0">
      <w:pPr>
        <w:pStyle w:val="CETBodytext"/>
      </w:pPr>
    </w:p>
    <w:p w14:paraId="75E0877E" w14:textId="54A26025" w:rsidR="00F445C0" w:rsidRDefault="00F445C0" w:rsidP="00EE066D">
      <w:pPr>
        <w:pStyle w:val="CETheadingx"/>
      </w:pPr>
      <w:r>
        <w:t>Machine learning simulation</w:t>
      </w:r>
    </w:p>
    <w:p w14:paraId="5056598E" w14:textId="7E3DB829" w:rsidR="003A2D8F" w:rsidRDefault="002F00B9" w:rsidP="0029631B">
      <w:pPr>
        <w:pStyle w:val="CETBodytext"/>
      </w:pPr>
      <w:r w:rsidRPr="00054BCE">
        <w:t xml:space="preserve">A </w:t>
      </w:r>
      <w:r w:rsidR="00013896" w:rsidRPr="00054BCE">
        <w:t>Gradient Boosting Machine</w:t>
      </w:r>
      <w:r w:rsidRPr="00054BCE">
        <w:t xml:space="preserve"> </w:t>
      </w:r>
      <w:r w:rsidR="00EB4F45" w:rsidRPr="00054BCE">
        <w:t>(</w:t>
      </w:r>
      <w:r w:rsidR="00013896" w:rsidRPr="00054BCE">
        <w:t>GBM</w:t>
      </w:r>
      <w:r w:rsidR="00EB4F45" w:rsidRPr="00054BCE">
        <w:t xml:space="preserve">) </w:t>
      </w:r>
      <w:r w:rsidRPr="00054BCE">
        <w:t xml:space="preserve">classification </w:t>
      </w:r>
      <w:r w:rsidR="00F36306" w:rsidRPr="00054BCE">
        <w:t xml:space="preserve">model </w:t>
      </w:r>
      <w:r w:rsidRPr="00054BCE">
        <w:t>has been trained and evaluated on</w:t>
      </w:r>
      <w:r w:rsidR="002C2A71" w:rsidRPr="00054BCE">
        <w:t xml:space="preserve"> the </w:t>
      </w:r>
      <w:r w:rsidR="006318AC" w:rsidRPr="00054BCE">
        <w:t xml:space="preserve">materials’ susceptibility </w:t>
      </w:r>
      <w:r w:rsidR="002C2A71" w:rsidRPr="00054BCE">
        <w:t>database. The purpose of the algorithm is to classi</w:t>
      </w:r>
      <w:r w:rsidR="006318AC" w:rsidRPr="00054BCE">
        <w:t>f</w:t>
      </w:r>
      <w:r w:rsidR="00F178A4" w:rsidRPr="00054BCE">
        <w:t xml:space="preserve">y </w:t>
      </w:r>
      <w:r w:rsidR="00B04FBC" w:rsidRPr="00054BCE">
        <w:t xml:space="preserve">the materials into </w:t>
      </w:r>
      <w:r w:rsidR="00663F33" w:rsidRPr="00054BCE">
        <w:t>two</w:t>
      </w:r>
      <w:r w:rsidR="00B04FBC" w:rsidRPr="00054BCE">
        <w:t xml:space="preserve"> categories: </w:t>
      </w:r>
      <w:r w:rsidR="00663F33" w:rsidRPr="00054BCE">
        <w:t>“S</w:t>
      </w:r>
      <w:r w:rsidR="00B04FBC" w:rsidRPr="00054BCE">
        <w:t>mall</w:t>
      </w:r>
      <w:r w:rsidR="00F36306" w:rsidRPr="00054BCE">
        <w:t xml:space="preserve"> </w:t>
      </w:r>
      <w:r w:rsidR="00663F33" w:rsidRPr="00054BCE">
        <w:t>/</w:t>
      </w:r>
      <w:r w:rsidR="00F36306" w:rsidRPr="00054BCE">
        <w:t xml:space="preserve"> </w:t>
      </w:r>
      <w:r w:rsidR="00663F33" w:rsidRPr="00054BCE">
        <w:t>M</w:t>
      </w:r>
      <w:r w:rsidR="00B04FBC" w:rsidRPr="00054BCE">
        <w:t>edium</w:t>
      </w:r>
      <w:r w:rsidR="00F36306" w:rsidRPr="00054BCE">
        <w:t xml:space="preserve"> </w:t>
      </w:r>
      <w:r w:rsidR="00663F33" w:rsidRPr="00054BCE">
        <w:t>/</w:t>
      </w:r>
      <w:r w:rsidR="00F36306" w:rsidRPr="00054BCE">
        <w:t xml:space="preserve"> </w:t>
      </w:r>
      <w:r w:rsidR="00663F33" w:rsidRPr="00054BCE">
        <w:t>H</w:t>
      </w:r>
      <w:r w:rsidR="00A1004B" w:rsidRPr="00054BCE">
        <w:t>igh</w:t>
      </w:r>
      <w:r w:rsidR="00663F33" w:rsidRPr="00054BCE">
        <w:t>”</w:t>
      </w:r>
      <w:r w:rsidR="000A2E52">
        <w:t xml:space="preserve"> (SMH)</w:t>
      </w:r>
      <w:r w:rsidR="00A1004B" w:rsidRPr="00054BCE">
        <w:t xml:space="preserve">, and </w:t>
      </w:r>
      <w:r w:rsidR="00663F33" w:rsidRPr="00054BCE">
        <w:t>“E</w:t>
      </w:r>
      <w:r w:rsidR="00A1004B" w:rsidRPr="00054BCE">
        <w:t>xtreme</w:t>
      </w:r>
      <w:r w:rsidR="00663F33" w:rsidRPr="00054BCE">
        <w:t>”</w:t>
      </w:r>
      <w:r w:rsidR="000A2E52">
        <w:t xml:space="preserve"> (</w:t>
      </w:r>
      <w:r w:rsidR="008C7FA9">
        <w:t>E)</w:t>
      </w:r>
      <w:r w:rsidR="00A1004B" w:rsidRPr="00054BCE">
        <w:t xml:space="preserve"> </w:t>
      </w:r>
      <w:r w:rsidR="008C7FA9">
        <w:t>hydrogen embrittlement s</w:t>
      </w:r>
      <w:r w:rsidR="00A1004B" w:rsidRPr="00054BCE">
        <w:t>usceptibility</w:t>
      </w:r>
      <w:r w:rsidR="002111D7" w:rsidRPr="00054BCE">
        <w:t>.</w:t>
      </w:r>
      <w:r w:rsidR="009F635D" w:rsidRPr="00054BCE">
        <w:t xml:space="preserve"> </w:t>
      </w:r>
      <w:r w:rsidR="002111D7" w:rsidRPr="00054BCE">
        <w:t xml:space="preserve">In other words, the model </w:t>
      </w:r>
      <w:r w:rsidR="00D946BB" w:rsidRPr="00054BCE">
        <w:t xml:space="preserve">should predict </w:t>
      </w:r>
      <w:r w:rsidR="004B4596" w:rsidRPr="00054BCE">
        <w:t xml:space="preserve">if </w:t>
      </w:r>
      <w:r w:rsidR="00D946BB" w:rsidRPr="00054BCE">
        <w:t>a certain type of material</w:t>
      </w:r>
      <w:r w:rsidR="004B4596" w:rsidRPr="00054BCE">
        <w:t xml:space="preserve"> will be affected by </w:t>
      </w:r>
      <w:r w:rsidR="00CE360D" w:rsidRPr="00054BCE">
        <w:t xml:space="preserve">hydrogen-induced ductility loss </w:t>
      </w:r>
      <w:r w:rsidR="00AD0745" w:rsidRPr="00054BCE">
        <w:t xml:space="preserve">under </w:t>
      </w:r>
      <w:r w:rsidR="00CE360D" w:rsidRPr="00054BCE">
        <w:t>specific environment</w:t>
      </w:r>
      <w:r w:rsidR="00CA497B" w:rsidRPr="00054BCE">
        <w:t>al</w:t>
      </w:r>
      <w:r w:rsidR="00CE360D" w:rsidRPr="00054BCE">
        <w:t xml:space="preserve"> and</w:t>
      </w:r>
      <w:r w:rsidR="007C2B52" w:rsidRPr="00054BCE">
        <w:t xml:space="preserve"> loading condition</w:t>
      </w:r>
      <w:r w:rsidR="00577690" w:rsidRPr="00054BCE">
        <w:t>s</w:t>
      </w:r>
      <w:r w:rsidR="00CA497B" w:rsidRPr="00054BCE">
        <w:t xml:space="preserve"> to an extent that makes </w:t>
      </w:r>
      <w:r w:rsidR="00F634D5" w:rsidRPr="00054BCE">
        <w:t>its utilization inherently unsafe</w:t>
      </w:r>
      <w:r w:rsidR="00577690" w:rsidRPr="00054BCE">
        <w:t>.</w:t>
      </w:r>
      <w:r w:rsidR="00251FAB" w:rsidRPr="00054BCE">
        <w:t xml:space="preserve"> </w:t>
      </w:r>
      <w:r w:rsidR="00C455A5" w:rsidRPr="00054BCE">
        <w:t xml:space="preserve">This supervised learning method was employed </w:t>
      </w:r>
      <w:r w:rsidR="00162A6F" w:rsidRPr="00054BCE">
        <w:t>for</w:t>
      </w:r>
      <w:r w:rsidR="00B94847" w:rsidRPr="00054BCE">
        <w:t xml:space="preserve"> a classification task</w:t>
      </w:r>
      <w:r w:rsidR="00225A28" w:rsidRPr="00054BCE">
        <w:t xml:space="preserve"> rather than a regression</w:t>
      </w:r>
      <w:r w:rsidR="00B94847" w:rsidRPr="00054BCE">
        <w:t xml:space="preserve"> because </w:t>
      </w:r>
      <w:r w:rsidR="00CB3CAD" w:rsidRPr="00054BCE">
        <w:t xml:space="preserve">the punctual value of the </w:t>
      </w:r>
      <w:r w:rsidR="00EF3F92">
        <w:t xml:space="preserve">EI </w:t>
      </w:r>
      <w:r w:rsidR="003B2D97" w:rsidRPr="00054BCE">
        <w:t>depends</w:t>
      </w:r>
      <w:r w:rsidR="00896B04" w:rsidRPr="00054BCE">
        <w:t xml:space="preserve"> upon a variety of factors</w:t>
      </w:r>
      <w:r w:rsidR="0031327A" w:rsidRPr="00054BCE">
        <w:t xml:space="preserve"> (e.g.,</w:t>
      </w:r>
      <w:r w:rsidR="00F60336" w:rsidRPr="00054BCE">
        <w:t xml:space="preserve"> the presence</w:t>
      </w:r>
      <w:r w:rsidR="009D451D" w:rsidRPr="00054BCE">
        <w:t xml:space="preserve"> </w:t>
      </w:r>
      <w:r w:rsidR="0031327A" w:rsidRPr="00054BCE">
        <w:t xml:space="preserve">of </w:t>
      </w:r>
      <w:r w:rsidR="009D451D" w:rsidRPr="00054BCE">
        <w:t>internal defects and inclusions</w:t>
      </w:r>
      <w:r w:rsidR="00F03062" w:rsidRPr="00054BCE">
        <w:t>, or the grain refinement and orientation</w:t>
      </w:r>
      <w:r w:rsidR="0031327A" w:rsidRPr="00054BCE">
        <w:t>),</w:t>
      </w:r>
      <w:r w:rsidR="00F60336" w:rsidRPr="00054BCE">
        <w:t xml:space="preserve"> which can</w:t>
      </w:r>
      <w:r w:rsidR="00162A6F" w:rsidRPr="00054BCE">
        <w:t xml:space="preserve"> neither </w:t>
      </w:r>
      <w:r w:rsidR="00F60336" w:rsidRPr="00054BCE">
        <w:t xml:space="preserve">be </w:t>
      </w:r>
      <w:r w:rsidR="003F28A4" w:rsidRPr="00054BCE">
        <w:t>included</w:t>
      </w:r>
      <w:r w:rsidR="00F60336" w:rsidRPr="00054BCE">
        <w:t xml:space="preserve"> </w:t>
      </w:r>
      <w:r w:rsidR="003F28A4" w:rsidRPr="00054BCE">
        <w:t xml:space="preserve">in </w:t>
      </w:r>
      <w:r w:rsidR="007647A5" w:rsidRPr="00054BCE">
        <w:t xml:space="preserve">a database </w:t>
      </w:r>
      <w:r w:rsidR="00162A6F" w:rsidRPr="00054BCE">
        <w:t>nor</w:t>
      </w:r>
      <w:r w:rsidR="007647A5" w:rsidRPr="00054BCE">
        <w:t xml:space="preserve"> considered to infer general </w:t>
      </w:r>
      <w:r w:rsidR="00B82FA4" w:rsidRPr="00054BCE">
        <w:t>recommendations regarding the materials’ susceptibility to HE.</w:t>
      </w:r>
      <w:r w:rsidR="001F2A96" w:rsidRPr="00054BCE">
        <w:t xml:space="preserve"> </w:t>
      </w:r>
      <w:r w:rsidR="00251FAB" w:rsidRPr="00054BCE">
        <w:t xml:space="preserve">The flow diagram to set up and perform the </w:t>
      </w:r>
      <w:r w:rsidR="009F635D" w:rsidRPr="00054BCE">
        <w:t>GBM</w:t>
      </w:r>
      <w:r w:rsidR="00251FAB" w:rsidRPr="00054BCE">
        <w:t xml:space="preserve"> classification </w:t>
      </w:r>
      <w:r w:rsidR="00EB4F45" w:rsidRPr="00054BCE">
        <w:t>is illustrated in Figure 2.</w:t>
      </w:r>
    </w:p>
    <w:p w14:paraId="149C150F" w14:textId="77777777" w:rsidR="002A4B5B" w:rsidRPr="00054BCE" w:rsidRDefault="002A4B5B" w:rsidP="0029631B">
      <w:pPr>
        <w:pStyle w:val="CETBodytext"/>
      </w:pPr>
    </w:p>
    <w:p w14:paraId="3A1C54B2" w14:textId="678143C6" w:rsidR="00234298" w:rsidRDefault="002A4B5B" w:rsidP="00234298">
      <w:pPr>
        <w:pStyle w:val="CETBodytext"/>
        <w:keepNext/>
        <w:jc w:val="left"/>
      </w:pPr>
      <w:r>
        <w:rPr>
          <w:noProof/>
        </w:rPr>
        <w:drawing>
          <wp:inline distT="0" distB="0" distL="0" distR="0" wp14:anchorId="5F999CCF" wp14:editId="53485827">
            <wp:extent cx="5578459" cy="2314135"/>
            <wp:effectExtent l="0" t="0" r="381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92299" cy="2319876"/>
                    </a:xfrm>
                    <a:prstGeom prst="rect">
                      <a:avLst/>
                    </a:prstGeom>
                    <a:noFill/>
                    <a:ln>
                      <a:noFill/>
                    </a:ln>
                  </pic:spPr>
                </pic:pic>
              </a:graphicData>
            </a:graphic>
          </wp:inline>
        </w:drawing>
      </w:r>
    </w:p>
    <w:p w14:paraId="575EF388" w14:textId="076FE28E" w:rsidR="0038201C" w:rsidRDefault="00234298" w:rsidP="00234298">
      <w:pPr>
        <w:pStyle w:val="CETCaption"/>
      </w:pPr>
      <w:r>
        <w:t xml:space="preserve">Figure </w:t>
      </w:r>
      <w:r>
        <w:fldChar w:fldCharType="begin"/>
      </w:r>
      <w:r>
        <w:instrText xml:space="preserve"> SEQ Figure \* ARABIC </w:instrText>
      </w:r>
      <w:r>
        <w:fldChar w:fldCharType="separate"/>
      </w:r>
      <w:r w:rsidR="00B60A90">
        <w:rPr>
          <w:noProof/>
        </w:rPr>
        <w:t>2</w:t>
      </w:r>
      <w:r>
        <w:fldChar w:fldCharType="end"/>
      </w:r>
      <w:r>
        <w:t>:</w:t>
      </w:r>
      <w:r w:rsidR="00543AB3">
        <w:t xml:space="preserve"> Training and evaluation processes of the</w:t>
      </w:r>
      <w:r w:rsidR="004044ED">
        <w:t xml:space="preserve"> </w:t>
      </w:r>
      <w:r w:rsidR="0070421B">
        <w:t>G</w:t>
      </w:r>
      <w:r w:rsidR="004044ED">
        <w:t xml:space="preserve">radient </w:t>
      </w:r>
      <w:r w:rsidR="0070421B">
        <w:t>B</w:t>
      </w:r>
      <w:r w:rsidR="004044ED">
        <w:t>oosting</w:t>
      </w:r>
      <w:r w:rsidR="00543AB3">
        <w:t xml:space="preserve"> classifier</w:t>
      </w:r>
    </w:p>
    <w:p w14:paraId="2FAAD5A0" w14:textId="5D58AA0D" w:rsidR="001F40D0" w:rsidRPr="0038201C" w:rsidRDefault="001F40D0" w:rsidP="001F40D0">
      <w:pPr>
        <w:pStyle w:val="CETHeading1"/>
        <w:numPr>
          <w:ilvl w:val="0"/>
          <w:numId w:val="0"/>
        </w:numPr>
        <w:tabs>
          <w:tab w:val="right" w:pos="7100"/>
        </w:tabs>
        <w:jc w:val="both"/>
        <w:rPr>
          <w:b w:val="0"/>
          <w:sz w:val="18"/>
        </w:rPr>
      </w:pPr>
      <w:r w:rsidRPr="001F40D0">
        <w:rPr>
          <w:b w:val="0"/>
          <w:sz w:val="18"/>
        </w:rPr>
        <w:t>The classification process is based on two steps: training and evaluation. The data are divided into two sub-databases, namely the training and the evaluation database, in a ratio of 70:30. The former is fed to the Gradient Boosting Machine. This model is composed of a weak learner, a loss function, and an additive model. The weak learner is a decision tree where leaves represent class labels, and branches represent the correlations between features that lead to those class labels; it is normally characterized by a high error rate (</w:t>
      </w:r>
      <w:proofErr w:type="spellStart"/>
      <w:r w:rsidRPr="001F40D0">
        <w:rPr>
          <w:b w:val="0"/>
          <w:sz w:val="18"/>
        </w:rPr>
        <w:t>Bramer</w:t>
      </w:r>
      <w:proofErr w:type="spellEnd"/>
      <w:r w:rsidRPr="001F40D0">
        <w:rPr>
          <w:b w:val="0"/>
          <w:sz w:val="18"/>
        </w:rPr>
        <w:t xml:space="preserve">, 2020). The loss function is a differentiable function which should estimate how good the model is in making predictions with the given data. A logarithmic loss has been selected for this binary classification problem. The additive model is the iterative approach of adding one tree after each iteration, thus progressively reducing the value of the loss function. After each iteration, the labels correctly predicted are kept, while the others are stripped out. A new decision tree is created and tested on the dataset incorrectly classified, and then only the examples successfully labeled are kept. Every time a new weak learner is added, the weights of the pre-existing trees are left </w:t>
      </w:r>
      <w:r w:rsidRPr="001F40D0">
        <w:rPr>
          <w:b w:val="0"/>
          <w:sz w:val="18"/>
        </w:rPr>
        <w:lastRenderedPageBreak/>
        <w:t>unchanged. The loss is calculated, and gradient descent is performed to reduce its value. Then, the tree parameters are modified to reduce the residual loss. In other words, at each iteration, GBM fits the new decision</w:t>
      </w:r>
      <w:r w:rsidR="0038201C">
        <w:rPr>
          <w:b w:val="0"/>
          <w:sz w:val="18"/>
        </w:rPr>
        <w:t xml:space="preserve"> </w:t>
      </w:r>
      <w:r w:rsidRPr="001F40D0">
        <w:rPr>
          <w:b w:val="0"/>
          <w:sz w:val="18"/>
        </w:rPr>
        <w:t>tree to the residual errors made by the previous weak learners instead of fitting it on the data. This process is repeated until the loss is reduced below a certain threshold or a certain number of trees is reached</w:t>
      </w:r>
      <w:r w:rsidR="00E31876">
        <w:rPr>
          <w:b w:val="0"/>
          <w:sz w:val="18"/>
        </w:rPr>
        <w:t xml:space="preserve"> (Mason et al., 1999)</w:t>
      </w:r>
      <w:r w:rsidRPr="001F40D0">
        <w:rPr>
          <w:b w:val="0"/>
          <w:sz w:val="18"/>
        </w:rPr>
        <w:t>.</w:t>
      </w:r>
    </w:p>
    <w:p w14:paraId="7E1E0F1E" w14:textId="5C1513F0" w:rsidR="00756FDF" w:rsidRDefault="00782022" w:rsidP="00756FDF">
      <w:pPr>
        <w:pStyle w:val="CETHeading1"/>
        <w:tabs>
          <w:tab w:val="clear" w:pos="360"/>
          <w:tab w:val="right" w:pos="7100"/>
        </w:tabs>
        <w:jc w:val="both"/>
        <w:rPr>
          <w:lang w:val="en-GB"/>
        </w:rPr>
      </w:pPr>
      <w:r>
        <w:rPr>
          <w:lang w:val="en-GB"/>
        </w:rPr>
        <w:t>Results</w:t>
      </w:r>
      <w:r w:rsidR="00644237">
        <w:rPr>
          <w:lang w:val="en-GB"/>
        </w:rPr>
        <w:t xml:space="preserve"> </w:t>
      </w:r>
      <w:r w:rsidR="00EC79C2">
        <w:rPr>
          <w:lang w:val="en-GB"/>
        </w:rPr>
        <w:t>and discussio</w:t>
      </w:r>
      <w:r w:rsidR="00591F1A">
        <w:rPr>
          <w:lang w:val="en-GB"/>
        </w:rPr>
        <w:t>n</w:t>
      </w:r>
    </w:p>
    <w:p w14:paraId="664CC78B" w14:textId="729BFD4B" w:rsidR="00B11F1B" w:rsidRDefault="00367F66" w:rsidP="00756FDF">
      <w:pPr>
        <w:pStyle w:val="CETBodytext"/>
        <w:rPr>
          <w:lang w:val="en-GB"/>
        </w:rPr>
      </w:pPr>
      <w:r w:rsidRPr="00367F66">
        <w:rPr>
          <w:lang w:val="en-GB"/>
        </w:rPr>
        <w:t xml:space="preserve">After the model evaluation, three metrics have been calculated to assess the performance of the trained Gradient Boosting Machine: accuracy, precision, and recall. The former expresses the fraction of correct predictions and can be calculated through </w:t>
      </w:r>
      <w:proofErr w:type="spellStart"/>
      <w:proofErr w:type="gramStart"/>
      <w:r w:rsidRPr="00367F66">
        <w:rPr>
          <w:lang w:val="en-GB"/>
        </w:rPr>
        <w:t>Eq</w:t>
      </w:r>
      <w:proofErr w:type="spellEnd"/>
      <w:r w:rsidRPr="00367F66">
        <w:rPr>
          <w:lang w:val="en-GB"/>
        </w:rPr>
        <w:t>(</w:t>
      </w:r>
      <w:proofErr w:type="gramEnd"/>
      <w:r w:rsidRPr="00367F66">
        <w:rPr>
          <w:lang w:val="en-GB"/>
        </w:rPr>
        <w:t xml:space="preserve">2). Precision, estimated through </w:t>
      </w:r>
      <w:proofErr w:type="spellStart"/>
      <w:proofErr w:type="gramStart"/>
      <w:r w:rsidRPr="00367F66">
        <w:rPr>
          <w:lang w:val="en-GB"/>
        </w:rPr>
        <w:t>Eq</w:t>
      </w:r>
      <w:proofErr w:type="spellEnd"/>
      <w:r w:rsidRPr="00367F66">
        <w:rPr>
          <w:lang w:val="en-GB"/>
        </w:rPr>
        <w:t>(</w:t>
      </w:r>
      <w:proofErr w:type="gramEnd"/>
      <w:r w:rsidRPr="00367F66">
        <w:rPr>
          <w:lang w:val="en-GB"/>
        </w:rPr>
        <w:t xml:space="preserve">3), indicates the fraction of true positive predictions, while recall, calculated through </w:t>
      </w:r>
      <w:proofErr w:type="spellStart"/>
      <w:r w:rsidRPr="00367F66">
        <w:rPr>
          <w:lang w:val="en-GB"/>
        </w:rPr>
        <w:t>Eq</w:t>
      </w:r>
      <w:proofErr w:type="spellEnd"/>
      <w:r w:rsidRPr="00367F66">
        <w:rPr>
          <w:lang w:val="en-GB"/>
        </w:rPr>
        <w:t>(4), refers to the fraction of positive labels correctly predicted</w:t>
      </w:r>
      <w:r w:rsidR="00287189">
        <w:rPr>
          <w:lang w:val="en-GB"/>
        </w:rPr>
        <w:t xml:space="preserve"> (</w:t>
      </w:r>
      <w:proofErr w:type="spellStart"/>
      <w:r w:rsidR="00287189">
        <w:rPr>
          <w:lang w:val="en-GB"/>
        </w:rPr>
        <w:t>Seliya</w:t>
      </w:r>
      <w:proofErr w:type="spellEnd"/>
      <w:r w:rsidR="00287189">
        <w:rPr>
          <w:lang w:val="en-GB"/>
        </w:rPr>
        <w:t xml:space="preserve"> et al., 2009)</w:t>
      </w:r>
      <w:r w:rsidR="00E161A8">
        <w:rPr>
          <w:lang w:val="en-GB"/>
        </w:rPr>
        <w:t>.</w:t>
      </w:r>
    </w:p>
    <w:p w14:paraId="6551185C" w14:textId="77777777" w:rsidR="000A1C7C" w:rsidRPr="005F2A22" w:rsidRDefault="000A1C7C" w:rsidP="00756FDF">
      <w:pPr>
        <w:pStyle w:val="CETBodytext"/>
        <w:rPr>
          <w:lang w:val="en-GB"/>
        </w:rPr>
      </w:pPr>
    </w:p>
    <w:tbl>
      <w:tblPr>
        <w:tblW w:w="5000" w:type="pct"/>
        <w:tblLook w:val="04A0" w:firstRow="1" w:lastRow="0" w:firstColumn="1" w:lastColumn="0" w:noHBand="0" w:noVBand="1"/>
      </w:tblPr>
      <w:tblGrid>
        <w:gridCol w:w="7993"/>
        <w:gridCol w:w="794"/>
      </w:tblGrid>
      <w:tr w:rsidR="008E19DB" w:rsidRPr="00B57B36" w14:paraId="1D160726" w14:textId="77777777" w:rsidTr="00F0622D">
        <w:tc>
          <w:tcPr>
            <w:tcW w:w="7993" w:type="dxa"/>
            <w:shd w:val="clear" w:color="auto" w:fill="auto"/>
            <w:vAlign w:val="center"/>
          </w:tcPr>
          <w:p w14:paraId="03725470" w14:textId="160113A0" w:rsidR="00B11F1B" w:rsidRPr="005C1D7A" w:rsidRDefault="008C4598" w:rsidP="00B11F1B">
            <w:pPr>
              <w:pStyle w:val="CETBodytext"/>
              <w:rPr>
                <w:rFonts w:cs="Arial"/>
                <w:iCs/>
                <w:lang w:val="en-GB"/>
              </w:rPr>
            </w:pPr>
            <m:oMathPara>
              <m:oMathParaPr>
                <m:jc m:val="left"/>
              </m:oMathParaPr>
              <m:oMath>
                <m:r>
                  <m:rPr>
                    <m:sty m:val="p"/>
                  </m:rPr>
                  <w:rPr>
                    <w:rFonts w:ascii="Cambria Math" w:hAnsi="Cambria Math" w:cs="Arial"/>
                  </w:rPr>
                  <m:t>Accuracy</m:t>
                </m:r>
                <m:r>
                  <m:rPr>
                    <m:sty m:val="p"/>
                  </m:rPr>
                  <w:rPr>
                    <w:rFonts w:ascii="Cambria Math" w:hAnsi="Cambria Math" w:cs="Arial"/>
                    <w:lang w:val="en-GB"/>
                  </w:rPr>
                  <m:t>=</m:t>
                </m:r>
                <m:f>
                  <m:fPr>
                    <m:ctrlPr>
                      <w:rPr>
                        <w:rFonts w:ascii="Cambria Math" w:hAnsi="Cambria Math" w:cs="Arial"/>
                        <w:iCs/>
                      </w:rPr>
                    </m:ctrlPr>
                  </m:fPr>
                  <m:num>
                    <m:r>
                      <m:rPr>
                        <m:sty m:val="p"/>
                      </m:rPr>
                      <w:rPr>
                        <w:rFonts w:ascii="Cambria Math" w:hAnsi="Cambria Math" w:cs="Arial"/>
                        <w:lang w:val="en-GB"/>
                      </w:rPr>
                      <m:t>TP+TN</m:t>
                    </m:r>
                  </m:num>
                  <m:den>
                    <m:r>
                      <m:rPr>
                        <m:sty m:val="p"/>
                      </m:rPr>
                      <w:rPr>
                        <w:rFonts w:ascii="Cambria Math" w:hAnsi="Cambria Math" w:cs="Arial"/>
                        <w:lang w:val="en-GB"/>
                      </w:rPr>
                      <m:t>TP+TN+FP+FN</m:t>
                    </m:r>
                  </m:den>
                </m:f>
                <m:r>
                  <m:rPr>
                    <m:sty m:val="p"/>
                  </m:rPr>
                  <w:rPr>
                    <w:rFonts w:ascii="Cambria Math" w:hAnsi="Cambria Math" w:cs="Arial"/>
                    <w:lang w:val="en-GB"/>
                  </w:rPr>
                  <m:t>=0.886</m:t>
                </m:r>
              </m:oMath>
            </m:oMathPara>
          </w:p>
        </w:tc>
        <w:tc>
          <w:tcPr>
            <w:tcW w:w="794" w:type="dxa"/>
            <w:shd w:val="clear" w:color="auto" w:fill="auto"/>
            <w:vAlign w:val="center"/>
          </w:tcPr>
          <w:p w14:paraId="541DFA3E" w14:textId="053FA27B" w:rsidR="008E19DB" w:rsidRPr="00B57B36" w:rsidRDefault="008E19DB" w:rsidP="00F0622D">
            <w:pPr>
              <w:pStyle w:val="CETEquation"/>
              <w:jc w:val="right"/>
            </w:pPr>
            <w:r w:rsidRPr="00B57B36">
              <w:t>(</w:t>
            </w:r>
            <w:r w:rsidR="00C3411A">
              <w:t>2</w:t>
            </w:r>
            <w:r w:rsidRPr="00B57B36">
              <w:t>)</w:t>
            </w:r>
          </w:p>
        </w:tc>
      </w:tr>
      <w:tr w:rsidR="008E19DB" w:rsidRPr="00B57B36" w14:paraId="2CF36EEB" w14:textId="77777777" w:rsidTr="00F0622D">
        <w:tc>
          <w:tcPr>
            <w:tcW w:w="7993" w:type="dxa"/>
            <w:shd w:val="clear" w:color="auto" w:fill="auto"/>
            <w:vAlign w:val="center"/>
          </w:tcPr>
          <w:p w14:paraId="396EABC7" w14:textId="7288F1EE" w:rsidR="008E19DB" w:rsidRPr="005C1D7A" w:rsidRDefault="005C1D7A" w:rsidP="00F0622D">
            <w:pPr>
              <w:pStyle w:val="CETEquation"/>
            </w:pPr>
            <m:oMathPara>
              <m:oMathParaPr>
                <m:jc m:val="left"/>
              </m:oMathParaPr>
              <m:oMath>
                <m:r>
                  <m:rPr>
                    <m:sty m:val="p"/>
                  </m:rPr>
                  <w:rPr>
                    <w:rFonts w:ascii="Cambria Math" w:hAnsi="Cambria Math"/>
                    <w:lang w:val="en-US"/>
                  </w:rPr>
                  <m:t>Precision=</m:t>
                </m:r>
                <m:f>
                  <m:fPr>
                    <m:ctrlPr>
                      <w:rPr>
                        <w:rFonts w:ascii="Cambria Math" w:hAnsi="Cambria Math" w:cs="Arial"/>
                        <w:lang w:val="en-US"/>
                      </w:rPr>
                    </m:ctrlPr>
                  </m:fPr>
                  <m:num>
                    <m:r>
                      <m:rPr>
                        <m:sty m:val="p"/>
                      </m:rPr>
                      <w:rPr>
                        <w:rFonts w:ascii="Cambria Math" w:hAnsi="Cambria Math" w:cs="Arial"/>
                      </w:rPr>
                      <m:t>TP</m:t>
                    </m:r>
                  </m:num>
                  <m:den>
                    <m:r>
                      <m:rPr>
                        <m:sty m:val="p"/>
                      </m:rPr>
                      <w:rPr>
                        <w:rFonts w:ascii="Cambria Math" w:hAnsi="Cambria Math" w:cs="Arial"/>
                      </w:rPr>
                      <m:t>TP+FP</m:t>
                    </m:r>
                  </m:den>
                </m:f>
                <m:r>
                  <m:rPr>
                    <m:sty m:val="p"/>
                  </m:rPr>
                  <w:rPr>
                    <w:rFonts w:ascii="Cambria Math" w:hAnsi="Cambria Math" w:cs="Arial"/>
                    <w:lang w:val="en-US"/>
                  </w:rPr>
                  <m:t>=0.860</m:t>
                </m:r>
              </m:oMath>
            </m:oMathPara>
          </w:p>
        </w:tc>
        <w:tc>
          <w:tcPr>
            <w:tcW w:w="794" w:type="dxa"/>
            <w:shd w:val="clear" w:color="auto" w:fill="auto"/>
            <w:vAlign w:val="center"/>
          </w:tcPr>
          <w:p w14:paraId="65C0B52D" w14:textId="0D1B15C4" w:rsidR="008E19DB" w:rsidRPr="00B57B36" w:rsidRDefault="008E19DB" w:rsidP="00F0622D">
            <w:pPr>
              <w:pStyle w:val="CETEquation"/>
              <w:jc w:val="right"/>
            </w:pPr>
            <w:r w:rsidRPr="00B57B36">
              <w:t>(</w:t>
            </w:r>
            <w:r w:rsidR="00C3411A">
              <w:t>3</w:t>
            </w:r>
            <w:r w:rsidRPr="00B57B36">
              <w:t>)</w:t>
            </w:r>
          </w:p>
        </w:tc>
      </w:tr>
      <w:tr w:rsidR="008E19DB" w:rsidRPr="00B57B36" w14:paraId="0FA19D67" w14:textId="77777777" w:rsidTr="00F0622D">
        <w:tc>
          <w:tcPr>
            <w:tcW w:w="7993" w:type="dxa"/>
            <w:shd w:val="clear" w:color="auto" w:fill="auto"/>
            <w:vAlign w:val="center"/>
          </w:tcPr>
          <w:p w14:paraId="7099103C" w14:textId="5D4256B3" w:rsidR="008E19DB" w:rsidRPr="005C1D7A" w:rsidRDefault="005C1D7A" w:rsidP="00F0622D">
            <w:pPr>
              <w:pStyle w:val="CETEquation"/>
            </w:pPr>
            <m:oMathPara>
              <m:oMathParaPr>
                <m:jc m:val="left"/>
              </m:oMathParaPr>
              <m:oMath>
                <m:r>
                  <m:rPr>
                    <m:sty m:val="p"/>
                  </m:rPr>
                  <w:rPr>
                    <w:rFonts w:ascii="Cambria Math" w:hAnsi="Cambria Math"/>
                    <w:lang w:val="en-US"/>
                  </w:rPr>
                  <m:t>Recall=</m:t>
                </m:r>
                <m:f>
                  <m:fPr>
                    <m:ctrlPr>
                      <w:rPr>
                        <w:rFonts w:ascii="Cambria Math" w:hAnsi="Cambria Math" w:cs="Arial"/>
                        <w:lang w:val="en-US"/>
                      </w:rPr>
                    </m:ctrlPr>
                  </m:fPr>
                  <m:num>
                    <m:r>
                      <m:rPr>
                        <m:sty m:val="p"/>
                      </m:rPr>
                      <w:rPr>
                        <w:rFonts w:ascii="Cambria Math" w:hAnsi="Cambria Math" w:cs="Arial"/>
                      </w:rPr>
                      <m:t>TP</m:t>
                    </m:r>
                  </m:num>
                  <m:den>
                    <m:r>
                      <m:rPr>
                        <m:sty m:val="p"/>
                      </m:rPr>
                      <w:rPr>
                        <w:rFonts w:ascii="Cambria Math" w:hAnsi="Cambria Math" w:cs="Arial"/>
                      </w:rPr>
                      <m:t>TP+FN</m:t>
                    </m:r>
                  </m:den>
                </m:f>
                <m:r>
                  <m:rPr>
                    <m:sty m:val="p"/>
                  </m:rPr>
                  <w:rPr>
                    <w:rFonts w:ascii="Cambria Math" w:hAnsi="Cambria Math" w:cs="Arial"/>
                    <w:lang w:val="en-US"/>
                  </w:rPr>
                  <m:t>=0.889</m:t>
                </m:r>
              </m:oMath>
            </m:oMathPara>
          </w:p>
        </w:tc>
        <w:tc>
          <w:tcPr>
            <w:tcW w:w="794" w:type="dxa"/>
            <w:shd w:val="clear" w:color="auto" w:fill="auto"/>
            <w:vAlign w:val="center"/>
          </w:tcPr>
          <w:p w14:paraId="3B10D3FE" w14:textId="2DEB1459" w:rsidR="008E19DB" w:rsidRPr="00B57B36" w:rsidRDefault="008E19DB" w:rsidP="00F0622D">
            <w:pPr>
              <w:pStyle w:val="CETEquation"/>
              <w:jc w:val="right"/>
            </w:pPr>
            <w:r w:rsidRPr="00B57B36">
              <w:t>(</w:t>
            </w:r>
            <w:r w:rsidR="00C3411A">
              <w:t>4</w:t>
            </w:r>
            <w:r w:rsidRPr="00B57B36">
              <w:t>)</w:t>
            </w:r>
          </w:p>
        </w:tc>
      </w:tr>
    </w:tbl>
    <w:p w14:paraId="00C3921D" w14:textId="1BB04E32" w:rsidR="00E03691" w:rsidRDefault="0016711F" w:rsidP="00756FDF">
      <w:pPr>
        <w:pStyle w:val="CETBodytext"/>
      </w:pPr>
      <w:r w:rsidRPr="0016711F">
        <w:t xml:space="preserve">where TP indicates true positive results (i.e., both real and predicted labels are SMH), TN the true negatives (i.e., both real and predicted labels are E), FP the false positives (i.e., the real label is E, and the predicted label is SMH), and FN the false negatives (i.e., the real label is SMH, and the predicted label is E). These metrics have been calculated using a 0.5 default probability decision threshold. Nevertheless, this might not be the value leading to the best metrics. The precision-recall curve can be obtained by varying from 0 to 1 the probability threshold associated with the GBM binary classifier. The area under the curve (AUC) represents another important performance metric, </w:t>
      </w:r>
      <w:r w:rsidR="001A046C">
        <w:t xml:space="preserve">ranging </w:t>
      </w:r>
      <w:r w:rsidRPr="0016711F">
        <w:t>from 0 to 1. The higher the AUC value</w:t>
      </w:r>
      <w:r w:rsidR="00063983">
        <w:t>,</w:t>
      </w:r>
      <w:r w:rsidRPr="0016711F">
        <w:t xml:space="preserve"> the better the classifier’s performance. The confusion matrix in Figure 3 shows the percentages of TP, TN, FP, and FN predictions, while the precision-recall curve shows the probability threshold set at 0.5.</w:t>
      </w:r>
    </w:p>
    <w:p w14:paraId="014496BB" w14:textId="77777777" w:rsidR="00F91F27" w:rsidRDefault="00F91F27" w:rsidP="00756FDF">
      <w:pPr>
        <w:pStyle w:val="CETBodytext"/>
      </w:pPr>
    </w:p>
    <w:p w14:paraId="4EC98F7B" w14:textId="70064100" w:rsidR="00B60A90" w:rsidRDefault="007F348A" w:rsidP="00B60A90">
      <w:pPr>
        <w:pStyle w:val="CETBodytext"/>
        <w:keepNext/>
      </w:pPr>
      <w:r>
        <w:rPr>
          <w:noProof/>
        </w:rPr>
        <w:drawing>
          <wp:inline distT="0" distB="0" distL="0" distR="0" wp14:anchorId="3292B8D0" wp14:editId="071DBCFE">
            <wp:extent cx="5060950" cy="2280221"/>
            <wp:effectExtent l="0" t="0" r="6350" b="6350"/>
            <wp:docPr id="4" name="Picture 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76590" cy="2287268"/>
                    </a:xfrm>
                    <a:prstGeom prst="rect">
                      <a:avLst/>
                    </a:prstGeom>
                    <a:noFill/>
                    <a:ln>
                      <a:noFill/>
                    </a:ln>
                  </pic:spPr>
                </pic:pic>
              </a:graphicData>
            </a:graphic>
          </wp:inline>
        </w:drawing>
      </w:r>
    </w:p>
    <w:p w14:paraId="11BA3736" w14:textId="193FB7B8" w:rsidR="008C7F09" w:rsidRDefault="00B60A90" w:rsidP="00B60A90">
      <w:pPr>
        <w:pStyle w:val="CETCaption"/>
      </w:pPr>
      <w:r>
        <w:t xml:space="preserve">Figure </w:t>
      </w:r>
      <w:r>
        <w:fldChar w:fldCharType="begin"/>
      </w:r>
      <w:r>
        <w:instrText xml:space="preserve"> SEQ Figure \* ARABIC </w:instrText>
      </w:r>
      <w:r>
        <w:fldChar w:fldCharType="separate"/>
      </w:r>
      <w:r>
        <w:rPr>
          <w:noProof/>
        </w:rPr>
        <w:t>3</w:t>
      </w:r>
      <w:r>
        <w:fldChar w:fldCharType="end"/>
      </w:r>
      <w:r>
        <w:t xml:space="preserve">: </w:t>
      </w:r>
      <w:r w:rsidR="008D2D7B">
        <w:t xml:space="preserve">(a) </w:t>
      </w:r>
      <w:r w:rsidR="00FC6194">
        <w:t xml:space="preserve">Confusion matrix </w:t>
      </w:r>
      <w:r w:rsidR="0022172E">
        <w:t xml:space="preserve">(SMH: Small/Medium/High susceptibility; E: Extreme susceptibility) </w:t>
      </w:r>
      <w:r w:rsidR="00FC6194">
        <w:t xml:space="preserve">and (b) </w:t>
      </w:r>
      <w:r>
        <w:t xml:space="preserve">Precision-recall curve for the </w:t>
      </w:r>
      <w:r w:rsidR="00E92E5D">
        <w:t>GBM classifier</w:t>
      </w:r>
    </w:p>
    <w:p w14:paraId="1FB14C2C" w14:textId="5F7A468E" w:rsidR="00196CDE" w:rsidRPr="001B36B5" w:rsidRDefault="00F1461F" w:rsidP="001B36B5">
      <w:pPr>
        <w:pStyle w:val="CETBodytext"/>
      </w:pPr>
      <w:r w:rsidRPr="00F1461F">
        <w:t>The confusion matrix in Figure 3(a) shows how most of the tests are correctly labeled, and the percentages of true positives and true negatives are comparable. Despite this, the model</w:t>
      </w:r>
      <w:r w:rsidR="00585ECE">
        <w:t xml:space="preserve"> still</w:t>
      </w:r>
      <w:r w:rsidRPr="00F1461F">
        <w:t xml:space="preserve"> tends to mislabel a significant number of tests (16.9% of false negatives and 11.1% of false positives). It should be noted that mislabeling an “Extreme” susceptibility as a “Small / Medium / High” is more critical than vice versa. This wrong prediction may cause an underestimation of the HE susceptibility of metal, thus leading to an improper material selection for specific working conditions and a higher risk of component failure. In this perspective, the number of false positive results should be minimized; thus, precision is the most meaningful metric to consider in this specific </w:t>
      </w:r>
      <w:r w:rsidRPr="00F1461F">
        <w:lastRenderedPageBreak/>
        <w:t xml:space="preserve">task. It is possible to maximize precision at the expense of recall by increasing the decision threshold. Nevertheless, Figure 3(b) shows how this modification has only minor benefits on the precision optimization, but it has high costs in terms of a decrease in recall. The high value of AUC (i.e., 0.922) and the nearly flat precision-recall curve confirm this observation. When evaluating </w:t>
      </w:r>
      <w:r w:rsidR="00084A8F" w:rsidRPr="00084A8F">
        <w:t>this classification model's overall performance, the dataset's dimensions</w:t>
      </w:r>
      <w:r w:rsidR="00084A8F">
        <w:t xml:space="preserve"> </w:t>
      </w:r>
      <w:r w:rsidRPr="00F1461F">
        <w:t xml:space="preserve">should be considered. The limited amount of data is mainly due to the selective inclusion criteria. The </w:t>
      </w:r>
      <w:proofErr w:type="gramStart"/>
      <w:r w:rsidRPr="00F1461F">
        <w:t>HE</w:t>
      </w:r>
      <w:proofErr w:type="gramEnd"/>
      <w:r w:rsidRPr="00F1461F">
        <w:t xml:space="preserve"> effects are taken into account through the </w:t>
      </w:r>
      <w:r w:rsidR="00861FED">
        <w:t>E</w:t>
      </w:r>
      <w:r w:rsidRPr="00F1461F">
        <w:t xml:space="preserve">mbrittlement </w:t>
      </w:r>
      <w:r w:rsidR="00861FED">
        <w:t>I</w:t>
      </w:r>
      <w:r w:rsidRPr="00F1461F">
        <w:t>ndex only, thus excluding all the tests expressed in terms of elongation reduction. In addition, only tensile tests in compressed gaseous hydrogen, without pre-charging, were considered. On the one hand, this restrictive selection significantly reduces the size of the dataset with which the ML model is trained, but on the other limits the risk of troubling the waters with unmeaningful information or inhomogeneous data</w:t>
      </w:r>
      <w:r w:rsidR="00485A19">
        <w:t>.</w:t>
      </w:r>
      <w:r w:rsidR="0020735E">
        <w:t xml:space="preserve"> </w:t>
      </w:r>
      <w:r w:rsidR="005B57F8" w:rsidRPr="005B57F8">
        <w:t xml:space="preserve">Analyzing in depth the predictions made by the model, the mislabeled targets did not appear to be preferentially associated with one material rather than with another. Hence, it is reasonable to expect that more accurate predictions will be achieved by increasing the size of the training dataset and including measurements obtained under various testing conditions (for instance, only a few tests were performed at temperatures other than 22 °C, or in </w:t>
      </w:r>
      <w:r w:rsidR="00DF3892">
        <w:t xml:space="preserve">the </w:t>
      </w:r>
      <w:r w:rsidR="005B57F8" w:rsidRPr="005B57F8">
        <w:t>presence of gaseous impurities and inhibitors).</w:t>
      </w:r>
    </w:p>
    <w:p w14:paraId="6456CD4C" w14:textId="0A83C38B" w:rsidR="00782022" w:rsidRDefault="00782022" w:rsidP="00756FDF">
      <w:pPr>
        <w:pStyle w:val="CETHeading1"/>
      </w:pPr>
      <w:r>
        <w:t>Conclusion</w:t>
      </w:r>
      <w:r w:rsidR="00307661">
        <w:t>s</w:t>
      </w:r>
    </w:p>
    <w:p w14:paraId="545F76F5" w14:textId="70F1A334" w:rsidR="00020731" w:rsidRDefault="00C51C14" w:rsidP="00572CFE">
      <w:pPr>
        <w:pStyle w:val="CETBodytext"/>
      </w:pPr>
      <w:r w:rsidRPr="00C51C14">
        <w:t xml:space="preserve">A machine learning approach has been used to classify metallic materials for hydrogen applications into two macro-categories: extremely susceptible and potentially usable. The HE </w:t>
      </w:r>
      <w:proofErr w:type="gramStart"/>
      <w:r w:rsidRPr="00C51C14">
        <w:t>effect</w:t>
      </w:r>
      <w:proofErr w:type="gramEnd"/>
      <w:r w:rsidRPr="00C51C14">
        <w:t xml:space="preserve"> on materials exposed to compressed gaseous hydrogen is measured through the </w:t>
      </w:r>
      <w:r w:rsidR="00861FED">
        <w:t>E</w:t>
      </w:r>
      <w:r w:rsidRPr="00C51C14">
        <w:t xml:space="preserve">mbrittlement </w:t>
      </w:r>
      <w:r w:rsidR="00861FED">
        <w:t>I</w:t>
      </w:r>
      <w:r w:rsidRPr="00C51C14">
        <w:t>ndex, hence only the hydrogen-induced reduction in tensile properties is considered. The model, based on the Gradient Boosting algorithm, can predict the HE severity</w:t>
      </w:r>
      <w:r w:rsidR="007F63E5">
        <w:t xml:space="preserve"> with 88.6% accuracy</w:t>
      </w:r>
      <w:r w:rsidRPr="00C51C14">
        <w:t>. The synergistic interplay of environmental conditions, material properties, and loading conditions is inherently complex and can occasionally result in inaccurate predictions. Nevertheless, it will be possible to obtain better performance by increasing the size of the database. In the future, a complete assessment of the reliability of steel exposed to compressed hydrogen gas will consider the material performance under dynamic loads and the hydrogen-enhanced fatigue crack growth rate</w:t>
      </w:r>
      <w:r w:rsidR="00F47180">
        <w:t>.</w:t>
      </w:r>
    </w:p>
    <w:p w14:paraId="525E9650" w14:textId="77777777" w:rsidR="00A12528" w:rsidRPr="00B57B36" w:rsidRDefault="00A12528" w:rsidP="00A12528">
      <w:pPr>
        <w:pStyle w:val="CETAcknowledgementstitle"/>
      </w:pPr>
      <w:r w:rsidRPr="00B57B36">
        <w:t>Acknowledgments</w:t>
      </w:r>
    </w:p>
    <w:p w14:paraId="5F28E812" w14:textId="09D5EA71" w:rsidR="00A12528" w:rsidRPr="00A12528" w:rsidRDefault="00B0202C" w:rsidP="00572CFE">
      <w:pPr>
        <w:pStyle w:val="CETBodytext"/>
        <w:rPr>
          <w:lang w:val="en-GB"/>
        </w:rPr>
      </w:pPr>
      <w:r w:rsidRPr="00B0202C">
        <w:rPr>
          <w:lang w:val="en-GB"/>
        </w:rPr>
        <w:t>This work was undertaken as a part of the research project</w:t>
      </w:r>
      <w:r w:rsidR="000C6B09">
        <w:rPr>
          <w:lang w:val="en-GB"/>
        </w:rPr>
        <w:t>s</w:t>
      </w:r>
      <w:r w:rsidRPr="00B0202C">
        <w:rPr>
          <w:lang w:val="en-GB"/>
        </w:rPr>
        <w:t xml:space="preserve"> H</w:t>
      </w:r>
      <w:r w:rsidRPr="00B0202C">
        <w:rPr>
          <w:vertAlign w:val="subscript"/>
          <w:lang w:val="en-GB"/>
        </w:rPr>
        <w:t>2</w:t>
      </w:r>
      <w:r w:rsidRPr="00B0202C">
        <w:rPr>
          <w:lang w:val="en-GB"/>
        </w:rPr>
        <w:t>CoopStorage</w:t>
      </w:r>
      <w:r w:rsidR="0067075E">
        <w:rPr>
          <w:lang w:val="en-GB"/>
        </w:rPr>
        <w:t xml:space="preserve"> and SH</w:t>
      </w:r>
      <w:r w:rsidR="0067075E" w:rsidRPr="0067075E">
        <w:rPr>
          <w:vertAlign w:val="subscript"/>
          <w:lang w:val="en-GB"/>
        </w:rPr>
        <w:t>2</w:t>
      </w:r>
      <w:r w:rsidR="0067075E">
        <w:rPr>
          <w:lang w:val="en-GB"/>
        </w:rPr>
        <w:t>IFT-2</w:t>
      </w:r>
      <w:r w:rsidRPr="00B0202C">
        <w:rPr>
          <w:lang w:val="en-GB"/>
        </w:rPr>
        <w:t>, and the authors would like to acknowledge the financial support of the Nordic Energy Research within the program ERA-Net Smart Energy System (Grant No. 106291)</w:t>
      </w:r>
      <w:r w:rsidR="0067075E">
        <w:rPr>
          <w:lang w:val="en-GB"/>
        </w:rPr>
        <w:t xml:space="preserve"> and of the Research Council of Norway (Grant No. </w:t>
      </w:r>
      <w:r w:rsidR="00AD44ED" w:rsidRPr="00AD44ED">
        <w:rPr>
          <w:lang w:val="en-GB"/>
        </w:rPr>
        <w:t>327009</w:t>
      </w:r>
      <w:r w:rsidR="0067075E">
        <w:rPr>
          <w:lang w:val="en-GB"/>
        </w:rPr>
        <w:t>)</w:t>
      </w:r>
      <w:r w:rsidRPr="00B0202C">
        <w:rPr>
          <w:lang w:val="en-GB"/>
        </w:rPr>
        <w:t>.</w:t>
      </w:r>
    </w:p>
    <w:p w14:paraId="4F1327F8" w14:textId="77777777" w:rsidR="00600535" w:rsidRPr="00B57B36" w:rsidRDefault="00600535" w:rsidP="00600535">
      <w:pPr>
        <w:pStyle w:val="CETReference"/>
      </w:pPr>
      <w:r w:rsidRPr="00B57B36">
        <w:t>References</w:t>
      </w:r>
    </w:p>
    <w:p w14:paraId="5945058F" w14:textId="7434671E" w:rsidR="00137068" w:rsidRPr="00137068" w:rsidRDefault="00137068" w:rsidP="00D31434">
      <w:pPr>
        <w:pStyle w:val="CETReferencetext"/>
        <w:rPr>
          <w:lang w:val="en-US"/>
        </w:rPr>
      </w:pPr>
      <w:proofErr w:type="spellStart"/>
      <w:r w:rsidRPr="00137068">
        <w:rPr>
          <w:lang w:val="en-US"/>
        </w:rPr>
        <w:t>Bramer</w:t>
      </w:r>
      <w:proofErr w:type="spellEnd"/>
      <w:r w:rsidRPr="00137068">
        <w:rPr>
          <w:lang w:val="en-US"/>
        </w:rPr>
        <w:t xml:space="preserve"> M., 20</w:t>
      </w:r>
      <w:r w:rsidR="00A3434E">
        <w:rPr>
          <w:lang w:val="en-US"/>
        </w:rPr>
        <w:t>20</w:t>
      </w:r>
      <w:r w:rsidRPr="00137068">
        <w:rPr>
          <w:lang w:val="en-US"/>
        </w:rPr>
        <w:t>, Principles of D</w:t>
      </w:r>
      <w:r>
        <w:rPr>
          <w:lang w:val="en-US"/>
        </w:rPr>
        <w:t>ata Mining</w:t>
      </w:r>
      <w:r w:rsidR="004C1F81">
        <w:rPr>
          <w:lang w:val="en-US"/>
        </w:rPr>
        <w:t>: 4</w:t>
      </w:r>
      <w:r w:rsidR="004C1F81" w:rsidRPr="004C1F81">
        <w:rPr>
          <w:vertAlign w:val="superscript"/>
          <w:lang w:val="en-US"/>
        </w:rPr>
        <w:t>th</w:t>
      </w:r>
      <w:r w:rsidR="004C1F81">
        <w:rPr>
          <w:lang w:val="en-US"/>
        </w:rPr>
        <w:t xml:space="preserve"> Edition</w:t>
      </w:r>
      <w:r>
        <w:rPr>
          <w:lang w:val="en-US"/>
        </w:rPr>
        <w:t xml:space="preserve">, </w:t>
      </w:r>
      <w:r w:rsidR="00730927">
        <w:rPr>
          <w:lang w:val="en-US"/>
        </w:rPr>
        <w:t xml:space="preserve">Springer Science, </w:t>
      </w:r>
      <w:r w:rsidR="004C1F81">
        <w:rPr>
          <w:lang w:val="en-US"/>
        </w:rPr>
        <w:t>London, UK.</w:t>
      </w:r>
    </w:p>
    <w:p w14:paraId="7421EC64" w14:textId="45FEF953" w:rsidR="00D31434" w:rsidRDefault="00D31434" w:rsidP="00D31434">
      <w:pPr>
        <w:pStyle w:val="CETReferencetext"/>
        <w:rPr>
          <w:lang w:val="en-US"/>
        </w:rPr>
      </w:pPr>
      <w:r w:rsidRPr="0047586B">
        <w:rPr>
          <w:lang w:val="en-US"/>
        </w:rPr>
        <w:t xml:space="preserve">Campari A., Pio G., </w:t>
      </w:r>
      <w:proofErr w:type="spellStart"/>
      <w:r w:rsidRPr="0047586B">
        <w:rPr>
          <w:lang w:val="en-US"/>
        </w:rPr>
        <w:t>Ustolin</w:t>
      </w:r>
      <w:proofErr w:type="spellEnd"/>
      <w:r w:rsidRPr="0047586B">
        <w:rPr>
          <w:lang w:val="en-US"/>
        </w:rPr>
        <w:t xml:space="preserve"> F., Paltrinieri N., </w:t>
      </w:r>
      <w:proofErr w:type="spellStart"/>
      <w:r w:rsidRPr="0047586B">
        <w:rPr>
          <w:lang w:val="en-US"/>
        </w:rPr>
        <w:t>Salzano</w:t>
      </w:r>
      <w:proofErr w:type="spellEnd"/>
      <w:r w:rsidRPr="0047586B">
        <w:rPr>
          <w:lang w:val="en-US"/>
        </w:rPr>
        <w:t xml:space="preserve"> E., 2022, Design and Optimization of an Emergency Auto-thermal Burner for Liquid Hydrogen, Chem. Eng. Trans., 91, 325-330</w:t>
      </w:r>
      <w:r w:rsidR="00481653">
        <w:rPr>
          <w:lang w:val="en-US"/>
        </w:rPr>
        <w:t xml:space="preserve">, DOI: </w:t>
      </w:r>
      <w:r w:rsidR="00481653">
        <w:t>10.3303/CET2291055</w:t>
      </w:r>
      <w:r w:rsidRPr="0047586B">
        <w:rPr>
          <w:lang w:val="en-US"/>
        </w:rPr>
        <w:t>.</w:t>
      </w:r>
    </w:p>
    <w:p w14:paraId="5476B66E" w14:textId="131D2511" w:rsidR="00D31434" w:rsidRPr="009D7390" w:rsidRDefault="00D31434" w:rsidP="00144D8C">
      <w:pPr>
        <w:pStyle w:val="CETReferencetext"/>
        <w:rPr>
          <w:lang w:val="en-US"/>
        </w:rPr>
      </w:pPr>
      <w:r w:rsidRPr="0047586B">
        <w:rPr>
          <w:lang w:val="en-US"/>
        </w:rPr>
        <w:t xml:space="preserve">Campari A., </w:t>
      </w:r>
      <w:proofErr w:type="spellStart"/>
      <w:r w:rsidRPr="0047586B">
        <w:rPr>
          <w:lang w:val="en-US"/>
        </w:rPr>
        <w:t>Nakhal</w:t>
      </w:r>
      <w:proofErr w:type="spellEnd"/>
      <w:r w:rsidRPr="0047586B">
        <w:rPr>
          <w:lang w:val="en-US"/>
        </w:rPr>
        <w:t xml:space="preserve"> A.J., </w:t>
      </w:r>
      <w:proofErr w:type="spellStart"/>
      <w:r w:rsidRPr="0047586B">
        <w:rPr>
          <w:lang w:val="en-US"/>
        </w:rPr>
        <w:t>Ustolin</w:t>
      </w:r>
      <w:proofErr w:type="spellEnd"/>
      <w:r w:rsidRPr="0047586B">
        <w:rPr>
          <w:lang w:val="en-US"/>
        </w:rPr>
        <w:t xml:space="preserve"> F., Alvaro A., </w:t>
      </w:r>
      <w:proofErr w:type="spellStart"/>
      <w:r w:rsidRPr="0047586B">
        <w:rPr>
          <w:lang w:val="en-US"/>
        </w:rPr>
        <w:t>Ledda</w:t>
      </w:r>
      <w:proofErr w:type="spellEnd"/>
      <w:r w:rsidRPr="0047586B">
        <w:rPr>
          <w:lang w:val="en-US"/>
        </w:rPr>
        <w:t xml:space="preserve"> A., </w:t>
      </w:r>
      <w:proofErr w:type="spellStart"/>
      <w:r w:rsidRPr="0047586B">
        <w:rPr>
          <w:lang w:val="en-US"/>
        </w:rPr>
        <w:t>Agnello</w:t>
      </w:r>
      <w:proofErr w:type="spellEnd"/>
      <w:r w:rsidRPr="0047586B">
        <w:rPr>
          <w:lang w:val="en-US"/>
        </w:rPr>
        <w:t xml:space="preserve"> P., </w:t>
      </w:r>
      <w:r w:rsidR="00575FE6">
        <w:rPr>
          <w:lang w:val="en-US"/>
        </w:rPr>
        <w:t xml:space="preserve">Moretto P., </w:t>
      </w:r>
      <w:proofErr w:type="spellStart"/>
      <w:r w:rsidRPr="0047586B">
        <w:rPr>
          <w:lang w:val="en-US"/>
        </w:rPr>
        <w:t>Patriarca</w:t>
      </w:r>
      <w:proofErr w:type="spellEnd"/>
      <w:r w:rsidRPr="0047586B">
        <w:rPr>
          <w:lang w:val="en-US"/>
        </w:rPr>
        <w:t xml:space="preserve"> R., Paltrinieri N., 202</w:t>
      </w:r>
      <w:r w:rsidR="004C4895">
        <w:rPr>
          <w:lang w:val="en-US"/>
        </w:rPr>
        <w:t>3</w:t>
      </w:r>
      <w:r w:rsidRPr="0047586B">
        <w:rPr>
          <w:lang w:val="en-US"/>
        </w:rPr>
        <w:t xml:space="preserve">, Lessons Learned from HIAD 2.0: Inspection and Maintenance to Avoid Hydrogen-Induced Material Failures, </w:t>
      </w:r>
      <w:proofErr w:type="spellStart"/>
      <w:r w:rsidR="00832C13">
        <w:rPr>
          <w:lang w:val="en-US"/>
        </w:rPr>
        <w:t>Comput</w:t>
      </w:r>
      <w:proofErr w:type="spellEnd"/>
      <w:r w:rsidR="00832C13">
        <w:rPr>
          <w:lang w:val="en-US"/>
        </w:rPr>
        <w:t xml:space="preserve">. </w:t>
      </w:r>
      <w:r w:rsidR="00832C13" w:rsidRPr="009D7390">
        <w:rPr>
          <w:lang w:val="en-US"/>
        </w:rPr>
        <w:t>Chem. Eng.</w:t>
      </w:r>
      <w:r w:rsidR="00884642" w:rsidRPr="009D7390">
        <w:rPr>
          <w:lang w:val="en-US"/>
        </w:rPr>
        <w:t xml:space="preserve">, </w:t>
      </w:r>
      <w:r w:rsidR="001D308E">
        <w:rPr>
          <w:lang w:val="en-US"/>
        </w:rPr>
        <w:t>173</w:t>
      </w:r>
      <w:r w:rsidR="00884642" w:rsidRPr="009D7390">
        <w:rPr>
          <w:lang w:val="en-US"/>
        </w:rPr>
        <w:t xml:space="preserve">, DOI: </w:t>
      </w:r>
      <w:r w:rsidR="00144D8C" w:rsidRPr="00144D8C">
        <w:rPr>
          <w:lang w:val="en-US"/>
        </w:rPr>
        <w:t>10.1016/j.compchemeng.2023.108199</w:t>
      </w:r>
      <w:r w:rsidR="00884642" w:rsidRPr="009D7390">
        <w:rPr>
          <w:lang w:val="en-US"/>
        </w:rPr>
        <w:t>.</w:t>
      </w:r>
    </w:p>
    <w:p w14:paraId="235632C5" w14:textId="38EFC8C0" w:rsidR="002E686A" w:rsidRPr="009D7390" w:rsidRDefault="002E686A" w:rsidP="008C6FCB">
      <w:pPr>
        <w:pStyle w:val="CETReferencetext"/>
        <w:rPr>
          <w:lang w:val="en-US"/>
        </w:rPr>
      </w:pPr>
      <w:r w:rsidRPr="009D7390">
        <w:rPr>
          <w:lang w:val="en-US"/>
        </w:rPr>
        <w:t xml:space="preserve">EIGA, 2011, </w:t>
      </w:r>
      <w:r w:rsidR="009E490C" w:rsidRPr="009D7390">
        <w:rPr>
          <w:lang w:val="en-US"/>
        </w:rPr>
        <w:t xml:space="preserve">IGC Doc 100/11/E – </w:t>
      </w:r>
      <w:r w:rsidRPr="009D7390">
        <w:rPr>
          <w:lang w:val="en-US"/>
        </w:rPr>
        <w:t>Hydrogen cylinders and transport vessel</w:t>
      </w:r>
      <w:r w:rsidR="00DF417B" w:rsidRPr="009D7390">
        <w:rPr>
          <w:lang w:val="en-US"/>
        </w:rPr>
        <w:t>s</w:t>
      </w:r>
      <w:r w:rsidR="00EC6412" w:rsidRPr="009D7390">
        <w:rPr>
          <w:lang w:val="en-US"/>
        </w:rPr>
        <w:t>.</w:t>
      </w:r>
    </w:p>
    <w:p w14:paraId="37EE5F8A" w14:textId="20D5EAFC" w:rsidR="005C3EBA" w:rsidRPr="00FE188E" w:rsidRDefault="00EC6412" w:rsidP="00801C1D">
      <w:pPr>
        <w:pStyle w:val="CETReferencetext"/>
        <w:rPr>
          <w:lang w:val="de-DE"/>
        </w:rPr>
      </w:pPr>
      <w:r w:rsidRPr="00FE188E">
        <w:rPr>
          <w:lang w:val="de-DE"/>
        </w:rPr>
        <w:t xml:space="preserve">EIGA, 2014, </w:t>
      </w:r>
      <w:r w:rsidR="009E490C" w:rsidRPr="00FE188E">
        <w:rPr>
          <w:lang w:val="de-DE"/>
        </w:rPr>
        <w:t xml:space="preserve">IGC Doc 121/14 – </w:t>
      </w:r>
      <w:r w:rsidRPr="00FE188E">
        <w:rPr>
          <w:lang w:val="de-DE"/>
        </w:rPr>
        <w:t xml:space="preserve">Hydrogen </w:t>
      </w:r>
      <w:proofErr w:type="spellStart"/>
      <w:r w:rsidRPr="00FE188E">
        <w:rPr>
          <w:lang w:val="de-DE"/>
        </w:rPr>
        <w:t>pipeline</w:t>
      </w:r>
      <w:proofErr w:type="spellEnd"/>
      <w:r w:rsidRPr="00FE188E">
        <w:rPr>
          <w:lang w:val="de-DE"/>
        </w:rPr>
        <w:t xml:space="preserve"> </w:t>
      </w:r>
      <w:proofErr w:type="spellStart"/>
      <w:r w:rsidRPr="00FE188E">
        <w:rPr>
          <w:lang w:val="de-DE"/>
        </w:rPr>
        <w:t>systems</w:t>
      </w:r>
      <w:proofErr w:type="spellEnd"/>
      <w:r w:rsidRPr="00FE188E">
        <w:rPr>
          <w:lang w:val="de-DE"/>
        </w:rPr>
        <w:t>.</w:t>
      </w:r>
    </w:p>
    <w:p w14:paraId="49A47EA4" w14:textId="0F6359A7" w:rsidR="00952002" w:rsidRDefault="00952002" w:rsidP="006A2EC2">
      <w:pPr>
        <w:pStyle w:val="CETReferencetext"/>
        <w:rPr>
          <w:lang w:val="en-US"/>
        </w:rPr>
      </w:pPr>
      <w:proofErr w:type="spellStart"/>
      <w:r>
        <w:rPr>
          <w:lang w:val="en-US"/>
        </w:rPr>
        <w:t>Gangloff</w:t>
      </w:r>
      <w:proofErr w:type="spellEnd"/>
      <w:r>
        <w:rPr>
          <w:lang w:val="en-US"/>
        </w:rPr>
        <w:t xml:space="preserve"> R., </w:t>
      </w:r>
      <w:proofErr w:type="spellStart"/>
      <w:r>
        <w:rPr>
          <w:lang w:val="en-US"/>
        </w:rPr>
        <w:t>Somerday</w:t>
      </w:r>
      <w:proofErr w:type="spellEnd"/>
      <w:r>
        <w:rPr>
          <w:lang w:val="en-US"/>
        </w:rPr>
        <w:t xml:space="preserve"> </w:t>
      </w:r>
      <w:r w:rsidR="006A2EC2">
        <w:rPr>
          <w:lang w:val="en-US"/>
        </w:rPr>
        <w:t>B</w:t>
      </w:r>
      <w:r w:rsidR="00302809">
        <w:rPr>
          <w:lang w:val="en-US"/>
        </w:rPr>
        <w:t>.</w:t>
      </w:r>
      <w:r w:rsidR="006A2EC2">
        <w:rPr>
          <w:lang w:val="en-US"/>
        </w:rPr>
        <w:t xml:space="preserve">, 2012, </w:t>
      </w:r>
      <w:r w:rsidR="006A2EC2" w:rsidRPr="006A2EC2">
        <w:rPr>
          <w:lang w:val="en-US"/>
        </w:rPr>
        <w:t>Gaseous Hydrogen Embrittlement of Materials in Energy Technologies</w:t>
      </w:r>
      <w:r w:rsidR="006A2EC2">
        <w:rPr>
          <w:lang w:val="en-US"/>
        </w:rPr>
        <w:t xml:space="preserve">: </w:t>
      </w:r>
      <w:r w:rsidR="006A2EC2" w:rsidRPr="006A2EC2">
        <w:rPr>
          <w:lang w:val="en-US"/>
        </w:rPr>
        <w:t xml:space="preserve">The Problem, its </w:t>
      </w:r>
      <w:proofErr w:type="spellStart"/>
      <w:r w:rsidR="006A2EC2" w:rsidRPr="006A2EC2">
        <w:rPr>
          <w:lang w:val="en-US"/>
        </w:rPr>
        <w:t>Characterisation</w:t>
      </w:r>
      <w:proofErr w:type="spellEnd"/>
      <w:r w:rsidR="006A2EC2" w:rsidRPr="006A2EC2">
        <w:rPr>
          <w:lang w:val="en-US"/>
        </w:rPr>
        <w:t xml:space="preserve"> and Effects on Particular Alloy Classes</w:t>
      </w:r>
      <w:r w:rsidR="006A2EC2">
        <w:rPr>
          <w:lang w:val="en-US"/>
        </w:rPr>
        <w:t xml:space="preserve">, Woodhead Publishing Series, </w:t>
      </w:r>
      <w:r w:rsidR="00296C78">
        <w:rPr>
          <w:lang w:val="en-US"/>
        </w:rPr>
        <w:t>Philadelphia, USA.</w:t>
      </w:r>
    </w:p>
    <w:p w14:paraId="71730D0B" w14:textId="3A430B58" w:rsidR="00565228" w:rsidRDefault="00565228" w:rsidP="006A2EC2">
      <w:pPr>
        <w:pStyle w:val="CETReferencetext"/>
        <w:rPr>
          <w:lang w:val="en-US"/>
        </w:rPr>
      </w:pPr>
      <w:r w:rsidRPr="00565228">
        <w:rPr>
          <w:lang w:val="en-US"/>
        </w:rPr>
        <w:t>Hagen A.B., Alvaro A., 2020, Hydrogen Influence on Mechanical Properties in Pipeline Steel, Norway.</w:t>
      </w:r>
    </w:p>
    <w:p w14:paraId="21D55993" w14:textId="3756FB99" w:rsidR="00967A87" w:rsidRDefault="00967A87" w:rsidP="00F37D54">
      <w:pPr>
        <w:pStyle w:val="CETReferencetext"/>
        <w:rPr>
          <w:lang w:val="en-US"/>
        </w:rPr>
      </w:pPr>
      <w:r>
        <w:rPr>
          <w:lang w:val="en-US"/>
        </w:rPr>
        <w:t>ISO</w:t>
      </w:r>
      <w:r w:rsidR="002D4907">
        <w:rPr>
          <w:lang w:val="en-US"/>
        </w:rPr>
        <w:t xml:space="preserve">, 2015, ISO/TR 15916 </w:t>
      </w:r>
      <w:r w:rsidR="009E490C">
        <w:rPr>
          <w:lang w:val="en-US"/>
        </w:rPr>
        <w:t xml:space="preserve">– </w:t>
      </w:r>
      <w:r w:rsidR="002D4907">
        <w:rPr>
          <w:lang w:val="en-US"/>
        </w:rPr>
        <w:t>Basic consideration for the safety</w:t>
      </w:r>
      <w:r w:rsidR="00A04C3A">
        <w:rPr>
          <w:lang w:val="en-US"/>
        </w:rPr>
        <w:t xml:space="preserve"> of hydrogen systems</w:t>
      </w:r>
      <w:r w:rsidR="001F5301">
        <w:rPr>
          <w:lang w:val="en-US"/>
        </w:rPr>
        <w:t>.</w:t>
      </w:r>
    </w:p>
    <w:p w14:paraId="054E628F" w14:textId="0C650AE5" w:rsidR="00CD3DB0" w:rsidRDefault="00CD3DB0" w:rsidP="00F37D54">
      <w:pPr>
        <w:pStyle w:val="CETReferencetext"/>
        <w:rPr>
          <w:lang w:val="en-US"/>
        </w:rPr>
      </w:pPr>
      <w:r>
        <w:rPr>
          <w:lang w:val="en-US"/>
        </w:rPr>
        <w:t xml:space="preserve">ISO, 2017, ISO </w:t>
      </w:r>
      <w:r w:rsidR="001F5301">
        <w:rPr>
          <w:lang w:val="en-US"/>
        </w:rPr>
        <w:t xml:space="preserve">11114 </w:t>
      </w:r>
      <w:r w:rsidR="009E490C">
        <w:rPr>
          <w:lang w:val="en-US"/>
        </w:rPr>
        <w:t xml:space="preserve">– </w:t>
      </w:r>
      <w:r w:rsidR="001F5301">
        <w:rPr>
          <w:lang w:val="en-US"/>
        </w:rPr>
        <w:t>Test methods for selecting steels resistant to hydrogen embrittlement.</w:t>
      </w:r>
    </w:p>
    <w:p w14:paraId="1B5FAC97" w14:textId="1719DC02" w:rsidR="00DE41F8" w:rsidRDefault="00DE41F8" w:rsidP="00F37D54">
      <w:pPr>
        <w:pStyle w:val="CETReferencetext"/>
        <w:rPr>
          <w:lang w:val="en-US"/>
        </w:rPr>
      </w:pPr>
      <w:r w:rsidRPr="008E7C2A">
        <w:rPr>
          <w:lang w:val="en-US"/>
        </w:rPr>
        <w:t>Mason L., Baxter J., Bartlett P.</w:t>
      </w:r>
      <w:r w:rsidR="008E7C2A" w:rsidRPr="008E7C2A">
        <w:rPr>
          <w:lang w:val="en-US"/>
        </w:rPr>
        <w:t>,</w:t>
      </w:r>
      <w:r w:rsidRPr="008E7C2A">
        <w:rPr>
          <w:lang w:val="en-US"/>
        </w:rPr>
        <w:t xml:space="preserve"> </w:t>
      </w:r>
      <w:proofErr w:type="spellStart"/>
      <w:r w:rsidRPr="008E7C2A">
        <w:rPr>
          <w:lang w:val="en-US"/>
        </w:rPr>
        <w:t>Frean</w:t>
      </w:r>
      <w:proofErr w:type="spellEnd"/>
      <w:r w:rsidRPr="008E7C2A">
        <w:rPr>
          <w:lang w:val="en-US"/>
        </w:rPr>
        <w:t xml:space="preserve"> M</w:t>
      </w:r>
      <w:r w:rsidR="008E7C2A" w:rsidRPr="008E7C2A">
        <w:rPr>
          <w:lang w:val="en-US"/>
        </w:rPr>
        <w:t xml:space="preserve">., </w:t>
      </w:r>
      <w:r w:rsidRPr="008E7C2A">
        <w:rPr>
          <w:lang w:val="en-US"/>
        </w:rPr>
        <w:t>1999</w:t>
      </w:r>
      <w:r w:rsidR="008E7C2A">
        <w:rPr>
          <w:lang w:val="en-US"/>
        </w:rPr>
        <w:t xml:space="preserve">, </w:t>
      </w:r>
      <w:r w:rsidRPr="00DE41F8">
        <w:rPr>
          <w:lang w:val="en-US"/>
        </w:rPr>
        <w:t>Boosting Algorithms as Gradient Descent</w:t>
      </w:r>
      <w:r w:rsidR="008E7C2A">
        <w:rPr>
          <w:lang w:val="en-US"/>
        </w:rPr>
        <w:t xml:space="preserve">, </w:t>
      </w:r>
      <w:r w:rsidR="00B22EAC">
        <w:rPr>
          <w:lang w:val="en-US"/>
        </w:rPr>
        <w:t>Advances</w:t>
      </w:r>
      <w:r w:rsidR="00A33612" w:rsidRPr="00A33612">
        <w:rPr>
          <w:lang w:val="en-US"/>
        </w:rPr>
        <w:t xml:space="preserve"> in Neural Information Processing Systems (NIPS </w:t>
      </w:r>
      <w:r w:rsidR="00B22EAC">
        <w:rPr>
          <w:lang w:val="en-US"/>
        </w:rPr>
        <w:t>1999</w:t>
      </w:r>
      <w:r w:rsidR="00A33612" w:rsidRPr="00A33612">
        <w:rPr>
          <w:lang w:val="en-US"/>
        </w:rPr>
        <w:t>)</w:t>
      </w:r>
      <w:r w:rsidR="00FD118A">
        <w:rPr>
          <w:lang w:val="en-US"/>
        </w:rPr>
        <w:t xml:space="preserve">, </w:t>
      </w:r>
      <w:r w:rsidR="00B22EAC">
        <w:rPr>
          <w:lang w:val="en-US"/>
        </w:rPr>
        <w:t>Denver, USA.</w:t>
      </w:r>
    </w:p>
    <w:p w14:paraId="433DA3FC" w14:textId="00A17325" w:rsidR="009E490C" w:rsidRDefault="009E490C" w:rsidP="00D31434">
      <w:pPr>
        <w:pStyle w:val="CETReferencetext"/>
        <w:rPr>
          <w:lang w:val="en-US"/>
        </w:rPr>
      </w:pPr>
      <w:r w:rsidRPr="003B750D">
        <w:rPr>
          <w:lang w:val="en-US"/>
        </w:rPr>
        <w:t>NASA, 2016, NASA/TM-2016–218602 – Hydrogen Embrittlement, Huntsville, USA</w:t>
      </w:r>
      <w:r w:rsidR="00B22EAC">
        <w:rPr>
          <w:lang w:val="en-US"/>
        </w:rPr>
        <w:t>.</w:t>
      </w:r>
    </w:p>
    <w:p w14:paraId="0C91758E" w14:textId="4585E443" w:rsidR="00C85440" w:rsidRDefault="00D31434" w:rsidP="00D31434">
      <w:pPr>
        <w:pStyle w:val="CETReferencetext"/>
      </w:pPr>
      <w:r>
        <w:rPr>
          <w:lang w:val="en-US"/>
        </w:rPr>
        <w:t xml:space="preserve">San </w:t>
      </w:r>
      <w:proofErr w:type="spellStart"/>
      <w:r>
        <w:rPr>
          <w:lang w:val="en-US"/>
        </w:rPr>
        <w:t>Marchi</w:t>
      </w:r>
      <w:proofErr w:type="spellEnd"/>
      <w:r>
        <w:rPr>
          <w:lang w:val="en-US"/>
        </w:rPr>
        <w:t xml:space="preserve"> C., </w:t>
      </w:r>
      <w:proofErr w:type="spellStart"/>
      <w:r>
        <w:rPr>
          <w:lang w:val="en-US"/>
        </w:rPr>
        <w:t>Somerday</w:t>
      </w:r>
      <w:proofErr w:type="spellEnd"/>
      <w:r>
        <w:rPr>
          <w:lang w:val="en-US"/>
        </w:rPr>
        <w:t xml:space="preserve"> B.</w:t>
      </w:r>
      <w:r w:rsidR="002C3A56">
        <w:rPr>
          <w:lang w:val="en-US"/>
        </w:rPr>
        <w:t>P.</w:t>
      </w:r>
      <w:r>
        <w:rPr>
          <w:lang w:val="en-US"/>
        </w:rPr>
        <w:t>, 2012, Technical Reference for Hydrogen Compatibility of Materials, USA</w:t>
      </w:r>
      <w:r w:rsidR="00EA713A">
        <w:t>.</w:t>
      </w:r>
    </w:p>
    <w:p w14:paraId="7C596A6F" w14:textId="086C1AA5" w:rsidR="005E0928" w:rsidRDefault="005E0928" w:rsidP="00D31434">
      <w:pPr>
        <w:pStyle w:val="CETReferencetext"/>
      </w:pPr>
      <w:proofErr w:type="spellStart"/>
      <w:r w:rsidRPr="005E0928">
        <w:t>Seliya</w:t>
      </w:r>
      <w:proofErr w:type="spellEnd"/>
      <w:r w:rsidRPr="005E0928">
        <w:t xml:space="preserve"> N., </w:t>
      </w:r>
      <w:proofErr w:type="spellStart"/>
      <w:r w:rsidRPr="005E0928">
        <w:t>Khoshgoftaar</w:t>
      </w:r>
      <w:proofErr w:type="spellEnd"/>
      <w:r w:rsidRPr="005E0928">
        <w:t xml:space="preserve"> T.M., Van Hulse J., 2009, A Study on the Relationships of Classifier Performance Metrics, Proceedings of the 2</w:t>
      </w:r>
      <w:r>
        <w:t>1</w:t>
      </w:r>
      <w:r w:rsidRPr="005E0928">
        <w:rPr>
          <w:vertAlign w:val="superscript"/>
        </w:rPr>
        <w:t>st</w:t>
      </w:r>
      <w:r w:rsidRPr="005E0928">
        <w:t xml:space="preserve"> IEEE </w:t>
      </w:r>
      <w:r w:rsidR="00FE188E">
        <w:t>ICTAI</w:t>
      </w:r>
      <w:r w:rsidRPr="005E0928">
        <w:t xml:space="preserve">, </w:t>
      </w:r>
      <w:r w:rsidR="004242BA" w:rsidRPr="004242BA">
        <w:t>Newark</w:t>
      </w:r>
      <w:r w:rsidR="004242BA">
        <w:t xml:space="preserve">, USA, </w:t>
      </w:r>
      <w:r w:rsidRPr="005E0928">
        <w:t>59–66</w:t>
      </w:r>
      <w:r w:rsidR="00A47A7B">
        <w:t>, DOI: 10.1109/ICTAI.2009.25</w:t>
      </w:r>
      <w:r w:rsidRPr="005E0928">
        <w:t>.</w:t>
      </w:r>
    </w:p>
    <w:p w14:paraId="3957F411" w14:textId="75625475" w:rsidR="00436086" w:rsidRPr="00072CE0" w:rsidRDefault="00570E16" w:rsidP="00072CE0">
      <w:pPr>
        <w:pStyle w:val="CETReferencetext"/>
        <w:rPr>
          <w:lang w:val="en-US"/>
        </w:rPr>
      </w:pPr>
      <w:proofErr w:type="spellStart"/>
      <w:r w:rsidRPr="00D30506">
        <w:rPr>
          <w:lang w:val="en-US"/>
        </w:rPr>
        <w:t>Ustolin</w:t>
      </w:r>
      <w:proofErr w:type="spellEnd"/>
      <w:r w:rsidRPr="00D30506">
        <w:rPr>
          <w:lang w:val="en-US"/>
        </w:rPr>
        <w:t xml:space="preserve"> F., Campari A., </w:t>
      </w:r>
      <w:proofErr w:type="spellStart"/>
      <w:r w:rsidRPr="00D30506">
        <w:rPr>
          <w:lang w:val="en-US"/>
        </w:rPr>
        <w:t>Taccani</w:t>
      </w:r>
      <w:proofErr w:type="spellEnd"/>
      <w:r w:rsidRPr="00D30506">
        <w:rPr>
          <w:lang w:val="en-US"/>
        </w:rPr>
        <w:t xml:space="preserve"> R., 2022, </w:t>
      </w:r>
      <w:r w:rsidR="00D30506" w:rsidRPr="00D30506">
        <w:rPr>
          <w:lang w:val="en-US"/>
        </w:rPr>
        <w:t>An Extensive Review of Liquid Hydrogen in Transportation with Focus on the Maritime Sector</w:t>
      </w:r>
      <w:r w:rsidR="00D30506">
        <w:rPr>
          <w:lang w:val="en-US"/>
        </w:rPr>
        <w:t xml:space="preserve">, </w:t>
      </w:r>
      <w:r w:rsidR="00C65513">
        <w:rPr>
          <w:lang w:val="en-US"/>
        </w:rPr>
        <w:t xml:space="preserve">J. Mar. Sci. Eng., </w:t>
      </w:r>
      <w:r w:rsidR="000B15C9">
        <w:rPr>
          <w:lang w:val="en-US"/>
        </w:rPr>
        <w:t>10, 1222</w:t>
      </w:r>
      <w:r w:rsidR="00481653">
        <w:rPr>
          <w:lang w:val="en-US"/>
        </w:rPr>
        <w:t xml:space="preserve">, DOI: </w:t>
      </w:r>
      <w:r w:rsidR="003B673D" w:rsidRPr="003B673D">
        <w:rPr>
          <w:lang w:val="en-US"/>
        </w:rPr>
        <w:t>10.3390/jmse10091222</w:t>
      </w:r>
      <w:r w:rsidR="000B15C9">
        <w:rPr>
          <w:lang w:val="en-US"/>
        </w:rPr>
        <w:t>.</w:t>
      </w:r>
    </w:p>
    <w:sectPr w:rsidR="00436086" w:rsidRPr="00072CE0"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A7C34" w14:textId="77777777" w:rsidR="00FD73E4" w:rsidRDefault="00FD73E4" w:rsidP="004F5E36">
      <w:r>
        <w:separator/>
      </w:r>
    </w:p>
  </w:endnote>
  <w:endnote w:type="continuationSeparator" w:id="0">
    <w:p w14:paraId="18F71991" w14:textId="77777777" w:rsidR="00FD73E4" w:rsidRDefault="00FD73E4"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94174" w14:textId="77777777" w:rsidR="00A75FCA" w:rsidRDefault="00A75F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83271" w14:textId="77777777" w:rsidR="00A75FCA" w:rsidRDefault="00A75F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BF5C7" w14:textId="77777777" w:rsidR="00A75FCA" w:rsidRDefault="00A75F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987FB" w14:textId="77777777" w:rsidR="00FD73E4" w:rsidRDefault="00FD73E4" w:rsidP="004F5E36">
      <w:r>
        <w:separator/>
      </w:r>
    </w:p>
  </w:footnote>
  <w:footnote w:type="continuationSeparator" w:id="0">
    <w:p w14:paraId="278EEDB7" w14:textId="77777777" w:rsidR="00FD73E4" w:rsidRDefault="00FD73E4"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B4A11" w14:textId="77777777" w:rsidR="00A75FCA" w:rsidRDefault="00A75F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F5606" w14:textId="77777777" w:rsidR="00A75FCA" w:rsidRDefault="00A75F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0FC2D" w14:textId="77777777" w:rsidR="00A75FCA" w:rsidRDefault="00A75F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EB5C2E"/>
    <w:multiLevelType w:val="hybridMultilevel"/>
    <w:tmpl w:val="29AAA6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1BDD3583"/>
    <w:multiLevelType w:val="hybridMultilevel"/>
    <w:tmpl w:val="304AE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38217E"/>
    <w:multiLevelType w:val="multilevel"/>
    <w:tmpl w:val="0F102A30"/>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31222D84"/>
    <w:multiLevelType w:val="hybridMultilevel"/>
    <w:tmpl w:val="9E06E40C"/>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42504AD6"/>
    <w:multiLevelType w:val="hybridMultilevel"/>
    <w:tmpl w:val="D0EC9806"/>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2"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48B7E42"/>
    <w:multiLevelType w:val="hybridMultilevel"/>
    <w:tmpl w:val="D8B2E1B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133146F"/>
    <w:multiLevelType w:val="hybridMultilevel"/>
    <w:tmpl w:val="29A03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8278118">
    <w:abstractNumId w:val="12"/>
  </w:num>
  <w:num w:numId="2" w16cid:durableId="2114855949">
    <w:abstractNumId w:val="8"/>
  </w:num>
  <w:num w:numId="3" w16cid:durableId="1943567543">
    <w:abstractNumId w:val="3"/>
  </w:num>
  <w:num w:numId="4" w16cid:durableId="278487782">
    <w:abstractNumId w:val="2"/>
  </w:num>
  <w:num w:numId="5" w16cid:durableId="849372526">
    <w:abstractNumId w:val="1"/>
  </w:num>
  <w:num w:numId="6" w16cid:durableId="1611627599">
    <w:abstractNumId w:val="0"/>
  </w:num>
  <w:num w:numId="7" w16cid:durableId="1006829679">
    <w:abstractNumId w:val="9"/>
  </w:num>
  <w:num w:numId="8" w16cid:durableId="20784044">
    <w:abstractNumId w:val="7"/>
  </w:num>
  <w:num w:numId="9" w16cid:durableId="93016865">
    <w:abstractNumId w:val="6"/>
  </w:num>
  <w:num w:numId="10" w16cid:durableId="670648119">
    <w:abstractNumId w:val="5"/>
  </w:num>
  <w:num w:numId="11" w16cid:durableId="669218851">
    <w:abstractNumId w:val="4"/>
  </w:num>
  <w:num w:numId="12" w16cid:durableId="336272775">
    <w:abstractNumId w:val="21"/>
  </w:num>
  <w:num w:numId="13" w16cid:durableId="2113163245">
    <w:abstractNumId w:val="15"/>
  </w:num>
  <w:num w:numId="14" w16cid:durableId="1260411111">
    <w:abstractNumId w:val="22"/>
  </w:num>
  <w:num w:numId="15" w16cid:durableId="1051883723">
    <w:abstractNumId w:val="25"/>
  </w:num>
  <w:num w:numId="16" w16cid:durableId="2030325678">
    <w:abstractNumId w:val="24"/>
  </w:num>
  <w:num w:numId="17" w16cid:durableId="495609876">
    <w:abstractNumId w:val="14"/>
  </w:num>
  <w:num w:numId="18" w16cid:durableId="932516863">
    <w:abstractNumId w:val="15"/>
    <w:lvlOverride w:ilvl="0">
      <w:startOverride w:val="1"/>
    </w:lvlOverride>
  </w:num>
  <w:num w:numId="19" w16cid:durableId="1561557580">
    <w:abstractNumId w:val="20"/>
  </w:num>
  <w:num w:numId="20" w16cid:durableId="795762154">
    <w:abstractNumId w:val="19"/>
  </w:num>
  <w:num w:numId="21" w16cid:durableId="724066060">
    <w:abstractNumId w:val="17"/>
  </w:num>
  <w:num w:numId="22" w16cid:durableId="74742106">
    <w:abstractNumId w:val="16"/>
  </w:num>
  <w:num w:numId="23" w16cid:durableId="1305700205">
    <w:abstractNumId w:val="26"/>
  </w:num>
  <w:num w:numId="24" w16cid:durableId="889267291">
    <w:abstractNumId w:val="11"/>
  </w:num>
  <w:num w:numId="25" w16cid:durableId="1340235890">
    <w:abstractNumId w:val="13"/>
  </w:num>
  <w:num w:numId="26" w16cid:durableId="919170297">
    <w:abstractNumId w:val="18"/>
  </w:num>
  <w:num w:numId="27" w16cid:durableId="892888907">
    <w:abstractNumId w:val="23"/>
  </w:num>
  <w:num w:numId="28" w16cid:durableId="9819286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1A93"/>
    <w:rsid w:val="0000230A"/>
    <w:rsid w:val="000027C0"/>
    <w:rsid w:val="000027DD"/>
    <w:rsid w:val="000052FB"/>
    <w:rsid w:val="000057FB"/>
    <w:rsid w:val="00010A6F"/>
    <w:rsid w:val="0001112B"/>
    <w:rsid w:val="000117CB"/>
    <w:rsid w:val="00012235"/>
    <w:rsid w:val="00012E43"/>
    <w:rsid w:val="00013896"/>
    <w:rsid w:val="00013D7F"/>
    <w:rsid w:val="0001559C"/>
    <w:rsid w:val="00015939"/>
    <w:rsid w:val="0001639F"/>
    <w:rsid w:val="00020731"/>
    <w:rsid w:val="00021B06"/>
    <w:rsid w:val="00030A2C"/>
    <w:rsid w:val="0003148D"/>
    <w:rsid w:val="00031C1E"/>
    <w:rsid w:val="00031CD4"/>
    <w:rsid w:val="00031EEC"/>
    <w:rsid w:val="00036BBC"/>
    <w:rsid w:val="00041933"/>
    <w:rsid w:val="00041AAC"/>
    <w:rsid w:val="000422DC"/>
    <w:rsid w:val="00043191"/>
    <w:rsid w:val="00044AED"/>
    <w:rsid w:val="000454EE"/>
    <w:rsid w:val="0004568B"/>
    <w:rsid w:val="00047C0C"/>
    <w:rsid w:val="00050961"/>
    <w:rsid w:val="00051566"/>
    <w:rsid w:val="00054BCE"/>
    <w:rsid w:val="00055956"/>
    <w:rsid w:val="00056C8C"/>
    <w:rsid w:val="000604C9"/>
    <w:rsid w:val="00060F9E"/>
    <w:rsid w:val="00062A9A"/>
    <w:rsid w:val="00063983"/>
    <w:rsid w:val="00063AD9"/>
    <w:rsid w:val="000644CF"/>
    <w:rsid w:val="0006499E"/>
    <w:rsid w:val="00065058"/>
    <w:rsid w:val="0006610C"/>
    <w:rsid w:val="0007000C"/>
    <w:rsid w:val="00072B48"/>
    <w:rsid w:val="00072CE0"/>
    <w:rsid w:val="00073D55"/>
    <w:rsid w:val="00074B28"/>
    <w:rsid w:val="00074D37"/>
    <w:rsid w:val="00081D28"/>
    <w:rsid w:val="0008211A"/>
    <w:rsid w:val="00082124"/>
    <w:rsid w:val="00084078"/>
    <w:rsid w:val="00084A8F"/>
    <w:rsid w:val="00084FF7"/>
    <w:rsid w:val="000854FF"/>
    <w:rsid w:val="00086C39"/>
    <w:rsid w:val="00086E48"/>
    <w:rsid w:val="0008748B"/>
    <w:rsid w:val="00092692"/>
    <w:rsid w:val="00092DC8"/>
    <w:rsid w:val="000974F5"/>
    <w:rsid w:val="00097FC4"/>
    <w:rsid w:val="000A03B2"/>
    <w:rsid w:val="000A082A"/>
    <w:rsid w:val="000A0F21"/>
    <w:rsid w:val="000A1C7C"/>
    <w:rsid w:val="000A2E52"/>
    <w:rsid w:val="000A6820"/>
    <w:rsid w:val="000A7D78"/>
    <w:rsid w:val="000B15C9"/>
    <w:rsid w:val="000B1DD1"/>
    <w:rsid w:val="000B2AA4"/>
    <w:rsid w:val="000B2DA3"/>
    <w:rsid w:val="000B4EA4"/>
    <w:rsid w:val="000B57DB"/>
    <w:rsid w:val="000B6BB3"/>
    <w:rsid w:val="000B736B"/>
    <w:rsid w:val="000C1915"/>
    <w:rsid w:val="000C4A80"/>
    <w:rsid w:val="000C6B09"/>
    <w:rsid w:val="000C6B32"/>
    <w:rsid w:val="000C70D3"/>
    <w:rsid w:val="000C7453"/>
    <w:rsid w:val="000D0268"/>
    <w:rsid w:val="000D34BE"/>
    <w:rsid w:val="000D3C61"/>
    <w:rsid w:val="000D440F"/>
    <w:rsid w:val="000D5B05"/>
    <w:rsid w:val="000D6231"/>
    <w:rsid w:val="000D6F27"/>
    <w:rsid w:val="000D6F2F"/>
    <w:rsid w:val="000E070C"/>
    <w:rsid w:val="000E102F"/>
    <w:rsid w:val="000E2CAB"/>
    <w:rsid w:val="000E315B"/>
    <w:rsid w:val="000E35C0"/>
    <w:rsid w:val="000E36F1"/>
    <w:rsid w:val="000E3A73"/>
    <w:rsid w:val="000E414A"/>
    <w:rsid w:val="000F093C"/>
    <w:rsid w:val="000F22D3"/>
    <w:rsid w:val="000F2EF9"/>
    <w:rsid w:val="000F4530"/>
    <w:rsid w:val="000F4660"/>
    <w:rsid w:val="000F470E"/>
    <w:rsid w:val="000F6A42"/>
    <w:rsid w:val="000F71F0"/>
    <w:rsid w:val="000F721E"/>
    <w:rsid w:val="000F7791"/>
    <w:rsid w:val="000F787B"/>
    <w:rsid w:val="000F78F1"/>
    <w:rsid w:val="000F7BEB"/>
    <w:rsid w:val="000F7CA4"/>
    <w:rsid w:val="0010050F"/>
    <w:rsid w:val="00100799"/>
    <w:rsid w:val="001007A1"/>
    <w:rsid w:val="00101DEC"/>
    <w:rsid w:val="00102FBA"/>
    <w:rsid w:val="00105288"/>
    <w:rsid w:val="001076B5"/>
    <w:rsid w:val="00107FF1"/>
    <w:rsid w:val="00113A7B"/>
    <w:rsid w:val="00113AA9"/>
    <w:rsid w:val="00114D43"/>
    <w:rsid w:val="00117A4D"/>
    <w:rsid w:val="0012091F"/>
    <w:rsid w:val="001209D6"/>
    <w:rsid w:val="00122B3E"/>
    <w:rsid w:val="001237D2"/>
    <w:rsid w:val="00124027"/>
    <w:rsid w:val="001248A5"/>
    <w:rsid w:val="00124DB5"/>
    <w:rsid w:val="001253F5"/>
    <w:rsid w:val="00125C7A"/>
    <w:rsid w:val="0012623B"/>
    <w:rsid w:val="001269ED"/>
    <w:rsid w:val="00126BC2"/>
    <w:rsid w:val="001308B6"/>
    <w:rsid w:val="0013121F"/>
    <w:rsid w:val="00131DEA"/>
    <w:rsid w:val="00131FE6"/>
    <w:rsid w:val="0013263F"/>
    <w:rsid w:val="00132650"/>
    <w:rsid w:val="001326C7"/>
    <w:rsid w:val="001331DF"/>
    <w:rsid w:val="00134576"/>
    <w:rsid w:val="00134DE4"/>
    <w:rsid w:val="00135469"/>
    <w:rsid w:val="00137068"/>
    <w:rsid w:val="0014034D"/>
    <w:rsid w:val="00140889"/>
    <w:rsid w:val="0014304A"/>
    <w:rsid w:val="00144D16"/>
    <w:rsid w:val="00144D8C"/>
    <w:rsid w:val="0014691F"/>
    <w:rsid w:val="00146D20"/>
    <w:rsid w:val="00150E59"/>
    <w:rsid w:val="00152DE3"/>
    <w:rsid w:val="00155403"/>
    <w:rsid w:val="00155C41"/>
    <w:rsid w:val="00157002"/>
    <w:rsid w:val="00161E4A"/>
    <w:rsid w:val="0016234F"/>
    <w:rsid w:val="00162A6F"/>
    <w:rsid w:val="001638B8"/>
    <w:rsid w:val="001643A3"/>
    <w:rsid w:val="00164CF9"/>
    <w:rsid w:val="00164F78"/>
    <w:rsid w:val="001667A6"/>
    <w:rsid w:val="001667D4"/>
    <w:rsid w:val="0016711F"/>
    <w:rsid w:val="00167795"/>
    <w:rsid w:val="00167C14"/>
    <w:rsid w:val="00174279"/>
    <w:rsid w:val="00174714"/>
    <w:rsid w:val="00175248"/>
    <w:rsid w:val="001754C3"/>
    <w:rsid w:val="00175A3E"/>
    <w:rsid w:val="00175AE8"/>
    <w:rsid w:val="00180493"/>
    <w:rsid w:val="00184AA3"/>
    <w:rsid w:val="00184AD6"/>
    <w:rsid w:val="0018546B"/>
    <w:rsid w:val="00185BFE"/>
    <w:rsid w:val="001862DD"/>
    <w:rsid w:val="00191F3A"/>
    <w:rsid w:val="00192908"/>
    <w:rsid w:val="0019355C"/>
    <w:rsid w:val="00196CDE"/>
    <w:rsid w:val="001A046C"/>
    <w:rsid w:val="001A0F93"/>
    <w:rsid w:val="001A2EA3"/>
    <w:rsid w:val="001A36FA"/>
    <w:rsid w:val="001A45E0"/>
    <w:rsid w:val="001A4AF7"/>
    <w:rsid w:val="001A5B71"/>
    <w:rsid w:val="001A5F14"/>
    <w:rsid w:val="001A6952"/>
    <w:rsid w:val="001A7821"/>
    <w:rsid w:val="001A7910"/>
    <w:rsid w:val="001A7DC7"/>
    <w:rsid w:val="001B0349"/>
    <w:rsid w:val="001B1E93"/>
    <w:rsid w:val="001B36B5"/>
    <w:rsid w:val="001B52A8"/>
    <w:rsid w:val="001B6463"/>
    <w:rsid w:val="001B65C1"/>
    <w:rsid w:val="001B6C7F"/>
    <w:rsid w:val="001B72A7"/>
    <w:rsid w:val="001B7D47"/>
    <w:rsid w:val="001B7DF4"/>
    <w:rsid w:val="001C01D7"/>
    <w:rsid w:val="001C2637"/>
    <w:rsid w:val="001C3E34"/>
    <w:rsid w:val="001C684B"/>
    <w:rsid w:val="001C78C3"/>
    <w:rsid w:val="001D0CFB"/>
    <w:rsid w:val="001D308E"/>
    <w:rsid w:val="001D47EC"/>
    <w:rsid w:val="001D53FC"/>
    <w:rsid w:val="001D5A40"/>
    <w:rsid w:val="001D6DF6"/>
    <w:rsid w:val="001E0644"/>
    <w:rsid w:val="001E2683"/>
    <w:rsid w:val="001E3B6C"/>
    <w:rsid w:val="001E5264"/>
    <w:rsid w:val="001E6B33"/>
    <w:rsid w:val="001F01DF"/>
    <w:rsid w:val="001F2A96"/>
    <w:rsid w:val="001F2B1A"/>
    <w:rsid w:val="001F3B82"/>
    <w:rsid w:val="001F40D0"/>
    <w:rsid w:val="001F42A5"/>
    <w:rsid w:val="001F5301"/>
    <w:rsid w:val="001F7B9D"/>
    <w:rsid w:val="00200EF0"/>
    <w:rsid w:val="002016D3"/>
    <w:rsid w:val="00201989"/>
    <w:rsid w:val="00201C93"/>
    <w:rsid w:val="002039D5"/>
    <w:rsid w:val="0020735E"/>
    <w:rsid w:val="002111D7"/>
    <w:rsid w:val="0021167D"/>
    <w:rsid w:val="00211FD2"/>
    <w:rsid w:val="002132E7"/>
    <w:rsid w:val="002136E3"/>
    <w:rsid w:val="00213D18"/>
    <w:rsid w:val="00214BF4"/>
    <w:rsid w:val="002151C2"/>
    <w:rsid w:val="00215A80"/>
    <w:rsid w:val="002205ED"/>
    <w:rsid w:val="0022172E"/>
    <w:rsid w:val="002218C2"/>
    <w:rsid w:val="00221D73"/>
    <w:rsid w:val="002224B4"/>
    <w:rsid w:val="00222FFF"/>
    <w:rsid w:val="00223226"/>
    <w:rsid w:val="00225A28"/>
    <w:rsid w:val="002263C7"/>
    <w:rsid w:val="00226D04"/>
    <w:rsid w:val="0023185C"/>
    <w:rsid w:val="0023207D"/>
    <w:rsid w:val="002341EF"/>
    <w:rsid w:val="00234298"/>
    <w:rsid w:val="002368D1"/>
    <w:rsid w:val="0023796D"/>
    <w:rsid w:val="002402BF"/>
    <w:rsid w:val="002415F9"/>
    <w:rsid w:val="00241D28"/>
    <w:rsid w:val="00242CDC"/>
    <w:rsid w:val="00243057"/>
    <w:rsid w:val="002447EF"/>
    <w:rsid w:val="00244C49"/>
    <w:rsid w:val="00244EBB"/>
    <w:rsid w:val="002456B5"/>
    <w:rsid w:val="00246627"/>
    <w:rsid w:val="00250703"/>
    <w:rsid w:val="00251550"/>
    <w:rsid w:val="00251FAB"/>
    <w:rsid w:val="00253042"/>
    <w:rsid w:val="00254904"/>
    <w:rsid w:val="00254B69"/>
    <w:rsid w:val="00256EA1"/>
    <w:rsid w:val="002639FB"/>
    <w:rsid w:val="00263B05"/>
    <w:rsid w:val="00267245"/>
    <w:rsid w:val="002718A1"/>
    <w:rsid w:val="0027221A"/>
    <w:rsid w:val="00273117"/>
    <w:rsid w:val="0027454B"/>
    <w:rsid w:val="00275B61"/>
    <w:rsid w:val="0027637B"/>
    <w:rsid w:val="002774F9"/>
    <w:rsid w:val="00280563"/>
    <w:rsid w:val="00280FAF"/>
    <w:rsid w:val="00281995"/>
    <w:rsid w:val="00282656"/>
    <w:rsid w:val="00284638"/>
    <w:rsid w:val="002849BB"/>
    <w:rsid w:val="00286F58"/>
    <w:rsid w:val="00287189"/>
    <w:rsid w:val="002871B1"/>
    <w:rsid w:val="00290972"/>
    <w:rsid w:val="00293021"/>
    <w:rsid w:val="00294F32"/>
    <w:rsid w:val="002950DD"/>
    <w:rsid w:val="0029631B"/>
    <w:rsid w:val="00296B83"/>
    <w:rsid w:val="00296C78"/>
    <w:rsid w:val="00297057"/>
    <w:rsid w:val="002A007A"/>
    <w:rsid w:val="002A0E16"/>
    <w:rsid w:val="002A1CF5"/>
    <w:rsid w:val="002A2A70"/>
    <w:rsid w:val="002A4B5B"/>
    <w:rsid w:val="002A4DD2"/>
    <w:rsid w:val="002A6B9E"/>
    <w:rsid w:val="002B02B3"/>
    <w:rsid w:val="002B2781"/>
    <w:rsid w:val="002B4015"/>
    <w:rsid w:val="002B51F4"/>
    <w:rsid w:val="002B78CE"/>
    <w:rsid w:val="002C0A6B"/>
    <w:rsid w:val="002C0CFB"/>
    <w:rsid w:val="002C29E9"/>
    <w:rsid w:val="002C2A71"/>
    <w:rsid w:val="002C2FB6"/>
    <w:rsid w:val="002C3A56"/>
    <w:rsid w:val="002D0647"/>
    <w:rsid w:val="002D41DD"/>
    <w:rsid w:val="002D4907"/>
    <w:rsid w:val="002D6068"/>
    <w:rsid w:val="002D7CD4"/>
    <w:rsid w:val="002E1964"/>
    <w:rsid w:val="002E2B10"/>
    <w:rsid w:val="002E3799"/>
    <w:rsid w:val="002E5BA2"/>
    <w:rsid w:val="002E5FA7"/>
    <w:rsid w:val="002E686A"/>
    <w:rsid w:val="002E6E39"/>
    <w:rsid w:val="002E6FAF"/>
    <w:rsid w:val="002E7641"/>
    <w:rsid w:val="002F00B9"/>
    <w:rsid w:val="002F3309"/>
    <w:rsid w:val="002F47D3"/>
    <w:rsid w:val="002F5BF6"/>
    <w:rsid w:val="002F69AE"/>
    <w:rsid w:val="003008CE"/>
    <w:rsid w:val="003009B7"/>
    <w:rsid w:val="00300E56"/>
    <w:rsid w:val="00302809"/>
    <w:rsid w:val="00303622"/>
    <w:rsid w:val="00303F98"/>
    <w:rsid w:val="0030469C"/>
    <w:rsid w:val="00305A60"/>
    <w:rsid w:val="00306CDB"/>
    <w:rsid w:val="00307661"/>
    <w:rsid w:val="00310644"/>
    <w:rsid w:val="00312224"/>
    <w:rsid w:val="0031327A"/>
    <w:rsid w:val="003205C0"/>
    <w:rsid w:val="003209B7"/>
    <w:rsid w:val="00321048"/>
    <w:rsid w:val="00321CA6"/>
    <w:rsid w:val="00323763"/>
    <w:rsid w:val="003262E4"/>
    <w:rsid w:val="00330ECB"/>
    <w:rsid w:val="0033141B"/>
    <w:rsid w:val="0033216A"/>
    <w:rsid w:val="0033323B"/>
    <w:rsid w:val="00333A03"/>
    <w:rsid w:val="00333D07"/>
    <w:rsid w:val="00334A2E"/>
    <w:rsid w:val="00334A61"/>
    <w:rsid w:val="00334B35"/>
    <w:rsid w:val="00334C09"/>
    <w:rsid w:val="00334CCD"/>
    <w:rsid w:val="003363C8"/>
    <w:rsid w:val="00336D75"/>
    <w:rsid w:val="00336FF6"/>
    <w:rsid w:val="00340198"/>
    <w:rsid w:val="003414FE"/>
    <w:rsid w:val="003419CF"/>
    <w:rsid w:val="003424C9"/>
    <w:rsid w:val="0034250E"/>
    <w:rsid w:val="003471C7"/>
    <w:rsid w:val="00350EDE"/>
    <w:rsid w:val="00350F71"/>
    <w:rsid w:val="0036229C"/>
    <w:rsid w:val="003626BF"/>
    <w:rsid w:val="003632F9"/>
    <w:rsid w:val="00364201"/>
    <w:rsid w:val="00364720"/>
    <w:rsid w:val="00364C3C"/>
    <w:rsid w:val="0036606F"/>
    <w:rsid w:val="00366C59"/>
    <w:rsid w:val="00367F66"/>
    <w:rsid w:val="003719BE"/>
    <w:rsid w:val="00371B91"/>
    <w:rsid w:val="003723D4"/>
    <w:rsid w:val="00373550"/>
    <w:rsid w:val="00374AE0"/>
    <w:rsid w:val="00374AF4"/>
    <w:rsid w:val="00377557"/>
    <w:rsid w:val="003779AD"/>
    <w:rsid w:val="00381905"/>
    <w:rsid w:val="0038201C"/>
    <w:rsid w:val="00382A79"/>
    <w:rsid w:val="003833FC"/>
    <w:rsid w:val="00383637"/>
    <w:rsid w:val="00383983"/>
    <w:rsid w:val="00384207"/>
    <w:rsid w:val="00384CC8"/>
    <w:rsid w:val="00385BEC"/>
    <w:rsid w:val="003871FD"/>
    <w:rsid w:val="00387DDC"/>
    <w:rsid w:val="003923E9"/>
    <w:rsid w:val="0039240E"/>
    <w:rsid w:val="00394A90"/>
    <w:rsid w:val="00394C57"/>
    <w:rsid w:val="00396A51"/>
    <w:rsid w:val="003A1E30"/>
    <w:rsid w:val="003A2829"/>
    <w:rsid w:val="003A2D8F"/>
    <w:rsid w:val="003A480F"/>
    <w:rsid w:val="003A56A1"/>
    <w:rsid w:val="003A721F"/>
    <w:rsid w:val="003A7D1C"/>
    <w:rsid w:val="003B073F"/>
    <w:rsid w:val="003B2D97"/>
    <w:rsid w:val="003B304B"/>
    <w:rsid w:val="003B3146"/>
    <w:rsid w:val="003B5902"/>
    <w:rsid w:val="003B5B6A"/>
    <w:rsid w:val="003B673D"/>
    <w:rsid w:val="003B6DAD"/>
    <w:rsid w:val="003C10BD"/>
    <w:rsid w:val="003C1744"/>
    <w:rsid w:val="003C29B5"/>
    <w:rsid w:val="003C6E0D"/>
    <w:rsid w:val="003D1BD8"/>
    <w:rsid w:val="003D7A4F"/>
    <w:rsid w:val="003E02C2"/>
    <w:rsid w:val="003E0C26"/>
    <w:rsid w:val="003E1F03"/>
    <w:rsid w:val="003E4B71"/>
    <w:rsid w:val="003E5BC8"/>
    <w:rsid w:val="003E6B81"/>
    <w:rsid w:val="003E7B15"/>
    <w:rsid w:val="003F015E"/>
    <w:rsid w:val="003F28A4"/>
    <w:rsid w:val="003F42CF"/>
    <w:rsid w:val="003F4785"/>
    <w:rsid w:val="003F7715"/>
    <w:rsid w:val="00400414"/>
    <w:rsid w:val="00401677"/>
    <w:rsid w:val="004044ED"/>
    <w:rsid w:val="004063D8"/>
    <w:rsid w:val="00406C2A"/>
    <w:rsid w:val="00407554"/>
    <w:rsid w:val="00407B27"/>
    <w:rsid w:val="00411D5C"/>
    <w:rsid w:val="004131F1"/>
    <w:rsid w:val="004137BC"/>
    <w:rsid w:val="0041446B"/>
    <w:rsid w:val="004156C5"/>
    <w:rsid w:val="004213EE"/>
    <w:rsid w:val="00423E1B"/>
    <w:rsid w:val="004242BA"/>
    <w:rsid w:val="00432406"/>
    <w:rsid w:val="004329CB"/>
    <w:rsid w:val="00432C0F"/>
    <w:rsid w:val="00432E66"/>
    <w:rsid w:val="004345F8"/>
    <w:rsid w:val="00436086"/>
    <w:rsid w:val="004374B8"/>
    <w:rsid w:val="0044151D"/>
    <w:rsid w:val="00441DF0"/>
    <w:rsid w:val="004426DC"/>
    <w:rsid w:val="0044329C"/>
    <w:rsid w:val="00446D81"/>
    <w:rsid w:val="0045154F"/>
    <w:rsid w:val="00453B49"/>
    <w:rsid w:val="00453E24"/>
    <w:rsid w:val="00457391"/>
    <w:rsid w:val="00457456"/>
    <w:rsid w:val="0045777E"/>
    <w:rsid w:val="004577FE"/>
    <w:rsid w:val="00457B9C"/>
    <w:rsid w:val="004606BE"/>
    <w:rsid w:val="0046164A"/>
    <w:rsid w:val="00461A04"/>
    <w:rsid w:val="004628D2"/>
    <w:rsid w:val="00462DCD"/>
    <w:rsid w:val="00463C5D"/>
    <w:rsid w:val="00463CD6"/>
    <w:rsid w:val="004648AD"/>
    <w:rsid w:val="00466090"/>
    <w:rsid w:val="004703A9"/>
    <w:rsid w:val="004704A6"/>
    <w:rsid w:val="00470863"/>
    <w:rsid w:val="00470CA7"/>
    <w:rsid w:val="00474042"/>
    <w:rsid w:val="004760DE"/>
    <w:rsid w:val="004763D7"/>
    <w:rsid w:val="00476618"/>
    <w:rsid w:val="004768BB"/>
    <w:rsid w:val="00476FE0"/>
    <w:rsid w:val="00477023"/>
    <w:rsid w:val="00477214"/>
    <w:rsid w:val="00480201"/>
    <w:rsid w:val="00481653"/>
    <w:rsid w:val="00481BE9"/>
    <w:rsid w:val="00484D91"/>
    <w:rsid w:val="00484DA2"/>
    <w:rsid w:val="00485A19"/>
    <w:rsid w:val="0048725B"/>
    <w:rsid w:val="00487962"/>
    <w:rsid w:val="004916C7"/>
    <w:rsid w:val="00492175"/>
    <w:rsid w:val="00493FC7"/>
    <w:rsid w:val="00496AFB"/>
    <w:rsid w:val="004A004E"/>
    <w:rsid w:val="004A0517"/>
    <w:rsid w:val="004A24CF"/>
    <w:rsid w:val="004A2699"/>
    <w:rsid w:val="004A26EB"/>
    <w:rsid w:val="004A430E"/>
    <w:rsid w:val="004A4323"/>
    <w:rsid w:val="004B26EC"/>
    <w:rsid w:val="004B4596"/>
    <w:rsid w:val="004B6852"/>
    <w:rsid w:val="004C0F59"/>
    <w:rsid w:val="004C1B25"/>
    <w:rsid w:val="004C1BD1"/>
    <w:rsid w:val="004C1F81"/>
    <w:rsid w:val="004C21F6"/>
    <w:rsid w:val="004C3D1D"/>
    <w:rsid w:val="004C4895"/>
    <w:rsid w:val="004C7913"/>
    <w:rsid w:val="004C7FB5"/>
    <w:rsid w:val="004D2DF8"/>
    <w:rsid w:val="004D4E2B"/>
    <w:rsid w:val="004D4E43"/>
    <w:rsid w:val="004D5781"/>
    <w:rsid w:val="004D6DC4"/>
    <w:rsid w:val="004E4DD6"/>
    <w:rsid w:val="004E5276"/>
    <w:rsid w:val="004E5D24"/>
    <w:rsid w:val="004E65EE"/>
    <w:rsid w:val="004F11FB"/>
    <w:rsid w:val="004F21B1"/>
    <w:rsid w:val="004F22F1"/>
    <w:rsid w:val="004F4CDA"/>
    <w:rsid w:val="004F5E36"/>
    <w:rsid w:val="004F5EC5"/>
    <w:rsid w:val="004F76FA"/>
    <w:rsid w:val="004F78F5"/>
    <w:rsid w:val="00503AE7"/>
    <w:rsid w:val="00504131"/>
    <w:rsid w:val="00504ABB"/>
    <w:rsid w:val="00507B47"/>
    <w:rsid w:val="00507BEF"/>
    <w:rsid w:val="00507CC9"/>
    <w:rsid w:val="005107F1"/>
    <w:rsid w:val="005119A5"/>
    <w:rsid w:val="00512C29"/>
    <w:rsid w:val="0051343A"/>
    <w:rsid w:val="00513D7B"/>
    <w:rsid w:val="005146A0"/>
    <w:rsid w:val="005146AF"/>
    <w:rsid w:val="00516489"/>
    <w:rsid w:val="00516867"/>
    <w:rsid w:val="00517ACB"/>
    <w:rsid w:val="005201CF"/>
    <w:rsid w:val="005225C6"/>
    <w:rsid w:val="005228F4"/>
    <w:rsid w:val="005242C5"/>
    <w:rsid w:val="00524FA0"/>
    <w:rsid w:val="00526F8C"/>
    <w:rsid w:val="005270E1"/>
    <w:rsid w:val="005278B7"/>
    <w:rsid w:val="00530312"/>
    <w:rsid w:val="00532016"/>
    <w:rsid w:val="00532F8B"/>
    <w:rsid w:val="005346C8"/>
    <w:rsid w:val="00535AA1"/>
    <w:rsid w:val="00535E05"/>
    <w:rsid w:val="00537526"/>
    <w:rsid w:val="00537D6C"/>
    <w:rsid w:val="005403C9"/>
    <w:rsid w:val="0054134E"/>
    <w:rsid w:val="00541A34"/>
    <w:rsid w:val="005435F7"/>
    <w:rsid w:val="00543AB3"/>
    <w:rsid w:val="00543E7D"/>
    <w:rsid w:val="005463B3"/>
    <w:rsid w:val="00547A68"/>
    <w:rsid w:val="00550F87"/>
    <w:rsid w:val="00551D3E"/>
    <w:rsid w:val="00552877"/>
    <w:rsid w:val="005531C9"/>
    <w:rsid w:val="0055447D"/>
    <w:rsid w:val="005578EE"/>
    <w:rsid w:val="0056234B"/>
    <w:rsid w:val="00565228"/>
    <w:rsid w:val="00565C54"/>
    <w:rsid w:val="005665EA"/>
    <w:rsid w:val="005667B2"/>
    <w:rsid w:val="00570C43"/>
    <w:rsid w:val="00570E16"/>
    <w:rsid w:val="005717C0"/>
    <w:rsid w:val="00571C79"/>
    <w:rsid w:val="00572CFE"/>
    <w:rsid w:val="00573315"/>
    <w:rsid w:val="00575F02"/>
    <w:rsid w:val="00575FE6"/>
    <w:rsid w:val="00576EE8"/>
    <w:rsid w:val="00577690"/>
    <w:rsid w:val="00580A96"/>
    <w:rsid w:val="00581693"/>
    <w:rsid w:val="00581FE2"/>
    <w:rsid w:val="00582AE5"/>
    <w:rsid w:val="00582D5C"/>
    <w:rsid w:val="00582E77"/>
    <w:rsid w:val="00584040"/>
    <w:rsid w:val="00585A8C"/>
    <w:rsid w:val="00585ECE"/>
    <w:rsid w:val="00590879"/>
    <w:rsid w:val="00591F1A"/>
    <w:rsid w:val="005926A2"/>
    <w:rsid w:val="00594980"/>
    <w:rsid w:val="00595841"/>
    <w:rsid w:val="00595A2E"/>
    <w:rsid w:val="005965B3"/>
    <w:rsid w:val="005A173D"/>
    <w:rsid w:val="005A23FC"/>
    <w:rsid w:val="005A2418"/>
    <w:rsid w:val="005A3198"/>
    <w:rsid w:val="005A3944"/>
    <w:rsid w:val="005A3DCD"/>
    <w:rsid w:val="005A3FB2"/>
    <w:rsid w:val="005A475F"/>
    <w:rsid w:val="005A5289"/>
    <w:rsid w:val="005A72BE"/>
    <w:rsid w:val="005B0D11"/>
    <w:rsid w:val="005B1CE9"/>
    <w:rsid w:val="005B2110"/>
    <w:rsid w:val="005B2AA6"/>
    <w:rsid w:val="005B4FFF"/>
    <w:rsid w:val="005B57F8"/>
    <w:rsid w:val="005B61E6"/>
    <w:rsid w:val="005B6F8D"/>
    <w:rsid w:val="005C00B5"/>
    <w:rsid w:val="005C11DA"/>
    <w:rsid w:val="005C1D7A"/>
    <w:rsid w:val="005C3EBA"/>
    <w:rsid w:val="005C77E1"/>
    <w:rsid w:val="005C7FDE"/>
    <w:rsid w:val="005D03EE"/>
    <w:rsid w:val="005D4256"/>
    <w:rsid w:val="005D4BA5"/>
    <w:rsid w:val="005D668A"/>
    <w:rsid w:val="005D6719"/>
    <w:rsid w:val="005D6A2F"/>
    <w:rsid w:val="005E00CB"/>
    <w:rsid w:val="005E068F"/>
    <w:rsid w:val="005E0928"/>
    <w:rsid w:val="005E0985"/>
    <w:rsid w:val="005E1223"/>
    <w:rsid w:val="005E17A6"/>
    <w:rsid w:val="005E1A82"/>
    <w:rsid w:val="005E491E"/>
    <w:rsid w:val="005E4BCA"/>
    <w:rsid w:val="005E4C91"/>
    <w:rsid w:val="005E4CA4"/>
    <w:rsid w:val="005E794C"/>
    <w:rsid w:val="005F0A28"/>
    <w:rsid w:val="005F0E5E"/>
    <w:rsid w:val="005F138B"/>
    <w:rsid w:val="005F2051"/>
    <w:rsid w:val="005F2691"/>
    <w:rsid w:val="005F2906"/>
    <w:rsid w:val="005F2A22"/>
    <w:rsid w:val="005F3520"/>
    <w:rsid w:val="005F388B"/>
    <w:rsid w:val="005F498A"/>
    <w:rsid w:val="005F4A92"/>
    <w:rsid w:val="005F4C9D"/>
    <w:rsid w:val="005F5352"/>
    <w:rsid w:val="005F5577"/>
    <w:rsid w:val="005F7EDA"/>
    <w:rsid w:val="00600535"/>
    <w:rsid w:val="0060277F"/>
    <w:rsid w:val="00604601"/>
    <w:rsid w:val="00607CA5"/>
    <w:rsid w:val="006101C3"/>
    <w:rsid w:val="00610CD6"/>
    <w:rsid w:val="00611E63"/>
    <w:rsid w:val="006124F8"/>
    <w:rsid w:val="00612CE0"/>
    <w:rsid w:val="00614317"/>
    <w:rsid w:val="00614A0A"/>
    <w:rsid w:val="006151EA"/>
    <w:rsid w:val="006154EE"/>
    <w:rsid w:val="006160F7"/>
    <w:rsid w:val="0061723B"/>
    <w:rsid w:val="00617F63"/>
    <w:rsid w:val="00620DEE"/>
    <w:rsid w:val="00621F92"/>
    <w:rsid w:val="0062280A"/>
    <w:rsid w:val="00623F30"/>
    <w:rsid w:val="00625454"/>
    <w:rsid w:val="00625639"/>
    <w:rsid w:val="0062716A"/>
    <w:rsid w:val="0063008F"/>
    <w:rsid w:val="006301C8"/>
    <w:rsid w:val="006302ED"/>
    <w:rsid w:val="00630582"/>
    <w:rsid w:val="00630AFF"/>
    <w:rsid w:val="00630F57"/>
    <w:rsid w:val="006318AC"/>
    <w:rsid w:val="00631B33"/>
    <w:rsid w:val="0063323D"/>
    <w:rsid w:val="006338A7"/>
    <w:rsid w:val="00640D0F"/>
    <w:rsid w:val="0064184D"/>
    <w:rsid w:val="006422CC"/>
    <w:rsid w:val="0064286A"/>
    <w:rsid w:val="00642E1A"/>
    <w:rsid w:val="00644237"/>
    <w:rsid w:val="00644367"/>
    <w:rsid w:val="0064508C"/>
    <w:rsid w:val="0064601D"/>
    <w:rsid w:val="00646B32"/>
    <w:rsid w:val="00646B8D"/>
    <w:rsid w:val="00652575"/>
    <w:rsid w:val="00653141"/>
    <w:rsid w:val="00655032"/>
    <w:rsid w:val="00655F24"/>
    <w:rsid w:val="00656969"/>
    <w:rsid w:val="00657CD5"/>
    <w:rsid w:val="00660E3E"/>
    <w:rsid w:val="00662937"/>
    <w:rsid w:val="00662E74"/>
    <w:rsid w:val="00663F33"/>
    <w:rsid w:val="00666B18"/>
    <w:rsid w:val="006701CD"/>
    <w:rsid w:val="0067075E"/>
    <w:rsid w:val="00672827"/>
    <w:rsid w:val="00673F9D"/>
    <w:rsid w:val="006756E5"/>
    <w:rsid w:val="00675E53"/>
    <w:rsid w:val="0067606A"/>
    <w:rsid w:val="00680C23"/>
    <w:rsid w:val="00681AC7"/>
    <w:rsid w:val="00681DD2"/>
    <w:rsid w:val="00681FBD"/>
    <w:rsid w:val="0068620A"/>
    <w:rsid w:val="00686491"/>
    <w:rsid w:val="00693766"/>
    <w:rsid w:val="00696891"/>
    <w:rsid w:val="00697E83"/>
    <w:rsid w:val="006A13BF"/>
    <w:rsid w:val="006A2EC2"/>
    <w:rsid w:val="006A301D"/>
    <w:rsid w:val="006A3281"/>
    <w:rsid w:val="006A3C7A"/>
    <w:rsid w:val="006A4C17"/>
    <w:rsid w:val="006A5D92"/>
    <w:rsid w:val="006B1648"/>
    <w:rsid w:val="006B2C24"/>
    <w:rsid w:val="006B3680"/>
    <w:rsid w:val="006B3E81"/>
    <w:rsid w:val="006B4888"/>
    <w:rsid w:val="006B5098"/>
    <w:rsid w:val="006B517D"/>
    <w:rsid w:val="006B7176"/>
    <w:rsid w:val="006B7269"/>
    <w:rsid w:val="006C1A9F"/>
    <w:rsid w:val="006C2721"/>
    <w:rsid w:val="006C2BAF"/>
    <w:rsid w:val="006C2E45"/>
    <w:rsid w:val="006C359C"/>
    <w:rsid w:val="006C46C1"/>
    <w:rsid w:val="006C5579"/>
    <w:rsid w:val="006C6FED"/>
    <w:rsid w:val="006C7443"/>
    <w:rsid w:val="006D0111"/>
    <w:rsid w:val="006D092B"/>
    <w:rsid w:val="006D2419"/>
    <w:rsid w:val="006D26DE"/>
    <w:rsid w:val="006D6E8B"/>
    <w:rsid w:val="006D7839"/>
    <w:rsid w:val="006E1B83"/>
    <w:rsid w:val="006E1D70"/>
    <w:rsid w:val="006E2056"/>
    <w:rsid w:val="006E2D24"/>
    <w:rsid w:val="006E31CD"/>
    <w:rsid w:val="006E339E"/>
    <w:rsid w:val="006E737D"/>
    <w:rsid w:val="006E7651"/>
    <w:rsid w:val="006E7A1C"/>
    <w:rsid w:val="006E7B91"/>
    <w:rsid w:val="006E7D00"/>
    <w:rsid w:val="006F2C98"/>
    <w:rsid w:val="006F34BF"/>
    <w:rsid w:val="006F6CB1"/>
    <w:rsid w:val="006F71A3"/>
    <w:rsid w:val="006F7C5E"/>
    <w:rsid w:val="0070058E"/>
    <w:rsid w:val="007030B8"/>
    <w:rsid w:val="007036F7"/>
    <w:rsid w:val="0070390F"/>
    <w:rsid w:val="00703AA1"/>
    <w:rsid w:val="0070421B"/>
    <w:rsid w:val="00710164"/>
    <w:rsid w:val="007122B7"/>
    <w:rsid w:val="0071264E"/>
    <w:rsid w:val="00713973"/>
    <w:rsid w:val="0071398A"/>
    <w:rsid w:val="007155AA"/>
    <w:rsid w:val="00716C7E"/>
    <w:rsid w:val="00716EAC"/>
    <w:rsid w:val="00720A24"/>
    <w:rsid w:val="007219AE"/>
    <w:rsid w:val="0072483A"/>
    <w:rsid w:val="00724EB4"/>
    <w:rsid w:val="0072684E"/>
    <w:rsid w:val="007303E7"/>
    <w:rsid w:val="00730927"/>
    <w:rsid w:val="00730B7D"/>
    <w:rsid w:val="0073178B"/>
    <w:rsid w:val="00732386"/>
    <w:rsid w:val="00733306"/>
    <w:rsid w:val="0073514D"/>
    <w:rsid w:val="00735A82"/>
    <w:rsid w:val="00736EE9"/>
    <w:rsid w:val="007379BF"/>
    <w:rsid w:val="00740034"/>
    <w:rsid w:val="00741CE6"/>
    <w:rsid w:val="00741D05"/>
    <w:rsid w:val="007436C7"/>
    <w:rsid w:val="00743E8F"/>
    <w:rsid w:val="007447F3"/>
    <w:rsid w:val="00747E23"/>
    <w:rsid w:val="0075075A"/>
    <w:rsid w:val="00750F85"/>
    <w:rsid w:val="00751B93"/>
    <w:rsid w:val="00751BED"/>
    <w:rsid w:val="0075499F"/>
    <w:rsid w:val="0075539A"/>
    <w:rsid w:val="007557A3"/>
    <w:rsid w:val="00755FB2"/>
    <w:rsid w:val="00756FDF"/>
    <w:rsid w:val="00761D7A"/>
    <w:rsid w:val="0076385A"/>
    <w:rsid w:val="00763C86"/>
    <w:rsid w:val="00763F91"/>
    <w:rsid w:val="007647A5"/>
    <w:rsid w:val="007661C8"/>
    <w:rsid w:val="00766C14"/>
    <w:rsid w:val="007675D3"/>
    <w:rsid w:val="00767716"/>
    <w:rsid w:val="0077098D"/>
    <w:rsid w:val="00770BCE"/>
    <w:rsid w:val="007726A0"/>
    <w:rsid w:val="007731DF"/>
    <w:rsid w:val="00773BEE"/>
    <w:rsid w:val="00774342"/>
    <w:rsid w:val="00774629"/>
    <w:rsid w:val="00780074"/>
    <w:rsid w:val="00782022"/>
    <w:rsid w:val="00782337"/>
    <w:rsid w:val="007856C1"/>
    <w:rsid w:val="00787530"/>
    <w:rsid w:val="00787CC3"/>
    <w:rsid w:val="007931FA"/>
    <w:rsid w:val="00793974"/>
    <w:rsid w:val="00793BD9"/>
    <w:rsid w:val="00793E3E"/>
    <w:rsid w:val="00793E79"/>
    <w:rsid w:val="00794EEE"/>
    <w:rsid w:val="007952D6"/>
    <w:rsid w:val="007A15CC"/>
    <w:rsid w:val="007A2263"/>
    <w:rsid w:val="007A37DB"/>
    <w:rsid w:val="007A4861"/>
    <w:rsid w:val="007A585B"/>
    <w:rsid w:val="007A7BBA"/>
    <w:rsid w:val="007B0C50"/>
    <w:rsid w:val="007B11BE"/>
    <w:rsid w:val="007B1A02"/>
    <w:rsid w:val="007B1B41"/>
    <w:rsid w:val="007B25E2"/>
    <w:rsid w:val="007B48F9"/>
    <w:rsid w:val="007B4A69"/>
    <w:rsid w:val="007B5DD5"/>
    <w:rsid w:val="007B7131"/>
    <w:rsid w:val="007C07B2"/>
    <w:rsid w:val="007C0D8A"/>
    <w:rsid w:val="007C1A43"/>
    <w:rsid w:val="007C2B52"/>
    <w:rsid w:val="007C4718"/>
    <w:rsid w:val="007C5FC2"/>
    <w:rsid w:val="007C7E1F"/>
    <w:rsid w:val="007D101B"/>
    <w:rsid w:val="007D25AF"/>
    <w:rsid w:val="007E1288"/>
    <w:rsid w:val="007E69E5"/>
    <w:rsid w:val="007E7F6F"/>
    <w:rsid w:val="007F1A72"/>
    <w:rsid w:val="007F2A97"/>
    <w:rsid w:val="007F2C61"/>
    <w:rsid w:val="007F348A"/>
    <w:rsid w:val="007F63E5"/>
    <w:rsid w:val="007F76A0"/>
    <w:rsid w:val="007F790D"/>
    <w:rsid w:val="008000EA"/>
    <w:rsid w:val="0080013E"/>
    <w:rsid w:val="00801147"/>
    <w:rsid w:val="008014CA"/>
    <w:rsid w:val="00801C1D"/>
    <w:rsid w:val="00801DDE"/>
    <w:rsid w:val="0080329B"/>
    <w:rsid w:val="008041D8"/>
    <w:rsid w:val="00805854"/>
    <w:rsid w:val="00805B6E"/>
    <w:rsid w:val="00806142"/>
    <w:rsid w:val="00806612"/>
    <w:rsid w:val="00806824"/>
    <w:rsid w:val="008069CE"/>
    <w:rsid w:val="00810936"/>
    <w:rsid w:val="00810C26"/>
    <w:rsid w:val="00812537"/>
    <w:rsid w:val="00813288"/>
    <w:rsid w:val="0081378F"/>
    <w:rsid w:val="00815AA5"/>
    <w:rsid w:val="0081632A"/>
    <w:rsid w:val="008168FC"/>
    <w:rsid w:val="00817560"/>
    <w:rsid w:val="0082152B"/>
    <w:rsid w:val="00821ABD"/>
    <w:rsid w:val="00822EF1"/>
    <w:rsid w:val="00823C61"/>
    <w:rsid w:val="008245DC"/>
    <w:rsid w:val="00824C5E"/>
    <w:rsid w:val="008252A0"/>
    <w:rsid w:val="0082534C"/>
    <w:rsid w:val="008279C5"/>
    <w:rsid w:val="00830445"/>
    <w:rsid w:val="00830728"/>
    <w:rsid w:val="00830996"/>
    <w:rsid w:val="0083124F"/>
    <w:rsid w:val="00831385"/>
    <w:rsid w:val="008328D7"/>
    <w:rsid w:val="00832C13"/>
    <w:rsid w:val="008345F1"/>
    <w:rsid w:val="00835B7A"/>
    <w:rsid w:val="008370EE"/>
    <w:rsid w:val="00837AC3"/>
    <w:rsid w:val="00840075"/>
    <w:rsid w:val="0084021C"/>
    <w:rsid w:val="00842414"/>
    <w:rsid w:val="008428A8"/>
    <w:rsid w:val="00844A63"/>
    <w:rsid w:val="00845FE2"/>
    <w:rsid w:val="00846CF8"/>
    <w:rsid w:val="0084756F"/>
    <w:rsid w:val="00847AC2"/>
    <w:rsid w:val="008612D0"/>
    <w:rsid w:val="00861350"/>
    <w:rsid w:val="00861FED"/>
    <w:rsid w:val="008652D9"/>
    <w:rsid w:val="00865B07"/>
    <w:rsid w:val="00865EF0"/>
    <w:rsid w:val="008665E4"/>
    <w:rsid w:val="008667EA"/>
    <w:rsid w:val="00867BA5"/>
    <w:rsid w:val="00870EE9"/>
    <w:rsid w:val="0087390D"/>
    <w:rsid w:val="0087637F"/>
    <w:rsid w:val="008815F7"/>
    <w:rsid w:val="00881D4E"/>
    <w:rsid w:val="00882084"/>
    <w:rsid w:val="0088407B"/>
    <w:rsid w:val="00884642"/>
    <w:rsid w:val="00884A11"/>
    <w:rsid w:val="00890F1F"/>
    <w:rsid w:val="00890F73"/>
    <w:rsid w:val="00892AD5"/>
    <w:rsid w:val="00893572"/>
    <w:rsid w:val="008941B1"/>
    <w:rsid w:val="00894C91"/>
    <w:rsid w:val="00895A1E"/>
    <w:rsid w:val="00896B04"/>
    <w:rsid w:val="00897E8E"/>
    <w:rsid w:val="008A04CD"/>
    <w:rsid w:val="008A1426"/>
    <w:rsid w:val="008A1512"/>
    <w:rsid w:val="008A1EB6"/>
    <w:rsid w:val="008A2640"/>
    <w:rsid w:val="008A27CC"/>
    <w:rsid w:val="008A498E"/>
    <w:rsid w:val="008A5C0D"/>
    <w:rsid w:val="008B1869"/>
    <w:rsid w:val="008B4220"/>
    <w:rsid w:val="008B5775"/>
    <w:rsid w:val="008B5DDA"/>
    <w:rsid w:val="008B6368"/>
    <w:rsid w:val="008B6F63"/>
    <w:rsid w:val="008C38E6"/>
    <w:rsid w:val="008C443E"/>
    <w:rsid w:val="008C4598"/>
    <w:rsid w:val="008C6FCB"/>
    <w:rsid w:val="008C7F09"/>
    <w:rsid w:val="008C7FA9"/>
    <w:rsid w:val="008D2D7B"/>
    <w:rsid w:val="008D2F61"/>
    <w:rsid w:val="008D32B9"/>
    <w:rsid w:val="008D433B"/>
    <w:rsid w:val="008D5872"/>
    <w:rsid w:val="008D6C66"/>
    <w:rsid w:val="008D7C74"/>
    <w:rsid w:val="008E19DB"/>
    <w:rsid w:val="008E1E3A"/>
    <w:rsid w:val="008E200E"/>
    <w:rsid w:val="008E566E"/>
    <w:rsid w:val="008E7C2A"/>
    <w:rsid w:val="008F0040"/>
    <w:rsid w:val="008F0D0C"/>
    <w:rsid w:val="008F2320"/>
    <w:rsid w:val="008F3830"/>
    <w:rsid w:val="008F4633"/>
    <w:rsid w:val="008F48D9"/>
    <w:rsid w:val="008F50EC"/>
    <w:rsid w:val="009008CC"/>
    <w:rsid w:val="0090161A"/>
    <w:rsid w:val="0090189B"/>
    <w:rsid w:val="00901D95"/>
    <w:rsid w:val="00901EB6"/>
    <w:rsid w:val="00903969"/>
    <w:rsid w:val="00904C62"/>
    <w:rsid w:val="00905DFE"/>
    <w:rsid w:val="00905F90"/>
    <w:rsid w:val="009104A4"/>
    <w:rsid w:val="00912DE2"/>
    <w:rsid w:val="009140B9"/>
    <w:rsid w:val="00917F24"/>
    <w:rsid w:val="00917F77"/>
    <w:rsid w:val="0092193D"/>
    <w:rsid w:val="00922A41"/>
    <w:rsid w:val="00922BA8"/>
    <w:rsid w:val="00922EEC"/>
    <w:rsid w:val="00923C2D"/>
    <w:rsid w:val="00924DAC"/>
    <w:rsid w:val="009251FC"/>
    <w:rsid w:val="00926070"/>
    <w:rsid w:val="00927058"/>
    <w:rsid w:val="00931910"/>
    <w:rsid w:val="0093380A"/>
    <w:rsid w:val="009343AA"/>
    <w:rsid w:val="00934F9B"/>
    <w:rsid w:val="00935CA3"/>
    <w:rsid w:val="0093651D"/>
    <w:rsid w:val="009408D7"/>
    <w:rsid w:val="00940E1D"/>
    <w:rsid w:val="00942043"/>
    <w:rsid w:val="00942750"/>
    <w:rsid w:val="009450CE"/>
    <w:rsid w:val="0094548E"/>
    <w:rsid w:val="00946D7E"/>
    <w:rsid w:val="00947179"/>
    <w:rsid w:val="0095164B"/>
    <w:rsid w:val="00952002"/>
    <w:rsid w:val="00952005"/>
    <w:rsid w:val="009520A3"/>
    <w:rsid w:val="0095381E"/>
    <w:rsid w:val="00954090"/>
    <w:rsid w:val="00956682"/>
    <w:rsid w:val="009573E7"/>
    <w:rsid w:val="00961737"/>
    <w:rsid w:val="0096257F"/>
    <w:rsid w:val="00963E05"/>
    <w:rsid w:val="00964249"/>
    <w:rsid w:val="00965A77"/>
    <w:rsid w:val="00966177"/>
    <w:rsid w:val="00967843"/>
    <w:rsid w:val="00967A87"/>
    <w:rsid w:val="00967D54"/>
    <w:rsid w:val="009700A8"/>
    <w:rsid w:val="009701BD"/>
    <w:rsid w:val="00971028"/>
    <w:rsid w:val="009726F5"/>
    <w:rsid w:val="00975BF7"/>
    <w:rsid w:val="00981FB5"/>
    <w:rsid w:val="00982193"/>
    <w:rsid w:val="00982A0B"/>
    <w:rsid w:val="00982AB3"/>
    <w:rsid w:val="00983F55"/>
    <w:rsid w:val="00984FDA"/>
    <w:rsid w:val="00990602"/>
    <w:rsid w:val="00990F73"/>
    <w:rsid w:val="00993B84"/>
    <w:rsid w:val="00994DE2"/>
    <w:rsid w:val="00996483"/>
    <w:rsid w:val="00996F5A"/>
    <w:rsid w:val="009A07D6"/>
    <w:rsid w:val="009A17C5"/>
    <w:rsid w:val="009A45C8"/>
    <w:rsid w:val="009A48B1"/>
    <w:rsid w:val="009A4F55"/>
    <w:rsid w:val="009A51AD"/>
    <w:rsid w:val="009A64DE"/>
    <w:rsid w:val="009A6A13"/>
    <w:rsid w:val="009A7F0A"/>
    <w:rsid w:val="009B041A"/>
    <w:rsid w:val="009B306D"/>
    <w:rsid w:val="009B4E2F"/>
    <w:rsid w:val="009B55D4"/>
    <w:rsid w:val="009C0F27"/>
    <w:rsid w:val="009C1B4F"/>
    <w:rsid w:val="009C37C3"/>
    <w:rsid w:val="009C3C85"/>
    <w:rsid w:val="009C5805"/>
    <w:rsid w:val="009C5EC4"/>
    <w:rsid w:val="009C6819"/>
    <w:rsid w:val="009C7C86"/>
    <w:rsid w:val="009D0B17"/>
    <w:rsid w:val="009D22A7"/>
    <w:rsid w:val="009D2FF7"/>
    <w:rsid w:val="009D3582"/>
    <w:rsid w:val="009D4469"/>
    <w:rsid w:val="009D451D"/>
    <w:rsid w:val="009D5C91"/>
    <w:rsid w:val="009D671A"/>
    <w:rsid w:val="009D7390"/>
    <w:rsid w:val="009D7C7F"/>
    <w:rsid w:val="009E2D7E"/>
    <w:rsid w:val="009E490C"/>
    <w:rsid w:val="009E50D9"/>
    <w:rsid w:val="009E5546"/>
    <w:rsid w:val="009E713C"/>
    <w:rsid w:val="009E7884"/>
    <w:rsid w:val="009E788A"/>
    <w:rsid w:val="009F0311"/>
    <w:rsid w:val="009F0E08"/>
    <w:rsid w:val="009F1D21"/>
    <w:rsid w:val="009F3A9F"/>
    <w:rsid w:val="009F3F3F"/>
    <w:rsid w:val="009F54DC"/>
    <w:rsid w:val="009F5DE3"/>
    <w:rsid w:val="009F635D"/>
    <w:rsid w:val="009F6E72"/>
    <w:rsid w:val="00A00381"/>
    <w:rsid w:val="00A022DF"/>
    <w:rsid w:val="00A0351E"/>
    <w:rsid w:val="00A03924"/>
    <w:rsid w:val="00A04C3A"/>
    <w:rsid w:val="00A0503D"/>
    <w:rsid w:val="00A0598F"/>
    <w:rsid w:val="00A05E25"/>
    <w:rsid w:val="00A1004B"/>
    <w:rsid w:val="00A1179B"/>
    <w:rsid w:val="00A12528"/>
    <w:rsid w:val="00A12DE2"/>
    <w:rsid w:val="00A1397C"/>
    <w:rsid w:val="00A145E9"/>
    <w:rsid w:val="00A14601"/>
    <w:rsid w:val="00A14DD3"/>
    <w:rsid w:val="00A172B0"/>
    <w:rsid w:val="00A1763D"/>
    <w:rsid w:val="00A17A5F"/>
    <w:rsid w:val="00A17CEC"/>
    <w:rsid w:val="00A253CA"/>
    <w:rsid w:val="00A25622"/>
    <w:rsid w:val="00A2600F"/>
    <w:rsid w:val="00A27EF0"/>
    <w:rsid w:val="00A30090"/>
    <w:rsid w:val="00A3119A"/>
    <w:rsid w:val="00A31E63"/>
    <w:rsid w:val="00A33612"/>
    <w:rsid w:val="00A3433A"/>
    <w:rsid w:val="00A3434E"/>
    <w:rsid w:val="00A359A0"/>
    <w:rsid w:val="00A35DE5"/>
    <w:rsid w:val="00A376DA"/>
    <w:rsid w:val="00A377D2"/>
    <w:rsid w:val="00A404FD"/>
    <w:rsid w:val="00A40B89"/>
    <w:rsid w:val="00A42361"/>
    <w:rsid w:val="00A44FAE"/>
    <w:rsid w:val="00A4554E"/>
    <w:rsid w:val="00A4616B"/>
    <w:rsid w:val="00A47A7B"/>
    <w:rsid w:val="00A47F57"/>
    <w:rsid w:val="00A50B20"/>
    <w:rsid w:val="00A51390"/>
    <w:rsid w:val="00A51E66"/>
    <w:rsid w:val="00A5349D"/>
    <w:rsid w:val="00A5533D"/>
    <w:rsid w:val="00A55565"/>
    <w:rsid w:val="00A5795F"/>
    <w:rsid w:val="00A57D34"/>
    <w:rsid w:val="00A60D13"/>
    <w:rsid w:val="00A619B0"/>
    <w:rsid w:val="00A63DC8"/>
    <w:rsid w:val="00A64332"/>
    <w:rsid w:val="00A64760"/>
    <w:rsid w:val="00A66590"/>
    <w:rsid w:val="00A66C10"/>
    <w:rsid w:val="00A723B9"/>
    <w:rsid w:val="00A724E4"/>
    <w:rsid w:val="00A72745"/>
    <w:rsid w:val="00A72853"/>
    <w:rsid w:val="00A75FCA"/>
    <w:rsid w:val="00A76EFC"/>
    <w:rsid w:val="00A77B4F"/>
    <w:rsid w:val="00A77FFD"/>
    <w:rsid w:val="00A80C28"/>
    <w:rsid w:val="00A810C0"/>
    <w:rsid w:val="00A819EE"/>
    <w:rsid w:val="00A82308"/>
    <w:rsid w:val="00A8275F"/>
    <w:rsid w:val="00A82C1F"/>
    <w:rsid w:val="00A848CB"/>
    <w:rsid w:val="00A84F4F"/>
    <w:rsid w:val="00A84FF6"/>
    <w:rsid w:val="00A85885"/>
    <w:rsid w:val="00A868A6"/>
    <w:rsid w:val="00A87B99"/>
    <w:rsid w:val="00A903F5"/>
    <w:rsid w:val="00A91010"/>
    <w:rsid w:val="00A957EC"/>
    <w:rsid w:val="00A961EA"/>
    <w:rsid w:val="00A976F8"/>
    <w:rsid w:val="00A97F29"/>
    <w:rsid w:val="00AA1C25"/>
    <w:rsid w:val="00AA298C"/>
    <w:rsid w:val="00AA702E"/>
    <w:rsid w:val="00AB0964"/>
    <w:rsid w:val="00AB15AC"/>
    <w:rsid w:val="00AB164C"/>
    <w:rsid w:val="00AB4980"/>
    <w:rsid w:val="00AB5011"/>
    <w:rsid w:val="00AB696B"/>
    <w:rsid w:val="00AB6B75"/>
    <w:rsid w:val="00AC4C9B"/>
    <w:rsid w:val="00AC7368"/>
    <w:rsid w:val="00AC79A0"/>
    <w:rsid w:val="00AC7DFE"/>
    <w:rsid w:val="00AD0745"/>
    <w:rsid w:val="00AD0F2E"/>
    <w:rsid w:val="00AD16B9"/>
    <w:rsid w:val="00AD35A8"/>
    <w:rsid w:val="00AD44ED"/>
    <w:rsid w:val="00AD756E"/>
    <w:rsid w:val="00AE05AE"/>
    <w:rsid w:val="00AE377D"/>
    <w:rsid w:val="00AE3863"/>
    <w:rsid w:val="00AE3D38"/>
    <w:rsid w:val="00AE3D7E"/>
    <w:rsid w:val="00AE428B"/>
    <w:rsid w:val="00AE43DE"/>
    <w:rsid w:val="00AE5001"/>
    <w:rsid w:val="00AE5FF1"/>
    <w:rsid w:val="00AE7FF2"/>
    <w:rsid w:val="00AF0EBA"/>
    <w:rsid w:val="00AF2E85"/>
    <w:rsid w:val="00AF2FFF"/>
    <w:rsid w:val="00AF6A49"/>
    <w:rsid w:val="00AF7442"/>
    <w:rsid w:val="00B002C5"/>
    <w:rsid w:val="00B007F4"/>
    <w:rsid w:val="00B01516"/>
    <w:rsid w:val="00B0202C"/>
    <w:rsid w:val="00B02C8A"/>
    <w:rsid w:val="00B04D82"/>
    <w:rsid w:val="00B04FBC"/>
    <w:rsid w:val="00B0501B"/>
    <w:rsid w:val="00B0764E"/>
    <w:rsid w:val="00B11F1B"/>
    <w:rsid w:val="00B13A68"/>
    <w:rsid w:val="00B152F0"/>
    <w:rsid w:val="00B17FBD"/>
    <w:rsid w:val="00B203C4"/>
    <w:rsid w:val="00B22EAC"/>
    <w:rsid w:val="00B24D85"/>
    <w:rsid w:val="00B26CDA"/>
    <w:rsid w:val="00B27AEB"/>
    <w:rsid w:val="00B306C4"/>
    <w:rsid w:val="00B315A6"/>
    <w:rsid w:val="00B31813"/>
    <w:rsid w:val="00B33365"/>
    <w:rsid w:val="00B3406F"/>
    <w:rsid w:val="00B343C2"/>
    <w:rsid w:val="00B34985"/>
    <w:rsid w:val="00B36F17"/>
    <w:rsid w:val="00B370DF"/>
    <w:rsid w:val="00B37503"/>
    <w:rsid w:val="00B40C8B"/>
    <w:rsid w:val="00B43208"/>
    <w:rsid w:val="00B448E3"/>
    <w:rsid w:val="00B450D1"/>
    <w:rsid w:val="00B46796"/>
    <w:rsid w:val="00B51A1B"/>
    <w:rsid w:val="00B55554"/>
    <w:rsid w:val="00B55A64"/>
    <w:rsid w:val="00B55BEA"/>
    <w:rsid w:val="00B5740E"/>
    <w:rsid w:val="00B57B36"/>
    <w:rsid w:val="00B57E6F"/>
    <w:rsid w:val="00B60A90"/>
    <w:rsid w:val="00B6118B"/>
    <w:rsid w:val="00B612C8"/>
    <w:rsid w:val="00B6231E"/>
    <w:rsid w:val="00B62FFD"/>
    <w:rsid w:val="00B64EE6"/>
    <w:rsid w:val="00B658BA"/>
    <w:rsid w:val="00B66D8E"/>
    <w:rsid w:val="00B726FE"/>
    <w:rsid w:val="00B73670"/>
    <w:rsid w:val="00B75F9F"/>
    <w:rsid w:val="00B76671"/>
    <w:rsid w:val="00B768C0"/>
    <w:rsid w:val="00B76DFB"/>
    <w:rsid w:val="00B80416"/>
    <w:rsid w:val="00B82A83"/>
    <w:rsid w:val="00B82FA4"/>
    <w:rsid w:val="00B83379"/>
    <w:rsid w:val="00B8686D"/>
    <w:rsid w:val="00B90EBF"/>
    <w:rsid w:val="00B914C3"/>
    <w:rsid w:val="00B91822"/>
    <w:rsid w:val="00B9191E"/>
    <w:rsid w:val="00B9274F"/>
    <w:rsid w:val="00B92DD2"/>
    <w:rsid w:val="00B93F69"/>
    <w:rsid w:val="00B94647"/>
    <w:rsid w:val="00B94847"/>
    <w:rsid w:val="00B967B9"/>
    <w:rsid w:val="00B9792C"/>
    <w:rsid w:val="00BA0BB8"/>
    <w:rsid w:val="00BA0BD4"/>
    <w:rsid w:val="00BA112D"/>
    <w:rsid w:val="00BA2F24"/>
    <w:rsid w:val="00BB0601"/>
    <w:rsid w:val="00BB09D2"/>
    <w:rsid w:val="00BB1DDC"/>
    <w:rsid w:val="00BB5F9A"/>
    <w:rsid w:val="00BB6C78"/>
    <w:rsid w:val="00BB6CC8"/>
    <w:rsid w:val="00BC2FC9"/>
    <w:rsid w:val="00BC30C9"/>
    <w:rsid w:val="00BC5D90"/>
    <w:rsid w:val="00BD0617"/>
    <w:rsid w:val="00BD077D"/>
    <w:rsid w:val="00BD0B1F"/>
    <w:rsid w:val="00BD14D2"/>
    <w:rsid w:val="00BD2121"/>
    <w:rsid w:val="00BD2F52"/>
    <w:rsid w:val="00BD2FF8"/>
    <w:rsid w:val="00BD337B"/>
    <w:rsid w:val="00BD5B52"/>
    <w:rsid w:val="00BD5F52"/>
    <w:rsid w:val="00BD76C3"/>
    <w:rsid w:val="00BD7D19"/>
    <w:rsid w:val="00BE2DD1"/>
    <w:rsid w:val="00BE3A04"/>
    <w:rsid w:val="00BE3E58"/>
    <w:rsid w:val="00BE428C"/>
    <w:rsid w:val="00BE5295"/>
    <w:rsid w:val="00BE617C"/>
    <w:rsid w:val="00BE7317"/>
    <w:rsid w:val="00BF1013"/>
    <w:rsid w:val="00BF1C27"/>
    <w:rsid w:val="00BF6783"/>
    <w:rsid w:val="00BF7640"/>
    <w:rsid w:val="00BF7A31"/>
    <w:rsid w:val="00C0061E"/>
    <w:rsid w:val="00C01138"/>
    <w:rsid w:val="00C01616"/>
    <w:rsid w:val="00C0162B"/>
    <w:rsid w:val="00C01EB8"/>
    <w:rsid w:val="00C025D0"/>
    <w:rsid w:val="00C02AF0"/>
    <w:rsid w:val="00C02FFF"/>
    <w:rsid w:val="00C044ED"/>
    <w:rsid w:val="00C068ED"/>
    <w:rsid w:val="00C06EBA"/>
    <w:rsid w:val="00C06F81"/>
    <w:rsid w:val="00C1063F"/>
    <w:rsid w:val="00C12069"/>
    <w:rsid w:val="00C14D20"/>
    <w:rsid w:val="00C15F50"/>
    <w:rsid w:val="00C17245"/>
    <w:rsid w:val="00C17DA6"/>
    <w:rsid w:val="00C2084C"/>
    <w:rsid w:val="00C22E0C"/>
    <w:rsid w:val="00C248EF"/>
    <w:rsid w:val="00C26AF9"/>
    <w:rsid w:val="00C3185C"/>
    <w:rsid w:val="00C32040"/>
    <w:rsid w:val="00C33EBE"/>
    <w:rsid w:val="00C3411A"/>
    <w:rsid w:val="00C345B1"/>
    <w:rsid w:val="00C40142"/>
    <w:rsid w:val="00C410FA"/>
    <w:rsid w:val="00C42BF1"/>
    <w:rsid w:val="00C436B7"/>
    <w:rsid w:val="00C44C28"/>
    <w:rsid w:val="00C44CC3"/>
    <w:rsid w:val="00C455A5"/>
    <w:rsid w:val="00C468CC"/>
    <w:rsid w:val="00C46C23"/>
    <w:rsid w:val="00C50B38"/>
    <w:rsid w:val="00C510F3"/>
    <w:rsid w:val="00C511BE"/>
    <w:rsid w:val="00C51C14"/>
    <w:rsid w:val="00C52C3C"/>
    <w:rsid w:val="00C55BF7"/>
    <w:rsid w:val="00C57182"/>
    <w:rsid w:val="00C57863"/>
    <w:rsid w:val="00C57C85"/>
    <w:rsid w:val="00C6288B"/>
    <w:rsid w:val="00C62B9A"/>
    <w:rsid w:val="00C630B8"/>
    <w:rsid w:val="00C64CBF"/>
    <w:rsid w:val="00C6507C"/>
    <w:rsid w:val="00C65513"/>
    <w:rsid w:val="00C655FD"/>
    <w:rsid w:val="00C67B32"/>
    <w:rsid w:val="00C75407"/>
    <w:rsid w:val="00C76866"/>
    <w:rsid w:val="00C769C9"/>
    <w:rsid w:val="00C76D76"/>
    <w:rsid w:val="00C77206"/>
    <w:rsid w:val="00C82977"/>
    <w:rsid w:val="00C85379"/>
    <w:rsid w:val="00C85440"/>
    <w:rsid w:val="00C86058"/>
    <w:rsid w:val="00C870A8"/>
    <w:rsid w:val="00C87931"/>
    <w:rsid w:val="00C90637"/>
    <w:rsid w:val="00C91002"/>
    <w:rsid w:val="00C93372"/>
    <w:rsid w:val="00C94434"/>
    <w:rsid w:val="00C957D6"/>
    <w:rsid w:val="00C964C1"/>
    <w:rsid w:val="00C970E7"/>
    <w:rsid w:val="00C975E9"/>
    <w:rsid w:val="00CA0D75"/>
    <w:rsid w:val="00CA1C95"/>
    <w:rsid w:val="00CA3A0C"/>
    <w:rsid w:val="00CA3C00"/>
    <w:rsid w:val="00CA497B"/>
    <w:rsid w:val="00CA5A9C"/>
    <w:rsid w:val="00CA6C13"/>
    <w:rsid w:val="00CA7C6E"/>
    <w:rsid w:val="00CA7D02"/>
    <w:rsid w:val="00CB157F"/>
    <w:rsid w:val="00CB3CAD"/>
    <w:rsid w:val="00CB409E"/>
    <w:rsid w:val="00CB678C"/>
    <w:rsid w:val="00CB7641"/>
    <w:rsid w:val="00CC1442"/>
    <w:rsid w:val="00CC3576"/>
    <w:rsid w:val="00CC3BCE"/>
    <w:rsid w:val="00CC4BE4"/>
    <w:rsid w:val="00CC4BE5"/>
    <w:rsid w:val="00CC4C20"/>
    <w:rsid w:val="00CD016B"/>
    <w:rsid w:val="00CD3517"/>
    <w:rsid w:val="00CD3DB0"/>
    <w:rsid w:val="00CD4463"/>
    <w:rsid w:val="00CD5FE2"/>
    <w:rsid w:val="00CD761E"/>
    <w:rsid w:val="00CE036E"/>
    <w:rsid w:val="00CE12BA"/>
    <w:rsid w:val="00CE1328"/>
    <w:rsid w:val="00CE1D65"/>
    <w:rsid w:val="00CE1EC6"/>
    <w:rsid w:val="00CE21EC"/>
    <w:rsid w:val="00CE360D"/>
    <w:rsid w:val="00CE3DB7"/>
    <w:rsid w:val="00CE446B"/>
    <w:rsid w:val="00CE45A4"/>
    <w:rsid w:val="00CE6D90"/>
    <w:rsid w:val="00CE7AE4"/>
    <w:rsid w:val="00CE7C68"/>
    <w:rsid w:val="00CE7D91"/>
    <w:rsid w:val="00CF0394"/>
    <w:rsid w:val="00CF1D25"/>
    <w:rsid w:val="00CF1FC0"/>
    <w:rsid w:val="00CF3CB2"/>
    <w:rsid w:val="00CF6C83"/>
    <w:rsid w:val="00D006BF"/>
    <w:rsid w:val="00D00876"/>
    <w:rsid w:val="00D02B4C"/>
    <w:rsid w:val="00D03C15"/>
    <w:rsid w:val="00D040C4"/>
    <w:rsid w:val="00D0573C"/>
    <w:rsid w:val="00D05DE9"/>
    <w:rsid w:val="00D06048"/>
    <w:rsid w:val="00D10049"/>
    <w:rsid w:val="00D11D8C"/>
    <w:rsid w:val="00D15DD8"/>
    <w:rsid w:val="00D17A9E"/>
    <w:rsid w:val="00D17F3F"/>
    <w:rsid w:val="00D2252A"/>
    <w:rsid w:val="00D25C7C"/>
    <w:rsid w:val="00D30506"/>
    <w:rsid w:val="00D31434"/>
    <w:rsid w:val="00D332AB"/>
    <w:rsid w:val="00D34C0A"/>
    <w:rsid w:val="00D41D2F"/>
    <w:rsid w:val="00D454F3"/>
    <w:rsid w:val="00D46B7E"/>
    <w:rsid w:val="00D47548"/>
    <w:rsid w:val="00D55F17"/>
    <w:rsid w:val="00D56396"/>
    <w:rsid w:val="00D57A5B"/>
    <w:rsid w:val="00D57BB6"/>
    <w:rsid w:val="00D57C84"/>
    <w:rsid w:val="00D60148"/>
    <w:rsid w:val="00D6057D"/>
    <w:rsid w:val="00D6075B"/>
    <w:rsid w:val="00D60FF4"/>
    <w:rsid w:val="00D61A20"/>
    <w:rsid w:val="00D6202A"/>
    <w:rsid w:val="00D73253"/>
    <w:rsid w:val="00D73EC1"/>
    <w:rsid w:val="00D74584"/>
    <w:rsid w:val="00D749EC"/>
    <w:rsid w:val="00D7529A"/>
    <w:rsid w:val="00D7672B"/>
    <w:rsid w:val="00D7723F"/>
    <w:rsid w:val="00D80EE8"/>
    <w:rsid w:val="00D836C5"/>
    <w:rsid w:val="00D84576"/>
    <w:rsid w:val="00D85334"/>
    <w:rsid w:val="00D85C7F"/>
    <w:rsid w:val="00D86640"/>
    <w:rsid w:val="00D86C3C"/>
    <w:rsid w:val="00D878D4"/>
    <w:rsid w:val="00D87953"/>
    <w:rsid w:val="00D87D50"/>
    <w:rsid w:val="00D921FA"/>
    <w:rsid w:val="00D93BCE"/>
    <w:rsid w:val="00D946BB"/>
    <w:rsid w:val="00D94BBE"/>
    <w:rsid w:val="00D97526"/>
    <w:rsid w:val="00DA0928"/>
    <w:rsid w:val="00DA10BC"/>
    <w:rsid w:val="00DA1399"/>
    <w:rsid w:val="00DA24C6"/>
    <w:rsid w:val="00DA398E"/>
    <w:rsid w:val="00DA4D7B"/>
    <w:rsid w:val="00DA5601"/>
    <w:rsid w:val="00DB12A5"/>
    <w:rsid w:val="00DB1CCA"/>
    <w:rsid w:val="00DB2679"/>
    <w:rsid w:val="00DB3128"/>
    <w:rsid w:val="00DB34B8"/>
    <w:rsid w:val="00DB4037"/>
    <w:rsid w:val="00DB5E1B"/>
    <w:rsid w:val="00DB6D6F"/>
    <w:rsid w:val="00DB7BA1"/>
    <w:rsid w:val="00DC00ED"/>
    <w:rsid w:val="00DC1486"/>
    <w:rsid w:val="00DC22E8"/>
    <w:rsid w:val="00DC31BC"/>
    <w:rsid w:val="00DC49F3"/>
    <w:rsid w:val="00DC6B6A"/>
    <w:rsid w:val="00DC7EA8"/>
    <w:rsid w:val="00DC7F15"/>
    <w:rsid w:val="00DD1934"/>
    <w:rsid w:val="00DD2524"/>
    <w:rsid w:val="00DD67D6"/>
    <w:rsid w:val="00DD748D"/>
    <w:rsid w:val="00DE1BD2"/>
    <w:rsid w:val="00DE1D65"/>
    <w:rsid w:val="00DE264A"/>
    <w:rsid w:val="00DE41F8"/>
    <w:rsid w:val="00DE5127"/>
    <w:rsid w:val="00DE6858"/>
    <w:rsid w:val="00DE6BAA"/>
    <w:rsid w:val="00DF3892"/>
    <w:rsid w:val="00DF417B"/>
    <w:rsid w:val="00DF4242"/>
    <w:rsid w:val="00DF5072"/>
    <w:rsid w:val="00E00BCA"/>
    <w:rsid w:val="00E02D18"/>
    <w:rsid w:val="00E02DF7"/>
    <w:rsid w:val="00E02F3C"/>
    <w:rsid w:val="00E03372"/>
    <w:rsid w:val="00E03691"/>
    <w:rsid w:val="00E03E06"/>
    <w:rsid w:val="00E041E7"/>
    <w:rsid w:val="00E04460"/>
    <w:rsid w:val="00E0474B"/>
    <w:rsid w:val="00E05EBE"/>
    <w:rsid w:val="00E06CD5"/>
    <w:rsid w:val="00E07645"/>
    <w:rsid w:val="00E11FA7"/>
    <w:rsid w:val="00E13751"/>
    <w:rsid w:val="00E13A56"/>
    <w:rsid w:val="00E156C7"/>
    <w:rsid w:val="00E161A8"/>
    <w:rsid w:val="00E20692"/>
    <w:rsid w:val="00E2317E"/>
    <w:rsid w:val="00E23CA1"/>
    <w:rsid w:val="00E2429E"/>
    <w:rsid w:val="00E2447D"/>
    <w:rsid w:val="00E25DF5"/>
    <w:rsid w:val="00E25FB4"/>
    <w:rsid w:val="00E2707D"/>
    <w:rsid w:val="00E27644"/>
    <w:rsid w:val="00E27AE8"/>
    <w:rsid w:val="00E31876"/>
    <w:rsid w:val="00E34980"/>
    <w:rsid w:val="00E37B42"/>
    <w:rsid w:val="00E40750"/>
    <w:rsid w:val="00E409A8"/>
    <w:rsid w:val="00E40B2C"/>
    <w:rsid w:val="00E40F7D"/>
    <w:rsid w:val="00E413BA"/>
    <w:rsid w:val="00E46082"/>
    <w:rsid w:val="00E50C12"/>
    <w:rsid w:val="00E5379C"/>
    <w:rsid w:val="00E53878"/>
    <w:rsid w:val="00E541CC"/>
    <w:rsid w:val="00E54475"/>
    <w:rsid w:val="00E55255"/>
    <w:rsid w:val="00E573DE"/>
    <w:rsid w:val="00E601E1"/>
    <w:rsid w:val="00E60370"/>
    <w:rsid w:val="00E60B39"/>
    <w:rsid w:val="00E6157B"/>
    <w:rsid w:val="00E6289B"/>
    <w:rsid w:val="00E649D8"/>
    <w:rsid w:val="00E654A5"/>
    <w:rsid w:val="00E65B91"/>
    <w:rsid w:val="00E66B16"/>
    <w:rsid w:val="00E703A2"/>
    <w:rsid w:val="00E7209D"/>
    <w:rsid w:val="00E72EAD"/>
    <w:rsid w:val="00E73018"/>
    <w:rsid w:val="00E7475C"/>
    <w:rsid w:val="00E74A4B"/>
    <w:rsid w:val="00E77223"/>
    <w:rsid w:val="00E7735F"/>
    <w:rsid w:val="00E83F00"/>
    <w:rsid w:val="00E85183"/>
    <w:rsid w:val="00E85204"/>
    <w:rsid w:val="00E8528B"/>
    <w:rsid w:val="00E856BF"/>
    <w:rsid w:val="00E85B94"/>
    <w:rsid w:val="00E90691"/>
    <w:rsid w:val="00E92E5D"/>
    <w:rsid w:val="00E936CA"/>
    <w:rsid w:val="00E978D0"/>
    <w:rsid w:val="00EA000F"/>
    <w:rsid w:val="00EA29B5"/>
    <w:rsid w:val="00EA3B84"/>
    <w:rsid w:val="00EA4613"/>
    <w:rsid w:val="00EA47A8"/>
    <w:rsid w:val="00EA57CD"/>
    <w:rsid w:val="00EA5CA3"/>
    <w:rsid w:val="00EA5D71"/>
    <w:rsid w:val="00EA62F3"/>
    <w:rsid w:val="00EA693B"/>
    <w:rsid w:val="00EA713A"/>
    <w:rsid w:val="00EA7F91"/>
    <w:rsid w:val="00EB0200"/>
    <w:rsid w:val="00EB1356"/>
    <w:rsid w:val="00EB1523"/>
    <w:rsid w:val="00EB1B8A"/>
    <w:rsid w:val="00EB1E95"/>
    <w:rsid w:val="00EB30DB"/>
    <w:rsid w:val="00EB4F45"/>
    <w:rsid w:val="00EB5256"/>
    <w:rsid w:val="00EB55AF"/>
    <w:rsid w:val="00EC0E49"/>
    <w:rsid w:val="00EC101F"/>
    <w:rsid w:val="00EC1D9F"/>
    <w:rsid w:val="00EC40CE"/>
    <w:rsid w:val="00EC49A1"/>
    <w:rsid w:val="00EC4DA5"/>
    <w:rsid w:val="00EC607D"/>
    <w:rsid w:val="00EC6351"/>
    <w:rsid w:val="00EC6412"/>
    <w:rsid w:val="00EC73CD"/>
    <w:rsid w:val="00EC79C2"/>
    <w:rsid w:val="00ED0FF9"/>
    <w:rsid w:val="00ED117B"/>
    <w:rsid w:val="00ED1210"/>
    <w:rsid w:val="00ED2E13"/>
    <w:rsid w:val="00ED338B"/>
    <w:rsid w:val="00ED38E6"/>
    <w:rsid w:val="00ED6F87"/>
    <w:rsid w:val="00ED706F"/>
    <w:rsid w:val="00ED75BE"/>
    <w:rsid w:val="00ED7852"/>
    <w:rsid w:val="00EE0131"/>
    <w:rsid w:val="00EE066D"/>
    <w:rsid w:val="00EE09A9"/>
    <w:rsid w:val="00EE17B0"/>
    <w:rsid w:val="00EE419E"/>
    <w:rsid w:val="00EE7D20"/>
    <w:rsid w:val="00EF06D9"/>
    <w:rsid w:val="00EF21A2"/>
    <w:rsid w:val="00EF24CC"/>
    <w:rsid w:val="00EF3F92"/>
    <w:rsid w:val="00EF5BAF"/>
    <w:rsid w:val="00EF6D93"/>
    <w:rsid w:val="00F02EBB"/>
    <w:rsid w:val="00F03062"/>
    <w:rsid w:val="00F076BB"/>
    <w:rsid w:val="00F077C2"/>
    <w:rsid w:val="00F078AB"/>
    <w:rsid w:val="00F102C8"/>
    <w:rsid w:val="00F12440"/>
    <w:rsid w:val="00F13460"/>
    <w:rsid w:val="00F1461F"/>
    <w:rsid w:val="00F14759"/>
    <w:rsid w:val="00F148BE"/>
    <w:rsid w:val="00F15933"/>
    <w:rsid w:val="00F178A4"/>
    <w:rsid w:val="00F17F0F"/>
    <w:rsid w:val="00F20501"/>
    <w:rsid w:val="00F21739"/>
    <w:rsid w:val="00F22AFD"/>
    <w:rsid w:val="00F26DE1"/>
    <w:rsid w:val="00F27357"/>
    <w:rsid w:val="00F306C3"/>
    <w:rsid w:val="00F30C64"/>
    <w:rsid w:val="00F32BA2"/>
    <w:rsid w:val="00F32CDB"/>
    <w:rsid w:val="00F32DC0"/>
    <w:rsid w:val="00F32ED0"/>
    <w:rsid w:val="00F3337E"/>
    <w:rsid w:val="00F33E2A"/>
    <w:rsid w:val="00F36306"/>
    <w:rsid w:val="00F3753B"/>
    <w:rsid w:val="00F37D54"/>
    <w:rsid w:val="00F40F55"/>
    <w:rsid w:val="00F420FD"/>
    <w:rsid w:val="00F43588"/>
    <w:rsid w:val="00F43A3B"/>
    <w:rsid w:val="00F445C0"/>
    <w:rsid w:val="00F455C1"/>
    <w:rsid w:val="00F45D47"/>
    <w:rsid w:val="00F47180"/>
    <w:rsid w:val="00F510EC"/>
    <w:rsid w:val="00F51254"/>
    <w:rsid w:val="00F51E2E"/>
    <w:rsid w:val="00F53E44"/>
    <w:rsid w:val="00F55D86"/>
    <w:rsid w:val="00F565FE"/>
    <w:rsid w:val="00F56BBD"/>
    <w:rsid w:val="00F57A2B"/>
    <w:rsid w:val="00F60336"/>
    <w:rsid w:val="00F623A1"/>
    <w:rsid w:val="00F634D5"/>
    <w:rsid w:val="00F636A2"/>
    <w:rsid w:val="00F63A70"/>
    <w:rsid w:val="00F6718D"/>
    <w:rsid w:val="00F70588"/>
    <w:rsid w:val="00F705F2"/>
    <w:rsid w:val="00F70C5A"/>
    <w:rsid w:val="00F722F7"/>
    <w:rsid w:val="00F72A2F"/>
    <w:rsid w:val="00F7464C"/>
    <w:rsid w:val="00F7505A"/>
    <w:rsid w:val="00F7534E"/>
    <w:rsid w:val="00F7601E"/>
    <w:rsid w:val="00F77F3E"/>
    <w:rsid w:val="00F77F81"/>
    <w:rsid w:val="00F80355"/>
    <w:rsid w:val="00F80D95"/>
    <w:rsid w:val="00F81BAB"/>
    <w:rsid w:val="00F83CE6"/>
    <w:rsid w:val="00F86BAF"/>
    <w:rsid w:val="00F86D69"/>
    <w:rsid w:val="00F87FD0"/>
    <w:rsid w:val="00F919B2"/>
    <w:rsid w:val="00F91F27"/>
    <w:rsid w:val="00F926D3"/>
    <w:rsid w:val="00F94B4E"/>
    <w:rsid w:val="00F95DC0"/>
    <w:rsid w:val="00F975EA"/>
    <w:rsid w:val="00FA0E7E"/>
    <w:rsid w:val="00FA21D0"/>
    <w:rsid w:val="00FA3ED2"/>
    <w:rsid w:val="00FA5F5F"/>
    <w:rsid w:val="00FB1140"/>
    <w:rsid w:val="00FB3F56"/>
    <w:rsid w:val="00FB5B5D"/>
    <w:rsid w:val="00FB730C"/>
    <w:rsid w:val="00FC0DB5"/>
    <w:rsid w:val="00FC14BD"/>
    <w:rsid w:val="00FC2695"/>
    <w:rsid w:val="00FC3E03"/>
    <w:rsid w:val="00FC3FC1"/>
    <w:rsid w:val="00FC4FA3"/>
    <w:rsid w:val="00FC59DA"/>
    <w:rsid w:val="00FC6194"/>
    <w:rsid w:val="00FD118A"/>
    <w:rsid w:val="00FD1B16"/>
    <w:rsid w:val="00FD23CB"/>
    <w:rsid w:val="00FD2BF4"/>
    <w:rsid w:val="00FD379D"/>
    <w:rsid w:val="00FD38D4"/>
    <w:rsid w:val="00FD5C45"/>
    <w:rsid w:val="00FD63C4"/>
    <w:rsid w:val="00FD73E4"/>
    <w:rsid w:val="00FE188E"/>
    <w:rsid w:val="00FE3E36"/>
    <w:rsid w:val="00FE580F"/>
    <w:rsid w:val="00FE5F2C"/>
    <w:rsid w:val="00FF22B9"/>
    <w:rsid w:val="00FF519E"/>
    <w:rsid w:val="00FF5610"/>
    <w:rsid w:val="00FF6CC7"/>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5E0EA068-4673-4465-87FC-EB5675695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EE066D"/>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EE066D"/>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unhideWhenUsed/>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qFormat/>
    <w:rsid w:val="00280FAF"/>
    <w:pPr>
      <w:ind w:left="720"/>
      <w:contextualSpacing/>
    </w:pPr>
  </w:style>
  <w:style w:type="character" w:styleId="PlaceholderText">
    <w:name w:val="Placeholder Text"/>
    <w:basedOn w:val="DefaultParagraphFont"/>
    <w:uiPriority w:val="99"/>
    <w:semiHidden/>
    <w:rsid w:val="005926A2"/>
    <w:rPr>
      <w:color w:val="808080"/>
    </w:rPr>
  </w:style>
  <w:style w:type="paragraph" w:styleId="Revision">
    <w:name w:val="Revision"/>
    <w:hidden/>
    <w:uiPriority w:val="99"/>
    <w:semiHidden/>
    <w:rsid w:val="00912DE2"/>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803126">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542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12B8ECA5D3D54ABC726CC16E3FCD8A" ma:contentTypeVersion="4" ma:contentTypeDescription="Create a new document." ma:contentTypeScope="" ma:versionID="78af12202de37d764d28fc6409c58963">
  <xsd:schema xmlns:xsd="http://www.w3.org/2001/XMLSchema" xmlns:xs="http://www.w3.org/2001/XMLSchema" xmlns:p="http://schemas.microsoft.com/office/2006/metadata/properties" xmlns:ns2="174713d4-ce47-492d-baed-5011acf22725" xmlns:ns3="5344635a-d842-4505-8542-433f0f709855" targetNamespace="http://schemas.microsoft.com/office/2006/metadata/properties" ma:root="true" ma:fieldsID="2167197a998d634b279decbaa4389a72" ns2:_="" ns3:_="">
    <xsd:import namespace="174713d4-ce47-492d-baed-5011acf22725"/>
    <xsd:import namespace="5344635a-d842-4505-8542-433f0f7098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4713d4-ce47-492d-baed-5011acf227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44635a-d842-4505-8542-433f0f70985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344635a-d842-4505-8542-433f0f709855">
      <UserInfo>
        <DisplayName>Nicola Paltrinieri</DisplayName>
        <AccountId>12</AccountId>
        <AccountType/>
      </UserInfo>
      <UserInfo>
        <DisplayName>Federico Ustolin</DisplayName>
        <AccountId>14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7A269-3EB7-4643-BEA7-DB6F86C2A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4713d4-ce47-492d-baed-5011acf22725"/>
    <ds:schemaRef ds:uri="5344635a-d842-4505-8542-433f0f7098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2D393E-2928-4801-B66A-FDBB3F8F3BE3}">
  <ds:schemaRefs>
    <ds:schemaRef ds:uri="http://schemas.microsoft.com/sharepoint/v3/contenttype/forms"/>
  </ds:schemaRefs>
</ds:datastoreItem>
</file>

<file path=customXml/itemProps3.xml><?xml version="1.0" encoding="utf-8"?>
<ds:datastoreItem xmlns:ds="http://schemas.openxmlformats.org/officeDocument/2006/customXml" ds:itemID="{81F85F99-1A49-4247-AF1F-6ABD2565BA67}">
  <ds:schemaRefs>
    <ds:schemaRef ds:uri="http://schemas.microsoft.com/office/2006/metadata/properties"/>
    <ds:schemaRef ds:uri="http://schemas.microsoft.com/office/infopath/2007/PartnerControls"/>
    <ds:schemaRef ds:uri="5344635a-d842-4505-8542-433f0f709855"/>
  </ds:schemaRefs>
</ds:datastoreItem>
</file>

<file path=customXml/itemProps4.xml><?xml version="1.0" encoding="utf-8"?>
<ds:datastoreItem xmlns:ds="http://schemas.openxmlformats.org/officeDocument/2006/customXml" ds:itemID="{8D300F71-191D-47BC-A8C1-3D0E84510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3742</Words>
  <Characters>19833</Characters>
  <Application>Microsoft Office Word</Application>
  <DocSecurity>0</DocSecurity>
  <Lines>165</Lines>
  <Paragraphs>47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23528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Alessandro Campari</cp:lastModifiedBy>
  <cp:revision>195</cp:revision>
  <cp:lastPrinted>2021-11-15T14:18:00Z</cp:lastPrinted>
  <dcterms:created xsi:type="dcterms:W3CDTF">2023-02-08T10:42:00Z</dcterms:created>
  <dcterms:modified xsi:type="dcterms:W3CDTF">2023-03-08T08:43:00Z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ContentTypeId">
    <vt:lpwstr>0x0101008712B8ECA5D3D54ABC726CC16E3FCD8A</vt:lpwstr>
  </property>
</Properties>
</file>