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0632C4FD" w14:textId="77777777">
        <w:trPr>
          <w:trHeight w:val="852"/>
          <w:jc w:val="center"/>
        </w:trPr>
        <w:tc>
          <w:tcPr>
            <w:tcW w:w="6946" w:type="dxa"/>
            <w:vMerge w:val="restart"/>
            <w:tcBorders>
              <w:right w:val="single" w:sz="4" w:space="0" w:color="auto"/>
            </w:tcBorders>
          </w:tcPr>
          <w:p w14:paraId="7F980CDC"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da-DK" w:eastAsia="da-DK"/>
              </w:rPr>
              <w:drawing>
                <wp:inline distT="0" distB="0" distL="0" distR="0" wp14:anchorId="72A96F50" wp14:editId="6920351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073248AA"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2F1A553C"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2044B079" w14:textId="77777777" w:rsidR="000A03B2" w:rsidRPr="00B57B36" w:rsidRDefault="000A03B2" w:rsidP="00CD5FE2">
            <w:pPr>
              <w:jc w:val="right"/>
            </w:pPr>
            <w:r w:rsidRPr="00B57B36">
              <w:rPr>
                <w:noProof/>
                <w:lang w:val="da-DK" w:eastAsia="da-DK"/>
              </w:rPr>
              <w:drawing>
                <wp:inline distT="0" distB="0" distL="0" distR="0" wp14:anchorId="13A0A153" wp14:editId="14599FF5">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12A0D" w14:paraId="1166AF68" w14:textId="77777777">
        <w:trPr>
          <w:trHeight w:val="567"/>
          <w:jc w:val="center"/>
        </w:trPr>
        <w:tc>
          <w:tcPr>
            <w:tcW w:w="6946" w:type="dxa"/>
            <w:vMerge/>
            <w:tcBorders>
              <w:right w:val="single" w:sz="4" w:space="0" w:color="auto"/>
            </w:tcBorders>
          </w:tcPr>
          <w:p w14:paraId="64BBC5C5"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129F08AF"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A1CED8C"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2D21B1B" w14:textId="77777777" w:rsidR="000A03B2" w:rsidRPr="009859E5" w:rsidRDefault="000A03B2" w:rsidP="00CD5FE2">
            <w:pPr>
              <w:spacing w:line="140" w:lineRule="atLeast"/>
              <w:jc w:val="right"/>
              <w:rPr>
                <w:rFonts w:cs="Arial"/>
                <w:sz w:val="14"/>
                <w:szCs w:val="14"/>
                <w:lang w:val="da-DK"/>
              </w:rPr>
            </w:pPr>
            <w:r w:rsidRPr="009859E5">
              <w:rPr>
                <w:rFonts w:cs="Arial"/>
                <w:sz w:val="14"/>
                <w:szCs w:val="14"/>
                <w:lang w:val="da-DK"/>
              </w:rPr>
              <w:t xml:space="preserve">Online at </w:t>
            </w:r>
            <w:r w:rsidR="00892AD5" w:rsidRPr="009859E5">
              <w:rPr>
                <w:rFonts w:cs="Arial"/>
                <w:sz w:val="14"/>
                <w:szCs w:val="14"/>
                <w:lang w:val="da-DK"/>
              </w:rPr>
              <w:t>www.aidic.it/cet</w:t>
            </w:r>
          </w:p>
        </w:tc>
      </w:tr>
      <w:tr w:rsidR="000A03B2" w:rsidRPr="00D12A0D" w14:paraId="304484A6" w14:textId="77777777">
        <w:trPr>
          <w:trHeight w:val="68"/>
          <w:jc w:val="center"/>
        </w:trPr>
        <w:tc>
          <w:tcPr>
            <w:tcW w:w="8789" w:type="dxa"/>
            <w:gridSpan w:val="2"/>
          </w:tcPr>
          <w:p w14:paraId="2B63DF08"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316FFCDD" w14:textId="77777777" w:rsidR="000A03B2" w:rsidRPr="00D12A0D" w:rsidRDefault="00FA5F5F" w:rsidP="00131FAB">
            <w:pPr>
              <w:tabs>
                <w:tab w:val="left" w:pos="-108"/>
              </w:tabs>
              <w:spacing w:line="140" w:lineRule="atLeast"/>
              <w:ind w:left="-107"/>
              <w:jc w:val="left"/>
              <w:rPr>
                <w:lang w:val="da-DK"/>
              </w:rPr>
            </w:pPr>
            <w:r w:rsidRPr="00D12A0D">
              <w:rPr>
                <w:rFonts w:ascii="Tahoma" w:hAnsi="Tahoma" w:cs="Tahoma"/>
                <w:iCs/>
                <w:color w:val="333333"/>
                <w:sz w:val="14"/>
                <w:szCs w:val="14"/>
                <w:lang w:val="da-DK" w:eastAsia="it-IT"/>
              </w:rPr>
              <w:t>Copyright © 201</w:t>
            </w:r>
            <w:r w:rsidR="007931FA" w:rsidRPr="00D12A0D">
              <w:rPr>
                <w:rFonts w:ascii="Tahoma" w:hAnsi="Tahoma" w:cs="Tahoma"/>
                <w:iCs/>
                <w:color w:val="333333"/>
                <w:sz w:val="14"/>
                <w:szCs w:val="14"/>
                <w:lang w:val="da-DK" w:eastAsia="it-IT"/>
              </w:rPr>
              <w:t>9</w:t>
            </w:r>
            <w:r w:rsidR="00904C62" w:rsidRPr="00D12A0D">
              <w:rPr>
                <w:rFonts w:ascii="Tahoma" w:hAnsi="Tahoma" w:cs="Tahoma"/>
                <w:iCs/>
                <w:color w:val="333333"/>
                <w:sz w:val="14"/>
                <w:szCs w:val="14"/>
                <w:lang w:val="da-DK" w:eastAsia="it-IT"/>
              </w:rPr>
              <w:t>, AIDIC Servizi S.r.l.</w:t>
            </w:r>
            <w:r w:rsidR="00300E56" w:rsidRPr="00D12A0D">
              <w:rPr>
                <w:rFonts w:ascii="Tahoma" w:hAnsi="Tahoma" w:cs="Tahoma"/>
                <w:iCs/>
                <w:color w:val="333333"/>
                <w:sz w:val="14"/>
                <w:szCs w:val="14"/>
                <w:lang w:val="da-DK" w:eastAsia="it-IT"/>
              </w:rPr>
              <w:br/>
            </w:r>
            <w:r w:rsidR="00300E56" w:rsidRPr="00D12A0D">
              <w:rPr>
                <w:rFonts w:ascii="Tahoma" w:hAnsi="Tahoma" w:cs="Tahoma"/>
                <w:b/>
                <w:iCs/>
                <w:color w:val="000000"/>
                <w:sz w:val="14"/>
                <w:szCs w:val="14"/>
                <w:lang w:val="da-DK" w:eastAsia="it-IT"/>
              </w:rPr>
              <w:t>ISBN</w:t>
            </w:r>
            <w:r w:rsidR="00300E56" w:rsidRPr="00D12A0D">
              <w:rPr>
                <w:rFonts w:ascii="Tahoma" w:hAnsi="Tahoma" w:cs="Tahoma"/>
                <w:iCs/>
                <w:color w:val="000000"/>
                <w:sz w:val="14"/>
                <w:szCs w:val="14"/>
                <w:lang w:val="da-DK" w:eastAsia="it-IT"/>
              </w:rPr>
              <w:t xml:space="preserve"> </w:t>
            </w:r>
            <w:r w:rsidR="008D32B9" w:rsidRPr="00D12A0D">
              <w:rPr>
                <w:rFonts w:ascii="Tahoma" w:hAnsi="Tahoma" w:cs="Tahoma"/>
                <w:sz w:val="14"/>
                <w:szCs w:val="14"/>
                <w:lang w:val="da-DK"/>
              </w:rPr>
              <w:t>978-88-95608-</w:t>
            </w:r>
            <w:r w:rsidR="009635B9" w:rsidRPr="00D12A0D">
              <w:rPr>
                <w:rFonts w:ascii="Tahoma" w:hAnsi="Tahoma" w:cs="Tahoma"/>
                <w:sz w:val="14"/>
                <w:szCs w:val="14"/>
                <w:lang w:val="da-DK"/>
              </w:rPr>
              <w:t>73</w:t>
            </w:r>
            <w:r w:rsidR="008D32B9" w:rsidRPr="00D12A0D">
              <w:rPr>
                <w:rFonts w:ascii="Tahoma" w:hAnsi="Tahoma" w:cs="Tahoma"/>
                <w:sz w:val="14"/>
                <w:szCs w:val="14"/>
                <w:lang w:val="da-DK"/>
              </w:rPr>
              <w:t>-</w:t>
            </w:r>
            <w:r w:rsidR="009635B9" w:rsidRPr="00D12A0D">
              <w:rPr>
                <w:rFonts w:ascii="Tahoma" w:hAnsi="Tahoma" w:cs="Tahoma"/>
                <w:sz w:val="14"/>
                <w:szCs w:val="14"/>
                <w:lang w:val="da-DK"/>
              </w:rPr>
              <w:t>0</w:t>
            </w:r>
            <w:r w:rsidR="00300E56" w:rsidRPr="00D12A0D">
              <w:rPr>
                <w:rFonts w:ascii="Tahoma" w:hAnsi="Tahoma" w:cs="Tahoma"/>
                <w:iCs/>
                <w:color w:val="333333"/>
                <w:sz w:val="14"/>
                <w:szCs w:val="14"/>
                <w:lang w:val="da-DK" w:eastAsia="it-IT"/>
              </w:rPr>
              <w:t xml:space="preserve">; </w:t>
            </w:r>
            <w:r w:rsidR="00300E56" w:rsidRPr="00D12A0D">
              <w:rPr>
                <w:rFonts w:ascii="Tahoma" w:hAnsi="Tahoma" w:cs="Tahoma"/>
                <w:b/>
                <w:iCs/>
                <w:color w:val="333333"/>
                <w:sz w:val="14"/>
                <w:szCs w:val="14"/>
                <w:lang w:val="da-DK" w:eastAsia="it-IT"/>
              </w:rPr>
              <w:t>ISSN</w:t>
            </w:r>
            <w:r w:rsidR="00300E56" w:rsidRPr="00D12A0D">
              <w:rPr>
                <w:rFonts w:ascii="Tahoma" w:hAnsi="Tahoma" w:cs="Tahoma"/>
                <w:iCs/>
                <w:color w:val="333333"/>
                <w:sz w:val="14"/>
                <w:szCs w:val="14"/>
                <w:lang w:val="da-DK" w:eastAsia="it-IT"/>
              </w:rPr>
              <w:t xml:space="preserve"> 2283-9216</w:t>
            </w:r>
          </w:p>
        </w:tc>
      </w:tr>
    </w:tbl>
    <w:p w14:paraId="4FA1B064" w14:textId="77777777" w:rsidR="000A03B2" w:rsidRPr="00D12A0D" w:rsidRDefault="000A03B2" w:rsidP="000A03B2">
      <w:pPr>
        <w:pStyle w:val="CETAuthors"/>
        <w:rPr>
          <w:lang w:val="da-DK"/>
        </w:rPr>
        <w:sectPr w:rsidR="000A03B2" w:rsidRPr="00D12A0D">
          <w:type w:val="continuous"/>
          <w:pgSz w:w="11906" w:h="16838" w:code="9"/>
          <w:pgMar w:top="1701" w:right="1418" w:bottom="1701" w:left="1701" w:header="1701" w:footer="0" w:gutter="0"/>
          <w:cols w:space="708"/>
          <w:titlePg/>
          <w:docGrid w:linePitch="360"/>
        </w:sectPr>
      </w:pPr>
    </w:p>
    <w:p w14:paraId="08F8CF3D" w14:textId="77777777" w:rsidR="00E978D0" w:rsidRPr="00B57B36" w:rsidRDefault="009859E5" w:rsidP="00E978D0">
      <w:pPr>
        <w:pStyle w:val="CETTitle"/>
      </w:pPr>
      <w:r w:rsidRPr="009859E5">
        <w:t>Investigation of the Use of Ceramic Membranes in Recovering Liquid Enzymes for Castor Oil Transesterification</w:t>
      </w:r>
    </w:p>
    <w:p w14:paraId="4C3301A5" w14:textId="77777777" w:rsidR="00E978D0" w:rsidRPr="00B57B36" w:rsidRDefault="009859E5" w:rsidP="00AB5011">
      <w:pPr>
        <w:pStyle w:val="CETAuthors"/>
      </w:pPr>
      <w:r w:rsidRPr="009859E5">
        <w:t>Thalles A. Andrade*, Massimiliano Errico, Knud V. Christensen</w:t>
      </w:r>
    </w:p>
    <w:p w14:paraId="5BD2F068" w14:textId="77777777" w:rsidR="009859E5" w:rsidRPr="009378F0" w:rsidRDefault="009859E5" w:rsidP="009859E5">
      <w:pPr>
        <w:pStyle w:val="CETAddress"/>
      </w:pPr>
      <w:r w:rsidRPr="00F77417">
        <w:t>University of Southern Denmark, Department of Chemical Engineering, Biotechnology and Environmental Technology, Campusvej 55, 5000 Odense M, Denmark</w:t>
      </w:r>
    </w:p>
    <w:p w14:paraId="465D9AFA" w14:textId="77777777" w:rsidR="00E978D0" w:rsidRDefault="009859E5" w:rsidP="009859E5">
      <w:pPr>
        <w:pStyle w:val="CETemail"/>
      </w:pPr>
      <w:r w:rsidRPr="00F77417">
        <w:t>thal@kbm.sdu.dk</w:t>
      </w:r>
    </w:p>
    <w:p w14:paraId="58B8F944" w14:textId="77777777" w:rsidR="00B175C4" w:rsidRPr="00B175C4" w:rsidRDefault="00B175C4" w:rsidP="00B175C4">
      <w:pPr>
        <w:pStyle w:val="CETBodytext"/>
        <w:rPr>
          <w:lang w:val="en-GB"/>
        </w:rPr>
      </w:pPr>
    </w:p>
    <w:p w14:paraId="100F3074" w14:textId="77777777" w:rsidR="00D5570A" w:rsidRDefault="00215F95" w:rsidP="00ED1B0F">
      <w:pPr>
        <w:pStyle w:val="CETBodytext"/>
      </w:pPr>
      <w:r>
        <w:t>The r</w:t>
      </w:r>
      <w:r w:rsidR="00ED1B0F" w:rsidRPr="00DC1A80">
        <w:t>euse of the liquid enzymes Eversa Transform and Resinase HT for castor oil transesterification</w:t>
      </w:r>
      <w:r w:rsidR="00A7549F">
        <w:t xml:space="preserve"> was investigated</w:t>
      </w:r>
      <w:r w:rsidR="00ED1B0F" w:rsidRPr="00DC1A80">
        <w:t xml:space="preserve">. For each enzyme, the reactions </w:t>
      </w:r>
      <w:r w:rsidR="00D5570A">
        <w:t>we</w:t>
      </w:r>
      <w:r w:rsidR="00ED1B0F" w:rsidRPr="00DC1A80">
        <w:t xml:space="preserve">re carried out at 35 °C with 6:1 methanol-to-oil molar ratio, 5 wt% enzyme and 5 wt% water by weight of oil, for 8 hours. After completion, the reaction mixture </w:t>
      </w:r>
      <w:r w:rsidR="00D5570A">
        <w:t>wa</w:t>
      </w:r>
      <w:r w:rsidR="00ED1B0F" w:rsidRPr="00DC1A80">
        <w:t xml:space="preserve">s centrifuged at 4000 rpm for 30 min and the enzyme phase </w:t>
      </w:r>
      <w:r w:rsidR="00D5570A">
        <w:t>wa</w:t>
      </w:r>
      <w:r w:rsidR="00ED1B0F" w:rsidRPr="00DC1A80">
        <w:t>s collected.</w:t>
      </w:r>
      <w:r w:rsidR="00D5570A">
        <w:t xml:space="preserve"> </w:t>
      </w:r>
      <w:r w:rsidR="00ED1B0F" w:rsidRPr="00DC1A80">
        <w:t xml:space="preserve">The reuse of the enzyme solutions </w:t>
      </w:r>
      <w:r w:rsidR="00D5570A">
        <w:t>we</w:t>
      </w:r>
      <w:r w:rsidR="00ED1B0F" w:rsidRPr="00DC1A80">
        <w:t xml:space="preserve">re tested using three different separation techniques. In the first, enzymes </w:t>
      </w:r>
      <w:r w:rsidR="00D5570A">
        <w:t>we</w:t>
      </w:r>
      <w:r w:rsidR="00ED1B0F" w:rsidRPr="00DC1A80">
        <w:t xml:space="preserve">re reused after the centrifugation step without further separation. In the second, enzymes </w:t>
      </w:r>
      <w:r w:rsidR="00D5570A">
        <w:t>we</w:t>
      </w:r>
      <w:r w:rsidR="00ED1B0F" w:rsidRPr="00DC1A80">
        <w:t xml:space="preserve">re reused after centrifugation followed by water diafiltration using an ultrafiltration membrane in order to remove glycerol and methanol from the recycle solution. In the third, the enzyme solution obtained after diafiltration </w:t>
      </w:r>
      <w:r w:rsidR="00D5570A">
        <w:t>wa</w:t>
      </w:r>
      <w:r w:rsidR="00ED1B0F" w:rsidRPr="00DC1A80">
        <w:t xml:space="preserve">s concentrated in the membrane set-up prior to its reuse. </w:t>
      </w:r>
      <w:r w:rsidR="00D5570A">
        <w:t>T</w:t>
      </w:r>
      <w:r w:rsidR="00ED1B0F" w:rsidRPr="00DC1A80">
        <w:t xml:space="preserve">ubular ceramic ultrafiltration membranes with MWCO of 15 and 25 kDa </w:t>
      </w:r>
      <w:r w:rsidR="00D5570A">
        <w:t>we</w:t>
      </w:r>
      <w:r w:rsidR="00ED1B0F" w:rsidRPr="00DC1A80">
        <w:t xml:space="preserve">re used. </w:t>
      </w:r>
    </w:p>
    <w:p w14:paraId="31C29E7E" w14:textId="77777777" w:rsidR="00DA24C6" w:rsidRDefault="00ED1B0F" w:rsidP="00ED1B0F">
      <w:pPr>
        <w:pStyle w:val="CETBodytext"/>
      </w:pPr>
      <w:r w:rsidRPr="00DC1A80">
        <w:t>The experiments show</w:t>
      </w:r>
      <w:r w:rsidR="00D5570A">
        <w:t>ed</w:t>
      </w:r>
      <w:r w:rsidRPr="00DC1A80">
        <w:t xml:space="preserve"> that ultrafiltration remove</w:t>
      </w:r>
      <w:r w:rsidR="00D5570A">
        <w:t>d</w:t>
      </w:r>
      <w:r w:rsidRPr="00DC1A80">
        <w:t xml:space="preserve"> glycerol and methanol from the </w:t>
      </w:r>
      <w:r w:rsidR="00337C40">
        <w:t>enzyme</w:t>
      </w:r>
      <w:r w:rsidRPr="00DC1A80">
        <w:t xml:space="preserve"> solution</w:t>
      </w:r>
      <w:r w:rsidR="00D5570A">
        <w:t>, increasing the enzyme activity during the transesterification</w:t>
      </w:r>
      <w:r w:rsidRPr="00DC1A80">
        <w:t xml:space="preserve">. Furthermore, concentration of the </w:t>
      </w:r>
      <w:r w:rsidR="00337C40">
        <w:t>enzyme</w:t>
      </w:r>
      <w:r w:rsidRPr="00DC1A80">
        <w:t xml:space="preserve"> solutions after the diafiltration ha</w:t>
      </w:r>
      <w:r w:rsidR="00D5570A">
        <w:t>d</w:t>
      </w:r>
      <w:r w:rsidRPr="00DC1A80">
        <w:t xml:space="preserve"> a positive effect on the FAME production when recycle</w:t>
      </w:r>
      <w:r w:rsidR="007A6CD8">
        <w:t>d</w:t>
      </w:r>
      <w:r w:rsidRPr="00DC1A80">
        <w:t xml:space="preserve"> enzyme solutions are used. For Eversa Transform, the biodiesel content increase</w:t>
      </w:r>
      <w:r w:rsidR="00D5570A">
        <w:t>d</w:t>
      </w:r>
      <w:r w:rsidRPr="00DC1A80">
        <w:t xml:space="preserve"> from 67 % with reuse after centrifugation to 83 % when a concentrated </w:t>
      </w:r>
      <w:r w:rsidR="003B2597">
        <w:t xml:space="preserve">and </w:t>
      </w:r>
      <w:r w:rsidRPr="00DC1A80">
        <w:t xml:space="preserve">diafiltrated enzyme solution </w:t>
      </w:r>
      <w:r w:rsidR="00D5570A">
        <w:t>wa</w:t>
      </w:r>
      <w:r w:rsidRPr="00DC1A80">
        <w:t>s</w:t>
      </w:r>
      <w:r>
        <w:t xml:space="preserve"> </w:t>
      </w:r>
      <w:r w:rsidRPr="00DC1A80">
        <w:t>used as catalyst. For Resinase HT, the biodiesel concentration improved from 69 to up to 79 %.</w:t>
      </w:r>
    </w:p>
    <w:p w14:paraId="12472523" w14:textId="77777777" w:rsidR="00600535" w:rsidRPr="00B57B36" w:rsidRDefault="00600535" w:rsidP="00600535">
      <w:pPr>
        <w:pStyle w:val="CETHeading1"/>
        <w:rPr>
          <w:lang w:val="en-GB"/>
        </w:rPr>
      </w:pPr>
      <w:r w:rsidRPr="00B57B36">
        <w:rPr>
          <w:lang w:val="en-GB"/>
        </w:rPr>
        <w:t>Introduction</w:t>
      </w:r>
    </w:p>
    <w:p w14:paraId="4E686FA1" w14:textId="77777777" w:rsidR="00D5570A" w:rsidRPr="00D5570A" w:rsidRDefault="00D5570A" w:rsidP="00600535">
      <w:pPr>
        <w:pStyle w:val="CETBodytext"/>
      </w:pPr>
      <w:r w:rsidRPr="00D5570A">
        <w:t xml:space="preserve">The search for alternative renewable fuels to replace the use of fossil </w:t>
      </w:r>
      <w:r w:rsidR="00215F95">
        <w:t>one</w:t>
      </w:r>
      <w:r w:rsidRPr="00D5570A">
        <w:t>s makes biodiesel production a field of continuous interest. Biodiesel is generally produced by transesterification of vegetable oils or animal fats with short chain alcohol</w:t>
      </w:r>
      <w:r w:rsidR="007A6CD8">
        <w:t>s</w:t>
      </w:r>
      <w:r w:rsidRPr="00D5570A">
        <w:t xml:space="preserve"> such as methanol and ethanol. Enzyme-catalyzed transest</w:t>
      </w:r>
      <w:r w:rsidR="003B2597">
        <w:t>erification is an alternative that can overcome the drawbacks associated with</w:t>
      </w:r>
      <w:r w:rsidRPr="00D5570A">
        <w:t xml:space="preserve"> </w:t>
      </w:r>
      <w:r w:rsidR="007A6CD8">
        <w:t xml:space="preserve">the </w:t>
      </w:r>
      <w:r w:rsidRPr="00D5570A">
        <w:t>use of chemical catalysts</w:t>
      </w:r>
      <w:r w:rsidR="003B2597">
        <w:t xml:space="preserve"> (Guldhe, et al., 2015)</w:t>
      </w:r>
      <w:r w:rsidRPr="00D5570A">
        <w:t>. The enzyme-catalyzed process can operate under mild reaction conditions; can handle a larger variety of feedstocks and gives easier product separation after the reaction. Besides that, it is less energy-intensive and more environmentally friendly</w:t>
      </w:r>
      <w:r w:rsidR="003B2597">
        <w:t xml:space="preserve"> (Christopher et al., 2014)</w:t>
      </w:r>
      <w:r w:rsidRPr="00D5570A">
        <w:t>. However, the</w:t>
      </w:r>
      <w:r w:rsidR="003B2597">
        <w:t xml:space="preserve"> main</w:t>
      </w:r>
      <w:r w:rsidRPr="00D5570A">
        <w:t xml:space="preserve"> </w:t>
      </w:r>
      <w:r w:rsidR="003B2597">
        <w:t>disadvantage</w:t>
      </w:r>
      <w:r w:rsidRPr="00D5570A">
        <w:t xml:space="preserve"> is the higher cost of enzymes compared to chemical catalysts. Enzyme re</w:t>
      </w:r>
      <w:r w:rsidR="003B2597">
        <w:t>use</w:t>
      </w:r>
      <w:r w:rsidRPr="00D5570A">
        <w:t xml:space="preserve"> is a possibility that could reduce the operating costs.</w:t>
      </w:r>
    </w:p>
    <w:p w14:paraId="178F4B02" w14:textId="77777777" w:rsidR="00337C40" w:rsidRDefault="003B2597" w:rsidP="00C2773A">
      <w:pPr>
        <w:pStyle w:val="CETBodytext"/>
        <w:rPr>
          <w:lang w:val="en-GB"/>
        </w:rPr>
      </w:pPr>
      <w:r>
        <w:rPr>
          <w:lang w:val="en-GB"/>
        </w:rPr>
        <w:t>Enzymes are commercially available in liquid and immobilized forms. Even though immobilized enzymes are more stable and easily handled, they are more expensive than liquid enzymes</w:t>
      </w:r>
      <w:r w:rsidR="00007688">
        <w:rPr>
          <w:lang w:val="en-GB"/>
        </w:rPr>
        <w:t xml:space="preserve"> (Fjerbaek et al., 2009). </w:t>
      </w:r>
      <w:r w:rsidR="00A7549F">
        <w:rPr>
          <w:lang w:val="en-GB"/>
        </w:rPr>
        <w:t>However, t</w:t>
      </w:r>
      <w:r w:rsidR="00007688">
        <w:rPr>
          <w:lang w:val="en-GB"/>
        </w:rPr>
        <w:t>he use of liquid enzymes is limited by the difficulty of recovering them from the reaction medium</w:t>
      </w:r>
      <w:r>
        <w:rPr>
          <w:lang w:val="en-GB"/>
        </w:rPr>
        <w:t>.</w:t>
      </w:r>
      <w:r w:rsidR="00215F95">
        <w:rPr>
          <w:lang w:val="en-GB"/>
        </w:rPr>
        <w:t xml:space="preserve"> </w:t>
      </w:r>
      <w:r w:rsidR="00007688">
        <w:rPr>
          <w:lang w:val="en-GB"/>
        </w:rPr>
        <w:t>Enzyme inhibition is caused by the presence of glycerol, leading to a decrease in the biodiesel yield (Nielsen et al., 2008).</w:t>
      </w:r>
      <w:r w:rsidR="00C2773A">
        <w:rPr>
          <w:lang w:val="en-GB"/>
        </w:rPr>
        <w:t xml:space="preserve"> The </w:t>
      </w:r>
      <w:r w:rsidR="00C2773A" w:rsidRPr="00C2773A">
        <w:rPr>
          <w:lang w:val="en-GB"/>
        </w:rPr>
        <w:t>reuse of liquid enzymes has been shown to</w:t>
      </w:r>
      <w:r w:rsidR="00C2773A">
        <w:rPr>
          <w:lang w:val="en-GB"/>
        </w:rPr>
        <w:t xml:space="preserve"> </w:t>
      </w:r>
      <w:r w:rsidR="00C2773A" w:rsidRPr="00C2773A">
        <w:rPr>
          <w:lang w:val="en-GB"/>
        </w:rPr>
        <w:t>result in a consistent high yield over multiple batch runs</w:t>
      </w:r>
      <w:r w:rsidR="00C2773A">
        <w:rPr>
          <w:lang w:val="en-GB"/>
        </w:rPr>
        <w:t xml:space="preserve"> </w:t>
      </w:r>
      <w:r w:rsidR="00C2773A" w:rsidRPr="00C2773A">
        <w:rPr>
          <w:lang w:val="en-GB"/>
        </w:rPr>
        <w:t>using a mixture of 50</w:t>
      </w:r>
      <w:r w:rsidR="00C2773A">
        <w:rPr>
          <w:lang w:val="en-GB"/>
        </w:rPr>
        <w:t xml:space="preserve"> </w:t>
      </w:r>
      <w:r w:rsidR="00C2773A" w:rsidRPr="00C2773A">
        <w:rPr>
          <w:lang w:val="en-GB"/>
        </w:rPr>
        <w:t>% recovered and 50</w:t>
      </w:r>
      <w:r w:rsidR="00C2773A">
        <w:rPr>
          <w:lang w:val="en-GB"/>
        </w:rPr>
        <w:t xml:space="preserve"> </w:t>
      </w:r>
      <w:r w:rsidR="00C2773A" w:rsidRPr="00C2773A">
        <w:rPr>
          <w:lang w:val="en-GB"/>
        </w:rPr>
        <w:t>% fresh enzymes</w:t>
      </w:r>
      <w:r w:rsidR="00C2773A">
        <w:rPr>
          <w:lang w:val="en-GB"/>
        </w:rPr>
        <w:t>. However, in the case of full reuse of recovered enzymes, the yield continuously decreases (Andrade et al., 2017).</w:t>
      </w:r>
      <w:r w:rsidR="00667AAB">
        <w:rPr>
          <w:lang w:val="en-GB"/>
        </w:rPr>
        <w:t xml:space="preserve"> </w:t>
      </w:r>
    </w:p>
    <w:p w14:paraId="6F3D4532" w14:textId="77777777" w:rsidR="00337C40" w:rsidRDefault="00667AAB" w:rsidP="00C2773A">
      <w:pPr>
        <w:pStyle w:val="CETBodytext"/>
        <w:rPr>
          <w:lang w:val="en-GB"/>
        </w:rPr>
      </w:pPr>
      <w:r>
        <w:rPr>
          <w:lang w:val="en-GB"/>
        </w:rPr>
        <w:t>Membrane technology emerges as an alternative to purify the liquid enzyme solutions.</w:t>
      </w:r>
      <w:r w:rsidR="00337C40">
        <w:rPr>
          <w:lang w:val="en-GB"/>
        </w:rPr>
        <w:t xml:space="preserve"> </w:t>
      </w:r>
      <w:r w:rsidR="00337C40" w:rsidRPr="00DC1A80">
        <w:t xml:space="preserve">Membrane separation for the purification and concentration of components is still considered an emerging unit operation. The </w:t>
      </w:r>
      <w:r w:rsidR="00337C40" w:rsidRPr="00DC1A80">
        <w:lastRenderedPageBreak/>
        <w:t>application of membrane technology achieves a high efficiency without addition of chemicals</w:t>
      </w:r>
      <w:r w:rsidR="007A6CD8">
        <w:t>, has a</w:t>
      </w:r>
      <w:r w:rsidR="00337C40" w:rsidRPr="00DC1A80">
        <w:t xml:space="preserve"> low energy requirement and </w:t>
      </w:r>
      <w:r w:rsidR="007A6CD8">
        <w:t xml:space="preserve">is </w:t>
      </w:r>
      <w:r w:rsidR="00337C40" w:rsidRPr="00DC1A80">
        <w:t>eas</w:t>
      </w:r>
      <w:r w:rsidR="007A6CD8">
        <w:t>y</w:t>
      </w:r>
      <w:r w:rsidR="00337C40" w:rsidRPr="00DC1A80">
        <w:t xml:space="preserve"> </w:t>
      </w:r>
      <w:r w:rsidR="007A6CD8">
        <w:t>to</w:t>
      </w:r>
      <w:r w:rsidR="00337C40" w:rsidRPr="00DC1A80">
        <w:t xml:space="preserve"> handl</w:t>
      </w:r>
      <w:r w:rsidR="007A6CD8">
        <w:t>e</w:t>
      </w:r>
      <w:r w:rsidR="00337C40" w:rsidRPr="00DC1A80">
        <w:t xml:space="preserve"> </w:t>
      </w:r>
      <w:r w:rsidR="00337C40">
        <w:t>(Padaki et al., 2015)</w:t>
      </w:r>
      <w:r w:rsidR="00337C40" w:rsidRPr="00DC1A80">
        <w:t>.</w:t>
      </w:r>
    </w:p>
    <w:p w14:paraId="1C947538" w14:textId="77777777" w:rsidR="000E5B8C" w:rsidRPr="00DC1A80" w:rsidRDefault="000E5B8C" w:rsidP="000E5B8C">
      <w:pPr>
        <w:pStyle w:val="CETBodytext"/>
      </w:pPr>
      <w:r w:rsidRPr="00DC1A80">
        <w:t xml:space="preserve">Membranes are defined as semipermeable barriers that separate two phases and restrict the transport of the substances in a specific way. This selective barrier allows the passage of certain substances in the stream called permeate, while other components of the mixture are retained in the retentate. The selectivity of the membrane is related to the membrane pore size and the dimension of the molecules of interest for separation. The membrane barrier is generally a thin, nonporous, polymeric film, but may also be porous polymer, ceramic, or metal materials </w:t>
      </w:r>
      <w:r>
        <w:t>(Coutinho et al., 2009; Seader and Henley, 2006)</w:t>
      </w:r>
      <w:r w:rsidRPr="00DC1A80">
        <w:t xml:space="preserve">. </w:t>
      </w:r>
    </w:p>
    <w:p w14:paraId="0661A81C" w14:textId="77777777" w:rsidR="000E5B8C" w:rsidRPr="00DC1A80" w:rsidRDefault="000E5B8C" w:rsidP="000E5B8C">
      <w:pPr>
        <w:pStyle w:val="CETBodytext"/>
      </w:pPr>
      <w:r w:rsidRPr="00DC1A80">
        <w:t>Membrane separation mainly includes microfiltration (MF), ultrafiltration (UF), nanofiltration (NF) and reverse osmosis (RO). The key difference between these processes is the surface pore size of the membranes and molar masses of the separated component</w:t>
      </w:r>
      <w:r w:rsidR="00A97B84">
        <w:t>s that define their application.</w:t>
      </w:r>
      <w:r w:rsidRPr="00DC1A80">
        <w:t xml:space="preserve"> UF membranes are characterized by a nominal molecular weight cut-off (MWCO), defined as the smallest globular solute molecular weight in which at least 90 % rejection is obtained by the membrane. UF membranes separate particles with molar masses between 1 and 300 kDa</w:t>
      </w:r>
      <w:r w:rsidR="00A97B84">
        <w:t>.</w:t>
      </w:r>
      <w:r w:rsidRPr="00DC1A80">
        <w:t xml:space="preserve"> </w:t>
      </w:r>
      <w:r>
        <w:t>(Alzahrani et al., 2014; Coutinho et al., 2009;</w:t>
      </w:r>
      <w:r w:rsidRPr="00532FD4">
        <w:t xml:space="preserve"> </w:t>
      </w:r>
      <w:r>
        <w:t>Padaki et al., 2015)</w:t>
      </w:r>
      <w:r w:rsidRPr="00DC1A80">
        <w:t>.</w:t>
      </w:r>
    </w:p>
    <w:p w14:paraId="6B7AE793" w14:textId="77777777" w:rsidR="000E5B8C" w:rsidRDefault="000E5B8C" w:rsidP="000E5B8C">
      <w:pPr>
        <w:pStyle w:val="CETBodytext"/>
      </w:pPr>
      <w:r w:rsidRPr="00DC1A80">
        <w:t xml:space="preserve">The use of ceramic membranes have several advantages compared to organic membranes in terms of high-temperature durability, sufficient mechanical strength, chemical inertness, organic solvent resistance, unique surface characteristics and less likelihood of bacteria contamination. </w:t>
      </w:r>
      <w:r>
        <w:t>(Cheng et al., 2009; Zsirai, et al., 2016)</w:t>
      </w:r>
      <w:r w:rsidRPr="00DC1A80">
        <w:t xml:space="preserve">. Inorganic ceramic membranes are used in MF and UF applications. These microporous membranes are typically made from aluminum, titanium or silicon oxides </w:t>
      </w:r>
      <w:r>
        <w:t>(Baker, 2012)</w:t>
      </w:r>
      <w:r w:rsidRPr="00DC1A80">
        <w:t>.</w:t>
      </w:r>
    </w:p>
    <w:p w14:paraId="6512F573" w14:textId="411448C5" w:rsidR="00BE28A4" w:rsidRPr="00DC1A80" w:rsidRDefault="00A97B84" w:rsidP="00BE28A4">
      <w:pPr>
        <w:pStyle w:val="CETBodytext"/>
      </w:pPr>
      <w:r>
        <w:t>The use of UF membrane</w:t>
      </w:r>
      <w:r w:rsidR="00724971">
        <w:t>s</w:t>
      </w:r>
      <w:r>
        <w:t xml:space="preserve"> ha</w:t>
      </w:r>
      <w:r w:rsidR="007A6CD8">
        <w:t>s</w:t>
      </w:r>
      <w:r>
        <w:t xml:space="preserve"> previously </w:t>
      </w:r>
      <w:r w:rsidR="007A6CD8">
        <w:t xml:space="preserve">been </w:t>
      </w:r>
      <w:r>
        <w:t>investigated in processes for biodiesel wastewater treatment (Delcolle et al., 2017).</w:t>
      </w:r>
      <w:r w:rsidR="00337C40">
        <w:t xml:space="preserve"> However, there is a lack of study regarding the recovery of liquid enzymes using membranes.</w:t>
      </w:r>
      <w:r w:rsidR="001626D6">
        <w:t xml:space="preserve"> </w:t>
      </w:r>
      <w:r w:rsidR="00337C40">
        <w:t>Therefore</w:t>
      </w:r>
      <w:r w:rsidR="001626D6">
        <w:t>,</w:t>
      </w:r>
      <w:r w:rsidR="00C2476E">
        <w:t xml:space="preserve"> c</w:t>
      </w:r>
      <w:r w:rsidR="00C2476E" w:rsidRPr="00DC1A80">
        <w:t xml:space="preserve">ross-flow filtration with ceramic membranes was proposed to evaluate the </w:t>
      </w:r>
      <w:r w:rsidR="00337C40">
        <w:t>enzyme</w:t>
      </w:r>
      <w:r w:rsidR="00C2476E" w:rsidRPr="00DC1A80">
        <w:t xml:space="preserve"> recovery</w:t>
      </w:r>
      <w:r w:rsidR="00C2476E">
        <w:t xml:space="preserve"> </w:t>
      </w:r>
      <w:r w:rsidR="00C2476E" w:rsidRPr="00DC1A80">
        <w:t>in order to reuse in the</w:t>
      </w:r>
      <w:r w:rsidR="00C2476E">
        <w:t xml:space="preserve"> transesterification reactions. </w:t>
      </w:r>
      <w:r w:rsidR="001626D6" w:rsidRPr="00DC1A80">
        <w:t>According to information from the manufacturer, the molecular weight for both enzymes</w:t>
      </w:r>
      <w:r w:rsidR="00C2476E">
        <w:t xml:space="preserve"> used (</w:t>
      </w:r>
      <w:r w:rsidR="00C2476E" w:rsidRPr="00DC1A80">
        <w:t>Eversa Transform and Resinase HT</w:t>
      </w:r>
      <w:r w:rsidR="00C2476E">
        <w:t>)</w:t>
      </w:r>
      <w:r w:rsidR="001626D6" w:rsidRPr="00DC1A80">
        <w:t xml:space="preserve"> is close to 32 kDa. Based on the enzymes molecular weight, ultrafiltration membranes were tested to recover the liquid enzyme</w:t>
      </w:r>
      <w:r w:rsidR="00C2476E">
        <w:t>s used for biodiesel production</w:t>
      </w:r>
      <w:r w:rsidR="001626D6">
        <w:t>.</w:t>
      </w:r>
      <w:r w:rsidR="00BE28A4">
        <w:t xml:space="preserve"> </w:t>
      </w:r>
      <w:r w:rsidR="00BE28A4" w:rsidRPr="00DC1A80">
        <w:t xml:space="preserve">The experiments intended to eliminate the inhibitors glycerol and methanol from the </w:t>
      </w:r>
      <w:r w:rsidR="00337C40">
        <w:t>enzyme</w:t>
      </w:r>
      <w:r w:rsidR="00BE28A4" w:rsidRPr="00DC1A80">
        <w:t>-rich phase in order to increase the enzyme activity during the transester</w:t>
      </w:r>
      <w:r w:rsidR="00BE28A4">
        <w:t>ification. I</w:t>
      </w:r>
      <w:r w:rsidR="00BE28A4" w:rsidRPr="00DC1A80">
        <w:t>nsoluble methanol droplets cause denaturation of the enzyme</w:t>
      </w:r>
      <w:r w:rsidR="007A6CD8">
        <w:t>,</w:t>
      </w:r>
      <w:r w:rsidR="00BE28A4" w:rsidRPr="00DC1A80">
        <w:t xml:space="preserve"> </w:t>
      </w:r>
      <w:r w:rsidR="007A6CD8">
        <w:t>while</w:t>
      </w:r>
      <w:r w:rsidR="00BE28A4" w:rsidRPr="00DC1A80">
        <w:t xml:space="preserve"> glycerol molecules form a hydrophilic environment around the </w:t>
      </w:r>
      <w:r w:rsidR="00337C40">
        <w:t>enzyme</w:t>
      </w:r>
      <w:r w:rsidR="00BE28A4" w:rsidRPr="00DC1A80">
        <w:t xml:space="preserve">, creating mass transfer limitations that prevent the hydrophobic substrate to be exposed to the enzyme </w:t>
      </w:r>
      <w:r w:rsidR="00BE28A4">
        <w:t>(Christopher et al., 2014; Guldhe, et al., 2015)</w:t>
      </w:r>
      <w:r w:rsidR="00BE28A4" w:rsidRPr="00DC1A80">
        <w:t>.</w:t>
      </w:r>
    </w:p>
    <w:p w14:paraId="235F3125" w14:textId="77777777" w:rsidR="00A97B84" w:rsidRDefault="00504178" w:rsidP="00504178">
      <w:pPr>
        <w:pStyle w:val="CETHeading1"/>
      </w:pPr>
      <w:r>
        <w:t>Materials and Methods</w:t>
      </w:r>
    </w:p>
    <w:p w14:paraId="15ED0F4B" w14:textId="77777777" w:rsidR="00504178" w:rsidRDefault="00504178" w:rsidP="00504178">
      <w:pPr>
        <w:pStyle w:val="CETheadingx"/>
      </w:pPr>
      <w:r>
        <w:t>Materials</w:t>
      </w:r>
    </w:p>
    <w:p w14:paraId="42706239" w14:textId="77777777" w:rsidR="00504178" w:rsidRDefault="00AD6075" w:rsidP="00504178">
      <w:pPr>
        <w:pStyle w:val="CETBodytext"/>
      </w:pPr>
      <w:r w:rsidRPr="00AD6075">
        <w:t xml:space="preserve">Ecological castor oil was purchased from Urtegaarden ApS (Denmark). </w:t>
      </w:r>
      <w:r>
        <w:t>Liquid enzymes Eversa Transform</w:t>
      </w:r>
      <w:r w:rsidR="00897650">
        <w:t xml:space="preserve"> (ET)</w:t>
      </w:r>
      <w:r>
        <w:t xml:space="preserve"> and Resinase HT</w:t>
      </w:r>
      <w:r w:rsidR="00897650">
        <w:t xml:space="preserve"> (RHT)</w:t>
      </w:r>
      <w:r>
        <w:t xml:space="preserve"> were kindly provided by </w:t>
      </w:r>
      <w:r w:rsidRPr="00AD6075">
        <w:t>Novozymes A/S (Denmark). Methanol, n-hexane, acetonitrile, and isopropanol of HPLC grade were purchased from Sigma-Aldrich. HPLC calibration standards including methyl esters (ric</w:t>
      </w:r>
      <w:r>
        <w:t>inoleate, linoleate and oleate)</w:t>
      </w:r>
      <w:r w:rsidRPr="00AD6075">
        <w:t xml:space="preserve"> and fatty acids (ricinoleic, linoleic and oleic acid) of a 99</w:t>
      </w:r>
      <w:r>
        <w:t xml:space="preserve"> </w:t>
      </w:r>
      <w:r w:rsidRPr="00AD6075">
        <w:t>% purity grade were also acquired from Sigma-Aldrich. Standards of tri-, di-, and monoglycerides, as well as ethyl ricinoleate were obtained by transesterification and separation on a preparative HPLC</w:t>
      </w:r>
      <w:r>
        <w:t>.</w:t>
      </w:r>
    </w:p>
    <w:p w14:paraId="6C750477" w14:textId="77777777" w:rsidR="00AD6075" w:rsidRDefault="00AD6075" w:rsidP="00504178">
      <w:pPr>
        <w:pStyle w:val="CETBodytext"/>
      </w:pPr>
      <w:r w:rsidRPr="00DC1A80">
        <w:t>The ceramic membranes used were UF 15 kDa (Batch no.: 267452) and UF 25 kDa (Batch no.: 267450) from Atech Innovations GmbH. These membranes were tubular made of TiO</w:t>
      </w:r>
      <w:r w:rsidRPr="000B0B62">
        <w:rPr>
          <w:vertAlign w:val="subscript"/>
        </w:rPr>
        <w:t>2</w:t>
      </w:r>
      <w:r w:rsidRPr="00DC1A80">
        <w:t>, ZrO</w:t>
      </w:r>
      <w:r w:rsidRPr="000B0B62">
        <w:rPr>
          <w:vertAlign w:val="subscript"/>
        </w:rPr>
        <w:t>2</w:t>
      </w:r>
      <w:r w:rsidRPr="00DC1A80">
        <w:t xml:space="preserve"> and Al</w:t>
      </w:r>
      <w:r w:rsidRPr="000B0B62">
        <w:rPr>
          <w:vertAlign w:val="subscript"/>
        </w:rPr>
        <w:t>2</w:t>
      </w:r>
      <w:r w:rsidRPr="00DC1A80">
        <w:t>O</w:t>
      </w:r>
      <w:r w:rsidRPr="000B0B62">
        <w:rPr>
          <w:vertAlign w:val="subscript"/>
        </w:rPr>
        <w:t>3</w:t>
      </w:r>
      <w:r w:rsidRPr="00DC1A80">
        <w:t>. The membrane’s length and thickness were 8 cm and 2 mm, respectively, with an approximate filter surface per element of 15 cm</w:t>
      </w:r>
      <w:r w:rsidRPr="000B0B62">
        <w:rPr>
          <w:vertAlign w:val="superscript"/>
        </w:rPr>
        <w:t>2</w:t>
      </w:r>
      <w:r w:rsidRPr="00DC1A80">
        <w:t>.</w:t>
      </w:r>
    </w:p>
    <w:p w14:paraId="60392850" w14:textId="77777777" w:rsidR="00AD6075" w:rsidRDefault="00AD6075" w:rsidP="00AD6075">
      <w:pPr>
        <w:pStyle w:val="CETheadingx"/>
      </w:pPr>
      <w:r>
        <w:t>Experimental Procedure</w:t>
      </w:r>
    </w:p>
    <w:p w14:paraId="0BCC723D" w14:textId="77777777" w:rsidR="00BE28A4" w:rsidRDefault="00AD6075" w:rsidP="00AD6075">
      <w:pPr>
        <w:pStyle w:val="CETBodytext"/>
      </w:pPr>
      <w:r w:rsidRPr="00DC1A80">
        <w:t xml:space="preserve">Reactions were carried out at 35 °C with 6:1 methanol-to-oil molar ratio, 5 wt% </w:t>
      </w:r>
      <w:r w:rsidR="00337C40">
        <w:t>enzyme</w:t>
      </w:r>
      <w:r w:rsidRPr="00DC1A80">
        <w:t xml:space="preserve"> and 5 wt% water by weight of oil</w:t>
      </w:r>
      <w:r w:rsidR="003A7AA1">
        <w:t xml:space="preserve"> </w:t>
      </w:r>
      <w:r w:rsidR="003A7AA1" w:rsidRPr="00E828A5">
        <w:t>in a 100 mL round-bottom flask equipped with a water-cooled condenser</w:t>
      </w:r>
      <w:r w:rsidR="003A7AA1">
        <w:t xml:space="preserve"> system</w:t>
      </w:r>
      <w:r w:rsidR="003A7AA1" w:rsidRPr="00E828A5">
        <w:t xml:space="preserve">. </w:t>
      </w:r>
      <w:r w:rsidR="003A7AA1">
        <w:t>The reactor</w:t>
      </w:r>
      <w:r w:rsidR="003A7AA1" w:rsidRPr="00E828A5">
        <w:t xml:space="preserve"> was immersed in a thermostat oil bath e</w:t>
      </w:r>
      <w:r w:rsidR="003A7AA1">
        <w:t>quipped with a magnetic stirrer</w:t>
      </w:r>
      <w:r w:rsidRPr="00DC1A80">
        <w:t>. The reactions were performed for 8 hours at 750 rpm.</w:t>
      </w:r>
      <w:r w:rsidR="003A7AA1">
        <w:t xml:space="preserve"> Methanol </w:t>
      </w:r>
      <w:r w:rsidR="003A7AA1" w:rsidRPr="00E828A5">
        <w:t xml:space="preserve">was added to the system in four </w:t>
      </w:r>
      <w:r w:rsidR="003A7AA1" w:rsidRPr="004C0893">
        <w:t xml:space="preserve">stepwise additions at two-hour intervals, in order to minimize alcoholic enzyme inhibition. </w:t>
      </w:r>
    </w:p>
    <w:p w14:paraId="3D473439" w14:textId="77777777" w:rsidR="00AD6075" w:rsidRDefault="00AD6075" w:rsidP="00AD6075">
      <w:pPr>
        <w:pStyle w:val="CETBodytext"/>
      </w:pPr>
      <w:r w:rsidRPr="00DC1A80">
        <w:t>After the reactions, the reaction mixture was centrifuged</w:t>
      </w:r>
      <w:r w:rsidR="003A7AA1">
        <w:t xml:space="preserve"> in a Thermo Scientific Sorvall ST 16R Centrifuge</w:t>
      </w:r>
      <w:r w:rsidRPr="00DC1A80">
        <w:t xml:space="preserve"> at 4</w:t>
      </w:r>
      <w:r>
        <w:t>,</w:t>
      </w:r>
      <w:r w:rsidRPr="00DC1A80">
        <w:t xml:space="preserve">000 rpm for 30 min and the </w:t>
      </w:r>
      <w:r w:rsidR="00AC6A07">
        <w:t>enzym</w:t>
      </w:r>
      <w:r w:rsidRPr="00DC1A80">
        <w:t>e-rich phase was collected. The centrifugation step was necessary since the castor oil and esters of castor oil in the membrane setup would increase the viscosity of the feed fluid, decreasing the permeate flux</w:t>
      </w:r>
      <w:r w:rsidR="003A7AA1">
        <w:t>.</w:t>
      </w:r>
    </w:p>
    <w:p w14:paraId="6FAB5309" w14:textId="77777777" w:rsidR="002E60F2" w:rsidRDefault="00BE28A4" w:rsidP="002E60F2">
      <w:pPr>
        <w:pStyle w:val="CETBodytext"/>
      </w:pPr>
      <w:r w:rsidRPr="00DC1A80">
        <w:t>Ultrafiltration was carried out in a MiniMem Membrane Separation Lab</w:t>
      </w:r>
      <w:r w:rsidR="002E60F2">
        <w:t xml:space="preserve"> Unit (PS Prozesstechnik GmbH). </w:t>
      </w:r>
      <w:r w:rsidR="002E60F2" w:rsidRPr="00DC1A80">
        <w:t>Diafiltration in batch mode using the Control Unit for Automatic Diafiltration and Continuous Operation (PS Prozesstechnik GmbH) was coupled to the membrane separation system</w:t>
      </w:r>
      <w:r w:rsidR="002E60F2">
        <w:t xml:space="preserve">, </w:t>
      </w:r>
      <w:r w:rsidR="002E60F2" w:rsidRPr="00DC1A80">
        <w:t xml:space="preserve">using ceramic membranes with MWCO of 15 and 25 kDa. Figure </w:t>
      </w:r>
      <w:r w:rsidR="002E60F2">
        <w:t>1</w:t>
      </w:r>
      <w:r w:rsidR="002E60F2" w:rsidRPr="00DC1A80">
        <w:t xml:space="preserve"> shows the set-up used for the separation. The feed tank contained the </w:t>
      </w:r>
      <w:r w:rsidR="00AC6A07">
        <w:lastRenderedPageBreak/>
        <w:t>enzym</w:t>
      </w:r>
      <w:r w:rsidR="002E60F2" w:rsidRPr="00DC1A80">
        <w:t xml:space="preserve">e-rich phase obtained from the centrifugation after the transesterification. Feed was continuously mixed with a magnetic stirrer at 200 rpm. Water was used as the diafiltration liquid and added into the feed tank </w:t>
      </w:r>
      <w:r w:rsidR="007A6CD8">
        <w:t>using</w:t>
      </w:r>
      <w:r w:rsidR="002E60F2" w:rsidRPr="00DC1A80">
        <w:t xml:space="preserve"> a diaphragm pump. </w:t>
      </w:r>
      <w:r w:rsidR="007A6CD8">
        <w:t>The w</w:t>
      </w:r>
      <w:r w:rsidR="002E60F2" w:rsidRPr="00DC1A80">
        <w:t xml:space="preserve">ater flowrate was </w:t>
      </w:r>
      <w:r w:rsidR="007A6CD8">
        <w:t>controlled by</w:t>
      </w:r>
      <w:r w:rsidR="002E60F2" w:rsidRPr="00DC1A80">
        <w:t xml:space="preserve"> </w:t>
      </w:r>
      <w:r w:rsidR="00987C9A">
        <w:t>a</w:t>
      </w:r>
      <w:r w:rsidR="002E60F2" w:rsidRPr="00DC1A80">
        <w:t xml:space="preserve"> level sensor </w:t>
      </w:r>
      <w:r w:rsidR="007A6CD8">
        <w:t xml:space="preserve">that </w:t>
      </w:r>
      <w:r w:rsidR="002E60F2" w:rsidRPr="00DC1A80">
        <w:t xml:space="preserve">ensured </w:t>
      </w:r>
      <w:r w:rsidR="007A6CD8">
        <w:t>a constant</w:t>
      </w:r>
      <w:r w:rsidR="002E60F2" w:rsidRPr="00DC1A80">
        <w:t xml:space="preserve"> </w:t>
      </w:r>
      <w:r w:rsidR="007A6CD8">
        <w:t>volume of 40 m</w:t>
      </w:r>
      <w:r w:rsidR="00987C9A">
        <w:t>L</w:t>
      </w:r>
      <w:r w:rsidR="007A6CD8">
        <w:t xml:space="preserve"> in</w:t>
      </w:r>
      <w:r w:rsidR="007A6CD8" w:rsidRPr="00DC1A80">
        <w:t xml:space="preserve"> </w:t>
      </w:r>
      <w:r w:rsidR="002E60F2" w:rsidRPr="00DC1A80">
        <w:t xml:space="preserve">the </w:t>
      </w:r>
      <w:r w:rsidR="007A6CD8">
        <w:t xml:space="preserve">feed </w:t>
      </w:r>
      <w:r w:rsidR="002E60F2" w:rsidRPr="00DC1A80">
        <w:t xml:space="preserve">tank. An HPLC pump was used to pump the feed to the tubular ceramic membrane module. </w:t>
      </w:r>
      <w:r w:rsidR="007A6CD8">
        <w:t>The f</w:t>
      </w:r>
      <w:r w:rsidR="002E60F2" w:rsidRPr="00DC1A80">
        <w:t>eed flow rate was kept constant in 10 mL min</w:t>
      </w:r>
      <w:r w:rsidR="002E60F2" w:rsidRPr="00164D34">
        <w:rPr>
          <w:vertAlign w:val="superscript"/>
        </w:rPr>
        <w:t>-1</w:t>
      </w:r>
      <w:r w:rsidR="002E60F2" w:rsidRPr="00DC1A80">
        <w:t>. A venting valve was coupled to the system to prevent the HPLC valve from overpressure</w:t>
      </w:r>
      <w:r w:rsidR="002E60F2">
        <w:t xml:space="preserve"> (Roda-Serrat et al., 2015)</w:t>
      </w:r>
      <w:r w:rsidR="002E60F2" w:rsidRPr="00DC1A80">
        <w:t>. A spring valve was used to regulate the pressure in the membrane module. The retentate was recycled back to the feed tank through the spring valve, while the permeate was collected in the permeate tank, with continuous monitoring of the permeate flux. Filtration occurred at room temperature (24 °C).</w:t>
      </w:r>
      <w:r w:rsidR="002E60F2">
        <w:t xml:space="preserve"> </w:t>
      </w:r>
      <w:r w:rsidR="002E60F2" w:rsidRPr="00DC1A80">
        <w:t>The transmembrane pressure was kept at 10 bar in order to avoid adsorption of the solute in the pores</w:t>
      </w:r>
      <w:r w:rsidR="00AC6A07">
        <w:t xml:space="preserve"> </w:t>
      </w:r>
      <w:r w:rsidR="007A6CD8">
        <w:t xml:space="preserve">which would </w:t>
      </w:r>
      <w:r w:rsidR="002E60F2" w:rsidRPr="00DC1A80">
        <w:t>lead to membrane fouling</w:t>
      </w:r>
      <w:r w:rsidR="001E4714">
        <w:t xml:space="preserve"> and cause a very low permeate flux</w:t>
      </w:r>
      <w:r w:rsidR="002E60F2" w:rsidRPr="00DC1A80">
        <w:t>.</w:t>
      </w:r>
    </w:p>
    <w:p w14:paraId="1A9D626E" w14:textId="77777777" w:rsidR="003F0F2D" w:rsidRPr="00DC1A80" w:rsidRDefault="003F0F2D" w:rsidP="002E60F2">
      <w:pPr>
        <w:pStyle w:val="CETBodytext"/>
      </w:pPr>
    </w:p>
    <w:p w14:paraId="22D5C7A4" w14:textId="77777777" w:rsidR="00BE28A4" w:rsidRDefault="002E60F2" w:rsidP="00BE28A4">
      <w:pPr>
        <w:pStyle w:val="CETBodytext"/>
      </w:pPr>
      <w:r w:rsidRPr="00DC1A80">
        <w:object w:dxaOrig="20970" w:dyaOrig="15360" w14:anchorId="4D5A3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4pt;height:282.45pt" o:ole="">
            <v:imagedata r:id="rId10" o:title="" cropbottom="1935f"/>
          </v:shape>
          <o:OLEObject Type="Embed" ProgID="Visio.Drawing.15" ShapeID="_x0000_i1025" DrawAspect="Content" ObjectID="_1616235729" r:id="rId11"/>
        </w:object>
      </w:r>
    </w:p>
    <w:p w14:paraId="7E58A276" w14:textId="77777777" w:rsidR="002E60F2" w:rsidRPr="002E60F2" w:rsidRDefault="002E60F2" w:rsidP="002E60F2">
      <w:pPr>
        <w:pStyle w:val="CETCaption"/>
      </w:pPr>
      <w:bookmarkStart w:id="0" w:name="_Toc520185363"/>
      <w:r w:rsidRPr="002E60F2">
        <w:t xml:space="preserve">Figure </w:t>
      </w:r>
      <w:r>
        <w:t>1</w:t>
      </w:r>
      <w:r w:rsidRPr="002E60F2">
        <w:t>: Process set-up for the purification of liquid enzymes by diafiltration and ultrafiltration.</w:t>
      </w:r>
      <w:bookmarkEnd w:id="0"/>
    </w:p>
    <w:p w14:paraId="295D7870" w14:textId="77777777" w:rsidR="002E60F2" w:rsidRDefault="002E60F2" w:rsidP="00BE28A4">
      <w:pPr>
        <w:pStyle w:val="CETBodytext"/>
      </w:pPr>
      <w:r w:rsidRPr="00DC1A80">
        <w:t xml:space="preserve">Glycerol and methanol concentrations were determined each hour by </w:t>
      </w:r>
      <w:r w:rsidR="001E4714">
        <w:t xml:space="preserve">an </w:t>
      </w:r>
      <w:r w:rsidR="001E4714" w:rsidRPr="002E60F2">
        <w:t>Agilent 1100 Series</w:t>
      </w:r>
      <w:r w:rsidR="001E4714" w:rsidRPr="00DC1A80">
        <w:t xml:space="preserve"> </w:t>
      </w:r>
      <w:r w:rsidRPr="00DC1A80">
        <w:t xml:space="preserve">HPLC </w:t>
      </w:r>
      <w:r w:rsidRPr="002E60F2">
        <w:t>equipped with a Phenomenex Rezex RHM-Monosaccharide H+, 300 x 7.8 mm column</w:t>
      </w:r>
      <w:r w:rsidR="001E4714">
        <w:t xml:space="preserve"> and </w:t>
      </w:r>
      <w:r w:rsidR="001E4714" w:rsidRPr="00DC1A80">
        <w:t>a Refractive Index Detector</w:t>
      </w:r>
      <w:r w:rsidR="001E4714">
        <w:t xml:space="preserve"> (RID)</w:t>
      </w:r>
      <w:r w:rsidRPr="002E60F2">
        <w:t>. Water was used both as solvent and mobile phase with a flow rate of 0.6 mL/min. The runtime for the analysis was 25 min, with temperatures of 80 and 40 °C for the column and RID, respectively</w:t>
      </w:r>
      <w:r>
        <w:t>.</w:t>
      </w:r>
    </w:p>
    <w:p w14:paraId="01E22600" w14:textId="77777777" w:rsidR="002E60F2" w:rsidRPr="00DC1A80" w:rsidRDefault="002E60F2" w:rsidP="00BE28A4">
      <w:pPr>
        <w:pStyle w:val="CETBodytext"/>
      </w:pPr>
      <w:r w:rsidRPr="00DC1A80">
        <w:t>After glycerol and methanol had been removed, the process was operated as an ordinary ultrafiltration in order to concentrate the feed mixture. The feed weight was reduced to 30 % of its initial weight by UF in the Eversa Transform solution and to 45 % in the Resinase HT solution. The</w:t>
      </w:r>
      <w:r w:rsidR="00B573CB">
        <w:t xml:space="preserve"> water</w:t>
      </w:r>
      <w:r w:rsidRPr="00DC1A80">
        <w:t xml:space="preserve"> mass </w:t>
      </w:r>
      <w:r w:rsidR="00B573CB">
        <w:t>separat</w:t>
      </w:r>
      <w:r w:rsidRPr="00DC1A80">
        <w:t xml:space="preserve">ed in each permeate corresponded to the approximate </w:t>
      </w:r>
      <w:r w:rsidR="00B573CB">
        <w:t>amount</w:t>
      </w:r>
      <w:r w:rsidRPr="00DC1A80">
        <w:t xml:space="preserve"> of glycerol and methanol in the </w:t>
      </w:r>
      <w:r w:rsidR="00337C40">
        <w:t>enzyme</w:t>
      </w:r>
      <w:r w:rsidRPr="00DC1A80">
        <w:t xml:space="preserve">-rich phases </w:t>
      </w:r>
      <w:r w:rsidR="00B573CB">
        <w:t>before</w:t>
      </w:r>
      <w:r w:rsidRPr="00DC1A80">
        <w:t xml:space="preserve"> the</w:t>
      </w:r>
      <w:r w:rsidR="00B573CB">
        <w:t xml:space="preserve"> diafiltration</w:t>
      </w:r>
      <w:r w:rsidR="001E4714">
        <w:t xml:space="preserve"> step</w:t>
      </w:r>
      <w:r w:rsidRPr="00DC1A80">
        <w:t>.</w:t>
      </w:r>
      <w:r w:rsidR="00390BFA">
        <w:t xml:space="preserve"> </w:t>
      </w:r>
      <w:r w:rsidRPr="00DC1A80">
        <w:t xml:space="preserve">After each filtration, the set-up was cleaned with deionized water for 10 min, followed by a 20 min flush with </w:t>
      </w:r>
      <w:r w:rsidR="001E4714">
        <w:t xml:space="preserve">a </w:t>
      </w:r>
      <w:r w:rsidRPr="00DC1A80">
        <w:t>cleaning solution of 0.01 %</w:t>
      </w:r>
      <w:r w:rsidR="001E4714" w:rsidRPr="001E4714">
        <w:t xml:space="preserve"> </w:t>
      </w:r>
      <w:r w:rsidR="001E4714" w:rsidRPr="00DC1A80">
        <w:t>NaOH</w:t>
      </w:r>
      <w:r w:rsidRPr="00DC1A80">
        <w:t xml:space="preserve"> and finally rinsed for 10 min with deionized water to adjust the membrane pH back to neutral.</w:t>
      </w:r>
    </w:p>
    <w:p w14:paraId="5BD88226" w14:textId="77777777" w:rsidR="002E60F2" w:rsidRPr="00DC1A80" w:rsidRDefault="002E60F2" w:rsidP="002E60F2">
      <w:pPr>
        <w:pStyle w:val="CETBodytext"/>
      </w:pPr>
      <w:r w:rsidRPr="00DC1A80">
        <w:t xml:space="preserve">Reuse of </w:t>
      </w:r>
      <w:r>
        <w:t>the enzymes</w:t>
      </w:r>
      <w:r w:rsidRPr="00DC1A80">
        <w:t xml:space="preserve"> was tested according to the procedure shown in Figure </w:t>
      </w:r>
      <w:r>
        <w:t>2</w:t>
      </w:r>
      <w:r w:rsidRPr="00DC1A80">
        <w:t xml:space="preserve">. Transesterification reactions were carried out under the same reaction conditions used when fresh enzymes catalyzed the reaction (A). Enzyme solutions reused in the following reactions were </w:t>
      </w:r>
      <w:r w:rsidR="001E4714">
        <w:t>recovered</w:t>
      </w:r>
      <w:r w:rsidRPr="00DC1A80">
        <w:t xml:space="preserve"> </w:t>
      </w:r>
      <w:r w:rsidR="001E4714">
        <w:t>according to</w:t>
      </w:r>
      <w:r w:rsidRPr="00DC1A80">
        <w:t xml:space="preserve"> three different separation processes. First, </w:t>
      </w:r>
      <w:r w:rsidR="00337C40">
        <w:t>enzyme</w:t>
      </w:r>
      <w:r w:rsidRPr="00DC1A80">
        <w:t xml:space="preserve">s recovered from the centrifugation were directly reused in the transesterification (B). Secondly, the </w:t>
      </w:r>
      <w:r w:rsidR="00337C40">
        <w:t>enzyme</w:t>
      </w:r>
      <w:r w:rsidRPr="00DC1A80">
        <w:t xml:space="preserve">-rich phase obtained from the centrifugation was purified by means of diafiltration. The </w:t>
      </w:r>
      <w:r w:rsidR="00337C40">
        <w:t>enzyme</w:t>
      </w:r>
      <w:r w:rsidRPr="00DC1A80">
        <w:t xml:space="preserve"> solution free of methanol and glycerol obtained in the feed tank immediately after the diafiltration was reused as the reaction catalyst (C). Finally, </w:t>
      </w:r>
      <w:r w:rsidR="00337C40">
        <w:t>enzyme</w:t>
      </w:r>
      <w:r w:rsidRPr="00DC1A80">
        <w:t xml:space="preserve"> solution obtained from the diafiltration was concentrated in the membrane set-up with water removal prior to its reuse in the reaction (D).</w:t>
      </w:r>
    </w:p>
    <w:p w14:paraId="1C05D5D5" w14:textId="77777777" w:rsidR="002E60F2" w:rsidRPr="00DC1A80" w:rsidRDefault="003F0F2D" w:rsidP="002E60F2">
      <w:pPr>
        <w:spacing w:line="276" w:lineRule="auto"/>
        <w:jc w:val="left"/>
        <w:rPr>
          <w:sz w:val="6"/>
          <w:lang w:val="en-US"/>
        </w:rPr>
      </w:pPr>
      <w:r w:rsidRPr="00DC1A80">
        <w:rPr>
          <w:lang w:val="en-US"/>
        </w:rPr>
        <w:object w:dxaOrig="15481" w:dyaOrig="1875" w14:anchorId="186FCF45">
          <v:shape id="_x0000_i1026" type="#_x0000_t75" style="width:455.75pt;height:55.4pt" o:ole="">
            <v:imagedata r:id="rId12" o:title=""/>
          </v:shape>
          <o:OLEObject Type="Embed" ProgID="Visio.Drawing.15" ShapeID="_x0000_i1026" DrawAspect="Content" ObjectID="_1616235730" r:id="rId13"/>
        </w:object>
      </w:r>
    </w:p>
    <w:p w14:paraId="26E917AF" w14:textId="77777777" w:rsidR="002E60F2" w:rsidRPr="002E60F2" w:rsidRDefault="002E60F2" w:rsidP="002E60F2">
      <w:pPr>
        <w:pStyle w:val="CETCaption"/>
      </w:pPr>
      <w:bookmarkStart w:id="1" w:name="_Toc520185367"/>
      <w:r w:rsidRPr="002E60F2">
        <w:t xml:space="preserve">Figure 2: </w:t>
      </w:r>
      <w:r w:rsidR="00337C40">
        <w:t>Enzyme</w:t>
      </w:r>
      <w:r w:rsidRPr="002E60F2">
        <w:t>s conditions and process separation used for the enzyme recovery for reuse.</w:t>
      </w:r>
      <w:bookmarkEnd w:id="1"/>
    </w:p>
    <w:p w14:paraId="573E5D1B" w14:textId="77777777" w:rsidR="00AD6075" w:rsidRPr="00504178" w:rsidRDefault="0064381F" w:rsidP="0064381F">
      <w:pPr>
        <w:pStyle w:val="CETHeading1"/>
      </w:pPr>
      <w:r>
        <w:t>Results and Discussion</w:t>
      </w:r>
    </w:p>
    <w:p w14:paraId="0E86A80F" w14:textId="39087108" w:rsidR="00E33456" w:rsidRDefault="00115E51" w:rsidP="00115E51">
      <w:pPr>
        <w:pStyle w:val="CETBodytext"/>
        <w:tabs>
          <w:tab w:val="clear" w:pos="7100"/>
          <w:tab w:val="left" w:pos="1551"/>
        </w:tabs>
      </w:pPr>
      <w:r w:rsidRPr="00DC1A80">
        <w:t xml:space="preserve">Figures 3 and </w:t>
      </w:r>
      <w:r>
        <w:t>4</w:t>
      </w:r>
      <w:r w:rsidRPr="00DC1A80">
        <w:t xml:space="preserve"> show the amount of glycerol and methanol present in the feed for the diafiltration of Eversa Transform and Resinase HT, respectively. After the centrifugation, the </w:t>
      </w:r>
      <w:r w:rsidR="00E33456">
        <w:t>ET</w:t>
      </w:r>
      <w:r w:rsidRPr="00DC1A80">
        <w:t>-rich phase contained around 52 wt% glycerol and 21 wt% methanol, while the RHT-rich phase contained 29 wt% glycerol and 25 wt% methanol. For the purification of Eversa Transform, at least 9-hour diafiltration w</w:t>
      </w:r>
      <w:r w:rsidR="00894757">
        <w:t>as</w:t>
      </w:r>
      <w:r w:rsidRPr="00DC1A80">
        <w:t xml:space="preserve"> necessary to guarantee high glycerol and methanol removal. </w:t>
      </w:r>
      <w:r>
        <w:t>Conversely</w:t>
      </w:r>
      <w:r w:rsidRPr="00DC1A80">
        <w:t xml:space="preserve">, 4-hour </w:t>
      </w:r>
      <w:r w:rsidR="001E4714">
        <w:t xml:space="preserve">of </w:t>
      </w:r>
      <w:r w:rsidRPr="00DC1A80">
        <w:t>diafiltration w</w:t>
      </w:r>
      <w:r w:rsidR="00894757">
        <w:t>as</w:t>
      </w:r>
      <w:r w:rsidRPr="00DC1A80">
        <w:t xml:space="preserve"> enough to reduce the amount of glycerol and methanol </w:t>
      </w:r>
      <w:r w:rsidR="001E4714">
        <w:t>to</w:t>
      </w:r>
      <w:r w:rsidRPr="00DC1A80">
        <w:t xml:space="preserve"> less than 1 wt% from the </w:t>
      </w:r>
      <w:r w:rsidR="00337C40">
        <w:t>enzyme</w:t>
      </w:r>
      <w:r w:rsidRPr="00DC1A80">
        <w:t xml:space="preserve">-phase </w:t>
      </w:r>
      <w:r w:rsidR="001E4714">
        <w:t>in</w:t>
      </w:r>
      <w:r w:rsidRPr="00DC1A80">
        <w:t xml:space="preserve"> the purifica</w:t>
      </w:r>
      <w:r>
        <w:t>tion of Resinase HT</w:t>
      </w:r>
      <w:r w:rsidRPr="00DC1A80">
        <w:t>.</w:t>
      </w:r>
    </w:p>
    <w:p w14:paraId="5EE9F35B" w14:textId="77777777" w:rsidR="00115E51" w:rsidRPr="00E33456" w:rsidRDefault="000E5B8C" w:rsidP="00115E51">
      <w:pPr>
        <w:pStyle w:val="CETBodytext"/>
        <w:tabs>
          <w:tab w:val="clear" w:pos="7100"/>
          <w:tab w:val="left" w:pos="1551"/>
        </w:tabs>
      </w:pPr>
      <w:r>
        <w:rPr>
          <w:lang w:val="en-GB"/>
        </w:rPr>
        <w:tab/>
      </w:r>
      <w:r w:rsidR="00115E51" w:rsidRPr="00DC1A80">
        <w:rPr>
          <w:noProof/>
          <w:lang w:val="da-DK" w:eastAsia="da-DK"/>
        </w:rPr>
        <w:drawing>
          <wp:inline distT="0" distB="0" distL="0" distR="0" wp14:anchorId="146F54EC" wp14:editId="02527402">
            <wp:extent cx="5550195" cy="2431415"/>
            <wp:effectExtent l="0" t="0" r="0" b="6985"/>
            <wp:docPr id="279" name="Chart 2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29D4D5" w14:textId="77777777" w:rsidR="00115E51" w:rsidRPr="00DC1A80" w:rsidRDefault="00115E51" w:rsidP="00115E51">
      <w:pPr>
        <w:pStyle w:val="CETCaption"/>
        <w:rPr>
          <w:lang w:val="en-US"/>
        </w:rPr>
      </w:pPr>
      <w:bookmarkStart w:id="2" w:name="_Toc520185364"/>
      <w:r w:rsidRPr="00115E51">
        <w:t xml:space="preserve">Figure </w:t>
      </w:r>
      <w:r>
        <w:t>3</w:t>
      </w:r>
      <w:r w:rsidRPr="00115E51">
        <w:t>: Glycerol and methanol amounts in the Eversa Transform-rich phase for the diafiltration.</w:t>
      </w:r>
      <w:bookmarkEnd w:id="2"/>
    </w:p>
    <w:p w14:paraId="6FD6C2FF" w14:textId="77777777" w:rsidR="00115E51" w:rsidRPr="00DC1A80" w:rsidRDefault="00115E51" w:rsidP="00115E51">
      <w:pPr>
        <w:jc w:val="center"/>
        <w:rPr>
          <w:rFonts w:ascii="Cambria" w:hAnsi="Cambria"/>
          <w:lang w:val="en-US"/>
        </w:rPr>
      </w:pPr>
      <w:r w:rsidRPr="00DC1A80">
        <w:rPr>
          <w:noProof/>
          <w:lang w:val="da-DK" w:eastAsia="da-DK"/>
        </w:rPr>
        <w:drawing>
          <wp:inline distT="0" distB="0" distL="0" distR="0" wp14:anchorId="09218BE7" wp14:editId="204B42E8">
            <wp:extent cx="5133975" cy="2069960"/>
            <wp:effectExtent l="0" t="0" r="0" b="6985"/>
            <wp:docPr id="280" name="Chart 2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03A5C1" w14:textId="77777777" w:rsidR="00115E51" w:rsidRPr="00DC1A80" w:rsidRDefault="00115E51" w:rsidP="00115E51">
      <w:pPr>
        <w:pStyle w:val="CETCaption"/>
        <w:rPr>
          <w:lang w:val="en-US"/>
        </w:rPr>
      </w:pPr>
      <w:bookmarkStart w:id="3" w:name="_Toc520185365"/>
      <w:r w:rsidRPr="00115E51">
        <w:t xml:space="preserve">Figure </w:t>
      </w:r>
      <w:r>
        <w:t>4</w:t>
      </w:r>
      <w:r w:rsidRPr="00115E51">
        <w:t>: Glycerol and methanol amounts in the Resinase HT-rich phase for the diafiltration.</w:t>
      </w:r>
      <w:bookmarkEnd w:id="3"/>
    </w:p>
    <w:p w14:paraId="2FFA8CFE" w14:textId="13E510AF" w:rsidR="003B2597" w:rsidRDefault="001E4714" w:rsidP="00600535">
      <w:pPr>
        <w:pStyle w:val="CETBodytext"/>
      </w:pPr>
      <w:r>
        <w:t>The v</w:t>
      </w:r>
      <w:r w:rsidR="00BE043F" w:rsidRPr="00DC1A80">
        <w:t xml:space="preserve">ariation </w:t>
      </w:r>
      <w:r>
        <w:t>in</w:t>
      </w:r>
      <w:r w:rsidR="00BE043F" w:rsidRPr="00DC1A80">
        <w:t xml:space="preserve"> the permeate flow of each diafiltration is shown in Figure 5. Dilution </w:t>
      </w:r>
      <w:r>
        <w:t>with a</w:t>
      </w:r>
      <w:r w:rsidR="00BE043F" w:rsidRPr="00DC1A80">
        <w:t xml:space="preserve"> nearly constant flux was obtained for the diafiltration of the solutions containing </w:t>
      </w:r>
      <w:r w:rsidR="003F0F2D">
        <w:t>ET</w:t>
      </w:r>
      <w:r w:rsidR="00BE043F" w:rsidRPr="00DC1A80">
        <w:t xml:space="preserve"> </w:t>
      </w:r>
      <w:r w:rsidR="00337C40">
        <w:t>enzyme</w:t>
      </w:r>
      <w:r w:rsidR="00BE043F" w:rsidRPr="00DC1A80">
        <w:t xml:space="preserve">. </w:t>
      </w:r>
      <w:r w:rsidR="00894757">
        <w:t>For</w:t>
      </w:r>
      <w:r w:rsidR="00BE043F" w:rsidRPr="00DC1A80">
        <w:t xml:space="preserve"> </w:t>
      </w:r>
      <w:r w:rsidR="00894757">
        <w:t xml:space="preserve">the </w:t>
      </w:r>
      <w:r w:rsidR="00BE043F" w:rsidRPr="00DC1A80">
        <w:t>solutions with RHT, the permeate flux increased after one hour of filtration. This increase was probably due to the high viscosity of the feed at initial conditions. After this period, the permeate flux remained approximately constant.</w:t>
      </w:r>
    </w:p>
    <w:p w14:paraId="39FFC8BC" w14:textId="77777777" w:rsidR="00BE043F" w:rsidRPr="00DC1A80" w:rsidRDefault="00BE043F" w:rsidP="00BE043F">
      <w:pPr>
        <w:jc w:val="center"/>
        <w:rPr>
          <w:rFonts w:ascii="Cambria" w:hAnsi="Cambria"/>
          <w:sz w:val="24"/>
          <w:lang w:val="en-US"/>
        </w:rPr>
      </w:pPr>
      <w:bookmarkStart w:id="4" w:name="_GoBack"/>
      <w:r w:rsidRPr="00DC1A80">
        <w:rPr>
          <w:noProof/>
          <w:lang w:val="da-DK" w:eastAsia="da-DK"/>
        </w:rPr>
        <w:lastRenderedPageBreak/>
        <w:drawing>
          <wp:inline distT="0" distB="0" distL="0" distR="0" wp14:anchorId="23CEF54F" wp14:editId="55A58D7F">
            <wp:extent cx="5191125" cy="2491991"/>
            <wp:effectExtent l="0" t="0" r="0" b="3810"/>
            <wp:docPr id="265" name="Chart 2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4"/>
    </w:p>
    <w:p w14:paraId="24C4B3AF" w14:textId="77777777" w:rsidR="00BE043F" w:rsidRPr="00DC1A80" w:rsidRDefault="00BE043F" w:rsidP="00BE043F">
      <w:pPr>
        <w:pStyle w:val="CETCaption"/>
        <w:rPr>
          <w:rFonts w:ascii="Cambria" w:hAnsi="Cambria"/>
          <w:i w:val="0"/>
          <w:sz w:val="22"/>
          <w:szCs w:val="22"/>
          <w:lang w:val="en-US"/>
        </w:rPr>
      </w:pPr>
      <w:bookmarkStart w:id="5" w:name="_Toc520185366"/>
      <w:r w:rsidRPr="00BE043F">
        <w:t xml:space="preserve">Figure </w:t>
      </w:r>
      <w:r>
        <w:t>5</w:t>
      </w:r>
      <w:r w:rsidRPr="00BE043F">
        <w:t>: Permeate flow for diafiltration with ceramic membrane of different MWCO</w:t>
      </w:r>
      <w:r w:rsidRPr="00DC1A80">
        <w:rPr>
          <w:lang w:val="en-US"/>
        </w:rPr>
        <w:t>.</w:t>
      </w:r>
      <w:bookmarkEnd w:id="5"/>
    </w:p>
    <w:p w14:paraId="292DFCD1" w14:textId="77777777" w:rsidR="00897650" w:rsidRPr="00DC1A80" w:rsidRDefault="00897650" w:rsidP="00897650">
      <w:pPr>
        <w:pStyle w:val="CETBodytext"/>
      </w:pPr>
      <w:r w:rsidRPr="00DC1A80">
        <w:t xml:space="preserve">Regarding the reduction of the amount of these substances with time of diafiltration, comparable behaviors were observed for the use of both membranes, which suggests that </w:t>
      </w:r>
      <w:r>
        <w:t xml:space="preserve">both </w:t>
      </w:r>
      <w:r w:rsidRPr="00DC1A80">
        <w:t>ceramic membranes have similar efficiencies to separate glycerol and methanol from the reaction mixture.</w:t>
      </w:r>
    </w:p>
    <w:p w14:paraId="6448B943" w14:textId="55BDCCB5" w:rsidR="003B2597" w:rsidRDefault="00897650" w:rsidP="00897650">
      <w:pPr>
        <w:pStyle w:val="CETBodytext"/>
      </w:pPr>
      <w:r w:rsidRPr="00DC1A80">
        <w:t xml:space="preserve">The molar composition of the oil-biodiesel phase for each </w:t>
      </w:r>
      <w:r w:rsidR="00337C40">
        <w:t>enzyme</w:t>
      </w:r>
      <w:r w:rsidRPr="00DC1A80">
        <w:t xml:space="preserve"> reuse condition after 8-hour reaction is shown in Table </w:t>
      </w:r>
      <w:r>
        <w:t>1</w:t>
      </w:r>
      <w:r w:rsidRPr="00DC1A80">
        <w:t>. After catalysis with fresh enzymes</w:t>
      </w:r>
      <w:r w:rsidR="00F4452E">
        <w:t xml:space="preserve"> (A)</w:t>
      </w:r>
      <w:r w:rsidRPr="00DC1A80">
        <w:t xml:space="preserve">, </w:t>
      </w:r>
      <w:r w:rsidR="00894757">
        <w:t xml:space="preserve">the </w:t>
      </w:r>
      <w:r w:rsidRPr="00DC1A80">
        <w:t xml:space="preserve">molar composition of the oil-biodiesel phases with both ET and RHT catalysts was of around 94 % FAME and 6 % FFA. Reduction in the FAME content was observed when the liquid </w:t>
      </w:r>
      <w:r w:rsidR="00337C40">
        <w:t>enzyme</w:t>
      </w:r>
      <w:r w:rsidRPr="00DC1A80">
        <w:t>s were reused after the centrifugation (B). In this c</w:t>
      </w:r>
      <w:r w:rsidR="00894757">
        <w:t>ase</w:t>
      </w:r>
      <w:r w:rsidRPr="00DC1A80">
        <w:t>, FAME content was in the range of 67 – 69 %, while 10 % FFA was obtained. In addition to the higher FFA content, the presence of unreacted glycerides (TAG, DAG and MAG) indicated that transesterification and esterification reactions were not complete. This fact was probably because of the loss of the enzymes</w:t>
      </w:r>
      <w:r w:rsidR="007E6F69">
        <w:t>’</w:t>
      </w:r>
      <w:r w:rsidRPr="00DC1A80">
        <w:t xml:space="preserve"> activity after the first batch, and the presence of glycerol and methanol that leads to enzyme inhibition. </w:t>
      </w:r>
    </w:p>
    <w:p w14:paraId="54F8294A" w14:textId="77777777" w:rsidR="00600535" w:rsidRPr="00B57B36" w:rsidRDefault="005C14E6" w:rsidP="00600535">
      <w:pPr>
        <w:pStyle w:val="CETTabletitle"/>
      </w:pPr>
      <w:bookmarkStart w:id="6" w:name="_Toc519715836"/>
      <w:r w:rsidRPr="00DC1A80">
        <w:t xml:space="preserve">Table </w:t>
      </w:r>
      <w:r>
        <w:t>1</w:t>
      </w:r>
      <w:r w:rsidRPr="00DC1A80">
        <w:t xml:space="preserve">: Molar composition of the oil-biodiesel phase after </w:t>
      </w:r>
      <w:r w:rsidR="00ED0108">
        <w:t xml:space="preserve">8 hours of </w:t>
      </w:r>
      <w:r w:rsidRPr="00DC1A80">
        <w:t>transesterification reactions using enzymes recovered from different separation processes.</w:t>
      </w:r>
      <w:bookmarkEnd w:id="6"/>
    </w:p>
    <w:tbl>
      <w:tblPr>
        <w:tblW w:w="8222"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830"/>
        <w:gridCol w:w="446"/>
        <w:gridCol w:w="1833"/>
        <w:gridCol w:w="20"/>
        <w:gridCol w:w="929"/>
        <w:gridCol w:w="762"/>
        <w:gridCol w:w="850"/>
        <w:gridCol w:w="851"/>
        <w:gridCol w:w="850"/>
        <w:gridCol w:w="851"/>
      </w:tblGrid>
      <w:tr w:rsidR="00E01E3A" w:rsidRPr="00B57B36" w14:paraId="52AF3D7A" w14:textId="77777777" w:rsidTr="00E01E3A">
        <w:tc>
          <w:tcPr>
            <w:tcW w:w="830" w:type="dxa"/>
            <w:tcBorders>
              <w:top w:val="single" w:sz="12" w:space="0" w:color="008000"/>
              <w:bottom w:val="single" w:sz="4" w:space="0" w:color="FFFFFF" w:themeColor="background1"/>
            </w:tcBorders>
            <w:shd w:val="clear" w:color="auto" w:fill="FFFFFF"/>
          </w:tcPr>
          <w:p w14:paraId="4F54CF94" w14:textId="77777777" w:rsidR="00E01E3A" w:rsidRPr="00B57B36" w:rsidRDefault="00E01E3A" w:rsidP="00507B47">
            <w:pPr>
              <w:pStyle w:val="CETBodytext"/>
              <w:rPr>
                <w:lang w:val="en-GB"/>
              </w:rPr>
            </w:pPr>
            <w:r>
              <w:rPr>
                <w:lang w:val="en-GB"/>
              </w:rPr>
              <w:t>Enzyme</w:t>
            </w:r>
            <w:r w:rsidRPr="00B57B36">
              <w:rPr>
                <w:lang w:val="en-GB"/>
              </w:rPr>
              <w:t xml:space="preserve"> </w:t>
            </w:r>
          </w:p>
        </w:tc>
        <w:tc>
          <w:tcPr>
            <w:tcW w:w="2279" w:type="dxa"/>
            <w:gridSpan w:val="2"/>
            <w:tcBorders>
              <w:top w:val="single" w:sz="12" w:space="0" w:color="008000"/>
              <w:bottom w:val="single" w:sz="4" w:space="0" w:color="FFFFFF" w:themeColor="background1"/>
            </w:tcBorders>
            <w:shd w:val="clear" w:color="auto" w:fill="FFFFFF"/>
          </w:tcPr>
          <w:p w14:paraId="03AC367D" w14:textId="77777777" w:rsidR="00E01E3A" w:rsidRPr="00B57B36" w:rsidRDefault="00E01E3A" w:rsidP="00507B47">
            <w:pPr>
              <w:pStyle w:val="CETBodytext"/>
              <w:ind w:right="-1"/>
              <w:rPr>
                <w:rFonts w:cs="Arial"/>
                <w:szCs w:val="18"/>
                <w:lang w:val="en-GB"/>
              </w:rPr>
            </w:pPr>
            <w:r>
              <w:rPr>
                <w:lang w:val="en-GB"/>
              </w:rPr>
              <w:t>Separation</w:t>
            </w:r>
          </w:p>
        </w:tc>
        <w:tc>
          <w:tcPr>
            <w:tcW w:w="949" w:type="dxa"/>
            <w:gridSpan w:val="2"/>
            <w:vMerge w:val="restart"/>
            <w:tcBorders>
              <w:top w:val="single" w:sz="12" w:space="0" w:color="008000"/>
            </w:tcBorders>
            <w:shd w:val="clear" w:color="auto" w:fill="FFFFFF"/>
          </w:tcPr>
          <w:p w14:paraId="00B30519" w14:textId="77777777" w:rsidR="00E01E3A" w:rsidRPr="00B57B36" w:rsidRDefault="00E01E3A" w:rsidP="00507B47">
            <w:pPr>
              <w:pStyle w:val="CETBodytext"/>
              <w:ind w:right="-1"/>
              <w:rPr>
                <w:rFonts w:cs="Arial"/>
                <w:szCs w:val="18"/>
                <w:lang w:val="en-GB"/>
              </w:rPr>
            </w:pPr>
            <w:r>
              <w:rPr>
                <w:lang w:val="en-GB"/>
              </w:rPr>
              <w:t>MWCO (kDa)</w:t>
            </w:r>
          </w:p>
        </w:tc>
        <w:tc>
          <w:tcPr>
            <w:tcW w:w="4164" w:type="dxa"/>
            <w:gridSpan w:val="5"/>
            <w:tcBorders>
              <w:top w:val="single" w:sz="12" w:space="0" w:color="008000"/>
              <w:bottom w:val="single" w:sz="6" w:space="0" w:color="008000"/>
            </w:tcBorders>
            <w:shd w:val="clear" w:color="auto" w:fill="FFFFFF"/>
          </w:tcPr>
          <w:p w14:paraId="6ED73F96" w14:textId="77777777" w:rsidR="00E01E3A" w:rsidRDefault="00E01E3A" w:rsidP="00E33456">
            <w:pPr>
              <w:pStyle w:val="CETBodytext"/>
              <w:ind w:right="-1"/>
              <w:jc w:val="center"/>
              <w:rPr>
                <w:rFonts w:cs="Arial"/>
                <w:szCs w:val="18"/>
                <w:lang w:val="en-GB"/>
              </w:rPr>
            </w:pPr>
            <w:r>
              <w:rPr>
                <w:rFonts w:cs="Arial"/>
                <w:szCs w:val="18"/>
                <w:lang w:val="en-GB"/>
              </w:rPr>
              <w:t>Oil-biodiesel composition (%)</w:t>
            </w:r>
          </w:p>
        </w:tc>
      </w:tr>
      <w:tr w:rsidR="00E01E3A" w:rsidRPr="00B57B36" w14:paraId="009E9C4D" w14:textId="77777777" w:rsidTr="00E33456">
        <w:tc>
          <w:tcPr>
            <w:tcW w:w="830" w:type="dxa"/>
            <w:tcBorders>
              <w:top w:val="single" w:sz="4" w:space="0" w:color="FFFFFF" w:themeColor="background1"/>
              <w:bottom w:val="single" w:sz="12" w:space="0" w:color="008000"/>
            </w:tcBorders>
            <w:shd w:val="clear" w:color="auto" w:fill="FFFFFF"/>
          </w:tcPr>
          <w:p w14:paraId="27D64A90" w14:textId="77777777" w:rsidR="00E01E3A" w:rsidRDefault="00E01E3A" w:rsidP="004637FD">
            <w:pPr>
              <w:pStyle w:val="CETBodytext"/>
              <w:rPr>
                <w:lang w:val="en-GB"/>
              </w:rPr>
            </w:pPr>
          </w:p>
        </w:tc>
        <w:tc>
          <w:tcPr>
            <w:tcW w:w="446" w:type="dxa"/>
            <w:tcBorders>
              <w:top w:val="single" w:sz="4" w:space="0" w:color="FFFFFF" w:themeColor="background1"/>
              <w:bottom w:val="single" w:sz="12" w:space="0" w:color="008000"/>
            </w:tcBorders>
            <w:shd w:val="clear" w:color="auto" w:fill="FFFFFF"/>
          </w:tcPr>
          <w:p w14:paraId="62F73699" w14:textId="77777777" w:rsidR="00E01E3A" w:rsidRDefault="00E01E3A" w:rsidP="004637FD">
            <w:pPr>
              <w:pStyle w:val="CETBodytext"/>
              <w:rPr>
                <w:lang w:val="en-GB"/>
              </w:rPr>
            </w:pPr>
          </w:p>
        </w:tc>
        <w:tc>
          <w:tcPr>
            <w:tcW w:w="1833" w:type="dxa"/>
            <w:tcBorders>
              <w:top w:val="single" w:sz="4" w:space="0" w:color="FFFFFF" w:themeColor="background1"/>
              <w:bottom w:val="single" w:sz="12" w:space="0" w:color="008000"/>
            </w:tcBorders>
            <w:shd w:val="clear" w:color="auto" w:fill="FFFFFF"/>
          </w:tcPr>
          <w:p w14:paraId="40F685F1" w14:textId="77777777" w:rsidR="00E01E3A" w:rsidRDefault="00E01E3A" w:rsidP="004637FD">
            <w:pPr>
              <w:pStyle w:val="CETBodytext"/>
              <w:ind w:right="-1"/>
              <w:rPr>
                <w:lang w:val="en-GB"/>
              </w:rPr>
            </w:pPr>
          </w:p>
        </w:tc>
        <w:tc>
          <w:tcPr>
            <w:tcW w:w="949" w:type="dxa"/>
            <w:gridSpan w:val="2"/>
            <w:vMerge/>
            <w:tcBorders>
              <w:bottom w:val="single" w:sz="12" w:space="0" w:color="008000"/>
            </w:tcBorders>
            <w:shd w:val="clear" w:color="auto" w:fill="FFFFFF"/>
          </w:tcPr>
          <w:p w14:paraId="4C7D39C7" w14:textId="77777777" w:rsidR="00E01E3A" w:rsidRPr="00B57B36" w:rsidRDefault="00E01E3A" w:rsidP="004637FD">
            <w:pPr>
              <w:pStyle w:val="CETBodytext"/>
              <w:ind w:right="-1"/>
              <w:rPr>
                <w:rFonts w:cs="Arial"/>
                <w:szCs w:val="18"/>
                <w:lang w:val="en-GB"/>
              </w:rPr>
            </w:pPr>
          </w:p>
        </w:tc>
        <w:tc>
          <w:tcPr>
            <w:tcW w:w="762" w:type="dxa"/>
            <w:tcBorders>
              <w:top w:val="single" w:sz="4" w:space="0" w:color="008000"/>
              <w:bottom w:val="single" w:sz="12" w:space="0" w:color="008000"/>
            </w:tcBorders>
            <w:shd w:val="clear" w:color="auto" w:fill="FFFFFF"/>
            <w:vAlign w:val="bottom"/>
          </w:tcPr>
          <w:p w14:paraId="7B1E6F37" w14:textId="77777777" w:rsidR="00E01E3A" w:rsidRPr="005C14E6" w:rsidRDefault="00E01E3A" w:rsidP="009469E5">
            <w:pPr>
              <w:pStyle w:val="CETBodytext"/>
              <w:spacing w:line="240" w:lineRule="auto"/>
              <w:jc w:val="center"/>
              <w:rPr>
                <w:rFonts w:cs="Arial"/>
                <w:szCs w:val="18"/>
              </w:rPr>
            </w:pPr>
            <w:r w:rsidRPr="005C14E6">
              <w:rPr>
                <w:rFonts w:cs="Arial"/>
                <w:szCs w:val="18"/>
              </w:rPr>
              <w:t>TAG</w:t>
            </w:r>
          </w:p>
        </w:tc>
        <w:tc>
          <w:tcPr>
            <w:tcW w:w="850" w:type="dxa"/>
            <w:tcBorders>
              <w:top w:val="single" w:sz="4" w:space="0" w:color="008000"/>
              <w:bottom w:val="single" w:sz="12" w:space="0" w:color="008000"/>
            </w:tcBorders>
            <w:shd w:val="clear" w:color="auto" w:fill="FFFFFF"/>
            <w:vAlign w:val="bottom"/>
          </w:tcPr>
          <w:p w14:paraId="599D8EB5" w14:textId="77777777" w:rsidR="00E01E3A" w:rsidRPr="005C14E6" w:rsidRDefault="00E01E3A" w:rsidP="009469E5">
            <w:pPr>
              <w:pStyle w:val="CETBodytext"/>
              <w:spacing w:line="240" w:lineRule="auto"/>
              <w:jc w:val="center"/>
              <w:rPr>
                <w:rFonts w:cs="Arial"/>
                <w:szCs w:val="18"/>
              </w:rPr>
            </w:pPr>
            <w:r w:rsidRPr="005C14E6">
              <w:rPr>
                <w:rFonts w:cs="Arial"/>
                <w:szCs w:val="18"/>
              </w:rPr>
              <w:t>DAG</w:t>
            </w:r>
          </w:p>
        </w:tc>
        <w:tc>
          <w:tcPr>
            <w:tcW w:w="851" w:type="dxa"/>
            <w:tcBorders>
              <w:top w:val="single" w:sz="4" w:space="0" w:color="008000"/>
              <w:bottom w:val="single" w:sz="12" w:space="0" w:color="008000"/>
            </w:tcBorders>
            <w:shd w:val="clear" w:color="auto" w:fill="FFFFFF"/>
            <w:vAlign w:val="bottom"/>
          </w:tcPr>
          <w:p w14:paraId="0C78AE2B" w14:textId="77777777" w:rsidR="00E01E3A" w:rsidRPr="005C14E6" w:rsidRDefault="00E01E3A" w:rsidP="009469E5">
            <w:pPr>
              <w:pStyle w:val="CETBodytext"/>
              <w:spacing w:line="240" w:lineRule="auto"/>
              <w:jc w:val="center"/>
              <w:rPr>
                <w:rFonts w:cs="Arial"/>
                <w:szCs w:val="18"/>
              </w:rPr>
            </w:pPr>
            <w:r w:rsidRPr="005C14E6">
              <w:rPr>
                <w:rFonts w:cs="Arial"/>
                <w:szCs w:val="18"/>
              </w:rPr>
              <w:t>MAG</w:t>
            </w:r>
          </w:p>
        </w:tc>
        <w:tc>
          <w:tcPr>
            <w:tcW w:w="850" w:type="dxa"/>
            <w:tcBorders>
              <w:top w:val="single" w:sz="4" w:space="0" w:color="008000"/>
              <w:bottom w:val="single" w:sz="12" w:space="0" w:color="008000"/>
            </w:tcBorders>
            <w:shd w:val="clear" w:color="auto" w:fill="FFFFFF"/>
            <w:vAlign w:val="bottom"/>
          </w:tcPr>
          <w:p w14:paraId="0CBE5721" w14:textId="77777777" w:rsidR="00E01E3A" w:rsidRPr="005C14E6" w:rsidRDefault="00E01E3A" w:rsidP="009469E5">
            <w:pPr>
              <w:pStyle w:val="CETBodytext"/>
              <w:spacing w:line="240" w:lineRule="auto"/>
              <w:jc w:val="center"/>
              <w:rPr>
                <w:rFonts w:cs="Arial"/>
                <w:szCs w:val="18"/>
              </w:rPr>
            </w:pPr>
            <w:r w:rsidRPr="005C14E6">
              <w:rPr>
                <w:rFonts w:cs="Arial"/>
                <w:szCs w:val="18"/>
              </w:rPr>
              <w:t>FAME</w:t>
            </w:r>
          </w:p>
        </w:tc>
        <w:tc>
          <w:tcPr>
            <w:tcW w:w="851" w:type="dxa"/>
            <w:tcBorders>
              <w:top w:val="single" w:sz="4" w:space="0" w:color="008000"/>
              <w:bottom w:val="single" w:sz="12" w:space="0" w:color="008000"/>
            </w:tcBorders>
            <w:shd w:val="clear" w:color="auto" w:fill="FFFFFF"/>
            <w:vAlign w:val="bottom"/>
          </w:tcPr>
          <w:p w14:paraId="7D21469B" w14:textId="77777777" w:rsidR="00E01E3A" w:rsidRPr="005C14E6" w:rsidRDefault="00E01E3A" w:rsidP="009469E5">
            <w:pPr>
              <w:pStyle w:val="CETBodytext"/>
              <w:spacing w:line="240" w:lineRule="auto"/>
              <w:jc w:val="center"/>
              <w:rPr>
                <w:rFonts w:cs="Arial"/>
                <w:szCs w:val="18"/>
              </w:rPr>
            </w:pPr>
            <w:r w:rsidRPr="005C14E6">
              <w:rPr>
                <w:rFonts w:cs="Arial"/>
                <w:szCs w:val="18"/>
              </w:rPr>
              <w:t>FFA</w:t>
            </w:r>
          </w:p>
        </w:tc>
      </w:tr>
      <w:tr w:rsidR="00E01E3A" w:rsidRPr="00B57B36" w14:paraId="511F6ECD" w14:textId="77777777" w:rsidTr="00E33456">
        <w:tc>
          <w:tcPr>
            <w:tcW w:w="830" w:type="dxa"/>
            <w:tcBorders>
              <w:top w:val="single" w:sz="12" w:space="0" w:color="008000"/>
              <w:bottom w:val="single" w:sz="4" w:space="0" w:color="FFFFFF"/>
            </w:tcBorders>
            <w:shd w:val="clear" w:color="auto" w:fill="FFFFFF"/>
          </w:tcPr>
          <w:p w14:paraId="5FDEF057" w14:textId="77777777" w:rsidR="00E01E3A" w:rsidRPr="00B57B36" w:rsidRDefault="00E01E3A" w:rsidP="009E6E1B">
            <w:pPr>
              <w:pStyle w:val="CETBodytext"/>
              <w:rPr>
                <w:lang w:val="en-GB"/>
              </w:rPr>
            </w:pPr>
            <w:r>
              <w:rPr>
                <w:lang w:val="en-GB"/>
              </w:rPr>
              <w:t>ET</w:t>
            </w:r>
          </w:p>
        </w:tc>
        <w:tc>
          <w:tcPr>
            <w:tcW w:w="446" w:type="dxa"/>
            <w:tcBorders>
              <w:top w:val="single" w:sz="12" w:space="0" w:color="008000"/>
              <w:bottom w:val="single" w:sz="4" w:space="0" w:color="008000"/>
            </w:tcBorders>
            <w:shd w:val="clear" w:color="auto" w:fill="FFFFFF"/>
          </w:tcPr>
          <w:p w14:paraId="06B7268E" w14:textId="77777777" w:rsidR="00E01E3A" w:rsidRPr="005C14E6" w:rsidRDefault="00E01E3A" w:rsidP="009E6E1B">
            <w:pPr>
              <w:pStyle w:val="CETBodytext"/>
              <w:spacing w:line="240" w:lineRule="auto"/>
              <w:rPr>
                <w:rFonts w:cs="Arial"/>
                <w:szCs w:val="18"/>
              </w:rPr>
            </w:pPr>
            <w:r w:rsidRPr="005C14E6">
              <w:rPr>
                <w:rFonts w:cs="Arial"/>
                <w:szCs w:val="18"/>
              </w:rPr>
              <w:t>A</w:t>
            </w:r>
          </w:p>
        </w:tc>
        <w:tc>
          <w:tcPr>
            <w:tcW w:w="1833" w:type="dxa"/>
            <w:tcBorders>
              <w:top w:val="single" w:sz="12" w:space="0" w:color="008000"/>
              <w:bottom w:val="single" w:sz="4" w:space="0" w:color="008000"/>
            </w:tcBorders>
            <w:shd w:val="clear" w:color="auto" w:fill="FFFFFF"/>
          </w:tcPr>
          <w:p w14:paraId="3B4ED893" w14:textId="77777777" w:rsidR="00E01E3A" w:rsidRPr="005C14E6" w:rsidRDefault="00E01E3A" w:rsidP="009E6E1B">
            <w:pPr>
              <w:pStyle w:val="CETBodytext"/>
              <w:spacing w:line="240" w:lineRule="auto"/>
              <w:rPr>
                <w:rFonts w:cs="Arial"/>
                <w:szCs w:val="18"/>
              </w:rPr>
            </w:pPr>
            <w:r w:rsidRPr="005C14E6">
              <w:rPr>
                <w:rFonts w:cs="Arial"/>
                <w:szCs w:val="18"/>
              </w:rPr>
              <w:t xml:space="preserve">Fresh </w:t>
            </w:r>
            <w:r w:rsidR="00337C40">
              <w:rPr>
                <w:rFonts w:cs="Arial"/>
                <w:szCs w:val="18"/>
              </w:rPr>
              <w:t>enzyme</w:t>
            </w:r>
          </w:p>
        </w:tc>
        <w:tc>
          <w:tcPr>
            <w:tcW w:w="949" w:type="dxa"/>
            <w:gridSpan w:val="2"/>
            <w:tcBorders>
              <w:top w:val="single" w:sz="12" w:space="0" w:color="008000"/>
              <w:bottom w:val="single" w:sz="4" w:space="0" w:color="008000"/>
            </w:tcBorders>
            <w:shd w:val="clear" w:color="auto" w:fill="FFFFFF"/>
          </w:tcPr>
          <w:p w14:paraId="5AD741B6" w14:textId="77777777" w:rsidR="00E01E3A" w:rsidRPr="005C14E6" w:rsidRDefault="00E01E3A" w:rsidP="009E6E1B">
            <w:pPr>
              <w:pStyle w:val="CETBodytext"/>
              <w:spacing w:line="240" w:lineRule="auto"/>
              <w:jc w:val="left"/>
              <w:rPr>
                <w:rFonts w:cs="Arial"/>
                <w:szCs w:val="18"/>
              </w:rPr>
            </w:pPr>
            <w:r w:rsidRPr="005C14E6">
              <w:rPr>
                <w:rFonts w:cs="Arial"/>
                <w:szCs w:val="18"/>
              </w:rPr>
              <w:t>-</w:t>
            </w:r>
          </w:p>
        </w:tc>
        <w:tc>
          <w:tcPr>
            <w:tcW w:w="762" w:type="dxa"/>
            <w:tcBorders>
              <w:top w:val="single" w:sz="12" w:space="0" w:color="008000"/>
              <w:bottom w:val="single" w:sz="4" w:space="0" w:color="008000"/>
            </w:tcBorders>
            <w:shd w:val="clear" w:color="auto" w:fill="FFFFFF"/>
            <w:vAlign w:val="bottom"/>
          </w:tcPr>
          <w:p w14:paraId="0F00D9CF" w14:textId="54E2D2BF" w:rsidR="00E01E3A" w:rsidRPr="005C14E6" w:rsidRDefault="00E01E3A" w:rsidP="0043597F">
            <w:pPr>
              <w:pStyle w:val="CETBodytext"/>
              <w:spacing w:line="240" w:lineRule="auto"/>
              <w:jc w:val="right"/>
              <w:rPr>
                <w:rFonts w:cs="Arial"/>
                <w:szCs w:val="18"/>
              </w:rPr>
            </w:pPr>
            <w:r w:rsidRPr="005C14E6">
              <w:rPr>
                <w:rFonts w:cs="Arial"/>
                <w:szCs w:val="18"/>
              </w:rPr>
              <w:t>0.0</w:t>
            </w:r>
            <w:r w:rsidR="0043597F">
              <w:rPr>
                <w:rFonts w:cs="Arial"/>
                <w:szCs w:val="18"/>
              </w:rPr>
              <w:t>±</w:t>
            </w:r>
            <w:r w:rsidR="0043597F" w:rsidRPr="005C14E6">
              <w:rPr>
                <w:rFonts w:cs="Arial"/>
                <w:szCs w:val="18"/>
              </w:rPr>
              <w:t>0.0</w:t>
            </w:r>
          </w:p>
        </w:tc>
        <w:tc>
          <w:tcPr>
            <w:tcW w:w="850" w:type="dxa"/>
            <w:tcBorders>
              <w:top w:val="single" w:sz="12" w:space="0" w:color="008000"/>
              <w:bottom w:val="single" w:sz="4" w:space="0" w:color="008000"/>
            </w:tcBorders>
            <w:shd w:val="clear" w:color="auto" w:fill="FFFFFF"/>
            <w:vAlign w:val="bottom"/>
          </w:tcPr>
          <w:p w14:paraId="2EB082E3" w14:textId="66D4BA7C" w:rsidR="00E01E3A" w:rsidRPr="005C14E6" w:rsidRDefault="00E01E3A" w:rsidP="00C300E9">
            <w:pPr>
              <w:pStyle w:val="CETBodytext"/>
              <w:spacing w:line="240" w:lineRule="auto"/>
              <w:jc w:val="right"/>
              <w:rPr>
                <w:rFonts w:cs="Arial"/>
                <w:szCs w:val="18"/>
              </w:rPr>
            </w:pPr>
            <w:r w:rsidRPr="005C14E6">
              <w:rPr>
                <w:rFonts w:cs="Arial"/>
                <w:szCs w:val="18"/>
              </w:rPr>
              <w:t>0.0</w:t>
            </w:r>
            <w:r w:rsidR="0043597F">
              <w:rPr>
                <w:rFonts w:cs="Arial"/>
                <w:szCs w:val="18"/>
              </w:rPr>
              <w:t>±</w:t>
            </w:r>
            <w:r w:rsidR="0043597F" w:rsidRPr="005C14E6">
              <w:rPr>
                <w:rFonts w:cs="Arial"/>
                <w:szCs w:val="18"/>
              </w:rPr>
              <w:t>0.</w:t>
            </w:r>
            <w:r w:rsidR="00C300E9">
              <w:rPr>
                <w:rFonts w:cs="Arial"/>
                <w:szCs w:val="18"/>
              </w:rPr>
              <w:t>4</w:t>
            </w:r>
          </w:p>
        </w:tc>
        <w:tc>
          <w:tcPr>
            <w:tcW w:w="851" w:type="dxa"/>
            <w:tcBorders>
              <w:top w:val="single" w:sz="12" w:space="0" w:color="008000"/>
              <w:bottom w:val="single" w:sz="4" w:space="0" w:color="008000"/>
            </w:tcBorders>
            <w:shd w:val="clear" w:color="auto" w:fill="FFFFFF"/>
            <w:vAlign w:val="bottom"/>
          </w:tcPr>
          <w:p w14:paraId="449A0A24" w14:textId="1D0928AF" w:rsidR="00E01E3A" w:rsidRPr="005C14E6" w:rsidRDefault="00E01E3A" w:rsidP="009E6E1B">
            <w:pPr>
              <w:pStyle w:val="CETBodytext"/>
              <w:spacing w:line="240" w:lineRule="auto"/>
              <w:jc w:val="right"/>
              <w:rPr>
                <w:rFonts w:cs="Arial"/>
                <w:szCs w:val="18"/>
              </w:rPr>
            </w:pPr>
            <w:r w:rsidRPr="005C14E6">
              <w:rPr>
                <w:rFonts w:cs="Arial"/>
                <w:szCs w:val="18"/>
              </w:rPr>
              <w:t>0.0</w:t>
            </w:r>
            <w:r w:rsidR="0043597F">
              <w:rPr>
                <w:rFonts w:cs="Arial"/>
                <w:szCs w:val="18"/>
              </w:rPr>
              <w:t>±</w:t>
            </w:r>
            <w:r w:rsidR="00C300E9">
              <w:rPr>
                <w:rFonts w:cs="Arial"/>
                <w:szCs w:val="18"/>
              </w:rPr>
              <w:t>0.7</w:t>
            </w:r>
          </w:p>
        </w:tc>
        <w:tc>
          <w:tcPr>
            <w:tcW w:w="850" w:type="dxa"/>
            <w:tcBorders>
              <w:top w:val="single" w:sz="12" w:space="0" w:color="008000"/>
              <w:bottom w:val="single" w:sz="4" w:space="0" w:color="008000"/>
            </w:tcBorders>
            <w:shd w:val="clear" w:color="auto" w:fill="FFFFFF"/>
            <w:vAlign w:val="bottom"/>
          </w:tcPr>
          <w:p w14:paraId="6483F273" w14:textId="63B497D9" w:rsidR="00E01E3A" w:rsidRPr="005C14E6" w:rsidRDefault="00E01E3A" w:rsidP="009E6E1B">
            <w:pPr>
              <w:pStyle w:val="CETBodytext"/>
              <w:spacing w:line="240" w:lineRule="auto"/>
              <w:jc w:val="right"/>
              <w:rPr>
                <w:rFonts w:cs="Arial"/>
                <w:szCs w:val="18"/>
              </w:rPr>
            </w:pPr>
            <w:r w:rsidRPr="005C14E6">
              <w:rPr>
                <w:rFonts w:cs="Arial"/>
                <w:szCs w:val="18"/>
              </w:rPr>
              <w:t>94.0</w:t>
            </w:r>
            <w:r w:rsidR="0043597F">
              <w:rPr>
                <w:rFonts w:cs="Arial"/>
                <w:szCs w:val="18"/>
              </w:rPr>
              <w:t>±</w:t>
            </w:r>
            <w:r w:rsidR="00C300E9">
              <w:rPr>
                <w:rFonts w:cs="Arial"/>
                <w:szCs w:val="18"/>
              </w:rPr>
              <w:t>1.1</w:t>
            </w:r>
          </w:p>
        </w:tc>
        <w:tc>
          <w:tcPr>
            <w:tcW w:w="851" w:type="dxa"/>
            <w:tcBorders>
              <w:top w:val="single" w:sz="12" w:space="0" w:color="008000"/>
              <w:bottom w:val="single" w:sz="4" w:space="0" w:color="008000"/>
            </w:tcBorders>
            <w:shd w:val="clear" w:color="auto" w:fill="FFFFFF"/>
            <w:vAlign w:val="bottom"/>
          </w:tcPr>
          <w:p w14:paraId="34F90AC8" w14:textId="3ACC6566" w:rsidR="00E01E3A" w:rsidRPr="005C14E6" w:rsidRDefault="00E01E3A" w:rsidP="009E6E1B">
            <w:pPr>
              <w:pStyle w:val="CETBodytext"/>
              <w:spacing w:line="240" w:lineRule="auto"/>
              <w:jc w:val="right"/>
              <w:rPr>
                <w:rFonts w:cs="Arial"/>
                <w:szCs w:val="18"/>
              </w:rPr>
            </w:pPr>
            <w:r w:rsidRPr="005C14E6">
              <w:rPr>
                <w:rFonts w:cs="Arial"/>
                <w:szCs w:val="18"/>
              </w:rPr>
              <w:t>6.0</w:t>
            </w:r>
            <w:r w:rsidR="0043597F">
              <w:rPr>
                <w:rFonts w:cs="Arial"/>
                <w:szCs w:val="18"/>
              </w:rPr>
              <w:t>±</w:t>
            </w:r>
            <w:r w:rsidR="00C300E9">
              <w:rPr>
                <w:rFonts w:cs="Arial"/>
                <w:szCs w:val="18"/>
              </w:rPr>
              <w:t>0.2</w:t>
            </w:r>
          </w:p>
        </w:tc>
      </w:tr>
      <w:tr w:rsidR="00E01E3A" w:rsidRPr="00B57B36" w14:paraId="1E4CD684" w14:textId="77777777" w:rsidTr="00E33456">
        <w:tc>
          <w:tcPr>
            <w:tcW w:w="830" w:type="dxa"/>
            <w:tcBorders>
              <w:top w:val="single" w:sz="4" w:space="0" w:color="FFFFFF"/>
              <w:bottom w:val="single" w:sz="4" w:space="0" w:color="FFFFFF"/>
            </w:tcBorders>
            <w:shd w:val="clear" w:color="auto" w:fill="FFFFFF"/>
          </w:tcPr>
          <w:p w14:paraId="3DEA87A3" w14:textId="77777777" w:rsidR="00E01E3A" w:rsidRPr="00B57B36" w:rsidRDefault="00E01E3A" w:rsidP="009E6E1B">
            <w:pPr>
              <w:pStyle w:val="CETBodytext"/>
              <w:ind w:right="-1"/>
              <w:rPr>
                <w:rFonts w:cs="Arial"/>
                <w:szCs w:val="18"/>
                <w:lang w:val="en-GB"/>
              </w:rPr>
            </w:pPr>
          </w:p>
        </w:tc>
        <w:tc>
          <w:tcPr>
            <w:tcW w:w="446" w:type="dxa"/>
            <w:tcBorders>
              <w:top w:val="single" w:sz="4" w:space="0" w:color="008000"/>
              <w:bottom w:val="single" w:sz="4" w:space="0" w:color="008000"/>
            </w:tcBorders>
            <w:shd w:val="clear" w:color="auto" w:fill="FFFFFF"/>
          </w:tcPr>
          <w:p w14:paraId="696257E5" w14:textId="77777777" w:rsidR="00E01E3A" w:rsidRPr="005C14E6" w:rsidRDefault="00E01E3A" w:rsidP="009E6E1B">
            <w:pPr>
              <w:pStyle w:val="CETBodytext"/>
              <w:spacing w:line="240" w:lineRule="auto"/>
              <w:rPr>
                <w:rFonts w:cs="Arial"/>
                <w:szCs w:val="18"/>
              </w:rPr>
            </w:pPr>
            <w:r w:rsidRPr="005C14E6">
              <w:rPr>
                <w:rFonts w:cs="Arial"/>
                <w:szCs w:val="18"/>
              </w:rPr>
              <w:t>B</w:t>
            </w:r>
          </w:p>
        </w:tc>
        <w:tc>
          <w:tcPr>
            <w:tcW w:w="1833" w:type="dxa"/>
            <w:tcBorders>
              <w:top w:val="single" w:sz="4" w:space="0" w:color="008000"/>
              <w:bottom w:val="single" w:sz="4" w:space="0" w:color="008000"/>
            </w:tcBorders>
            <w:shd w:val="clear" w:color="auto" w:fill="FFFFFF"/>
          </w:tcPr>
          <w:p w14:paraId="7CD2EAAB" w14:textId="77777777" w:rsidR="00E01E3A" w:rsidRPr="005C14E6" w:rsidRDefault="00E01E3A" w:rsidP="009E6E1B">
            <w:pPr>
              <w:pStyle w:val="CETBodytext"/>
              <w:spacing w:line="240" w:lineRule="auto"/>
              <w:rPr>
                <w:rFonts w:cs="Arial"/>
                <w:szCs w:val="18"/>
              </w:rPr>
            </w:pPr>
            <w:r w:rsidRPr="005C14E6">
              <w:rPr>
                <w:rFonts w:cs="Arial"/>
                <w:szCs w:val="18"/>
              </w:rPr>
              <w:t>Centrifugation</w:t>
            </w:r>
          </w:p>
        </w:tc>
        <w:tc>
          <w:tcPr>
            <w:tcW w:w="949" w:type="dxa"/>
            <w:gridSpan w:val="2"/>
            <w:tcBorders>
              <w:top w:val="single" w:sz="4" w:space="0" w:color="008000"/>
              <w:bottom w:val="single" w:sz="4" w:space="0" w:color="008000"/>
            </w:tcBorders>
            <w:shd w:val="clear" w:color="auto" w:fill="FFFFFF"/>
          </w:tcPr>
          <w:p w14:paraId="42819357" w14:textId="77777777" w:rsidR="00E01E3A" w:rsidRPr="005C14E6" w:rsidRDefault="00E01E3A" w:rsidP="009E6E1B">
            <w:pPr>
              <w:pStyle w:val="CETBodytext"/>
              <w:spacing w:line="240" w:lineRule="auto"/>
              <w:jc w:val="left"/>
              <w:rPr>
                <w:rFonts w:cs="Arial"/>
                <w:szCs w:val="18"/>
              </w:rPr>
            </w:pPr>
            <w:r w:rsidRPr="005C14E6">
              <w:rPr>
                <w:rFonts w:cs="Arial"/>
                <w:szCs w:val="18"/>
              </w:rPr>
              <w:t>-</w:t>
            </w:r>
          </w:p>
        </w:tc>
        <w:tc>
          <w:tcPr>
            <w:tcW w:w="762" w:type="dxa"/>
            <w:tcBorders>
              <w:top w:val="single" w:sz="4" w:space="0" w:color="008000"/>
              <w:bottom w:val="single" w:sz="4" w:space="0" w:color="008000"/>
            </w:tcBorders>
            <w:shd w:val="clear" w:color="auto" w:fill="FFFFFF"/>
            <w:vAlign w:val="bottom"/>
          </w:tcPr>
          <w:p w14:paraId="7FFE35C3" w14:textId="2C33A8E3" w:rsidR="00E01E3A" w:rsidRPr="005C14E6" w:rsidRDefault="00E01E3A" w:rsidP="009E6E1B">
            <w:pPr>
              <w:pStyle w:val="CETBodytext"/>
              <w:spacing w:line="240" w:lineRule="auto"/>
              <w:jc w:val="right"/>
              <w:rPr>
                <w:rFonts w:cs="Arial"/>
                <w:szCs w:val="18"/>
              </w:rPr>
            </w:pPr>
            <w:r w:rsidRPr="005C14E6">
              <w:rPr>
                <w:rFonts w:cs="Arial"/>
                <w:szCs w:val="18"/>
              </w:rPr>
              <w:t>0.0</w:t>
            </w:r>
            <w:r w:rsidR="0043597F">
              <w:rPr>
                <w:rFonts w:cs="Arial"/>
                <w:szCs w:val="18"/>
              </w:rPr>
              <w:t>±</w:t>
            </w:r>
            <w:r w:rsidR="0043597F" w:rsidRPr="005C14E6">
              <w:rPr>
                <w:rFonts w:cs="Arial"/>
                <w:szCs w:val="18"/>
              </w:rPr>
              <w:t>0.0</w:t>
            </w:r>
          </w:p>
        </w:tc>
        <w:tc>
          <w:tcPr>
            <w:tcW w:w="850" w:type="dxa"/>
            <w:tcBorders>
              <w:top w:val="single" w:sz="4" w:space="0" w:color="008000"/>
              <w:bottom w:val="single" w:sz="4" w:space="0" w:color="008000"/>
            </w:tcBorders>
            <w:shd w:val="clear" w:color="auto" w:fill="FFFFFF"/>
            <w:vAlign w:val="bottom"/>
          </w:tcPr>
          <w:p w14:paraId="56616CC7" w14:textId="01A06B05" w:rsidR="00E01E3A" w:rsidRPr="005C14E6" w:rsidRDefault="00E01E3A" w:rsidP="009E6E1B">
            <w:pPr>
              <w:pStyle w:val="CETBodytext"/>
              <w:spacing w:line="240" w:lineRule="auto"/>
              <w:jc w:val="right"/>
              <w:rPr>
                <w:rFonts w:cs="Arial"/>
                <w:szCs w:val="18"/>
              </w:rPr>
            </w:pPr>
            <w:r w:rsidRPr="005C14E6">
              <w:rPr>
                <w:rFonts w:cs="Arial"/>
                <w:szCs w:val="18"/>
              </w:rPr>
              <w:t>4.3</w:t>
            </w:r>
            <w:r w:rsidR="0043597F">
              <w:rPr>
                <w:rFonts w:cs="Arial"/>
                <w:szCs w:val="18"/>
              </w:rPr>
              <w:t>±</w:t>
            </w:r>
            <w:r w:rsidR="0043597F" w:rsidRPr="005C14E6">
              <w:rPr>
                <w:rFonts w:cs="Arial"/>
                <w:szCs w:val="18"/>
              </w:rPr>
              <w:t>0.</w:t>
            </w:r>
            <w:r w:rsidR="0043597F">
              <w:rPr>
                <w:rFonts w:cs="Arial"/>
                <w:szCs w:val="18"/>
              </w:rPr>
              <w:t>1</w:t>
            </w:r>
          </w:p>
        </w:tc>
        <w:tc>
          <w:tcPr>
            <w:tcW w:w="851" w:type="dxa"/>
            <w:tcBorders>
              <w:top w:val="single" w:sz="4" w:space="0" w:color="008000"/>
              <w:bottom w:val="single" w:sz="4" w:space="0" w:color="008000"/>
            </w:tcBorders>
            <w:shd w:val="clear" w:color="auto" w:fill="FFFFFF"/>
            <w:vAlign w:val="bottom"/>
          </w:tcPr>
          <w:p w14:paraId="729700B5" w14:textId="036A9606" w:rsidR="00E01E3A" w:rsidRPr="005C14E6" w:rsidRDefault="00E01E3A" w:rsidP="009E6E1B">
            <w:pPr>
              <w:pStyle w:val="CETBodytext"/>
              <w:spacing w:line="240" w:lineRule="auto"/>
              <w:jc w:val="right"/>
              <w:rPr>
                <w:rFonts w:cs="Arial"/>
                <w:szCs w:val="18"/>
              </w:rPr>
            </w:pPr>
            <w:r w:rsidRPr="005C14E6">
              <w:rPr>
                <w:rFonts w:cs="Arial"/>
                <w:szCs w:val="18"/>
              </w:rPr>
              <w:t>18.5</w:t>
            </w:r>
            <w:r w:rsidR="0043597F">
              <w:rPr>
                <w:rFonts w:cs="Arial"/>
                <w:szCs w:val="18"/>
              </w:rPr>
              <w:t>±</w:t>
            </w:r>
            <w:r w:rsidR="00C300E9">
              <w:rPr>
                <w:rFonts w:cs="Arial"/>
                <w:szCs w:val="18"/>
              </w:rPr>
              <w:t>0.6</w:t>
            </w:r>
          </w:p>
        </w:tc>
        <w:tc>
          <w:tcPr>
            <w:tcW w:w="850" w:type="dxa"/>
            <w:tcBorders>
              <w:top w:val="single" w:sz="4" w:space="0" w:color="008000"/>
              <w:bottom w:val="single" w:sz="4" w:space="0" w:color="008000"/>
            </w:tcBorders>
            <w:shd w:val="clear" w:color="auto" w:fill="FFFFFF"/>
            <w:vAlign w:val="bottom"/>
          </w:tcPr>
          <w:p w14:paraId="2603079B" w14:textId="223259D1" w:rsidR="00E01E3A" w:rsidRPr="005C14E6" w:rsidRDefault="00E01E3A" w:rsidP="009E6E1B">
            <w:pPr>
              <w:pStyle w:val="CETBodytext"/>
              <w:spacing w:line="240" w:lineRule="auto"/>
              <w:jc w:val="right"/>
              <w:rPr>
                <w:rFonts w:cs="Arial"/>
                <w:szCs w:val="18"/>
              </w:rPr>
            </w:pPr>
            <w:r w:rsidRPr="005C14E6">
              <w:rPr>
                <w:rFonts w:cs="Arial"/>
                <w:szCs w:val="18"/>
              </w:rPr>
              <w:t>67.2</w:t>
            </w:r>
            <w:r w:rsidR="0043597F">
              <w:rPr>
                <w:rFonts w:cs="Arial"/>
                <w:szCs w:val="18"/>
              </w:rPr>
              <w:t>±</w:t>
            </w:r>
            <w:r w:rsidR="00C300E9">
              <w:rPr>
                <w:rFonts w:cs="Arial"/>
                <w:szCs w:val="18"/>
              </w:rPr>
              <w:t>2.0</w:t>
            </w:r>
          </w:p>
        </w:tc>
        <w:tc>
          <w:tcPr>
            <w:tcW w:w="851" w:type="dxa"/>
            <w:tcBorders>
              <w:top w:val="single" w:sz="4" w:space="0" w:color="008000"/>
              <w:bottom w:val="single" w:sz="4" w:space="0" w:color="008000"/>
            </w:tcBorders>
            <w:shd w:val="clear" w:color="auto" w:fill="FFFFFF"/>
            <w:vAlign w:val="bottom"/>
          </w:tcPr>
          <w:p w14:paraId="5D4795DB" w14:textId="4E5ADB63" w:rsidR="00E01E3A" w:rsidRPr="005C14E6" w:rsidRDefault="00E01E3A" w:rsidP="009E6E1B">
            <w:pPr>
              <w:pStyle w:val="CETBodytext"/>
              <w:spacing w:line="240" w:lineRule="auto"/>
              <w:jc w:val="right"/>
              <w:rPr>
                <w:rFonts w:cs="Arial"/>
                <w:szCs w:val="18"/>
              </w:rPr>
            </w:pPr>
            <w:r w:rsidRPr="005C14E6">
              <w:rPr>
                <w:rFonts w:cs="Arial"/>
                <w:szCs w:val="18"/>
              </w:rPr>
              <w:t>10.0</w:t>
            </w:r>
            <w:r w:rsidR="0043597F">
              <w:rPr>
                <w:rFonts w:cs="Arial"/>
                <w:szCs w:val="18"/>
              </w:rPr>
              <w:t>±</w:t>
            </w:r>
            <w:r w:rsidR="00C300E9">
              <w:rPr>
                <w:rFonts w:cs="Arial"/>
                <w:szCs w:val="18"/>
              </w:rPr>
              <w:t>0.3</w:t>
            </w:r>
          </w:p>
        </w:tc>
      </w:tr>
      <w:tr w:rsidR="00E01E3A" w:rsidRPr="00B57B36" w14:paraId="1DE0A2A9" w14:textId="77777777" w:rsidTr="00E33456">
        <w:tc>
          <w:tcPr>
            <w:tcW w:w="830" w:type="dxa"/>
            <w:tcBorders>
              <w:top w:val="single" w:sz="4" w:space="0" w:color="FFFFFF"/>
              <w:bottom w:val="single" w:sz="4" w:space="0" w:color="FFFFFF"/>
            </w:tcBorders>
            <w:shd w:val="clear" w:color="auto" w:fill="FFFFFF"/>
          </w:tcPr>
          <w:p w14:paraId="04CE4545" w14:textId="77777777" w:rsidR="00E01E3A" w:rsidRPr="00B57B36" w:rsidRDefault="00E01E3A" w:rsidP="009E6E1B">
            <w:pPr>
              <w:pStyle w:val="CETBodytext"/>
              <w:ind w:right="-1"/>
              <w:rPr>
                <w:rFonts w:cs="Arial"/>
                <w:szCs w:val="18"/>
                <w:lang w:val="en-GB"/>
              </w:rPr>
            </w:pPr>
          </w:p>
        </w:tc>
        <w:tc>
          <w:tcPr>
            <w:tcW w:w="446" w:type="dxa"/>
            <w:tcBorders>
              <w:top w:val="single" w:sz="4" w:space="0" w:color="008000"/>
              <w:bottom w:val="single" w:sz="4" w:space="0" w:color="FFFFFF"/>
            </w:tcBorders>
            <w:shd w:val="clear" w:color="auto" w:fill="FFFFFF"/>
          </w:tcPr>
          <w:p w14:paraId="78442E32" w14:textId="77777777" w:rsidR="00E01E3A" w:rsidRPr="005C14E6" w:rsidRDefault="00E01E3A" w:rsidP="009E6E1B">
            <w:pPr>
              <w:pStyle w:val="CETBodytext"/>
              <w:spacing w:line="240" w:lineRule="auto"/>
              <w:rPr>
                <w:rFonts w:cs="Arial"/>
                <w:szCs w:val="18"/>
              </w:rPr>
            </w:pPr>
            <w:r w:rsidRPr="005C14E6">
              <w:rPr>
                <w:rFonts w:cs="Arial"/>
                <w:szCs w:val="18"/>
              </w:rPr>
              <w:t>C</w:t>
            </w:r>
          </w:p>
        </w:tc>
        <w:tc>
          <w:tcPr>
            <w:tcW w:w="1833" w:type="dxa"/>
            <w:tcBorders>
              <w:top w:val="single" w:sz="4" w:space="0" w:color="008000"/>
              <w:bottom w:val="single" w:sz="4" w:space="0" w:color="FFFFFF"/>
            </w:tcBorders>
            <w:shd w:val="clear" w:color="auto" w:fill="FFFFFF"/>
          </w:tcPr>
          <w:p w14:paraId="6AAD34F7" w14:textId="77777777" w:rsidR="00E01E3A" w:rsidRPr="005C14E6" w:rsidRDefault="00E01E3A" w:rsidP="009E6E1B">
            <w:pPr>
              <w:pStyle w:val="CETBodytext"/>
              <w:spacing w:line="240" w:lineRule="auto"/>
              <w:rPr>
                <w:rFonts w:cs="Arial"/>
                <w:szCs w:val="18"/>
              </w:rPr>
            </w:pPr>
            <w:r w:rsidRPr="005C14E6">
              <w:rPr>
                <w:rFonts w:cs="Arial"/>
                <w:szCs w:val="18"/>
              </w:rPr>
              <w:t>Diafiltration</w:t>
            </w:r>
          </w:p>
        </w:tc>
        <w:tc>
          <w:tcPr>
            <w:tcW w:w="949" w:type="dxa"/>
            <w:gridSpan w:val="2"/>
            <w:tcBorders>
              <w:top w:val="single" w:sz="4" w:space="0" w:color="008000"/>
              <w:bottom w:val="single" w:sz="4" w:space="0" w:color="FFFFFF"/>
            </w:tcBorders>
            <w:shd w:val="clear" w:color="auto" w:fill="FFFFFF"/>
          </w:tcPr>
          <w:p w14:paraId="11D5CADD" w14:textId="77777777" w:rsidR="00E01E3A" w:rsidRPr="005C14E6" w:rsidRDefault="00E01E3A" w:rsidP="009E6E1B">
            <w:pPr>
              <w:pStyle w:val="CETBodytext"/>
              <w:spacing w:line="240" w:lineRule="auto"/>
              <w:jc w:val="left"/>
              <w:rPr>
                <w:rFonts w:cs="Arial"/>
                <w:szCs w:val="18"/>
              </w:rPr>
            </w:pPr>
            <w:r w:rsidRPr="005C14E6">
              <w:rPr>
                <w:rFonts w:cs="Arial"/>
                <w:szCs w:val="18"/>
              </w:rPr>
              <w:t>15</w:t>
            </w:r>
          </w:p>
        </w:tc>
        <w:tc>
          <w:tcPr>
            <w:tcW w:w="762" w:type="dxa"/>
            <w:tcBorders>
              <w:top w:val="single" w:sz="4" w:space="0" w:color="008000"/>
              <w:bottom w:val="single" w:sz="4" w:space="0" w:color="FFFFFF"/>
            </w:tcBorders>
            <w:shd w:val="clear" w:color="auto" w:fill="FFFFFF"/>
            <w:vAlign w:val="bottom"/>
          </w:tcPr>
          <w:p w14:paraId="51D43FAC" w14:textId="1CBBD1C4" w:rsidR="00E01E3A" w:rsidRPr="005C14E6" w:rsidRDefault="00E01E3A" w:rsidP="009E6E1B">
            <w:pPr>
              <w:pStyle w:val="CETBodytext"/>
              <w:spacing w:line="240" w:lineRule="auto"/>
              <w:jc w:val="right"/>
              <w:rPr>
                <w:rFonts w:cs="Arial"/>
                <w:szCs w:val="18"/>
              </w:rPr>
            </w:pPr>
            <w:r w:rsidRPr="005C14E6">
              <w:rPr>
                <w:rFonts w:cs="Arial"/>
                <w:szCs w:val="18"/>
              </w:rPr>
              <w:t>0.0</w:t>
            </w:r>
            <w:r w:rsidR="0043597F">
              <w:rPr>
                <w:rFonts w:cs="Arial"/>
                <w:szCs w:val="18"/>
              </w:rPr>
              <w:t>±</w:t>
            </w:r>
            <w:r w:rsidR="0043597F" w:rsidRPr="005C14E6">
              <w:rPr>
                <w:rFonts w:cs="Arial"/>
                <w:szCs w:val="18"/>
              </w:rPr>
              <w:t>0.0</w:t>
            </w:r>
          </w:p>
        </w:tc>
        <w:tc>
          <w:tcPr>
            <w:tcW w:w="850" w:type="dxa"/>
            <w:tcBorders>
              <w:top w:val="single" w:sz="4" w:space="0" w:color="008000"/>
              <w:bottom w:val="single" w:sz="4" w:space="0" w:color="FFFFFF"/>
            </w:tcBorders>
            <w:shd w:val="clear" w:color="auto" w:fill="FFFFFF"/>
            <w:vAlign w:val="bottom"/>
          </w:tcPr>
          <w:p w14:paraId="569B9CF3" w14:textId="1C9C93B4" w:rsidR="00E01E3A" w:rsidRPr="005C14E6" w:rsidRDefault="00E01E3A" w:rsidP="009E6E1B">
            <w:pPr>
              <w:pStyle w:val="CETBodytext"/>
              <w:spacing w:line="240" w:lineRule="auto"/>
              <w:jc w:val="right"/>
              <w:rPr>
                <w:rFonts w:cs="Arial"/>
                <w:szCs w:val="18"/>
              </w:rPr>
            </w:pPr>
            <w:r w:rsidRPr="005C14E6">
              <w:rPr>
                <w:rFonts w:cs="Arial"/>
                <w:szCs w:val="18"/>
              </w:rPr>
              <w:t>3.5</w:t>
            </w:r>
            <w:r w:rsidR="0043597F">
              <w:rPr>
                <w:rFonts w:cs="Arial"/>
                <w:szCs w:val="18"/>
              </w:rPr>
              <w:t>±</w:t>
            </w:r>
            <w:r w:rsidR="0043597F" w:rsidRPr="005C14E6">
              <w:rPr>
                <w:rFonts w:cs="Arial"/>
                <w:szCs w:val="18"/>
              </w:rPr>
              <w:t>0.</w:t>
            </w:r>
            <w:r w:rsidR="0043597F">
              <w:rPr>
                <w:rFonts w:cs="Arial"/>
                <w:szCs w:val="18"/>
              </w:rPr>
              <w:t>1</w:t>
            </w:r>
          </w:p>
        </w:tc>
        <w:tc>
          <w:tcPr>
            <w:tcW w:w="851" w:type="dxa"/>
            <w:tcBorders>
              <w:top w:val="single" w:sz="4" w:space="0" w:color="008000"/>
              <w:bottom w:val="single" w:sz="4" w:space="0" w:color="FFFFFF"/>
            </w:tcBorders>
            <w:shd w:val="clear" w:color="auto" w:fill="FFFFFF"/>
            <w:vAlign w:val="bottom"/>
          </w:tcPr>
          <w:p w14:paraId="2AE0EC99" w14:textId="2B0A0C7E" w:rsidR="00E01E3A" w:rsidRPr="005C14E6" w:rsidRDefault="00E01E3A" w:rsidP="009E6E1B">
            <w:pPr>
              <w:pStyle w:val="CETBodytext"/>
              <w:spacing w:line="240" w:lineRule="auto"/>
              <w:jc w:val="right"/>
              <w:rPr>
                <w:rFonts w:cs="Arial"/>
                <w:szCs w:val="18"/>
              </w:rPr>
            </w:pPr>
            <w:r w:rsidRPr="005C14E6">
              <w:rPr>
                <w:rFonts w:cs="Arial"/>
                <w:szCs w:val="18"/>
              </w:rPr>
              <w:t>14.4</w:t>
            </w:r>
            <w:r w:rsidR="0043597F">
              <w:rPr>
                <w:rFonts w:cs="Arial"/>
                <w:szCs w:val="18"/>
              </w:rPr>
              <w:t>±</w:t>
            </w:r>
            <w:r w:rsidR="00C300E9">
              <w:rPr>
                <w:rFonts w:cs="Arial"/>
                <w:szCs w:val="18"/>
              </w:rPr>
              <w:t>0.4</w:t>
            </w:r>
          </w:p>
        </w:tc>
        <w:tc>
          <w:tcPr>
            <w:tcW w:w="850" w:type="dxa"/>
            <w:tcBorders>
              <w:top w:val="single" w:sz="4" w:space="0" w:color="008000"/>
              <w:bottom w:val="single" w:sz="4" w:space="0" w:color="FFFFFF"/>
            </w:tcBorders>
            <w:shd w:val="clear" w:color="auto" w:fill="FFFFFF"/>
            <w:vAlign w:val="bottom"/>
          </w:tcPr>
          <w:p w14:paraId="11E166A7" w14:textId="00AC75AE" w:rsidR="00E01E3A" w:rsidRPr="005C14E6" w:rsidRDefault="00E01E3A" w:rsidP="009E6E1B">
            <w:pPr>
              <w:pStyle w:val="CETBodytext"/>
              <w:spacing w:line="240" w:lineRule="auto"/>
              <w:jc w:val="right"/>
              <w:rPr>
                <w:rFonts w:cs="Arial"/>
                <w:szCs w:val="18"/>
              </w:rPr>
            </w:pPr>
            <w:r w:rsidRPr="005C14E6">
              <w:rPr>
                <w:rFonts w:cs="Arial"/>
                <w:szCs w:val="18"/>
              </w:rPr>
              <w:t>67.6</w:t>
            </w:r>
            <w:r w:rsidR="0043597F">
              <w:rPr>
                <w:rFonts w:cs="Arial"/>
                <w:szCs w:val="18"/>
              </w:rPr>
              <w:t>±</w:t>
            </w:r>
            <w:r w:rsidR="00C300E9">
              <w:rPr>
                <w:rFonts w:cs="Arial"/>
                <w:szCs w:val="18"/>
              </w:rPr>
              <w:t>2.0</w:t>
            </w:r>
          </w:p>
        </w:tc>
        <w:tc>
          <w:tcPr>
            <w:tcW w:w="851" w:type="dxa"/>
            <w:tcBorders>
              <w:top w:val="single" w:sz="4" w:space="0" w:color="008000"/>
              <w:bottom w:val="single" w:sz="4" w:space="0" w:color="FFFFFF"/>
            </w:tcBorders>
            <w:shd w:val="clear" w:color="auto" w:fill="FFFFFF"/>
            <w:vAlign w:val="bottom"/>
          </w:tcPr>
          <w:p w14:paraId="0F2BC992" w14:textId="0E9F3CEF" w:rsidR="00E01E3A" w:rsidRPr="005C14E6" w:rsidRDefault="00E01E3A" w:rsidP="009E6E1B">
            <w:pPr>
              <w:pStyle w:val="CETBodytext"/>
              <w:spacing w:line="240" w:lineRule="auto"/>
              <w:jc w:val="right"/>
              <w:rPr>
                <w:rFonts w:cs="Arial"/>
                <w:szCs w:val="18"/>
              </w:rPr>
            </w:pPr>
            <w:r w:rsidRPr="005C14E6">
              <w:rPr>
                <w:rFonts w:cs="Arial"/>
                <w:szCs w:val="18"/>
              </w:rPr>
              <w:t>14.5</w:t>
            </w:r>
            <w:r w:rsidR="0043597F">
              <w:rPr>
                <w:rFonts w:cs="Arial"/>
                <w:szCs w:val="18"/>
              </w:rPr>
              <w:t>±</w:t>
            </w:r>
            <w:r w:rsidR="00C300E9">
              <w:rPr>
                <w:rFonts w:cs="Arial"/>
                <w:szCs w:val="18"/>
              </w:rPr>
              <w:t>0.4</w:t>
            </w:r>
          </w:p>
        </w:tc>
      </w:tr>
      <w:tr w:rsidR="00E01E3A" w:rsidRPr="00B57B36" w14:paraId="0052F8BB" w14:textId="77777777" w:rsidTr="00E33456">
        <w:tc>
          <w:tcPr>
            <w:tcW w:w="830" w:type="dxa"/>
            <w:tcBorders>
              <w:top w:val="single" w:sz="4" w:space="0" w:color="FFFFFF"/>
              <w:bottom w:val="single" w:sz="4" w:space="0" w:color="FFFFFF"/>
            </w:tcBorders>
            <w:shd w:val="clear" w:color="auto" w:fill="FFFFFF"/>
          </w:tcPr>
          <w:p w14:paraId="4DCCDED9" w14:textId="77777777" w:rsidR="00E01E3A" w:rsidRPr="00B57B36" w:rsidRDefault="00E01E3A" w:rsidP="009E6E1B">
            <w:pPr>
              <w:pStyle w:val="CETBodytext"/>
              <w:ind w:right="-1"/>
              <w:rPr>
                <w:rFonts w:cs="Arial"/>
                <w:szCs w:val="18"/>
                <w:lang w:val="en-GB"/>
              </w:rPr>
            </w:pPr>
          </w:p>
        </w:tc>
        <w:tc>
          <w:tcPr>
            <w:tcW w:w="446" w:type="dxa"/>
            <w:tcBorders>
              <w:top w:val="single" w:sz="4" w:space="0" w:color="FFFFFF"/>
              <w:bottom w:val="single" w:sz="4" w:space="0" w:color="008000"/>
            </w:tcBorders>
            <w:shd w:val="clear" w:color="auto" w:fill="FFFFFF"/>
          </w:tcPr>
          <w:p w14:paraId="478E002D" w14:textId="77777777" w:rsidR="00E01E3A" w:rsidRPr="005C14E6" w:rsidRDefault="00E01E3A" w:rsidP="009E6E1B">
            <w:pPr>
              <w:pStyle w:val="CETBodytext"/>
              <w:spacing w:line="240" w:lineRule="auto"/>
              <w:rPr>
                <w:rFonts w:cs="Arial"/>
                <w:szCs w:val="18"/>
              </w:rPr>
            </w:pPr>
          </w:p>
        </w:tc>
        <w:tc>
          <w:tcPr>
            <w:tcW w:w="1833" w:type="dxa"/>
            <w:tcBorders>
              <w:top w:val="single" w:sz="4" w:space="0" w:color="FFFFFF"/>
              <w:bottom w:val="single" w:sz="4" w:space="0" w:color="008000"/>
            </w:tcBorders>
            <w:shd w:val="clear" w:color="auto" w:fill="FFFFFF"/>
          </w:tcPr>
          <w:p w14:paraId="2DA993EB" w14:textId="77777777" w:rsidR="00E01E3A" w:rsidRPr="005C14E6" w:rsidRDefault="00E01E3A" w:rsidP="009E6E1B">
            <w:pPr>
              <w:pStyle w:val="CETBodytext"/>
              <w:spacing w:line="240" w:lineRule="auto"/>
              <w:rPr>
                <w:rFonts w:cs="Arial"/>
                <w:szCs w:val="18"/>
              </w:rPr>
            </w:pPr>
          </w:p>
        </w:tc>
        <w:tc>
          <w:tcPr>
            <w:tcW w:w="949" w:type="dxa"/>
            <w:gridSpan w:val="2"/>
            <w:tcBorders>
              <w:top w:val="single" w:sz="4" w:space="0" w:color="FFFFFF"/>
              <w:bottom w:val="single" w:sz="4" w:space="0" w:color="008000"/>
            </w:tcBorders>
            <w:shd w:val="clear" w:color="auto" w:fill="FFFFFF"/>
          </w:tcPr>
          <w:p w14:paraId="5D9C627B" w14:textId="77777777" w:rsidR="00E01E3A" w:rsidRPr="005C14E6" w:rsidRDefault="00E01E3A" w:rsidP="009E6E1B">
            <w:pPr>
              <w:pStyle w:val="CETBodytext"/>
              <w:spacing w:line="240" w:lineRule="auto"/>
              <w:jc w:val="left"/>
              <w:rPr>
                <w:rFonts w:cs="Arial"/>
                <w:szCs w:val="18"/>
              </w:rPr>
            </w:pPr>
            <w:r w:rsidRPr="005C14E6">
              <w:rPr>
                <w:rFonts w:cs="Arial"/>
                <w:szCs w:val="18"/>
              </w:rPr>
              <w:t>25</w:t>
            </w:r>
          </w:p>
        </w:tc>
        <w:tc>
          <w:tcPr>
            <w:tcW w:w="762" w:type="dxa"/>
            <w:tcBorders>
              <w:top w:val="single" w:sz="4" w:space="0" w:color="FFFFFF"/>
              <w:bottom w:val="single" w:sz="4" w:space="0" w:color="008000"/>
            </w:tcBorders>
            <w:shd w:val="clear" w:color="auto" w:fill="FFFFFF"/>
            <w:vAlign w:val="bottom"/>
          </w:tcPr>
          <w:p w14:paraId="537AE6CB" w14:textId="6C6B00A7" w:rsidR="00E01E3A" w:rsidRPr="005C14E6" w:rsidRDefault="00E01E3A" w:rsidP="009E6E1B">
            <w:pPr>
              <w:pStyle w:val="CETBodytext"/>
              <w:spacing w:line="240" w:lineRule="auto"/>
              <w:jc w:val="right"/>
              <w:rPr>
                <w:rFonts w:cs="Arial"/>
                <w:szCs w:val="18"/>
              </w:rPr>
            </w:pPr>
            <w:r w:rsidRPr="005C14E6">
              <w:rPr>
                <w:rFonts w:cs="Arial"/>
                <w:szCs w:val="18"/>
              </w:rPr>
              <w:t>0.0</w:t>
            </w:r>
            <w:r w:rsidR="0043597F">
              <w:rPr>
                <w:rFonts w:cs="Arial"/>
                <w:szCs w:val="18"/>
              </w:rPr>
              <w:t>±</w:t>
            </w:r>
            <w:r w:rsidR="0043597F" w:rsidRPr="005C14E6">
              <w:rPr>
                <w:rFonts w:cs="Arial"/>
                <w:szCs w:val="18"/>
              </w:rPr>
              <w:t>0.0</w:t>
            </w:r>
          </w:p>
        </w:tc>
        <w:tc>
          <w:tcPr>
            <w:tcW w:w="850" w:type="dxa"/>
            <w:tcBorders>
              <w:top w:val="single" w:sz="4" w:space="0" w:color="FFFFFF"/>
              <w:bottom w:val="single" w:sz="4" w:space="0" w:color="008000"/>
            </w:tcBorders>
            <w:shd w:val="clear" w:color="auto" w:fill="FFFFFF"/>
            <w:vAlign w:val="bottom"/>
          </w:tcPr>
          <w:p w14:paraId="2CF4D8FB" w14:textId="3281DC67" w:rsidR="00E01E3A" w:rsidRPr="005C14E6" w:rsidRDefault="00E01E3A" w:rsidP="00C300E9">
            <w:pPr>
              <w:pStyle w:val="CETBodytext"/>
              <w:spacing w:line="240" w:lineRule="auto"/>
              <w:jc w:val="right"/>
              <w:rPr>
                <w:rFonts w:cs="Arial"/>
                <w:szCs w:val="18"/>
              </w:rPr>
            </w:pPr>
            <w:r w:rsidRPr="005C14E6">
              <w:rPr>
                <w:rFonts w:cs="Arial"/>
                <w:szCs w:val="18"/>
              </w:rPr>
              <w:t>3.9</w:t>
            </w:r>
            <w:r w:rsidR="0043597F">
              <w:rPr>
                <w:rFonts w:cs="Arial"/>
                <w:szCs w:val="18"/>
              </w:rPr>
              <w:t>±</w:t>
            </w:r>
            <w:r w:rsidR="0043597F" w:rsidRPr="005C14E6">
              <w:rPr>
                <w:rFonts w:cs="Arial"/>
                <w:szCs w:val="18"/>
              </w:rPr>
              <w:t>0.</w:t>
            </w:r>
            <w:r w:rsidR="00C300E9">
              <w:rPr>
                <w:rFonts w:cs="Arial"/>
                <w:szCs w:val="18"/>
              </w:rPr>
              <w:t>1</w:t>
            </w:r>
          </w:p>
        </w:tc>
        <w:tc>
          <w:tcPr>
            <w:tcW w:w="851" w:type="dxa"/>
            <w:tcBorders>
              <w:top w:val="single" w:sz="4" w:space="0" w:color="FFFFFF"/>
              <w:bottom w:val="single" w:sz="4" w:space="0" w:color="008000"/>
            </w:tcBorders>
            <w:shd w:val="clear" w:color="auto" w:fill="FFFFFF"/>
            <w:vAlign w:val="bottom"/>
          </w:tcPr>
          <w:p w14:paraId="4834E9DA" w14:textId="3B8E0CF9" w:rsidR="00E01E3A" w:rsidRPr="005C14E6" w:rsidRDefault="00E01E3A" w:rsidP="009E6E1B">
            <w:pPr>
              <w:pStyle w:val="CETBodytext"/>
              <w:spacing w:line="240" w:lineRule="auto"/>
              <w:jc w:val="right"/>
              <w:rPr>
                <w:rFonts w:cs="Arial"/>
                <w:szCs w:val="18"/>
              </w:rPr>
            </w:pPr>
            <w:r w:rsidRPr="005C14E6">
              <w:rPr>
                <w:rFonts w:cs="Arial"/>
                <w:szCs w:val="18"/>
              </w:rPr>
              <w:t>16.9</w:t>
            </w:r>
            <w:r w:rsidR="0043597F">
              <w:rPr>
                <w:rFonts w:cs="Arial"/>
                <w:szCs w:val="18"/>
              </w:rPr>
              <w:t>±</w:t>
            </w:r>
            <w:r w:rsidR="00C300E9">
              <w:rPr>
                <w:rFonts w:cs="Arial"/>
                <w:szCs w:val="18"/>
              </w:rPr>
              <w:t>0.5</w:t>
            </w:r>
          </w:p>
        </w:tc>
        <w:tc>
          <w:tcPr>
            <w:tcW w:w="850" w:type="dxa"/>
            <w:tcBorders>
              <w:top w:val="single" w:sz="4" w:space="0" w:color="FFFFFF"/>
              <w:bottom w:val="single" w:sz="4" w:space="0" w:color="008000"/>
            </w:tcBorders>
            <w:shd w:val="clear" w:color="auto" w:fill="FFFFFF"/>
            <w:vAlign w:val="bottom"/>
          </w:tcPr>
          <w:p w14:paraId="30FC33C7" w14:textId="732B4403" w:rsidR="00E01E3A" w:rsidRPr="005C14E6" w:rsidRDefault="00E01E3A" w:rsidP="009E6E1B">
            <w:pPr>
              <w:pStyle w:val="CETBodytext"/>
              <w:spacing w:line="240" w:lineRule="auto"/>
              <w:jc w:val="right"/>
              <w:rPr>
                <w:rFonts w:cs="Arial"/>
                <w:szCs w:val="18"/>
              </w:rPr>
            </w:pPr>
            <w:r w:rsidRPr="005C14E6">
              <w:rPr>
                <w:rFonts w:cs="Arial"/>
                <w:szCs w:val="18"/>
              </w:rPr>
              <w:t>64.1</w:t>
            </w:r>
            <w:r w:rsidR="0043597F">
              <w:rPr>
                <w:rFonts w:cs="Arial"/>
                <w:szCs w:val="18"/>
              </w:rPr>
              <w:t>±</w:t>
            </w:r>
            <w:r w:rsidR="00C300E9">
              <w:rPr>
                <w:rFonts w:cs="Arial"/>
                <w:szCs w:val="18"/>
              </w:rPr>
              <w:t>1.9</w:t>
            </w:r>
          </w:p>
        </w:tc>
        <w:tc>
          <w:tcPr>
            <w:tcW w:w="851" w:type="dxa"/>
            <w:tcBorders>
              <w:top w:val="single" w:sz="4" w:space="0" w:color="FFFFFF"/>
              <w:bottom w:val="single" w:sz="4" w:space="0" w:color="008000"/>
            </w:tcBorders>
            <w:shd w:val="clear" w:color="auto" w:fill="FFFFFF"/>
            <w:vAlign w:val="bottom"/>
          </w:tcPr>
          <w:p w14:paraId="565B1C21" w14:textId="0DF159BF" w:rsidR="00E01E3A" w:rsidRPr="005C14E6" w:rsidRDefault="00E01E3A" w:rsidP="009E6E1B">
            <w:pPr>
              <w:pStyle w:val="CETBodytext"/>
              <w:spacing w:line="240" w:lineRule="auto"/>
              <w:jc w:val="right"/>
              <w:rPr>
                <w:rFonts w:cs="Arial"/>
                <w:szCs w:val="18"/>
              </w:rPr>
            </w:pPr>
            <w:r w:rsidRPr="005C14E6">
              <w:rPr>
                <w:rFonts w:cs="Arial"/>
                <w:szCs w:val="18"/>
              </w:rPr>
              <w:t>15.1</w:t>
            </w:r>
            <w:r w:rsidR="0043597F">
              <w:rPr>
                <w:rFonts w:cs="Arial"/>
                <w:szCs w:val="18"/>
              </w:rPr>
              <w:t>±</w:t>
            </w:r>
            <w:r w:rsidR="00C300E9">
              <w:rPr>
                <w:rFonts w:cs="Arial"/>
                <w:szCs w:val="18"/>
              </w:rPr>
              <w:t>0.5</w:t>
            </w:r>
          </w:p>
        </w:tc>
      </w:tr>
      <w:tr w:rsidR="00E01E3A" w:rsidRPr="00B57B36" w14:paraId="6D44182F" w14:textId="77777777" w:rsidTr="00E33456">
        <w:tc>
          <w:tcPr>
            <w:tcW w:w="830" w:type="dxa"/>
            <w:tcBorders>
              <w:top w:val="single" w:sz="4" w:space="0" w:color="FFFFFF"/>
              <w:bottom w:val="single" w:sz="4" w:space="0" w:color="FFFFFF"/>
            </w:tcBorders>
            <w:shd w:val="clear" w:color="auto" w:fill="FFFFFF"/>
          </w:tcPr>
          <w:p w14:paraId="0A1CD024" w14:textId="77777777" w:rsidR="00E01E3A" w:rsidRPr="00B57B36" w:rsidRDefault="00E01E3A" w:rsidP="009E6E1B">
            <w:pPr>
              <w:pStyle w:val="CETBodytext"/>
              <w:ind w:right="-1"/>
              <w:rPr>
                <w:rFonts w:cs="Arial"/>
                <w:szCs w:val="18"/>
                <w:lang w:val="en-GB"/>
              </w:rPr>
            </w:pPr>
          </w:p>
        </w:tc>
        <w:tc>
          <w:tcPr>
            <w:tcW w:w="446" w:type="dxa"/>
            <w:tcBorders>
              <w:top w:val="single" w:sz="4" w:space="0" w:color="008000"/>
              <w:bottom w:val="single" w:sz="4" w:space="0" w:color="FFFFFF"/>
            </w:tcBorders>
            <w:shd w:val="clear" w:color="auto" w:fill="FFFFFF"/>
          </w:tcPr>
          <w:p w14:paraId="0E699D05" w14:textId="77777777" w:rsidR="00E01E3A" w:rsidRPr="005C14E6" w:rsidRDefault="00E01E3A" w:rsidP="009E6E1B">
            <w:pPr>
              <w:pStyle w:val="CETBodytext"/>
              <w:spacing w:line="240" w:lineRule="auto"/>
              <w:rPr>
                <w:rFonts w:cs="Arial"/>
                <w:szCs w:val="18"/>
              </w:rPr>
            </w:pPr>
            <w:r w:rsidRPr="005C14E6">
              <w:rPr>
                <w:rFonts w:cs="Arial"/>
                <w:szCs w:val="18"/>
              </w:rPr>
              <w:t>D</w:t>
            </w:r>
          </w:p>
        </w:tc>
        <w:tc>
          <w:tcPr>
            <w:tcW w:w="1833" w:type="dxa"/>
            <w:tcBorders>
              <w:top w:val="single" w:sz="4" w:space="0" w:color="008000"/>
              <w:bottom w:val="single" w:sz="4" w:space="0" w:color="FFFFFF"/>
            </w:tcBorders>
            <w:shd w:val="clear" w:color="auto" w:fill="FFFFFF"/>
          </w:tcPr>
          <w:p w14:paraId="04B9838E" w14:textId="77777777" w:rsidR="00E01E3A" w:rsidRPr="005C14E6" w:rsidRDefault="00E01E3A" w:rsidP="009E6E1B">
            <w:pPr>
              <w:pStyle w:val="CETBodytext"/>
              <w:spacing w:line="240" w:lineRule="auto"/>
              <w:rPr>
                <w:rFonts w:cs="Arial"/>
                <w:szCs w:val="18"/>
              </w:rPr>
            </w:pPr>
            <w:r w:rsidRPr="005C14E6">
              <w:rPr>
                <w:rFonts w:cs="Arial"/>
                <w:szCs w:val="18"/>
              </w:rPr>
              <w:t>Concentration</w:t>
            </w:r>
          </w:p>
        </w:tc>
        <w:tc>
          <w:tcPr>
            <w:tcW w:w="949" w:type="dxa"/>
            <w:gridSpan w:val="2"/>
            <w:tcBorders>
              <w:top w:val="single" w:sz="4" w:space="0" w:color="008000"/>
              <w:bottom w:val="single" w:sz="4" w:space="0" w:color="FFFFFF"/>
            </w:tcBorders>
            <w:shd w:val="clear" w:color="auto" w:fill="FFFFFF"/>
          </w:tcPr>
          <w:p w14:paraId="5BF89266" w14:textId="77777777" w:rsidR="00E01E3A" w:rsidRPr="005C14E6" w:rsidRDefault="00E01E3A" w:rsidP="009E6E1B">
            <w:pPr>
              <w:pStyle w:val="CETBodytext"/>
              <w:spacing w:line="240" w:lineRule="auto"/>
              <w:jc w:val="left"/>
              <w:rPr>
                <w:rFonts w:cs="Arial"/>
                <w:szCs w:val="18"/>
              </w:rPr>
            </w:pPr>
            <w:r w:rsidRPr="005C14E6">
              <w:rPr>
                <w:rFonts w:cs="Arial"/>
                <w:szCs w:val="18"/>
              </w:rPr>
              <w:t>15</w:t>
            </w:r>
          </w:p>
        </w:tc>
        <w:tc>
          <w:tcPr>
            <w:tcW w:w="762" w:type="dxa"/>
            <w:tcBorders>
              <w:top w:val="single" w:sz="4" w:space="0" w:color="008000"/>
              <w:bottom w:val="single" w:sz="4" w:space="0" w:color="FFFFFF"/>
            </w:tcBorders>
            <w:shd w:val="clear" w:color="auto" w:fill="FFFFFF"/>
            <w:vAlign w:val="bottom"/>
          </w:tcPr>
          <w:p w14:paraId="6A1530E6" w14:textId="6004E633" w:rsidR="00E01E3A" w:rsidRPr="005C14E6" w:rsidRDefault="00E01E3A" w:rsidP="009E6E1B">
            <w:pPr>
              <w:pStyle w:val="CETBodytext"/>
              <w:spacing w:line="240" w:lineRule="auto"/>
              <w:jc w:val="right"/>
              <w:rPr>
                <w:rFonts w:cs="Arial"/>
                <w:szCs w:val="18"/>
              </w:rPr>
            </w:pPr>
            <w:r w:rsidRPr="005C14E6">
              <w:rPr>
                <w:rFonts w:cs="Arial"/>
                <w:szCs w:val="18"/>
              </w:rPr>
              <w:t>0.0</w:t>
            </w:r>
            <w:r w:rsidR="0043597F">
              <w:rPr>
                <w:rFonts w:cs="Arial"/>
                <w:szCs w:val="18"/>
              </w:rPr>
              <w:t>±</w:t>
            </w:r>
            <w:r w:rsidR="0043597F" w:rsidRPr="005C14E6">
              <w:rPr>
                <w:rFonts w:cs="Arial"/>
                <w:szCs w:val="18"/>
              </w:rPr>
              <w:t>0.0</w:t>
            </w:r>
          </w:p>
        </w:tc>
        <w:tc>
          <w:tcPr>
            <w:tcW w:w="850" w:type="dxa"/>
            <w:tcBorders>
              <w:top w:val="single" w:sz="4" w:space="0" w:color="008000"/>
              <w:bottom w:val="single" w:sz="4" w:space="0" w:color="FFFFFF"/>
            </w:tcBorders>
            <w:shd w:val="clear" w:color="auto" w:fill="FFFFFF"/>
            <w:vAlign w:val="bottom"/>
          </w:tcPr>
          <w:p w14:paraId="4A01E7FB" w14:textId="5D366388" w:rsidR="00E01E3A" w:rsidRPr="005C14E6" w:rsidRDefault="00E01E3A" w:rsidP="009E6E1B">
            <w:pPr>
              <w:pStyle w:val="CETBodytext"/>
              <w:spacing w:line="240" w:lineRule="auto"/>
              <w:jc w:val="right"/>
              <w:rPr>
                <w:rFonts w:cs="Arial"/>
                <w:szCs w:val="18"/>
              </w:rPr>
            </w:pPr>
            <w:r w:rsidRPr="005C14E6">
              <w:rPr>
                <w:rFonts w:cs="Arial"/>
                <w:szCs w:val="18"/>
              </w:rPr>
              <w:t>0.0</w:t>
            </w:r>
            <w:r w:rsidR="0043597F">
              <w:rPr>
                <w:rFonts w:cs="Arial"/>
                <w:szCs w:val="18"/>
              </w:rPr>
              <w:t>±</w:t>
            </w:r>
            <w:r w:rsidR="0043597F" w:rsidRPr="005C14E6">
              <w:rPr>
                <w:rFonts w:cs="Arial"/>
                <w:szCs w:val="18"/>
              </w:rPr>
              <w:t>0.0</w:t>
            </w:r>
          </w:p>
        </w:tc>
        <w:tc>
          <w:tcPr>
            <w:tcW w:w="851" w:type="dxa"/>
            <w:tcBorders>
              <w:top w:val="single" w:sz="4" w:space="0" w:color="008000"/>
              <w:bottom w:val="single" w:sz="4" w:space="0" w:color="FFFFFF"/>
            </w:tcBorders>
            <w:shd w:val="clear" w:color="auto" w:fill="FFFFFF"/>
            <w:vAlign w:val="bottom"/>
          </w:tcPr>
          <w:p w14:paraId="462D6EC3" w14:textId="53948612" w:rsidR="00E01E3A" w:rsidRPr="005C14E6" w:rsidRDefault="00E01E3A" w:rsidP="009E6E1B">
            <w:pPr>
              <w:pStyle w:val="CETBodytext"/>
              <w:spacing w:line="240" w:lineRule="auto"/>
              <w:jc w:val="right"/>
              <w:rPr>
                <w:rFonts w:cs="Arial"/>
                <w:szCs w:val="18"/>
              </w:rPr>
            </w:pPr>
            <w:r w:rsidRPr="005C14E6">
              <w:rPr>
                <w:rFonts w:cs="Arial"/>
                <w:szCs w:val="18"/>
              </w:rPr>
              <w:t>7.1</w:t>
            </w:r>
            <w:r w:rsidR="0043597F">
              <w:rPr>
                <w:rFonts w:cs="Arial"/>
                <w:szCs w:val="18"/>
              </w:rPr>
              <w:t>±</w:t>
            </w:r>
            <w:r w:rsidR="00C300E9">
              <w:rPr>
                <w:rFonts w:cs="Arial"/>
                <w:szCs w:val="18"/>
              </w:rPr>
              <w:t>0.2</w:t>
            </w:r>
          </w:p>
        </w:tc>
        <w:tc>
          <w:tcPr>
            <w:tcW w:w="850" w:type="dxa"/>
            <w:tcBorders>
              <w:top w:val="single" w:sz="4" w:space="0" w:color="008000"/>
              <w:bottom w:val="single" w:sz="4" w:space="0" w:color="FFFFFF"/>
            </w:tcBorders>
            <w:shd w:val="clear" w:color="auto" w:fill="FFFFFF"/>
            <w:vAlign w:val="bottom"/>
          </w:tcPr>
          <w:p w14:paraId="57FEFBDD" w14:textId="5DDD22F2" w:rsidR="00E01E3A" w:rsidRPr="005C14E6" w:rsidRDefault="00E01E3A" w:rsidP="009E6E1B">
            <w:pPr>
              <w:pStyle w:val="CETBodytext"/>
              <w:spacing w:line="240" w:lineRule="auto"/>
              <w:jc w:val="right"/>
              <w:rPr>
                <w:rFonts w:cs="Arial"/>
                <w:szCs w:val="18"/>
              </w:rPr>
            </w:pPr>
            <w:r w:rsidRPr="005C14E6">
              <w:rPr>
                <w:rFonts w:cs="Arial"/>
                <w:szCs w:val="18"/>
              </w:rPr>
              <w:t>82.8</w:t>
            </w:r>
            <w:r w:rsidR="0043597F">
              <w:rPr>
                <w:rFonts w:cs="Arial"/>
                <w:szCs w:val="18"/>
              </w:rPr>
              <w:t>±</w:t>
            </w:r>
            <w:r w:rsidR="00C300E9">
              <w:rPr>
                <w:rFonts w:cs="Arial"/>
                <w:szCs w:val="18"/>
              </w:rPr>
              <w:t>2.5</w:t>
            </w:r>
          </w:p>
        </w:tc>
        <w:tc>
          <w:tcPr>
            <w:tcW w:w="851" w:type="dxa"/>
            <w:tcBorders>
              <w:top w:val="single" w:sz="4" w:space="0" w:color="008000"/>
              <w:bottom w:val="single" w:sz="4" w:space="0" w:color="FFFFFF"/>
            </w:tcBorders>
            <w:shd w:val="clear" w:color="auto" w:fill="FFFFFF"/>
            <w:vAlign w:val="bottom"/>
          </w:tcPr>
          <w:p w14:paraId="6C1142FF" w14:textId="7F0C9B59" w:rsidR="00E01E3A" w:rsidRPr="005C14E6" w:rsidRDefault="00E01E3A" w:rsidP="009E6E1B">
            <w:pPr>
              <w:pStyle w:val="CETBodytext"/>
              <w:spacing w:line="240" w:lineRule="auto"/>
              <w:jc w:val="right"/>
              <w:rPr>
                <w:rFonts w:cs="Arial"/>
                <w:szCs w:val="18"/>
              </w:rPr>
            </w:pPr>
            <w:r w:rsidRPr="005C14E6">
              <w:rPr>
                <w:rFonts w:cs="Arial"/>
                <w:szCs w:val="18"/>
              </w:rPr>
              <w:t>10.1</w:t>
            </w:r>
            <w:r w:rsidR="0043597F">
              <w:rPr>
                <w:rFonts w:cs="Arial"/>
                <w:szCs w:val="18"/>
              </w:rPr>
              <w:t>±</w:t>
            </w:r>
            <w:r w:rsidR="00C300E9">
              <w:rPr>
                <w:rFonts w:cs="Arial"/>
                <w:szCs w:val="18"/>
              </w:rPr>
              <w:t>0.3</w:t>
            </w:r>
          </w:p>
        </w:tc>
      </w:tr>
      <w:tr w:rsidR="00E01E3A" w:rsidRPr="00B57B36" w14:paraId="17B963B2" w14:textId="77777777" w:rsidTr="00E33456">
        <w:tc>
          <w:tcPr>
            <w:tcW w:w="830" w:type="dxa"/>
            <w:tcBorders>
              <w:top w:val="single" w:sz="4" w:space="0" w:color="FFFFFF"/>
              <w:bottom w:val="single" w:sz="12" w:space="0" w:color="008000"/>
            </w:tcBorders>
            <w:shd w:val="clear" w:color="auto" w:fill="FFFFFF"/>
          </w:tcPr>
          <w:p w14:paraId="6860C479" w14:textId="77777777" w:rsidR="00E01E3A" w:rsidRPr="00B57B36" w:rsidRDefault="00E01E3A" w:rsidP="009E6E1B">
            <w:pPr>
              <w:pStyle w:val="CETBodytext"/>
              <w:ind w:right="-1"/>
              <w:rPr>
                <w:rFonts w:cs="Arial"/>
                <w:szCs w:val="18"/>
                <w:lang w:val="en-GB"/>
              </w:rPr>
            </w:pPr>
          </w:p>
        </w:tc>
        <w:tc>
          <w:tcPr>
            <w:tcW w:w="446" w:type="dxa"/>
            <w:tcBorders>
              <w:top w:val="single" w:sz="4" w:space="0" w:color="FFFFFF"/>
              <w:bottom w:val="single" w:sz="12" w:space="0" w:color="008000"/>
            </w:tcBorders>
            <w:shd w:val="clear" w:color="auto" w:fill="FFFFFF"/>
          </w:tcPr>
          <w:p w14:paraId="635E4A78" w14:textId="77777777" w:rsidR="00E01E3A" w:rsidRPr="004637FD" w:rsidRDefault="00E01E3A" w:rsidP="009E6E1B">
            <w:pPr>
              <w:pStyle w:val="CETBodytext"/>
              <w:ind w:right="-1"/>
              <w:rPr>
                <w:rFonts w:cs="Arial"/>
                <w:szCs w:val="18"/>
                <w:lang w:val="en-GB"/>
              </w:rPr>
            </w:pPr>
          </w:p>
        </w:tc>
        <w:tc>
          <w:tcPr>
            <w:tcW w:w="1833" w:type="dxa"/>
            <w:tcBorders>
              <w:top w:val="single" w:sz="4" w:space="0" w:color="FFFFFF"/>
              <w:bottom w:val="single" w:sz="12" w:space="0" w:color="008000"/>
            </w:tcBorders>
            <w:shd w:val="clear" w:color="auto" w:fill="FFFFFF"/>
          </w:tcPr>
          <w:p w14:paraId="335BC8BE" w14:textId="77777777" w:rsidR="00E01E3A" w:rsidRPr="004637FD" w:rsidRDefault="00E01E3A" w:rsidP="009E6E1B">
            <w:pPr>
              <w:pStyle w:val="CETBodytext"/>
              <w:ind w:right="-1"/>
              <w:rPr>
                <w:rFonts w:cs="Arial"/>
                <w:szCs w:val="18"/>
                <w:lang w:val="en-GB"/>
              </w:rPr>
            </w:pPr>
          </w:p>
        </w:tc>
        <w:tc>
          <w:tcPr>
            <w:tcW w:w="949" w:type="dxa"/>
            <w:gridSpan w:val="2"/>
            <w:tcBorders>
              <w:top w:val="single" w:sz="4" w:space="0" w:color="FFFFFF"/>
              <w:bottom w:val="single" w:sz="12" w:space="0" w:color="008000"/>
            </w:tcBorders>
            <w:shd w:val="clear" w:color="auto" w:fill="FFFFFF"/>
          </w:tcPr>
          <w:p w14:paraId="6330F11F" w14:textId="77777777" w:rsidR="00E01E3A" w:rsidRPr="004637FD" w:rsidRDefault="00E01E3A" w:rsidP="009E6E1B">
            <w:pPr>
              <w:pStyle w:val="CETBodytext"/>
              <w:ind w:right="-1"/>
              <w:rPr>
                <w:rFonts w:cs="Arial"/>
                <w:szCs w:val="18"/>
                <w:lang w:val="en-GB"/>
              </w:rPr>
            </w:pPr>
            <w:r w:rsidRPr="004637FD">
              <w:rPr>
                <w:rFonts w:cs="Arial"/>
                <w:szCs w:val="18"/>
                <w:lang w:val="en-GB"/>
              </w:rPr>
              <w:t>25</w:t>
            </w:r>
          </w:p>
        </w:tc>
        <w:tc>
          <w:tcPr>
            <w:tcW w:w="762" w:type="dxa"/>
            <w:tcBorders>
              <w:top w:val="single" w:sz="4" w:space="0" w:color="FFFFFF"/>
              <w:bottom w:val="single" w:sz="12" w:space="0" w:color="008000"/>
            </w:tcBorders>
            <w:shd w:val="clear" w:color="auto" w:fill="FFFFFF"/>
            <w:vAlign w:val="bottom"/>
          </w:tcPr>
          <w:p w14:paraId="679F12C4" w14:textId="37002325" w:rsidR="00E01E3A" w:rsidRPr="004637FD" w:rsidRDefault="00E01E3A" w:rsidP="009E6E1B">
            <w:pPr>
              <w:pStyle w:val="CETBodytext"/>
              <w:ind w:right="-1"/>
              <w:jc w:val="right"/>
              <w:rPr>
                <w:rFonts w:cs="Arial"/>
                <w:szCs w:val="18"/>
                <w:lang w:val="en-GB"/>
              </w:rPr>
            </w:pPr>
            <w:r w:rsidRPr="004637FD">
              <w:rPr>
                <w:rFonts w:cs="Arial"/>
                <w:szCs w:val="18"/>
                <w:lang w:val="en-GB"/>
              </w:rPr>
              <w:t>0.0</w:t>
            </w:r>
            <w:r w:rsidR="0043597F">
              <w:rPr>
                <w:rFonts w:cs="Arial"/>
                <w:szCs w:val="18"/>
              </w:rPr>
              <w:t>±</w:t>
            </w:r>
            <w:r w:rsidR="0043597F" w:rsidRPr="005C14E6">
              <w:rPr>
                <w:rFonts w:cs="Arial"/>
                <w:szCs w:val="18"/>
              </w:rPr>
              <w:t>0.0</w:t>
            </w:r>
          </w:p>
        </w:tc>
        <w:tc>
          <w:tcPr>
            <w:tcW w:w="850" w:type="dxa"/>
            <w:tcBorders>
              <w:top w:val="single" w:sz="4" w:space="0" w:color="FFFFFF"/>
              <w:bottom w:val="single" w:sz="12" w:space="0" w:color="008000"/>
            </w:tcBorders>
            <w:shd w:val="clear" w:color="auto" w:fill="FFFFFF"/>
            <w:vAlign w:val="bottom"/>
          </w:tcPr>
          <w:p w14:paraId="5C9FE79B" w14:textId="0A954A87" w:rsidR="00E01E3A" w:rsidRPr="004637FD" w:rsidRDefault="00E01E3A" w:rsidP="009E6E1B">
            <w:pPr>
              <w:pStyle w:val="CETBodytext"/>
              <w:ind w:right="-1"/>
              <w:jc w:val="right"/>
              <w:rPr>
                <w:rFonts w:cs="Arial"/>
                <w:szCs w:val="18"/>
                <w:lang w:val="en-GB"/>
              </w:rPr>
            </w:pPr>
            <w:r w:rsidRPr="004637FD">
              <w:rPr>
                <w:rFonts w:cs="Arial"/>
                <w:szCs w:val="18"/>
                <w:lang w:val="en-GB"/>
              </w:rPr>
              <w:t>0.0</w:t>
            </w:r>
            <w:r w:rsidR="0043597F">
              <w:rPr>
                <w:rFonts w:cs="Arial"/>
                <w:szCs w:val="18"/>
              </w:rPr>
              <w:t>±</w:t>
            </w:r>
            <w:r w:rsidR="0043597F" w:rsidRPr="005C14E6">
              <w:rPr>
                <w:rFonts w:cs="Arial"/>
                <w:szCs w:val="18"/>
              </w:rPr>
              <w:t>0.0</w:t>
            </w:r>
          </w:p>
        </w:tc>
        <w:tc>
          <w:tcPr>
            <w:tcW w:w="851" w:type="dxa"/>
            <w:tcBorders>
              <w:top w:val="single" w:sz="4" w:space="0" w:color="FFFFFF"/>
              <w:bottom w:val="single" w:sz="12" w:space="0" w:color="008000"/>
            </w:tcBorders>
            <w:shd w:val="clear" w:color="auto" w:fill="FFFFFF"/>
            <w:vAlign w:val="bottom"/>
          </w:tcPr>
          <w:p w14:paraId="7D850F8E" w14:textId="03E843AC" w:rsidR="00E01E3A" w:rsidRPr="004637FD" w:rsidRDefault="00E01E3A" w:rsidP="009E6E1B">
            <w:pPr>
              <w:pStyle w:val="CETBodytext"/>
              <w:ind w:right="-1"/>
              <w:jc w:val="right"/>
              <w:rPr>
                <w:rFonts w:cs="Arial"/>
                <w:szCs w:val="18"/>
                <w:lang w:val="en-GB"/>
              </w:rPr>
            </w:pPr>
            <w:r w:rsidRPr="004637FD">
              <w:rPr>
                <w:rFonts w:cs="Arial"/>
                <w:szCs w:val="18"/>
                <w:lang w:val="en-GB"/>
              </w:rPr>
              <w:t>7.1</w:t>
            </w:r>
            <w:r w:rsidR="0043597F">
              <w:rPr>
                <w:rFonts w:cs="Arial"/>
                <w:szCs w:val="18"/>
              </w:rPr>
              <w:t>±</w:t>
            </w:r>
            <w:r w:rsidR="00C300E9">
              <w:rPr>
                <w:rFonts w:cs="Arial"/>
                <w:szCs w:val="18"/>
              </w:rPr>
              <w:t>0.2</w:t>
            </w:r>
          </w:p>
        </w:tc>
        <w:tc>
          <w:tcPr>
            <w:tcW w:w="850" w:type="dxa"/>
            <w:tcBorders>
              <w:top w:val="single" w:sz="4" w:space="0" w:color="FFFFFF"/>
              <w:bottom w:val="single" w:sz="12" w:space="0" w:color="008000"/>
            </w:tcBorders>
            <w:shd w:val="clear" w:color="auto" w:fill="FFFFFF"/>
            <w:vAlign w:val="bottom"/>
          </w:tcPr>
          <w:p w14:paraId="74B2AA27" w14:textId="07928D09" w:rsidR="00E01E3A" w:rsidRPr="004637FD" w:rsidRDefault="00E01E3A" w:rsidP="009E6E1B">
            <w:pPr>
              <w:pStyle w:val="CETBodytext"/>
              <w:ind w:right="-1"/>
              <w:jc w:val="right"/>
              <w:rPr>
                <w:rFonts w:cs="Arial"/>
                <w:szCs w:val="18"/>
                <w:lang w:val="en-GB"/>
              </w:rPr>
            </w:pPr>
            <w:r w:rsidRPr="004637FD">
              <w:rPr>
                <w:rFonts w:cs="Arial"/>
                <w:szCs w:val="18"/>
                <w:lang w:val="en-GB"/>
              </w:rPr>
              <w:t>82.7</w:t>
            </w:r>
            <w:r w:rsidR="0043597F">
              <w:rPr>
                <w:rFonts w:cs="Arial"/>
                <w:szCs w:val="18"/>
              </w:rPr>
              <w:t>±</w:t>
            </w:r>
            <w:r w:rsidR="00C300E9">
              <w:rPr>
                <w:rFonts w:cs="Arial"/>
                <w:szCs w:val="18"/>
              </w:rPr>
              <w:t>2.5</w:t>
            </w:r>
          </w:p>
        </w:tc>
        <w:tc>
          <w:tcPr>
            <w:tcW w:w="851" w:type="dxa"/>
            <w:tcBorders>
              <w:top w:val="single" w:sz="4" w:space="0" w:color="FFFFFF"/>
              <w:bottom w:val="single" w:sz="6" w:space="0" w:color="008000"/>
            </w:tcBorders>
            <w:shd w:val="clear" w:color="auto" w:fill="FFFFFF"/>
            <w:vAlign w:val="bottom"/>
          </w:tcPr>
          <w:p w14:paraId="053685D8" w14:textId="21B0908E" w:rsidR="00E01E3A" w:rsidRPr="004637FD" w:rsidRDefault="00E01E3A" w:rsidP="009E6E1B">
            <w:pPr>
              <w:pStyle w:val="CETBodytext"/>
              <w:ind w:right="-1"/>
              <w:jc w:val="right"/>
              <w:rPr>
                <w:rFonts w:cs="Arial"/>
                <w:szCs w:val="18"/>
                <w:lang w:val="en-GB"/>
              </w:rPr>
            </w:pPr>
            <w:r w:rsidRPr="004637FD">
              <w:rPr>
                <w:rFonts w:cs="Arial"/>
                <w:szCs w:val="18"/>
                <w:lang w:val="en-GB"/>
              </w:rPr>
              <w:t>10.2</w:t>
            </w:r>
            <w:r w:rsidR="0043597F">
              <w:rPr>
                <w:rFonts w:cs="Arial"/>
                <w:szCs w:val="18"/>
              </w:rPr>
              <w:t>±</w:t>
            </w:r>
            <w:r w:rsidR="00C300E9">
              <w:rPr>
                <w:rFonts w:cs="Arial"/>
                <w:szCs w:val="18"/>
              </w:rPr>
              <w:t>0.3</w:t>
            </w:r>
          </w:p>
        </w:tc>
      </w:tr>
      <w:tr w:rsidR="00E01E3A" w:rsidRPr="00B57B36" w14:paraId="78FE5ABD" w14:textId="77777777" w:rsidTr="00E33456">
        <w:tc>
          <w:tcPr>
            <w:tcW w:w="830" w:type="dxa"/>
            <w:tcBorders>
              <w:top w:val="single" w:sz="12" w:space="0" w:color="008000"/>
            </w:tcBorders>
            <w:shd w:val="clear" w:color="auto" w:fill="FFFFFF"/>
          </w:tcPr>
          <w:p w14:paraId="3E326E4B" w14:textId="77777777" w:rsidR="00E01E3A" w:rsidRPr="00B57B36" w:rsidRDefault="00E01E3A" w:rsidP="009E6E1B">
            <w:pPr>
              <w:pStyle w:val="CETBodytext"/>
              <w:ind w:right="-1"/>
              <w:rPr>
                <w:rFonts w:cs="Arial"/>
                <w:szCs w:val="18"/>
                <w:lang w:val="en-GB"/>
              </w:rPr>
            </w:pPr>
            <w:r>
              <w:rPr>
                <w:rFonts w:cs="Arial"/>
                <w:szCs w:val="18"/>
                <w:lang w:val="en-GB"/>
              </w:rPr>
              <w:t>RHT</w:t>
            </w:r>
          </w:p>
        </w:tc>
        <w:tc>
          <w:tcPr>
            <w:tcW w:w="446" w:type="dxa"/>
            <w:tcBorders>
              <w:top w:val="single" w:sz="12" w:space="0" w:color="008000"/>
              <w:bottom w:val="single" w:sz="4" w:space="0" w:color="008000"/>
            </w:tcBorders>
            <w:shd w:val="clear" w:color="auto" w:fill="FFFFFF"/>
          </w:tcPr>
          <w:p w14:paraId="2FBE09CA" w14:textId="77777777" w:rsidR="00E01E3A" w:rsidRPr="005C14E6" w:rsidRDefault="00E01E3A" w:rsidP="009E6E1B">
            <w:pPr>
              <w:pStyle w:val="CETBodytext"/>
              <w:spacing w:line="240" w:lineRule="auto"/>
              <w:rPr>
                <w:rFonts w:cs="Arial"/>
                <w:szCs w:val="18"/>
              </w:rPr>
            </w:pPr>
            <w:r w:rsidRPr="005C14E6">
              <w:rPr>
                <w:rFonts w:cs="Arial"/>
                <w:szCs w:val="18"/>
              </w:rPr>
              <w:t>A</w:t>
            </w:r>
          </w:p>
        </w:tc>
        <w:tc>
          <w:tcPr>
            <w:tcW w:w="1833" w:type="dxa"/>
            <w:tcBorders>
              <w:top w:val="single" w:sz="12" w:space="0" w:color="008000"/>
              <w:bottom w:val="single" w:sz="4" w:space="0" w:color="008000"/>
            </w:tcBorders>
            <w:shd w:val="clear" w:color="auto" w:fill="FFFFFF"/>
          </w:tcPr>
          <w:p w14:paraId="288A5C5B" w14:textId="77777777" w:rsidR="00E01E3A" w:rsidRPr="005C14E6" w:rsidRDefault="00E01E3A" w:rsidP="009E6E1B">
            <w:pPr>
              <w:pStyle w:val="CETBodytext"/>
              <w:spacing w:line="240" w:lineRule="auto"/>
              <w:rPr>
                <w:rFonts w:cs="Arial"/>
                <w:szCs w:val="18"/>
              </w:rPr>
            </w:pPr>
            <w:r w:rsidRPr="005C14E6">
              <w:rPr>
                <w:rFonts w:cs="Arial"/>
                <w:szCs w:val="18"/>
              </w:rPr>
              <w:t xml:space="preserve">Fresh </w:t>
            </w:r>
            <w:r w:rsidR="00337C40">
              <w:rPr>
                <w:rFonts w:cs="Arial"/>
                <w:szCs w:val="18"/>
              </w:rPr>
              <w:t>enzyme</w:t>
            </w:r>
          </w:p>
        </w:tc>
        <w:tc>
          <w:tcPr>
            <w:tcW w:w="20" w:type="dxa"/>
            <w:tcBorders>
              <w:top w:val="single" w:sz="12" w:space="0" w:color="008000"/>
              <w:bottom w:val="single" w:sz="4" w:space="0" w:color="008000"/>
            </w:tcBorders>
            <w:shd w:val="clear" w:color="auto" w:fill="FFFFFF"/>
          </w:tcPr>
          <w:p w14:paraId="5F05DDF5" w14:textId="77777777" w:rsidR="00E01E3A" w:rsidRPr="005C14E6" w:rsidRDefault="00E01E3A" w:rsidP="009E6E1B">
            <w:pPr>
              <w:pStyle w:val="CETBodytext"/>
              <w:spacing w:line="240" w:lineRule="auto"/>
              <w:jc w:val="left"/>
              <w:rPr>
                <w:rFonts w:cs="Arial"/>
                <w:szCs w:val="18"/>
              </w:rPr>
            </w:pPr>
          </w:p>
        </w:tc>
        <w:tc>
          <w:tcPr>
            <w:tcW w:w="929" w:type="dxa"/>
            <w:tcBorders>
              <w:top w:val="single" w:sz="12" w:space="0" w:color="008000"/>
              <w:bottom w:val="single" w:sz="4" w:space="0" w:color="008000"/>
            </w:tcBorders>
            <w:shd w:val="clear" w:color="auto" w:fill="FFFFFF"/>
          </w:tcPr>
          <w:p w14:paraId="7F20E41B" w14:textId="77777777" w:rsidR="00E01E3A" w:rsidRPr="005C14E6" w:rsidRDefault="00E01E3A" w:rsidP="009E6E1B">
            <w:pPr>
              <w:pStyle w:val="CETBodytext"/>
              <w:spacing w:line="240" w:lineRule="auto"/>
              <w:jc w:val="left"/>
              <w:rPr>
                <w:rFonts w:cs="Arial"/>
                <w:szCs w:val="18"/>
              </w:rPr>
            </w:pPr>
            <w:r w:rsidRPr="005C14E6">
              <w:rPr>
                <w:rFonts w:cs="Arial"/>
                <w:szCs w:val="18"/>
              </w:rPr>
              <w:t>-</w:t>
            </w:r>
          </w:p>
        </w:tc>
        <w:tc>
          <w:tcPr>
            <w:tcW w:w="762" w:type="dxa"/>
            <w:tcBorders>
              <w:top w:val="single" w:sz="12" w:space="0" w:color="008000"/>
              <w:bottom w:val="single" w:sz="4" w:space="0" w:color="008000"/>
            </w:tcBorders>
            <w:shd w:val="clear" w:color="auto" w:fill="FFFFFF"/>
            <w:vAlign w:val="bottom"/>
          </w:tcPr>
          <w:p w14:paraId="2BDBD36D" w14:textId="1B511C82" w:rsidR="00E01E3A" w:rsidRPr="005C14E6" w:rsidRDefault="00E01E3A" w:rsidP="009E6E1B">
            <w:pPr>
              <w:pStyle w:val="CETBodytext"/>
              <w:spacing w:line="240" w:lineRule="auto"/>
              <w:jc w:val="right"/>
              <w:rPr>
                <w:rFonts w:cs="Arial"/>
                <w:szCs w:val="18"/>
              </w:rPr>
            </w:pPr>
            <w:r w:rsidRPr="005C14E6">
              <w:rPr>
                <w:rFonts w:cs="Arial"/>
                <w:szCs w:val="18"/>
              </w:rPr>
              <w:t>0.0</w:t>
            </w:r>
            <w:r w:rsidR="0043597F">
              <w:rPr>
                <w:rFonts w:cs="Arial"/>
                <w:szCs w:val="18"/>
              </w:rPr>
              <w:t>±</w:t>
            </w:r>
            <w:r w:rsidR="0043597F" w:rsidRPr="005C14E6">
              <w:rPr>
                <w:rFonts w:cs="Arial"/>
                <w:szCs w:val="18"/>
              </w:rPr>
              <w:t>0.0</w:t>
            </w:r>
          </w:p>
        </w:tc>
        <w:tc>
          <w:tcPr>
            <w:tcW w:w="850" w:type="dxa"/>
            <w:tcBorders>
              <w:top w:val="single" w:sz="12" w:space="0" w:color="008000"/>
              <w:bottom w:val="single" w:sz="4" w:space="0" w:color="008000"/>
            </w:tcBorders>
            <w:shd w:val="clear" w:color="auto" w:fill="FFFFFF"/>
            <w:vAlign w:val="bottom"/>
          </w:tcPr>
          <w:p w14:paraId="2B4ABA91" w14:textId="5058F062" w:rsidR="00E01E3A" w:rsidRPr="005C14E6" w:rsidRDefault="00E01E3A" w:rsidP="00C300E9">
            <w:pPr>
              <w:pStyle w:val="CETBodytext"/>
              <w:spacing w:line="240" w:lineRule="auto"/>
              <w:jc w:val="right"/>
              <w:rPr>
                <w:rFonts w:cs="Arial"/>
                <w:szCs w:val="18"/>
              </w:rPr>
            </w:pPr>
            <w:r w:rsidRPr="005C14E6">
              <w:rPr>
                <w:rFonts w:cs="Arial"/>
                <w:szCs w:val="18"/>
              </w:rPr>
              <w:t>0.0</w:t>
            </w:r>
            <w:r w:rsidR="0043597F">
              <w:rPr>
                <w:rFonts w:cs="Arial"/>
                <w:szCs w:val="18"/>
              </w:rPr>
              <w:t>±</w:t>
            </w:r>
            <w:r w:rsidR="0043597F" w:rsidRPr="005C14E6">
              <w:rPr>
                <w:rFonts w:cs="Arial"/>
                <w:szCs w:val="18"/>
              </w:rPr>
              <w:t>0.</w:t>
            </w:r>
            <w:r w:rsidR="00C300E9">
              <w:rPr>
                <w:rFonts w:cs="Arial"/>
                <w:szCs w:val="18"/>
              </w:rPr>
              <w:t>0</w:t>
            </w:r>
          </w:p>
        </w:tc>
        <w:tc>
          <w:tcPr>
            <w:tcW w:w="851" w:type="dxa"/>
            <w:tcBorders>
              <w:top w:val="single" w:sz="12" w:space="0" w:color="008000"/>
              <w:bottom w:val="single" w:sz="4" w:space="0" w:color="008000"/>
            </w:tcBorders>
            <w:shd w:val="clear" w:color="auto" w:fill="FFFFFF"/>
            <w:vAlign w:val="bottom"/>
          </w:tcPr>
          <w:p w14:paraId="6CE40877" w14:textId="0078DCE1" w:rsidR="00E01E3A" w:rsidRPr="005C14E6" w:rsidRDefault="00E01E3A" w:rsidP="009E6E1B">
            <w:pPr>
              <w:pStyle w:val="CETBodytext"/>
              <w:spacing w:line="240" w:lineRule="auto"/>
              <w:jc w:val="right"/>
              <w:rPr>
                <w:rFonts w:cs="Arial"/>
                <w:szCs w:val="18"/>
              </w:rPr>
            </w:pPr>
            <w:r w:rsidRPr="005C14E6">
              <w:rPr>
                <w:rFonts w:cs="Arial"/>
                <w:szCs w:val="18"/>
              </w:rPr>
              <w:t>0.0</w:t>
            </w:r>
            <w:r w:rsidR="0043597F">
              <w:rPr>
                <w:rFonts w:cs="Arial"/>
                <w:szCs w:val="18"/>
              </w:rPr>
              <w:t>±</w:t>
            </w:r>
            <w:r w:rsidR="00C300E9">
              <w:rPr>
                <w:rFonts w:cs="Arial"/>
                <w:szCs w:val="18"/>
              </w:rPr>
              <w:t>0.0</w:t>
            </w:r>
          </w:p>
        </w:tc>
        <w:tc>
          <w:tcPr>
            <w:tcW w:w="850" w:type="dxa"/>
            <w:tcBorders>
              <w:top w:val="single" w:sz="12" w:space="0" w:color="008000"/>
              <w:bottom w:val="single" w:sz="4" w:space="0" w:color="008000"/>
            </w:tcBorders>
            <w:shd w:val="clear" w:color="auto" w:fill="FFFFFF"/>
            <w:vAlign w:val="bottom"/>
          </w:tcPr>
          <w:p w14:paraId="0325BB7D" w14:textId="1C39540F" w:rsidR="00E01E3A" w:rsidRPr="005C14E6" w:rsidRDefault="00E01E3A" w:rsidP="009E6E1B">
            <w:pPr>
              <w:pStyle w:val="CETBodytext"/>
              <w:spacing w:line="240" w:lineRule="auto"/>
              <w:jc w:val="right"/>
              <w:rPr>
                <w:rFonts w:cs="Arial"/>
                <w:szCs w:val="18"/>
              </w:rPr>
            </w:pPr>
            <w:r w:rsidRPr="005C14E6">
              <w:rPr>
                <w:rFonts w:cs="Arial"/>
                <w:szCs w:val="18"/>
              </w:rPr>
              <w:t>93.8</w:t>
            </w:r>
            <w:r w:rsidR="0043597F">
              <w:rPr>
                <w:rFonts w:cs="Arial"/>
                <w:szCs w:val="18"/>
              </w:rPr>
              <w:t>±</w:t>
            </w:r>
            <w:r w:rsidR="00C300E9">
              <w:rPr>
                <w:rFonts w:cs="Arial"/>
                <w:szCs w:val="18"/>
              </w:rPr>
              <w:t>2.8</w:t>
            </w:r>
          </w:p>
        </w:tc>
        <w:tc>
          <w:tcPr>
            <w:tcW w:w="851" w:type="dxa"/>
            <w:tcBorders>
              <w:bottom w:val="single" w:sz="4" w:space="0" w:color="008000"/>
            </w:tcBorders>
            <w:shd w:val="clear" w:color="auto" w:fill="FFFFFF"/>
            <w:vAlign w:val="bottom"/>
          </w:tcPr>
          <w:p w14:paraId="5996606F" w14:textId="0DA66EBB" w:rsidR="00E01E3A" w:rsidRPr="005C14E6" w:rsidRDefault="00E01E3A" w:rsidP="009E6E1B">
            <w:pPr>
              <w:pStyle w:val="CETBodytext"/>
              <w:spacing w:line="240" w:lineRule="auto"/>
              <w:jc w:val="right"/>
              <w:rPr>
                <w:rFonts w:cs="Arial"/>
                <w:szCs w:val="18"/>
              </w:rPr>
            </w:pPr>
            <w:r w:rsidRPr="005C14E6">
              <w:rPr>
                <w:rFonts w:cs="Arial"/>
                <w:szCs w:val="18"/>
              </w:rPr>
              <w:t>6.2</w:t>
            </w:r>
            <w:r w:rsidR="0043597F">
              <w:rPr>
                <w:rFonts w:cs="Arial"/>
                <w:szCs w:val="18"/>
              </w:rPr>
              <w:t>±</w:t>
            </w:r>
            <w:r w:rsidR="00C300E9">
              <w:rPr>
                <w:rFonts w:cs="Arial"/>
                <w:szCs w:val="18"/>
              </w:rPr>
              <w:t>0.2</w:t>
            </w:r>
          </w:p>
        </w:tc>
      </w:tr>
      <w:tr w:rsidR="00E01E3A" w:rsidRPr="00B57B36" w14:paraId="2E60303B" w14:textId="77777777" w:rsidTr="00E33456">
        <w:tc>
          <w:tcPr>
            <w:tcW w:w="830" w:type="dxa"/>
            <w:shd w:val="clear" w:color="auto" w:fill="FFFFFF"/>
          </w:tcPr>
          <w:p w14:paraId="50EC0264" w14:textId="77777777" w:rsidR="00E01E3A" w:rsidRPr="00B57B36" w:rsidRDefault="00E01E3A" w:rsidP="009E6E1B">
            <w:pPr>
              <w:pStyle w:val="CETBodytext"/>
              <w:ind w:right="-1"/>
              <w:rPr>
                <w:rFonts w:cs="Arial"/>
                <w:szCs w:val="18"/>
                <w:lang w:val="en-GB"/>
              </w:rPr>
            </w:pPr>
          </w:p>
        </w:tc>
        <w:tc>
          <w:tcPr>
            <w:tcW w:w="446" w:type="dxa"/>
            <w:tcBorders>
              <w:top w:val="single" w:sz="4" w:space="0" w:color="008000"/>
              <w:bottom w:val="single" w:sz="4" w:space="0" w:color="008000"/>
            </w:tcBorders>
            <w:shd w:val="clear" w:color="auto" w:fill="FFFFFF"/>
          </w:tcPr>
          <w:p w14:paraId="09248861" w14:textId="77777777" w:rsidR="00E01E3A" w:rsidRPr="005C14E6" w:rsidRDefault="00E01E3A" w:rsidP="009E6E1B">
            <w:pPr>
              <w:pStyle w:val="CETBodytext"/>
              <w:spacing w:line="240" w:lineRule="auto"/>
              <w:rPr>
                <w:rFonts w:cs="Arial"/>
                <w:szCs w:val="18"/>
              </w:rPr>
            </w:pPr>
            <w:r w:rsidRPr="005C14E6">
              <w:rPr>
                <w:rFonts w:cs="Arial"/>
                <w:szCs w:val="18"/>
              </w:rPr>
              <w:t>B</w:t>
            </w:r>
          </w:p>
        </w:tc>
        <w:tc>
          <w:tcPr>
            <w:tcW w:w="1833" w:type="dxa"/>
            <w:tcBorders>
              <w:top w:val="single" w:sz="4" w:space="0" w:color="008000"/>
              <w:bottom w:val="single" w:sz="4" w:space="0" w:color="008000"/>
            </w:tcBorders>
            <w:shd w:val="clear" w:color="auto" w:fill="FFFFFF"/>
          </w:tcPr>
          <w:p w14:paraId="5990A0BE" w14:textId="77777777" w:rsidR="00E01E3A" w:rsidRPr="005C14E6" w:rsidRDefault="00E01E3A" w:rsidP="009E6E1B">
            <w:pPr>
              <w:pStyle w:val="CETBodytext"/>
              <w:spacing w:line="240" w:lineRule="auto"/>
              <w:rPr>
                <w:rFonts w:cs="Arial"/>
                <w:szCs w:val="18"/>
              </w:rPr>
            </w:pPr>
            <w:r w:rsidRPr="005C14E6">
              <w:rPr>
                <w:rFonts w:cs="Arial"/>
                <w:szCs w:val="18"/>
              </w:rPr>
              <w:t>Centrifugation</w:t>
            </w:r>
          </w:p>
        </w:tc>
        <w:tc>
          <w:tcPr>
            <w:tcW w:w="20" w:type="dxa"/>
            <w:tcBorders>
              <w:top w:val="single" w:sz="4" w:space="0" w:color="008000"/>
              <w:bottom w:val="single" w:sz="4" w:space="0" w:color="008000"/>
            </w:tcBorders>
            <w:shd w:val="clear" w:color="auto" w:fill="FFFFFF"/>
          </w:tcPr>
          <w:p w14:paraId="1C737902" w14:textId="77777777" w:rsidR="00E01E3A" w:rsidRPr="005C14E6" w:rsidRDefault="00E01E3A" w:rsidP="009E6E1B">
            <w:pPr>
              <w:pStyle w:val="CETBodytext"/>
              <w:spacing w:line="240" w:lineRule="auto"/>
              <w:jc w:val="left"/>
              <w:rPr>
                <w:rFonts w:cs="Arial"/>
                <w:szCs w:val="18"/>
              </w:rPr>
            </w:pPr>
          </w:p>
        </w:tc>
        <w:tc>
          <w:tcPr>
            <w:tcW w:w="929" w:type="dxa"/>
            <w:tcBorders>
              <w:top w:val="single" w:sz="4" w:space="0" w:color="008000"/>
              <w:bottom w:val="single" w:sz="4" w:space="0" w:color="008000"/>
            </w:tcBorders>
            <w:shd w:val="clear" w:color="auto" w:fill="FFFFFF"/>
          </w:tcPr>
          <w:p w14:paraId="14F60F5B" w14:textId="77777777" w:rsidR="00E01E3A" w:rsidRPr="005C14E6" w:rsidRDefault="00E01E3A" w:rsidP="009E6E1B">
            <w:pPr>
              <w:pStyle w:val="CETBodytext"/>
              <w:spacing w:line="240" w:lineRule="auto"/>
              <w:jc w:val="left"/>
              <w:rPr>
                <w:rFonts w:cs="Arial"/>
                <w:szCs w:val="18"/>
              </w:rPr>
            </w:pPr>
            <w:r w:rsidRPr="005C14E6">
              <w:rPr>
                <w:rFonts w:cs="Arial"/>
                <w:szCs w:val="18"/>
              </w:rPr>
              <w:t>-</w:t>
            </w:r>
          </w:p>
        </w:tc>
        <w:tc>
          <w:tcPr>
            <w:tcW w:w="762" w:type="dxa"/>
            <w:tcBorders>
              <w:top w:val="single" w:sz="4" w:space="0" w:color="008000"/>
              <w:bottom w:val="single" w:sz="4" w:space="0" w:color="008000"/>
            </w:tcBorders>
            <w:shd w:val="clear" w:color="auto" w:fill="FFFFFF"/>
            <w:vAlign w:val="bottom"/>
          </w:tcPr>
          <w:p w14:paraId="3EB7D06E" w14:textId="11BF6771" w:rsidR="00E01E3A" w:rsidRPr="005C14E6" w:rsidRDefault="00E01E3A" w:rsidP="009E6E1B">
            <w:pPr>
              <w:pStyle w:val="CETBodytext"/>
              <w:spacing w:line="240" w:lineRule="auto"/>
              <w:jc w:val="right"/>
              <w:rPr>
                <w:rFonts w:cs="Arial"/>
                <w:szCs w:val="18"/>
              </w:rPr>
            </w:pPr>
            <w:r w:rsidRPr="005C14E6">
              <w:rPr>
                <w:rFonts w:cs="Arial"/>
                <w:szCs w:val="18"/>
              </w:rPr>
              <w:t>0.9</w:t>
            </w:r>
            <w:r w:rsidR="0043597F">
              <w:rPr>
                <w:rFonts w:cs="Arial"/>
                <w:szCs w:val="18"/>
              </w:rPr>
              <w:t>±</w:t>
            </w:r>
            <w:r w:rsidR="0043597F" w:rsidRPr="005C14E6">
              <w:rPr>
                <w:rFonts w:cs="Arial"/>
                <w:szCs w:val="18"/>
              </w:rPr>
              <w:t>0.0</w:t>
            </w:r>
          </w:p>
        </w:tc>
        <w:tc>
          <w:tcPr>
            <w:tcW w:w="850" w:type="dxa"/>
            <w:tcBorders>
              <w:top w:val="single" w:sz="4" w:space="0" w:color="008000"/>
              <w:bottom w:val="single" w:sz="4" w:space="0" w:color="008000"/>
            </w:tcBorders>
            <w:shd w:val="clear" w:color="auto" w:fill="FFFFFF"/>
            <w:vAlign w:val="bottom"/>
          </w:tcPr>
          <w:p w14:paraId="2CC3D28B" w14:textId="5B927D8A" w:rsidR="00E01E3A" w:rsidRPr="005C14E6" w:rsidRDefault="00E01E3A" w:rsidP="00C300E9">
            <w:pPr>
              <w:pStyle w:val="CETBodytext"/>
              <w:spacing w:line="240" w:lineRule="auto"/>
              <w:jc w:val="right"/>
              <w:rPr>
                <w:rFonts w:cs="Arial"/>
                <w:szCs w:val="18"/>
              </w:rPr>
            </w:pPr>
            <w:r w:rsidRPr="005C14E6">
              <w:rPr>
                <w:rFonts w:cs="Arial"/>
                <w:szCs w:val="18"/>
              </w:rPr>
              <w:t>4.0</w:t>
            </w:r>
            <w:r w:rsidR="0043597F">
              <w:rPr>
                <w:rFonts w:cs="Arial"/>
                <w:szCs w:val="18"/>
              </w:rPr>
              <w:t>±</w:t>
            </w:r>
            <w:r w:rsidR="0043597F" w:rsidRPr="005C14E6">
              <w:rPr>
                <w:rFonts w:cs="Arial"/>
                <w:szCs w:val="18"/>
              </w:rPr>
              <w:t>0.</w:t>
            </w:r>
            <w:r w:rsidR="00C300E9">
              <w:rPr>
                <w:rFonts w:cs="Arial"/>
                <w:szCs w:val="18"/>
              </w:rPr>
              <w:t>1</w:t>
            </w:r>
          </w:p>
        </w:tc>
        <w:tc>
          <w:tcPr>
            <w:tcW w:w="851" w:type="dxa"/>
            <w:tcBorders>
              <w:top w:val="single" w:sz="4" w:space="0" w:color="008000"/>
              <w:bottom w:val="single" w:sz="4" w:space="0" w:color="008000"/>
            </w:tcBorders>
            <w:shd w:val="clear" w:color="auto" w:fill="FFFFFF"/>
            <w:vAlign w:val="bottom"/>
          </w:tcPr>
          <w:p w14:paraId="6F70FC61" w14:textId="37BE4A7A" w:rsidR="00E01E3A" w:rsidRPr="005C14E6" w:rsidRDefault="00E01E3A" w:rsidP="009E6E1B">
            <w:pPr>
              <w:pStyle w:val="CETBodytext"/>
              <w:spacing w:line="240" w:lineRule="auto"/>
              <w:jc w:val="right"/>
              <w:rPr>
                <w:rFonts w:cs="Arial"/>
                <w:szCs w:val="18"/>
              </w:rPr>
            </w:pPr>
            <w:r w:rsidRPr="005C14E6">
              <w:rPr>
                <w:rFonts w:cs="Arial"/>
                <w:szCs w:val="18"/>
              </w:rPr>
              <w:t>16.3</w:t>
            </w:r>
            <w:r w:rsidR="0043597F">
              <w:rPr>
                <w:rFonts w:cs="Arial"/>
                <w:szCs w:val="18"/>
              </w:rPr>
              <w:t>±</w:t>
            </w:r>
            <w:r w:rsidR="00C300E9">
              <w:rPr>
                <w:rFonts w:cs="Arial"/>
                <w:szCs w:val="18"/>
              </w:rPr>
              <w:t>0.5</w:t>
            </w:r>
          </w:p>
        </w:tc>
        <w:tc>
          <w:tcPr>
            <w:tcW w:w="850" w:type="dxa"/>
            <w:tcBorders>
              <w:top w:val="single" w:sz="4" w:space="0" w:color="008000"/>
              <w:bottom w:val="single" w:sz="4" w:space="0" w:color="008000"/>
            </w:tcBorders>
            <w:shd w:val="clear" w:color="auto" w:fill="FFFFFF"/>
            <w:vAlign w:val="bottom"/>
          </w:tcPr>
          <w:p w14:paraId="5C8F05EE" w14:textId="5E5A895B" w:rsidR="00E01E3A" w:rsidRPr="005C14E6" w:rsidRDefault="00E01E3A" w:rsidP="009E6E1B">
            <w:pPr>
              <w:pStyle w:val="CETBodytext"/>
              <w:spacing w:line="240" w:lineRule="auto"/>
              <w:jc w:val="right"/>
              <w:rPr>
                <w:rFonts w:cs="Arial"/>
                <w:szCs w:val="18"/>
              </w:rPr>
            </w:pPr>
            <w:r w:rsidRPr="005C14E6">
              <w:rPr>
                <w:rFonts w:cs="Arial"/>
                <w:szCs w:val="18"/>
              </w:rPr>
              <w:t>68.7</w:t>
            </w:r>
            <w:r w:rsidR="0043597F">
              <w:rPr>
                <w:rFonts w:cs="Arial"/>
                <w:szCs w:val="18"/>
              </w:rPr>
              <w:t>±</w:t>
            </w:r>
            <w:r w:rsidR="00C300E9">
              <w:rPr>
                <w:rFonts w:cs="Arial"/>
                <w:szCs w:val="18"/>
              </w:rPr>
              <w:t>2.1</w:t>
            </w:r>
          </w:p>
        </w:tc>
        <w:tc>
          <w:tcPr>
            <w:tcW w:w="851" w:type="dxa"/>
            <w:tcBorders>
              <w:top w:val="single" w:sz="4" w:space="0" w:color="008000"/>
              <w:bottom w:val="single" w:sz="4" w:space="0" w:color="008000"/>
            </w:tcBorders>
            <w:shd w:val="clear" w:color="auto" w:fill="FFFFFF"/>
            <w:vAlign w:val="bottom"/>
          </w:tcPr>
          <w:p w14:paraId="75E35C7D" w14:textId="44F2B8ED" w:rsidR="00E01E3A" w:rsidRPr="005C14E6" w:rsidRDefault="00E01E3A" w:rsidP="009E6E1B">
            <w:pPr>
              <w:pStyle w:val="CETBodytext"/>
              <w:spacing w:line="240" w:lineRule="auto"/>
              <w:jc w:val="right"/>
              <w:rPr>
                <w:rFonts w:cs="Arial"/>
                <w:szCs w:val="18"/>
              </w:rPr>
            </w:pPr>
            <w:r w:rsidRPr="005C14E6">
              <w:rPr>
                <w:rFonts w:cs="Arial"/>
                <w:szCs w:val="18"/>
              </w:rPr>
              <w:t>10.1</w:t>
            </w:r>
            <w:r w:rsidR="0043597F">
              <w:rPr>
                <w:rFonts w:cs="Arial"/>
                <w:szCs w:val="18"/>
              </w:rPr>
              <w:t>±</w:t>
            </w:r>
            <w:r w:rsidR="00C300E9">
              <w:rPr>
                <w:rFonts w:cs="Arial"/>
                <w:szCs w:val="18"/>
              </w:rPr>
              <w:t>0.3</w:t>
            </w:r>
          </w:p>
        </w:tc>
      </w:tr>
      <w:tr w:rsidR="00E01E3A" w:rsidRPr="00B57B36" w14:paraId="72F05D8A" w14:textId="77777777" w:rsidTr="00E33456">
        <w:tc>
          <w:tcPr>
            <w:tcW w:w="830" w:type="dxa"/>
            <w:shd w:val="clear" w:color="auto" w:fill="FFFFFF"/>
          </w:tcPr>
          <w:p w14:paraId="3B2714FC" w14:textId="77777777" w:rsidR="00E01E3A" w:rsidRPr="00B57B36" w:rsidRDefault="00E01E3A" w:rsidP="009E6E1B">
            <w:pPr>
              <w:pStyle w:val="CETBodytext"/>
              <w:ind w:right="-1"/>
              <w:rPr>
                <w:rFonts w:cs="Arial"/>
                <w:szCs w:val="18"/>
                <w:lang w:val="en-GB"/>
              </w:rPr>
            </w:pPr>
          </w:p>
        </w:tc>
        <w:tc>
          <w:tcPr>
            <w:tcW w:w="446" w:type="dxa"/>
            <w:tcBorders>
              <w:top w:val="single" w:sz="4" w:space="0" w:color="008000"/>
            </w:tcBorders>
            <w:shd w:val="clear" w:color="auto" w:fill="FFFFFF"/>
          </w:tcPr>
          <w:p w14:paraId="655CE14F" w14:textId="77777777" w:rsidR="00E01E3A" w:rsidRPr="005C14E6" w:rsidRDefault="00E01E3A" w:rsidP="009E6E1B">
            <w:pPr>
              <w:pStyle w:val="CETBodytext"/>
              <w:spacing w:line="240" w:lineRule="auto"/>
              <w:rPr>
                <w:rFonts w:cs="Arial"/>
                <w:szCs w:val="18"/>
              </w:rPr>
            </w:pPr>
            <w:r w:rsidRPr="005C14E6">
              <w:rPr>
                <w:rFonts w:cs="Arial"/>
                <w:szCs w:val="18"/>
              </w:rPr>
              <w:t>C</w:t>
            </w:r>
          </w:p>
        </w:tc>
        <w:tc>
          <w:tcPr>
            <w:tcW w:w="1833" w:type="dxa"/>
            <w:tcBorders>
              <w:top w:val="single" w:sz="4" w:space="0" w:color="008000"/>
            </w:tcBorders>
            <w:shd w:val="clear" w:color="auto" w:fill="FFFFFF"/>
          </w:tcPr>
          <w:p w14:paraId="373C84C4" w14:textId="77777777" w:rsidR="00E01E3A" w:rsidRPr="005C14E6" w:rsidRDefault="00E01E3A" w:rsidP="009E6E1B">
            <w:pPr>
              <w:pStyle w:val="CETBodytext"/>
              <w:spacing w:line="240" w:lineRule="auto"/>
              <w:rPr>
                <w:rFonts w:cs="Arial"/>
                <w:szCs w:val="18"/>
              </w:rPr>
            </w:pPr>
            <w:r w:rsidRPr="005C14E6">
              <w:rPr>
                <w:rFonts w:cs="Arial"/>
                <w:szCs w:val="18"/>
              </w:rPr>
              <w:t>Diafiltration</w:t>
            </w:r>
          </w:p>
        </w:tc>
        <w:tc>
          <w:tcPr>
            <w:tcW w:w="20" w:type="dxa"/>
            <w:tcBorders>
              <w:top w:val="single" w:sz="4" w:space="0" w:color="008000"/>
            </w:tcBorders>
            <w:shd w:val="clear" w:color="auto" w:fill="FFFFFF"/>
          </w:tcPr>
          <w:p w14:paraId="27BE30B7" w14:textId="77777777" w:rsidR="00E01E3A" w:rsidRPr="005C14E6" w:rsidRDefault="00E01E3A" w:rsidP="009E6E1B">
            <w:pPr>
              <w:pStyle w:val="CETBodytext"/>
              <w:spacing w:line="240" w:lineRule="auto"/>
              <w:jc w:val="left"/>
              <w:rPr>
                <w:rFonts w:cs="Arial"/>
                <w:szCs w:val="18"/>
              </w:rPr>
            </w:pPr>
          </w:p>
        </w:tc>
        <w:tc>
          <w:tcPr>
            <w:tcW w:w="929" w:type="dxa"/>
            <w:tcBorders>
              <w:top w:val="single" w:sz="4" w:space="0" w:color="008000"/>
            </w:tcBorders>
            <w:shd w:val="clear" w:color="auto" w:fill="FFFFFF"/>
          </w:tcPr>
          <w:p w14:paraId="465FAA55" w14:textId="77777777" w:rsidR="00E01E3A" w:rsidRPr="005C14E6" w:rsidRDefault="00E01E3A" w:rsidP="009E6E1B">
            <w:pPr>
              <w:pStyle w:val="CETBodytext"/>
              <w:spacing w:line="240" w:lineRule="auto"/>
              <w:jc w:val="left"/>
              <w:rPr>
                <w:rFonts w:cs="Arial"/>
                <w:szCs w:val="18"/>
              </w:rPr>
            </w:pPr>
            <w:r w:rsidRPr="005C14E6">
              <w:rPr>
                <w:rFonts w:cs="Arial"/>
                <w:szCs w:val="18"/>
              </w:rPr>
              <w:t>15</w:t>
            </w:r>
          </w:p>
        </w:tc>
        <w:tc>
          <w:tcPr>
            <w:tcW w:w="762" w:type="dxa"/>
            <w:tcBorders>
              <w:top w:val="single" w:sz="4" w:space="0" w:color="008000"/>
            </w:tcBorders>
            <w:shd w:val="clear" w:color="auto" w:fill="FFFFFF"/>
            <w:vAlign w:val="bottom"/>
          </w:tcPr>
          <w:p w14:paraId="5F164E27" w14:textId="1E13782D" w:rsidR="00E01E3A" w:rsidRPr="005C14E6" w:rsidRDefault="00E01E3A" w:rsidP="0043597F">
            <w:pPr>
              <w:pStyle w:val="CETBodytext"/>
              <w:spacing w:line="240" w:lineRule="auto"/>
              <w:jc w:val="right"/>
              <w:rPr>
                <w:rFonts w:cs="Arial"/>
                <w:szCs w:val="18"/>
              </w:rPr>
            </w:pPr>
            <w:r w:rsidRPr="005C14E6">
              <w:rPr>
                <w:rFonts w:cs="Arial"/>
                <w:szCs w:val="18"/>
              </w:rPr>
              <w:t>2.7</w:t>
            </w:r>
            <w:r w:rsidR="0043597F">
              <w:rPr>
                <w:rFonts w:cs="Arial"/>
                <w:szCs w:val="18"/>
              </w:rPr>
              <w:t>±</w:t>
            </w:r>
            <w:r w:rsidR="0043597F" w:rsidRPr="005C14E6">
              <w:rPr>
                <w:rFonts w:cs="Arial"/>
                <w:szCs w:val="18"/>
              </w:rPr>
              <w:t>0.</w:t>
            </w:r>
            <w:r w:rsidR="0043597F">
              <w:rPr>
                <w:rFonts w:cs="Arial"/>
                <w:szCs w:val="18"/>
              </w:rPr>
              <w:t>1</w:t>
            </w:r>
          </w:p>
        </w:tc>
        <w:tc>
          <w:tcPr>
            <w:tcW w:w="850" w:type="dxa"/>
            <w:tcBorders>
              <w:top w:val="single" w:sz="4" w:space="0" w:color="008000"/>
            </w:tcBorders>
            <w:shd w:val="clear" w:color="auto" w:fill="FFFFFF"/>
            <w:vAlign w:val="bottom"/>
          </w:tcPr>
          <w:p w14:paraId="75C10EBF" w14:textId="3F279898" w:rsidR="00E01E3A" w:rsidRPr="005C14E6" w:rsidRDefault="00E01E3A" w:rsidP="00C300E9">
            <w:pPr>
              <w:pStyle w:val="CETBodytext"/>
              <w:spacing w:line="240" w:lineRule="auto"/>
              <w:jc w:val="right"/>
              <w:rPr>
                <w:rFonts w:cs="Arial"/>
                <w:szCs w:val="18"/>
              </w:rPr>
            </w:pPr>
            <w:r w:rsidRPr="005C14E6">
              <w:rPr>
                <w:rFonts w:cs="Arial"/>
                <w:szCs w:val="18"/>
              </w:rPr>
              <w:t>5.1</w:t>
            </w:r>
            <w:r w:rsidR="0043597F">
              <w:rPr>
                <w:rFonts w:cs="Arial"/>
                <w:szCs w:val="18"/>
              </w:rPr>
              <w:t>±</w:t>
            </w:r>
            <w:r w:rsidR="00C300E9" w:rsidRPr="005C14E6">
              <w:rPr>
                <w:rFonts w:cs="Arial"/>
                <w:szCs w:val="18"/>
              </w:rPr>
              <w:t>0.</w:t>
            </w:r>
            <w:r w:rsidR="00C300E9">
              <w:rPr>
                <w:rFonts w:cs="Arial"/>
                <w:szCs w:val="18"/>
              </w:rPr>
              <w:t>2</w:t>
            </w:r>
          </w:p>
        </w:tc>
        <w:tc>
          <w:tcPr>
            <w:tcW w:w="851" w:type="dxa"/>
            <w:tcBorders>
              <w:top w:val="single" w:sz="4" w:space="0" w:color="008000"/>
            </w:tcBorders>
            <w:shd w:val="clear" w:color="auto" w:fill="FFFFFF"/>
            <w:vAlign w:val="bottom"/>
          </w:tcPr>
          <w:p w14:paraId="0A5FBAC3" w14:textId="1A3C00A4" w:rsidR="00E01E3A" w:rsidRPr="005C14E6" w:rsidRDefault="00E01E3A" w:rsidP="009E6E1B">
            <w:pPr>
              <w:pStyle w:val="CETBodytext"/>
              <w:spacing w:line="240" w:lineRule="auto"/>
              <w:jc w:val="right"/>
              <w:rPr>
                <w:rFonts w:cs="Arial"/>
                <w:szCs w:val="18"/>
              </w:rPr>
            </w:pPr>
            <w:r w:rsidRPr="005C14E6">
              <w:rPr>
                <w:rFonts w:cs="Arial"/>
                <w:szCs w:val="18"/>
              </w:rPr>
              <w:t>23.6</w:t>
            </w:r>
            <w:r w:rsidR="0043597F">
              <w:rPr>
                <w:rFonts w:cs="Arial"/>
                <w:szCs w:val="18"/>
              </w:rPr>
              <w:t>±</w:t>
            </w:r>
            <w:r w:rsidR="00C300E9">
              <w:rPr>
                <w:rFonts w:cs="Arial"/>
                <w:szCs w:val="18"/>
              </w:rPr>
              <w:t>0.7</w:t>
            </w:r>
          </w:p>
        </w:tc>
        <w:tc>
          <w:tcPr>
            <w:tcW w:w="850" w:type="dxa"/>
            <w:tcBorders>
              <w:top w:val="single" w:sz="4" w:space="0" w:color="008000"/>
            </w:tcBorders>
            <w:shd w:val="clear" w:color="auto" w:fill="FFFFFF"/>
            <w:vAlign w:val="bottom"/>
          </w:tcPr>
          <w:p w14:paraId="158C8A9B" w14:textId="525453F4" w:rsidR="00E01E3A" w:rsidRPr="005C14E6" w:rsidRDefault="00E01E3A" w:rsidP="009E6E1B">
            <w:pPr>
              <w:pStyle w:val="CETBodytext"/>
              <w:spacing w:line="240" w:lineRule="auto"/>
              <w:jc w:val="right"/>
              <w:rPr>
                <w:rFonts w:cs="Arial"/>
                <w:szCs w:val="18"/>
              </w:rPr>
            </w:pPr>
            <w:r w:rsidRPr="005C14E6">
              <w:rPr>
                <w:rFonts w:cs="Arial"/>
                <w:szCs w:val="18"/>
              </w:rPr>
              <w:t>54.2</w:t>
            </w:r>
            <w:r w:rsidR="0043597F">
              <w:rPr>
                <w:rFonts w:cs="Arial"/>
                <w:szCs w:val="18"/>
              </w:rPr>
              <w:t>±</w:t>
            </w:r>
            <w:r w:rsidR="00C300E9">
              <w:rPr>
                <w:rFonts w:cs="Arial"/>
                <w:szCs w:val="18"/>
              </w:rPr>
              <w:t>1.6</w:t>
            </w:r>
          </w:p>
        </w:tc>
        <w:tc>
          <w:tcPr>
            <w:tcW w:w="851" w:type="dxa"/>
            <w:tcBorders>
              <w:top w:val="single" w:sz="4" w:space="0" w:color="008000"/>
            </w:tcBorders>
            <w:shd w:val="clear" w:color="auto" w:fill="FFFFFF"/>
            <w:vAlign w:val="bottom"/>
          </w:tcPr>
          <w:p w14:paraId="4BAE25E3" w14:textId="2EAD3065" w:rsidR="00E01E3A" w:rsidRPr="005C14E6" w:rsidRDefault="00E01E3A" w:rsidP="009E6E1B">
            <w:pPr>
              <w:pStyle w:val="CETBodytext"/>
              <w:spacing w:line="240" w:lineRule="auto"/>
              <w:jc w:val="right"/>
              <w:rPr>
                <w:rFonts w:cs="Arial"/>
                <w:szCs w:val="18"/>
              </w:rPr>
            </w:pPr>
            <w:r w:rsidRPr="005C14E6">
              <w:rPr>
                <w:rFonts w:cs="Arial"/>
                <w:szCs w:val="18"/>
              </w:rPr>
              <w:t>14.4</w:t>
            </w:r>
            <w:r w:rsidR="0043597F">
              <w:rPr>
                <w:rFonts w:cs="Arial"/>
                <w:szCs w:val="18"/>
              </w:rPr>
              <w:t>±</w:t>
            </w:r>
            <w:r w:rsidR="00C300E9">
              <w:rPr>
                <w:rFonts w:cs="Arial"/>
                <w:szCs w:val="18"/>
              </w:rPr>
              <w:t>0.4</w:t>
            </w:r>
          </w:p>
        </w:tc>
      </w:tr>
      <w:tr w:rsidR="00E01E3A" w:rsidRPr="00B57B36" w14:paraId="11D20DE9" w14:textId="77777777" w:rsidTr="00E33456">
        <w:tc>
          <w:tcPr>
            <w:tcW w:w="830" w:type="dxa"/>
            <w:shd w:val="clear" w:color="auto" w:fill="FFFFFF"/>
          </w:tcPr>
          <w:p w14:paraId="0A415C71" w14:textId="77777777" w:rsidR="00E01E3A" w:rsidRPr="00B57B36" w:rsidRDefault="00E01E3A" w:rsidP="009E6E1B">
            <w:pPr>
              <w:pStyle w:val="CETBodytext"/>
              <w:ind w:right="-1"/>
              <w:rPr>
                <w:rFonts w:cs="Arial"/>
                <w:szCs w:val="18"/>
                <w:lang w:val="en-GB"/>
              </w:rPr>
            </w:pPr>
          </w:p>
        </w:tc>
        <w:tc>
          <w:tcPr>
            <w:tcW w:w="446" w:type="dxa"/>
            <w:tcBorders>
              <w:bottom w:val="single" w:sz="4" w:space="0" w:color="008000"/>
            </w:tcBorders>
            <w:shd w:val="clear" w:color="auto" w:fill="FFFFFF"/>
          </w:tcPr>
          <w:p w14:paraId="0883FE59" w14:textId="77777777" w:rsidR="00E01E3A" w:rsidRPr="005C14E6" w:rsidRDefault="00E01E3A" w:rsidP="009E6E1B">
            <w:pPr>
              <w:pStyle w:val="CETBodytext"/>
              <w:spacing w:line="240" w:lineRule="auto"/>
              <w:rPr>
                <w:rFonts w:cs="Arial"/>
                <w:szCs w:val="18"/>
              </w:rPr>
            </w:pPr>
          </w:p>
        </w:tc>
        <w:tc>
          <w:tcPr>
            <w:tcW w:w="1833" w:type="dxa"/>
            <w:tcBorders>
              <w:bottom w:val="single" w:sz="4" w:space="0" w:color="008000"/>
            </w:tcBorders>
            <w:shd w:val="clear" w:color="auto" w:fill="FFFFFF"/>
          </w:tcPr>
          <w:p w14:paraId="4AC13EA6" w14:textId="77777777" w:rsidR="00E01E3A" w:rsidRPr="005C14E6" w:rsidRDefault="00E01E3A" w:rsidP="009E6E1B">
            <w:pPr>
              <w:pStyle w:val="CETBodytext"/>
              <w:spacing w:line="240" w:lineRule="auto"/>
              <w:rPr>
                <w:rFonts w:cs="Arial"/>
                <w:szCs w:val="18"/>
              </w:rPr>
            </w:pPr>
          </w:p>
        </w:tc>
        <w:tc>
          <w:tcPr>
            <w:tcW w:w="20" w:type="dxa"/>
            <w:tcBorders>
              <w:bottom w:val="single" w:sz="4" w:space="0" w:color="008000"/>
            </w:tcBorders>
            <w:shd w:val="clear" w:color="auto" w:fill="FFFFFF"/>
          </w:tcPr>
          <w:p w14:paraId="728D477C" w14:textId="77777777" w:rsidR="00E01E3A" w:rsidRPr="005C14E6" w:rsidRDefault="00E01E3A" w:rsidP="009E6E1B">
            <w:pPr>
              <w:pStyle w:val="CETBodytext"/>
              <w:spacing w:line="240" w:lineRule="auto"/>
              <w:jc w:val="left"/>
              <w:rPr>
                <w:rFonts w:cs="Arial"/>
                <w:szCs w:val="18"/>
              </w:rPr>
            </w:pPr>
          </w:p>
        </w:tc>
        <w:tc>
          <w:tcPr>
            <w:tcW w:w="929" w:type="dxa"/>
            <w:tcBorders>
              <w:bottom w:val="single" w:sz="4" w:space="0" w:color="008000"/>
            </w:tcBorders>
            <w:shd w:val="clear" w:color="auto" w:fill="FFFFFF"/>
          </w:tcPr>
          <w:p w14:paraId="30FC5071" w14:textId="77777777" w:rsidR="00E01E3A" w:rsidRPr="005C14E6" w:rsidRDefault="00E01E3A" w:rsidP="009E6E1B">
            <w:pPr>
              <w:pStyle w:val="CETBodytext"/>
              <w:spacing w:line="240" w:lineRule="auto"/>
              <w:jc w:val="left"/>
              <w:rPr>
                <w:rFonts w:cs="Arial"/>
                <w:szCs w:val="18"/>
              </w:rPr>
            </w:pPr>
            <w:r w:rsidRPr="005C14E6">
              <w:rPr>
                <w:rFonts w:cs="Arial"/>
                <w:szCs w:val="18"/>
              </w:rPr>
              <w:t>25</w:t>
            </w:r>
          </w:p>
        </w:tc>
        <w:tc>
          <w:tcPr>
            <w:tcW w:w="762" w:type="dxa"/>
            <w:tcBorders>
              <w:bottom w:val="single" w:sz="4" w:space="0" w:color="008000"/>
            </w:tcBorders>
            <w:shd w:val="clear" w:color="auto" w:fill="FFFFFF"/>
            <w:vAlign w:val="bottom"/>
          </w:tcPr>
          <w:p w14:paraId="5AA6C435" w14:textId="7617F99D" w:rsidR="00E01E3A" w:rsidRPr="005C14E6" w:rsidRDefault="00E01E3A" w:rsidP="009E6E1B">
            <w:pPr>
              <w:pStyle w:val="CETBodytext"/>
              <w:spacing w:line="240" w:lineRule="auto"/>
              <w:jc w:val="right"/>
              <w:rPr>
                <w:rFonts w:cs="Arial"/>
                <w:szCs w:val="18"/>
              </w:rPr>
            </w:pPr>
            <w:r w:rsidRPr="005C14E6">
              <w:rPr>
                <w:rFonts w:cs="Arial"/>
                <w:szCs w:val="18"/>
              </w:rPr>
              <w:t>1.3</w:t>
            </w:r>
            <w:r w:rsidR="0043597F">
              <w:rPr>
                <w:rFonts w:cs="Arial"/>
                <w:szCs w:val="18"/>
              </w:rPr>
              <w:t>±</w:t>
            </w:r>
            <w:r w:rsidR="0043597F" w:rsidRPr="005C14E6">
              <w:rPr>
                <w:rFonts w:cs="Arial"/>
                <w:szCs w:val="18"/>
              </w:rPr>
              <w:t>0.0</w:t>
            </w:r>
          </w:p>
        </w:tc>
        <w:tc>
          <w:tcPr>
            <w:tcW w:w="850" w:type="dxa"/>
            <w:tcBorders>
              <w:bottom w:val="single" w:sz="4" w:space="0" w:color="008000"/>
            </w:tcBorders>
            <w:shd w:val="clear" w:color="auto" w:fill="FFFFFF"/>
            <w:vAlign w:val="bottom"/>
          </w:tcPr>
          <w:p w14:paraId="4AC21832" w14:textId="6D15E6D8" w:rsidR="00E01E3A" w:rsidRPr="005C14E6" w:rsidRDefault="00E01E3A" w:rsidP="009E6E1B">
            <w:pPr>
              <w:pStyle w:val="CETBodytext"/>
              <w:spacing w:line="240" w:lineRule="auto"/>
              <w:jc w:val="right"/>
              <w:rPr>
                <w:rFonts w:cs="Arial"/>
                <w:szCs w:val="18"/>
              </w:rPr>
            </w:pPr>
            <w:r w:rsidRPr="005C14E6">
              <w:rPr>
                <w:rFonts w:cs="Arial"/>
                <w:szCs w:val="18"/>
              </w:rPr>
              <w:t>4.2</w:t>
            </w:r>
            <w:r w:rsidR="0043597F">
              <w:rPr>
                <w:rFonts w:cs="Arial"/>
                <w:szCs w:val="18"/>
              </w:rPr>
              <w:t>±</w:t>
            </w:r>
            <w:r w:rsidR="00C300E9" w:rsidRPr="005C14E6">
              <w:rPr>
                <w:rFonts w:cs="Arial"/>
                <w:szCs w:val="18"/>
              </w:rPr>
              <w:t>0.</w:t>
            </w:r>
            <w:r w:rsidR="00C300E9">
              <w:rPr>
                <w:rFonts w:cs="Arial"/>
                <w:szCs w:val="18"/>
              </w:rPr>
              <w:t>1</w:t>
            </w:r>
          </w:p>
        </w:tc>
        <w:tc>
          <w:tcPr>
            <w:tcW w:w="851" w:type="dxa"/>
            <w:tcBorders>
              <w:bottom w:val="single" w:sz="4" w:space="0" w:color="008000"/>
            </w:tcBorders>
            <w:shd w:val="clear" w:color="auto" w:fill="FFFFFF"/>
            <w:vAlign w:val="bottom"/>
          </w:tcPr>
          <w:p w14:paraId="13270212" w14:textId="0AF15C1D" w:rsidR="00E01E3A" w:rsidRPr="005C14E6" w:rsidRDefault="00E01E3A" w:rsidP="009E6E1B">
            <w:pPr>
              <w:pStyle w:val="CETBodytext"/>
              <w:spacing w:line="240" w:lineRule="auto"/>
              <w:jc w:val="right"/>
              <w:rPr>
                <w:rFonts w:cs="Arial"/>
                <w:szCs w:val="18"/>
              </w:rPr>
            </w:pPr>
            <w:r w:rsidRPr="005C14E6">
              <w:rPr>
                <w:rFonts w:cs="Arial"/>
                <w:szCs w:val="18"/>
              </w:rPr>
              <w:t>18.6</w:t>
            </w:r>
            <w:r w:rsidR="0043597F">
              <w:rPr>
                <w:rFonts w:cs="Arial"/>
                <w:szCs w:val="18"/>
              </w:rPr>
              <w:t>±</w:t>
            </w:r>
            <w:r w:rsidR="00C300E9">
              <w:rPr>
                <w:rFonts w:cs="Arial"/>
                <w:szCs w:val="18"/>
              </w:rPr>
              <w:t>0.6</w:t>
            </w:r>
          </w:p>
        </w:tc>
        <w:tc>
          <w:tcPr>
            <w:tcW w:w="850" w:type="dxa"/>
            <w:tcBorders>
              <w:bottom w:val="single" w:sz="4" w:space="0" w:color="008000"/>
            </w:tcBorders>
            <w:shd w:val="clear" w:color="auto" w:fill="FFFFFF"/>
            <w:vAlign w:val="bottom"/>
          </w:tcPr>
          <w:p w14:paraId="5A872017" w14:textId="0825A710" w:rsidR="00E01E3A" w:rsidRPr="005C14E6" w:rsidRDefault="00E01E3A" w:rsidP="009E6E1B">
            <w:pPr>
              <w:pStyle w:val="CETBodytext"/>
              <w:spacing w:line="240" w:lineRule="auto"/>
              <w:jc w:val="right"/>
              <w:rPr>
                <w:rFonts w:cs="Arial"/>
                <w:szCs w:val="18"/>
              </w:rPr>
            </w:pPr>
            <w:r w:rsidRPr="005C14E6">
              <w:rPr>
                <w:rFonts w:cs="Arial"/>
                <w:szCs w:val="18"/>
              </w:rPr>
              <w:t>62.5</w:t>
            </w:r>
            <w:r w:rsidR="0043597F">
              <w:rPr>
                <w:rFonts w:cs="Arial"/>
                <w:szCs w:val="18"/>
              </w:rPr>
              <w:t>±</w:t>
            </w:r>
            <w:r w:rsidR="00C300E9">
              <w:rPr>
                <w:rFonts w:cs="Arial"/>
                <w:szCs w:val="18"/>
              </w:rPr>
              <w:t>1.9</w:t>
            </w:r>
          </w:p>
        </w:tc>
        <w:tc>
          <w:tcPr>
            <w:tcW w:w="851" w:type="dxa"/>
            <w:tcBorders>
              <w:bottom w:val="single" w:sz="4" w:space="0" w:color="008000"/>
            </w:tcBorders>
            <w:shd w:val="clear" w:color="auto" w:fill="FFFFFF"/>
            <w:vAlign w:val="bottom"/>
          </w:tcPr>
          <w:p w14:paraId="0CE6EB00" w14:textId="4526536E" w:rsidR="00E01E3A" w:rsidRPr="005C14E6" w:rsidRDefault="00E01E3A" w:rsidP="009E6E1B">
            <w:pPr>
              <w:pStyle w:val="CETBodytext"/>
              <w:spacing w:line="240" w:lineRule="auto"/>
              <w:jc w:val="right"/>
              <w:rPr>
                <w:rFonts w:cs="Arial"/>
                <w:szCs w:val="18"/>
              </w:rPr>
            </w:pPr>
            <w:r w:rsidRPr="005C14E6">
              <w:rPr>
                <w:rFonts w:cs="Arial"/>
                <w:szCs w:val="18"/>
              </w:rPr>
              <w:t>13.4</w:t>
            </w:r>
            <w:r w:rsidR="0043597F">
              <w:rPr>
                <w:rFonts w:cs="Arial"/>
                <w:szCs w:val="18"/>
              </w:rPr>
              <w:t>±</w:t>
            </w:r>
            <w:r w:rsidR="00C300E9">
              <w:rPr>
                <w:rFonts w:cs="Arial"/>
                <w:szCs w:val="18"/>
              </w:rPr>
              <w:t>0.4</w:t>
            </w:r>
          </w:p>
        </w:tc>
      </w:tr>
      <w:tr w:rsidR="00E01E3A" w:rsidRPr="00B57B36" w14:paraId="60827BAD" w14:textId="77777777" w:rsidTr="00E33456">
        <w:tc>
          <w:tcPr>
            <w:tcW w:w="830" w:type="dxa"/>
            <w:shd w:val="clear" w:color="auto" w:fill="FFFFFF"/>
          </w:tcPr>
          <w:p w14:paraId="426C4BE2" w14:textId="77777777" w:rsidR="00E01E3A" w:rsidRPr="00B57B36" w:rsidRDefault="00E01E3A" w:rsidP="009E6E1B">
            <w:pPr>
              <w:pStyle w:val="CETBodytext"/>
              <w:ind w:right="-1"/>
              <w:rPr>
                <w:rFonts w:cs="Arial"/>
                <w:szCs w:val="18"/>
                <w:lang w:val="en-GB"/>
              </w:rPr>
            </w:pPr>
          </w:p>
        </w:tc>
        <w:tc>
          <w:tcPr>
            <w:tcW w:w="446" w:type="dxa"/>
            <w:tcBorders>
              <w:top w:val="single" w:sz="4" w:space="0" w:color="008000"/>
            </w:tcBorders>
            <w:shd w:val="clear" w:color="auto" w:fill="FFFFFF"/>
          </w:tcPr>
          <w:p w14:paraId="4FA7E555" w14:textId="77777777" w:rsidR="00E01E3A" w:rsidRPr="005C14E6" w:rsidRDefault="00E01E3A" w:rsidP="009E6E1B">
            <w:pPr>
              <w:pStyle w:val="CETBodytext"/>
              <w:spacing w:line="240" w:lineRule="auto"/>
              <w:rPr>
                <w:rFonts w:cs="Arial"/>
                <w:szCs w:val="18"/>
              </w:rPr>
            </w:pPr>
            <w:r w:rsidRPr="005C14E6">
              <w:rPr>
                <w:rFonts w:cs="Arial"/>
                <w:szCs w:val="18"/>
              </w:rPr>
              <w:t>D</w:t>
            </w:r>
          </w:p>
        </w:tc>
        <w:tc>
          <w:tcPr>
            <w:tcW w:w="1833" w:type="dxa"/>
            <w:tcBorders>
              <w:top w:val="single" w:sz="4" w:space="0" w:color="008000"/>
            </w:tcBorders>
            <w:shd w:val="clear" w:color="auto" w:fill="FFFFFF"/>
          </w:tcPr>
          <w:p w14:paraId="7715CB9C" w14:textId="77777777" w:rsidR="00E01E3A" w:rsidRPr="005C14E6" w:rsidRDefault="00E01E3A" w:rsidP="009E6E1B">
            <w:pPr>
              <w:pStyle w:val="CETBodytext"/>
              <w:spacing w:line="240" w:lineRule="auto"/>
              <w:rPr>
                <w:rFonts w:cs="Arial"/>
                <w:szCs w:val="18"/>
              </w:rPr>
            </w:pPr>
            <w:r w:rsidRPr="005C14E6">
              <w:rPr>
                <w:rFonts w:cs="Arial"/>
                <w:szCs w:val="18"/>
              </w:rPr>
              <w:t>Concentration</w:t>
            </w:r>
          </w:p>
        </w:tc>
        <w:tc>
          <w:tcPr>
            <w:tcW w:w="20" w:type="dxa"/>
            <w:tcBorders>
              <w:top w:val="single" w:sz="4" w:space="0" w:color="008000"/>
            </w:tcBorders>
            <w:shd w:val="clear" w:color="auto" w:fill="FFFFFF"/>
          </w:tcPr>
          <w:p w14:paraId="1A3128CB" w14:textId="77777777" w:rsidR="00E01E3A" w:rsidRPr="005C14E6" w:rsidRDefault="00E01E3A" w:rsidP="009E6E1B">
            <w:pPr>
              <w:pStyle w:val="CETBodytext"/>
              <w:spacing w:line="240" w:lineRule="auto"/>
              <w:jc w:val="left"/>
              <w:rPr>
                <w:rFonts w:cs="Arial"/>
                <w:szCs w:val="18"/>
              </w:rPr>
            </w:pPr>
          </w:p>
        </w:tc>
        <w:tc>
          <w:tcPr>
            <w:tcW w:w="929" w:type="dxa"/>
            <w:tcBorders>
              <w:top w:val="single" w:sz="4" w:space="0" w:color="008000"/>
            </w:tcBorders>
            <w:shd w:val="clear" w:color="auto" w:fill="FFFFFF"/>
          </w:tcPr>
          <w:p w14:paraId="6AF6B6CE" w14:textId="77777777" w:rsidR="00E01E3A" w:rsidRPr="005C14E6" w:rsidRDefault="00E01E3A" w:rsidP="009E6E1B">
            <w:pPr>
              <w:pStyle w:val="CETBodytext"/>
              <w:spacing w:line="240" w:lineRule="auto"/>
              <w:jc w:val="left"/>
              <w:rPr>
                <w:rFonts w:cs="Arial"/>
                <w:szCs w:val="18"/>
              </w:rPr>
            </w:pPr>
            <w:r w:rsidRPr="005C14E6">
              <w:rPr>
                <w:rFonts w:cs="Arial"/>
                <w:szCs w:val="18"/>
              </w:rPr>
              <w:t>15</w:t>
            </w:r>
          </w:p>
        </w:tc>
        <w:tc>
          <w:tcPr>
            <w:tcW w:w="762" w:type="dxa"/>
            <w:tcBorders>
              <w:top w:val="single" w:sz="4" w:space="0" w:color="008000"/>
            </w:tcBorders>
            <w:shd w:val="clear" w:color="auto" w:fill="FFFFFF"/>
            <w:vAlign w:val="bottom"/>
          </w:tcPr>
          <w:p w14:paraId="15CFEC7B" w14:textId="10CFE3AA" w:rsidR="00E01E3A" w:rsidRPr="005C14E6" w:rsidRDefault="00E01E3A" w:rsidP="009E6E1B">
            <w:pPr>
              <w:pStyle w:val="CETBodytext"/>
              <w:spacing w:line="240" w:lineRule="auto"/>
              <w:jc w:val="right"/>
              <w:rPr>
                <w:rFonts w:cs="Arial"/>
                <w:szCs w:val="18"/>
              </w:rPr>
            </w:pPr>
            <w:r w:rsidRPr="005C14E6">
              <w:rPr>
                <w:rFonts w:cs="Arial"/>
                <w:szCs w:val="18"/>
              </w:rPr>
              <w:t>0.0</w:t>
            </w:r>
            <w:r w:rsidR="0043597F">
              <w:rPr>
                <w:rFonts w:cs="Arial"/>
                <w:szCs w:val="18"/>
              </w:rPr>
              <w:t>±</w:t>
            </w:r>
            <w:r w:rsidR="0043597F" w:rsidRPr="005C14E6">
              <w:rPr>
                <w:rFonts w:cs="Arial"/>
                <w:szCs w:val="18"/>
              </w:rPr>
              <w:t>0.0</w:t>
            </w:r>
          </w:p>
        </w:tc>
        <w:tc>
          <w:tcPr>
            <w:tcW w:w="850" w:type="dxa"/>
            <w:tcBorders>
              <w:top w:val="single" w:sz="4" w:space="0" w:color="008000"/>
            </w:tcBorders>
            <w:shd w:val="clear" w:color="auto" w:fill="FFFFFF"/>
            <w:vAlign w:val="bottom"/>
          </w:tcPr>
          <w:p w14:paraId="64AFF709" w14:textId="1C58C2A9" w:rsidR="00E01E3A" w:rsidRPr="005C14E6" w:rsidRDefault="00E01E3A" w:rsidP="009E6E1B">
            <w:pPr>
              <w:pStyle w:val="CETBodytext"/>
              <w:spacing w:line="240" w:lineRule="auto"/>
              <w:jc w:val="right"/>
              <w:rPr>
                <w:rFonts w:cs="Arial"/>
                <w:szCs w:val="18"/>
              </w:rPr>
            </w:pPr>
            <w:r w:rsidRPr="005C14E6">
              <w:rPr>
                <w:rFonts w:cs="Arial"/>
                <w:szCs w:val="18"/>
              </w:rPr>
              <w:t>0.0</w:t>
            </w:r>
            <w:r w:rsidR="0043597F">
              <w:rPr>
                <w:rFonts w:cs="Arial"/>
                <w:szCs w:val="18"/>
              </w:rPr>
              <w:t>±</w:t>
            </w:r>
            <w:r w:rsidR="0043597F" w:rsidRPr="005C14E6">
              <w:rPr>
                <w:rFonts w:cs="Arial"/>
                <w:szCs w:val="18"/>
              </w:rPr>
              <w:t>0.0</w:t>
            </w:r>
          </w:p>
        </w:tc>
        <w:tc>
          <w:tcPr>
            <w:tcW w:w="851" w:type="dxa"/>
            <w:tcBorders>
              <w:top w:val="single" w:sz="4" w:space="0" w:color="008000"/>
            </w:tcBorders>
            <w:shd w:val="clear" w:color="auto" w:fill="FFFFFF"/>
            <w:vAlign w:val="bottom"/>
          </w:tcPr>
          <w:p w14:paraId="4DA4F1A1" w14:textId="6867716A" w:rsidR="00E01E3A" w:rsidRPr="005C14E6" w:rsidRDefault="00E01E3A" w:rsidP="009E6E1B">
            <w:pPr>
              <w:pStyle w:val="CETBodytext"/>
              <w:spacing w:line="240" w:lineRule="auto"/>
              <w:jc w:val="right"/>
              <w:rPr>
                <w:rFonts w:cs="Arial"/>
                <w:szCs w:val="18"/>
              </w:rPr>
            </w:pPr>
            <w:r w:rsidRPr="005C14E6">
              <w:rPr>
                <w:rFonts w:cs="Arial"/>
                <w:szCs w:val="18"/>
              </w:rPr>
              <w:t>10.0</w:t>
            </w:r>
            <w:r w:rsidR="0043597F">
              <w:rPr>
                <w:rFonts w:cs="Arial"/>
                <w:szCs w:val="18"/>
              </w:rPr>
              <w:t>±</w:t>
            </w:r>
            <w:r w:rsidR="00C300E9">
              <w:rPr>
                <w:rFonts w:cs="Arial"/>
                <w:szCs w:val="18"/>
              </w:rPr>
              <w:t>0.3</w:t>
            </w:r>
          </w:p>
        </w:tc>
        <w:tc>
          <w:tcPr>
            <w:tcW w:w="850" w:type="dxa"/>
            <w:tcBorders>
              <w:top w:val="single" w:sz="4" w:space="0" w:color="008000"/>
            </w:tcBorders>
            <w:shd w:val="clear" w:color="auto" w:fill="FFFFFF"/>
            <w:vAlign w:val="bottom"/>
          </w:tcPr>
          <w:p w14:paraId="4BD693C4" w14:textId="2786C81D" w:rsidR="00E01E3A" w:rsidRPr="005C14E6" w:rsidRDefault="00E01E3A" w:rsidP="009E6E1B">
            <w:pPr>
              <w:pStyle w:val="CETBodytext"/>
              <w:spacing w:line="240" w:lineRule="auto"/>
              <w:jc w:val="right"/>
              <w:rPr>
                <w:rFonts w:cs="Arial"/>
                <w:szCs w:val="18"/>
              </w:rPr>
            </w:pPr>
            <w:r w:rsidRPr="005C14E6">
              <w:rPr>
                <w:rFonts w:cs="Arial"/>
                <w:szCs w:val="18"/>
              </w:rPr>
              <w:t>78.9</w:t>
            </w:r>
            <w:r w:rsidR="0043597F">
              <w:rPr>
                <w:rFonts w:cs="Arial"/>
                <w:szCs w:val="18"/>
              </w:rPr>
              <w:t>±</w:t>
            </w:r>
            <w:r w:rsidR="00C300E9">
              <w:rPr>
                <w:rFonts w:cs="Arial"/>
                <w:szCs w:val="18"/>
              </w:rPr>
              <w:t>2.4</w:t>
            </w:r>
          </w:p>
        </w:tc>
        <w:tc>
          <w:tcPr>
            <w:tcW w:w="851" w:type="dxa"/>
            <w:tcBorders>
              <w:top w:val="single" w:sz="4" w:space="0" w:color="008000"/>
            </w:tcBorders>
            <w:shd w:val="clear" w:color="auto" w:fill="FFFFFF"/>
            <w:vAlign w:val="bottom"/>
          </w:tcPr>
          <w:p w14:paraId="01EF9DB9" w14:textId="6A5B7A66" w:rsidR="00E01E3A" w:rsidRPr="005C14E6" w:rsidRDefault="00E01E3A" w:rsidP="009E6E1B">
            <w:pPr>
              <w:pStyle w:val="CETBodytext"/>
              <w:spacing w:line="240" w:lineRule="auto"/>
              <w:jc w:val="right"/>
              <w:rPr>
                <w:rFonts w:cs="Arial"/>
                <w:szCs w:val="18"/>
              </w:rPr>
            </w:pPr>
            <w:r w:rsidRPr="005C14E6">
              <w:rPr>
                <w:rFonts w:cs="Arial"/>
                <w:szCs w:val="18"/>
              </w:rPr>
              <w:t>11.1</w:t>
            </w:r>
            <w:r w:rsidR="0043597F">
              <w:rPr>
                <w:rFonts w:cs="Arial"/>
                <w:szCs w:val="18"/>
              </w:rPr>
              <w:t>±</w:t>
            </w:r>
            <w:r w:rsidR="00C300E9">
              <w:rPr>
                <w:rFonts w:cs="Arial"/>
                <w:szCs w:val="18"/>
              </w:rPr>
              <w:t>0.3</w:t>
            </w:r>
          </w:p>
        </w:tc>
      </w:tr>
      <w:tr w:rsidR="00E01E3A" w:rsidRPr="00B57B36" w14:paraId="0D3881FB" w14:textId="77777777" w:rsidTr="00E01E3A">
        <w:tc>
          <w:tcPr>
            <w:tcW w:w="830" w:type="dxa"/>
            <w:shd w:val="clear" w:color="auto" w:fill="FFFFFF"/>
          </w:tcPr>
          <w:p w14:paraId="08CF81E8" w14:textId="77777777" w:rsidR="00E01E3A" w:rsidRPr="00B57B36" w:rsidRDefault="00E01E3A" w:rsidP="009E6E1B">
            <w:pPr>
              <w:pStyle w:val="CETBodytext"/>
              <w:ind w:right="-1"/>
              <w:rPr>
                <w:rFonts w:cs="Arial"/>
                <w:szCs w:val="18"/>
                <w:lang w:val="en-GB"/>
              </w:rPr>
            </w:pPr>
          </w:p>
        </w:tc>
        <w:tc>
          <w:tcPr>
            <w:tcW w:w="446" w:type="dxa"/>
            <w:shd w:val="clear" w:color="auto" w:fill="FFFFFF"/>
          </w:tcPr>
          <w:p w14:paraId="1BB75489" w14:textId="77777777" w:rsidR="00E01E3A" w:rsidRPr="005C14E6" w:rsidRDefault="00E01E3A" w:rsidP="009E6E1B">
            <w:pPr>
              <w:pStyle w:val="CETBodytext"/>
              <w:spacing w:line="240" w:lineRule="auto"/>
              <w:rPr>
                <w:rFonts w:cs="Arial"/>
                <w:szCs w:val="18"/>
              </w:rPr>
            </w:pPr>
          </w:p>
        </w:tc>
        <w:tc>
          <w:tcPr>
            <w:tcW w:w="1833" w:type="dxa"/>
            <w:shd w:val="clear" w:color="auto" w:fill="FFFFFF"/>
          </w:tcPr>
          <w:p w14:paraId="6332C889" w14:textId="77777777" w:rsidR="00E01E3A" w:rsidRPr="005C14E6" w:rsidRDefault="00E01E3A" w:rsidP="009E6E1B">
            <w:pPr>
              <w:pStyle w:val="CETBodytext"/>
              <w:spacing w:line="240" w:lineRule="auto"/>
              <w:rPr>
                <w:rFonts w:cs="Arial"/>
                <w:szCs w:val="18"/>
              </w:rPr>
            </w:pPr>
          </w:p>
        </w:tc>
        <w:tc>
          <w:tcPr>
            <w:tcW w:w="20" w:type="dxa"/>
            <w:shd w:val="clear" w:color="auto" w:fill="FFFFFF"/>
            <w:vAlign w:val="center"/>
          </w:tcPr>
          <w:p w14:paraId="2E441586" w14:textId="77777777" w:rsidR="00E01E3A" w:rsidRPr="005C14E6" w:rsidRDefault="00E01E3A" w:rsidP="009E6E1B">
            <w:pPr>
              <w:pStyle w:val="CETBodytext"/>
              <w:spacing w:line="240" w:lineRule="auto"/>
              <w:rPr>
                <w:rFonts w:cs="Arial"/>
                <w:szCs w:val="18"/>
              </w:rPr>
            </w:pPr>
          </w:p>
        </w:tc>
        <w:tc>
          <w:tcPr>
            <w:tcW w:w="929" w:type="dxa"/>
            <w:shd w:val="clear" w:color="auto" w:fill="FFFFFF"/>
            <w:vAlign w:val="center"/>
          </w:tcPr>
          <w:p w14:paraId="04FA82C9" w14:textId="77777777" w:rsidR="00E01E3A" w:rsidRPr="005C14E6" w:rsidRDefault="00E01E3A" w:rsidP="009E6E1B">
            <w:pPr>
              <w:pStyle w:val="CETBodytext"/>
              <w:spacing w:line="240" w:lineRule="auto"/>
              <w:rPr>
                <w:rFonts w:cs="Arial"/>
                <w:szCs w:val="18"/>
              </w:rPr>
            </w:pPr>
            <w:r w:rsidRPr="005C14E6">
              <w:rPr>
                <w:rFonts w:cs="Arial"/>
                <w:szCs w:val="18"/>
              </w:rPr>
              <w:t>25</w:t>
            </w:r>
          </w:p>
        </w:tc>
        <w:tc>
          <w:tcPr>
            <w:tcW w:w="762" w:type="dxa"/>
            <w:shd w:val="clear" w:color="auto" w:fill="FFFFFF"/>
            <w:vAlign w:val="bottom"/>
          </w:tcPr>
          <w:p w14:paraId="197808FA" w14:textId="125DAC54" w:rsidR="00E01E3A" w:rsidRPr="005C14E6" w:rsidRDefault="00E01E3A" w:rsidP="009E6E1B">
            <w:pPr>
              <w:pStyle w:val="CETBodytext"/>
              <w:spacing w:line="240" w:lineRule="auto"/>
              <w:jc w:val="right"/>
              <w:rPr>
                <w:rFonts w:cs="Arial"/>
                <w:szCs w:val="18"/>
              </w:rPr>
            </w:pPr>
            <w:r w:rsidRPr="005C14E6">
              <w:rPr>
                <w:rFonts w:cs="Arial"/>
                <w:szCs w:val="18"/>
              </w:rPr>
              <w:t>0.0</w:t>
            </w:r>
            <w:r w:rsidR="0043597F">
              <w:rPr>
                <w:rFonts w:cs="Arial"/>
                <w:szCs w:val="18"/>
              </w:rPr>
              <w:t>±</w:t>
            </w:r>
            <w:r w:rsidR="0043597F" w:rsidRPr="005C14E6">
              <w:rPr>
                <w:rFonts w:cs="Arial"/>
                <w:szCs w:val="18"/>
              </w:rPr>
              <w:t>0.0</w:t>
            </w:r>
          </w:p>
        </w:tc>
        <w:tc>
          <w:tcPr>
            <w:tcW w:w="850" w:type="dxa"/>
            <w:shd w:val="clear" w:color="auto" w:fill="FFFFFF"/>
            <w:vAlign w:val="bottom"/>
          </w:tcPr>
          <w:p w14:paraId="2CFD1BE3" w14:textId="7C45CE52" w:rsidR="00E01E3A" w:rsidRPr="005C14E6" w:rsidRDefault="00E01E3A" w:rsidP="009E6E1B">
            <w:pPr>
              <w:pStyle w:val="CETBodytext"/>
              <w:spacing w:line="240" w:lineRule="auto"/>
              <w:jc w:val="right"/>
              <w:rPr>
                <w:rFonts w:cs="Arial"/>
                <w:szCs w:val="18"/>
              </w:rPr>
            </w:pPr>
            <w:r w:rsidRPr="005C14E6">
              <w:rPr>
                <w:rFonts w:cs="Arial"/>
                <w:szCs w:val="18"/>
              </w:rPr>
              <w:t>3.2</w:t>
            </w:r>
            <w:r w:rsidR="0043597F">
              <w:rPr>
                <w:rFonts w:cs="Arial"/>
                <w:szCs w:val="18"/>
              </w:rPr>
              <w:t>±</w:t>
            </w:r>
            <w:r w:rsidR="00C300E9" w:rsidRPr="005C14E6">
              <w:rPr>
                <w:rFonts w:cs="Arial"/>
                <w:szCs w:val="18"/>
              </w:rPr>
              <w:t>0.</w:t>
            </w:r>
            <w:r w:rsidR="00C300E9">
              <w:rPr>
                <w:rFonts w:cs="Arial"/>
                <w:szCs w:val="18"/>
              </w:rPr>
              <w:t>1</w:t>
            </w:r>
          </w:p>
        </w:tc>
        <w:tc>
          <w:tcPr>
            <w:tcW w:w="851" w:type="dxa"/>
            <w:shd w:val="clear" w:color="auto" w:fill="FFFFFF"/>
            <w:vAlign w:val="bottom"/>
          </w:tcPr>
          <w:p w14:paraId="0523AEBB" w14:textId="6376E824" w:rsidR="00E01E3A" w:rsidRPr="005C14E6" w:rsidRDefault="00E01E3A" w:rsidP="009E6E1B">
            <w:pPr>
              <w:pStyle w:val="CETBodytext"/>
              <w:spacing w:line="240" w:lineRule="auto"/>
              <w:jc w:val="right"/>
              <w:rPr>
                <w:rFonts w:cs="Arial"/>
                <w:szCs w:val="18"/>
              </w:rPr>
            </w:pPr>
            <w:r w:rsidRPr="005C14E6">
              <w:rPr>
                <w:rFonts w:cs="Arial"/>
                <w:szCs w:val="18"/>
              </w:rPr>
              <w:t>12.1</w:t>
            </w:r>
            <w:r w:rsidR="0043597F">
              <w:rPr>
                <w:rFonts w:cs="Arial"/>
                <w:szCs w:val="18"/>
              </w:rPr>
              <w:t>±</w:t>
            </w:r>
            <w:r w:rsidR="00C300E9">
              <w:rPr>
                <w:rFonts w:cs="Arial"/>
                <w:szCs w:val="18"/>
              </w:rPr>
              <w:t>0.4</w:t>
            </w:r>
          </w:p>
        </w:tc>
        <w:tc>
          <w:tcPr>
            <w:tcW w:w="850" w:type="dxa"/>
            <w:shd w:val="clear" w:color="auto" w:fill="FFFFFF"/>
            <w:vAlign w:val="bottom"/>
          </w:tcPr>
          <w:p w14:paraId="44F2F88D" w14:textId="78B7B5F5" w:rsidR="00E01E3A" w:rsidRPr="005C14E6" w:rsidRDefault="00E01E3A" w:rsidP="009E6E1B">
            <w:pPr>
              <w:pStyle w:val="CETBodytext"/>
              <w:spacing w:line="240" w:lineRule="auto"/>
              <w:jc w:val="right"/>
              <w:rPr>
                <w:rFonts w:cs="Arial"/>
                <w:szCs w:val="18"/>
              </w:rPr>
            </w:pPr>
            <w:r w:rsidRPr="005C14E6">
              <w:rPr>
                <w:rFonts w:cs="Arial"/>
                <w:szCs w:val="18"/>
              </w:rPr>
              <w:t>72.8</w:t>
            </w:r>
            <w:r w:rsidR="0043597F">
              <w:rPr>
                <w:rFonts w:cs="Arial"/>
                <w:szCs w:val="18"/>
              </w:rPr>
              <w:t>±</w:t>
            </w:r>
            <w:r w:rsidR="00C300E9">
              <w:rPr>
                <w:rFonts w:cs="Arial"/>
                <w:szCs w:val="18"/>
              </w:rPr>
              <w:t>2.2</w:t>
            </w:r>
          </w:p>
        </w:tc>
        <w:tc>
          <w:tcPr>
            <w:tcW w:w="851" w:type="dxa"/>
            <w:shd w:val="clear" w:color="auto" w:fill="FFFFFF"/>
            <w:vAlign w:val="bottom"/>
          </w:tcPr>
          <w:p w14:paraId="3836110A" w14:textId="52739A48" w:rsidR="00E01E3A" w:rsidRPr="005C14E6" w:rsidRDefault="00E01E3A" w:rsidP="009E6E1B">
            <w:pPr>
              <w:pStyle w:val="CETBodytext"/>
              <w:spacing w:line="240" w:lineRule="auto"/>
              <w:jc w:val="right"/>
              <w:rPr>
                <w:rFonts w:cs="Arial"/>
                <w:szCs w:val="18"/>
              </w:rPr>
            </w:pPr>
            <w:r w:rsidRPr="005C14E6">
              <w:rPr>
                <w:rFonts w:cs="Arial"/>
                <w:szCs w:val="18"/>
              </w:rPr>
              <w:t>11.9</w:t>
            </w:r>
            <w:r w:rsidR="0043597F">
              <w:rPr>
                <w:rFonts w:cs="Arial"/>
                <w:szCs w:val="18"/>
              </w:rPr>
              <w:t>±</w:t>
            </w:r>
            <w:r w:rsidR="00C300E9">
              <w:rPr>
                <w:rFonts w:cs="Arial"/>
                <w:szCs w:val="18"/>
              </w:rPr>
              <w:t>0.4</w:t>
            </w:r>
          </w:p>
        </w:tc>
      </w:tr>
    </w:tbl>
    <w:p w14:paraId="4BDF2963" w14:textId="77777777" w:rsidR="005A7600" w:rsidRDefault="005A7600" w:rsidP="009859E5">
      <w:pPr>
        <w:pStyle w:val="CETBodytext"/>
      </w:pPr>
    </w:p>
    <w:p w14:paraId="4B43A570" w14:textId="6D63325D" w:rsidR="00F4452E" w:rsidRDefault="00337C40" w:rsidP="009E6E1B">
      <w:pPr>
        <w:pStyle w:val="CETBodytext"/>
      </w:pPr>
      <w:r>
        <w:t>Enzyme</w:t>
      </w:r>
      <w:r w:rsidR="00F4452E" w:rsidRPr="00DC1A80">
        <w:t xml:space="preserve"> reuse after the diafiltration showed no improvement in the FAME production (C). </w:t>
      </w:r>
      <w:r w:rsidR="007E6F69">
        <w:t>For</w:t>
      </w:r>
      <w:r w:rsidR="00F4452E" w:rsidRPr="00DC1A80">
        <w:t xml:space="preserve"> the reuse of ET, FAME content was similar to when the enzyme was reused after centrifugation. The reuse of RHT after diafiltration resulted in lower FAME content than after centrifugation. For both </w:t>
      </w:r>
      <w:r>
        <w:t>enzyme</w:t>
      </w:r>
      <w:r w:rsidR="00F4452E" w:rsidRPr="00DC1A80">
        <w:t xml:space="preserve">s, even though glycerol and methanol were removed from the solution in the permeate stream, the water content increased, leading to higher hydrolysis of castor oil and, therefore, </w:t>
      </w:r>
      <w:r w:rsidR="007E6F69">
        <w:t xml:space="preserve">the </w:t>
      </w:r>
      <w:r w:rsidR="00F4452E" w:rsidRPr="00DC1A80">
        <w:t>FFA content increased from 10 to up to 15 %.</w:t>
      </w:r>
    </w:p>
    <w:p w14:paraId="7D2E97CB" w14:textId="40C1752C" w:rsidR="009E6E1B" w:rsidRPr="00DC1A80" w:rsidRDefault="009E6E1B" w:rsidP="009E6E1B">
      <w:pPr>
        <w:pStyle w:val="CETBodytext"/>
      </w:pPr>
      <w:r w:rsidRPr="00DC1A80">
        <w:t xml:space="preserve">Concentration of the </w:t>
      </w:r>
      <w:r w:rsidR="00337C40">
        <w:t>enzyme</w:t>
      </w:r>
      <w:r w:rsidRPr="00DC1A80">
        <w:t xml:space="preserve"> solutions after the diafiltration (D) had a positive effect on the FAME content when the </w:t>
      </w:r>
      <w:r w:rsidR="00337C40">
        <w:t>enzyme</w:t>
      </w:r>
      <w:r w:rsidRPr="00DC1A80">
        <w:t xml:space="preserve">s were reused. In case of reuse of ET, the FAME content increased to around 83 %, while up to 79 % FAME was observed </w:t>
      </w:r>
      <w:r w:rsidR="007E6F69">
        <w:t>for</w:t>
      </w:r>
      <w:r w:rsidRPr="00DC1A80">
        <w:t xml:space="preserve"> the reuse of RHT. Removal of water in this process increased the </w:t>
      </w:r>
      <w:r w:rsidR="00337C40">
        <w:t>enzyme</w:t>
      </w:r>
      <w:r w:rsidRPr="00DC1A80">
        <w:t xml:space="preserve"> </w:t>
      </w:r>
      <w:r w:rsidRPr="00DC1A80">
        <w:lastRenderedPageBreak/>
        <w:t>concentration in the solution and reduced the hydrolysis competition with transesterification, generating lower FFA content.</w:t>
      </w:r>
    </w:p>
    <w:p w14:paraId="7F824C57" w14:textId="77777777" w:rsidR="009E6E1B" w:rsidRPr="00DC1A80" w:rsidRDefault="009E6E1B" w:rsidP="009E6E1B">
      <w:pPr>
        <w:pStyle w:val="CETBodytext"/>
      </w:pPr>
      <w:r w:rsidRPr="00DC1A80">
        <w:t xml:space="preserve">For the </w:t>
      </w:r>
      <w:r w:rsidR="00337C40">
        <w:t>enzyme</w:t>
      </w:r>
      <w:r w:rsidRPr="00DC1A80">
        <w:t xml:space="preserve"> reuses after both diafiltration and concentration steps, similar FAME contents were obtained for the use of ceramic membranes with MWCO of 15 and 25 kDa. This indicated that the </w:t>
      </w:r>
      <w:r w:rsidR="00337C40">
        <w:t>enzyme</w:t>
      </w:r>
      <w:r w:rsidRPr="00DC1A80">
        <w:t xml:space="preserve"> retention for both membranes was </w:t>
      </w:r>
      <w:r w:rsidR="00ED0108">
        <w:t>similar</w:t>
      </w:r>
      <w:r w:rsidRPr="00DC1A80">
        <w:t xml:space="preserve">. However, thorough investigation is recommended to reach that conclusion, such as measuring the </w:t>
      </w:r>
      <w:r w:rsidR="00337C40">
        <w:t>enzyme</w:t>
      </w:r>
      <w:r w:rsidRPr="00DC1A80">
        <w:t xml:space="preserve"> concentration in both retentate and permeate solutions, and evaluating the ultrafiltration under different filtration conditions, such as transmembrane pressures and membrane pore sizes.</w:t>
      </w:r>
    </w:p>
    <w:p w14:paraId="44B7A0B6" w14:textId="77777777" w:rsidR="009E6E1B" w:rsidRPr="00B57B36" w:rsidRDefault="009E6E1B" w:rsidP="009E6E1B">
      <w:pPr>
        <w:pStyle w:val="CETHeading1"/>
        <w:rPr>
          <w:lang w:val="en-GB"/>
        </w:rPr>
      </w:pPr>
      <w:r w:rsidRPr="00B57B36">
        <w:rPr>
          <w:lang w:val="en-GB"/>
        </w:rPr>
        <w:t>Conclusions</w:t>
      </w:r>
    </w:p>
    <w:p w14:paraId="539D50BD" w14:textId="77777777" w:rsidR="009E6E1B" w:rsidRPr="00B57B36" w:rsidRDefault="003F0F2D" w:rsidP="009E6E1B">
      <w:pPr>
        <w:pStyle w:val="CETBodytext"/>
        <w:rPr>
          <w:lang w:val="en-GB"/>
        </w:rPr>
      </w:pPr>
      <w:r>
        <w:t>UF</w:t>
      </w:r>
      <w:r w:rsidR="009E6E1B" w:rsidRPr="00DC1A80">
        <w:t xml:space="preserve"> ceramic membranes w</w:t>
      </w:r>
      <w:r w:rsidR="00ED0108">
        <w:t>ere</w:t>
      </w:r>
      <w:r w:rsidR="009E6E1B" w:rsidRPr="00DC1A80">
        <w:t xml:space="preserve"> able to eliminate glycerol and methanol from the </w:t>
      </w:r>
      <w:r w:rsidR="00337C40">
        <w:t>enzyme</w:t>
      </w:r>
      <w:r w:rsidR="009E6E1B" w:rsidRPr="00DC1A80">
        <w:t>-rich phase</w:t>
      </w:r>
      <w:r>
        <w:t xml:space="preserve"> of Eversa Transform and Resinase HT solutions</w:t>
      </w:r>
      <w:r w:rsidR="009E6E1B" w:rsidRPr="00DC1A80">
        <w:t xml:space="preserve">. By </w:t>
      </w:r>
      <w:r w:rsidR="00ED0108">
        <w:t>using</w:t>
      </w:r>
      <w:r w:rsidR="009E6E1B" w:rsidRPr="00DC1A80">
        <w:t xml:space="preserve"> diafiltration </w:t>
      </w:r>
      <w:r w:rsidR="00ED0108">
        <w:t xml:space="preserve">the </w:t>
      </w:r>
      <w:r w:rsidR="009E6E1B" w:rsidRPr="00DC1A80">
        <w:t xml:space="preserve">glycerol and methanol content were reduced to less than 1 wt%. After concentration of these </w:t>
      </w:r>
      <w:r w:rsidR="00337C40">
        <w:t>enzyme</w:t>
      </w:r>
      <w:r w:rsidR="009E6E1B" w:rsidRPr="00DC1A80">
        <w:t xml:space="preserve"> solutions, the </w:t>
      </w:r>
      <w:r w:rsidR="00337C40">
        <w:t>enzyme</w:t>
      </w:r>
      <w:r w:rsidR="009E6E1B" w:rsidRPr="00DC1A80">
        <w:t xml:space="preserve"> reuse resulted in higher biodiesel production, increasing the FAME content from 67 to 83 % </w:t>
      </w:r>
      <w:r w:rsidR="00ED0108">
        <w:t>when</w:t>
      </w:r>
      <w:r w:rsidR="009E6E1B" w:rsidRPr="00DC1A80">
        <w:t xml:space="preserve"> reus</w:t>
      </w:r>
      <w:r w:rsidR="00ED0108">
        <w:t>ing</w:t>
      </w:r>
      <w:r w:rsidR="009E6E1B" w:rsidRPr="00DC1A80">
        <w:t xml:space="preserve"> Eversa Transform, and from 69 to up to 79 % FAME content </w:t>
      </w:r>
      <w:r w:rsidR="00ED0108">
        <w:t>when</w:t>
      </w:r>
      <w:r w:rsidR="009E6E1B" w:rsidRPr="00DC1A80">
        <w:t xml:space="preserve"> reus</w:t>
      </w:r>
      <w:r w:rsidR="00ED0108">
        <w:t>ing</w:t>
      </w:r>
      <w:r w:rsidR="009E6E1B" w:rsidRPr="00DC1A80">
        <w:t xml:space="preserve"> Resinase HT.</w:t>
      </w:r>
      <w:r>
        <w:t xml:space="preserve"> </w:t>
      </w:r>
      <w:r w:rsidR="009E6E1B" w:rsidRPr="00DC1A80">
        <w:t xml:space="preserve">The use of membrane technology for recovery of liquid </w:t>
      </w:r>
      <w:r w:rsidR="00337C40">
        <w:t>enzyme</w:t>
      </w:r>
      <w:r w:rsidR="009E6E1B" w:rsidRPr="00DC1A80">
        <w:t xml:space="preserve">s is </w:t>
      </w:r>
      <w:r w:rsidR="00ED0108">
        <w:t xml:space="preserve">thus </w:t>
      </w:r>
      <w:r w:rsidR="009E6E1B" w:rsidRPr="00DC1A80">
        <w:t>promising. However,</w:t>
      </w:r>
      <w:r w:rsidR="009E6E1B">
        <w:t xml:space="preserve"> </w:t>
      </w:r>
      <w:r w:rsidR="009E6E1B" w:rsidRPr="00DC1A80">
        <w:t>further investigation is required to increase the efficiency of the separation.</w:t>
      </w:r>
    </w:p>
    <w:p w14:paraId="552F4EB5" w14:textId="77777777" w:rsidR="00164D34" w:rsidRPr="00B57B36" w:rsidRDefault="00164D34" w:rsidP="00164D34">
      <w:pPr>
        <w:pStyle w:val="CETAcknowledgementstitle"/>
      </w:pPr>
      <w:r w:rsidRPr="00B57B36">
        <w:t>Acknowledgments</w:t>
      </w:r>
    </w:p>
    <w:p w14:paraId="12EB4CC0" w14:textId="77777777" w:rsidR="00164D34" w:rsidRPr="00B57B36" w:rsidRDefault="00164D34" w:rsidP="00164D34">
      <w:pPr>
        <w:pStyle w:val="CETBodytext"/>
        <w:rPr>
          <w:lang w:val="en-GB"/>
        </w:rPr>
      </w:pPr>
      <w:r>
        <w:t>This project was carried out in collaboration with Novozymes A/S at the University of Southern Denmark and was financially supported by the Brazilian National Council for Scientific and Technological Development (CNPq)</w:t>
      </w:r>
      <w:r w:rsidRPr="00B57B36">
        <w:rPr>
          <w:lang w:val="en-GB"/>
        </w:rPr>
        <w:t>.</w:t>
      </w:r>
    </w:p>
    <w:p w14:paraId="67EC10CE" w14:textId="77777777" w:rsidR="00164D34" w:rsidRPr="00B57B36" w:rsidRDefault="00164D34" w:rsidP="00164D34">
      <w:pPr>
        <w:pStyle w:val="CETReference"/>
      </w:pPr>
      <w:r w:rsidRPr="00B57B36">
        <w:t>References</w:t>
      </w:r>
    </w:p>
    <w:p w14:paraId="664D8B5F" w14:textId="77777777" w:rsidR="00164D34" w:rsidRDefault="00164D34" w:rsidP="00164D34">
      <w:pPr>
        <w:pStyle w:val="CETReferencetext"/>
      </w:pPr>
      <w:r w:rsidRPr="00532FD4">
        <w:t>Alzahrani S., Wahab A.,</w:t>
      </w:r>
      <w:r>
        <w:t xml:space="preserve"> 2014,</w:t>
      </w:r>
      <w:r w:rsidRPr="00532FD4">
        <w:t xml:space="preserve"> Challenges and trends in membrane technology implementation for produced water treatment: A review, </w:t>
      </w:r>
      <w:r>
        <w:t>Journal of Water Process Engineering,</w:t>
      </w:r>
      <w:r w:rsidRPr="00532FD4">
        <w:t xml:space="preserve"> 4</w:t>
      </w:r>
      <w:r>
        <w:t>,</w:t>
      </w:r>
      <w:r w:rsidRPr="00532FD4">
        <w:t xml:space="preserve"> 107–133.</w:t>
      </w:r>
    </w:p>
    <w:p w14:paraId="47E8A1DD" w14:textId="77777777" w:rsidR="00C2773A" w:rsidRPr="00C2773A" w:rsidRDefault="00C2773A" w:rsidP="00C2773A">
      <w:pPr>
        <w:pStyle w:val="CETReferencetext"/>
        <w:rPr>
          <w:lang w:val="en-US"/>
        </w:rPr>
      </w:pPr>
      <w:r w:rsidRPr="00C2773A">
        <w:rPr>
          <w:lang w:val="en-US"/>
        </w:rPr>
        <w:t>Andrade T.A., Errico M., Christensen K.V., 2017, Castor Oil Transesterification Catalysed by Liquid Enzymes: Feasibility of Reuse</w:t>
      </w:r>
      <w:r>
        <w:rPr>
          <w:lang w:val="en-US"/>
        </w:rPr>
        <w:t xml:space="preserve"> </w:t>
      </w:r>
      <w:r w:rsidRPr="00C2773A">
        <w:rPr>
          <w:lang w:val="en-US"/>
        </w:rPr>
        <w:t>under Various Reaction Conditions</w:t>
      </w:r>
      <w:r>
        <w:rPr>
          <w:lang w:val="en-US"/>
        </w:rPr>
        <w:t xml:space="preserve">, </w:t>
      </w:r>
      <w:r>
        <w:t>Chemical Engineering Transactions, 57, 913–918.</w:t>
      </w:r>
    </w:p>
    <w:p w14:paraId="429679C5" w14:textId="77777777" w:rsidR="00164D34" w:rsidRDefault="00164D34" w:rsidP="00164D34">
      <w:pPr>
        <w:pStyle w:val="CETReferencetext"/>
      </w:pPr>
      <w:r w:rsidRPr="00E90588">
        <w:t xml:space="preserve">Baker R.W., </w:t>
      </w:r>
      <w:r>
        <w:t xml:space="preserve">2012, </w:t>
      </w:r>
      <w:r w:rsidRPr="00E90588">
        <w:t>Membrane Technology and Applications, 3rd ed., John Wiley &amp; Sons, Inc.</w:t>
      </w:r>
      <w:r w:rsidRPr="000B0B62">
        <w:t xml:space="preserve"> </w:t>
      </w:r>
      <w:r>
        <w:t>Chichester, UK</w:t>
      </w:r>
      <w:r w:rsidRPr="00E90588">
        <w:t>.</w:t>
      </w:r>
    </w:p>
    <w:p w14:paraId="21CA5648" w14:textId="77777777" w:rsidR="00164D34" w:rsidRDefault="00164D34" w:rsidP="00164D34">
      <w:pPr>
        <w:pStyle w:val="CETReferencetext"/>
      </w:pPr>
      <w:r w:rsidRPr="00E90588">
        <w:t>Cheng L.H., Cheng Y.F., Yen S.Y., Chen J.,</w:t>
      </w:r>
      <w:r>
        <w:t xml:space="preserve"> 2009,</w:t>
      </w:r>
      <w:r w:rsidRPr="00E90588">
        <w:t xml:space="preserve"> Ultrafiltration of triglyceride from biodiesel using the phase diagram of oil-FAME-MeOH, Journal of Membrane Science</w:t>
      </w:r>
      <w:r>
        <w:t>,</w:t>
      </w:r>
      <w:r w:rsidRPr="00E90588">
        <w:t xml:space="preserve"> 330</w:t>
      </w:r>
      <w:r>
        <w:t>,</w:t>
      </w:r>
      <w:r w:rsidRPr="00E90588">
        <w:t xml:space="preserve"> 156–165</w:t>
      </w:r>
      <w:r>
        <w:t>.</w:t>
      </w:r>
    </w:p>
    <w:p w14:paraId="6A5CC838" w14:textId="77777777" w:rsidR="00164D34" w:rsidRDefault="00164D34" w:rsidP="00164D34">
      <w:pPr>
        <w:pStyle w:val="CETReferencetext"/>
      </w:pPr>
      <w:r w:rsidRPr="000B0B62">
        <w:t xml:space="preserve">Christopher L.P., </w:t>
      </w:r>
      <w:r>
        <w:t>Kumar H.</w:t>
      </w:r>
      <w:r w:rsidRPr="000B0B62">
        <w:t xml:space="preserve">, Zambare V.P., </w:t>
      </w:r>
      <w:r>
        <w:t xml:space="preserve">2014, </w:t>
      </w:r>
      <w:r w:rsidRPr="000B0B62">
        <w:t>Enzymatic biodiesel: Challenges and opportunities, Appl</w:t>
      </w:r>
      <w:r>
        <w:t>ied</w:t>
      </w:r>
      <w:r w:rsidRPr="000B0B62">
        <w:t xml:space="preserve"> Energy</w:t>
      </w:r>
      <w:r>
        <w:t>,</w:t>
      </w:r>
      <w:r w:rsidRPr="000B0B62">
        <w:t xml:space="preserve"> 119</w:t>
      </w:r>
      <w:r>
        <w:t>,</w:t>
      </w:r>
      <w:r w:rsidRPr="000B0B62">
        <w:t xml:space="preserve"> 497–520.</w:t>
      </w:r>
    </w:p>
    <w:p w14:paraId="0479F1CD" w14:textId="77777777" w:rsidR="00164D34" w:rsidRDefault="00164D34" w:rsidP="00164D34">
      <w:pPr>
        <w:pStyle w:val="CETReferencetext"/>
      </w:pPr>
      <w:r>
        <w:t xml:space="preserve">Coutinho </w:t>
      </w:r>
      <w:r w:rsidRPr="005A7600">
        <w:t>C.M</w:t>
      </w:r>
      <w:r>
        <w:t>.</w:t>
      </w:r>
      <w:r w:rsidRPr="005A7600">
        <w:t>,</w:t>
      </w:r>
      <w:r>
        <w:t xml:space="preserve"> Chiu</w:t>
      </w:r>
      <w:r w:rsidRPr="005A7600">
        <w:t xml:space="preserve"> M.C.</w:t>
      </w:r>
      <w:r>
        <w:t>,</w:t>
      </w:r>
      <w:r w:rsidRPr="005A7600">
        <w:t xml:space="preserve"> </w:t>
      </w:r>
      <w:r>
        <w:t xml:space="preserve">Basso </w:t>
      </w:r>
      <w:r w:rsidRPr="005A7600">
        <w:t>R.C.,</w:t>
      </w:r>
      <w:r>
        <w:t xml:space="preserve"> Ribeiro</w:t>
      </w:r>
      <w:r w:rsidRPr="005A7600">
        <w:t xml:space="preserve"> A.P.B., Gonçalves L.A.G., </w:t>
      </w:r>
      <w:r>
        <w:t xml:space="preserve">Viotto </w:t>
      </w:r>
      <w:r w:rsidRPr="005A7600">
        <w:t>L</w:t>
      </w:r>
      <w:r>
        <w:t xml:space="preserve">.A., 2009, State of art of the </w:t>
      </w:r>
      <w:r w:rsidRPr="005A7600">
        <w:t>application of membrane technology to vegetable oils: A review, Food Res</w:t>
      </w:r>
      <w:r>
        <w:t>earch</w:t>
      </w:r>
      <w:r w:rsidRPr="005A7600">
        <w:t xml:space="preserve"> Int</w:t>
      </w:r>
      <w:r>
        <w:t>ernational,</w:t>
      </w:r>
      <w:r w:rsidRPr="005A7600">
        <w:t xml:space="preserve"> 42</w:t>
      </w:r>
      <w:r>
        <w:t xml:space="preserve">, </w:t>
      </w:r>
      <w:r w:rsidRPr="005A7600">
        <w:t>5</w:t>
      </w:r>
      <w:r>
        <w:t>36</w:t>
      </w:r>
      <w:r w:rsidRPr="00532FD4">
        <w:t>–</w:t>
      </w:r>
      <w:r>
        <w:t>550.</w:t>
      </w:r>
    </w:p>
    <w:p w14:paraId="553DF6B3" w14:textId="77777777" w:rsidR="00A97B84" w:rsidRPr="00A97B84" w:rsidRDefault="00A97B84" w:rsidP="00A97B84">
      <w:pPr>
        <w:pStyle w:val="CETReferencetext"/>
        <w:rPr>
          <w:lang w:val="en-US"/>
        </w:rPr>
      </w:pPr>
      <w:r w:rsidRPr="00A97B84">
        <w:rPr>
          <w:lang w:val="en-US"/>
        </w:rPr>
        <w:t>Delcolle R., Gimenes M.L., Fortulan C.A., Moreira W.M., Martins N.D., Pereira N.C., 2017, A Comparison between Coagulation and Ultrafiltration</w:t>
      </w:r>
      <w:r>
        <w:rPr>
          <w:lang w:val="en-US"/>
        </w:rPr>
        <w:t xml:space="preserve"> </w:t>
      </w:r>
      <w:r w:rsidRPr="00A97B84">
        <w:rPr>
          <w:lang w:val="en-US"/>
        </w:rPr>
        <w:t xml:space="preserve">Processes for Biodiesel Wastewater Treatment, </w:t>
      </w:r>
      <w:r w:rsidR="005962F4">
        <w:rPr>
          <w:lang w:val="en-US"/>
        </w:rPr>
        <w:t>Chemical Engineering Transaction</w:t>
      </w:r>
      <w:r w:rsidR="00337C40">
        <w:rPr>
          <w:lang w:val="en-US"/>
        </w:rPr>
        <w:t>s</w:t>
      </w:r>
      <w:r w:rsidR="005962F4">
        <w:rPr>
          <w:lang w:val="en-US"/>
        </w:rPr>
        <w:t xml:space="preserve">, </w:t>
      </w:r>
      <w:r>
        <w:rPr>
          <w:lang w:val="en-US"/>
        </w:rPr>
        <w:t xml:space="preserve">57, </w:t>
      </w:r>
      <w:r w:rsidR="005962F4">
        <w:rPr>
          <w:lang w:val="en-US"/>
        </w:rPr>
        <w:t>271–276.</w:t>
      </w:r>
    </w:p>
    <w:p w14:paraId="452E17D4" w14:textId="77777777" w:rsidR="00007688" w:rsidRPr="00007688" w:rsidRDefault="00007688" w:rsidP="00164D34">
      <w:pPr>
        <w:pStyle w:val="CETReferencetext"/>
        <w:rPr>
          <w:lang w:val="en-US"/>
        </w:rPr>
      </w:pPr>
      <w:r w:rsidRPr="00007688">
        <w:rPr>
          <w:lang w:val="en-US"/>
        </w:rPr>
        <w:t xml:space="preserve">Fjerbaek L., Christensen K.V., Norddahl B., 2009, A review of the current state of biodiesel production using enzymatic transesterification. </w:t>
      </w:r>
      <w:r>
        <w:rPr>
          <w:lang w:val="en-US"/>
        </w:rPr>
        <w:t>Biotechnology and Bioengineering, 102, 1298</w:t>
      </w:r>
      <w:r w:rsidRPr="00532FD4">
        <w:t>–</w:t>
      </w:r>
      <w:r>
        <w:rPr>
          <w:lang w:val="en-US"/>
        </w:rPr>
        <w:t>1315.</w:t>
      </w:r>
    </w:p>
    <w:p w14:paraId="145501F3" w14:textId="77777777" w:rsidR="00164D34" w:rsidRDefault="00164D34" w:rsidP="00164D34">
      <w:pPr>
        <w:pStyle w:val="CETReferencetext"/>
      </w:pPr>
      <w:r w:rsidRPr="000B0B62">
        <w:t>Guldhe A., Singh B., Mutanda T., Permaul K., Bux F.,</w:t>
      </w:r>
      <w:r>
        <w:t xml:space="preserve"> 2015,</w:t>
      </w:r>
      <w:r w:rsidRPr="000B0B62">
        <w:t xml:space="preserve"> Advances in synthesis of biodiesel via enzyme catalysis: Novel and sustainable approaches, </w:t>
      </w:r>
      <w:r>
        <w:t>Renewable and Sustainable Energy Reviews,</w:t>
      </w:r>
      <w:r w:rsidRPr="000B0B62">
        <w:t xml:space="preserve"> </w:t>
      </w:r>
      <w:r>
        <w:t>41,</w:t>
      </w:r>
      <w:r w:rsidRPr="000B0B62">
        <w:t xml:space="preserve"> 1447–1464. </w:t>
      </w:r>
    </w:p>
    <w:p w14:paraId="1C388A44" w14:textId="77777777" w:rsidR="00007688" w:rsidRPr="00007688" w:rsidRDefault="00007688" w:rsidP="00164D34">
      <w:pPr>
        <w:pStyle w:val="CETReferencetext"/>
        <w:rPr>
          <w:lang w:val="en-US"/>
        </w:rPr>
      </w:pPr>
      <w:r w:rsidRPr="00007688">
        <w:rPr>
          <w:lang w:val="en-US"/>
        </w:rPr>
        <w:t>Nielsen P.M., Brask J., Fjerbaek L., 2008, Enzymatic biodiesel production: Technical and economical considerations, European Journal of Lipid Science and Technology</w:t>
      </w:r>
      <w:r>
        <w:rPr>
          <w:lang w:val="en-US"/>
        </w:rPr>
        <w:t>, 110, 692–700.</w:t>
      </w:r>
    </w:p>
    <w:p w14:paraId="401D1504" w14:textId="77777777" w:rsidR="00164D34" w:rsidRDefault="00164D34" w:rsidP="00164D34">
      <w:pPr>
        <w:pStyle w:val="CETReferencetext"/>
      </w:pPr>
      <w:r w:rsidRPr="00532FD4">
        <w:t>Padaki M., Surya Murali R., Abdullah M.S., Misdan N., Moslehyani A., Kassim M.A., Hilal N., Ismail A.F.,</w:t>
      </w:r>
      <w:r>
        <w:t xml:space="preserve"> 2015,</w:t>
      </w:r>
      <w:r w:rsidRPr="00532FD4">
        <w:t xml:space="preserve"> Membrane technology enhancement in oil-water separation. A review, Desalination</w:t>
      </w:r>
      <w:r>
        <w:t>,</w:t>
      </w:r>
      <w:r w:rsidRPr="00532FD4">
        <w:t xml:space="preserve"> 357</w:t>
      </w:r>
      <w:r>
        <w:t>,</w:t>
      </w:r>
      <w:r w:rsidRPr="00532FD4">
        <w:t xml:space="preserve"> 197–207.</w:t>
      </w:r>
    </w:p>
    <w:p w14:paraId="36BC0AC7" w14:textId="77777777" w:rsidR="00164D34" w:rsidRDefault="00164D34" w:rsidP="00164D34">
      <w:pPr>
        <w:pStyle w:val="CETReferencetext"/>
      </w:pPr>
      <w:r w:rsidRPr="002E1438">
        <w:t>Roda-Serrat M.C., Christensen L.P., Christensen K.V., Fretté X.,</w:t>
      </w:r>
      <w:r>
        <w:t xml:space="preserve"> 2015,</w:t>
      </w:r>
      <w:r w:rsidRPr="002E1438">
        <w:t xml:space="preserve"> Optimization of removal of D-trehalose from commercial food colorant by diafiltration with ultrafiltration membranes, </w:t>
      </w:r>
      <w:r>
        <w:t>Chemical Engineering Transactions,</w:t>
      </w:r>
      <w:r w:rsidRPr="002E1438">
        <w:t xml:space="preserve"> 43</w:t>
      </w:r>
      <w:r>
        <w:t>,</w:t>
      </w:r>
      <w:r w:rsidRPr="002E1438">
        <w:t xml:space="preserve"> 1027–1032</w:t>
      </w:r>
      <w:r>
        <w:t>.</w:t>
      </w:r>
    </w:p>
    <w:p w14:paraId="66F64357" w14:textId="77777777" w:rsidR="00164D34" w:rsidRDefault="00164D34" w:rsidP="00164D34">
      <w:pPr>
        <w:pStyle w:val="CETReferencetext"/>
      </w:pPr>
      <w:r>
        <w:t>Seader J.D.</w:t>
      </w:r>
      <w:r w:rsidRPr="005A7600">
        <w:t>,</w:t>
      </w:r>
      <w:r>
        <w:t xml:space="preserve"> Henley</w:t>
      </w:r>
      <w:r w:rsidRPr="005A7600">
        <w:t xml:space="preserve"> E.J.,</w:t>
      </w:r>
      <w:r>
        <w:t xml:space="preserve"> 2006,</w:t>
      </w:r>
      <w:r w:rsidRPr="005A7600">
        <w:t xml:space="preserve"> Separation process principles,</w:t>
      </w:r>
      <w:r>
        <w:t xml:space="preserve"> 2nd ed., </w:t>
      </w:r>
      <w:r w:rsidRPr="00532FD4">
        <w:t>John Wiley &amp; Sons, Inc.</w:t>
      </w:r>
      <w:r>
        <w:t>, USA</w:t>
      </w:r>
      <w:r w:rsidRPr="005A7600">
        <w:t>.</w:t>
      </w:r>
    </w:p>
    <w:p w14:paraId="108252A6" w14:textId="77777777" w:rsidR="00164D34" w:rsidRPr="009859E5" w:rsidRDefault="00164D34" w:rsidP="003F0F2D">
      <w:pPr>
        <w:pStyle w:val="CETReferencetext"/>
      </w:pPr>
      <w:r w:rsidRPr="00E90588">
        <w:t>Zsirai T.,</w:t>
      </w:r>
      <w:r>
        <w:t xml:space="preserve"> </w:t>
      </w:r>
      <w:r w:rsidRPr="00E90588">
        <w:t>Al-</w:t>
      </w:r>
      <w:r>
        <w:t>J</w:t>
      </w:r>
      <w:r w:rsidRPr="00E90588">
        <w:t>aml A.K., Qiblawey H., Al-</w:t>
      </w:r>
      <w:r>
        <w:t>M</w:t>
      </w:r>
      <w:r w:rsidRPr="00E90588">
        <w:t>arri M., Ahmed A., Bach S., Watson S., Judd S.,</w:t>
      </w:r>
      <w:r>
        <w:t xml:space="preserve"> 2016,</w:t>
      </w:r>
      <w:r w:rsidRPr="00E90588">
        <w:t xml:space="preserve"> Ceramic membrane filtration of produced water: Impact of membrane module, Separation and Purification Technology</w:t>
      </w:r>
      <w:r>
        <w:t>,</w:t>
      </w:r>
      <w:r w:rsidRPr="00E90588">
        <w:t xml:space="preserve"> 165</w:t>
      </w:r>
      <w:r>
        <w:t>,</w:t>
      </w:r>
      <w:r w:rsidRPr="00E90588">
        <w:t xml:space="preserve"> 214–221</w:t>
      </w:r>
      <w:r>
        <w:t>.</w:t>
      </w:r>
    </w:p>
    <w:sectPr w:rsidR="00164D34" w:rsidRPr="009859E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1C51" w14:textId="77777777" w:rsidR="00D14AB1" w:rsidRDefault="00D14AB1" w:rsidP="004F5E36">
      <w:r>
        <w:separator/>
      </w:r>
    </w:p>
  </w:endnote>
  <w:endnote w:type="continuationSeparator" w:id="0">
    <w:p w14:paraId="524EDA21" w14:textId="77777777" w:rsidR="00D14AB1" w:rsidRDefault="00D14AB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7B15B" w14:textId="77777777" w:rsidR="00D14AB1" w:rsidRDefault="00D14AB1" w:rsidP="004F5E36">
      <w:r>
        <w:separator/>
      </w:r>
    </w:p>
  </w:footnote>
  <w:footnote w:type="continuationSeparator" w:id="0">
    <w:p w14:paraId="7B5BA32D" w14:textId="77777777" w:rsidR="00D14AB1" w:rsidRDefault="00D14AB1"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688"/>
    <w:rsid w:val="00010F40"/>
    <w:rsid w:val="000117CB"/>
    <w:rsid w:val="0003148D"/>
    <w:rsid w:val="00047D7F"/>
    <w:rsid w:val="00051566"/>
    <w:rsid w:val="00062A9A"/>
    <w:rsid w:val="00065058"/>
    <w:rsid w:val="00086C39"/>
    <w:rsid w:val="000A03B2"/>
    <w:rsid w:val="000A3B79"/>
    <w:rsid w:val="000B0B62"/>
    <w:rsid w:val="000D34BE"/>
    <w:rsid w:val="000E102F"/>
    <w:rsid w:val="000E36F1"/>
    <w:rsid w:val="000E3A73"/>
    <w:rsid w:val="000E414A"/>
    <w:rsid w:val="000E5B8C"/>
    <w:rsid w:val="000F093C"/>
    <w:rsid w:val="000F16BD"/>
    <w:rsid w:val="000F787B"/>
    <w:rsid w:val="0010504A"/>
    <w:rsid w:val="00115E51"/>
    <w:rsid w:val="0012091F"/>
    <w:rsid w:val="00126BC2"/>
    <w:rsid w:val="001308B6"/>
    <w:rsid w:val="0013121F"/>
    <w:rsid w:val="00131FAB"/>
    <w:rsid w:val="00131FE6"/>
    <w:rsid w:val="0013263F"/>
    <w:rsid w:val="00134DE4"/>
    <w:rsid w:val="0014034D"/>
    <w:rsid w:val="001416C5"/>
    <w:rsid w:val="00150E59"/>
    <w:rsid w:val="00152DE3"/>
    <w:rsid w:val="001626D6"/>
    <w:rsid w:val="00164CF9"/>
    <w:rsid w:val="00164D34"/>
    <w:rsid w:val="00184AD6"/>
    <w:rsid w:val="001B0349"/>
    <w:rsid w:val="001B65C1"/>
    <w:rsid w:val="001C684B"/>
    <w:rsid w:val="001D53FC"/>
    <w:rsid w:val="001E4714"/>
    <w:rsid w:val="001F42A5"/>
    <w:rsid w:val="001F7B9D"/>
    <w:rsid w:val="00215F95"/>
    <w:rsid w:val="002224B4"/>
    <w:rsid w:val="002447EF"/>
    <w:rsid w:val="00251550"/>
    <w:rsid w:val="00252C1A"/>
    <w:rsid w:val="00263B05"/>
    <w:rsid w:val="0027221A"/>
    <w:rsid w:val="00275B61"/>
    <w:rsid w:val="00282656"/>
    <w:rsid w:val="00296B83"/>
    <w:rsid w:val="002B78CE"/>
    <w:rsid w:val="002C2FB6"/>
    <w:rsid w:val="002D5BCD"/>
    <w:rsid w:val="002E1438"/>
    <w:rsid w:val="002E60F2"/>
    <w:rsid w:val="003009B7"/>
    <w:rsid w:val="00300E56"/>
    <w:rsid w:val="0030469C"/>
    <w:rsid w:val="00310862"/>
    <w:rsid w:val="00321CA6"/>
    <w:rsid w:val="003307FC"/>
    <w:rsid w:val="00334C09"/>
    <w:rsid w:val="003365E3"/>
    <w:rsid w:val="00337C40"/>
    <w:rsid w:val="003723D4"/>
    <w:rsid w:val="00384CC8"/>
    <w:rsid w:val="003871FD"/>
    <w:rsid w:val="00390BFA"/>
    <w:rsid w:val="003A1E30"/>
    <w:rsid w:val="003A7AA1"/>
    <w:rsid w:val="003A7D1C"/>
    <w:rsid w:val="003A7DF8"/>
    <w:rsid w:val="003B2597"/>
    <w:rsid w:val="003B304B"/>
    <w:rsid w:val="003B3146"/>
    <w:rsid w:val="003B60F3"/>
    <w:rsid w:val="003F015E"/>
    <w:rsid w:val="003F0F2D"/>
    <w:rsid w:val="003F478D"/>
    <w:rsid w:val="00400414"/>
    <w:rsid w:val="00407544"/>
    <w:rsid w:val="0041446B"/>
    <w:rsid w:val="0043597F"/>
    <w:rsid w:val="0044329C"/>
    <w:rsid w:val="004577FE"/>
    <w:rsid w:val="00457B9C"/>
    <w:rsid w:val="0046164A"/>
    <w:rsid w:val="004628D2"/>
    <w:rsid w:val="00462DCD"/>
    <w:rsid w:val="004637FD"/>
    <w:rsid w:val="004648AD"/>
    <w:rsid w:val="004703A9"/>
    <w:rsid w:val="004760DE"/>
    <w:rsid w:val="004A004E"/>
    <w:rsid w:val="004A24CF"/>
    <w:rsid w:val="004B6721"/>
    <w:rsid w:val="004C3D1D"/>
    <w:rsid w:val="004C7913"/>
    <w:rsid w:val="004E4DD6"/>
    <w:rsid w:val="004F5E36"/>
    <w:rsid w:val="00504178"/>
    <w:rsid w:val="00507B47"/>
    <w:rsid w:val="00507CC9"/>
    <w:rsid w:val="005119A5"/>
    <w:rsid w:val="005278B7"/>
    <w:rsid w:val="00531AFE"/>
    <w:rsid w:val="00532016"/>
    <w:rsid w:val="00532FD4"/>
    <w:rsid w:val="005346C8"/>
    <w:rsid w:val="00543E7D"/>
    <w:rsid w:val="00546B05"/>
    <w:rsid w:val="00547A68"/>
    <w:rsid w:val="005531C9"/>
    <w:rsid w:val="00571177"/>
    <w:rsid w:val="005962F4"/>
    <w:rsid w:val="005A7600"/>
    <w:rsid w:val="005B2110"/>
    <w:rsid w:val="005B61E6"/>
    <w:rsid w:val="005C14E6"/>
    <w:rsid w:val="005C77E1"/>
    <w:rsid w:val="005D6A2F"/>
    <w:rsid w:val="005E1A82"/>
    <w:rsid w:val="005E794C"/>
    <w:rsid w:val="005F0A28"/>
    <w:rsid w:val="005F0E5E"/>
    <w:rsid w:val="00600535"/>
    <w:rsid w:val="00605AB0"/>
    <w:rsid w:val="00610CD6"/>
    <w:rsid w:val="00620DEE"/>
    <w:rsid w:val="00621F92"/>
    <w:rsid w:val="00625639"/>
    <w:rsid w:val="00631B33"/>
    <w:rsid w:val="0064184D"/>
    <w:rsid w:val="006422CC"/>
    <w:rsid w:val="0064381F"/>
    <w:rsid w:val="0065239D"/>
    <w:rsid w:val="00660E3E"/>
    <w:rsid w:val="00662E74"/>
    <w:rsid w:val="00667AAB"/>
    <w:rsid w:val="00680C23"/>
    <w:rsid w:val="00693766"/>
    <w:rsid w:val="006A3281"/>
    <w:rsid w:val="006B4888"/>
    <w:rsid w:val="006C2E45"/>
    <w:rsid w:val="006C359C"/>
    <w:rsid w:val="006C5579"/>
    <w:rsid w:val="006E737D"/>
    <w:rsid w:val="0070195D"/>
    <w:rsid w:val="00720A24"/>
    <w:rsid w:val="00724971"/>
    <w:rsid w:val="00732386"/>
    <w:rsid w:val="007447F3"/>
    <w:rsid w:val="00753EF5"/>
    <w:rsid w:val="0075499F"/>
    <w:rsid w:val="007661C8"/>
    <w:rsid w:val="0077098D"/>
    <w:rsid w:val="007931FA"/>
    <w:rsid w:val="007A6CD8"/>
    <w:rsid w:val="007A7BBA"/>
    <w:rsid w:val="007B0C50"/>
    <w:rsid w:val="007C1A43"/>
    <w:rsid w:val="007E1DC6"/>
    <w:rsid w:val="007E6F69"/>
    <w:rsid w:val="00813288"/>
    <w:rsid w:val="008168FC"/>
    <w:rsid w:val="00830996"/>
    <w:rsid w:val="008345F1"/>
    <w:rsid w:val="00865B07"/>
    <w:rsid w:val="008667EA"/>
    <w:rsid w:val="0087637F"/>
    <w:rsid w:val="008904B9"/>
    <w:rsid w:val="00892AD5"/>
    <w:rsid w:val="00894757"/>
    <w:rsid w:val="00897650"/>
    <w:rsid w:val="008A1512"/>
    <w:rsid w:val="008C78C1"/>
    <w:rsid w:val="008D32B9"/>
    <w:rsid w:val="008D433B"/>
    <w:rsid w:val="008E37C1"/>
    <w:rsid w:val="008E566E"/>
    <w:rsid w:val="0090161A"/>
    <w:rsid w:val="00901EB6"/>
    <w:rsid w:val="00904C62"/>
    <w:rsid w:val="009245B0"/>
    <w:rsid w:val="00924DAC"/>
    <w:rsid w:val="00927058"/>
    <w:rsid w:val="009450CE"/>
    <w:rsid w:val="009469E5"/>
    <w:rsid w:val="00947179"/>
    <w:rsid w:val="0095164B"/>
    <w:rsid w:val="00954090"/>
    <w:rsid w:val="009573E7"/>
    <w:rsid w:val="009635B9"/>
    <w:rsid w:val="00963E05"/>
    <w:rsid w:val="00967D54"/>
    <w:rsid w:val="00980730"/>
    <w:rsid w:val="009859E5"/>
    <w:rsid w:val="00987C9A"/>
    <w:rsid w:val="00996483"/>
    <w:rsid w:val="00996F5A"/>
    <w:rsid w:val="009A0A3E"/>
    <w:rsid w:val="009B041A"/>
    <w:rsid w:val="009C7C86"/>
    <w:rsid w:val="009D2FF7"/>
    <w:rsid w:val="009E6E1B"/>
    <w:rsid w:val="009E7884"/>
    <w:rsid w:val="009E788A"/>
    <w:rsid w:val="009F0E08"/>
    <w:rsid w:val="00A1763D"/>
    <w:rsid w:val="00A17CEC"/>
    <w:rsid w:val="00A27EF0"/>
    <w:rsid w:val="00A50B20"/>
    <w:rsid w:val="00A51390"/>
    <w:rsid w:val="00A60D13"/>
    <w:rsid w:val="00A706DA"/>
    <w:rsid w:val="00A72745"/>
    <w:rsid w:val="00A7549F"/>
    <w:rsid w:val="00A76EFC"/>
    <w:rsid w:val="00A91010"/>
    <w:rsid w:val="00A97B84"/>
    <w:rsid w:val="00A97F29"/>
    <w:rsid w:val="00AA5F47"/>
    <w:rsid w:val="00AA702E"/>
    <w:rsid w:val="00AB0964"/>
    <w:rsid w:val="00AB5011"/>
    <w:rsid w:val="00AC6A07"/>
    <w:rsid w:val="00AC7368"/>
    <w:rsid w:val="00AD16B9"/>
    <w:rsid w:val="00AD6075"/>
    <w:rsid w:val="00AE377D"/>
    <w:rsid w:val="00B175C4"/>
    <w:rsid w:val="00B17FBD"/>
    <w:rsid w:val="00B315A6"/>
    <w:rsid w:val="00B31813"/>
    <w:rsid w:val="00B33365"/>
    <w:rsid w:val="00B573CB"/>
    <w:rsid w:val="00B57B36"/>
    <w:rsid w:val="00B8686D"/>
    <w:rsid w:val="00BB2DAA"/>
    <w:rsid w:val="00BC30C9"/>
    <w:rsid w:val="00BE043F"/>
    <w:rsid w:val="00BE28A4"/>
    <w:rsid w:val="00BE3E58"/>
    <w:rsid w:val="00C01616"/>
    <w:rsid w:val="00C0162B"/>
    <w:rsid w:val="00C2476E"/>
    <w:rsid w:val="00C2773A"/>
    <w:rsid w:val="00C300E9"/>
    <w:rsid w:val="00C345B1"/>
    <w:rsid w:val="00C40142"/>
    <w:rsid w:val="00C57182"/>
    <w:rsid w:val="00C57863"/>
    <w:rsid w:val="00C655FD"/>
    <w:rsid w:val="00C870A8"/>
    <w:rsid w:val="00C94434"/>
    <w:rsid w:val="00CA0D75"/>
    <w:rsid w:val="00CA1C95"/>
    <w:rsid w:val="00CA5A9C"/>
    <w:rsid w:val="00CD3517"/>
    <w:rsid w:val="00CD5A00"/>
    <w:rsid w:val="00CD5FE2"/>
    <w:rsid w:val="00CE7C68"/>
    <w:rsid w:val="00D02B4C"/>
    <w:rsid w:val="00D040C4"/>
    <w:rsid w:val="00D12A0D"/>
    <w:rsid w:val="00D14AB1"/>
    <w:rsid w:val="00D5570A"/>
    <w:rsid w:val="00D57C84"/>
    <w:rsid w:val="00D6057D"/>
    <w:rsid w:val="00D84576"/>
    <w:rsid w:val="00D974C3"/>
    <w:rsid w:val="00DA1399"/>
    <w:rsid w:val="00DA24C6"/>
    <w:rsid w:val="00DA4D7B"/>
    <w:rsid w:val="00DE264A"/>
    <w:rsid w:val="00E01E3A"/>
    <w:rsid w:val="00E02D18"/>
    <w:rsid w:val="00E041E7"/>
    <w:rsid w:val="00E23CA1"/>
    <w:rsid w:val="00E33456"/>
    <w:rsid w:val="00E409A8"/>
    <w:rsid w:val="00E50C12"/>
    <w:rsid w:val="00E65B91"/>
    <w:rsid w:val="00E7209D"/>
    <w:rsid w:val="00E77223"/>
    <w:rsid w:val="00E8528B"/>
    <w:rsid w:val="00E85B94"/>
    <w:rsid w:val="00E90588"/>
    <w:rsid w:val="00E978D0"/>
    <w:rsid w:val="00EA4613"/>
    <w:rsid w:val="00EA7F91"/>
    <w:rsid w:val="00EB1523"/>
    <w:rsid w:val="00EB6264"/>
    <w:rsid w:val="00EC0E49"/>
    <w:rsid w:val="00ED0108"/>
    <w:rsid w:val="00ED1B0F"/>
    <w:rsid w:val="00EE0131"/>
    <w:rsid w:val="00EF028E"/>
    <w:rsid w:val="00F155B2"/>
    <w:rsid w:val="00F30C64"/>
    <w:rsid w:val="00F32CDB"/>
    <w:rsid w:val="00F4452E"/>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F171D"/>
  <w15:docId w15:val="{8CEFDFE6-7878-4F8D-817A-A8E6EB60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Reference-text">
    <w:name w:val="CET Reference-text"/>
    <w:rsid w:val="009859E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table-title"/>
    <w:rsid w:val="009859E5"/>
    <w:pPr>
      <w:keepNext/>
      <w:spacing w:before="240" w:after="80" w:line="240" w:lineRule="exact"/>
    </w:pPr>
    <w:rPr>
      <w:rFonts w:ascii="Arial" w:eastAsia="Times New Roman" w:hAnsi="Arial" w:cs="Times New Roman"/>
      <w:i/>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Visio_Drawing2.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hal\Desktop\SDU%20-%20PhD\Membrane\Membran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hal\Desktop\SDU%20-%20PhD\Membrane\Membran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hal\Desktop\SDU%20-%20PhD\Membrane\Membran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14868502135173606"/>
          <c:y val="4.4703178298647207E-2"/>
          <c:w val="0.81100037838519612"/>
          <c:h val="0.77337895437165061"/>
        </c:manualLayout>
      </c:layout>
      <c:scatterChart>
        <c:scatterStyle val="smoothMarker"/>
        <c:varyColors val="0"/>
        <c:ser>
          <c:idx val="2"/>
          <c:order val="0"/>
          <c:tx>
            <c:v>Glycerol - 25 kDa</c:v>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xVal>
            <c:numRef>
              <c:f>Diafriltration!$C$26:$C$35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Diafriltration!$G$26:$G$35</c:f>
              <c:numCache>
                <c:formatCode>0.00%</c:formatCode>
                <c:ptCount val="10"/>
                <c:pt idx="0">
                  <c:v>0.51782499439999996</c:v>
                </c:pt>
                <c:pt idx="1">
                  <c:v>0.35592838079999994</c:v>
                </c:pt>
                <c:pt idx="2">
                  <c:v>0.3029248256</c:v>
                </c:pt>
                <c:pt idx="3">
                  <c:v>0.254963726</c:v>
                </c:pt>
                <c:pt idx="4">
                  <c:v>0.20024870399999997</c:v>
                </c:pt>
                <c:pt idx="5">
                  <c:v>0.16057714479999999</c:v>
                </c:pt>
                <c:pt idx="6">
                  <c:v>0.1264818804</c:v>
                </c:pt>
                <c:pt idx="7">
                  <c:v>6.0429155599999992E-2</c:v>
                </c:pt>
                <c:pt idx="8">
                  <c:v>4.0622218000000002E-2</c:v>
                </c:pt>
                <c:pt idx="9">
                  <c:v>2.6423214E-2</c:v>
                </c:pt>
              </c:numCache>
            </c:numRef>
          </c:yVal>
          <c:smooth val="1"/>
        </c:ser>
        <c:ser>
          <c:idx val="0"/>
          <c:order val="1"/>
          <c:tx>
            <c:v>Glycerol - 15 kDa</c:v>
          </c:tx>
          <c:spPr>
            <a:ln w="19050" cap="rnd">
              <a:solidFill>
                <a:schemeClr val="accent6">
                  <a:shade val="58000"/>
                </a:schemeClr>
              </a:solidFill>
              <a:round/>
            </a:ln>
            <a:effectLst/>
          </c:spPr>
          <c:marker>
            <c:symbol val="circle"/>
            <c:size val="5"/>
            <c:spPr>
              <a:solidFill>
                <a:schemeClr val="accent6">
                  <a:shade val="58000"/>
                </a:schemeClr>
              </a:solidFill>
              <a:ln w="9525">
                <a:solidFill>
                  <a:schemeClr val="accent6">
                    <a:shade val="58000"/>
                  </a:schemeClr>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xVal>
            <c:numRef>
              <c:f>Diafriltration!$C$68:$C$79</c:f>
              <c:numCache>
                <c:formatCode>General</c:formatCode>
                <c:ptCount val="12"/>
                <c:pt idx="0">
                  <c:v>0</c:v>
                </c:pt>
                <c:pt idx="1">
                  <c:v>1</c:v>
                </c:pt>
                <c:pt idx="2">
                  <c:v>2</c:v>
                </c:pt>
                <c:pt idx="3">
                  <c:v>3</c:v>
                </c:pt>
                <c:pt idx="4">
                  <c:v>4</c:v>
                </c:pt>
                <c:pt idx="5">
                  <c:v>5</c:v>
                </c:pt>
                <c:pt idx="6">
                  <c:v>6</c:v>
                </c:pt>
                <c:pt idx="7">
                  <c:v>7</c:v>
                </c:pt>
                <c:pt idx="8">
                  <c:v>8</c:v>
                </c:pt>
                <c:pt idx="9">
                  <c:v>9</c:v>
                </c:pt>
                <c:pt idx="10">
                  <c:v>10</c:v>
                </c:pt>
                <c:pt idx="11">
                  <c:v>11</c:v>
                </c:pt>
              </c:numCache>
            </c:numRef>
          </c:xVal>
          <c:yVal>
            <c:numRef>
              <c:f>Diafriltration!$G$68:$G$79</c:f>
              <c:numCache>
                <c:formatCode>0.00%</c:formatCode>
                <c:ptCount val="12"/>
                <c:pt idx="0">
                  <c:v>0.51782499439999996</c:v>
                </c:pt>
                <c:pt idx="1">
                  <c:v>0.31242415680000002</c:v>
                </c:pt>
                <c:pt idx="2">
                  <c:v>0.25525127199999997</c:v>
                </c:pt>
                <c:pt idx="3">
                  <c:v>0.19253250759999999</c:v>
                </c:pt>
                <c:pt idx="4">
                  <c:v>0.14405697159999997</c:v>
                </c:pt>
                <c:pt idx="5">
                  <c:v>0.12005990319999997</c:v>
                </c:pt>
                <c:pt idx="6">
                  <c:v>9.2876755199999994E-2</c:v>
                </c:pt>
                <c:pt idx="7">
                  <c:v>6.9826403599999989E-2</c:v>
                </c:pt>
                <c:pt idx="8">
                  <c:v>5.3082486399999997E-2</c:v>
                </c:pt>
                <c:pt idx="9">
                  <c:v>4.1746182E-2</c:v>
                </c:pt>
                <c:pt idx="10">
                  <c:v>1.0601191999999999E-2</c:v>
                </c:pt>
                <c:pt idx="11">
                  <c:v>4.5679699999999993E-3</c:v>
                </c:pt>
              </c:numCache>
            </c:numRef>
          </c:yVal>
          <c:smooth val="1"/>
        </c:ser>
        <c:ser>
          <c:idx val="3"/>
          <c:order val="2"/>
          <c:tx>
            <c:v>Methanol - 25 kDa</c:v>
          </c:tx>
          <c:spPr>
            <a:ln w="19050" cap="rnd">
              <a:solidFill>
                <a:schemeClr val="accent2">
                  <a:lumMod val="60000"/>
                  <a:lumOff val="40000"/>
                </a:schemeClr>
              </a:solidFill>
              <a:round/>
            </a:ln>
            <a:effectLst/>
          </c:spPr>
          <c:marker>
            <c:symbol val="triangle"/>
            <c:size val="5"/>
            <c:spPr>
              <a:solidFill>
                <a:schemeClr val="accent2">
                  <a:lumMod val="60000"/>
                  <a:lumOff val="40000"/>
                </a:schemeClr>
              </a:solidFill>
              <a:ln w="9525">
                <a:solidFill>
                  <a:schemeClr val="accent2">
                    <a:lumMod val="60000"/>
                    <a:lumOff val="40000"/>
                  </a:schemeClr>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xVal>
            <c:numRef>
              <c:f>Diafriltration!$C$26:$C$35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Diafriltration!$J$26:$J$35</c:f>
              <c:numCache>
                <c:formatCode>0.00%</c:formatCode>
                <c:ptCount val="10"/>
                <c:pt idx="0">
                  <c:v>0.21000152399999999</c:v>
                </c:pt>
                <c:pt idx="1">
                  <c:v>0.13295806239999999</c:v>
                </c:pt>
                <c:pt idx="2">
                  <c:v>0.10441772959999999</c:v>
                </c:pt>
                <c:pt idx="3">
                  <c:v>8.0979612800000003E-2</c:v>
                </c:pt>
                <c:pt idx="4">
                  <c:v>6.1443839200000003E-2</c:v>
                </c:pt>
                <c:pt idx="5">
                  <c:v>4.5226009599999992E-2</c:v>
                </c:pt>
                <c:pt idx="6">
                  <c:v>2.9592579200000003E-2</c:v>
                </c:pt>
                <c:pt idx="7">
                  <c:v>1.1551384000000001E-2</c:v>
                </c:pt>
                <c:pt idx="8">
                  <c:v>6.8050200000000002E-3</c:v>
                </c:pt>
                <c:pt idx="9">
                  <c:v>3.8008272000000002E-3</c:v>
                </c:pt>
              </c:numCache>
            </c:numRef>
          </c:yVal>
          <c:smooth val="1"/>
        </c:ser>
        <c:ser>
          <c:idx val="1"/>
          <c:order val="3"/>
          <c:tx>
            <c:v>Methanol - 15 kDa</c:v>
          </c:tx>
          <c:spPr>
            <a:ln w="19050" cap="rnd">
              <a:solidFill>
                <a:schemeClr val="accent6">
                  <a:shade val="86000"/>
                </a:schemeClr>
              </a:solidFill>
              <a:round/>
            </a:ln>
            <a:effectLst/>
          </c:spPr>
          <c:marker>
            <c:symbol val="triangle"/>
            <c:size val="5"/>
            <c:spPr>
              <a:solidFill>
                <a:schemeClr val="accent6">
                  <a:shade val="86000"/>
                </a:schemeClr>
              </a:solidFill>
              <a:ln w="9525">
                <a:solidFill>
                  <a:schemeClr val="accent6">
                    <a:shade val="86000"/>
                  </a:schemeClr>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xVal>
            <c:numRef>
              <c:f>Diafriltration!$C$68:$C$79</c:f>
              <c:numCache>
                <c:formatCode>General</c:formatCode>
                <c:ptCount val="12"/>
                <c:pt idx="0">
                  <c:v>0</c:v>
                </c:pt>
                <c:pt idx="1">
                  <c:v>1</c:v>
                </c:pt>
                <c:pt idx="2">
                  <c:v>2</c:v>
                </c:pt>
                <c:pt idx="3">
                  <c:v>3</c:v>
                </c:pt>
                <c:pt idx="4">
                  <c:v>4</c:v>
                </c:pt>
                <c:pt idx="5">
                  <c:v>5</c:v>
                </c:pt>
                <c:pt idx="6">
                  <c:v>6</c:v>
                </c:pt>
                <c:pt idx="7">
                  <c:v>7</c:v>
                </c:pt>
                <c:pt idx="8">
                  <c:v>8</c:v>
                </c:pt>
                <c:pt idx="9">
                  <c:v>9</c:v>
                </c:pt>
                <c:pt idx="10">
                  <c:v>10</c:v>
                </c:pt>
                <c:pt idx="11">
                  <c:v>11</c:v>
                </c:pt>
              </c:numCache>
            </c:numRef>
          </c:xVal>
          <c:yVal>
            <c:numRef>
              <c:f>Diafriltration!$J$68:$J$79</c:f>
              <c:numCache>
                <c:formatCode>0.00%</c:formatCode>
                <c:ptCount val="12"/>
                <c:pt idx="0">
                  <c:v>0.21000152399999999</c:v>
                </c:pt>
                <c:pt idx="1">
                  <c:v>0.18317629760000001</c:v>
                </c:pt>
                <c:pt idx="2">
                  <c:v>9.3815344800000006E-2</c:v>
                </c:pt>
                <c:pt idx="3">
                  <c:v>6.4344784799999999E-2</c:v>
                </c:pt>
                <c:pt idx="4">
                  <c:v>4.4455164000000005E-2</c:v>
                </c:pt>
                <c:pt idx="5">
                  <c:v>5.2609688000000002E-2</c:v>
                </c:pt>
                <c:pt idx="6">
                  <c:v>2.4733946400000002E-2</c:v>
                </c:pt>
                <c:pt idx="7">
                  <c:v>1.4442305600000002E-2</c:v>
                </c:pt>
                <c:pt idx="8">
                  <c:v>6.7228232000000002E-3</c:v>
                </c:pt>
                <c:pt idx="9">
                  <c:v>7.5738608000000011E-3</c:v>
                </c:pt>
                <c:pt idx="10">
                  <c:v>1.7428999999999999E-3</c:v>
                </c:pt>
                <c:pt idx="11">
                  <c:v>1.7428999999999999E-3</c:v>
                </c:pt>
              </c:numCache>
            </c:numRef>
          </c:yVal>
          <c:smooth val="1"/>
        </c:ser>
        <c:dLbls>
          <c:showLegendKey val="0"/>
          <c:showVal val="0"/>
          <c:showCatName val="0"/>
          <c:showSerName val="0"/>
          <c:showPercent val="0"/>
          <c:showBubbleSize val="0"/>
        </c:dLbls>
        <c:axId val="9349104"/>
        <c:axId val="9349496"/>
      </c:scatterChart>
      <c:valAx>
        <c:axId val="9349104"/>
        <c:scaling>
          <c:orientation val="minMax"/>
          <c:max val="12"/>
          <c:min val="0"/>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da-DK" sz="1200"/>
                  <a:t>time (h)</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a-DK"/>
          </a:p>
        </c:txPr>
        <c:crossAx val="9349496"/>
        <c:crosses val="autoZero"/>
        <c:crossBetween val="midCat"/>
        <c:majorUnit val="3"/>
      </c:valAx>
      <c:valAx>
        <c:axId val="9349496"/>
        <c:scaling>
          <c:orientation val="minMax"/>
          <c:min val="0"/>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da-DK" sz="1200"/>
                  <a:t>Phase composition</a:t>
                </a:r>
              </a:p>
            </c:rich>
          </c:tx>
          <c:overlay val="0"/>
          <c:spPr>
            <a:noFill/>
            <a:ln>
              <a:noFill/>
            </a:ln>
            <a:effectLst/>
          </c:sp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a-DK"/>
          </a:p>
        </c:txPr>
        <c:crossAx val="9349104"/>
        <c:crosses val="autoZero"/>
        <c:crossBetween val="midCat"/>
        <c:majorUnit val="0.2"/>
      </c:valAx>
      <c:spPr>
        <a:noFill/>
        <a:ln>
          <a:noFill/>
        </a:ln>
        <a:effectLst/>
      </c:spPr>
    </c:plotArea>
    <c:legend>
      <c:legendPos val="b"/>
      <c:layout>
        <c:manualLayout>
          <c:xMode val="edge"/>
          <c:yMode val="edge"/>
          <c:x val="0.39902976846747529"/>
          <c:y val="3.2716425767113345E-2"/>
          <c:w val="0.598542569168931"/>
          <c:h val="0.1432930381756826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a:pPr>
      <a:endParaRPr lang="da-D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2004635784163344"/>
          <c:y val="4.8491759947619319E-2"/>
          <c:w val="0.82547596847237881"/>
          <c:h val="0.75947641805409427"/>
        </c:manualLayout>
      </c:layout>
      <c:scatterChart>
        <c:scatterStyle val="smoothMarker"/>
        <c:varyColors val="0"/>
        <c:ser>
          <c:idx val="2"/>
          <c:order val="0"/>
          <c:tx>
            <c:v>Glycerol - 25 kDa</c:v>
          </c:tx>
          <c:spPr>
            <a:ln w="19050"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percentage"/>
            <c:noEndCap val="0"/>
            <c:val val="10"/>
            <c:spPr>
              <a:noFill/>
              <a:ln w="9525" cap="flat" cmpd="sng" algn="ctr">
                <a:solidFill>
                  <a:schemeClr val="tx1">
                    <a:lumMod val="65000"/>
                    <a:lumOff val="35000"/>
                  </a:schemeClr>
                </a:solidFill>
                <a:round/>
              </a:ln>
              <a:effectLst/>
            </c:spPr>
          </c:errBars>
          <c:xVal>
            <c:numRef>
              <c:f>Diafriltration!$C$48:$C$52</c:f>
              <c:numCache>
                <c:formatCode>General</c:formatCode>
                <c:ptCount val="5"/>
                <c:pt idx="0">
                  <c:v>0</c:v>
                </c:pt>
                <c:pt idx="1">
                  <c:v>1</c:v>
                </c:pt>
                <c:pt idx="2">
                  <c:v>2</c:v>
                </c:pt>
                <c:pt idx="3">
                  <c:v>3</c:v>
                </c:pt>
                <c:pt idx="4">
                  <c:v>4</c:v>
                </c:pt>
              </c:numCache>
            </c:numRef>
          </c:xVal>
          <c:yVal>
            <c:numRef>
              <c:f>Diafriltration!$G$48:$G$52</c:f>
              <c:numCache>
                <c:formatCode>0.00%</c:formatCode>
                <c:ptCount val="5"/>
                <c:pt idx="0">
                  <c:v>0.29140585519999995</c:v>
                </c:pt>
                <c:pt idx="1">
                  <c:v>0.11532090039999998</c:v>
                </c:pt>
                <c:pt idx="2">
                  <c:v>3.1502028000000001E-2</c:v>
                </c:pt>
                <c:pt idx="3">
                  <c:v>1.2711377599999999E-2</c:v>
                </c:pt>
                <c:pt idx="4">
                  <c:v>1.6940831999999999E-3</c:v>
                </c:pt>
              </c:numCache>
            </c:numRef>
          </c:yVal>
          <c:smooth val="1"/>
        </c:ser>
        <c:ser>
          <c:idx val="0"/>
          <c:order val="1"/>
          <c:tx>
            <c:v>Glycerol - 15 kDa</c:v>
          </c:tx>
          <c:spPr>
            <a:ln w="19050" cap="rnd">
              <a:solidFill>
                <a:srgbClr val="FF3399"/>
              </a:solidFill>
              <a:round/>
            </a:ln>
            <a:effectLst/>
          </c:spPr>
          <c:marker>
            <c:symbol val="circle"/>
            <c:size val="5"/>
            <c:spPr>
              <a:solidFill>
                <a:srgbClr val="FF3399"/>
              </a:solidFill>
              <a:ln w="9525">
                <a:solidFill>
                  <a:srgbClr val="FF3399"/>
                </a:solidFill>
              </a:ln>
              <a:effectLst/>
            </c:spPr>
          </c:marker>
          <c:errBars>
            <c:errDir val="y"/>
            <c:errBarType val="both"/>
            <c:errValType val="percentage"/>
            <c:noEndCap val="0"/>
            <c:val val="10"/>
            <c:spPr>
              <a:noFill/>
              <a:ln w="9525" cap="flat" cmpd="sng" algn="ctr">
                <a:solidFill>
                  <a:schemeClr val="tx1">
                    <a:lumMod val="65000"/>
                    <a:lumOff val="35000"/>
                  </a:schemeClr>
                </a:solidFill>
                <a:round/>
              </a:ln>
              <a:effectLst/>
            </c:spPr>
          </c:errBars>
          <c:xVal>
            <c:numRef>
              <c:f>Diafriltration!$C$92:$C$96</c:f>
              <c:numCache>
                <c:formatCode>General</c:formatCode>
                <c:ptCount val="5"/>
                <c:pt idx="0">
                  <c:v>0</c:v>
                </c:pt>
                <c:pt idx="1">
                  <c:v>1</c:v>
                </c:pt>
                <c:pt idx="2">
                  <c:v>2</c:v>
                </c:pt>
                <c:pt idx="3">
                  <c:v>3</c:v>
                </c:pt>
                <c:pt idx="4">
                  <c:v>4</c:v>
                </c:pt>
              </c:numCache>
            </c:numRef>
          </c:xVal>
          <c:yVal>
            <c:numRef>
              <c:f>Diafriltration!$G$92:$G$96</c:f>
              <c:numCache>
                <c:formatCode>0.00%</c:formatCode>
                <c:ptCount val="5"/>
                <c:pt idx="0">
                  <c:v>0.29140585519999995</c:v>
                </c:pt>
                <c:pt idx="1">
                  <c:v>0.11403542119999996</c:v>
                </c:pt>
                <c:pt idx="2">
                  <c:v>3.9968640799999997E-2</c:v>
                </c:pt>
                <c:pt idx="3">
                  <c:v>1.16496424E-2</c:v>
                </c:pt>
                <c:pt idx="4">
                  <c:v>2.6659711999999997E-3</c:v>
                </c:pt>
              </c:numCache>
            </c:numRef>
          </c:yVal>
          <c:smooth val="1"/>
        </c:ser>
        <c:ser>
          <c:idx val="3"/>
          <c:order val="2"/>
          <c:tx>
            <c:v>Methanol - 25 kDa</c:v>
          </c:tx>
          <c:spPr>
            <a:ln w="19050" cap="rnd">
              <a:solidFill>
                <a:schemeClr val="accent5">
                  <a:lumMod val="60000"/>
                  <a:lumOff val="40000"/>
                </a:schemeClr>
              </a:solidFill>
              <a:round/>
            </a:ln>
            <a:effectLst/>
          </c:spPr>
          <c:marker>
            <c:symbol val="triangle"/>
            <c:size val="5"/>
            <c:spPr>
              <a:solidFill>
                <a:schemeClr val="accent5">
                  <a:lumMod val="60000"/>
                  <a:lumOff val="40000"/>
                </a:schemeClr>
              </a:solidFill>
              <a:ln w="9525">
                <a:solidFill>
                  <a:schemeClr val="accent5">
                    <a:lumMod val="60000"/>
                    <a:lumOff val="40000"/>
                  </a:schemeClr>
                </a:solidFill>
              </a:ln>
              <a:effectLst/>
            </c:spPr>
          </c:marker>
          <c:errBars>
            <c:errDir val="y"/>
            <c:errBarType val="both"/>
            <c:errValType val="percentage"/>
            <c:noEndCap val="0"/>
            <c:val val="10"/>
            <c:spPr>
              <a:noFill/>
              <a:ln w="9525" cap="flat" cmpd="sng" algn="ctr">
                <a:solidFill>
                  <a:schemeClr val="tx1">
                    <a:lumMod val="65000"/>
                    <a:lumOff val="35000"/>
                  </a:schemeClr>
                </a:solidFill>
                <a:round/>
              </a:ln>
              <a:effectLst/>
            </c:spPr>
          </c:errBars>
          <c:xVal>
            <c:numRef>
              <c:f>Diafriltration!$C$48:$C$52</c:f>
              <c:numCache>
                <c:formatCode>General</c:formatCode>
                <c:ptCount val="5"/>
                <c:pt idx="0">
                  <c:v>0</c:v>
                </c:pt>
                <c:pt idx="1">
                  <c:v>1</c:v>
                </c:pt>
                <c:pt idx="2">
                  <c:v>2</c:v>
                </c:pt>
                <c:pt idx="3">
                  <c:v>3</c:v>
                </c:pt>
                <c:pt idx="4">
                  <c:v>4</c:v>
                </c:pt>
              </c:numCache>
            </c:numRef>
          </c:xVal>
          <c:yVal>
            <c:numRef>
              <c:f>Diafriltration!$J$48:$J$52</c:f>
              <c:numCache>
                <c:formatCode>0.00%</c:formatCode>
                <c:ptCount val="5"/>
                <c:pt idx="0">
                  <c:v>0.24836437439999998</c:v>
                </c:pt>
                <c:pt idx="1">
                  <c:v>0.10216533679999999</c:v>
                </c:pt>
                <c:pt idx="2">
                  <c:v>2.2374296799999999E-2</c:v>
                </c:pt>
                <c:pt idx="3">
                  <c:v>4.5746800000000002E-3</c:v>
                </c:pt>
                <c:pt idx="4">
                  <c:v>2.1047664000000002E-3</c:v>
                </c:pt>
              </c:numCache>
            </c:numRef>
          </c:yVal>
          <c:smooth val="1"/>
        </c:ser>
        <c:ser>
          <c:idx val="1"/>
          <c:order val="3"/>
          <c:tx>
            <c:v>Methanol - 15 kDa</c:v>
          </c:tx>
          <c:spPr>
            <a:ln w="19050" cap="rnd">
              <a:solidFill>
                <a:srgbClr val="FF99FF"/>
              </a:solidFill>
              <a:round/>
            </a:ln>
            <a:effectLst/>
          </c:spPr>
          <c:marker>
            <c:symbol val="triangle"/>
            <c:size val="5"/>
            <c:spPr>
              <a:solidFill>
                <a:srgbClr val="FF99FF"/>
              </a:solidFill>
              <a:ln w="9525">
                <a:solidFill>
                  <a:srgbClr val="FF99FF"/>
                </a:solidFill>
              </a:ln>
              <a:effectLst/>
            </c:spPr>
          </c:marker>
          <c:errBars>
            <c:errDir val="y"/>
            <c:errBarType val="both"/>
            <c:errValType val="percentage"/>
            <c:noEndCap val="0"/>
            <c:val val="10"/>
            <c:spPr>
              <a:noFill/>
              <a:ln w="9525" cap="flat" cmpd="sng" algn="ctr">
                <a:solidFill>
                  <a:schemeClr val="tx1">
                    <a:lumMod val="65000"/>
                    <a:lumOff val="35000"/>
                  </a:schemeClr>
                </a:solidFill>
                <a:round/>
              </a:ln>
              <a:effectLst/>
            </c:spPr>
          </c:errBars>
          <c:xVal>
            <c:numRef>
              <c:f>Diafriltration!$C$92:$C$96</c:f>
              <c:numCache>
                <c:formatCode>General</c:formatCode>
                <c:ptCount val="5"/>
                <c:pt idx="0">
                  <c:v>0</c:v>
                </c:pt>
                <c:pt idx="1">
                  <c:v>1</c:v>
                </c:pt>
                <c:pt idx="2">
                  <c:v>2</c:v>
                </c:pt>
                <c:pt idx="3">
                  <c:v>3</c:v>
                </c:pt>
                <c:pt idx="4">
                  <c:v>4</c:v>
                </c:pt>
              </c:numCache>
            </c:numRef>
          </c:xVal>
          <c:yVal>
            <c:numRef>
              <c:f>Diafriltration!$J$92:$J$96</c:f>
              <c:numCache>
                <c:formatCode>0.00%</c:formatCode>
                <c:ptCount val="5"/>
                <c:pt idx="0">
                  <c:v>0.24836437439999998</c:v>
                </c:pt>
                <c:pt idx="1">
                  <c:v>0.10248710719999998</c:v>
                </c:pt>
                <c:pt idx="2">
                  <c:v>3.5782399200000002E-2</c:v>
                </c:pt>
                <c:pt idx="3">
                  <c:v>9.7380424000000007E-3</c:v>
                </c:pt>
                <c:pt idx="4">
                  <c:v>2.6119808000000001E-3</c:v>
                </c:pt>
              </c:numCache>
            </c:numRef>
          </c:yVal>
          <c:smooth val="1"/>
        </c:ser>
        <c:dLbls>
          <c:showLegendKey val="0"/>
          <c:showVal val="0"/>
          <c:showCatName val="0"/>
          <c:showSerName val="0"/>
          <c:showPercent val="0"/>
          <c:showBubbleSize val="0"/>
        </c:dLbls>
        <c:axId val="521826680"/>
        <c:axId val="521827072"/>
      </c:scatterChart>
      <c:valAx>
        <c:axId val="521826680"/>
        <c:scaling>
          <c:orientation val="minMax"/>
          <c:max val="5"/>
          <c:min val="0"/>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da-DK" sz="1200"/>
                  <a:t>time (h)</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a-DK"/>
          </a:p>
        </c:txPr>
        <c:crossAx val="521827072"/>
        <c:crosses val="autoZero"/>
        <c:crossBetween val="midCat"/>
        <c:majorUnit val="1"/>
      </c:valAx>
      <c:valAx>
        <c:axId val="521827072"/>
        <c:scaling>
          <c:orientation val="minMax"/>
          <c:max val="0.30000000000000004"/>
          <c:min val="0"/>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da-DK" sz="1200"/>
                  <a:t>Phase composition</a:t>
                </a:r>
              </a:p>
            </c:rich>
          </c:tx>
          <c:overlay val="0"/>
          <c:spPr>
            <a:noFill/>
            <a:ln>
              <a:noFill/>
            </a:ln>
            <a:effectLst/>
          </c:sp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a-DK"/>
          </a:p>
        </c:txPr>
        <c:crossAx val="521826680"/>
        <c:crosses val="autoZero"/>
        <c:crossBetween val="midCat"/>
        <c:majorUnit val="0.1"/>
      </c:valAx>
      <c:spPr>
        <a:noFill/>
        <a:ln>
          <a:noFill/>
        </a:ln>
        <a:effectLst/>
      </c:spPr>
    </c:plotArea>
    <c:legend>
      <c:legendPos val="b"/>
      <c:layout>
        <c:manualLayout>
          <c:xMode val="edge"/>
          <c:yMode val="edge"/>
          <c:x val="0.35351068129470831"/>
          <c:y val="5.4404285290086465E-2"/>
          <c:w val="0.61895996766637951"/>
          <c:h val="0.181862945253966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a:pPr>
      <a:endParaRPr lang="da-DK"/>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96241180861567"/>
          <c:y val="4.8908871107089393E-2"/>
          <c:w val="0.84468896433817331"/>
          <c:h val="0.78796219598731532"/>
        </c:manualLayout>
      </c:layout>
      <c:scatterChart>
        <c:scatterStyle val="lineMarker"/>
        <c:varyColors val="0"/>
        <c:ser>
          <c:idx val="0"/>
          <c:order val="0"/>
          <c:tx>
            <c:v>RHT - 15 kDa</c:v>
          </c:tx>
          <c:spPr>
            <a:ln w="25400" cap="flat" cmpd="sng" algn="ctr">
              <a:noFill/>
              <a:prstDash val="sysDot"/>
              <a:round/>
            </a:ln>
            <a:effectLst/>
          </c:spPr>
          <c:marker>
            <c:symbol val="circle"/>
            <c:size val="6"/>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xVal>
            <c:numRef>
              <c:f>Sheet1!$A$2:$A$36</c:f>
              <c:numCache>
                <c:formatCode>0.00</c:formatCode>
                <c:ptCount val="35"/>
                <c:pt idx="0">
                  <c:v>0</c:v>
                </c:pt>
                <c:pt idx="1">
                  <c:v>3.3333333333333333E-2</c:v>
                </c:pt>
                <c:pt idx="2">
                  <c:v>6.6666666666666666E-2</c:v>
                </c:pt>
                <c:pt idx="3">
                  <c:v>0.1</c:v>
                </c:pt>
                <c:pt idx="4">
                  <c:v>0.13333333333333333</c:v>
                </c:pt>
                <c:pt idx="5">
                  <c:v>0.18333333333333332</c:v>
                </c:pt>
                <c:pt idx="6">
                  <c:v>0.25</c:v>
                </c:pt>
                <c:pt idx="7">
                  <c:v>0.38333333333333336</c:v>
                </c:pt>
                <c:pt idx="8">
                  <c:v>0.51666666666666672</c:v>
                </c:pt>
                <c:pt idx="9">
                  <c:v>0.65</c:v>
                </c:pt>
                <c:pt idx="10">
                  <c:v>0.78333333333333333</c:v>
                </c:pt>
                <c:pt idx="11">
                  <c:v>0.91666666666666663</c:v>
                </c:pt>
                <c:pt idx="12">
                  <c:v>1.05</c:v>
                </c:pt>
                <c:pt idx="13">
                  <c:v>1.1833333333333333</c:v>
                </c:pt>
                <c:pt idx="14">
                  <c:v>1.3166666666666667</c:v>
                </c:pt>
                <c:pt idx="15">
                  <c:v>1.45</c:v>
                </c:pt>
                <c:pt idx="16">
                  <c:v>1.5833333333333333</c:v>
                </c:pt>
                <c:pt idx="17">
                  <c:v>1.7166666666666666</c:v>
                </c:pt>
                <c:pt idx="18">
                  <c:v>1.85</c:v>
                </c:pt>
                <c:pt idx="19">
                  <c:v>1.9833333333333334</c:v>
                </c:pt>
                <c:pt idx="20">
                  <c:v>2.1166666666666667</c:v>
                </c:pt>
                <c:pt idx="21">
                  <c:v>2.25</c:v>
                </c:pt>
                <c:pt idx="22">
                  <c:v>2.3833333333333333</c:v>
                </c:pt>
                <c:pt idx="23">
                  <c:v>2.5166666666666666</c:v>
                </c:pt>
                <c:pt idx="24">
                  <c:v>2.65</c:v>
                </c:pt>
                <c:pt idx="25">
                  <c:v>2.7833333333333332</c:v>
                </c:pt>
                <c:pt idx="26">
                  <c:v>2.9166666666666665</c:v>
                </c:pt>
                <c:pt idx="27">
                  <c:v>3.05</c:v>
                </c:pt>
                <c:pt idx="28">
                  <c:v>3.1833333333333331</c:v>
                </c:pt>
                <c:pt idx="29">
                  <c:v>3.3166666666666669</c:v>
                </c:pt>
                <c:pt idx="30">
                  <c:v>3.45</c:v>
                </c:pt>
                <c:pt idx="31">
                  <c:v>3.5833333333333335</c:v>
                </c:pt>
                <c:pt idx="32">
                  <c:v>3.7166666666666668</c:v>
                </c:pt>
                <c:pt idx="33">
                  <c:v>3.85</c:v>
                </c:pt>
                <c:pt idx="34">
                  <c:v>3.9833333333333334</c:v>
                </c:pt>
              </c:numCache>
            </c:numRef>
          </c:xVal>
          <c:yVal>
            <c:numRef>
              <c:f>Sheet1!$B$2:$B$36</c:f>
              <c:numCache>
                <c:formatCode>General</c:formatCode>
                <c:ptCount val="35"/>
                <c:pt idx="0">
                  <c:v>46.6</c:v>
                </c:pt>
                <c:pt idx="1">
                  <c:v>22.40000000000002</c:v>
                </c:pt>
                <c:pt idx="2">
                  <c:v>16.000000000000014</c:v>
                </c:pt>
                <c:pt idx="3">
                  <c:v>11.199999999999974</c:v>
                </c:pt>
                <c:pt idx="4">
                  <c:v>9.5999999999999375</c:v>
                </c:pt>
                <c:pt idx="5">
                  <c:v>11.200000000000045</c:v>
                </c:pt>
                <c:pt idx="6">
                  <c:v>15.999999999999941</c:v>
                </c:pt>
                <c:pt idx="7">
                  <c:v>12.80000000000001</c:v>
                </c:pt>
                <c:pt idx="8">
                  <c:v>19.199999999999875</c:v>
                </c:pt>
                <c:pt idx="9">
                  <c:v>20.799999999999841</c:v>
                </c:pt>
                <c:pt idx="10">
                  <c:v>17.599999999999909</c:v>
                </c:pt>
                <c:pt idx="11">
                  <c:v>16.000000000000227</c:v>
                </c:pt>
                <c:pt idx="12">
                  <c:v>20.799999999999841</c:v>
                </c:pt>
                <c:pt idx="13">
                  <c:v>25.600000000000019</c:v>
                </c:pt>
                <c:pt idx="14">
                  <c:v>23.999999999999773</c:v>
                </c:pt>
                <c:pt idx="15">
                  <c:v>27.200000000000273</c:v>
                </c:pt>
                <c:pt idx="16">
                  <c:v>36.800000000000637</c:v>
                </c:pt>
                <c:pt idx="17">
                  <c:v>35.199999999999818</c:v>
                </c:pt>
                <c:pt idx="18">
                  <c:v>38.400000000000318</c:v>
                </c:pt>
                <c:pt idx="19">
                  <c:v>40</c:v>
                </c:pt>
                <c:pt idx="20">
                  <c:v>32.000000000000455</c:v>
                </c:pt>
                <c:pt idx="21">
                  <c:v>36.800000000000637</c:v>
                </c:pt>
                <c:pt idx="22">
                  <c:v>38.399999999999181</c:v>
                </c:pt>
                <c:pt idx="23">
                  <c:v>36.799999999998363</c:v>
                </c:pt>
                <c:pt idx="24">
                  <c:v>38.400000000001455</c:v>
                </c:pt>
                <c:pt idx="25">
                  <c:v>36.800000000000637</c:v>
                </c:pt>
                <c:pt idx="26">
                  <c:v>31.999999999998181</c:v>
                </c:pt>
                <c:pt idx="27">
                  <c:v>40</c:v>
                </c:pt>
                <c:pt idx="28">
                  <c:v>30.399999999999636</c:v>
                </c:pt>
                <c:pt idx="29">
                  <c:v>40</c:v>
                </c:pt>
                <c:pt idx="30">
                  <c:v>33.600000000001273</c:v>
                </c:pt>
                <c:pt idx="31">
                  <c:v>31.999999999998181</c:v>
                </c:pt>
              </c:numCache>
            </c:numRef>
          </c:yVal>
          <c:smooth val="0"/>
        </c:ser>
        <c:ser>
          <c:idx val="1"/>
          <c:order val="1"/>
          <c:tx>
            <c:v>RHT - 25 kDa</c:v>
          </c:tx>
          <c:spPr>
            <a:ln w="25400" cap="flat" cmpd="sng" algn="ctr">
              <a:noFill/>
              <a:prstDash val="sysDot"/>
              <a:round/>
            </a:ln>
            <a:effectLst/>
          </c:spPr>
          <c:marker>
            <c:symbol val="circle"/>
            <c:size val="6"/>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marker>
          <c:trendline>
            <c:spPr>
              <a:ln w="9525" cap="rnd">
                <a:solidFill>
                  <a:schemeClr val="accent2"/>
                </a:solidFill>
              </a:ln>
              <a:effectLst/>
            </c:spPr>
            <c:trendlineType val="log"/>
            <c:dispRSqr val="0"/>
            <c:dispEq val="0"/>
          </c:trendline>
          <c:trendline>
            <c:spPr>
              <a:ln w="9525" cap="rnd">
                <a:solidFill>
                  <a:schemeClr val="accent2"/>
                </a:solidFill>
              </a:ln>
              <a:effectLst/>
            </c:spPr>
            <c:trendlineType val="power"/>
            <c:dispRSqr val="0"/>
            <c:dispEq val="0"/>
          </c:trendline>
          <c:xVal>
            <c:numRef>
              <c:f>Sheet1!$A$2:$A$36</c:f>
              <c:numCache>
                <c:formatCode>0.00</c:formatCode>
                <c:ptCount val="35"/>
                <c:pt idx="0">
                  <c:v>0</c:v>
                </c:pt>
                <c:pt idx="1">
                  <c:v>3.3333333333333333E-2</c:v>
                </c:pt>
                <c:pt idx="2">
                  <c:v>6.6666666666666666E-2</c:v>
                </c:pt>
                <c:pt idx="3">
                  <c:v>0.1</c:v>
                </c:pt>
                <c:pt idx="4">
                  <c:v>0.13333333333333333</c:v>
                </c:pt>
                <c:pt idx="5">
                  <c:v>0.18333333333333332</c:v>
                </c:pt>
                <c:pt idx="6">
                  <c:v>0.25</c:v>
                </c:pt>
                <c:pt idx="7">
                  <c:v>0.38333333333333336</c:v>
                </c:pt>
                <c:pt idx="8">
                  <c:v>0.51666666666666672</c:v>
                </c:pt>
                <c:pt idx="9">
                  <c:v>0.65</c:v>
                </c:pt>
                <c:pt idx="10">
                  <c:v>0.78333333333333333</c:v>
                </c:pt>
                <c:pt idx="11">
                  <c:v>0.91666666666666663</c:v>
                </c:pt>
                <c:pt idx="12">
                  <c:v>1.05</c:v>
                </c:pt>
                <c:pt idx="13">
                  <c:v>1.1833333333333333</c:v>
                </c:pt>
                <c:pt idx="14">
                  <c:v>1.3166666666666667</c:v>
                </c:pt>
                <c:pt idx="15">
                  <c:v>1.45</c:v>
                </c:pt>
                <c:pt idx="16">
                  <c:v>1.5833333333333333</c:v>
                </c:pt>
                <c:pt idx="17">
                  <c:v>1.7166666666666666</c:v>
                </c:pt>
                <c:pt idx="18">
                  <c:v>1.85</c:v>
                </c:pt>
                <c:pt idx="19">
                  <c:v>1.9833333333333334</c:v>
                </c:pt>
                <c:pt idx="20">
                  <c:v>2.1166666666666667</c:v>
                </c:pt>
                <c:pt idx="21">
                  <c:v>2.25</c:v>
                </c:pt>
                <c:pt idx="22">
                  <c:v>2.3833333333333333</c:v>
                </c:pt>
                <c:pt idx="23">
                  <c:v>2.5166666666666666</c:v>
                </c:pt>
                <c:pt idx="24">
                  <c:v>2.65</c:v>
                </c:pt>
                <c:pt idx="25">
                  <c:v>2.7833333333333332</c:v>
                </c:pt>
                <c:pt idx="26">
                  <c:v>2.9166666666666665</c:v>
                </c:pt>
                <c:pt idx="27">
                  <c:v>3.05</c:v>
                </c:pt>
                <c:pt idx="28">
                  <c:v>3.1833333333333331</c:v>
                </c:pt>
                <c:pt idx="29">
                  <c:v>3.3166666666666669</c:v>
                </c:pt>
                <c:pt idx="30">
                  <c:v>3.45</c:v>
                </c:pt>
                <c:pt idx="31">
                  <c:v>3.5833333333333335</c:v>
                </c:pt>
                <c:pt idx="32">
                  <c:v>3.7166666666666668</c:v>
                </c:pt>
                <c:pt idx="33">
                  <c:v>3.85</c:v>
                </c:pt>
                <c:pt idx="34">
                  <c:v>3.9833333333333334</c:v>
                </c:pt>
              </c:numCache>
            </c:numRef>
          </c:xVal>
          <c:yVal>
            <c:numRef>
              <c:f>Sheet1!$C$2:$C$36</c:f>
              <c:numCache>
                <c:formatCode>0.00</c:formatCode>
                <c:ptCount val="35"/>
                <c:pt idx="0">
                  <c:v>12.8</c:v>
                </c:pt>
                <c:pt idx="1">
                  <c:v>15.999999999999995</c:v>
                </c:pt>
                <c:pt idx="2">
                  <c:v>17.600000000000016</c:v>
                </c:pt>
                <c:pt idx="3">
                  <c:v>14.399999999999977</c:v>
                </c:pt>
                <c:pt idx="4">
                  <c:v>14.399999999999977</c:v>
                </c:pt>
                <c:pt idx="5">
                  <c:v>14.400000000000048</c:v>
                </c:pt>
                <c:pt idx="6">
                  <c:v>14.399999999999977</c:v>
                </c:pt>
                <c:pt idx="7">
                  <c:v>9.6000000000000796</c:v>
                </c:pt>
                <c:pt idx="8">
                  <c:v>20.799999999999841</c:v>
                </c:pt>
                <c:pt idx="9">
                  <c:v>17.599999999999909</c:v>
                </c:pt>
                <c:pt idx="10">
                  <c:v>12.799999999999727</c:v>
                </c:pt>
                <c:pt idx="11">
                  <c:v>17.599999999999909</c:v>
                </c:pt>
                <c:pt idx="12">
                  <c:v>20.799999999999841</c:v>
                </c:pt>
                <c:pt idx="13">
                  <c:v>30.400000000000773</c:v>
                </c:pt>
                <c:pt idx="14">
                  <c:v>30.400000000000773</c:v>
                </c:pt>
                <c:pt idx="15">
                  <c:v>33.600000000000136</c:v>
                </c:pt>
                <c:pt idx="16">
                  <c:v>33.599999999999</c:v>
                </c:pt>
                <c:pt idx="17">
                  <c:v>35.199999999999818</c:v>
                </c:pt>
                <c:pt idx="18">
                  <c:v>36.800000000000637</c:v>
                </c:pt>
                <c:pt idx="19">
                  <c:v>36.800000000000637</c:v>
                </c:pt>
                <c:pt idx="20">
                  <c:v>40</c:v>
                </c:pt>
                <c:pt idx="22">
                  <c:v>33.600000000001273</c:v>
                </c:pt>
                <c:pt idx="23">
                  <c:v>36.799999999998363</c:v>
                </c:pt>
                <c:pt idx="24">
                  <c:v>40</c:v>
                </c:pt>
              </c:numCache>
            </c:numRef>
          </c:yVal>
          <c:smooth val="0"/>
        </c:ser>
        <c:ser>
          <c:idx val="2"/>
          <c:order val="2"/>
          <c:tx>
            <c:v>ET - 15 kDa</c:v>
          </c:tx>
          <c:spPr>
            <a:ln w="25400" cap="flat" cmpd="sng" algn="ctr">
              <a:noFill/>
              <a:prstDash val="sysDot"/>
              <a:round/>
            </a:ln>
            <a:effectLst/>
          </c:spPr>
          <c:marker>
            <c:symbol val="circle"/>
            <c:size val="6"/>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marker>
          <c:xVal>
            <c:numRef>
              <c:f>Sheet1!$A$2:$A$36</c:f>
              <c:numCache>
                <c:formatCode>0.00</c:formatCode>
                <c:ptCount val="35"/>
                <c:pt idx="0">
                  <c:v>0</c:v>
                </c:pt>
                <c:pt idx="1">
                  <c:v>3.3333333333333333E-2</c:v>
                </c:pt>
                <c:pt idx="2">
                  <c:v>6.6666666666666666E-2</c:v>
                </c:pt>
                <c:pt idx="3">
                  <c:v>0.1</c:v>
                </c:pt>
                <c:pt idx="4">
                  <c:v>0.13333333333333333</c:v>
                </c:pt>
                <c:pt idx="5">
                  <c:v>0.18333333333333332</c:v>
                </c:pt>
                <c:pt idx="6">
                  <c:v>0.25</c:v>
                </c:pt>
                <c:pt idx="7">
                  <c:v>0.38333333333333336</c:v>
                </c:pt>
                <c:pt idx="8">
                  <c:v>0.51666666666666672</c:v>
                </c:pt>
                <c:pt idx="9">
                  <c:v>0.65</c:v>
                </c:pt>
                <c:pt idx="10">
                  <c:v>0.78333333333333333</c:v>
                </c:pt>
                <c:pt idx="11">
                  <c:v>0.91666666666666663</c:v>
                </c:pt>
                <c:pt idx="12">
                  <c:v>1.05</c:v>
                </c:pt>
                <c:pt idx="13">
                  <c:v>1.1833333333333333</c:v>
                </c:pt>
                <c:pt idx="14">
                  <c:v>1.3166666666666667</c:v>
                </c:pt>
                <c:pt idx="15">
                  <c:v>1.45</c:v>
                </c:pt>
                <c:pt idx="16">
                  <c:v>1.5833333333333333</c:v>
                </c:pt>
                <c:pt idx="17">
                  <c:v>1.7166666666666666</c:v>
                </c:pt>
                <c:pt idx="18">
                  <c:v>1.85</c:v>
                </c:pt>
                <c:pt idx="19">
                  <c:v>1.9833333333333334</c:v>
                </c:pt>
                <c:pt idx="20">
                  <c:v>2.1166666666666667</c:v>
                </c:pt>
                <c:pt idx="21">
                  <c:v>2.25</c:v>
                </c:pt>
                <c:pt idx="22">
                  <c:v>2.3833333333333333</c:v>
                </c:pt>
                <c:pt idx="23">
                  <c:v>2.5166666666666666</c:v>
                </c:pt>
                <c:pt idx="24">
                  <c:v>2.65</c:v>
                </c:pt>
                <c:pt idx="25">
                  <c:v>2.7833333333333332</c:v>
                </c:pt>
                <c:pt idx="26">
                  <c:v>2.9166666666666665</c:v>
                </c:pt>
                <c:pt idx="27">
                  <c:v>3.05</c:v>
                </c:pt>
                <c:pt idx="28">
                  <c:v>3.1833333333333331</c:v>
                </c:pt>
                <c:pt idx="29">
                  <c:v>3.3166666666666669</c:v>
                </c:pt>
                <c:pt idx="30">
                  <c:v>3.45</c:v>
                </c:pt>
                <c:pt idx="31">
                  <c:v>3.5833333333333335</c:v>
                </c:pt>
                <c:pt idx="32">
                  <c:v>3.7166666666666668</c:v>
                </c:pt>
                <c:pt idx="33">
                  <c:v>3.85</c:v>
                </c:pt>
                <c:pt idx="34">
                  <c:v>3.9833333333333334</c:v>
                </c:pt>
              </c:numCache>
            </c:numRef>
          </c:xVal>
          <c:yVal>
            <c:numRef>
              <c:f>Sheet1!$D$2:$D$36</c:f>
              <c:numCache>
                <c:formatCode>0.00</c:formatCode>
                <c:ptCount val="35"/>
                <c:pt idx="0">
                  <c:v>30.400000000000002</c:v>
                </c:pt>
                <c:pt idx="1">
                  <c:v>17.599999999999998</c:v>
                </c:pt>
                <c:pt idx="2">
                  <c:v>11.20000000000001</c:v>
                </c:pt>
                <c:pt idx="3">
                  <c:v>8.0000000000000071</c:v>
                </c:pt>
                <c:pt idx="4">
                  <c:v>7.9999999999999707</c:v>
                </c:pt>
                <c:pt idx="5">
                  <c:v>8.0000000000000426</c:v>
                </c:pt>
                <c:pt idx="6">
                  <c:v>7.9999999999999707</c:v>
                </c:pt>
                <c:pt idx="7">
                  <c:v>6.4000000000000048</c:v>
                </c:pt>
                <c:pt idx="8">
                  <c:v>11.200000000000045</c:v>
                </c:pt>
                <c:pt idx="9">
                  <c:v>4.8000000000000398</c:v>
                </c:pt>
                <c:pt idx="10">
                  <c:v>8.0000000000001137</c:v>
                </c:pt>
                <c:pt idx="11">
                  <c:v>6.3999999999998636</c:v>
                </c:pt>
                <c:pt idx="12">
                  <c:v>4.7999999999998977</c:v>
                </c:pt>
                <c:pt idx="13">
                  <c:v>4.7999999999998977</c:v>
                </c:pt>
                <c:pt idx="14">
                  <c:v>6.4000000000001469</c:v>
                </c:pt>
                <c:pt idx="15">
                  <c:v>6.3999999999998636</c:v>
                </c:pt>
                <c:pt idx="16">
                  <c:v>6.4000000000001469</c:v>
                </c:pt>
                <c:pt idx="17">
                  <c:v>4.7999999999996135</c:v>
                </c:pt>
                <c:pt idx="18">
                  <c:v>6.400000000000432</c:v>
                </c:pt>
                <c:pt idx="19">
                  <c:v>7.9999999999995453</c:v>
                </c:pt>
                <c:pt idx="20">
                  <c:v>8.0000000000001137</c:v>
                </c:pt>
                <c:pt idx="21">
                  <c:v>4.8000000000001819</c:v>
                </c:pt>
                <c:pt idx="22">
                  <c:v>3.1999999999999318</c:v>
                </c:pt>
                <c:pt idx="23">
                  <c:v>8.0000000000001137</c:v>
                </c:pt>
                <c:pt idx="24">
                  <c:v>3.1999999999999318</c:v>
                </c:pt>
                <c:pt idx="25">
                  <c:v>6.3999999999998636</c:v>
                </c:pt>
                <c:pt idx="26">
                  <c:v>8.0000000000001137</c:v>
                </c:pt>
                <c:pt idx="28">
                  <c:v>6.3999999999998636</c:v>
                </c:pt>
                <c:pt idx="29">
                  <c:v>6.3999999999998636</c:v>
                </c:pt>
                <c:pt idx="30">
                  <c:v>6.4000000000010004</c:v>
                </c:pt>
                <c:pt idx="31">
                  <c:v>6.3999999999998636</c:v>
                </c:pt>
                <c:pt idx="32">
                  <c:v>6.3999999999998636</c:v>
                </c:pt>
                <c:pt idx="33">
                  <c:v>7.9999999999995453</c:v>
                </c:pt>
                <c:pt idx="34">
                  <c:v>8.0000000000006821</c:v>
                </c:pt>
              </c:numCache>
            </c:numRef>
          </c:yVal>
          <c:smooth val="0"/>
        </c:ser>
        <c:ser>
          <c:idx val="3"/>
          <c:order val="3"/>
          <c:tx>
            <c:v>ET - 25 kDa</c:v>
          </c:tx>
          <c:spPr>
            <a:ln w="25400" cap="flat" cmpd="sng" algn="ctr">
              <a:noFill/>
              <a:prstDash val="sysDot"/>
              <a:round/>
            </a:ln>
            <a:effectLst/>
          </c:spPr>
          <c:marker>
            <c:symbol val="circle"/>
            <c:size val="6"/>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marker>
          <c:xVal>
            <c:numRef>
              <c:f>Sheet1!$A$2:$A$36</c:f>
              <c:numCache>
                <c:formatCode>0.00</c:formatCode>
                <c:ptCount val="35"/>
                <c:pt idx="0">
                  <c:v>0</c:v>
                </c:pt>
                <c:pt idx="1">
                  <c:v>3.3333333333333333E-2</c:v>
                </c:pt>
                <c:pt idx="2">
                  <c:v>6.6666666666666666E-2</c:v>
                </c:pt>
                <c:pt idx="3">
                  <c:v>0.1</c:v>
                </c:pt>
                <c:pt idx="4">
                  <c:v>0.13333333333333333</c:v>
                </c:pt>
                <c:pt idx="5">
                  <c:v>0.18333333333333332</c:v>
                </c:pt>
                <c:pt idx="6">
                  <c:v>0.25</c:v>
                </c:pt>
                <c:pt idx="7">
                  <c:v>0.38333333333333336</c:v>
                </c:pt>
                <c:pt idx="8">
                  <c:v>0.51666666666666672</c:v>
                </c:pt>
                <c:pt idx="9">
                  <c:v>0.65</c:v>
                </c:pt>
                <c:pt idx="10">
                  <c:v>0.78333333333333333</c:v>
                </c:pt>
                <c:pt idx="11">
                  <c:v>0.91666666666666663</c:v>
                </c:pt>
                <c:pt idx="12">
                  <c:v>1.05</c:v>
                </c:pt>
                <c:pt idx="13">
                  <c:v>1.1833333333333333</c:v>
                </c:pt>
                <c:pt idx="14">
                  <c:v>1.3166666666666667</c:v>
                </c:pt>
                <c:pt idx="15">
                  <c:v>1.45</c:v>
                </c:pt>
                <c:pt idx="16">
                  <c:v>1.5833333333333333</c:v>
                </c:pt>
                <c:pt idx="17">
                  <c:v>1.7166666666666666</c:v>
                </c:pt>
                <c:pt idx="18">
                  <c:v>1.85</c:v>
                </c:pt>
                <c:pt idx="19">
                  <c:v>1.9833333333333334</c:v>
                </c:pt>
                <c:pt idx="20">
                  <c:v>2.1166666666666667</c:v>
                </c:pt>
                <c:pt idx="21">
                  <c:v>2.25</c:v>
                </c:pt>
                <c:pt idx="22">
                  <c:v>2.3833333333333333</c:v>
                </c:pt>
                <c:pt idx="23">
                  <c:v>2.5166666666666666</c:v>
                </c:pt>
                <c:pt idx="24">
                  <c:v>2.65</c:v>
                </c:pt>
                <c:pt idx="25">
                  <c:v>2.7833333333333332</c:v>
                </c:pt>
                <c:pt idx="26">
                  <c:v>2.9166666666666665</c:v>
                </c:pt>
                <c:pt idx="27">
                  <c:v>3.05</c:v>
                </c:pt>
                <c:pt idx="28">
                  <c:v>3.1833333333333331</c:v>
                </c:pt>
                <c:pt idx="29">
                  <c:v>3.3166666666666669</c:v>
                </c:pt>
                <c:pt idx="30">
                  <c:v>3.45</c:v>
                </c:pt>
                <c:pt idx="31">
                  <c:v>3.5833333333333335</c:v>
                </c:pt>
                <c:pt idx="32">
                  <c:v>3.7166666666666668</c:v>
                </c:pt>
                <c:pt idx="33">
                  <c:v>3.85</c:v>
                </c:pt>
                <c:pt idx="34">
                  <c:v>3.9833333333333334</c:v>
                </c:pt>
              </c:numCache>
            </c:numRef>
          </c:xVal>
          <c:yVal>
            <c:numRef>
              <c:f>Sheet1!$E$2:$E$36</c:f>
              <c:numCache>
                <c:formatCode>0.00</c:formatCode>
                <c:ptCount val="35"/>
                <c:pt idx="0">
                  <c:v>4.7999999999999954</c:v>
                </c:pt>
                <c:pt idx="1">
                  <c:v>9.5999999999999979</c:v>
                </c:pt>
                <c:pt idx="2">
                  <c:v>4.0000000000000036</c:v>
                </c:pt>
                <c:pt idx="3">
                  <c:v>5.600000000000005</c:v>
                </c:pt>
                <c:pt idx="4">
                  <c:v>6.3999999999999879</c:v>
                </c:pt>
                <c:pt idx="5">
                  <c:v>4.8000000000000043</c:v>
                </c:pt>
                <c:pt idx="6">
                  <c:v>5.5999999999999872</c:v>
                </c:pt>
                <c:pt idx="7">
                  <c:v>4.8000000000000398</c:v>
                </c:pt>
                <c:pt idx="8">
                  <c:v>4.8000000000000398</c:v>
                </c:pt>
                <c:pt idx="9">
                  <c:v>5.6000000000000227</c:v>
                </c:pt>
                <c:pt idx="10">
                  <c:v>5.6000000000000227</c:v>
                </c:pt>
                <c:pt idx="11">
                  <c:v>3.9999999999999853</c:v>
                </c:pt>
                <c:pt idx="12">
                  <c:v>3.2000000000000024</c:v>
                </c:pt>
                <c:pt idx="13">
                  <c:v>4.0000000000000568</c:v>
                </c:pt>
                <c:pt idx="14">
                  <c:v>5.5999999999998806</c:v>
                </c:pt>
                <c:pt idx="15">
                  <c:v>3.1999999999999318</c:v>
                </c:pt>
                <c:pt idx="16">
                  <c:v>5.5999999999998806</c:v>
                </c:pt>
                <c:pt idx="17">
                  <c:v>4.7999999999998977</c:v>
                </c:pt>
                <c:pt idx="18">
                  <c:v>3.9999999999999143</c:v>
                </c:pt>
                <c:pt idx="19">
                  <c:v>5.6000000000000227</c:v>
                </c:pt>
                <c:pt idx="20">
                  <c:v>5.6000000000000227</c:v>
                </c:pt>
                <c:pt idx="21">
                  <c:v>5.6000000000000227</c:v>
                </c:pt>
                <c:pt idx="22">
                  <c:v>5.6000000000000227</c:v>
                </c:pt>
                <c:pt idx="23">
                  <c:v>3.1999999999999318</c:v>
                </c:pt>
                <c:pt idx="24">
                  <c:v>4.8000000000001819</c:v>
                </c:pt>
                <c:pt idx="25">
                  <c:v>3.9999999999997726</c:v>
                </c:pt>
                <c:pt idx="26">
                  <c:v>6.4000000000001469</c:v>
                </c:pt>
                <c:pt idx="27">
                  <c:v>5.6000000000000227</c:v>
                </c:pt>
                <c:pt idx="28">
                  <c:v>6.3999999999998636</c:v>
                </c:pt>
                <c:pt idx="29">
                  <c:v>3.9999999999997726</c:v>
                </c:pt>
                <c:pt idx="30">
                  <c:v>6.4000000000001469</c:v>
                </c:pt>
                <c:pt idx="31">
                  <c:v>5.6000000000000227</c:v>
                </c:pt>
                <c:pt idx="32">
                  <c:v>4.8000000000001819</c:v>
                </c:pt>
                <c:pt idx="33">
                  <c:v>6.3999999999998636</c:v>
                </c:pt>
                <c:pt idx="34">
                  <c:v>5.6000000000000227</c:v>
                </c:pt>
              </c:numCache>
            </c:numRef>
          </c:yVal>
          <c:smooth val="0"/>
        </c:ser>
        <c:dLbls>
          <c:showLegendKey val="0"/>
          <c:showVal val="0"/>
          <c:showCatName val="0"/>
          <c:showSerName val="0"/>
          <c:showPercent val="0"/>
          <c:showBubbleSize val="0"/>
        </c:dLbls>
        <c:axId val="521827856"/>
        <c:axId val="520468560"/>
      </c:scatterChart>
      <c:valAx>
        <c:axId val="521827856"/>
        <c:scaling>
          <c:orientation val="minMax"/>
          <c:max val="4"/>
        </c:scaling>
        <c:delete val="0"/>
        <c:axPos val="b"/>
        <c:title>
          <c:tx>
            <c:rich>
              <a:bodyPr rot="0" spcFirstLastPara="1" vertOverflow="ellipsis" vert="horz" wrap="square" anchor="ctr" anchorCtr="1"/>
              <a:lstStyle/>
              <a:p>
                <a:pPr>
                  <a:defRPr sz="1200" b="0" i="0" u="none" strike="noStrike" kern="1200" baseline="0">
                    <a:solidFill>
                      <a:schemeClr val="dk1">
                        <a:lumMod val="65000"/>
                        <a:lumOff val="35000"/>
                      </a:schemeClr>
                    </a:solidFill>
                    <a:latin typeface="+mn-lt"/>
                    <a:ea typeface="+mn-ea"/>
                    <a:cs typeface="+mn-cs"/>
                  </a:defRPr>
                </a:pPr>
                <a:r>
                  <a:rPr lang="da-DK" sz="1200"/>
                  <a:t>Time (h)</a:t>
                </a:r>
              </a:p>
            </c:rich>
          </c:tx>
          <c:overlay val="0"/>
          <c:spPr>
            <a:noFill/>
            <a:ln>
              <a:noFill/>
            </a:ln>
            <a:effectLst/>
          </c:spPr>
        </c:title>
        <c:numFmt formatCode="0" sourceLinked="0"/>
        <c:majorTickMark val="out"/>
        <c:minorTickMark val="none"/>
        <c:tickLblPos val="nextTo"/>
        <c:spPr>
          <a:noFill/>
          <a:ln w="9525" cap="rnd">
            <a:solidFill>
              <a:schemeClr val="dk1">
                <a:lumMod val="20000"/>
                <a:lumOff val="80000"/>
              </a:schemeClr>
            </a:solidFill>
            <a:round/>
          </a:ln>
          <a:effectLst/>
        </c:spPr>
        <c:txPr>
          <a:bodyPr rot="-60000000" spcFirstLastPara="1" vertOverflow="ellipsis" vert="horz" wrap="square" anchor="ctr" anchorCtr="1"/>
          <a:lstStyle/>
          <a:p>
            <a:pPr>
              <a:defRPr sz="1200" b="0" i="0" u="none" strike="noStrike" kern="1200" spc="0" baseline="0">
                <a:solidFill>
                  <a:schemeClr val="dk1">
                    <a:lumMod val="65000"/>
                    <a:lumOff val="35000"/>
                  </a:schemeClr>
                </a:solidFill>
                <a:latin typeface="+mn-lt"/>
                <a:ea typeface="+mn-ea"/>
                <a:cs typeface="+mn-cs"/>
              </a:defRPr>
            </a:pPr>
            <a:endParaRPr lang="da-DK"/>
          </a:p>
        </c:txPr>
        <c:crossAx val="520468560"/>
        <c:crosses val="autoZero"/>
        <c:crossBetween val="midCat"/>
        <c:majorUnit val="1"/>
      </c:valAx>
      <c:valAx>
        <c:axId val="520468560"/>
        <c:scaling>
          <c:orientation val="minMax"/>
          <c:max val="50"/>
          <c:min val="0"/>
        </c:scaling>
        <c:delete val="0"/>
        <c:axPos val="l"/>
        <c:title>
          <c:tx>
            <c:rich>
              <a:bodyPr rot="-5400000" spcFirstLastPara="1" vertOverflow="ellipsis" vert="horz" wrap="square" anchor="ctr" anchorCtr="1"/>
              <a:lstStyle/>
              <a:p>
                <a:pPr>
                  <a:defRPr sz="1200" b="0" i="0" u="none" strike="noStrike" kern="1200" baseline="0">
                    <a:solidFill>
                      <a:schemeClr val="dk1">
                        <a:lumMod val="65000"/>
                        <a:lumOff val="35000"/>
                      </a:schemeClr>
                    </a:solidFill>
                    <a:latin typeface="+mn-lt"/>
                    <a:ea typeface="+mn-ea"/>
                    <a:cs typeface="+mn-cs"/>
                  </a:defRPr>
                </a:pPr>
                <a:r>
                  <a:rPr lang="da-DK" sz="1200"/>
                  <a:t>Permeate flux (L/m</a:t>
                </a:r>
                <a:r>
                  <a:rPr lang="da-DK" sz="1200" baseline="30000"/>
                  <a:t>2</a:t>
                </a:r>
                <a:r>
                  <a:rPr lang="da-DK" sz="1200"/>
                  <a:t>h)</a:t>
                </a:r>
              </a:p>
            </c:rich>
          </c:tx>
          <c:overlay val="0"/>
          <c:spPr>
            <a:noFill/>
            <a:ln>
              <a:noFill/>
            </a:ln>
            <a:effectLst/>
          </c:spPr>
        </c:title>
        <c:numFmt formatCode="General" sourceLinked="1"/>
        <c:majorTickMark val="out"/>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1200" b="0" i="0" u="none" strike="noStrike" kern="1200" spc="0" baseline="0">
                <a:solidFill>
                  <a:schemeClr val="dk1">
                    <a:lumMod val="65000"/>
                    <a:lumOff val="35000"/>
                  </a:schemeClr>
                </a:solidFill>
                <a:latin typeface="+mn-lt"/>
                <a:ea typeface="+mn-ea"/>
                <a:cs typeface="+mn-cs"/>
              </a:defRPr>
            </a:pPr>
            <a:endParaRPr lang="da-DK"/>
          </a:p>
        </c:txPr>
        <c:crossAx val="521827856"/>
        <c:crosses val="autoZero"/>
        <c:crossBetween val="midCat"/>
        <c:majorUnit val="10"/>
      </c:valAx>
      <c:spPr>
        <a:noFill/>
        <a:ln>
          <a:noFill/>
        </a:ln>
        <a:effectLst/>
      </c:spPr>
    </c:plotArea>
    <c:legend>
      <c:legendPos val="b"/>
      <c:legendEntry>
        <c:idx val="4"/>
        <c:delete val="1"/>
      </c:legendEntry>
      <c:legendEntry>
        <c:idx val="5"/>
        <c:delete val="1"/>
      </c:legendEntry>
      <c:layout>
        <c:manualLayout>
          <c:xMode val="edge"/>
          <c:yMode val="edge"/>
          <c:x val="0.24998473355968123"/>
          <c:y val="4.8842629408002276E-2"/>
          <c:w val="0.73489272556526752"/>
          <c:h val="7.417351763107187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dk1">
                  <a:lumMod val="65000"/>
                  <a:lumOff val="35000"/>
                </a:schemeClr>
              </a:solidFill>
              <a:latin typeface="+mn-lt"/>
              <a:ea typeface="+mn-ea"/>
              <a:cs typeface="+mn-cs"/>
            </a:defRPr>
          </a:pPr>
          <a:endParaRPr lang="da-DK"/>
        </a:p>
      </c:txPr>
    </c:legend>
    <c:plotVisOnly val="1"/>
    <c:dispBlanksAs val="gap"/>
    <c:showDLblsOverMax val="0"/>
  </c:chart>
  <c:spPr>
    <a:solidFill>
      <a:schemeClr val="lt1"/>
    </a:solidFill>
    <a:ln w="9525" cap="flat" cmpd="sng" algn="ctr">
      <a:noFill/>
      <a:round/>
    </a:ln>
    <a:effectLst/>
  </c:spPr>
  <c:txPr>
    <a:bodyPr/>
    <a:lstStyle/>
    <a:p>
      <a:pPr>
        <a:defRPr/>
      </a:pPr>
      <a:endParaRPr lang="da-DK"/>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1EC1A-66E4-4F88-9FED-B3EEFD2B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2950</Words>
  <Characters>17995</Characters>
  <Application>Microsoft Office Word</Application>
  <DocSecurity>0</DocSecurity>
  <Lines>149</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Thalles Allan Andrade</cp:lastModifiedBy>
  <cp:revision>4</cp:revision>
  <cp:lastPrinted>2015-05-12T18:31:00Z</cp:lastPrinted>
  <dcterms:created xsi:type="dcterms:W3CDTF">2018-10-09T08:57:00Z</dcterms:created>
  <dcterms:modified xsi:type="dcterms:W3CDTF">2019-04-08T11:36:00Z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