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FBFF7A1" w14:textId="77777777">
        <w:trPr>
          <w:trHeight w:val="852"/>
          <w:jc w:val="center"/>
        </w:trPr>
        <w:tc>
          <w:tcPr>
            <w:tcW w:w="6946" w:type="dxa"/>
            <w:vMerge w:val="restart"/>
            <w:tcBorders>
              <w:right w:val="single" w:sz="4" w:space="0" w:color="auto"/>
            </w:tcBorders>
          </w:tcPr>
          <w:p w14:paraId="5012AF91" w14:textId="1FBB10BA"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88097C2" wp14:editId="484A9F0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00635FA4">
              <w:rPr>
                <w:rFonts w:cs="Arial"/>
                <w:b/>
                <w:bCs/>
                <w:i/>
                <w:iCs/>
                <w:color w:val="000066"/>
                <w:sz w:val="24"/>
                <w:szCs w:val="24"/>
                <w:lang w:eastAsia="it-IT"/>
              </w:rPr>
              <w:t xml:space="preserve"> </w:t>
            </w:r>
            <w:bookmarkStart w:id="0" w:name="_GoBack"/>
            <w:bookmarkEnd w:id="0"/>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77E62FE7"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4C8B62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3005B6B" w14:textId="77777777" w:rsidR="000A03B2" w:rsidRPr="00B57B36" w:rsidRDefault="000A03B2" w:rsidP="00CD5FE2">
            <w:pPr>
              <w:jc w:val="right"/>
            </w:pPr>
            <w:r w:rsidRPr="00B57B36">
              <w:rPr>
                <w:noProof/>
                <w:lang w:val="it-IT" w:eastAsia="it-IT"/>
              </w:rPr>
              <w:drawing>
                <wp:inline distT="0" distB="0" distL="0" distR="0" wp14:anchorId="71C2C5AC" wp14:editId="58264F4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ED5E80D" w14:textId="77777777">
        <w:trPr>
          <w:trHeight w:val="567"/>
          <w:jc w:val="center"/>
        </w:trPr>
        <w:tc>
          <w:tcPr>
            <w:tcW w:w="6946" w:type="dxa"/>
            <w:vMerge/>
            <w:tcBorders>
              <w:right w:val="single" w:sz="4" w:space="0" w:color="auto"/>
            </w:tcBorders>
          </w:tcPr>
          <w:p w14:paraId="728BBA9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581602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F51E42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3AB5483"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A91697D" w14:textId="77777777">
        <w:trPr>
          <w:trHeight w:val="68"/>
          <w:jc w:val="center"/>
        </w:trPr>
        <w:tc>
          <w:tcPr>
            <w:tcW w:w="8789" w:type="dxa"/>
            <w:gridSpan w:val="2"/>
          </w:tcPr>
          <w:p w14:paraId="4F3418FB"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proofErr w:type="gramStart"/>
            <w:r w:rsidRPr="00252C1A">
              <w:rPr>
                <w:rFonts w:ascii="Tahoma" w:hAnsi="Tahoma" w:cs="Tahoma"/>
                <w:iCs/>
                <w:color w:val="333333"/>
                <w:sz w:val="14"/>
                <w:szCs w:val="14"/>
                <w:lang w:val="it-IT" w:eastAsia="it-IT"/>
              </w:rPr>
              <w:t>Editors:</w:t>
            </w:r>
            <w:r w:rsidR="009635B9" w:rsidRPr="00252C1A">
              <w:rPr>
                <w:rFonts w:ascii="Tahoma" w:hAnsi="Tahoma" w:cs="Tahoma"/>
                <w:sz w:val="14"/>
                <w:szCs w:val="14"/>
                <w:lang w:val="it-IT"/>
              </w:rPr>
              <w:t>Sauro</w:t>
            </w:r>
            <w:proofErr w:type="spellEnd"/>
            <w:proofErr w:type="gramEnd"/>
            <w:r w:rsidR="000567F4">
              <w:rPr>
                <w:rFonts w:ascii="Tahoma" w:hAnsi="Tahoma" w:cs="Tahoma"/>
                <w:sz w:val="14"/>
                <w:szCs w:val="14"/>
                <w:lang w:val="it-IT"/>
              </w:rPr>
              <w:t xml:space="preserve"> </w:t>
            </w:r>
            <w:proofErr w:type="spellStart"/>
            <w:r w:rsidR="009635B9" w:rsidRPr="00252C1A">
              <w:rPr>
                <w:rFonts w:ascii="Tahoma" w:hAnsi="Tahoma" w:cs="Tahoma"/>
                <w:sz w:val="14"/>
                <w:szCs w:val="14"/>
                <w:lang w:val="it-IT"/>
              </w:rPr>
              <w:t>Pierucci,</w:t>
            </w:r>
            <w:r w:rsidR="00047D7F" w:rsidRPr="00252C1A">
              <w:rPr>
                <w:rFonts w:ascii="Tahoma" w:hAnsi="Tahoma" w:cs="Tahoma"/>
                <w:sz w:val="14"/>
                <w:szCs w:val="14"/>
                <w:shd w:val="clear" w:color="auto" w:fill="FFFFFF"/>
                <w:lang w:val="it-IT"/>
              </w:rPr>
              <w:t>Jiří</w:t>
            </w:r>
            <w:proofErr w:type="spellEnd"/>
            <w:r w:rsidR="000567F4">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567F4">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CAF425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0567F4">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proofErr w:type="gramStart"/>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proofErr w:type="gramEnd"/>
            <w:r w:rsidR="00300E56" w:rsidRPr="00B57B36">
              <w:rPr>
                <w:rFonts w:ascii="Tahoma" w:hAnsi="Tahoma" w:cs="Tahoma"/>
                <w:iCs/>
                <w:color w:val="333333"/>
                <w:sz w:val="14"/>
                <w:szCs w:val="14"/>
                <w:lang w:eastAsia="it-IT"/>
              </w:rPr>
              <w:t xml:space="preserve"> 2283-9216</w:t>
            </w:r>
          </w:p>
        </w:tc>
      </w:tr>
    </w:tbl>
    <w:p w14:paraId="07889E61"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F30AB09" w14:textId="77777777" w:rsidR="005E2988" w:rsidRPr="005E2988" w:rsidRDefault="005E2988" w:rsidP="005E2988">
      <w:pPr>
        <w:pStyle w:val="CETAuthors"/>
        <w:rPr>
          <w:noProof w:val="0"/>
          <w:sz w:val="32"/>
        </w:rPr>
      </w:pPr>
      <w:r w:rsidRPr="005E2988">
        <w:rPr>
          <w:noProof w:val="0"/>
          <w:sz w:val="32"/>
        </w:rPr>
        <w:t>Anaerobic Membrane Bioreactor for Urban Wastewater Valori</w:t>
      </w:r>
      <w:r w:rsidR="001C5F3E">
        <w:rPr>
          <w:noProof w:val="0"/>
          <w:sz w:val="32"/>
        </w:rPr>
        <w:t>s</w:t>
      </w:r>
      <w:r w:rsidRPr="005E2988">
        <w:rPr>
          <w:noProof w:val="0"/>
          <w:sz w:val="32"/>
        </w:rPr>
        <w:t>ation: Operative</w:t>
      </w:r>
      <w:r w:rsidR="00DF47ED">
        <w:rPr>
          <w:noProof w:val="0"/>
          <w:sz w:val="32"/>
        </w:rPr>
        <w:t xml:space="preserve"> </w:t>
      </w:r>
      <w:r w:rsidRPr="005E2988">
        <w:rPr>
          <w:noProof w:val="0"/>
          <w:sz w:val="32"/>
        </w:rPr>
        <w:t>Strategies and Fertigation Reuse</w:t>
      </w:r>
    </w:p>
    <w:p w14:paraId="291E29CD" w14:textId="77777777" w:rsidR="005E2988" w:rsidRPr="00891E2B" w:rsidRDefault="005E2988" w:rsidP="005E2988">
      <w:pPr>
        <w:pStyle w:val="CETAuthors"/>
        <w:rPr>
          <w:lang w:val="it-IT"/>
        </w:rPr>
      </w:pPr>
      <w:r w:rsidRPr="005E2988">
        <w:rPr>
          <w:lang w:val="it-IT"/>
        </w:rPr>
        <w:t>Alessia Foglia</w:t>
      </w:r>
      <w:r w:rsidRPr="005E2988">
        <w:rPr>
          <w:vertAlign w:val="superscript"/>
          <w:lang w:val="it-IT"/>
        </w:rPr>
        <w:t>a</w:t>
      </w:r>
      <w:r w:rsidRPr="005E2988">
        <w:rPr>
          <w:lang w:val="it-IT"/>
        </w:rPr>
        <w:t>, Giulia Cipolletta</w:t>
      </w:r>
      <w:r w:rsidRPr="005E2988">
        <w:rPr>
          <w:vertAlign w:val="superscript"/>
          <w:lang w:val="it-IT"/>
        </w:rPr>
        <w:t>a</w:t>
      </w:r>
      <w:r w:rsidRPr="005E2988">
        <w:rPr>
          <w:lang w:val="it-IT"/>
        </w:rPr>
        <w:t>, Nicola Frison</w:t>
      </w:r>
      <w:r w:rsidRPr="005E2988">
        <w:rPr>
          <w:vertAlign w:val="superscript"/>
          <w:lang w:val="it-IT"/>
        </w:rPr>
        <w:t>b</w:t>
      </w:r>
      <w:r w:rsidRPr="005E2988">
        <w:rPr>
          <w:lang w:val="it-IT"/>
        </w:rPr>
        <w:t xml:space="preserve">, </w:t>
      </w:r>
      <w:r w:rsidR="00891E2B">
        <w:rPr>
          <w:lang w:val="it-IT"/>
        </w:rPr>
        <w:t>Simona Sabbatini</w:t>
      </w:r>
      <w:r w:rsidR="00891E2B" w:rsidRPr="00891E2B">
        <w:rPr>
          <w:vertAlign w:val="superscript"/>
          <w:lang w:val="it-IT"/>
        </w:rPr>
        <w:t>a</w:t>
      </w:r>
      <w:r w:rsidR="00891E2B">
        <w:rPr>
          <w:lang w:val="it-IT"/>
        </w:rPr>
        <w:t xml:space="preserve">, </w:t>
      </w:r>
      <w:r w:rsidRPr="005E2988">
        <w:rPr>
          <w:lang w:val="it-IT"/>
        </w:rPr>
        <w:t>Stefania Gorbi</w:t>
      </w:r>
      <w:r w:rsidRPr="005E2988">
        <w:rPr>
          <w:vertAlign w:val="superscript"/>
          <w:lang w:val="it-IT"/>
        </w:rPr>
        <w:t>c</w:t>
      </w:r>
      <w:r w:rsidRPr="005E2988">
        <w:rPr>
          <w:lang w:val="it-IT"/>
        </w:rPr>
        <w:t>, Anna Laura</w:t>
      </w:r>
      <w:r w:rsidR="00891E2B">
        <w:rPr>
          <w:lang w:val="it-IT"/>
        </w:rPr>
        <w:t xml:space="preserve"> </w:t>
      </w:r>
      <w:r w:rsidRPr="00891E2B">
        <w:rPr>
          <w:lang w:val="it-IT"/>
        </w:rPr>
        <w:t>Eusebi</w:t>
      </w:r>
      <w:r w:rsidRPr="00891E2B">
        <w:rPr>
          <w:vertAlign w:val="superscript"/>
          <w:lang w:val="it-IT"/>
        </w:rPr>
        <w:t>a</w:t>
      </w:r>
      <w:r w:rsidR="00C974FD" w:rsidRPr="00891E2B">
        <w:rPr>
          <w:vertAlign w:val="superscript"/>
          <w:lang w:val="it-IT"/>
        </w:rPr>
        <w:t>*</w:t>
      </w:r>
      <w:r w:rsidRPr="00891E2B">
        <w:rPr>
          <w:lang w:val="it-IT"/>
        </w:rPr>
        <w:t>, Francesco Fatone</w:t>
      </w:r>
      <w:r w:rsidRPr="00891E2B">
        <w:rPr>
          <w:vertAlign w:val="superscript"/>
          <w:lang w:val="it-IT"/>
        </w:rPr>
        <w:t>a</w:t>
      </w:r>
    </w:p>
    <w:p w14:paraId="0536536D" w14:textId="77777777" w:rsidR="005E2988" w:rsidRPr="005E2988" w:rsidRDefault="005E2988" w:rsidP="005E2988">
      <w:pPr>
        <w:pStyle w:val="CETAddress"/>
      </w:pPr>
      <w:r w:rsidRPr="005E2988">
        <w:rPr>
          <w:vertAlign w:val="superscript"/>
        </w:rPr>
        <w:t>a</w:t>
      </w:r>
      <w:r w:rsidRPr="005E2988">
        <w:t>Department of Science and Engineering of Materials, Environment and Urban Planning, PolytechnicUniversity of Marche, Via Brecce Bianche, 12, Ancona, Italy</w:t>
      </w:r>
    </w:p>
    <w:p w14:paraId="102B27AF" w14:textId="77777777" w:rsidR="005E2988" w:rsidRPr="005E2988" w:rsidRDefault="005E2988" w:rsidP="005E2988">
      <w:pPr>
        <w:pStyle w:val="CETAddress"/>
      </w:pPr>
      <w:r w:rsidRPr="005E2988">
        <w:rPr>
          <w:vertAlign w:val="superscript"/>
        </w:rPr>
        <w:t>b</w:t>
      </w:r>
      <w:r w:rsidRPr="005E2988">
        <w:t>Department of Biotechnology, University ofVerona, Via Le Grazie 15, 37134 Verona, Italy</w:t>
      </w:r>
    </w:p>
    <w:p w14:paraId="629E290F" w14:textId="77777777" w:rsidR="005E2988" w:rsidRPr="005E2988" w:rsidRDefault="005E2988" w:rsidP="005E2988">
      <w:pPr>
        <w:pStyle w:val="CETAddress"/>
      </w:pPr>
      <w:r w:rsidRPr="005E2988">
        <w:rPr>
          <w:vertAlign w:val="superscript"/>
        </w:rPr>
        <w:t>c</w:t>
      </w:r>
      <w:r w:rsidRPr="005E2988">
        <w:t>Life and Environmental Sciences Department, PolytechnicUniversity of Marche, Via Brecce Bianche, 12,Ancona, Italy</w:t>
      </w:r>
    </w:p>
    <w:p w14:paraId="6899FF09" w14:textId="77777777" w:rsidR="005E2988" w:rsidRPr="000F5334" w:rsidRDefault="00C974FD" w:rsidP="005E2988">
      <w:pPr>
        <w:pStyle w:val="CETemail"/>
      </w:pPr>
      <w:r w:rsidRPr="000F5334">
        <w:t>*a.l.eusebi</w:t>
      </w:r>
      <w:r w:rsidR="005E2988" w:rsidRPr="000F5334">
        <w:t>@univpm.it</w:t>
      </w:r>
      <w:bookmarkStart w:id="1" w:name="_Hlk495475023"/>
    </w:p>
    <w:p w14:paraId="6E4CB5FC" w14:textId="778FAFE1" w:rsidR="00C146F8" w:rsidRDefault="005E2988" w:rsidP="005E2988">
      <w:pPr>
        <w:pStyle w:val="CETBodytext"/>
      </w:pPr>
      <w:r w:rsidRPr="006640C3">
        <w:t xml:space="preserve">In European scenario, the potential source for water supply from treated wastewater is </w:t>
      </w:r>
      <w:proofErr w:type="gramStart"/>
      <w:r w:rsidRPr="006640C3">
        <w:t>actuall</w:t>
      </w:r>
      <w:r w:rsidR="00FF7971" w:rsidRPr="006640C3">
        <w:t>y</w:t>
      </w:r>
      <w:r w:rsidR="00DF47ED">
        <w:t xml:space="preserve"> </w:t>
      </w:r>
      <w:r w:rsidRPr="006640C3">
        <w:t>estimated</w:t>
      </w:r>
      <w:proofErr w:type="gramEnd"/>
      <w:r w:rsidRPr="006640C3">
        <w:t xml:space="preserve"> in 1,100 Mm3/y (EU-ENV, 2015). Anaerobic processes </w:t>
      </w:r>
      <w:r w:rsidR="00B45857">
        <w:t xml:space="preserve">compared </w:t>
      </w:r>
      <w:r w:rsidRPr="006640C3">
        <w:t>with conventional aerobic ones, cause a net reduction of the operative costs and possible reuse for fertigation purposes.</w:t>
      </w:r>
      <w:r w:rsidR="00DF47ED">
        <w:t xml:space="preserve"> </w:t>
      </w:r>
      <w:r w:rsidRPr="006640C3">
        <w:t>The tested anaerobic pilot (HRT 6 h and T 30°C) is</w:t>
      </w:r>
      <w:r w:rsidR="00DF47ED">
        <w:t xml:space="preserve"> </w:t>
      </w:r>
      <w:r w:rsidRPr="006640C3">
        <w:t xml:space="preserve">constituted from </w:t>
      </w:r>
      <w:r w:rsidR="006640C3" w:rsidRPr="006640C3">
        <w:t xml:space="preserve">a </w:t>
      </w:r>
      <w:r w:rsidRPr="006640C3">
        <w:t>UASB reactor (16 L)</w:t>
      </w:r>
      <w:r w:rsidR="006640C3" w:rsidRPr="006640C3">
        <w:t>.</w:t>
      </w:r>
      <w:r w:rsidR="00DF47ED">
        <w:t xml:space="preserve"> </w:t>
      </w:r>
      <w:r w:rsidRPr="006640C3">
        <w:t>Increment of influent organic loading rate</w:t>
      </w:r>
      <w:r w:rsidR="00DF47ED">
        <w:t xml:space="preserve"> </w:t>
      </w:r>
      <w:r w:rsidRPr="006640C3">
        <w:t xml:space="preserve">(OLR) was studied for 1 year from 1 to 2 </w:t>
      </w:r>
      <w:proofErr w:type="spellStart"/>
      <w:r w:rsidRPr="006640C3">
        <w:t>kgCOD</w:t>
      </w:r>
      <w:proofErr w:type="spellEnd"/>
      <w:r w:rsidRPr="006640C3">
        <w:t>/m</w:t>
      </w:r>
      <w:r w:rsidRPr="006640C3">
        <w:rPr>
          <w:vertAlign w:val="superscript"/>
        </w:rPr>
        <w:t>3</w:t>
      </w:r>
      <w:r w:rsidRPr="006640C3">
        <w:t>/d by feeding raw wastewater (Period 1),</w:t>
      </w:r>
      <w:r w:rsidR="00DF47ED">
        <w:t xml:space="preserve"> </w:t>
      </w:r>
      <w:r w:rsidRPr="006640C3">
        <w:t>methanol (Period 2) and fermented supernatant from cellulosic sludge</w:t>
      </w:r>
      <w:r w:rsidR="00DF47ED">
        <w:t xml:space="preserve"> </w:t>
      </w:r>
      <w:r w:rsidRPr="006640C3">
        <w:t xml:space="preserve">(Period 3).The biogas production was assessed equal to </w:t>
      </w:r>
      <w:r w:rsidR="006640C3" w:rsidRPr="006640C3">
        <w:t>0.13 m</w:t>
      </w:r>
      <w:r w:rsidR="006640C3" w:rsidRPr="006640C3">
        <w:rPr>
          <w:vertAlign w:val="superscript"/>
        </w:rPr>
        <w:t>3</w:t>
      </w:r>
      <w:r w:rsidR="006640C3" w:rsidRPr="006640C3">
        <w:t>biogas</w:t>
      </w:r>
      <w:r w:rsidRPr="006640C3">
        <w:t>/</w:t>
      </w:r>
      <w:proofErr w:type="spellStart"/>
      <w:r w:rsidRPr="006640C3">
        <w:t>kgCOD</w:t>
      </w:r>
      <w:proofErr w:type="spellEnd"/>
      <w:r w:rsidRPr="006640C3">
        <w:t xml:space="preserve"> (Period 1),</w:t>
      </w:r>
      <w:r w:rsidR="006640C3" w:rsidRPr="006640C3">
        <w:t xml:space="preserve"> </w:t>
      </w:r>
      <w:r w:rsidR="00DF47ED">
        <w:t xml:space="preserve">to </w:t>
      </w:r>
      <w:r w:rsidR="006640C3" w:rsidRPr="006640C3">
        <w:t>0.57 m</w:t>
      </w:r>
      <w:r w:rsidR="006640C3" w:rsidRPr="006640C3">
        <w:rPr>
          <w:vertAlign w:val="superscript"/>
        </w:rPr>
        <w:t>3</w:t>
      </w:r>
      <w:r w:rsidR="006640C3" w:rsidRPr="006640C3">
        <w:t>biogas</w:t>
      </w:r>
      <w:r w:rsidRPr="006640C3">
        <w:t>/</w:t>
      </w:r>
      <w:proofErr w:type="spellStart"/>
      <w:r w:rsidRPr="006640C3">
        <w:t>kgCOD</w:t>
      </w:r>
      <w:proofErr w:type="spellEnd"/>
      <w:r w:rsidRPr="006640C3">
        <w:t xml:space="preserve"> (Period 2) and</w:t>
      </w:r>
      <w:r w:rsidR="006640C3" w:rsidRPr="006640C3">
        <w:t xml:space="preserve"> </w:t>
      </w:r>
      <w:r w:rsidR="00DF47ED">
        <w:t xml:space="preserve">to </w:t>
      </w:r>
      <w:r w:rsidR="006640C3" w:rsidRPr="006640C3">
        <w:t>0.24</w:t>
      </w:r>
      <w:r w:rsidRPr="006640C3">
        <w:t xml:space="preserve"> </w:t>
      </w:r>
      <w:r w:rsidR="006640C3" w:rsidRPr="006640C3">
        <w:t>m</w:t>
      </w:r>
      <w:r w:rsidR="006640C3" w:rsidRPr="006640C3">
        <w:rPr>
          <w:vertAlign w:val="superscript"/>
        </w:rPr>
        <w:t>3</w:t>
      </w:r>
      <w:r w:rsidR="006640C3" w:rsidRPr="006640C3">
        <w:t>biogas</w:t>
      </w:r>
      <w:r w:rsidRPr="006640C3">
        <w:t>/</w:t>
      </w:r>
      <w:proofErr w:type="spellStart"/>
      <w:r w:rsidRPr="006640C3">
        <w:t>kgCOD</w:t>
      </w:r>
      <w:proofErr w:type="spellEnd"/>
      <w:r w:rsidRPr="006640C3">
        <w:t xml:space="preserve"> (Period 3) with methane percentages</w:t>
      </w:r>
      <w:r w:rsidR="006640C3" w:rsidRPr="006640C3">
        <w:t xml:space="preserve"> </w:t>
      </w:r>
      <w:r w:rsidR="00DF47ED">
        <w:t>constant around</w:t>
      </w:r>
      <w:r w:rsidR="006640C3" w:rsidRPr="006640C3">
        <w:t xml:space="preserve"> 33</w:t>
      </w:r>
      <w:r w:rsidRPr="006640C3">
        <w:t>%.</w:t>
      </w:r>
      <w:r w:rsidR="00DF47ED">
        <w:t xml:space="preserve"> </w:t>
      </w:r>
      <w:r w:rsidR="006640C3" w:rsidRPr="006640C3">
        <w:t xml:space="preserve">UASB effluent has not </w:t>
      </w:r>
      <w:r w:rsidR="00DF47ED">
        <w:t xml:space="preserve">the final </w:t>
      </w:r>
      <w:r w:rsidR="006640C3" w:rsidRPr="006640C3">
        <w:t xml:space="preserve">quality to comply limit values for </w:t>
      </w:r>
      <w:r w:rsidR="00DF47ED">
        <w:t xml:space="preserve">water </w:t>
      </w:r>
      <w:r w:rsidR="006640C3" w:rsidRPr="006640C3">
        <w:t>reuse</w:t>
      </w:r>
      <w:r w:rsidR="00DF47ED">
        <w:t xml:space="preserve"> and fertigation</w:t>
      </w:r>
      <w:r w:rsidR="006640C3" w:rsidRPr="006640C3">
        <w:t xml:space="preserve">, especially for microbiological parameters. Further treatments could be necessary to achieve </w:t>
      </w:r>
      <w:r w:rsidR="005775CE">
        <w:t xml:space="preserve">the </w:t>
      </w:r>
      <w:r w:rsidR="005775CE" w:rsidRPr="006640C3">
        <w:t xml:space="preserve">removals </w:t>
      </w:r>
      <w:r w:rsidR="005775CE">
        <w:t xml:space="preserve">of </w:t>
      </w:r>
      <w:r w:rsidR="006640C3" w:rsidRPr="006640C3">
        <w:t>bacteria</w:t>
      </w:r>
      <w:r w:rsidR="005775CE">
        <w:t xml:space="preserve">, </w:t>
      </w:r>
      <w:r w:rsidR="005775CE" w:rsidRPr="006640C3">
        <w:t xml:space="preserve">such as </w:t>
      </w:r>
      <w:proofErr w:type="spellStart"/>
      <w:proofErr w:type="gramStart"/>
      <w:r w:rsidR="005775CE" w:rsidRPr="006640C3">
        <w:t>E.</w:t>
      </w:r>
      <w:r w:rsidR="00B45857">
        <w:t>C</w:t>
      </w:r>
      <w:r w:rsidR="005775CE" w:rsidRPr="006640C3">
        <w:t>oli</w:t>
      </w:r>
      <w:proofErr w:type="spellEnd"/>
      <w:proofErr w:type="gramEnd"/>
      <w:r w:rsidR="005775CE" w:rsidRPr="006640C3">
        <w:t>,</w:t>
      </w:r>
      <w:r w:rsidR="005775CE">
        <w:t xml:space="preserve"> </w:t>
      </w:r>
      <w:r w:rsidR="006640C3" w:rsidRPr="006640C3">
        <w:t>recalcitrant organic traces and metals. Therefore, some advanced post treatments have been studied</w:t>
      </w:r>
      <w:r w:rsidR="005775CE">
        <w:t xml:space="preserve"> in this paper</w:t>
      </w:r>
      <w:r w:rsidR="006640C3" w:rsidRPr="006640C3">
        <w:t xml:space="preserve"> after UASB treatments, like UV disinfection, UV</w:t>
      </w:r>
      <w:r w:rsidR="005775CE">
        <w:t xml:space="preserve"> coupled with </w:t>
      </w:r>
      <w:r w:rsidR="006640C3" w:rsidRPr="006640C3">
        <w:t>H2O2</w:t>
      </w:r>
      <w:r w:rsidR="005775CE">
        <w:t xml:space="preserve"> and</w:t>
      </w:r>
      <w:r w:rsidR="006640C3" w:rsidRPr="006640C3">
        <w:t xml:space="preserve"> GAC adsorption. The innovative solution is </w:t>
      </w:r>
      <w:r w:rsidR="005775CE">
        <w:t>coupl</w:t>
      </w:r>
      <w:r w:rsidR="00B45857">
        <w:t>ing</w:t>
      </w:r>
      <w:r w:rsidR="005775CE" w:rsidRPr="006640C3">
        <w:t xml:space="preserve"> </w:t>
      </w:r>
      <w:r w:rsidR="006640C3" w:rsidRPr="006640C3">
        <w:t xml:space="preserve">UASB reactor with </w:t>
      </w:r>
      <w:r w:rsidR="005775CE">
        <w:t xml:space="preserve">anaerobic </w:t>
      </w:r>
      <w:r w:rsidR="006640C3" w:rsidRPr="006640C3">
        <w:t>submerged</w:t>
      </w:r>
      <w:r w:rsidR="005775CE">
        <w:t xml:space="preserve"> </w:t>
      </w:r>
      <w:proofErr w:type="spellStart"/>
      <w:r w:rsidR="006640C3" w:rsidRPr="006640C3">
        <w:t>sidestream</w:t>
      </w:r>
      <w:proofErr w:type="spellEnd"/>
      <w:r w:rsidR="006640C3" w:rsidRPr="006640C3">
        <w:t xml:space="preserve"> </w:t>
      </w:r>
      <w:proofErr w:type="spellStart"/>
      <w:r w:rsidR="006640C3" w:rsidRPr="006640C3">
        <w:t>AnMBR</w:t>
      </w:r>
      <w:proofErr w:type="spellEnd"/>
      <w:r w:rsidR="006640C3" w:rsidRPr="006640C3">
        <w:t xml:space="preserve"> (UF hollow fiber membrane with 0.03 </w:t>
      </w:r>
      <w:proofErr w:type="spellStart"/>
      <w:r w:rsidR="006640C3" w:rsidRPr="006640C3">
        <w:t>μm</w:t>
      </w:r>
      <w:proofErr w:type="spellEnd"/>
      <w:r w:rsidR="006640C3" w:rsidRPr="006640C3">
        <w:t xml:space="preserve"> of nominal pore-size</w:t>
      </w:r>
      <w:r w:rsidR="006640C3">
        <w:t xml:space="preserve"> </w:t>
      </w:r>
      <w:r w:rsidR="006640C3" w:rsidRPr="006640C3">
        <w:t>and 0.5 m</w:t>
      </w:r>
      <w:r w:rsidR="006640C3" w:rsidRPr="006640C3">
        <w:rPr>
          <w:vertAlign w:val="superscript"/>
        </w:rPr>
        <w:t>2</w:t>
      </w:r>
      <w:r w:rsidR="006640C3" w:rsidRPr="006640C3">
        <w:t xml:space="preserve"> of surface area KOCH, </w:t>
      </w:r>
      <w:proofErr w:type="spellStart"/>
      <w:r w:rsidR="006640C3" w:rsidRPr="006640C3">
        <w:t>Puron</w:t>
      </w:r>
      <w:proofErr w:type="spellEnd"/>
      <w:r w:rsidR="006640C3" w:rsidRPr="006640C3">
        <w:t xml:space="preserve"> single bundle).</w:t>
      </w:r>
      <w:r w:rsidR="005775CE">
        <w:t xml:space="preserve"> </w:t>
      </w:r>
      <w:r w:rsidRPr="006640C3">
        <w:t>Membrane cleaning was carried out</w:t>
      </w:r>
      <w:r w:rsidR="00DF47ED">
        <w:t xml:space="preserve"> </w:t>
      </w:r>
      <w:r w:rsidRPr="006640C3">
        <w:t>using sodium hypochlorite solution (400 ppm) each 45 days to remove organic fouling and to recover</w:t>
      </w:r>
      <w:r w:rsidR="006640C3" w:rsidRPr="006640C3">
        <w:t xml:space="preserve"> </w:t>
      </w:r>
      <w:r w:rsidRPr="006640C3">
        <w:t>the initial permeability of the membrane. The average operative flux at process temperature was</w:t>
      </w:r>
      <w:r w:rsidR="006640C3" w:rsidRPr="006640C3">
        <w:t xml:space="preserve"> </w:t>
      </w:r>
      <w:r w:rsidRPr="006640C3">
        <w:t>equal to 8.8±1.9 L/h/m</w:t>
      </w:r>
      <w:r w:rsidRPr="006640C3">
        <w:rPr>
          <w:vertAlign w:val="superscript"/>
        </w:rPr>
        <w:t>2</w:t>
      </w:r>
      <w:r w:rsidRPr="006640C3">
        <w:t xml:space="preserve"> </w:t>
      </w:r>
      <w:r w:rsidR="006640C3" w:rsidRPr="006640C3">
        <w:t>and operating</w:t>
      </w:r>
      <w:r w:rsidRPr="006640C3">
        <w:t xml:space="preserve"> TMP of 44.6±8.5 mbar was detected.</w:t>
      </w:r>
      <w:r w:rsidR="006640C3">
        <w:t xml:space="preserve"> </w:t>
      </w:r>
      <w:r w:rsidRPr="006640C3">
        <w:t xml:space="preserve">The removal of </w:t>
      </w:r>
      <w:proofErr w:type="spellStart"/>
      <w:proofErr w:type="gramStart"/>
      <w:r w:rsidRPr="006640C3">
        <w:t>E.</w:t>
      </w:r>
      <w:r w:rsidR="00B45857">
        <w:t>C</w:t>
      </w:r>
      <w:r w:rsidRPr="006640C3">
        <w:t>oli</w:t>
      </w:r>
      <w:proofErr w:type="spellEnd"/>
      <w:proofErr w:type="gramEnd"/>
      <w:r w:rsidRPr="006640C3">
        <w:t xml:space="preserve"> was investigated in the effluent from UASB and in the permeate from </w:t>
      </w:r>
      <w:proofErr w:type="spellStart"/>
      <w:r w:rsidRPr="006640C3">
        <w:t>AnMBR</w:t>
      </w:r>
      <w:proofErr w:type="spellEnd"/>
      <w:r w:rsidR="006640C3">
        <w:t xml:space="preserve"> </w:t>
      </w:r>
      <w:r w:rsidRPr="006640C3">
        <w:t xml:space="preserve">process. At clean membrane conditions, complete removal of bacteria (99±1%) was found. </w:t>
      </w:r>
      <w:r w:rsidR="00B45857">
        <w:t>Furthermore,</w:t>
      </w:r>
      <w:r w:rsidRPr="006640C3">
        <w:t xml:space="preserve"> the</w:t>
      </w:r>
      <w:r w:rsidR="006640C3" w:rsidRPr="006640C3">
        <w:t xml:space="preserve"> </w:t>
      </w:r>
      <w:r w:rsidRPr="006640C3">
        <w:t>determination of microplastics distribution was carried out both in the experimental anaerobic pilot</w:t>
      </w:r>
      <w:r w:rsidR="006640C3" w:rsidRPr="006640C3">
        <w:t xml:space="preserve"> </w:t>
      </w:r>
      <w:r w:rsidRPr="006640C3">
        <w:t xml:space="preserve">and in the conventional </w:t>
      </w:r>
      <w:proofErr w:type="gramStart"/>
      <w:r w:rsidRPr="006640C3">
        <w:t>full scale</w:t>
      </w:r>
      <w:proofErr w:type="gramEnd"/>
      <w:r w:rsidRPr="006640C3">
        <w:t xml:space="preserve"> aerobic treatment plant. The effluent microplastics were quantified</w:t>
      </w:r>
      <w:r w:rsidR="006640C3" w:rsidRPr="006640C3">
        <w:t xml:space="preserve"> </w:t>
      </w:r>
      <w:r w:rsidRPr="006640C3">
        <w:t>and the removal role of the different operative units was studied.</w:t>
      </w:r>
    </w:p>
    <w:p w14:paraId="4CC0A790" w14:textId="77777777" w:rsidR="00C146F8" w:rsidRDefault="00C146F8" w:rsidP="005E2988">
      <w:pPr>
        <w:pStyle w:val="CETBodytext"/>
      </w:pPr>
    </w:p>
    <w:p w14:paraId="216FF9E2" w14:textId="04CDB643" w:rsidR="00325402" w:rsidRPr="00C146F8" w:rsidRDefault="00C146F8" w:rsidP="005E2988">
      <w:pPr>
        <w:pStyle w:val="CETBodytext"/>
      </w:pPr>
      <w:r w:rsidRPr="00C146F8">
        <w:rPr>
          <w:b/>
          <w:lang w:val="en-GB"/>
        </w:rPr>
        <w:t>Keywords:</w:t>
      </w:r>
      <w:r>
        <w:rPr>
          <w:lang w:val="en-GB"/>
        </w:rPr>
        <w:t xml:space="preserve"> anaerobic membrane, reuse, fertigation, microplastics</w:t>
      </w:r>
    </w:p>
    <w:bookmarkEnd w:id="1"/>
    <w:p w14:paraId="5FD22525" w14:textId="77777777" w:rsidR="00192995" w:rsidRPr="00CF38AB" w:rsidRDefault="00600535" w:rsidP="00CF38AB">
      <w:pPr>
        <w:pStyle w:val="CETHeading1"/>
        <w:rPr>
          <w:lang w:val="en-GB"/>
        </w:rPr>
      </w:pPr>
      <w:r w:rsidRPr="00B57B36">
        <w:rPr>
          <w:lang w:val="en-GB"/>
        </w:rPr>
        <w:t>Introductio</w:t>
      </w:r>
      <w:r w:rsidR="0060745C">
        <w:rPr>
          <w:lang w:val="en-GB"/>
        </w:rPr>
        <w:t>n</w:t>
      </w:r>
    </w:p>
    <w:p w14:paraId="1BE7F8AD" w14:textId="77777777" w:rsidR="005775CE" w:rsidRDefault="0060745C" w:rsidP="00CF38AB">
      <w:pPr>
        <w:pStyle w:val="CETBodytext"/>
      </w:pPr>
      <w:r w:rsidRPr="002775F1">
        <w:t>Widespread water scarcity characterizes the southern European countries where</w:t>
      </w:r>
      <w:r w:rsidR="002C0DB4" w:rsidRPr="002775F1">
        <w:t xml:space="preserve"> main pressures from water consumption are concentrated on irrigation and domestic demand</w:t>
      </w:r>
      <w:r w:rsidRPr="002775F1">
        <w:t xml:space="preserve"> also related to</w:t>
      </w:r>
      <w:r w:rsidR="002C0DB4" w:rsidRPr="002775F1">
        <w:t xml:space="preserve"> touris</w:t>
      </w:r>
      <w:r w:rsidRPr="002775F1">
        <w:t>tic activities</w:t>
      </w:r>
      <w:r w:rsidR="002C0DB4" w:rsidRPr="002775F1">
        <w:t>. Over the past thirty years, droughts have dramatically increased in number and intensity in the EU and</w:t>
      </w:r>
      <w:r w:rsidR="005775CE">
        <w:t>, to date,</w:t>
      </w:r>
      <w:r w:rsidR="002C0DB4" w:rsidRPr="002775F1">
        <w:t xml:space="preserve"> at least 11% of the European population and 17% of its territory has been affected by water scarcity. The potential role of treated wastewater reuse as an alternative source of water supply</w:t>
      </w:r>
      <w:r w:rsidR="00A517EC" w:rsidRPr="002775F1">
        <w:t>,</w:t>
      </w:r>
      <w:r w:rsidR="00DF47ED">
        <w:t xml:space="preserve"> </w:t>
      </w:r>
      <w:r w:rsidR="002C0DB4" w:rsidRPr="002775F1">
        <w:t xml:space="preserve">is now well </w:t>
      </w:r>
      <w:r w:rsidRPr="002775F1">
        <w:t>developed</w:t>
      </w:r>
      <w:r w:rsidR="00325402" w:rsidRPr="002775F1">
        <w:t>. Th</w:t>
      </w:r>
      <w:r w:rsidR="002C0DB4" w:rsidRPr="002775F1">
        <w:t xml:space="preserve">e current volume of reused water in Europe (EU-ENV, 2015) has been </w:t>
      </w:r>
      <w:r w:rsidR="00325402" w:rsidRPr="002775F1">
        <w:t xml:space="preserve">estimated </w:t>
      </w:r>
      <w:r w:rsidR="002C0DB4" w:rsidRPr="002775F1">
        <w:t xml:space="preserve">at around </w:t>
      </w:r>
      <w:r w:rsidR="002C0DB4" w:rsidRPr="002775F1">
        <w:rPr>
          <w:bCs/>
        </w:rPr>
        <w:t>1,100 Mm</w:t>
      </w:r>
      <w:r w:rsidR="002C0DB4" w:rsidRPr="009A4411">
        <w:rPr>
          <w:bCs/>
          <w:vertAlign w:val="superscript"/>
        </w:rPr>
        <w:t>3</w:t>
      </w:r>
      <w:r w:rsidR="002C0DB4" w:rsidRPr="002775F1">
        <w:rPr>
          <w:bCs/>
        </w:rPr>
        <w:t>/y</w:t>
      </w:r>
      <w:r w:rsidR="002C0DB4" w:rsidRPr="002775F1">
        <w:t xml:space="preserve">. </w:t>
      </w:r>
    </w:p>
    <w:p w14:paraId="2D3BBE78" w14:textId="2A3DC30D" w:rsidR="005775CE" w:rsidRDefault="005775CE" w:rsidP="00CF38AB">
      <w:pPr>
        <w:pStyle w:val="CETBodytext"/>
        <w:rPr>
          <w:rStyle w:val="CETBodytextCarattere"/>
        </w:rPr>
      </w:pPr>
      <w:r>
        <w:t>I</w:t>
      </w:r>
      <w:r w:rsidR="002775F1">
        <w:t xml:space="preserve">nnovative </w:t>
      </w:r>
      <w:r>
        <w:t>a</w:t>
      </w:r>
      <w:r w:rsidR="004E07A1" w:rsidRPr="002775F1">
        <w:t xml:space="preserve">naerobic treatments of urban wastewater </w:t>
      </w:r>
      <w:r w:rsidR="000153E7" w:rsidRPr="002775F1">
        <w:t>reuse can be a</w:t>
      </w:r>
      <w:r w:rsidR="00A517EC" w:rsidRPr="002775F1">
        <w:t xml:space="preserve"> real</w:t>
      </w:r>
      <w:r w:rsidR="000153E7" w:rsidRPr="002775F1">
        <w:t xml:space="preserve"> option</w:t>
      </w:r>
      <w:r w:rsidR="002775F1" w:rsidRPr="002775F1">
        <w:t xml:space="preserve"> and</w:t>
      </w:r>
      <w:r w:rsidR="00BB5207">
        <w:t xml:space="preserve"> </w:t>
      </w:r>
      <w:r w:rsidR="002775F1" w:rsidRPr="002775F1">
        <w:t xml:space="preserve">in the same time </w:t>
      </w:r>
      <w:r w:rsidR="00DF508E">
        <w:t xml:space="preserve">they </w:t>
      </w:r>
      <w:r w:rsidR="004E07A1" w:rsidRPr="002775F1">
        <w:t xml:space="preserve">allow to save energy and produce a small amount of excess sludge. Compared with conventional aerobic </w:t>
      </w:r>
      <w:r>
        <w:t>technologies</w:t>
      </w:r>
      <w:r w:rsidR="004E07A1" w:rsidRPr="002775F1">
        <w:t xml:space="preserve">, </w:t>
      </w:r>
      <w:r w:rsidR="004E07A1" w:rsidRPr="00BB5207">
        <w:t>they cause a net reduction of the operative costs for the lack aeration</w:t>
      </w:r>
      <w:r w:rsidR="00A517EC" w:rsidRPr="00BB5207">
        <w:t xml:space="preserve"> and reduce </w:t>
      </w:r>
      <w:r w:rsidR="0087476A" w:rsidRPr="00BB5207">
        <w:t xml:space="preserve">treatment cost </w:t>
      </w:r>
      <w:r w:rsidR="0087476A" w:rsidRPr="00BB5207">
        <w:lastRenderedPageBreak/>
        <w:t>up to 46%</w:t>
      </w:r>
      <w:r w:rsidR="00A517EC" w:rsidRPr="00BB5207">
        <w:t>,</w:t>
      </w:r>
      <w:r w:rsidR="0087476A" w:rsidRPr="00BB5207">
        <w:t xml:space="preserve"> bringing benefits both for environmental and economical sustainability. </w:t>
      </w:r>
      <w:r w:rsidR="004E07A1" w:rsidRPr="00BB5207">
        <w:t xml:space="preserve">Therefore, anaerobic treatment </w:t>
      </w:r>
      <w:r w:rsidR="00A517EC" w:rsidRPr="00BB5207">
        <w:t xml:space="preserve">is </w:t>
      </w:r>
      <w:r w:rsidR="004E07A1" w:rsidRPr="00BB5207">
        <w:t>identified as promising technology to couple energy production and valori</w:t>
      </w:r>
      <w:r w:rsidR="00A517EC" w:rsidRPr="00BB5207">
        <w:t>z</w:t>
      </w:r>
      <w:r w:rsidR="004E07A1" w:rsidRPr="00BB5207">
        <w:t xml:space="preserve">ation of effluent. </w:t>
      </w:r>
      <w:r w:rsidR="00F02B39" w:rsidRPr="00BB5207">
        <w:t>P</w:t>
      </w:r>
      <w:r w:rsidR="00AD064A" w:rsidRPr="00BB5207">
        <w:t>articular</w:t>
      </w:r>
      <w:r w:rsidR="00F02B39" w:rsidRPr="00BB5207">
        <w:t>ly</w:t>
      </w:r>
      <w:r w:rsidR="00AD064A" w:rsidRPr="00BB5207">
        <w:t>,</w:t>
      </w:r>
      <w:r w:rsidR="002775F1" w:rsidRPr="00BB5207">
        <w:t xml:space="preserve"> </w:t>
      </w:r>
      <w:r w:rsidR="001B670D" w:rsidRPr="00BB5207">
        <w:t>a</w:t>
      </w:r>
      <w:r w:rsidR="00AD064A" w:rsidRPr="00BB5207">
        <w:t xml:space="preserve">naerobic </w:t>
      </w:r>
      <w:r w:rsidR="001B670D" w:rsidRPr="00BB5207">
        <w:t xml:space="preserve">processes </w:t>
      </w:r>
      <w:r w:rsidR="00AD064A" w:rsidRPr="00BB5207">
        <w:t>can</w:t>
      </w:r>
      <w:r w:rsidR="002775F1" w:rsidRPr="00BB5207">
        <w:t xml:space="preserve"> </w:t>
      </w:r>
      <w:r w:rsidR="00AD064A" w:rsidRPr="00BB5207">
        <w:t>enable synergistic application of water reuse and recovery of materials and</w:t>
      </w:r>
      <w:r w:rsidR="002775F1" w:rsidRPr="00BB5207">
        <w:t xml:space="preserve"> </w:t>
      </w:r>
      <w:r w:rsidR="00AD064A" w:rsidRPr="00BB5207">
        <w:t>nutrients</w:t>
      </w:r>
      <w:r w:rsidR="00A517EC" w:rsidRPr="00BB5207">
        <w:t xml:space="preserve"> (N, P)</w:t>
      </w:r>
      <w:r w:rsidR="00AD064A" w:rsidRPr="00BB5207">
        <w:t xml:space="preserve"> with economic benefits for wastewater treatment </w:t>
      </w:r>
      <w:r w:rsidR="00AD064A" w:rsidRPr="00BB5207">
        <w:rPr>
          <w:rStyle w:val="CETBodytextCarattere"/>
        </w:rPr>
        <w:t>operators and users of</w:t>
      </w:r>
      <w:r w:rsidR="00DF508E">
        <w:rPr>
          <w:rStyle w:val="CETBodytextCarattere"/>
        </w:rPr>
        <w:t xml:space="preserve"> </w:t>
      </w:r>
      <w:r w:rsidR="00AD064A" w:rsidRPr="00BB5207">
        <w:rPr>
          <w:rStyle w:val="CETBodytextCarattere"/>
        </w:rPr>
        <w:t>treated wastewater</w:t>
      </w:r>
      <w:r w:rsidR="002C0DB4" w:rsidRPr="00BB5207">
        <w:rPr>
          <w:rStyle w:val="CETBodytextCarattere"/>
        </w:rPr>
        <w:t xml:space="preserve">. </w:t>
      </w:r>
    </w:p>
    <w:p w14:paraId="6806CF38" w14:textId="7919B9A2" w:rsidR="005775CE" w:rsidRPr="00DC1AB0" w:rsidRDefault="00DC1AB0" w:rsidP="00DC1AB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It</w:t>
      </w:r>
      <w:r w:rsidRPr="00DC1AB0">
        <w:rPr>
          <w:lang w:val="en-US"/>
        </w:rPr>
        <w:t xml:space="preserve"> is also possible to product bioethanol from the wastewater by means of anaerobic fermentation (Sofia et Al,</w:t>
      </w:r>
      <w:r>
        <w:rPr>
          <w:lang w:val="en-US"/>
        </w:rPr>
        <w:t xml:space="preserve"> </w:t>
      </w:r>
      <w:r w:rsidRPr="00DC1AB0">
        <w:rPr>
          <w:lang w:val="en-US"/>
        </w:rPr>
        <w:t>2013).</w:t>
      </w:r>
      <w:r>
        <w:rPr>
          <w:lang w:val="en-US"/>
        </w:rPr>
        <w:t xml:space="preserve"> </w:t>
      </w:r>
      <w:r w:rsidR="00834679" w:rsidRPr="00DC1AB0">
        <w:t xml:space="preserve">At this scope, </w:t>
      </w:r>
      <w:r w:rsidR="00834679" w:rsidRPr="00DC1AB0">
        <w:rPr>
          <w:lang w:val="en-US"/>
        </w:rPr>
        <w:t xml:space="preserve">the </w:t>
      </w:r>
      <w:r w:rsidR="0060745C" w:rsidRPr="00DC1AB0">
        <w:rPr>
          <w:lang w:val="en-US"/>
        </w:rPr>
        <w:t>first</w:t>
      </w:r>
      <w:r w:rsidR="00834679" w:rsidRPr="00DC1AB0">
        <w:rPr>
          <w:lang w:val="en-US"/>
        </w:rPr>
        <w:t xml:space="preserve"> Innovation Deal (ID)</w:t>
      </w:r>
      <w:r w:rsidR="0060745C" w:rsidRPr="00DC1AB0">
        <w:rPr>
          <w:lang w:val="en-US"/>
        </w:rPr>
        <w:t xml:space="preserve"> European program was</w:t>
      </w:r>
      <w:r w:rsidR="002775F1" w:rsidRPr="00DC1AB0">
        <w:rPr>
          <w:lang w:val="en-US"/>
        </w:rPr>
        <w:t xml:space="preserve"> </w:t>
      </w:r>
      <w:r w:rsidR="0060745C" w:rsidRPr="00DC1AB0">
        <w:rPr>
          <w:lang w:val="en-US"/>
        </w:rPr>
        <w:t>focused</w:t>
      </w:r>
      <w:r w:rsidR="00834679" w:rsidRPr="00DC1AB0">
        <w:rPr>
          <w:lang w:val="en-US"/>
        </w:rPr>
        <w:t xml:space="preserve"> on regulatory framework</w:t>
      </w:r>
      <w:r w:rsidR="00A517EC" w:rsidRPr="00DC1AB0">
        <w:rPr>
          <w:lang w:val="en-US"/>
        </w:rPr>
        <w:t>s</w:t>
      </w:r>
      <w:r w:rsidR="00834679" w:rsidRPr="00DC1AB0">
        <w:rPr>
          <w:lang w:val="en-US"/>
        </w:rPr>
        <w:t xml:space="preserve"> affecting water reuse</w:t>
      </w:r>
      <w:r w:rsidR="002775F1" w:rsidRPr="00DC1AB0">
        <w:rPr>
          <w:lang w:val="en-US"/>
        </w:rPr>
        <w:t xml:space="preserve"> </w:t>
      </w:r>
      <w:r w:rsidR="00834679" w:rsidRPr="00DC1AB0">
        <w:rPr>
          <w:lang w:val="en-US"/>
        </w:rPr>
        <w:t>for agricultural purposes</w:t>
      </w:r>
      <w:r w:rsidR="005775CE" w:rsidRPr="00DC1AB0">
        <w:rPr>
          <w:lang w:val="en-US"/>
        </w:rPr>
        <w:t xml:space="preserve"> identifying the </w:t>
      </w:r>
      <w:proofErr w:type="spellStart"/>
      <w:r w:rsidR="005775CE" w:rsidRPr="00DC1AB0">
        <w:rPr>
          <w:lang w:val="en-US"/>
        </w:rPr>
        <w:t>AnMBR</w:t>
      </w:r>
      <w:proofErr w:type="spellEnd"/>
      <w:r w:rsidR="005775CE" w:rsidRPr="00DC1AB0">
        <w:rPr>
          <w:lang w:val="en-US"/>
        </w:rPr>
        <w:t xml:space="preserve"> as possible solution for fertigation purpose</w:t>
      </w:r>
      <w:r w:rsidR="00834679" w:rsidRPr="00DC1AB0">
        <w:rPr>
          <w:lang w:val="en-US"/>
        </w:rPr>
        <w:t>.</w:t>
      </w:r>
      <w:r w:rsidR="005775CE" w:rsidRPr="00DC1AB0">
        <w:rPr>
          <w:lang w:val="en-US"/>
        </w:rPr>
        <w:t xml:space="preserve"> The Innovation Deal</w:t>
      </w:r>
      <w:r w:rsidR="00834679" w:rsidRPr="00DC1AB0">
        <w:rPr>
          <w:lang w:val="en-US"/>
        </w:rPr>
        <w:t xml:space="preserve"> </w:t>
      </w:r>
      <w:r w:rsidR="00A517EC" w:rsidRPr="00DC1AB0">
        <w:rPr>
          <w:lang w:val="en-US"/>
        </w:rPr>
        <w:t xml:space="preserve">has been </w:t>
      </w:r>
      <w:r w:rsidR="00834679" w:rsidRPr="00DC1AB0">
        <w:rPr>
          <w:lang w:val="en-US"/>
        </w:rPr>
        <w:t>analyse</w:t>
      </w:r>
      <w:r w:rsidR="00834679" w:rsidRPr="00DC1AB0">
        <w:t>d</w:t>
      </w:r>
      <w:r w:rsidR="00834679" w:rsidRPr="00DC1AB0">
        <w:rPr>
          <w:lang w:val="en-US"/>
        </w:rPr>
        <w:t xml:space="preserve"> the regulatory barriers that prevent a</w:t>
      </w:r>
      <w:r w:rsidR="00DF508E" w:rsidRPr="00DC1AB0">
        <w:rPr>
          <w:lang w:val="en-US"/>
        </w:rPr>
        <w:t xml:space="preserve"> </w:t>
      </w:r>
      <w:r w:rsidR="00834679" w:rsidRPr="00DC1AB0">
        <w:rPr>
          <w:lang w:val="en-US"/>
        </w:rPr>
        <w:t>paradigm shift towards converting wastewater treatment plant into water and</w:t>
      </w:r>
      <w:r w:rsidR="00DF508E" w:rsidRPr="00DC1AB0">
        <w:rPr>
          <w:lang w:val="en-US"/>
        </w:rPr>
        <w:t xml:space="preserve"> </w:t>
      </w:r>
      <w:r w:rsidR="00834679" w:rsidRPr="00DC1AB0">
        <w:rPr>
          <w:lang w:val="en-US"/>
        </w:rPr>
        <w:t xml:space="preserve">resource recovery facility. </w:t>
      </w:r>
      <w:r w:rsidR="004F26D8" w:rsidRPr="00DC1AB0">
        <w:rPr>
          <w:lang w:val="en-US"/>
        </w:rPr>
        <w:t>In addition to regulatory barriers, the installation of new plants</w:t>
      </w:r>
      <w:r w:rsidRPr="00DC1AB0">
        <w:rPr>
          <w:lang w:val="en-US"/>
        </w:rPr>
        <w:t xml:space="preserve"> </w:t>
      </w:r>
      <w:r w:rsidR="004F26D8" w:rsidRPr="00DC1AB0">
        <w:rPr>
          <w:lang w:val="en-US"/>
        </w:rPr>
        <w:t xml:space="preserve">is very often hampered by the diffusion of the “Nimby Syndrome”, a protectionist attitude adopted by community group against the installation of new plants near their homes (Giuliano </w:t>
      </w:r>
      <w:r w:rsidRPr="00DC1AB0">
        <w:rPr>
          <w:lang w:val="en-US"/>
        </w:rPr>
        <w:t xml:space="preserve">et Al, 2018). </w:t>
      </w:r>
      <w:r w:rsidR="00834679" w:rsidRPr="00DC1AB0">
        <w:rPr>
          <w:lang w:val="en-US"/>
        </w:rPr>
        <w:t>The ID aim</w:t>
      </w:r>
      <w:r w:rsidR="00834679" w:rsidRPr="00DC1AB0">
        <w:t>ed</w:t>
      </w:r>
      <w:r w:rsidR="00834679" w:rsidRPr="00DC1AB0">
        <w:rPr>
          <w:lang w:val="en-US"/>
        </w:rPr>
        <w:t xml:space="preserve"> at facilitating the market application of anaerobic membrane technologies that might enable efficient recovery </w:t>
      </w:r>
      <w:r w:rsidR="00834679" w:rsidRPr="00DC1AB0">
        <w:t xml:space="preserve">of energy and materials from wastewater while ensuring high level of environmental and public health protection. </w:t>
      </w:r>
    </w:p>
    <w:p w14:paraId="68487813" w14:textId="77777777" w:rsidR="001B670D" w:rsidRPr="00CF38AB" w:rsidRDefault="00797853" w:rsidP="00DC1AB0">
      <w:pPr>
        <w:pStyle w:val="CETBodytext"/>
        <w:rPr>
          <w:rStyle w:val="CETBodytextCarattere"/>
          <w:rFonts w:eastAsiaTheme="minorHAnsi"/>
          <w:lang w:val="en-GB"/>
        </w:rPr>
      </w:pPr>
      <w:r w:rsidRPr="00DC1AB0">
        <w:t xml:space="preserve">In general, </w:t>
      </w:r>
      <w:r w:rsidR="001B670D" w:rsidRPr="00DC1AB0">
        <w:t xml:space="preserve">anaerobic processes permit to obtain elevated release of nutrients without reaching </w:t>
      </w:r>
      <w:proofErr w:type="gramStart"/>
      <w:r w:rsidR="001B670D" w:rsidRPr="00DC1AB0">
        <w:t>sufficient</w:t>
      </w:r>
      <w:proofErr w:type="gramEnd"/>
      <w:r w:rsidR="001B670D" w:rsidRPr="00DC1AB0">
        <w:t xml:space="preserve"> quality level for reuse in terms of bacteriological proprieties</w:t>
      </w:r>
      <w:r w:rsidR="001B670D" w:rsidRPr="00BB5207">
        <w:rPr>
          <w:rStyle w:val="CETBodytextCarattere"/>
          <w:rFonts w:eastAsiaTheme="minorHAnsi"/>
          <w:lang w:val="en-GB"/>
        </w:rPr>
        <w:t xml:space="preserve"> and organic matter. Therefore, tertiary treatments are</w:t>
      </w:r>
      <w:r w:rsidR="005775CE">
        <w:rPr>
          <w:rStyle w:val="CETBodytextCarattere"/>
          <w:rFonts w:eastAsiaTheme="minorHAnsi"/>
          <w:lang w:val="en-GB"/>
        </w:rPr>
        <w:t xml:space="preserve"> </w:t>
      </w:r>
      <w:r w:rsidR="001B670D" w:rsidRPr="00BB5207">
        <w:rPr>
          <w:rStyle w:val="CETBodytextCarattere"/>
          <w:rFonts w:eastAsiaTheme="minorHAnsi"/>
          <w:lang w:val="en-GB"/>
        </w:rPr>
        <w:t xml:space="preserve">needed to increase the final effluent characteristics. </w:t>
      </w:r>
      <w:r w:rsidR="001B670D" w:rsidRPr="00BB5207">
        <w:t xml:space="preserve">The combination </w:t>
      </w:r>
      <w:r w:rsidR="002775F1" w:rsidRPr="00BB5207">
        <w:t xml:space="preserve">of anaerobic processes </w:t>
      </w:r>
      <w:r w:rsidR="001B670D" w:rsidRPr="00BB5207">
        <w:t xml:space="preserve">with advanced post-treatments, like </w:t>
      </w:r>
      <w:proofErr w:type="spellStart"/>
      <w:r w:rsidR="001B670D" w:rsidRPr="00BB5207">
        <w:t>UltraViolet</w:t>
      </w:r>
      <w:proofErr w:type="spellEnd"/>
      <w:r w:rsidR="001B670D" w:rsidRPr="00BB5207">
        <w:t xml:space="preserve"> (UV) or UV coupling with Hy</w:t>
      </w:r>
      <w:r w:rsidR="001B670D" w:rsidRPr="002775F1">
        <w:t>drogen Peroxide (H</w:t>
      </w:r>
      <w:r w:rsidR="001B670D" w:rsidRPr="002775F1">
        <w:rPr>
          <w:vertAlign w:val="subscript"/>
        </w:rPr>
        <w:t>2</w:t>
      </w:r>
      <w:r w:rsidR="001B670D" w:rsidRPr="002775F1">
        <w:t>O</w:t>
      </w:r>
      <w:r w:rsidR="001B670D" w:rsidRPr="002775F1">
        <w:rPr>
          <w:vertAlign w:val="subscript"/>
        </w:rPr>
        <w:t>2</w:t>
      </w:r>
      <w:r w:rsidR="001B670D" w:rsidRPr="002775F1">
        <w:t>) or Granular Activated Carbon (GAC) units, c</w:t>
      </w:r>
      <w:r w:rsidR="005775CE">
        <w:t>ould</w:t>
      </w:r>
      <w:r w:rsidR="001B670D" w:rsidRPr="002775F1">
        <w:t xml:space="preserve"> improve</w:t>
      </w:r>
      <w:r w:rsidR="00D85816">
        <w:t xml:space="preserve"> </w:t>
      </w:r>
      <w:r w:rsidR="001B670D" w:rsidRPr="002775F1">
        <w:t xml:space="preserve">the final effluent quality. </w:t>
      </w:r>
      <w:r w:rsidR="005775CE">
        <w:t xml:space="preserve">The </w:t>
      </w:r>
      <w:r w:rsidR="001B670D" w:rsidRPr="002775F1">
        <w:t xml:space="preserve">UV </w:t>
      </w:r>
      <w:r w:rsidR="005775CE">
        <w:t xml:space="preserve">technology </w:t>
      </w:r>
      <w:r w:rsidR="001B670D" w:rsidRPr="002775F1">
        <w:t xml:space="preserve">provides a rapid and effective inactivation of microorganisms through a physical process. </w:t>
      </w:r>
      <w:r w:rsidR="005775CE">
        <w:t xml:space="preserve">The </w:t>
      </w:r>
      <w:r w:rsidR="001B670D" w:rsidRPr="002775F1">
        <w:t xml:space="preserve">UV light has demonstrated efficacy against pathogenic organisms, including those responsible for cholera, polio, typhoid, hepatitis and other bacterial, viral and parasitic diseases  </w:t>
      </w:r>
      <w:r w:rsidR="009D37CF" w:rsidRPr="002775F1">
        <w:fldChar w:fldCharType="begin" w:fldLock="1"/>
      </w:r>
      <w:r w:rsidR="001B670D" w:rsidRPr="002775F1">
        <w:instrText>ADDIN CSL_CITATION { "citationItems" : [ { "id" : "ITEM-1", "itemData" : { "DOI" : "10.1016/j.watres.2017.09.030", "ISSN" : "00431354", "PMID" : "28941399", "abstract" : "Studies on ultraviolet light-emitting diode (UV-LED) water disinfection have shown advantages, such as safety, flexible design, and lower starting voltages. However, information about reactivation after UV-LED disinfection is limited, which is an important issue of UV light-based technology. In this study, the photoreactivation and dark repair of Escherichia coli after UV-LEDs and low pressure (LP) UV disinfection were compared. Four UV-LED units, 265 nm, 280 nm, the combination of 265 + 280 (50%), and 265 + 280 (75%) were tested. 265 nm LEDs was more effective than 280 nm LEDs and LP UV lamps for E. coli inactivation. No synergic effect for disinfection was observed from the combination of 265 and 280 nm LEDs. 265 nm LEDs had no different reactivation performances with that of LP UV, while 280 nm LEDs could significantly repress photoreactivation and dark repair at a low irradiation intensity of 6.9 mJ/cm2. Furthermore, the UV-induced damage of 280 nm LEDs was less repaired which was determined by endonuclease sensitive site (ESS) assay. The impaired protein activities by 280 nm LEDs might be one of the reasons that inhibited reactivation. A new reactivation rate constant, Kmax, was introduced into the logistic model to simulate the reactivation data, which showed positive relationship with the maximum survival ratio and was more reasonable to interpret the results of photoreactivation and dark repair. This study revealed the distinct roles of different UV lights in disinfection and reactivation, which is helpful for the future design of UV-LED equipment.", "author" : [ { "dropping-particle" : "", "family" : "Li", "given" : "Guo-Qiang", "non-dropping-particle" : "", "parse-names" : false, "suffix" : "" }, { "dropping-particle" : "", "family" : "Wang", "given" : "Wen-Long", "non-dropping-particle" : "", "parse-names" : false, "suffix" : "" }, { "dropping-particle" : "", "family" : "Huo", "given" : "Zheng-Yang", "non-dropping-particle" : "", "parse-names" : false, "suffix" : "" }, { "dropping-particle" : "", "family" : "Lu", "given" : "Yun", "non-dropping-particle" : "", "parse-names" : false, "suffix" : "" }, { "dropping-particle" : "", "family" : "Hu", "given" : "Hong-Ying", "non-dropping-particle" : "", "parse-names" : false, "suffix" : "" } ], "container-title" : "Water Research", "id" : "ITEM-1", "issued" : { "date-parts" : [ [ "2017", "12" ] ] }, "page" : "134-143", "publisher" : "Pergamon", "title" : "Comparison of UV-LED and low pressure UV for water disinfection: Photoreactivation and dark repair of Escherichia coli", "type" : "article-journal", "volume" : "126" }, "uris" : [ "http://www.mendeley.com/documents/?uuid=1d56dda9-666b-3f41-aa81-f28e22144c7c", "http://www.mendeley.com/documents/?uuid=eba4a87e-6b88-422e-b9b5-762152a3f620" ] } ], "mendeley" : { "formattedCitation" : "(Li et al. 2017)", "plainTextFormattedCitation" : "(Li et al. 2017)", "previouslyFormattedCitation" : "(Li et al., 2017)" }, "properties" : { "noteIndex" : 0 }, "schema" : "https://github.com/citation-style-language/schema/raw/master/csl-citation.json" }</w:instrText>
      </w:r>
      <w:r w:rsidR="009D37CF" w:rsidRPr="002775F1">
        <w:fldChar w:fldCharType="separate"/>
      </w:r>
      <w:r w:rsidR="001B670D" w:rsidRPr="002775F1">
        <w:rPr>
          <w:noProof/>
        </w:rPr>
        <w:t>(Li et al. 2017)</w:t>
      </w:r>
      <w:r w:rsidR="009D37CF" w:rsidRPr="002775F1">
        <w:fldChar w:fldCharType="end"/>
      </w:r>
      <w:r w:rsidR="001B670D" w:rsidRPr="002775F1">
        <w:t xml:space="preserve">. </w:t>
      </w:r>
      <w:r w:rsidR="005775CE">
        <w:t xml:space="preserve">The </w:t>
      </w:r>
      <w:r w:rsidR="001B670D" w:rsidRPr="002775F1">
        <w:t>H</w:t>
      </w:r>
      <w:r w:rsidR="001B670D" w:rsidRPr="002775F1">
        <w:rPr>
          <w:vertAlign w:val="subscript"/>
        </w:rPr>
        <w:t>2</w:t>
      </w:r>
      <w:r w:rsidR="001B670D" w:rsidRPr="002775F1">
        <w:t>O</w:t>
      </w:r>
      <w:r w:rsidR="001B670D" w:rsidRPr="002775F1">
        <w:rPr>
          <w:vertAlign w:val="subscript"/>
        </w:rPr>
        <w:t xml:space="preserve">2 </w:t>
      </w:r>
      <w:r w:rsidR="001B670D" w:rsidRPr="002775F1">
        <w:t>concentrations, reported in literature, range from 0.8 to 9.0 mmol/l (from 27.2 to 306 mgH</w:t>
      </w:r>
      <w:r w:rsidR="001B670D" w:rsidRPr="002775F1">
        <w:rPr>
          <w:vertAlign w:val="subscript"/>
        </w:rPr>
        <w:t>2</w:t>
      </w:r>
      <w:r w:rsidR="001B670D" w:rsidRPr="002775F1">
        <w:t>O</w:t>
      </w:r>
      <w:r w:rsidR="001B670D" w:rsidRPr="002775F1">
        <w:rPr>
          <w:vertAlign w:val="subscript"/>
        </w:rPr>
        <w:t>2</w:t>
      </w:r>
      <w:r w:rsidR="001B670D" w:rsidRPr="002775F1">
        <w:t>/L).  Approximately 10% of the bacterium luminescence is inhibited by 0.5 mmolH</w:t>
      </w:r>
      <w:r w:rsidR="001B670D" w:rsidRPr="002775F1">
        <w:rPr>
          <w:vertAlign w:val="subscript"/>
        </w:rPr>
        <w:t>2</w:t>
      </w:r>
      <w:r w:rsidR="001B670D" w:rsidRPr="002775F1">
        <w:t>O</w:t>
      </w:r>
      <w:r w:rsidR="001B670D" w:rsidRPr="002775F1">
        <w:rPr>
          <w:vertAlign w:val="subscript"/>
        </w:rPr>
        <w:t>2</w:t>
      </w:r>
      <w:r w:rsidR="001B670D" w:rsidRPr="002775F1">
        <w:t>/L and 95% is inhibited by 9.0 mmolH</w:t>
      </w:r>
      <w:r w:rsidR="001B670D" w:rsidRPr="002775F1">
        <w:rPr>
          <w:vertAlign w:val="subscript"/>
        </w:rPr>
        <w:t>2</w:t>
      </w:r>
      <w:r w:rsidR="001B670D" w:rsidRPr="002775F1">
        <w:t>O</w:t>
      </w:r>
      <w:r w:rsidR="001B670D" w:rsidRPr="002775F1">
        <w:rPr>
          <w:vertAlign w:val="subscript"/>
        </w:rPr>
        <w:t>2</w:t>
      </w:r>
      <w:r w:rsidR="001B670D" w:rsidRPr="002775F1">
        <w:t>/L after 30-60 min</w:t>
      </w:r>
      <w:r w:rsidR="00D85816">
        <w:t xml:space="preserve"> of contact time</w:t>
      </w:r>
      <w:r w:rsidR="001B670D" w:rsidRPr="002775F1">
        <w:t>. Other authors identified the optimal H</w:t>
      </w:r>
      <w:r w:rsidR="001B670D" w:rsidRPr="002775F1">
        <w:rPr>
          <w:vertAlign w:val="subscript"/>
        </w:rPr>
        <w:t>2</w:t>
      </w:r>
      <w:r w:rsidR="001B670D" w:rsidRPr="002775F1">
        <w:t>O</w:t>
      </w:r>
      <w:r w:rsidR="001B670D" w:rsidRPr="002775F1">
        <w:rPr>
          <w:vertAlign w:val="subscript"/>
        </w:rPr>
        <w:t>2</w:t>
      </w:r>
      <w:r w:rsidR="001B670D" w:rsidRPr="002775F1">
        <w:t xml:space="preserve"> concentration of 20 mg/L to degrade pharmaceutical compounds present in secondary effluent of urban wastewater treatment plants (</w:t>
      </w:r>
      <w:proofErr w:type="spellStart"/>
      <w:r w:rsidR="001B670D" w:rsidRPr="002775F1">
        <w:t>Urbano</w:t>
      </w:r>
      <w:proofErr w:type="spellEnd"/>
      <w:r w:rsidR="001B670D" w:rsidRPr="002775F1">
        <w:t xml:space="preserve"> et </w:t>
      </w:r>
      <w:r w:rsidR="005775CE">
        <w:t>a</w:t>
      </w:r>
      <w:r w:rsidR="001B670D" w:rsidRPr="002775F1">
        <w:t>l., 2017).</w:t>
      </w:r>
    </w:p>
    <w:p w14:paraId="3F335DD9" w14:textId="518F69F9" w:rsidR="007459A0" w:rsidRPr="00DC1AB0" w:rsidRDefault="000F5334" w:rsidP="00DC1AB0">
      <w:pPr>
        <w:pStyle w:val="CETBodytext"/>
        <w:rPr>
          <w:rStyle w:val="CETBodytextCarattere"/>
          <w:rFonts w:eastAsiaTheme="minorHAnsi"/>
          <w:lang w:val="en-GB"/>
        </w:rPr>
      </w:pPr>
      <w:r w:rsidRPr="00BB5207">
        <w:rPr>
          <w:rStyle w:val="CETBodytextCarattere"/>
          <w:rFonts w:eastAsiaTheme="minorHAnsi"/>
          <w:lang w:val="en-GB"/>
        </w:rPr>
        <w:t xml:space="preserve">With a more innovative </w:t>
      </w:r>
      <w:r w:rsidR="00BB5207" w:rsidRPr="00BB5207">
        <w:rPr>
          <w:rStyle w:val="CETBodytextCarattere"/>
          <w:rFonts w:eastAsiaTheme="minorHAnsi"/>
          <w:lang w:val="en-GB"/>
        </w:rPr>
        <w:t>approach</w:t>
      </w:r>
      <w:r w:rsidRPr="00BB5207">
        <w:rPr>
          <w:rStyle w:val="CETBodytextCarattere"/>
          <w:rFonts w:eastAsiaTheme="minorHAnsi"/>
          <w:lang w:val="en-GB"/>
        </w:rPr>
        <w:t xml:space="preserve">, anaerobic processes can be coupled with advanced </w:t>
      </w:r>
      <w:r w:rsidR="00891E2B" w:rsidRPr="00BB5207">
        <w:rPr>
          <w:rStyle w:val="CETBodytextCarattere"/>
          <w:rFonts w:eastAsiaTheme="minorHAnsi"/>
          <w:lang w:val="en-GB"/>
        </w:rPr>
        <w:t>separation</w:t>
      </w:r>
      <w:r w:rsidRPr="00BB5207">
        <w:rPr>
          <w:rStyle w:val="CETBodytextCarattere"/>
          <w:rFonts w:eastAsiaTheme="minorHAnsi"/>
          <w:lang w:val="en-GB"/>
        </w:rPr>
        <w:t xml:space="preserve"> system </w:t>
      </w:r>
      <w:r w:rsidR="002775F1" w:rsidRPr="00BB5207">
        <w:rPr>
          <w:rStyle w:val="CETBodytextCarattere"/>
          <w:rFonts w:eastAsiaTheme="minorHAnsi"/>
          <w:lang w:val="en-GB"/>
        </w:rPr>
        <w:t xml:space="preserve">like ultrafiltration </w:t>
      </w:r>
      <w:r w:rsidRPr="00BB5207">
        <w:rPr>
          <w:rStyle w:val="CETBodytextCarattere"/>
          <w:rFonts w:eastAsiaTheme="minorHAnsi"/>
          <w:lang w:val="en-GB"/>
        </w:rPr>
        <w:t>membranes</w:t>
      </w:r>
      <w:r w:rsidR="00DC1AB0">
        <w:rPr>
          <w:rStyle w:val="CETBodytextCarattere"/>
          <w:rFonts w:eastAsiaTheme="minorHAnsi"/>
          <w:lang w:val="en-GB"/>
        </w:rPr>
        <w:t xml:space="preserve">. </w:t>
      </w:r>
      <w:r w:rsidR="001B670D" w:rsidRPr="00BB5207">
        <w:rPr>
          <w:rStyle w:val="CETBodytextCarattere"/>
          <w:rFonts w:eastAsiaTheme="minorHAnsi"/>
          <w:lang w:val="en-GB"/>
        </w:rPr>
        <w:t xml:space="preserve"> </w:t>
      </w:r>
      <w:r w:rsidR="00DC1AB0" w:rsidRPr="00DC1AB0">
        <w:rPr>
          <w:rStyle w:val="CETBodytextCarattere"/>
          <w:rFonts w:eastAsiaTheme="minorHAnsi"/>
          <w:lang w:val="en-GB"/>
        </w:rPr>
        <w:t>An example of selective</w:t>
      </w:r>
      <w:r w:rsidR="00DC1AB0">
        <w:rPr>
          <w:rStyle w:val="CETBodytextCarattere"/>
          <w:rFonts w:eastAsiaTheme="minorHAnsi"/>
          <w:lang w:val="en-GB"/>
        </w:rPr>
        <w:t xml:space="preserve"> </w:t>
      </w:r>
      <w:r w:rsidR="00DC1AB0" w:rsidRPr="00DC1AB0">
        <w:rPr>
          <w:rStyle w:val="CETBodytextCarattere"/>
          <w:rFonts w:eastAsiaTheme="minorHAnsi"/>
          <w:lang w:val="en-GB"/>
        </w:rPr>
        <w:t>membranes to address the CO2 capture was used to reduce GHG emissions from IGCC plant for power</w:t>
      </w:r>
      <w:r w:rsidR="00DC1AB0">
        <w:rPr>
          <w:rStyle w:val="CETBodytextCarattere"/>
          <w:rFonts w:eastAsiaTheme="minorHAnsi"/>
          <w:lang w:val="en-GB"/>
        </w:rPr>
        <w:t xml:space="preserve"> </w:t>
      </w:r>
      <w:r w:rsidR="00DC1AB0" w:rsidRPr="00DC1AB0">
        <w:rPr>
          <w:rStyle w:val="CETBodytextCarattere"/>
          <w:rFonts w:eastAsiaTheme="minorHAnsi"/>
          <w:lang w:val="en-GB"/>
        </w:rPr>
        <w:t xml:space="preserve">and hydrogen production (Sofia </w:t>
      </w:r>
      <w:r w:rsidR="00DC1AB0">
        <w:rPr>
          <w:rStyle w:val="CETBodytextCarattere"/>
          <w:rFonts w:eastAsiaTheme="minorHAnsi"/>
          <w:lang w:val="en-GB"/>
        </w:rPr>
        <w:t>et Al., 2015</w:t>
      </w:r>
      <w:proofErr w:type="gramStart"/>
      <w:r w:rsidR="00DC1AB0">
        <w:rPr>
          <w:rStyle w:val="CETBodytextCarattere"/>
          <w:rFonts w:eastAsiaTheme="minorHAnsi"/>
          <w:lang w:val="en-GB"/>
        </w:rPr>
        <w:t xml:space="preserve">) </w:t>
      </w:r>
      <w:r w:rsidR="00DC1AB0" w:rsidRPr="00DC1AB0">
        <w:rPr>
          <w:rStyle w:val="CETBodytextCarattere"/>
          <w:rFonts w:eastAsiaTheme="minorHAnsi"/>
          <w:lang w:val="en-GB"/>
        </w:rPr>
        <w:t xml:space="preserve"> </w:t>
      </w:r>
      <w:r w:rsidR="001B670D" w:rsidRPr="00BB5207">
        <w:rPr>
          <w:rStyle w:val="CETBodytextCarattere"/>
          <w:rFonts w:eastAsiaTheme="minorHAnsi"/>
          <w:lang w:val="en-GB"/>
        </w:rPr>
        <w:t>(</w:t>
      </w:r>
      <w:proofErr w:type="gramEnd"/>
      <w:r w:rsidR="00D85816">
        <w:rPr>
          <w:rStyle w:val="CETBodytextCarattere"/>
          <w:rFonts w:eastAsiaTheme="minorHAnsi"/>
          <w:lang w:val="en-GB"/>
        </w:rPr>
        <w:t>Anaerobic Membrane Bioreactor (</w:t>
      </w:r>
      <w:proofErr w:type="spellStart"/>
      <w:r w:rsidR="001B670D" w:rsidRPr="00BB5207">
        <w:rPr>
          <w:rStyle w:val="CETBodytextCarattere"/>
          <w:rFonts w:eastAsiaTheme="minorHAnsi"/>
          <w:lang w:val="en-GB"/>
        </w:rPr>
        <w:t>AnMBR</w:t>
      </w:r>
      <w:proofErr w:type="spellEnd"/>
      <w:r w:rsidR="001B670D" w:rsidRPr="00BB5207">
        <w:rPr>
          <w:rStyle w:val="CETBodytextCarattere"/>
          <w:rFonts w:eastAsiaTheme="minorHAnsi"/>
          <w:lang w:val="en-GB"/>
        </w:rPr>
        <w:t>)</w:t>
      </w:r>
      <w:r w:rsidR="00D85816">
        <w:rPr>
          <w:rStyle w:val="CETBodytextCarattere"/>
          <w:rFonts w:eastAsiaTheme="minorHAnsi"/>
          <w:lang w:val="en-GB"/>
        </w:rPr>
        <w:t>)</w:t>
      </w:r>
      <w:r w:rsidRPr="00BB5207">
        <w:rPr>
          <w:rStyle w:val="CETBodytextCarattere"/>
          <w:rFonts w:eastAsiaTheme="minorHAnsi"/>
          <w:lang w:val="en-GB"/>
        </w:rPr>
        <w:t>.</w:t>
      </w:r>
      <w:r w:rsidR="00E278DC" w:rsidRPr="00BB5207">
        <w:rPr>
          <w:rStyle w:val="CETBodytextCarattere"/>
          <w:rFonts w:eastAsiaTheme="minorHAnsi"/>
          <w:lang w:val="en-GB"/>
        </w:rPr>
        <w:t xml:space="preserve"> </w:t>
      </w:r>
      <w:r w:rsidR="00AC23CA">
        <w:rPr>
          <w:rStyle w:val="CETBodytextCarattere"/>
          <w:rFonts w:eastAsiaTheme="minorHAnsi"/>
          <w:lang w:val="en-GB"/>
        </w:rPr>
        <w:t>T</w:t>
      </w:r>
      <w:r w:rsidR="00AC23CA" w:rsidRPr="00BB5207">
        <w:rPr>
          <w:rStyle w:val="CETBodytextCarattere"/>
          <w:rFonts w:eastAsiaTheme="minorHAnsi"/>
          <w:lang w:val="en-GB"/>
        </w:rPr>
        <w:t xml:space="preserve">he </w:t>
      </w:r>
      <w:r w:rsidR="00797853" w:rsidRPr="00BB5207">
        <w:rPr>
          <w:rStyle w:val="CETBodytextCarattere"/>
          <w:rFonts w:eastAsiaTheme="minorHAnsi"/>
          <w:lang w:val="en-GB"/>
        </w:rPr>
        <w:t>interesting on</w:t>
      </w:r>
      <w:r w:rsidR="0060745C" w:rsidRPr="00BB5207">
        <w:rPr>
          <w:rStyle w:val="CETBodytextCarattere"/>
          <w:rFonts w:eastAsiaTheme="minorHAnsi"/>
          <w:lang w:val="en-GB"/>
        </w:rPr>
        <w:t xml:space="preserve"> advanced filtration processes </w:t>
      </w:r>
      <w:r w:rsidR="00797853" w:rsidRPr="00BB5207">
        <w:rPr>
          <w:rStyle w:val="CETBodytextCarattere"/>
          <w:rFonts w:eastAsiaTheme="minorHAnsi"/>
          <w:lang w:val="en-GB"/>
        </w:rPr>
        <w:t xml:space="preserve">are related not only </w:t>
      </w:r>
      <w:r w:rsidR="00797853" w:rsidRPr="00AC23CA">
        <w:rPr>
          <w:rStyle w:val="CETBodytextCarattere"/>
          <w:rFonts w:eastAsiaTheme="minorHAnsi"/>
          <w:lang w:val="en-GB"/>
        </w:rPr>
        <w:t>to</w:t>
      </w:r>
      <w:r w:rsidR="00E278DC" w:rsidRPr="00AC23CA">
        <w:rPr>
          <w:rStyle w:val="CETBodytextCarattere"/>
          <w:rFonts w:eastAsiaTheme="minorHAnsi"/>
          <w:lang w:val="en-GB"/>
        </w:rPr>
        <w:t xml:space="preserve"> ordinary pollutants</w:t>
      </w:r>
      <w:r w:rsidR="00D85816">
        <w:rPr>
          <w:rStyle w:val="CETBodytextCarattere"/>
          <w:rFonts w:eastAsiaTheme="minorHAnsi"/>
          <w:lang w:val="en-GB"/>
        </w:rPr>
        <w:t xml:space="preserve"> </w:t>
      </w:r>
      <w:r w:rsidR="00E278DC" w:rsidRPr="00AC23CA">
        <w:rPr>
          <w:rStyle w:val="CETBodytextCarattere"/>
          <w:rFonts w:eastAsiaTheme="minorHAnsi"/>
          <w:lang w:val="en-GB"/>
        </w:rPr>
        <w:t>but also to emerging toxic compounds</w:t>
      </w:r>
      <w:r w:rsidR="00065F92">
        <w:rPr>
          <w:rStyle w:val="CETBodytextCarattere"/>
          <w:rFonts w:eastAsiaTheme="minorHAnsi"/>
          <w:lang w:val="en-GB"/>
        </w:rPr>
        <w:t xml:space="preserve"> (</w:t>
      </w:r>
      <w:proofErr w:type="spellStart"/>
      <w:r w:rsidR="00065F92">
        <w:rPr>
          <w:rStyle w:val="CETBodytextCarattere"/>
          <w:rFonts w:eastAsiaTheme="minorHAnsi"/>
          <w:lang w:val="en-GB"/>
        </w:rPr>
        <w:t>Eusebi</w:t>
      </w:r>
      <w:proofErr w:type="spellEnd"/>
      <w:r w:rsidR="00065F92">
        <w:rPr>
          <w:rStyle w:val="CETBodytextCarattere"/>
          <w:rFonts w:eastAsiaTheme="minorHAnsi"/>
          <w:lang w:val="en-GB"/>
        </w:rPr>
        <w:t xml:space="preserve"> et al., 2011)</w:t>
      </w:r>
      <w:r w:rsidR="00AC23CA" w:rsidRPr="00AC23CA">
        <w:rPr>
          <w:rFonts w:cs="Arial"/>
          <w:color w:val="505050"/>
          <w:sz w:val="19"/>
          <w:szCs w:val="19"/>
        </w:rPr>
        <w:t xml:space="preserve">. </w:t>
      </w:r>
      <w:r w:rsidR="00AC23CA" w:rsidRPr="00AC23CA">
        <w:t xml:space="preserve">Some studies reported that with </w:t>
      </w:r>
      <w:proofErr w:type="spellStart"/>
      <w:r w:rsidR="00AC23CA" w:rsidRPr="00AC23CA">
        <w:t>AnMBR</w:t>
      </w:r>
      <w:proofErr w:type="spellEnd"/>
      <w:r w:rsidR="00D85816">
        <w:t>,</w:t>
      </w:r>
      <w:r w:rsidR="00AC23CA" w:rsidRPr="00AC23CA">
        <w:t xml:space="preserve"> pharmaceutical compounds like Trimethoprim (</w:t>
      </w:r>
      <w:proofErr w:type="spellStart"/>
      <w:r w:rsidR="00AC23CA" w:rsidRPr="00AC23CA">
        <w:t>Tmp</w:t>
      </w:r>
      <w:proofErr w:type="spellEnd"/>
      <w:r w:rsidR="00AC23CA" w:rsidRPr="00AC23CA">
        <w:t>) and sulfamethoxazole (</w:t>
      </w:r>
      <w:proofErr w:type="spellStart"/>
      <w:r w:rsidR="00AC23CA" w:rsidRPr="00AC23CA">
        <w:t>Smx</w:t>
      </w:r>
      <w:proofErr w:type="spellEnd"/>
      <w:r w:rsidR="00AC23CA" w:rsidRPr="00AC23CA">
        <w:t>) are consistently removed at efficiencies of 94.2 ± 5.5%, and 67.8 ± 13.9%, respectively, while,</w:t>
      </w:r>
      <w:r w:rsidR="00D85816">
        <w:t xml:space="preserve"> </w:t>
      </w:r>
      <w:r w:rsidR="00AC23CA" w:rsidRPr="00AC23CA">
        <w:t xml:space="preserve">marginal removals </w:t>
      </w:r>
      <w:r w:rsidR="00D85816">
        <w:t>are obtained for</w:t>
      </w:r>
      <w:r w:rsidR="00AC23CA" w:rsidRPr="00AC23CA">
        <w:t xml:space="preserve"> carbamazepine (</w:t>
      </w:r>
      <w:proofErr w:type="spellStart"/>
      <w:r w:rsidR="00AC23CA" w:rsidRPr="00AC23CA">
        <w:t>Cbz</w:t>
      </w:r>
      <w:proofErr w:type="spellEnd"/>
      <w:r w:rsidR="00AC23CA" w:rsidRPr="00AC23CA">
        <w:t xml:space="preserve">) (0.3 ± 19.0%) and </w:t>
      </w:r>
      <w:r w:rsidR="00D85816">
        <w:t xml:space="preserve">for </w:t>
      </w:r>
      <w:r w:rsidR="00AC23CA" w:rsidRPr="00AC23CA">
        <w:t>diclofenac (</w:t>
      </w:r>
      <w:proofErr w:type="spellStart"/>
      <w:r w:rsidR="00AC23CA" w:rsidRPr="00AC23CA">
        <w:t>Dcf</w:t>
      </w:r>
      <w:proofErr w:type="spellEnd"/>
      <w:r w:rsidR="00AC23CA" w:rsidRPr="00AC23CA">
        <w:t>) (15.0 ± 7.2%) (</w:t>
      </w:r>
      <w:proofErr w:type="spellStart"/>
      <w:r w:rsidR="0036656F">
        <w:fldChar w:fldCharType="begin"/>
      </w:r>
      <w:r w:rsidR="0036656F">
        <w:instrText xml:space="preserve"> HYPERLINK "https://www.sciencedirect.com/science/article/pii/S1385894717304837" \l "!" </w:instrText>
      </w:r>
      <w:r w:rsidR="0036656F">
        <w:fldChar w:fldCharType="separate"/>
      </w:r>
      <w:r w:rsidR="00AC23CA" w:rsidRPr="00AC23CA">
        <w:t>Yeyuan</w:t>
      </w:r>
      <w:proofErr w:type="spellEnd"/>
      <w:r w:rsidR="00AC23CA" w:rsidRPr="00AC23CA">
        <w:t xml:space="preserve"> Xiao</w:t>
      </w:r>
      <w:r w:rsidR="0036656F">
        <w:fldChar w:fldCharType="end"/>
      </w:r>
      <w:r w:rsidR="00AC23CA">
        <w:t xml:space="preserve"> et Al., 2017). </w:t>
      </w:r>
      <w:r w:rsidR="00E278DC" w:rsidRPr="00BB5207">
        <w:rPr>
          <w:rStyle w:val="CETBodytextCarattere"/>
          <w:rFonts w:eastAsiaTheme="minorHAnsi"/>
          <w:lang w:val="en-GB"/>
        </w:rPr>
        <w:t xml:space="preserve">In this scenario, </w:t>
      </w:r>
      <w:r w:rsidR="00E278DC" w:rsidRPr="00BB5207">
        <w:rPr>
          <w:rStyle w:val="CETBodytextCarattere"/>
        </w:rPr>
        <w:t xml:space="preserve">membrane filtration seems to be promising solution also for </w:t>
      </w:r>
      <w:r w:rsidR="00850907" w:rsidRPr="00BB5207">
        <w:rPr>
          <w:rStyle w:val="CETBodytextCarattere"/>
        </w:rPr>
        <w:t>m</w:t>
      </w:r>
      <w:r w:rsidR="00BE73B5" w:rsidRPr="00BB5207">
        <w:rPr>
          <w:rStyle w:val="CETBodytextCarattere"/>
        </w:rPr>
        <w:t>icroplastics (MPs)</w:t>
      </w:r>
      <w:r w:rsidR="00E278DC" w:rsidRPr="00BB5207">
        <w:rPr>
          <w:rStyle w:val="CETBodytextCarattere"/>
        </w:rPr>
        <w:t xml:space="preserve"> removal</w:t>
      </w:r>
      <w:r w:rsidR="00BE73B5" w:rsidRPr="00BB5207">
        <w:rPr>
          <w:rStyle w:val="CETBodytextCarattere"/>
        </w:rPr>
        <w:t>.</w:t>
      </w:r>
      <w:r w:rsidR="00611AA3" w:rsidRPr="00BB5207">
        <w:rPr>
          <w:rStyle w:val="CETBodytextCarattere"/>
        </w:rPr>
        <w:t xml:space="preserve"> </w:t>
      </w:r>
    </w:p>
    <w:p w14:paraId="30A42BB8" w14:textId="77777777" w:rsidR="006F3F98" w:rsidRDefault="00611AA3" w:rsidP="00CF38AB">
      <w:pPr>
        <w:pStyle w:val="CETBodytext"/>
      </w:pPr>
      <w:r w:rsidRPr="00BB5207">
        <w:rPr>
          <w:rStyle w:val="CETBodytextCarattere"/>
        </w:rPr>
        <w:t>Considering the high volumes treated daily</w:t>
      </w:r>
      <w:r w:rsidR="00887037" w:rsidRPr="00BB5207">
        <w:rPr>
          <w:rStyle w:val="CETBodytextCarattere"/>
        </w:rPr>
        <w:t xml:space="preserve"> from Wastewater Treatments Plants (WWTP)</w:t>
      </w:r>
      <w:r w:rsidR="00850907" w:rsidRPr="00BB5207">
        <w:rPr>
          <w:rStyle w:val="CETBodytextCarattere"/>
        </w:rPr>
        <w:t>, a big amount of m</w:t>
      </w:r>
      <w:r w:rsidRPr="00BB5207">
        <w:rPr>
          <w:rStyle w:val="CETBodytextCarattere"/>
        </w:rPr>
        <w:t>icroplastics can be still</w:t>
      </w:r>
      <w:r w:rsidR="00887037" w:rsidRPr="00BB5207">
        <w:rPr>
          <w:rStyle w:val="CETBodytextCarattere"/>
        </w:rPr>
        <w:t xml:space="preserve"> released through the effluents;</w:t>
      </w:r>
      <w:r w:rsidRPr="00BB5207">
        <w:rPr>
          <w:rStyle w:val="CETBodytextCarattere"/>
        </w:rPr>
        <w:t xml:space="preserve"> but </w:t>
      </w:r>
      <w:r w:rsidR="00887037" w:rsidRPr="00BB5207">
        <w:rPr>
          <w:rStyle w:val="CETBodytextCarattere"/>
        </w:rPr>
        <w:t>WWTP</w:t>
      </w:r>
      <w:r w:rsidRPr="00BB5207">
        <w:rPr>
          <w:rStyle w:val="CETBodytextCarattere"/>
        </w:rPr>
        <w:t xml:space="preserve">, that </w:t>
      </w:r>
      <w:r w:rsidR="001B1F37" w:rsidRPr="00BB5207">
        <w:rPr>
          <w:rStyle w:val="CETBodytextCarattere"/>
        </w:rPr>
        <w:t>are not specifically designed to reta</w:t>
      </w:r>
      <w:r w:rsidRPr="00BB5207">
        <w:rPr>
          <w:rStyle w:val="CETBodytextCarattere"/>
        </w:rPr>
        <w:t xml:space="preserve">in MPs, </w:t>
      </w:r>
      <w:r w:rsidR="001B1F37" w:rsidRPr="00BB5207">
        <w:rPr>
          <w:rStyle w:val="CETBodytextCarattere"/>
        </w:rPr>
        <w:t>can effectively remove most of these particles from the influent</w:t>
      </w:r>
      <w:r w:rsidRPr="00BB5207">
        <w:rPr>
          <w:rStyle w:val="CETBodytextCarattere"/>
        </w:rPr>
        <w:t xml:space="preserve"> reducing microplastics’ input in the environment.</w:t>
      </w:r>
      <w:r w:rsidR="00D85816">
        <w:rPr>
          <w:rStyle w:val="CETBodytextCarattere"/>
        </w:rPr>
        <w:t xml:space="preserve"> </w:t>
      </w:r>
      <w:r w:rsidR="009D0842" w:rsidRPr="00BB5207">
        <w:rPr>
          <w:rStyle w:val="CETBodytextCarattere"/>
        </w:rPr>
        <w:t xml:space="preserve">Jing Sun at </w:t>
      </w:r>
      <w:r w:rsidR="00D85816">
        <w:rPr>
          <w:rStyle w:val="CETBodytextCarattere"/>
        </w:rPr>
        <w:t>A</w:t>
      </w:r>
      <w:r w:rsidR="00D85816" w:rsidRPr="00BB5207">
        <w:rPr>
          <w:rStyle w:val="CETBodytextCarattere"/>
        </w:rPr>
        <w:t>l</w:t>
      </w:r>
      <w:r w:rsidR="009D0842" w:rsidRPr="00BB5207">
        <w:rPr>
          <w:rStyle w:val="CETBodytextCarattere"/>
        </w:rPr>
        <w:t>., 2018</w:t>
      </w:r>
      <w:r w:rsidR="00887037" w:rsidRPr="00BB5207">
        <w:rPr>
          <w:rStyle w:val="CETBodytextCarattere"/>
        </w:rPr>
        <w:t>,</w:t>
      </w:r>
      <w:r w:rsidR="009D0842" w:rsidRPr="00BB5207">
        <w:rPr>
          <w:rStyle w:val="CETBodytextCarattere"/>
        </w:rPr>
        <w:t xml:space="preserve"> reported </w:t>
      </w:r>
      <w:r w:rsidR="00887037" w:rsidRPr="00BB5207">
        <w:rPr>
          <w:rStyle w:val="CETBodytextCarattere"/>
        </w:rPr>
        <w:t xml:space="preserve">in their studies </w:t>
      </w:r>
      <w:r w:rsidR="009D0842" w:rsidRPr="00BB5207">
        <w:rPr>
          <w:rStyle w:val="CETBodytextCarattere"/>
        </w:rPr>
        <w:t>that t</w:t>
      </w:r>
      <w:r w:rsidR="00767ECF" w:rsidRPr="00BB5207">
        <w:rPr>
          <w:rStyle w:val="CETBodytextCarattere"/>
        </w:rPr>
        <w:t>he</w:t>
      </w:r>
      <w:r w:rsidR="007459A0">
        <w:rPr>
          <w:rStyle w:val="CETBodytextCarattere"/>
        </w:rPr>
        <w:t xml:space="preserve"> </w:t>
      </w:r>
      <w:r w:rsidR="00767ECF" w:rsidRPr="00BB5207">
        <w:rPr>
          <w:rStyle w:val="CETBodytextCarattere"/>
        </w:rPr>
        <w:t>overall microplastics removal efficiencies of WWTPs without tertiary</w:t>
      </w:r>
      <w:r w:rsidR="00D85816">
        <w:rPr>
          <w:rStyle w:val="CETBodytextCarattere"/>
        </w:rPr>
        <w:t xml:space="preserve"> </w:t>
      </w:r>
      <w:r w:rsidR="00767ECF" w:rsidRPr="00BB5207">
        <w:rPr>
          <w:rStyle w:val="CETBodytextCarattere"/>
        </w:rPr>
        <w:t xml:space="preserve">treatment </w:t>
      </w:r>
      <w:r w:rsidR="009D0842" w:rsidRPr="00BB5207">
        <w:rPr>
          <w:rStyle w:val="CETBodytextCarattere"/>
        </w:rPr>
        <w:t xml:space="preserve">is </w:t>
      </w:r>
      <w:r w:rsidR="00767ECF" w:rsidRPr="00BB5207">
        <w:rPr>
          <w:rStyle w:val="CETBodytextCarattere"/>
        </w:rPr>
        <w:t>above 88% and the number increased to over</w:t>
      </w:r>
      <w:r w:rsidR="007459A0">
        <w:rPr>
          <w:rStyle w:val="CETBodytextCarattere"/>
        </w:rPr>
        <w:t xml:space="preserve"> </w:t>
      </w:r>
      <w:r w:rsidR="00767ECF" w:rsidRPr="00BB5207">
        <w:rPr>
          <w:rStyle w:val="CETBodytextCarattere"/>
        </w:rPr>
        <w:t>97% in the WWTPs with tertiary treatment</w:t>
      </w:r>
      <w:r w:rsidR="007B6347" w:rsidRPr="00BB5207">
        <w:rPr>
          <w:rStyle w:val="CETBodytextCarattere"/>
        </w:rPr>
        <w:t>s</w:t>
      </w:r>
      <w:r w:rsidR="009D0842" w:rsidRPr="00BB5207">
        <w:rPr>
          <w:rStyle w:val="CETBodytextCarattere"/>
        </w:rPr>
        <w:t xml:space="preserve">. The </w:t>
      </w:r>
      <w:r w:rsidR="00D85816">
        <w:rPr>
          <w:rStyle w:val="CETBodytextCarattere"/>
        </w:rPr>
        <w:t>membrane bioreactor (</w:t>
      </w:r>
      <w:r w:rsidR="009D0842" w:rsidRPr="00BB5207">
        <w:rPr>
          <w:rStyle w:val="CETBodytextCarattere"/>
        </w:rPr>
        <w:t>MBR</w:t>
      </w:r>
      <w:r w:rsidR="00D85816">
        <w:rPr>
          <w:rStyle w:val="CETBodytextCarattere"/>
        </w:rPr>
        <w:t>)</w:t>
      </w:r>
      <w:r w:rsidR="009D0842" w:rsidRPr="00BB5207">
        <w:rPr>
          <w:rStyle w:val="CETBodytextCarattere"/>
        </w:rPr>
        <w:t xml:space="preserve"> can remove 99.9% of MPs (from 6.9 to 0.005 MP/L), rapid sand filter 97% (from 0.7 to 0.02 MP/L), dissolved air flotation 95% (from 2.0 to 0.1 MP/L) (Julia </w:t>
      </w:r>
      <w:proofErr w:type="spellStart"/>
      <w:r w:rsidR="009D0842" w:rsidRPr="00BB5207">
        <w:rPr>
          <w:rStyle w:val="CETBodytextCarattere"/>
        </w:rPr>
        <w:t>Talvitieet</w:t>
      </w:r>
      <w:proofErr w:type="spellEnd"/>
      <w:r w:rsidR="009D0842" w:rsidRPr="00BB5207">
        <w:rPr>
          <w:rStyle w:val="CETBodytextCarattere"/>
        </w:rPr>
        <w:t xml:space="preserve"> </w:t>
      </w:r>
      <w:r w:rsidR="00080052" w:rsidRPr="00BB5207">
        <w:rPr>
          <w:rStyle w:val="CETBodytextCarattere"/>
        </w:rPr>
        <w:t>A</w:t>
      </w:r>
      <w:r w:rsidR="009D0842" w:rsidRPr="00BB5207">
        <w:rPr>
          <w:rStyle w:val="CETBodytextCarattere"/>
        </w:rPr>
        <w:t>l., 2017</w:t>
      </w:r>
      <w:r w:rsidR="009D0842" w:rsidRPr="00BB5207">
        <w:rPr>
          <w:rStyle w:val="CETBodytextCarattere"/>
          <w:rFonts w:eastAsiaTheme="minorHAnsi"/>
        </w:rPr>
        <w:t>)</w:t>
      </w:r>
      <w:r w:rsidR="00A517EC" w:rsidRPr="00BB5207">
        <w:rPr>
          <w:rStyle w:val="CETBodytextCarattere"/>
          <w:rFonts w:eastAsiaTheme="minorHAnsi"/>
        </w:rPr>
        <w:t xml:space="preserve">. </w:t>
      </w:r>
      <w:r w:rsidR="00887037" w:rsidRPr="00BB5207">
        <w:rPr>
          <w:rStyle w:val="CETBodytextCarattere"/>
        </w:rPr>
        <w:t xml:space="preserve">The efficiency of an advanced </w:t>
      </w:r>
      <w:r w:rsidR="00FD32D0" w:rsidRPr="00BB5207">
        <w:rPr>
          <w:rStyle w:val="CETBodytextCarattere"/>
        </w:rPr>
        <w:t xml:space="preserve">MBR technology </w:t>
      </w:r>
      <w:r w:rsidR="00F9790E" w:rsidRPr="00BB5207">
        <w:rPr>
          <w:rStyle w:val="CETBodytextCarattere"/>
        </w:rPr>
        <w:t>is higher, in fact, the</w:t>
      </w:r>
      <w:r w:rsidR="00FD32D0" w:rsidRPr="00BB5207">
        <w:rPr>
          <w:rStyle w:val="CETBodytextCarattere"/>
        </w:rPr>
        <w:t xml:space="preserve"> permeate contain</w:t>
      </w:r>
      <w:r w:rsidR="00887037" w:rsidRPr="00BB5207">
        <w:rPr>
          <w:rStyle w:val="CETBodytextCarattere"/>
        </w:rPr>
        <w:t>s</w:t>
      </w:r>
      <w:r w:rsidR="00D85816">
        <w:rPr>
          <w:rStyle w:val="CETBodytextCarattere"/>
        </w:rPr>
        <w:t xml:space="preserve"> </w:t>
      </w:r>
      <w:r w:rsidR="00887037" w:rsidRPr="00BB5207">
        <w:rPr>
          <w:rStyle w:val="CETBodytextCarattere"/>
        </w:rPr>
        <w:t xml:space="preserve">only </w:t>
      </w:r>
      <w:r w:rsidR="00FD32D0" w:rsidRPr="00BB5207">
        <w:rPr>
          <w:rStyle w:val="CETBodytextCarattere"/>
        </w:rPr>
        <w:t>0.4MP/L in comparison with the final effluent of the CAS process (1.0 MP/L) (</w:t>
      </w:r>
      <w:proofErr w:type="spellStart"/>
      <w:r w:rsidR="00FD32D0" w:rsidRPr="00BB5207">
        <w:rPr>
          <w:rStyle w:val="CETBodytextCarattere"/>
        </w:rPr>
        <w:t>Mirka</w:t>
      </w:r>
      <w:proofErr w:type="spellEnd"/>
      <w:r w:rsidR="00D85816">
        <w:rPr>
          <w:rStyle w:val="CETBodytextCarattere"/>
        </w:rPr>
        <w:t xml:space="preserve"> </w:t>
      </w:r>
      <w:proofErr w:type="spellStart"/>
      <w:r w:rsidR="00FD32D0" w:rsidRPr="00BB5207">
        <w:rPr>
          <w:rStyle w:val="CETBodytextCarattere"/>
        </w:rPr>
        <w:t>Lares</w:t>
      </w:r>
      <w:proofErr w:type="spellEnd"/>
      <w:r w:rsidR="00FD32D0" w:rsidRPr="00BB5207">
        <w:rPr>
          <w:rStyle w:val="CETBodytextCarattere"/>
        </w:rPr>
        <w:t xml:space="preserve"> et. Al., 2018</w:t>
      </w:r>
      <w:r w:rsidR="007459A0">
        <w:rPr>
          <w:rStyle w:val="CETBodytextCarattere"/>
        </w:rPr>
        <w:t>)</w:t>
      </w:r>
      <w:r w:rsidR="00F9790E" w:rsidRPr="00BB5207">
        <w:t>.</w:t>
      </w:r>
      <w:r w:rsidR="00BB5207" w:rsidRPr="00BB5207" w:rsidDel="00BB5207">
        <w:rPr>
          <w:rStyle w:val="CETBodytextCarattere"/>
          <w:lang w:val="en-GB"/>
        </w:rPr>
        <w:t xml:space="preserve"> </w:t>
      </w:r>
      <w:r w:rsidR="002C0DB4" w:rsidRPr="00BB5207">
        <w:t xml:space="preserve">This paper shows the preliminary performances of demonstrative </w:t>
      </w:r>
      <w:r w:rsidR="000F5334" w:rsidRPr="00BB5207">
        <w:t xml:space="preserve">UASB coupled with </w:t>
      </w:r>
      <w:r w:rsidR="00D85816">
        <w:t xml:space="preserve">different advanced post-treatments: </w:t>
      </w:r>
      <w:r w:rsidR="000F5334" w:rsidRPr="00BB5207">
        <w:t xml:space="preserve">membrane </w:t>
      </w:r>
      <w:r w:rsidR="00AC23CA">
        <w:t>ultra</w:t>
      </w:r>
      <w:r w:rsidR="000F5334" w:rsidRPr="00BB5207">
        <w:t xml:space="preserve">filtration, UV </w:t>
      </w:r>
      <w:r w:rsidR="00AC23CA">
        <w:t>disinfection</w:t>
      </w:r>
      <w:r w:rsidR="0033093C">
        <w:t xml:space="preserve"> </w:t>
      </w:r>
      <w:r w:rsidR="00D85816">
        <w:t xml:space="preserve">and </w:t>
      </w:r>
      <w:r w:rsidR="000F5334" w:rsidRPr="00BB5207">
        <w:t>GAC adsorption</w:t>
      </w:r>
      <w:r w:rsidR="00D85816">
        <w:t>.</w:t>
      </w:r>
    </w:p>
    <w:p w14:paraId="252DFC2D" w14:textId="77777777" w:rsidR="006640C3" w:rsidRDefault="006640C3" w:rsidP="00CF38AB">
      <w:pPr>
        <w:pStyle w:val="CETBodytext"/>
      </w:pPr>
    </w:p>
    <w:p w14:paraId="70300504" w14:textId="77777777" w:rsidR="002C0DB4" w:rsidRDefault="007459A0" w:rsidP="004E07A1">
      <w:pPr>
        <w:pStyle w:val="CETHeading1"/>
        <w:tabs>
          <w:tab w:val="num" w:pos="360"/>
        </w:tabs>
        <w:rPr>
          <w:lang w:val="en-GB"/>
        </w:rPr>
      </w:pPr>
      <w:r>
        <w:rPr>
          <w:lang w:val="en-GB"/>
        </w:rPr>
        <w:t>M</w:t>
      </w:r>
      <w:r w:rsidR="002C0DB4" w:rsidRPr="004E07A1">
        <w:rPr>
          <w:lang w:val="en-GB"/>
        </w:rPr>
        <w:t>aterials and methods</w:t>
      </w:r>
    </w:p>
    <w:p w14:paraId="7D3D4CE8" w14:textId="77777777" w:rsidR="000E25BC" w:rsidRDefault="000E25BC" w:rsidP="000E25BC">
      <w:pPr>
        <w:pStyle w:val="CETBodytext"/>
        <w:rPr>
          <w:lang w:val="en-GB"/>
        </w:rPr>
      </w:pPr>
    </w:p>
    <w:p w14:paraId="33BC5432" w14:textId="77777777" w:rsidR="000E25BC" w:rsidRDefault="000E25BC" w:rsidP="00793366">
      <w:pPr>
        <w:pStyle w:val="CETBodytext"/>
      </w:pPr>
      <w:r w:rsidRPr="000E25BC">
        <w:t>The WWTP</w:t>
      </w:r>
      <w:r w:rsidR="007459A0">
        <w:t xml:space="preserve"> </w:t>
      </w:r>
      <w:r w:rsidRPr="000E25BC">
        <w:t xml:space="preserve">of </w:t>
      </w:r>
      <w:proofErr w:type="spellStart"/>
      <w:r w:rsidRPr="000E25BC">
        <w:t>Falconara</w:t>
      </w:r>
      <w:proofErr w:type="spellEnd"/>
      <w:r w:rsidRPr="000E25BC">
        <w:t xml:space="preserve"> Marittima (Italy) has a design treatment capacity of 80,000 PE with nominal influent flowrate of 30,000 m</w:t>
      </w:r>
      <w:r w:rsidRPr="003960F4">
        <w:rPr>
          <w:vertAlign w:val="superscript"/>
        </w:rPr>
        <w:t>3</w:t>
      </w:r>
      <w:r w:rsidRPr="000E25BC">
        <w:t>/d. After preliminary treatments</w:t>
      </w:r>
      <w:r w:rsidR="00AD5862">
        <w:t xml:space="preserve">, </w:t>
      </w:r>
      <w:r w:rsidRPr="000E25BC">
        <w:t xml:space="preserve">feeding is biologically treated in </w:t>
      </w:r>
      <w:r w:rsidR="00AD5862">
        <w:t xml:space="preserve">a demonstrative </w:t>
      </w:r>
      <w:r w:rsidRPr="000E25BC">
        <w:t>UASB</w:t>
      </w:r>
      <w:r w:rsidR="007459A0">
        <w:t xml:space="preserve"> followed by the </w:t>
      </w:r>
      <w:proofErr w:type="spellStart"/>
      <w:r w:rsidRPr="000E25BC">
        <w:t>AnMBR</w:t>
      </w:r>
      <w:proofErr w:type="spellEnd"/>
      <w:r w:rsidRPr="000E25BC">
        <w:t xml:space="preserve"> process. The UASB reactor (16 L reactor) coupled with an </w:t>
      </w:r>
      <w:r w:rsidR="00AD5862">
        <w:t>Ultrafiltration (</w:t>
      </w:r>
      <w:r w:rsidRPr="000E25BC">
        <w:t>UF</w:t>
      </w:r>
      <w:r w:rsidR="00AD5862">
        <w:t>)</w:t>
      </w:r>
      <w:r w:rsidRPr="000E25BC">
        <w:t xml:space="preserve"> hollow </w:t>
      </w:r>
      <w:r w:rsidR="00E7101E" w:rsidRPr="000E25BC">
        <w:t>fiber</w:t>
      </w:r>
      <w:r w:rsidRPr="000E25BC">
        <w:t xml:space="preserve"> membrane with 0.03 µm of nominal pore-size and 0.5 m</w:t>
      </w:r>
      <w:r w:rsidRPr="003960F4">
        <w:rPr>
          <w:vertAlign w:val="superscript"/>
        </w:rPr>
        <w:t>2</w:t>
      </w:r>
      <w:r w:rsidRPr="000E25BC">
        <w:t xml:space="preserve"> of surface area (KOCH, </w:t>
      </w:r>
      <w:proofErr w:type="spellStart"/>
      <w:r w:rsidRPr="000E25BC">
        <w:t>Puron</w:t>
      </w:r>
      <w:proofErr w:type="spellEnd"/>
      <w:r w:rsidRPr="000E25BC">
        <w:t xml:space="preserve"> single bundle) worked in submerged-</w:t>
      </w:r>
      <w:proofErr w:type="spellStart"/>
      <w:r w:rsidRPr="000E25BC">
        <w:t>sidestream</w:t>
      </w:r>
      <w:proofErr w:type="spellEnd"/>
      <w:r w:rsidR="007459A0">
        <w:t xml:space="preserve"> </w:t>
      </w:r>
      <w:proofErr w:type="spellStart"/>
      <w:r w:rsidRPr="000E25BC">
        <w:t>AnMBR</w:t>
      </w:r>
      <w:proofErr w:type="spellEnd"/>
      <w:r w:rsidRPr="000E25BC">
        <w:t xml:space="preserve"> configuration</w:t>
      </w:r>
      <w:r w:rsidR="00AD5862">
        <w:t xml:space="preserve"> for about 1 year</w:t>
      </w:r>
      <w:r w:rsidRPr="000E25BC">
        <w:t xml:space="preserve">. The quality of the raw influent is reported in Table 1. </w:t>
      </w:r>
      <w:r w:rsidR="008C3844" w:rsidRPr="008C3844">
        <w:t xml:space="preserve">All the main parameters were </w:t>
      </w:r>
      <w:r w:rsidR="00E7101E" w:rsidRPr="008C3844">
        <w:t>analyzed</w:t>
      </w:r>
      <w:r w:rsidR="008C3844" w:rsidRPr="008C3844">
        <w:t xml:space="preserve"> according to the Standard Methods (APHA, 2005). </w:t>
      </w:r>
    </w:p>
    <w:p w14:paraId="5AF6DC00" w14:textId="77777777" w:rsidR="000E25BC" w:rsidRPr="00B57B36" w:rsidRDefault="000E25BC" w:rsidP="000E25BC">
      <w:pPr>
        <w:pStyle w:val="CETTabletitle"/>
      </w:pPr>
      <w:r w:rsidRPr="00B57B36">
        <w:lastRenderedPageBreak/>
        <w:t xml:space="preserve">Table 1: </w:t>
      </w:r>
      <w:r w:rsidRPr="000E25BC">
        <w:t>Characterization of the influent to the WWTP in dry weather</w:t>
      </w:r>
    </w:p>
    <w:tbl>
      <w:tblPr>
        <w:tblW w:w="793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850"/>
        <w:gridCol w:w="1134"/>
        <w:gridCol w:w="1134"/>
        <w:gridCol w:w="1134"/>
        <w:gridCol w:w="1134"/>
        <w:gridCol w:w="1134"/>
      </w:tblGrid>
      <w:tr w:rsidR="00BC269C" w:rsidRPr="00B57B36" w14:paraId="0844F90F" w14:textId="77777777" w:rsidTr="00BC269C">
        <w:tc>
          <w:tcPr>
            <w:tcW w:w="1418" w:type="dxa"/>
            <w:tcBorders>
              <w:top w:val="single" w:sz="12" w:space="0" w:color="008000"/>
              <w:bottom w:val="single" w:sz="6" w:space="0" w:color="008000"/>
            </w:tcBorders>
            <w:shd w:val="clear" w:color="auto" w:fill="FFFFFF"/>
            <w:vAlign w:val="center"/>
          </w:tcPr>
          <w:p w14:paraId="4B62E409" w14:textId="77777777" w:rsidR="00BC269C" w:rsidRPr="000E25BC" w:rsidRDefault="00BC269C" w:rsidP="00654C0D">
            <w:pPr>
              <w:pStyle w:val="CETBodytext"/>
              <w:rPr>
                <w:lang w:val="en-GB"/>
              </w:rPr>
            </w:pPr>
            <w:r w:rsidRPr="000E25BC">
              <w:rPr>
                <w:lang w:val="en-GB"/>
              </w:rPr>
              <w:t>Qin</w:t>
            </w:r>
          </w:p>
        </w:tc>
        <w:tc>
          <w:tcPr>
            <w:tcW w:w="850" w:type="dxa"/>
            <w:tcBorders>
              <w:top w:val="single" w:sz="12" w:space="0" w:color="008000"/>
              <w:bottom w:val="single" w:sz="6" w:space="0" w:color="008000"/>
            </w:tcBorders>
            <w:shd w:val="clear" w:color="auto" w:fill="FFFFFF"/>
            <w:vAlign w:val="center"/>
          </w:tcPr>
          <w:p w14:paraId="2BD306A9" w14:textId="77777777" w:rsidR="00BC269C" w:rsidRPr="000E25BC" w:rsidRDefault="00BC269C" w:rsidP="00654C0D">
            <w:pPr>
              <w:pStyle w:val="CETBodytext"/>
              <w:rPr>
                <w:lang w:val="en-GB"/>
              </w:rPr>
            </w:pPr>
            <w:r w:rsidRPr="000E25BC">
              <w:rPr>
                <w:lang w:val="en-GB"/>
              </w:rPr>
              <w:t>pH</w:t>
            </w:r>
          </w:p>
        </w:tc>
        <w:tc>
          <w:tcPr>
            <w:tcW w:w="1134" w:type="dxa"/>
            <w:tcBorders>
              <w:top w:val="single" w:sz="12" w:space="0" w:color="008000"/>
              <w:bottom w:val="single" w:sz="6" w:space="0" w:color="008000"/>
            </w:tcBorders>
            <w:shd w:val="clear" w:color="auto" w:fill="FFFFFF"/>
            <w:vAlign w:val="center"/>
          </w:tcPr>
          <w:p w14:paraId="59B34F9E" w14:textId="77777777" w:rsidR="00BC269C" w:rsidRPr="000E25BC" w:rsidRDefault="00BC269C" w:rsidP="00654C0D">
            <w:pPr>
              <w:pStyle w:val="CETBodytext"/>
              <w:rPr>
                <w:lang w:val="en-GB"/>
              </w:rPr>
            </w:pPr>
            <w:r w:rsidRPr="000E25BC">
              <w:rPr>
                <w:lang w:val="en-GB"/>
              </w:rPr>
              <w:t>COD</w:t>
            </w:r>
          </w:p>
        </w:tc>
        <w:tc>
          <w:tcPr>
            <w:tcW w:w="1134" w:type="dxa"/>
            <w:tcBorders>
              <w:top w:val="single" w:sz="12" w:space="0" w:color="008000"/>
              <w:bottom w:val="single" w:sz="6" w:space="0" w:color="008000"/>
            </w:tcBorders>
            <w:shd w:val="clear" w:color="auto" w:fill="FFFFFF"/>
            <w:vAlign w:val="center"/>
          </w:tcPr>
          <w:p w14:paraId="4F025283" w14:textId="77777777" w:rsidR="00BC269C" w:rsidRPr="000E25BC" w:rsidRDefault="00BC269C" w:rsidP="00654C0D">
            <w:pPr>
              <w:pStyle w:val="CETBodytext"/>
              <w:rPr>
                <w:lang w:val="en-GB"/>
              </w:rPr>
            </w:pPr>
            <w:r w:rsidRPr="000E25BC">
              <w:rPr>
                <w:lang w:val="en-GB"/>
              </w:rPr>
              <w:t>TSS</w:t>
            </w:r>
          </w:p>
        </w:tc>
        <w:tc>
          <w:tcPr>
            <w:tcW w:w="1134" w:type="dxa"/>
            <w:tcBorders>
              <w:top w:val="single" w:sz="12" w:space="0" w:color="008000"/>
              <w:bottom w:val="single" w:sz="6" w:space="0" w:color="008000"/>
            </w:tcBorders>
            <w:shd w:val="clear" w:color="auto" w:fill="FFFFFF"/>
            <w:vAlign w:val="center"/>
          </w:tcPr>
          <w:p w14:paraId="27245DEF" w14:textId="77777777" w:rsidR="00BC269C" w:rsidRPr="000E25BC" w:rsidRDefault="00BC269C" w:rsidP="00654C0D">
            <w:pPr>
              <w:pStyle w:val="CETBodytext"/>
              <w:rPr>
                <w:lang w:val="en-GB"/>
              </w:rPr>
            </w:pPr>
            <w:r w:rsidRPr="000E25BC">
              <w:rPr>
                <w:lang w:val="en-GB"/>
              </w:rPr>
              <w:t>NH4-N</w:t>
            </w:r>
          </w:p>
        </w:tc>
        <w:tc>
          <w:tcPr>
            <w:tcW w:w="1134" w:type="dxa"/>
            <w:tcBorders>
              <w:top w:val="single" w:sz="12" w:space="0" w:color="008000"/>
              <w:bottom w:val="single" w:sz="6" w:space="0" w:color="008000"/>
            </w:tcBorders>
            <w:shd w:val="clear" w:color="auto" w:fill="FFFFFF"/>
            <w:vAlign w:val="center"/>
          </w:tcPr>
          <w:p w14:paraId="39345458" w14:textId="77777777" w:rsidR="00BC269C" w:rsidRPr="000E25BC" w:rsidRDefault="00BC269C" w:rsidP="00654C0D">
            <w:pPr>
              <w:pStyle w:val="CETBodytext"/>
              <w:rPr>
                <w:lang w:val="en-GB"/>
              </w:rPr>
            </w:pPr>
            <w:r w:rsidRPr="000E25BC">
              <w:rPr>
                <w:lang w:val="en-GB"/>
              </w:rPr>
              <w:t>TN</w:t>
            </w:r>
          </w:p>
        </w:tc>
        <w:tc>
          <w:tcPr>
            <w:tcW w:w="1134" w:type="dxa"/>
            <w:tcBorders>
              <w:top w:val="single" w:sz="12" w:space="0" w:color="008000"/>
              <w:bottom w:val="single" w:sz="6" w:space="0" w:color="008000"/>
            </w:tcBorders>
            <w:shd w:val="clear" w:color="auto" w:fill="FFFFFF"/>
            <w:vAlign w:val="center"/>
          </w:tcPr>
          <w:p w14:paraId="2794887D" w14:textId="77777777" w:rsidR="00BC269C" w:rsidRPr="000E25BC" w:rsidRDefault="00BC269C" w:rsidP="00654C0D">
            <w:pPr>
              <w:pStyle w:val="CETBodytext"/>
              <w:rPr>
                <w:lang w:val="en-GB"/>
              </w:rPr>
            </w:pPr>
            <w:r w:rsidRPr="000E25BC">
              <w:rPr>
                <w:lang w:val="en-GB"/>
              </w:rPr>
              <w:t>TP</w:t>
            </w:r>
          </w:p>
        </w:tc>
      </w:tr>
      <w:tr w:rsidR="00BC269C" w:rsidRPr="00B57B36" w14:paraId="2A9698C7" w14:textId="77777777" w:rsidTr="00BC269C">
        <w:tc>
          <w:tcPr>
            <w:tcW w:w="1418" w:type="dxa"/>
            <w:shd w:val="clear" w:color="auto" w:fill="FFFFFF"/>
          </w:tcPr>
          <w:p w14:paraId="5913592A" w14:textId="77777777" w:rsidR="00BC269C" w:rsidRPr="00B57B36" w:rsidRDefault="00BC269C" w:rsidP="00654C0D">
            <w:pPr>
              <w:pStyle w:val="CETBodytext"/>
              <w:rPr>
                <w:lang w:val="en-GB"/>
              </w:rPr>
            </w:pPr>
            <w:r w:rsidRPr="000E25BC">
              <w:rPr>
                <w:lang w:val="en-GB"/>
              </w:rPr>
              <w:t>m3/d</w:t>
            </w:r>
          </w:p>
        </w:tc>
        <w:tc>
          <w:tcPr>
            <w:tcW w:w="850" w:type="dxa"/>
            <w:shd w:val="clear" w:color="auto" w:fill="FFFFFF"/>
            <w:vAlign w:val="center"/>
          </w:tcPr>
          <w:p w14:paraId="56507A3F" w14:textId="77777777" w:rsidR="00BC269C" w:rsidRPr="000E25BC" w:rsidRDefault="00BC269C" w:rsidP="00654C0D">
            <w:pPr>
              <w:pStyle w:val="CETBodytext"/>
              <w:rPr>
                <w:lang w:val="en-GB"/>
              </w:rPr>
            </w:pPr>
            <w:r w:rsidRPr="000E25BC">
              <w:rPr>
                <w:lang w:val="en-GB"/>
              </w:rPr>
              <w:t>-</w:t>
            </w:r>
          </w:p>
        </w:tc>
        <w:tc>
          <w:tcPr>
            <w:tcW w:w="1134" w:type="dxa"/>
            <w:shd w:val="clear" w:color="auto" w:fill="FFFFFF"/>
            <w:vAlign w:val="center"/>
          </w:tcPr>
          <w:p w14:paraId="686EA27E" w14:textId="77777777" w:rsidR="00BC269C" w:rsidRPr="000E25BC" w:rsidRDefault="00BC269C" w:rsidP="00654C0D">
            <w:pPr>
              <w:pStyle w:val="CETBodytext"/>
              <w:rPr>
                <w:lang w:val="en-GB"/>
              </w:rPr>
            </w:pPr>
            <w:r w:rsidRPr="000E25BC">
              <w:rPr>
                <w:lang w:val="en-GB"/>
              </w:rPr>
              <w:t>mg/l</w:t>
            </w:r>
          </w:p>
        </w:tc>
        <w:tc>
          <w:tcPr>
            <w:tcW w:w="1134" w:type="dxa"/>
            <w:shd w:val="clear" w:color="auto" w:fill="FFFFFF"/>
            <w:vAlign w:val="center"/>
          </w:tcPr>
          <w:p w14:paraId="775CB348" w14:textId="77777777" w:rsidR="00BC269C" w:rsidRPr="000E25BC" w:rsidRDefault="00BC269C" w:rsidP="00654C0D">
            <w:pPr>
              <w:pStyle w:val="CETBodytext"/>
              <w:rPr>
                <w:lang w:val="en-GB"/>
              </w:rPr>
            </w:pPr>
            <w:r w:rsidRPr="000E25BC">
              <w:rPr>
                <w:lang w:val="en-GB"/>
              </w:rPr>
              <w:t>mg/l</w:t>
            </w:r>
          </w:p>
        </w:tc>
        <w:tc>
          <w:tcPr>
            <w:tcW w:w="1134" w:type="dxa"/>
            <w:shd w:val="clear" w:color="auto" w:fill="FFFFFF"/>
            <w:vAlign w:val="center"/>
          </w:tcPr>
          <w:p w14:paraId="3A56C67F" w14:textId="77777777" w:rsidR="00BC269C" w:rsidRPr="000E25BC" w:rsidRDefault="00BC269C" w:rsidP="00654C0D">
            <w:pPr>
              <w:pStyle w:val="CETBodytext"/>
              <w:rPr>
                <w:lang w:val="en-GB"/>
              </w:rPr>
            </w:pPr>
            <w:r w:rsidRPr="000E25BC">
              <w:rPr>
                <w:lang w:val="en-GB"/>
              </w:rPr>
              <w:t>mg/l</w:t>
            </w:r>
          </w:p>
        </w:tc>
        <w:tc>
          <w:tcPr>
            <w:tcW w:w="1134" w:type="dxa"/>
            <w:shd w:val="clear" w:color="auto" w:fill="FFFFFF"/>
            <w:vAlign w:val="center"/>
          </w:tcPr>
          <w:p w14:paraId="2E09BAFF" w14:textId="77777777" w:rsidR="00BC269C" w:rsidRPr="000E25BC" w:rsidRDefault="00BC269C" w:rsidP="00654C0D">
            <w:pPr>
              <w:pStyle w:val="CETBodytext"/>
              <w:rPr>
                <w:lang w:val="en-GB"/>
              </w:rPr>
            </w:pPr>
            <w:r w:rsidRPr="000E25BC">
              <w:rPr>
                <w:lang w:val="en-GB"/>
              </w:rPr>
              <w:t>mg/l</w:t>
            </w:r>
          </w:p>
        </w:tc>
        <w:tc>
          <w:tcPr>
            <w:tcW w:w="1134" w:type="dxa"/>
            <w:shd w:val="clear" w:color="auto" w:fill="FFFFFF"/>
            <w:vAlign w:val="center"/>
          </w:tcPr>
          <w:p w14:paraId="46579FB4" w14:textId="77777777" w:rsidR="00BC269C" w:rsidRPr="000E25BC" w:rsidRDefault="00BC269C" w:rsidP="00654C0D">
            <w:pPr>
              <w:pStyle w:val="CETBodytext"/>
              <w:rPr>
                <w:lang w:val="en-GB"/>
              </w:rPr>
            </w:pPr>
            <w:r w:rsidRPr="000E25BC">
              <w:rPr>
                <w:lang w:val="en-GB"/>
              </w:rPr>
              <w:t>mg/l</w:t>
            </w:r>
          </w:p>
        </w:tc>
      </w:tr>
      <w:tr w:rsidR="00BC269C" w:rsidRPr="00B57B36" w14:paraId="29C0CF90" w14:textId="77777777" w:rsidTr="00BC269C">
        <w:tc>
          <w:tcPr>
            <w:tcW w:w="1418" w:type="dxa"/>
            <w:shd w:val="clear" w:color="auto" w:fill="FFFFFF"/>
          </w:tcPr>
          <w:p w14:paraId="6E6FE2B5" w14:textId="77777777" w:rsidR="00BC269C" w:rsidRPr="000E25BC" w:rsidRDefault="00BC269C" w:rsidP="00654C0D">
            <w:pPr>
              <w:pStyle w:val="CETBodytext"/>
              <w:rPr>
                <w:lang w:val="en-GB"/>
              </w:rPr>
            </w:pPr>
            <w:r w:rsidRPr="000E25BC">
              <w:t>19,525±2,488</w:t>
            </w:r>
          </w:p>
        </w:tc>
        <w:tc>
          <w:tcPr>
            <w:tcW w:w="850" w:type="dxa"/>
            <w:shd w:val="clear" w:color="auto" w:fill="FFFFFF"/>
            <w:vAlign w:val="center"/>
          </w:tcPr>
          <w:p w14:paraId="5559207B" w14:textId="77777777" w:rsidR="00BC269C" w:rsidRPr="000E25BC" w:rsidRDefault="00BC269C" w:rsidP="00654C0D">
            <w:pPr>
              <w:pStyle w:val="CETBodytext"/>
              <w:rPr>
                <w:lang w:val="en-GB"/>
              </w:rPr>
            </w:pPr>
            <w:r w:rsidRPr="000E25BC">
              <w:t>8.1±0.2</w:t>
            </w:r>
          </w:p>
        </w:tc>
        <w:tc>
          <w:tcPr>
            <w:tcW w:w="1134" w:type="dxa"/>
            <w:shd w:val="clear" w:color="auto" w:fill="FFFFFF"/>
            <w:vAlign w:val="center"/>
          </w:tcPr>
          <w:p w14:paraId="573FE9B8" w14:textId="77777777" w:rsidR="00BC269C" w:rsidRPr="000E25BC" w:rsidRDefault="00BC269C" w:rsidP="00654C0D">
            <w:pPr>
              <w:pStyle w:val="CETBodytext"/>
              <w:rPr>
                <w:lang w:val="en-GB"/>
              </w:rPr>
            </w:pPr>
            <w:r w:rsidRPr="000E25BC">
              <w:t>373±148</w:t>
            </w:r>
          </w:p>
        </w:tc>
        <w:tc>
          <w:tcPr>
            <w:tcW w:w="1134" w:type="dxa"/>
            <w:shd w:val="clear" w:color="auto" w:fill="FFFFFF"/>
            <w:vAlign w:val="center"/>
          </w:tcPr>
          <w:p w14:paraId="49F62C48" w14:textId="77777777" w:rsidR="00BC269C" w:rsidRPr="000E25BC" w:rsidRDefault="00BC269C" w:rsidP="00654C0D">
            <w:pPr>
              <w:pStyle w:val="CETBodytext"/>
              <w:rPr>
                <w:lang w:val="en-GB"/>
              </w:rPr>
            </w:pPr>
            <w:r w:rsidRPr="000E25BC">
              <w:t>232±110</w:t>
            </w:r>
          </w:p>
        </w:tc>
        <w:tc>
          <w:tcPr>
            <w:tcW w:w="1134" w:type="dxa"/>
            <w:shd w:val="clear" w:color="auto" w:fill="FFFFFF"/>
            <w:vAlign w:val="center"/>
          </w:tcPr>
          <w:p w14:paraId="040DAA57" w14:textId="77777777" w:rsidR="00BC269C" w:rsidRPr="000E25BC" w:rsidRDefault="00BC269C" w:rsidP="00654C0D">
            <w:pPr>
              <w:pStyle w:val="CETBodytext"/>
              <w:rPr>
                <w:lang w:val="en-GB"/>
              </w:rPr>
            </w:pPr>
            <w:r w:rsidRPr="000E25BC">
              <w:t>31±6</w:t>
            </w:r>
          </w:p>
        </w:tc>
        <w:tc>
          <w:tcPr>
            <w:tcW w:w="1134" w:type="dxa"/>
            <w:shd w:val="clear" w:color="auto" w:fill="FFFFFF"/>
            <w:vAlign w:val="center"/>
          </w:tcPr>
          <w:p w14:paraId="1B4C7977" w14:textId="77777777" w:rsidR="00BC269C" w:rsidRPr="000E25BC" w:rsidRDefault="00BC269C" w:rsidP="00654C0D">
            <w:pPr>
              <w:pStyle w:val="CETBodytext"/>
              <w:rPr>
                <w:lang w:val="en-GB"/>
              </w:rPr>
            </w:pPr>
            <w:r w:rsidRPr="000E25BC">
              <w:t>38±7</w:t>
            </w:r>
          </w:p>
        </w:tc>
        <w:tc>
          <w:tcPr>
            <w:tcW w:w="1134" w:type="dxa"/>
            <w:shd w:val="clear" w:color="auto" w:fill="FFFFFF"/>
            <w:vAlign w:val="center"/>
          </w:tcPr>
          <w:p w14:paraId="5FDC8400" w14:textId="77777777" w:rsidR="00BC269C" w:rsidRPr="000E25BC" w:rsidRDefault="00BC269C" w:rsidP="00654C0D">
            <w:pPr>
              <w:pStyle w:val="CETBodytext"/>
              <w:rPr>
                <w:lang w:val="en-GB"/>
              </w:rPr>
            </w:pPr>
            <w:r w:rsidRPr="000E25BC">
              <w:t>5.1±1.5</w:t>
            </w:r>
          </w:p>
        </w:tc>
      </w:tr>
    </w:tbl>
    <w:p w14:paraId="64E79FCD" w14:textId="77777777" w:rsidR="000E25BC" w:rsidRPr="000E25BC" w:rsidRDefault="000E25BC" w:rsidP="000E25BC"/>
    <w:p w14:paraId="24EA692B" w14:textId="34C902E7" w:rsidR="00BE7923" w:rsidRDefault="00AD5862" w:rsidP="00A020B3">
      <w:r>
        <w:t>Hydraulic R</w:t>
      </w:r>
      <w:r w:rsidR="001E6B43" w:rsidRPr="000E25BC">
        <w:t xml:space="preserve">etention </w:t>
      </w:r>
      <w:r>
        <w:t>T</w:t>
      </w:r>
      <w:r w:rsidR="001E6B43" w:rsidRPr="000E25BC">
        <w:t xml:space="preserve">ime (HRT) was imposed </w:t>
      </w:r>
      <w:r w:rsidR="007459A0">
        <w:t>equal to</w:t>
      </w:r>
      <w:r w:rsidR="001E6B43" w:rsidRPr="000E25BC">
        <w:t xml:space="preserve"> 6 hours and Temperature was maintained at 30°C both for reactor and membrane tank.</w:t>
      </w:r>
      <w:r w:rsidR="007459A0">
        <w:t xml:space="preserve"> </w:t>
      </w:r>
      <w:r w:rsidR="00077E9C">
        <w:t>The up</w:t>
      </w:r>
      <w:r w:rsidR="00E7101E">
        <w:t>-</w:t>
      </w:r>
      <w:r w:rsidR="00077E9C">
        <w:t xml:space="preserve">flow velocity of the UASB reactor was maintained at 1 m/h. </w:t>
      </w:r>
      <w:r w:rsidR="002C0DB4" w:rsidRPr="006C08CF">
        <w:t xml:space="preserve">The critical flux for the </w:t>
      </w:r>
      <w:proofErr w:type="spellStart"/>
      <w:r w:rsidR="002C0DB4" w:rsidRPr="006C08CF">
        <w:t>AnMBR</w:t>
      </w:r>
      <w:proofErr w:type="spellEnd"/>
      <w:r w:rsidR="002C0DB4" w:rsidRPr="006C08CF">
        <w:t xml:space="preserve"> was studied at different solids concentrations </w:t>
      </w:r>
      <w:r w:rsidR="000E25BC" w:rsidRPr="006C08CF">
        <w:t>and</w:t>
      </w:r>
      <w:r w:rsidR="002C0DB4" w:rsidRPr="006C08CF">
        <w:t xml:space="preserve"> the effects of gas sparging on fouling rate was evaluated </w:t>
      </w:r>
      <w:r w:rsidR="00791947">
        <w:t>carrying out</w:t>
      </w:r>
      <w:r w:rsidR="002C0DB4" w:rsidRPr="006C08CF">
        <w:t xml:space="preserve"> each test, at a specific solid concentration with no gas and with gas-sparging, to investigate the positive effect of gas bubbles that shake up membrane </w:t>
      </w:r>
      <w:r w:rsidR="007459A0" w:rsidRPr="006C08CF">
        <w:t>fibres</w:t>
      </w:r>
      <w:r w:rsidR="002C0DB4" w:rsidRPr="006C08CF">
        <w:t xml:space="preserve"> and provide to clean them. </w:t>
      </w:r>
      <w:r w:rsidR="00791947">
        <w:t>Gas-sparging method used N</w:t>
      </w:r>
      <w:r w:rsidR="002C0DB4" w:rsidRPr="006C08CF">
        <w:t>itrogen gas (N</w:t>
      </w:r>
      <w:r w:rsidR="002C0DB4" w:rsidRPr="006C08CF">
        <w:rPr>
          <w:vertAlign w:val="subscript"/>
        </w:rPr>
        <w:t>2</w:t>
      </w:r>
      <w:r w:rsidR="002C0DB4" w:rsidRPr="006C08CF">
        <w:t>) by alternating 1</w:t>
      </w:r>
      <w:r w:rsidR="006C08CF">
        <w:t xml:space="preserve">0 </w:t>
      </w:r>
      <w:r w:rsidR="002C0DB4" w:rsidRPr="006C08CF">
        <w:t xml:space="preserve">seconds of gas off and </w:t>
      </w:r>
      <w:r w:rsidR="00791947">
        <w:t xml:space="preserve">10 seconds of gas </w:t>
      </w:r>
      <w:r w:rsidR="002C0DB4" w:rsidRPr="006C08CF">
        <w:t>on with a specific flowrate value of 2m</w:t>
      </w:r>
      <w:r w:rsidR="002C0DB4" w:rsidRPr="006C08CF">
        <w:rPr>
          <w:vertAlign w:val="superscript"/>
        </w:rPr>
        <w:t>3</w:t>
      </w:r>
      <w:r w:rsidR="002C0DB4" w:rsidRPr="006C08CF">
        <w:t>/m</w:t>
      </w:r>
      <w:r w:rsidR="002C0DB4" w:rsidRPr="006C08CF">
        <w:rPr>
          <w:vertAlign w:val="superscript"/>
        </w:rPr>
        <w:t>2</w:t>
      </w:r>
      <w:r w:rsidR="002C0DB4" w:rsidRPr="006C08CF">
        <w:t>/h.</w:t>
      </w:r>
      <w:r w:rsidR="007459A0">
        <w:t xml:space="preserve"> </w:t>
      </w:r>
      <w:r w:rsidR="00077E9C" w:rsidRPr="00077E9C">
        <w:t>Maximum solids concentration of about 300 mg/L for UASB effluent was identified as limiting for the critical flux (14 L/m</w:t>
      </w:r>
      <w:r w:rsidR="00077E9C" w:rsidRPr="00077E9C">
        <w:rPr>
          <w:vertAlign w:val="superscript"/>
        </w:rPr>
        <w:t>2</w:t>
      </w:r>
      <w:r w:rsidR="00077E9C" w:rsidRPr="00077E9C">
        <w:t>/h)</w:t>
      </w:r>
      <w:r w:rsidR="00077E9C">
        <w:t>, therefore</w:t>
      </w:r>
      <w:r w:rsidR="0045191B">
        <w:t xml:space="preserve"> operating</w:t>
      </w:r>
      <w:r w:rsidR="00077E9C">
        <w:t xml:space="preserve"> flux was </w:t>
      </w:r>
      <w:r w:rsidR="00791947">
        <w:t xml:space="preserve">maintained at </w:t>
      </w:r>
      <w:r w:rsidR="0045191B" w:rsidRPr="0045191B">
        <w:t>8.8±1.9 L/h/m</w:t>
      </w:r>
      <w:r w:rsidR="0045191B" w:rsidRPr="0045191B">
        <w:rPr>
          <w:vertAlign w:val="superscript"/>
        </w:rPr>
        <w:t>2</w:t>
      </w:r>
      <w:r w:rsidR="005C0660">
        <w:t xml:space="preserve"> and </w:t>
      </w:r>
      <w:r w:rsidR="00965A1E">
        <w:t xml:space="preserve">the </w:t>
      </w:r>
      <w:r w:rsidR="005C0660">
        <w:t xml:space="preserve">average </w:t>
      </w:r>
      <w:r w:rsidR="00926B21">
        <w:t>Transmembrane Pressure (</w:t>
      </w:r>
      <w:r w:rsidR="005C0660">
        <w:t>TMP</w:t>
      </w:r>
      <w:r w:rsidR="00926B21">
        <w:t>)</w:t>
      </w:r>
      <w:r w:rsidR="00BF7C42">
        <w:t xml:space="preserve"> </w:t>
      </w:r>
      <w:r w:rsidR="00965A1E">
        <w:t xml:space="preserve">was </w:t>
      </w:r>
      <w:r w:rsidR="007459A0">
        <w:t>detected equal to 4</w:t>
      </w:r>
      <w:r w:rsidR="005C0660">
        <w:t>4 mbar</w:t>
      </w:r>
      <w:r w:rsidR="00077E9C" w:rsidRPr="0045191B">
        <w:t>.</w:t>
      </w:r>
      <w:r w:rsidR="0045191B" w:rsidRPr="0045191B">
        <w:t xml:space="preserve"> Membrane cleaning was carried out using sodium hypochlorite solution (400 ppm) each 45 days to remove organic fouling and to recover the initial permeability of the membrane.</w:t>
      </w:r>
      <w:r w:rsidR="007459A0">
        <w:t xml:space="preserve"> </w:t>
      </w:r>
      <w:r w:rsidR="003A4CFC" w:rsidRPr="00A020B3">
        <w:rPr>
          <w:rStyle w:val="CETBodytextCarattere"/>
        </w:rPr>
        <w:t>Increment of influent Organic Loading Rate</w:t>
      </w:r>
      <w:r w:rsidR="002D7B05">
        <w:rPr>
          <w:rStyle w:val="CETBodytextCarattere"/>
        </w:rPr>
        <w:t xml:space="preserve"> </w:t>
      </w:r>
      <w:r w:rsidR="003A4CFC" w:rsidRPr="00A020B3">
        <w:rPr>
          <w:rStyle w:val="CETBodytextCarattere"/>
        </w:rPr>
        <w:t xml:space="preserve">(OLR) was studied from 1 to 2 </w:t>
      </w:r>
      <w:proofErr w:type="spellStart"/>
      <w:r w:rsidR="003A4CFC" w:rsidRPr="00A020B3">
        <w:rPr>
          <w:rStyle w:val="CETBodytextCarattere"/>
        </w:rPr>
        <w:t>kgCOD</w:t>
      </w:r>
      <w:proofErr w:type="spellEnd"/>
      <w:r w:rsidR="003A4CFC" w:rsidRPr="00A020B3">
        <w:rPr>
          <w:rStyle w:val="CETBodytextCarattere"/>
        </w:rPr>
        <w:t>/m</w:t>
      </w:r>
      <w:r w:rsidR="003A4CFC" w:rsidRPr="00793A19">
        <w:rPr>
          <w:rStyle w:val="CETBodytextCarattere"/>
          <w:vertAlign w:val="superscript"/>
        </w:rPr>
        <w:t>3</w:t>
      </w:r>
      <w:r w:rsidR="003A4CFC" w:rsidRPr="00A020B3">
        <w:rPr>
          <w:rStyle w:val="CETBodytextCarattere"/>
        </w:rPr>
        <w:t>/d by feeding raw wastewater (</w:t>
      </w:r>
      <w:r w:rsidR="00A52E36">
        <w:rPr>
          <w:rStyle w:val="CETBodytextCarattere"/>
        </w:rPr>
        <w:t>Period</w:t>
      </w:r>
      <w:r w:rsidR="003A4CFC" w:rsidRPr="00A020B3">
        <w:rPr>
          <w:rStyle w:val="CETBodytextCarattere"/>
        </w:rPr>
        <w:t xml:space="preserve"> 1),</w:t>
      </w:r>
      <w:r w:rsidR="007459A0">
        <w:rPr>
          <w:rStyle w:val="CETBodytextCarattere"/>
        </w:rPr>
        <w:t xml:space="preserve"> </w:t>
      </w:r>
      <w:r w:rsidR="003A4CFC" w:rsidRPr="00A020B3">
        <w:rPr>
          <w:rStyle w:val="CETBodytextCarattere"/>
        </w:rPr>
        <w:t>methanol (</w:t>
      </w:r>
      <w:r w:rsidR="00A52E36">
        <w:rPr>
          <w:rStyle w:val="CETBodytextCarattere"/>
        </w:rPr>
        <w:t>Period</w:t>
      </w:r>
      <w:r w:rsidR="003A4CFC" w:rsidRPr="00A020B3">
        <w:rPr>
          <w:rStyle w:val="CETBodytextCarattere"/>
        </w:rPr>
        <w:t xml:space="preserve"> 2) and fermented supernatant from cellulosic sludge</w:t>
      </w:r>
      <w:r w:rsidR="00BF7C42">
        <w:rPr>
          <w:rStyle w:val="CETBodytextCarattere"/>
        </w:rPr>
        <w:t xml:space="preserve"> </w:t>
      </w:r>
      <w:r w:rsidR="003A4CFC" w:rsidRPr="00A020B3">
        <w:rPr>
          <w:rStyle w:val="CETBodytextCarattere"/>
        </w:rPr>
        <w:t>(</w:t>
      </w:r>
      <w:r w:rsidR="00A52E36">
        <w:rPr>
          <w:rStyle w:val="CETBodytextCarattere"/>
        </w:rPr>
        <w:t>Period</w:t>
      </w:r>
      <w:r w:rsidR="003A4CFC" w:rsidRPr="00A020B3">
        <w:rPr>
          <w:rStyle w:val="CETBodytextCarattere"/>
        </w:rPr>
        <w:t xml:space="preserve"> 3). </w:t>
      </w:r>
      <w:r w:rsidR="008F2F29" w:rsidRPr="00A020B3">
        <w:rPr>
          <w:rStyle w:val="CETBodytextCarattere"/>
        </w:rPr>
        <w:t xml:space="preserve">The performance in terms of </w:t>
      </w:r>
      <w:proofErr w:type="spellStart"/>
      <w:r w:rsidR="00BF7C42">
        <w:rPr>
          <w:rStyle w:val="CETBodytextCarattere"/>
        </w:rPr>
        <w:t>macropollutants</w:t>
      </w:r>
      <w:proofErr w:type="spellEnd"/>
      <w:r w:rsidR="00BF7C42">
        <w:rPr>
          <w:rStyle w:val="CETBodytextCarattere"/>
        </w:rPr>
        <w:t xml:space="preserve"> and bacteria </w:t>
      </w:r>
      <w:r w:rsidR="008F2F29" w:rsidRPr="00A020B3">
        <w:rPr>
          <w:rStyle w:val="CETBodytextCarattere"/>
        </w:rPr>
        <w:t xml:space="preserve">removal </w:t>
      </w:r>
      <w:r w:rsidR="00BF7C42" w:rsidRPr="00A020B3">
        <w:rPr>
          <w:rStyle w:val="CETBodytextCarattere"/>
        </w:rPr>
        <w:t>efficienc</w:t>
      </w:r>
      <w:r w:rsidR="00BF7C42">
        <w:rPr>
          <w:rStyle w:val="CETBodytextCarattere"/>
        </w:rPr>
        <w:t xml:space="preserve">ies </w:t>
      </w:r>
      <w:r w:rsidR="00080052">
        <w:rPr>
          <w:rStyle w:val="CETBodytextCarattere"/>
        </w:rPr>
        <w:t>and</w:t>
      </w:r>
      <w:r w:rsidR="008F2F29" w:rsidRPr="00A020B3">
        <w:rPr>
          <w:rStyle w:val="CETBodytextCarattere"/>
        </w:rPr>
        <w:t xml:space="preserve"> biogas production were investigated in the different scenarios. </w:t>
      </w:r>
    </w:p>
    <w:p w14:paraId="4FD16D76" w14:textId="77777777" w:rsidR="00A846D9" w:rsidRDefault="00BF7C42" w:rsidP="009A4411">
      <w:r>
        <w:t xml:space="preserve">Other </w:t>
      </w:r>
      <w:r w:rsidR="00965A1E">
        <w:t>t</w:t>
      </w:r>
      <w:r w:rsidR="00DA4B97" w:rsidRPr="006C08CF">
        <w:t xml:space="preserve">ertiary </w:t>
      </w:r>
      <w:r w:rsidR="00DA4B97" w:rsidRPr="00B86F0C">
        <w:t>treatments using UV lamp (VIQUA D4+</w:t>
      </w:r>
      <w:r w:rsidR="00AB101A">
        <w:t xml:space="preserve"> with a volume of 2.85 L and 40 Watts of power</w:t>
      </w:r>
      <w:r w:rsidR="00DA4B97" w:rsidRPr="00B86F0C">
        <w:t xml:space="preserve">) at dose of 8-70 </w:t>
      </w:r>
      <w:proofErr w:type="spellStart"/>
      <w:r w:rsidR="00DA4B97" w:rsidRPr="00B86F0C">
        <w:t>mJ</w:t>
      </w:r>
      <w:proofErr w:type="spellEnd"/>
      <w:r w:rsidR="00DA4B97" w:rsidRPr="00B86F0C">
        <w:t>/cm</w:t>
      </w:r>
      <w:r w:rsidR="00DA4B97" w:rsidRPr="00965A1E">
        <w:rPr>
          <w:vertAlign w:val="superscript"/>
        </w:rPr>
        <w:t>2</w:t>
      </w:r>
      <w:r w:rsidR="00B86F0C" w:rsidRPr="00B86F0C">
        <w:t>and Hydrogen Peroxide (H</w:t>
      </w:r>
      <w:r w:rsidR="00B86F0C" w:rsidRPr="00965A1E">
        <w:rPr>
          <w:vertAlign w:val="subscript"/>
        </w:rPr>
        <w:t>2</w:t>
      </w:r>
      <w:r w:rsidR="00B86F0C" w:rsidRPr="00B86F0C">
        <w:t>O</w:t>
      </w:r>
      <w:r w:rsidR="00B86F0C" w:rsidRPr="00965A1E">
        <w:rPr>
          <w:vertAlign w:val="subscript"/>
        </w:rPr>
        <w:t>2</w:t>
      </w:r>
      <w:r w:rsidR="00B86F0C" w:rsidRPr="00B86F0C">
        <w:t>) at concentrations of 5, 20, 50 and 100 mg/</w:t>
      </w:r>
      <w:r w:rsidR="00965A1E">
        <w:t xml:space="preserve">L with a contact time of 30 min, </w:t>
      </w:r>
      <w:r w:rsidR="00B86F0C" w:rsidRPr="00B86F0C">
        <w:t>hav</w:t>
      </w:r>
      <w:r w:rsidR="00965A1E">
        <w:t>e been carried out to determine</w:t>
      </w:r>
      <w:r w:rsidR="00B86F0C" w:rsidRPr="00B86F0C">
        <w:t xml:space="preserve"> the </w:t>
      </w:r>
      <w:r w:rsidR="00965A1E">
        <w:t xml:space="preserve">effect on </w:t>
      </w:r>
      <w:r w:rsidR="00B86F0C" w:rsidRPr="00B86F0C">
        <w:t>E. Coli log reduction</w:t>
      </w:r>
      <w:r>
        <w:t xml:space="preserve"> on the effluent from UASB process</w:t>
      </w:r>
      <w:r w:rsidR="007459A0">
        <w:t>.</w:t>
      </w:r>
    </w:p>
    <w:p w14:paraId="306135B7" w14:textId="77777777" w:rsidR="007459A0" w:rsidRDefault="00965A1E" w:rsidP="00A846D9">
      <w:pPr>
        <w:pStyle w:val="CETBodytext"/>
        <w:rPr>
          <w:rStyle w:val="CETBodytextCarattere"/>
        </w:rPr>
      </w:pPr>
      <w:r>
        <w:t>Moreover, Active</w:t>
      </w:r>
      <w:r w:rsidR="00A846D9" w:rsidRPr="00A020B3">
        <w:t xml:space="preserve"> Granular Carbon (GAC) adsorption (contact times from 10 to 180 minutes) have been experimented to define the potential removal of the metals and of the recalcitrant organic pollutants.</w:t>
      </w:r>
      <w:r w:rsidR="00BF7C42">
        <w:t xml:space="preserve"> </w:t>
      </w:r>
      <w:r w:rsidR="00A846D9" w:rsidRPr="00A020B3">
        <w:t xml:space="preserve">GAC dosages ranged from 2 to 20 mg/L </w:t>
      </w:r>
      <w:r w:rsidR="009D37CF" w:rsidRPr="00A020B3">
        <w:fldChar w:fldCharType="begin" w:fldLock="1"/>
      </w:r>
      <w:r w:rsidR="0010314C">
        <w:instrText>ADDIN CSL_CITATION { "citationItems" : [ { "id" : "ITEM-1", "itemData" : { "DOI" : "10.1016/j.jenvman.2017.02.042", "ISBN" : "0301-4797", "ISSN" : "03014797", "PMID" : "28256364", "abstract" : "Adsorption with activated carbon is widely suggested as an option for the removal of organic micropollutants including pharmaceutically active compounds (PhACs) in wastewater. In this study adsorption with granular activated carbon (GAC) and powdered activated carbon (PAC) was analyzed and compared in parallel operation at three Swedish wastewater treatment plants with the goal to achieve a 95% PhAC removal. Initially, mapping of the prevalence of over 100 substances was performed at each plant and due to low concentrations a final 22 were selected for further evaluation. These include carbamazepine, clarithromycin and diclofenac, which currently are discussed for regulation internationally. A number of commercially available activated carbon products were initially screened using effluent wastewater. Of these, a reduced set was selected based on adsorption characteristics and cost. Experiments designed with the selected carbons in pilot-scale showed that most products could indeed remove PhACs to the target level, both on total and individual basis. In a setup using internal recirculation the PAC system achieved a 95% removal applying a fresh dose of 15\u201320 mg/L, while carbon usage rates for the GAC application were much broader and ranged from &lt;28 to 230 mg/L depending on the carbon product. The performance of the PAC products generally gave better results for individual PhACs in regards to carbon availability. All carbon products showed a specific adsorption for a specific PhAC meaning that knowledge of the target pollutants must be acquired before successful design of a treatment system. In spite of different configurations and operating conditions of the different wastewater treatment plants no considerable differences regarding pharmaceutical removal were observed.", "author" : [ { "dropping-particle" : "", "family" : "K\u00e5relid", "given" : "Victor", "non-dropping-particle" : "", "parse-names" : false, "suffix" : "" }, { "dropping-particle" : "", "family" : "Larsson", "given" : "Gen", "non-dropping-particle" : "", "parse-names" : false, "suffix" : "" }, { "dropping-particle" : "", "family" : "Bj\u00f6rlenius", "given" : "Berndt", "non-dropping-particle" : "", "parse-names" : false, "suffix" : "" } ], "container-title" : "Journal of Environmental Management", "id" : "ITEM-1", "issued" : { "date-parts" : [ [ "2017", "5" ] ] }, "page" : "491-502", "publisher" : "Academic Press", "title" : "Pilot-scale removal of pharmaceuticals in municipal wastewater: Comparison of granular and powdered activated carbon treatment at three wastewater treatment plants", "type" : "article-journal", "volume" : "193" }, "uris" : [ "http://www.mendeley.com/documents/?uuid=90401b8a-9146-37d6-948b-6d8f2ab8a80c", "http://www.mendeley.com/documents/?uuid=b4da52d1-706d-4709-b6f6-ad789c6ce29b" ] } ], "mendeley" : { "formattedCitation" : "(K\u00e5relid, Larsson, and Bj\u00f6rlenius 2017)", "plainTextFormattedCitation" : "(K\u00e5relid, Larsson, and Bj\u00f6rlenius 2017)", "previouslyFormattedCitation" : "(K\u00e5relid et al., 2017)" }, "properties" : { "noteIndex" : 0 }, "schema" : "https://github.com/citation-style-language/schema/raw/master/csl-citation.json" }</w:instrText>
      </w:r>
      <w:r w:rsidR="009D37CF" w:rsidRPr="00A020B3">
        <w:fldChar w:fldCharType="separate"/>
      </w:r>
      <w:r w:rsidR="0010314C" w:rsidRPr="0010314C">
        <w:rPr>
          <w:noProof/>
        </w:rPr>
        <w:t>(Kårelid</w:t>
      </w:r>
      <w:r w:rsidR="00793A19">
        <w:rPr>
          <w:noProof/>
        </w:rPr>
        <w:t xml:space="preserve"> et Al.,</w:t>
      </w:r>
      <w:r w:rsidR="0010314C" w:rsidRPr="0010314C">
        <w:rPr>
          <w:noProof/>
        </w:rPr>
        <w:t xml:space="preserve"> 2017)</w:t>
      </w:r>
      <w:r w:rsidR="009D37CF" w:rsidRPr="00A020B3">
        <w:fldChar w:fldCharType="end"/>
      </w:r>
      <w:r w:rsidR="00A846D9">
        <w:t xml:space="preserve">. </w:t>
      </w:r>
      <w:r w:rsidR="00A846D9" w:rsidRPr="00A020B3">
        <w:t>Three type of GAC were tested</w:t>
      </w:r>
      <w:r w:rsidR="00A846D9">
        <w:t xml:space="preserve"> and Table</w:t>
      </w:r>
      <w:r w:rsidR="00BE7923">
        <w:t xml:space="preserve"> 2 </w:t>
      </w:r>
      <w:r w:rsidR="00A846D9">
        <w:t xml:space="preserve">reported their </w:t>
      </w:r>
      <w:r w:rsidR="00080052">
        <w:t xml:space="preserve">specific </w:t>
      </w:r>
      <w:r w:rsidR="00A846D9">
        <w:t>characteristics.</w:t>
      </w:r>
      <w:r w:rsidR="00BF7C42">
        <w:t xml:space="preserve"> </w:t>
      </w:r>
      <w:r w:rsidR="00004F76" w:rsidRPr="00A020B3">
        <w:t>The tests were realized by using effluent from UASB processes both in batch and in column configurations.</w:t>
      </w:r>
      <w:r w:rsidR="00BF7C42">
        <w:t xml:space="preserve"> </w:t>
      </w:r>
      <w:r w:rsidR="008E1D99">
        <w:t>T</w:t>
      </w:r>
      <w:r w:rsidR="008E1D99" w:rsidRPr="00A020B3">
        <w:t>he adsorption capacity of the activated carbon was investigated at constant temperature of 20 °C by the adsorption isotherm.</w:t>
      </w:r>
    </w:p>
    <w:p w14:paraId="1C566BE6" w14:textId="77777777" w:rsidR="009177B5" w:rsidRPr="00B57B36" w:rsidRDefault="009177B5" w:rsidP="009177B5">
      <w:pPr>
        <w:pStyle w:val="CETTabletitle"/>
      </w:pPr>
      <w:r w:rsidRPr="00B57B36">
        <w:t xml:space="preserve">Table </w:t>
      </w:r>
      <w:r w:rsidR="00AB101A">
        <w:t>2</w:t>
      </w:r>
      <w:r w:rsidRPr="00B57B36">
        <w:t xml:space="preserve">: </w:t>
      </w:r>
      <w:r w:rsidRPr="000E25BC">
        <w:t>Character</w:t>
      </w:r>
      <w:r>
        <w:t>istics of Activated Granular Carbon</w:t>
      </w:r>
    </w:p>
    <w:tbl>
      <w:tblPr>
        <w:tblW w:w="822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09"/>
        <w:gridCol w:w="1300"/>
        <w:gridCol w:w="982"/>
        <w:gridCol w:w="1191"/>
        <w:gridCol w:w="1857"/>
        <w:gridCol w:w="1383"/>
      </w:tblGrid>
      <w:tr w:rsidR="00A846D9" w:rsidRPr="00B57B36" w14:paraId="5B625B5A" w14:textId="77777777" w:rsidTr="00A846D9">
        <w:trPr>
          <w:trHeight w:val="256"/>
        </w:trPr>
        <w:tc>
          <w:tcPr>
            <w:tcW w:w="1509" w:type="dxa"/>
            <w:tcBorders>
              <w:top w:val="single" w:sz="12" w:space="0" w:color="008000"/>
              <w:bottom w:val="single" w:sz="6" w:space="0" w:color="008000"/>
            </w:tcBorders>
            <w:shd w:val="clear" w:color="auto" w:fill="FFFFFF"/>
            <w:vAlign w:val="center"/>
          </w:tcPr>
          <w:p w14:paraId="3A7615CB" w14:textId="77777777" w:rsidR="00A846D9" w:rsidRPr="000E25BC" w:rsidRDefault="00A846D9" w:rsidP="005C3F19">
            <w:pPr>
              <w:pStyle w:val="CETBodytext"/>
              <w:rPr>
                <w:lang w:val="en-GB"/>
              </w:rPr>
            </w:pPr>
            <w:r>
              <w:rPr>
                <w:lang w:val="en-GB"/>
              </w:rPr>
              <w:t>Name</w:t>
            </w:r>
          </w:p>
        </w:tc>
        <w:tc>
          <w:tcPr>
            <w:tcW w:w="1300" w:type="dxa"/>
            <w:tcBorders>
              <w:top w:val="single" w:sz="12" w:space="0" w:color="008000"/>
              <w:bottom w:val="single" w:sz="6" w:space="0" w:color="008000"/>
            </w:tcBorders>
            <w:shd w:val="clear" w:color="auto" w:fill="FFFFFF"/>
            <w:vAlign w:val="center"/>
          </w:tcPr>
          <w:p w14:paraId="5F2EF246" w14:textId="77777777" w:rsidR="00A846D9" w:rsidRPr="000E25BC" w:rsidRDefault="00A846D9" w:rsidP="005C3F19">
            <w:pPr>
              <w:pStyle w:val="CETBodytext"/>
              <w:rPr>
                <w:lang w:val="en-GB"/>
              </w:rPr>
            </w:pPr>
            <w:r>
              <w:rPr>
                <w:lang w:val="en-GB"/>
              </w:rPr>
              <w:t xml:space="preserve">Granulometry </w:t>
            </w:r>
          </w:p>
        </w:tc>
        <w:tc>
          <w:tcPr>
            <w:tcW w:w="982" w:type="dxa"/>
            <w:tcBorders>
              <w:top w:val="single" w:sz="12" w:space="0" w:color="008000"/>
              <w:bottom w:val="single" w:sz="6" w:space="0" w:color="008000"/>
            </w:tcBorders>
            <w:shd w:val="clear" w:color="auto" w:fill="FFFFFF"/>
            <w:vAlign w:val="center"/>
          </w:tcPr>
          <w:p w14:paraId="271145FE" w14:textId="77777777" w:rsidR="00A846D9" w:rsidRPr="000E25BC" w:rsidRDefault="00A846D9" w:rsidP="005C3F19">
            <w:pPr>
              <w:pStyle w:val="CETBodytext"/>
              <w:rPr>
                <w:lang w:val="en-GB"/>
              </w:rPr>
            </w:pPr>
            <w:r>
              <w:rPr>
                <w:lang w:val="en-GB"/>
              </w:rPr>
              <w:t xml:space="preserve">Density </w:t>
            </w:r>
          </w:p>
        </w:tc>
        <w:tc>
          <w:tcPr>
            <w:tcW w:w="1191" w:type="dxa"/>
            <w:tcBorders>
              <w:top w:val="single" w:sz="12" w:space="0" w:color="008000"/>
              <w:bottom w:val="single" w:sz="6" w:space="0" w:color="008000"/>
            </w:tcBorders>
            <w:shd w:val="clear" w:color="auto" w:fill="FFFFFF"/>
            <w:vAlign w:val="center"/>
          </w:tcPr>
          <w:p w14:paraId="5CB6DD97" w14:textId="77777777" w:rsidR="00A846D9" w:rsidRPr="000E25BC" w:rsidRDefault="00A846D9" w:rsidP="005C3F19">
            <w:pPr>
              <w:pStyle w:val="CETBodytext"/>
              <w:rPr>
                <w:lang w:val="en-GB"/>
              </w:rPr>
            </w:pPr>
            <w:r>
              <w:rPr>
                <w:lang w:val="en-GB"/>
              </w:rPr>
              <w:t>Iodine Index</w:t>
            </w:r>
          </w:p>
        </w:tc>
        <w:tc>
          <w:tcPr>
            <w:tcW w:w="1857" w:type="dxa"/>
            <w:tcBorders>
              <w:top w:val="single" w:sz="12" w:space="0" w:color="008000"/>
              <w:bottom w:val="single" w:sz="6" w:space="0" w:color="008000"/>
            </w:tcBorders>
            <w:shd w:val="clear" w:color="auto" w:fill="FFFFFF"/>
            <w:vAlign w:val="center"/>
          </w:tcPr>
          <w:p w14:paraId="6E5FCC29" w14:textId="77777777" w:rsidR="00A846D9" w:rsidRPr="000E25BC" w:rsidRDefault="00A846D9" w:rsidP="005C3F19">
            <w:pPr>
              <w:pStyle w:val="CETBodytext"/>
              <w:rPr>
                <w:lang w:val="en-GB"/>
              </w:rPr>
            </w:pPr>
            <w:r w:rsidRPr="00A846D9">
              <w:rPr>
                <w:lang w:val="en-GB"/>
              </w:rPr>
              <w:t>Blue methylene index</w:t>
            </w:r>
          </w:p>
        </w:tc>
        <w:tc>
          <w:tcPr>
            <w:tcW w:w="1383" w:type="dxa"/>
            <w:tcBorders>
              <w:top w:val="single" w:sz="12" w:space="0" w:color="008000"/>
              <w:bottom w:val="single" w:sz="6" w:space="0" w:color="008000"/>
            </w:tcBorders>
            <w:shd w:val="clear" w:color="auto" w:fill="FFFFFF"/>
            <w:vAlign w:val="center"/>
          </w:tcPr>
          <w:p w14:paraId="6C2826B8" w14:textId="77777777" w:rsidR="00A846D9" w:rsidRPr="000E25BC" w:rsidRDefault="00A846D9" w:rsidP="005C3F19">
            <w:pPr>
              <w:pStyle w:val="CETBodytext"/>
              <w:rPr>
                <w:lang w:val="en-GB"/>
              </w:rPr>
            </w:pPr>
            <w:r>
              <w:rPr>
                <w:lang w:val="en-GB"/>
              </w:rPr>
              <w:t>Specific Surface</w:t>
            </w:r>
          </w:p>
        </w:tc>
      </w:tr>
      <w:tr w:rsidR="00A846D9" w:rsidRPr="00B57B36" w14:paraId="59624163" w14:textId="77777777" w:rsidTr="00A846D9">
        <w:trPr>
          <w:trHeight w:val="267"/>
        </w:trPr>
        <w:tc>
          <w:tcPr>
            <w:tcW w:w="1509" w:type="dxa"/>
            <w:shd w:val="clear" w:color="auto" w:fill="FFFFFF"/>
          </w:tcPr>
          <w:p w14:paraId="675764EF" w14:textId="77777777" w:rsidR="00A846D9" w:rsidRPr="00B57B36" w:rsidRDefault="00A846D9" w:rsidP="005C3F19">
            <w:pPr>
              <w:pStyle w:val="CETBodytext"/>
              <w:rPr>
                <w:lang w:val="en-GB"/>
              </w:rPr>
            </w:pPr>
            <w:r>
              <w:rPr>
                <w:lang w:val="en-GB"/>
              </w:rPr>
              <w:t>-</w:t>
            </w:r>
          </w:p>
        </w:tc>
        <w:tc>
          <w:tcPr>
            <w:tcW w:w="1300" w:type="dxa"/>
            <w:shd w:val="clear" w:color="auto" w:fill="FFFFFF"/>
            <w:vAlign w:val="center"/>
          </w:tcPr>
          <w:p w14:paraId="1EC80B7A" w14:textId="77777777" w:rsidR="00A846D9" w:rsidRPr="000E25BC" w:rsidRDefault="00A846D9" w:rsidP="005C3F19">
            <w:pPr>
              <w:pStyle w:val="CETBodytext"/>
              <w:rPr>
                <w:lang w:val="en-GB"/>
              </w:rPr>
            </w:pPr>
            <w:r>
              <w:rPr>
                <w:lang w:val="en-GB"/>
              </w:rPr>
              <w:t>U.S. mesh</w:t>
            </w:r>
          </w:p>
        </w:tc>
        <w:tc>
          <w:tcPr>
            <w:tcW w:w="982" w:type="dxa"/>
            <w:shd w:val="clear" w:color="auto" w:fill="FFFFFF"/>
            <w:vAlign w:val="center"/>
          </w:tcPr>
          <w:p w14:paraId="7B6D1B50" w14:textId="77777777" w:rsidR="00A846D9" w:rsidRPr="000E25BC" w:rsidRDefault="00A846D9" w:rsidP="005C3F19">
            <w:pPr>
              <w:pStyle w:val="CETBodytext"/>
              <w:rPr>
                <w:lang w:val="en-GB"/>
              </w:rPr>
            </w:pPr>
            <w:r w:rsidRPr="000E25BC">
              <w:rPr>
                <w:lang w:val="en-GB"/>
              </w:rPr>
              <w:t>g/l</w:t>
            </w:r>
          </w:p>
        </w:tc>
        <w:tc>
          <w:tcPr>
            <w:tcW w:w="1191" w:type="dxa"/>
            <w:shd w:val="clear" w:color="auto" w:fill="FFFFFF"/>
            <w:vAlign w:val="center"/>
          </w:tcPr>
          <w:p w14:paraId="23BDBDA8" w14:textId="77777777" w:rsidR="00A846D9" w:rsidRPr="000E25BC" w:rsidRDefault="00A846D9" w:rsidP="005C3F19">
            <w:pPr>
              <w:pStyle w:val="CETBodytext"/>
              <w:rPr>
                <w:lang w:val="en-GB"/>
              </w:rPr>
            </w:pPr>
            <w:r w:rsidRPr="000E25BC">
              <w:rPr>
                <w:lang w:val="en-GB"/>
              </w:rPr>
              <w:t>mg/</w:t>
            </w:r>
            <w:r>
              <w:rPr>
                <w:lang w:val="en-GB"/>
              </w:rPr>
              <w:t>g</w:t>
            </w:r>
          </w:p>
        </w:tc>
        <w:tc>
          <w:tcPr>
            <w:tcW w:w="1857" w:type="dxa"/>
            <w:shd w:val="clear" w:color="auto" w:fill="FFFFFF"/>
            <w:vAlign w:val="center"/>
          </w:tcPr>
          <w:p w14:paraId="41219798" w14:textId="77777777" w:rsidR="00A846D9" w:rsidRPr="000E25BC" w:rsidRDefault="00A846D9" w:rsidP="005C3F19">
            <w:pPr>
              <w:pStyle w:val="CETBodytext"/>
              <w:rPr>
                <w:lang w:val="en-GB"/>
              </w:rPr>
            </w:pPr>
            <w:r w:rsidRPr="000E25BC">
              <w:rPr>
                <w:lang w:val="en-GB"/>
              </w:rPr>
              <w:t>m</w:t>
            </w:r>
            <w:r>
              <w:rPr>
                <w:lang w:val="en-GB"/>
              </w:rPr>
              <w:t>L</w:t>
            </w:r>
            <w:r w:rsidRPr="000E25BC">
              <w:rPr>
                <w:lang w:val="en-GB"/>
              </w:rPr>
              <w:t>/</w:t>
            </w:r>
            <w:r>
              <w:rPr>
                <w:lang w:val="en-GB"/>
              </w:rPr>
              <w:t>g</w:t>
            </w:r>
          </w:p>
        </w:tc>
        <w:tc>
          <w:tcPr>
            <w:tcW w:w="1383" w:type="dxa"/>
            <w:shd w:val="clear" w:color="auto" w:fill="FFFFFF"/>
            <w:vAlign w:val="center"/>
          </w:tcPr>
          <w:p w14:paraId="40C17996" w14:textId="77777777" w:rsidR="00A846D9" w:rsidRPr="000E25BC" w:rsidRDefault="00A846D9" w:rsidP="005C3F19">
            <w:pPr>
              <w:pStyle w:val="CETBodytext"/>
              <w:rPr>
                <w:lang w:val="en-GB"/>
              </w:rPr>
            </w:pPr>
            <w:r>
              <w:rPr>
                <w:lang w:val="en-GB"/>
              </w:rPr>
              <w:t>m</w:t>
            </w:r>
            <w:r w:rsidRPr="00A846D9">
              <w:rPr>
                <w:vertAlign w:val="superscript"/>
                <w:lang w:val="en-GB"/>
              </w:rPr>
              <w:t>2</w:t>
            </w:r>
            <w:r w:rsidRPr="000E25BC">
              <w:rPr>
                <w:lang w:val="en-GB"/>
              </w:rPr>
              <w:t>/</w:t>
            </w:r>
            <w:r>
              <w:rPr>
                <w:lang w:val="en-GB"/>
              </w:rPr>
              <w:t>g</w:t>
            </w:r>
          </w:p>
        </w:tc>
      </w:tr>
      <w:tr w:rsidR="00A846D9" w:rsidRPr="00B57B36" w14:paraId="24EA3C6C" w14:textId="77777777" w:rsidTr="00A846D9">
        <w:trPr>
          <w:trHeight w:val="267"/>
        </w:trPr>
        <w:tc>
          <w:tcPr>
            <w:tcW w:w="1509" w:type="dxa"/>
            <w:shd w:val="clear" w:color="auto" w:fill="FFFFFF"/>
          </w:tcPr>
          <w:p w14:paraId="29736143" w14:textId="77777777" w:rsidR="00A846D9" w:rsidRDefault="00A846D9" w:rsidP="005C3F19">
            <w:pPr>
              <w:pStyle w:val="CETBodytext"/>
              <w:rPr>
                <w:lang w:val="en-GB"/>
              </w:rPr>
            </w:pPr>
            <w:r>
              <w:rPr>
                <w:lang w:val="en-GB"/>
              </w:rPr>
              <w:t>ST100</w:t>
            </w:r>
          </w:p>
        </w:tc>
        <w:tc>
          <w:tcPr>
            <w:tcW w:w="1300" w:type="dxa"/>
            <w:shd w:val="clear" w:color="auto" w:fill="FFFFFF"/>
            <w:vAlign w:val="center"/>
          </w:tcPr>
          <w:p w14:paraId="4A670934" w14:textId="77777777" w:rsidR="00A846D9" w:rsidRDefault="00A846D9" w:rsidP="005C3F19">
            <w:pPr>
              <w:pStyle w:val="CETBodytext"/>
              <w:rPr>
                <w:lang w:val="en-GB"/>
              </w:rPr>
            </w:pPr>
            <w:r>
              <w:rPr>
                <w:lang w:val="en-GB"/>
              </w:rPr>
              <w:t>8x30</w:t>
            </w:r>
          </w:p>
        </w:tc>
        <w:tc>
          <w:tcPr>
            <w:tcW w:w="982" w:type="dxa"/>
            <w:shd w:val="clear" w:color="auto" w:fill="FFFFFF"/>
            <w:vAlign w:val="center"/>
          </w:tcPr>
          <w:p w14:paraId="6DD8DCC4" w14:textId="77777777" w:rsidR="00A846D9" w:rsidRPr="000E25BC" w:rsidRDefault="00A846D9" w:rsidP="005C3F19">
            <w:pPr>
              <w:pStyle w:val="CETBodytext"/>
              <w:rPr>
                <w:lang w:val="en-GB"/>
              </w:rPr>
            </w:pPr>
            <w:r>
              <w:t>520</w:t>
            </w:r>
            <w:r w:rsidRPr="000E25BC">
              <w:t>±</w:t>
            </w:r>
            <w:r>
              <w:t>20</w:t>
            </w:r>
          </w:p>
        </w:tc>
        <w:tc>
          <w:tcPr>
            <w:tcW w:w="1191" w:type="dxa"/>
            <w:shd w:val="clear" w:color="auto" w:fill="FFFFFF"/>
            <w:vAlign w:val="center"/>
          </w:tcPr>
          <w:p w14:paraId="339A32FB" w14:textId="77777777" w:rsidR="00A846D9" w:rsidRPr="000E25BC" w:rsidRDefault="00A846D9" w:rsidP="005C3F19">
            <w:pPr>
              <w:pStyle w:val="CETBodytext"/>
              <w:rPr>
                <w:lang w:val="en-GB"/>
              </w:rPr>
            </w:pPr>
            <w:r>
              <w:rPr>
                <w:lang w:val="en-GB"/>
              </w:rPr>
              <w:t>&gt;750</w:t>
            </w:r>
          </w:p>
        </w:tc>
        <w:tc>
          <w:tcPr>
            <w:tcW w:w="1857" w:type="dxa"/>
            <w:shd w:val="clear" w:color="auto" w:fill="FFFFFF"/>
            <w:vAlign w:val="center"/>
          </w:tcPr>
          <w:p w14:paraId="3DA290B0" w14:textId="77777777" w:rsidR="00A846D9" w:rsidRPr="000E25BC" w:rsidRDefault="00A846D9" w:rsidP="005C3F19">
            <w:pPr>
              <w:pStyle w:val="CETBodytext"/>
              <w:rPr>
                <w:lang w:val="en-GB"/>
              </w:rPr>
            </w:pPr>
            <w:r>
              <w:rPr>
                <w:lang w:val="en-GB"/>
              </w:rPr>
              <w:t>&gt;150</w:t>
            </w:r>
          </w:p>
        </w:tc>
        <w:tc>
          <w:tcPr>
            <w:tcW w:w="1383" w:type="dxa"/>
            <w:shd w:val="clear" w:color="auto" w:fill="FFFFFF"/>
            <w:vAlign w:val="center"/>
          </w:tcPr>
          <w:p w14:paraId="2095910C" w14:textId="77777777" w:rsidR="00A846D9" w:rsidRPr="000E25BC" w:rsidRDefault="00A846D9" w:rsidP="005C3F19">
            <w:pPr>
              <w:pStyle w:val="CETBodytext"/>
              <w:rPr>
                <w:lang w:val="en-GB"/>
              </w:rPr>
            </w:pPr>
            <w:r>
              <w:rPr>
                <w:lang w:val="en-GB"/>
              </w:rPr>
              <w:t>&gt;800</w:t>
            </w:r>
          </w:p>
        </w:tc>
      </w:tr>
      <w:tr w:rsidR="00A846D9" w:rsidRPr="00B57B36" w14:paraId="52BE24B5" w14:textId="77777777" w:rsidTr="00A846D9">
        <w:trPr>
          <w:trHeight w:val="267"/>
        </w:trPr>
        <w:tc>
          <w:tcPr>
            <w:tcW w:w="1509" w:type="dxa"/>
            <w:shd w:val="clear" w:color="auto" w:fill="FFFFFF"/>
          </w:tcPr>
          <w:p w14:paraId="491CC484" w14:textId="77777777" w:rsidR="00A846D9" w:rsidRDefault="00A846D9" w:rsidP="00A846D9">
            <w:pPr>
              <w:pStyle w:val="CETBodytext"/>
              <w:rPr>
                <w:lang w:val="en-GB"/>
              </w:rPr>
            </w:pPr>
            <w:r>
              <w:rPr>
                <w:lang w:val="en-GB"/>
              </w:rPr>
              <w:t>ST300</w:t>
            </w:r>
          </w:p>
        </w:tc>
        <w:tc>
          <w:tcPr>
            <w:tcW w:w="1300" w:type="dxa"/>
            <w:shd w:val="clear" w:color="auto" w:fill="FFFFFF"/>
            <w:vAlign w:val="center"/>
          </w:tcPr>
          <w:p w14:paraId="6FABC827" w14:textId="77777777" w:rsidR="00A846D9" w:rsidRDefault="00A846D9" w:rsidP="00A846D9">
            <w:pPr>
              <w:pStyle w:val="CETBodytext"/>
              <w:rPr>
                <w:lang w:val="en-GB"/>
              </w:rPr>
            </w:pPr>
            <w:r>
              <w:rPr>
                <w:lang w:val="en-GB"/>
              </w:rPr>
              <w:t>8x30</w:t>
            </w:r>
          </w:p>
        </w:tc>
        <w:tc>
          <w:tcPr>
            <w:tcW w:w="982" w:type="dxa"/>
            <w:shd w:val="clear" w:color="auto" w:fill="FFFFFF"/>
            <w:vAlign w:val="center"/>
          </w:tcPr>
          <w:p w14:paraId="2C2A75F5" w14:textId="77777777" w:rsidR="00A846D9" w:rsidRPr="000E25BC" w:rsidRDefault="00A846D9" w:rsidP="00A846D9">
            <w:pPr>
              <w:pStyle w:val="CETBodytext"/>
              <w:rPr>
                <w:lang w:val="en-GB"/>
              </w:rPr>
            </w:pPr>
            <w:r>
              <w:t>500</w:t>
            </w:r>
            <w:r w:rsidRPr="000E25BC">
              <w:t>±</w:t>
            </w:r>
            <w:r>
              <w:t>20</w:t>
            </w:r>
          </w:p>
        </w:tc>
        <w:tc>
          <w:tcPr>
            <w:tcW w:w="1191" w:type="dxa"/>
            <w:shd w:val="clear" w:color="auto" w:fill="FFFFFF"/>
            <w:vAlign w:val="center"/>
          </w:tcPr>
          <w:p w14:paraId="73FC0028" w14:textId="77777777" w:rsidR="00A846D9" w:rsidRPr="000E25BC" w:rsidRDefault="00A846D9" w:rsidP="00A846D9">
            <w:pPr>
              <w:pStyle w:val="CETBodytext"/>
              <w:rPr>
                <w:lang w:val="en-GB"/>
              </w:rPr>
            </w:pPr>
            <w:r>
              <w:rPr>
                <w:lang w:val="en-GB"/>
              </w:rPr>
              <w:t>&gt;950</w:t>
            </w:r>
          </w:p>
        </w:tc>
        <w:tc>
          <w:tcPr>
            <w:tcW w:w="1857" w:type="dxa"/>
            <w:shd w:val="clear" w:color="auto" w:fill="FFFFFF"/>
            <w:vAlign w:val="center"/>
          </w:tcPr>
          <w:p w14:paraId="259EFBAA" w14:textId="77777777" w:rsidR="00A846D9" w:rsidRPr="000E25BC" w:rsidRDefault="00A846D9" w:rsidP="00A846D9">
            <w:pPr>
              <w:pStyle w:val="CETBodytext"/>
              <w:rPr>
                <w:lang w:val="en-GB"/>
              </w:rPr>
            </w:pPr>
            <w:r>
              <w:rPr>
                <w:lang w:val="en-GB"/>
              </w:rPr>
              <w:t>&gt;180</w:t>
            </w:r>
          </w:p>
        </w:tc>
        <w:tc>
          <w:tcPr>
            <w:tcW w:w="1383" w:type="dxa"/>
            <w:shd w:val="clear" w:color="auto" w:fill="FFFFFF"/>
            <w:vAlign w:val="center"/>
          </w:tcPr>
          <w:p w14:paraId="5F29696B" w14:textId="77777777" w:rsidR="00A846D9" w:rsidRPr="000E25BC" w:rsidRDefault="00A846D9" w:rsidP="00A846D9">
            <w:pPr>
              <w:pStyle w:val="CETBodytext"/>
              <w:rPr>
                <w:lang w:val="en-GB"/>
              </w:rPr>
            </w:pPr>
            <w:r>
              <w:rPr>
                <w:lang w:val="en-GB"/>
              </w:rPr>
              <w:t>&gt;950</w:t>
            </w:r>
          </w:p>
        </w:tc>
      </w:tr>
      <w:tr w:rsidR="00A846D9" w:rsidRPr="00B57B36" w14:paraId="419A6294" w14:textId="77777777" w:rsidTr="00A846D9">
        <w:trPr>
          <w:trHeight w:val="256"/>
        </w:trPr>
        <w:tc>
          <w:tcPr>
            <w:tcW w:w="1509" w:type="dxa"/>
            <w:shd w:val="clear" w:color="auto" w:fill="FFFFFF"/>
          </w:tcPr>
          <w:p w14:paraId="639310BD" w14:textId="77777777" w:rsidR="00A846D9" w:rsidRDefault="00A846D9" w:rsidP="00A846D9">
            <w:pPr>
              <w:pStyle w:val="CETBodytext"/>
              <w:rPr>
                <w:lang w:val="en-GB"/>
              </w:rPr>
            </w:pPr>
            <w:r>
              <w:rPr>
                <w:lang w:val="en-GB"/>
              </w:rPr>
              <w:t>STW400</w:t>
            </w:r>
          </w:p>
        </w:tc>
        <w:tc>
          <w:tcPr>
            <w:tcW w:w="1300" w:type="dxa"/>
            <w:shd w:val="clear" w:color="auto" w:fill="FFFFFF"/>
            <w:vAlign w:val="center"/>
          </w:tcPr>
          <w:p w14:paraId="1BF60C76" w14:textId="77777777" w:rsidR="00A846D9" w:rsidRDefault="00A846D9" w:rsidP="00A846D9">
            <w:pPr>
              <w:pStyle w:val="CETBodytext"/>
              <w:rPr>
                <w:lang w:val="en-GB"/>
              </w:rPr>
            </w:pPr>
            <w:r>
              <w:rPr>
                <w:lang w:val="en-GB"/>
              </w:rPr>
              <w:t>8x30</w:t>
            </w:r>
          </w:p>
        </w:tc>
        <w:tc>
          <w:tcPr>
            <w:tcW w:w="982" w:type="dxa"/>
            <w:shd w:val="clear" w:color="auto" w:fill="FFFFFF"/>
            <w:vAlign w:val="center"/>
          </w:tcPr>
          <w:p w14:paraId="4948D0A0" w14:textId="77777777" w:rsidR="00A846D9" w:rsidRPr="000E25BC" w:rsidRDefault="00A846D9" w:rsidP="00A846D9">
            <w:pPr>
              <w:pStyle w:val="CETBodytext"/>
              <w:rPr>
                <w:lang w:val="en-GB"/>
              </w:rPr>
            </w:pPr>
            <w:r>
              <w:t>500</w:t>
            </w:r>
            <w:r w:rsidRPr="000E25BC">
              <w:t>±</w:t>
            </w:r>
            <w:r>
              <w:t>20</w:t>
            </w:r>
          </w:p>
        </w:tc>
        <w:tc>
          <w:tcPr>
            <w:tcW w:w="1191" w:type="dxa"/>
            <w:shd w:val="clear" w:color="auto" w:fill="FFFFFF"/>
            <w:vAlign w:val="center"/>
          </w:tcPr>
          <w:p w14:paraId="09786817" w14:textId="77777777" w:rsidR="00A846D9" w:rsidRPr="000E25BC" w:rsidRDefault="00A846D9" w:rsidP="00A846D9">
            <w:pPr>
              <w:pStyle w:val="CETBodytext"/>
              <w:rPr>
                <w:lang w:val="en-GB"/>
              </w:rPr>
            </w:pPr>
            <w:r>
              <w:rPr>
                <w:lang w:val="en-GB"/>
              </w:rPr>
              <w:t>&gt;1000</w:t>
            </w:r>
          </w:p>
        </w:tc>
        <w:tc>
          <w:tcPr>
            <w:tcW w:w="1857" w:type="dxa"/>
            <w:shd w:val="clear" w:color="auto" w:fill="FFFFFF"/>
            <w:vAlign w:val="center"/>
          </w:tcPr>
          <w:p w14:paraId="6B3DE549" w14:textId="77777777" w:rsidR="00A846D9" w:rsidRPr="000E25BC" w:rsidRDefault="00A846D9" w:rsidP="00A846D9">
            <w:pPr>
              <w:pStyle w:val="CETBodytext"/>
              <w:rPr>
                <w:lang w:val="en-GB"/>
              </w:rPr>
            </w:pPr>
            <w:r>
              <w:rPr>
                <w:lang w:val="en-GB"/>
              </w:rPr>
              <w:t>&gt;190</w:t>
            </w:r>
          </w:p>
        </w:tc>
        <w:tc>
          <w:tcPr>
            <w:tcW w:w="1383" w:type="dxa"/>
            <w:shd w:val="clear" w:color="auto" w:fill="FFFFFF"/>
            <w:vAlign w:val="center"/>
          </w:tcPr>
          <w:p w14:paraId="409224CB" w14:textId="77777777" w:rsidR="00A846D9" w:rsidRPr="000E25BC" w:rsidRDefault="00A846D9" w:rsidP="00A846D9">
            <w:pPr>
              <w:pStyle w:val="CETBodytext"/>
              <w:rPr>
                <w:lang w:val="en-GB"/>
              </w:rPr>
            </w:pPr>
            <w:r>
              <w:rPr>
                <w:lang w:val="en-GB"/>
              </w:rPr>
              <w:t>&gt;1000</w:t>
            </w:r>
          </w:p>
        </w:tc>
      </w:tr>
    </w:tbl>
    <w:p w14:paraId="5AC491A5" w14:textId="77777777" w:rsidR="009177B5" w:rsidRDefault="009177B5" w:rsidP="009177B5"/>
    <w:p w14:paraId="42144487" w14:textId="77777777" w:rsidR="007459A0" w:rsidRDefault="007459A0" w:rsidP="009A4411">
      <w:r>
        <w:t xml:space="preserve">Finally, </w:t>
      </w:r>
      <w:r w:rsidR="007D7302" w:rsidRPr="00E60A4E">
        <w:t xml:space="preserve">Ozone and </w:t>
      </w:r>
      <w:proofErr w:type="spellStart"/>
      <w:r w:rsidR="007D7302" w:rsidRPr="00E60A4E">
        <w:t>NaOCl</w:t>
      </w:r>
      <w:proofErr w:type="spellEnd"/>
      <w:r w:rsidR="00252583" w:rsidRPr="00E60A4E">
        <w:t xml:space="preserve"> dosages and their effect on MPs were </w:t>
      </w:r>
      <w:r>
        <w:t xml:space="preserve">studied </w:t>
      </w:r>
      <w:r w:rsidR="00252583" w:rsidRPr="00E60A4E">
        <w:t>in batch tests</w:t>
      </w:r>
      <w:r w:rsidR="00C84288" w:rsidRPr="00E60A4E">
        <w:t>.</w:t>
      </w:r>
      <w:r w:rsidR="00BE7923">
        <w:t xml:space="preserve"> </w:t>
      </w:r>
      <w:r w:rsidR="00C84288" w:rsidRPr="00E60A4E">
        <w:rPr>
          <w:rStyle w:val="CETBodytextCarattere"/>
        </w:rPr>
        <w:t xml:space="preserve">Microplastics were characterized before and after the treatments by </w:t>
      </w:r>
      <w:proofErr w:type="spellStart"/>
      <w:r w:rsidR="00C84288" w:rsidRPr="00E60A4E">
        <w:rPr>
          <w:rStyle w:val="CETBodytextCarattere"/>
        </w:rPr>
        <w:t>μFT</w:t>
      </w:r>
      <w:proofErr w:type="spellEnd"/>
      <w:r w:rsidR="00C84288" w:rsidRPr="00E60A4E">
        <w:rPr>
          <w:rStyle w:val="CETBodytextCarattere"/>
        </w:rPr>
        <w:t>-IR technology</w:t>
      </w:r>
      <w:r w:rsidR="00C84288" w:rsidRPr="00AB101A">
        <w:rPr>
          <w:rStyle w:val="CETBodytextCarattere"/>
        </w:rPr>
        <w:t xml:space="preserve">. </w:t>
      </w:r>
      <w:r w:rsidRPr="00E60A4E">
        <w:t>Ozone dosages were 50, 200, 400, 500 and 1000 mgO</w:t>
      </w:r>
      <w:r w:rsidRPr="00E60A4E">
        <w:rPr>
          <w:vertAlign w:val="subscript"/>
        </w:rPr>
        <w:t>3</w:t>
      </w:r>
      <w:r w:rsidRPr="00E60A4E">
        <w:t xml:space="preserve">/L and </w:t>
      </w:r>
      <w:proofErr w:type="spellStart"/>
      <w:r w:rsidRPr="00E60A4E">
        <w:t>NaOCl</w:t>
      </w:r>
      <w:proofErr w:type="spellEnd"/>
      <w:r w:rsidRPr="00E60A4E">
        <w:t xml:space="preserve"> (at 14% w/v) dosages were from 40 to 114 </w:t>
      </w:r>
      <w:proofErr w:type="spellStart"/>
      <w:r w:rsidRPr="00E60A4E">
        <w:t>mlNaOCl</w:t>
      </w:r>
      <w:proofErr w:type="spellEnd"/>
      <w:r w:rsidRPr="00E60A4E">
        <w:t>/m</w:t>
      </w:r>
      <w:r w:rsidRPr="00E60A4E">
        <w:rPr>
          <w:vertAlign w:val="superscript"/>
        </w:rPr>
        <w:t>3</w:t>
      </w:r>
      <w:r w:rsidRPr="00AB101A">
        <w:t>.</w:t>
      </w:r>
      <w:r>
        <w:t xml:space="preserve"> </w:t>
      </w:r>
      <w:r w:rsidRPr="00A020B3">
        <w:rPr>
          <w:rStyle w:val="CETBodytextCarattere"/>
        </w:rPr>
        <w:t xml:space="preserve">Microplastics were quantified in the liquid fraction collected at different points of the system, and characterized according to shape, size and polymer typology by microscopy and </w:t>
      </w:r>
      <w:proofErr w:type="spellStart"/>
      <w:r w:rsidRPr="00A020B3">
        <w:rPr>
          <w:rStyle w:val="CETBodytextCarattere"/>
        </w:rPr>
        <w:t>μFT</w:t>
      </w:r>
      <w:proofErr w:type="spellEnd"/>
      <w:r w:rsidRPr="00A020B3">
        <w:rPr>
          <w:rStyle w:val="CETBodytextCarattere"/>
        </w:rPr>
        <w:t>-IR technology</w:t>
      </w:r>
      <w:r w:rsidRPr="006C08CF">
        <w:t>.</w:t>
      </w:r>
    </w:p>
    <w:p w14:paraId="1E95C3DD" w14:textId="77777777" w:rsidR="00AD064A" w:rsidRPr="009A4411" w:rsidRDefault="002C0DB4" w:rsidP="009A4411">
      <w:pPr>
        <w:pStyle w:val="CETHeading1"/>
        <w:tabs>
          <w:tab w:val="num" w:pos="360"/>
        </w:tabs>
        <w:rPr>
          <w:lang w:val="en-GB"/>
        </w:rPr>
      </w:pPr>
      <w:r w:rsidRPr="001E6B43">
        <w:rPr>
          <w:lang w:val="en-GB"/>
        </w:rPr>
        <w:t>Results and discussio</w:t>
      </w:r>
      <w:r w:rsidR="00AD064A">
        <w:rPr>
          <w:lang w:val="en-GB"/>
        </w:rPr>
        <w:t>n</w:t>
      </w:r>
    </w:p>
    <w:p w14:paraId="7287C06F" w14:textId="77777777" w:rsidR="002C0DB4" w:rsidRPr="001E6B43" w:rsidRDefault="002C0DB4" w:rsidP="001E6B43">
      <w:pPr>
        <w:pStyle w:val="CETheadingx"/>
        <w:numPr>
          <w:ilvl w:val="0"/>
          <w:numId w:val="0"/>
        </w:numPr>
      </w:pPr>
      <w:r w:rsidRPr="001E6B43">
        <w:t>3.1 Performances of UASB</w:t>
      </w:r>
      <w:r w:rsidR="00646BBC">
        <w:t xml:space="preserve"> </w:t>
      </w:r>
    </w:p>
    <w:p w14:paraId="5CEE69A5" w14:textId="77777777" w:rsidR="003F6031" w:rsidRDefault="002C0DB4" w:rsidP="00793366">
      <w:pPr>
        <w:pStyle w:val="CETBodytext"/>
      </w:pPr>
      <w:r w:rsidRPr="003A4CFC">
        <w:t xml:space="preserve">During </w:t>
      </w:r>
      <w:r w:rsidR="00A52E36">
        <w:t>Period</w:t>
      </w:r>
      <w:r w:rsidRPr="003A4CFC">
        <w:t xml:space="preserve"> 1 the biogas production was assessed equal to 0.</w:t>
      </w:r>
      <w:r w:rsidR="00BD1823">
        <w:t>4</w:t>
      </w:r>
      <w:r w:rsidRPr="003A4CFC">
        <w:t xml:space="preserve">±0.17 L/d. Regards </w:t>
      </w:r>
      <w:r w:rsidR="00A52E36">
        <w:t>Period</w:t>
      </w:r>
      <w:r w:rsidR="00BD1823">
        <w:t>s</w:t>
      </w:r>
      <w:r w:rsidRPr="003A4CFC">
        <w:t xml:space="preserve"> 2</w:t>
      </w:r>
      <w:r w:rsidR="00BD1823">
        <w:t xml:space="preserve"> and 3</w:t>
      </w:r>
      <w:r w:rsidRPr="003A4CFC">
        <w:t xml:space="preserve">, the increase of soluble organic content has significantly affected the amount of </w:t>
      </w:r>
      <w:r w:rsidR="003F6031">
        <w:t xml:space="preserve">biogas </w:t>
      </w:r>
      <w:r w:rsidRPr="003A4CFC">
        <w:t>production, reaching an average value 10 times higher than the previous period (</w:t>
      </w:r>
      <w:r w:rsidR="003A4CFC">
        <w:t>3</w:t>
      </w:r>
      <w:r w:rsidRPr="003A4CFC">
        <w:t>±</w:t>
      </w:r>
      <w:r w:rsidR="003A4CFC">
        <w:t>1.1</w:t>
      </w:r>
      <w:r w:rsidRPr="003A4CFC">
        <w:t xml:space="preserve"> L/d</w:t>
      </w:r>
      <w:r w:rsidR="00BD1823">
        <w:t xml:space="preserve"> in </w:t>
      </w:r>
      <w:r w:rsidR="00A52E36">
        <w:t>period</w:t>
      </w:r>
      <w:r w:rsidR="00BD1823">
        <w:t xml:space="preserve"> 2 and 4.11+3.2</w:t>
      </w:r>
      <w:r w:rsidR="00BD1823" w:rsidRPr="003A4CFC">
        <w:t xml:space="preserve"> L/d</w:t>
      </w:r>
      <w:r w:rsidR="00BD1823">
        <w:t xml:space="preserve"> in </w:t>
      </w:r>
      <w:r w:rsidR="00A52E36">
        <w:t>period</w:t>
      </w:r>
      <w:r w:rsidR="00BD1823">
        <w:t xml:space="preserve"> 3). </w:t>
      </w:r>
      <w:r w:rsidRPr="003A4CFC">
        <w:t xml:space="preserve">Biogas samples were </w:t>
      </w:r>
      <w:proofErr w:type="gramStart"/>
      <w:r w:rsidR="005B37A9" w:rsidRPr="003A4CFC">
        <w:t>collected</w:t>
      </w:r>
      <w:proofErr w:type="gramEnd"/>
      <w:r w:rsidRPr="003A4CFC">
        <w:t xml:space="preserve"> and methane content was analyzed with gas chromatography technique. </w:t>
      </w:r>
      <w:r w:rsidR="003F6031">
        <w:t xml:space="preserve">The </w:t>
      </w:r>
      <w:r w:rsidRPr="003A4CFC">
        <w:t>CH</w:t>
      </w:r>
      <w:r w:rsidRPr="008659FE">
        <w:rPr>
          <w:vertAlign w:val="subscript"/>
        </w:rPr>
        <w:t>4</w:t>
      </w:r>
      <w:r w:rsidRPr="003A4CFC">
        <w:t xml:space="preserve"> amount was quite constant over </w:t>
      </w:r>
      <w:r w:rsidR="003F6031">
        <w:t xml:space="preserve">the </w:t>
      </w:r>
      <w:r w:rsidR="00BD1823">
        <w:t>three</w:t>
      </w:r>
      <w:r w:rsidRPr="003A4CFC">
        <w:t xml:space="preserve"> OLR </w:t>
      </w:r>
      <w:r w:rsidR="00A52E36">
        <w:t>period</w:t>
      </w:r>
      <w:r w:rsidRPr="003A4CFC">
        <w:t>s with percentage</w:t>
      </w:r>
      <w:r w:rsidR="003F6031">
        <w:t>s</w:t>
      </w:r>
      <w:r w:rsidRPr="003A4CFC">
        <w:t xml:space="preserve"> </w:t>
      </w:r>
      <w:r w:rsidR="00BD1823">
        <w:t>from 30 to 40</w:t>
      </w:r>
      <w:r w:rsidRPr="003A4CFC">
        <w:t>%</w:t>
      </w:r>
      <w:r w:rsidR="003F6031">
        <w:t xml:space="preserve"> up to 50%</w:t>
      </w:r>
      <w:r w:rsidRPr="003A4CFC">
        <w:t>.</w:t>
      </w:r>
      <w:r w:rsidR="00E21B85">
        <w:t xml:space="preserve"> Specific Gas Production are in the</w:t>
      </w:r>
      <w:r w:rsidR="005B37A9">
        <w:t xml:space="preserve"> same</w:t>
      </w:r>
      <w:r w:rsidR="00E21B85">
        <w:t xml:space="preserve"> range </w:t>
      </w:r>
      <w:r w:rsidR="005B37A9">
        <w:t xml:space="preserve">reported in literature, </w:t>
      </w:r>
      <w:r w:rsidR="00EB3648">
        <w:t xml:space="preserve">from </w:t>
      </w:r>
      <w:r w:rsidR="00E21B85">
        <w:t>0.</w:t>
      </w:r>
      <w:r w:rsidR="005B37A9">
        <w:t>2</w:t>
      </w:r>
      <w:r w:rsidR="00EB3648">
        <w:t xml:space="preserve"> to 0</w:t>
      </w:r>
      <w:r w:rsidR="00E21B85">
        <w:t>.5 m</w:t>
      </w:r>
      <w:r w:rsidR="00E21B85" w:rsidRPr="00E21B85">
        <w:rPr>
          <w:vertAlign w:val="superscript"/>
        </w:rPr>
        <w:t>3</w:t>
      </w:r>
      <w:r w:rsidR="005B37A9" w:rsidRPr="005B37A9">
        <w:t>biogas</w:t>
      </w:r>
      <w:r w:rsidR="00E21B85">
        <w:t xml:space="preserve">/kg </w:t>
      </w:r>
      <w:proofErr w:type="spellStart"/>
      <w:r w:rsidR="00E21B85">
        <w:t>COD</w:t>
      </w:r>
      <w:r w:rsidR="00E21B85" w:rsidRPr="00A6025F">
        <w:rPr>
          <w:vertAlign w:val="subscript"/>
        </w:rPr>
        <w:t>added</w:t>
      </w:r>
      <w:proofErr w:type="spellEnd"/>
      <w:r w:rsidR="00E21B85">
        <w:t xml:space="preserve"> (Song </w:t>
      </w:r>
      <w:r w:rsidR="00A6025F">
        <w:t>et Al.</w:t>
      </w:r>
      <w:r w:rsidR="00E21B85">
        <w:t>, 2018)</w:t>
      </w:r>
      <w:r w:rsidR="008659FE">
        <w:t xml:space="preserve">, the highest value is reached with </w:t>
      </w:r>
      <w:r w:rsidR="00CD48FC">
        <w:t>methanol addition to urban wastewater.</w:t>
      </w:r>
    </w:p>
    <w:p w14:paraId="4157BA94" w14:textId="77777777" w:rsidR="00BD1823" w:rsidRDefault="00BD1823" w:rsidP="00793366">
      <w:pPr>
        <w:pStyle w:val="CETBodytext"/>
      </w:pPr>
    </w:p>
    <w:p w14:paraId="5D9D9F39" w14:textId="77777777" w:rsidR="00BD1823" w:rsidRPr="00B57B36" w:rsidRDefault="00BD1823" w:rsidP="00BD1823">
      <w:pPr>
        <w:pStyle w:val="CETTabletitle"/>
      </w:pPr>
      <w:r w:rsidRPr="00B57B36">
        <w:lastRenderedPageBreak/>
        <w:t xml:space="preserve">Table </w:t>
      </w:r>
      <w:r w:rsidR="00AB101A">
        <w:t>3</w:t>
      </w:r>
      <w:r w:rsidRPr="00B57B36">
        <w:t xml:space="preserve">: </w:t>
      </w:r>
      <w:r w:rsidR="000B2DD1">
        <w:t>Biogas production and CH</w:t>
      </w:r>
      <w:r w:rsidR="000B2DD1" w:rsidRPr="000B2DD1">
        <w:rPr>
          <w:vertAlign w:val="subscript"/>
        </w:rPr>
        <w:t>4</w:t>
      </w:r>
      <w:r w:rsidR="000B2DD1">
        <w:t xml:space="preserve"> content at different OLRs</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709"/>
        <w:gridCol w:w="1417"/>
        <w:gridCol w:w="1276"/>
        <w:gridCol w:w="1701"/>
        <w:gridCol w:w="992"/>
        <w:gridCol w:w="1418"/>
      </w:tblGrid>
      <w:tr w:rsidR="00BC269C" w:rsidRPr="00B57B36" w14:paraId="09BFC02D" w14:textId="77777777" w:rsidTr="00BC269C">
        <w:trPr>
          <w:trHeight w:val="184"/>
        </w:trPr>
        <w:tc>
          <w:tcPr>
            <w:tcW w:w="1418" w:type="dxa"/>
            <w:tcBorders>
              <w:top w:val="single" w:sz="12" w:space="0" w:color="008000"/>
              <w:bottom w:val="single" w:sz="6" w:space="0" w:color="008000"/>
            </w:tcBorders>
            <w:shd w:val="clear" w:color="auto" w:fill="FFFFFF"/>
            <w:vAlign w:val="center"/>
          </w:tcPr>
          <w:p w14:paraId="02F23749" w14:textId="77777777" w:rsidR="00BC269C" w:rsidRPr="000E25BC" w:rsidRDefault="00BC269C" w:rsidP="00BD1823">
            <w:pPr>
              <w:pStyle w:val="CETBodytext"/>
              <w:rPr>
                <w:lang w:val="en-GB"/>
              </w:rPr>
            </w:pPr>
            <w:r>
              <w:rPr>
                <w:lang w:val="en-GB"/>
              </w:rPr>
              <w:t>Configuration</w:t>
            </w:r>
          </w:p>
        </w:tc>
        <w:tc>
          <w:tcPr>
            <w:tcW w:w="709" w:type="dxa"/>
            <w:tcBorders>
              <w:top w:val="single" w:sz="12" w:space="0" w:color="008000"/>
              <w:bottom w:val="single" w:sz="6" w:space="0" w:color="008000"/>
            </w:tcBorders>
            <w:shd w:val="clear" w:color="auto" w:fill="FFFFFF"/>
          </w:tcPr>
          <w:p w14:paraId="213F9C60" w14:textId="77777777" w:rsidR="00BC269C" w:rsidRDefault="00A52E36" w:rsidP="00BC269C">
            <w:pPr>
              <w:pStyle w:val="CETBodytext"/>
              <w:rPr>
                <w:lang w:val="en-GB"/>
              </w:rPr>
            </w:pPr>
            <w:r>
              <w:rPr>
                <w:lang w:val="en-GB"/>
              </w:rPr>
              <w:t>Period</w:t>
            </w:r>
          </w:p>
        </w:tc>
        <w:tc>
          <w:tcPr>
            <w:tcW w:w="1417" w:type="dxa"/>
            <w:tcBorders>
              <w:top w:val="single" w:sz="12" w:space="0" w:color="008000"/>
              <w:bottom w:val="single" w:sz="6" w:space="0" w:color="008000"/>
            </w:tcBorders>
            <w:shd w:val="clear" w:color="auto" w:fill="FFFFFF"/>
            <w:vAlign w:val="center"/>
          </w:tcPr>
          <w:p w14:paraId="205ED2D7" w14:textId="77777777" w:rsidR="00BC269C" w:rsidRPr="000E25BC" w:rsidRDefault="00BC269C" w:rsidP="00BD1823">
            <w:pPr>
              <w:pStyle w:val="CETBodytext"/>
              <w:rPr>
                <w:lang w:val="en-GB"/>
              </w:rPr>
            </w:pPr>
            <w:r>
              <w:rPr>
                <w:lang w:val="en-GB"/>
              </w:rPr>
              <w:t>Feed</w:t>
            </w:r>
          </w:p>
        </w:tc>
        <w:tc>
          <w:tcPr>
            <w:tcW w:w="1276" w:type="dxa"/>
            <w:tcBorders>
              <w:top w:val="single" w:sz="12" w:space="0" w:color="008000"/>
              <w:bottom w:val="single" w:sz="6" w:space="0" w:color="008000"/>
            </w:tcBorders>
            <w:shd w:val="clear" w:color="auto" w:fill="FFFFFF"/>
            <w:vAlign w:val="center"/>
          </w:tcPr>
          <w:p w14:paraId="70CB42EA" w14:textId="77777777" w:rsidR="00BC269C" w:rsidRPr="000E25BC" w:rsidRDefault="00BC269C" w:rsidP="00BD1823">
            <w:pPr>
              <w:pStyle w:val="CETBodytext"/>
              <w:rPr>
                <w:lang w:val="en-GB"/>
              </w:rPr>
            </w:pPr>
            <w:r>
              <w:rPr>
                <w:lang w:val="en-GB"/>
              </w:rPr>
              <w:t>OLR</w:t>
            </w:r>
          </w:p>
        </w:tc>
        <w:tc>
          <w:tcPr>
            <w:tcW w:w="1701" w:type="dxa"/>
            <w:tcBorders>
              <w:top w:val="single" w:sz="12" w:space="0" w:color="008000"/>
              <w:bottom w:val="single" w:sz="6" w:space="0" w:color="008000"/>
            </w:tcBorders>
            <w:shd w:val="clear" w:color="auto" w:fill="FFFFFF"/>
            <w:vAlign w:val="center"/>
          </w:tcPr>
          <w:p w14:paraId="40D30FC8" w14:textId="77777777" w:rsidR="00BC269C" w:rsidRPr="000E25BC" w:rsidRDefault="00BC269C" w:rsidP="00BD1823">
            <w:pPr>
              <w:pStyle w:val="CETBodytext"/>
              <w:rPr>
                <w:lang w:val="en-GB"/>
              </w:rPr>
            </w:pPr>
            <w:r>
              <w:rPr>
                <w:lang w:val="en-GB"/>
              </w:rPr>
              <w:t>Biogas production</w:t>
            </w:r>
          </w:p>
        </w:tc>
        <w:tc>
          <w:tcPr>
            <w:tcW w:w="992" w:type="dxa"/>
            <w:tcBorders>
              <w:top w:val="single" w:sz="12" w:space="0" w:color="008000"/>
              <w:bottom w:val="single" w:sz="6" w:space="0" w:color="008000"/>
            </w:tcBorders>
            <w:shd w:val="clear" w:color="auto" w:fill="FFFFFF"/>
            <w:vAlign w:val="center"/>
          </w:tcPr>
          <w:p w14:paraId="7C114066" w14:textId="77777777" w:rsidR="00BC269C" w:rsidRPr="000E25BC" w:rsidRDefault="00BC269C" w:rsidP="00BD1823">
            <w:pPr>
              <w:pStyle w:val="CETBodytext"/>
              <w:rPr>
                <w:lang w:val="en-GB"/>
              </w:rPr>
            </w:pPr>
            <w:r>
              <w:rPr>
                <w:lang w:val="en-GB"/>
              </w:rPr>
              <w:t>CH</w:t>
            </w:r>
            <w:r w:rsidRPr="00C2264C">
              <w:rPr>
                <w:vertAlign w:val="subscript"/>
                <w:lang w:val="en-GB"/>
              </w:rPr>
              <w:t>4</w:t>
            </w:r>
          </w:p>
        </w:tc>
        <w:tc>
          <w:tcPr>
            <w:tcW w:w="1418" w:type="dxa"/>
            <w:tcBorders>
              <w:top w:val="single" w:sz="12" w:space="0" w:color="008000"/>
              <w:bottom w:val="single" w:sz="6" w:space="0" w:color="008000"/>
            </w:tcBorders>
            <w:shd w:val="clear" w:color="auto" w:fill="FFFFFF"/>
            <w:vAlign w:val="center"/>
          </w:tcPr>
          <w:p w14:paraId="3CE0739A" w14:textId="77777777" w:rsidR="00BC269C" w:rsidRPr="000E25BC" w:rsidRDefault="00BC269C" w:rsidP="00BD1823">
            <w:pPr>
              <w:pStyle w:val="CETBodytext"/>
              <w:rPr>
                <w:lang w:val="en-GB"/>
              </w:rPr>
            </w:pPr>
            <w:r>
              <w:rPr>
                <w:lang w:val="en-GB"/>
              </w:rPr>
              <w:t>SGP</w:t>
            </w:r>
          </w:p>
        </w:tc>
      </w:tr>
      <w:tr w:rsidR="00BC269C" w:rsidRPr="00B57B36" w14:paraId="54BB53E3" w14:textId="77777777" w:rsidTr="00BC269C">
        <w:trPr>
          <w:trHeight w:val="361"/>
        </w:trPr>
        <w:tc>
          <w:tcPr>
            <w:tcW w:w="1418" w:type="dxa"/>
            <w:shd w:val="clear" w:color="auto" w:fill="FFFFFF"/>
          </w:tcPr>
          <w:p w14:paraId="1C3C4109" w14:textId="77777777" w:rsidR="00BC269C" w:rsidRPr="00B57B36" w:rsidRDefault="00BC269C" w:rsidP="00BD1823">
            <w:pPr>
              <w:pStyle w:val="CETBodytext"/>
              <w:rPr>
                <w:lang w:val="en-GB"/>
              </w:rPr>
            </w:pPr>
          </w:p>
        </w:tc>
        <w:tc>
          <w:tcPr>
            <w:tcW w:w="709" w:type="dxa"/>
            <w:shd w:val="clear" w:color="auto" w:fill="FFFFFF"/>
          </w:tcPr>
          <w:p w14:paraId="4E97C312" w14:textId="77777777" w:rsidR="00BC269C" w:rsidRDefault="00BC269C" w:rsidP="00BD1823">
            <w:pPr>
              <w:pStyle w:val="CETBodytext"/>
              <w:rPr>
                <w:lang w:val="en-GB"/>
              </w:rPr>
            </w:pPr>
          </w:p>
        </w:tc>
        <w:tc>
          <w:tcPr>
            <w:tcW w:w="1417" w:type="dxa"/>
            <w:shd w:val="clear" w:color="auto" w:fill="FFFFFF"/>
            <w:vAlign w:val="center"/>
          </w:tcPr>
          <w:p w14:paraId="2F236A59" w14:textId="77777777" w:rsidR="00BC269C" w:rsidRPr="000E25BC" w:rsidRDefault="00BC269C" w:rsidP="00BD1823">
            <w:pPr>
              <w:pStyle w:val="CETBodytext"/>
              <w:rPr>
                <w:lang w:val="en-GB"/>
              </w:rPr>
            </w:pPr>
          </w:p>
        </w:tc>
        <w:tc>
          <w:tcPr>
            <w:tcW w:w="1276" w:type="dxa"/>
            <w:shd w:val="clear" w:color="auto" w:fill="FFFFFF"/>
            <w:vAlign w:val="center"/>
          </w:tcPr>
          <w:p w14:paraId="7CB3A5E1" w14:textId="77777777" w:rsidR="00BC269C" w:rsidRPr="000E25BC" w:rsidRDefault="00BC269C" w:rsidP="00BD1823">
            <w:pPr>
              <w:pStyle w:val="CETBodytext"/>
              <w:rPr>
                <w:lang w:val="en-GB"/>
              </w:rPr>
            </w:pPr>
            <w:proofErr w:type="spellStart"/>
            <w:r>
              <w:rPr>
                <w:lang w:val="en-GB"/>
              </w:rPr>
              <w:t>kgCOD</w:t>
            </w:r>
            <w:proofErr w:type="spellEnd"/>
            <w:r>
              <w:rPr>
                <w:lang w:val="en-GB"/>
              </w:rPr>
              <w:t>/m</w:t>
            </w:r>
            <w:r w:rsidRPr="00C2264C">
              <w:rPr>
                <w:vertAlign w:val="superscript"/>
                <w:lang w:val="en-GB"/>
              </w:rPr>
              <w:t>3</w:t>
            </w:r>
            <w:r>
              <w:rPr>
                <w:lang w:val="en-GB"/>
              </w:rPr>
              <w:t>/d</w:t>
            </w:r>
          </w:p>
        </w:tc>
        <w:tc>
          <w:tcPr>
            <w:tcW w:w="1701" w:type="dxa"/>
            <w:shd w:val="clear" w:color="auto" w:fill="FFFFFF"/>
            <w:vAlign w:val="center"/>
          </w:tcPr>
          <w:p w14:paraId="12EFA8DE" w14:textId="77777777" w:rsidR="00BC269C" w:rsidRPr="000E25BC" w:rsidRDefault="00BC269C" w:rsidP="00BD1823">
            <w:pPr>
              <w:pStyle w:val="CETBodytext"/>
              <w:rPr>
                <w:lang w:val="en-GB"/>
              </w:rPr>
            </w:pPr>
            <w:r>
              <w:rPr>
                <w:lang w:val="en-GB"/>
              </w:rPr>
              <w:t>L/d</w:t>
            </w:r>
          </w:p>
        </w:tc>
        <w:tc>
          <w:tcPr>
            <w:tcW w:w="992" w:type="dxa"/>
            <w:shd w:val="clear" w:color="auto" w:fill="FFFFFF"/>
            <w:vAlign w:val="center"/>
          </w:tcPr>
          <w:p w14:paraId="0F2E1781" w14:textId="77777777" w:rsidR="00BC269C" w:rsidRPr="000E25BC" w:rsidRDefault="00BC269C" w:rsidP="00BD1823">
            <w:pPr>
              <w:pStyle w:val="CETBodytext"/>
              <w:rPr>
                <w:lang w:val="en-GB"/>
              </w:rPr>
            </w:pPr>
            <w:r>
              <w:rPr>
                <w:lang w:val="en-GB"/>
              </w:rPr>
              <w:t>%</w:t>
            </w:r>
          </w:p>
        </w:tc>
        <w:tc>
          <w:tcPr>
            <w:tcW w:w="1418" w:type="dxa"/>
            <w:shd w:val="clear" w:color="auto" w:fill="FFFFFF"/>
            <w:vAlign w:val="center"/>
          </w:tcPr>
          <w:p w14:paraId="764874F2" w14:textId="77777777" w:rsidR="00BC269C" w:rsidRPr="000E25BC" w:rsidRDefault="00BC269C" w:rsidP="00BD1823">
            <w:pPr>
              <w:pStyle w:val="CETBodytext"/>
              <w:rPr>
                <w:lang w:val="en-GB"/>
              </w:rPr>
            </w:pPr>
            <w:r>
              <w:rPr>
                <w:lang w:val="en-GB"/>
              </w:rPr>
              <w:t>m</w:t>
            </w:r>
            <w:r w:rsidRPr="00C2264C">
              <w:rPr>
                <w:vertAlign w:val="superscript"/>
                <w:lang w:val="en-GB"/>
              </w:rPr>
              <w:t>3</w:t>
            </w:r>
            <w:r>
              <w:rPr>
                <w:lang w:val="en-GB"/>
              </w:rPr>
              <w:t>Biogas/</w:t>
            </w:r>
            <w:proofErr w:type="spellStart"/>
            <w:r>
              <w:rPr>
                <w:lang w:val="en-GB"/>
              </w:rPr>
              <w:t>kgCOD</w:t>
            </w:r>
            <w:r w:rsidR="00E21B85" w:rsidRPr="00A6025F">
              <w:rPr>
                <w:vertAlign w:val="subscript"/>
                <w:lang w:val="en-GB"/>
              </w:rPr>
              <w:t>added</w:t>
            </w:r>
            <w:proofErr w:type="spellEnd"/>
          </w:p>
        </w:tc>
      </w:tr>
      <w:tr w:rsidR="00BC269C" w:rsidRPr="00B57B36" w14:paraId="4543DECD" w14:textId="77777777" w:rsidTr="00BC269C">
        <w:trPr>
          <w:trHeight w:val="184"/>
        </w:trPr>
        <w:tc>
          <w:tcPr>
            <w:tcW w:w="1418" w:type="dxa"/>
            <w:shd w:val="clear" w:color="auto" w:fill="FFFFFF"/>
          </w:tcPr>
          <w:p w14:paraId="318DFB90" w14:textId="77777777" w:rsidR="00BC269C" w:rsidRPr="000E25BC" w:rsidRDefault="00BC269C" w:rsidP="00BD1823">
            <w:pPr>
              <w:pStyle w:val="CETBodytext"/>
              <w:rPr>
                <w:lang w:val="en-GB"/>
              </w:rPr>
            </w:pPr>
            <w:proofErr w:type="spellStart"/>
            <w:r>
              <w:t>UASB+AnMBR</w:t>
            </w:r>
            <w:proofErr w:type="spellEnd"/>
          </w:p>
        </w:tc>
        <w:tc>
          <w:tcPr>
            <w:tcW w:w="709" w:type="dxa"/>
            <w:shd w:val="clear" w:color="auto" w:fill="FFFFFF"/>
          </w:tcPr>
          <w:p w14:paraId="2EF8A3D2" w14:textId="77777777" w:rsidR="00BC269C" w:rsidRPr="00BC269C" w:rsidRDefault="00BC269C" w:rsidP="00BD1823">
            <w:pPr>
              <w:pStyle w:val="CETBodytext"/>
              <w:rPr>
                <w:lang w:val="en-GB"/>
              </w:rPr>
            </w:pPr>
            <w:r w:rsidRPr="00BC269C">
              <w:rPr>
                <w:lang w:val="en-GB"/>
              </w:rPr>
              <w:t>1</w:t>
            </w:r>
          </w:p>
        </w:tc>
        <w:tc>
          <w:tcPr>
            <w:tcW w:w="1417" w:type="dxa"/>
            <w:shd w:val="clear" w:color="auto" w:fill="FFFFFF"/>
            <w:vAlign w:val="center"/>
          </w:tcPr>
          <w:p w14:paraId="13B18755" w14:textId="77777777" w:rsidR="00BC269C" w:rsidRPr="000E25BC" w:rsidRDefault="00BC269C" w:rsidP="00BD1823">
            <w:pPr>
              <w:pStyle w:val="CETBodytext"/>
              <w:rPr>
                <w:lang w:val="en-GB"/>
              </w:rPr>
            </w:pPr>
            <w:r>
              <w:t>Raw wastewater</w:t>
            </w:r>
          </w:p>
        </w:tc>
        <w:tc>
          <w:tcPr>
            <w:tcW w:w="1276" w:type="dxa"/>
            <w:shd w:val="clear" w:color="auto" w:fill="FFFFFF"/>
            <w:vAlign w:val="center"/>
          </w:tcPr>
          <w:p w14:paraId="1CA18BC4" w14:textId="77777777" w:rsidR="00BC269C" w:rsidRPr="000E25BC" w:rsidRDefault="00BC269C" w:rsidP="00BD1823">
            <w:pPr>
              <w:pStyle w:val="CETBodytext"/>
              <w:rPr>
                <w:lang w:val="en-GB"/>
              </w:rPr>
            </w:pPr>
            <w:r>
              <w:t>1.05</w:t>
            </w:r>
            <w:r w:rsidRPr="000E25BC">
              <w:t>±</w:t>
            </w:r>
            <w:r>
              <w:t>0.4</w:t>
            </w:r>
          </w:p>
        </w:tc>
        <w:tc>
          <w:tcPr>
            <w:tcW w:w="1701" w:type="dxa"/>
            <w:shd w:val="clear" w:color="auto" w:fill="FFFFFF"/>
            <w:vAlign w:val="center"/>
          </w:tcPr>
          <w:p w14:paraId="7C7BA768" w14:textId="77777777" w:rsidR="00BC269C" w:rsidRPr="000E25BC" w:rsidRDefault="00BC269C" w:rsidP="00BD1823">
            <w:pPr>
              <w:pStyle w:val="CETBodytext"/>
              <w:rPr>
                <w:lang w:val="en-GB"/>
              </w:rPr>
            </w:pPr>
            <w:r w:rsidRPr="003A4CFC">
              <w:t>0.</w:t>
            </w:r>
            <w:r>
              <w:t>40</w:t>
            </w:r>
            <w:r w:rsidRPr="003A4CFC">
              <w:t>±0.17</w:t>
            </w:r>
          </w:p>
        </w:tc>
        <w:tc>
          <w:tcPr>
            <w:tcW w:w="992" w:type="dxa"/>
            <w:shd w:val="clear" w:color="auto" w:fill="FFFFFF"/>
            <w:vAlign w:val="center"/>
          </w:tcPr>
          <w:p w14:paraId="2ED22C61" w14:textId="77777777" w:rsidR="00BC269C" w:rsidRPr="000E25BC" w:rsidRDefault="00BC269C" w:rsidP="00BD1823">
            <w:pPr>
              <w:pStyle w:val="CETBodytext"/>
              <w:rPr>
                <w:lang w:val="en-GB"/>
              </w:rPr>
            </w:pPr>
            <w:r w:rsidRPr="000E25BC">
              <w:t>3</w:t>
            </w:r>
            <w:r>
              <w:t>3.0</w:t>
            </w:r>
            <w:r w:rsidRPr="000E25BC">
              <w:t>±</w:t>
            </w:r>
            <w:r>
              <w:t>6.0</w:t>
            </w:r>
          </w:p>
        </w:tc>
        <w:tc>
          <w:tcPr>
            <w:tcW w:w="1418" w:type="dxa"/>
            <w:shd w:val="clear" w:color="auto" w:fill="FFFFFF"/>
            <w:vAlign w:val="center"/>
          </w:tcPr>
          <w:p w14:paraId="4FFD58C8" w14:textId="77777777" w:rsidR="00BC269C" w:rsidRPr="000E25BC" w:rsidRDefault="00BC269C" w:rsidP="00BD1823">
            <w:pPr>
              <w:pStyle w:val="CETBodytext"/>
              <w:rPr>
                <w:lang w:val="en-GB"/>
              </w:rPr>
            </w:pPr>
            <w:r>
              <w:t>0.13</w:t>
            </w:r>
            <w:r w:rsidRPr="000E25BC">
              <w:t>±</w:t>
            </w:r>
            <w:r>
              <w:t>0.02</w:t>
            </w:r>
          </w:p>
        </w:tc>
      </w:tr>
      <w:tr w:rsidR="00BC269C" w:rsidRPr="00B57B36" w14:paraId="36E593CE" w14:textId="77777777" w:rsidTr="00BC269C">
        <w:trPr>
          <w:trHeight w:val="184"/>
        </w:trPr>
        <w:tc>
          <w:tcPr>
            <w:tcW w:w="1418" w:type="dxa"/>
            <w:shd w:val="clear" w:color="auto" w:fill="FFFFFF"/>
          </w:tcPr>
          <w:p w14:paraId="57C738C3" w14:textId="77777777" w:rsidR="00BC269C" w:rsidRPr="000E25BC" w:rsidRDefault="00BC269C" w:rsidP="000B2DD1">
            <w:pPr>
              <w:pStyle w:val="CETBodytext"/>
              <w:rPr>
                <w:lang w:val="en-GB"/>
              </w:rPr>
            </w:pPr>
            <w:proofErr w:type="spellStart"/>
            <w:r>
              <w:t>UASB+AnMBR</w:t>
            </w:r>
            <w:proofErr w:type="spellEnd"/>
          </w:p>
        </w:tc>
        <w:tc>
          <w:tcPr>
            <w:tcW w:w="709" w:type="dxa"/>
            <w:shd w:val="clear" w:color="auto" w:fill="FFFFFF"/>
          </w:tcPr>
          <w:p w14:paraId="10D965F6" w14:textId="77777777" w:rsidR="00BC269C" w:rsidRPr="00BC269C" w:rsidRDefault="00BC269C" w:rsidP="000B2DD1">
            <w:pPr>
              <w:pStyle w:val="CETBodytext"/>
              <w:rPr>
                <w:lang w:val="en-GB"/>
              </w:rPr>
            </w:pPr>
            <w:r w:rsidRPr="00BC269C">
              <w:rPr>
                <w:lang w:val="en-GB"/>
              </w:rPr>
              <w:t>2</w:t>
            </w:r>
          </w:p>
        </w:tc>
        <w:tc>
          <w:tcPr>
            <w:tcW w:w="1417" w:type="dxa"/>
            <w:shd w:val="clear" w:color="auto" w:fill="FFFFFF"/>
            <w:vAlign w:val="center"/>
          </w:tcPr>
          <w:p w14:paraId="7F294F07" w14:textId="77777777" w:rsidR="00BC269C" w:rsidRPr="000E25BC" w:rsidRDefault="00BC269C" w:rsidP="000B2DD1">
            <w:pPr>
              <w:pStyle w:val="CETBodytext"/>
              <w:rPr>
                <w:lang w:val="en-GB"/>
              </w:rPr>
            </w:pPr>
            <w:r>
              <w:t xml:space="preserve">Methanol </w:t>
            </w:r>
          </w:p>
        </w:tc>
        <w:tc>
          <w:tcPr>
            <w:tcW w:w="1276" w:type="dxa"/>
            <w:shd w:val="clear" w:color="auto" w:fill="FFFFFF"/>
            <w:vAlign w:val="center"/>
          </w:tcPr>
          <w:p w14:paraId="6EC9B660" w14:textId="77777777" w:rsidR="00BC269C" w:rsidRPr="000E25BC" w:rsidRDefault="00BC269C" w:rsidP="000B2DD1">
            <w:pPr>
              <w:pStyle w:val="CETBodytext"/>
              <w:rPr>
                <w:lang w:val="en-GB"/>
              </w:rPr>
            </w:pPr>
            <w:r>
              <w:t>2.01</w:t>
            </w:r>
            <w:r w:rsidRPr="000E25BC">
              <w:t>±</w:t>
            </w:r>
            <w:r>
              <w:t>0.4</w:t>
            </w:r>
          </w:p>
        </w:tc>
        <w:tc>
          <w:tcPr>
            <w:tcW w:w="1701" w:type="dxa"/>
            <w:shd w:val="clear" w:color="auto" w:fill="FFFFFF"/>
            <w:vAlign w:val="center"/>
          </w:tcPr>
          <w:p w14:paraId="4B668460" w14:textId="77777777" w:rsidR="00BC269C" w:rsidRPr="000E25BC" w:rsidRDefault="00BC269C" w:rsidP="000B2DD1">
            <w:pPr>
              <w:pStyle w:val="CETBodytext"/>
              <w:rPr>
                <w:lang w:val="en-GB"/>
              </w:rPr>
            </w:pPr>
            <w:r>
              <w:t>3.00</w:t>
            </w:r>
            <w:r w:rsidRPr="003A4CFC">
              <w:t>±</w:t>
            </w:r>
            <w:r>
              <w:t>1.10</w:t>
            </w:r>
          </w:p>
        </w:tc>
        <w:tc>
          <w:tcPr>
            <w:tcW w:w="992" w:type="dxa"/>
            <w:shd w:val="clear" w:color="auto" w:fill="FFFFFF"/>
            <w:vAlign w:val="center"/>
          </w:tcPr>
          <w:p w14:paraId="36F12853" w14:textId="77777777" w:rsidR="00BC269C" w:rsidRPr="000E25BC" w:rsidRDefault="00BC269C" w:rsidP="000B2DD1">
            <w:pPr>
              <w:pStyle w:val="CETBodytext"/>
              <w:rPr>
                <w:lang w:val="en-GB"/>
              </w:rPr>
            </w:pPr>
            <w:r w:rsidRPr="000E25BC">
              <w:t>3</w:t>
            </w:r>
            <w:r>
              <w:t>3.6</w:t>
            </w:r>
            <w:r w:rsidRPr="000E25BC">
              <w:t>±</w:t>
            </w:r>
            <w:r>
              <w:t>10.0</w:t>
            </w:r>
          </w:p>
        </w:tc>
        <w:tc>
          <w:tcPr>
            <w:tcW w:w="1418" w:type="dxa"/>
            <w:shd w:val="clear" w:color="auto" w:fill="FFFFFF"/>
            <w:vAlign w:val="center"/>
          </w:tcPr>
          <w:p w14:paraId="5CA4BCA3" w14:textId="77777777" w:rsidR="00BC269C" w:rsidRPr="000E25BC" w:rsidRDefault="00BC269C" w:rsidP="000B2DD1">
            <w:pPr>
              <w:pStyle w:val="CETBodytext"/>
              <w:rPr>
                <w:lang w:val="en-GB"/>
              </w:rPr>
            </w:pPr>
            <w:r>
              <w:t>0.57</w:t>
            </w:r>
            <w:r w:rsidRPr="000E25BC">
              <w:t>±</w:t>
            </w:r>
            <w:r>
              <w:t>0.30</w:t>
            </w:r>
          </w:p>
        </w:tc>
      </w:tr>
      <w:tr w:rsidR="00BC269C" w:rsidRPr="00B57B36" w14:paraId="6DFF0A5B" w14:textId="77777777" w:rsidTr="00BC269C">
        <w:trPr>
          <w:trHeight w:val="184"/>
        </w:trPr>
        <w:tc>
          <w:tcPr>
            <w:tcW w:w="1418" w:type="dxa"/>
            <w:shd w:val="clear" w:color="auto" w:fill="FFFFFF"/>
          </w:tcPr>
          <w:p w14:paraId="20641077" w14:textId="77777777" w:rsidR="00BC269C" w:rsidRPr="000E25BC" w:rsidRDefault="00BC269C" w:rsidP="000B2DD1">
            <w:pPr>
              <w:pStyle w:val="CETBodytext"/>
              <w:rPr>
                <w:lang w:val="en-GB"/>
              </w:rPr>
            </w:pPr>
            <w:proofErr w:type="spellStart"/>
            <w:r>
              <w:t>UASB+AnMBR</w:t>
            </w:r>
            <w:proofErr w:type="spellEnd"/>
          </w:p>
        </w:tc>
        <w:tc>
          <w:tcPr>
            <w:tcW w:w="709" w:type="dxa"/>
            <w:shd w:val="clear" w:color="auto" w:fill="FFFFFF"/>
          </w:tcPr>
          <w:p w14:paraId="39D87BC6" w14:textId="77777777" w:rsidR="00BC269C" w:rsidRPr="00BC269C" w:rsidRDefault="00BC269C" w:rsidP="000B2DD1">
            <w:pPr>
              <w:pStyle w:val="CETBodytext"/>
              <w:rPr>
                <w:lang w:val="en-GB"/>
              </w:rPr>
            </w:pPr>
            <w:r w:rsidRPr="00BC269C">
              <w:rPr>
                <w:lang w:val="en-GB"/>
              </w:rPr>
              <w:t>3</w:t>
            </w:r>
          </w:p>
        </w:tc>
        <w:tc>
          <w:tcPr>
            <w:tcW w:w="1417" w:type="dxa"/>
            <w:shd w:val="clear" w:color="auto" w:fill="FFFFFF"/>
            <w:vAlign w:val="center"/>
          </w:tcPr>
          <w:p w14:paraId="41112CE7" w14:textId="77777777" w:rsidR="00BC269C" w:rsidRPr="000E25BC" w:rsidRDefault="00BC269C" w:rsidP="000B2DD1">
            <w:pPr>
              <w:pStyle w:val="CETBodytext"/>
              <w:rPr>
                <w:lang w:val="en-GB"/>
              </w:rPr>
            </w:pPr>
            <w:proofErr w:type="spellStart"/>
            <w:r>
              <w:t>Centrate</w:t>
            </w:r>
            <w:proofErr w:type="spellEnd"/>
          </w:p>
        </w:tc>
        <w:tc>
          <w:tcPr>
            <w:tcW w:w="1276" w:type="dxa"/>
            <w:shd w:val="clear" w:color="auto" w:fill="FFFFFF"/>
            <w:vAlign w:val="center"/>
          </w:tcPr>
          <w:p w14:paraId="4AF468D1" w14:textId="77777777" w:rsidR="00BC269C" w:rsidRPr="000E25BC" w:rsidRDefault="00BC269C" w:rsidP="000B2DD1">
            <w:pPr>
              <w:pStyle w:val="CETBodytext"/>
              <w:rPr>
                <w:lang w:val="en-GB"/>
              </w:rPr>
            </w:pPr>
            <w:r>
              <w:t>1.85</w:t>
            </w:r>
            <w:r w:rsidRPr="000E25BC">
              <w:t>±</w:t>
            </w:r>
            <w:r>
              <w:t>0.6</w:t>
            </w:r>
          </w:p>
        </w:tc>
        <w:tc>
          <w:tcPr>
            <w:tcW w:w="1701" w:type="dxa"/>
            <w:shd w:val="clear" w:color="auto" w:fill="FFFFFF"/>
            <w:vAlign w:val="center"/>
          </w:tcPr>
          <w:p w14:paraId="1D65FE08" w14:textId="77777777" w:rsidR="00BC269C" w:rsidRPr="000E25BC" w:rsidRDefault="00BC269C" w:rsidP="000B2DD1">
            <w:pPr>
              <w:pStyle w:val="CETBodytext"/>
              <w:rPr>
                <w:lang w:val="en-GB"/>
              </w:rPr>
            </w:pPr>
            <w:r>
              <w:t>4.11</w:t>
            </w:r>
            <w:r w:rsidRPr="003A4CFC">
              <w:t>±</w:t>
            </w:r>
            <w:r>
              <w:t>3.2</w:t>
            </w:r>
          </w:p>
        </w:tc>
        <w:tc>
          <w:tcPr>
            <w:tcW w:w="992" w:type="dxa"/>
            <w:shd w:val="clear" w:color="auto" w:fill="FFFFFF"/>
            <w:vAlign w:val="center"/>
          </w:tcPr>
          <w:p w14:paraId="6CCF4628" w14:textId="77777777" w:rsidR="00BC269C" w:rsidRPr="000E25BC" w:rsidRDefault="00BC269C" w:rsidP="000B2DD1">
            <w:pPr>
              <w:pStyle w:val="CETBodytext"/>
              <w:rPr>
                <w:lang w:val="en-GB"/>
              </w:rPr>
            </w:pPr>
            <w:r w:rsidRPr="000E25BC">
              <w:t>3</w:t>
            </w:r>
            <w:r>
              <w:t>2.7</w:t>
            </w:r>
            <w:r w:rsidRPr="000E25BC">
              <w:t>±</w:t>
            </w:r>
            <w:r>
              <w:t>10.3</w:t>
            </w:r>
          </w:p>
        </w:tc>
        <w:tc>
          <w:tcPr>
            <w:tcW w:w="1418" w:type="dxa"/>
            <w:shd w:val="clear" w:color="auto" w:fill="FFFFFF"/>
            <w:vAlign w:val="center"/>
          </w:tcPr>
          <w:p w14:paraId="66C350C9" w14:textId="77777777" w:rsidR="00BC269C" w:rsidRPr="000E25BC" w:rsidRDefault="00BC269C" w:rsidP="000B2DD1">
            <w:pPr>
              <w:pStyle w:val="CETBodytext"/>
              <w:rPr>
                <w:lang w:val="en-GB"/>
              </w:rPr>
            </w:pPr>
            <w:r>
              <w:t>0.24</w:t>
            </w:r>
            <w:r w:rsidRPr="000E25BC">
              <w:t xml:space="preserve"> ±</w:t>
            </w:r>
            <w:r>
              <w:t>0.15</w:t>
            </w:r>
          </w:p>
        </w:tc>
      </w:tr>
    </w:tbl>
    <w:p w14:paraId="6C3D2F01" w14:textId="77777777" w:rsidR="0078057A" w:rsidRDefault="0078057A" w:rsidP="00695387">
      <w:pPr>
        <w:pStyle w:val="CETheadingx"/>
        <w:numPr>
          <w:ilvl w:val="0"/>
          <w:numId w:val="0"/>
        </w:numPr>
      </w:pPr>
    </w:p>
    <w:p w14:paraId="02413393" w14:textId="77777777" w:rsidR="0078057A" w:rsidRDefault="0078057A" w:rsidP="009A4411">
      <w:pPr>
        <w:pStyle w:val="CETheadingx"/>
        <w:numPr>
          <w:ilvl w:val="0"/>
          <w:numId w:val="0"/>
        </w:numPr>
      </w:pPr>
      <w:r w:rsidRPr="001E6B43">
        <w:t>3.</w:t>
      </w:r>
      <w:r w:rsidR="00695387">
        <w:t>2</w:t>
      </w:r>
      <w:r w:rsidRPr="001E6B43">
        <w:t xml:space="preserve"> Performances of UASB</w:t>
      </w:r>
      <w:r>
        <w:t xml:space="preserve"> coupled with </w:t>
      </w:r>
      <w:proofErr w:type="spellStart"/>
      <w:r>
        <w:t>AnMBR</w:t>
      </w:r>
      <w:proofErr w:type="spellEnd"/>
    </w:p>
    <w:p w14:paraId="1A644BC5" w14:textId="77777777" w:rsidR="0003531E" w:rsidRDefault="00CD48FC" w:rsidP="00793366">
      <w:pPr>
        <w:pStyle w:val="CETBodytext"/>
      </w:pPr>
      <w:r>
        <w:t xml:space="preserve">Considering UASB process coupled with membrane filtration, </w:t>
      </w:r>
      <w:r w:rsidR="003A4CFC" w:rsidRPr="00BC269C">
        <w:t>removal</w:t>
      </w:r>
      <w:r w:rsidR="00AC7DCF" w:rsidRPr="00BC269C">
        <w:t>s</w:t>
      </w:r>
      <w:r w:rsidR="00BC269C" w:rsidRPr="00BC269C">
        <w:t xml:space="preserve"> of </w:t>
      </w:r>
      <w:r w:rsidR="00EA02B1">
        <w:t>Chemical Oxygen Demand (</w:t>
      </w:r>
      <w:r w:rsidR="00BC269C" w:rsidRPr="00BC269C">
        <w:t>COD</w:t>
      </w:r>
      <w:r w:rsidR="00EA02B1">
        <w:t>)</w:t>
      </w:r>
      <w:r w:rsidR="00BC269C" w:rsidRPr="00BC269C">
        <w:t xml:space="preserve"> and </w:t>
      </w:r>
      <w:r w:rsidR="00B80ED4">
        <w:t>Total Suspended Solids (</w:t>
      </w:r>
      <w:r w:rsidR="00BC269C" w:rsidRPr="00BC269C">
        <w:t>TSS</w:t>
      </w:r>
      <w:r w:rsidR="00B80ED4">
        <w:t>)</w:t>
      </w:r>
      <w:r w:rsidR="003F6031">
        <w:t xml:space="preserve"> </w:t>
      </w:r>
      <w:r w:rsidR="00BC269C" w:rsidRPr="00BC269C">
        <w:t xml:space="preserve">were </w:t>
      </w:r>
      <w:r w:rsidR="003F6031">
        <w:t xml:space="preserve">similar during overall experimental phases and </w:t>
      </w:r>
      <w:r w:rsidR="00BC269C" w:rsidRPr="00BC269C">
        <w:t xml:space="preserve">respectively </w:t>
      </w:r>
      <w:r w:rsidR="003F6031">
        <w:t xml:space="preserve">equal to </w:t>
      </w:r>
      <w:r w:rsidR="00BC269C" w:rsidRPr="00BC269C">
        <w:t>8</w:t>
      </w:r>
      <w:r w:rsidR="00BC269C">
        <w:t>6</w:t>
      </w:r>
      <w:r w:rsidR="00BC269C" w:rsidRPr="00BC269C">
        <w:t>±1% and 100%</w:t>
      </w:r>
      <w:r w:rsidR="003F6031">
        <w:t xml:space="preserve"> (Period 1)</w:t>
      </w:r>
      <w:r w:rsidR="00BC269C">
        <w:t xml:space="preserve">, </w:t>
      </w:r>
      <w:r w:rsidR="003F6031">
        <w:t xml:space="preserve">to </w:t>
      </w:r>
      <w:r w:rsidR="00BC269C" w:rsidRPr="00BC269C">
        <w:t>85±1% and 100%</w:t>
      </w:r>
      <w:r w:rsidR="00BC269C">
        <w:t xml:space="preserve"> </w:t>
      </w:r>
      <w:r w:rsidR="003F6031">
        <w:t>(period 2) and to</w:t>
      </w:r>
      <w:r w:rsidR="00BC269C">
        <w:t xml:space="preserve"> </w:t>
      </w:r>
      <w:r w:rsidR="00BC269C" w:rsidRPr="00BC269C">
        <w:t>8</w:t>
      </w:r>
      <w:r w:rsidR="00BC269C">
        <w:t>3</w:t>
      </w:r>
      <w:r w:rsidR="00BC269C" w:rsidRPr="00BC269C">
        <w:t>±1% and 100%</w:t>
      </w:r>
      <w:r w:rsidR="003F6031">
        <w:t xml:space="preserve"> (Period 3). </w:t>
      </w:r>
      <w:r w:rsidR="00A4042A">
        <w:t xml:space="preserve">Total </w:t>
      </w:r>
      <w:r w:rsidR="00BC269C">
        <w:t>Nitrogen (</w:t>
      </w:r>
      <w:r w:rsidR="00A4042A">
        <w:t>T</w:t>
      </w:r>
      <w:r w:rsidR="00BC269C">
        <w:t xml:space="preserve">N) and </w:t>
      </w:r>
      <w:r w:rsidR="00A4042A">
        <w:t xml:space="preserve">Total </w:t>
      </w:r>
      <w:r w:rsidR="00BC269C">
        <w:t>Phosphorus (</w:t>
      </w:r>
      <w:r w:rsidR="00A4042A">
        <w:t>T</w:t>
      </w:r>
      <w:r w:rsidR="00BC269C">
        <w:t>P)</w:t>
      </w:r>
      <w:r>
        <w:t xml:space="preserve"> </w:t>
      </w:r>
      <w:r w:rsidR="0068091C">
        <w:t>were</w:t>
      </w:r>
      <w:r w:rsidR="00D03855">
        <w:t xml:space="preserve"> released with the effluent reaching up to 83% of </w:t>
      </w:r>
      <w:r w:rsidR="00A4042A">
        <w:t>T</w:t>
      </w:r>
      <w:r w:rsidR="00D03855">
        <w:t xml:space="preserve">N release and 76% of </w:t>
      </w:r>
      <w:r w:rsidR="00A4042A">
        <w:t>T</w:t>
      </w:r>
      <w:r w:rsidR="00D03855">
        <w:t xml:space="preserve">P release during </w:t>
      </w:r>
      <w:r w:rsidR="00C9379A">
        <w:t>P</w:t>
      </w:r>
      <w:r w:rsidR="00A52E36">
        <w:t>eriod</w:t>
      </w:r>
      <w:r w:rsidR="00D03855">
        <w:t xml:space="preserve"> 2 and 76% of N release and 85% of P release during </w:t>
      </w:r>
      <w:r w:rsidR="00C9379A">
        <w:t>P</w:t>
      </w:r>
      <w:r w:rsidR="00A52E36">
        <w:t>eriod</w:t>
      </w:r>
      <w:r w:rsidR="00D03855">
        <w:t xml:space="preserve"> 3</w:t>
      </w:r>
      <w:r w:rsidR="00D03855" w:rsidRPr="00F02A62">
        <w:t>.</w:t>
      </w:r>
      <w:r w:rsidR="00F02A62" w:rsidRPr="00F02A62">
        <w:t xml:space="preserve"> An increase in the concentration of soluble forms of the nutrients </w:t>
      </w:r>
      <w:r w:rsidR="00C9379A" w:rsidRPr="00F02A62">
        <w:t>occur</w:t>
      </w:r>
      <w:r w:rsidR="00C9379A">
        <w:t>red</w:t>
      </w:r>
      <w:r w:rsidR="00F02A62" w:rsidRPr="00F02A62">
        <w:t xml:space="preserve"> in the effluent because of the degradation of the organic matter, which entails the </w:t>
      </w:r>
      <w:proofErr w:type="spellStart"/>
      <w:r w:rsidR="00F02A62" w:rsidRPr="00F02A62">
        <w:t>solubilisation</w:t>
      </w:r>
      <w:proofErr w:type="spellEnd"/>
      <w:r w:rsidR="00F02A62" w:rsidRPr="00F02A62">
        <w:t xml:space="preserve"> of the organic nitrogen and phosphorous to ammonium and phosphate </w:t>
      </w:r>
      <w:r w:rsidR="009D37CF" w:rsidRPr="00F02A62">
        <w:fldChar w:fldCharType="begin" w:fldLock="1"/>
      </w:r>
      <w:r w:rsidR="00F02A62" w:rsidRPr="00F02A62">
        <w:instrText>ADDIN CSL_CITATION { "citationItems" : [ { "id" : "ITEM-1", "itemData" : { "DOI" : "10.1016/j.wasman.2017.02.006", "ISSN" : "18792456", "abstract" : "The aim of this study was to evaluate the feasibility of treating the kitchen food waste (FW) jointly with urban wastewater (WW) in a wastewater treatment plant (WWTP) by anaerobic membrane technology (AnMBR). The experience was carried out in six different periods in an AnMBR pilot-plant for a total of 536\u00a0days, varying the SRT, HRT and the food waste penetration factor (PF) of food waste disposers. The results showed increased methane production of up to 190% at 70\u00a0days SRT, 24\u00a0h HRT and 80% PF, compared with WW treatment only. FW COD and biodegradability were higher than in WW, so that the incorporation of FW into the treatment increases the organic load and the methane production and reduces sludge production (0.142 vs 0.614\u00a0kg\u00a0VSS\u00a0kg\u00a0removed\u00a0COD\u22121, at 70\u00a0days SRT, 24\u00a0h HRT and 80% PF, as compared to WW treatment only).", "author" : [ { "dropping-particle" : "", "family" : "Mo\u00f1ino", "given" : "P.", "non-dropping-particle" : "", "parse-names" : false, "suffix" : "" }, { "dropping-particle" : "", "family" : "Aguado", "given" : "D.", "non-dropping-particle" : "", "parse-names" : false, "suffix" : "" }, { "dropping-particle" : "", "family" : "Barat", "given" : "R.", "non-dropping-particle" : "", "parse-names" : false, "suffix" : "" }, { "dropping-particle" : "", "family" : "Jim\u00e9nez", "given" : "E.", "non-dropping-particle" : "", "parse-names" : false, "suffix" : "" }, { "dropping-particle" : "", "family" : "Gim\u00e9nez", "given" : "J. B.", "non-dropping-particle" : "", "parse-names" : false, "suffix" : "" }, { "dropping-particle" : "", "family" : "Seco", "given" : "A.", "non-dropping-particle" : "", "parse-names" : false, "suffix" : "" }, { "dropping-particle" : "", "family" : "Ferrer", "given" : "J.", "non-dropping-particle" : "", "parse-names" : false, "suffix" : "" } ], "container-title" : "Waste Management", "id" : "ITEM-1", "issued" : { "date-parts" : [ [ "2017" ] ] }, "page" : "274-289", "title" : "A new strategy to maximize organic matter valorization in municipalities: Combination of urban wastewater with kitchen food waste and its treatment with AnMBR technology", "type" : "article-journal", "volume" : "62" }, "uris" : [ "http://www.mendeley.com/documents/?uuid=8461c813-10c5-49b1-ad08-ae21d416d4cf" ] } ], "mendeley" : { "formattedCitation" : "(Mo\u00f1ino et al. 2017)", "plainTextFormattedCitation" : "(Mo\u00f1ino et al. 2017)", "previouslyFormattedCitation" : "(Mo\u00f1ino et al. 2017)" }, "properties" : { "noteIndex" : 0 }, "schema" : "https://github.com/citation-style-language/schema/raw/master/csl-citation.json" }</w:instrText>
      </w:r>
      <w:r w:rsidR="009D37CF" w:rsidRPr="00F02A62">
        <w:fldChar w:fldCharType="separate"/>
      </w:r>
      <w:r w:rsidR="00F02A62" w:rsidRPr="00F02A62">
        <w:rPr>
          <w:noProof/>
        </w:rPr>
        <w:t>(Moñino et al. 2017)</w:t>
      </w:r>
      <w:r w:rsidR="009D37CF" w:rsidRPr="00F02A62">
        <w:fldChar w:fldCharType="end"/>
      </w:r>
      <w:r w:rsidR="00F02A62">
        <w:t xml:space="preserve">. </w:t>
      </w:r>
    </w:p>
    <w:p w14:paraId="14BB9558" w14:textId="77777777" w:rsidR="0003531E" w:rsidRDefault="00A4042A" w:rsidP="00793366">
      <w:pPr>
        <w:pStyle w:val="CETBodytext"/>
      </w:pPr>
      <w:r w:rsidRPr="00A4042A">
        <w:t xml:space="preserve">The removal of </w:t>
      </w:r>
      <w:proofErr w:type="spellStart"/>
      <w:proofErr w:type="gramStart"/>
      <w:r w:rsidRPr="00A4042A">
        <w:t>E.</w:t>
      </w:r>
      <w:r w:rsidR="000739F5">
        <w:t>C</w:t>
      </w:r>
      <w:r w:rsidRPr="00A4042A">
        <w:t>oli</w:t>
      </w:r>
      <w:proofErr w:type="spellEnd"/>
      <w:proofErr w:type="gramEnd"/>
      <w:r w:rsidRPr="00A4042A">
        <w:t xml:space="preserve"> was investigated in the permeate</w:t>
      </w:r>
      <w:r w:rsidR="00F43A78">
        <w:t xml:space="preserve"> of the </w:t>
      </w:r>
      <w:proofErr w:type="spellStart"/>
      <w:r w:rsidRPr="00A4042A">
        <w:t>AnMBR</w:t>
      </w:r>
      <w:proofErr w:type="spellEnd"/>
      <w:r w:rsidRPr="00A4042A">
        <w:t xml:space="preserve"> process. At clean membrane conditions, complete removal of bacteria (99±1%) was found. </w:t>
      </w:r>
    </w:p>
    <w:p w14:paraId="7B5D141A" w14:textId="77777777" w:rsidR="00A4042A" w:rsidRPr="00A4042A" w:rsidRDefault="003967CF" w:rsidP="00793366">
      <w:pPr>
        <w:pStyle w:val="CETBodytext"/>
      </w:pPr>
      <w:r>
        <w:t xml:space="preserve">Moreover, </w:t>
      </w:r>
      <w:r w:rsidR="00A4042A" w:rsidRPr="00A4042A">
        <w:t>the evaluation of microplastics distribution was studied both in the demonstrative anaerobic and the conventional full</w:t>
      </w:r>
      <w:r w:rsidR="007D7302">
        <w:t>-</w:t>
      </w:r>
      <w:r w:rsidR="00A4042A" w:rsidRPr="00A4042A">
        <w:t>scale aerobic flow schemes identifying the roles of the different operative units in the microplastics removal.</w:t>
      </w:r>
      <w:r w:rsidR="00C9379A">
        <w:t xml:space="preserve"> </w:t>
      </w:r>
      <w:r w:rsidR="000739F5">
        <w:t xml:space="preserve">About </w:t>
      </w:r>
      <w:r w:rsidR="00A4042A" w:rsidRPr="00A4042A">
        <w:t>97% of microplastics</w:t>
      </w:r>
      <w:r w:rsidR="000739F5">
        <w:t xml:space="preserve"> were removed</w:t>
      </w:r>
      <w:r w:rsidR="00A4042A" w:rsidRPr="00A4042A">
        <w:t>, providing 1.7 MPs/L after UASB reactor, further reduced to 0.1 MPs/L (100 MPs/m</w:t>
      </w:r>
      <w:r w:rsidR="00A4042A" w:rsidRPr="00CD03E8">
        <w:rPr>
          <w:vertAlign w:val="superscript"/>
        </w:rPr>
        <w:t>3</w:t>
      </w:r>
      <w:r w:rsidR="00A4042A" w:rsidRPr="00A4042A">
        <w:t>) after ultrafiltration. MPs larger than 1mm were retained by intermediate steps. After the ultrafiltration unit only fibers, mainly of polyesters, were found</w:t>
      </w:r>
      <w:r w:rsidR="000739F5">
        <w:t>.</w:t>
      </w:r>
    </w:p>
    <w:p w14:paraId="3CD9200F" w14:textId="77777777" w:rsidR="00D03855" w:rsidRPr="00B57B36" w:rsidRDefault="00D03855" w:rsidP="00D03855">
      <w:pPr>
        <w:pStyle w:val="CETTabletitle"/>
      </w:pPr>
      <w:r w:rsidRPr="00B57B36">
        <w:t>Tab</w:t>
      </w:r>
      <w:r w:rsidR="000739F5">
        <w:t>l</w:t>
      </w:r>
      <w:r w:rsidRPr="00B57B36">
        <w:t xml:space="preserve">e </w:t>
      </w:r>
      <w:r w:rsidR="00AB101A">
        <w:t>4</w:t>
      </w:r>
      <w:r w:rsidRPr="00B57B36">
        <w:t>:</w:t>
      </w:r>
      <w:r w:rsidR="008F08E8">
        <w:t xml:space="preserve"> </w:t>
      </w:r>
      <w:r>
        <w:t>Removals efficiency and nutrients release</w:t>
      </w:r>
      <w:r w:rsidR="008F08E8">
        <w:t xml:space="preserve"> </w:t>
      </w:r>
      <w:proofErr w:type="spellStart"/>
      <w:r w:rsidR="008F08E8">
        <w:t>UASB+AnMBR</w:t>
      </w:r>
      <w:proofErr w:type="spellEnd"/>
    </w:p>
    <w:tbl>
      <w:tblPr>
        <w:tblW w:w="832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71"/>
        <w:gridCol w:w="1543"/>
        <w:gridCol w:w="1388"/>
        <w:gridCol w:w="1387"/>
        <w:gridCol w:w="1234"/>
        <w:gridCol w:w="1079"/>
        <w:gridCol w:w="927"/>
      </w:tblGrid>
      <w:tr w:rsidR="000739F5" w:rsidRPr="00B57B36" w14:paraId="1E27BC54" w14:textId="77777777" w:rsidTr="000739F5">
        <w:trPr>
          <w:trHeight w:val="194"/>
        </w:trPr>
        <w:tc>
          <w:tcPr>
            <w:tcW w:w="771" w:type="dxa"/>
            <w:tcBorders>
              <w:top w:val="single" w:sz="12" w:space="0" w:color="008000"/>
              <w:bottom w:val="single" w:sz="6" w:space="0" w:color="008000"/>
            </w:tcBorders>
            <w:shd w:val="clear" w:color="auto" w:fill="FFFFFF"/>
          </w:tcPr>
          <w:p w14:paraId="70AFA79A" w14:textId="77777777" w:rsidR="000739F5" w:rsidRDefault="00A52E36" w:rsidP="00654C0D">
            <w:pPr>
              <w:pStyle w:val="CETBodytext"/>
              <w:rPr>
                <w:lang w:val="en-GB"/>
              </w:rPr>
            </w:pPr>
            <w:r>
              <w:rPr>
                <w:lang w:val="en-GB"/>
              </w:rPr>
              <w:t>Period</w:t>
            </w:r>
          </w:p>
        </w:tc>
        <w:tc>
          <w:tcPr>
            <w:tcW w:w="1543" w:type="dxa"/>
            <w:tcBorders>
              <w:top w:val="single" w:sz="12" w:space="0" w:color="008000"/>
              <w:bottom w:val="single" w:sz="6" w:space="0" w:color="008000"/>
            </w:tcBorders>
            <w:shd w:val="clear" w:color="auto" w:fill="FFFFFF"/>
            <w:vAlign w:val="center"/>
          </w:tcPr>
          <w:p w14:paraId="1DBDBC14" w14:textId="77777777" w:rsidR="000739F5" w:rsidRPr="000E25BC" w:rsidRDefault="000739F5" w:rsidP="00654C0D">
            <w:pPr>
              <w:pStyle w:val="CETBodytext"/>
              <w:rPr>
                <w:lang w:val="en-GB"/>
              </w:rPr>
            </w:pPr>
            <w:r>
              <w:rPr>
                <w:lang w:val="en-GB"/>
              </w:rPr>
              <w:t>COD removal</w:t>
            </w:r>
          </w:p>
        </w:tc>
        <w:tc>
          <w:tcPr>
            <w:tcW w:w="1388" w:type="dxa"/>
            <w:tcBorders>
              <w:top w:val="single" w:sz="12" w:space="0" w:color="008000"/>
              <w:bottom w:val="single" w:sz="6" w:space="0" w:color="008000"/>
            </w:tcBorders>
            <w:shd w:val="clear" w:color="auto" w:fill="FFFFFF"/>
            <w:vAlign w:val="center"/>
          </w:tcPr>
          <w:p w14:paraId="12E50BEF" w14:textId="77777777" w:rsidR="000739F5" w:rsidRPr="000E25BC" w:rsidRDefault="000739F5" w:rsidP="00654C0D">
            <w:pPr>
              <w:pStyle w:val="CETBodytext"/>
              <w:rPr>
                <w:lang w:val="en-GB"/>
              </w:rPr>
            </w:pPr>
            <w:r>
              <w:rPr>
                <w:lang w:val="en-GB"/>
              </w:rPr>
              <w:t>TSS removal</w:t>
            </w:r>
          </w:p>
        </w:tc>
        <w:tc>
          <w:tcPr>
            <w:tcW w:w="1387" w:type="dxa"/>
            <w:tcBorders>
              <w:top w:val="single" w:sz="12" w:space="0" w:color="008000"/>
              <w:bottom w:val="single" w:sz="6" w:space="0" w:color="008000"/>
            </w:tcBorders>
            <w:shd w:val="clear" w:color="auto" w:fill="FFFFFF"/>
          </w:tcPr>
          <w:p w14:paraId="780779EE" w14:textId="77777777" w:rsidR="000739F5" w:rsidRPr="00A6025F" w:rsidRDefault="000739F5" w:rsidP="00654C0D">
            <w:pPr>
              <w:pStyle w:val="CETBodytext"/>
              <w:rPr>
                <w:lang w:val="en-GB"/>
              </w:rPr>
            </w:pPr>
            <w:proofErr w:type="spellStart"/>
            <w:proofErr w:type="gramStart"/>
            <w:r w:rsidRPr="00A6025F">
              <w:rPr>
                <w:lang w:val="en-GB"/>
              </w:rPr>
              <w:t>E.Coli</w:t>
            </w:r>
            <w:proofErr w:type="spellEnd"/>
            <w:proofErr w:type="gramEnd"/>
            <w:r w:rsidRPr="00A6025F">
              <w:rPr>
                <w:lang w:val="en-GB"/>
              </w:rPr>
              <w:t xml:space="preserve"> removal</w:t>
            </w:r>
          </w:p>
        </w:tc>
        <w:tc>
          <w:tcPr>
            <w:tcW w:w="1234" w:type="dxa"/>
            <w:tcBorders>
              <w:top w:val="single" w:sz="12" w:space="0" w:color="008000"/>
              <w:bottom w:val="single" w:sz="6" w:space="0" w:color="008000"/>
            </w:tcBorders>
            <w:shd w:val="clear" w:color="auto" w:fill="FFFFFF"/>
          </w:tcPr>
          <w:p w14:paraId="51DDA2CF" w14:textId="77777777" w:rsidR="000739F5" w:rsidRPr="00A6025F" w:rsidRDefault="000739F5" w:rsidP="00654C0D">
            <w:pPr>
              <w:pStyle w:val="CETBodytext"/>
              <w:rPr>
                <w:lang w:val="en-GB"/>
              </w:rPr>
            </w:pPr>
            <w:r w:rsidRPr="00A6025F">
              <w:rPr>
                <w:lang w:val="en-GB"/>
              </w:rPr>
              <w:t>MPs removal</w:t>
            </w:r>
          </w:p>
        </w:tc>
        <w:tc>
          <w:tcPr>
            <w:tcW w:w="1079" w:type="dxa"/>
            <w:tcBorders>
              <w:top w:val="single" w:sz="12" w:space="0" w:color="008000"/>
              <w:bottom w:val="single" w:sz="6" w:space="0" w:color="008000"/>
            </w:tcBorders>
            <w:shd w:val="clear" w:color="auto" w:fill="FFFFFF"/>
            <w:vAlign w:val="center"/>
          </w:tcPr>
          <w:p w14:paraId="3EBBC913" w14:textId="77777777" w:rsidR="000739F5" w:rsidRPr="000E25BC" w:rsidRDefault="000739F5" w:rsidP="00654C0D">
            <w:pPr>
              <w:pStyle w:val="CETBodytext"/>
              <w:rPr>
                <w:lang w:val="en-GB"/>
              </w:rPr>
            </w:pPr>
            <w:r>
              <w:rPr>
                <w:lang w:val="en-GB"/>
              </w:rPr>
              <w:t>TN release</w:t>
            </w:r>
          </w:p>
        </w:tc>
        <w:tc>
          <w:tcPr>
            <w:tcW w:w="927" w:type="dxa"/>
            <w:tcBorders>
              <w:top w:val="single" w:sz="12" w:space="0" w:color="008000"/>
              <w:bottom w:val="single" w:sz="6" w:space="0" w:color="008000"/>
            </w:tcBorders>
            <w:shd w:val="clear" w:color="auto" w:fill="FFFFFF"/>
            <w:vAlign w:val="center"/>
          </w:tcPr>
          <w:p w14:paraId="451DAAA1" w14:textId="77777777" w:rsidR="000739F5" w:rsidRPr="000E25BC" w:rsidRDefault="000739F5" w:rsidP="00654C0D">
            <w:pPr>
              <w:pStyle w:val="CETBodytext"/>
              <w:rPr>
                <w:lang w:val="en-GB"/>
              </w:rPr>
            </w:pPr>
            <w:r>
              <w:rPr>
                <w:lang w:val="en-GB"/>
              </w:rPr>
              <w:t>TP release</w:t>
            </w:r>
          </w:p>
        </w:tc>
      </w:tr>
      <w:tr w:rsidR="000739F5" w:rsidRPr="00B57B36" w14:paraId="602A2F87" w14:textId="77777777" w:rsidTr="000739F5">
        <w:trPr>
          <w:trHeight w:val="382"/>
        </w:trPr>
        <w:tc>
          <w:tcPr>
            <w:tcW w:w="771" w:type="dxa"/>
            <w:shd w:val="clear" w:color="auto" w:fill="FFFFFF"/>
          </w:tcPr>
          <w:p w14:paraId="7570B42F" w14:textId="77777777" w:rsidR="000739F5" w:rsidRDefault="000739F5" w:rsidP="00654C0D">
            <w:pPr>
              <w:pStyle w:val="CETBodytext"/>
              <w:rPr>
                <w:lang w:val="en-GB"/>
              </w:rPr>
            </w:pPr>
          </w:p>
        </w:tc>
        <w:tc>
          <w:tcPr>
            <w:tcW w:w="1543" w:type="dxa"/>
            <w:shd w:val="clear" w:color="auto" w:fill="FFFFFF"/>
            <w:vAlign w:val="center"/>
          </w:tcPr>
          <w:p w14:paraId="7FBD6ED3" w14:textId="77777777" w:rsidR="000739F5" w:rsidRPr="000E25BC" w:rsidRDefault="000739F5" w:rsidP="00654C0D">
            <w:pPr>
              <w:pStyle w:val="CETBodytext"/>
              <w:rPr>
                <w:lang w:val="en-GB"/>
              </w:rPr>
            </w:pPr>
            <w:r>
              <w:rPr>
                <w:lang w:val="en-GB"/>
              </w:rPr>
              <w:t>%</w:t>
            </w:r>
          </w:p>
        </w:tc>
        <w:tc>
          <w:tcPr>
            <w:tcW w:w="1388" w:type="dxa"/>
            <w:shd w:val="clear" w:color="auto" w:fill="FFFFFF"/>
            <w:vAlign w:val="center"/>
          </w:tcPr>
          <w:p w14:paraId="21518951" w14:textId="77777777" w:rsidR="000739F5" w:rsidRPr="000E25BC" w:rsidRDefault="000739F5" w:rsidP="00654C0D">
            <w:pPr>
              <w:pStyle w:val="CETBodytext"/>
              <w:rPr>
                <w:lang w:val="en-GB"/>
              </w:rPr>
            </w:pPr>
            <w:r>
              <w:rPr>
                <w:lang w:val="en-GB"/>
              </w:rPr>
              <w:t>%</w:t>
            </w:r>
          </w:p>
        </w:tc>
        <w:tc>
          <w:tcPr>
            <w:tcW w:w="1387" w:type="dxa"/>
            <w:shd w:val="clear" w:color="auto" w:fill="FFFFFF"/>
          </w:tcPr>
          <w:p w14:paraId="500DBB39" w14:textId="77777777" w:rsidR="000739F5" w:rsidRDefault="000739F5" w:rsidP="00654C0D">
            <w:pPr>
              <w:pStyle w:val="CETBodytext"/>
              <w:rPr>
                <w:lang w:val="en-GB"/>
              </w:rPr>
            </w:pPr>
            <w:r>
              <w:rPr>
                <w:lang w:val="en-GB"/>
              </w:rPr>
              <w:t>%</w:t>
            </w:r>
          </w:p>
        </w:tc>
        <w:tc>
          <w:tcPr>
            <w:tcW w:w="1234" w:type="dxa"/>
            <w:shd w:val="clear" w:color="auto" w:fill="FFFFFF"/>
          </w:tcPr>
          <w:p w14:paraId="39D44888" w14:textId="77777777" w:rsidR="000739F5" w:rsidRDefault="000739F5" w:rsidP="00654C0D">
            <w:pPr>
              <w:pStyle w:val="CETBodytext"/>
              <w:rPr>
                <w:lang w:val="en-GB"/>
              </w:rPr>
            </w:pPr>
            <w:r>
              <w:rPr>
                <w:lang w:val="en-GB"/>
              </w:rPr>
              <w:t>%</w:t>
            </w:r>
          </w:p>
        </w:tc>
        <w:tc>
          <w:tcPr>
            <w:tcW w:w="1079" w:type="dxa"/>
            <w:shd w:val="clear" w:color="auto" w:fill="FFFFFF"/>
            <w:vAlign w:val="center"/>
          </w:tcPr>
          <w:p w14:paraId="1FEF668B" w14:textId="77777777" w:rsidR="000739F5" w:rsidRPr="000E25BC" w:rsidRDefault="000739F5" w:rsidP="00654C0D">
            <w:pPr>
              <w:pStyle w:val="CETBodytext"/>
              <w:rPr>
                <w:lang w:val="en-GB"/>
              </w:rPr>
            </w:pPr>
            <w:r>
              <w:rPr>
                <w:lang w:val="en-GB"/>
              </w:rPr>
              <w:t>%</w:t>
            </w:r>
          </w:p>
        </w:tc>
        <w:tc>
          <w:tcPr>
            <w:tcW w:w="927" w:type="dxa"/>
            <w:shd w:val="clear" w:color="auto" w:fill="FFFFFF"/>
            <w:vAlign w:val="center"/>
          </w:tcPr>
          <w:p w14:paraId="3E3DB3DE" w14:textId="77777777" w:rsidR="000739F5" w:rsidRPr="000E25BC" w:rsidRDefault="000739F5" w:rsidP="00654C0D">
            <w:pPr>
              <w:pStyle w:val="CETBodytext"/>
              <w:rPr>
                <w:lang w:val="en-GB"/>
              </w:rPr>
            </w:pPr>
            <w:r>
              <w:rPr>
                <w:lang w:val="en-GB"/>
              </w:rPr>
              <w:t>%</w:t>
            </w:r>
          </w:p>
        </w:tc>
      </w:tr>
      <w:tr w:rsidR="000739F5" w:rsidRPr="00B57B36" w14:paraId="6445F8D1" w14:textId="77777777" w:rsidTr="000739F5">
        <w:trPr>
          <w:trHeight w:val="194"/>
        </w:trPr>
        <w:tc>
          <w:tcPr>
            <w:tcW w:w="771" w:type="dxa"/>
            <w:shd w:val="clear" w:color="auto" w:fill="FFFFFF"/>
          </w:tcPr>
          <w:p w14:paraId="4D6E2CC0" w14:textId="77777777" w:rsidR="000739F5" w:rsidRPr="00BC269C" w:rsidRDefault="000739F5" w:rsidP="00D03855">
            <w:pPr>
              <w:pStyle w:val="CETBodytext"/>
              <w:rPr>
                <w:lang w:val="en-GB"/>
              </w:rPr>
            </w:pPr>
            <w:r w:rsidRPr="00BC269C">
              <w:rPr>
                <w:lang w:val="en-GB"/>
              </w:rPr>
              <w:t>1</w:t>
            </w:r>
          </w:p>
        </w:tc>
        <w:tc>
          <w:tcPr>
            <w:tcW w:w="1543" w:type="dxa"/>
            <w:shd w:val="clear" w:color="auto" w:fill="FFFFFF"/>
            <w:vAlign w:val="center"/>
          </w:tcPr>
          <w:p w14:paraId="16B7B25F" w14:textId="77777777" w:rsidR="000739F5" w:rsidRPr="000E25BC" w:rsidRDefault="000739F5" w:rsidP="00D03855">
            <w:pPr>
              <w:pStyle w:val="CETBodytext"/>
              <w:rPr>
                <w:lang w:val="en-GB"/>
              </w:rPr>
            </w:pPr>
            <w:r>
              <w:t>86</w:t>
            </w:r>
            <w:r w:rsidRPr="000E25BC">
              <w:t>±</w:t>
            </w:r>
            <w:r>
              <w:t>1</w:t>
            </w:r>
          </w:p>
        </w:tc>
        <w:tc>
          <w:tcPr>
            <w:tcW w:w="1388" w:type="dxa"/>
            <w:shd w:val="clear" w:color="auto" w:fill="FFFFFF"/>
            <w:vAlign w:val="center"/>
          </w:tcPr>
          <w:p w14:paraId="20429A37" w14:textId="77777777" w:rsidR="000739F5" w:rsidRPr="000E25BC" w:rsidRDefault="000739F5" w:rsidP="00D03855">
            <w:pPr>
              <w:pStyle w:val="CETBodytext"/>
              <w:rPr>
                <w:lang w:val="en-GB"/>
              </w:rPr>
            </w:pPr>
            <w:r>
              <w:t>100</w:t>
            </w:r>
          </w:p>
        </w:tc>
        <w:tc>
          <w:tcPr>
            <w:tcW w:w="1387" w:type="dxa"/>
            <w:shd w:val="clear" w:color="auto" w:fill="FFFFFF"/>
          </w:tcPr>
          <w:p w14:paraId="3622F032" w14:textId="77777777" w:rsidR="000739F5" w:rsidRDefault="000739F5" w:rsidP="00D03855">
            <w:pPr>
              <w:pStyle w:val="CETBodytext"/>
            </w:pPr>
            <w:r>
              <w:t>99</w:t>
            </w:r>
            <w:r w:rsidRPr="000E25BC">
              <w:t>±</w:t>
            </w:r>
            <w:r>
              <w:t>1</w:t>
            </w:r>
          </w:p>
        </w:tc>
        <w:tc>
          <w:tcPr>
            <w:tcW w:w="1234" w:type="dxa"/>
            <w:shd w:val="clear" w:color="auto" w:fill="FFFFFF"/>
          </w:tcPr>
          <w:p w14:paraId="75657B30" w14:textId="77777777" w:rsidR="000739F5" w:rsidRDefault="00642F41" w:rsidP="00D03855">
            <w:pPr>
              <w:pStyle w:val="CETBodytext"/>
            </w:pPr>
            <w:r>
              <w:t>-</w:t>
            </w:r>
          </w:p>
        </w:tc>
        <w:tc>
          <w:tcPr>
            <w:tcW w:w="1079" w:type="dxa"/>
            <w:shd w:val="clear" w:color="auto" w:fill="FFFFFF"/>
            <w:vAlign w:val="center"/>
          </w:tcPr>
          <w:p w14:paraId="5133D626" w14:textId="77777777" w:rsidR="000739F5" w:rsidRPr="000E25BC" w:rsidRDefault="000739F5" w:rsidP="00D03855">
            <w:pPr>
              <w:pStyle w:val="CETBodytext"/>
              <w:rPr>
                <w:lang w:val="en-GB"/>
              </w:rPr>
            </w:pPr>
            <w:r>
              <w:t>-</w:t>
            </w:r>
          </w:p>
        </w:tc>
        <w:tc>
          <w:tcPr>
            <w:tcW w:w="927" w:type="dxa"/>
            <w:shd w:val="clear" w:color="auto" w:fill="FFFFFF"/>
            <w:vAlign w:val="center"/>
          </w:tcPr>
          <w:p w14:paraId="4CAB576E" w14:textId="77777777" w:rsidR="000739F5" w:rsidRPr="000E25BC" w:rsidRDefault="000739F5" w:rsidP="00D03855">
            <w:pPr>
              <w:pStyle w:val="CETBodytext"/>
              <w:rPr>
                <w:lang w:val="en-GB"/>
              </w:rPr>
            </w:pPr>
            <w:r>
              <w:t>-</w:t>
            </w:r>
          </w:p>
        </w:tc>
      </w:tr>
      <w:tr w:rsidR="000739F5" w:rsidRPr="00B57B36" w14:paraId="40EE1116" w14:textId="77777777" w:rsidTr="000739F5">
        <w:trPr>
          <w:trHeight w:val="194"/>
        </w:trPr>
        <w:tc>
          <w:tcPr>
            <w:tcW w:w="771" w:type="dxa"/>
            <w:shd w:val="clear" w:color="auto" w:fill="FFFFFF"/>
          </w:tcPr>
          <w:p w14:paraId="6B674C4E" w14:textId="77777777" w:rsidR="000739F5" w:rsidRPr="00BC269C" w:rsidRDefault="000739F5" w:rsidP="00D03855">
            <w:pPr>
              <w:pStyle w:val="CETBodytext"/>
              <w:rPr>
                <w:lang w:val="en-GB"/>
              </w:rPr>
            </w:pPr>
            <w:r w:rsidRPr="00BC269C">
              <w:rPr>
                <w:lang w:val="en-GB"/>
              </w:rPr>
              <w:t>2</w:t>
            </w:r>
          </w:p>
        </w:tc>
        <w:tc>
          <w:tcPr>
            <w:tcW w:w="1543" w:type="dxa"/>
            <w:shd w:val="clear" w:color="auto" w:fill="FFFFFF"/>
            <w:vAlign w:val="center"/>
          </w:tcPr>
          <w:p w14:paraId="74E73921" w14:textId="77777777" w:rsidR="000739F5" w:rsidRPr="000E25BC" w:rsidRDefault="000739F5" w:rsidP="00D03855">
            <w:pPr>
              <w:pStyle w:val="CETBodytext"/>
              <w:rPr>
                <w:lang w:val="en-GB"/>
              </w:rPr>
            </w:pPr>
            <w:r>
              <w:t>86</w:t>
            </w:r>
            <w:r w:rsidRPr="000E25BC">
              <w:t>±</w:t>
            </w:r>
            <w:r>
              <w:t>1</w:t>
            </w:r>
          </w:p>
        </w:tc>
        <w:tc>
          <w:tcPr>
            <w:tcW w:w="1388" w:type="dxa"/>
            <w:shd w:val="clear" w:color="auto" w:fill="FFFFFF"/>
            <w:vAlign w:val="center"/>
          </w:tcPr>
          <w:p w14:paraId="65879D4C" w14:textId="77777777" w:rsidR="000739F5" w:rsidRPr="000E25BC" w:rsidRDefault="000739F5" w:rsidP="00D03855">
            <w:pPr>
              <w:pStyle w:val="CETBodytext"/>
              <w:rPr>
                <w:lang w:val="en-GB"/>
              </w:rPr>
            </w:pPr>
            <w:r>
              <w:t>100</w:t>
            </w:r>
          </w:p>
        </w:tc>
        <w:tc>
          <w:tcPr>
            <w:tcW w:w="1387" w:type="dxa"/>
            <w:shd w:val="clear" w:color="auto" w:fill="FFFFFF"/>
          </w:tcPr>
          <w:p w14:paraId="1EAA659F" w14:textId="77777777" w:rsidR="000739F5" w:rsidRDefault="000739F5" w:rsidP="00D03855">
            <w:pPr>
              <w:pStyle w:val="CETBodytext"/>
            </w:pPr>
            <w:r>
              <w:t>99</w:t>
            </w:r>
            <w:r w:rsidRPr="000E25BC">
              <w:t>±</w:t>
            </w:r>
            <w:r>
              <w:t>1</w:t>
            </w:r>
          </w:p>
        </w:tc>
        <w:tc>
          <w:tcPr>
            <w:tcW w:w="1234" w:type="dxa"/>
            <w:shd w:val="clear" w:color="auto" w:fill="FFFFFF"/>
          </w:tcPr>
          <w:p w14:paraId="0A0945A7" w14:textId="77777777" w:rsidR="000739F5" w:rsidRDefault="000739F5" w:rsidP="00D03855">
            <w:pPr>
              <w:pStyle w:val="CETBodytext"/>
            </w:pPr>
            <w:r>
              <w:t>97</w:t>
            </w:r>
          </w:p>
        </w:tc>
        <w:tc>
          <w:tcPr>
            <w:tcW w:w="1079" w:type="dxa"/>
            <w:shd w:val="clear" w:color="auto" w:fill="FFFFFF"/>
            <w:vAlign w:val="center"/>
          </w:tcPr>
          <w:p w14:paraId="20C1D6AF" w14:textId="77777777" w:rsidR="000739F5" w:rsidRPr="000E25BC" w:rsidRDefault="000739F5" w:rsidP="00D03855">
            <w:pPr>
              <w:pStyle w:val="CETBodytext"/>
              <w:rPr>
                <w:lang w:val="en-GB"/>
              </w:rPr>
            </w:pPr>
            <w:r>
              <w:t>83</w:t>
            </w:r>
          </w:p>
        </w:tc>
        <w:tc>
          <w:tcPr>
            <w:tcW w:w="927" w:type="dxa"/>
            <w:shd w:val="clear" w:color="auto" w:fill="FFFFFF"/>
            <w:vAlign w:val="center"/>
          </w:tcPr>
          <w:p w14:paraId="4755C832" w14:textId="77777777" w:rsidR="000739F5" w:rsidRPr="000E25BC" w:rsidRDefault="000739F5" w:rsidP="00D03855">
            <w:pPr>
              <w:pStyle w:val="CETBodytext"/>
              <w:rPr>
                <w:lang w:val="en-GB"/>
              </w:rPr>
            </w:pPr>
            <w:r>
              <w:t>76</w:t>
            </w:r>
          </w:p>
        </w:tc>
      </w:tr>
      <w:tr w:rsidR="000739F5" w:rsidRPr="00B57B36" w14:paraId="65D226D4" w14:textId="77777777" w:rsidTr="000739F5">
        <w:trPr>
          <w:trHeight w:val="194"/>
        </w:trPr>
        <w:tc>
          <w:tcPr>
            <w:tcW w:w="771" w:type="dxa"/>
            <w:shd w:val="clear" w:color="auto" w:fill="FFFFFF"/>
          </w:tcPr>
          <w:p w14:paraId="08125A8D" w14:textId="77777777" w:rsidR="000739F5" w:rsidRPr="00BC269C" w:rsidRDefault="000739F5" w:rsidP="00D03855">
            <w:pPr>
              <w:pStyle w:val="CETBodytext"/>
              <w:rPr>
                <w:lang w:val="en-GB"/>
              </w:rPr>
            </w:pPr>
            <w:r w:rsidRPr="00BC269C">
              <w:rPr>
                <w:lang w:val="en-GB"/>
              </w:rPr>
              <w:t>3</w:t>
            </w:r>
          </w:p>
        </w:tc>
        <w:tc>
          <w:tcPr>
            <w:tcW w:w="1543" w:type="dxa"/>
            <w:shd w:val="clear" w:color="auto" w:fill="FFFFFF"/>
            <w:vAlign w:val="center"/>
          </w:tcPr>
          <w:p w14:paraId="432899BB" w14:textId="77777777" w:rsidR="000739F5" w:rsidRPr="000E25BC" w:rsidRDefault="000739F5" w:rsidP="00D03855">
            <w:pPr>
              <w:pStyle w:val="CETBodytext"/>
              <w:rPr>
                <w:lang w:val="en-GB"/>
              </w:rPr>
            </w:pPr>
            <w:r>
              <w:t>83</w:t>
            </w:r>
            <w:r w:rsidRPr="000E25BC">
              <w:t>±</w:t>
            </w:r>
            <w:r>
              <w:t>1</w:t>
            </w:r>
          </w:p>
        </w:tc>
        <w:tc>
          <w:tcPr>
            <w:tcW w:w="1388" w:type="dxa"/>
            <w:shd w:val="clear" w:color="auto" w:fill="FFFFFF"/>
            <w:vAlign w:val="center"/>
          </w:tcPr>
          <w:p w14:paraId="079E71DB" w14:textId="77777777" w:rsidR="000739F5" w:rsidRPr="000E25BC" w:rsidRDefault="000739F5" w:rsidP="00D03855">
            <w:pPr>
              <w:pStyle w:val="CETBodytext"/>
              <w:rPr>
                <w:lang w:val="en-GB"/>
              </w:rPr>
            </w:pPr>
            <w:r>
              <w:t>100</w:t>
            </w:r>
          </w:p>
        </w:tc>
        <w:tc>
          <w:tcPr>
            <w:tcW w:w="1387" w:type="dxa"/>
            <w:shd w:val="clear" w:color="auto" w:fill="FFFFFF"/>
          </w:tcPr>
          <w:p w14:paraId="648286A5" w14:textId="77777777" w:rsidR="000739F5" w:rsidRDefault="000739F5" w:rsidP="00D03855">
            <w:pPr>
              <w:pStyle w:val="CETBodytext"/>
            </w:pPr>
            <w:r>
              <w:t>99</w:t>
            </w:r>
            <w:r w:rsidRPr="000E25BC">
              <w:t>±</w:t>
            </w:r>
            <w:r>
              <w:t>1</w:t>
            </w:r>
          </w:p>
        </w:tc>
        <w:tc>
          <w:tcPr>
            <w:tcW w:w="1234" w:type="dxa"/>
            <w:shd w:val="clear" w:color="auto" w:fill="FFFFFF"/>
          </w:tcPr>
          <w:p w14:paraId="7E744898" w14:textId="77777777" w:rsidR="000739F5" w:rsidRDefault="000739F5" w:rsidP="00D03855">
            <w:pPr>
              <w:pStyle w:val="CETBodytext"/>
            </w:pPr>
            <w:r>
              <w:t>-</w:t>
            </w:r>
          </w:p>
        </w:tc>
        <w:tc>
          <w:tcPr>
            <w:tcW w:w="1079" w:type="dxa"/>
            <w:shd w:val="clear" w:color="auto" w:fill="FFFFFF"/>
            <w:vAlign w:val="center"/>
          </w:tcPr>
          <w:p w14:paraId="4E11FB8F" w14:textId="77777777" w:rsidR="000739F5" w:rsidRPr="000E25BC" w:rsidRDefault="000739F5" w:rsidP="00D03855">
            <w:pPr>
              <w:pStyle w:val="CETBodytext"/>
              <w:rPr>
                <w:lang w:val="en-GB"/>
              </w:rPr>
            </w:pPr>
            <w:r>
              <w:t>76</w:t>
            </w:r>
          </w:p>
        </w:tc>
        <w:tc>
          <w:tcPr>
            <w:tcW w:w="927" w:type="dxa"/>
            <w:shd w:val="clear" w:color="auto" w:fill="FFFFFF"/>
            <w:vAlign w:val="center"/>
          </w:tcPr>
          <w:p w14:paraId="22EC7F08" w14:textId="77777777" w:rsidR="000739F5" w:rsidRPr="000E25BC" w:rsidRDefault="000739F5" w:rsidP="00D03855">
            <w:pPr>
              <w:pStyle w:val="CETBodytext"/>
              <w:rPr>
                <w:lang w:val="en-GB"/>
              </w:rPr>
            </w:pPr>
            <w:r>
              <w:t>85</w:t>
            </w:r>
          </w:p>
        </w:tc>
      </w:tr>
    </w:tbl>
    <w:p w14:paraId="4A287373" w14:textId="77777777" w:rsidR="007C2403" w:rsidRDefault="007C2403" w:rsidP="00793366">
      <w:pPr>
        <w:pStyle w:val="CETBodytext"/>
      </w:pPr>
    </w:p>
    <w:p w14:paraId="0CE1D3DA" w14:textId="77777777" w:rsidR="00FB3BDB" w:rsidRPr="00793366" w:rsidRDefault="00A4042A" w:rsidP="00793366">
      <w:pPr>
        <w:pStyle w:val="CETBodytext"/>
      </w:pPr>
      <w:r w:rsidRPr="00793366">
        <w:t>The final effluent</w:t>
      </w:r>
      <w:r w:rsidR="00004F76">
        <w:t>s</w:t>
      </w:r>
      <w:r w:rsidR="0078057A">
        <w:t xml:space="preserve"> </w:t>
      </w:r>
      <w:r w:rsidR="00CD03E8">
        <w:t>coupling</w:t>
      </w:r>
      <w:r w:rsidRPr="00793366">
        <w:t xml:space="preserve"> UASB</w:t>
      </w:r>
      <w:r w:rsidR="00CD03E8">
        <w:t xml:space="preserve"> and </w:t>
      </w:r>
      <w:proofErr w:type="spellStart"/>
      <w:r w:rsidRPr="00793366">
        <w:t>AnMBR</w:t>
      </w:r>
      <w:proofErr w:type="spellEnd"/>
      <w:r w:rsidRPr="00793366">
        <w:t xml:space="preserve"> during </w:t>
      </w:r>
      <w:r w:rsidR="00C9379A">
        <w:t>P</w:t>
      </w:r>
      <w:r w:rsidR="00A52E36">
        <w:t>eriod</w:t>
      </w:r>
      <w:r w:rsidRPr="00793366">
        <w:t>s 2 and 3</w:t>
      </w:r>
      <w:r w:rsidR="00371AF6">
        <w:t xml:space="preserve">, </w:t>
      </w:r>
      <w:r w:rsidR="00004F76">
        <w:t>are</w:t>
      </w:r>
      <w:r w:rsidRPr="00793366">
        <w:t xml:space="preserve"> reported in Table </w:t>
      </w:r>
      <w:r w:rsidR="0003531E">
        <w:t>5</w:t>
      </w:r>
      <w:r w:rsidR="00371AF6">
        <w:t xml:space="preserve">, </w:t>
      </w:r>
      <w:r w:rsidR="00654C0D" w:rsidRPr="00793366">
        <w:t xml:space="preserve">to make a comparison with the new </w:t>
      </w:r>
      <w:r w:rsidR="00371AF6">
        <w:t xml:space="preserve">proposal for the </w:t>
      </w:r>
      <w:r w:rsidR="008F08E8">
        <w:t>“</w:t>
      </w:r>
      <w:r w:rsidR="008F08E8" w:rsidRPr="009A4411">
        <w:rPr>
          <w:i/>
        </w:rPr>
        <w:t>Regulation of the European Parliament and of the Council</w:t>
      </w:r>
      <w:r w:rsidR="008F08E8">
        <w:t>”</w:t>
      </w:r>
      <w:r w:rsidR="008F08E8" w:rsidRPr="00793366">
        <w:t xml:space="preserve"> </w:t>
      </w:r>
      <w:r w:rsidR="008F08E8">
        <w:t xml:space="preserve">(28 May 2018) </w:t>
      </w:r>
      <w:r w:rsidR="00FB3BDB" w:rsidRPr="00793366">
        <w:t xml:space="preserve">on minimum requirements for water reuse. About uses and minimum requirements, the new proposal allows </w:t>
      </w:r>
      <w:r w:rsidR="00AD064A" w:rsidRPr="00793366">
        <w:t>to use reclaimed water for a</w:t>
      </w:r>
      <w:r w:rsidR="00FB3BDB" w:rsidRPr="00793366">
        <w:rPr>
          <w:rFonts w:eastAsiaTheme="minorHAnsi"/>
        </w:rPr>
        <w:t>gricultural irrigation</w:t>
      </w:r>
      <w:r w:rsidR="008F08E8">
        <w:t xml:space="preserve"> both for </w:t>
      </w:r>
      <w:r w:rsidR="00FB3BDB" w:rsidRPr="00793366">
        <w:rPr>
          <w:rFonts w:eastAsiaTheme="minorHAnsi"/>
        </w:rPr>
        <w:t>food crops consumed raw</w:t>
      </w:r>
      <w:r w:rsidR="00AD064A" w:rsidRPr="00793366">
        <w:t xml:space="preserve">, </w:t>
      </w:r>
      <w:r w:rsidR="008F08E8">
        <w:t xml:space="preserve">for </w:t>
      </w:r>
      <w:r w:rsidR="00FB3BDB" w:rsidRPr="00793366">
        <w:rPr>
          <w:rFonts w:eastAsiaTheme="minorHAnsi"/>
        </w:rPr>
        <w:t>processed food crops</w:t>
      </w:r>
      <w:r w:rsidR="00AD064A" w:rsidRPr="00793366">
        <w:t xml:space="preserve"> and </w:t>
      </w:r>
      <w:r w:rsidR="008F08E8">
        <w:t xml:space="preserve">for </w:t>
      </w:r>
      <w:r w:rsidR="00FB3BDB" w:rsidRPr="00793366">
        <w:rPr>
          <w:rFonts w:eastAsiaTheme="minorHAnsi"/>
        </w:rPr>
        <w:t>non-food crops</w:t>
      </w:r>
      <w:r w:rsidR="00AD064A" w:rsidRPr="00793366">
        <w:t xml:space="preserve">. </w:t>
      </w:r>
      <w:r w:rsidR="00371AF6">
        <w:rPr>
          <w:rFonts w:eastAsiaTheme="minorHAnsi"/>
        </w:rPr>
        <w:t>There are different</w:t>
      </w:r>
      <w:r w:rsidR="00AD064A" w:rsidRPr="00793366">
        <w:rPr>
          <w:rFonts w:eastAsiaTheme="minorHAnsi"/>
        </w:rPr>
        <w:t xml:space="preserve"> classes of reclaimed water quality </w:t>
      </w:r>
      <w:r w:rsidR="00872B1D">
        <w:rPr>
          <w:rFonts w:eastAsiaTheme="minorHAnsi"/>
        </w:rPr>
        <w:t xml:space="preserve">(A, B, C, D) </w:t>
      </w:r>
      <w:r w:rsidR="00AD064A" w:rsidRPr="00793366">
        <w:rPr>
          <w:rFonts w:eastAsiaTheme="minorHAnsi"/>
        </w:rPr>
        <w:t xml:space="preserve">and </w:t>
      </w:r>
      <w:r w:rsidR="008F08E8" w:rsidRPr="00793366">
        <w:t>t</w:t>
      </w:r>
      <w:r w:rsidR="008F08E8" w:rsidRPr="00793366">
        <w:rPr>
          <w:rFonts w:eastAsiaTheme="minorHAnsi"/>
        </w:rPr>
        <w:t xml:space="preserve">he minimum requirements </w:t>
      </w:r>
      <w:r w:rsidR="00AD064A" w:rsidRPr="00793366">
        <w:rPr>
          <w:rFonts w:eastAsiaTheme="minorHAnsi"/>
        </w:rPr>
        <w:t xml:space="preserve">are set out in </w:t>
      </w:r>
      <w:r w:rsidR="00AD064A" w:rsidRPr="00793366">
        <w:t>the proposal</w:t>
      </w:r>
      <w:r w:rsidR="008F08E8">
        <w:t xml:space="preserve"> for each</w:t>
      </w:r>
      <w:r w:rsidR="008F08E8" w:rsidRPr="00793366">
        <w:rPr>
          <w:rFonts w:eastAsiaTheme="minorHAnsi"/>
        </w:rPr>
        <w:t xml:space="preserve"> al</w:t>
      </w:r>
      <w:r w:rsidR="008F08E8">
        <w:rPr>
          <w:rFonts w:eastAsiaTheme="minorHAnsi"/>
        </w:rPr>
        <w:t>lowed use, class and irrigation method</w:t>
      </w:r>
      <w:r w:rsidR="00AD064A" w:rsidRPr="00793366">
        <w:t>.</w:t>
      </w:r>
    </w:p>
    <w:p w14:paraId="4E891A33" w14:textId="77777777" w:rsidR="000739F5" w:rsidRPr="00B57B36" w:rsidRDefault="000739F5" w:rsidP="000739F5">
      <w:pPr>
        <w:pStyle w:val="CETTabletitle"/>
      </w:pPr>
      <w:r w:rsidRPr="00B57B36">
        <w:t>Tab</w:t>
      </w:r>
      <w:r>
        <w:t>l</w:t>
      </w:r>
      <w:r w:rsidRPr="00B57B36">
        <w:t xml:space="preserve">e </w:t>
      </w:r>
      <w:r w:rsidR="00AB101A">
        <w:t>5</w:t>
      </w:r>
      <w:r w:rsidRPr="00B57B36">
        <w:t>:</w:t>
      </w:r>
      <w:r>
        <w:t xml:space="preserve"> Effluent quality </w:t>
      </w:r>
      <w:r w:rsidR="00371AF6">
        <w:t xml:space="preserve">of </w:t>
      </w:r>
      <w:proofErr w:type="spellStart"/>
      <w:r w:rsidR="00371AF6">
        <w:t>UASB+AnMBR</w:t>
      </w:r>
      <w:proofErr w:type="spellEnd"/>
      <w:r w:rsidR="0003531E">
        <w:t xml:space="preserve"> </w:t>
      </w:r>
      <w:r>
        <w:t xml:space="preserve">in different </w:t>
      </w:r>
      <w:r w:rsidR="00A52E36">
        <w:t>period</w:t>
      </w:r>
      <w:r>
        <w:t xml:space="preserve">s </w:t>
      </w:r>
    </w:p>
    <w:tbl>
      <w:tblPr>
        <w:tblW w:w="609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1134"/>
        <w:gridCol w:w="850"/>
        <w:gridCol w:w="1134"/>
        <w:gridCol w:w="993"/>
        <w:gridCol w:w="1134"/>
      </w:tblGrid>
      <w:tr w:rsidR="00FB3BDB" w:rsidRPr="00B57B36" w14:paraId="5355A4D0" w14:textId="77777777" w:rsidTr="00FB3BDB">
        <w:trPr>
          <w:trHeight w:val="194"/>
        </w:trPr>
        <w:tc>
          <w:tcPr>
            <w:tcW w:w="851" w:type="dxa"/>
            <w:tcBorders>
              <w:top w:val="single" w:sz="12" w:space="0" w:color="008000"/>
              <w:bottom w:val="single" w:sz="6" w:space="0" w:color="008000"/>
            </w:tcBorders>
            <w:shd w:val="clear" w:color="auto" w:fill="FFFFFF"/>
          </w:tcPr>
          <w:p w14:paraId="7CBF05B8" w14:textId="77777777" w:rsidR="00FB3BDB" w:rsidRDefault="00A52E36" w:rsidP="00654C0D">
            <w:pPr>
              <w:pStyle w:val="CETBodytext"/>
              <w:rPr>
                <w:lang w:val="en-GB"/>
              </w:rPr>
            </w:pPr>
            <w:r>
              <w:rPr>
                <w:lang w:val="en-GB"/>
              </w:rPr>
              <w:t>Period</w:t>
            </w:r>
          </w:p>
        </w:tc>
        <w:tc>
          <w:tcPr>
            <w:tcW w:w="1134" w:type="dxa"/>
            <w:tcBorders>
              <w:top w:val="single" w:sz="12" w:space="0" w:color="008000"/>
              <w:bottom w:val="single" w:sz="6" w:space="0" w:color="008000"/>
            </w:tcBorders>
            <w:shd w:val="clear" w:color="auto" w:fill="FFFFFF"/>
            <w:vAlign w:val="center"/>
          </w:tcPr>
          <w:p w14:paraId="474B52F6" w14:textId="77777777" w:rsidR="00FB3BDB" w:rsidRPr="000E25BC" w:rsidRDefault="00FB3BDB" w:rsidP="00654C0D">
            <w:pPr>
              <w:pStyle w:val="CETBodytext"/>
              <w:rPr>
                <w:lang w:val="en-GB"/>
              </w:rPr>
            </w:pPr>
            <w:r>
              <w:rPr>
                <w:lang w:val="en-GB"/>
              </w:rPr>
              <w:t>COD</w:t>
            </w:r>
          </w:p>
        </w:tc>
        <w:tc>
          <w:tcPr>
            <w:tcW w:w="850" w:type="dxa"/>
            <w:tcBorders>
              <w:top w:val="single" w:sz="12" w:space="0" w:color="008000"/>
              <w:bottom w:val="single" w:sz="6" w:space="0" w:color="008000"/>
            </w:tcBorders>
            <w:shd w:val="clear" w:color="auto" w:fill="FFFFFF"/>
            <w:vAlign w:val="center"/>
          </w:tcPr>
          <w:p w14:paraId="2FBA8F98" w14:textId="77777777" w:rsidR="00FB3BDB" w:rsidRPr="000E25BC" w:rsidRDefault="00FB3BDB" w:rsidP="00654C0D">
            <w:pPr>
              <w:pStyle w:val="CETBodytext"/>
              <w:rPr>
                <w:lang w:val="en-GB"/>
              </w:rPr>
            </w:pPr>
            <w:r>
              <w:rPr>
                <w:lang w:val="en-GB"/>
              </w:rPr>
              <w:t>TSS</w:t>
            </w:r>
          </w:p>
        </w:tc>
        <w:tc>
          <w:tcPr>
            <w:tcW w:w="1134" w:type="dxa"/>
            <w:tcBorders>
              <w:top w:val="single" w:sz="12" w:space="0" w:color="008000"/>
              <w:bottom w:val="single" w:sz="6" w:space="0" w:color="008000"/>
            </w:tcBorders>
            <w:shd w:val="clear" w:color="auto" w:fill="FFFFFF"/>
          </w:tcPr>
          <w:p w14:paraId="23238719" w14:textId="77777777" w:rsidR="00FB3BDB" w:rsidRDefault="00FB3BDB" w:rsidP="00654C0D">
            <w:pPr>
              <w:pStyle w:val="CETBodytext"/>
              <w:rPr>
                <w:lang w:val="en-GB"/>
              </w:rPr>
            </w:pPr>
            <w:r>
              <w:rPr>
                <w:lang w:val="en-GB"/>
              </w:rPr>
              <w:t>TN</w:t>
            </w:r>
          </w:p>
        </w:tc>
        <w:tc>
          <w:tcPr>
            <w:tcW w:w="993" w:type="dxa"/>
            <w:tcBorders>
              <w:top w:val="single" w:sz="12" w:space="0" w:color="008000"/>
              <w:bottom w:val="single" w:sz="6" w:space="0" w:color="008000"/>
            </w:tcBorders>
            <w:shd w:val="clear" w:color="auto" w:fill="FFFFFF"/>
          </w:tcPr>
          <w:p w14:paraId="25028B7F" w14:textId="77777777" w:rsidR="00FB3BDB" w:rsidRDefault="00FB3BDB" w:rsidP="00654C0D">
            <w:pPr>
              <w:pStyle w:val="CETBodytext"/>
              <w:rPr>
                <w:lang w:val="en-GB"/>
              </w:rPr>
            </w:pPr>
            <w:r>
              <w:rPr>
                <w:lang w:val="en-GB"/>
              </w:rPr>
              <w:t>TP</w:t>
            </w:r>
          </w:p>
        </w:tc>
        <w:tc>
          <w:tcPr>
            <w:tcW w:w="1134" w:type="dxa"/>
            <w:tcBorders>
              <w:top w:val="single" w:sz="12" w:space="0" w:color="008000"/>
              <w:bottom w:val="single" w:sz="6" w:space="0" w:color="008000"/>
            </w:tcBorders>
            <w:shd w:val="clear" w:color="auto" w:fill="FFFFFF"/>
            <w:vAlign w:val="center"/>
          </w:tcPr>
          <w:p w14:paraId="6DAE5090" w14:textId="77777777" w:rsidR="00FB3BDB" w:rsidRPr="000E25BC" w:rsidRDefault="00FB3BDB" w:rsidP="00654C0D">
            <w:pPr>
              <w:pStyle w:val="CETBodytext"/>
              <w:rPr>
                <w:lang w:val="en-GB"/>
              </w:rPr>
            </w:pPr>
            <w:proofErr w:type="spellStart"/>
            <w:proofErr w:type="gramStart"/>
            <w:r>
              <w:rPr>
                <w:lang w:val="en-GB"/>
              </w:rPr>
              <w:t>E.Coli</w:t>
            </w:r>
            <w:proofErr w:type="spellEnd"/>
            <w:proofErr w:type="gramEnd"/>
          </w:p>
        </w:tc>
      </w:tr>
      <w:tr w:rsidR="00FB3BDB" w:rsidRPr="00B57B36" w14:paraId="2B11BBF4" w14:textId="77777777" w:rsidTr="00FB3BDB">
        <w:trPr>
          <w:trHeight w:val="382"/>
        </w:trPr>
        <w:tc>
          <w:tcPr>
            <w:tcW w:w="851" w:type="dxa"/>
            <w:shd w:val="clear" w:color="auto" w:fill="FFFFFF"/>
          </w:tcPr>
          <w:p w14:paraId="17A0AD2F" w14:textId="77777777" w:rsidR="00FB3BDB" w:rsidRDefault="00FB3BDB" w:rsidP="00654C0D">
            <w:pPr>
              <w:pStyle w:val="CETBodytext"/>
              <w:rPr>
                <w:lang w:val="en-GB"/>
              </w:rPr>
            </w:pPr>
          </w:p>
        </w:tc>
        <w:tc>
          <w:tcPr>
            <w:tcW w:w="1134" w:type="dxa"/>
            <w:shd w:val="clear" w:color="auto" w:fill="FFFFFF"/>
            <w:vAlign w:val="center"/>
          </w:tcPr>
          <w:p w14:paraId="0A20B3F4" w14:textId="77777777" w:rsidR="00FB3BDB" w:rsidRPr="000E25BC" w:rsidRDefault="00FB3BDB" w:rsidP="00654C0D">
            <w:pPr>
              <w:pStyle w:val="CETBodytext"/>
              <w:rPr>
                <w:lang w:val="en-GB"/>
              </w:rPr>
            </w:pPr>
            <w:r>
              <w:rPr>
                <w:lang w:val="en-GB"/>
              </w:rPr>
              <w:t>mg/L</w:t>
            </w:r>
          </w:p>
        </w:tc>
        <w:tc>
          <w:tcPr>
            <w:tcW w:w="850" w:type="dxa"/>
            <w:shd w:val="clear" w:color="auto" w:fill="FFFFFF"/>
            <w:vAlign w:val="center"/>
          </w:tcPr>
          <w:p w14:paraId="23A43CE2" w14:textId="77777777" w:rsidR="00FB3BDB" w:rsidRPr="000E25BC" w:rsidRDefault="00FB3BDB" w:rsidP="00654C0D">
            <w:pPr>
              <w:pStyle w:val="CETBodytext"/>
              <w:rPr>
                <w:lang w:val="en-GB"/>
              </w:rPr>
            </w:pPr>
            <w:r>
              <w:rPr>
                <w:lang w:val="en-GB"/>
              </w:rPr>
              <w:t>mg/L</w:t>
            </w:r>
          </w:p>
        </w:tc>
        <w:tc>
          <w:tcPr>
            <w:tcW w:w="1134" w:type="dxa"/>
            <w:shd w:val="clear" w:color="auto" w:fill="FFFFFF"/>
          </w:tcPr>
          <w:p w14:paraId="6EC06824" w14:textId="77777777" w:rsidR="00FB3BDB" w:rsidRDefault="00FB3BDB" w:rsidP="00654C0D">
            <w:pPr>
              <w:pStyle w:val="CETBodytext"/>
              <w:rPr>
                <w:lang w:val="en-GB"/>
              </w:rPr>
            </w:pPr>
            <w:r>
              <w:rPr>
                <w:lang w:val="en-GB"/>
              </w:rPr>
              <w:t>mg/L</w:t>
            </w:r>
          </w:p>
        </w:tc>
        <w:tc>
          <w:tcPr>
            <w:tcW w:w="993" w:type="dxa"/>
            <w:shd w:val="clear" w:color="auto" w:fill="FFFFFF"/>
          </w:tcPr>
          <w:p w14:paraId="66681633" w14:textId="77777777" w:rsidR="00FB3BDB" w:rsidRDefault="00FB3BDB" w:rsidP="00654C0D">
            <w:pPr>
              <w:pStyle w:val="CETBodytext"/>
              <w:rPr>
                <w:lang w:val="en-GB"/>
              </w:rPr>
            </w:pPr>
            <w:r>
              <w:rPr>
                <w:lang w:val="en-GB"/>
              </w:rPr>
              <w:t>mg/L</w:t>
            </w:r>
          </w:p>
        </w:tc>
        <w:tc>
          <w:tcPr>
            <w:tcW w:w="1134" w:type="dxa"/>
            <w:shd w:val="clear" w:color="auto" w:fill="FFFFFF"/>
            <w:vAlign w:val="center"/>
          </w:tcPr>
          <w:p w14:paraId="42289CBC" w14:textId="77777777" w:rsidR="00FB3BDB" w:rsidRPr="000E25BC" w:rsidRDefault="00FB3BDB" w:rsidP="00654C0D">
            <w:pPr>
              <w:pStyle w:val="CETBodytext"/>
              <w:rPr>
                <w:lang w:val="en-GB"/>
              </w:rPr>
            </w:pPr>
            <w:r>
              <w:rPr>
                <w:lang w:val="en-GB"/>
              </w:rPr>
              <w:t>UFC/100mL</w:t>
            </w:r>
          </w:p>
        </w:tc>
      </w:tr>
      <w:tr w:rsidR="00FB3BDB" w:rsidRPr="00B57B36" w14:paraId="6DE21433" w14:textId="77777777" w:rsidTr="00FB3BDB">
        <w:trPr>
          <w:trHeight w:val="194"/>
        </w:trPr>
        <w:tc>
          <w:tcPr>
            <w:tcW w:w="851" w:type="dxa"/>
            <w:shd w:val="clear" w:color="auto" w:fill="FFFFFF"/>
          </w:tcPr>
          <w:p w14:paraId="62644971" w14:textId="77777777" w:rsidR="00FB3BDB" w:rsidRPr="00BC269C" w:rsidRDefault="00FB3BDB" w:rsidP="00654C0D">
            <w:pPr>
              <w:pStyle w:val="CETBodytext"/>
              <w:rPr>
                <w:lang w:val="en-GB"/>
              </w:rPr>
            </w:pPr>
            <w:r w:rsidRPr="00BC269C">
              <w:rPr>
                <w:lang w:val="en-GB"/>
              </w:rPr>
              <w:t>1</w:t>
            </w:r>
          </w:p>
        </w:tc>
        <w:tc>
          <w:tcPr>
            <w:tcW w:w="1134" w:type="dxa"/>
            <w:shd w:val="clear" w:color="auto" w:fill="FFFFFF"/>
            <w:vAlign w:val="center"/>
          </w:tcPr>
          <w:p w14:paraId="3C627108" w14:textId="77777777" w:rsidR="00FB3BDB" w:rsidRPr="000E25BC" w:rsidRDefault="00FB3BDB" w:rsidP="00654C0D">
            <w:pPr>
              <w:pStyle w:val="CETBodytext"/>
              <w:rPr>
                <w:lang w:val="en-GB"/>
              </w:rPr>
            </w:pPr>
            <w:r>
              <w:t>55</w:t>
            </w:r>
            <w:r w:rsidRPr="000E25BC">
              <w:t>±</w:t>
            </w:r>
            <w:r>
              <w:t>15</w:t>
            </w:r>
          </w:p>
        </w:tc>
        <w:tc>
          <w:tcPr>
            <w:tcW w:w="850" w:type="dxa"/>
            <w:shd w:val="clear" w:color="auto" w:fill="FFFFFF"/>
            <w:vAlign w:val="center"/>
          </w:tcPr>
          <w:p w14:paraId="279718D9" w14:textId="77777777" w:rsidR="00FB3BDB" w:rsidRPr="000E25BC" w:rsidRDefault="00FB3BDB" w:rsidP="00654C0D">
            <w:pPr>
              <w:pStyle w:val="CETBodytext"/>
              <w:rPr>
                <w:lang w:val="en-GB"/>
              </w:rPr>
            </w:pPr>
            <w:r>
              <w:t>0</w:t>
            </w:r>
          </w:p>
        </w:tc>
        <w:tc>
          <w:tcPr>
            <w:tcW w:w="1134" w:type="dxa"/>
            <w:shd w:val="clear" w:color="auto" w:fill="FFFFFF"/>
          </w:tcPr>
          <w:p w14:paraId="6AA1079C" w14:textId="77777777" w:rsidR="00FB3BDB" w:rsidRDefault="00FB3BDB" w:rsidP="00654C0D">
            <w:pPr>
              <w:pStyle w:val="CETBodytext"/>
            </w:pPr>
            <w:r>
              <w:t>-</w:t>
            </w:r>
          </w:p>
        </w:tc>
        <w:tc>
          <w:tcPr>
            <w:tcW w:w="993" w:type="dxa"/>
            <w:shd w:val="clear" w:color="auto" w:fill="FFFFFF"/>
          </w:tcPr>
          <w:p w14:paraId="3EADD027" w14:textId="77777777" w:rsidR="00FB3BDB" w:rsidRDefault="00FB3BDB" w:rsidP="00654C0D">
            <w:pPr>
              <w:pStyle w:val="CETBodytext"/>
            </w:pPr>
            <w:r>
              <w:t>-</w:t>
            </w:r>
          </w:p>
        </w:tc>
        <w:tc>
          <w:tcPr>
            <w:tcW w:w="1134" w:type="dxa"/>
            <w:shd w:val="clear" w:color="auto" w:fill="FFFFFF"/>
            <w:vAlign w:val="center"/>
          </w:tcPr>
          <w:p w14:paraId="2D1731E6" w14:textId="77777777" w:rsidR="00FB3BDB" w:rsidRPr="000E25BC" w:rsidRDefault="00FB3BDB" w:rsidP="00654C0D">
            <w:pPr>
              <w:pStyle w:val="CETBodytext"/>
              <w:rPr>
                <w:lang w:val="en-GB"/>
              </w:rPr>
            </w:pPr>
            <w:r>
              <w:t>-</w:t>
            </w:r>
          </w:p>
        </w:tc>
      </w:tr>
      <w:tr w:rsidR="00FB3BDB" w:rsidRPr="00B57B36" w14:paraId="34D67EF6" w14:textId="77777777" w:rsidTr="00FB3BDB">
        <w:trPr>
          <w:trHeight w:val="194"/>
        </w:trPr>
        <w:tc>
          <w:tcPr>
            <w:tcW w:w="851" w:type="dxa"/>
            <w:shd w:val="clear" w:color="auto" w:fill="FFFFFF"/>
          </w:tcPr>
          <w:p w14:paraId="152DEBF4" w14:textId="77777777" w:rsidR="00FB3BDB" w:rsidRPr="00BC269C" w:rsidRDefault="00FB3BDB" w:rsidP="00654C0D">
            <w:pPr>
              <w:pStyle w:val="CETBodytext"/>
              <w:rPr>
                <w:lang w:val="en-GB"/>
              </w:rPr>
            </w:pPr>
            <w:r w:rsidRPr="00BC269C">
              <w:rPr>
                <w:lang w:val="en-GB"/>
              </w:rPr>
              <w:t>2</w:t>
            </w:r>
          </w:p>
        </w:tc>
        <w:tc>
          <w:tcPr>
            <w:tcW w:w="1134" w:type="dxa"/>
            <w:shd w:val="clear" w:color="auto" w:fill="FFFFFF"/>
            <w:vAlign w:val="center"/>
          </w:tcPr>
          <w:p w14:paraId="1DC1BA32" w14:textId="77777777" w:rsidR="00FB3BDB" w:rsidRPr="000E25BC" w:rsidRDefault="00FB3BDB" w:rsidP="00654C0D">
            <w:pPr>
              <w:pStyle w:val="CETBodytext"/>
              <w:rPr>
                <w:lang w:val="en-GB"/>
              </w:rPr>
            </w:pPr>
            <w:r>
              <w:t>43</w:t>
            </w:r>
            <w:r w:rsidRPr="000E25BC">
              <w:t>±</w:t>
            </w:r>
            <w:r>
              <w:t>13</w:t>
            </w:r>
          </w:p>
        </w:tc>
        <w:tc>
          <w:tcPr>
            <w:tcW w:w="850" w:type="dxa"/>
            <w:shd w:val="clear" w:color="auto" w:fill="FFFFFF"/>
            <w:vAlign w:val="center"/>
          </w:tcPr>
          <w:p w14:paraId="2C10DFBD" w14:textId="77777777" w:rsidR="00FB3BDB" w:rsidRPr="000E25BC" w:rsidRDefault="00FB3BDB" w:rsidP="00654C0D">
            <w:pPr>
              <w:pStyle w:val="CETBodytext"/>
              <w:rPr>
                <w:lang w:val="en-GB"/>
              </w:rPr>
            </w:pPr>
            <w:r>
              <w:t>0</w:t>
            </w:r>
          </w:p>
        </w:tc>
        <w:tc>
          <w:tcPr>
            <w:tcW w:w="1134" w:type="dxa"/>
            <w:shd w:val="clear" w:color="auto" w:fill="FFFFFF"/>
          </w:tcPr>
          <w:p w14:paraId="1E642BC1" w14:textId="77777777" w:rsidR="00FB3BDB" w:rsidRDefault="00FB3BDB" w:rsidP="00654C0D">
            <w:pPr>
              <w:pStyle w:val="CETBodytext"/>
            </w:pPr>
            <w:r>
              <w:t>15</w:t>
            </w:r>
            <w:r w:rsidRPr="000E25BC">
              <w:t>±</w:t>
            </w:r>
            <w:r>
              <w:t>10</w:t>
            </w:r>
          </w:p>
        </w:tc>
        <w:tc>
          <w:tcPr>
            <w:tcW w:w="993" w:type="dxa"/>
            <w:shd w:val="clear" w:color="auto" w:fill="FFFFFF"/>
          </w:tcPr>
          <w:p w14:paraId="03EF59A4" w14:textId="77777777" w:rsidR="00FB3BDB" w:rsidRDefault="00FB3BDB" w:rsidP="00654C0D">
            <w:pPr>
              <w:pStyle w:val="CETBodytext"/>
            </w:pPr>
            <w:r>
              <w:t>1.9</w:t>
            </w:r>
            <w:r w:rsidRPr="000E25BC">
              <w:t>±</w:t>
            </w:r>
            <w:r>
              <w:t>1.0</w:t>
            </w:r>
          </w:p>
        </w:tc>
        <w:tc>
          <w:tcPr>
            <w:tcW w:w="1134" w:type="dxa"/>
            <w:shd w:val="clear" w:color="auto" w:fill="FFFFFF"/>
            <w:vAlign w:val="center"/>
          </w:tcPr>
          <w:p w14:paraId="104EA9D8" w14:textId="77777777" w:rsidR="00FB3BDB" w:rsidRPr="000E25BC" w:rsidRDefault="00FB3BDB" w:rsidP="00654C0D">
            <w:pPr>
              <w:pStyle w:val="CETBodytext"/>
              <w:rPr>
                <w:lang w:val="en-GB"/>
              </w:rPr>
            </w:pPr>
            <w:r>
              <w:t>1</w:t>
            </w:r>
          </w:p>
        </w:tc>
      </w:tr>
      <w:tr w:rsidR="00FB3BDB" w:rsidRPr="00B57B36" w14:paraId="78C9E407" w14:textId="77777777" w:rsidTr="00FB3BDB">
        <w:trPr>
          <w:trHeight w:val="194"/>
        </w:trPr>
        <w:tc>
          <w:tcPr>
            <w:tcW w:w="851" w:type="dxa"/>
            <w:shd w:val="clear" w:color="auto" w:fill="FFFFFF"/>
          </w:tcPr>
          <w:p w14:paraId="23D185C0" w14:textId="77777777" w:rsidR="00FB3BDB" w:rsidRPr="00BC269C" w:rsidRDefault="00FB3BDB" w:rsidP="00654C0D">
            <w:pPr>
              <w:pStyle w:val="CETBodytext"/>
              <w:rPr>
                <w:lang w:val="en-GB"/>
              </w:rPr>
            </w:pPr>
            <w:r w:rsidRPr="00BC269C">
              <w:rPr>
                <w:lang w:val="en-GB"/>
              </w:rPr>
              <w:t>3</w:t>
            </w:r>
          </w:p>
        </w:tc>
        <w:tc>
          <w:tcPr>
            <w:tcW w:w="1134" w:type="dxa"/>
            <w:shd w:val="clear" w:color="auto" w:fill="FFFFFF"/>
            <w:vAlign w:val="center"/>
          </w:tcPr>
          <w:p w14:paraId="3804DD2F" w14:textId="77777777" w:rsidR="00FB3BDB" w:rsidRPr="000E25BC" w:rsidRDefault="00FB3BDB" w:rsidP="00654C0D">
            <w:pPr>
              <w:pStyle w:val="CETBodytext"/>
              <w:rPr>
                <w:lang w:val="en-GB"/>
              </w:rPr>
            </w:pPr>
            <w:r>
              <w:t>77</w:t>
            </w:r>
            <w:r w:rsidRPr="000E25BC">
              <w:t>±</w:t>
            </w:r>
            <w:r>
              <w:t>87</w:t>
            </w:r>
          </w:p>
        </w:tc>
        <w:tc>
          <w:tcPr>
            <w:tcW w:w="850" w:type="dxa"/>
            <w:shd w:val="clear" w:color="auto" w:fill="FFFFFF"/>
            <w:vAlign w:val="center"/>
          </w:tcPr>
          <w:p w14:paraId="2DA62406" w14:textId="77777777" w:rsidR="00FB3BDB" w:rsidRPr="000E25BC" w:rsidRDefault="00FB3BDB" w:rsidP="00654C0D">
            <w:pPr>
              <w:pStyle w:val="CETBodytext"/>
              <w:rPr>
                <w:lang w:val="en-GB"/>
              </w:rPr>
            </w:pPr>
            <w:r>
              <w:t>0</w:t>
            </w:r>
          </w:p>
        </w:tc>
        <w:tc>
          <w:tcPr>
            <w:tcW w:w="1134" w:type="dxa"/>
            <w:shd w:val="clear" w:color="auto" w:fill="FFFFFF"/>
          </w:tcPr>
          <w:p w14:paraId="59C0CCC0" w14:textId="77777777" w:rsidR="00FB3BDB" w:rsidRDefault="00FB3BDB" w:rsidP="00654C0D">
            <w:pPr>
              <w:pStyle w:val="CETBodytext"/>
            </w:pPr>
            <w:r>
              <w:t>60</w:t>
            </w:r>
            <w:r w:rsidRPr="000E25BC">
              <w:t>±</w:t>
            </w:r>
            <w:r>
              <w:t>55</w:t>
            </w:r>
          </w:p>
        </w:tc>
        <w:tc>
          <w:tcPr>
            <w:tcW w:w="993" w:type="dxa"/>
            <w:shd w:val="clear" w:color="auto" w:fill="FFFFFF"/>
          </w:tcPr>
          <w:p w14:paraId="547BC208" w14:textId="77777777" w:rsidR="00FB3BDB" w:rsidRDefault="00FB3BDB" w:rsidP="00654C0D">
            <w:pPr>
              <w:pStyle w:val="CETBodytext"/>
            </w:pPr>
            <w:r>
              <w:t>6.0</w:t>
            </w:r>
            <w:r w:rsidRPr="000E25BC">
              <w:t>±</w:t>
            </w:r>
            <w:r>
              <w:t>4.3</w:t>
            </w:r>
          </w:p>
        </w:tc>
        <w:tc>
          <w:tcPr>
            <w:tcW w:w="1134" w:type="dxa"/>
            <w:shd w:val="clear" w:color="auto" w:fill="FFFFFF"/>
            <w:vAlign w:val="center"/>
          </w:tcPr>
          <w:p w14:paraId="2ACF9668" w14:textId="77777777" w:rsidR="00FB3BDB" w:rsidRPr="000E25BC" w:rsidRDefault="00FB3BDB" w:rsidP="00654C0D">
            <w:pPr>
              <w:pStyle w:val="CETBodytext"/>
              <w:rPr>
                <w:lang w:val="en-GB"/>
              </w:rPr>
            </w:pPr>
            <w:r>
              <w:t>1</w:t>
            </w:r>
          </w:p>
        </w:tc>
      </w:tr>
    </w:tbl>
    <w:p w14:paraId="743DCEFC" w14:textId="77777777" w:rsidR="006C08CF" w:rsidRPr="00A4042A" w:rsidRDefault="006C08CF" w:rsidP="00872B1D">
      <w:pPr>
        <w:pStyle w:val="CETBodytext"/>
      </w:pPr>
    </w:p>
    <w:p w14:paraId="023A8FDD" w14:textId="77777777" w:rsidR="002C0DB4" w:rsidRDefault="00872B1D" w:rsidP="00872B1D">
      <w:pPr>
        <w:pStyle w:val="CETBodytext"/>
      </w:pPr>
      <w:r>
        <w:t>In this</w:t>
      </w:r>
      <w:r w:rsidR="008F08E8">
        <w:t xml:space="preserve"> study</w:t>
      </w:r>
      <w:r>
        <w:t xml:space="preserve">, the effluent from </w:t>
      </w:r>
      <w:proofErr w:type="spellStart"/>
      <w:r>
        <w:t>AnMBR</w:t>
      </w:r>
      <w:proofErr w:type="spellEnd"/>
      <w:r>
        <w:t xml:space="preserve"> complies with the minimum requirements set out in the EU proposal</w:t>
      </w:r>
      <w:r w:rsidR="00371AF6">
        <w:t xml:space="preserve"> in terms of </w:t>
      </w:r>
      <w:proofErr w:type="spellStart"/>
      <w:proofErr w:type="gramStart"/>
      <w:r w:rsidR="00371AF6">
        <w:t>E.Coli</w:t>
      </w:r>
      <w:proofErr w:type="spellEnd"/>
      <w:proofErr w:type="gramEnd"/>
      <w:r>
        <w:t xml:space="preserve">, </w:t>
      </w:r>
      <w:r w:rsidR="008640B9">
        <w:t xml:space="preserve">other </w:t>
      </w:r>
      <w:r>
        <w:t xml:space="preserve">national and regional laws </w:t>
      </w:r>
      <w:r w:rsidR="008640B9">
        <w:t xml:space="preserve">actually in force </w:t>
      </w:r>
      <w:r w:rsidR="0003531E">
        <w:t>in Europe</w:t>
      </w:r>
      <w:r w:rsidR="008640B9">
        <w:t xml:space="preserve"> present</w:t>
      </w:r>
      <w:r>
        <w:t xml:space="preserve"> more </w:t>
      </w:r>
      <w:r w:rsidR="00B14EB1">
        <w:t>restri</w:t>
      </w:r>
      <w:r w:rsidR="008640B9">
        <w:t>ctive</w:t>
      </w:r>
      <w:r>
        <w:t xml:space="preserve"> limits on microbiological parameters and </w:t>
      </w:r>
      <w:r w:rsidR="00B14EB1">
        <w:t>micropollutants</w:t>
      </w:r>
      <w:r>
        <w:t xml:space="preserve"> that make wastewater reuse not </w:t>
      </w:r>
      <w:r w:rsidR="00371AF6">
        <w:t xml:space="preserve">already </w:t>
      </w:r>
      <w:r>
        <w:t>possible</w:t>
      </w:r>
      <w:r w:rsidR="008640B9">
        <w:t xml:space="preserve"> (i.e. Italy and Greece)</w:t>
      </w:r>
      <w:r>
        <w:t>.</w:t>
      </w:r>
    </w:p>
    <w:p w14:paraId="1BADBD92" w14:textId="77777777" w:rsidR="008640B9" w:rsidRDefault="008640B9" w:rsidP="00872B1D">
      <w:pPr>
        <w:pStyle w:val="CETBodytext"/>
      </w:pPr>
    </w:p>
    <w:p w14:paraId="734E4AED" w14:textId="77777777" w:rsidR="000878AB" w:rsidRDefault="000878AB" w:rsidP="00872B1D">
      <w:pPr>
        <w:pStyle w:val="CETBodytext"/>
      </w:pPr>
    </w:p>
    <w:p w14:paraId="1D9D627B" w14:textId="77777777" w:rsidR="006F3F98" w:rsidRDefault="00120AF7" w:rsidP="000878AB">
      <w:pPr>
        <w:pStyle w:val="CETheadingx"/>
        <w:numPr>
          <w:ilvl w:val="0"/>
          <w:numId w:val="0"/>
        </w:numPr>
      </w:pPr>
      <w:r>
        <w:lastRenderedPageBreak/>
        <w:t>3.</w:t>
      </w:r>
      <w:r w:rsidR="00695387">
        <w:t>3</w:t>
      </w:r>
      <w:r>
        <w:t xml:space="preserve"> </w:t>
      </w:r>
      <w:r w:rsidR="006F3F98" w:rsidRPr="001E6B43">
        <w:t xml:space="preserve">Performances of </w:t>
      </w:r>
      <w:r w:rsidR="000F5334">
        <w:t>UASB and</w:t>
      </w:r>
      <w:r w:rsidR="001B2FE9">
        <w:t xml:space="preserve"> </w:t>
      </w:r>
      <w:r w:rsidR="000F5334">
        <w:t xml:space="preserve">others </w:t>
      </w:r>
      <w:r w:rsidR="006F3F98">
        <w:t>post-treatments</w:t>
      </w:r>
    </w:p>
    <w:p w14:paraId="39D7D03E" w14:textId="77777777" w:rsidR="007D08B9" w:rsidRDefault="008640B9" w:rsidP="003960F4">
      <w:pPr>
        <w:pStyle w:val="CETBodytext"/>
      </w:pPr>
      <w:r>
        <w:t>Tertiary</w:t>
      </w:r>
      <w:r w:rsidR="007D08B9">
        <w:t xml:space="preserve"> treatments have been applied to UASB effluent</w:t>
      </w:r>
      <w:r>
        <w:t xml:space="preserve">. The </w:t>
      </w:r>
      <w:r w:rsidR="006C08CF" w:rsidRPr="007D2936">
        <w:t>UV post</w:t>
      </w:r>
      <w:r w:rsidR="001B2FE9">
        <w:t>-</w:t>
      </w:r>
      <w:r w:rsidR="006C08CF" w:rsidRPr="007D2936">
        <w:t>treatment was studied to achieve the complete removal of the microbiological population.</w:t>
      </w:r>
      <w:r w:rsidR="001B2FE9">
        <w:t xml:space="preserve"> </w:t>
      </w:r>
      <w:r w:rsidR="007D2936">
        <w:t xml:space="preserve">Moreover, an experiment was carried out using only </w:t>
      </w:r>
      <w:r w:rsidR="007D2936" w:rsidRPr="007D2936">
        <w:t>H</w:t>
      </w:r>
      <w:r w:rsidR="007D2936" w:rsidRPr="007D2936">
        <w:rPr>
          <w:vertAlign w:val="subscript"/>
        </w:rPr>
        <w:t>2</w:t>
      </w:r>
      <w:r w:rsidR="007D2936" w:rsidRPr="007D2936">
        <w:t>O</w:t>
      </w:r>
      <w:r w:rsidR="007D2936" w:rsidRPr="007D2936">
        <w:rPr>
          <w:vertAlign w:val="subscript"/>
        </w:rPr>
        <w:t>2</w:t>
      </w:r>
      <w:r w:rsidR="007D2936">
        <w:t xml:space="preserve"> to remove </w:t>
      </w:r>
      <w:proofErr w:type="spellStart"/>
      <w:proofErr w:type="gramStart"/>
      <w:r w:rsidR="007D2936">
        <w:t>E.Coli</w:t>
      </w:r>
      <w:proofErr w:type="spellEnd"/>
      <w:proofErr w:type="gramEnd"/>
      <w:r w:rsidR="007D2936">
        <w:t xml:space="preserve">. </w:t>
      </w:r>
      <w:r w:rsidR="007D2936" w:rsidRPr="007D2936">
        <w:t>Results demonstrate that only the highest dosage (100</w:t>
      </w:r>
      <w:r w:rsidR="00004F76">
        <w:t xml:space="preserve"> m</w:t>
      </w:r>
      <w:r w:rsidR="007D2936" w:rsidRPr="007D2936">
        <w:t>g</w:t>
      </w:r>
      <w:r w:rsidR="00004F76" w:rsidRPr="007D2936">
        <w:t>H</w:t>
      </w:r>
      <w:r w:rsidR="00004F76" w:rsidRPr="007D2936">
        <w:rPr>
          <w:vertAlign w:val="subscript"/>
        </w:rPr>
        <w:t>2</w:t>
      </w:r>
      <w:r w:rsidR="00004F76" w:rsidRPr="007D2936">
        <w:t>O</w:t>
      </w:r>
      <w:r w:rsidR="00004F76" w:rsidRPr="007D2936">
        <w:rPr>
          <w:vertAlign w:val="subscript"/>
        </w:rPr>
        <w:t>2</w:t>
      </w:r>
      <w:r w:rsidR="007D2936" w:rsidRPr="007D2936">
        <w:t>/</w:t>
      </w:r>
      <w:r w:rsidR="00B86F0C">
        <w:t>L</w:t>
      </w:r>
      <w:r w:rsidR="007D2936" w:rsidRPr="00A020B3">
        <w:t>)</w:t>
      </w:r>
      <w:r w:rsidR="007D08B9">
        <w:t xml:space="preserve"> with 30 min contact time</w:t>
      </w:r>
      <w:r w:rsidR="007D2936" w:rsidRPr="00A020B3">
        <w:t xml:space="preserve"> </w:t>
      </w:r>
      <w:r w:rsidR="00371AF6">
        <w:t>was</w:t>
      </w:r>
      <w:r w:rsidR="007D2936" w:rsidRPr="00A020B3">
        <w:t xml:space="preserve"> able to remove </w:t>
      </w:r>
      <w:proofErr w:type="spellStart"/>
      <w:proofErr w:type="gramStart"/>
      <w:r w:rsidR="00B86F0C" w:rsidRPr="00A020B3">
        <w:t>E.Coli</w:t>
      </w:r>
      <w:proofErr w:type="spellEnd"/>
      <w:proofErr w:type="gramEnd"/>
      <w:r w:rsidR="007D2936" w:rsidRPr="00A020B3">
        <w:t xml:space="preserve">. </w:t>
      </w:r>
      <w:r w:rsidR="007D08B9">
        <w:t>Higher contact time (example 60 min) did</w:t>
      </w:r>
      <w:r w:rsidR="00BE2AB1">
        <w:t xml:space="preserve"> not</w:t>
      </w:r>
      <w:r w:rsidR="007D08B9">
        <w:t xml:space="preserve"> increase bacteria r</w:t>
      </w:r>
      <w:r w:rsidR="00BE2AB1">
        <w:t>eductions</w:t>
      </w:r>
      <w:r w:rsidR="007D08B9">
        <w:t xml:space="preserve">. </w:t>
      </w:r>
    </w:p>
    <w:p w14:paraId="275C9FE9" w14:textId="77777777" w:rsidR="007D08B9" w:rsidRDefault="00B86F0C" w:rsidP="003960F4">
      <w:pPr>
        <w:pStyle w:val="CETBodytext"/>
      </w:pPr>
      <w:r w:rsidRPr="00A020B3">
        <w:t xml:space="preserve">Using only the UV lamp, removal of 99.5% and log reduction of 2.3 were achieved by testing the effluent of the UASB reactor with </w:t>
      </w:r>
      <w:r w:rsidR="00BE2AB1">
        <w:t>UV</w:t>
      </w:r>
      <w:r w:rsidRPr="00A020B3">
        <w:t xml:space="preserve"> dose of 80 </w:t>
      </w:r>
      <w:proofErr w:type="spellStart"/>
      <w:r w:rsidRPr="00A020B3">
        <w:t>mJ</w:t>
      </w:r>
      <w:proofErr w:type="spellEnd"/>
      <w:r w:rsidRPr="00A020B3">
        <w:t>/cm</w:t>
      </w:r>
      <w:r w:rsidRPr="00A020B3">
        <w:rPr>
          <w:vertAlign w:val="superscript"/>
        </w:rPr>
        <w:t>2</w:t>
      </w:r>
      <w:r w:rsidRPr="00A020B3">
        <w:t>.</w:t>
      </w:r>
      <w:r w:rsidR="007D08B9">
        <w:t xml:space="preserve"> UASB effluent</w:t>
      </w:r>
      <w:r w:rsidR="00BE2AB1">
        <w:t xml:space="preserve"> is characterized by</w:t>
      </w:r>
      <w:r w:rsidR="007D08B9">
        <w:t xml:space="preserve"> very low transmittance (about 30%), therefore, to reach literature UV doses (70mJ/cm</w:t>
      </w:r>
      <w:r w:rsidR="007D08B9" w:rsidRPr="007D08B9">
        <w:rPr>
          <w:vertAlign w:val="superscript"/>
        </w:rPr>
        <w:t>2</w:t>
      </w:r>
      <w:r w:rsidR="007D08B9">
        <w:t>)</w:t>
      </w:r>
      <w:r w:rsidR="00BE2AB1">
        <w:t xml:space="preserve"> </w:t>
      </w:r>
      <w:r w:rsidR="007D08B9">
        <w:t>longer contact time</w:t>
      </w:r>
      <w:r w:rsidR="00BE2AB1">
        <w:t>s are needed</w:t>
      </w:r>
      <w:r w:rsidR="007D08B9">
        <w:t>.</w:t>
      </w:r>
      <w:r w:rsidRPr="00A020B3">
        <w:t xml:space="preserve"> No specific improvement of the log reduction was found applying pre</w:t>
      </w:r>
      <w:r w:rsidR="004F4521" w:rsidRPr="00A020B3">
        <w:t>-</w:t>
      </w:r>
      <w:r w:rsidRPr="00A020B3">
        <w:t xml:space="preserve">filtration at 11 </w:t>
      </w:r>
      <w:r w:rsidR="00B14EB1" w:rsidRPr="00A020B3">
        <w:t>micrometers</w:t>
      </w:r>
      <w:r w:rsidRPr="00A020B3">
        <w:t xml:space="preserve"> before the UV disinfection.</w:t>
      </w:r>
      <w:r w:rsidR="007D08B9">
        <w:t xml:space="preserve"> </w:t>
      </w:r>
      <w:r w:rsidR="001B2FE9">
        <w:t xml:space="preserve"> </w:t>
      </w:r>
      <w:r w:rsidR="006C08CF" w:rsidRPr="00A020B3">
        <w:t>Finally, granular active carbon adsorption was</w:t>
      </w:r>
      <w:r w:rsidR="00BE2AB1">
        <w:t xml:space="preserve"> </w:t>
      </w:r>
      <w:r w:rsidR="006C08CF" w:rsidRPr="00A020B3">
        <w:t xml:space="preserve">tested to define the potential removal of </w:t>
      </w:r>
      <w:r w:rsidR="001B2FE9">
        <w:t xml:space="preserve">soluble </w:t>
      </w:r>
      <w:r w:rsidR="006C08CF" w:rsidRPr="00A020B3">
        <w:t xml:space="preserve">metals and of recalcitrant organic pollutants. Affinity </w:t>
      </w:r>
      <w:r w:rsidR="00BE2AB1">
        <w:t xml:space="preserve">of activated carbon </w:t>
      </w:r>
      <w:r w:rsidR="006C08CF" w:rsidRPr="00A020B3">
        <w:t xml:space="preserve">to the removal of some heavy metals was established for UASB </w:t>
      </w:r>
      <w:r w:rsidR="005D1692">
        <w:t>a</w:t>
      </w:r>
      <w:r w:rsidR="006C08CF" w:rsidRPr="00A020B3">
        <w:t>naerobic effluent</w:t>
      </w:r>
      <w:r w:rsidR="00BE2AB1">
        <w:t xml:space="preserve"> and was found equal to 36% for </w:t>
      </w:r>
      <w:r w:rsidR="006C08CF" w:rsidRPr="00A020B3">
        <w:t>Zinc</w:t>
      </w:r>
      <w:r w:rsidR="00BE2AB1">
        <w:t xml:space="preserve">, 46% for </w:t>
      </w:r>
      <w:r w:rsidR="006C08CF" w:rsidRPr="00A020B3">
        <w:t>Nic</w:t>
      </w:r>
      <w:r w:rsidR="00371613">
        <w:t>k</w:t>
      </w:r>
      <w:r w:rsidR="006C08CF" w:rsidRPr="00A020B3">
        <w:t>el</w:t>
      </w:r>
      <w:r w:rsidR="00BE2AB1">
        <w:t xml:space="preserve"> and only 8% for</w:t>
      </w:r>
      <w:r w:rsidR="006C08CF" w:rsidRPr="00A020B3">
        <w:t xml:space="preserve"> Copper. Moreover, the reduction of the soluble organic COD was 55%</w:t>
      </w:r>
      <w:r w:rsidR="00187178">
        <w:t xml:space="preserve"> using GAC ST100</w:t>
      </w:r>
      <w:r w:rsidR="008E1D99">
        <w:t xml:space="preserve"> and</w:t>
      </w:r>
      <w:r w:rsidR="006C08CF" w:rsidRPr="00A020B3">
        <w:t xml:space="preserve"> 92%</w:t>
      </w:r>
      <w:r w:rsidR="00187178">
        <w:t xml:space="preserve"> using GAC ST300</w:t>
      </w:r>
      <w:r w:rsidR="006C08CF" w:rsidRPr="00A020B3">
        <w:t xml:space="preserve">. </w:t>
      </w:r>
    </w:p>
    <w:p w14:paraId="276F68C4" w14:textId="00D8BF64" w:rsidR="00824E2F" w:rsidRPr="00824E2F" w:rsidRDefault="001B2FE9" w:rsidP="003960F4">
      <w:pPr>
        <w:pStyle w:val="CETBodytext"/>
      </w:pPr>
      <w:r>
        <w:t>Other</w:t>
      </w:r>
      <w:r w:rsidR="007D08B9">
        <w:t xml:space="preserve"> advanced</w:t>
      </w:r>
      <w:r w:rsidR="00BE2AB1">
        <w:t xml:space="preserve"> </w:t>
      </w:r>
      <w:r>
        <w:t>post-tre</w:t>
      </w:r>
      <w:r w:rsidRPr="00824E2F">
        <w:t xml:space="preserve">atments like Ozone and </w:t>
      </w:r>
      <w:proofErr w:type="spellStart"/>
      <w:r w:rsidRPr="00824E2F">
        <w:t>NaOCl</w:t>
      </w:r>
      <w:proofErr w:type="spellEnd"/>
      <w:r w:rsidRPr="00824E2F">
        <w:t xml:space="preserve"> disinfection</w:t>
      </w:r>
      <w:r w:rsidR="007D08B9">
        <w:t>, tested in batch test</w:t>
      </w:r>
      <w:r w:rsidR="00BE2AB1">
        <w:t>s</w:t>
      </w:r>
      <w:r w:rsidR="007D08B9">
        <w:t xml:space="preserve"> with different contact time</w:t>
      </w:r>
      <w:r w:rsidR="00BE2AB1">
        <w:t>s</w:t>
      </w:r>
      <w:r w:rsidR="007D08B9">
        <w:t>,</w:t>
      </w:r>
      <w:r w:rsidRPr="00824E2F">
        <w:t xml:space="preserve"> have highlighted change</w:t>
      </w:r>
      <w:r w:rsidR="00BE2AB1">
        <w:t>s</w:t>
      </w:r>
      <w:r w:rsidRPr="00824E2F">
        <w:t xml:space="preserve"> in the specific characteristics of </w:t>
      </w:r>
      <w:r w:rsidR="00BE2AB1">
        <w:t>original MPs</w:t>
      </w:r>
      <w:r w:rsidRPr="00824E2F">
        <w:t xml:space="preserve"> polymer</w:t>
      </w:r>
      <w:r w:rsidR="00BE2AB1">
        <w:t xml:space="preserve"> (</w:t>
      </w:r>
      <w:r w:rsidRPr="00824E2F">
        <w:t>polyethylene</w:t>
      </w:r>
      <w:r w:rsidR="00BE2AB1">
        <w:t>)</w:t>
      </w:r>
      <w:r w:rsidRPr="00824E2F">
        <w:t xml:space="preserve"> with </w:t>
      </w:r>
      <w:r w:rsidR="00BE2AB1">
        <w:t xml:space="preserve">elevated </w:t>
      </w:r>
      <w:r w:rsidRPr="00824E2F">
        <w:t>dosages above</w:t>
      </w:r>
      <w:r w:rsidR="007D08B9">
        <w:t xml:space="preserve"> </w:t>
      </w:r>
      <w:r w:rsidR="00824E2F" w:rsidRPr="00824E2F">
        <w:t>1000 mgO</w:t>
      </w:r>
      <w:r w:rsidR="00824E2F" w:rsidRPr="00824E2F">
        <w:rPr>
          <w:vertAlign w:val="subscript"/>
        </w:rPr>
        <w:t>3</w:t>
      </w:r>
      <w:r w:rsidR="00824E2F" w:rsidRPr="00824E2F">
        <w:t xml:space="preserve">/L </w:t>
      </w:r>
      <w:r w:rsidRPr="00824E2F">
        <w:t>and</w:t>
      </w:r>
      <w:r w:rsidR="00824E2F" w:rsidRPr="00824E2F">
        <w:t xml:space="preserve"> </w:t>
      </w:r>
      <w:r w:rsidR="00046B4E">
        <w:t>9</w:t>
      </w:r>
      <w:r w:rsidR="00824E2F" w:rsidRPr="00824E2F">
        <w:t xml:space="preserve">5 </w:t>
      </w:r>
      <w:proofErr w:type="spellStart"/>
      <w:r w:rsidR="00824E2F" w:rsidRPr="00824E2F">
        <w:t>lNaOCl</w:t>
      </w:r>
      <w:proofErr w:type="spellEnd"/>
      <w:r w:rsidR="00824E2F" w:rsidRPr="00824E2F">
        <w:t>/m</w:t>
      </w:r>
      <w:r w:rsidR="00824E2F" w:rsidRPr="00824E2F">
        <w:rPr>
          <w:vertAlign w:val="superscript"/>
        </w:rPr>
        <w:t>3</w:t>
      </w:r>
      <w:r w:rsidR="00824E2F">
        <w:t>.</w:t>
      </w:r>
    </w:p>
    <w:p w14:paraId="7812E6BD" w14:textId="77777777" w:rsidR="00B11B74" w:rsidRPr="009A4411" w:rsidRDefault="00600535" w:rsidP="009A4411">
      <w:pPr>
        <w:pStyle w:val="CETHeading1"/>
        <w:rPr>
          <w:sz w:val="18"/>
          <w:lang w:val="en-GB"/>
        </w:rPr>
      </w:pPr>
      <w:r w:rsidRPr="00B57B36">
        <w:rPr>
          <w:lang w:val="en-GB"/>
        </w:rPr>
        <w:t>Conclusions</w:t>
      </w:r>
    </w:p>
    <w:p w14:paraId="082AE211" w14:textId="77777777" w:rsidR="00BC1BFF" w:rsidRDefault="00B11B74" w:rsidP="00E7101E">
      <w:pPr>
        <w:pStyle w:val="CETBodytext"/>
      </w:pPr>
      <w:r>
        <w:t xml:space="preserve">In this work it has been studied </w:t>
      </w:r>
      <w:r w:rsidR="00A3010E">
        <w:t>a pilot scale UASB</w:t>
      </w:r>
      <w:r w:rsidR="003F5CDD">
        <w:t xml:space="preserve"> treating urban wastewater</w:t>
      </w:r>
      <w:r w:rsidR="00A3010E">
        <w:t xml:space="preserve">. </w:t>
      </w:r>
      <w:r w:rsidR="003F5CDD">
        <w:t>This system</w:t>
      </w:r>
      <w:r>
        <w:t xml:space="preserve"> can </w:t>
      </w:r>
      <w:r w:rsidR="00A3010E" w:rsidRPr="00A3010E">
        <w:t>allow to save energy, producing biogas</w:t>
      </w:r>
      <w:r w:rsidR="00BC1BFF">
        <w:t xml:space="preserve"> </w:t>
      </w:r>
      <w:r w:rsidR="00980ED5">
        <w:t xml:space="preserve">from </w:t>
      </w:r>
      <w:r w:rsidR="00A3010E" w:rsidRPr="00A3010E">
        <w:t>0.2</w:t>
      </w:r>
      <w:r w:rsidR="00980ED5">
        <w:t xml:space="preserve"> to </w:t>
      </w:r>
      <w:r w:rsidR="00A3010E" w:rsidRPr="00A3010E">
        <w:t>0.5 m</w:t>
      </w:r>
      <w:r w:rsidR="00A3010E" w:rsidRPr="00A3010E">
        <w:rPr>
          <w:vertAlign w:val="superscript"/>
        </w:rPr>
        <w:t>3</w:t>
      </w:r>
      <w:r w:rsidR="00A3010E" w:rsidRPr="00A3010E">
        <w:t xml:space="preserve">biogas/kg </w:t>
      </w:r>
      <w:proofErr w:type="spellStart"/>
      <w:r w:rsidR="00A3010E" w:rsidRPr="00A3010E">
        <w:t>COD</w:t>
      </w:r>
      <w:r w:rsidR="00A3010E" w:rsidRPr="00A3010E">
        <w:rPr>
          <w:vertAlign w:val="subscript"/>
        </w:rPr>
        <w:t>added</w:t>
      </w:r>
      <w:proofErr w:type="spellEnd"/>
      <w:r w:rsidR="00A3010E" w:rsidRPr="00A3010E">
        <w:t xml:space="preserve"> depending </w:t>
      </w:r>
      <w:r w:rsidR="00A3010E">
        <w:t>on the Organic Loading Rate</w:t>
      </w:r>
      <w:r w:rsidR="00BE2AB1">
        <w:t>.</w:t>
      </w:r>
      <w:r w:rsidR="00BC1BFF">
        <w:t xml:space="preserve"> UASB effluent</w:t>
      </w:r>
      <w:r w:rsidR="00BE2AB1">
        <w:t xml:space="preserve"> does not show effluent </w:t>
      </w:r>
      <w:r w:rsidR="00BC1BFF">
        <w:t>quality to comply lim</w:t>
      </w:r>
      <w:r w:rsidR="006640C3">
        <w:t>i</w:t>
      </w:r>
      <w:r w:rsidR="00BC1BFF">
        <w:t>t values for reuse, especially for microbiological parameters. F</w:t>
      </w:r>
      <w:r w:rsidR="00BC1BFF" w:rsidRPr="004E07A1">
        <w:t xml:space="preserve">urther treatments could be necessary to achieve </w:t>
      </w:r>
      <w:r w:rsidR="00BC1BFF">
        <w:t>bacteria,</w:t>
      </w:r>
      <w:r w:rsidR="00BE2AB1">
        <w:t xml:space="preserve"> </w:t>
      </w:r>
      <w:r w:rsidR="00BC1BFF">
        <w:t>recalcitrant organic traces and metals</w:t>
      </w:r>
      <w:r w:rsidR="00BE2AB1">
        <w:t xml:space="preserve"> removals</w:t>
      </w:r>
      <w:r w:rsidR="00BC1BFF" w:rsidRPr="004E07A1">
        <w:t>.</w:t>
      </w:r>
      <w:r w:rsidR="00BC1BFF">
        <w:t xml:space="preserve"> Therefore, some advanced post treatments have been studied after UASB treatments, like UV disinfection, UV</w:t>
      </w:r>
      <w:r w:rsidR="00F47ABC">
        <w:t xml:space="preserve"> coupled with </w:t>
      </w:r>
      <w:r w:rsidR="00BC1BFF">
        <w:t>H2O2</w:t>
      </w:r>
      <w:r w:rsidR="00F47ABC">
        <w:t xml:space="preserve"> dose and </w:t>
      </w:r>
      <w:r w:rsidR="00BC1BFF">
        <w:t>GAC adsorption. R</w:t>
      </w:r>
      <w:r w:rsidR="00BC1BFF" w:rsidRPr="00A020B3">
        <w:t>emoval of 99.5%</w:t>
      </w:r>
      <w:r w:rsidR="00BC1BFF">
        <w:t xml:space="preserve"> of </w:t>
      </w:r>
      <w:proofErr w:type="spellStart"/>
      <w:proofErr w:type="gramStart"/>
      <w:r w:rsidR="00BC1BFF">
        <w:t>E.Coli</w:t>
      </w:r>
      <w:proofErr w:type="spellEnd"/>
      <w:proofErr w:type="gramEnd"/>
      <w:r w:rsidR="00BC1BFF" w:rsidRPr="00A020B3">
        <w:t xml:space="preserve"> and </w:t>
      </w:r>
      <w:r w:rsidR="00F47ABC">
        <w:t>2.3 of</w:t>
      </w:r>
      <w:r w:rsidR="00BC1BFF" w:rsidRPr="00A020B3">
        <w:t xml:space="preserve"> log reduction were achieved by testing the effluent of the UASB reactor with </w:t>
      </w:r>
      <w:r w:rsidR="009A4411">
        <w:t>UV</w:t>
      </w:r>
      <w:r w:rsidR="00BC1BFF" w:rsidRPr="00A020B3">
        <w:t xml:space="preserve"> dose of 80 </w:t>
      </w:r>
      <w:proofErr w:type="spellStart"/>
      <w:r w:rsidR="00BC1BFF" w:rsidRPr="00A020B3">
        <w:t>mJ</w:t>
      </w:r>
      <w:proofErr w:type="spellEnd"/>
      <w:r w:rsidR="00BC1BFF" w:rsidRPr="00A020B3">
        <w:t>/cm</w:t>
      </w:r>
      <w:r w:rsidR="00BC1BFF" w:rsidRPr="00A020B3">
        <w:rPr>
          <w:vertAlign w:val="superscript"/>
        </w:rPr>
        <w:t>2</w:t>
      </w:r>
      <w:r w:rsidR="00BC1BFF">
        <w:t>. H</w:t>
      </w:r>
      <w:r w:rsidR="00BC1BFF" w:rsidRPr="00A020B3">
        <w:t xml:space="preserve">eavy metals </w:t>
      </w:r>
      <w:r w:rsidR="00BC1BFF">
        <w:t xml:space="preserve">removals </w:t>
      </w:r>
      <w:r w:rsidR="00BC1BFF" w:rsidRPr="00A020B3">
        <w:t>w</w:t>
      </w:r>
      <w:r w:rsidR="00BC1BFF">
        <w:t>ere</w:t>
      </w:r>
      <w:r w:rsidR="00BC1BFF" w:rsidRPr="00A020B3">
        <w:t xml:space="preserve"> established for UASB effluent</w:t>
      </w:r>
      <w:r w:rsidR="00BC1BFF">
        <w:t xml:space="preserve"> with GAC adsorption</w:t>
      </w:r>
      <w:r w:rsidR="009A4411">
        <w:t xml:space="preserve"> equal to </w:t>
      </w:r>
      <w:r w:rsidR="00BC1BFF" w:rsidRPr="00A020B3">
        <w:t>36%</w:t>
      </w:r>
      <w:r w:rsidR="00BC1BFF">
        <w:t xml:space="preserve"> for Zinc, </w:t>
      </w:r>
      <w:r w:rsidR="009A4411">
        <w:t xml:space="preserve">to </w:t>
      </w:r>
      <w:r w:rsidR="00BC1BFF" w:rsidRPr="00A020B3">
        <w:t>46%</w:t>
      </w:r>
      <w:r w:rsidR="00BC1BFF">
        <w:t xml:space="preserve"> for Nickel and</w:t>
      </w:r>
      <w:r w:rsidR="009A4411">
        <w:t xml:space="preserve"> to</w:t>
      </w:r>
      <w:r w:rsidR="00BC1BFF">
        <w:t xml:space="preserve"> </w:t>
      </w:r>
      <w:r w:rsidR="00BC1BFF" w:rsidRPr="00A020B3">
        <w:t>8%</w:t>
      </w:r>
      <w:r w:rsidR="00BC1BFF">
        <w:t xml:space="preserve"> for </w:t>
      </w:r>
      <w:r w:rsidR="00BC1BFF" w:rsidRPr="00A020B3">
        <w:t>Copper</w:t>
      </w:r>
      <w:r w:rsidR="00BC1BFF">
        <w:t>. Reduction of recalcitrant organic compounds were evaluated keeping into account the</w:t>
      </w:r>
      <w:r w:rsidR="00BC1BFF" w:rsidRPr="00A020B3">
        <w:t xml:space="preserve"> soluble organic</w:t>
      </w:r>
      <w:r w:rsidR="00BC1BFF">
        <w:t xml:space="preserve"> </w:t>
      </w:r>
      <w:r w:rsidR="00BC1BFF" w:rsidRPr="00A020B3">
        <w:t>COD</w:t>
      </w:r>
      <w:r w:rsidR="006640C3">
        <w:t xml:space="preserve"> </w:t>
      </w:r>
      <w:r w:rsidR="00BC1BFF">
        <w:t xml:space="preserve">reduction that ranged from </w:t>
      </w:r>
      <w:r w:rsidR="00BC1BFF" w:rsidRPr="00A020B3">
        <w:t>55%</w:t>
      </w:r>
      <w:r w:rsidR="00BC1BFF">
        <w:t xml:space="preserve"> using GAC ST100</w:t>
      </w:r>
      <w:r w:rsidR="00BC1BFF" w:rsidRPr="00A020B3">
        <w:t xml:space="preserve"> to 92%</w:t>
      </w:r>
      <w:r w:rsidR="00BC1BFF">
        <w:t xml:space="preserve"> using GAC ST300</w:t>
      </w:r>
      <w:r w:rsidR="00BC1BFF" w:rsidRPr="00A020B3">
        <w:t>.</w:t>
      </w:r>
    </w:p>
    <w:p w14:paraId="702F4DF6" w14:textId="5836FDE0" w:rsidR="00BC1BFF" w:rsidRDefault="00971DE1" w:rsidP="00E7101E">
      <w:pPr>
        <w:pStyle w:val="CETBodytext"/>
      </w:pPr>
      <w:r>
        <w:t>Coupling UASB</w:t>
      </w:r>
      <w:r w:rsidR="009A4411">
        <w:t xml:space="preserve"> and </w:t>
      </w:r>
      <w:proofErr w:type="spellStart"/>
      <w:r>
        <w:t>AnMBR</w:t>
      </w:r>
      <w:proofErr w:type="spellEnd"/>
      <w:r>
        <w:t xml:space="preserve">, </w:t>
      </w:r>
      <w:r w:rsidR="009A4411">
        <w:t xml:space="preserve">the almost total </w:t>
      </w:r>
      <w:r w:rsidR="00A3010E">
        <w:t xml:space="preserve">COD and TSS removals </w:t>
      </w:r>
      <w:r w:rsidR="009A4411">
        <w:t xml:space="preserve">can be </w:t>
      </w:r>
      <w:r w:rsidR="00A3010E">
        <w:t>reach</w:t>
      </w:r>
      <w:r w:rsidR="009A4411">
        <w:t>ed (</w:t>
      </w:r>
      <w:r w:rsidR="00980ED5">
        <w:t>85</w:t>
      </w:r>
      <w:r w:rsidR="009A4411">
        <w:t>% COD</w:t>
      </w:r>
      <w:r w:rsidR="00980ED5">
        <w:t>% and 100%</w:t>
      </w:r>
      <w:r w:rsidR="009A4411">
        <w:t xml:space="preserve"> TSS%)</w:t>
      </w:r>
      <w:r w:rsidR="00980ED5">
        <w:t>. T</w:t>
      </w:r>
      <w:r w:rsidR="00A3010E">
        <w:t>hanks to TN and TP release</w:t>
      </w:r>
      <w:r w:rsidR="00CC5291">
        <w:t>s</w:t>
      </w:r>
      <w:r w:rsidR="00A3010E">
        <w:t xml:space="preserve"> (from 75% to 85%) the permeate is suitable for fertigation and agriculture application</w:t>
      </w:r>
      <w:r>
        <w:t>. T</w:t>
      </w:r>
      <w:r w:rsidR="00980ED5">
        <w:t>he effluent fit</w:t>
      </w:r>
      <w:r w:rsidR="009A4411">
        <w:t>s</w:t>
      </w:r>
      <w:r w:rsidR="00980ED5">
        <w:t xml:space="preserve"> the limit values for reuse</w:t>
      </w:r>
      <w:r>
        <w:t xml:space="preserve"> according the new EU proposal on water reuse</w:t>
      </w:r>
      <w:r w:rsidR="00980ED5">
        <w:t xml:space="preserve">, also in terms of </w:t>
      </w:r>
      <w:proofErr w:type="spellStart"/>
      <w:proofErr w:type="gramStart"/>
      <w:r w:rsidR="00980ED5">
        <w:t>E.Coli</w:t>
      </w:r>
      <w:proofErr w:type="spellEnd"/>
      <w:proofErr w:type="gramEnd"/>
      <w:r w:rsidR="00980ED5">
        <w:t>.</w:t>
      </w:r>
      <w:r>
        <w:t xml:space="preserve"> </w:t>
      </w:r>
      <w:r w:rsidR="00A3010E" w:rsidRPr="00A3010E">
        <w:t>In addition</w:t>
      </w:r>
      <w:r w:rsidR="00980ED5">
        <w:t>,</w:t>
      </w:r>
      <w:r w:rsidR="00046B4E">
        <w:t xml:space="preserve"> </w:t>
      </w:r>
      <w:r w:rsidR="00A020B3" w:rsidRPr="00A3010E">
        <w:t xml:space="preserve">the innovative </w:t>
      </w:r>
      <w:r w:rsidR="009A4411">
        <w:t xml:space="preserve">UASB and </w:t>
      </w:r>
      <w:proofErr w:type="spellStart"/>
      <w:r w:rsidR="00A020B3" w:rsidRPr="00A3010E">
        <w:t>AnMBR</w:t>
      </w:r>
      <w:proofErr w:type="spellEnd"/>
      <w:r w:rsidR="00A020B3" w:rsidRPr="00A3010E">
        <w:t xml:space="preserve"> system removed 97% of </w:t>
      </w:r>
      <w:r>
        <w:t xml:space="preserve">influent </w:t>
      </w:r>
      <w:r w:rsidR="00A020B3" w:rsidRPr="00A3010E">
        <w:t xml:space="preserve">microplastics, providing 1.7 MPs/L after UASB reactor </w:t>
      </w:r>
      <w:r w:rsidR="009A4411">
        <w:t>up to</w:t>
      </w:r>
      <w:r w:rsidR="00A020B3" w:rsidRPr="00A3010E">
        <w:t xml:space="preserve"> 0.1 MPs/L (100 MPs/m</w:t>
      </w:r>
      <w:r w:rsidR="00A020B3" w:rsidRPr="00A3010E">
        <w:rPr>
          <w:vertAlign w:val="superscript"/>
        </w:rPr>
        <w:t>3</w:t>
      </w:r>
      <w:r w:rsidR="00A020B3" w:rsidRPr="00A3010E">
        <w:t>) after ultrafiltration.</w:t>
      </w:r>
      <w:r>
        <w:t xml:space="preserve"> </w:t>
      </w:r>
      <w:r w:rsidR="00A020B3" w:rsidRPr="00A020B3">
        <w:t xml:space="preserve">After the ultrafiltration unit only fibers, mainly of polyesters, were found. </w:t>
      </w:r>
      <w:r w:rsidR="00BC1BFF">
        <w:t xml:space="preserve">Others </w:t>
      </w:r>
      <w:r w:rsidR="009A4411">
        <w:t xml:space="preserve">tertiary </w:t>
      </w:r>
      <w:r w:rsidR="00BC1BFF">
        <w:t xml:space="preserve">treatments, like </w:t>
      </w:r>
      <w:r w:rsidR="00F83B30">
        <w:t>Ozone and Sodium Hypochlorite</w:t>
      </w:r>
      <w:r w:rsidR="00BC1BFF">
        <w:t>,</w:t>
      </w:r>
      <w:r w:rsidR="00F83B30">
        <w:t xml:space="preserve"> were </w:t>
      </w:r>
      <w:r w:rsidR="009A4411">
        <w:t>studied to verify th</w:t>
      </w:r>
      <w:r w:rsidR="00BC1BFF">
        <w:t>e effect</w:t>
      </w:r>
      <w:r w:rsidR="009A4411">
        <w:t>s</w:t>
      </w:r>
      <w:r w:rsidR="00BC1BFF">
        <w:t xml:space="preserve"> on </w:t>
      </w:r>
      <w:r w:rsidR="00F83B30">
        <w:t>MPs</w:t>
      </w:r>
      <w:r w:rsidR="009A4411">
        <w:t xml:space="preserve">. For </w:t>
      </w:r>
      <w:r w:rsidR="00BC1BFF">
        <w:t xml:space="preserve">both </w:t>
      </w:r>
      <w:r w:rsidR="009A4411">
        <w:t xml:space="preserve">the technologies, </w:t>
      </w:r>
      <w:r w:rsidR="009A4411" w:rsidRPr="00824E2F">
        <w:t>change</w:t>
      </w:r>
      <w:r w:rsidR="009A4411">
        <w:t>s of specific characteristics of MPs</w:t>
      </w:r>
      <w:r w:rsidR="009A4411" w:rsidRPr="00824E2F">
        <w:t xml:space="preserve"> polymers</w:t>
      </w:r>
      <w:r w:rsidR="009A4411">
        <w:t xml:space="preserve"> </w:t>
      </w:r>
      <w:r w:rsidR="00BC1BFF">
        <w:t xml:space="preserve">at high </w:t>
      </w:r>
      <w:r w:rsidR="00BC1BFF" w:rsidRPr="00E87DF6">
        <w:t>dosages</w:t>
      </w:r>
      <w:r w:rsidR="009A4411">
        <w:t xml:space="preserve"> of oxidants</w:t>
      </w:r>
      <w:r w:rsidR="00BC1BFF" w:rsidRPr="00E87DF6">
        <w:t xml:space="preserve"> (1000 mgO</w:t>
      </w:r>
      <w:r w:rsidR="00BC1BFF" w:rsidRPr="00E87DF6">
        <w:rPr>
          <w:vertAlign w:val="subscript"/>
        </w:rPr>
        <w:t>3</w:t>
      </w:r>
      <w:r w:rsidR="00BC1BFF" w:rsidRPr="00E87DF6">
        <w:t>/L and 95</w:t>
      </w:r>
      <w:r w:rsidR="009A4411">
        <w:t xml:space="preserve"> </w:t>
      </w:r>
      <w:proofErr w:type="spellStart"/>
      <w:r w:rsidR="00BC1BFF" w:rsidRPr="00E87DF6">
        <w:t>lNaOCl</w:t>
      </w:r>
      <w:proofErr w:type="spellEnd"/>
      <w:r w:rsidR="00BC1BFF" w:rsidRPr="00E87DF6">
        <w:t>/m</w:t>
      </w:r>
      <w:r w:rsidR="00BC1BFF" w:rsidRPr="00E87DF6">
        <w:rPr>
          <w:vertAlign w:val="superscript"/>
        </w:rPr>
        <w:t>3</w:t>
      </w:r>
      <w:r w:rsidR="00BC1BFF" w:rsidRPr="00E87DF6">
        <w:t>)</w:t>
      </w:r>
      <w:r w:rsidR="009A4411">
        <w:t xml:space="preserve"> were</w:t>
      </w:r>
      <w:r w:rsidR="00BC1BFF">
        <w:t xml:space="preserve"> highlighted</w:t>
      </w:r>
      <w:r w:rsidR="00F83B30">
        <w:t>.</w:t>
      </w:r>
      <w:r w:rsidR="007D7302">
        <w:t xml:space="preserve"> </w:t>
      </w:r>
    </w:p>
    <w:p w14:paraId="61CEC183" w14:textId="77777777" w:rsidR="00BC1BFF" w:rsidRPr="00AC23CA" w:rsidRDefault="00600535" w:rsidP="009A4411">
      <w:pPr>
        <w:pStyle w:val="CETReference"/>
      </w:pPr>
      <w:r w:rsidRPr="00B57B36">
        <w:t>References</w:t>
      </w:r>
    </w:p>
    <w:p w14:paraId="49C1C9CA" w14:textId="77777777" w:rsidR="00545FC6" w:rsidRDefault="00BC1BFF" w:rsidP="00545FC6">
      <w:pPr>
        <w:pStyle w:val="CETReferencetext"/>
        <w:rPr>
          <w:rFonts w:eastAsiaTheme="minorHAnsi"/>
        </w:rPr>
      </w:pPr>
      <w:r w:rsidRPr="00BC1BFF">
        <w:rPr>
          <w:rFonts w:eastAsiaTheme="minorHAnsi"/>
        </w:rPr>
        <w:t>APHA, 2005, Standard methods for the examination of water and wastewater, Am. Public Health Assoc. APHA Wash. DC USA, 2015.</w:t>
      </w:r>
    </w:p>
    <w:p w14:paraId="55889B94" w14:textId="153C6A2C" w:rsidR="00545FC6" w:rsidRPr="00545FC6" w:rsidRDefault="00545FC6" w:rsidP="00545FC6">
      <w:pPr>
        <w:pStyle w:val="CETReferencetext"/>
        <w:rPr>
          <w:rFonts w:eastAsiaTheme="minorHAnsi"/>
        </w:rPr>
      </w:pPr>
      <w:r>
        <w:t>Chuang J. Y., Chong K. C., Lai S. O., Lau W. J., Lee S. S., Ong H. M., 2018, Industrial Nickel Wastewater rejection by polyimide membrane, Chemical Engineering Transactions, 63, 697-702</w:t>
      </w:r>
    </w:p>
    <w:p w14:paraId="6C4FAD8D" w14:textId="74C55E78" w:rsidR="00545FC6" w:rsidRDefault="00545FC6" w:rsidP="00545FC6">
      <w:pPr>
        <w:pStyle w:val="CETReferencetext"/>
      </w:pPr>
      <w:proofErr w:type="spellStart"/>
      <w:r>
        <w:t>Delcolle</w:t>
      </w:r>
      <w:proofErr w:type="spellEnd"/>
      <w:r>
        <w:t xml:space="preserve"> R., </w:t>
      </w:r>
      <w:proofErr w:type="spellStart"/>
      <w:r>
        <w:t>Gimenes</w:t>
      </w:r>
      <w:proofErr w:type="spellEnd"/>
      <w:r>
        <w:t xml:space="preserve"> M. L., </w:t>
      </w:r>
      <w:proofErr w:type="spellStart"/>
      <w:r>
        <w:t>Fortulan</w:t>
      </w:r>
      <w:proofErr w:type="spellEnd"/>
      <w:r>
        <w:t xml:space="preserve"> C. A., Moreira W. M., Martins N.D., Pereira N. C., 2017, A comparison between coagulation and ultrafiltration processes for biodiesel wastewater treatment, Chemical Engineering Transactions, 57, 271-276</w:t>
      </w:r>
    </w:p>
    <w:p w14:paraId="3B4E53F9" w14:textId="0CEFF326" w:rsidR="00BC1BFF" w:rsidRPr="00BC1BFF" w:rsidRDefault="00BC1BFF" w:rsidP="00BC1BFF">
      <w:pPr>
        <w:pStyle w:val="CETReferencetext"/>
      </w:pPr>
      <w:r w:rsidRPr="00BC1BFF">
        <w:t>EU, 2018, Proposal for a REGULATION OF THE EUROPEAN PARLIAMENT AND OF THE COUNCIL on minimum requirements for water reuse.</w:t>
      </w:r>
    </w:p>
    <w:p w14:paraId="46F84741" w14:textId="77777777" w:rsidR="00BC1BFF" w:rsidRDefault="00BC1BFF" w:rsidP="00BC1BFF">
      <w:pPr>
        <w:pStyle w:val="CETReferencetext"/>
        <w:rPr>
          <w:rFonts w:eastAsiaTheme="minorHAnsi"/>
        </w:rPr>
      </w:pPr>
      <w:r w:rsidRPr="00BC1BFF">
        <w:rPr>
          <w:rFonts w:eastAsiaTheme="minorHAnsi"/>
        </w:rPr>
        <w:t>EU-ENV, 2015, Optimising water reuse in the EU, Final report – Part I, Prepared for the European Commission– DG ENV, 2015.</w:t>
      </w:r>
    </w:p>
    <w:p w14:paraId="0FC3F0E7" w14:textId="77777777" w:rsidR="006A6E24" w:rsidRDefault="00CE3D7F" w:rsidP="006A6E24">
      <w:pPr>
        <w:pStyle w:val="CETReferencetext"/>
        <w:rPr>
          <w:rFonts w:eastAsiaTheme="minorHAnsi"/>
        </w:rPr>
      </w:pPr>
      <w:proofErr w:type="spellStart"/>
      <w:r w:rsidRPr="00065F92">
        <w:rPr>
          <w:rFonts w:eastAsiaTheme="minorHAnsi"/>
        </w:rPr>
        <w:t>Eusebi</w:t>
      </w:r>
      <w:proofErr w:type="spellEnd"/>
      <w:r w:rsidRPr="00065F92">
        <w:rPr>
          <w:rFonts w:eastAsiaTheme="minorHAnsi"/>
        </w:rPr>
        <w:t>, A.L., Santini, M.,</w:t>
      </w:r>
      <w:r w:rsidR="00065F92" w:rsidRPr="00065F92">
        <w:rPr>
          <w:rFonts w:eastAsiaTheme="minorHAnsi"/>
        </w:rPr>
        <w:t xml:space="preserve"> De Angelis, A., </w:t>
      </w:r>
      <w:proofErr w:type="spellStart"/>
      <w:r w:rsidR="00065F92" w:rsidRPr="00065F92">
        <w:rPr>
          <w:rFonts w:eastAsiaTheme="minorHAnsi"/>
        </w:rPr>
        <w:t>Battistoni</w:t>
      </w:r>
      <w:proofErr w:type="spellEnd"/>
      <w:r w:rsidR="00065F92" w:rsidRPr="00065F92">
        <w:rPr>
          <w:rFonts w:eastAsiaTheme="minorHAnsi"/>
        </w:rPr>
        <w:t>, P.,</w:t>
      </w:r>
      <w:r w:rsidR="00065F92">
        <w:rPr>
          <w:rFonts w:eastAsiaTheme="minorHAnsi"/>
        </w:rPr>
        <w:t xml:space="preserve"> 2011, </w:t>
      </w:r>
      <w:hyperlink r:id="rId10" w:tooltip="Show document details" w:history="1">
        <w:r w:rsidRPr="00065F92">
          <w:rPr>
            <w:rFonts w:eastAsiaTheme="minorHAnsi"/>
          </w:rPr>
          <w:t>MBR and alternate cycles processes: Advanced technologies for liquid wastes treatment</w:t>
        </w:r>
      </w:hyperlink>
      <w:r w:rsidRPr="00065F92">
        <w:rPr>
          <w:rFonts w:eastAsiaTheme="minorHAnsi"/>
        </w:rPr>
        <w:t>, Chemical Engineering Transactions. 24, 1057-1062</w:t>
      </w:r>
    </w:p>
    <w:p w14:paraId="31459877" w14:textId="742021F7" w:rsidR="00DC1AB0" w:rsidRPr="00DC1AB0" w:rsidRDefault="00DC1AB0" w:rsidP="006A6E24">
      <w:pPr>
        <w:pStyle w:val="CETReferencetext"/>
        <w:rPr>
          <w:rFonts w:eastAsiaTheme="minorHAnsi"/>
        </w:rPr>
      </w:pPr>
      <w:r w:rsidRPr="00DC1AB0">
        <w:rPr>
          <w:rFonts w:eastAsiaTheme="minorHAnsi"/>
        </w:rPr>
        <w:t xml:space="preserve">Giuliano A., </w:t>
      </w:r>
      <w:proofErr w:type="spellStart"/>
      <w:r w:rsidRPr="00DC1AB0">
        <w:rPr>
          <w:rFonts w:eastAsiaTheme="minorHAnsi"/>
        </w:rPr>
        <w:t>Gioiella</w:t>
      </w:r>
      <w:proofErr w:type="spellEnd"/>
      <w:r w:rsidRPr="00DC1AB0">
        <w:rPr>
          <w:rFonts w:eastAsiaTheme="minorHAnsi"/>
        </w:rPr>
        <w:t xml:space="preserve"> F., Sofia D., </w:t>
      </w:r>
      <w:proofErr w:type="spellStart"/>
      <w:r w:rsidRPr="00DC1AB0">
        <w:rPr>
          <w:rFonts w:eastAsiaTheme="minorHAnsi"/>
        </w:rPr>
        <w:t>Lotrecchiano</w:t>
      </w:r>
      <w:proofErr w:type="spellEnd"/>
      <w:r w:rsidRPr="00DC1AB0">
        <w:rPr>
          <w:rFonts w:eastAsiaTheme="minorHAnsi"/>
        </w:rPr>
        <w:t xml:space="preserve"> N., 2018, A novel methodology and technology to promote the social acceptance of biomass power plants avoiding Nimby Syndrome, Chemical Engineering Transactions 67, 307-312</w:t>
      </w:r>
    </w:p>
    <w:p w14:paraId="7E821354" w14:textId="490DCB85" w:rsidR="00DC1AB0" w:rsidRPr="00BC1BFF" w:rsidRDefault="00151826" w:rsidP="00DC1AB0">
      <w:pPr>
        <w:pStyle w:val="CETReferencetext"/>
      </w:pPr>
      <w:hyperlink r:id="rId11" w:anchor="!" w:history="1">
        <w:proofErr w:type="spellStart"/>
        <w:r w:rsidR="00BC1BFF" w:rsidRPr="00BC1BFF">
          <w:t>Kårelid</w:t>
        </w:r>
        <w:proofErr w:type="spellEnd"/>
      </w:hyperlink>
      <w:r w:rsidR="00BC1BFF" w:rsidRPr="00BC1BFF">
        <w:t xml:space="preserve"> V., </w:t>
      </w:r>
      <w:hyperlink r:id="rId12" w:anchor="!" w:history="1">
        <w:r w:rsidR="00BC1BFF" w:rsidRPr="00BC1BFF">
          <w:t>Larsson</w:t>
        </w:r>
      </w:hyperlink>
      <w:r w:rsidR="00BC1BFF" w:rsidRPr="00BC1BFF">
        <w:t xml:space="preserve"> G., </w:t>
      </w:r>
      <w:hyperlink r:id="rId13" w:anchor="!" w:history="1">
        <w:proofErr w:type="spellStart"/>
        <w:r w:rsidR="00BC1BFF" w:rsidRPr="00BC1BFF">
          <w:t>Björlenius</w:t>
        </w:r>
        <w:proofErr w:type="spellEnd"/>
      </w:hyperlink>
      <w:r w:rsidR="00BC1BFF" w:rsidRPr="00BC1BFF">
        <w:t xml:space="preserve"> B., 2017, Effects of recirculation in a three-tank pilot-scale system for pharmaceutical removal with powdered activated carbon, </w:t>
      </w:r>
      <w:hyperlink r:id="rId14" w:tooltip="Go to Journal of Environmental Management on ScienceDirect" w:history="1">
        <w:r w:rsidR="00BC1BFF" w:rsidRPr="00BC1BFF">
          <w:t>Journal of Environmental Management</w:t>
        </w:r>
      </w:hyperlink>
      <w:r w:rsidR="00BC1BFF" w:rsidRPr="00BC1BFF">
        <w:t>, 193, 163-171.</w:t>
      </w:r>
    </w:p>
    <w:p w14:paraId="103C36EB" w14:textId="56F9A218" w:rsidR="00BC1BFF" w:rsidRPr="00BC1BFF" w:rsidRDefault="00BC1BFF" w:rsidP="00BC1BFF">
      <w:pPr>
        <w:pStyle w:val="CETReferencetext"/>
      </w:pPr>
      <w:proofErr w:type="spellStart"/>
      <w:r w:rsidRPr="00BC1BFF">
        <w:lastRenderedPageBreak/>
        <w:t>Lares</w:t>
      </w:r>
      <w:proofErr w:type="spellEnd"/>
      <w:r w:rsidRPr="00BC1BFF">
        <w:t xml:space="preserve"> M.,</w:t>
      </w:r>
      <w:r w:rsidR="007E6726">
        <w:t xml:space="preserve"> </w:t>
      </w:r>
      <w:proofErr w:type="spellStart"/>
      <w:r w:rsidRPr="00BC1BFF">
        <w:t>ChakerNcibi</w:t>
      </w:r>
      <w:proofErr w:type="spellEnd"/>
      <w:r w:rsidRPr="00BC1BFF">
        <w:t xml:space="preserve"> M., Sillanpaa M., Sillanpaa M., 2018, Occurrence, identification and removal of microplastic particles </w:t>
      </w:r>
      <w:proofErr w:type="spellStart"/>
      <w:r w:rsidRPr="00BC1BFF">
        <w:t>andfibers</w:t>
      </w:r>
      <w:proofErr w:type="spellEnd"/>
      <w:r w:rsidRPr="00BC1BFF">
        <w:t xml:space="preserve"> in conventional activated sludge process and advanced MBR</w:t>
      </w:r>
      <w:r w:rsidR="00CE3D7F">
        <w:t xml:space="preserve"> </w:t>
      </w:r>
      <w:r w:rsidRPr="00BC1BFF">
        <w:t>technology, Water Research, 133, 236-246.</w:t>
      </w:r>
    </w:p>
    <w:p w14:paraId="7113864C" w14:textId="77777777" w:rsidR="00BC1BFF" w:rsidRPr="00BC1BFF" w:rsidRDefault="00BC1BFF" w:rsidP="00BC1BFF">
      <w:pPr>
        <w:pStyle w:val="CETReferencetext"/>
      </w:pPr>
      <w:proofErr w:type="spellStart"/>
      <w:r w:rsidRPr="00BC1BFF">
        <w:t>Moñino</w:t>
      </w:r>
      <w:proofErr w:type="spellEnd"/>
      <w:r w:rsidRPr="00BC1BFF">
        <w:t xml:space="preserve"> P., </w:t>
      </w:r>
      <w:proofErr w:type="spellStart"/>
      <w:r w:rsidRPr="00BC1BFF">
        <w:t>Aguado</w:t>
      </w:r>
      <w:proofErr w:type="spellEnd"/>
      <w:r w:rsidRPr="00BC1BFF">
        <w:t xml:space="preserve"> D., </w:t>
      </w:r>
      <w:proofErr w:type="spellStart"/>
      <w:r w:rsidRPr="00BC1BFF">
        <w:t>BaratR</w:t>
      </w:r>
      <w:proofErr w:type="spellEnd"/>
      <w:r w:rsidRPr="00BC1BFF">
        <w:t xml:space="preserve">., </w:t>
      </w:r>
      <w:proofErr w:type="spellStart"/>
      <w:r w:rsidRPr="00BC1BFF">
        <w:t>JimenezE</w:t>
      </w:r>
      <w:proofErr w:type="spellEnd"/>
      <w:r w:rsidRPr="00BC1BFF">
        <w:t xml:space="preserve">., </w:t>
      </w:r>
      <w:proofErr w:type="spellStart"/>
      <w:r w:rsidRPr="00BC1BFF">
        <w:t>GimenezJ.B</w:t>
      </w:r>
      <w:proofErr w:type="spellEnd"/>
      <w:r w:rsidRPr="00BC1BFF">
        <w:t xml:space="preserve">., </w:t>
      </w:r>
      <w:proofErr w:type="spellStart"/>
      <w:r w:rsidRPr="00BC1BFF">
        <w:t>SecoA</w:t>
      </w:r>
      <w:proofErr w:type="spellEnd"/>
      <w:r w:rsidRPr="00BC1BFF">
        <w:t xml:space="preserve">., Ferrer J., 2017, A New Strategy to Maximize Organic Matter </w:t>
      </w:r>
      <w:proofErr w:type="spellStart"/>
      <w:r w:rsidRPr="00BC1BFF">
        <w:t>Valorization</w:t>
      </w:r>
      <w:proofErr w:type="spellEnd"/>
      <w:r w:rsidRPr="00BC1BFF">
        <w:t xml:space="preserve"> in Municipalities: Combination of Urban Wastewater with Kitchen Food Waste and Its Treatment with </w:t>
      </w:r>
      <w:proofErr w:type="spellStart"/>
      <w:r w:rsidRPr="00BC1BFF">
        <w:t>AnMBR</w:t>
      </w:r>
      <w:proofErr w:type="spellEnd"/>
      <w:r w:rsidRPr="00BC1BFF">
        <w:t xml:space="preserve"> Technology, Waste Management, 62, 274–89.</w:t>
      </w:r>
      <w:bookmarkStart w:id="2" w:name="bau005"/>
    </w:p>
    <w:p w14:paraId="35257B2C" w14:textId="77777777" w:rsidR="00DC1AB0" w:rsidRDefault="00DC1AB0" w:rsidP="00DC1AB0">
      <w:pPr>
        <w:pStyle w:val="CETReferencetext"/>
      </w:pPr>
      <w:bookmarkStart w:id="3" w:name="bau010"/>
      <w:bookmarkEnd w:id="2"/>
      <w:r w:rsidRPr="00DC1AB0">
        <w:t xml:space="preserve">Sofia D., Joshi Y. A., </w:t>
      </w:r>
      <w:proofErr w:type="spellStart"/>
      <w:r w:rsidRPr="00DC1AB0">
        <w:t>Poletto</w:t>
      </w:r>
      <w:proofErr w:type="spellEnd"/>
      <w:r w:rsidRPr="00DC1AB0">
        <w:t xml:space="preserve"> M., </w:t>
      </w:r>
      <w:r>
        <w:t xml:space="preserve">2013, Kinetics of Bioethanol Production from Lactose Converted by </w:t>
      </w:r>
      <w:proofErr w:type="spellStart"/>
      <w:r>
        <w:t>Kluyveromyces</w:t>
      </w:r>
      <w:proofErr w:type="spellEnd"/>
      <w:r>
        <w:t xml:space="preserve"> </w:t>
      </w:r>
      <w:proofErr w:type="spellStart"/>
      <w:r>
        <w:t>Marxianaus</w:t>
      </w:r>
      <w:proofErr w:type="spellEnd"/>
      <w:r>
        <w:t>, Chemical Engineering Transactions, 32, 1135-1140</w:t>
      </w:r>
    </w:p>
    <w:p w14:paraId="3FB435D3" w14:textId="7F81C421" w:rsidR="00DC1AB0" w:rsidRDefault="00DC1AB0" w:rsidP="00DC1AB0">
      <w:pPr>
        <w:pStyle w:val="CETReferencetext"/>
      </w:pPr>
      <w:r w:rsidRPr="00DC1AB0">
        <w:t xml:space="preserve">Sofia D., Giuliano A., </w:t>
      </w:r>
      <w:proofErr w:type="spellStart"/>
      <w:r w:rsidRPr="00DC1AB0">
        <w:t>Poletto</w:t>
      </w:r>
      <w:proofErr w:type="spellEnd"/>
      <w:r w:rsidRPr="00DC1AB0">
        <w:t xml:space="preserve"> M., Barletta D., 2015, Techno-economic analysis of power and hydrogen co-production by an IGCC plant with CO2 capture based non membrane</w:t>
      </w:r>
      <w:r>
        <w:t xml:space="preserve"> </w:t>
      </w:r>
      <w:r w:rsidRPr="00DC1AB0">
        <w:t>technology, Computer Aided Chemical Engineering, 37, 1373-1378</w:t>
      </w:r>
    </w:p>
    <w:p w14:paraId="151402E7" w14:textId="152ECE7C" w:rsidR="00BC1BFF" w:rsidRPr="00BC1BFF" w:rsidRDefault="00BC1BFF" w:rsidP="00DC1AB0">
      <w:pPr>
        <w:pStyle w:val="CETReferencetext"/>
      </w:pPr>
      <w:r w:rsidRPr="00BC1BFF">
        <w:t xml:space="preserve">Song X., </w:t>
      </w:r>
      <w:hyperlink r:id="rId15" w:anchor="!" w:history="1">
        <w:r w:rsidRPr="00BC1BFF">
          <w:t xml:space="preserve">Luo W., </w:t>
        </w:r>
      </w:hyperlink>
      <w:bookmarkStart w:id="4" w:name="bau015"/>
      <w:bookmarkEnd w:id="3"/>
      <w:r w:rsidRPr="00BC1BFF">
        <w:fldChar w:fldCharType="begin"/>
      </w:r>
      <w:r w:rsidRPr="00BC1BFF">
        <w:instrText xml:space="preserve"> HYPERLINK "https://www.sciencedirect.com/science/article/pii/S0960852418312380" \l "!" </w:instrText>
      </w:r>
      <w:r w:rsidRPr="00BC1BFF">
        <w:fldChar w:fldCharType="separate"/>
      </w:r>
      <w:proofErr w:type="spellStart"/>
      <w:r w:rsidRPr="00BC1BFF">
        <w:t>I.Hai</w:t>
      </w:r>
      <w:proofErr w:type="spellEnd"/>
      <w:r w:rsidRPr="00BC1BFF">
        <w:t xml:space="preserve"> F.,</w:t>
      </w:r>
      <w:proofErr w:type="spellStart"/>
      <w:r w:rsidRPr="00BC1BFF">
        <w:fldChar w:fldCharType="end"/>
      </w:r>
      <w:bookmarkStart w:id="5" w:name="bau020"/>
      <w:bookmarkEnd w:id="4"/>
      <w:r w:rsidRPr="00BC1BFF">
        <w:fldChar w:fldCharType="begin"/>
      </w:r>
      <w:r w:rsidRPr="00BC1BFF">
        <w:instrText>HYPERLINK "https://www.sciencedirect.com/science/article/pii/S0960852418312380" \l "!"</w:instrText>
      </w:r>
      <w:r w:rsidRPr="00BC1BFF">
        <w:fldChar w:fldCharType="separate"/>
      </w:r>
      <w:r w:rsidRPr="00BC1BFF">
        <w:t>E.Price</w:t>
      </w:r>
      <w:proofErr w:type="spellEnd"/>
      <w:r w:rsidRPr="00BC1BFF">
        <w:t xml:space="preserve"> W., </w:t>
      </w:r>
      <w:r w:rsidRPr="00BC1BFF">
        <w:fldChar w:fldCharType="end"/>
      </w:r>
      <w:bookmarkStart w:id="6" w:name="bau025"/>
      <w:bookmarkEnd w:id="5"/>
      <w:r w:rsidRPr="00BC1BFF">
        <w:fldChar w:fldCharType="begin"/>
      </w:r>
      <w:r w:rsidRPr="00BC1BFF">
        <w:instrText xml:space="preserve"> HYPERLINK "https://www.sciencedirect.com/science/article/pii/S0960852418312380" \l "!" </w:instrText>
      </w:r>
      <w:r w:rsidRPr="00BC1BFF">
        <w:fldChar w:fldCharType="separate"/>
      </w:r>
      <w:r w:rsidRPr="00BC1BFF">
        <w:t>Guo</w:t>
      </w:r>
      <w:r w:rsidRPr="00BC1BFF">
        <w:fldChar w:fldCharType="end"/>
      </w:r>
      <w:bookmarkStart w:id="7" w:name="bau030"/>
      <w:bookmarkEnd w:id="6"/>
      <w:r w:rsidRPr="00BC1BFF">
        <w:t xml:space="preserve"> W.,</w:t>
      </w:r>
      <w:proofErr w:type="spellStart"/>
      <w:r w:rsidR="0036656F">
        <w:fldChar w:fldCharType="begin"/>
      </w:r>
      <w:r w:rsidR="0036656F">
        <w:instrText xml:space="preserve"> HYPERLINK "https://www.sciencedirect.com/science/article/pii/S0960852418312380" \l "!" </w:instrText>
      </w:r>
      <w:r w:rsidR="0036656F">
        <w:fldChar w:fldCharType="separate"/>
      </w:r>
      <w:r w:rsidRPr="00BC1BFF">
        <w:t>H.Ngo</w:t>
      </w:r>
      <w:proofErr w:type="spellEnd"/>
      <w:r w:rsidRPr="00BC1BFF">
        <w:t xml:space="preserve"> H., </w:t>
      </w:r>
      <w:r w:rsidR="0036656F">
        <w:fldChar w:fldCharType="end"/>
      </w:r>
      <w:bookmarkStart w:id="8" w:name="bau035"/>
      <w:bookmarkEnd w:id="7"/>
      <w:r w:rsidRPr="00BC1BFF">
        <w:fldChar w:fldCharType="begin"/>
      </w:r>
      <w:r w:rsidRPr="00BC1BFF">
        <w:instrText xml:space="preserve"> HYPERLINK "https://www.sciencedirect.com/science/article/pii/S0960852418312380" \l "!" </w:instrText>
      </w:r>
      <w:r w:rsidRPr="00BC1BFF">
        <w:fldChar w:fldCharType="separate"/>
      </w:r>
      <w:proofErr w:type="spellStart"/>
      <w:r w:rsidRPr="00BC1BFF">
        <w:t>D.Nghiem</w:t>
      </w:r>
      <w:proofErr w:type="spellEnd"/>
      <w:r w:rsidRPr="00BC1BFF">
        <w:fldChar w:fldCharType="end"/>
      </w:r>
      <w:bookmarkEnd w:id="8"/>
      <w:r w:rsidRPr="00BC1BFF">
        <w:t xml:space="preserve"> L.,2018, Resource recovery from wastewater by anaerobic membrane bioreactors: Opportunities and challenges, </w:t>
      </w:r>
      <w:hyperlink r:id="rId16" w:tooltip="Go to Bioresource Technology on ScienceDirect" w:history="1">
        <w:r w:rsidRPr="00BC1BFF">
          <w:t>Bioresource Technology</w:t>
        </w:r>
      </w:hyperlink>
      <w:r w:rsidRPr="00BC1BFF">
        <w:t>, 270, 669-677.</w:t>
      </w:r>
    </w:p>
    <w:bookmarkStart w:id="9" w:name="bau1"/>
    <w:p w14:paraId="3BC023F9" w14:textId="77777777" w:rsidR="00BC1BFF" w:rsidRPr="00BC1BFF" w:rsidRDefault="00BC1BFF" w:rsidP="00BC1BFF">
      <w:pPr>
        <w:pStyle w:val="CETReferencetext"/>
      </w:pPr>
      <w:r w:rsidRPr="00BC1BFF">
        <w:fldChar w:fldCharType="begin"/>
      </w:r>
      <w:r w:rsidRPr="00BC1BFF">
        <w:instrText xml:space="preserve"> HYPERLINK "https://www.sciencedirect.com/science/article/pii/S0043135418310686" \l "!" </w:instrText>
      </w:r>
      <w:r w:rsidRPr="00BC1BFF">
        <w:fldChar w:fldCharType="separate"/>
      </w:r>
      <w:r w:rsidRPr="00BC1BFF">
        <w:t xml:space="preserve">Sun </w:t>
      </w:r>
      <w:proofErr w:type="spellStart"/>
      <w:r w:rsidRPr="00BC1BFF">
        <w:t>J.,</w:t>
      </w:r>
      <w:r w:rsidRPr="00BC1BFF">
        <w:fldChar w:fldCharType="end"/>
      </w:r>
      <w:bookmarkStart w:id="10" w:name="bau2"/>
      <w:bookmarkEnd w:id="9"/>
      <w:r w:rsidRPr="00BC1BFF">
        <w:fldChar w:fldCharType="begin"/>
      </w:r>
      <w:r w:rsidRPr="00BC1BFF">
        <w:instrText>HYPERLINK "https://www.sciencedirect.com/science/article/pii/S0043135418310686" \l "!"</w:instrText>
      </w:r>
      <w:r w:rsidRPr="00BC1BFF">
        <w:fldChar w:fldCharType="separate"/>
      </w:r>
      <w:r w:rsidRPr="00BC1BFF">
        <w:t>Dai</w:t>
      </w:r>
      <w:proofErr w:type="spellEnd"/>
      <w:r w:rsidRPr="00BC1BFF">
        <w:t xml:space="preserve"> </w:t>
      </w:r>
      <w:proofErr w:type="spellStart"/>
      <w:r w:rsidRPr="00BC1BFF">
        <w:t>X.,</w:t>
      </w:r>
      <w:r w:rsidRPr="00BC1BFF">
        <w:fldChar w:fldCharType="end"/>
      </w:r>
      <w:bookmarkStart w:id="11" w:name="bau3"/>
      <w:bookmarkEnd w:id="10"/>
      <w:r w:rsidRPr="00BC1BFF">
        <w:fldChar w:fldCharType="begin"/>
      </w:r>
      <w:r w:rsidRPr="00BC1BFF">
        <w:instrText>HYPERLINK "https://www.sciencedirect.com/science/article/pii/S0043135418310686" \l "!"</w:instrText>
      </w:r>
      <w:r w:rsidRPr="00BC1BFF">
        <w:fldChar w:fldCharType="separate"/>
      </w:r>
      <w:r w:rsidRPr="00BC1BFF">
        <w:t>Wang</w:t>
      </w:r>
      <w:proofErr w:type="spellEnd"/>
      <w:r w:rsidRPr="00BC1BFF">
        <w:t xml:space="preserve"> </w:t>
      </w:r>
      <w:proofErr w:type="spellStart"/>
      <w:r w:rsidRPr="00BC1BFF">
        <w:t>Q,</w:t>
      </w:r>
      <w:r w:rsidRPr="00BC1BFF">
        <w:fldChar w:fldCharType="end"/>
      </w:r>
      <w:bookmarkStart w:id="12" w:name="bau4"/>
      <w:bookmarkEnd w:id="11"/>
      <w:r w:rsidRPr="00BC1BFF">
        <w:fldChar w:fldCharType="begin"/>
      </w:r>
      <w:r w:rsidRPr="00BC1BFF">
        <w:instrText>HYPERLINK "https://www.sciencedirect.com/science/article/pii/S0043135418310686" \l "!"</w:instrText>
      </w:r>
      <w:r w:rsidRPr="00BC1BFF">
        <w:fldChar w:fldCharType="separate"/>
      </w:r>
      <w:r w:rsidRPr="00BC1BFF">
        <w:t>Van</w:t>
      </w:r>
      <w:proofErr w:type="spellEnd"/>
      <w:r w:rsidRPr="00BC1BFF">
        <w:t xml:space="preserve"> </w:t>
      </w:r>
      <w:proofErr w:type="spellStart"/>
      <w:r w:rsidRPr="00BC1BFF">
        <w:t>Loosdrechtd</w:t>
      </w:r>
      <w:proofErr w:type="spellEnd"/>
      <w:r w:rsidRPr="00BC1BFF">
        <w:fldChar w:fldCharType="end"/>
      </w:r>
      <w:bookmarkStart w:id="13" w:name="bau5"/>
      <w:bookmarkEnd w:id="12"/>
      <w:r w:rsidRPr="00BC1BFF">
        <w:t xml:space="preserve"> M., </w:t>
      </w:r>
      <w:hyperlink r:id="rId17" w:anchor="!" w:history="1">
        <w:r w:rsidRPr="00BC1BFF">
          <w:t>Bing-</w:t>
        </w:r>
        <w:proofErr w:type="spellStart"/>
        <w:r w:rsidRPr="00BC1BFF">
          <w:t>JieNi</w:t>
        </w:r>
        <w:proofErr w:type="spellEnd"/>
      </w:hyperlink>
      <w:bookmarkEnd w:id="13"/>
      <w:r w:rsidRPr="00BC1BFF">
        <w:t xml:space="preserve">, 2019, Microplastics in wastewater treatment plants: Detection, occurrence and removal, </w:t>
      </w:r>
      <w:hyperlink r:id="rId18" w:tooltip="Go to Water Research on ScienceDirect" w:history="1">
        <w:r w:rsidRPr="00BC1BFF">
          <w:t>Water Research</w:t>
        </w:r>
      </w:hyperlink>
      <w:r w:rsidRPr="00BC1BFF">
        <w:t>, 152, 21-37.</w:t>
      </w:r>
    </w:p>
    <w:p w14:paraId="5530C8F2" w14:textId="41CC5DCB" w:rsidR="00BC1BFF" w:rsidRPr="00BC1BFF" w:rsidRDefault="00BC1BFF" w:rsidP="00BC1BFF">
      <w:pPr>
        <w:pStyle w:val="CETReferencetext"/>
      </w:pPr>
      <w:proofErr w:type="spellStart"/>
      <w:r w:rsidRPr="00BC1BFF">
        <w:t>Talvitie</w:t>
      </w:r>
      <w:proofErr w:type="spellEnd"/>
      <w:r w:rsidRPr="00BC1BFF">
        <w:t xml:space="preserve"> J.,</w:t>
      </w:r>
      <w:r w:rsidR="007E6726">
        <w:t xml:space="preserve"> </w:t>
      </w:r>
      <w:proofErr w:type="spellStart"/>
      <w:r w:rsidRPr="00BC1BFF">
        <w:t>Mikola</w:t>
      </w:r>
      <w:proofErr w:type="spellEnd"/>
      <w:r w:rsidRPr="00BC1BFF">
        <w:t xml:space="preserve"> A., </w:t>
      </w:r>
      <w:proofErr w:type="spellStart"/>
      <w:r w:rsidRPr="00BC1BFF">
        <w:t>Koistinen</w:t>
      </w:r>
      <w:proofErr w:type="spellEnd"/>
      <w:r w:rsidRPr="00BC1BFF">
        <w:t xml:space="preserve"> A., </w:t>
      </w:r>
      <w:proofErr w:type="spellStart"/>
      <w:r w:rsidRPr="00BC1BFF">
        <w:t>Setala</w:t>
      </w:r>
      <w:proofErr w:type="spellEnd"/>
      <w:r w:rsidRPr="00BC1BFF">
        <w:t xml:space="preserve"> O., 2017, Solutions to microplastic pollution e Removal of microplastics from</w:t>
      </w:r>
      <w:r w:rsidR="00CE3D7F">
        <w:t xml:space="preserve"> </w:t>
      </w:r>
      <w:r w:rsidRPr="00BC1BFF">
        <w:t>wastewater effluent with advanced wastewater treatment</w:t>
      </w:r>
      <w:r w:rsidR="00CE3D7F">
        <w:t xml:space="preserve"> </w:t>
      </w:r>
      <w:r w:rsidRPr="00BC1BFF">
        <w:t>technologies, Water Research, 123, 401-407.</w:t>
      </w:r>
    </w:p>
    <w:p w14:paraId="4B99BC50" w14:textId="77777777" w:rsidR="00BC1BFF" w:rsidRPr="00BC1BFF" w:rsidRDefault="00151826" w:rsidP="00BC1BFF">
      <w:pPr>
        <w:pStyle w:val="CETReferencetext"/>
      </w:pPr>
      <w:hyperlink r:id="rId19" w:anchor="!" w:history="1">
        <w:proofErr w:type="spellStart"/>
        <w:r w:rsidR="00BC1BFF" w:rsidRPr="00BC1BFF">
          <w:t>Urbano</w:t>
        </w:r>
        <w:proofErr w:type="spellEnd"/>
      </w:hyperlink>
      <w:r w:rsidR="00BC1BFF" w:rsidRPr="00BC1BFF">
        <w:t xml:space="preserve"> V.R, </w:t>
      </w:r>
      <w:hyperlink r:id="rId20" w:anchor="!" w:history="1">
        <w:r w:rsidR="00BC1BFF" w:rsidRPr="00BC1BFF">
          <w:t xml:space="preserve"> Peres</w:t>
        </w:r>
      </w:hyperlink>
      <w:r w:rsidR="00BC1BFF" w:rsidRPr="00BC1BFF">
        <w:t xml:space="preserve"> M.S., </w:t>
      </w:r>
      <w:hyperlink r:id="rId21" w:anchor="!" w:history="1">
        <w:proofErr w:type="spellStart"/>
        <w:r w:rsidR="00BC1BFF" w:rsidRPr="00BC1BFF">
          <w:t>Maniero</w:t>
        </w:r>
        <w:proofErr w:type="spellEnd"/>
      </w:hyperlink>
      <w:r w:rsidR="00BC1BFF" w:rsidRPr="00BC1BFF">
        <w:t xml:space="preserve"> M.G., </w:t>
      </w:r>
      <w:hyperlink r:id="rId22" w:anchor="!" w:history="1">
        <w:proofErr w:type="spellStart"/>
        <w:r w:rsidR="00BC1BFF" w:rsidRPr="00BC1BFF">
          <w:t>Guimarães</w:t>
        </w:r>
        <w:proofErr w:type="spellEnd"/>
      </w:hyperlink>
      <w:r w:rsidR="00BC1BFF" w:rsidRPr="00BC1BFF">
        <w:t xml:space="preserve"> J.R., 2017, Abatement and toxicity reduction of antimicrobials by UV/H2O2process, </w:t>
      </w:r>
      <w:hyperlink r:id="rId23" w:tooltip="Go to Journal of Environmental Management on ScienceDirect" w:history="1">
        <w:r w:rsidR="00BC1BFF" w:rsidRPr="00BC1BFF">
          <w:t>Journal of Environmental Management</w:t>
        </w:r>
      </w:hyperlink>
      <w:r w:rsidR="00BC1BFF" w:rsidRPr="00BC1BFF">
        <w:t xml:space="preserve">, </w:t>
      </w:r>
      <w:hyperlink r:id="rId24" w:tooltip="Go to table of contents for this volume/issue" w:history="1">
        <w:r w:rsidR="00BC1BFF" w:rsidRPr="00BC1BFF">
          <w:t>193</w:t>
        </w:r>
      </w:hyperlink>
      <w:r w:rsidR="00BC1BFF" w:rsidRPr="00BC1BFF">
        <w:t>, 439-447.</w:t>
      </w:r>
    </w:p>
    <w:p w14:paraId="63DA1F14" w14:textId="77777777" w:rsidR="00BC1BFF" w:rsidRPr="00BC1BFF" w:rsidRDefault="00151826" w:rsidP="00BC1BFF">
      <w:pPr>
        <w:pStyle w:val="CETReferencetext"/>
      </w:pPr>
      <w:hyperlink r:id="rId25" w:anchor="!" w:history="1">
        <w:r w:rsidR="00BC1BFF" w:rsidRPr="00BC1BFF">
          <w:t>Xiao Y.,</w:t>
        </w:r>
      </w:hyperlink>
      <w:r w:rsidR="00BC1BFF" w:rsidRPr="00BC1BFF">
        <w:t xml:space="preserve"> </w:t>
      </w:r>
      <w:hyperlink r:id="rId26" w:anchor="!" w:history="1">
        <w:proofErr w:type="spellStart"/>
        <w:r w:rsidR="00BC1BFF" w:rsidRPr="00BC1BFF">
          <w:t>Yaohari</w:t>
        </w:r>
        <w:proofErr w:type="spellEnd"/>
        <w:r w:rsidR="00BC1BFF" w:rsidRPr="00BC1BFF">
          <w:t xml:space="preserve"> H.,</w:t>
        </w:r>
      </w:hyperlink>
      <w:r w:rsidR="00BC1BFF" w:rsidRPr="00BC1BFF">
        <w:t xml:space="preserve"> </w:t>
      </w:r>
      <w:hyperlink r:id="rId27" w:anchor="!" w:history="1">
        <w:r w:rsidR="00BC1BFF" w:rsidRPr="00BC1BFF">
          <w:t>De Araujo</w:t>
        </w:r>
      </w:hyperlink>
      <w:r w:rsidR="00BC1BFF" w:rsidRPr="00BC1BFF">
        <w:t xml:space="preserve"> C, </w:t>
      </w:r>
      <w:hyperlink r:id="rId28" w:anchor="!" w:history="1">
        <w:r w:rsidR="00BC1BFF" w:rsidRPr="00BC1BFF">
          <w:t xml:space="preserve"> Sze</w:t>
        </w:r>
      </w:hyperlink>
      <w:r w:rsidR="00BC1BFF" w:rsidRPr="00BC1BFF">
        <w:t xml:space="preserve"> C.C:, </w:t>
      </w:r>
      <w:hyperlink r:id="rId29" w:anchor="!" w:history="1">
        <w:r w:rsidR="00BC1BFF" w:rsidRPr="00BC1BFF">
          <w:t xml:space="preserve"> C Stuckey</w:t>
        </w:r>
      </w:hyperlink>
      <w:r w:rsidR="00BC1BFF" w:rsidRPr="00BC1BFF">
        <w:t xml:space="preserve"> D., 2017, Removal of selected pharmaceuticals in an anaerobic membrane bioreactor (</w:t>
      </w:r>
      <w:proofErr w:type="spellStart"/>
      <w:r w:rsidR="00BC1BFF" w:rsidRPr="00BC1BFF">
        <w:t>AnMBR</w:t>
      </w:r>
      <w:proofErr w:type="spellEnd"/>
      <w:r w:rsidR="00BC1BFF" w:rsidRPr="00BC1BFF">
        <w:t xml:space="preserve">) with/without powdered activated carbon (PAC), </w:t>
      </w:r>
      <w:hyperlink r:id="rId30" w:tooltip="Go to Chemical Engineering Journal on ScienceDirect" w:history="1">
        <w:r w:rsidR="00BC1BFF" w:rsidRPr="00BC1BFF">
          <w:t>Chemical Engineering Journal</w:t>
        </w:r>
      </w:hyperlink>
      <w:r w:rsidR="00BC1BFF" w:rsidRPr="00BC1BFF">
        <w:t xml:space="preserve">, </w:t>
      </w:r>
      <w:hyperlink r:id="rId31" w:tooltip="Go to table of contents for this volume/issue" w:history="1">
        <w:r w:rsidR="00BC1BFF" w:rsidRPr="00BC1BFF">
          <w:t>321</w:t>
        </w:r>
      </w:hyperlink>
      <w:r w:rsidR="00BC1BFF" w:rsidRPr="00BC1BFF">
        <w:t>, 335-345.</w:t>
      </w:r>
    </w:p>
    <w:p w14:paraId="41E73030" w14:textId="77777777" w:rsidR="00E21B85" w:rsidRPr="009D0842" w:rsidRDefault="00E21B85" w:rsidP="00E21B85">
      <w:pPr>
        <w:pStyle w:val="CETBodytext"/>
        <w:rPr>
          <w:lang w:val="en-GB"/>
        </w:rPr>
      </w:pPr>
    </w:p>
    <w:p w14:paraId="5D3066D2" w14:textId="77777777" w:rsidR="00E21B85" w:rsidRPr="009D0842" w:rsidRDefault="00E21B85" w:rsidP="00E21B85">
      <w:pPr>
        <w:pStyle w:val="CETBodytext"/>
        <w:rPr>
          <w:lang w:val="en-GB"/>
        </w:rPr>
      </w:pPr>
    </w:p>
    <w:p w14:paraId="24E567C6" w14:textId="77777777" w:rsidR="00E21B85" w:rsidRPr="009D0842" w:rsidRDefault="00E21B85" w:rsidP="00E21B85">
      <w:pPr>
        <w:pStyle w:val="CETBodytext"/>
        <w:rPr>
          <w:lang w:val="en-GB"/>
        </w:rPr>
      </w:pPr>
    </w:p>
    <w:p w14:paraId="0FCAD679" w14:textId="77777777" w:rsidR="00E21B85" w:rsidRPr="009D0842" w:rsidRDefault="00E21B85" w:rsidP="00E21B85">
      <w:pPr>
        <w:pStyle w:val="CETBodytext"/>
        <w:rPr>
          <w:lang w:val="en-GB"/>
        </w:rPr>
      </w:pPr>
    </w:p>
    <w:p w14:paraId="739294A1" w14:textId="77777777" w:rsidR="00E21B85" w:rsidRPr="009D0842" w:rsidRDefault="00E21B85" w:rsidP="00E21B85">
      <w:pPr>
        <w:pStyle w:val="CETBodytext"/>
        <w:rPr>
          <w:lang w:val="en-GB"/>
        </w:rPr>
      </w:pPr>
    </w:p>
    <w:p w14:paraId="595CD8ED" w14:textId="77777777" w:rsidR="00E21B85" w:rsidRPr="009D0842" w:rsidRDefault="00E21B85" w:rsidP="00E21B85">
      <w:pPr>
        <w:pStyle w:val="CETBodytext"/>
        <w:rPr>
          <w:lang w:val="en-GB"/>
        </w:rPr>
      </w:pPr>
    </w:p>
    <w:p w14:paraId="59FAE06D" w14:textId="77777777" w:rsidR="00BB06A0" w:rsidRPr="009D0842" w:rsidRDefault="00BB06A0" w:rsidP="00BB06A0">
      <w:pPr>
        <w:pStyle w:val="CETBodytext"/>
        <w:rPr>
          <w:lang w:val="en-GB"/>
        </w:rPr>
      </w:pPr>
    </w:p>
    <w:sectPr w:rsidR="00BB06A0" w:rsidRPr="009D084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0AB4" w14:textId="77777777" w:rsidR="00151826" w:rsidRDefault="00151826" w:rsidP="004F5E36">
      <w:r>
        <w:separator/>
      </w:r>
    </w:p>
  </w:endnote>
  <w:endnote w:type="continuationSeparator" w:id="0">
    <w:p w14:paraId="2F75C05A" w14:textId="77777777" w:rsidR="00151826" w:rsidRDefault="0015182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4554B" w14:textId="77777777" w:rsidR="00151826" w:rsidRDefault="00151826" w:rsidP="004F5E36">
      <w:r>
        <w:separator/>
      </w:r>
    </w:p>
  </w:footnote>
  <w:footnote w:type="continuationSeparator" w:id="0">
    <w:p w14:paraId="3DA4845A" w14:textId="77777777" w:rsidR="00151826" w:rsidRDefault="0015182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F76"/>
    <w:rsid w:val="000052FB"/>
    <w:rsid w:val="00010F40"/>
    <w:rsid w:val="000117CB"/>
    <w:rsid w:val="000153E7"/>
    <w:rsid w:val="00023C25"/>
    <w:rsid w:val="0003148D"/>
    <w:rsid w:val="0003531E"/>
    <w:rsid w:val="00046B4E"/>
    <w:rsid w:val="00047D7F"/>
    <w:rsid w:val="00051566"/>
    <w:rsid w:val="000567F4"/>
    <w:rsid w:val="00062A9A"/>
    <w:rsid w:val="00065058"/>
    <w:rsid w:val="00065F92"/>
    <w:rsid w:val="000739F5"/>
    <w:rsid w:val="00077E9C"/>
    <w:rsid w:val="00080052"/>
    <w:rsid w:val="00086C39"/>
    <w:rsid w:val="000878AB"/>
    <w:rsid w:val="000A03B2"/>
    <w:rsid w:val="000A04F4"/>
    <w:rsid w:val="000A3B79"/>
    <w:rsid w:val="000B22B8"/>
    <w:rsid w:val="000B2BBC"/>
    <w:rsid w:val="000B2DD1"/>
    <w:rsid w:val="000D34BE"/>
    <w:rsid w:val="000E102F"/>
    <w:rsid w:val="000E25BC"/>
    <w:rsid w:val="000E36F1"/>
    <w:rsid w:val="000E3A73"/>
    <w:rsid w:val="000E414A"/>
    <w:rsid w:val="000F093C"/>
    <w:rsid w:val="000F16BD"/>
    <w:rsid w:val="000F5334"/>
    <w:rsid w:val="000F787B"/>
    <w:rsid w:val="0010314C"/>
    <w:rsid w:val="0012091F"/>
    <w:rsid w:val="00120AF7"/>
    <w:rsid w:val="00126BC2"/>
    <w:rsid w:val="001308B6"/>
    <w:rsid w:val="0013121F"/>
    <w:rsid w:val="00131FAB"/>
    <w:rsid w:val="00131FE6"/>
    <w:rsid w:val="0013263F"/>
    <w:rsid w:val="00134DE4"/>
    <w:rsid w:val="0014034D"/>
    <w:rsid w:val="00143E6B"/>
    <w:rsid w:val="00150E59"/>
    <w:rsid w:val="00151826"/>
    <w:rsid w:val="00152DE3"/>
    <w:rsid w:val="00162642"/>
    <w:rsid w:val="0016370B"/>
    <w:rsid w:val="00164CF9"/>
    <w:rsid w:val="00166569"/>
    <w:rsid w:val="00184AD6"/>
    <w:rsid w:val="00187178"/>
    <w:rsid w:val="00192995"/>
    <w:rsid w:val="0019361D"/>
    <w:rsid w:val="001A14CB"/>
    <w:rsid w:val="001B0349"/>
    <w:rsid w:val="001B1F37"/>
    <w:rsid w:val="001B2FE9"/>
    <w:rsid w:val="001B39DE"/>
    <w:rsid w:val="001B65C1"/>
    <w:rsid w:val="001B670D"/>
    <w:rsid w:val="001C5F3E"/>
    <w:rsid w:val="001C684B"/>
    <w:rsid w:val="001D53FC"/>
    <w:rsid w:val="001E6B43"/>
    <w:rsid w:val="001F42A5"/>
    <w:rsid w:val="001F7B9D"/>
    <w:rsid w:val="002224B4"/>
    <w:rsid w:val="002447EF"/>
    <w:rsid w:val="00251550"/>
    <w:rsid w:val="00252489"/>
    <w:rsid w:val="00252583"/>
    <w:rsid w:val="00252C1A"/>
    <w:rsid w:val="002606D9"/>
    <w:rsid w:val="00263937"/>
    <w:rsid w:val="00263B05"/>
    <w:rsid w:val="0027221A"/>
    <w:rsid w:val="002749C5"/>
    <w:rsid w:val="00275B61"/>
    <w:rsid w:val="002775F1"/>
    <w:rsid w:val="00282656"/>
    <w:rsid w:val="00294454"/>
    <w:rsid w:val="00296B83"/>
    <w:rsid w:val="002B78CE"/>
    <w:rsid w:val="002C0DB4"/>
    <w:rsid w:val="002C2FB6"/>
    <w:rsid w:val="002D5BCD"/>
    <w:rsid w:val="002D7B05"/>
    <w:rsid w:val="002F20A5"/>
    <w:rsid w:val="003009B7"/>
    <w:rsid w:val="00300E56"/>
    <w:rsid w:val="0030469C"/>
    <w:rsid w:val="003069FD"/>
    <w:rsid w:val="00321CA6"/>
    <w:rsid w:val="00325402"/>
    <w:rsid w:val="0033093C"/>
    <w:rsid w:val="00334C09"/>
    <w:rsid w:val="003365E3"/>
    <w:rsid w:val="00336B23"/>
    <w:rsid w:val="003553A4"/>
    <w:rsid w:val="0036656F"/>
    <w:rsid w:val="00371613"/>
    <w:rsid w:val="00371AF6"/>
    <w:rsid w:val="003723D4"/>
    <w:rsid w:val="00372EE0"/>
    <w:rsid w:val="00384CC8"/>
    <w:rsid w:val="003871FD"/>
    <w:rsid w:val="0039152F"/>
    <w:rsid w:val="003960F4"/>
    <w:rsid w:val="003967CF"/>
    <w:rsid w:val="003A1E30"/>
    <w:rsid w:val="003A4CFC"/>
    <w:rsid w:val="003A7D1C"/>
    <w:rsid w:val="003B304B"/>
    <w:rsid w:val="003B3146"/>
    <w:rsid w:val="003B60F3"/>
    <w:rsid w:val="003C2C39"/>
    <w:rsid w:val="003C4AF3"/>
    <w:rsid w:val="003D550F"/>
    <w:rsid w:val="003F015E"/>
    <w:rsid w:val="003F5CDD"/>
    <w:rsid w:val="003F6031"/>
    <w:rsid w:val="00400414"/>
    <w:rsid w:val="0041446B"/>
    <w:rsid w:val="0044329C"/>
    <w:rsid w:val="0045191B"/>
    <w:rsid w:val="004562B7"/>
    <w:rsid w:val="004577FE"/>
    <w:rsid w:val="00457B9C"/>
    <w:rsid w:val="0046164A"/>
    <w:rsid w:val="004628D2"/>
    <w:rsid w:val="00462DCD"/>
    <w:rsid w:val="004648AD"/>
    <w:rsid w:val="004703A9"/>
    <w:rsid w:val="004760DE"/>
    <w:rsid w:val="004A004E"/>
    <w:rsid w:val="004A24CF"/>
    <w:rsid w:val="004A2D30"/>
    <w:rsid w:val="004B1295"/>
    <w:rsid w:val="004B6721"/>
    <w:rsid w:val="004C3D1D"/>
    <w:rsid w:val="004C7913"/>
    <w:rsid w:val="004D7168"/>
    <w:rsid w:val="004E07A1"/>
    <w:rsid w:val="004E4DD6"/>
    <w:rsid w:val="004F26D8"/>
    <w:rsid w:val="004F4521"/>
    <w:rsid w:val="004F5E36"/>
    <w:rsid w:val="005046A8"/>
    <w:rsid w:val="00507B47"/>
    <w:rsid w:val="00507CC9"/>
    <w:rsid w:val="005119A5"/>
    <w:rsid w:val="005278B7"/>
    <w:rsid w:val="00532016"/>
    <w:rsid w:val="00532F0E"/>
    <w:rsid w:val="0053332F"/>
    <w:rsid w:val="005346C8"/>
    <w:rsid w:val="00543E7D"/>
    <w:rsid w:val="00545FC6"/>
    <w:rsid w:val="00546B05"/>
    <w:rsid w:val="00547A68"/>
    <w:rsid w:val="005531C9"/>
    <w:rsid w:val="005775CE"/>
    <w:rsid w:val="00591391"/>
    <w:rsid w:val="00595DC6"/>
    <w:rsid w:val="005B2110"/>
    <w:rsid w:val="005B37A9"/>
    <w:rsid w:val="005B61E6"/>
    <w:rsid w:val="005C0660"/>
    <w:rsid w:val="005C2480"/>
    <w:rsid w:val="005C3F19"/>
    <w:rsid w:val="005C77E1"/>
    <w:rsid w:val="005D1692"/>
    <w:rsid w:val="005D6A2F"/>
    <w:rsid w:val="005E1A82"/>
    <w:rsid w:val="005E2988"/>
    <w:rsid w:val="005E794C"/>
    <w:rsid w:val="005F0707"/>
    <w:rsid w:val="005F0A28"/>
    <w:rsid w:val="005F0E5E"/>
    <w:rsid w:val="00600535"/>
    <w:rsid w:val="0060745C"/>
    <w:rsid w:val="00610CD6"/>
    <w:rsid w:val="00611AA3"/>
    <w:rsid w:val="006147C0"/>
    <w:rsid w:val="0061787D"/>
    <w:rsid w:val="00620DEE"/>
    <w:rsid w:val="00621F92"/>
    <w:rsid w:val="00625639"/>
    <w:rsid w:val="00631B33"/>
    <w:rsid w:val="00635FA4"/>
    <w:rsid w:val="0064184D"/>
    <w:rsid w:val="006422CC"/>
    <w:rsid w:val="00642F41"/>
    <w:rsid w:val="00646BBC"/>
    <w:rsid w:val="00654C0D"/>
    <w:rsid w:val="00660E3E"/>
    <w:rsid w:val="00662E74"/>
    <w:rsid w:val="006640C3"/>
    <w:rsid w:val="00667AD4"/>
    <w:rsid w:val="0067298F"/>
    <w:rsid w:val="00674C78"/>
    <w:rsid w:val="0068091C"/>
    <w:rsid w:val="00680C23"/>
    <w:rsid w:val="00693766"/>
    <w:rsid w:val="00695387"/>
    <w:rsid w:val="006A3281"/>
    <w:rsid w:val="006A5D19"/>
    <w:rsid w:val="006A6E24"/>
    <w:rsid w:val="006B4888"/>
    <w:rsid w:val="006C08CF"/>
    <w:rsid w:val="006C2E45"/>
    <w:rsid w:val="006C359C"/>
    <w:rsid w:val="006C5579"/>
    <w:rsid w:val="006E47F3"/>
    <w:rsid w:val="006E737D"/>
    <w:rsid w:val="006F1B19"/>
    <w:rsid w:val="006F3F98"/>
    <w:rsid w:val="006F6E58"/>
    <w:rsid w:val="0070195D"/>
    <w:rsid w:val="00720A24"/>
    <w:rsid w:val="00727BDB"/>
    <w:rsid w:val="00730299"/>
    <w:rsid w:val="00732386"/>
    <w:rsid w:val="007432E3"/>
    <w:rsid w:val="007447F3"/>
    <w:rsid w:val="007459A0"/>
    <w:rsid w:val="0075499F"/>
    <w:rsid w:val="00756A6D"/>
    <w:rsid w:val="007661C8"/>
    <w:rsid w:val="00767ECF"/>
    <w:rsid w:val="0077098D"/>
    <w:rsid w:val="00772580"/>
    <w:rsid w:val="0078057A"/>
    <w:rsid w:val="00791947"/>
    <w:rsid w:val="007931FA"/>
    <w:rsid w:val="00793366"/>
    <w:rsid w:val="00793A19"/>
    <w:rsid w:val="00797853"/>
    <w:rsid w:val="007A3190"/>
    <w:rsid w:val="007A7BBA"/>
    <w:rsid w:val="007B0C50"/>
    <w:rsid w:val="007B6347"/>
    <w:rsid w:val="007C1823"/>
    <w:rsid w:val="007C1A43"/>
    <w:rsid w:val="007C2403"/>
    <w:rsid w:val="007D08B9"/>
    <w:rsid w:val="007D2124"/>
    <w:rsid w:val="007D2936"/>
    <w:rsid w:val="007D7302"/>
    <w:rsid w:val="007E1DC6"/>
    <w:rsid w:val="007E6726"/>
    <w:rsid w:val="007F3077"/>
    <w:rsid w:val="00813288"/>
    <w:rsid w:val="008168FC"/>
    <w:rsid w:val="00824E2F"/>
    <w:rsid w:val="00830996"/>
    <w:rsid w:val="00830D3F"/>
    <w:rsid w:val="008345F1"/>
    <w:rsid w:val="00834679"/>
    <w:rsid w:val="00842593"/>
    <w:rsid w:val="00850907"/>
    <w:rsid w:val="008640B9"/>
    <w:rsid w:val="008659FE"/>
    <w:rsid w:val="00865B07"/>
    <w:rsid w:val="008667EA"/>
    <w:rsid w:val="00872B1D"/>
    <w:rsid w:val="0087476A"/>
    <w:rsid w:val="0087637F"/>
    <w:rsid w:val="00887037"/>
    <w:rsid w:val="008904B9"/>
    <w:rsid w:val="00891E2B"/>
    <w:rsid w:val="00892AD5"/>
    <w:rsid w:val="008A1512"/>
    <w:rsid w:val="008A2CDA"/>
    <w:rsid w:val="008C3844"/>
    <w:rsid w:val="008C7491"/>
    <w:rsid w:val="008C78C1"/>
    <w:rsid w:val="008D14B7"/>
    <w:rsid w:val="008D32B9"/>
    <w:rsid w:val="008D433B"/>
    <w:rsid w:val="008E1D99"/>
    <w:rsid w:val="008E566E"/>
    <w:rsid w:val="008F08E8"/>
    <w:rsid w:val="008F2F29"/>
    <w:rsid w:val="008F4DE4"/>
    <w:rsid w:val="0090161A"/>
    <w:rsid w:val="00901EB6"/>
    <w:rsid w:val="00904C62"/>
    <w:rsid w:val="00907B2B"/>
    <w:rsid w:val="009177B5"/>
    <w:rsid w:val="00924DAC"/>
    <w:rsid w:val="00926B21"/>
    <w:rsid w:val="00927058"/>
    <w:rsid w:val="009450CE"/>
    <w:rsid w:val="00947179"/>
    <w:rsid w:val="0095164B"/>
    <w:rsid w:val="00954090"/>
    <w:rsid w:val="009573E7"/>
    <w:rsid w:val="009600B8"/>
    <w:rsid w:val="009608E4"/>
    <w:rsid w:val="009635B9"/>
    <w:rsid w:val="00963E05"/>
    <w:rsid w:val="00965A1E"/>
    <w:rsid w:val="00967D54"/>
    <w:rsid w:val="00971DE1"/>
    <w:rsid w:val="00980ED5"/>
    <w:rsid w:val="009955FF"/>
    <w:rsid w:val="00996483"/>
    <w:rsid w:val="00996F5A"/>
    <w:rsid w:val="009A0A3E"/>
    <w:rsid w:val="009A4411"/>
    <w:rsid w:val="009B041A"/>
    <w:rsid w:val="009B613A"/>
    <w:rsid w:val="009C7C86"/>
    <w:rsid w:val="009D0842"/>
    <w:rsid w:val="009D2FF7"/>
    <w:rsid w:val="009D37CF"/>
    <w:rsid w:val="009E7884"/>
    <w:rsid w:val="009E788A"/>
    <w:rsid w:val="009F0E08"/>
    <w:rsid w:val="00A020B3"/>
    <w:rsid w:val="00A1763D"/>
    <w:rsid w:val="00A17CEC"/>
    <w:rsid w:val="00A27EF0"/>
    <w:rsid w:val="00A3010E"/>
    <w:rsid w:val="00A4042A"/>
    <w:rsid w:val="00A50B20"/>
    <w:rsid w:val="00A51390"/>
    <w:rsid w:val="00A517EC"/>
    <w:rsid w:val="00A52E36"/>
    <w:rsid w:val="00A6025F"/>
    <w:rsid w:val="00A60D13"/>
    <w:rsid w:val="00A72745"/>
    <w:rsid w:val="00A76EFC"/>
    <w:rsid w:val="00A846D9"/>
    <w:rsid w:val="00A91010"/>
    <w:rsid w:val="00A97F29"/>
    <w:rsid w:val="00AA702E"/>
    <w:rsid w:val="00AB0964"/>
    <w:rsid w:val="00AB101A"/>
    <w:rsid w:val="00AB5011"/>
    <w:rsid w:val="00AC23CA"/>
    <w:rsid w:val="00AC252E"/>
    <w:rsid w:val="00AC7368"/>
    <w:rsid w:val="00AC7DCF"/>
    <w:rsid w:val="00AD064A"/>
    <w:rsid w:val="00AD16B9"/>
    <w:rsid w:val="00AD5862"/>
    <w:rsid w:val="00AD63E7"/>
    <w:rsid w:val="00AE377D"/>
    <w:rsid w:val="00AE53AC"/>
    <w:rsid w:val="00B01857"/>
    <w:rsid w:val="00B11B74"/>
    <w:rsid w:val="00B14EB1"/>
    <w:rsid w:val="00B17FBD"/>
    <w:rsid w:val="00B315A6"/>
    <w:rsid w:val="00B31813"/>
    <w:rsid w:val="00B33365"/>
    <w:rsid w:val="00B43B0F"/>
    <w:rsid w:val="00B45857"/>
    <w:rsid w:val="00B57B36"/>
    <w:rsid w:val="00B61257"/>
    <w:rsid w:val="00B74D0E"/>
    <w:rsid w:val="00B75DBD"/>
    <w:rsid w:val="00B80ED4"/>
    <w:rsid w:val="00B8686D"/>
    <w:rsid w:val="00B86F0C"/>
    <w:rsid w:val="00BA5FF6"/>
    <w:rsid w:val="00BB06A0"/>
    <w:rsid w:val="00BB5207"/>
    <w:rsid w:val="00BC1BFF"/>
    <w:rsid w:val="00BC269C"/>
    <w:rsid w:val="00BC30C9"/>
    <w:rsid w:val="00BD1823"/>
    <w:rsid w:val="00BE2AB1"/>
    <w:rsid w:val="00BE3E58"/>
    <w:rsid w:val="00BE55DE"/>
    <w:rsid w:val="00BE73B5"/>
    <w:rsid w:val="00BE7923"/>
    <w:rsid w:val="00BF64C3"/>
    <w:rsid w:val="00BF7C42"/>
    <w:rsid w:val="00C01616"/>
    <w:rsid w:val="00C0162B"/>
    <w:rsid w:val="00C03886"/>
    <w:rsid w:val="00C146F8"/>
    <w:rsid w:val="00C2264C"/>
    <w:rsid w:val="00C345B1"/>
    <w:rsid w:val="00C40142"/>
    <w:rsid w:val="00C57182"/>
    <w:rsid w:val="00C57863"/>
    <w:rsid w:val="00C611D2"/>
    <w:rsid w:val="00C655FD"/>
    <w:rsid w:val="00C84288"/>
    <w:rsid w:val="00C870A8"/>
    <w:rsid w:val="00C9379A"/>
    <w:rsid w:val="00C94434"/>
    <w:rsid w:val="00C974FD"/>
    <w:rsid w:val="00CA0D75"/>
    <w:rsid w:val="00CA1C95"/>
    <w:rsid w:val="00CA5A9C"/>
    <w:rsid w:val="00CB0328"/>
    <w:rsid w:val="00CC5291"/>
    <w:rsid w:val="00CD03E8"/>
    <w:rsid w:val="00CD3517"/>
    <w:rsid w:val="00CD48FC"/>
    <w:rsid w:val="00CD5A00"/>
    <w:rsid w:val="00CD5FE2"/>
    <w:rsid w:val="00CE3D7F"/>
    <w:rsid w:val="00CE7C68"/>
    <w:rsid w:val="00CF38AB"/>
    <w:rsid w:val="00D02B4C"/>
    <w:rsid w:val="00D03855"/>
    <w:rsid w:val="00D040C4"/>
    <w:rsid w:val="00D068B9"/>
    <w:rsid w:val="00D26FAC"/>
    <w:rsid w:val="00D41217"/>
    <w:rsid w:val="00D57C84"/>
    <w:rsid w:val="00D57E38"/>
    <w:rsid w:val="00D6057D"/>
    <w:rsid w:val="00D82DB6"/>
    <w:rsid w:val="00D84576"/>
    <w:rsid w:val="00D85816"/>
    <w:rsid w:val="00DA1399"/>
    <w:rsid w:val="00DA24C6"/>
    <w:rsid w:val="00DA30E0"/>
    <w:rsid w:val="00DA4B97"/>
    <w:rsid w:val="00DA4D7B"/>
    <w:rsid w:val="00DB3841"/>
    <w:rsid w:val="00DB79FF"/>
    <w:rsid w:val="00DC1AB0"/>
    <w:rsid w:val="00DE264A"/>
    <w:rsid w:val="00DF47ED"/>
    <w:rsid w:val="00DF508E"/>
    <w:rsid w:val="00E02D18"/>
    <w:rsid w:val="00E041E7"/>
    <w:rsid w:val="00E12AA0"/>
    <w:rsid w:val="00E21B85"/>
    <w:rsid w:val="00E23CA1"/>
    <w:rsid w:val="00E26995"/>
    <w:rsid w:val="00E278DC"/>
    <w:rsid w:val="00E35C79"/>
    <w:rsid w:val="00E409A8"/>
    <w:rsid w:val="00E50C12"/>
    <w:rsid w:val="00E60A4E"/>
    <w:rsid w:val="00E65B91"/>
    <w:rsid w:val="00E7101E"/>
    <w:rsid w:val="00E7209D"/>
    <w:rsid w:val="00E77223"/>
    <w:rsid w:val="00E8528B"/>
    <w:rsid w:val="00E85B94"/>
    <w:rsid w:val="00E8741D"/>
    <w:rsid w:val="00E87DF6"/>
    <w:rsid w:val="00E91D38"/>
    <w:rsid w:val="00E978D0"/>
    <w:rsid w:val="00EA02B1"/>
    <w:rsid w:val="00EA4421"/>
    <w:rsid w:val="00EA4613"/>
    <w:rsid w:val="00EA7F91"/>
    <w:rsid w:val="00EB1523"/>
    <w:rsid w:val="00EB3648"/>
    <w:rsid w:val="00EC0E49"/>
    <w:rsid w:val="00EC3F22"/>
    <w:rsid w:val="00EC582D"/>
    <w:rsid w:val="00EE0131"/>
    <w:rsid w:val="00EF0BCF"/>
    <w:rsid w:val="00F0195D"/>
    <w:rsid w:val="00F02A62"/>
    <w:rsid w:val="00F02B39"/>
    <w:rsid w:val="00F155B2"/>
    <w:rsid w:val="00F30C64"/>
    <w:rsid w:val="00F32CDB"/>
    <w:rsid w:val="00F43A78"/>
    <w:rsid w:val="00F47ABC"/>
    <w:rsid w:val="00F63A70"/>
    <w:rsid w:val="00F809A1"/>
    <w:rsid w:val="00F83B30"/>
    <w:rsid w:val="00F9790E"/>
    <w:rsid w:val="00FA21D0"/>
    <w:rsid w:val="00FA479B"/>
    <w:rsid w:val="00FA5F5F"/>
    <w:rsid w:val="00FB3BDB"/>
    <w:rsid w:val="00FB730C"/>
    <w:rsid w:val="00FC2695"/>
    <w:rsid w:val="00FC3E03"/>
    <w:rsid w:val="00FC3FC1"/>
    <w:rsid w:val="00FD32D0"/>
    <w:rsid w:val="00FF3653"/>
    <w:rsid w:val="00FF79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0230"/>
  <w15:docId w15:val="{935782EB-76E8-4424-8049-AA01918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Default">
    <w:name w:val="Default"/>
    <w:rsid w:val="0016656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069FD"/>
    <w:pPr>
      <w:tabs>
        <w:tab w:val="clear" w:pos="7100"/>
      </w:tabs>
      <w:spacing w:after="160" w:line="259" w:lineRule="auto"/>
      <w:ind w:left="720"/>
      <w:contextualSpacing/>
      <w:jc w:val="left"/>
    </w:pPr>
    <w:rPr>
      <w:rFonts w:ascii="Calibri" w:eastAsia="Calibri" w:hAnsi="Calibri"/>
      <w:sz w:val="22"/>
      <w:szCs w:val="22"/>
      <w:lang w:val="it-IT"/>
    </w:rPr>
  </w:style>
  <w:style w:type="character" w:customStyle="1" w:styleId="text">
    <w:name w:val="text"/>
    <w:basedOn w:val="Carpredefinitoparagrafo"/>
    <w:rsid w:val="00642F41"/>
  </w:style>
  <w:style w:type="character" w:customStyle="1" w:styleId="author-ref">
    <w:name w:val="author-ref"/>
    <w:basedOn w:val="Carpredefinitoparagrafo"/>
    <w:rsid w:val="00642F41"/>
  </w:style>
  <w:style w:type="character" w:customStyle="1" w:styleId="title-text">
    <w:name w:val="title-text"/>
    <w:basedOn w:val="Carpredefinitoparagrafo"/>
    <w:rsid w:val="0064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50166">
      <w:bodyDiv w:val="1"/>
      <w:marLeft w:val="0"/>
      <w:marRight w:val="0"/>
      <w:marTop w:val="0"/>
      <w:marBottom w:val="0"/>
      <w:divBdr>
        <w:top w:val="none" w:sz="0" w:space="0" w:color="auto"/>
        <w:left w:val="none" w:sz="0" w:space="0" w:color="auto"/>
        <w:bottom w:val="none" w:sz="0" w:space="0" w:color="auto"/>
        <w:right w:val="none" w:sz="0" w:space="0" w:color="auto"/>
      </w:divBdr>
    </w:div>
    <w:div w:id="335812942">
      <w:bodyDiv w:val="1"/>
      <w:marLeft w:val="0"/>
      <w:marRight w:val="0"/>
      <w:marTop w:val="0"/>
      <w:marBottom w:val="0"/>
      <w:divBdr>
        <w:top w:val="none" w:sz="0" w:space="0" w:color="auto"/>
        <w:left w:val="none" w:sz="0" w:space="0" w:color="auto"/>
        <w:bottom w:val="none" w:sz="0" w:space="0" w:color="auto"/>
        <w:right w:val="none" w:sz="0" w:space="0" w:color="auto"/>
      </w:divBdr>
    </w:div>
    <w:div w:id="375617456">
      <w:bodyDiv w:val="1"/>
      <w:marLeft w:val="0"/>
      <w:marRight w:val="0"/>
      <w:marTop w:val="0"/>
      <w:marBottom w:val="0"/>
      <w:divBdr>
        <w:top w:val="none" w:sz="0" w:space="0" w:color="auto"/>
        <w:left w:val="none" w:sz="0" w:space="0" w:color="auto"/>
        <w:bottom w:val="none" w:sz="0" w:space="0" w:color="auto"/>
        <w:right w:val="none" w:sz="0" w:space="0" w:color="auto"/>
      </w:divBdr>
    </w:div>
    <w:div w:id="386223457">
      <w:bodyDiv w:val="1"/>
      <w:marLeft w:val="0"/>
      <w:marRight w:val="0"/>
      <w:marTop w:val="0"/>
      <w:marBottom w:val="0"/>
      <w:divBdr>
        <w:top w:val="none" w:sz="0" w:space="0" w:color="auto"/>
        <w:left w:val="none" w:sz="0" w:space="0" w:color="auto"/>
        <w:bottom w:val="none" w:sz="0" w:space="0" w:color="auto"/>
        <w:right w:val="none" w:sz="0" w:space="0" w:color="auto"/>
      </w:divBdr>
    </w:div>
    <w:div w:id="490486122">
      <w:bodyDiv w:val="1"/>
      <w:marLeft w:val="0"/>
      <w:marRight w:val="0"/>
      <w:marTop w:val="0"/>
      <w:marBottom w:val="0"/>
      <w:divBdr>
        <w:top w:val="none" w:sz="0" w:space="0" w:color="auto"/>
        <w:left w:val="none" w:sz="0" w:space="0" w:color="auto"/>
        <w:bottom w:val="none" w:sz="0" w:space="0" w:color="auto"/>
        <w:right w:val="none" w:sz="0" w:space="0" w:color="auto"/>
      </w:divBdr>
      <w:divsChild>
        <w:div w:id="1373068045">
          <w:marLeft w:val="0"/>
          <w:marRight w:val="0"/>
          <w:marTop w:val="100"/>
          <w:marBottom w:val="100"/>
          <w:divBdr>
            <w:top w:val="none" w:sz="0" w:space="0" w:color="auto"/>
            <w:left w:val="none" w:sz="0" w:space="0" w:color="auto"/>
            <w:bottom w:val="none" w:sz="0" w:space="0" w:color="auto"/>
            <w:right w:val="none" w:sz="0" w:space="0" w:color="auto"/>
          </w:divBdr>
          <w:divsChild>
            <w:div w:id="913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59689">
      <w:bodyDiv w:val="1"/>
      <w:marLeft w:val="0"/>
      <w:marRight w:val="0"/>
      <w:marTop w:val="0"/>
      <w:marBottom w:val="0"/>
      <w:divBdr>
        <w:top w:val="none" w:sz="0" w:space="0" w:color="auto"/>
        <w:left w:val="none" w:sz="0" w:space="0" w:color="auto"/>
        <w:bottom w:val="none" w:sz="0" w:space="0" w:color="auto"/>
        <w:right w:val="none" w:sz="0" w:space="0" w:color="auto"/>
      </w:divBdr>
      <w:divsChild>
        <w:div w:id="446778437">
          <w:marLeft w:val="0"/>
          <w:marRight w:val="0"/>
          <w:marTop w:val="100"/>
          <w:marBottom w:val="100"/>
          <w:divBdr>
            <w:top w:val="none" w:sz="0" w:space="0" w:color="auto"/>
            <w:left w:val="none" w:sz="0" w:space="0" w:color="auto"/>
            <w:bottom w:val="none" w:sz="0" w:space="0" w:color="auto"/>
            <w:right w:val="none" w:sz="0" w:space="0" w:color="auto"/>
          </w:divBdr>
          <w:divsChild>
            <w:div w:id="19896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0234">
      <w:bodyDiv w:val="1"/>
      <w:marLeft w:val="0"/>
      <w:marRight w:val="0"/>
      <w:marTop w:val="0"/>
      <w:marBottom w:val="0"/>
      <w:divBdr>
        <w:top w:val="none" w:sz="0" w:space="0" w:color="auto"/>
        <w:left w:val="none" w:sz="0" w:space="0" w:color="auto"/>
        <w:bottom w:val="none" w:sz="0" w:space="0" w:color="auto"/>
        <w:right w:val="none" w:sz="0" w:space="0" w:color="auto"/>
      </w:divBdr>
    </w:div>
    <w:div w:id="72772363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026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54846">
      <w:bodyDiv w:val="1"/>
      <w:marLeft w:val="0"/>
      <w:marRight w:val="0"/>
      <w:marTop w:val="0"/>
      <w:marBottom w:val="0"/>
      <w:divBdr>
        <w:top w:val="none" w:sz="0" w:space="0" w:color="auto"/>
        <w:left w:val="none" w:sz="0" w:space="0" w:color="auto"/>
        <w:bottom w:val="none" w:sz="0" w:space="0" w:color="auto"/>
        <w:right w:val="none" w:sz="0" w:space="0" w:color="auto"/>
      </w:divBdr>
    </w:div>
    <w:div w:id="900596631">
      <w:bodyDiv w:val="1"/>
      <w:marLeft w:val="0"/>
      <w:marRight w:val="0"/>
      <w:marTop w:val="0"/>
      <w:marBottom w:val="0"/>
      <w:divBdr>
        <w:top w:val="none" w:sz="0" w:space="0" w:color="auto"/>
        <w:left w:val="none" w:sz="0" w:space="0" w:color="auto"/>
        <w:bottom w:val="none" w:sz="0" w:space="0" w:color="auto"/>
        <w:right w:val="none" w:sz="0" w:space="0" w:color="auto"/>
      </w:divBdr>
    </w:div>
    <w:div w:id="90480010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718">
      <w:bodyDiv w:val="1"/>
      <w:marLeft w:val="0"/>
      <w:marRight w:val="0"/>
      <w:marTop w:val="0"/>
      <w:marBottom w:val="0"/>
      <w:divBdr>
        <w:top w:val="none" w:sz="0" w:space="0" w:color="auto"/>
        <w:left w:val="none" w:sz="0" w:space="0" w:color="auto"/>
        <w:bottom w:val="none" w:sz="0" w:space="0" w:color="auto"/>
        <w:right w:val="none" w:sz="0" w:space="0" w:color="auto"/>
      </w:divBdr>
    </w:div>
    <w:div w:id="1373770338">
      <w:bodyDiv w:val="1"/>
      <w:marLeft w:val="0"/>
      <w:marRight w:val="0"/>
      <w:marTop w:val="0"/>
      <w:marBottom w:val="0"/>
      <w:divBdr>
        <w:top w:val="none" w:sz="0" w:space="0" w:color="auto"/>
        <w:left w:val="none" w:sz="0" w:space="0" w:color="auto"/>
        <w:bottom w:val="none" w:sz="0" w:space="0" w:color="auto"/>
        <w:right w:val="none" w:sz="0" w:space="0" w:color="auto"/>
      </w:divBdr>
    </w:div>
    <w:div w:id="1469323469">
      <w:bodyDiv w:val="1"/>
      <w:marLeft w:val="0"/>
      <w:marRight w:val="0"/>
      <w:marTop w:val="0"/>
      <w:marBottom w:val="0"/>
      <w:divBdr>
        <w:top w:val="none" w:sz="0" w:space="0" w:color="auto"/>
        <w:left w:val="none" w:sz="0" w:space="0" w:color="auto"/>
        <w:bottom w:val="none" w:sz="0" w:space="0" w:color="auto"/>
        <w:right w:val="none" w:sz="0" w:space="0" w:color="auto"/>
      </w:divBdr>
      <w:divsChild>
        <w:div w:id="2064207890">
          <w:marLeft w:val="0"/>
          <w:marRight w:val="0"/>
          <w:marTop w:val="0"/>
          <w:marBottom w:val="0"/>
          <w:divBdr>
            <w:top w:val="none" w:sz="0" w:space="0" w:color="auto"/>
            <w:left w:val="none" w:sz="0" w:space="0" w:color="auto"/>
            <w:bottom w:val="none" w:sz="0" w:space="0" w:color="auto"/>
            <w:right w:val="none" w:sz="0" w:space="0" w:color="auto"/>
          </w:divBdr>
        </w:div>
      </w:divsChild>
    </w:div>
    <w:div w:id="16028323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2675">
      <w:bodyDiv w:val="1"/>
      <w:marLeft w:val="0"/>
      <w:marRight w:val="0"/>
      <w:marTop w:val="0"/>
      <w:marBottom w:val="0"/>
      <w:divBdr>
        <w:top w:val="none" w:sz="0" w:space="0" w:color="auto"/>
        <w:left w:val="none" w:sz="0" w:space="0" w:color="auto"/>
        <w:bottom w:val="none" w:sz="0" w:space="0" w:color="auto"/>
        <w:right w:val="none" w:sz="0" w:space="0" w:color="auto"/>
      </w:divBdr>
      <w:divsChild>
        <w:div w:id="1639533099">
          <w:marLeft w:val="0"/>
          <w:marRight w:val="0"/>
          <w:marTop w:val="100"/>
          <w:marBottom w:val="100"/>
          <w:divBdr>
            <w:top w:val="none" w:sz="0" w:space="0" w:color="auto"/>
            <w:left w:val="none" w:sz="0" w:space="0" w:color="auto"/>
            <w:bottom w:val="none" w:sz="0" w:space="0" w:color="auto"/>
            <w:right w:val="none" w:sz="0" w:space="0" w:color="auto"/>
          </w:divBdr>
          <w:divsChild>
            <w:div w:id="1751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188">
      <w:bodyDiv w:val="1"/>
      <w:marLeft w:val="0"/>
      <w:marRight w:val="0"/>
      <w:marTop w:val="0"/>
      <w:marBottom w:val="0"/>
      <w:divBdr>
        <w:top w:val="none" w:sz="0" w:space="0" w:color="auto"/>
        <w:left w:val="none" w:sz="0" w:space="0" w:color="auto"/>
        <w:bottom w:val="none" w:sz="0" w:space="0" w:color="auto"/>
        <w:right w:val="none" w:sz="0" w:space="0" w:color="auto"/>
      </w:divBdr>
    </w:div>
    <w:div w:id="211065826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01479717301020" TargetMode="External"/><Relationship Id="rId18" Type="http://schemas.openxmlformats.org/officeDocument/2006/relationships/hyperlink" Target="https://www.sciencedirect.com/science/journal/00431354" TargetMode="External"/><Relationship Id="rId26" Type="http://schemas.openxmlformats.org/officeDocument/2006/relationships/hyperlink" Target="https://www.sciencedirect.com/science/article/pii/S1385894717304837" TargetMode="External"/><Relationship Id="rId3" Type="http://schemas.openxmlformats.org/officeDocument/2006/relationships/styles" Target="styles.xml"/><Relationship Id="rId21" Type="http://schemas.openxmlformats.org/officeDocument/2006/relationships/hyperlink" Target="https://www.sciencedirect.com/science/article/pii/S0301479717301366" TargetMode="External"/><Relationship Id="rId7" Type="http://schemas.openxmlformats.org/officeDocument/2006/relationships/endnotes" Target="endnotes.xml"/><Relationship Id="rId12" Type="http://schemas.openxmlformats.org/officeDocument/2006/relationships/hyperlink" Target="https://www.sciencedirect.com/science/article/pii/S0301479717301020" TargetMode="External"/><Relationship Id="rId17" Type="http://schemas.openxmlformats.org/officeDocument/2006/relationships/hyperlink" Target="https://www.sciencedirect.com/science/article/pii/S0043135418310686" TargetMode="External"/><Relationship Id="rId25" Type="http://schemas.openxmlformats.org/officeDocument/2006/relationships/hyperlink" Target="https://www.sciencedirect.com/science/article/pii/S138589471730483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journal/09608524" TargetMode="External"/><Relationship Id="rId20" Type="http://schemas.openxmlformats.org/officeDocument/2006/relationships/hyperlink" Target="https://www.sciencedirect.com/science/article/pii/S0301479717301366" TargetMode="External"/><Relationship Id="rId29" Type="http://schemas.openxmlformats.org/officeDocument/2006/relationships/hyperlink" Target="https://www.sciencedirect.com/science/article/pii/S1385894717304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01479717301020" TargetMode="External"/><Relationship Id="rId24" Type="http://schemas.openxmlformats.org/officeDocument/2006/relationships/hyperlink" Target="https://www.sciencedirect.com/science/journal/03014797/193/supp/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pii/S0960852418312380" TargetMode="External"/><Relationship Id="rId23" Type="http://schemas.openxmlformats.org/officeDocument/2006/relationships/hyperlink" Target="https://www.sciencedirect.com/science/journal/03014797" TargetMode="External"/><Relationship Id="rId28" Type="http://schemas.openxmlformats.org/officeDocument/2006/relationships/hyperlink" Target="https://www.sciencedirect.com/science/article/pii/S1385894717304837" TargetMode="External"/><Relationship Id="rId10" Type="http://schemas.openxmlformats.org/officeDocument/2006/relationships/hyperlink" Target="https://www.scopus.com/record/display.uri?eid=2-s2.0-79955515309&amp;origin=resultslist&amp;sort=plf-f&amp;src=s&amp;sid=6ed8a7f1a8db2ab0978e30df948b43e7&amp;sot=autdocs&amp;sdt=autdocs&amp;sl=18&amp;s=AU-ID%2822940631200%29&amp;relpos=27&amp;citeCnt=6&amp;searchTerm=" TargetMode="External"/><Relationship Id="rId19" Type="http://schemas.openxmlformats.org/officeDocument/2006/relationships/hyperlink" Target="https://www.sciencedirect.com/science/article/pii/S0301479717301366" TargetMode="External"/><Relationship Id="rId31" Type="http://schemas.openxmlformats.org/officeDocument/2006/relationships/hyperlink" Target="https://www.sciencedirect.com/science/journal/13858947/321/supp/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science/journal/03014797" TargetMode="External"/><Relationship Id="rId22" Type="http://schemas.openxmlformats.org/officeDocument/2006/relationships/hyperlink" Target="https://www.sciencedirect.com/science/article/pii/S0301479717301366" TargetMode="External"/><Relationship Id="rId27" Type="http://schemas.openxmlformats.org/officeDocument/2006/relationships/hyperlink" Target="https://www.sciencedirect.com/science/article/pii/S1385894717304837" TargetMode="External"/><Relationship Id="rId30" Type="http://schemas.openxmlformats.org/officeDocument/2006/relationships/hyperlink" Target="https://www.sciencedirect.com/science/journal/13858947" TargetMode="Externa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1405-C718-4E17-9D71-54248A81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5472</Words>
  <Characters>31193</Characters>
  <Application>Microsoft Office Word</Application>
  <DocSecurity>0</DocSecurity>
  <Lines>259</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36592</CharactersWithSpaces>
  <SharedDoc>false</SharedDoc>
  <HLinks>
    <vt:vector size="138" baseType="variant">
      <vt:variant>
        <vt:i4>196634</vt:i4>
      </vt:variant>
      <vt:variant>
        <vt:i4>75</vt:i4>
      </vt:variant>
      <vt:variant>
        <vt:i4>0</vt:i4>
      </vt:variant>
      <vt:variant>
        <vt:i4>5</vt:i4>
      </vt:variant>
      <vt:variant>
        <vt:lpwstr>https://www.sciencedirect.com/science/journal/03014797/193/supp/C</vt:lpwstr>
      </vt:variant>
      <vt:variant>
        <vt:lpwstr/>
      </vt:variant>
      <vt:variant>
        <vt:i4>2949158</vt:i4>
      </vt:variant>
      <vt:variant>
        <vt:i4>72</vt:i4>
      </vt:variant>
      <vt:variant>
        <vt:i4>0</vt:i4>
      </vt:variant>
      <vt:variant>
        <vt:i4>5</vt:i4>
      </vt:variant>
      <vt:variant>
        <vt:lpwstr>https://www.sciencedirect.com/science/journal/03014797</vt:lpwstr>
      </vt:variant>
      <vt:variant>
        <vt:lpwstr/>
      </vt:variant>
      <vt:variant>
        <vt:i4>6946904</vt:i4>
      </vt:variant>
      <vt:variant>
        <vt:i4>69</vt:i4>
      </vt:variant>
      <vt:variant>
        <vt:i4>0</vt:i4>
      </vt:variant>
      <vt:variant>
        <vt:i4>5</vt:i4>
      </vt:variant>
      <vt:variant>
        <vt:lpwstr>https://www.sciencedirect.com/science/article/pii/S0301479717301366</vt:lpwstr>
      </vt:variant>
      <vt:variant>
        <vt:lpwstr>!</vt:lpwstr>
      </vt:variant>
      <vt:variant>
        <vt:i4>6946904</vt:i4>
      </vt:variant>
      <vt:variant>
        <vt:i4>66</vt:i4>
      </vt:variant>
      <vt:variant>
        <vt:i4>0</vt:i4>
      </vt:variant>
      <vt:variant>
        <vt:i4>5</vt:i4>
      </vt:variant>
      <vt:variant>
        <vt:lpwstr>https://www.sciencedirect.com/science/article/pii/S0301479717301366</vt:lpwstr>
      </vt:variant>
      <vt:variant>
        <vt:lpwstr>!</vt:lpwstr>
      </vt:variant>
      <vt:variant>
        <vt:i4>6946904</vt:i4>
      </vt:variant>
      <vt:variant>
        <vt:i4>63</vt:i4>
      </vt:variant>
      <vt:variant>
        <vt:i4>0</vt:i4>
      </vt:variant>
      <vt:variant>
        <vt:i4>5</vt:i4>
      </vt:variant>
      <vt:variant>
        <vt:lpwstr>https://www.sciencedirect.com/science/article/pii/S0301479717301366</vt:lpwstr>
      </vt:variant>
      <vt:variant>
        <vt:lpwstr>!</vt:lpwstr>
      </vt:variant>
      <vt:variant>
        <vt:i4>6946904</vt:i4>
      </vt:variant>
      <vt:variant>
        <vt:i4>60</vt:i4>
      </vt:variant>
      <vt:variant>
        <vt:i4>0</vt:i4>
      </vt:variant>
      <vt:variant>
        <vt:i4>5</vt:i4>
      </vt:variant>
      <vt:variant>
        <vt:lpwstr>https://www.sciencedirect.com/science/article/pii/S0301479717301366</vt:lpwstr>
      </vt:variant>
      <vt:variant>
        <vt:lpwstr>!</vt:lpwstr>
      </vt:variant>
      <vt:variant>
        <vt:i4>2818091</vt:i4>
      </vt:variant>
      <vt:variant>
        <vt:i4>57</vt:i4>
      </vt:variant>
      <vt:variant>
        <vt:i4>0</vt:i4>
      </vt:variant>
      <vt:variant>
        <vt:i4>5</vt:i4>
      </vt:variant>
      <vt:variant>
        <vt:lpwstr>https://www.sciencedirect.com/science/journal/00431354</vt:lpwstr>
      </vt:variant>
      <vt:variant>
        <vt:lpwstr/>
      </vt:variant>
      <vt:variant>
        <vt:i4>6815829</vt:i4>
      </vt:variant>
      <vt:variant>
        <vt:i4>54</vt:i4>
      </vt:variant>
      <vt:variant>
        <vt:i4>0</vt:i4>
      </vt:variant>
      <vt:variant>
        <vt:i4>5</vt:i4>
      </vt:variant>
      <vt:variant>
        <vt:lpwstr>https://www.sciencedirect.com/science/article/pii/S0043135418310686</vt:lpwstr>
      </vt:variant>
      <vt:variant>
        <vt:lpwstr>!</vt:lpwstr>
      </vt:variant>
      <vt:variant>
        <vt:i4>6815829</vt:i4>
      </vt:variant>
      <vt:variant>
        <vt:i4>51</vt:i4>
      </vt:variant>
      <vt:variant>
        <vt:i4>0</vt:i4>
      </vt:variant>
      <vt:variant>
        <vt:i4>5</vt:i4>
      </vt:variant>
      <vt:variant>
        <vt:lpwstr>https://www.sciencedirect.com/science/article/pii/S0043135418310686</vt:lpwstr>
      </vt:variant>
      <vt:variant>
        <vt:lpwstr>!</vt:lpwstr>
      </vt:variant>
      <vt:variant>
        <vt:i4>6815829</vt:i4>
      </vt:variant>
      <vt:variant>
        <vt:i4>48</vt:i4>
      </vt:variant>
      <vt:variant>
        <vt:i4>0</vt:i4>
      </vt:variant>
      <vt:variant>
        <vt:i4>5</vt:i4>
      </vt:variant>
      <vt:variant>
        <vt:lpwstr>https://www.sciencedirect.com/science/article/pii/S0043135418310686</vt:lpwstr>
      </vt:variant>
      <vt:variant>
        <vt:lpwstr>!</vt:lpwstr>
      </vt:variant>
      <vt:variant>
        <vt:i4>6815829</vt:i4>
      </vt:variant>
      <vt:variant>
        <vt:i4>45</vt:i4>
      </vt:variant>
      <vt:variant>
        <vt:i4>0</vt:i4>
      </vt:variant>
      <vt:variant>
        <vt:i4>5</vt:i4>
      </vt:variant>
      <vt:variant>
        <vt:lpwstr>https://www.sciencedirect.com/science/article/pii/S0043135418310686</vt:lpwstr>
      </vt:variant>
      <vt:variant>
        <vt:lpwstr>!</vt:lpwstr>
      </vt:variant>
      <vt:variant>
        <vt:i4>6815829</vt:i4>
      </vt:variant>
      <vt:variant>
        <vt:i4>42</vt:i4>
      </vt:variant>
      <vt:variant>
        <vt:i4>0</vt:i4>
      </vt:variant>
      <vt:variant>
        <vt:i4>5</vt:i4>
      </vt:variant>
      <vt:variant>
        <vt:lpwstr>https://www.sciencedirect.com/science/article/pii/S0043135418310686</vt:lpwstr>
      </vt:variant>
      <vt:variant>
        <vt:lpwstr>!</vt:lpwstr>
      </vt:variant>
      <vt:variant>
        <vt:i4>2555943</vt:i4>
      </vt:variant>
      <vt:variant>
        <vt:i4>39</vt:i4>
      </vt:variant>
      <vt:variant>
        <vt:i4>0</vt:i4>
      </vt:variant>
      <vt:variant>
        <vt:i4>5</vt:i4>
      </vt:variant>
      <vt:variant>
        <vt:lpwstr>https://www.sciencedirect.com/science/journal/09608524</vt:lpwstr>
      </vt:variant>
      <vt:variant>
        <vt:lpwstr/>
      </vt:variant>
      <vt:variant>
        <vt:i4>6684764</vt:i4>
      </vt:variant>
      <vt:variant>
        <vt:i4>36</vt:i4>
      </vt:variant>
      <vt:variant>
        <vt:i4>0</vt:i4>
      </vt:variant>
      <vt:variant>
        <vt:i4>5</vt:i4>
      </vt:variant>
      <vt:variant>
        <vt:lpwstr>https://www.sciencedirect.com/science/article/pii/S0960852418312380</vt:lpwstr>
      </vt:variant>
      <vt:variant>
        <vt:lpwstr>!</vt:lpwstr>
      </vt:variant>
      <vt:variant>
        <vt:i4>6684764</vt:i4>
      </vt:variant>
      <vt:variant>
        <vt:i4>33</vt:i4>
      </vt:variant>
      <vt:variant>
        <vt:i4>0</vt:i4>
      </vt:variant>
      <vt:variant>
        <vt:i4>5</vt:i4>
      </vt:variant>
      <vt:variant>
        <vt:lpwstr>https://www.sciencedirect.com/science/article/pii/S0960852418312380</vt:lpwstr>
      </vt:variant>
      <vt:variant>
        <vt:lpwstr>!</vt:lpwstr>
      </vt:variant>
      <vt:variant>
        <vt:i4>6684764</vt:i4>
      </vt:variant>
      <vt:variant>
        <vt:i4>30</vt:i4>
      </vt:variant>
      <vt:variant>
        <vt:i4>0</vt:i4>
      </vt:variant>
      <vt:variant>
        <vt:i4>5</vt:i4>
      </vt:variant>
      <vt:variant>
        <vt:lpwstr>https://www.sciencedirect.com/science/article/pii/S0960852418312380</vt:lpwstr>
      </vt:variant>
      <vt:variant>
        <vt:lpwstr>!</vt:lpwstr>
      </vt:variant>
      <vt:variant>
        <vt:i4>6684764</vt:i4>
      </vt:variant>
      <vt:variant>
        <vt:i4>27</vt:i4>
      </vt:variant>
      <vt:variant>
        <vt:i4>0</vt:i4>
      </vt:variant>
      <vt:variant>
        <vt:i4>5</vt:i4>
      </vt:variant>
      <vt:variant>
        <vt:lpwstr>https://www.sciencedirect.com/science/article/pii/S0960852418312380</vt:lpwstr>
      </vt:variant>
      <vt:variant>
        <vt:lpwstr>!</vt:lpwstr>
      </vt:variant>
      <vt:variant>
        <vt:i4>6684764</vt:i4>
      </vt:variant>
      <vt:variant>
        <vt:i4>24</vt:i4>
      </vt:variant>
      <vt:variant>
        <vt:i4>0</vt:i4>
      </vt:variant>
      <vt:variant>
        <vt:i4>5</vt:i4>
      </vt:variant>
      <vt:variant>
        <vt:lpwstr>https://www.sciencedirect.com/science/article/pii/S0960852418312380</vt:lpwstr>
      </vt:variant>
      <vt:variant>
        <vt:lpwstr>!</vt:lpwstr>
      </vt:variant>
      <vt:variant>
        <vt:i4>6684764</vt:i4>
      </vt:variant>
      <vt:variant>
        <vt:i4>21</vt:i4>
      </vt:variant>
      <vt:variant>
        <vt:i4>0</vt:i4>
      </vt:variant>
      <vt:variant>
        <vt:i4>5</vt:i4>
      </vt:variant>
      <vt:variant>
        <vt:lpwstr>https://www.sciencedirect.com/science/article/pii/S0960852418312380</vt:lpwstr>
      </vt:variant>
      <vt:variant>
        <vt:lpwstr>!</vt:lpwstr>
      </vt:variant>
      <vt:variant>
        <vt:i4>2949158</vt:i4>
      </vt:variant>
      <vt:variant>
        <vt:i4>18</vt:i4>
      </vt:variant>
      <vt:variant>
        <vt:i4>0</vt:i4>
      </vt:variant>
      <vt:variant>
        <vt:i4>5</vt:i4>
      </vt:variant>
      <vt:variant>
        <vt:lpwstr>https://www.sciencedirect.com/science/journal/03014797</vt:lpwstr>
      </vt:variant>
      <vt:variant>
        <vt:lpwstr/>
      </vt:variant>
      <vt:variant>
        <vt:i4>7209051</vt:i4>
      </vt:variant>
      <vt:variant>
        <vt:i4>15</vt:i4>
      </vt:variant>
      <vt:variant>
        <vt:i4>0</vt:i4>
      </vt:variant>
      <vt:variant>
        <vt:i4>5</vt:i4>
      </vt:variant>
      <vt:variant>
        <vt:lpwstr>https://www.sciencedirect.com/science/article/pii/S0301479717301020</vt:lpwstr>
      </vt:variant>
      <vt:variant>
        <vt:lpwstr>!</vt:lpwstr>
      </vt:variant>
      <vt:variant>
        <vt:i4>7209051</vt:i4>
      </vt:variant>
      <vt:variant>
        <vt:i4>12</vt:i4>
      </vt:variant>
      <vt:variant>
        <vt:i4>0</vt:i4>
      </vt:variant>
      <vt:variant>
        <vt:i4>5</vt:i4>
      </vt:variant>
      <vt:variant>
        <vt:lpwstr>https://www.sciencedirect.com/science/article/pii/S0301479717301020</vt:lpwstr>
      </vt:variant>
      <vt:variant>
        <vt:lpwstr>!</vt:lpwstr>
      </vt:variant>
      <vt:variant>
        <vt:i4>7209051</vt:i4>
      </vt:variant>
      <vt:variant>
        <vt:i4>9</vt:i4>
      </vt:variant>
      <vt:variant>
        <vt:i4>0</vt:i4>
      </vt:variant>
      <vt:variant>
        <vt:i4>5</vt:i4>
      </vt:variant>
      <vt:variant>
        <vt:lpwstr>https://www.sciencedirect.com/science/article/pii/S0301479717301020</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13</cp:revision>
  <cp:lastPrinted>2015-05-12T18:31:00Z</cp:lastPrinted>
  <dcterms:created xsi:type="dcterms:W3CDTF">2019-04-02T10:06:00Z</dcterms:created>
  <dcterms:modified xsi:type="dcterms:W3CDTF">2019-04-02T11:49:00Z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Self UUID Temp</vt:lpwstr>
  </property>
  <property fmtid="{D5CDD505-2E9C-101B-9397-08002B2CF9AE}" pid="26" name="Mendeley Citation Style_1">
    <vt:lpwstr>http://www.zotero.org/styles/american-political-science-association</vt:lpwstr>
  </property>
</Properties>
</file>