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EC2249" w14:paraId="12E0817A" w14:textId="77777777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75689430" w14:textId="77777777" w:rsidR="000A03B2" w:rsidRPr="00EC2249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EC2249">
              <w:rPr>
                <w:rFonts w:ascii="AdvP6960" w:hAnsi="AdvP6960" w:cs="AdvP6960"/>
                <w:noProof/>
                <w:color w:val="241F20"/>
                <w:szCs w:val="18"/>
                <w:lang w:val="en-US"/>
              </w:rPr>
              <w:drawing>
                <wp:inline distT="0" distB="0" distL="0" distR="0" wp14:anchorId="252CF2F0" wp14:editId="48709D48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249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EC2249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EC2249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EC2249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EC2249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EC2249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809EFA5" w14:textId="77777777" w:rsidR="000A03B2" w:rsidRPr="00EC2249" w:rsidRDefault="00A76EFC" w:rsidP="009635B9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EC224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7931FA" w:rsidRPr="00EC224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7</w:t>
            </w:r>
            <w:r w:rsidR="009635B9" w:rsidRPr="00EC224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FA5F5F" w:rsidRPr="00EC224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201</w:t>
            </w:r>
            <w:r w:rsidR="007931FA" w:rsidRPr="00EC224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3B70AC" w14:textId="77777777" w:rsidR="000A03B2" w:rsidRPr="00EC2249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EC2249">
              <w:rPr>
                <w:rFonts w:cs="Arial"/>
                <w:sz w:val="14"/>
                <w:szCs w:val="14"/>
              </w:rPr>
              <w:t>A publication of</w:t>
            </w:r>
          </w:p>
          <w:p w14:paraId="435E4742" w14:textId="77777777" w:rsidR="000A03B2" w:rsidRPr="00EC2249" w:rsidRDefault="000A03B2" w:rsidP="00CD5FE2">
            <w:pPr>
              <w:jc w:val="right"/>
            </w:pPr>
            <w:r w:rsidRPr="00EC2249">
              <w:rPr>
                <w:noProof/>
                <w:lang w:val="en-US"/>
              </w:rPr>
              <w:drawing>
                <wp:inline distT="0" distB="0" distL="0" distR="0" wp14:anchorId="234EAC10" wp14:editId="1C2B95F7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EC2249" w14:paraId="139C7DBD" w14:textId="77777777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49D3D845" w14:textId="77777777" w:rsidR="000A03B2" w:rsidRPr="00EC2249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1CBCAF" w14:textId="77777777" w:rsidR="000A03B2" w:rsidRPr="00EC2249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EC2249">
              <w:rPr>
                <w:rFonts w:cs="Arial"/>
                <w:sz w:val="14"/>
                <w:szCs w:val="14"/>
              </w:rPr>
              <w:t>The Italian Association</w:t>
            </w:r>
          </w:p>
          <w:p w14:paraId="6C7F7BCF" w14:textId="77777777" w:rsidR="000A03B2" w:rsidRPr="00EC2249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EC2249">
              <w:rPr>
                <w:rFonts w:cs="Arial"/>
                <w:sz w:val="14"/>
                <w:szCs w:val="14"/>
              </w:rPr>
              <w:t>of Chemical Engineering</w:t>
            </w:r>
          </w:p>
          <w:p w14:paraId="71BDA62A" w14:textId="77777777" w:rsidR="000A03B2" w:rsidRPr="00EC2249" w:rsidRDefault="000A03B2" w:rsidP="0016264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EC2249">
              <w:rPr>
                <w:rFonts w:cs="Arial"/>
                <w:sz w:val="14"/>
                <w:szCs w:val="14"/>
              </w:rPr>
              <w:t xml:space="preserve">Online at </w:t>
            </w:r>
            <w:r w:rsidR="00162642" w:rsidRPr="00EC2249">
              <w:rPr>
                <w:rFonts w:cs="Arial"/>
                <w:sz w:val="14"/>
                <w:szCs w:val="14"/>
              </w:rPr>
              <w:t>www.cetjournal.it</w:t>
            </w:r>
          </w:p>
        </w:tc>
      </w:tr>
      <w:tr w:rsidR="000A03B2" w:rsidRPr="00EC2249" w14:paraId="3E5CE9C6" w14:textId="77777777">
        <w:trPr>
          <w:trHeight w:val="68"/>
          <w:jc w:val="center"/>
        </w:trPr>
        <w:tc>
          <w:tcPr>
            <w:tcW w:w="8789" w:type="dxa"/>
            <w:gridSpan w:val="2"/>
          </w:tcPr>
          <w:p w14:paraId="75908576" w14:textId="77777777" w:rsidR="00300E56" w:rsidRPr="00EC2249" w:rsidRDefault="00300E56" w:rsidP="003365E3">
            <w:pPr>
              <w:ind w:left="-107"/>
            </w:pPr>
            <w:r w:rsidRPr="00EC224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Guest Editors:</w:t>
            </w:r>
            <w:r w:rsidR="00904C62" w:rsidRPr="00EC224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9635B9" w:rsidRPr="00EC2249">
              <w:rPr>
                <w:rFonts w:ascii="Tahoma" w:hAnsi="Tahoma" w:cs="Tahoma"/>
                <w:sz w:val="14"/>
                <w:szCs w:val="14"/>
              </w:rPr>
              <w:t>Sauro Pierucci,</w:t>
            </w:r>
            <w:r w:rsidR="003B60F3" w:rsidRPr="00EC224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047D7F" w:rsidRPr="00EC2249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Jiří Jaromír Klemeš</w:t>
            </w:r>
            <w:r w:rsidR="00252C1A" w:rsidRPr="00EC2249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, Laura Piazza</w:t>
            </w:r>
          </w:p>
          <w:p w14:paraId="445CFCD9" w14:textId="77777777" w:rsidR="000A03B2" w:rsidRPr="00EC2249" w:rsidRDefault="00FA5F5F" w:rsidP="00131FAB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 w:rsidRPr="00EC224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201</w:t>
            </w:r>
            <w:r w:rsidR="007931FA" w:rsidRPr="00EC224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9</w:t>
            </w:r>
            <w:r w:rsidR="00904C62" w:rsidRPr="00EC224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="00300E56" w:rsidRPr="00EC224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EC2249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EC2249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 w:rsidRPr="00EC2249">
              <w:rPr>
                <w:rFonts w:ascii="Tahoma" w:hAnsi="Tahoma" w:cs="Tahoma"/>
                <w:sz w:val="14"/>
                <w:szCs w:val="14"/>
              </w:rPr>
              <w:t>978-88-95608-</w:t>
            </w:r>
            <w:r w:rsidR="009635B9" w:rsidRPr="00EC2249">
              <w:rPr>
                <w:rFonts w:ascii="Tahoma" w:hAnsi="Tahoma" w:cs="Tahoma"/>
                <w:sz w:val="14"/>
                <w:szCs w:val="14"/>
              </w:rPr>
              <w:t>73</w:t>
            </w:r>
            <w:r w:rsidR="008D32B9" w:rsidRPr="00EC2249">
              <w:rPr>
                <w:rFonts w:ascii="Tahoma" w:hAnsi="Tahoma" w:cs="Tahoma"/>
                <w:sz w:val="14"/>
                <w:szCs w:val="14"/>
              </w:rPr>
              <w:t>-</w:t>
            </w:r>
            <w:r w:rsidR="009635B9" w:rsidRPr="00EC2249">
              <w:rPr>
                <w:rFonts w:ascii="Tahoma" w:hAnsi="Tahoma" w:cs="Tahoma"/>
                <w:sz w:val="14"/>
                <w:szCs w:val="14"/>
              </w:rPr>
              <w:t>0</w:t>
            </w:r>
            <w:r w:rsidR="00300E56" w:rsidRPr="00EC224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; </w:t>
            </w:r>
            <w:r w:rsidR="00300E56" w:rsidRPr="00EC2249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EC224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0D811BB6" w14:textId="77777777" w:rsidR="000A03B2" w:rsidRPr="00EC2249" w:rsidRDefault="000A03B2" w:rsidP="000A03B2">
      <w:pPr>
        <w:pStyle w:val="CETAuthors"/>
        <w:rPr>
          <w:noProof w:val="0"/>
        </w:rPr>
        <w:sectPr w:rsidR="000A03B2" w:rsidRPr="00EC2249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2D10D33C" w14:textId="7436B7ED" w:rsidR="00E978D0" w:rsidRPr="00EC2249" w:rsidRDefault="00D8338F" w:rsidP="00E978D0">
      <w:pPr>
        <w:pStyle w:val="CETTitle"/>
      </w:pPr>
      <w:r w:rsidRPr="00112614">
        <w:t>High-</w:t>
      </w:r>
      <w:r w:rsidR="009029A8" w:rsidRPr="00112614">
        <w:t>T</w:t>
      </w:r>
      <w:r w:rsidRPr="00112614">
        <w:t xml:space="preserve">emperature </w:t>
      </w:r>
      <w:r w:rsidR="009029A8" w:rsidRPr="00112614">
        <w:t>E</w:t>
      </w:r>
      <w:r w:rsidRPr="00112614">
        <w:t xml:space="preserve">xtraction of </w:t>
      </w:r>
      <w:r w:rsidR="009029A8" w:rsidRPr="00112614">
        <w:t>L</w:t>
      </w:r>
      <w:r w:rsidRPr="00112614">
        <w:t xml:space="preserve">ignocellulosic </w:t>
      </w:r>
      <w:r w:rsidR="009029A8" w:rsidRPr="00112614">
        <w:t>B</w:t>
      </w:r>
      <w:r w:rsidR="00112614">
        <w:t>io-C</w:t>
      </w:r>
      <w:r w:rsidR="00615F4E" w:rsidRPr="00112614">
        <w:t>rude</w:t>
      </w:r>
      <w:r w:rsidR="009029A8" w:rsidRPr="00112614">
        <w:t xml:space="preserve"> by Supercritical Carbon D</w:t>
      </w:r>
      <w:r w:rsidRPr="00112614">
        <w:t>ioxide</w:t>
      </w:r>
    </w:p>
    <w:p w14:paraId="79846E86" w14:textId="77777777" w:rsidR="00E978D0" w:rsidRPr="00EC2249" w:rsidRDefault="00D8338F" w:rsidP="00AB5011">
      <w:pPr>
        <w:pStyle w:val="CETAuthors"/>
        <w:rPr>
          <w:noProof w:val="0"/>
        </w:rPr>
      </w:pPr>
      <w:r w:rsidRPr="00EC2249">
        <w:rPr>
          <w:noProof w:val="0"/>
        </w:rPr>
        <w:t>Nikolaos Montesantos</w:t>
      </w:r>
      <w:r w:rsidR="00A533AC">
        <w:rPr>
          <w:noProof w:val="0"/>
          <w:vertAlign w:val="superscript"/>
        </w:rPr>
        <w:t>a</w:t>
      </w:r>
      <w:r w:rsidRPr="00EC2249">
        <w:rPr>
          <w:noProof w:val="0"/>
        </w:rPr>
        <w:t xml:space="preserve">, </w:t>
      </w:r>
      <w:r w:rsidR="006548FD" w:rsidRPr="00EC2249">
        <w:rPr>
          <w:noProof w:val="0"/>
        </w:rPr>
        <w:t>Thomas</w:t>
      </w:r>
      <w:r w:rsidR="005A3D43">
        <w:rPr>
          <w:noProof w:val="0"/>
        </w:rPr>
        <w:t xml:space="preserve"> H.</w:t>
      </w:r>
      <w:r w:rsidR="006548FD" w:rsidRPr="00EC2249">
        <w:rPr>
          <w:noProof w:val="0"/>
        </w:rPr>
        <w:t xml:space="preserve"> Pedersen</w:t>
      </w:r>
      <w:r w:rsidR="00A533AC">
        <w:rPr>
          <w:noProof w:val="0"/>
          <w:vertAlign w:val="superscript"/>
        </w:rPr>
        <w:t>b</w:t>
      </w:r>
      <w:r w:rsidR="006548FD" w:rsidRPr="00EC2249">
        <w:rPr>
          <w:noProof w:val="0"/>
        </w:rPr>
        <w:t>, Rudi</w:t>
      </w:r>
      <w:r w:rsidR="005A3D43">
        <w:rPr>
          <w:noProof w:val="0"/>
        </w:rPr>
        <w:t xml:space="preserve"> P.</w:t>
      </w:r>
      <w:r w:rsidRPr="00EC2249">
        <w:rPr>
          <w:noProof w:val="0"/>
        </w:rPr>
        <w:t xml:space="preserve"> Nielsen</w:t>
      </w:r>
      <w:r w:rsidR="00A533AC">
        <w:rPr>
          <w:noProof w:val="0"/>
          <w:vertAlign w:val="superscript"/>
        </w:rPr>
        <w:t>a</w:t>
      </w:r>
      <w:r w:rsidR="00EC4E40" w:rsidRPr="00EC2249">
        <w:rPr>
          <w:noProof w:val="0"/>
        </w:rPr>
        <w:t>,</w:t>
      </w:r>
      <w:r w:rsidR="006548FD" w:rsidRPr="00EC2249">
        <w:rPr>
          <w:noProof w:val="0"/>
        </w:rPr>
        <w:t xml:space="preserve"> Lasse</w:t>
      </w:r>
      <w:r w:rsidR="005A3D43">
        <w:rPr>
          <w:noProof w:val="0"/>
        </w:rPr>
        <w:t xml:space="preserve"> A.</w:t>
      </w:r>
      <w:r w:rsidR="006548FD" w:rsidRPr="00EC2249">
        <w:rPr>
          <w:noProof w:val="0"/>
        </w:rPr>
        <w:t xml:space="preserve"> Rosendahl</w:t>
      </w:r>
      <w:r w:rsidR="00A533AC">
        <w:rPr>
          <w:noProof w:val="0"/>
          <w:vertAlign w:val="superscript"/>
        </w:rPr>
        <w:t>b</w:t>
      </w:r>
      <w:r w:rsidR="00A533AC">
        <w:rPr>
          <w:noProof w:val="0"/>
        </w:rPr>
        <w:t>,</w:t>
      </w:r>
      <w:r w:rsidRPr="00EC2249">
        <w:rPr>
          <w:noProof w:val="0"/>
        </w:rPr>
        <w:t xml:space="preserve"> Marco Maschietti</w:t>
      </w:r>
      <w:r w:rsidR="00A533AC">
        <w:rPr>
          <w:noProof w:val="0"/>
          <w:vertAlign w:val="superscript"/>
        </w:rPr>
        <w:t>a</w:t>
      </w:r>
      <w:r w:rsidRPr="00EC2249">
        <w:rPr>
          <w:noProof w:val="0"/>
        </w:rPr>
        <w:t>*</w:t>
      </w:r>
    </w:p>
    <w:p w14:paraId="689100B1" w14:textId="77777777" w:rsidR="00A533AC" w:rsidRDefault="00E978D0" w:rsidP="00A533AC">
      <w:pPr>
        <w:pStyle w:val="CETAddress"/>
        <w:rPr>
          <w:noProof w:val="0"/>
        </w:rPr>
      </w:pPr>
      <w:r w:rsidRPr="00EC2249">
        <w:rPr>
          <w:noProof w:val="0"/>
          <w:vertAlign w:val="superscript"/>
        </w:rPr>
        <w:t>a</w:t>
      </w:r>
      <w:r w:rsidR="00A533AC" w:rsidRPr="00A533AC">
        <w:t>Department of Chemistry and Bioscience, Aalborg University, Niels Bohrs Vej 8A, 6700 Esbjerg,</w:t>
      </w:r>
      <w:r w:rsidR="00A533AC">
        <w:t xml:space="preserve"> </w:t>
      </w:r>
      <w:r w:rsidR="00A533AC" w:rsidRPr="00A533AC">
        <w:rPr>
          <w:noProof w:val="0"/>
        </w:rPr>
        <w:t>Denmark</w:t>
      </w:r>
    </w:p>
    <w:p w14:paraId="1DD46370" w14:textId="77777777" w:rsidR="00A533AC" w:rsidRPr="00A533AC" w:rsidRDefault="00A533AC" w:rsidP="00A533AC">
      <w:pPr>
        <w:pStyle w:val="CETAddress"/>
        <w:rPr>
          <w:noProof w:val="0"/>
        </w:rPr>
      </w:pPr>
      <w:r>
        <w:rPr>
          <w:noProof w:val="0"/>
          <w:vertAlign w:val="superscript"/>
        </w:rPr>
        <w:t>b</w:t>
      </w:r>
      <w:r w:rsidRPr="00A533AC">
        <w:rPr>
          <w:noProof w:val="0"/>
        </w:rPr>
        <w:t>Department of Energy Technology, Aalborg University, Pontoppidanstræde 111, 9220 Aalborg</w:t>
      </w:r>
      <w:r>
        <w:rPr>
          <w:noProof w:val="0"/>
        </w:rPr>
        <w:t xml:space="preserve"> Øst, Denmark</w:t>
      </w:r>
    </w:p>
    <w:p w14:paraId="77F7910E" w14:textId="77777777" w:rsidR="00A533AC" w:rsidRDefault="00D8338F" w:rsidP="00A533AC">
      <w:pPr>
        <w:pStyle w:val="CETemail"/>
        <w:rPr>
          <w:noProof w:val="0"/>
        </w:rPr>
      </w:pPr>
      <w:r w:rsidRPr="00A533AC">
        <w:rPr>
          <w:rStyle w:val="Hyperlink"/>
          <w:noProof w:val="0"/>
          <w:color w:val="auto"/>
          <w:u w:val="none"/>
        </w:rPr>
        <w:t>marco@bio.aau.dk</w:t>
      </w:r>
      <w:r w:rsidRPr="00A533AC">
        <w:rPr>
          <w:noProof w:val="0"/>
        </w:rPr>
        <w:t xml:space="preserve"> </w:t>
      </w:r>
    </w:p>
    <w:p w14:paraId="6F84D053" w14:textId="1B001652" w:rsidR="00DA24C6" w:rsidRPr="00EC2249" w:rsidRDefault="00C06F59" w:rsidP="00831E06">
      <w:pPr>
        <w:pStyle w:val="CETBodytext"/>
      </w:pPr>
      <w:r w:rsidRPr="00EC2249">
        <w:t xml:space="preserve">Supercritical carbon dioxide extraction was utilized for the fractionation of a pinewood derived hydrothermal liquefaction bio-crude. The experiments were performed at temperature </w:t>
      </w:r>
      <w:r w:rsidR="004219A9" w:rsidRPr="00EC2249">
        <w:t xml:space="preserve">120 </w:t>
      </w:r>
      <w:r w:rsidR="004219A9" w:rsidRPr="00EC2249">
        <w:rPr>
          <w:rFonts w:cs="Arial"/>
        </w:rPr>
        <w:t>º</w:t>
      </w:r>
      <w:r w:rsidR="00F30C5F">
        <w:t xml:space="preserve">C and at </w:t>
      </w:r>
      <w:r w:rsidR="004219A9" w:rsidRPr="00EC2249">
        <w:t>pressure levels that correspond to CO</w:t>
      </w:r>
      <w:r w:rsidR="004219A9" w:rsidRPr="00EC2249">
        <w:rPr>
          <w:vertAlign w:val="subscript"/>
        </w:rPr>
        <w:t>2</w:t>
      </w:r>
      <w:r w:rsidR="004219A9" w:rsidRPr="00EC2249">
        <w:t xml:space="preserve"> density of 500, 615 and 730 kg/m</w:t>
      </w:r>
      <w:r w:rsidR="004219A9" w:rsidRPr="00EC2249">
        <w:rPr>
          <w:vertAlign w:val="superscript"/>
        </w:rPr>
        <w:t>3</w:t>
      </w:r>
      <w:r w:rsidR="004219A9" w:rsidRPr="00EC2249">
        <w:t>.</w:t>
      </w:r>
      <w:r w:rsidR="0012798C">
        <w:t xml:space="preserve"> Extraction yields of 34</w:t>
      </w:r>
      <w:r w:rsidR="000D064B" w:rsidRPr="00EC2249">
        <w:t xml:space="preserve"> to 49</w:t>
      </w:r>
      <w:r w:rsidR="0012798C">
        <w:t xml:space="preserve"> </w:t>
      </w:r>
      <w:r w:rsidR="004219A9" w:rsidRPr="00EC2249">
        <w:t>% we</w:t>
      </w:r>
      <w:r w:rsidR="00F30C5F">
        <w:t>re achieved</w:t>
      </w:r>
      <w:r w:rsidR="00B36A90">
        <w:t>, which increased with increasing solvent density</w:t>
      </w:r>
      <w:r w:rsidR="004219A9" w:rsidRPr="00EC2249">
        <w:t xml:space="preserve">. Density </w:t>
      </w:r>
      <w:r w:rsidR="0012798C">
        <w:t>was</w:t>
      </w:r>
      <w:r w:rsidR="004219A9" w:rsidRPr="00EC2249">
        <w:t xml:space="preserve"> reduced for all extracts</w:t>
      </w:r>
      <w:r w:rsidR="0012798C">
        <w:t xml:space="preserve"> (2-10 %)</w:t>
      </w:r>
      <w:r w:rsidR="001A09EB">
        <w:t xml:space="preserve"> while the H/C atomic ratio increased</w:t>
      </w:r>
      <w:r w:rsidR="006447CB">
        <w:t xml:space="preserve"> when compared to the </w:t>
      </w:r>
      <w:r w:rsidR="00EE7D49">
        <w:t>bio-crude</w:t>
      </w:r>
      <w:r w:rsidR="004219A9" w:rsidRPr="00EC2249">
        <w:t xml:space="preserve">. Low boiling </w:t>
      </w:r>
      <w:r w:rsidR="002A0A6A">
        <w:t>point components such as ketone</w:t>
      </w:r>
      <w:r w:rsidR="004219A9" w:rsidRPr="00EC2249">
        <w:t>s</w:t>
      </w:r>
      <w:r w:rsidR="006447CB">
        <w:t>, 1-ring aromatic hydrocarbons</w:t>
      </w:r>
      <w:r w:rsidR="004219A9" w:rsidRPr="00EC2249">
        <w:t xml:space="preserve"> and low molecular weight fatty acids were extracted preferentially</w:t>
      </w:r>
      <w:r w:rsidR="000D064B" w:rsidRPr="00EC2249">
        <w:t xml:space="preserve"> </w:t>
      </w:r>
      <w:r w:rsidR="006447CB">
        <w:t>(</w:t>
      </w:r>
      <w:r w:rsidR="00207057">
        <w:t>K-</w:t>
      </w:r>
      <w:r w:rsidR="00591ECF">
        <w:t>v</w:t>
      </w:r>
      <w:r w:rsidR="00207057">
        <w:t>alues up to 11)</w:t>
      </w:r>
      <w:r w:rsidR="00414E4E">
        <w:t>.</w:t>
      </w:r>
      <w:r w:rsidR="000D064B" w:rsidRPr="00EC2249">
        <w:t xml:space="preserve"> 1-</w:t>
      </w:r>
      <w:r w:rsidR="00215EA4">
        <w:t>ring phenols and benzenediols w</w:t>
      </w:r>
      <w:r w:rsidR="000D064B" w:rsidRPr="00EC2249">
        <w:t>ere enriched in the extract</w:t>
      </w:r>
      <w:r w:rsidR="00215EA4">
        <w:t>s</w:t>
      </w:r>
      <w:r w:rsidR="006447CB">
        <w:t xml:space="preserve"> as well</w:t>
      </w:r>
      <w:r w:rsidR="00591ECF">
        <w:t xml:space="preserve"> (K-v</w:t>
      </w:r>
      <w:r w:rsidR="00414E4E">
        <w:t>alues 1-3)</w:t>
      </w:r>
      <w:r w:rsidR="000D064B" w:rsidRPr="00EC2249">
        <w:t xml:space="preserve">. Heavy hydrocarbons and long </w:t>
      </w:r>
      <w:r w:rsidR="005A3D43">
        <w:t xml:space="preserve">chain fatty acids </w:t>
      </w:r>
      <w:r w:rsidR="0012798C">
        <w:t>were</w:t>
      </w:r>
      <w:r w:rsidR="005A3D43">
        <w:t xml:space="preserve"> extracted</w:t>
      </w:r>
      <w:r w:rsidR="000D064B" w:rsidRPr="00EC2249">
        <w:t xml:space="preserve"> at the l</w:t>
      </w:r>
      <w:r w:rsidR="005A3D43">
        <w:t>ater stages</w:t>
      </w:r>
      <w:r w:rsidR="006447CB">
        <w:t xml:space="preserve"> of</w:t>
      </w:r>
      <w:r w:rsidR="005A3D43">
        <w:t xml:space="preserve"> extractio</w:t>
      </w:r>
      <w:r w:rsidR="0012798C">
        <w:t>n</w:t>
      </w:r>
      <w:r w:rsidR="005A3D43">
        <w:t xml:space="preserve"> when the lighter components </w:t>
      </w:r>
      <w:r w:rsidR="00215EA4">
        <w:t>were</w:t>
      </w:r>
      <w:r w:rsidR="00F30C5F">
        <w:t xml:space="preserve"> depleted. </w:t>
      </w:r>
    </w:p>
    <w:p w14:paraId="5539054D" w14:textId="77777777" w:rsidR="00A67036" w:rsidRPr="00EC2249" w:rsidRDefault="007B5794" w:rsidP="00A67036">
      <w:pPr>
        <w:pStyle w:val="CETHeading1"/>
        <w:rPr>
          <w:lang w:val="en-GB"/>
        </w:rPr>
      </w:pPr>
      <w:r w:rsidRPr="00EC2249">
        <w:rPr>
          <w:lang w:val="en-GB"/>
        </w:rPr>
        <w:t>Introduction</w:t>
      </w:r>
    </w:p>
    <w:p w14:paraId="57DB894E" w14:textId="2A009A20" w:rsidR="001D254D" w:rsidRPr="00E04F0B" w:rsidRDefault="002746AD" w:rsidP="006548FD">
      <w:pPr>
        <w:pStyle w:val="CETBodytext"/>
        <w:rPr>
          <w:lang w:val="en-GB"/>
        </w:rPr>
      </w:pPr>
      <w:r w:rsidRPr="00EC2249">
        <w:rPr>
          <w:lang w:val="en-GB"/>
        </w:rPr>
        <w:t>Bio-crudes that are produced by conversion of biomass through thermochemical processes</w:t>
      </w:r>
      <w:r w:rsidR="00414E4E">
        <w:rPr>
          <w:lang w:val="en-GB"/>
        </w:rPr>
        <w:t>,</w:t>
      </w:r>
      <w:r w:rsidRPr="00EC2249">
        <w:rPr>
          <w:lang w:val="en-GB"/>
        </w:rPr>
        <w:t xml:space="preserve"> such as hydrothermal liquefaction (HTL)</w:t>
      </w:r>
      <w:r w:rsidR="00F91B5A" w:rsidRPr="00EC2249">
        <w:rPr>
          <w:lang w:val="en-GB"/>
        </w:rPr>
        <w:t xml:space="preserve"> and pyrolysis</w:t>
      </w:r>
      <w:r w:rsidR="00414E4E">
        <w:rPr>
          <w:lang w:val="en-GB"/>
        </w:rPr>
        <w:t>,</w:t>
      </w:r>
      <w:r w:rsidRPr="00EC2249">
        <w:rPr>
          <w:lang w:val="en-GB"/>
        </w:rPr>
        <w:t xml:space="preserve"> have been </w:t>
      </w:r>
      <w:r w:rsidR="006C5E40" w:rsidRPr="00EC2249">
        <w:rPr>
          <w:lang w:val="en-GB"/>
        </w:rPr>
        <w:t>recognized</w:t>
      </w:r>
      <w:r w:rsidRPr="00EC2249">
        <w:rPr>
          <w:lang w:val="en-GB"/>
        </w:rPr>
        <w:t xml:space="preserve"> as potential alternative</w:t>
      </w:r>
      <w:r w:rsidR="001336AE" w:rsidRPr="00EC2249">
        <w:rPr>
          <w:lang w:val="en-GB"/>
        </w:rPr>
        <w:t>s</w:t>
      </w:r>
      <w:r w:rsidRPr="00EC2249">
        <w:rPr>
          <w:lang w:val="en-GB"/>
        </w:rPr>
        <w:t xml:space="preserve"> to petroleum</w:t>
      </w:r>
      <w:r w:rsidR="00A43C71">
        <w:rPr>
          <w:lang w:val="en-GB"/>
        </w:rPr>
        <w:t>,</w:t>
      </w:r>
      <w:r w:rsidRPr="00EC2249">
        <w:rPr>
          <w:lang w:val="en-GB"/>
        </w:rPr>
        <w:t xml:space="preserve"> for the production of liquid fuels </w:t>
      </w:r>
      <w:r w:rsidR="006C5E40" w:rsidRPr="00EC2249">
        <w:rPr>
          <w:lang w:val="en-GB"/>
        </w:rPr>
        <w:t>as well as</w:t>
      </w:r>
      <w:r w:rsidRPr="00EC2249">
        <w:rPr>
          <w:lang w:val="en-GB"/>
        </w:rPr>
        <w:t xml:space="preserve"> commercial chemicals</w:t>
      </w:r>
      <w:r w:rsidR="00CE4E01" w:rsidRPr="00EC2249">
        <w:rPr>
          <w:lang w:val="en-GB"/>
        </w:rPr>
        <w:t xml:space="preserve"> (Baloch et al., 2018).</w:t>
      </w:r>
      <w:r w:rsidRPr="00EC2249">
        <w:rPr>
          <w:lang w:val="en-GB"/>
        </w:rPr>
        <w:t xml:space="preserve"> Especially</w:t>
      </w:r>
      <w:r w:rsidR="00F91B5A" w:rsidRPr="00EC2249">
        <w:rPr>
          <w:lang w:val="en-GB"/>
        </w:rPr>
        <w:t xml:space="preserve"> HTL of the so-</w:t>
      </w:r>
      <w:r w:rsidR="00F91B5A" w:rsidRPr="00F51720">
        <w:rPr>
          <w:lang w:val="en-GB"/>
        </w:rPr>
        <w:t>called</w:t>
      </w:r>
      <w:r w:rsidRPr="00F51720">
        <w:rPr>
          <w:lang w:val="en-GB"/>
        </w:rPr>
        <w:t xml:space="preserve"> </w:t>
      </w:r>
      <w:r w:rsidR="009F7098" w:rsidRPr="00F51720">
        <w:rPr>
          <w:lang w:val="en-GB"/>
        </w:rPr>
        <w:t>second-generation lignocellulosic</w:t>
      </w:r>
      <w:r w:rsidRPr="00F51720">
        <w:rPr>
          <w:lang w:val="en-GB"/>
        </w:rPr>
        <w:t xml:space="preserve"> biomass</w:t>
      </w:r>
      <w:r w:rsidR="009F7098" w:rsidRPr="00F51720">
        <w:rPr>
          <w:lang w:val="en-GB"/>
        </w:rPr>
        <w:t>, which includes</w:t>
      </w:r>
      <w:r w:rsidR="00207057" w:rsidRPr="00F51720">
        <w:rPr>
          <w:lang w:val="en-GB"/>
        </w:rPr>
        <w:t xml:space="preserve"> non-food</w:t>
      </w:r>
      <w:r w:rsidR="009F7098" w:rsidRPr="00F51720">
        <w:rPr>
          <w:lang w:val="en-GB"/>
        </w:rPr>
        <w:t xml:space="preserve"> material </w:t>
      </w:r>
      <w:r w:rsidR="00D830FF" w:rsidRPr="00F51720">
        <w:rPr>
          <w:lang w:val="en-GB"/>
        </w:rPr>
        <w:t>(e.g. forestry, sewage,</w:t>
      </w:r>
      <w:r w:rsidR="00D830FF" w:rsidRPr="00EC2249">
        <w:rPr>
          <w:lang w:val="en-GB"/>
        </w:rPr>
        <w:t xml:space="preserve"> industrial residues)</w:t>
      </w:r>
      <w:r w:rsidR="009F7098" w:rsidRPr="00EC2249">
        <w:rPr>
          <w:lang w:val="en-GB"/>
        </w:rPr>
        <w:t>, can be a low cost</w:t>
      </w:r>
      <w:r w:rsidR="00326C52">
        <w:rPr>
          <w:lang w:val="en-GB"/>
        </w:rPr>
        <w:t xml:space="preserve"> and environmentally friendly</w:t>
      </w:r>
      <w:r w:rsidR="009F7098" w:rsidRPr="00EC2249">
        <w:rPr>
          <w:lang w:val="en-GB"/>
        </w:rPr>
        <w:t xml:space="preserve"> source of the above. Wood</w:t>
      </w:r>
      <w:r w:rsidR="00F22442" w:rsidRPr="00EC2249">
        <w:rPr>
          <w:lang w:val="en-GB"/>
        </w:rPr>
        <w:t xml:space="preserve"> (Pedersen</w:t>
      </w:r>
      <w:r w:rsidR="004D114C" w:rsidRPr="00EC2249">
        <w:rPr>
          <w:lang w:val="en-GB"/>
        </w:rPr>
        <w:t xml:space="preserve"> et al.</w:t>
      </w:r>
      <w:r w:rsidR="003C451D">
        <w:rPr>
          <w:lang w:val="en-GB"/>
        </w:rPr>
        <w:t>, 2016</w:t>
      </w:r>
      <w:r w:rsidR="00F22442" w:rsidRPr="00EC2249">
        <w:rPr>
          <w:lang w:val="en-GB"/>
        </w:rPr>
        <w:t>)</w:t>
      </w:r>
      <w:r w:rsidR="009F7098" w:rsidRPr="00EC2249">
        <w:rPr>
          <w:lang w:val="en-GB"/>
        </w:rPr>
        <w:t xml:space="preserve"> and industrial residues</w:t>
      </w:r>
      <w:r w:rsidR="009B7C24">
        <w:rPr>
          <w:lang w:val="en-GB"/>
        </w:rPr>
        <w:t>,</w:t>
      </w:r>
      <w:r w:rsidR="009F7098" w:rsidRPr="00EC2249">
        <w:rPr>
          <w:lang w:val="en-GB"/>
        </w:rPr>
        <w:t xml:space="preserve"> such as pulp mill excess lignin</w:t>
      </w:r>
      <w:r w:rsidR="00F22442" w:rsidRPr="00EC2249">
        <w:rPr>
          <w:lang w:val="en-GB"/>
        </w:rPr>
        <w:t xml:space="preserve"> (Nguyen</w:t>
      </w:r>
      <w:r w:rsidR="004D114C" w:rsidRPr="00EC2249">
        <w:rPr>
          <w:lang w:val="en-GB"/>
        </w:rPr>
        <w:t xml:space="preserve"> et al.</w:t>
      </w:r>
      <w:r w:rsidR="00F22442" w:rsidRPr="00EC2249">
        <w:rPr>
          <w:lang w:val="en-GB"/>
        </w:rPr>
        <w:t>, 2014)</w:t>
      </w:r>
      <w:r w:rsidR="009F7098" w:rsidRPr="00EC2249">
        <w:rPr>
          <w:lang w:val="en-GB"/>
        </w:rPr>
        <w:t xml:space="preserve"> are a few examples of </w:t>
      </w:r>
      <w:r w:rsidR="00F91B5A" w:rsidRPr="00EC2249">
        <w:rPr>
          <w:lang w:val="en-GB"/>
        </w:rPr>
        <w:t>second-generation</w:t>
      </w:r>
      <w:r w:rsidR="00CE4E01" w:rsidRPr="00EC2249">
        <w:rPr>
          <w:lang w:val="en-GB"/>
        </w:rPr>
        <w:t xml:space="preserve"> lignocellulosic </w:t>
      </w:r>
      <w:r w:rsidR="009F7098" w:rsidRPr="00EC2249">
        <w:rPr>
          <w:lang w:val="en-GB"/>
        </w:rPr>
        <w:t>biomass that have</w:t>
      </w:r>
      <w:r w:rsidR="00F91B5A" w:rsidRPr="00EC2249">
        <w:rPr>
          <w:lang w:val="en-GB"/>
        </w:rPr>
        <w:t xml:space="preserve"> successfully</w:t>
      </w:r>
      <w:r w:rsidR="009F7098" w:rsidRPr="00EC2249">
        <w:rPr>
          <w:lang w:val="en-GB"/>
        </w:rPr>
        <w:t xml:space="preserve"> </w:t>
      </w:r>
      <w:r w:rsidR="00326C52">
        <w:rPr>
          <w:lang w:val="en-GB"/>
        </w:rPr>
        <w:t>been converted</w:t>
      </w:r>
      <w:r w:rsidR="00D830FF" w:rsidRPr="00EC2249">
        <w:rPr>
          <w:lang w:val="en-GB"/>
        </w:rPr>
        <w:t xml:space="preserve"> to</w:t>
      </w:r>
      <w:r w:rsidR="006F6E90">
        <w:rPr>
          <w:lang w:val="en-GB"/>
        </w:rPr>
        <w:t xml:space="preserve"> liquid HTL bio-c</w:t>
      </w:r>
      <w:r w:rsidR="00E0362A">
        <w:rPr>
          <w:lang w:val="en-GB"/>
        </w:rPr>
        <w:t>r</w:t>
      </w:r>
      <w:r w:rsidR="00985C36" w:rsidRPr="00EC2249">
        <w:rPr>
          <w:lang w:val="en-GB"/>
        </w:rPr>
        <w:t>udes with promising</w:t>
      </w:r>
      <w:r w:rsidR="00F91B5A" w:rsidRPr="00EC2249">
        <w:rPr>
          <w:lang w:val="en-GB"/>
        </w:rPr>
        <w:t xml:space="preserve"> fuel</w:t>
      </w:r>
      <w:r w:rsidR="00985C36" w:rsidRPr="00EC2249">
        <w:rPr>
          <w:lang w:val="en-GB"/>
        </w:rPr>
        <w:t xml:space="preserve"> properties</w:t>
      </w:r>
      <w:r w:rsidR="00F91B5A" w:rsidRPr="00EC2249">
        <w:rPr>
          <w:lang w:val="en-GB"/>
        </w:rPr>
        <w:t xml:space="preserve"> such as </w:t>
      </w:r>
      <w:r w:rsidR="00985C36" w:rsidRPr="00EC2249">
        <w:rPr>
          <w:lang w:val="en-GB"/>
        </w:rPr>
        <w:t>higher heating value</w:t>
      </w:r>
      <w:r w:rsidR="00F91B5A" w:rsidRPr="00EC2249">
        <w:rPr>
          <w:lang w:val="en-GB"/>
        </w:rPr>
        <w:t xml:space="preserve">s up to 35 </w:t>
      </w:r>
      <w:r w:rsidR="00F91B5A" w:rsidRPr="00F51720">
        <w:rPr>
          <w:lang w:val="en-GB"/>
        </w:rPr>
        <w:t>MJ/kg</w:t>
      </w:r>
      <w:r w:rsidR="00985C36" w:rsidRPr="00F51720">
        <w:rPr>
          <w:lang w:val="en-GB"/>
        </w:rPr>
        <w:t>.</w:t>
      </w:r>
      <w:r w:rsidR="00105CA5">
        <w:rPr>
          <w:lang w:val="en-GB"/>
        </w:rPr>
        <w:t xml:space="preserve"> </w:t>
      </w:r>
      <w:r w:rsidR="006050EE" w:rsidRPr="00F51720">
        <w:rPr>
          <w:lang w:val="en-GB"/>
        </w:rPr>
        <w:t xml:space="preserve">Development of HTL has already reached demonstration scale, even though there are a few </w:t>
      </w:r>
      <w:r w:rsidR="00E0362A" w:rsidRPr="00F51720">
        <w:rPr>
          <w:lang w:val="en-GB"/>
        </w:rPr>
        <w:t>obstacles to</w:t>
      </w:r>
      <w:r w:rsidR="00B61B09" w:rsidRPr="00F51720">
        <w:rPr>
          <w:lang w:val="en-GB"/>
        </w:rPr>
        <w:t xml:space="preserve"> overcome </w:t>
      </w:r>
      <w:r w:rsidR="005504B8" w:rsidRPr="00F51720">
        <w:rPr>
          <w:lang w:val="en-GB"/>
        </w:rPr>
        <w:t>with regard to</w:t>
      </w:r>
      <w:r w:rsidR="006050EE" w:rsidRPr="00F51720">
        <w:rPr>
          <w:lang w:val="en-GB"/>
        </w:rPr>
        <w:t xml:space="preserve"> downstream</w:t>
      </w:r>
      <w:r w:rsidR="00B61B09" w:rsidRPr="00F51720">
        <w:rPr>
          <w:lang w:val="en-GB"/>
        </w:rPr>
        <w:t xml:space="preserve"> fuel</w:t>
      </w:r>
      <w:r w:rsidR="006050EE" w:rsidRPr="00F51720">
        <w:rPr>
          <w:lang w:val="en-GB"/>
        </w:rPr>
        <w:t xml:space="preserve"> upgrading (Castello et al., 2018). High viscosity</w:t>
      </w:r>
      <w:r w:rsidR="001D5792" w:rsidRPr="00F51720">
        <w:rPr>
          <w:lang w:val="en-GB"/>
        </w:rPr>
        <w:t xml:space="preserve"> (e.g. 2000 mPa</w:t>
      </w:r>
      <w:r w:rsidR="001D5792" w:rsidRPr="00F51720">
        <w:rPr>
          <w:rFonts w:cs="Arial"/>
          <w:lang w:val="en-GB"/>
        </w:rPr>
        <w:t>·</w:t>
      </w:r>
      <w:r w:rsidR="001D5792" w:rsidRPr="00F51720">
        <w:rPr>
          <w:lang w:val="en-GB"/>
        </w:rPr>
        <w:t>s)</w:t>
      </w:r>
      <w:r w:rsidR="006050EE" w:rsidRPr="00F51720">
        <w:rPr>
          <w:lang w:val="en-GB"/>
        </w:rPr>
        <w:t>, density</w:t>
      </w:r>
      <w:r w:rsidR="001D5792" w:rsidRPr="00F51720">
        <w:rPr>
          <w:lang w:val="en-GB"/>
        </w:rPr>
        <w:t xml:space="preserve"> (e.g. over 1000 kg/m</w:t>
      </w:r>
      <w:r w:rsidR="001D5792" w:rsidRPr="00F51720">
        <w:rPr>
          <w:vertAlign w:val="superscript"/>
          <w:lang w:val="en-GB"/>
        </w:rPr>
        <w:t>3</w:t>
      </w:r>
      <w:r w:rsidR="001D5792" w:rsidRPr="00F51720">
        <w:rPr>
          <w:lang w:val="en-GB"/>
        </w:rPr>
        <w:t>) (Haarlemmer et al., 2016)</w:t>
      </w:r>
      <w:r w:rsidR="001C6EC3" w:rsidRPr="00F51720">
        <w:rPr>
          <w:lang w:val="en-GB"/>
        </w:rPr>
        <w:t xml:space="preserve"> </w:t>
      </w:r>
      <w:r w:rsidR="006050EE" w:rsidRPr="00F51720">
        <w:rPr>
          <w:lang w:val="en-GB"/>
        </w:rPr>
        <w:t>and oxygen</w:t>
      </w:r>
      <w:r w:rsidR="001D5792" w:rsidRPr="00F51720">
        <w:rPr>
          <w:lang w:val="en-GB"/>
        </w:rPr>
        <w:t xml:space="preserve"> </w:t>
      </w:r>
      <w:r w:rsidR="006050EE" w:rsidRPr="00F51720">
        <w:rPr>
          <w:lang w:val="en-GB"/>
        </w:rPr>
        <w:t>content</w:t>
      </w:r>
      <w:r w:rsidR="001D5792" w:rsidRPr="00F51720">
        <w:rPr>
          <w:lang w:val="en-GB"/>
        </w:rPr>
        <w:t xml:space="preserve"> (e.g. 15 %) (Pedersen et al., 2017) </w:t>
      </w:r>
      <w:r w:rsidR="006050EE" w:rsidRPr="00F51720">
        <w:rPr>
          <w:lang w:val="en-GB"/>
        </w:rPr>
        <w:t xml:space="preserve">are quality issues of HTL </w:t>
      </w:r>
      <w:r w:rsidR="00EE7D49" w:rsidRPr="00F51720">
        <w:rPr>
          <w:lang w:val="en-GB"/>
        </w:rPr>
        <w:t>bio-crude</w:t>
      </w:r>
      <w:r w:rsidR="006050EE" w:rsidRPr="00F51720">
        <w:rPr>
          <w:lang w:val="en-GB"/>
        </w:rPr>
        <w:t xml:space="preserve">s, which </w:t>
      </w:r>
      <w:r w:rsidR="002E2AA5" w:rsidRPr="00F51720">
        <w:rPr>
          <w:lang w:val="en-GB"/>
        </w:rPr>
        <w:t xml:space="preserve">need to be upgraded in order to be </w:t>
      </w:r>
      <w:r w:rsidR="006050EE" w:rsidRPr="00F51720">
        <w:rPr>
          <w:lang w:val="en-GB"/>
        </w:rPr>
        <w:t>compatible with</w:t>
      </w:r>
      <w:r w:rsidR="00414E4E" w:rsidRPr="00F51720">
        <w:rPr>
          <w:lang w:val="en-GB"/>
        </w:rPr>
        <w:t xml:space="preserve"> the </w:t>
      </w:r>
      <w:r w:rsidR="006050EE" w:rsidRPr="00F51720">
        <w:rPr>
          <w:lang w:val="en-GB"/>
        </w:rPr>
        <w:t>conventional fuel infrastructure.</w:t>
      </w:r>
      <w:r w:rsidR="00E91FE7" w:rsidRPr="00F51720">
        <w:rPr>
          <w:lang w:val="en-GB"/>
        </w:rPr>
        <w:t xml:space="preserve"> </w:t>
      </w:r>
      <w:r w:rsidR="005E561D" w:rsidRPr="00F51720">
        <w:rPr>
          <w:lang w:val="en-GB"/>
        </w:rPr>
        <w:t xml:space="preserve">Catalytic hydrotreatment is the state-of-the-art upgrading process, which </w:t>
      </w:r>
      <w:r w:rsidR="00E91FE7" w:rsidRPr="00F51720">
        <w:rPr>
          <w:lang w:val="en-GB"/>
        </w:rPr>
        <w:t xml:space="preserve">can bring the bio-crude to </w:t>
      </w:r>
      <w:r w:rsidR="00E94250">
        <w:rPr>
          <w:lang w:val="en-GB"/>
        </w:rPr>
        <w:t>drop-in</w:t>
      </w:r>
      <w:r w:rsidR="00E91FE7" w:rsidRPr="00F51720">
        <w:rPr>
          <w:lang w:val="en-GB"/>
        </w:rPr>
        <w:t xml:space="preserve"> quality, with however</w:t>
      </w:r>
      <w:r w:rsidR="00652E83" w:rsidRPr="00F51720">
        <w:rPr>
          <w:lang w:val="en-GB"/>
        </w:rPr>
        <w:t xml:space="preserve"> </w:t>
      </w:r>
      <w:r w:rsidR="00EE7D49" w:rsidRPr="00F51720">
        <w:rPr>
          <w:lang w:val="en-GB"/>
        </w:rPr>
        <w:t>considerable</w:t>
      </w:r>
      <w:r w:rsidR="00652E83" w:rsidRPr="00F51720">
        <w:rPr>
          <w:lang w:val="en-GB"/>
        </w:rPr>
        <w:t xml:space="preserve"> cost due to hydrogen consumption and high operating temperature (e.g. above 350 </w:t>
      </w:r>
      <w:r w:rsidR="00652E83" w:rsidRPr="00F51720">
        <w:rPr>
          <w:rFonts w:cs="Arial"/>
          <w:lang w:val="en-GB"/>
        </w:rPr>
        <w:t>º</w:t>
      </w:r>
      <w:r w:rsidR="00652E83" w:rsidRPr="00F51720">
        <w:rPr>
          <w:lang w:val="en-GB"/>
        </w:rPr>
        <w:t>C) (Castello et al., 2018).</w:t>
      </w:r>
      <w:r w:rsidR="00105CA5">
        <w:rPr>
          <w:lang w:val="en-GB"/>
        </w:rPr>
        <w:t xml:space="preserve"> </w:t>
      </w:r>
      <w:r w:rsidR="00E0362A" w:rsidRPr="00E04F0B">
        <w:rPr>
          <w:lang w:val="en-GB"/>
        </w:rPr>
        <w:t>In addition</w:t>
      </w:r>
      <w:r w:rsidR="00652E83" w:rsidRPr="00E04F0B">
        <w:rPr>
          <w:lang w:val="en-GB"/>
        </w:rPr>
        <w:t xml:space="preserve"> to the fuel perspective</w:t>
      </w:r>
      <w:r w:rsidR="00E0362A" w:rsidRPr="00E04F0B">
        <w:rPr>
          <w:lang w:val="en-GB"/>
        </w:rPr>
        <w:t xml:space="preserve">, </w:t>
      </w:r>
      <w:r w:rsidR="00376E1E" w:rsidRPr="00E04F0B">
        <w:rPr>
          <w:lang w:val="en-GB"/>
        </w:rPr>
        <w:t xml:space="preserve">HTL bio-crudes contain a large number of chemical species that range from ketones and </w:t>
      </w:r>
      <w:r w:rsidR="005E561D" w:rsidRPr="00E04F0B">
        <w:rPr>
          <w:lang w:val="en-GB"/>
        </w:rPr>
        <w:t>1-</w:t>
      </w:r>
      <w:r w:rsidR="00376E1E" w:rsidRPr="00E04F0B">
        <w:rPr>
          <w:lang w:val="en-GB"/>
        </w:rPr>
        <w:t xml:space="preserve">ring </w:t>
      </w:r>
      <w:r w:rsidR="005E561D" w:rsidRPr="00E04F0B">
        <w:rPr>
          <w:lang w:val="en-GB"/>
        </w:rPr>
        <w:t>phenols to long-</w:t>
      </w:r>
      <w:r w:rsidR="00376E1E" w:rsidRPr="00E04F0B">
        <w:rPr>
          <w:lang w:val="en-GB"/>
        </w:rPr>
        <w:t xml:space="preserve">chain fatty acids </w:t>
      </w:r>
      <w:r w:rsidR="00376E1E" w:rsidRPr="009308C9">
        <w:rPr>
          <w:lang w:val="en-GB"/>
        </w:rPr>
        <w:t>and polyaromatic hydrocarbons</w:t>
      </w:r>
      <w:r w:rsidR="003C469D" w:rsidRPr="009308C9">
        <w:rPr>
          <w:lang w:val="en-GB"/>
        </w:rPr>
        <w:t xml:space="preserve"> (Pedersen et al., 2016)</w:t>
      </w:r>
      <w:r w:rsidR="00B61B09" w:rsidRPr="009308C9">
        <w:rPr>
          <w:lang w:val="en-GB"/>
        </w:rPr>
        <w:t>,</w:t>
      </w:r>
      <w:r w:rsidR="005E561D" w:rsidRPr="009308C9">
        <w:rPr>
          <w:lang w:val="en-GB"/>
        </w:rPr>
        <w:t xml:space="preserve"> </w:t>
      </w:r>
      <w:r w:rsidR="002274A9" w:rsidRPr="009308C9">
        <w:rPr>
          <w:lang w:val="en-GB"/>
        </w:rPr>
        <w:t xml:space="preserve">indicating the possibility of producing chemicals. </w:t>
      </w:r>
      <w:r w:rsidR="00376E1E" w:rsidRPr="009308C9">
        <w:rPr>
          <w:lang w:val="en-GB"/>
        </w:rPr>
        <w:t>Ho</w:t>
      </w:r>
      <w:r w:rsidR="00B61B09" w:rsidRPr="009308C9">
        <w:rPr>
          <w:lang w:val="en-GB"/>
        </w:rPr>
        <w:t xml:space="preserve">wever, the </w:t>
      </w:r>
      <w:r w:rsidR="002274A9" w:rsidRPr="009308C9">
        <w:rPr>
          <w:lang w:val="en-GB"/>
        </w:rPr>
        <w:t xml:space="preserve">high </w:t>
      </w:r>
      <w:r w:rsidR="00B61B09" w:rsidRPr="009308C9">
        <w:rPr>
          <w:lang w:val="en-GB"/>
        </w:rPr>
        <w:t>number of components</w:t>
      </w:r>
      <w:r w:rsidR="002274A9" w:rsidRPr="009308C9">
        <w:rPr>
          <w:lang w:val="en-GB"/>
        </w:rPr>
        <w:t>, the high boiling points of a large fraction</w:t>
      </w:r>
      <w:r w:rsidR="00105CA5" w:rsidRPr="009308C9">
        <w:rPr>
          <w:lang w:val="en-GB"/>
        </w:rPr>
        <w:t xml:space="preserve"> of the </w:t>
      </w:r>
      <w:r w:rsidR="00105CA5" w:rsidRPr="00C3254A">
        <w:rPr>
          <w:lang w:val="en-GB"/>
        </w:rPr>
        <w:t>bio</w:t>
      </w:r>
      <w:r w:rsidR="009029A8" w:rsidRPr="00C3254A">
        <w:rPr>
          <w:lang w:val="en-GB"/>
        </w:rPr>
        <w:t>-</w:t>
      </w:r>
      <w:r w:rsidR="00105CA5" w:rsidRPr="00C3254A">
        <w:rPr>
          <w:lang w:val="en-GB"/>
        </w:rPr>
        <w:t>crude</w:t>
      </w:r>
      <w:r w:rsidR="002274A9" w:rsidRPr="009308C9">
        <w:rPr>
          <w:lang w:val="en-GB"/>
        </w:rPr>
        <w:t xml:space="preserve">, </w:t>
      </w:r>
      <w:r w:rsidR="00105CA5" w:rsidRPr="009308C9">
        <w:rPr>
          <w:lang w:val="en-GB"/>
        </w:rPr>
        <w:t>as well as its</w:t>
      </w:r>
      <w:r w:rsidR="002274A9" w:rsidRPr="009308C9">
        <w:rPr>
          <w:lang w:val="en-GB"/>
        </w:rPr>
        <w:t xml:space="preserve"> </w:t>
      </w:r>
      <w:r w:rsidR="00105CA5" w:rsidRPr="009308C9">
        <w:rPr>
          <w:lang w:val="en-GB"/>
        </w:rPr>
        <w:t xml:space="preserve">high viscosity </w:t>
      </w:r>
      <w:r w:rsidR="00376E1E" w:rsidRPr="009308C9">
        <w:rPr>
          <w:lang w:val="en-GB"/>
        </w:rPr>
        <w:t xml:space="preserve">render </w:t>
      </w:r>
      <w:r w:rsidR="00105CA5" w:rsidRPr="009308C9">
        <w:rPr>
          <w:lang w:val="en-GB"/>
        </w:rPr>
        <w:t>the</w:t>
      </w:r>
      <w:r w:rsidR="002274A9" w:rsidRPr="009308C9">
        <w:rPr>
          <w:lang w:val="en-GB"/>
        </w:rPr>
        <w:t xml:space="preserve"> </w:t>
      </w:r>
      <w:r w:rsidR="00376E1E" w:rsidRPr="009308C9">
        <w:rPr>
          <w:lang w:val="en-GB"/>
        </w:rPr>
        <w:t xml:space="preserve">separation </w:t>
      </w:r>
      <w:r w:rsidR="002274A9" w:rsidRPr="009308C9">
        <w:rPr>
          <w:lang w:val="en-GB"/>
        </w:rPr>
        <w:t xml:space="preserve">into fractions </w:t>
      </w:r>
      <w:r w:rsidR="00376E1E" w:rsidRPr="009308C9">
        <w:rPr>
          <w:lang w:val="en-GB"/>
        </w:rPr>
        <w:t xml:space="preserve">a complicated task. </w:t>
      </w:r>
      <w:r w:rsidR="002274A9" w:rsidRPr="009308C9">
        <w:rPr>
          <w:lang w:val="en-GB"/>
        </w:rPr>
        <w:t>In particular, distillation needs very high temperatures even if operated under vacuum</w:t>
      </w:r>
      <w:r w:rsidR="00105CA5" w:rsidRPr="009308C9">
        <w:rPr>
          <w:lang w:val="en-GB"/>
        </w:rPr>
        <w:t>, and it is</w:t>
      </w:r>
      <w:r w:rsidR="002274A9" w:rsidRPr="009308C9">
        <w:rPr>
          <w:lang w:val="en-GB"/>
        </w:rPr>
        <w:t xml:space="preserve"> </w:t>
      </w:r>
      <w:r w:rsidR="006D3632" w:rsidRPr="009308C9">
        <w:rPr>
          <w:lang w:val="en-GB"/>
        </w:rPr>
        <w:t>thus</w:t>
      </w:r>
      <w:r w:rsidR="002274A9" w:rsidRPr="009308C9">
        <w:rPr>
          <w:lang w:val="en-GB"/>
        </w:rPr>
        <w:t xml:space="preserve"> characterized by high operating costs. In</w:t>
      </w:r>
      <w:r w:rsidR="002274A9" w:rsidRPr="00E04F0B">
        <w:rPr>
          <w:lang w:val="en-GB"/>
        </w:rPr>
        <w:t xml:space="preserve"> addition, the high temperature involved may lead to uncontrolled cracking reactions </w:t>
      </w:r>
      <w:r w:rsidR="00E04F0B" w:rsidRPr="00E04F0B">
        <w:rPr>
          <w:lang w:val="en-GB"/>
        </w:rPr>
        <w:t>resulting</w:t>
      </w:r>
      <w:r w:rsidR="002274A9" w:rsidRPr="00E04F0B">
        <w:rPr>
          <w:lang w:val="en-GB"/>
        </w:rPr>
        <w:t xml:space="preserve"> to equipment fouling. </w:t>
      </w:r>
      <w:r w:rsidR="00E04F0B" w:rsidRPr="00E04F0B">
        <w:rPr>
          <w:lang w:val="en-GB"/>
        </w:rPr>
        <w:t>C</w:t>
      </w:r>
      <w:r w:rsidR="002274A9" w:rsidRPr="00E04F0B">
        <w:rPr>
          <w:lang w:val="en-GB"/>
        </w:rPr>
        <w:t xml:space="preserve">onventional liquid-liquid extraction, which may have the </w:t>
      </w:r>
      <w:r w:rsidR="00F51720" w:rsidRPr="00E04F0B">
        <w:rPr>
          <w:lang w:val="en-GB"/>
        </w:rPr>
        <w:t>advantage</w:t>
      </w:r>
      <w:r w:rsidR="002274A9" w:rsidRPr="00E04F0B">
        <w:rPr>
          <w:lang w:val="en-GB"/>
        </w:rPr>
        <w:t xml:space="preserve"> of </w:t>
      </w:r>
      <w:r w:rsidR="00F51720" w:rsidRPr="00E04F0B">
        <w:rPr>
          <w:lang w:val="en-GB"/>
        </w:rPr>
        <w:t>viscosity</w:t>
      </w:r>
      <w:r w:rsidR="002274A9" w:rsidRPr="00E04F0B">
        <w:rPr>
          <w:lang w:val="en-GB"/>
        </w:rPr>
        <w:t xml:space="preserve"> reduction induced by the solvent </w:t>
      </w:r>
      <w:r w:rsidR="00F51720" w:rsidRPr="00E04F0B">
        <w:rPr>
          <w:lang w:val="en-GB"/>
        </w:rPr>
        <w:t>dissolution</w:t>
      </w:r>
      <w:r w:rsidR="002274A9" w:rsidRPr="00E04F0B">
        <w:rPr>
          <w:lang w:val="en-GB"/>
        </w:rPr>
        <w:t xml:space="preserve"> in the oil, has the disadvantage of requiring the use of organic solv</w:t>
      </w:r>
      <w:r w:rsidR="00105CA5">
        <w:rPr>
          <w:lang w:val="en-GB"/>
        </w:rPr>
        <w:t xml:space="preserve">ents, which are often </w:t>
      </w:r>
      <w:r w:rsidR="00105CA5" w:rsidRPr="009308C9">
        <w:rPr>
          <w:lang w:val="en-GB"/>
        </w:rPr>
        <w:t>petroleum-</w:t>
      </w:r>
      <w:r w:rsidR="002274A9" w:rsidRPr="009308C9">
        <w:rPr>
          <w:lang w:val="en-GB"/>
        </w:rPr>
        <w:t xml:space="preserve">derived, that need to be regenerated by distillation </w:t>
      </w:r>
      <w:r w:rsidR="00BE5A3E" w:rsidRPr="009308C9">
        <w:rPr>
          <w:lang w:val="en-GB"/>
        </w:rPr>
        <w:t>(</w:t>
      </w:r>
      <w:r w:rsidR="007D5D3C" w:rsidRPr="009308C9">
        <w:rPr>
          <w:lang w:val="en-GB"/>
        </w:rPr>
        <w:t>Maqbool et al.</w:t>
      </w:r>
      <w:r w:rsidR="00BE5A3E" w:rsidRPr="009308C9">
        <w:rPr>
          <w:lang w:val="en-GB"/>
        </w:rPr>
        <w:t>, 2017).</w:t>
      </w:r>
      <w:r w:rsidR="00BE5A3E" w:rsidRPr="00E04F0B">
        <w:rPr>
          <w:lang w:val="en-GB"/>
        </w:rPr>
        <w:t xml:space="preserve"> </w:t>
      </w:r>
    </w:p>
    <w:p w14:paraId="4421E617" w14:textId="273BD5EB" w:rsidR="00BE5A3E" w:rsidRDefault="003D762F" w:rsidP="006548FD">
      <w:pPr>
        <w:pStyle w:val="CETBodytext"/>
        <w:rPr>
          <w:lang w:val="en-GB"/>
        </w:rPr>
      </w:pPr>
      <w:r w:rsidRPr="00105CA5">
        <w:rPr>
          <w:lang w:val="en-GB"/>
        </w:rPr>
        <w:lastRenderedPageBreak/>
        <w:t>As typical when dealing with high boiling</w:t>
      </w:r>
      <w:r w:rsidR="00A67C17" w:rsidRPr="00105CA5">
        <w:rPr>
          <w:lang w:val="en-GB"/>
        </w:rPr>
        <w:t xml:space="preserve"> </w:t>
      </w:r>
      <w:r w:rsidRPr="00105CA5">
        <w:rPr>
          <w:lang w:val="en-GB"/>
        </w:rPr>
        <w:t>point and viscous</w:t>
      </w:r>
      <w:r w:rsidRPr="00311BD7">
        <w:rPr>
          <w:lang w:val="en-GB"/>
        </w:rPr>
        <w:t xml:space="preserve"> liquid feeds to be separated, the extraction by means of s</w:t>
      </w:r>
      <w:r w:rsidR="00BE5A3E" w:rsidRPr="00311BD7">
        <w:rPr>
          <w:lang w:val="en-GB"/>
        </w:rPr>
        <w:t xml:space="preserve">upercritical carbon dioxide </w:t>
      </w:r>
      <w:r w:rsidR="00BE5A3E" w:rsidRPr="00311BD7">
        <w:rPr>
          <w:noProof/>
        </w:rPr>
        <w:t>(sCO</w:t>
      </w:r>
      <w:r w:rsidR="00BE5A3E" w:rsidRPr="00311BD7">
        <w:rPr>
          <w:noProof/>
          <w:vertAlign w:val="subscript"/>
        </w:rPr>
        <w:t>2</w:t>
      </w:r>
      <w:r w:rsidR="00BE5A3E" w:rsidRPr="00311BD7">
        <w:rPr>
          <w:noProof/>
        </w:rPr>
        <w:t>)</w:t>
      </w:r>
      <w:r w:rsidRPr="00311BD7">
        <w:rPr>
          <w:noProof/>
        </w:rPr>
        <w:t xml:space="preserve"> is an environmentally friendly</w:t>
      </w:r>
      <w:r w:rsidR="00F51720" w:rsidRPr="00311BD7">
        <w:rPr>
          <w:noProof/>
        </w:rPr>
        <w:t xml:space="preserve"> process with the potential of competing</w:t>
      </w:r>
      <w:r w:rsidRPr="00311BD7">
        <w:rPr>
          <w:noProof/>
        </w:rPr>
        <w:t xml:space="preserve"> with conventional separation processes. In the case of pyrolysis lignocellulosic oils, the possibility of producing </w:t>
      </w:r>
      <w:r w:rsidRPr="009308C9">
        <w:rPr>
          <w:noProof/>
        </w:rPr>
        <w:t xml:space="preserve">extracts enriched in </w:t>
      </w:r>
      <w:r w:rsidR="001D254D" w:rsidRPr="009308C9">
        <w:rPr>
          <w:noProof/>
        </w:rPr>
        <w:t>valuable components</w:t>
      </w:r>
      <w:r w:rsidR="00105CA5" w:rsidRPr="009308C9">
        <w:rPr>
          <w:noProof/>
        </w:rPr>
        <w:t>,</w:t>
      </w:r>
      <w:r w:rsidR="001D254D" w:rsidRPr="009308C9">
        <w:rPr>
          <w:noProof/>
        </w:rPr>
        <w:t xml:space="preserve"> such as phenolics, ketones and acids</w:t>
      </w:r>
      <w:r w:rsidR="002F423F" w:rsidRPr="009308C9">
        <w:rPr>
          <w:noProof/>
        </w:rPr>
        <w:t xml:space="preserve">, </w:t>
      </w:r>
      <w:r w:rsidRPr="009308C9">
        <w:rPr>
          <w:noProof/>
        </w:rPr>
        <w:t xml:space="preserve">was shown </w:t>
      </w:r>
      <w:r w:rsidR="001D254D" w:rsidRPr="009308C9">
        <w:rPr>
          <w:noProof/>
        </w:rPr>
        <w:t>(Feng and Meier,</w:t>
      </w:r>
      <w:r w:rsidR="001D254D" w:rsidRPr="00311BD7">
        <w:rPr>
          <w:noProof/>
        </w:rPr>
        <w:t xml:space="preserve"> 2017).</w:t>
      </w:r>
      <w:r w:rsidR="00BE5A3E" w:rsidRPr="00311BD7">
        <w:rPr>
          <w:noProof/>
        </w:rPr>
        <w:t xml:space="preserve"> In addition, Feng and Meier (2017) observed that relatively high temperatures (e.g. </w:t>
      </w:r>
      <w:r w:rsidR="001D254D" w:rsidRPr="00311BD7">
        <w:rPr>
          <w:noProof/>
        </w:rPr>
        <w:t xml:space="preserve">80 </w:t>
      </w:r>
      <w:r w:rsidR="001D254D" w:rsidRPr="00311BD7">
        <w:rPr>
          <w:rFonts w:cs="Arial"/>
          <w:noProof/>
        </w:rPr>
        <w:t>º</w:t>
      </w:r>
      <w:r w:rsidR="001D254D" w:rsidRPr="00311BD7">
        <w:rPr>
          <w:noProof/>
        </w:rPr>
        <w:t>C</w:t>
      </w:r>
      <w:r w:rsidR="00BE5A3E" w:rsidRPr="00311BD7">
        <w:rPr>
          <w:noProof/>
        </w:rPr>
        <w:t>) enhances the extraction efficiency, especially when combined with high CO</w:t>
      </w:r>
      <w:r w:rsidR="00BE5A3E" w:rsidRPr="00311BD7">
        <w:rPr>
          <w:noProof/>
          <w:vertAlign w:val="subscript"/>
        </w:rPr>
        <w:t>2</w:t>
      </w:r>
      <w:r w:rsidR="00BE5A3E" w:rsidRPr="00311BD7">
        <w:rPr>
          <w:noProof/>
        </w:rPr>
        <w:t xml:space="preserve"> density</w:t>
      </w:r>
      <w:r w:rsidR="00405367">
        <w:rPr>
          <w:noProof/>
        </w:rPr>
        <w:t xml:space="preserve">. </w:t>
      </w:r>
      <w:r w:rsidR="00C3254A">
        <w:rPr>
          <w:noProof/>
        </w:rPr>
        <w:t>In a</w:t>
      </w:r>
      <w:r w:rsidR="00C3254A" w:rsidRPr="00C3254A">
        <w:rPr>
          <w:noProof/>
        </w:rPr>
        <w:t xml:space="preserve"> p</w:t>
      </w:r>
      <w:r w:rsidR="00405367" w:rsidRPr="00C3254A">
        <w:rPr>
          <w:noProof/>
        </w:rPr>
        <w:t>revious work</w:t>
      </w:r>
      <w:r w:rsidRPr="00C3254A">
        <w:rPr>
          <w:noProof/>
        </w:rPr>
        <w:t>,</w:t>
      </w:r>
      <w:r w:rsidRPr="00311BD7">
        <w:rPr>
          <w:noProof/>
        </w:rPr>
        <w:t xml:space="preserve"> carried out at </w:t>
      </w:r>
      <w:r w:rsidR="00BE5A3E" w:rsidRPr="00311BD7">
        <w:rPr>
          <w:noProof/>
        </w:rPr>
        <w:t>Aalborg University</w:t>
      </w:r>
      <w:r w:rsidR="00E0362A" w:rsidRPr="00311BD7">
        <w:rPr>
          <w:noProof/>
        </w:rPr>
        <w:t xml:space="preserve"> and</w:t>
      </w:r>
      <w:r w:rsidR="0042602D" w:rsidRPr="00311BD7">
        <w:rPr>
          <w:noProof/>
        </w:rPr>
        <w:t xml:space="preserve"> focused on HTL </w:t>
      </w:r>
      <w:r w:rsidR="00513229">
        <w:rPr>
          <w:noProof/>
        </w:rPr>
        <w:t xml:space="preserve">lignocellulosic </w:t>
      </w:r>
      <w:r w:rsidR="0042602D" w:rsidRPr="00311BD7">
        <w:rPr>
          <w:noProof/>
        </w:rPr>
        <w:t>bio-crude</w:t>
      </w:r>
      <w:r w:rsidR="001D254D" w:rsidRPr="00311BD7">
        <w:rPr>
          <w:noProof/>
        </w:rPr>
        <w:t>,</w:t>
      </w:r>
      <w:r w:rsidR="00BE5A3E" w:rsidRPr="00311BD7">
        <w:rPr>
          <w:noProof/>
        </w:rPr>
        <w:t xml:space="preserve"> </w:t>
      </w:r>
      <w:r w:rsidR="00C3254A">
        <w:rPr>
          <w:noProof/>
        </w:rPr>
        <w:t>t</w:t>
      </w:r>
      <w:r w:rsidR="00BE5A3E" w:rsidRPr="009308C9">
        <w:rPr>
          <w:noProof/>
        </w:rPr>
        <w:t>he</w:t>
      </w:r>
      <w:r w:rsidR="00EE7D49" w:rsidRPr="009308C9">
        <w:rPr>
          <w:noProof/>
        </w:rPr>
        <w:t xml:space="preserve"> positive</w:t>
      </w:r>
      <w:r w:rsidR="00BE5A3E" w:rsidRPr="009308C9">
        <w:rPr>
          <w:noProof/>
        </w:rPr>
        <w:t xml:space="preserve"> </w:t>
      </w:r>
      <w:r w:rsidR="0042602D" w:rsidRPr="009308C9">
        <w:rPr>
          <w:noProof/>
        </w:rPr>
        <w:t>effect</w:t>
      </w:r>
      <w:r w:rsidR="00BE5A3E" w:rsidRPr="009308C9">
        <w:rPr>
          <w:noProof/>
        </w:rPr>
        <w:t xml:space="preserve"> </w:t>
      </w:r>
      <w:r w:rsidRPr="009308C9">
        <w:rPr>
          <w:noProof/>
        </w:rPr>
        <w:t xml:space="preserve">of the </w:t>
      </w:r>
      <w:r w:rsidR="00BE5A3E" w:rsidRPr="009308C9">
        <w:rPr>
          <w:noProof/>
        </w:rPr>
        <w:t>extraction temperature</w:t>
      </w:r>
      <w:r w:rsidR="0042602D" w:rsidRPr="009308C9">
        <w:rPr>
          <w:noProof/>
        </w:rPr>
        <w:t xml:space="preserve"> </w:t>
      </w:r>
      <w:r w:rsidRPr="009308C9">
        <w:rPr>
          <w:noProof/>
        </w:rPr>
        <w:t>on the process operability and efficiency for these t</w:t>
      </w:r>
      <w:r w:rsidR="0042602D" w:rsidRPr="009308C9">
        <w:rPr>
          <w:noProof/>
        </w:rPr>
        <w:t xml:space="preserve">ypes of </w:t>
      </w:r>
      <w:r w:rsidR="009308C9" w:rsidRPr="009308C9">
        <w:rPr>
          <w:noProof/>
        </w:rPr>
        <w:t>feed</w:t>
      </w:r>
      <w:r w:rsidR="00C3254A">
        <w:rPr>
          <w:noProof/>
        </w:rPr>
        <w:t xml:space="preserve"> was highlighted</w:t>
      </w:r>
      <w:r w:rsidR="00513229" w:rsidRPr="009308C9">
        <w:rPr>
          <w:noProof/>
        </w:rPr>
        <w:t>. As a matter of fact</w:t>
      </w:r>
      <w:r w:rsidR="0042602D" w:rsidRPr="009308C9">
        <w:rPr>
          <w:noProof/>
        </w:rPr>
        <w:t>,</w:t>
      </w:r>
      <w:r w:rsidR="00513229" w:rsidRPr="009308C9">
        <w:rPr>
          <w:noProof/>
        </w:rPr>
        <w:t xml:space="preserve"> process operability and the extraction efficiency</w:t>
      </w:r>
      <w:r w:rsidR="0042602D" w:rsidRPr="009308C9">
        <w:rPr>
          <w:noProof/>
        </w:rPr>
        <w:t xml:space="preserve"> </w:t>
      </w:r>
      <w:r w:rsidR="00513229" w:rsidRPr="009308C9">
        <w:rPr>
          <w:noProof/>
        </w:rPr>
        <w:t>w</w:t>
      </w:r>
      <w:r w:rsidRPr="009308C9">
        <w:rPr>
          <w:noProof/>
        </w:rPr>
        <w:t>ere</w:t>
      </w:r>
      <w:r w:rsidR="00BE5A3E" w:rsidRPr="009308C9">
        <w:rPr>
          <w:noProof/>
        </w:rPr>
        <w:t xml:space="preserve"> dramatically</w:t>
      </w:r>
      <w:r w:rsidRPr="009308C9">
        <w:rPr>
          <w:noProof/>
        </w:rPr>
        <w:t xml:space="preserve"> enhanced </w:t>
      </w:r>
      <w:r w:rsidR="00BE5A3E" w:rsidRPr="009308C9">
        <w:rPr>
          <w:noProof/>
        </w:rPr>
        <w:t>for extraction temperature</w:t>
      </w:r>
      <w:r w:rsidR="00513229" w:rsidRPr="009308C9">
        <w:rPr>
          <w:noProof/>
        </w:rPr>
        <w:t>s</w:t>
      </w:r>
      <w:r w:rsidR="00BE5A3E" w:rsidRPr="009308C9">
        <w:rPr>
          <w:noProof/>
        </w:rPr>
        <w:t xml:space="preserve"> increasing from 40 to 120 </w:t>
      </w:r>
      <w:r w:rsidR="00E0362A" w:rsidRPr="009308C9">
        <w:rPr>
          <w:rFonts w:cs="Arial"/>
          <w:noProof/>
        </w:rPr>
        <w:t>º</w:t>
      </w:r>
      <w:r w:rsidR="00AE17D9" w:rsidRPr="009308C9">
        <w:rPr>
          <w:noProof/>
        </w:rPr>
        <w:t>C</w:t>
      </w:r>
      <w:r w:rsidR="00405367">
        <w:rPr>
          <w:noProof/>
        </w:rPr>
        <w:t xml:space="preserve"> </w:t>
      </w:r>
      <w:r w:rsidR="00405367" w:rsidRPr="00C3254A">
        <w:rPr>
          <w:noProof/>
        </w:rPr>
        <w:t>(Montesantos et al., 2019)</w:t>
      </w:r>
      <w:r w:rsidRPr="00C3254A">
        <w:rPr>
          <w:noProof/>
        </w:rPr>
        <w:t>.</w:t>
      </w:r>
      <w:r w:rsidRPr="009308C9">
        <w:rPr>
          <w:noProof/>
        </w:rPr>
        <w:t xml:space="preserve"> In line with the</w:t>
      </w:r>
      <w:r w:rsidR="00513229" w:rsidRPr="009308C9">
        <w:rPr>
          <w:noProof/>
        </w:rPr>
        <w:t>se</w:t>
      </w:r>
      <w:r w:rsidRPr="009308C9">
        <w:rPr>
          <w:noProof/>
        </w:rPr>
        <w:t xml:space="preserve"> preliminary findings, t</w:t>
      </w:r>
      <w:r w:rsidR="00BE5A3E" w:rsidRPr="009308C9">
        <w:rPr>
          <w:noProof/>
        </w:rPr>
        <w:t xml:space="preserve">he aim of this work is to </w:t>
      </w:r>
      <w:r w:rsidRPr="009308C9">
        <w:rPr>
          <w:noProof/>
        </w:rPr>
        <w:t>i</w:t>
      </w:r>
      <w:r w:rsidR="0042602D" w:rsidRPr="009308C9">
        <w:rPr>
          <w:noProof/>
        </w:rPr>
        <w:t>nvestigate the potential</w:t>
      </w:r>
      <w:r w:rsidR="00BE5A3E" w:rsidRPr="009308C9">
        <w:rPr>
          <w:noProof/>
        </w:rPr>
        <w:t xml:space="preserve"> of sCO</w:t>
      </w:r>
      <w:r w:rsidR="00BE5A3E" w:rsidRPr="009308C9">
        <w:rPr>
          <w:noProof/>
          <w:vertAlign w:val="subscript"/>
        </w:rPr>
        <w:t>2</w:t>
      </w:r>
      <w:r w:rsidR="00BE5A3E" w:rsidRPr="009308C9">
        <w:rPr>
          <w:noProof/>
        </w:rPr>
        <w:t xml:space="preserve"> extraction of HTL </w:t>
      </w:r>
      <w:r w:rsidR="00513229" w:rsidRPr="009308C9">
        <w:rPr>
          <w:noProof/>
        </w:rPr>
        <w:t xml:space="preserve">lignocellulosic </w:t>
      </w:r>
      <w:r w:rsidR="00BE5A3E" w:rsidRPr="009308C9">
        <w:rPr>
          <w:noProof/>
        </w:rPr>
        <w:t xml:space="preserve">bio-crude </w:t>
      </w:r>
      <w:r w:rsidRPr="009308C9">
        <w:rPr>
          <w:noProof/>
        </w:rPr>
        <w:t>a</w:t>
      </w:r>
      <w:r w:rsidR="00BE5A3E" w:rsidRPr="009308C9">
        <w:rPr>
          <w:noProof/>
        </w:rPr>
        <w:t xml:space="preserve">t </w:t>
      </w:r>
      <w:r w:rsidRPr="009308C9">
        <w:rPr>
          <w:noProof/>
        </w:rPr>
        <w:t xml:space="preserve">120 </w:t>
      </w:r>
      <w:r w:rsidRPr="009308C9">
        <w:rPr>
          <w:rFonts w:cs="Arial"/>
          <w:noProof/>
        </w:rPr>
        <w:t>º</w:t>
      </w:r>
      <w:r w:rsidRPr="009308C9">
        <w:rPr>
          <w:noProof/>
        </w:rPr>
        <w:t>C</w:t>
      </w:r>
      <w:r w:rsidR="00BE5A3E" w:rsidRPr="009308C9">
        <w:rPr>
          <w:noProof/>
        </w:rPr>
        <w:t>, for different pressure</w:t>
      </w:r>
      <w:r w:rsidR="0042602D" w:rsidRPr="009308C9">
        <w:rPr>
          <w:noProof/>
        </w:rPr>
        <w:t>s</w:t>
      </w:r>
      <w:r w:rsidR="00BE5A3E" w:rsidRPr="009308C9">
        <w:rPr>
          <w:noProof/>
        </w:rPr>
        <w:t>.</w:t>
      </w:r>
    </w:p>
    <w:p w14:paraId="1CA60C8D" w14:textId="77777777" w:rsidR="00A67036" w:rsidRPr="00EC2249" w:rsidRDefault="00A67036" w:rsidP="00A67036">
      <w:pPr>
        <w:pStyle w:val="CETHeading1"/>
        <w:rPr>
          <w:lang w:val="en-GB"/>
        </w:rPr>
      </w:pPr>
      <w:r w:rsidRPr="00EC2249">
        <w:rPr>
          <w:lang w:val="en-GB"/>
        </w:rPr>
        <w:t>Materials and methods</w:t>
      </w:r>
    </w:p>
    <w:p w14:paraId="293C3472" w14:textId="77777777" w:rsidR="00A67036" w:rsidRPr="00EC2249" w:rsidRDefault="00A67036" w:rsidP="00A67036">
      <w:pPr>
        <w:pStyle w:val="CETheadingx"/>
        <w:rPr>
          <w:lang w:val="en-GB"/>
        </w:rPr>
      </w:pPr>
      <w:r w:rsidRPr="00EC2249">
        <w:rPr>
          <w:lang w:val="en-GB"/>
        </w:rPr>
        <w:t xml:space="preserve">Feed and chemicals </w:t>
      </w:r>
    </w:p>
    <w:p w14:paraId="05B4CE3D" w14:textId="69AF089E" w:rsidR="00B1663F" w:rsidRPr="00EC2249" w:rsidRDefault="00A67036" w:rsidP="006548FD">
      <w:pPr>
        <w:pStyle w:val="CETBodytext"/>
        <w:rPr>
          <w:lang w:val="en-GB"/>
        </w:rPr>
      </w:pPr>
      <w:r w:rsidRPr="00EC2249">
        <w:rPr>
          <w:lang w:val="en-GB"/>
        </w:rPr>
        <w:t xml:space="preserve">The </w:t>
      </w:r>
      <w:r w:rsidR="00615F4E" w:rsidRPr="00EC2249">
        <w:rPr>
          <w:lang w:val="en-GB"/>
        </w:rPr>
        <w:t>bio-crude</w:t>
      </w:r>
      <w:r w:rsidRPr="00EC2249">
        <w:rPr>
          <w:lang w:val="en-GB"/>
        </w:rPr>
        <w:t xml:space="preserve"> used in this work was produced by</w:t>
      </w:r>
      <w:r w:rsidR="004D114C" w:rsidRPr="00EC2249">
        <w:rPr>
          <w:lang w:val="en-GB"/>
        </w:rPr>
        <w:t xml:space="preserve"> </w:t>
      </w:r>
      <w:r w:rsidR="0042602D">
        <w:rPr>
          <w:lang w:val="en-GB"/>
        </w:rPr>
        <w:t>HTL</w:t>
      </w:r>
      <w:r w:rsidRPr="00EC2249">
        <w:rPr>
          <w:lang w:val="en-GB"/>
        </w:rPr>
        <w:t xml:space="preserve"> of pinewood, in a pilot unit</w:t>
      </w:r>
      <w:r w:rsidR="00E0362A">
        <w:rPr>
          <w:lang w:val="en-GB"/>
        </w:rPr>
        <w:t xml:space="preserve"> located at Aalborg University </w:t>
      </w:r>
      <w:r w:rsidR="0042602D" w:rsidRPr="00EC2249">
        <w:rPr>
          <w:lang w:val="en-GB"/>
        </w:rPr>
        <w:t>(Pedersen et al., 2016)</w:t>
      </w:r>
      <w:r w:rsidR="00EC4E40" w:rsidRPr="00EC2249">
        <w:rPr>
          <w:lang w:val="en-GB"/>
        </w:rPr>
        <w:t>.</w:t>
      </w:r>
      <w:r w:rsidRPr="00EC2249">
        <w:rPr>
          <w:lang w:val="en-GB"/>
        </w:rPr>
        <w:t xml:space="preserve"> The</w:t>
      </w:r>
      <w:r w:rsidR="005504B8">
        <w:rPr>
          <w:lang w:val="en-GB"/>
        </w:rPr>
        <w:t xml:space="preserve"> HTL </w:t>
      </w:r>
      <w:r w:rsidR="005504B8" w:rsidRPr="00F51720">
        <w:rPr>
          <w:lang w:val="en-GB"/>
        </w:rPr>
        <w:t>product</w:t>
      </w:r>
      <w:r w:rsidRPr="00EC2249">
        <w:rPr>
          <w:lang w:val="en-GB"/>
        </w:rPr>
        <w:t xml:space="preserve"> was demineralized and dehydra</w:t>
      </w:r>
      <w:r w:rsidR="00425486" w:rsidRPr="00EC2249">
        <w:rPr>
          <w:lang w:val="en-GB"/>
        </w:rPr>
        <w:t xml:space="preserve">ted as </w:t>
      </w:r>
      <w:r w:rsidR="00EC4E40" w:rsidRPr="00EC2249">
        <w:rPr>
          <w:lang w:val="en-GB"/>
        </w:rPr>
        <w:t>described by Jensen (2018).</w:t>
      </w:r>
      <w:r w:rsidRPr="00EC2249">
        <w:rPr>
          <w:lang w:val="en-GB"/>
        </w:rPr>
        <w:t xml:space="preserve"> The final </w:t>
      </w:r>
      <w:r w:rsidR="00513229">
        <w:rPr>
          <w:lang w:val="en-GB"/>
        </w:rPr>
        <w:t xml:space="preserve">feed </w:t>
      </w:r>
      <w:r w:rsidR="005504B8">
        <w:rPr>
          <w:lang w:val="en-GB"/>
        </w:rPr>
        <w:t>bio-crude</w:t>
      </w:r>
      <w:r w:rsidR="00513229">
        <w:rPr>
          <w:lang w:val="en-GB"/>
        </w:rPr>
        <w:t xml:space="preserve"> </w:t>
      </w:r>
      <w:r w:rsidRPr="00EC2249">
        <w:rPr>
          <w:lang w:val="en-GB"/>
        </w:rPr>
        <w:t>used for the sCO</w:t>
      </w:r>
      <w:r w:rsidRPr="004B28E8">
        <w:rPr>
          <w:vertAlign w:val="subscript"/>
          <w:lang w:val="en-GB"/>
        </w:rPr>
        <w:t>2</w:t>
      </w:r>
      <w:r w:rsidRPr="00EC2249">
        <w:rPr>
          <w:lang w:val="en-GB"/>
        </w:rPr>
        <w:t xml:space="preserve"> extractions was</w:t>
      </w:r>
      <w:r w:rsidR="00EC4E40" w:rsidRPr="00EC2249">
        <w:rPr>
          <w:lang w:val="en-GB"/>
        </w:rPr>
        <w:t xml:space="preserve"> a</w:t>
      </w:r>
      <w:r w:rsidRPr="00EC2249">
        <w:rPr>
          <w:lang w:val="en-GB"/>
        </w:rPr>
        <w:t xml:space="preserve"> black</w:t>
      </w:r>
      <w:r w:rsidR="00EC4E40" w:rsidRPr="00EC2249">
        <w:rPr>
          <w:lang w:val="en-GB"/>
        </w:rPr>
        <w:t xml:space="preserve"> highly viscous</w:t>
      </w:r>
      <w:r w:rsidR="00425486" w:rsidRPr="00EC2249">
        <w:rPr>
          <w:lang w:val="en-GB"/>
        </w:rPr>
        <w:t xml:space="preserve"> liquid</w:t>
      </w:r>
      <w:r w:rsidR="00A17044" w:rsidRPr="00EC2249">
        <w:rPr>
          <w:lang w:val="en-GB"/>
        </w:rPr>
        <w:t xml:space="preserve"> (Figure 1a).</w:t>
      </w:r>
      <w:r w:rsidR="00A53E25">
        <w:rPr>
          <w:lang w:val="en-GB"/>
        </w:rPr>
        <w:t xml:space="preserve"> </w:t>
      </w:r>
    </w:p>
    <w:p w14:paraId="04589EF4" w14:textId="77777777" w:rsidR="004D114C" w:rsidRPr="00EC2249" w:rsidRDefault="004D114C" w:rsidP="00B1663F">
      <w:pPr>
        <w:pStyle w:val="CETBodytext"/>
        <w:rPr>
          <w:lang w:val="en-GB"/>
        </w:rPr>
      </w:pPr>
    </w:p>
    <w:p w14:paraId="56D6B13C" w14:textId="77777777" w:rsidR="003B06B6" w:rsidRPr="00EC2249" w:rsidRDefault="003B06B6" w:rsidP="003B06B6">
      <w:pPr>
        <w:pStyle w:val="CETBodytext"/>
        <w:keepNext/>
        <w:jc w:val="left"/>
        <w:rPr>
          <w:lang w:val="en-GB"/>
        </w:rPr>
      </w:pPr>
      <w:r w:rsidRPr="00EC2249">
        <w:rPr>
          <w:noProof/>
        </w:rPr>
        <w:drawing>
          <wp:inline distT="0" distB="0" distL="0" distR="0" wp14:anchorId="4F24E864" wp14:editId="55F41EFE">
            <wp:extent cx="3446158" cy="1228471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1" b="2894"/>
                    <a:stretch/>
                  </pic:blipFill>
                  <pic:spPr bwMode="auto">
                    <a:xfrm>
                      <a:off x="0" y="0"/>
                      <a:ext cx="3544642" cy="1263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5A264A" w14:textId="3114583C" w:rsidR="003B06B6" w:rsidRPr="00EC2249" w:rsidRDefault="003B06B6" w:rsidP="00B1663F">
      <w:pPr>
        <w:pStyle w:val="CETCaption"/>
      </w:pPr>
      <w:r w:rsidRPr="00F51720">
        <w:t xml:space="preserve">Figure </w:t>
      </w:r>
      <w:r w:rsidRPr="00F51720">
        <w:fldChar w:fldCharType="begin"/>
      </w:r>
      <w:r w:rsidRPr="00F51720">
        <w:instrText xml:space="preserve"> SEQ Figure \* ARABIC </w:instrText>
      </w:r>
      <w:r w:rsidRPr="00F51720">
        <w:fldChar w:fldCharType="separate"/>
      </w:r>
      <w:r w:rsidR="00E22401">
        <w:rPr>
          <w:noProof/>
        </w:rPr>
        <w:t>1</w:t>
      </w:r>
      <w:r w:rsidRPr="00F51720">
        <w:fldChar w:fldCharType="end"/>
      </w:r>
      <w:r w:rsidRPr="00F51720">
        <w:t xml:space="preserve">: </w:t>
      </w:r>
      <w:r w:rsidR="00B1663F" w:rsidRPr="00F51720">
        <w:t xml:space="preserve">a) </w:t>
      </w:r>
      <w:r w:rsidR="00EE7D49" w:rsidRPr="00F51720">
        <w:t>Bio-crude</w:t>
      </w:r>
      <w:r w:rsidRPr="00F51720">
        <w:t xml:space="preserve">, </w:t>
      </w:r>
      <w:r w:rsidR="00B1663F" w:rsidRPr="00F51720">
        <w:t>b) E</w:t>
      </w:r>
      <w:r w:rsidRPr="00F51720">
        <w:t>xtracts</w:t>
      </w:r>
      <w:r w:rsidR="00B04F03" w:rsidRPr="00F51720">
        <w:t xml:space="preserve"> </w:t>
      </w:r>
      <w:r w:rsidR="003D762F" w:rsidRPr="00F51720">
        <w:t>(y</w:t>
      </w:r>
      <w:r w:rsidR="00B04F03" w:rsidRPr="00F51720">
        <w:t>ield 34 %)</w:t>
      </w:r>
      <w:r w:rsidRPr="00F51720">
        <w:t xml:space="preserve"> and</w:t>
      </w:r>
      <w:r w:rsidR="00B1663F" w:rsidRPr="00F51720">
        <w:t xml:space="preserve"> c) residue</w:t>
      </w:r>
      <w:r w:rsidR="003D762F" w:rsidRPr="00F51720">
        <w:t>. Experimental run</w:t>
      </w:r>
      <w:r w:rsidR="00B1663F" w:rsidRPr="00F51720">
        <w:t xml:space="preserve"> at 120 </w:t>
      </w:r>
      <w:r w:rsidR="00B1663F" w:rsidRPr="00F51720">
        <w:rPr>
          <w:rFonts w:cs="Arial"/>
        </w:rPr>
        <w:t>º</w:t>
      </w:r>
      <w:r w:rsidR="003D762F" w:rsidRPr="00F51720">
        <w:t>C and</w:t>
      </w:r>
      <w:r w:rsidR="00B1663F" w:rsidRPr="00F51720">
        <w:t xml:space="preserve"> 247 bar</w:t>
      </w:r>
      <w:r w:rsidR="00B04F03" w:rsidRPr="00F51720">
        <w:t>.</w:t>
      </w:r>
    </w:p>
    <w:p w14:paraId="6E7B900A" w14:textId="6F4A8B54" w:rsidR="00A67036" w:rsidRPr="00EC2249" w:rsidRDefault="00B1663F" w:rsidP="006548FD">
      <w:pPr>
        <w:pStyle w:val="CETBodytext"/>
        <w:rPr>
          <w:lang w:val="en-GB"/>
        </w:rPr>
      </w:pPr>
      <w:r w:rsidRPr="00EC2249">
        <w:rPr>
          <w:lang w:val="en-GB"/>
        </w:rPr>
        <w:t>C</w:t>
      </w:r>
      <w:r w:rsidR="00A67036" w:rsidRPr="00EC2249">
        <w:rPr>
          <w:lang w:val="en-GB"/>
        </w:rPr>
        <w:t>arbon dioxide (CO</w:t>
      </w:r>
      <w:r w:rsidR="00A67036" w:rsidRPr="004B28E8">
        <w:rPr>
          <w:vertAlign w:val="subscript"/>
          <w:lang w:val="en-GB"/>
        </w:rPr>
        <w:t>2</w:t>
      </w:r>
      <w:r w:rsidR="00A67036" w:rsidRPr="00EC2249">
        <w:rPr>
          <w:lang w:val="en-GB"/>
        </w:rPr>
        <w:t>, 99.8</w:t>
      </w:r>
      <w:r w:rsidR="0012798C">
        <w:rPr>
          <w:lang w:val="en-GB"/>
        </w:rPr>
        <w:t xml:space="preserve"> </w:t>
      </w:r>
      <w:r w:rsidR="00A67036" w:rsidRPr="00EC2249">
        <w:rPr>
          <w:lang w:val="en-GB"/>
        </w:rPr>
        <w:t>%) from AGA was use</w:t>
      </w:r>
      <w:r w:rsidR="004B28E8">
        <w:rPr>
          <w:lang w:val="en-GB"/>
        </w:rPr>
        <w:t>d</w:t>
      </w:r>
      <w:r w:rsidR="00A67036" w:rsidRPr="00EC2249">
        <w:rPr>
          <w:lang w:val="en-GB"/>
        </w:rPr>
        <w:t xml:space="preserve"> for the extractions. Tet</w:t>
      </w:r>
      <w:r w:rsidR="004B28E8">
        <w:rPr>
          <w:lang w:val="en-GB"/>
        </w:rPr>
        <w:t>rahydrofuran (THF, 99</w:t>
      </w:r>
      <w:r w:rsidR="0012798C">
        <w:rPr>
          <w:lang w:val="en-GB"/>
        </w:rPr>
        <w:t xml:space="preserve"> </w:t>
      </w:r>
      <w:r w:rsidR="004B28E8">
        <w:rPr>
          <w:lang w:val="en-GB"/>
        </w:rPr>
        <w:t>%)</w:t>
      </w:r>
      <w:r w:rsidR="00826FFE" w:rsidRPr="00EC2249">
        <w:rPr>
          <w:lang w:val="en-GB"/>
        </w:rPr>
        <w:t>, methyl ethyl ketone (MEK, 99</w:t>
      </w:r>
      <w:r w:rsidR="0012798C">
        <w:rPr>
          <w:lang w:val="en-GB"/>
        </w:rPr>
        <w:t xml:space="preserve"> </w:t>
      </w:r>
      <w:r w:rsidR="00826FFE" w:rsidRPr="00EC2249">
        <w:rPr>
          <w:lang w:val="en-GB"/>
        </w:rPr>
        <w:t>%) and methyl isobutyl ketone (MIBK, 99</w:t>
      </w:r>
      <w:r w:rsidR="0012798C">
        <w:rPr>
          <w:lang w:val="en-GB"/>
        </w:rPr>
        <w:t xml:space="preserve"> </w:t>
      </w:r>
      <w:r w:rsidR="00826FFE" w:rsidRPr="00EC2249">
        <w:rPr>
          <w:lang w:val="en-GB"/>
        </w:rPr>
        <w:t xml:space="preserve">%) from VWR were used as solvents for density </w:t>
      </w:r>
      <w:r w:rsidR="00826FFE" w:rsidRPr="00F51720">
        <w:rPr>
          <w:lang w:val="en-GB"/>
        </w:rPr>
        <w:t>measurements</w:t>
      </w:r>
      <w:r w:rsidR="00A67036" w:rsidRPr="00F51720">
        <w:rPr>
          <w:lang w:val="en-GB"/>
        </w:rPr>
        <w:t xml:space="preserve">. </w:t>
      </w:r>
      <w:r w:rsidR="006B63AD" w:rsidRPr="00F51720">
        <w:rPr>
          <w:lang w:val="en-GB"/>
        </w:rPr>
        <w:t>For the GC-MS analysis, d</w:t>
      </w:r>
      <w:r w:rsidR="00A67036" w:rsidRPr="00F51720">
        <w:rPr>
          <w:lang w:val="en-GB"/>
        </w:rPr>
        <w:t>iethyl ether (DEE, 99</w:t>
      </w:r>
      <w:r w:rsidR="0012798C" w:rsidRPr="00F51720">
        <w:rPr>
          <w:lang w:val="en-GB"/>
        </w:rPr>
        <w:t xml:space="preserve"> </w:t>
      </w:r>
      <w:r w:rsidR="00A67036" w:rsidRPr="00F51720">
        <w:rPr>
          <w:lang w:val="en-GB"/>
        </w:rPr>
        <w:t>%) from VWR</w:t>
      </w:r>
      <w:r w:rsidR="005D3824" w:rsidRPr="00F51720">
        <w:rPr>
          <w:lang w:val="en-GB"/>
        </w:rPr>
        <w:t xml:space="preserve"> and pyridine</w:t>
      </w:r>
      <w:r w:rsidR="00EE694B" w:rsidRPr="00F51720">
        <w:rPr>
          <w:lang w:val="en-GB"/>
        </w:rPr>
        <w:t xml:space="preserve"> (ACS grade) from</w:t>
      </w:r>
      <w:r w:rsidR="00EE694B">
        <w:rPr>
          <w:lang w:val="en-GB"/>
        </w:rPr>
        <w:t xml:space="preserve"> Hach</w:t>
      </w:r>
      <w:r w:rsidRPr="00EC2249">
        <w:rPr>
          <w:lang w:val="en-GB"/>
        </w:rPr>
        <w:t xml:space="preserve"> w</w:t>
      </w:r>
      <w:r w:rsidR="00EE694B">
        <w:rPr>
          <w:lang w:val="en-GB"/>
        </w:rPr>
        <w:t>ere</w:t>
      </w:r>
      <w:r w:rsidRPr="00EC2249">
        <w:rPr>
          <w:lang w:val="en-GB"/>
        </w:rPr>
        <w:t xml:space="preserve"> used as solvent</w:t>
      </w:r>
      <w:r w:rsidR="002B6795">
        <w:rPr>
          <w:lang w:val="en-GB"/>
        </w:rPr>
        <w:t>s</w:t>
      </w:r>
      <w:r w:rsidR="00EE694B">
        <w:rPr>
          <w:lang w:val="en-GB"/>
        </w:rPr>
        <w:t>,</w:t>
      </w:r>
      <w:r w:rsidRPr="00EC2249">
        <w:rPr>
          <w:lang w:val="en-GB"/>
        </w:rPr>
        <w:t xml:space="preserve"> n-heptadecane</w:t>
      </w:r>
      <w:r w:rsidR="00826FFE" w:rsidRPr="00EC2249">
        <w:rPr>
          <w:lang w:val="en-GB"/>
        </w:rPr>
        <w:t xml:space="preserve"> (C17, 99</w:t>
      </w:r>
      <w:r w:rsidR="0012798C">
        <w:rPr>
          <w:lang w:val="en-GB"/>
        </w:rPr>
        <w:t xml:space="preserve"> </w:t>
      </w:r>
      <w:r w:rsidRPr="00EC2249">
        <w:rPr>
          <w:lang w:val="en-GB"/>
        </w:rPr>
        <w:t>%) from Acros and</w:t>
      </w:r>
      <w:r w:rsidR="00A67036" w:rsidRPr="00EC2249">
        <w:rPr>
          <w:lang w:val="en-GB"/>
        </w:rPr>
        <w:t xml:space="preserve"> 4-bromophenol (99</w:t>
      </w:r>
      <w:r w:rsidR="0012798C">
        <w:rPr>
          <w:lang w:val="en-GB"/>
        </w:rPr>
        <w:t xml:space="preserve"> </w:t>
      </w:r>
      <w:r w:rsidR="00A67036" w:rsidRPr="00EC2249">
        <w:rPr>
          <w:lang w:val="en-GB"/>
        </w:rPr>
        <w:t>%) from Merck</w:t>
      </w:r>
      <w:r w:rsidRPr="00EC2249">
        <w:rPr>
          <w:lang w:val="en-GB"/>
        </w:rPr>
        <w:t xml:space="preserve"> </w:t>
      </w:r>
      <w:r w:rsidR="00A67036" w:rsidRPr="00EC2249">
        <w:rPr>
          <w:lang w:val="en-GB"/>
        </w:rPr>
        <w:t>as internal standard</w:t>
      </w:r>
      <w:r w:rsidR="004B28E8">
        <w:rPr>
          <w:lang w:val="en-GB"/>
        </w:rPr>
        <w:t>s</w:t>
      </w:r>
      <w:r w:rsidR="00EE7D49">
        <w:rPr>
          <w:lang w:val="en-GB"/>
        </w:rPr>
        <w:t>,</w:t>
      </w:r>
      <w:r w:rsidR="00EE694B">
        <w:rPr>
          <w:lang w:val="en-GB"/>
        </w:rPr>
        <w:t xml:space="preserve"> and </w:t>
      </w:r>
      <w:r w:rsidR="00EE694B" w:rsidRPr="00EE694B">
        <w:rPr>
          <w:lang w:val="en-GB"/>
        </w:rPr>
        <w:t>N,O-Bis(trimethylsilyl)trifluoroacetamide (BSTFA</w:t>
      </w:r>
      <w:r w:rsidR="00EE694B">
        <w:rPr>
          <w:lang w:val="en-GB"/>
        </w:rPr>
        <w:t>, 98.5 %</w:t>
      </w:r>
      <w:r w:rsidR="00EE694B" w:rsidRPr="00EE694B">
        <w:rPr>
          <w:lang w:val="en-GB"/>
        </w:rPr>
        <w:t>)</w:t>
      </w:r>
      <w:r w:rsidR="00EE694B">
        <w:rPr>
          <w:lang w:val="en-GB"/>
        </w:rPr>
        <w:t xml:space="preserve"> from </w:t>
      </w:r>
      <w:r w:rsidR="00EE694B" w:rsidRPr="00EE694B">
        <w:rPr>
          <w:lang w:val="en-GB"/>
        </w:rPr>
        <w:t xml:space="preserve">Sigma Aldrich </w:t>
      </w:r>
      <w:r w:rsidR="00591405">
        <w:rPr>
          <w:lang w:val="en-GB"/>
        </w:rPr>
        <w:t>as derivatis</w:t>
      </w:r>
      <w:r w:rsidR="00EE694B">
        <w:rPr>
          <w:lang w:val="en-GB"/>
        </w:rPr>
        <w:t>ation agent</w:t>
      </w:r>
      <w:r w:rsidR="00A67036" w:rsidRPr="00EC2249">
        <w:rPr>
          <w:lang w:val="en-GB"/>
        </w:rPr>
        <w:t>. A PerkinElmer Cystine 4G powder was used for the calibration of elemental an</w:t>
      </w:r>
      <w:r w:rsidR="00826FFE" w:rsidRPr="00EC2249">
        <w:rPr>
          <w:lang w:val="en-GB"/>
        </w:rPr>
        <w:t>alysis.</w:t>
      </w:r>
    </w:p>
    <w:p w14:paraId="1551C174" w14:textId="4481B454" w:rsidR="00A67036" w:rsidRDefault="00A67036" w:rsidP="00A67036">
      <w:pPr>
        <w:pStyle w:val="CETheadingx"/>
        <w:rPr>
          <w:lang w:val="en-GB"/>
        </w:rPr>
      </w:pPr>
      <w:r w:rsidRPr="00EC2249">
        <w:rPr>
          <w:lang w:val="en-GB"/>
        </w:rPr>
        <w:t>Supercritical extractions</w:t>
      </w:r>
    </w:p>
    <w:p w14:paraId="5EAA0362" w14:textId="7B9AF655" w:rsidR="006548FD" w:rsidRPr="00EC2249" w:rsidRDefault="006B63AD" w:rsidP="006548FD">
      <w:pPr>
        <w:pStyle w:val="CETBodytext"/>
        <w:rPr>
          <w:lang w:val="en-GB"/>
        </w:rPr>
      </w:pPr>
      <w:r w:rsidRPr="00F51720">
        <w:rPr>
          <w:lang w:val="en-GB"/>
        </w:rPr>
        <w:t>sCO</w:t>
      </w:r>
      <w:r w:rsidRPr="00F51720">
        <w:rPr>
          <w:vertAlign w:val="subscript"/>
          <w:lang w:val="en-GB"/>
        </w:rPr>
        <w:t>2</w:t>
      </w:r>
      <w:r w:rsidR="008565A4" w:rsidRPr="00F51720">
        <w:rPr>
          <w:lang w:val="en-GB"/>
        </w:rPr>
        <w:t xml:space="preserve"> extractions were performed utilizing a s</w:t>
      </w:r>
      <w:r w:rsidR="00E0362A" w:rsidRPr="00F51720">
        <w:rPr>
          <w:lang w:val="en-GB"/>
        </w:rPr>
        <w:t>upercritical extract</w:t>
      </w:r>
      <w:r w:rsidR="00311BD7">
        <w:t>ion</w:t>
      </w:r>
      <w:r w:rsidR="00E0362A" w:rsidRPr="00F51720">
        <w:rPr>
          <w:lang w:val="en-GB"/>
        </w:rPr>
        <w:t xml:space="preserve"> system</w:t>
      </w:r>
      <w:r w:rsidR="00BC53F6">
        <w:rPr>
          <w:lang w:val="en-GB"/>
        </w:rPr>
        <w:t xml:space="preserve"> </w:t>
      </w:r>
      <w:r w:rsidR="00BC53F6" w:rsidRPr="00464B46">
        <w:rPr>
          <w:lang w:val="en-GB"/>
        </w:rPr>
        <w:t xml:space="preserve">described in detail by </w:t>
      </w:r>
      <w:r w:rsidR="00BC53F6" w:rsidRPr="00464B46">
        <w:rPr>
          <w:noProof/>
        </w:rPr>
        <w:t>Montesantos et al. (2019)</w:t>
      </w:r>
      <w:r w:rsidR="00464B46">
        <w:rPr>
          <w:noProof/>
        </w:rPr>
        <w:t>.</w:t>
      </w:r>
      <w:r w:rsidR="00BC53F6">
        <w:rPr>
          <w:lang w:val="en-GB"/>
        </w:rPr>
        <w:t xml:space="preserve"> </w:t>
      </w:r>
      <w:r w:rsidR="00464B46">
        <w:rPr>
          <w:lang w:val="en-GB"/>
        </w:rPr>
        <w:t xml:space="preserve">The system </w:t>
      </w:r>
      <w:r w:rsidR="006548FD" w:rsidRPr="00F51720">
        <w:rPr>
          <w:lang w:val="en-GB"/>
        </w:rPr>
        <w:t xml:space="preserve">comprises </w:t>
      </w:r>
      <w:r w:rsidR="00A7248E" w:rsidRPr="00F51720">
        <w:rPr>
          <w:lang w:val="en-GB"/>
        </w:rPr>
        <w:t xml:space="preserve">a high pressure </w:t>
      </w:r>
      <w:r w:rsidRPr="009308C9">
        <w:rPr>
          <w:lang w:val="en-GB"/>
        </w:rPr>
        <w:t>vessel with a basket insert</w:t>
      </w:r>
      <w:r w:rsidR="004A1C23" w:rsidRPr="009308C9">
        <w:rPr>
          <w:lang w:val="en-GB"/>
        </w:rPr>
        <w:t xml:space="preserve"> </w:t>
      </w:r>
      <w:r w:rsidR="00311BD7" w:rsidRPr="009308C9">
        <w:rPr>
          <w:lang w:val="en-GB"/>
        </w:rPr>
        <w:t>(</w:t>
      </w:r>
      <w:r w:rsidR="00B04F03" w:rsidRPr="009308C9">
        <w:rPr>
          <w:lang w:val="en-GB"/>
        </w:rPr>
        <w:t>178</w:t>
      </w:r>
      <w:r w:rsidR="004A1C23" w:rsidRPr="009308C9">
        <w:rPr>
          <w:lang w:val="en-GB"/>
        </w:rPr>
        <w:t xml:space="preserve"> cm</w:t>
      </w:r>
      <w:r w:rsidR="004A1C23" w:rsidRPr="009308C9">
        <w:rPr>
          <w:vertAlign w:val="superscript"/>
          <w:lang w:val="en-GB"/>
        </w:rPr>
        <w:t>3</w:t>
      </w:r>
      <w:r w:rsidR="00311BD7" w:rsidRPr="009308C9">
        <w:rPr>
          <w:lang w:val="en-GB"/>
        </w:rPr>
        <w:t>)</w:t>
      </w:r>
      <w:r w:rsidR="004A1C23" w:rsidRPr="009308C9">
        <w:rPr>
          <w:lang w:val="en-GB"/>
        </w:rPr>
        <w:t xml:space="preserve">, </w:t>
      </w:r>
      <w:r w:rsidR="008565A4" w:rsidRPr="009308C9">
        <w:rPr>
          <w:lang w:val="en-GB"/>
        </w:rPr>
        <w:t xml:space="preserve">in which </w:t>
      </w:r>
      <w:r w:rsidR="008113EE" w:rsidRPr="009308C9">
        <w:rPr>
          <w:lang w:val="en-GB"/>
        </w:rPr>
        <w:t>a feed of approximately 30 g</w:t>
      </w:r>
      <w:r w:rsidR="00513229" w:rsidRPr="009308C9">
        <w:rPr>
          <w:lang w:val="en-GB"/>
        </w:rPr>
        <w:t xml:space="preserve"> was</w:t>
      </w:r>
      <w:r w:rsidR="008565A4" w:rsidRPr="009308C9">
        <w:rPr>
          <w:lang w:val="en-GB"/>
        </w:rPr>
        <w:t xml:space="preserve"> charged </w:t>
      </w:r>
      <w:r w:rsidR="004A063F" w:rsidRPr="009308C9">
        <w:rPr>
          <w:lang w:val="en-GB"/>
        </w:rPr>
        <w:t xml:space="preserve">prior </w:t>
      </w:r>
      <w:r w:rsidR="00513229" w:rsidRPr="009308C9">
        <w:rPr>
          <w:lang w:val="en-GB"/>
        </w:rPr>
        <w:t xml:space="preserve">to </w:t>
      </w:r>
      <w:r w:rsidR="004A063F" w:rsidRPr="009308C9">
        <w:rPr>
          <w:lang w:val="en-GB"/>
        </w:rPr>
        <w:t>an</w:t>
      </w:r>
      <w:r w:rsidR="006548FD" w:rsidRPr="009308C9">
        <w:rPr>
          <w:lang w:val="en-GB"/>
        </w:rPr>
        <w:t xml:space="preserve"> extraction.</w:t>
      </w:r>
      <w:r w:rsidRPr="009308C9">
        <w:rPr>
          <w:lang w:val="en-GB"/>
        </w:rPr>
        <w:t xml:space="preserve"> The</w:t>
      </w:r>
      <w:r w:rsidR="00513229" w:rsidRPr="009308C9">
        <w:rPr>
          <w:lang w:val="en-GB"/>
        </w:rPr>
        <w:t xml:space="preserve"> basket wa</w:t>
      </w:r>
      <w:r w:rsidRPr="009308C9">
        <w:rPr>
          <w:lang w:val="en-GB"/>
        </w:rPr>
        <w:t>s filled up to 1/3 height with so</w:t>
      </w:r>
      <w:r w:rsidR="00CE7428" w:rsidRPr="009308C9">
        <w:rPr>
          <w:lang w:val="en-GB"/>
        </w:rPr>
        <w:t>da-lime glass beads to ensure bio-crude dispersion and an</w:t>
      </w:r>
      <w:r w:rsidRPr="009308C9">
        <w:rPr>
          <w:lang w:val="en-GB"/>
        </w:rPr>
        <w:t xml:space="preserve"> adequate contact area </w:t>
      </w:r>
      <w:r w:rsidR="00CE7428" w:rsidRPr="009308C9">
        <w:rPr>
          <w:lang w:val="en-GB"/>
        </w:rPr>
        <w:t>with the</w:t>
      </w:r>
      <w:r w:rsidRPr="009308C9">
        <w:rPr>
          <w:lang w:val="en-GB"/>
        </w:rPr>
        <w:t xml:space="preserve"> solvent.</w:t>
      </w:r>
      <w:r w:rsidR="006548FD" w:rsidRPr="009308C9">
        <w:rPr>
          <w:lang w:val="en-GB"/>
        </w:rPr>
        <w:t xml:space="preserve"> CO</w:t>
      </w:r>
      <w:r w:rsidR="006548FD" w:rsidRPr="009308C9">
        <w:rPr>
          <w:vertAlign w:val="subscript"/>
          <w:lang w:val="en-GB"/>
        </w:rPr>
        <w:t>2</w:t>
      </w:r>
      <w:r w:rsidR="00513229" w:rsidRPr="009308C9">
        <w:rPr>
          <w:lang w:val="en-GB"/>
        </w:rPr>
        <w:t xml:space="preserve"> wa</w:t>
      </w:r>
      <w:r w:rsidR="006548FD" w:rsidRPr="009308C9">
        <w:rPr>
          <w:lang w:val="en-GB"/>
        </w:rPr>
        <w:t xml:space="preserve">s </w:t>
      </w:r>
      <w:r w:rsidR="004A063F" w:rsidRPr="009308C9">
        <w:rPr>
          <w:lang w:val="en-GB"/>
        </w:rPr>
        <w:t xml:space="preserve">chilled to 5 </w:t>
      </w:r>
      <w:r w:rsidR="004A063F" w:rsidRPr="009308C9">
        <w:rPr>
          <w:rFonts w:cs="Arial"/>
          <w:noProof/>
        </w:rPr>
        <w:t>º</w:t>
      </w:r>
      <w:r w:rsidR="004A063F" w:rsidRPr="009308C9">
        <w:rPr>
          <w:noProof/>
        </w:rPr>
        <w:t>C</w:t>
      </w:r>
      <w:r w:rsidR="001C6EDF" w:rsidRPr="009308C9">
        <w:rPr>
          <w:lang w:val="en-GB"/>
        </w:rPr>
        <w:t xml:space="preserve"> by a heat exchanger</w:t>
      </w:r>
      <w:r w:rsidR="006548FD" w:rsidRPr="009308C9">
        <w:rPr>
          <w:lang w:val="en-GB"/>
        </w:rPr>
        <w:t xml:space="preserve"> and fed to the </w:t>
      </w:r>
      <w:r w:rsidR="00513229" w:rsidRPr="009308C9">
        <w:rPr>
          <w:lang w:val="en-GB"/>
        </w:rPr>
        <w:t xml:space="preserve">bottom of the </w:t>
      </w:r>
      <w:r w:rsidR="006548FD" w:rsidRPr="009308C9">
        <w:rPr>
          <w:lang w:val="en-GB"/>
        </w:rPr>
        <w:t>e</w:t>
      </w:r>
      <w:r w:rsidR="001C6EDF" w:rsidRPr="009308C9">
        <w:rPr>
          <w:lang w:val="en-GB"/>
        </w:rPr>
        <w:t xml:space="preserve">xtractor by </w:t>
      </w:r>
      <w:r w:rsidR="004A1C23" w:rsidRPr="009308C9">
        <w:rPr>
          <w:lang w:val="en-GB"/>
        </w:rPr>
        <w:t>a</w:t>
      </w:r>
      <w:r w:rsidRPr="009308C9">
        <w:rPr>
          <w:lang w:val="en-GB"/>
        </w:rPr>
        <w:t xml:space="preserve"> pneumatic pump</w:t>
      </w:r>
      <w:r w:rsidR="006548FD" w:rsidRPr="009308C9">
        <w:rPr>
          <w:lang w:val="en-GB"/>
        </w:rPr>
        <w:t>. The extraction pressur</w:t>
      </w:r>
      <w:r w:rsidR="001C6EDF" w:rsidRPr="009308C9">
        <w:rPr>
          <w:lang w:val="en-GB"/>
        </w:rPr>
        <w:t xml:space="preserve">e </w:t>
      </w:r>
      <w:r w:rsidR="004A1C23" w:rsidRPr="009308C9">
        <w:rPr>
          <w:lang w:val="en-GB"/>
        </w:rPr>
        <w:t>(</w:t>
      </w:r>
      <w:r w:rsidRPr="009308C9">
        <w:rPr>
          <w:lang w:val="en-GB"/>
        </w:rPr>
        <w:t xml:space="preserve">247 </w:t>
      </w:r>
      <w:r w:rsidR="004A1C23" w:rsidRPr="009308C9">
        <w:rPr>
          <w:lang w:val="en-GB"/>
        </w:rPr>
        <w:t xml:space="preserve">to </w:t>
      </w:r>
      <w:r w:rsidRPr="009308C9">
        <w:rPr>
          <w:lang w:val="en-GB"/>
        </w:rPr>
        <w:t>448</w:t>
      </w:r>
      <w:r w:rsidR="004A1C23" w:rsidRPr="009308C9">
        <w:rPr>
          <w:lang w:val="en-GB"/>
        </w:rPr>
        <w:t xml:space="preserve"> bar) and the </w:t>
      </w:r>
      <w:r w:rsidR="006548FD" w:rsidRPr="009308C9">
        <w:rPr>
          <w:lang w:val="en-GB"/>
        </w:rPr>
        <w:t>CO</w:t>
      </w:r>
      <w:r w:rsidR="006548FD" w:rsidRPr="009308C9">
        <w:rPr>
          <w:vertAlign w:val="subscript"/>
          <w:lang w:val="en-GB"/>
        </w:rPr>
        <w:t>2</w:t>
      </w:r>
      <w:r w:rsidR="006548FD" w:rsidRPr="009308C9">
        <w:rPr>
          <w:lang w:val="en-GB"/>
        </w:rPr>
        <w:t xml:space="preserve"> flow rate </w:t>
      </w:r>
      <w:r w:rsidR="00833E0E" w:rsidRPr="009308C9">
        <w:rPr>
          <w:lang w:val="en-GB"/>
        </w:rPr>
        <w:t>(</w:t>
      </w:r>
      <w:r w:rsidRPr="009308C9">
        <w:rPr>
          <w:lang w:val="en-GB"/>
        </w:rPr>
        <w:t>4.8 to 5.9</w:t>
      </w:r>
      <w:r w:rsidR="00833E0E" w:rsidRPr="009308C9">
        <w:rPr>
          <w:lang w:val="en-GB"/>
        </w:rPr>
        <w:t xml:space="preserve"> g/min)</w:t>
      </w:r>
      <w:r w:rsidR="00513229" w:rsidRPr="009308C9">
        <w:rPr>
          <w:lang w:val="en-GB"/>
        </w:rPr>
        <w:t xml:space="preserve"> we</w:t>
      </w:r>
      <w:r w:rsidR="00833E0E" w:rsidRPr="009308C9">
        <w:rPr>
          <w:lang w:val="en-GB"/>
        </w:rPr>
        <w:t>re</w:t>
      </w:r>
      <w:r w:rsidR="006548FD" w:rsidRPr="009308C9">
        <w:rPr>
          <w:lang w:val="en-GB"/>
        </w:rPr>
        <w:t xml:space="preserve"> </w:t>
      </w:r>
      <w:r w:rsidR="004A1C23" w:rsidRPr="009308C9">
        <w:rPr>
          <w:lang w:val="en-GB"/>
        </w:rPr>
        <w:t xml:space="preserve">maintained by manually regulating the </w:t>
      </w:r>
      <w:r w:rsidR="00B04F03" w:rsidRPr="009308C9">
        <w:rPr>
          <w:lang w:val="en-GB"/>
        </w:rPr>
        <w:t>air supply</w:t>
      </w:r>
      <w:r w:rsidR="004A1C23" w:rsidRPr="009308C9">
        <w:rPr>
          <w:lang w:val="en-GB"/>
        </w:rPr>
        <w:t xml:space="preserve"> of the pump and the opening of </w:t>
      </w:r>
      <w:r w:rsidRPr="009308C9">
        <w:rPr>
          <w:lang w:val="en-GB"/>
        </w:rPr>
        <w:t>a</w:t>
      </w:r>
      <w:r w:rsidR="004A1C23" w:rsidRPr="009308C9">
        <w:rPr>
          <w:lang w:val="en-GB"/>
        </w:rPr>
        <w:t xml:space="preserve"> </w:t>
      </w:r>
      <w:r w:rsidRPr="009308C9">
        <w:rPr>
          <w:lang w:val="en-GB"/>
        </w:rPr>
        <w:t>heated micrometering valve</w:t>
      </w:r>
      <w:r w:rsidR="00513229" w:rsidRPr="009308C9">
        <w:rPr>
          <w:lang w:val="en-GB"/>
        </w:rPr>
        <w:t xml:space="preserve"> downstream the extractor</w:t>
      </w:r>
      <w:r w:rsidR="006548FD" w:rsidRPr="009308C9">
        <w:rPr>
          <w:lang w:val="en-GB"/>
        </w:rPr>
        <w:t>.</w:t>
      </w:r>
      <w:r w:rsidR="00861B51" w:rsidRPr="009308C9">
        <w:rPr>
          <w:lang w:val="en-GB"/>
        </w:rPr>
        <w:t xml:space="preserve"> </w:t>
      </w:r>
      <w:r w:rsidR="004A063F" w:rsidRPr="009308C9">
        <w:rPr>
          <w:lang w:val="en-GB"/>
        </w:rPr>
        <w:t>Before starting to flow sCO</w:t>
      </w:r>
      <w:r w:rsidR="004A063F" w:rsidRPr="009308C9">
        <w:rPr>
          <w:vertAlign w:val="subscript"/>
          <w:lang w:val="en-GB"/>
        </w:rPr>
        <w:t>2</w:t>
      </w:r>
      <w:r w:rsidR="004A063F" w:rsidRPr="009308C9">
        <w:rPr>
          <w:lang w:val="en-GB"/>
        </w:rPr>
        <w:t>, the feed</w:t>
      </w:r>
      <w:r w:rsidR="00513229" w:rsidRPr="009308C9">
        <w:rPr>
          <w:lang w:val="en-GB"/>
        </w:rPr>
        <w:t xml:space="preserve"> and the supercritical solvent we</w:t>
      </w:r>
      <w:r w:rsidR="004A063F" w:rsidRPr="009308C9">
        <w:rPr>
          <w:lang w:val="en-GB"/>
        </w:rPr>
        <w:t xml:space="preserve">re kept at the extraction pressure and </w:t>
      </w:r>
      <w:r w:rsidR="008113EE" w:rsidRPr="009308C9">
        <w:rPr>
          <w:lang w:val="en-GB"/>
        </w:rPr>
        <w:t>temperature</w:t>
      </w:r>
      <w:r w:rsidR="004A063F" w:rsidRPr="009308C9">
        <w:rPr>
          <w:lang w:val="en-GB"/>
        </w:rPr>
        <w:t xml:space="preserve"> for 30 minutes under static mode.</w:t>
      </w:r>
      <w:r w:rsidRPr="009308C9">
        <w:rPr>
          <w:lang w:val="en-GB"/>
        </w:rPr>
        <w:t xml:space="preserve"> A drum-type gas meter</w:t>
      </w:r>
      <w:r w:rsidR="006548FD" w:rsidRPr="009308C9">
        <w:rPr>
          <w:lang w:val="en-GB"/>
        </w:rPr>
        <w:t xml:space="preserve"> </w:t>
      </w:r>
      <w:r w:rsidR="00513229" w:rsidRPr="009308C9">
        <w:rPr>
          <w:lang w:val="en-GB"/>
        </w:rPr>
        <w:t xml:space="preserve">was used to </w:t>
      </w:r>
      <w:r w:rsidR="004A1C23" w:rsidRPr="009308C9">
        <w:rPr>
          <w:lang w:val="en-GB"/>
        </w:rPr>
        <w:t>measure</w:t>
      </w:r>
      <w:r w:rsidR="006548FD" w:rsidRPr="009308C9">
        <w:rPr>
          <w:lang w:val="en-GB"/>
        </w:rPr>
        <w:t xml:space="preserve"> the CO</w:t>
      </w:r>
      <w:r w:rsidR="006548FD" w:rsidRPr="009308C9">
        <w:rPr>
          <w:vertAlign w:val="subscript"/>
          <w:lang w:val="en-GB"/>
        </w:rPr>
        <w:t>2</w:t>
      </w:r>
      <w:r w:rsidR="006548FD" w:rsidRPr="009308C9">
        <w:rPr>
          <w:lang w:val="en-GB"/>
        </w:rPr>
        <w:t xml:space="preserve"> </w:t>
      </w:r>
      <w:r w:rsidR="004A1C23" w:rsidRPr="009308C9">
        <w:rPr>
          <w:lang w:val="en-GB"/>
        </w:rPr>
        <w:t xml:space="preserve">volumetric </w:t>
      </w:r>
      <w:r w:rsidR="006548FD" w:rsidRPr="009308C9">
        <w:rPr>
          <w:lang w:val="en-GB"/>
        </w:rPr>
        <w:t>flow at ambient conditions</w:t>
      </w:r>
      <w:r w:rsidR="004A1C23" w:rsidRPr="009308C9">
        <w:rPr>
          <w:lang w:val="en-GB"/>
        </w:rPr>
        <w:t xml:space="preserve">, downstream </w:t>
      </w:r>
      <w:r w:rsidR="006548FD" w:rsidRPr="009308C9">
        <w:rPr>
          <w:lang w:val="en-GB"/>
        </w:rPr>
        <w:t>a series of washing bottles comprising a c</w:t>
      </w:r>
      <w:r w:rsidR="00513229" w:rsidRPr="009308C9">
        <w:rPr>
          <w:lang w:val="en-GB"/>
        </w:rPr>
        <w:t>old trap (2-5 ºC). The extract wa</w:t>
      </w:r>
      <w:r w:rsidR="006548FD" w:rsidRPr="009308C9">
        <w:rPr>
          <w:lang w:val="en-GB"/>
        </w:rPr>
        <w:t xml:space="preserve">s collected in the </w:t>
      </w:r>
      <w:r w:rsidR="004A063F" w:rsidRPr="009308C9">
        <w:rPr>
          <w:lang w:val="en-GB"/>
        </w:rPr>
        <w:t xml:space="preserve">cold trap </w:t>
      </w:r>
      <w:r w:rsidR="006548FD" w:rsidRPr="009308C9">
        <w:rPr>
          <w:lang w:val="en-GB"/>
        </w:rPr>
        <w:t xml:space="preserve">in </w:t>
      </w:r>
      <w:r w:rsidR="00513229" w:rsidRPr="009308C9">
        <w:rPr>
          <w:lang w:val="en-GB"/>
        </w:rPr>
        <w:t>interchangeable sampling</w:t>
      </w:r>
      <w:r w:rsidR="006548FD" w:rsidRPr="009308C9">
        <w:rPr>
          <w:lang w:val="en-GB"/>
        </w:rPr>
        <w:t xml:space="preserve"> vial</w:t>
      </w:r>
      <w:r w:rsidR="00513229" w:rsidRPr="009308C9">
        <w:rPr>
          <w:lang w:val="en-GB"/>
        </w:rPr>
        <w:t>s</w:t>
      </w:r>
      <w:r w:rsidR="006548FD" w:rsidRPr="009308C9">
        <w:rPr>
          <w:lang w:val="en-GB"/>
        </w:rPr>
        <w:t>. After the end of each extraction, the</w:t>
      </w:r>
      <w:r w:rsidR="00513229" w:rsidRPr="009308C9">
        <w:rPr>
          <w:lang w:val="en-GB"/>
        </w:rPr>
        <w:t xml:space="preserve"> system wa</w:t>
      </w:r>
      <w:r w:rsidR="0042602D" w:rsidRPr="009308C9">
        <w:rPr>
          <w:lang w:val="en-GB"/>
        </w:rPr>
        <w:t>s depressurized</w:t>
      </w:r>
      <w:r w:rsidR="00513229" w:rsidRPr="009308C9">
        <w:rPr>
          <w:lang w:val="en-GB"/>
        </w:rPr>
        <w:t xml:space="preserve">, </w:t>
      </w:r>
      <w:r w:rsidR="00E0362A" w:rsidRPr="009308C9">
        <w:rPr>
          <w:lang w:val="en-GB"/>
        </w:rPr>
        <w:t>the</w:t>
      </w:r>
      <w:r w:rsidR="0042602D" w:rsidRPr="009308C9">
        <w:rPr>
          <w:lang w:val="en-GB"/>
        </w:rPr>
        <w:t xml:space="preserve"> basket dismounted</w:t>
      </w:r>
      <w:r w:rsidR="00513229" w:rsidRPr="009308C9">
        <w:rPr>
          <w:lang w:val="en-GB"/>
        </w:rPr>
        <w:t xml:space="preserve">, and the residue </w:t>
      </w:r>
      <w:r w:rsidR="0042602D" w:rsidRPr="009308C9">
        <w:rPr>
          <w:lang w:val="en-GB"/>
        </w:rPr>
        <w:t>retrieved</w:t>
      </w:r>
      <w:r w:rsidR="00861B51" w:rsidRPr="009308C9">
        <w:rPr>
          <w:lang w:val="en-GB"/>
        </w:rPr>
        <w:t xml:space="preserve"> </w:t>
      </w:r>
      <w:r w:rsidR="00513229" w:rsidRPr="009308C9">
        <w:rPr>
          <w:lang w:val="en-GB"/>
        </w:rPr>
        <w:t xml:space="preserve">by </w:t>
      </w:r>
      <w:r w:rsidR="00861B51" w:rsidRPr="009308C9">
        <w:rPr>
          <w:lang w:val="en-GB"/>
        </w:rPr>
        <w:t xml:space="preserve">washing the basket and </w:t>
      </w:r>
      <w:r w:rsidR="004A063F" w:rsidRPr="009308C9">
        <w:rPr>
          <w:lang w:val="en-GB"/>
        </w:rPr>
        <w:t xml:space="preserve">the </w:t>
      </w:r>
      <w:r w:rsidR="00861B51" w:rsidRPr="009308C9">
        <w:rPr>
          <w:lang w:val="en-GB"/>
        </w:rPr>
        <w:t xml:space="preserve">glass beads with THF and </w:t>
      </w:r>
      <w:r w:rsidR="00513229" w:rsidRPr="009308C9">
        <w:rPr>
          <w:lang w:val="en-GB"/>
        </w:rPr>
        <w:t xml:space="preserve">removing </w:t>
      </w:r>
      <w:r w:rsidR="00861B51" w:rsidRPr="009308C9">
        <w:rPr>
          <w:lang w:val="en-GB"/>
        </w:rPr>
        <w:t>the solvent</w:t>
      </w:r>
      <w:r w:rsidR="0042602D" w:rsidRPr="009308C9">
        <w:rPr>
          <w:lang w:val="en-GB"/>
        </w:rPr>
        <w:t xml:space="preserve"> </w:t>
      </w:r>
      <w:r w:rsidR="00861B51" w:rsidRPr="009308C9">
        <w:rPr>
          <w:lang w:val="en-GB"/>
        </w:rPr>
        <w:t>by rotary vacuum evaporation</w:t>
      </w:r>
      <w:r w:rsidR="008565A4" w:rsidRPr="009308C9">
        <w:rPr>
          <w:lang w:val="en-GB"/>
        </w:rPr>
        <w:t>.</w:t>
      </w:r>
    </w:p>
    <w:p w14:paraId="3B50B99E" w14:textId="77777777" w:rsidR="00A67036" w:rsidRPr="00EC2249" w:rsidRDefault="00A67036" w:rsidP="00A67036">
      <w:pPr>
        <w:pStyle w:val="CETheadingx"/>
        <w:rPr>
          <w:lang w:val="en-GB"/>
        </w:rPr>
      </w:pPr>
      <w:r w:rsidRPr="00EC2249">
        <w:rPr>
          <w:lang w:val="en-GB"/>
        </w:rPr>
        <w:t>Analytical characterization</w:t>
      </w:r>
    </w:p>
    <w:p w14:paraId="6AFFB72D" w14:textId="3CE4EE0F" w:rsidR="00A67036" w:rsidRPr="00EC2249" w:rsidRDefault="00A67036" w:rsidP="003D229A">
      <w:pPr>
        <w:pStyle w:val="CETBodytext"/>
        <w:rPr>
          <w:lang w:val="en-GB"/>
        </w:rPr>
      </w:pPr>
      <w:r w:rsidRPr="008565A4">
        <w:rPr>
          <w:lang w:val="en-GB"/>
        </w:rPr>
        <w:t xml:space="preserve">The feed and extracts where characterized in terms </w:t>
      </w:r>
      <w:r w:rsidR="00833E0E" w:rsidRPr="008565A4">
        <w:rPr>
          <w:lang w:val="en-GB"/>
        </w:rPr>
        <w:t xml:space="preserve">of </w:t>
      </w:r>
      <w:r w:rsidRPr="008565A4">
        <w:rPr>
          <w:lang w:val="en-GB"/>
        </w:rPr>
        <w:t xml:space="preserve">density, elemental </w:t>
      </w:r>
      <w:r w:rsidR="00A17044" w:rsidRPr="008565A4">
        <w:rPr>
          <w:lang w:val="en-GB"/>
        </w:rPr>
        <w:t>composition</w:t>
      </w:r>
      <w:r w:rsidR="007340D9" w:rsidRPr="008565A4">
        <w:rPr>
          <w:lang w:val="en-GB"/>
        </w:rPr>
        <w:t xml:space="preserve"> and</w:t>
      </w:r>
      <w:r w:rsidRPr="008565A4">
        <w:rPr>
          <w:lang w:val="en-GB"/>
        </w:rPr>
        <w:t xml:space="preserve"> component identification and quantitation by </w:t>
      </w:r>
      <w:r w:rsidR="00511007" w:rsidRPr="008565A4">
        <w:rPr>
          <w:lang w:val="en-GB"/>
        </w:rPr>
        <w:t xml:space="preserve">gas </w:t>
      </w:r>
      <w:r w:rsidR="001912DC" w:rsidRPr="008565A4">
        <w:rPr>
          <w:lang w:val="en-GB"/>
        </w:rPr>
        <w:t xml:space="preserve">chromatography – </w:t>
      </w:r>
      <w:r w:rsidR="00833E0E" w:rsidRPr="008565A4">
        <w:rPr>
          <w:lang w:val="en-GB"/>
        </w:rPr>
        <w:t>mass spectrometry (GC-MS)</w:t>
      </w:r>
      <w:r w:rsidR="00E71D85" w:rsidRPr="008565A4">
        <w:rPr>
          <w:lang w:val="en-GB"/>
        </w:rPr>
        <w:t xml:space="preserve">, while the residue was </w:t>
      </w:r>
      <w:r w:rsidR="007340D9" w:rsidRPr="009308C9">
        <w:rPr>
          <w:lang w:val="en-GB"/>
        </w:rPr>
        <w:t>subjected to</w:t>
      </w:r>
      <w:r w:rsidR="00513229" w:rsidRPr="009308C9">
        <w:rPr>
          <w:lang w:val="en-GB"/>
        </w:rPr>
        <w:t xml:space="preserve"> elemental analysi</w:t>
      </w:r>
      <w:r w:rsidR="00E71D85" w:rsidRPr="009308C9">
        <w:rPr>
          <w:lang w:val="en-GB"/>
        </w:rPr>
        <w:t>s</w:t>
      </w:r>
      <w:r w:rsidR="006C473A" w:rsidRPr="009308C9">
        <w:rPr>
          <w:lang w:val="en-GB"/>
        </w:rPr>
        <w:t xml:space="preserve"> (EA)</w:t>
      </w:r>
      <w:r w:rsidR="00E71D85" w:rsidRPr="009308C9">
        <w:rPr>
          <w:lang w:val="en-GB"/>
        </w:rPr>
        <w:t>.</w:t>
      </w:r>
      <w:r w:rsidRPr="009308C9">
        <w:rPr>
          <w:lang w:val="en-GB"/>
        </w:rPr>
        <w:t xml:space="preserve"> </w:t>
      </w:r>
      <w:r w:rsidR="00513229" w:rsidRPr="009308C9">
        <w:rPr>
          <w:lang w:val="en-GB"/>
        </w:rPr>
        <w:t xml:space="preserve">Because of the high viscosity, </w:t>
      </w:r>
      <w:r w:rsidR="005323F6" w:rsidRPr="009308C9">
        <w:rPr>
          <w:lang w:val="en-GB"/>
        </w:rPr>
        <w:t xml:space="preserve">the </w:t>
      </w:r>
      <w:r w:rsidRPr="009308C9">
        <w:rPr>
          <w:lang w:val="en-GB"/>
        </w:rPr>
        <w:t xml:space="preserve">density </w:t>
      </w:r>
      <w:r w:rsidR="005323F6" w:rsidRPr="009308C9">
        <w:rPr>
          <w:lang w:val="en-GB"/>
        </w:rPr>
        <w:t xml:space="preserve">of the bio-crude feed </w:t>
      </w:r>
      <w:r w:rsidRPr="009308C9">
        <w:rPr>
          <w:lang w:val="en-GB"/>
        </w:rPr>
        <w:t>was</w:t>
      </w:r>
      <w:r w:rsidRPr="008565A4">
        <w:rPr>
          <w:lang w:val="en-GB"/>
        </w:rPr>
        <w:t xml:space="preserve"> </w:t>
      </w:r>
      <w:r w:rsidR="00904E47" w:rsidRPr="008565A4">
        <w:rPr>
          <w:lang w:val="en-GB"/>
        </w:rPr>
        <w:t>estimated</w:t>
      </w:r>
      <w:r w:rsidRPr="008565A4">
        <w:rPr>
          <w:lang w:val="en-GB"/>
        </w:rPr>
        <w:t xml:space="preserve"> by diluting it </w:t>
      </w:r>
      <w:r w:rsidR="00E71D85" w:rsidRPr="008565A4">
        <w:rPr>
          <w:lang w:val="en-GB"/>
        </w:rPr>
        <w:t>1:1</w:t>
      </w:r>
      <w:r w:rsidR="00511007" w:rsidRPr="008565A4">
        <w:rPr>
          <w:lang w:val="en-GB"/>
        </w:rPr>
        <w:t xml:space="preserve"> (w/w)</w:t>
      </w:r>
      <w:r w:rsidR="00E71D85" w:rsidRPr="008565A4">
        <w:rPr>
          <w:lang w:val="en-GB"/>
        </w:rPr>
        <w:t xml:space="preserve"> </w:t>
      </w:r>
      <w:r w:rsidRPr="008565A4">
        <w:rPr>
          <w:lang w:val="en-GB"/>
        </w:rPr>
        <w:t xml:space="preserve">in </w:t>
      </w:r>
      <w:r w:rsidR="00E71D85" w:rsidRPr="008565A4">
        <w:rPr>
          <w:lang w:val="en-GB"/>
        </w:rPr>
        <w:t>three</w:t>
      </w:r>
      <w:r w:rsidRPr="008565A4">
        <w:rPr>
          <w:lang w:val="en-GB"/>
        </w:rPr>
        <w:t xml:space="preserve"> solvents (</w:t>
      </w:r>
      <w:r w:rsidR="00E71D85" w:rsidRPr="008565A4">
        <w:rPr>
          <w:lang w:val="en-GB"/>
        </w:rPr>
        <w:t>i.e. MEK, MIBK, THF</w:t>
      </w:r>
      <w:r w:rsidRPr="008565A4">
        <w:rPr>
          <w:lang w:val="en-GB"/>
        </w:rPr>
        <w:t>)</w:t>
      </w:r>
      <w:r w:rsidR="00E71D85" w:rsidRPr="008565A4">
        <w:rPr>
          <w:lang w:val="en-GB"/>
        </w:rPr>
        <w:t>. The densit</w:t>
      </w:r>
      <w:r w:rsidR="006C473A">
        <w:rPr>
          <w:lang w:val="en-GB"/>
        </w:rPr>
        <w:t>ies</w:t>
      </w:r>
      <w:r w:rsidR="00E71D85" w:rsidRPr="008565A4">
        <w:rPr>
          <w:lang w:val="en-GB"/>
        </w:rPr>
        <w:t xml:space="preserve"> of the mixture and </w:t>
      </w:r>
      <w:r w:rsidRPr="008565A4">
        <w:rPr>
          <w:lang w:val="en-GB"/>
        </w:rPr>
        <w:t>of the pure solvent</w:t>
      </w:r>
      <w:r w:rsidR="00E71D85" w:rsidRPr="008565A4">
        <w:rPr>
          <w:lang w:val="en-GB"/>
        </w:rPr>
        <w:t xml:space="preserve"> </w:t>
      </w:r>
      <w:r w:rsidR="006C473A">
        <w:rPr>
          <w:lang w:val="en-GB"/>
        </w:rPr>
        <w:t>were</w:t>
      </w:r>
      <w:r w:rsidR="00E71D85" w:rsidRPr="008565A4">
        <w:rPr>
          <w:lang w:val="en-GB"/>
        </w:rPr>
        <w:t xml:space="preserve"> measured with</w:t>
      </w:r>
      <w:r w:rsidRPr="008565A4">
        <w:rPr>
          <w:lang w:val="en-GB"/>
        </w:rPr>
        <w:t xml:space="preserve"> </w:t>
      </w:r>
      <w:r w:rsidR="00A17044" w:rsidRPr="008565A4">
        <w:rPr>
          <w:lang w:val="en-GB"/>
        </w:rPr>
        <w:t xml:space="preserve">an </w:t>
      </w:r>
      <w:r w:rsidR="00E71D85" w:rsidRPr="008565A4">
        <w:rPr>
          <w:lang w:val="en-GB"/>
        </w:rPr>
        <w:t>Anton Parr DMA 35 Ex</w:t>
      </w:r>
      <w:r w:rsidR="001912DC" w:rsidRPr="008565A4">
        <w:rPr>
          <w:lang w:val="en-GB"/>
        </w:rPr>
        <w:t>,</w:t>
      </w:r>
      <w:r w:rsidR="00A17044" w:rsidRPr="008565A4">
        <w:rPr>
          <w:lang w:val="en-GB"/>
        </w:rPr>
        <w:t xml:space="preserve"> and</w:t>
      </w:r>
      <w:r w:rsidR="007340D9" w:rsidRPr="008565A4">
        <w:rPr>
          <w:lang w:val="en-GB"/>
        </w:rPr>
        <w:t xml:space="preserve"> </w:t>
      </w:r>
      <w:r w:rsidR="00833E0E" w:rsidRPr="008565A4">
        <w:rPr>
          <w:lang w:val="en-GB"/>
        </w:rPr>
        <w:t xml:space="preserve">the </w:t>
      </w:r>
      <w:r w:rsidR="007340D9" w:rsidRPr="008565A4">
        <w:rPr>
          <w:lang w:val="en-GB"/>
        </w:rPr>
        <w:t>density of the bio-crude</w:t>
      </w:r>
      <w:r w:rsidR="00A17044" w:rsidRPr="008565A4">
        <w:rPr>
          <w:lang w:val="en-GB"/>
        </w:rPr>
        <w:t xml:space="preserve"> was calculated</w:t>
      </w:r>
      <w:r w:rsidRPr="008565A4">
        <w:rPr>
          <w:lang w:val="en-GB"/>
        </w:rPr>
        <w:t xml:space="preserve"> </w:t>
      </w:r>
      <w:r w:rsidRPr="008565A4">
        <w:rPr>
          <w:lang w:val="en-GB"/>
        </w:rPr>
        <w:lastRenderedPageBreak/>
        <w:t xml:space="preserve">assuming a linear </w:t>
      </w:r>
      <w:r w:rsidRPr="008113EE">
        <w:rPr>
          <w:lang w:val="en-GB"/>
        </w:rPr>
        <w:t>rel</w:t>
      </w:r>
      <w:r w:rsidR="00A17044" w:rsidRPr="008113EE">
        <w:rPr>
          <w:lang w:val="en-GB"/>
        </w:rPr>
        <w:t xml:space="preserve">ation between the measured density </w:t>
      </w:r>
      <w:r w:rsidRPr="008113EE">
        <w:rPr>
          <w:lang w:val="en-GB"/>
        </w:rPr>
        <w:t>and</w:t>
      </w:r>
      <w:r w:rsidR="007340D9" w:rsidRPr="008113EE">
        <w:rPr>
          <w:lang w:val="en-GB"/>
        </w:rPr>
        <w:t xml:space="preserve"> its</w:t>
      </w:r>
      <w:r w:rsidRPr="008113EE">
        <w:rPr>
          <w:lang w:val="en-GB"/>
        </w:rPr>
        <w:t xml:space="preserve"> mass fraction.</w:t>
      </w:r>
      <w:r w:rsidR="008565A4" w:rsidRPr="008113EE">
        <w:rPr>
          <w:lang w:val="en-GB"/>
        </w:rPr>
        <w:t xml:space="preserve"> Due to the</w:t>
      </w:r>
      <w:r w:rsidR="00A7248E" w:rsidRPr="008113EE">
        <w:rPr>
          <w:lang w:val="en-GB"/>
        </w:rPr>
        <w:t xml:space="preserve"> small quantity of the extracts, the</w:t>
      </w:r>
      <w:r w:rsidR="00D662FA" w:rsidRPr="008113EE">
        <w:rPr>
          <w:lang w:val="en-GB"/>
        </w:rPr>
        <w:t>ir</w:t>
      </w:r>
      <w:r w:rsidR="00A7248E" w:rsidRPr="008113EE">
        <w:rPr>
          <w:lang w:val="en-GB"/>
        </w:rPr>
        <w:t xml:space="preserve"> </w:t>
      </w:r>
      <w:r w:rsidR="008565A4" w:rsidRPr="008113EE">
        <w:rPr>
          <w:lang w:val="en-GB"/>
        </w:rPr>
        <w:t>de</w:t>
      </w:r>
      <w:r w:rsidRPr="008113EE">
        <w:rPr>
          <w:lang w:val="en-GB"/>
        </w:rPr>
        <w:t>nsity was meas</w:t>
      </w:r>
      <w:r w:rsidR="007340D9" w:rsidRPr="008113EE">
        <w:rPr>
          <w:lang w:val="en-GB"/>
        </w:rPr>
        <w:t xml:space="preserve">ured by weighing the mass of a </w:t>
      </w:r>
      <w:r w:rsidRPr="008113EE">
        <w:rPr>
          <w:lang w:val="en-GB"/>
        </w:rPr>
        <w:t>volume of sample</w:t>
      </w:r>
      <w:r w:rsidR="003D229A" w:rsidRPr="008113EE">
        <w:rPr>
          <w:lang w:val="en-GB"/>
        </w:rPr>
        <w:t xml:space="preserve"> displaced by</w:t>
      </w:r>
      <w:r w:rsidRPr="008113EE">
        <w:rPr>
          <w:lang w:val="en-GB"/>
        </w:rPr>
        <w:t xml:space="preserve"> a </w:t>
      </w:r>
      <w:r w:rsidR="00A17044" w:rsidRPr="008113EE">
        <w:rPr>
          <w:lang w:val="en-GB"/>
        </w:rPr>
        <w:t xml:space="preserve">calibrated </w:t>
      </w:r>
      <w:r w:rsidRPr="008113EE">
        <w:rPr>
          <w:lang w:val="en-GB"/>
        </w:rPr>
        <w:t>positive</w:t>
      </w:r>
      <w:r w:rsidRPr="00EC2249">
        <w:rPr>
          <w:lang w:val="en-GB"/>
        </w:rPr>
        <w:t xml:space="preserve"> displacement precision pipette</w:t>
      </w:r>
      <w:r w:rsidR="006C473A">
        <w:rPr>
          <w:lang w:val="en-GB"/>
        </w:rPr>
        <w:t xml:space="preserve">. </w:t>
      </w:r>
      <w:r w:rsidR="003D229A">
        <w:rPr>
          <w:lang w:val="en-GB"/>
        </w:rPr>
        <w:t>EA</w:t>
      </w:r>
      <w:r w:rsidRPr="00EC2249">
        <w:rPr>
          <w:lang w:val="en-GB"/>
        </w:rPr>
        <w:t xml:space="preserve"> was performed in a PerkinElmer 2400 Series II CHNS/O analyser. </w:t>
      </w:r>
      <w:r w:rsidR="005B48A3" w:rsidRPr="009308C9">
        <w:rPr>
          <w:lang w:val="en-GB"/>
        </w:rPr>
        <w:t>C</w:t>
      </w:r>
      <w:r w:rsidRPr="009308C9">
        <w:rPr>
          <w:lang w:val="en-GB"/>
        </w:rPr>
        <w:t xml:space="preserve">arbon, hydrogen, nitrogen and </w:t>
      </w:r>
      <w:r w:rsidR="005B48A3" w:rsidRPr="009308C9">
        <w:rPr>
          <w:lang w:val="en-GB"/>
        </w:rPr>
        <w:t>sulphur were measured</w:t>
      </w:r>
      <w:r w:rsidRPr="009308C9">
        <w:rPr>
          <w:lang w:val="en-GB"/>
        </w:rPr>
        <w:t>, wher</w:t>
      </w:r>
      <w:r w:rsidR="005B48A3" w:rsidRPr="009308C9">
        <w:rPr>
          <w:lang w:val="en-GB"/>
        </w:rPr>
        <w:t>eas oxygen was calculated by</w:t>
      </w:r>
      <w:r w:rsidR="00861B51" w:rsidRPr="009308C9">
        <w:rPr>
          <w:lang w:val="en-GB"/>
        </w:rPr>
        <w:t xml:space="preserve"> difference.</w:t>
      </w:r>
      <w:r w:rsidR="005323F6" w:rsidRPr="009308C9">
        <w:rPr>
          <w:lang w:val="en-GB"/>
        </w:rPr>
        <w:t xml:space="preserve"> </w:t>
      </w:r>
      <w:r w:rsidRPr="009308C9">
        <w:rPr>
          <w:lang w:val="en-GB"/>
        </w:rPr>
        <w:t>GC-</w:t>
      </w:r>
      <w:r w:rsidRPr="00EC2249">
        <w:rPr>
          <w:lang w:val="en-GB"/>
        </w:rPr>
        <w:t>MS analysis</w:t>
      </w:r>
      <w:r w:rsidR="005B48A3" w:rsidRPr="00EC2249">
        <w:rPr>
          <w:lang w:val="en-GB"/>
        </w:rPr>
        <w:t xml:space="preserve"> of bio-crude and extracts</w:t>
      </w:r>
      <w:r w:rsidRPr="00EC2249">
        <w:rPr>
          <w:lang w:val="en-GB"/>
        </w:rPr>
        <w:t xml:space="preserve"> was performed by injecting 1 μl of sample in a PerkinElmer C</w:t>
      </w:r>
      <w:r w:rsidR="003D229A">
        <w:rPr>
          <w:lang w:val="en-GB"/>
        </w:rPr>
        <w:t xml:space="preserve">larus </w:t>
      </w:r>
      <w:r w:rsidR="003D229A" w:rsidRPr="00DC10A4">
        <w:rPr>
          <w:lang w:val="en-GB"/>
        </w:rPr>
        <w:t xml:space="preserve">680 </w:t>
      </w:r>
      <w:r w:rsidR="006C473A" w:rsidRPr="00DC10A4">
        <w:rPr>
          <w:lang w:val="en-GB"/>
        </w:rPr>
        <w:t>GC</w:t>
      </w:r>
      <w:r w:rsidRPr="00DC10A4">
        <w:rPr>
          <w:lang w:val="en-GB"/>
        </w:rPr>
        <w:t xml:space="preserve"> coupled </w:t>
      </w:r>
      <w:r w:rsidR="007340D9" w:rsidRPr="00DC10A4">
        <w:rPr>
          <w:lang w:val="en-GB"/>
        </w:rPr>
        <w:t xml:space="preserve">with a PerkinElmer Clarus SQ 8T </w:t>
      </w:r>
      <w:r w:rsidR="006C473A" w:rsidRPr="00DC10A4">
        <w:rPr>
          <w:lang w:val="en-GB"/>
        </w:rPr>
        <w:t>MS</w:t>
      </w:r>
      <w:r w:rsidRPr="00DC10A4">
        <w:rPr>
          <w:lang w:val="en-GB"/>
        </w:rPr>
        <w:t>.</w:t>
      </w:r>
      <w:r w:rsidR="001912DC" w:rsidRPr="00DC10A4">
        <w:rPr>
          <w:lang w:val="en-GB"/>
        </w:rPr>
        <w:t xml:space="preserve"> The analytes were separated in a PerkinElmer Elite 5 column (30 m, 0.25 mm ID, 0.1 μm). The temperature program of the GC was: 70 °C initial temperature for 1 min; 15 °C/min up to 250 °C; hold for 7 </w:t>
      </w:r>
      <w:r w:rsidR="00861B51" w:rsidRPr="00DC10A4">
        <w:rPr>
          <w:lang w:val="en-GB"/>
        </w:rPr>
        <w:t>min</w:t>
      </w:r>
      <w:r w:rsidR="001912DC" w:rsidRPr="00DC10A4">
        <w:rPr>
          <w:lang w:val="en-GB"/>
        </w:rPr>
        <w:t>.</w:t>
      </w:r>
      <w:r w:rsidRPr="00DC10A4">
        <w:rPr>
          <w:lang w:val="en-GB"/>
        </w:rPr>
        <w:t xml:space="preserve"> </w:t>
      </w:r>
      <w:r w:rsidR="00D662FA" w:rsidRPr="00DC10A4">
        <w:rPr>
          <w:lang w:val="en-GB"/>
        </w:rPr>
        <w:t xml:space="preserve">All </w:t>
      </w:r>
      <w:r w:rsidR="00021A1F" w:rsidRPr="00DC10A4">
        <w:rPr>
          <w:lang w:val="en-GB"/>
        </w:rPr>
        <w:t xml:space="preserve">identified </w:t>
      </w:r>
      <w:r w:rsidR="00D662FA" w:rsidRPr="00DC10A4">
        <w:rPr>
          <w:lang w:val="en-GB"/>
        </w:rPr>
        <w:t xml:space="preserve">components except the acids </w:t>
      </w:r>
      <w:r w:rsidR="005B48A3" w:rsidRPr="00DC10A4">
        <w:rPr>
          <w:lang w:val="en-GB"/>
        </w:rPr>
        <w:t>were quantified by</w:t>
      </w:r>
      <w:r w:rsidR="00021A1F" w:rsidRPr="00DC10A4">
        <w:rPr>
          <w:lang w:val="en-GB"/>
        </w:rPr>
        <w:t xml:space="preserve"> means</w:t>
      </w:r>
      <w:r w:rsidR="00021A1F" w:rsidRPr="008113EE">
        <w:rPr>
          <w:lang w:val="en-GB"/>
        </w:rPr>
        <w:t xml:space="preserve"> of the internal standard</w:t>
      </w:r>
      <w:r w:rsidR="00311BD7">
        <w:rPr>
          <w:lang w:val="en-GB"/>
        </w:rPr>
        <w:t xml:space="preserve"> (IS)</w:t>
      </w:r>
      <w:r w:rsidR="00021A1F" w:rsidRPr="008113EE">
        <w:rPr>
          <w:lang w:val="en-GB"/>
        </w:rPr>
        <w:t xml:space="preserve"> method,</w:t>
      </w:r>
      <w:r w:rsidR="005B48A3" w:rsidRPr="008113EE">
        <w:rPr>
          <w:lang w:val="en-GB"/>
        </w:rPr>
        <w:t xml:space="preserve"> </w:t>
      </w:r>
      <w:r w:rsidR="00637CE6" w:rsidRPr="008113EE">
        <w:rPr>
          <w:lang w:val="en-GB"/>
        </w:rPr>
        <w:t>diluting the s</w:t>
      </w:r>
      <w:r w:rsidR="00C144E1" w:rsidRPr="008113EE">
        <w:rPr>
          <w:lang w:val="en-GB"/>
        </w:rPr>
        <w:t>a</w:t>
      </w:r>
      <w:r w:rsidR="00637CE6" w:rsidRPr="008113EE">
        <w:rPr>
          <w:lang w:val="en-GB"/>
        </w:rPr>
        <w:t>mples</w:t>
      </w:r>
      <w:r w:rsidR="001912DC" w:rsidRPr="008113EE">
        <w:rPr>
          <w:lang w:val="en-GB"/>
        </w:rPr>
        <w:t xml:space="preserve"> in DEE (1</w:t>
      </w:r>
      <w:r w:rsidR="005D3824" w:rsidRPr="008113EE">
        <w:rPr>
          <w:lang w:val="en-GB"/>
        </w:rPr>
        <w:t>5</w:t>
      </w:r>
      <w:r w:rsidR="001912DC" w:rsidRPr="008113EE">
        <w:rPr>
          <w:lang w:val="en-GB"/>
        </w:rPr>
        <w:t xml:space="preserve">:1) </w:t>
      </w:r>
      <w:r w:rsidR="00021A1F" w:rsidRPr="008113EE">
        <w:rPr>
          <w:lang w:val="en-GB"/>
        </w:rPr>
        <w:t>spiked</w:t>
      </w:r>
      <w:r w:rsidR="001912DC" w:rsidRPr="008113EE">
        <w:rPr>
          <w:lang w:val="en-GB"/>
        </w:rPr>
        <w:t xml:space="preserve"> with</w:t>
      </w:r>
      <w:r w:rsidR="005B48A3" w:rsidRPr="008113EE">
        <w:rPr>
          <w:lang w:val="en-GB"/>
        </w:rPr>
        <w:t xml:space="preserve"> a known</w:t>
      </w:r>
      <w:r w:rsidR="007340D9" w:rsidRPr="008113EE">
        <w:rPr>
          <w:lang w:val="en-GB"/>
        </w:rPr>
        <w:t xml:space="preserve"> amount of C17</w:t>
      </w:r>
      <w:r w:rsidR="003D229A" w:rsidRPr="008113EE">
        <w:rPr>
          <w:lang w:val="en-GB"/>
        </w:rPr>
        <w:t xml:space="preserve"> </w:t>
      </w:r>
      <w:r w:rsidR="00021A1F" w:rsidRPr="008113EE">
        <w:rPr>
          <w:lang w:val="en-GB"/>
        </w:rPr>
        <w:t>(</w:t>
      </w:r>
      <w:r w:rsidR="00311BD7">
        <w:rPr>
          <w:lang w:val="en-GB"/>
        </w:rPr>
        <w:t>IS</w:t>
      </w:r>
      <w:r w:rsidR="00021A1F" w:rsidRPr="008113EE">
        <w:rPr>
          <w:lang w:val="en-GB"/>
        </w:rPr>
        <w:t>)</w:t>
      </w:r>
      <w:r w:rsidR="001912DC" w:rsidRPr="008113EE">
        <w:rPr>
          <w:lang w:val="en-GB"/>
        </w:rPr>
        <w:t xml:space="preserve">. </w:t>
      </w:r>
      <w:r w:rsidR="00021A1F" w:rsidRPr="008113EE">
        <w:rPr>
          <w:lang w:val="en-GB"/>
        </w:rPr>
        <w:t xml:space="preserve">The identification and </w:t>
      </w:r>
      <w:r w:rsidR="00311BD7" w:rsidRPr="008113EE">
        <w:rPr>
          <w:lang w:val="en-GB"/>
        </w:rPr>
        <w:t>quantitation</w:t>
      </w:r>
      <w:r w:rsidR="00021A1F" w:rsidRPr="008113EE">
        <w:rPr>
          <w:lang w:val="en-GB"/>
        </w:rPr>
        <w:t xml:space="preserve"> of the aci</w:t>
      </w:r>
      <w:r w:rsidR="00E22401">
        <w:rPr>
          <w:lang w:val="en-GB"/>
        </w:rPr>
        <w:t>ds were carried out by derivatiz</w:t>
      </w:r>
      <w:r w:rsidR="00021A1F" w:rsidRPr="008113EE">
        <w:rPr>
          <w:lang w:val="en-GB"/>
        </w:rPr>
        <w:t xml:space="preserve">ing the samples with </w:t>
      </w:r>
      <w:r w:rsidR="00086D4B" w:rsidRPr="008113EE">
        <w:rPr>
          <w:lang w:val="en-GB"/>
        </w:rPr>
        <w:t>BSTFA</w:t>
      </w:r>
      <w:r w:rsidR="00021A1F" w:rsidRPr="008113EE">
        <w:rPr>
          <w:lang w:val="en-GB"/>
        </w:rPr>
        <w:t>,</w:t>
      </w:r>
      <w:r w:rsidR="00086D4B" w:rsidRPr="008113EE">
        <w:rPr>
          <w:lang w:val="en-GB"/>
        </w:rPr>
        <w:t xml:space="preserve"> </w:t>
      </w:r>
      <w:r w:rsidR="007340D9" w:rsidRPr="008113EE">
        <w:rPr>
          <w:lang w:val="en-GB"/>
        </w:rPr>
        <w:t>using</w:t>
      </w:r>
      <w:r w:rsidR="005B48A3" w:rsidRPr="008113EE">
        <w:rPr>
          <w:lang w:val="en-GB"/>
        </w:rPr>
        <w:t xml:space="preserve"> pyridine</w:t>
      </w:r>
      <w:r w:rsidR="007340D9" w:rsidRPr="008113EE">
        <w:rPr>
          <w:lang w:val="en-GB"/>
        </w:rPr>
        <w:t xml:space="preserve"> as solvent</w:t>
      </w:r>
      <w:r w:rsidR="005B48A3" w:rsidRPr="008113EE">
        <w:rPr>
          <w:lang w:val="en-GB"/>
        </w:rPr>
        <w:t xml:space="preserve"> (1:1</w:t>
      </w:r>
      <w:r w:rsidR="00086D4B" w:rsidRPr="008113EE">
        <w:rPr>
          <w:lang w:val="en-GB"/>
        </w:rPr>
        <w:t>:1</w:t>
      </w:r>
      <w:r w:rsidR="007340D9" w:rsidRPr="008113EE">
        <w:rPr>
          <w:lang w:val="en-GB"/>
        </w:rPr>
        <w:t xml:space="preserve"> (w/w)</w:t>
      </w:r>
      <w:r w:rsidR="00637CE6" w:rsidRPr="008113EE">
        <w:rPr>
          <w:lang w:val="en-GB"/>
        </w:rPr>
        <w:t>)</w:t>
      </w:r>
      <w:r w:rsidR="005B48A3" w:rsidRPr="008113EE">
        <w:rPr>
          <w:lang w:val="en-GB"/>
        </w:rPr>
        <w:t xml:space="preserve"> </w:t>
      </w:r>
      <w:r w:rsidR="00021A1F" w:rsidRPr="008113EE">
        <w:rPr>
          <w:lang w:val="en-GB"/>
        </w:rPr>
        <w:t xml:space="preserve">and applying a heat treatment </w:t>
      </w:r>
      <w:r w:rsidR="00086D4B" w:rsidRPr="008113EE">
        <w:rPr>
          <w:lang w:val="en-GB"/>
        </w:rPr>
        <w:t>at</w:t>
      </w:r>
      <w:r w:rsidR="00021A1F" w:rsidRPr="008113EE">
        <w:rPr>
          <w:lang w:val="en-GB"/>
        </w:rPr>
        <w:t xml:space="preserve"> 60 °C </w:t>
      </w:r>
      <w:r w:rsidR="00086D4B" w:rsidRPr="008113EE">
        <w:rPr>
          <w:lang w:val="en-GB"/>
        </w:rPr>
        <w:t>for</w:t>
      </w:r>
      <w:r w:rsidR="007340D9" w:rsidRPr="008113EE">
        <w:rPr>
          <w:lang w:val="en-GB"/>
        </w:rPr>
        <w:t xml:space="preserve"> 20 min</w:t>
      </w:r>
      <w:r w:rsidR="005B48A3" w:rsidRPr="008113EE">
        <w:rPr>
          <w:lang w:val="en-GB"/>
        </w:rPr>
        <w:t xml:space="preserve">. </w:t>
      </w:r>
      <w:r w:rsidR="001912DC" w:rsidRPr="008113EE">
        <w:rPr>
          <w:lang w:val="en-GB"/>
        </w:rPr>
        <w:t>Pyridine</w:t>
      </w:r>
      <w:r w:rsidR="00086D4B" w:rsidRPr="008113EE">
        <w:rPr>
          <w:lang w:val="en-GB"/>
        </w:rPr>
        <w:t xml:space="preserve"> contained a known amount of 4-bromophenol</w:t>
      </w:r>
      <w:r w:rsidR="00EB670F">
        <w:rPr>
          <w:lang w:val="en-GB"/>
        </w:rPr>
        <w:t xml:space="preserve"> (IS)</w:t>
      </w:r>
      <w:r w:rsidR="003D229A" w:rsidRPr="008113EE">
        <w:rPr>
          <w:lang w:val="en-GB"/>
        </w:rPr>
        <w:t>. The derivatis</w:t>
      </w:r>
      <w:r w:rsidR="00086D4B" w:rsidRPr="008113EE">
        <w:rPr>
          <w:lang w:val="en-GB"/>
        </w:rPr>
        <w:t>ed samples were diluted in DEE (25:1</w:t>
      </w:r>
      <w:r w:rsidR="00086D4B" w:rsidRPr="005323F6">
        <w:rPr>
          <w:lang w:val="en-GB"/>
        </w:rPr>
        <w:t>)</w:t>
      </w:r>
      <w:r w:rsidR="001912DC" w:rsidRPr="005323F6">
        <w:rPr>
          <w:lang w:val="en-GB"/>
        </w:rPr>
        <w:t xml:space="preserve">. </w:t>
      </w:r>
      <w:r w:rsidR="003D229A" w:rsidRPr="005323F6">
        <w:rPr>
          <w:lang w:val="en-GB"/>
        </w:rPr>
        <w:t>The identified compounds were approximately quantitated assuming</w:t>
      </w:r>
      <w:r w:rsidR="00EB670F" w:rsidRPr="005323F6">
        <w:rPr>
          <w:lang w:val="en-GB"/>
        </w:rPr>
        <w:t xml:space="preserve"> proportionality between their mass fraction and the chromatographic area</w:t>
      </w:r>
      <w:r w:rsidR="00EB670F">
        <w:rPr>
          <w:lang w:val="en-GB"/>
        </w:rPr>
        <w:t xml:space="preserve"> </w:t>
      </w:r>
      <w:r w:rsidR="00EB670F" w:rsidRPr="00EC2249">
        <w:rPr>
          <w:lang w:val="en-GB"/>
        </w:rPr>
        <w:t>(Nguyen et al., 2014)</w:t>
      </w:r>
      <w:r w:rsidRPr="00EC2249">
        <w:rPr>
          <w:lang w:val="en-GB"/>
        </w:rPr>
        <w:t>.</w:t>
      </w:r>
      <w:r w:rsidR="00A17044" w:rsidRPr="00EC2249">
        <w:rPr>
          <w:lang w:val="en-GB"/>
        </w:rPr>
        <w:t xml:space="preserve"> All</w:t>
      </w:r>
      <w:r w:rsidR="003D229A">
        <w:rPr>
          <w:lang w:val="en-GB"/>
        </w:rPr>
        <w:t xml:space="preserve"> analysis (i.e. density, EA, GC-MS)</w:t>
      </w:r>
      <w:r w:rsidR="005F3774" w:rsidRPr="00EC2249">
        <w:rPr>
          <w:lang w:val="en-GB"/>
        </w:rPr>
        <w:t xml:space="preserve"> were</w:t>
      </w:r>
      <w:r w:rsidR="00A17044" w:rsidRPr="00EC2249">
        <w:rPr>
          <w:lang w:val="en-GB"/>
        </w:rPr>
        <w:t xml:space="preserve"> performed in triplicate</w:t>
      </w:r>
      <w:r w:rsidR="00A53E25">
        <w:rPr>
          <w:lang w:val="en-GB"/>
        </w:rPr>
        <w:t>.</w:t>
      </w:r>
    </w:p>
    <w:p w14:paraId="6F232BD6" w14:textId="77777777" w:rsidR="00A67036" w:rsidRPr="00EC2249" w:rsidRDefault="00A67036" w:rsidP="00A67036">
      <w:pPr>
        <w:pStyle w:val="CETHeading1"/>
        <w:rPr>
          <w:lang w:val="en-GB"/>
        </w:rPr>
      </w:pPr>
      <w:r w:rsidRPr="00EC2249">
        <w:rPr>
          <w:lang w:val="en-GB"/>
        </w:rPr>
        <w:t>Results and discussion</w:t>
      </w:r>
    </w:p>
    <w:p w14:paraId="33559F90" w14:textId="77777777" w:rsidR="00A67036" w:rsidRPr="00EC2249" w:rsidRDefault="00EC4E40" w:rsidP="00A67036">
      <w:pPr>
        <w:pStyle w:val="CETheadingx"/>
        <w:rPr>
          <w:lang w:val="en-GB"/>
        </w:rPr>
      </w:pPr>
      <w:r w:rsidRPr="00EC2249">
        <w:rPr>
          <w:lang w:val="en-GB"/>
        </w:rPr>
        <w:t xml:space="preserve">Extraction yields and </w:t>
      </w:r>
      <w:r w:rsidR="002A0A6A" w:rsidRPr="00EC2249">
        <w:rPr>
          <w:lang w:val="en-GB"/>
        </w:rPr>
        <w:t>vapour</w:t>
      </w:r>
      <w:r w:rsidRPr="00EC2249">
        <w:rPr>
          <w:lang w:val="en-GB"/>
        </w:rPr>
        <w:t xml:space="preserve"> phase loading (VPL)</w:t>
      </w:r>
    </w:p>
    <w:p w14:paraId="4FB03B34" w14:textId="7C717079" w:rsidR="00744C7C" w:rsidRDefault="00C22ADC" w:rsidP="00744C7C">
      <w:pPr>
        <w:pStyle w:val="CETBodytext"/>
        <w:rPr>
          <w:lang w:val="en-GB"/>
        </w:rPr>
      </w:pPr>
      <w:r w:rsidRPr="00EC2249">
        <w:rPr>
          <w:lang w:val="en-GB"/>
        </w:rPr>
        <w:t>The operati</w:t>
      </w:r>
      <w:r w:rsidR="00805B3D" w:rsidRPr="00EC2249">
        <w:rPr>
          <w:lang w:val="en-GB"/>
        </w:rPr>
        <w:t>ng conditions and experimental data</w:t>
      </w:r>
      <w:r w:rsidR="00637CE6">
        <w:rPr>
          <w:lang w:val="en-GB"/>
        </w:rPr>
        <w:t xml:space="preserve"> of all extractions </w:t>
      </w:r>
      <w:r w:rsidRPr="00EC2249">
        <w:rPr>
          <w:lang w:val="en-GB"/>
        </w:rPr>
        <w:t xml:space="preserve">are reported in Table 1. </w:t>
      </w:r>
      <w:r w:rsidR="002A612F" w:rsidRPr="00EC2249">
        <w:rPr>
          <w:lang w:val="en-GB"/>
        </w:rPr>
        <w:t>The extraction temperature (T) for all runs was set to</w:t>
      </w:r>
      <w:r w:rsidR="002A612F">
        <w:rPr>
          <w:lang w:val="en-GB"/>
        </w:rPr>
        <w:t xml:space="preserve"> 120 ºC while</w:t>
      </w:r>
      <w:r w:rsidR="002A612F" w:rsidRPr="00EC2249">
        <w:rPr>
          <w:lang w:val="en-GB"/>
        </w:rPr>
        <w:t xml:space="preserve"> pressure (P) was set to different values in order to achieve CO</w:t>
      </w:r>
      <w:r w:rsidR="002A612F" w:rsidRPr="003D229A">
        <w:rPr>
          <w:vertAlign w:val="subscript"/>
          <w:lang w:val="en-GB"/>
        </w:rPr>
        <w:t>2</w:t>
      </w:r>
      <w:r w:rsidR="002A612F" w:rsidRPr="00EC2249">
        <w:rPr>
          <w:lang w:val="en-GB"/>
        </w:rPr>
        <w:t xml:space="preserve"> densities (ρ) in the r</w:t>
      </w:r>
      <w:r w:rsidR="002A612F">
        <w:rPr>
          <w:lang w:val="en-GB"/>
        </w:rPr>
        <w:t xml:space="preserve">ange of 500 to 730 </w:t>
      </w:r>
      <w:r w:rsidR="002A612F" w:rsidRPr="0075445A">
        <w:rPr>
          <w:lang w:val="en-GB"/>
        </w:rPr>
        <w:t>kg/m</w:t>
      </w:r>
      <w:r w:rsidR="002A612F" w:rsidRPr="0075445A">
        <w:rPr>
          <w:vertAlign w:val="superscript"/>
          <w:lang w:val="en-GB"/>
        </w:rPr>
        <w:t>3</w:t>
      </w:r>
      <w:r w:rsidR="002A612F" w:rsidRPr="0075445A">
        <w:rPr>
          <w:lang w:val="en-GB"/>
        </w:rPr>
        <w:t>.</w:t>
      </w:r>
      <w:r w:rsidR="002A612F">
        <w:rPr>
          <w:lang w:val="en-GB"/>
        </w:rPr>
        <w:t xml:space="preserve"> Pressure and temperature w</w:t>
      </w:r>
      <w:r w:rsidR="002A612F" w:rsidRPr="00EC2249">
        <w:rPr>
          <w:lang w:val="en-GB"/>
        </w:rPr>
        <w:t>ere maintained for the whole</w:t>
      </w:r>
      <w:r w:rsidR="002A612F">
        <w:rPr>
          <w:lang w:val="en-GB"/>
        </w:rPr>
        <w:t xml:space="preserve"> </w:t>
      </w:r>
      <w:r w:rsidR="002A612F" w:rsidRPr="009308C9">
        <w:rPr>
          <w:lang w:val="en-GB"/>
        </w:rPr>
        <w:t>duration of each extraction with average standard deviations (SD) of 3 bar and 0.4 ºC</w:t>
      </w:r>
      <w:r w:rsidR="0026403A" w:rsidRPr="009308C9">
        <w:rPr>
          <w:lang w:val="en-GB"/>
        </w:rPr>
        <w:t>,</w:t>
      </w:r>
      <w:r w:rsidR="002A612F" w:rsidRPr="009308C9">
        <w:rPr>
          <w:lang w:val="en-GB"/>
        </w:rPr>
        <w:t xml:space="preserve"> respectively. In addition,</w:t>
      </w:r>
      <w:r w:rsidR="002A612F" w:rsidRPr="00EC2249">
        <w:rPr>
          <w:lang w:val="en-GB"/>
        </w:rPr>
        <w:t xml:space="preserve"> the average flow rate (Q) is reported (SD 0.8 g/min). Extractions lasted approximately 4 hours and 4-5 extracts </w:t>
      </w:r>
      <w:r w:rsidR="002A612F" w:rsidRPr="009308C9">
        <w:rPr>
          <w:lang w:val="en-GB"/>
        </w:rPr>
        <w:t>were collected for each run</w:t>
      </w:r>
      <w:r w:rsidR="00744C7C" w:rsidRPr="009308C9">
        <w:rPr>
          <w:lang w:val="en-GB"/>
        </w:rPr>
        <w:t xml:space="preserve"> (E1, E2, …, E5)</w:t>
      </w:r>
      <w:r w:rsidR="002A612F" w:rsidRPr="009308C9">
        <w:rPr>
          <w:lang w:val="en-GB"/>
        </w:rPr>
        <w:t>. The extracts appeared remarkably less viscous than the bio-crude</w:t>
      </w:r>
      <w:r w:rsidR="002A612F" w:rsidRPr="00EC2249">
        <w:rPr>
          <w:lang w:val="en-GB"/>
        </w:rPr>
        <w:t xml:space="preserve"> </w:t>
      </w:r>
      <w:r w:rsidR="0026403A" w:rsidRPr="009308C9">
        <w:rPr>
          <w:lang w:val="en-GB"/>
        </w:rPr>
        <w:t xml:space="preserve">feed </w:t>
      </w:r>
      <w:r w:rsidR="002A612F" w:rsidRPr="009308C9">
        <w:rPr>
          <w:lang w:val="en-GB"/>
        </w:rPr>
        <w:t>while the residue was a dry solid (Figure 1b and 1c). Extraction yield</w:t>
      </w:r>
      <w:r w:rsidR="0026403A" w:rsidRPr="009308C9">
        <w:rPr>
          <w:lang w:val="en-GB"/>
        </w:rPr>
        <w:t xml:space="preserve">s at time </w:t>
      </w:r>
      <m:oMath>
        <m:r>
          <w:rPr>
            <w:rFonts w:ascii="Cambria Math" w:hAnsi="Cambria Math"/>
            <w:lang w:val="en-GB"/>
          </w:rPr>
          <m:t>t</m:t>
        </m:r>
      </m:oMath>
      <w:r w:rsidR="0026403A" w:rsidRPr="009308C9">
        <w:rPr>
          <w:lang w:val="en-GB"/>
        </w:rPr>
        <w:t xml:space="preserve"> were</w:t>
      </w:r>
      <w:r w:rsidR="002A612F" w:rsidRPr="009308C9">
        <w:rPr>
          <w:lang w:val="en-GB"/>
        </w:rPr>
        <w:t xml:space="preserve"> calculated </w:t>
      </w:r>
      <w:r w:rsidR="0026403A" w:rsidRPr="009308C9">
        <w:rPr>
          <w:lang w:val="en-GB"/>
        </w:rPr>
        <w:t xml:space="preserve">as the ratio of the mass extracted from the beginning of the flow mode of operation </w:t>
      </w:r>
      <m:oMath>
        <m:r>
          <w:rPr>
            <w:rFonts w:ascii="Cambria Math" w:hAnsi="Cambria Math"/>
            <w:lang w:val="en-GB"/>
          </w:rPr>
          <m:t>(t=0)</m:t>
        </m:r>
      </m:oMath>
      <w:r w:rsidR="0026403A" w:rsidRPr="009308C9">
        <w:rPr>
          <w:lang w:val="en-GB"/>
        </w:rPr>
        <w:t xml:space="preserve"> </w:t>
      </w:r>
      <w:r w:rsidR="00744C7C" w:rsidRPr="009308C9">
        <w:rPr>
          <w:lang w:val="en-GB"/>
        </w:rPr>
        <w:t xml:space="preserve">until </w:t>
      </w:r>
      <w:r w:rsidR="0026403A" w:rsidRPr="009308C9">
        <w:rPr>
          <w:lang w:val="en-GB"/>
        </w:rPr>
        <w:t xml:space="preserve">time </w:t>
      </w:r>
      <m:oMath>
        <m:r>
          <w:rPr>
            <w:rFonts w:ascii="Cambria Math" w:hAnsi="Cambria Math"/>
            <w:lang w:val="en-GB"/>
          </w:rPr>
          <m:t>t</m:t>
        </m:r>
      </m:oMath>
      <w:r w:rsidR="0026403A" w:rsidRPr="009308C9">
        <w:rPr>
          <w:lang w:val="en-GB"/>
        </w:rPr>
        <w:t xml:space="preserve"> </w:t>
      </w:r>
      <w:r w:rsidR="00744C7C" w:rsidRPr="009308C9">
        <w:rPr>
          <w:lang w:val="en-GB"/>
        </w:rPr>
        <w:t xml:space="preserve">and the </w:t>
      </w:r>
      <w:r w:rsidR="000F3370" w:rsidRPr="009308C9">
        <w:rPr>
          <w:lang w:val="en-GB"/>
        </w:rPr>
        <w:t>mass of the</w:t>
      </w:r>
      <w:r w:rsidR="00C139AC" w:rsidRPr="009308C9">
        <w:rPr>
          <w:lang w:val="en-GB"/>
        </w:rPr>
        <w:t xml:space="preserve"> feed</w:t>
      </w:r>
      <w:r w:rsidR="00744C7C" w:rsidRPr="009308C9">
        <w:rPr>
          <w:lang w:val="en-GB"/>
        </w:rPr>
        <w:t xml:space="preserve"> (F)</w:t>
      </w:r>
      <w:r w:rsidR="00C139AC" w:rsidRPr="009308C9">
        <w:rPr>
          <w:lang w:val="en-GB"/>
        </w:rPr>
        <w:t xml:space="preserve">. </w:t>
      </w:r>
      <w:r w:rsidR="002A612F" w:rsidRPr="009308C9">
        <w:rPr>
          <w:lang w:val="en-GB"/>
        </w:rPr>
        <w:t>Total extraction yield</w:t>
      </w:r>
      <w:r w:rsidR="00744C7C" w:rsidRPr="009308C9">
        <w:rPr>
          <w:lang w:val="en-GB"/>
        </w:rPr>
        <w:t>s</w:t>
      </w:r>
      <w:r w:rsidR="002A612F" w:rsidRPr="009308C9">
        <w:rPr>
          <w:lang w:val="en-GB"/>
        </w:rPr>
        <w:t xml:space="preserve"> </w:t>
      </w:r>
      <w:r w:rsidR="000F3370" w:rsidRPr="009308C9">
        <w:rPr>
          <w:lang w:val="en-GB"/>
        </w:rPr>
        <w:t>(</w:t>
      </w:r>
      <w:r w:rsidR="002A612F" w:rsidRPr="009308C9">
        <w:rPr>
          <w:lang w:val="en-GB"/>
        </w:rPr>
        <w:t>Y</w:t>
      </w:r>
      <w:r w:rsidR="002A612F" w:rsidRPr="009308C9">
        <w:rPr>
          <w:vertAlign w:val="subscript"/>
          <w:lang w:val="en-GB"/>
        </w:rPr>
        <w:t>T</w:t>
      </w:r>
      <w:r w:rsidR="000F3370" w:rsidRPr="009308C9">
        <w:rPr>
          <w:lang w:val="en-GB"/>
        </w:rPr>
        <w:t>)</w:t>
      </w:r>
      <w:r w:rsidR="002A612F" w:rsidRPr="009308C9">
        <w:rPr>
          <w:lang w:val="en-GB"/>
        </w:rPr>
        <w:t xml:space="preserve"> </w:t>
      </w:r>
      <w:r w:rsidR="00744C7C" w:rsidRPr="009308C9">
        <w:rPr>
          <w:lang w:val="en-GB"/>
        </w:rPr>
        <w:t xml:space="preserve">refer to </w:t>
      </w:r>
      <w:r w:rsidR="002A612F" w:rsidRPr="009308C9">
        <w:rPr>
          <w:lang w:val="en-GB"/>
        </w:rPr>
        <w:t>the</w:t>
      </w:r>
      <w:r w:rsidR="00C139AC" w:rsidRPr="009308C9">
        <w:rPr>
          <w:lang w:val="en-GB"/>
        </w:rPr>
        <w:t xml:space="preserve"> </w:t>
      </w:r>
      <w:r w:rsidR="00744C7C" w:rsidRPr="009308C9">
        <w:rPr>
          <w:lang w:val="en-GB"/>
        </w:rPr>
        <w:t xml:space="preserve">time of the </w:t>
      </w:r>
      <w:r w:rsidR="00C139AC" w:rsidRPr="009308C9">
        <w:rPr>
          <w:lang w:val="en-GB"/>
        </w:rPr>
        <w:t>last extract</w:t>
      </w:r>
      <w:r w:rsidR="002A612F" w:rsidRPr="009308C9">
        <w:rPr>
          <w:lang w:val="en-GB"/>
        </w:rPr>
        <w:t>.</w:t>
      </w:r>
      <w:r w:rsidR="00744C7C" w:rsidRPr="009308C9">
        <w:rPr>
          <w:lang w:val="en-GB"/>
        </w:rPr>
        <w:t xml:space="preserve"> They were observed to range from 3</w:t>
      </w:r>
      <w:r w:rsidR="00E261D9" w:rsidRPr="009308C9">
        <w:rPr>
          <w:lang w:val="en-GB"/>
        </w:rPr>
        <w:t>4</w:t>
      </w:r>
      <w:r w:rsidR="000F3370" w:rsidRPr="009308C9">
        <w:rPr>
          <w:lang w:val="en-GB"/>
        </w:rPr>
        <w:t xml:space="preserve"> to 49 %. </w:t>
      </w:r>
      <w:r w:rsidR="00744C7C" w:rsidRPr="009308C9">
        <w:rPr>
          <w:lang w:val="en-GB"/>
        </w:rPr>
        <w:t>The mass of the residue (RS), t</w:t>
      </w:r>
      <w:r w:rsidR="000F3370" w:rsidRPr="009308C9">
        <w:rPr>
          <w:lang w:val="en-GB"/>
        </w:rPr>
        <w:t xml:space="preserve">he cumulative solvent-to-feed ratio (S/F) and </w:t>
      </w:r>
      <w:r w:rsidR="00744C7C" w:rsidRPr="009308C9">
        <w:rPr>
          <w:lang w:val="en-GB"/>
        </w:rPr>
        <w:t xml:space="preserve">the </w:t>
      </w:r>
      <w:r w:rsidR="000F3370" w:rsidRPr="009308C9">
        <w:rPr>
          <w:lang w:val="en-GB"/>
        </w:rPr>
        <w:t xml:space="preserve">mass balance closures (MB) are also reported in Table 1. </w:t>
      </w:r>
      <w:r w:rsidR="00744C7C" w:rsidRPr="009308C9">
        <w:rPr>
          <w:lang w:val="en-GB"/>
        </w:rPr>
        <w:t>The mass balance closure discrepancy is in line with the extracted material</w:t>
      </w:r>
      <w:r w:rsidR="00744C7C" w:rsidRPr="0075445A">
        <w:rPr>
          <w:lang w:val="en-GB"/>
        </w:rPr>
        <w:t xml:space="preserve"> remaining in the dead volume of piping (estimated 6.2 ml) after the end of an extraction.</w:t>
      </w:r>
    </w:p>
    <w:p w14:paraId="2DA66C7E" w14:textId="091C30F0" w:rsidR="002878A1" w:rsidRPr="00EC2249" w:rsidRDefault="002878A1" w:rsidP="002878A1">
      <w:pPr>
        <w:pStyle w:val="CETCaption"/>
      </w:pPr>
      <w:r w:rsidRPr="009308C9">
        <w:t xml:space="preserve">Table </w:t>
      </w:r>
      <w:r w:rsidRPr="009308C9">
        <w:fldChar w:fldCharType="begin"/>
      </w:r>
      <w:r w:rsidRPr="009308C9">
        <w:instrText xml:space="preserve"> SEQ Table \* ARABIC </w:instrText>
      </w:r>
      <w:r w:rsidRPr="009308C9">
        <w:fldChar w:fldCharType="separate"/>
      </w:r>
      <w:r w:rsidR="00E22401" w:rsidRPr="009308C9">
        <w:rPr>
          <w:noProof/>
        </w:rPr>
        <w:t>1</w:t>
      </w:r>
      <w:r w:rsidRPr="009308C9">
        <w:fldChar w:fldCharType="end"/>
      </w:r>
      <w:r w:rsidRPr="009308C9">
        <w:t>: Operating conditions and experimental results of all extractions.</w:t>
      </w:r>
      <w:r w:rsidRPr="00EC2249">
        <w:t xml:space="preserve"> 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6"/>
        <w:gridCol w:w="535"/>
        <w:gridCol w:w="611"/>
        <w:gridCol w:w="884"/>
        <w:gridCol w:w="835"/>
        <w:gridCol w:w="422"/>
        <w:gridCol w:w="547"/>
        <w:gridCol w:w="547"/>
        <w:gridCol w:w="547"/>
        <w:gridCol w:w="547"/>
        <w:gridCol w:w="547"/>
        <w:gridCol w:w="578"/>
        <w:gridCol w:w="480"/>
        <w:gridCol w:w="779"/>
        <w:gridCol w:w="562"/>
      </w:tblGrid>
      <w:tr w:rsidR="002878A1" w:rsidRPr="00EC2249" w14:paraId="689581CA" w14:textId="77777777" w:rsidTr="006721D6">
        <w:tc>
          <w:tcPr>
            <w:tcW w:w="209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49CDEBC" w14:textId="77777777" w:rsidR="002878A1" w:rsidRPr="00EC2249" w:rsidRDefault="002878A1" w:rsidP="006721D6">
            <w:pPr>
              <w:pStyle w:val="CETBodytext"/>
              <w:rPr>
                <w:lang w:val="en-GB"/>
              </w:rPr>
            </w:pPr>
            <w:r w:rsidRPr="00EC2249">
              <w:rPr>
                <w:lang w:val="en-GB"/>
              </w:rPr>
              <w:t xml:space="preserve">Run </w:t>
            </w:r>
          </w:p>
        </w:tc>
        <w:tc>
          <w:tcPr>
            <w:tcW w:w="305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119BEA4" w14:textId="77777777" w:rsidR="002878A1" w:rsidRPr="00EC2249" w:rsidRDefault="002878A1" w:rsidP="006721D6">
            <w:pPr>
              <w:pStyle w:val="CETBodytext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 xml:space="preserve">T </w:t>
            </w:r>
          </w:p>
          <w:p w14:paraId="03B38C72" w14:textId="77777777" w:rsidR="002878A1" w:rsidRPr="00EC2249" w:rsidRDefault="002878A1" w:rsidP="006721D6">
            <w:pPr>
              <w:pStyle w:val="CETBodytext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(°C)</w:t>
            </w:r>
          </w:p>
        </w:tc>
        <w:tc>
          <w:tcPr>
            <w:tcW w:w="348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A1FB66D" w14:textId="77777777" w:rsidR="002878A1" w:rsidRPr="00EC2249" w:rsidRDefault="002878A1" w:rsidP="006721D6">
            <w:pPr>
              <w:pStyle w:val="CETBodytext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 xml:space="preserve">P </w:t>
            </w:r>
          </w:p>
          <w:p w14:paraId="4DA6323D" w14:textId="77777777" w:rsidR="002878A1" w:rsidRPr="00EC2249" w:rsidRDefault="002878A1" w:rsidP="006721D6">
            <w:pPr>
              <w:pStyle w:val="CETBodytext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(bar)</w:t>
            </w:r>
          </w:p>
        </w:tc>
        <w:tc>
          <w:tcPr>
            <w:tcW w:w="503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BE2224D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 xml:space="preserve">ρ </w:t>
            </w:r>
          </w:p>
          <w:p w14:paraId="2D4AE381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lang w:val="en-GB"/>
              </w:rPr>
              <w:t>(kg/m</w:t>
            </w:r>
            <w:r w:rsidRPr="00EC2249">
              <w:rPr>
                <w:vertAlign w:val="superscript"/>
                <w:lang w:val="en-GB"/>
              </w:rPr>
              <w:t>3</w:t>
            </w:r>
            <w:r w:rsidRPr="00EC2249">
              <w:rPr>
                <w:lang w:val="en-GB"/>
              </w:rPr>
              <w:t>)</w:t>
            </w:r>
            <w:r w:rsidRPr="00EC2249">
              <w:rPr>
                <w:vertAlign w:val="superscript"/>
                <w:lang w:val="en-GB"/>
              </w:rPr>
              <w:t>a</w:t>
            </w:r>
          </w:p>
        </w:tc>
        <w:tc>
          <w:tcPr>
            <w:tcW w:w="475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D068556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 xml:space="preserve">Q </w:t>
            </w:r>
          </w:p>
          <w:p w14:paraId="6E35F3EE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(g/min)</w:t>
            </w:r>
          </w:p>
        </w:tc>
        <w:tc>
          <w:tcPr>
            <w:tcW w:w="24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6DBDA70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 xml:space="preserve">F </w:t>
            </w:r>
          </w:p>
          <w:p w14:paraId="5B57C098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(g)</w:t>
            </w:r>
          </w:p>
        </w:tc>
        <w:tc>
          <w:tcPr>
            <w:tcW w:w="311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084731D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 xml:space="preserve">E1 </w:t>
            </w:r>
          </w:p>
          <w:p w14:paraId="04410EF5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(g)</w:t>
            </w:r>
          </w:p>
        </w:tc>
        <w:tc>
          <w:tcPr>
            <w:tcW w:w="311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EE7844D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 xml:space="preserve">E2 </w:t>
            </w:r>
          </w:p>
          <w:p w14:paraId="22CB59C3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(g)</w:t>
            </w:r>
          </w:p>
        </w:tc>
        <w:tc>
          <w:tcPr>
            <w:tcW w:w="311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E3F54DF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 xml:space="preserve">E3 </w:t>
            </w:r>
          </w:p>
          <w:p w14:paraId="0EA7D059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(g)</w:t>
            </w:r>
          </w:p>
        </w:tc>
        <w:tc>
          <w:tcPr>
            <w:tcW w:w="311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6F09802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 xml:space="preserve">E4 </w:t>
            </w:r>
          </w:p>
          <w:p w14:paraId="67046EF9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(g)</w:t>
            </w:r>
          </w:p>
        </w:tc>
        <w:tc>
          <w:tcPr>
            <w:tcW w:w="311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0223607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 xml:space="preserve">E5 </w:t>
            </w:r>
          </w:p>
          <w:p w14:paraId="2B7F6FC7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(g)</w:t>
            </w:r>
          </w:p>
        </w:tc>
        <w:tc>
          <w:tcPr>
            <w:tcW w:w="329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2EFF8D6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 xml:space="preserve">RS </w:t>
            </w:r>
          </w:p>
          <w:p w14:paraId="5B2A17E3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(g)</w:t>
            </w:r>
          </w:p>
        </w:tc>
        <w:tc>
          <w:tcPr>
            <w:tcW w:w="273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8E339C0" w14:textId="63203916" w:rsidR="002878A1" w:rsidRPr="00EC2249" w:rsidRDefault="00A7248E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>
              <w:rPr>
                <w:lang w:val="en-GB"/>
              </w:rPr>
              <w:t>MB</w:t>
            </w:r>
            <w:r w:rsidR="002878A1" w:rsidRPr="00EC2249">
              <w:rPr>
                <w:lang w:val="en-GB"/>
              </w:rPr>
              <w:t xml:space="preserve"> </w:t>
            </w:r>
          </w:p>
          <w:p w14:paraId="402B763B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(%)</w:t>
            </w:r>
          </w:p>
        </w:tc>
        <w:tc>
          <w:tcPr>
            <w:tcW w:w="443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E639C75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 xml:space="preserve">S/F </w:t>
            </w:r>
          </w:p>
          <w:p w14:paraId="2E762B57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(g/g)</w:t>
            </w:r>
          </w:p>
        </w:tc>
        <w:tc>
          <w:tcPr>
            <w:tcW w:w="321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6698598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bscript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Y</w:t>
            </w:r>
            <w:r w:rsidRPr="00EC2249">
              <w:rPr>
                <w:rFonts w:cs="Arial"/>
                <w:szCs w:val="18"/>
                <w:vertAlign w:val="subscript"/>
                <w:lang w:val="en-GB"/>
              </w:rPr>
              <w:t xml:space="preserve">T </w:t>
            </w:r>
          </w:p>
          <w:p w14:paraId="1936DBA8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(%)</w:t>
            </w:r>
          </w:p>
        </w:tc>
      </w:tr>
      <w:tr w:rsidR="002878A1" w:rsidRPr="00EC2249" w14:paraId="230F64B6" w14:textId="77777777" w:rsidTr="006721D6">
        <w:tc>
          <w:tcPr>
            <w:tcW w:w="209" w:type="pct"/>
            <w:tcBorders>
              <w:bottom w:val="nil"/>
            </w:tcBorders>
            <w:shd w:val="clear" w:color="auto" w:fill="FFFFFF"/>
          </w:tcPr>
          <w:p w14:paraId="4AA10058" w14:textId="77777777" w:rsidR="002878A1" w:rsidRPr="00EC2249" w:rsidRDefault="002878A1" w:rsidP="006721D6">
            <w:pPr>
              <w:pStyle w:val="CETBodytext"/>
              <w:rPr>
                <w:lang w:val="en-GB"/>
              </w:rPr>
            </w:pPr>
            <w:r w:rsidRPr="00EC2249">
              <w:rPr>
                <w:lang w:val="en-GB"/>
              </w:rPr>
              <w:t>A</w:t>
            </w:r>
          </w:p>
        </w:tc>
        <w:tc>
          <w:tcPr>
            <w:tcW w:w="305" w:type="pct"/>
            <w:tcBorders>
              <w:bottom w:val="nil"/>
            </w:tcBorders>
            <w:shd w:val="clear" w:color="auto" w:fill="FFFFFF"/>
          </w:tcPr>
          <w:p w14:paraId="1D970145" w14:textId="77777777" w:rsidR="002878A1" w:rsidRPr="00EC2249" w:rsidRDefault="002878A1" w:rsidP="006721D6">
            <w:pPr>
              <w:pStyle w:val="CETBodytext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120</w:t>
            </w:r>
          </w:p>
        </w:tc>
        <w:tc>
          <w:tcPr>
            <w:tcW w:w="348" w:type="pct"/>
            <w:tcBorders>
              <w:bottom w:val="nil"/>
            </w:tcBorders>
            <w:shd w:val="clear" w:color="auto" w:fill="FFFFFF"/>
          </w:tcPr>
          <w:p w14:paraId="45186A9D" w14:textId="77777777" w:rsidR="002878A1" w:rsidRPr="00EC2249" w:rsidRDefault="002878A1" w:rsidP="006721D6">
            <w:pPr>
              <w:pStyle w:val="CETBodytext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247</w:t>
            </w:r>
          </w:p>
        </w:tc>
        <w:tc>
          <w:tcPr>
            <w:tcW w:w="503" w:type="pct"/>
            <w:tcBorders>
              <w:bottom w:val="nil"/>
            </w:tcBorders>
            <w:shd w:val="clear" w:color="auto" w:fill="FFFFFF"/>
          </w:tcPr>
          <w:p w14:paraId="54BEEBDD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500</w:t>
            </w:r>
          </w:p>
        </w:tc>
        <w:tc>
          <w:tcPr>
            <w:tcW w:w="475" w:type="pct"/>
            <w:tcBorders>
              <w:bottom w:val="nil"/>
            </w:tcBorders>
            <w:shd w:val="clear" w:color="auto" w:fill="FFFFFF"/>
          </w:tcPr>
          <w:p w14:paraId="3B6B6D87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6.9</w:t>
            </w:r>
          </w:p>
        </w:tc>
        <w:tc>
          <w:tcPr>
            <w:tcW w:w="240" w:type="pct"/>
            <w:tcBorders>
              <w:bottom w:val="nil"/>
            </w:tcBorders>
            <w:shd w:val="clear" w:color="auto" w:fill="FFFFFF"/>
          </w:tcPr>
          <w:p w14:paraId="2355B1A1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30.8</w:t>
            </w:r>
          </w:p>
        </w:tc>
        <w:tc>
          <w:tcPr>
            <w:tcW w:w="311" w:type="pct"/>
            <w:tcBorders>
              <w:bottom w:val="nil"/>
            </w:tcBorders>
            <w:shd w:val="clear" w:color="auto" w:fill="FFFFFF"/>
          </w:tcPr>
          <w:p w14:paraId="298C424F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2.3</w:t>
            </w:r>
          </w:p>
        </w:tc>
        <w:tc>
          <w:tcPr>
            <w:tcW w:w="311" w:type="pct"/>
            <w:tcBorders>
              <w:bottom w:val="nil"/>
            </w:tcBorders>
            <w:shd w:val="clear" w:color="auto" w:fill="FFFFFF"/>
          </w:tcPr>
          <w:p w14:paraId="04D89BDB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2.1</w:t>
            </w:r>
          </w:p>
        </w:tc>
        <w:tc>
          <w:tcPr>
            <w:tcW w:w="311" w:type="pct"/>
            <w:tcBorders>
              <w:bottom w:val="nil"/>
            </w:tcBorders>
            <w:shd w:val="clear" w:color="auto" w:fill="FFFFFF"/>
          </w:tcPr>
          <w:p w14:paraId="04DFDB28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3.0</w:t>
            </w:r>
          </w:p>
        </w:tc>
        <w:tc>
          <w:tcPr>
            <w:tcW w:w="311" w:type="pct"/>
            <w:tcBorders>
              <w:bottom w:val="nil"/>
            </w:tcBorders>
            <w:shd w:val="clear" w:color="auto" w:fill="FFFFFF"/>
          </w:tcPr>
          <w:p w14:paraId="1AE742A8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3.0</w:t>
            </w:r>
          </w:p>
        </w:tc>
        <w:tc>
          <w:tcPr>
            <w:tcW w:w="311" w:type="pct"/>
            <w:tcBorders>
              <w:bottom w:val="nil"/>
            </w:tcBorders>
            <w:shd w:val="clear" w:color="auto" w:fill="FFFFFF"/>
          </w:tcPr>
          <w:p w14:paraId="34F4F88E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329" w:type="pct"/>
            <w:tcBorders>
              <w:bottom w:val="nil"/>
            </w:tcBorders>
            <w:shd w:val="clear" w:color="auto" w:fill="FFFFFF"/>
          </w:tcPr>
          <w:p w14:paraId="34F02B0A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16.6</w:t>
            </w:r>
          </w:p>
        </w:tc>
        <w:tc>
          <w:tcPr>
            <w:tcW w:w="273" w:type="pct"/>
            <w:tcBorders>
              <w:bottom w:val="nil"/>
            </w:tcBorders>
            <w:shd w:val="clear" w:color="auto" w:fill="FFFFFF"/>
          </w:tcPr>
          <w:p w14:paraId="7CAFF519" w14:textId="2E067E35" w:rsidR="002878A1" w:rsidRPr="00EC2249" w:rsidRDefault="00A7248E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87.6</w:t>
            </w:r>
          </w:p>
        </w:tc>
        <w:tc>
          <w:tcPr>
            <w:tcW w:w="443" w:type="pct"/>
            <w:tcBorders>
              <w:bottom w:val="nil"/>
            </w:tcBorders>
            <w:shd w:val="clear" w:color="auto" w:fill="FFFFFF"/>
          </w:tcPr>
          <w:p w14:paraId="055AB174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50.9</w:t>
            </w:r>
          </w:p>
        </w:tc>
        <w:tc>
          <w:tcPr>
            <w:tcW w:w="321" w:type="pct"/>
            <w:tcBorders>
              <w:bottom w:val="nil"/>
            </w:tcBorders>
            <w:shd w:val="clear" w:color="auto" w:fill="FFFFFF"/>
          </w:tcPr>
          <w:p w14:paraId="03565BE0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33.9</w:t>
            </w:r>
          </w:p>
        </w:tc>
      </w:tr>
      <w:tr w:rsidR="002878A1" w:rsidRPr="00EC2249" w14:paraId="5C46D2A9" w14:textId="77777777" w:rsidTr="006721D6">
        <w:tc>
          <w:tcPr>
            <w:tcW w:w="209" w:type="pct"/>
            <w:tcBorders>
              <w:top w:val="nil"/>
              <w:bottom w:val="nil"/>
            </w:tcBorders>
            <w:shd w:val="clear" w:color="auto" w:fill="FFFFFF"/>
          </w:tcPr>
          <w:p w14:paraId="209766C5" w14:textId="77777777" w:rsidR="002878A1" w:rsidRPr="00EC2249" w:rsidRDefault="002878A1" w:rsidP="006721D6">
            <w:pPr>
              <w:pStyle w:val="CETBodytext"/>
              <w:rPr>
                <w:lang w:val="en-GB"/>
              </w:rPr>
            </w:pPr>
            <w:r w:rsidRPr="00EC2249">
              <w:rPr>
                <w:lang w:val="en-GB"/>
              </w:rPr>
              <w:t>B</w:t>
            </w:r>
          </w:p>
        </w:tc>
        <w:tc>
          <w:tcPr>
            <w:tcW w:w="305" w:type="pct"/>
            <w:tcBorders>
              <w:top w:val="nil"/>
              <w:bottom w:val="nil"/>
            </w:tcBorders>
            <w:shd w:val="clear" w:color="auto" w:fill="FFFFFF"/>
          </w:tcPr>
          <w:p w14:paraId="6B4E666F" w14:textId="77777777" w:rsidR="002878A1" w:rsidRPr="00EC2249" w:rsidRDefault="002878A1" w:rsidP="006721D6">
            <w:pPr>
              <w:pStyle w:val="CETBodytext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120</w:t>
            </w:r>
          </w:p>
        </w:tc>
        <w:tc>
          <w:tcPr>
            <w:tcW w:w="348" w:type="pct"/>
            <w:tcBorders>
              <w:top w:val="nil"/>
              <w:bottom w:val="nil"/>
            </w:tcBorders>
            <w:shd w:val="clear" w:color="auto" w:fill="FFFFFF"/>
          </w:tcPr>
          <w:p w14:paraId="39BCAC7B" w14:textId="77777777" w:rsidR="002878A1" w:rsidRPr="00EC2249" w:rsidRDefault="002878A1" w:rsidP="006721D6">
            <w:pPr>
              <w:pStyle w:val="CETBodytext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323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FFFFFF"/>
          </w:tcPr>
          <w:p w14:paraId="1631C3C7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615</w:t>
            </w:r>
          </w:p>
        </w:tc>
        <w:tc>
          <w:tcPr>
            <w:tcW w:w="475" w:type="pct"/>
            <w:tcBorders>
              <w:top w:val="nil"/>
              <w:bottom w:val="nil"/>
            </w:tcBorders>
            <w:shd w:val="clear" w:color="auto" w:fill="FFFFFF"/>
          </w:tcPr>
          <w:p w14:paraId="0E305BA6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5.8</w:t>
            </w:r>
          </w:p>
        </w:tc>
        <w:tc>
          <w:tcPr>
            <w:tcW w:w="240" w:type="pct"/>
            <w:tcBorders>
              <w:top w:val="nil"/>
              <w:bottom w:val="nil"/>
            </w:tcBorders>
            <w:shd w:val="clear" w:color="auto" w:fill="FFFFFF"/>
          </w:tcPr>
          <w:p w14:paraId="7038A52D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30.0</w:t>
            </w: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</w:tcPr>
          <w:p w14:paraId="4825A031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2.7</w:t>
            </w: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</w:tcPr>
          <w:p w14:paraId="667F408E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2.6</w:t>
            </w: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</w:tcPr>
          <w:p w14:paraId="3ADC6FBD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2.5</w:t>
            </w: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</w:tcPr>
          <w:p w14:paraId="35B76B92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4.2</w:t>
            </w: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</w:tcPr>
          <w:p w14:paraId="58A68592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14:paraId="075F2176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13.9</w:t>
            </w:r>
          </w:p>
        </w:tc>
        <w:tc>
          <w:tcPr>
            <w:tcW w:w="273" w:type="pct"/>
            <w:tcBorders>
              <w:top w:val="nil"/>
              <w:bottom w:val="nil"/>
            </w:tcBorders>
            <w:shd w:val="clear" w:color="auto" w:fill="FFFFFF"/>
          </w:tcPr>
          <w:p w14:paraId="6793632A" w14:textId="7895C88C" w:rsidR="002878A1" w:rsidRPr="00EC2249" w:rsidRDefault="00A7248E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89.9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FFFFF"/>
          </w:tcPr>
          <w:p w14:paraId="1C501E0C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42.0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FFFFFF"/>
          </w:tcPr>
          <w:p w14:paraId="489D7964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41.9</w:t>
            </w:r>
          </w:p>
        </w:tc>
      </w:tr>
      <w:tr w:rsidR="002878A1" w:rsidRPr="00EC2249" w14:paraId="7646480B" w14:textId="77777777" w:rsidTr="006721D6">
        <w:tc>
          <w:tcPr>
            <w:tcW w:w="209" w:type="pct"/>
            <w:tcBorders>
              <w:top w:val="nil"/>
            </w:tcBorders>
            <w:shd w:val="clear" w:color="auto" w:fill="FFFFFF"/>
          </w:tcPr>
          <w:p w14:paraId="240C755D" w14:textId="77777777" w:rsidR="002878A1" w:rsidRPr="00EC2249" w:rsidRDefault="002878A1" w:rsidP="006721D6">
            <w:pPr>
              <w:pStyle w:val="CETBodytext"/>
              <w:rPr>
                <w:lang w:val="en-GB"/>
              </w:rPr>
            </w:pPr>
            <w:r w:rsidRPr="00EC2249">
              <w:rPr>
                <w:lang w:val="en-GB"/>
              </w:rPr>
              <w:t>C</w:t>
            </w:r>
          </w:p>
        </w:tc>
        <w:tc>
          <w:tcPr>
            <w:tcW w:w="305" w:type="pct"/>
            <w:tcBorders>
              <w:top w:val="nil"/>
            </w:tcBorders>
            <w:shd w:val="clear" w:color="auto" w:fill="FFFFFF"/>
          </w:tcPr>
          <w:p w14:paraId="0CFF2DB5" w14:textId="77777777" w:rsidR="002878A1" w:rsidRPr="00EC2249" w:rsidRDefault="002878A1" w:rsidP="006721D6">
            <w:pPr>
              <w:pStyle w:val="CETBodytext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120</w:t>
            </w:r>
          </w:p>
        </w:tc>
        <w:tc>
          <w:tcPr>
            <w:tcW w:w="348" w:type="pct"/>
            <w:tcBorders>
              <w:top w:val="nil"/>
            </w:tcBorders>
            <w:shd w:val="clear" w:color="auto" w:fill="FFFFFF"/>
          </w:tcPr>
          <w:p w14:paraId="34891FB8" w14:textId="77777777" w:rsidR="002878A1" w:rsidRPr="00EC2249" w:rsidRDefault="002878A1" w:rsidP="006721D6">
            <w:pPr>
              <w:pStyle w:val="CETBodytext"/>
              <w:jc w:val="center"/>
              <w:rPr>
                <w:lang w:val="en-GB"/>
              </w:rPr>
            </w:pPr>
            <w:r w:rsidRPr="00EC2249">
              <w:rPr>
                <w:lang w:val="en-GB"/>
              </w:rPr>
              <w:t>448</w:t>
            </w:r>
          </w:p>
        </w:tc>
        <w:tc>
          <w:tcPr>
            <w:tcW w:w="503" w:type="pct"/>
            <w:tcBorders>
              <w:top w:val="nil"/>
            </w:tcBorders>
            <w:shd w:val="clear" w:color="auto" w:fill="FFFFFF"/>
          </w:tcPr>
          <w:p w14:paraId="0B929AB5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730</w:t>
            </w:r>
          </w:p>
        </w:tc>
        <w:tc>
          <w:tcPr>
            <w:tcW w:w="475" w:type="pct"/>
            <w:tcBorders>
              <w:top w:val="nil"/>
            </w:tcBorders>
            <w:shd w:val="clear" w:color="auto" w:fill="FFFFFF"/>
          </w:tcPr>
          <w:p w14:paraId="1245C276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4.8</w:t>
            </w:r>
          </w:p>
        </w:tc>
        <w:tc>
          <w:tcPr>
            <w:tcW w:w="240" w:type="pct"/>
            <w:tcBorders>
              <w:top w:val="nil"/>
            </w:tcBorders>
            <w:shd w:val="clear" w:color="auto" w:fill="FFFFFF"/>
          </w:tcPr>
          <w:p w14:paraId="1941DEE5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28.0</w:t>
            </w:r>
          </w:p>
        </w:tc>
        <w:tc>
          <w:tcPr>
            <w:tcW w:w="311" w:type="pct"/>
            <w:tcBorders>
              <w:top w:val="nil"/>
            </w:tcBorders>
            <w:shd w:val="clear" w:color="auto" w:fill="FFFFFF"/>
          </w:tcPr>
          <w:p w14:paraId="0F10A93F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2.5</w:t>
            </w:r>
          </w:p>
        </w:tc>
        <w:tc>
          <w:tcPr>
            <w:tcW w:w="311" w:type="pct"/>
            <w:tcBorders>
              <w:top w:val="nil"/>
            </w:tcBorders>
            <w:shd w:val="clear" w:color="auto" w:fill="FFFFFF"/>
          </w:tcPr>
          <w:p w14:paraId="0D399641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2.4</w:t>
            </w:r>
          </w:p>
        </w:tc>
        <w:tc>
          <w:tcPr>
            <w:tcW w:w="311" w:type="pct"/>
            <w:tcBorders>
              <w:top w:val="nil"/>
            </w:tcBorders>
            <w:shd w:val="clear" w:color="auto" w:fill="FFFFFF"/>
          </w:tcPr>
          <w:p w14:paraId="7545F036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2.7</w:t>
            </w:r>
          </w:p>
        </w:tc>
        <w:tc>
          <w:tcPr>
            <w:tcW w:w="311" w:type="pct"/>
            <w:tcBorders>
              <w:top w:val="nil"/>
            </w:tcBorders>
            <w:shd w:val="clear" w:color="auto" w:fill="FFFFFF"/>
          </w:tcPr>
          <w:p w14:paraId="171D3517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2.7</w:t>
            </w:r>
          </w:p>
        </w:tc>
        <w:tc>
          <w:tcPr>
            <w:tcW w:w="311" w:type="pct"/>
            <w:tcBorders>
              <w:top w:val="nil"/>
            </w:tcBorders>
            <w:shd w:val="clear" w:color="auto" w:fill="FFFFFF"/>
          </w:tcPr>
          <w:p w14:paraId="568A755E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3.4</w:t>
            </w:r>
          </w:p>
        </w:tc>
        <w:tc>
          <w:tcPr>
            <w:tcW w:w="329" w:type="pct"/>
            <w:tcBorders>
              <w:top w:val="nil"/>
            </w:tcBorders>
            <w:shd w:val="clear" w:color="auto" w:fill="FFFFFF"/>
          </w:tcPr>
          <w:p w14:paraId="18C571F7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11.6</w:t>
            </w:r>
          </w:p>
        </w:tc>
        <w:tc>
          <w:tcPr>
            <w:tcW w:w="273" w:type="pct"/>
            <w:tcBorders>
              <w:top w:val="nil"/>
            </w:tcBorders>
            <w:shd w:val="clear" w:color="auto" w:fill="FFFFFF"/>
          </w:tcPr>
          <w:p w14:paraId="69B1C9E6" w14:textId="5371021E" w:rsidR="002878A1" w:rsidRPr="00EC2249" w:rsidRDefault="00A2330D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90.4</w:t>
            </w:r>
          </w:p>
        </w:tc>
        <w:tc>
          <w:tcPr>
            <w:tcW w:w="443" w:type="pct"/>
            <w:tcBorders>
              <w:top w:val="nil"/>
            </w:tcBorders>
            <w:shd w:val="clear" w:color="auto" w:fill="FFFFFF"/>
          </w:tcPr>
          <w:p w14:paraId="649B6D18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40.6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FFFFFF"/>
          </w:tcPr>
          <w:p w14:paraId="39B52B2E" w14:textId="77777777" w:rsidR="002878A1" w:rsidRPr="00EC2249" w:rsidRDefault="002878A1" w:rsidP="006721D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EC2249">
              <w:rPr>
                <w:rFonts w:cs="Arial"/>
                <w:szCs w:val="18"/>
                <w:lang w:val="en-GB"/>
              </w:rPr>
              <w:t>48.9</w:t>
            </w:r>
          </w:p>
        </w:tc>
      </w:tr>
    </w:tbl>
    <w:p w14:paraId="0146C104" w14:textId="77777777" w:rsidR="002878A1" w:rsidRDefault="002878A1" w:rsidP="002878A1">
      <w:pPr>
        <w:pStyle w:val="CETBodytext"/>
        <w:rPr>
          <w:lang w:val="en-GB"/>
        </w:rPr>
      </w:pPr>
      <w:r w:rsidRPr="00EC2249">
        <w:rPr>
          <w:vertAlign w:val="superscript"/>
          <w:lang w:val="en-GB"/>
        </w:rPr>
        <w:t>a</w:t>
      </w:r>
      <w:r w:rsidRPr="00EC2249">
        <w:rPr>
          <w:lang w:val="en-GB"/>
        </w:rPr>
        <w:t xml:space="preserve"> Taken from NIST</w:t>
      </w:r>
    </w:p>
    <w:p w14:paraId="4070FE41" w14:textId="6CCDFB71" w:rsidR="000F3370" w:rsidRDefault="000F3370" w:rsidP="00904E47">
      <w:pPr>
        <w:pStyle w:val="CETBodytext"/>
        <w:rPr>
          <w:lang w:val="en-GB"/>
        </w:rPr>
      </w:pPr>
    </w:p>
    <w:p w14:paraId="43399398" w14:textId="77777777" w:rsidR="005C41D2" w:rsidRPr="00EC2249" w:rsidRDefault="00D20435" w:rsidP="005C41D2">
      <w:pPr>
        <w:pStyle w:val="CETBodytext"/>
        <w:keepNext/>
        <w:rPr>
          <w:lang w:val="en-GB"/>
        </w:rPr>
      </w:pPr>
      <w:r w:rsidRPr="00EC2249">
        <w:rPr>
          <w:noProof/>
        </w:rPr>
        <w:drawing>
          <wp:inline distT="0" distB="0" distL="0" distR="0" wp14:anchorId="413BDCAC" wp14:editId="55E04496">
            <wp:extent cx="2342087" cy="2129915"/>
            <wp:effectExtent l="0" t="0" r="127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FvsYiled_Allruns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6" t="5536" r="7554" b="2099"/>
                    <a:stretch/>
                  </pic:blipFill>
                  <pic:spPr bwMode="auto">
                    <a:xfrm>
                      <a:off x="0" y="0"/>
                      <a:ext cx="2342087" cy="212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582A" w:rsidRPr="00EC2249">
        <w:rPr>
          <w:lang w:val="en-GB"/>
        </w:rPr>
        <w:t xml:space="preserve"> </w:t>
      </w:r>
      <w:r w:rsidRPr="00EC2249">
        <w:rPr>
          <w:lang w:val="en-GB"/>
        </w:rPr>
        <w:t xml:space="preserve"> </w:t>
      </w:r>
      <w:r w:rsidRPr="00EC2249">
        <w:rPr>
          <w:noProof/>
        </w:rPr>
        <w:drawing>
          <wp:inline distT="0" distB="0" distL="0" distR="0" wp14:anchorId="3F2256C9" wp14:editId="5FD25572">
            <wp:extent cx="2372681" cy="2130193"/>
            <wp:effectExtent l="0" t="0" r="889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ieldVSVPL_allruns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5" t="5555" r="7651" b="2522"/>
                    <a:stretch/>
                  </pic:blipFill>
                  <pic:spPr bwMode="auto">
                    <a:xfrm>
                      <a:off x="0" y="0"/>
                      <a:ext cx="2372681" cy="2130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017C2" w14:textId="3CDDFF3A" w:rsidR="00A67036" w:rsidRDefault="005C41D2" w:rsidP="005C41D2">
      <w:pPr>
        <w:pStyle w:val="CETCaption"/>
      </w:pPr>
      <w:r w:rsidRPr="00EC2249">
        <w:t xml:space="preserve">Figure </w:t>
      </w:r>
      <w:r w:rsidRPr="00EC2249">
        <w:fldChar w:fldCharType="begin"/>
      </w:r>
      <w:r w:rsidRPr="00EC2249">
        <w:instrText xml:space="preserve"> SEQ Figure \* ARABIC </w:instrText>
      </w:r>
      <w:r w:rsidRPr="00EC2249">
        <w:fldChar w:fldCharType="separate"/>
      </w:r>
      <w:r w:rsidR="00E22401">
        <w:rPr>
          <w:noProof/>
        </w:rPr>
        <w:t>2</w:t>
      </w:r>
      <w:r w:rsidRPr="00EC2249">
        <w:fldChar w:fldCharType="end"/>
      </w:r>
      <w:r w:rsidRPr="00EC2249">
        <w:t xml:space="preserve">: </w:t>
      </w:r>
      <w:r w:rsidR="00D20435" w:rsidRPr="00EC2249">
        <w:t xml:space="preserve">a) </w:t>
      </w:r>
      <w:r w:rsidRPr="00EC2249">
        <w:t>Extraction yield vs. solvent to feed ratio (S/F)</w:t>
      </w:r>
      <w:r w:rsidR="00D20435" w:rsidRPr="00EC2249">
        <w:t xml:space="preserve"> and b) vapour phase loading (VPL) vs. extraction yield for different solvent densities</w:t>
      </w:r>
      <w:r w:rsidRPr="00EC2249">
        <w:t xml:space="preserve">, at 120 </w:t>
      </w:r>
      <w:r w:rsidRPr="00EC2249">
        <w:rPr>
          <w:rFonts w:cs="Arial"/>
        </w:rPr>
        <w:t>º</w:t>
      </w:r>
      <w:r w:rsidRPr="00EC2249">
        <w:t>C.</w:t>
      </w:r>
    </w:p>
    <w:p w14:paraId="37F36E97" w14:textId="09256270" w:rsidR="00EB670F" w:rsidRPr="00744C7C" w:rsidRDefault="00EB670F" w:rsidP="00EB670F">
      <w:pPr>
        <w:pStyle w:val="CETBodytext"/>
        <w:rPr>
          <w:highlight w:val="yellow"/>
          <w:lang w:val="en-GB"/>
        </w:rPr>
      </w:pPr>
      <w:r w:rsidRPr="0075445A">
        <w:rPr>
          <w:lang w:val="en-GB"/>
        </w:rPr>
        <w:lastRenderedPageBreak/>
        <w:t>In Figure 2a, the extraction yield is plotted against S/F for all solvent densities. As expected, at the given temperature, the extraction yield for a given S/F increases with solvent density. In other words, a given extraction yield can be achieved with less solvent as solvent density increases. In Figure 2b, the Vapour</w:t>
      </w:r>
      <w:r w:rsidRPr="00EC2249">
        <w:rPr>
          <w:lang w:val="en-GB"/>
        </w:rPr>
        <w:t xml:space="preserve"> Phase Loading (VPL) is plotted against the extraction yield. VPL, typically reported in g/kg, is defined as the mass extracted in a specific time inter</w:t>
      </w:r>
      <w:r>
        <w:rPr>
          <w:lang w:val="en-GB"/>
        </w:rPr>
        <w:t xml:space="preserve">val, divided by the mass </w:t>
      </w:r>
      <w:r w:rsidRPr="009A5ED9">
        <w:rPr>
          <w:lang w:val="en-GB"/>
        </w:rPr>
        <w:t>of solvent flowed through the extractor in</w:t>
      </w:r>
      <w:r>
        <w:rPr>
          <w:lang w:val="en-GB"/>
        </w:rPr>
        <w:t xml:space="preserve"> </w:t>
      </w:r>
      <w:r w:rsidRPr="00EC2249">
        <w:rPr>
          <w:lang w:val="en-GB"/>
        </w:rPr>
        <w:t xml:space="preserve">the same interval. The figure shows </w:t>
      </w:r>
      <w:r>
        <w:rPr>
          <w:lang w:val="en-GB"/>
        </w:rPr>
        <w:t>an</w:t>
      </w:r>
      <w:r w:rsidRPr="00EC2249">
        <w:rPr>
          <w:lang w:val="en-GB"/>
        </w:rPr>
        <w:t xml:space="preserve"> expected improvement of VPL with increasing solvent density, due to the increased solubility of the </w:t>
      </w:r>
      <w:r>
        <w:rPr>
          <w:lang w:val="en-GB"/>
        </w:rPr>
        <w:t>bio-crude</w:t>
      </w:r>
      <w:r w:rsidRPr="00EC2249">
        <w:rPr>
          <w:lang w:val="en-GB"/>
        </w:rPr>
        <w:t xml:space="preserve"> in sCO</w:t>
      </w:r>
      <w:r w:rsidRPr="00AC50D2">
        <w:rPr>
          <w:vertAlign w:val="subscript"/>
          <w:lang w:val="en-GB"/>
        </w:rPr>
        <w:t>2</w:t>
      </w:r>
      <w:r w:rsidRPr="00EC2249">
        <w:rPr>
          <w:lang w:val="en-GB"/>
        </w:rPr>
        <w:t>.</w:t>
      </w:r>
      <w:r>
        <w:rPr>
          <w:lang w:val="en-GB"/>
        </w:rPr>
        <w:t xml:space="preserve"> </w:t>
      </w:r>
      <w:r w:rsidRPr="0075445A">
        <w:rPr>
          <w:lang w:val="en-GB"/>
        </w:rPr>
        <w:t>VPL is decreasing while the extraction proceeds since the feed remaining in the extractor becomes heavier and thus less soluble in sCO</w:t>
      </w:r>
      <w:r w:rsidRPr="0075445A">
        <w:rPr>
          <w:vertAlign w:val="subscript"/>
          <w:lang w:val="en-GB"/>
        </w:rPr>
        <w:t>2</w:t>
      </w:r>
      <w:r w:rsidRPr="0075445A">
        <w:rPr>
          <w:lang w:val="en-GB"/>
        </w:rPr>
        <w:t>. The irregular increase shown for runs at 615 and 730 kg/m</w:t>
      </w:r>
      <w:r w:rsidRPr="0075445A">
        <w:rPr>
          <w:vertAlign w:val="superscript"/>
          <w:lang w:val="en-GB"/>
        </w:rPr>
        <w:t>3</w:t>
      </w:r>
      <w:r w:rsidRPr="0075445A">
        <w:rPr>
          <w:lang w:val="en-GB"/>
        </w:rPr>
        <w:t xml:space="preserve"> between the first and second extract is most likely due to unsaturated solvent at the beginning of the flow </w:t>
      </w:r>
      <w:r w:rsidRPr="009308C9">
        <w:rPr>
          <w:lang w:val="en-GB"/>
        </w:rPr>
        <w:t>mode of operation</w:t>
      </w:r>
      <w:r w:rsidR="00744C7C" w:rsidRPr="009308C9">
        <w:rPr>
          <w:lang w:val="en-GB"/>
        </w:rPr>
        <w:t xml:space="preserve"> and it is a feature often seen in supercritical extractions</w:t>
      </w:r>
      <w:r w:rsidRPr="009308C9">
        <w:rPr>
          <w:lang w:val="en-GB"/>
        </w:rPr>
        <w:t>. VPL in this work ranges from 46</w:t>
      </w:r>
      <w:r w:rsidRPr="000F3370">
        <w:rPr>
          <w:lang w:val="en-GB"/>
        </w:rPr>
        <w:t xml:space="preserve"> </w:t>
      </w:r>
      <w:r w:rsidRPr="009308C9">
        <w:rPr>
          <w:lang w:val="en-GB"/>
        </w:rPr>
        <w:t xml:space="preserve">g/kg for the early stages at the highest pressure to </w:t>
      </w:r>
      <w:r w:rsidR="00744C7C" w:rsidRPr="009308C9">
        <w:rPr>
          <w:lang w:val="en-GB"/>
        </w:rPr>
        <w:t xml:space="preserve">values </w:t>
      </w:r>
      <w:r w:rsidRPr="009308C9">
        <w:rPr>
          <w:lang w:val="en-GB"/>
        </w:rPr>
        <w:t xml:space="preserve">as low as 3 g/kg at the final stages of the extractions. These results demonstrate </w:t>
      </w:r>
      <w:r w:rsidR="00744C7C" w:rsidRPr="009308C9">
        <w:rPr>
          <w:lang w:val="en-GB"/>
        </w:rPr>
        <w:t xml:space="preserve">average </w:t>
      </w:r>
      <w:r w:rsidRPr="009308C9">
        <w:rPr>
          <w:lang w:val="en-GB"/>
        </w:rPr>
        <w:t>VPL values above 10 g/kg</w:t>
      </w:r>
      <w:r w:rsidR="00744C7C" w:rsidRPr="009308C9">
        <w:rPr>
          <w:lang w:val="en-GB"/>
        </w:rPr>
        <w:t xml:space="preserve">, which can be considered as a rule-of-thumb value </w:t>
      </w:r>
      <w:r w:rsidRPr="009308C9">
        <w:rPr>
          <w:lang w:val="en-GB"/>
        </w:rPr>
        <w:t>for industrial application feasibility (Maschietti, 2014)</w:t>
      </w:r>
      <w:r w:rsidR="00744C7C" w:rsidRPr="009308C9">
        <w:rPr>
          <w:lang w:val="en-GB"/>
        </w:rPr>
        <w:t>, a</w:t>
      </w:r>
      <w:r w:rsidR="009308C9" w:rsidRPr="009308C9">
        <w:rPr>
          <w:lang w:val="en-GB"/>
        </w:rPr>
        <w:t>t</w:t>
      </w:r>
      <w:r w:rsidR="00744C7C" w:rsidRPr="009308C9">
        <w:rPr>
          <w:lang w:val="en-GB"/>
        </w:rPr>
        <w:t xml:space="preserve"> yields</w:t>
      </w:r>
      <w:r w:rsidRPr="009308C9">
        <w:rPr>
          <w:lang w:val="en-GB"/>
        </w:rPr>
        <w:t xml:space="preserve"> up to 49 %. In addition, at the high pressure</w:t>
      </w:r>
      <w:r>
        <w:rPr>
          <w:lang w:val="en-GB"/>
        </w:rPr>
        <w:t xml:space="preserve"> and temperature values applied in this work, VPL values in line with those obtained for other types of oils (11 to 40 g/kg), for which the sCO</w:t>
      </w:r>
      <w:r w:rsidRPr="007E75A5">
        <w:rPr>
          <w:vertAlign w:val="subscript"/>
          <w:lang w:val="en-GB"/>
        </w:rPr>
        <w:t>2</w:t>
      </w:r>
      <w:r>
        <w:rPr>
          <w:lang w:val="en-GB"/>
        </w:rPr>
        <w:t xml:space="preserve"> extraction was proved feasible (</w:t>
      </w:r>
      <w:r w:rsidRPr="000F3370">
        <w:rPr>
          <w:lang w:val="en-GB"/>
        </w:rPr>
        <w:t>Gironi and Maschietti, 200</w:t>
      </w:r>
      <w:r>
        <w:rPr>
          <w:lang w:val="en-GB"/>
        </w:rPr>
        <w:t>6; Gironi and Maschietti, 2007; Riha and Brunner 2009), are found.</w:t>
      </w:r>
    </w:p>
    <w:p w14:paraId="1A800BAF" w14:textId="77777777" w:rsidR="0097208D" w:rsidRPr="00EC2249" w:rsidRDefault="000A142A" w:rsidP="0097208D">
      <w:pPr>
        <w:pStyle w:val="CETheadingx"/>
        <w:rPr>
          <w:lang w:val="en-GB"/>
        </w:rPr>
      </w:pPr>
      <w:r w:rsidRPr="00EC2249">
        <w:rPr>
          <w:lang w:val="en-GB"/>
        </w:rPr>
        <w:t>P</w:t>
      </w:r>
      <w:r w:rsidR="007E0927" w:rsidRPr="00EC2249">
        <w:rPr>
          <w:lang w:val="en-GB"/>
        </w:rPr>
        <w:t>hysical</w:t>
      </w:r>
      <w:r w:rsidRPr="00EC2249">
        <w:rPr>
          <w:lang w:val="en-GB"/>
        </w:rPr>
        <w:t xml:space="preserve"> and chemical</w:t>
      </w:r>
      <w:r w:rsidR="002A0A6A">
        <w:rPr>
          <w:lang w:val="en-GB"/>
        </w:rPr>
        <w:t xml:space="preserve"> characterization</w:t>
      </w:r>
    </w:p>
    <w:p w14:paraId="3D4CF352" w14:textId="15F2897A" w:rsidR="008A0284" w:rsidRPr="00155C77" w:rsidRDefault="002F4CC4" w:rsidP="006548FD">
      <w:pPr>
        <w:pStyle w:val="CETBodytext"/>
        <w:rPr>
          <w:lang w:val="en-GB"/>
        </w:rPr>
      </w:pPr>
      <w:r w:rsidRPr="009308C9">
        <w:rPr>
          <w:lang w:val="en-GB"/>
        </w:rPr>
        <w:t xml:space="preserve">The density </w:t>
      </w:r>
      <w:r w:rsidR="000A142A" w:rsidRPr="009308C9">
        <w:rPr>
          <w:lang w:val="en-GB"/>
        </w:rPr>
        <w:t xml:space="preserve">of the </w:t>
      </w:r>
      <w:r w:rsidR="00EE7D49" w:rsidRPr="009308C9">
        <w:rPr>
          <w:lang w:val="en-GB"/>
        </w:rPr>
        <w:t>bio-crude</w:t>
      </w:r>
      <w:r w:rsidR="000A142A" w:rsidRPr="009308C9">
        <w:rPr>
          <w:lang w:val="en-GB"/>
        </w:rPr>
        <w:t xml:space="preserve"> was </w:t>
      </w:r>
      <w:r w:rsidRPr="009308C9">
        <w:rPr>
          <w:lang w:val="en-GB"/>
        </w:rPr>
        <w:t xml:space="preserve">found to be </w:t>
      </w:r>
      <w:r w:rsidR="000A142A" w:rsidRPr="009308C9">
        <w:rPr>
          <w:lang w:val="en-GB"/>
        </w:rPr>
        <w:t xml:space="preserve">1064 </w:t>
      </w:r>
      <w:r w:rsidR="0057448C" w:rsidRPr="009308C9">
        <w:rPr>
          <w:lang w:val="en-GB"/>
        </w:rPr>
        <w:t>kg/m</w:t>
      </w:r>
      <w:r w:rsidR="0057448C" w:rsidRPr="009308C9">
        <w:rPr>
          <w:vertAlign w:val="superscript"/>
          <w:lang w:val="en-GB"/>
        </w:rPr>
        <w:t xml:space="preserve">3 </w:t>
      </w:r>
      <w:r w:rsidR="000A142A" w:rsidRPr="009308C9">
        <w:rPr>
          <w:lang w:val="en-GB"/>
        </w:rPr>
        <w:t>± 15 kg/m</w:t>
      </w:r>
      <w:r w:rsidR="000A142A" w:rsidRPr="009308C9">
        <w:rPr>
          <w:vertAlign w:val="superscript"/>
          <w:lang w:val="en-GB"/>
        </w:rPr>
        <w:t>3</w:t>
      </w:r>
      <w:r w:rsidRPr="009308C9">
        <w:rPr>
          <w:lang w:val="en-GB"/>
        </w:rPr>
        <w:t xml:space="preserve">, whereas values in the range </w:t>
      </w:r>
      <w:r w:rsidR="000A142A" w:rsidRPr="009308C9">
        <w:rPr>
          <w:lang w:val="en-GB"/>
        </w:rPr>
        <w:t xml:space="preserve">957 </w:t>
      </w:r>
      <w:r w:rsidR="0057448C" w:rsidRPr="009308C9">
        <w:rPr>
          <w:lang w:val="en-GB"/>
        </w:rPr>
        <w:t>kg/m</w:t>
      </w:r>
      <w:r w:rsidR="0057448C" w:rsidRPr="009308C9">
        <w:rPr>
          <w:vertAlign w:val="superscript"/>
          <w:lang w:val="en-GB"/>
        </w:rPr>
        <w:t xml:space="preserve">3 </w:t>
      </w:r>
      <w:r w:rsidRPr="009308C9">
        <w:rPr>
          <w:lang w:val="en-GB"/>
        </w:rPr>
        <w:t xml:space="preserve">± </w:t>
      </w:r>
      <w:r w:rsidR="002878A1" w:rsidRPr="009308C9">
        <w:rPr>
          <w:lang w:val="en-GB"/>
        </w:rPr>
        <w:t xml:space="preserve">30 </w:t>
      </w:r>
      <w:r w:rsidR="0057448C" w:rsidRPr="009308C9">
        <w:rPr>
          <w:lang w:val="en-GB"/>
        </w:rPr>
        <w:t>kg/m</w:t>
      </w:r>
      <w:r w:rsidR="0057448C" w:rsidRPr="009308C9">
        <w:rPr>
          <w:vertAlign w:val="superscript"/>
          <w:lang w:val="en-GB"/>
        </w:rPr>
        <w:t xml:space="preserve">3 </w:t>
      </w:r>
      <w:r w:rsidRPr="009308C9">
        <w:rPr>
          <w:lang w:val="en-GB"/>
        </w:rPr>
        <w:t xml:space="preserve">to 1044 </w:t>
      </w:r>
      <w:r w:rsidR="0057448C" w:rsidRPr="009308C9">
        <w:rPr>
          <w:lang w:val="en-GB"/>
        </w:rPr>
        <w:t>kg/m</w:t>
      </w:r>
      <w:r w:rsidR="0057448C" w:rsidRPr="009308C9">
        <w:rPr>
          <w:vertAlign w:val="superscript"/>
          <w:lang w:val="en-GB"/>
        </w:rPr>
        <w:t xml:space="preserve">3 </w:t>
      </w:r>
      <w:r w:rsidRPr="009308C9">
        <w:rPr>
          <w:lang w:val="en-GB"/>
        </w:rPr>
        <w:t xml:space="preserve">± </w:t>
      </w:r>
      <w:r w:rsidR="002878A1" w:rsidRPr="009308C9">
        <w:rPr>
          <w:lang w:val="en-GB"/>
        </w:rPr>
        <w:t>26</w:t>
      </w:r>
      <w:r w:rsidRPr="009308C9">
        <w:rPr>
          <w:lang w:val="en-GB"/>
        </w:rPr>
        <w:t xml:space="preserve"> kg/m</w:t>
      </w:r>
      <w:r w:rsidRPr="009308C9">
        <w:rPr>
          <w:vertAlign w:val="superscript"/>
          <w:lang w:val="en-GB"/>
        </w:rPr>
        <w:t>3</w:t>
      </w:r>
      <w:r w:rsidRPr="009308C9">
        <w:rPr>
          <w:lang w:val="en-GB"/>
        </w:rPr>
        <w:t xml:space="preserve"> were </w:t>
      </w:r>
      <w:r w:rsidR="00520BF4" w:rsidRPr="009308C9">
        <w:rPr>
          <w:lang w:val="en-GB"/>
        </w:rPr>
        <w:t>measured</w:t>
      </w:r>
      <w:r w:rsidRPr="009308C9">
        <w:rPr>
          <w:lang w:val="en-GB"/>
        </w:rPr>
        <w:t xml:space="preserve"> for the extracts</w:t>
      </w:r>
      <w:r w:rsidR="000A142A" w:rsidRPr="009308C9">
        <w:rPr>
          <w:lang w:val="en-GB"/>
        </w:rPr>
        <w:t xml:space="preserve">. </w:t>
      </w:r>
      <w:r w:rsidRPr="009308C9">
        <w:rPr>
          <w:lang w:val="en-GB"/>
        </w:rPr>
        <w:t>Extract density values are in line with density</w:t>
      </w:r>
      <w:r w:rsidRPr="002878A1">
        <w:rPr>
          <w:lang w:val="en-GB"/>
        </w:rPr>
        <w:t xml:space="preserve"> of </w:t>
      </w:r>
      <w:r w:rsidR="000A142A" w:rsidRPr="002878A1">
        <w:rPr>
          <w:lang w:val="en-GB"/>
        </w:rPr>
        <w:t>marine fuels</w:t>
      </w:r>
      <w:r w:rsidRPr="002878A1">
        <w:rPr>
          <w:lang w:val="en-GB"/>
        </w:rPr>
        <w:t xml:space="preserve">, which </w:t>
      </w:r>
      <w:r w:rsidR="000A142A" w:rsidRPr="002878A1">
        <w:rPr>
          <w:lang w:val="en-GB"/>
        </w:rPr>
        <w:t>range</w:t>
      </w:r>
      <w:r w:rsidRPr="002878A1">
        <w:rPr>
          <w:lang w:val="en-GB"/>
        </w:rPr>
        <w:t>s</w:t>
      </w:r>
      <w:r w:rsidR="000A142A" w:rsidRPr="002878A1">
        <w:rPr>
          <w:lang w:val="en-GB"/>
        </w:rPr>
        <w:t xml:space="preserve"> from 890 to 1010 kg/m</w:t>
      </w:r>
      <w:r w:rsidR="000A142A" w:rsidRPr="002878A1">
        <w:rPr>
          <w:vertAlign w:val="superscript"/>
          <w:lang w:val="en-GB"/>
        </w:rPr>
        <w:t>3</w:t>
      </w:r>
      <w:r w:rsidR="006B0E35" w:rsidRPr="002878A1">
        <w:rPr>
          <w:lang w:val="en-GB"/>
        </w:rPr>
        <w:t xml:space="preserve"> as defined by </w:t>
      </w:r>
      <w:r w:rsidR="000A142A" w:rsidRPr="002878A1">
        <w:rPr>
          <w:lang w:val="en-GB"/>
        </w:rPr>
        <w:t>ISO 8217 2017.</w:t>
      </w:r>
      <w:r w:rsidR="006D7AE7" w:rsidRPr="00EC2249">
        <w:rPr>
          <w:lang w:val="en-GB"/>
        </w:rPr>
        <w:t xml:space="preserve"> </w:t>
      </w:r>
      <w:r w:rsidRPr="002878A1">
        <w:rPr>
          <w:lang w:val="en-GB"/>
        </w:rPr>
        <w:t xml:space="preserve">The density of the extracts was found to increase </w:t>
      </w:r>
      <w:r w:rsidRPr="00DF22F5">
        <w:rPr>
          <w:lang w:val="en-GB"/>
        </w:rPr>
        <w:t>during the extraction, which is in line with increase</w:t>
      </w:r>
      <w:r w:rsidR="002878A1" w:rsidRPr="00DF22F5">
        <w:rPr>
          <w:lang w:val="en-GB"/>
        </w:rPr>
        <w:t>d</w:t>
      </w:r>
      <w:r w:rsidRPr="00DF22F5">
        <w:rPr>
          <w:lang w:val="en-GB"/>
        </w:rPr>
        <w:t xml:space="preserve"> extraction of heav</w:t>
      </w:r>
      <w:r w:rsidR="002878A1" w:rsidRPr="00DF22F5">
        <w:rPr>
          <w:lang w:val="en-GB"/>
        </w:rPr>
        <w:t>ie</w:t>
      </w:r>
      <w:r w:rsidRPr="00DF22F5">
        <w:rPr>
          <w:lang w:val="en-GB"/>
        </w:rPr>
        <w:t xml:space="preserve">r components. </w:t>
      </w:r>
      <w:r w:rsidR="006D7AE7" w:rsidRPr="00DF22F5">
        <w:rPr>
          <w:lang w:val="en-GB"/>
        </w:rPr>
        <w:t>The H/C atomic ratio</w:t>
      </w:r>
      <w:r w:rsidR="007E75A5" w:rsidRPr="00DF22F5">
        <w:rPr>
          <w:lang w:val="en-GB"/>
        </w:rPr>
        <w:t xml:space="preserve"> of the extracts was observed in the range 1.40 to 1.69, which is higher than the</w:t>
      </w:r>
      <w:r w:rsidRPr="00DF22F5">
        <w:rPr>
          <w:lang w:val="en-GB"/>
        </w:rPr>
        <w:t xml:space="preserve"> feed (</w:t>
      </w:r>
      <w:r w:rsidR="006D7AE7" w:rsidRPr="00DF22F5">
        <w:rPr>
          <w:lang w:val="en-GB"/>
        </w:rPr>
        <w:t>1.21)</w:t>
      </w:r>
      <w:r w:rsidR="007E75A5" w:rsidRPr="00DF22F5">
        <w:rPr>
          <w:lang w:val="en-GB"/>
        </w:rPr>
        <w:t>,</w:t>
      </w:r>
      <w:r w:rsidR="00520BF4" w:rsidRPr="00DF22F5">
        <w:rPr>
          <w:lang w:val="en-GB"/>
        </w:rPr>
        <w:t xml:space="preserve"> with these values being similar to </w:t>
      </w:r>
      <w:r w:rsidR="002779B3" w:rsidRPr="00DF22F5">
        <w:rPr>
          <w:lang w:val="en-GB"/>
        </w:rPr>
        <w:t>typical</w:t>
      </w:r>
      <w:r w:rsidR="006D7AE7" w:rsidRPr="00DF22F5">
        <w:rPr>
          <w:lang w:val="en-GB"/>
        </w:rPr>
        <w:t xml:space="preserve"> bitumen</w:t>
      </w:r>
      <w:r w:rsidR="002779B3" w:rsidRPr="00DF22F5">
        <w:rPr>
          <w:lang w:val="en-GB"/>
        </w:rPr>
        <w:t xml:space="preserve"> values</w:t>
      </w:r>
      <w:r w:rsidR="006D7AE7" w:rsidRPr="00DF22F5">
        <w:rPr>
          <w:lang w:val="en-GB"/>
        </w:rPr>
        <w:t xml:space="preserve"> (i.e. 1.5) (Speight, 2014). The residues had the lowest H/C (range 1.03</w:t>
      </w:r>
      <w:r w:rsidR="006D7AE7" w:rsidRPr="007543D1">
        <w:rPr>
          <w:lang w:val="en-GB"/>
        </w:rPr>
        <w:t xml:space="preserve"> to 1.14), which </w:t>
      </w:r>
      <w:r w:rsidRPr="007543D1">
        <w:rPr>
          <w:lang w:val="en-GB"/>
        </w:rPr>
        <w:t>is in line</w:t>
      </w:r>
      <w:r w:rsidR="00736139" w:rsidRPr="007543D1">
        <w:rPr>
          <w:lang w:val="en-GB"/>
        </w:rPr>
        <w:t xml:space="preserve"> with the </w:t>
      </w:r>
      <w:r w:rsidRPr="007543D1">
        <w:rPr>
          <w:lang w:val="en-GB"/>
        </w:rPr>
        <w:t xml:space="preserve">respective </w:t>
      </w:r>
      <w:r w:rsidR="00736139" w:rsidRPr="007543D1">
        <w:rPr>
          <w:lang w:val="en-GB"/>
        </w:rPr>
        <w:t>increase in the extracts</w:t>
      </w:r>
      <w:r w:rsidR="006D7AE7" w:rsidRPr="007543D1">
        <w:rPr>
          <w:lang w:val="en-GB"/>
        </w:rPr>
        <w:t>. The O/C</w:t>
      </w:r>
      <w:r w:rsidR="00E56DB2" w:rsidRPr="007543D1">
        <w:rPr>
          <w:lang w:val="en-GB"/>
        </w:rPr>
        <w:t xml:space="preserve"> atomic ratio</w:t>
      </w:r>
      <w:r w:rsidR="002A0A6A" w:rsidRPr="007543D1">
        <w:rPr>
          <w:lang w:val="en-GB"/>
        </w:rPr>
        <w:t xml:space="preserve"> was relatively unchanged in all </w:t>
      </w:r>
      <w:r w:rsidR="00736139" w:rsidRPr="007543D1">
        <w:rPr>
          <w:lang w:val="en-GB"/>
        </w:rPr>
        <w:t>extracts (range 0.08 to 0.10</w:t>
      </w:r>
      <w:r w:rsidR="006D7AE7" w:rsidRPr="007543D1">
        <w:rPr>
          <w:lang w:val="en-GB"/>
        </w:rPr>
        <w:t>) compared to the bio-crude (i.e. 0.10).</w:t>
      </w:r>
      <w:r w:rsidR="0000706B">
        <w:rPr>
          <w:lang w:val="en-GB"/>
        </w:rPr>
        <w:t xml:space="preserve"> </w:t>
      </w:r>
      <w:r w:rsidR="0000706B" w:rsidRPr="007543D1">
        <w:rPr>
          <w:lang w:val="en-GB"/>
        </w:rPr>
        <w:t>The standard uncertainty of H/C and O/C was 0.04 and 0.004, respectively.</w:t>
      </w:r>
      <w:r w:rsidR="00823FC5">
        <w:rPr>
          <w:lang w:val="en-GB"/>
        </w:rPr>
        <w:t xml:space="preserve"> </w:t>
      </w:r>
      <w:r w:rsidR="00E56DB2" w:rsidRPr="007543D1">
        <w:rPr>
          <w:lang w:val="en-GB"/>
        </w:rPr>
        <w:t>Similar l</w:t>
      </w:r>
      <w:r w:rsidR="0005437E" w:rsidRPr="007543D1">
        <w:rPr>
          <w:lang w:val="en-GB"/>
        </w:rPr>
        <w:t>ack of</w:t>
      </w:r>
      <w:r w:rsidR="00E56DB2" w:rsidRPr="007543D1">
        <w:rPr>
          <w:lang w:val="en-GB"/>
        </w:rPr>
        <w:t xml:space="preserve"> definite</w:t>
      </w:r>
      <w:r w:rsidR="002A0A6A" w:rsidRPr="007543D1">
        <w:rPr>
          <w:lang w:val="en-GB"/>
        </w:rPr>
        <w:t xml:space="preserve"> trends in</w:t>
      </w:r>
      <w:r w:rsidR="0005437E" w:rsidRPr="007543D1">
        <w:rPr>
          <w:lang w:val="en-GB"/>
        </w:rPr>
        <w:t xml:space="preserve"> </w:t>
      </w:r>
      <w:r w:rsidR="006D7AE7" w:rsidRPr="007543D1">
        <w:rPr>
          <w:lang w:val="en-GB"/>
        </w:rPr>
        <w:t>oxygen</w:t>
      </w:r>
      <w:r w:rsidR="002A0A6A" w:rsidRPr="007543D1">
        <w:rPr>
          <w:lang w:val="en-GB"/>
        </w:rPr>
        <w:t xml:space="preserve"> distribution</w:t>
      </w:r>
      <w:r w:rsidR="006D7AE7" w:rsidRPr="007543D1">
        <w:rPr>
          <w:lang w:val="en-GB"/>
        </w:rPr>
        <w:t xml:space="preserve"> </w:t>
      </w:r>
      <w:r w:rsidR="0005437E" w:rsidRPr="007543D1">
        <w:rPr>
          <w:lang w:val="en-GB"/>
        </w:rPr>
        <w:t>have been found in literature w</w:t>
      </w:r>
      <w:r w:rsidRPr="007543D1">
        <w:rPr>
          <w:lang w:val="en-GB"/>
        </w:rPr>
        <w:t xml:space="preserve">here lignocellulosic bio-crude was </w:t>
      </w:r>
      <w:r w:rsidR="0005437E" w:rsidRPr="007543D1">
        <w:rPr>
          <w:lang w:val="en-GB"/>
        </w:rPr>
        <w:t xml:space="preserve">fractionated by vacuum distillation (Pedersen et al. 2017) </w:t>
      </w:r>
      <w:r w:rsidR="004604E8" w:rsidRPr="007543D1">
        <w:rPr>
          <w:lang w:val="en-GB"/>
        </w:rPr>
        <w:t>or</w:t>
      </w:r>
      <w:r w:rsidR="0005437E" w:rsidRPr="007543D1">
        <w:rPr>
          <w:lang w:val="en-GB"/>
        </w:rPr>
        <w:t xml:space="preserve"> </w:t>
      </w:r>
      <w:r w:rsidRPr="007543D1">
        <w:rPr>
          <w:lang w:val="en-GB"/>
        </w:rPr>
        <w:t xml:space="preserve">liquid-liquid extraction using </w:t>
      </w:r>
      <w:r w:rsidR="0005437E" w:rsidRPr="007543D1">
        <w:rPr>
          <w:lang w:val="en-GB"/>
        </w:rPr>
        <w:t>pentane (</w:t>
      </w:r>
      <w:r w:rsidR="00337C0F" w:rsidRPr="007543D1">
        <w:rPr>
          <w:lang w:val="en-GB"/>
        </w:rPr>
        <w:t>Bjelic</w:t>
      </w:r>
      <w:r w:rsidR="0005437E" w:rsidRPr="007543D1">
        <w:rPr>
          <w:lang w:val="en-GB"/>
        </w:rPr>
        <w:t xml:space="preserve"> et al. 201</w:t>
      </w:r>
      <w:r w:rsidR="00337C0F" w:rsidRPr="007543D1">
        <w:rPr>
          <w:lang w:val="en-GB"/>
        </w:rPr>
        <w:t>8</w:t>
      </w:r>
      <w:r w:rsidR="0005437E" w:rsidRPr="0057448C">
        <w:rPr>
          <w:lang w:val="en-GB"/>
        </w:rPr>
        <w:t>).</w:t>
      </w:r>
      <w:r w:rsidR="00DF22F5" w:rsidRPr="0057448C">
        <w:rPr>
          <w:lang w:val="en-GB"/>
        </w:rPr>
        <w:t xml:space="preserve"> This O/C is an order of magnitude higher </w:t>
      </w:r>
      <w:r w:rsidR="00DF22F5" w:rsidRPr="00C73496">
        <w:rPr>
          <w:lang w:val="en-GB"/>
        </w:rPr>
        <w:t>than that of conventi</w:t>
      </w:r>
      <w:r w:rsidR="00394CEE" w:rsidRPr="00C73496">
        <w:rPr>
          <w:lang w:val="en-GB"/>
        </w:rPr>
        <w:t>onal crude oil</w:t>
      </w:r>
      <w:r w:rsidR="00B57052" w:rsidRPr="00C73496">
        <w:rPr>
          <w:lang w:val="en-GB"/>
        </w:rPr>
        <w:t>. However, the</w:t>
      </w:r>
      <w:r w:rsidR="00EC39A2" w:rsidRPr="00C73496">
        <w:rPr>
          <w:lang w:val="en-GB"/>
        </w:rPr>
        <w:t xml:space="preserve"> near</w:t>
      </w:r>
      <w:r w:rsidR="00B57052" w:rsidRPr="00C73496">
        <w:rPr>
          <w:lang w:val="en-GB"/>
        </w:rPr>
        <w:t xml:space="preserve"> absence of other hetero</w:t>
      </w:r>
      <w:r w:rsidR="00FD4E53" w:rsidRPr="00C73496">
        <w:rPr>
          <w:lang w:val="en-GB"/>
        </w:rPr>
        <w:t>atoms (i.e. S, N)</w:t>
      </w:r>
      <w:r w:rsidR="00043EC3" w:rsidRPr="00C73496">
        <w:rPr>
          <w:lang w:val="en-GB"/>
        </w:rPr>
        <w:t>, shown by EA,</w:t>
      </w:r>
      <w:r w:rsidR="00043EC3">
        <w:rPr>
          <w:lang w:val="en-GB"/>
        </w:rPr>
        <w:t xml:space="preserve"> </w:t>
      </w:r>
      <w:r w:rsidR="00B57052" w:rsidRPr="0057448C">
        <w:rPr>
          <w:lang w:val="en-GB"/>
        </w:rPr>
        <w:t>makes a</w:t>
      </w:r>
      <w:r w:rsidR="00591ECF" w:rsidRPr="0057448C">
        <w:rPr>
          <w:lang w:val="en-GB"/>
        </w:rPr>
        <w:t xml:space="preserve"> 1:10 </w:t>
      </w:r>
      <w:r w:rsidR="00B57052" w:rsidRPr="0057448C">
        <w:rPr>
          <w:lang w:val="en-GB"/>
        </w:rPr>
        <w:t>blending for refinery</w:t>
      </w:r>
      <w:r w:rsidR="00A67C17" w:rsidRPr="0057448C">
        <w:rPr>
          <w:lang w:val="en-GB"/>
        </w:rPr>
        <w:t xml:space="preserve"> vacuum</w:t>
      </w:r>
      <w:r w:rsidR="00B57052" w:rsidRPr="0057448C">
        <w:rPr>
          <w:lang w:val="en-GB"/>
        </w:rPr>
        <w:t xml:space="preserve"> distillation possible</w:t>
      </w:r>
      <w:r w:rsidR="00394CEE" w:rsidRPr="0057448C">
        <w:rPr>
          <w:lang w:val="en-GB"/>
        </w:rPr>
        <w:t xml:space="preserve">. </w:t>
      </w:r>
      <w:r w:rsidR="00337C0F" w:rsidRPr="0057448C">
        <w:rPr>
          <w:lang w:val="en-GB"/>
        </w:rPr>
        <w:t>T</w:t>
      </w:r>
      <w:r w:rsidR="006D7AE7" w:rsidRPr="0057448C">
        <w:rPr>
          <w:lang w:val="en-GB"/>
        </w:rPr>
        <w:t>he O/C ratio in the residues of al</w:t>
      </w:r>
      <w:r w:rsidRPr="0057448C">
        <w:rPr>
          <w:lang w:val="en-GB"/>
        </w:rPr>
        <w:t>l</w:t>
      </w:r>
      <w:r w:rsidR="006D7AE7" w:rsidRPr="0057448C">
        <w:rPr>
          <w:lang w:val="en-GB"/>
        </w:rPr>
        <w:t xml:space="preserve"> runs was </w:t>
      </w:r>
      <w:r w:rsidR="00337C0F" w:rsidRPr="0057448C">
        <w:rPr>
          <w:lang w:val="en-GB"/>
        </w:rPr>
        <w:t>0.12, which</w:t>
      </w:r>
      <w:r w:rsidR="00736139" w:rsidRPr="0057448C">
        <w:rPr>
          <w:lang w:val="en-GB"/>
        </w:rPr>
        <w:t xml:space="preserve"> indicates</w:t>
      </w:r>
      <w:r w:rsidR="00486AA0" w:rsidRPr="0057448C">
        <w:rPr>
          <w:lang w:val="en-GB"/>
        </w:rPr>
        <w:t xml:space="preserve"> that</w:t>
      </w:r>
      <w:r w:rsidR="00BC4EF7" w:rsidRPr="0057448C">
        <w:rPr>
          <w:lang w:val="en-GB"/>
        </w:rPr>
        <w:t xml:space="preserve"> </w:t>
      </w:r>
      <w:r w:rsidR="005B78C4" w:rsidRPr="0057448C">
        <w:rPr>
          <w:lang w:val="en-GB"/>
        </w:rPr>
        <w:t>high</w:t>
      </w:r>
      <w:r w:rsidR="00FD4E53" w:rsidRPr="0057448C">
        <w:rPr>
          <w:lang w:val="en-GB"/>
        </w:rPr>
        <w:t xml:space="preserve"> boiling point oxygenated compounds remain in the residue and </w:t>
      </w:r>
      <w:r w:rsidR="00BC4EF7" w:rsidRPr="0057448C">
        <w:rPr>
          <w:lang w:val="en-GB"/>
        </w:rPr>
        <w:t>a</w:t>
      </w:r>
      <w:r w:rsidR="00A2330D" w:rsidRPr="0057448C">
        <w:rPr>
          <w:lang w:val="en-GB"/>
        </w:rPr>
        <w:t xml:space="preserve"> robust hydrotreatment/cracking</w:t>
      </w:r>
      <w:r w:rsidR="0000706B" w:rsidRPr="0057448C">
        <w:rPr>
          <w:lang w:val="en-GB"/>
        </w:rPr>
        <w:t xml:space="preserve"> process </w:t>
      </w:r>
      <w:r w:rsidR="00486AA0" w:rsidRPr="0057448C">
        <w:rPr>
          <w:lang w:val="en-GB"/>
        </w:rPr>
        <w:t>would be n</w:t>
      </w:r>
      <w:r w:rsidR="00712695" w:rsidRPr="0057448C">
        <w:rPr>
          <w:lang w:val="en-GB"/>
        </w:rPr>
        <w:t>eeded to upgrade it</w:t>
      </w:r>
      <w:r w:rsidR="0000706B" w:rsidRPr="0057448C">
        <w:rPr>
          <w:lang w:val="en-GB"/>
        </w:rPr>
        <w:t xml:space="preserve"> for fuel purposes</w:t>
      </w:r>
      <w:r w:rsidR="00B15686" w:rsidRPr="0057448C">
        <w:rPr>
          <w:lang w:val="en-GB"/>
        </w:rPr>
        <w:t>.</w:t>
      </w:r>
      <w:r w:rsidR="00B15686" w:rsidRPr="00155C77">
        <w:rPr>
          <w:lang w:val="en-GB"/>
        </w:rPr>
        <w:t xml:space="preserve"> </w:t>
      </w:r>
    </w:p>
    <w:p w14:paraId="65A87F94" w14:textId="77777777" w:rsidR="00BC4EF7" w:rsidRDefault="00BC4EF7" w:rsidP="006548FD">
      <w:pPr>
        <w:pStyle w:val="CETBodytext"/>
        <w:rPr>
          <w:lang w:val="en-GB"/>
        </w:rPr>
      </w:pPr>
    </w:p>
    <w:p w14:paraId="69210BC3" w14:textId="425E6C21" w:rsidR="00BC4EF7" w:rsidRDefault="003E3C87" w:rsidP="00BC4EF7">
      <w:pPr>
        <w:pStyle w:val="CETBodytext"/>
        <w:keepNext/>
      </w:pPr>
      <w:r>
        <w:rPr>
          <w:noProof/>
        </w:rPr>
        <w:drawing>
          <wp:inline distT="0" distB="0" distL="0" distR="0" wp14:anchorId="3B670F78" wp14:editId="1EAE2EBC">
            <wp:extent cx="5565191" cy="18566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46" r="744" b="6587"/>
                    <a:stretch/>
                  </pic:blipFill>
                  <pic:spPr bwMode="auto">
                    <a:xfrm>
                      <a:off x="0" y="0"/>
                      <a:ext cx="5609402" cy="1871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696CE" w14:textId="3C69AD30" w:rsidR="003E3C87" w:rsidRDefault="00BC4EF7" w:rsidP="002F7AB0">
      <w:pPr>
        <w:pStyle w:val="CETCaption"/>
      </w:pPr>
      <w:r w:rsidRPr="00591ECF">
        <w:t xml:space="preserve">Figure </w:t>
      </w:r>
      <w:r w:rsidRPr="00591ECF">
        <w:fldChar w:fldCharType="begin"/>
      </w:r>
      <w:r w:rsidRPr="00591ECF">
        <w:instrText xml:space="preserve"> SEQ Figure \* ARABIC </w:instrText>
      </w:r>
      <w:r w:rsidRPr="00591ECF">
        <w:fldChar w:fldCharType="separate"/>
      </w:r>
      <w:r w:rsidR="00E22401">
        <w:rPr>
          <w:noProof/>
        </w:rPr>
        <w:t>3</w:t>
      </w:r>
      <w:r w:rsidRPr="00591ECF">
        <w:fldChar w:fldCharType="end"/>
      </w:r>
      <w:r w:rsidR="003E3C87" w:rsidRPr="00591ECF">
        <w:t>: Example chromatogram of extraction A</w:t>
      </w:r>
      <w:r w:rsidR="002F7AB0" w:rsidRPr="00591ECF">
        <w:t xml:space="preserve"> (i.e. 120 </w:t>
      </w:r>
      <w:r w:rsidR="002F7AB0" w:rsidRPr="00591ECF">
        <w:rPr>
          <w:rFonts w:cs="Arial"/>
        </w:rPr>
        <w:t>º</w:t>
      </w:r>
      <w:r w:rsidR="002F7AB0" w:rsidRPr="00591ECF">
        <w:t>C, 500 kg/m</w:t>
      </w:r>
      <w:r w:rsidR="002F7AB0" w:rsidRPr="00591ECF">
        <w:rPr>
          <w:vertAlign w:val="superscript"/>
        </w:rPr>
        <w:t>3</w:t>
      </w:r>
      <w:r w:rsidR="002F7AB0" w:rsidRPr="00591ECF">
        <w:t>)</w:t>
      </w:r>
      <w:r w:rsidR="00CD7A64" w:rsidRPr="00591ECF">
        <w:t>:</w:t>
      </w:r>
      <w:r w:rsidR="00DA60F7" w:rsidRPr="00591ECF">
        <w:t xml:space="preserve"> a) without derivatisation, b)</w:t>
      </w:r>
      <w:r w:rsidR="002F7AB0" w:rsidRPr="00591ECF">
        <w:t xml:space="preserve"> acid identification </w:t>
      </w:r>
      <w:r w:rsidR="00390809" w:rsidRPr="00591ECF">
        <w:t>after derivatisation.</w:t>
      </w:r>
    </w:p>
    <w:p w14:paraId="61204EE9" w14:textId="03EAACD0" w:rsidR="003A383D" w:rsidRPr="00EC2249" w:rsidRDefault="004A0C81" w:rsidP="009C1204">
      <w:pPr>
        <w:pStyle w:val="CETBodytext"/>
        <w:rPr>
          <w:lang w:val="en-GB"/>
        </w:rPr>
      </w:pPr>
      <w:r w:rsidRPr="00591ECF">
        <w:rPr>
          <w:lang w:val="en-GB"/>
        </w:rPr>
        <w:t>Chemical species belonging to the following 8 distinct classes were identified by means of GC-MS analysis of</w:t>
      </w:r>
      <w:r w:rsidRPr="00BC4EF7">
        <w:rPr>
          <w:lang w:val="en-GB"/>
        </w:rPr>
        <w:t xml:space="preserve"> </w:t>
      </w:r>
      <w:r w:rsidR="00043EC3" w:rsidRPr="00C73496">
        <w:rPr>
          <w:lang w:val="en-GB"/>
        </w:rPr>
        <w:t>the bio-crude and extracts: 1) c</w:t>
      </w:r>
      <w:r w:rsidRPr="00C73496">
        <w:rPr>
          <w:lang w:val="en-GB"/>
        </w:rPr>
        <w:t xml:space="preserve">yclic aliphatic (C6-C9) saturated or monounsaturated </w:t>
      </w:r>
      <w:r w:rsidR="00043EC3" w:rsidRPr="00C73496">
        <w:rPr>
          <w:lang w:val="en-GB"/>
        </w:rPr>
        <w:t>ketones (k</w:t>
      </w:r>
      <w:r w:rsidRPr="00C73496">
        <w:rPr>
          <w:lang w:val="en-GB"/>
        </w:rPr>
        <w:t>etones); 2) o-cumene; 3) phenol, 1-ring alky</w:t>
      </w:r>
      <w:r w:rsidR="00043EC3" w:rsidRPr="00C73496">
        <w:rPr>
          <w:lang w:val="en-GB"/>
        </w:rPr>
        <w:t>lphenols and 1-ring guaiacols (phenols); 4) b</w:t>
      </w:r>
      <w:r w:rsidRPr="00C73496">
        <w:rPr>
          <w:lang w:val="en-GB"/>
        </w:rPr>
        <w:t>enzenediols and alkylbenzenediols, with either methyl or ethyl side groups</w:t>
      </w:r>
      <w:r w:rsidR="00043EC3" w:rsidRPr="00C73496">
        <w:rPr>
          <w:lang w:val="en-GB"/>
        </w:rPr>
        <w:t xml:space="preserve"> (b</w:t>
      </w:r>
      <w:r w:rsidRPr="00C73496">
        <w:rPr>
          <w:lang w:val="en-GB"/>
        </w:rPr>
        <w:t>enzenediols); 5) 2-ring and</w:t>
      </w:r>
      <w:r w:rsidR="00043EC3" w:rsidRPr="00C73496">
        <w:rPr>
          <w:lang w:val="en-GB"/>
        </w:rPr>
        <w:t xml:space="preserve"> 3-ring aromatic hydrocarbons (p</w:t>
      </w:r>
      <w:r w:rsidR="009C1204" w:rsidRPr="00C73496">
        <w:rPr>
          <w:lang w:val="en-GB"/>
        </w:rPr>
        <w:t>olyaromatic HC); 6) short-chain f</w:t>
      </w:r>
      <w:r w:rsidRPr="00C73496">
        <w:rPr>
          <w:lang w:val="en-GB"/>
        </w:rPr>
        <w:t xml:space="preserve">atty acids (C5-C8); 7) </w:t>
      </w:r>
      <w:r w:rsidR="009C1204" w:rsidRPr="00C73496">
        <w:rPr>
          <w:lang w:val="en-GB"/>
        </w:rPr>
        <w:t>long-chain f</w:t>
      </w:r>
      <w:r w:rsidRPr="00C73496">
        <w:rPr>
          <w:lang w:val="en-GB"/>
        </w:rPr>
        <w:t>atty acids (C16-C18</w:t>
      </w:r>
      <w:r w:rsidR="009C1204" w:rsidRPr="00C73496">
        <w:rPr>
          <w:lang w:val="en-GB"/>
        </w:rPr>
        <w:t>); 8) d</w:t>
      </w:r>
      <w:r w:rsidRPr="00C73496">
        <w:rPr>
          <w:lang w:val="en-GB"/>
        </w:rPr>
        <w:t xml:space="preserve">ehydroabietic acid. The chromatograms of bio-crude, </w:t>
      </w:r>
      <w:r w:rsidR="009C1204" w:rsidRPr="00C73496">
        <w:rPr>
          <w:lang w:val="en-GB"/>
        </w:rPr>
        <w:t xml:space="preserve">together with </w:t>
      </w:r>
      <w:r w:rsidRPr="00C73496">
        <w:rPr>
          <w:lang w:val="en-GB"/>
        </w:rPr>
        <w:t>extracts E1 and E4 of extraction A are shown in Figure 3a, whereas Figure 3b shows the corresponding chromatogram</w:t>
      </w:r>
      <w:r w:rsidR="009C1204" w:rsidRPr="00C73496">
        <w:rPr>
          <w:lang w:val="en-GB"/>
        </w:rPr>
        <w:t>s</w:t>
      </w:r>
      <w:r w:rsidRPr="00C73496">
        <w:rPr>
          <w:lang w:val="en-GB"/>
        </w:rPr>
        <w:t xml:space="preserve"> of the derivatised samples that served for identifying and</w:t>
      </w:r>
      <w:r w:rsidRPr="00591ECF">
        <w:rPr>
          <w:lang w:val="en-GB"/>
        </w:rPr>
        <w:t xml:space="preserve"> </w:t>
      </w:r>
      <w:r w:rsidR="003C7E4D" w:rsidRPr="00EC2249">
        <w:rPr>
          <w:lang w:val="en-GB" w:eastAsia="en-GB"/>
        </w:rPr>
        <w:t xml:space="preserve"> </w:t>
      </w:r>
      <w:r w:rsidR="003A383D" w:rsidRPr="00EC2249">
        <w:rPr>
          <w:noProof/>
        </w:rPr>
        <w:lastRenderedPageBreak/>
        <w:drawing>
          <wp:inline distT="0" distB="0" distL="0" distR="0" wp14:anchorId="6E725A16" wp14:editId="33F6E53F">
            <wp:extent cx="2733002" cy="17996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Values_R1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9" t="4874" r="8332" b="5955"/>
                    <a:stretch/>
                  </pic:blipFill>
                  <pic:spPr bwMode="auto">
                    <a:xfrm>
                      <a:off x="0" y="0"/>
                      <a:ext cx="2791164" cy="1837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6FC0" w:rsidRPr="00EC2249">
        <w:rPr>
          <w:lang w:val="en-GB" w:eastAsia="en-GB"/>
        </w:rPr>
        <w:t xml:space="preserve"> </w:t>
      </w:r>
      <w:r w:rsidR="00156FC0" w:rsidRPr="00EC2249">
        <w:rPr>
          <w:noProof/>
        </w:rPr>
        <w:drawing>
          <wp:inline distT="0" distB="0" distL="0" distR="0" wp14:anchorId="21C5610E" wp14:editId="2C290E49">
            <wp:extent cx="2726890" cy="178950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Values_R2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2" t="5122" r="8341" b="6761"/>
                    <a:stretch/>
                  </pic:blipFill>
                  <pic:spPr bwMode="auto">
                    <a:xfrm>
                      <a:off x="0" y="0"/>
                      <a:ext cx="2785570" cy="182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6FC0" w:rsidRPr="00EC2249">
        <w:rPr>
          <w:lang w:val="en-GB" w:eastAsia="en-GB"/>
        </w:rPr>
        <w:t xml:space="preserve"> </w:t>
      </w:r>
      <w:r w:rsidR="003A383D" w:rsidRPr="00EC2249">
        <w:rPr>
          <w:noProof/>
        </w:rPr>
        <w:drawing>
          <wp:inline distT="0" distB="0" distL="0" distR="0" wp14:anchorId="3E15C2D6" wp14:editId="63E06E0C">
            <wp:extent cx="2732405" cy="1793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Values_R3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0" t="5539" r="8109" b="5796"/>
                    <a:stretch/>
                  </pic:blipFill>
                  <pic:spPr bwMode="auto">
                    <a:xfrm>
                      <a:off x="0" y="0"/>
                      <a:ext cx="2750495" cy="1805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1CF1" w:rsidRPr="00EC2249">
        <w:rPr>
          <w:lang w:val="en-GB" w:eastAsia="en-GB"/>
        </w:rPr>
        <w:t xml:space="preserve">  </w:t>
      </w:r>
      <w:r w:rsidR="003A383D" w:rsidRPr="00EC2249">
        <w:rPr>
          <w:noProof/>
        </w:rPr>
        <w:drawing>
          <wp:inline distT="0" distB="0" distL="0" distR="0" wp14:anchorId="33EAA830" wp14:editId="4C430D82">
            <wp:extent cx="2710483" cy="1792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_Classes_all runs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8" t="4947" r="8712" b="5350"/>
                    <a:stretch/>
                  </pic:blipFill>
                  <pic:spPr bwMode="auto">
                    <a:xfrm>
                      <a:off x="0" y="0"/>
                      <a:ext cx="2755598" cy="1822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802C51" w14:textId="6F3AFE34" w:rsidR="003C7E4D" w:rsidRDefault="00751E74" w:rsidP="00751E74">
      <w:pPr>
        <w:pStyle w:val="CETCaption"/>
      </w:pPr>
      <w:r w:rsidRPr="00EC2249">
        <w:t xml:space="preserve">Figure </w:t>
      </w:r>
      <w:r w:rsidRPr="00EC2249">
        <w:fldChar w:fldCharType="begin"/>
      </w:r>
      <w:r w:rsidRPr="00EC2249">
        <w:instrText xml:space="preserve"> SEQ Figure \* ARABIC </w:instrText>
      </w:r>
      <w:r w:rsidRPr="00EC2249">
        <w:fldChar w:fldCharType="separate"/>
      </w:r>
      <w:r w:rsidR="00E22401">
        <w:rPr>
          <w:noProof/>
        </w:rPr>
        <w:t>4</w:t>
      </w:r>
      <w:r w:rsidRPr="00EC2249">
        <w:fldChar w:fldCharType="end"/>
      </w:r>
      <w:r w:rsidRPr="00EC2249">
        <w:t xml:space="preserve">: </w:t>
      </w:r>
      <w:r w:rsidR="003A383D" w:rsidRPr="00EC2249">
        <w:t xml:space="preserve">a, b, c: Distribution factors of </w:t>
      </w:r>
      <w:r w:rsidR="00121CF1" w:rsidRPr="00EC2249">
        <w:t>identified classes at 500, 615 and 730 kg/m</w:t>
      </w:r>
      <w:r w:rsidR="00121CF1" w:rsidRPr="00EC2249">
        <w:rPr>
          <w:vertAlign w:val="superscript"/>
        </w:rPr>
        <w:t xml:space="preserve">3 </w:t>
      </w:r>
      <w:r w:rsidR="00121CF1" w:rsidRPr="00EC2249">
        <w:t xml:space="preserve">respectively; d: </w:t>
      </w:r>
      <w:r w:rsidR="002779B3">
        <w:t>Total e</w:t>
      </w:r>
      <w:r w:rsidR="00121CF1" w:rsidRPr="00EC2249">
        <w:t xml:space="preserve">xtraction yield of identified classes for all experiments. </w:t>
      </w:r>
    </w:p>
    <w:p w14:paraId="4DE970AF" w14:textId="77777777" w:rsidR="009C1204" w:rsidRPr="00C73496" w:rsidRDefault="009C1204" w:rsidP="009C1204">
      <w:pPr>
        <w:pStyle w:val="CETBodytext"/>
        <w:rPr>
          <w:lang w:val="en-GB"/>
        </w:rPr>
      </w:pPr>
      <w:r w:rsidRPr="00C73496">
        <w:rPr>
          <w:lang w:val="en-GB"/>
        </w:rPr>
        <w:t xml:space="preserve">quantitating the acids. The boiling points of the identified extracted components varied from approximately 150 </w:t>
      </w:r>
      <w:r w:rsidRPr="00C73496">
        <w:rPr>
          <w:rFonts w:cs="Arial"/>
          <w:lang w:val="en-GB"/>
        </w:rPr>
        <w:t>º</w:t>
      </w:r>
      <w:r w:rsidRPr="00C73496">
        <w:rPr>
          <w:lang w:val="en-GB"/>
        </w:rPr>
        <w:t xml:space="preserve">C for the lighter components up to higher than 400 </w:t>
      </w:r>
      <w:r w:rsidRPr="00C73496">
        <w:rPr>
          <w:rFonts w:cs="Arial"/>
          <w:lang w:val="en-GB"/>
        </w:rPr>
        <w:t>º</w:t>
      </w:r>
      <w:r w:rsidRPr="00C73496">
        <w:rPr>
          <w:lang w:val="en-GB"/>
        </w:rPr>
        <w:t xml:space="preserve">C for the heavier acids, with a consistent match with increasing retention rimes. </w:t>
      </w:r>
    </w:p>
    <w:p w14:paraId="0BD51D56" w14:textId="64967EC7" w:rsidR="005343B5" w:rsidRPr="00EC2249" w:rsidRDefault="009C1204" w:rsidP="005343B5">
      <w:pPr>
        <w:pStyle w:val="CETBodytext"/>
        <w:rPr>
          <w:lang w:val="en-GB"/>
        </w:rPr>
      </w:pPr>
      <w:r w:rsidRPr="00C73496">
        <w:rPr>
          <w:lang w:val="en-GB"/>
        </w:rPr>
        <w:t xml:space="preserve">Figures 4a to 4c show the distribution factors (K-values) of the identified classes of components, whereas Figure 4d shows the total extraction yield of each class. </w:t>
      </w:r>
      <w:r w:rsidR="005343B5" w:rsidRPr="00C73496">
        <w:rPr>
          <w:lang w:val="en-GB"/>
        </w:rPr>
        <w:t xml:space="preserve">The K-values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(K</m:t>
            </m:r>
          </m:e>
          <m:sub>
            <m:r>
              <w:rPr>
                <w:rFonts w:ascii="Cambria Math" w:hAnsi="Cambria Math"/>
                <w:lang w:val="en-GB"/>
              </w:rPr>
              <m:t>ik</m:t>
            </m:r>
          </m:sub>
        </m:sSub>
        <m:r>
          <w:rPr>
            <w:rFonts w:ascii="Cambria Math" w:hAnsi="Cambria Math"/>
            <w:lang w:val="en-GB"/>
          </w:rPr>
          <m:t>)</m:t>
        </m:r>
      </m:oMath>
      <w:r w:rsidR="005343B5" w:rsidRPr="00C73496">
        <w:rPr>
          <w:lang w:val="en-GB"/>
        </w:rPr>
        <w:t xml:space="preserve"> were calculated, in a </w:t>
      </w:r>
      <w:r w:rsidR="005343B5" w:rsidRPr="00C73496">
        <w:rPr>
          <w:rFonts w:eastAsiaTheme="minorEastAsia"/>
          <w:lang w:val="en-GB"/>
        </w:rPr>
        <w:t>CO</w:t>
      </w:r>
      <w:r w:rsidR="005343B5" w:rsidRPr="00C73496">
        <w:rPr>
          <w:rFonts w:eastAsiaTheme="minorEastAsia"/>
          <w:vertAlign w:val="subscript"/>
          <w:lang w:val="en-GB"/>
        </w:rPr>
        <w:t>2</w:t>
      </w:r>
      <w:r w:rsidR="005343B5" w:rsidRPr="00C73496">
        <w:rPr>
          <w:rFonts w:eastAsiaTheme="minorEastAsia"/>
          <w:lang w:val="en-GB"/>
        </w:rPr>
        <w:t>-free basis,</w:t>
      </w:r>
      <w:r w:rsidR="005343B5" w:rsidRPr="00C73496">
        <w:rPr>
          <w:lang w:val="en-GB"/>
        </w:rPr>
        <w:t xml:space="preserve"> as: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2"/>
        <w:gridCol w:w="805"/>
      </w:tblGrid>
      <w:tr w:rsidR="005343B5" w:rsidRPr="00EC2249" w14:paraId="6A139EED" w14:textId="77777777" w:rsidTr="00213B31">
        <w:tc>
          <w:tcPr>
            <w:tcW w:w="7982" w:type="dxa"/>
            <w:shd w:val="clear" w:color="auto" w:fill="auto"/>
          </w:tcPr>
          <w:p w14:paraId="09D32A49" w14:textId="77777777" w:rsidR="005343B5" w:rsidRPr="00EC2249" w:rsidRDefault="007D148A" w:rsidP="00213B31">
            <w:pPr>
              <w:pStyle w:val="CETEquation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ik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ik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den>
                </m:f>
              </m:oMath>
            </m:oMathPara>
          </w:p>
        </w:tc>
        <w:tc>
          <w:tcPr>
            <w:tcW w:w="805" w:type="dxa"/>
            <w:shd w:val="clear" w:color="auto" w:fill="auto"/>
          </w:tcPr>
          <w:p w14:paraId="0509F549" w14:textId="06BBC9A0" w:rsidR="005343B5" w:rsidRPr="00EC2249" w:rsidRDefault="005343B5" w:rsidP="00EB670F">
            <w:pPr>
              <w:pStyle w:val="CETEquation"/>
            </w:pPr>
            <w:r w:rsidRPr="00EC2249">
              <w:t>(</w:t>
            </w:r>
            <w:r w:rsidR="00EB670F">
              <w:t>1</w:t>
            </w:r>
            <w:r w:rsidRPr="00EC2249">
              <w:t>)</w:t>
            </w:r>
          </w:p>
        </w:tc>
      </w:tr>
    </w:tbl>
    <w:p w14:paraId="0DC4C6CA" w14:textId="6A87E323" w:rsidR="005343B5" w:rsidRPr="00EC2249" w:rsidRDefault="009C1204" w:rsidP="005343B5">
      <w:pPr>
        <w:pStyle w:val="CETBodytext"/>
        <w:rPr>
          <w:lang w:val="en-GB"/>
        </w:rPr>
      </w:pPr>
      <w:r w:rsidRPr="00C73496">
        <w:rPr>
          <w:lang w:val="en-GB"/>
        </w:rPr>
        <w:t>w</w:t>
      </w:r>
      <w:r w:rsidR="005343B5" w:rsidRPr="00C73496">
        <w:rPr>
          <w:lang w:val="en-GB"/>
        </w:rPr>
        <w:t xml:space="preserve">here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y</m:t>
            </m:r>
          </m:e>
          <m:sub>
            <m:r>
              <w:rPr>
                <w:rFonts w:ascii="Cambria Math" w:hAnsi="Cambria Math"/>
                <w:lang w:val="en-GB"/>
              </w:rPr>
              <m:t>ik</m:t>
            </m:r>
          </m:sub>
        </m:sSub>
      </m:oMath>
      <w:r w:rsidR="005343B5" w:rsidRPr="00C73496">
        <w:rPr>
          <w:lang w:val="en-GB"/>
        </w:rPr>
        <w:t xml:space="preserve"> is the mass fraction of each class </w:t>
      </w:r>
      <m:oMath>
        <m:r>
          <w:rPr>
            <w:rFonts w:ascii="Cambria Math" w:hAnsi="Cambria Math"/>
            <w:lang w:val="en-GB"/>
          </w:rPr>
          <m:t>i</m:t>
        </m:r>
      </m:oMath>
      <w:r w:rsidR="005343B5" w:rsidRPr="00C73496">
        <w:rPr>
          <w:lang w:val="en-GB"/>
        </w:rPr>
        <w:t xml:space="preserve"> in an extract </w:t>
      </w:r>
      <m:oMath>
        <m:r>
          <w:rPr>
            <w:rFonts w:ascii="Cambria Math" w:hAnsi="Cambria Math"/>
            <w:lang w:val="en-GB"/>
          </w:rPr>
          <m:t>k</m:t>
        </m:r>
      </m:oMath>
      <w:r w:rsidR="005343B5" w:rsidRPr="00C73496">
        <w:rPr>
          <w:lang w:val="en-GB"/>
        </w:rPr>
        <w:t xml:space="preserve"> and </w:t>
      </w:r>
      <m:oMath>
        <m:d>
          <m:dPr>
            <m:ctrlPr>
              <w:rPr>
                <w:rFonts w:ascii="Cambria Math" w:hAnsi="Cambria Math"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,</m:t>
                    </m:r>
                    <m:r>
                      <w:rPr>
                        <w:rFonts w:ascii="Cambria Math" w:hAnsi="Cambria Math"/>
                        <w:lang w:val="en-GB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-1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ik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e>
        </m:d>
      </m:oMath>
      <w:r w:rsidR="005343B5" w:rsidRPr="00C73496">
        <w:rPr>
          <w:lang w:val="en-GB"/>
        </w:rPr>
        <w:t xml:space="preserve"> is an estimation of the average mass</w:t>
      </w:r>
      <w:r w:rsidR="005343B5" w:rsidRPr="00EC2249">
        <w:rPr>
          <w:lang w:val="en-GB"/>
        </w:rPr>
        <w:t xml:space="preserve"> fraction of class </w:t>
      </w:r>
      <m:oMath>
        <m:r>
          <w:rPr>
            <w:rFonts w:ascii="Cambria Math" w:hAnsi="Cambria Math"/>
            <w:lang w:val="en-GB"/>
          </w:rPr>
          <m:t>i</m:t>
        </m:r>
      </m:oMath>
      <w:r w:rsidR="005343B5" w:rsidRPr="00EC2249">
        <w:rPr>
          <w:lang w:val="en-GB"/>
        </w:rPr>
        <w:t xml:space="preserve"> in the extractor during the period of collection of the extract </w:t>
      </w:r>
      <m:oMath>
        <m:r>
          <w:rPr>
            <w:rFonts w:ascii="Cambria Math" w:hAnsi="Cambria Math"/>
            <w:lang w:val="en-GB"/>
          </w:rPr>
          <m:t>k</m:t>
        </m:r>
      </m:oMath>
      <w:r w:rsidR="005343B5" w:rsidRPr="00EC2249">
        <w:rPr>
          <w:lang w:val="en-GB"/>
        </w:rPr>
        <w:t>. The total extraction yield</w:t>
      </w:r>
      <w:r w:rsidR="005343B5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 w:rsidR="005343B5" w:rsidRPr="00EC2249">
        <w:rPr>
          <w:lang w:val="en-GB"/>
        </w:rPr>
        <w:t xml:space="preserve"> for each class </w:t>
      </w:r>
      <m:oMath>
        <m:r>
          <w:rPr>
            <w:rFonts w:ascii="Cambria Math" w:hAnsi="Cambria Math"/>
            <w:lang w:val="en-GB"/>
          </w:rPr>
          <m:t>i</m:t>
        </m:r>
      </m:oMath>
      <w:r w:rsidR="005343B5" w:rsidRPr="00EC2249">
        <w:rPr>
          <w:lang w:val="en-GB"/>
        </w:rPr>
        <w:t xml:space="preserve"> was defined as: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2"/>
        <w:gridCol w:w="805"/>
      </w:tblGrid>
      <w:tr w:rsidR="005343B5" w:rsidRPr="00EC2249" w14:paraId="103C76FF" w14:textId="77777777" w:rsidTr="00213B31">
        <w:tc>
          <w:tcPr>
            <w:tcW w:w="7982" w:type="dxa"/>
            <w:shd w:val="clear" w:color="auto" w:fill="auto"/>
          </w:tcPr>
          <w:p w14:paraId="510ADAF2" w14:textId="77777777" w:rsidR="005343B5" w:rsidRPr="00EC2249" w:rsidRDefault="007D148A" w:rsidP="00213B31">
            <w:pPr>
              <w:pStyle w:val="CETEquation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ik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F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∙100</m:t>
                </m:r>
              </m:oMath>
            </m:oMathPara>
          </w:p>
        </w:tc>
        <w:tc>
          <w:tcPr>
            <w:tcW w:w="805" w:type="dxa"/>
            <w:shd w:val="clear" w:color="auto" w:fill="auto"/>
          </w:tcPr>
          <w:p w14:paraId="287E4C29" w14:textId="4D426C62" w:rsidR="005343B5" w:rsidRPr="00EC2249" w:rsidRDefault="005343B5" w:rsidP="00EB670F">
            <w:pPr>
              <w:pStyle w:val="CETEquation"/>
            </w:pPr>
            <w:r w:rsidRPr="00EC2249">
              <w:t>(</w:t>
            </w:r>
            <w:r w:rsidR="00EB670F">
              <w:t>2</w:t>
            </w:r>
            <w:r w:rsidRPr="00EC2249">
              <w:t>)</w:t>
            </w:r>
          </w:p>
        </w:tc>
      </w:tr>
    </w:tbl>
    <w:p w14:paraId="3953FF67" w14:textId="13A6A07D" w:rsidR="00577412" w:rsidRDefault="005343B5" w:rsidP="007958E0">
      <w:pPr>
        <w:pStyle w:val="CETBodytext"/>
        <w:rPr>
          <w:lang w:val="en-GB"/>
        </w:rPr>
      </w:pPr>
      <w:r w:rsidRPr="00C73496">
        <w:rPr>
          <w:lang w:val="en-GB"/>
        </w:rPr>
        <w:t xml:space="preserve">where 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E</m:t>
            </m:r>
          </m:e>
          <m:sub>
            <m:r>
              <w:rPr>
                <w:rFonts w:ascii="Cambria Math" w:hAnsi="Cambria Math"/>
                <w:lang w:val="en-GB"/>
              </w:rPr>
              <m:t>k</m:t>
            </m:r>
          </m:sub>
        </m:sSub>
      </m:oMath>
      <w:r w:rsidRPr="00C73496">
        <w:rPr>
          <w:lang w:val="en-GB"/>
        </w:rPr>
        <w:t xml:space="preserve"> is the mass of extract </w:t>
      </w:r>
      <m:oMath>
        <m:r>
          <w:rPr>
            <w:rFonts w:ascii="Cambria Math" w:hAnsi="Cambria Math"/>
            <w:lang w:val="en-GB"/>
          </w:rPr>
          <m:t>k</m:t>
        </m:r>
      </m:oMath>
      <w:r w:rsidRPr="00C73496">
        <w:rPr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y</m:t>
            </m:r>
          </m:e>
          <m:sub>
            <m:r>
              <w:rPr>
                <w:rFonts w:ascii="Cambria Math" w:hAnsi="Cambria Math"/>
                <w:lang w:val="en-GB"/>
              </w:rPr>
              <m:t>ik</m:t>
            </m:r>
          </m:sub>
        </m:sSub>
      </m:oMath>
      <w:r w:rsidRPr="00C73496">
        <w:rPr>
          <w:rFonts w:eastAsiaTheme="minorEastAsia"/>
          <w:lang w:val="en-GB"/>
        </w:rPr>
        <w:t xml:space="preserve"> </w:t>
      </w:r>
      <w:r w:rsidR="009C1204" w:rsidRPr="00C73496">
        <w:rPr>
          <w:rFonts w:eastAsiaTheme="minorEastAsia"/>
          <w:lang w:val="en-GB"/>
        </w:rPr>
        <w:t xml:space="preserve">and </w:t>
      </w:r>
      <m:oMath>
        <m:r>
          <w:rPr>
            <w:rFonts w:ascii="Cambria Math" w:hAnsi="Cambria Math"/>
            <w:lang w:val="en-GB"/>
          </w:rPr>
          <m:t>F</m:t>
        </m:r>
      </m:oMath>
      <w:r w:rsidRPr="00C73496">
        <w:rPr>
          <w:rFonts w:eastAsiaTheme="minorEastAsia"/>
          <w:lang w:val="en-GB"/>
        </w:rPr>
        <w:t xml:space="preserve"> </w:t>
      </w:r>
      <w:r w:rsidR="009C1204" w:rsidRPr="00C73496">
        <w:rPr>
          <w:rFonts w:eastAsiaTheme="minorEastAsia"/>
          <w:lang w:val="en-GB"/>
        </w:rPr>
        <w:t xml:space="preserve">were defined above, and 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i</m:t>
            </m:r>
          </m:sub>
        </m:sSub>
      </m:oMath>
      <w:r w:rsidRPr="00C73496">
        <w:rPr>
          <w:rFonts w:eastAsiaTheme="minorEastAsia"/>
          <w:lang w:val="en-GB"/>
        </w:rPr>
        <w:t xml:space="preserve"> is the mass fraction of the class </w:t>
      </w:r>
      <m:oMath>
        <m:r>
          <w:rPr>
            <w:rFonts w:ascii="Cambria Math" w:hAnsi="Cambria Math"/>
            <w:lang w:val="en-GB"/>
          </w:rPr>
          <m:t>i</m:t>
        </m:r>
      </m:oMath>
      <w:r w:rsidRPr="00C73496">
        <w:rPr>
          <w:rFonts w:eastAsiaTheme="minorEastAsia"/>
          <w:lang w:val="en-GB"/>
        </w:rPr>
        <w:t xml:space="preserve"> in the bio-crude</w:t>
      </w:r>
      <w:r w:rsidR="00EE55D5" w:rsidRPr="00C73496">
        <w:rPr>
          <w:rFonts w:eastAsiaTheme="minorEastAsia"/>
          <w:lang w:val="en-GB"/>
        </w:rPr>
        <w:t xml:space="preserve"> feed</w:t>
      </w:r>
      <w:r w:rsidRPr="00C73496">
        <w:rPr>
          <w:rFonts w:eastAsiaTheme="minorEastAsia"/>
          <w:lang w:val="en-GB"/>
        </w:rPr>
        <w:t>.</w:t>
      </w:r>
      <w:r w:rsidR="00EE55D5" w:rsidRPr="00C73496">
        <w:rPr>
          <w:rFonts w:eastAsiaTheme="minorEastAsia"/>
          <w:lang w:val="en-GB"/>
        </w:rPr>
        <w:t xml:space="preserve"> As can be seen from </w:t>
      </w:r>
      <w:r w:rsidR="00CE7119" w:rsidRPr="00C73496">
        <w:rPr>
          <w:lang w:val="en-GB"/>
        </w:rPr>
        <w:t xml:space="preserve">Figure 4, </w:t>
      </w:r>
      <w:r w:rsidR="00EE55D5" w:rsidRPr="00C73496">
        <w:rPr>
          <w:lang w:val="en-GB"/>
        </w:rPr>
        <w:t>the</w:t>
      </w:r>
      <w:r w:rsidR="002C3E7D" w:rsidRPr="00C73496">
        <w:rPr>
          <w:lang w:val="en-GB"/>
        </w:rPr>
        <w:t xml:space="preserve"> lighter components (i.e ketones, o-cumene, </w:t>
      </w:r>
      <w:r w:rsidR="00EE55D5" w:rsidRPr="00C73496">
        <w:rPr>
          <w:lang w:val="en-GB"/>
        </w:rPr>
        <w:t>short-chain fatty acids</w:t>
      </w:r>
      <w:r w:rsidR="005B05E9" w:rsidRPr="00C73496">
        <w:rPr>
          <w:lang w:val="en-GB"/>
        </w:rPr>
        <w:t>) are</w:t>
      </w:r>
      <w:r w:rsidR="000367D2" w:rsidRPr="00C73496">
        <w:rPr>
          <w:lang w:val="en-GB"/>
        </w:rPr>
        <w:t xml:space="preserve"> enriched in the extracts, owning</w:t>
      </w:r>
      <w:r w:rsidR="005B05E9" w:rsidRPr="00C73496">
        <w:rPr>
          <w:lang w:val="en-GB"/>
        </w:rPr>
        <w:t xml:space="preserve"> the highest</w:t>
      </w:r>
      <w:r w:rsidR="000367D2" w:rsidRPr="00C73496">
        <w:rPr>
          <w:lang w:val="en-GB"/>
        </w:rPr>
        <w:t xml:space="preserve"> K</w:t>
      </w:r>
      <w:r w:rsidR="00591ECF" w:rsidRPr="00C73496">
        <w:rPr>
          <w:lang w:val="en-GB"/>
        </w:rPr>
        <w:t>-v</w:t>
      </w:r>
      <w:r w:rsidR="000367D2" w:rsidRPr="00C73496">
        <w:rPr>
          <w:lang w:val="en-GB"/>
        </w:rPr>
        <w:t>alues</w:t>
      </w:r>
      <w:r w:rsidR="005B05E9" w:rsidRPr="00C73496">
        <w:rPr>
          <w:lang w:val="en-GB"/>
        </w:rPr>
        <w:t xml:space="preserve"> in the initial period</w:t>
      </w:r>
      <w:r w:rsidR="003031D7" w:rsidRPr="00C73496">
        <w:rPr>
          <w:lang w:val="en-GB"/>
        </w:rPr>
        <w:t xml:space="preserve"> (up to </w:t>
      </w:r>
      <w:r w:rsidR="00933A3A" w:rsidRPr="00C73496">
        <w:rPr>
          <w:lang w:val="en-GB"/>
        </w:rPr>
        <w:t>7</w:t>
      </w:r>
      <w:r w:rsidR="003031D7" w:rsidRPr="00C73496">
        <w:rPr>
          <w:lang w:val="en-GB"/>
        </w:rPr>
        <w:t>)</w:t>
      </w:r>
      <w:r w:rsidR="005B05E9" w:rsidRPr="00C73496">
        <w:rPr>
          <w:lang w:val="en-GB"/>
        </w:rPr>
        <w:t xml:space="preserve"> of each extraction</w:t>
      </w:r>
      <w:r w:rsidR="00C069DE" w:rsidRPr="00C73496">
        <w:rPr>
          <w:lang w:val="en-GB"/>
        </w:rPr>
        <w:t>.</w:t>
      </w:r>
      <w:r w:rsidR="00C069DE">
        <w:rPr>
          <w:lang w:val="en-GB"/>
        </w:rPr>
        <w:t xml:space="preserve"> </w:t>
      </w:r>
      <w:r w:rsidR="004356B2" w:rsidRPr="00C73496">
        <w:rPr>
          <w:lang w:val="en-GB"/>
        </w:rPr>
        <w:t xml:space="preserve">Phenols and benzenediols are also enriched in the </w:t>
      </w:r>
      <w:r w:rsidR="00EC62D1" w:rsidRPr="00C73496">
        <w:rPr>
          <w:lang w:val="en-GB"/>
        </w:rPr>
        <w:t xml:space="preserve">first </w:t>
      </w:r>
      <w:r w:rsidR="004356B2" w:rsidRPr="00C73496">
        <w:rPr>
          <w:lang w:val="en-GB"/>
        </w:rPr>
        <w:t>extracts</w:t>
      </w:r>
      <w:r w:rsidR="00CD7A64" w:rsidRPr="00C73496">
        <w:rPr>
          <w:lang w:val="en-GB"/>
        </w:rPr>
        <w:t>,</w:t>
      </w:r>
      <w:r w:rsidR="004356B2" w:rsidRPr="00C73496">
        <w:rPr>
          <w:lang w:val="en-GB"/>
        </w:rPr>
        <w:t xml:space="preserve"> albeit wi</w:t>
      </w:r>
      <w:r w:rsidR="009E1678" w:rsidRPr="00C73496">
        <w:rPr>
          <w:lang w:val="en-GB"/>
        </w:rPr>
        <w:t xml:space="preserve">th lower </w:t>
      </w:r>
      <w:r w:rsidR="00591ECF" w:rsidRPr="00C73496">
        <w:rPr>
          <w:lang w:val="en-GB"/>
        </w:rPr>
        <w:t>K-v</w:t>
      </w:r>
      <w:r w:rsidR="009E1678" w:rsidRPr="00C73496">
        <w:rPr>
          <w:lang w:val="en-GB"/>
        </w:rPr>
        <w:t xml:space="preserve">alues </w:t>
      </w:r>
      <w:r w:rsidR="00C069DE" w:rsidRPr="00C73496">
        <w:rPr>
          <w:lang w:val="en-GB"/>
        </w:rPr>
        <w:t>(</w:t>
      </w:r>
      <w:r w:rsidR="009E1678" w:rsidRPr="00C73496">
        <w:rPr>
          <w:lang w:val="en-GB"/>
        </w:rPr>
        <w:t>be</w:t>
      </w:r>
      <w:r w:rsidR="00EC62D1" w:rsidRPr="00C73496">
        <w:rPr>
          <w:lang w:val="en-GB"/>
        </w:rPr>
        <w:t xml:space="preserve">low </w:t>
      </w:r>
      <w:r w:rsidR="009E1678" w:rsidRPr="00C73496">
        <w:rPr>
          <w:lang w:val="en-GB"/>
        </w:rPr>
        <w:t>3</w:t>
      </w:r>
      <w:r w:rsidR="00C069DE" w:rsidRPr="00C73496">
        <w:rPr>
          <w:lang w:val="en-GB"/>
        </w:rPr>
        <w:t>)</w:t>
      </w:r>
      <w:r w:rsidR="009E1678" w:rsidRPr="00C73496">
        <w:rPr>
          <w:lang w:val="en-GB"/>
        </w:rPr>
        <w:t>.</w:t>
      </w:r>
      <w:r w:rsidR="005B05E9" w:rsidRPr="00C73496">
        <w:rPr>
          <w:lang w:val="en-GB"/>
        </w:rPr>
        <w:t xml:space="preserve"> </w:t>
      </w:r>
      <w:r w:rsidR="00C069DE" w:rsidRPr="00C73496">
        <w:rPr>
          <w:lang w:val="en-GB"/>
        </w:rPr>
        <w:t>A</w:t>
      </w:r>
      <w:r w:rsidR="00C069DE">
        <w:rPr>
          <w:lang w:val="en-GB"/>
        </w:rPr>
        <w:t xml:space="preserve"> </w:t>
      </w:r>
      <w:r w:rsidR="00BC4EF7" w:rsidRPr="00C73496">
        <w:rPr>
          <w:lang w:val="en-GB"/>
        </w:rPr>
        <w:t>noteworthy</w:t>
      </w:r>
      <w:r w:rsidR="00C069DE" w:rsidRPr="00C73496">
        <w:rPr>
          <w:lang w:val="en-GB"/>
        </w:rPr>
        <w:t xml:space="preserve"> increase in the </w:t>
      </w:r>
      <w:r w:rsidR="00591ECF" w:rsidRPr="00C73496">
        <w:rPr>
          <w:lang w:val="en-GB"/>
        </w:rPr>
        <w:t>K-v</w:t>
      </w:r>
      <w:r w:rsidR="000367D2" w:rsidRPr="00C73496">
        <w:rPr>
          <w:lang w:val="en-GB"/>
        </w:rPr>
        <w:t>alue</w:t>
      </w:r>
      <w:r w:rsidR="00C069DE" w:rsidRPr="00C73496">
        <w:rPr>
          <w:lang w:val="en-GB"/>
        </w:rPr>
        <w:t xml:space="preserve"> </w:t>
      </w:r>
      <w:r w:rsidR="002C6E95" w:rsidRPr="00C73496">
        <w:rPr>
          <w:lang w:val="en-GB"/>
        </w:rPr>
        <w:t>for</w:t>
      </w:r>
      <w:r w:rsidR="005B05E9" w:rsidRPr="00C73496">
        <w:rPr>
          <w:lang w:val="en-GB"/>
        </w:rPr>
        <w:t xml:space="preserve"> the polyaro</w:t>
      </w:r>
      <w:r w:rsidR="00EC62D1" w:rsidRPr="00C73496">
        <w:rPr>
          <w:lang w:val="en-GB"/>
        </w:rPr>
        <w:t>matic hydrocarbons and the long-</w:t>
      </w:r>
      <w:r w:rsidR="005B05E9" w:rsidRPr="00C73496">
        <w:rPr>
          <w:lang w:val="en-GB"/>
        </w:rPr>
        <w:t>chain</w:t>
      </w:r>
      <w:r w:rsidR="002C6E95" w:rsidRPr="00C73496">
        <w:rPr>
          <w:lang w:val="en-GB"/>
        </w:rPr>
        <w:t xml:space="preserve"> fatty acids </w:t>
      </w:r>
      <w:r w:rsidR="00C069DE" w:rsidRPr="00C73496">
        <w:rPr>
          <w:lang w:val="en-GB"/>
        </w:rPr>
        <w:t>is observed</w:t>
      </w:r>
      <w:r w:rsidR="00C069DE">
        <w:rPr>
          <w:lang w:val="en-GB"/>
        </w:rPr>
        <w:t xml:space="preserve"> </w:t>
      </w:r>
      <w:r w:rsidR="00C069DE" w:rsidRPr="00C73496">
        <w:rPr>
          <w:lang w:val="en-GB"/>
        </w:rPr>
        <w:t xml:space="preserve">as </w:t>
      </w:r>
      <w:r w:rsidR="002C6E95" w:rsidRPr="00C73496">
        <w:rPr>
          <w:lang w:val="en-GB"/>
        </w:rPr>
        <w:t>the extraction progresses</w:t>
      </w:r>
      <w:r w:rsidR="0058163E" w:rsidRPr="00C73496">
        <w:rPr>
          <w:lang w:val="en-GB"/>
        </w:rPr>
        <w:t xml:space="preserve">, with values close or below </w:t>
      </w:r>
      <w:r w:rsidR="00EC62D1" w:rsidRPr="00C73496">
        <w:rPr>
          <w:lang w:val="en-GB"/>
        </w:rPr>
        <w:t>1</w:t>
      </w:r>
      <w:r w:rsidR="002C6E95" w:rsidRPr="00C73496">
        <w:rPr>
          <w:lang w:val="en-GB"/>
        </w:rPr>
        <w:t xml:space="preserve"> </w:t>
      </w:r>
      <w:r w:rsidR="0058163E" w:rsidRPr="00C73496">
        <w:rPr>
          <w:lang w:val="en-GB"/>
        </w:rPr>
        <w:t xml:space="preserve">at </w:t>
      </w:r>
      <w:r w:rsidR="002F7AB0" w:rsidRPr="00C73496">
        <w:rPr>
          <w:lang w:val="en-GB"/>
        </w:rPr>
        <w:t>early</w:t>
      </w:r>
      <w:r w:rsidR="0058163E" w:rsidRPr="00C73496">
        <w:rPr>
          <w:lang w:val="en-GB"/>
        </w:rPr>
        <w:t xml:space="preserve"> </w:t>
      </w:r>
      <w:r w:rsidR="00EC62D1" w:rsidRPr="00C73496">
        <w:rPr>
          <w:lang w:val="en-GB"/>
        </w:rPr>
        <w:t xml:space="preserve">extraction </w:t>
      </w:r>
      <w:r w:rsidR="0058163E" w:rsidRPr="00C73496">
        <w:rPr>
          <w:lang w:val="en-GB"/>
        </w:rPr>
        <w:t xml:space="preserve">stages and up to </w:t>
      </w:r>
      <w:r w:rsidR="002C6E95" w:rsidRPr="00C73496">
        <w:rPr>
          <w:lang w:val="en-GB"/>
        </w:rPr>
        <w:t>4 and 9</w:t>
      </w:r>
      <w:r w:rsidR="00EC62D1" w:rsidRPr="00C73496">
        <w:rPr>
          <w:lang w:val="en-GB"/>
        </w:rPr>
        <w:t xml:space="preserve">, respectively, </w:t>
      </w:r>
      <w:r w:rsidR="0058163E" w:rsidRPr="00C73496">
        <w:rPr>
          <w:lang w:val="en-GB"/>
        </w:rPr>
        <w:t>at the last stages</w:t>
      </w:r>
      <w:r w:rsidR="002C6E95" w:rsidRPr="00C73496">
        <w:rPr>
          <w:lang w:val="en-GB"/>
        </w:rPr>
        <w:t>. Another interesting observatio</w:t>
      </w:r>
      <w:r w:rsidR="00591ECF" w:rsidRPr="00C73496">
        <w:rPr>
          <w:lang w:val="en-GB"/>
        </w:rPr>
        <w:t>n is the considerably higher K-v</w:t>
      </w:r>
      <w:r w:rsidR="002C6E95" w:rsidRPr="00C73496">
        <w:rPr>
          <w:lang w:val="en-GB"/>
        </w:rPr>
        <w:t>alue of</w:t>
      </w:r>
      <w:r w:rsidR="002C6E95" w:rsidRPr="00EC2249">
        <w:rPr>
          <w:lang w:val="en-GB"/>
        </w:rPr>
        <w:t xml:space="preserve"> </w:t>
      </w:r>
      <w:r w:rsidR="002C6E95" w:rsidRPr="00933A3A">
        <w:rPr>
          <w:lang w:val="en-GB"/>
        </w:rPr>
        <w:t>dehydroabietic acid at 730 kg/m</w:t>
      </w:r>
      <w:r w:rsidR="002C6E95" w:rsidRPr="00933A3A">
        <w:rPr>
          <w:vertAlign w:val="superscript"/>
          <w:lang w:val="en-GB"/>
        </w:rPr>
        <w:t>3</w:t>
      </w:r>
      <w:r w:rsidR="002C6E95" w:rsidRPr="00933A3A">
        <w:rPr>
          <w:lang w:val="en-GB"/>
        </w:rPr>
        <w:t xml:space="preserve"> compared to the </w:t>
      </w:r>
      <w:r w:rsidR="00CD7A64" w:rsidRPr="00933A3A">
        <w:rPr>
          <w:lang w:val="en-GB"/>
        </w:rPr>
        <w:t xml:space="preserve">respective values at the </w:t>
      </w:r>
      <w:r w:rsidR="002C6E95" w:rsidRPr="00933A3A">
        <w:rPr>
          <w:lang w:val="en-GB"/>
        </w:rPr>
        <w:t>lower solvent densities</w:t>
      </w:r>
      <w:r w:rsidR="00CD7A64" w:rsidRPr="00933A3A">
        <w:rPr>
          <w:lang w:val="en-GB"/>
        </w:rPr>
        <w:t>. At the highest</w:t>
      </w:r>
      <w:r w:rsidR="00CD7A64">
        <w:rPr>
          <w:lang w:val="en-GB"/>
        </w:rPr>
        <w:t xml:space="preserve"> </w:t>
      </w:r>
      <w:r w:rsidR="00CD7A64" w:rsidRPr="00933A3A">
        <w:rPr>
          <w:lang w:val="en-GB"/>
        </w:rPr>
        <w:t xml:space="preserve">solvent </w:t>
      </w:r>
      <w:r w:rsidR="004D2337">
        <w:rPr>
          <w:lang w:val="en-GB"/>
        </w:rPr>
        <w:t>d</w:t>
      </w:r>
      <w:r w:rsidR="00CD7A64" w:rsidRPr="00933A3A">
        <w:rPr>
          <w:lang w:val="en-GB"/>
        </w:rPr>
        <w:t xml:space="preserve">ensity, an extraction yield of this component </w:t>
      </w:r>
      <w:r w:rsidR="000367D2" w:rsidRPr="00933A3A">
        <w:rPr>
          <w:lang w:val="en-GB"/>
        </w:rPr>
        <w:t>over 60 %</w:t>
      </w:r>
      <w:r w:rsidR="00CD7A64" w:rsidRPr="00933A3A">
        <w:rPr>
          <w:lang w:val="en-GB"/>
        </w:rPr>
        <w:t xml:space="preserve"> was achieved. This difference shows the remarkable tuneability of the sCO</w:t>
      </w:r>
      <w:r w:rsidR="00CD7A64" w:rsidRPr="00933A3A">
        <w:rPr>
          <w:vertAlign w:val="subscript"/>
          <w:lang w:val="en-GB"/>
        </w:rPr>
        <w:t>2</w:t>
      </w:r>
      <w:r w:rsidR="00CD7A64" w:rsidRPr="00933A3A">
        <w:rPr>
          <w:lang w:val="en-GB"/>
        </w:rPr>
        <w:t xml:space="preserve"> extraction process by varying the solvent density. </w:t>
      </w:r>
      <w:r w:rsidR="009E1678" w:rsidRPr="00933A3A">
        <w:rPr>
          <w:lang w:val="en-GB"/>
        </w:rPr>
        <w:t>A general trend of K-values</w:t>
      </w:r>
      <w:r w:rsidR="009E1678" w:rsidRPr="00EC2249">
        <w:rPr>
          <w:lang w:val="en-GB"/>
        </w:rPr>
        <w:t xml:space="preserve"> decreasing</w:t>
      </w:r>
      <w:r w:rsidR="003F69FE">
        <w:rPr>
          <w:lang w:val="en-GB"/>
        </w:rPr>
        <w:t xml:space="preserve"> as boiling point increases was observed</w:t>
      </w:r>
      <w:r w:rsidR="009E1678" w:rsidRPr="00EC2249">
        <w:rPr>
          <w:lang w:val="en-GB"/>
        </w:rPr>
        <w:t xml:space="preserve">. </w:t>
      </w:r>
      <w:r w:rsidR="004356B2" w:rsidRPr="00EC2249">
        <w:rPr>
          <w:lang w:val="en-GB"/>
        </w:rPr>
        <w:t>The total extraction yield of the component classes follow</w:t>
      </w:r>
      <w:r w:rsidR="000367D2">
        <w:rPr>
          <w:lang w:val="en-GB"/>
        </w:rPr>
        <w:t>s</w:t>
      </w:r>
      <w:r w:rsidR="004356B2" w:rsidRPr="00EC2249">
        <w:rPr>
          <w:lang w:val="en-GB"/>
        </w:rPr>
        <w:t xml:space="preserve"> the increase of the extraction yield</w:t>
      </w:r>
      <w:r w:rsidR="004604E8">
        <w:rPr>
          <w:lang w:val="en-GB"/>
        </w:rPr>
        <w:t>s,</w:t>
      </w:r>
      <w:r w:rsidR="004356B2" w:rsidRPr="00EC2249">
        <w:rPr>
          <w:lang w:val="en-GB"/>
        </w:rPr>
        <w:t xml:space="preserve"> which increases with solvent density. The only exception is the fatty acids </w:t>
      </w:r>
      <w:r w:rsidR="004356B2" w:rsidRPr="00C73496">
        <w:rPr>
          <w:lang w:val="en-GB"/>
        </w:rPr>
        <w:t>(C5-C8) that seem to be preferentially extrac</w:t>
      </w:r>
      <w:r w:rsidR="004604E8" w:rsidRPr="00C73496">
        <w:rPr>
          <w:lang w:val="en-GB"/>
        </w:rPr>
        <w:t>ted in all cases and end up to</w:t>
      </w:r>
      <w:r w:rsidR="004356B2" w:rsidRPr="00C73496">
        <w:rPr>
          <w:lang w:val="en-GB"/>
        </w:rPr>
        <w:t xml:space="preserve"> yield</w:t>
      </w:r>
      <w:r w:rsidR="004604E8" w:rsidRPr="00C73496">
        <w:rPr>
          <w:lang w:val="en-GB"/>
        </w:rPr>
        <w:t>s</w:t>
      </w:r>
      <w:r w:rsidR="004356B2" w:rsidRPr="00C73496">
        <w:rPr>
          <w:lang w:val="en-GB"/>
        </w:rPr>
        <w:t xml:space="preserve"> close to 100</w:t>
      </w:r>
      <w:r w:rsidR="0012798C" w:rsidRPr="00C73496">
        <w:rPr>
          <w:lang w:val="en-GB"/>
        </w:rPr>
        <w:t xml:space="preserve"> </w:t>
      </w:r>
      <w:r w:rsidR="004356B2" w:rsidRPr="00C73496">
        <w:rPr>
          <w:lang w:val="en-GB"/>
        </w:rPr>
        <w:t>%.</w:t>
      </w:r>
      <w:r w:rsidR="0075072D" w:rsidRPr="00C73496">
        <w:rPr>
          <w:lang w:val="en-GB"/>
        </w:rPr>
        <w:t xml:space="preserve"> </w:t>
      </w:r>
      <w:r w:rsidR="00EC62D1" w:rsidRPr="00C73496">
        <w:rPr>
          <w:lang w:val="en-GB"/>
        </w:rPr>
        <w:t xml:space="preserve">With regard to </w:t>
      </w:r>
      <w:r w:rsidR="00591ECF" w:rsidRPr="00C73496">
        <w:rPr>
          <w:lang w:val="en-GB"/>
        </w:rPr>
        <w:t>K-v</w:t>
      </w:r>
      <w:r w:rsidR="007D5D3C" w:rsidRPr="00C73496">
        <w:rPr>
          <w:lang w:val="en-GB"/>
        </w:rPr>
        <w:t>alue ratios (i.e. selectivity between the identified classes</w:t>
      </w:r>
      <w:r w:rsidR="00EC62D1" w:rsidRPr="00C73496">
        <w:rPr>
          <w:lang w:val="en-GB"/>
        </w:rPr>
        <w:t>),</w:t>
      </w:r>
      <w:r w:rsidR="004D6EB9" w:rsidRPr="00C73496">
        <w:rPr>
          <w:lang w:val="en-GB"/>
        </w:rPr>
        <w:t xml:space="preserve"> values between 1.1 and 13</w:t>
      </w:r>
      <w:r w:rsidR="008A0C0F" w:rsidRPr="00C73496">
        <w:rPr>
          <w:lang w:val="en-GB"/>
        </w:rPr>
        <w:t xml:space="preserve"> were found, with </w:t>
      </w:r>
      <w:r w:rsidR="008A0C0F" w:rsidRPr="00C73496">
        <w:rPr>
          <w:lang w:val="en-GB"/>
        </w:rPr>
        <w:lastRenderedPageBreak/>
        <w:t xml:space="preserve">the majority being above </w:t>
      </w:r>
      <w:r w:rsidR="00E06AAB" w:rsidRPr="00C73496">
        <w:rPr>
          <w:lang w:val="en-GB"/>
        </w:rPr>
        <w:t>2</w:t>
      </w:r>
      <w:r w:rsidR="008A0C0F" w:rsidRPr="00C73496">
        <w:rPr>
          <w:lang w:val="en-GB"/>
        </w:rPr>
        <w:t>. These selectivities</w:t>
      </w:r>
      <w:r w:rsidR="004D6EB9" w:rsidRPr="00C73496">
        <w:rPr>
          <w:lang w:val="en-GB"/>
        </w:rPr>
        <w:t xml:space="preserve"> </w:t>
      </w:r>
      <w:r w:rsidR="00CD7A64" w:rsidRPr="00C73496">
        <w:rPr>
          <w:lang w:val="en-GB"/>
        </w:rPr>
        <w:t>i</w:t>
      </w:r>
      <w:r w:rsidR="004D6EB9" w:rsidRPr="00C73496">
        <w:rPr>
          <w:lang w:val="en-GB"/>
        </w:rPr>
        <w:t>ndicate</w:t>
      </w:r>
      <w:r w:rsidR="00CD7A64" w:rsidRPr="00C73496">
        <w:rPr>
          <w:lang w:val="en-GB"/>
        </w:rPr>
        <w:t xml:space="preserve"> </w:t>
      </w:r>
      <w:r w:rsidR="00885EA2" w:rsidRPr="00C73496">
        <w:rPr>
          <w:lang w:val="en-GB"/>
        </w:rPr>
        <w:t>that multistage sCO</w:t>
      </w:r>
      <w:r w:rsidR="00885EA2" w:rsidRPr="00C73496">
        <w:rPr>
          <w:vertAlign w:val="subscript"/>
          <w:lang w:val="en-GB"/>
        </w:rPr>
        <w:t>2</w:t>
      </w:r>
      <w:r w:rsidR="00885EA2" w:rsidRPr="00C73496">
        <w:rPr>
          <w:lang w:val="en-GB"/>
        </w:rPr>
        <w:t xml:space="preserve"> extraction units can separate the above-mentioned classes of chemicals in a downstream process</w:t>
      </w:r>
      <w:r w:rsidR="007D5D3C" w:rsidRPr="00C73496">
        <w:rPr>
          <w:lang w:val="en-GB"/>
        </w:rPr>
        <w:t>.</w:t>
      </w:r>
    </w:p>
    <w:p w14:paraId="68F15635" w14:textId="375629AB" w:rsidR="0046368A" w:rsidRDefault="0046368A" w:rsidP="0046368A">
      <w:pPr>
        <w:pStyle w:val="CETHeading1"/>
        <w:rPr>
          <w:lang w:val="en-GB"/>
        </w:rPr>
      </w:pPr>
      <w:r w:rsidRPr="00EC2249">
        <w:rPr>
          <w:lang w:val="en-GB"/>
        </w:rPr>
        <w:t>Conclusion</w:t>
      </w:r>
    </w:p>
    <w:p w14:paraId="100403C3" w14:textId="76EDF78B" w:rsidR="00C955DC" w:rsidRPr="00C73496" w:rsidRDefault="0015635F" w:rsidP="00E06AAB">
      <w:pPr>
        <w:pStyle w:val="CETBodytext"/>
        <w:rPr>
          <w:lang w:val="en-GB"/>
        </w:rPr>
      </w:pPr>
      <w:r w:rsidRPr="00EC62D1">
        <w:rPr>
          <w:lang w:val="en-GB"/>
        </w:rPr>
        <w:t>The</w:t>
      </w:r>
      <w:r w:rsidR="008A0C0F" w:rsidRPr="00EC62D1">
        <w:rPr>
          <w:lang w:val="en-GB"/>
        </w:rPr>
        <w:t xml:space="preserve"> present</w:t>
      </w:r>
      <w:r w:rsidRPr="00EC62D1">
        <w:rPr>
          <w:lang w:val="en-GB"/>
        </w:rPr>
        <w:t xml:space="preserve"> work proves the feasibility of sCO</w:t>
      </w:r>
      <w:r w:rsidRPr="00EC62D1">
        <w:rPr>
          <w:vertAlign w:val="subscript"/>
          <w:lang w:val="en-GB"/>
        </w:rPr>
        <w:t>2</w:t>
      </w:r>
      <w:r w:rsidRPr="00EC62D1">
        <w:rPr>
          <w:lang w:val="en-GB"/>
        </w:rPr>
        <w:t xml:space="preserve"> extraction of lignocellulosic HTL bio-crude at 120 ºC. Extraction yields as high as 49 % were achieved</w:t>
      </w:r>
      <w:r w:rsidR="008A0C0F" w:rsidRPr="00EC62D1">
        <w:rPr>
          <w:lang w:val="en-GB"/>
        </w:rPr>
        <w:t xml:space="preserve"> </w:t>
      </w:r>
      <w:r w:rsidRPr="00EC62D1">
        <w:rPr>
          <w:lang w:val="en-GB"/>
        </w:rPr>
        <w:t xml:space="preserve">for solvent density of 730 </w:t>
      </w:r>
      <w:r w:rsidR="008A0C0F" w:rsidRPr="00EC62D1">
        <w:rPr>
          <w:lang w:val="en-GB"/>
        </w:rPr>
        <w:t>kg/m</w:t>
      </w:r>
      <w:r w:rsidR="008A0C0F" w:rsidRPr="00EC62D1">
        <w:rPr>
          <w:vertAlign w:val="superscript"/>
          <w:lang w:val="en-GB"/>
        </w:rPr>
        <w:t>3</w:t>
      </w:r>
      <w:r w:rsidR="008A0C0F" w:rsidRPr="00EC62D1">
        <w:rPr>
          <w:lang w:val="en-GB"/>
        </w:rPr>
        <w:t>, which is comparable to vacuum distillation</w:t>
      </w:r>
      <w:r w:rsidR="00DF204A" w:rsidRPr="00EC62D1">
        <w:rPr>
          <w:lang w:val="en-GB"/>
        </w:rPr>
        <w:t xml:space="preserve"> of a similar </w:t>
      </w:r>
      <w:r w:rsidR="00DF204A" w:rsidRPr="004E6D1C">
        <w:rPr>
          <w:lang w:val="en-GB"/>
        </w:rPr>
        <w:t>bio</w:t>
      </w:r>
      <w:r w:rsidR="009029A8" w:rsidRPr="004E6D1C">
        <w:rPr>
          <w:lang w:val="en-GB"/>
        </w:rPr>
        <w:t>-</w:t>
      </w:r>
      <w:r w:rsidR="00DF204A" w:rsidRPr="004E6D1C">
        <w:rPr>
          <w:lang w:val="en-GB"/>
        </w:rPr>
        <w:t>crude</w:t>
      </w:r>
      <w:r w:rsidR="008A0C0F" w:rsidRPr="00EC62D1">
        <w:rPr>
          <w:lang w:val="en-GB"/>
        </w:rPr>
        <w:t xml:space="preserve"> (e.g. 52 %, Pedersen et al., 2017)</w:t>
      </w:r>
      <w:r w:rsidRPr="00EC62D1">
        <w:rPr>
          <w:lang w:val="en-GB"/>
        </w:rPr>
        <w:t>. The extracts exhibit lower density values (</w:t>
      </w:r>
      <w:r w:rsidR="00C955DC" w:rsidRPr="00EC62D1">
        <w:rPr>
          <w:lang w:val="en-GB"/>
        </w:rPr>
        <w:t>956</w:t>
      </w:r>
      <w:r w:rsidRPr="00EC62D1">
        <w:rPr>
          <w:lang w:val="en-GB"/>
        </w:rPr>
        <w:t xml:space="preserve"> – </w:t>
      </w:r>
      <w:r w:rsidR="00C955DC" w:rsidRPr="00EC62D1">
        <w:rPr>
          <w:lang w:val="en-GB"/>
        </w:rPr>
        <w:t>1044 kg/m</w:t>
      </w:r>
      <w:r w:rsidR="00C955DC" w:rsidRPr="00EC62D1">
        <w:rPr>
          <w:vertAlign w:val="superscript"/>
          <w:lang w:val="en-GB"/>
        </w:rPr>
        <w:t>3</w:t>
      </w:r>
      <w:r w:rsidRPr="00EC62D1">
        <w:rPr>
          <w:lang w:val="en-GB"/>
        </w:rPr>
        <w:t>) compared to the feed (</w:t>
      </w:r>
      <w:r w:rsidR="00C955DC" w:rsidRPr="00EC62D1">
        <w:rPr>
          <w:lang w:val="en-GB"/>
        </w:rPr>
        <w:t>1064 kg/m</w:t>
      </w:r>
      <w:r w:rsidR="00C955DC" w:rsidRPr="00EC62D1">
        <w:rPr>
          <w:vertAlign w:val="superscript"/>
          <w:lang w:val="en-GB"/>
        </w:rPr>
        <w:t>3</w:t>
      </w:r>
      <w:r w:rsidRPr="00EC62D1">
        <w:rPr>
          <w:lang w:val="en-GB"/>
        </w:rPr>
        <w:t xml:space="preserve">), which are in line with the density of marine fuels. The oxygen content of the extracts is however </w:t>
      </w:r>
      <w:r w:rsidR="00DC10A4" w:rsidRPr="00EC62D1">
        <w:rPr>
          <w:lang w:val="en-GB"/>
        </w:rPr>
        <w:t>an order of magnitude higher than crude oil</w:t>
      </w:r>
      <w:r w:rsidRPr="00EC62D1">
        <w:rPr>
          <w:lang w:val="en-GB"/>
        </w:rPr>
        <w:t xml:space="preserve">. </w:t>
      </w:r>
      <w:r w:rsidR="00E06AAB" w:rsidRPr="00EC62D1">
        <w:rPr>
          <w:lang w:val="en-GB"/>
        </w:rPr>
        <w:t>Nevertheless</w:t>
      </w:r>
      <w:r w:rsidRPr="00EC62D1">
        <w:rPr>
          <w:lang w:val="en-GB"/>
        </w:rPr>
        <w:t>, the</w:t>
      </w:r>
      <w:r w:rsidRPr="00DF204A">
        <w:rPr>
          <w:lang w:val="en-GB"/>
        </w:rPr>
        <w:t xml:space="preserve"> reduced viscosity and </w:t>
      </w:r>
      <w:r w:rsidRPr="00C73496">
        <w:rPr>
          <w:lang w:val="en-GB"/>
        </w:rPr>
        <w:t>density</w:t>
      </w:r>
      <w:r w:rsidR="00EC62D1" w:rsidRPr="00C73496">
        <w:rPr>
          <w:lang w:val="en-GB"/>
        </w:rPr>
        <w:t>,</w:t>
      </w:r>
      <w:r w:rsidR="00FD4E53" w:rsidRPr="00C73496">
        <w:rPr>
          <w:lang w:val="en-GB"/>
        </w:rPr>
        <w:t xml:space="preserve"> as well as the </w:t>
      </w:r>
      <w:r w:rsidR="004D2337" w:rsidRPr="00C73496">
        <w:rPr>
          <w:lang w:val="en-GB"/>
        </w:rPr>
        <w:t>enrichment</w:t>
      </w:r>
      <w:r w:rsidR="00FD4E53" w:rsidRPr="00C73496">
        <w:rPr>
          <w:lang w:val="en-GB"/>
        </w:rPr>
        <w:t xml:space="preserve"> of high boiling point oxygenated compounds in the residue,</w:t>
      </w:r>
      <w:r w:rsidRPr="00C73496">
        <w:rPr>
          <w:lang w:val="en-GB"/>
        </w:rPr>
        <w:t xml:space="preserve"> suggests</w:t>
      </w:r>
      <w:r w:rsidR="00FD4E53" w:rsidRPr="00C73496">
        <w:rPr>
          <w:lang w:val="en-GB"/>
        </w:rPr>
        <w:t xml:space="preserve"> the </w:t>
      </w:r>
      <w:r w:rsidR="00EC62D1" w:rsidRPr="00C73496">
        <w:rPr>
          <w:lang w:val="en-GB"/>
        </w:rPr>
        <w:t xml:space="preserve">possibility of </w:t>
      </w:r>
      <w:r w:rsidR="00DF204A" w:rsidRPr="00C73496">
        <w:rPr>
          <w:lang w:val="en-GB"/>
        </w:rPr>
        <w:t>a</w:t>
      </w:r>
      <w:r w:rsidR="00FD4E53" w:rsidRPr="00C73496">
        <w:rPr>
          <w:lang w:val="en-GB"/>
        </w:rPr>
        <w:t xml:space="preserve"> milder</w:t>
      </w:r>
      <w:r w:rsidR="00DF204A" w:rsidRPr="00C73496">
        <w:rPr>
          <w:lang w:val="en-GB"/>
        </w:rPr>
        <w:t xml:space="preserve"> </w:t>
      </w:r>
      <w:r w:rsidR="00EC62D1" w:rsidRPr="00C73496">
        <w:rPr>
          <w:lang w:val="en-GB"/>
        </w:rPr>
        <w:t xml:space="preserve">and </w:t>
      </w:r>
      <w:r w:rsidR="00DF204A" w:rsidRPr="00C73496">
        <w:rPr>
          <w:lang w:val="en-GB"/>
        </w:rPr>
        <w:t>less problematic</w:t>
      </w:r>
      <w:r w:rsidR="00FD4E53" w:rsidRPr="00C73496">
        <w:rPr>
          <w:lang w:val="en-GB"/>
        </w:rPr>
        <w:t xml:space="preserve"> hydrotreatment of the extracts</w:t>
      </w:r>
      <w:r w:rsidR="00EC62D1" w:rsidRPr="00C73496">
        <w:rPr>
          <w:lang w:val="en-GB"/>
        </w:rPr>
        <w:t>, with respect to d</w:t>
      </w:r>
      <w:r w:rsidR="00E06AAB" w:rsidRPr="00C73496">
        <w:rPr>
          <w:lang w:val="en-GB"/>
        </w:rPr>
        <w:t xml:space="preserve">irect hydrotreatment of </w:t>
      </w:r>
      <w:r w:rsidRPr="00C73496">
        <w:rPr>
          <w:lang w:val="en-GB"/>
        </w:rPr>
        <w:t xml:space="preserve">the </w:t>
      </w:r>
      <w:r w:rsidR="00EC62D1" w:rsidRPr="00C73496">
        <w:rPr>
          <w:lang w:val="en-GB"/>
        </w:rPr>
        <w:t xml:space="preserve">whole </w:t>
      </w:r>
      <w:r w:rsidRPr="00C73496">
        <w:rPr>
          <w:lang w:val="en-GB"/>
        </w:rPr>
        <w:t>HTL bio-crude. This, on the other hand, would require extensive cracking/hydroxydeoxygenation</w:t>
      </w:r>
      <w:r w:rsidRPr="00DF204A">
        <w:rPr>
          <w:lang w:val="en-GB"/>
        </w:rPr>
        <w:t xml:space="preserve"> to be carried out on the residue. </w:t>
      </w:r>
      <w:r w:rsidR="00C955DC" w:rsidRPr="00EC62D1">
        <w:rPr>
          <w:lang w:val="en-GB"/>
        </w:rPr>
        <w:t>With focus to chemical composition,</w:t>
      </w:r>
      <w:r w:rsidR="00E06AAB" w:rsidRPr="00EC62D1">
        <w:rPr>
          <w:lang w:val="en-GB"/>
        </w:rPr>
        <w:t xml:space="preserve"> distinct chemical classes</w:t>
      </w:r>
      <w:r w:rsidR="006D3632" w:rsidRPr="00EC62D1">
        <w:rPr>
          <w:lang w:val="en-GB"/>
        </w:rPr>
        <w:t xml:space="preserve"> such as ketones, </w:t>
      </w:r>
      <w:r w:rsidR="006D3632" w:rsidRPr="00C73496">
        <w:rPr>
          <w:lang w:val="en-GB"/>
        </w:rPr>
        <w:t xml:space="preserve">phenols, </w:t>
      </w:r>
      <w:r w:rsidR="005B78C4" w:rsidRPr="00C73496">
        <w:rPr>
          <w:lang w:val="en-GB"/>
        </w:rPr>
        <w:t xml:space="preserve">aromatic </w:t>
      </w:r>
      <w:r w:rsidR="006D3632" w:rsidRPr="00C73496">
        <w:rPr>
          <w:lang w:val="en-GB"/>
        </w:rPr>
        <w:t>hydrocarbons and fatty acids</w:t>
      </w:r>
      <w:r w:rsidR="00E06AAB" w:rsidRPr="00C73496">
        <w:rPr>
          <w:lang w:val="en-GB"/>
        </w:rPr>
        <w:t xml:space="preserve"> were identified and quantitated. These classes</w:t>
      </w:r>
      <w:r w:rsidR="00EC62D1" w:rsidRPr="00C73496">
        <w:rPr>
          <w:lang w:val="en-GB"/>
        </w:rPr>
        <w:t xml:space="preserve"> can be extracted with yields from 50 % up to values approaching 100 %, depending on the operating conditions. In addition, the selectivity of sCO</w:t>
      </w:r>
      <w:r w:rsidR="00EC62D1" w:rsidRPr="00C73496">
        <w:rPr>
          <w:vertAlign w:val="subscript"/>
          <w:lang w:val="en-GB"/>
        </w:rPr>
        <w:t>2</w:t>
      </w:r>
      <w:r w:rsidR="00EC62D1" w:rsidRPr="00C73496">
        <w:rPr>
          <w:lang w:val="en-GB"/>
        </w:rPr>
        <w:t xml:space="preserve"> towards the separation of couples of classes of components shows values between 1.1 and 13, with average values around 2</w:t>
      </w:r>
      <w:r w:rsidR="00DF089E" w:rsidRPr="00C73496">
        <w:rPr>
          <w:lang w:val="en-GB"/>
        </w:rPr>
        <w:t xml:space="preserve">. This means that </w:t>
      </w:r>
      <w:r w:rsidR="00EC62D1" w:rsidRPr="00C73496">
        <w:rPr>
          <w:lang w:val="en-GB"/>
        </w:rPr>
        <w:t xml:space="preserve">a downstream </w:t>
      </w:r>
      <w:r w:rsidR="00E06AAB" w:rsidRPr="00C73496">
        <w:rPr>
          <w:lang w:val="en-GB"/>
        </w:rPr>
        <w:t>separation by</w:t>
      </w:r>
      <w:r w:rsidR="006D3632" w:rsidRPr="00C73496">
        <w:rPr>
          <w:lang w:val="en-GB"/>
        </w:rPr>
        <w:t xml:space="preserve"> multistage</w:t>
      </w:r>
      <w:r w:rsidR="00E06AAB" w:rsidRPr="00C73496">
        <w:rPr>
          <w:lang w:val="en-GB"/>
        </w:rPr>
        <w:t xml:space="preserve"> sCO</w:t>
      </w:r>
      <w:r w:rsidR="00E06AAB" w:rsidRPr="00C73496">
        <w:rPr>
          <w:vertAlign w:val="subscript"/>
          <w:lang w:val="en-GB"/>
        </w:rPr>
        <w:t xml:space="preserve">2 </w:t>
      </w:r>
      <w:r w:rsidR="006D3632" w:rsidRPr="00C73496">
        <w:rPr>
          <w:lang w:val="en-GB"/>
        </w:rPr>
        <w:t xml:space="preserve">extraction </w:t>
      </w:r>
      <w:r w:rsidR="00E06AAB" w:rsidRPr="00C73496">
        <w:rPr>
          <w:lang w:val="en-GB"/>
        </w:rPr>
        <w:t>is</w:t>
      </w:r>
      <w:r w:rsidR="00DF089E" w:rsidRPr="00C73496">
        <w:rPr>
          <w:lang w:val="en-GB"/>
        </w:rPr>
        <w:t xml:space="preserve"> feasible, thus rendering HTL bio-crude an alternative </w:t>
      </w:r>
      <w:r w:rsidR="00E06AAB" w:rsidRPr="00C73496">
        <w:rPr>
          <w:lang w:val="en-GB"/>
        </w:rPr>
        <w:t xml:space="preserve">source for </w:t>
      </w:r>
      <w:r w:rsidR="00DF089E" w:rsidRPr="00C73496">
        <w:rPr>
          <w:lang w:val="en-GB"/>
        </w:rPr>
        <w:t xml:space="preserve">the production of </w:t>
      </w:r>
      <w:r w:rsidR="00E06AAB" w:rsidRPr="00C73496">
        <w:rPr>
          <w:lang w:val="en-GB"/>
        </w:rPr>
        <w:t>chemical</w:t>
      </w:r>
      <w:r w:rsidR="00DF089E" w:rsidRPr="00C73496">
        <w:rPr>
          <w:lang w:val="en-GB"/>
        </w:rPr>
        <w:t>s.</w:t>
      </w:r>
    </w:p>
    <w:p w14:paraId="499A0BC1" w14:textId="77777777" w:rsidR="0046368A" w:rsidRPr="00EC2249" w:rsidRDefault="0046368A" w:rsidP="0046368A">
      <w:pPr>
        <w:pStyle w:val="CETReference"/>
      </w:pPr>
      <w:r w:rsidRPr="00EC2249">
        <w:t>References</w:t>
      </w:r>
    </w:p>
    <w:p w14:paraId="35C1BD89" w14:textId="77777777" w:rsidR="00F22442" w:rsidRPr="00EC2249" w:rsidRDefault="00F22442" w:rsidP="0070500E">
      <w:pPr>
        <w:pStyle w:val="CETReferencetext"/>
      </w:pPr>
      <w:r w:rsidRPr="00EC2249">
        <w:t>Baloch H.A., Nizamuddin S., Siddiqui M.T</w:t>
      </w:r>
      <w:r w:rsidRPr="001F15A1">
        <w:t>.H.,</w:t>
      </w:r>
      <w:r w:rsidR="009B7C24" w:rsidRPr="001F15A1">
        <w:t xml:space="preserve"> </w:t>
      </w:r>
      <w:r w:rsidRPr="001F15A1">
        <w:t>Riaz S., Jatoi A.S.,</w:t>
      </w:r>
      <w:r w:rsidR="009B7C24" w:rsidRPr="001F15A1">
        <w:t xml:space="preserve"> </w:t>
      </w:r>
      <w:r w:rsidRPr="001F15A1">
        <w:t>Dumbre D.K., Mubarak</w:t>
      </w:r>
      <w:r w:rsidRPr="00EC2249">
        <w:t xml:space="preserve"> N.M., Srinivasan M.P., Griffin G.J., 2018, Recent advances in production and upgrading of bio-oil from biomass: A critical review, Journal of Environmental Chemical Engineering, 6, 5101-5118.</w:t>
      </w:r>
    </w:p>
    <w:p w14:paraId="6491031D" w14:textId="2EA0F101" w:rsidR="0005437E" w:rsidRPr="00EC2249" w:rsidRDefault="0005437E" w:rsidP="0070500E">
      <w:pPr>
        <w:pStyle w:val="CETReferencetext"/>
      </w:pPr>
      <w:r w:rsidRPr="00EC2249">
        <w:t>Bjelic S., Yu J., Iversen B.B., Glasius M., Biller P.,</w:t>
      </w:r>
      <w:r w:rsidR="00337C0F" w:rsidRPr="00EC2249">
        <w:t xml:space="preserve"> 2018,</w:t>
      </w:r>
      <w:r w:rsidRPr="00EC2249">
        <w:t xml:space="preserve"> Detailed investigation into the asphaltene fraction of hydrot</w:t>
      </w:r>
      <w:r w:rsidR="00EE7D49">
        <w:t>hermal liquefaction derived biocrude and hydrotreated bio</w:t>
      </w:r>
      <w:r w:rsidRPr="00EC2249">
        <w:t xml:space="preserve">crudes, Energy and Fuels, 32, </w:t>
      </w:r>
      <w:r w:rsidR="00337C0F" w:rsidRPr="00EC2249">
        <w:t>3579-3587.</w:t>
      </w:r>
    </w:p>
    <w:p w14:paraId="2A316147" w14:textId="77777777" w:rsidR="004D392C" w:rsidRPr="00EC2249" w:rsidRDefault="004D392C" w:rsidP="0070500E">
      <w:pPr>
        <w:pStyle w:val="CETReferencetext"/>
      </w:pPr>
      <w:r w:rsidRPr="00EC2249">
        <w:t>Castello D., Pedersen T., Rosendahl L., 2018, Continuous hydrothermal liquefaction of biomass: A critical review, Energies, 11, 3165.</w:t>
      </w:r>
    </w:p>
    <w:p w14:paraId="6210FC5E" w14:textId="77777777" w:rsidR="00F94E78" w:rsidRPr="00EC2249" w:rsidRDefault="00F94E78" w:rsidP="0070500E">
      <w:pPr>
        <w:pStyle w:val="CETReferencetext"/>
      </w:pPr>
      <w:r>
        <w:t>Feng Y., Meier D., 2017, Supercritical carbon dioxide extraction of fast pyrolysis oil from softwood, Journal of Supercritical Fluids, 128, 6-17.</w:t>
      </w:r>
    </w:p>
    <w:p w14:paraId="40AE9B28" w14:textId="77777777" w:rsidR="0020240D" w:rsidRPr="00EC2249" w:rsidRDefault="0020240D" w:rsidP="0070500E">
      <w:pPr>
        <w:pStyle w:val="CETReferencetext"/>
      </w:pPr>
      <w:r w:rsidRPr="00EC2249">
        <w:t>Gironi F., Maschietti M., 2007, Continuous countercurrent deterpenation of lemon essential oil by means of supercritical carbon dioxide: Experimental data and process modelling, Chemical Engineering Science, 63, 651–661.</w:t>
      </w:r>
    </w:p>
    <w:p w14:paraId="058334C9" w14:textId="48E77A2D" w:rsidR="0020240D" w:rsidRDefault="0020240D" w:rsidP="0070500E">
      <w:pPr>
        <w:pStyle w:val="CETReferencetext"/>
      </w:pPr>
      <w:r w:rsidRPr="00EC2249">
        <w:t>Gironi F., Maschietti M., 2006, Separation of fish oils ethyl esters by means of supercritical carbon dioxide: Thermodynamic analysis and process modelling, Chemical Engineering Science, 61, 5114–5126.</w:t>
      </w:r>
    </w:p>
    <w:p w14:paraId="7346FD84" w14:textId="15FE22DB" w:rsidR="001D5792" w:rsidRDefault="001D5792" w:rsidP="001D5792">
      <w:pPr>
        <w:pStyle w:val="CETReferencetext"/>
      </w:pPr>
      <w:r w:rsidRPr="00EC2249">
        <w:t>Haarlemmer G., Guizani C., Anouti S., Déniel M., Roubaud A., Valin S., 2016, Analysis and comparison of bio-oils obtained by hydrothermal liquefaction and fast pyrolysis of beech wood, Fuel, 174, 180-188.</w:t>
      </w:r>
    </w:p>
    <w:p w14:paraId="53FCA3E4" w14:textId="26537FC2" w:rsidR="00AB78D3" w:rsidRDefault="00AB78D3" w:rsidP="0070500E">
      <w:pPr>
        <w:pStyle w:val="CETReferencetext"/>
      </w:pPr>
      <w:r w:rsidRPr="00EC2249">
        <w:t>Jensen C.U., 2018, PIUS – Hydrofaction TM Platform with Integrated Upgrading Step, PhD Thesis, Aalborg University</w:t>
      </w:r>
      <w:r w:rsidR="00B3554E">
        <w:t>,</w:t>
      </w:r>
      <w:r w:rsidRPr="00EC2249">
        <w:t xml:space="preserve"> Department of Energy Technology, Aalborg, </w:t>
      </w:r>
      <w:r w:rsidR="00B3554E">
        <w:t>Denmark</w:t>
      </w:r>
      <w:r w:rsidRPr="00EC2249">
        <w:t>.</w:t>
      </w:r>
    </w:p>
    <w:p w14:paraId="6C590D11" w14:textId="644EA09A" w:rsidR="007D5D3C" w:rsidRDefault="007D5D3C" w:rsidP="0070500E">
      <w:pPr>
        <w:pStyle w:val="CETReferencetext"/>
      </w:pPr>
      <w:r>
        <w:t>Maqbool W., Hobson P., Dunn K., Doherty W., 2017, Supercritical carbon dioxide separation of carboxylic acids and phenolics from bio-oil of lignocellulosic origin: Understanding bio-oil compositions, compound solubilities, and their fractionation, Industrial &amp; Engineering Chemistry Research, 56, 3129-3144.</w:t>
      </w:r>
    </w:p>
    <w:p w14:paraId="0B15434F" w14:textId="3A631A44" w:rsidR="001C6EDF" w:rsidRDefault="00EA7619" w:rsidP="001C6EDF">
      <w:pPr>
        <w:pStyle w:val="CETReferencetext"/>
      </w:pPr>
      <w:r w:rsidRPr="00EC2249">
        <w:t>Maschietti M.</w:t>
      </w:r>
      <w:r w:rsidR="00EC7DF7" w:rsidRPr="00EC2249">
        <w:t>,2014</w:t>
      </w:r>
      <w:r w:rsidRPr="00EC2249">
        <w:t>, Separation of oils using supercritical carbon dioxide, Chapter in: J. Osborne (Ed.), Handbook of Supercritical Fluids, Nova Science Publishers Incorporated, New York, USA, 57-78.</w:t>
      </w:r>
    </w:p>
    <w:p w14:paraId="06F366BE" w14:textId="6E2284BD" w:rsidR="00405367" w:rsidRDefault="00405367" w:rsidP="001C6EDF">
      <w:pPr>
        <w:pStyle w:val="CETReferencetext"/>
      </w:pPr>
      <w:r w:rsidRPr="004E6D1C">
        <w:t>Montesantos N., Pedersen T.H., Nielsen R.P., Rosendahl L., Maschietti M., 2019, Supercritical carbon dioxide fractionation of bio-crude produced by hydrothermal liquefaction of pinewood, Journal of Supercritical Fluids,</w:t>
      </w:r>
      <w:r w:rsidR="004E6D1C" w:rsidRPr="004E6D1C">
        <w:t xml:space="preserve"> </w:t>
      </w:r>
      <w:bookmarkStart w:id="0" w:name="_GoBack"/>
      <w:bookmarkEnd w:id="0"/>
      <w:r w:rsidR="004E6D1C" w:rsidRPr="004E6D1C">
        <w:t>Article in Press</w:t>
      </w:r>
      <w:r w:rsidR="004E6D1C">
        <w:t xml:space="preserve">, DOI </w:t>
      </w:r>
      <w:r w:rsidR="004E6D1C" w:rsidRPr="004E6D1C">
        <w:t>10.1016/j.supflu.2019.04.001</w:t>
      </w:r>
      <w:r w:rsidR="004E6D1C">
        <w:t>.</w:t>
      </w:r>
    </w:p>
    <w:p w14:paraId="294EA270" w14:textId="5E128485" w:rsidR="00E71D85" w:rsidRPr="00EC2249" w:rsidRDefault="0070500E" w:rsidP="005D40D3">
      <w:pPr>
        <w:pStyle w:val="CETReferencetext"/>
      </w:pPr>
      <w:r w:rsidRPr="00EC2249">
        <w:t xml:space="preserve">Nguyen T.D.H., Maschietti M., Belkheiri T.,  Åmand L.E., Theliander H., Vamling L., Olausson L., Andersson S.I., 2014, Catalytic </w:t>
      </w:r>
      <w:r w:rsidR="0020240D" w:rsidRPr="00EC2249">
        <w:t>d</w:t>
      </w:r>
      <w:r w:rsidRPr="00EC2249">
        <w:t xml:space="preserve">epolymerisation and </w:t>
      </w:r>
      <w:r w:rsidR="0020240D" w:rsidRPr="00EC2249">
        <w:t>c</w:t>
      </w:r>
      <w:r w:rsidRPr="00EC2249">
        <w:t xml:space="preserve">onversion of Kraft Lignin into </w:t>
      </w:r>
      <w:r w:rsidR="0020240D" w:rsidRPr="00EC2249">
        <w:t>liquid products using near-critical w</w:t>
      </w:r>
      <w:r w:rsidRPr="00EC2249">
        <w:t>ater, Journal of Supercritical Fluids, 86, 67-75.</w:t>
      </w:r>
    </w:p>
    <w:p w14:paraId="48BA5D0E" w14:textId="77777777" w:rsidR="0070500E" w:rsidRDefault="00D70F6D" w:rsidP="0070500E">
      <w:pPr>
        <w:pStyle w:val="CETReferencetext"/>
      </w:pPr>
      <w:r w:rsidRPr="00EC2249">
        <w:t>Pedersen T.H., Grigoras I.F., Hoffmann J., Toor S.S., Daraban I.M. Jensen C.U., Iversen</w:t>
      </w:r>
      <w:r w:rsidR="008177FB">
        <w:t xml:space="preserve"> S.B., Madsen R.B., Glasius M.,</w:t>
      </w:r>
      <w:r w:rsidRPr="00EC2249">
        <w:t>Arturi K.R., Nielsen R.P., Søgaard E.G., Ro</w:t>
      </w:r>
      <w:r w:rsidR="008177FB">
        <w:t>sendahl L.A., 2016</w:t>
      </w:r>
      <w:r w:rsidR="0020240D" w:rsidRPr="00EC2249">
        <w:t>, Continuous h</w:t>
      </w:r>
      <w:r w:rsidRPr="00EC2249">
        <w:t xml:space="preserve">ydrothermal </w:t>
      </w:r>
      <w:r w:rsidR="0020240D" w:rsidRPr="00EC2249">
        <w:t>c</w:t>
      </w:r>
      <w:r w:rsidRPr="00EC2249">
        <w:t>o-</w:t>
      </w:r>
      <w:r w:rsidR="0020240D" w:rsidRPr="00EC2249">
        <w:t>l</w:t>
      </w:r>
      <w:r w:rsidRPr="00EC2249">
        <w:t>iq</w:t>
      </w:r>
      <w:r w:rsidR="0020240D" w:rsidRPr="00EC2249">
        <w:t>uefaction of Aspen w</w:t>
      </w:r>
      <w:r w:rsidRPr="00EC2249">
        <w:t xml:space="preserve">ood and </w:t>
      </w:r>
      <w:r w:rsidR="0020240D" w:rsidRPr="00EC2249">
        <w:t>glycerol with w</w:t>
      </w:r>
      <w:r w:rsidRPr="00EC2249">
        <w:t xml:space="preserve">ater </w:t>
      </w:r>
      <w:r w:rsidR="0020240D" w:rsidRPr="00EC2249">
        <w:t>phase r</w:t>
      </w:r>
      <w:r w:rsidRPr="00EC2249">
        <w:t>ecirculation, Applied Energy, 162, 1034-1041.</w:t>
      </w:r>
    </w:p>
    <w:p w14:paraId="3090CF08" w14:textId="77777777" w:rsidR="006B0E35" w:rsidRPr="00EC2249" w:rsidRDefault="006B0E35" w:rsidP="0070500E">
      <w:pPr>
        <w:pStyle w:val="CETReferencetext"/>
      </w:pPr>
      <w:r>
        <w:t>Pedersen T.H., Jensen C.U., Sandstr</w:t>
      </w:r>
      <w:r w:rsidRPr="006B0E35">
        <w:t>ö</w:t>
      </w:r>
      <w:r>
        <w:t>m L., Rosendahl L.A., 2017, Full characterization of compounds obtained from fractional distillation and upgrading of a HTL biocrude, Applied Energy, 202, 408-419.</w:t>
      </w:r>
    </w:p>
    <w:p w14:paraId="3E6343CB" w14:textId="77777777" w:rsidR="0020240D" w:rsidRPr="00EC2249" w:rsidRDefault="0020240D" w:rsidP="0070500E">
      <w:pPr>
        <w:pStyle w:val="CETReferencetext"/>
      </w:pPr>
      <w:r w:rsidRPr="00EC2249">
        <w:t>Riha V., Bunner G., 2000, Separation of fish oil ethyl esters with supercritical carbon dioxide, Journal of Supercritical Fluids,17, 55–64.</w:t>
      </w:r>
    </w:p>
    <w:p w14:paraId="018BF6D0" w14:textId="0E0A6016" w:rsidR="00B673C4" w:rsidRPr="00EC2249" w:rsidRDefault="005847F9" w:rsidP="00B673C4">
      <w:pPr>
        <w:pStyle w:val="CETReferencetext"/>
      </w:pPr>
      <w:r w:rsidRPr="00EC2249">
        <w:t>Speight J.G., 2014, Chemical composition, Chapter in: Chemistry and Technology of Pet</w:t>
      </w:r>
      <w:r w:rsidR="00EC7DF7" w:rsidRPr="00EC2249">
        <w:t>roleum, Taylor &amp; Francis, Boca Raton, USA, 212-236.</w:t>
      </w:r>
    </w:p>
    <w:sectPr w:rsidR="00B673C4" w:rsidRPr="00EC2249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1FED6" w14:textId="77777777" w:rsidR="007D148A" w:rsidRDefault="007D148A" w:rsidP="004F5E36">
      <w:r>
        <w:separator/>
      </w:r>
    </w:p>
  </w:endnote>
  <w:endnote w:type="continuationSeparator" w:id="0">
    <w:p w14:paraId="035AD5C7" w14:textId="77777777" w:rsidR="007D148A" w:rsidRDefault="007D148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4D664" w14:textId="77777777" w:rsidR="007D148A" w:rsidRDefault="007D148A" w:rsidP="004F5E36">
      <w:r>
        <w:separator/>
      </w:r>
    </w:p>
  </w:footnote>
  <w:footnote w:type="continuationSeparator" w:id="0">
    <w:p w14:paraId="300A963D" w14:textId="77777777" w:rsidR="007D148A" w:rsidRDefault="007D148A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2"/>
  </w:num>
  <w:num w:numId="14">
    <w:abstractNumId w:val="17"/>
  </w:num>
  <w:num w:numId="15">
    <w:abstractNumId w:val="19"/>
  </w:num>
  <w:num w:numId="16">
    <w:abstractNumId w:val="18"/>
  </w:num>
  <w:num w:numId="17">
    <w:abstractNumId w:val="11"/>
  </w:num>
  <w:num w:numId="18">
    <w:abstractNumId w:val="12"/>
    <w:lvlOverride w:ilvl="0">
      <w:startOverride w:val="1"/>
    </w:lvlOverride>
  </w:num>
  <w:num w:numId="19">
    <w:abstractNumId w:val="15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52FB"/>
    <w:rsid w:val="0000706B"/>
    <w:rsid w:val="00010F40"/>
    <w:rsid w:val="000117CB"/>
    <w:rsid w:val="00012829"/>
    <w:rsid w:val="00021A1F"/>
    <w:rsid w:val="0003148D"/>
    <w:rsid w:val="000353B2"/>
    <w:rsid w:val="000362A7"/>
    <w:rsid w:val="000367D2"/>
    <w:rsid w:val="00043EC3"/>
    <w:rsid w:val="000446EB"/>
    <w:rsid w:val="00047D7F"/>
    <w:rsid w:val="00051566"/>
    <w:rsid w:val="0005437E"/>
    <w:rsid w:val="000612D0"/>
    <w:rsid w:val="00062A9A"/>
    <w:rsid w:val="00065058"/>
    <w:rsid w:val="00086C39"/>
    <w:rsid w:val="00086D4B"/>
    <w:rsid w:val="000A03B2"/>
    <w:rsid w:val="000A142A"/>
    <w:rsid w:val="000A378D"/>
    <w:rsid w:val="000A3B79"/>
    <w:rsid w:val="000D064B"/>
    <w:rsid w:val="000D34BE"/>
    <w:rsid w:val="000E00FE"/>
    <w:rsid w:val="000E0387"/>
    <w:rsid w:val="000E102F"/>
    <w:rsid w:val="000E36F1"/>
    <w:rsid w:val="000E3A73"/>
    <w:rsid w:val="000E414A"/>
    <w:rsid w:val="000F093C"/>
    <w:rsid w:val="000F16BD"/>
    <w:rsid w:val="000F3370"/>
    <w:rsid w:val="000F4740"/>
    <w:rsid w:val="000F4CEE"/>
    <w:rsid w:val="000F787B"/>
    <w:rsid w:val="00103A42"/>
    <w:rsid w:val="00105CA5"/>
    <w:rsid w:val="00112614"/>
    <w:rsid w:val="0012091F"/>
    <w:rsid w:val="00121CF1"/>
    <w:rsid w:val="00126BC2"/>
    <w:rsid w:val="0012798C"/>
    <w:rsid w:val="001308B6"/>
    <w:rsid w:val="0013121F"/>
    <w:rsid w:val="00131FAB"/>
    <w:rsid w:val="00131FE6"/>
    <w:rsid w:val="0013263F"/>
    <w:rsid w:val="001336AE"/>
    <w:rsid w:val="00134DE4"/>
    <w:rsid w:val="0014034D"/>
    <w:rsid w:val="00150E59"/>
    <w:rsid w:val="001527BA"/>
    <w:rsid w:val="00152DE3"/>
    <w:rsid w:val="00155C77"/>
    <w:rsid w:val="001562BD"/>
    <w:rsid w:val="0015635F"/>
    <w:rsid w:val="00156FC0"/>
    <w:rsid w:val="00162352"/>
    <w:rsid w:val="00162642"/>
    <w:rsid w:val="00164CF9"/>
    <w:rsid w:val="00175A21"/>
    <w:rsid w:val="00184AD6"/>
    <w:rsid w:val="001912DC"/>
    <w:rsid w:val="001A09EB"/>
    <w:rsid w:val="001A2A11"/>
    <w:rsid w:val="001B0349"/>
    <w:rsid w:val="001B3B7E"/>
    <w:rsid w:val="001B65C1"/>
    <w:rsid w:val="001C684B"/>
    <w:rsid w:val="001C6EC3"/>
    <w:rsid w:val="001C6EDF"/>
    <w:rsid w:val="001C7604"/>
    <w:rsid w:val="001D254D"/>
    <w:rsid w:val="001D53FC"/>
    <w:rsid w:val="001D5792"/>
    <w:rsid w:val="001F15A1"/>
    <w:rsid w:val="001F42A5"/>
    <w:rsid w:val="001F7B9D"/>
    <w:rsid w:val="00201583"/>
    <w:rsid w:val="0020240D"/>
    <w:rsid w:val="00207057"/>
    <w:rsid w:val="00215EA4"/>
    <w:rsid w:val="002224B4"/>
    <w:rsid w:val="002274A9"/>
    <w:rsid w:val="002279FF"/>
    <w:rsid w:val="00231919"/>
    <w:rsid w:val="002358C6"/>
    <w:rsid w:val="00243F20"/>
    <w:rsid w:val="002447EF"/>
    <w:rsid w:val="00251550"/>
    <w:rsid w:val="00252C1A"/>
    <w:rsid w:val="00263B05"/>
    <w:rsid w:val="0026403A"/>
    <w:rsid w:val="00266716"/>
    <w:rsid w:val="002669AC"/>
    <w:rsid w:val="0027221A"/>
    <w:rsid w:val="002746AD"/>
    <w:rsid w:val="00275B61"/>
    <w:rsid w:val="002779B3"/>
    <w:rsid w:val="00282656"/>
    <w:rsid w:val="002878A1"/>
    <w:rsid w:val="002961F2"/>
    <w:rsid w:val="00296B83"/>
    <w:rsid w:val="002A0A6A"/>
    <w:rsid w:val="002A612F"/>
    <w:rsid w:val="002B1830"/>
    <w:rsid w:val="002B5BF3"/>
    <w:rsid w:val="002B6795"/>
    <w:rsid w:val="002B78CE"/>
    <w:rsid w:val="002C2FB6"/>
    <w:rsid w:val="002C3E7D"/>
    <w:rsid w:val="002C6E95"/>
    <w:rsid w:val="002D5BCD"/>
    <w:rsid w:val="002E2AA5"/>
    <w:rsid w:val="002F423F"/>
    <w:rsid w:val="002F4CC4"/>
    <w:rsid w:val="002F7AB0"/>
    <w:rsid w:val="003009B7"/>
    <w:rsid w:val="00300E56"/>
    <w:rsid w:val="003024E4"/>
    <w:rsid w:val="003031D7"/>
    <w:rsid w:val="0030469C"/>
    <w:rsid w:val="00304E07"/>
    <w:rsid w:val="003114A1"/>
    <w:rsid w:val="00311BD7"/>
    <w:rsid w:val="00321CA6"/>
    <w:rsid w:val="00326C52"/>
    <w:rsid w:val="00334C09"/>
    <w:rsid w:val="003365E3"/>
    <w:rsid w:val="00337C0F"/>
    <w:rsid w:val="003455B9"/>
    <w:rsid w:val="003563AA"/>
    <w:rsid w:val="00367754"/>
    <w:rsid w:val="003723D4"/>
    <w:rsid w:val="00376E1E"/>
    <w:rsid w:val="00384CC8"/>
    <w:rsid w:val="003871FD"/>
    <w:rsid w:val="00390809"/>
    <w:rsid w:val="00394CEE"/>
    <w:rsid w:val="003A1E30"/>
    <w:rsid w:val="003A383D"/>
    <w:rsid w:val="003A7D1C"/>
    <w:rsid w:val="003B06B6"/>
    <w:rsid w:val="003B304B"/>
    <w:rsid w:val="003B3146"/>
    <w:rsid w:val="003B60F3"/>
    <w:rsid w:val="003C451D"/>
    <w:rsid w:val="003C469D"/>
    <w:rsid w:val="003C7E4D"/>
    <w:rsid w:val="003D229A"/>
    <w:rsid w:val="003D283A"/>
    <w:rsid w:val="003D762F"/>
    <w:rsid w:val="003E3C87"/>
    <w:rsid w:val="003F015E"/>
    <w:rsid w:val="003F69FE"/>
    <w:rsid w:val="00400414"/>
    <w:rsid w:val="00405367"/>
    <w:rsid w:val="0041446B"/>
    <w:rsid w:val="00414E4E"/>
    <w:rsid w:val="004219A9"/>
    <w:rsid w:val="00423C81"/>
    <w:rsid w:val="00425486"/>
    <w:rsid w:val="0042602D"/>
    <w:rsid w:val="004356B2"/>
    <w:rsid w:val="0044329C"/>
    <w:rsid w:val="0044364B"/>
    <w:rsid w:val="00452630"/>
    <w:rsid w:val="004577FE"/>
    <w:rsid w:val="00457B9C"/>
    <w:rsid w:val="00457BCD"/>
    <w:rsid w:val="004604E8"/>
    <w:rsid w:val="0046164A"/>
    <w:rsid w:val="004628D2"/>
    <w:rsid w:val="00462DCD"/>
    <w:rsid w:val="0046368A"/>
    <w:rsid w:val="004648AD"/>
    <w:rsid w:val="00464B46"/>
    <w:rsid w:val="004703A9"/>
    <w:rsid w:val="004757AB"/>
    <w:rsid w:val="004760DE"/>
    <w:rsid w:val="0047647C"/>
    <w:rsid w:val="00477AC7"/>
    <w:rsid w:val="00486AA0"/>
    <w:rsid w:val="00486C04"/>
    <w:rsid w:val="004A004E"/>
    <w:rsid w:val="004A063F"/>
    <w:rsid w:val="004A0C81"/>
    <w:rsid w:val="004A10F4"/>
    <w:rsid w:val="004A1C23"/>
    <w:rsid w:val="004A24CF"/>
    <w:rsid w:val="004B28E8"/>
    <w:rsid w:val="004B6721"/>
    <w:rsid w:val="004C3D1D"/>
    <w:rsid w:val="004C5BD9"/>
    <w:rsid w:val="004C7913"/>
    <w:rsid w:val="004D114C"/>
    <w:rsid w:val="004D2337"/>
    <w:rsid w:val="004D392C"/>
    <w:rsid w:val="004D6EB9"/>
    <w:rsid w:val="004E4DD6"/>
    <w:rsid w:val="004E6D1C"/>
    <w:rsid w:val="004F5E36"/>
    <w:rsid w:val="00506FF8"/>
    <w:rsid w:val="00507B47"/>
    <w:rsid w:val="00507BF0"/>
    <w:rsid w:val="00507CC9"/>
    <w:rsid w:val="00511007"/>
    <w:rsid w:val="005119A5"/>
    <w:rsid w:val="00513229"/>
    <w:rsid w:val="00520BF4"/>
    <w:rsid w:val="00523FBE"/>
    <w:rsid w:val="005278B7"/>
    <w:rsid w:val="00532016"/>
    <w:rsid w:val="005323F6"/>
    <w:rsid w:val="005343B5"/>
    <w:rsid w:val="005346C8"/>
    <w:rsid w:val="00543E7D"/>
    <w:rsid w:val="005444BB"/>
    <w:rsid w:val="00546B05"/>
    <w:rsid w:val="00547A68"/>
    <w:rsid w:val="005504B8"/>
    <w:rsid w:val="005531C9"/>
    <w:rsid w:val="00567B07"/>
    <w:rsid w:val="00574327"/>
    <w:rsid w:val="0057448C"/>
    <w:rsid w:val="00577412"/>
    <w:rsid w:val="0058163E"/>
    <w:rsid w:val="005847F9"/>
    <w:rsid w:val="00591405"/>
    <w:rsid w:val="00591ECF"/>
    <w:rsid w:val="005A3D43"/>
    <w:rsid w:val="005A49CC"/>
    <w:rsid w:val="005A6FC5"/>
    <w:rsid w:val="005B05E9"/>
    <w:rsid w:val="005B2110"/>
    <w:rsid w:val="005B48A3"/>
    <w:rsid w:val="005B61E6"/>
    <w:rsid w:val="005B78C4"/>
    <w:rsid w:val="005C41D2"/>
    <w:rsid w:val="005C77E1"/>
    <w:rsid w:val="005D3824"/>
    <w:rsid w:val="005D40D3"/>
    <w:rsid w:val="005D6A2F"/>
    <w:rsid w:val="005E1A82"/>
    <w:rsid w:val="005E23E6"/>
    <w:rsid w:val="005E561D"/>
    <w:rsid w:val="005E794C"/>
    <w:rsid w:val="005F0A28"/>
    <w:rsid w:val="005F0E5E"/>
    <w:rsid w:val="005F3774"/>
    <w:rsid w:val="00600535"/>
    <w:rsid w:val="006050EE"/>
    <w:rsid w:val="00610890"/>
    <w:rsid w:val="00610CD6"/>
    <w:rsid w:val="00612DE5"/>
    <w:rsid w:val="00614BF0"/>
    <w:rsid w:val="00615F4E"/>
    <w:rsid w:val="00620DEE"/>
    <w:rsid w:val="00621F92"/>
    <w:rsid w:val="00625639"/>
    <w:rsid w:val="00626794"/>
    <w:rsid w:val="00631B33"/>
    <w:rsid w:val="00637CE6"/>
    <w:rsid w:val="0064184D"/>
    <w:rsid w:val="006422CC"/>
    <w:rsid w:val="006447CB"/>
    <w:rsid w:val="00652E83"/>
    <w:rsid w:val="006548FD"/>
    <w:rsid w:val="00660E3E"/>
    <w:rsid w:val="00662E74"/>
    <w:rsid w:val="006721D6"/>
    <w:rsid w:val="00680C23"/>
    <w:rsid w:val="00693766"/>
    <w:rsid w:val="006A3281"/>
    <w:rsid w:val="006B047D"/>
    <w:rsid w:val="006B04B3"/>
    <w:rsid w:val="006B0E35"/>
    <w:rsid w:val="006B3EC1"/>
    <w:rsid w:val="006B4888"/>
    <w:rsid w:val="006B63AD"/>
    <w:rsid w:val="006C0948"/>
    <w:rsid w:val="006C2E45"/>
    <w:rsid w:val="006C359C"/>
    <w:rsid w:val="006C473A"/>
    <w:rsid w:val="006C5579"/>
    <w:rsid w:val="006C5E40"/>
    <w:rsid w:val="006C6D9D"/>
    <w:rsid w:val="006D3632"/>
    <w:rsid w:val="006D6410"/>
    <w:rsid w:val="006D7AE7"/>
    <w:rsid w:val="006E737D"/>
    <w:rsid w:val="006F440A"/>
    <w:rsid w:val="006F6E90"/>
    <w:rsid w:val="007013A4"/>
    <w:rsid w:val="0070195D"/>
    <w:rsid w:val="0070500E"/>
    <w:rsid w:val="00712695"/>
    <w:rsid w:val="00720A24"/>
    <w:rsid w:val="007216C5"/>
    <w:rsid w:val="00732386"/>
    <w:rsid w:val="007340D9"/>
    <w:rsid w:val="00736139"/>
    <w:rsid w:val="007447F3"/>
    <w:rsid w:val="007448BD"/>
    <w:rsid w:val="00744C7C"/>
    <w:rsid w:val="0075072D"/>
    <w:rsid w:val="00751E74"/>
    <w:rsid w:val="007543D1"/>
    <w:rsid w:val="0075445A"/>
    <w:rsid w:val="0075499F"/>
    <w:rsid w:val="007661C8"/>
    <w:rsid w:val="0077098D"/>
    <w:rsid w:val="007931FA"/>
    <w:rsid w:val="007958E0"/>
    <w:rsid w:val="007A7BBA"/>
    <w:rsid w:val="007B0C50"/>
    <w:rsid w:val="007B5794"/>
    <w:rsid w:val="007C1A43"/>
    <w:rsid w:val="007D148A"/>
    <w:rsid w:val="007D519B"/>
    <w:rsid w:val="007D5510"/>
    <w:rsid w:val="007D5D3C"/>
    <w:rsid w:val="007D6722"/>
    <w:rsid w:val="007E0927"/>
    <w:rsid w:val="007E1DC6"/>
    <w:rsid w:val="007E75A5"/>
    <w:rsid w:val="007F050F"/>
    <w:rsid w:val="00805B3D"/>
    <w:rsid w:val="008113EE"/>
    <w:rsid w:val="00813288"/>
    <w:rsid w:val="008168FC"/>
    <w:rsid w:val="008177FB"/>
    <w:rsid w:val="00823FC5"/>
    <w:rsid w:val="00826FFE"/>
    <w:rsid w:val="00830996"/>
    <w:rsid w:val="00831E06"/>
    <w:rsid w:val="00833E0E"/>
    <w:rsid w:val="008345F1"/>
    <w:rsid w:val="00843985"/>
    <w:rsid w:val="008565A4"/>
    <w:rsid w:val="00861B51"/>
    <w:rsid w:val="00865B07"/>
    <w:rsid w:val="008667EA"/>
    <w:rsid w:val="0087637F"/>
    <w:rsid w:val="00880373"/>
    <w:rsid w:val="00885EA2"/>
    <w:rsid w:val="008904B9"/>
    <w:rsid w:val="0089236F"/>
    <w:rsid w:val="00892AD5"/>
    <w:rsid w:val="008A0284"/>
    <w:rsid w:val="008A0C0F"/>
    <w:rsid w:val="008A1512"/>
    <w:rsid w:val="008B4C5F"/>
    <w:rsid w:val="008C78C1"/>
    <w:rsid w:val="008D32B9"/>
    <w:rsid w:val="008D433B"/>
    <w:rsid w:val="008D754A"/>
    <w:rsid w:val="008D7925"/>
    <w:rsid w:val="008E566E"/>
    <w:rsid w:val="0090161A"/>
    <w:rsid w:val="00901EB6"/>
    <w:rsid w:val="009029A8"/>
    <w:rsid w:val="00904C62"/>
    <w:rsid w:val="00904E47"/>
    <w:rsid w:val="00906C00"/>
    <w:rsid w:val="00910E54"/>
    <w:rsid w:val="00912024"/>
    <w:rsid w:val="00924DAC"/>
    <w:rsid w:val="00927058"/>
    <w:rsid w:val="009308C9"/>
    <w:rsid w:val="00933A3A"/>
    <w:rsid w:val="009345EC"/>
    <w:rsid w:val="00936A3A"/>
    <w:rsid w:val="009450CE"/>
    <w:rsid w:val="00947179"/>
    <w:rsid w:val="0095164B"/>
    <w:rsid w:val="00954090"/>
    <w:rsid w:val="009573E7"/>
    <w:rsid w:val="009635B9"/>
    <w:rsid w:val="00963E05"/>
    <w:rsid w:val="00967D54"/>
    <w:rsid w:val="0097208D"/>
    <w:rsid w:val="00985C36"/>
    <w:rsid w:val="009861FB"/>
    <w:rsid w:val="00990BF1"/>
    <w:rsid w:val="00996483"/>
    <w:rsid w:val="00996F5A"/>
    <w:rsid w:val="009A0A3E"/>
    <w:rsid w:val="009A5ED9"/>
    <w:rsid w:val="009B041A"/>
    <w:rsid w:val="009B1119"/>
    <w:rsid w:val="009B7C24"/>
    <w:rsid w:val="009C1204"/>
    <w:rsid w:val="009C3624"/>
    <w:rsid w:val="009C7C86"/>
    <w:rsid w:val="009D2FF7"/>
    <w:rsid w:val="009E1678"/>
    <w:rsid w:val="009E1A24"/>
    <w:rsid w:val="009E6982"/>
    <w:rsid w:val="009E7884"/>
    <w:rsid w:val="009E788A"/>
    <w:rsid w:val="009F0E08"/>
    <w:rsid w:val="009F582A"/>
    <w:rsid w:val="009F7098"/>
    <w:rsid w:val="009F74AE"/>
    <w:rsid w:val="00A17044"/>
    <w:rsid w:val="00A1763D"/>
    <w:rsid w:val="00A17CEC"/>
    <w:rsid w:val="00A2330D"/>
    <w:rsid w:val="00A27EF0"/>
    <w:rsid w:val="00A43C71"/>
    <w:rsid w:val="00A50B20"/>
    <w:rsid w:val="00A51390"/>
    <w:rsid w:val="00A5141B"/>
    <w:rsid w:val="00A533AC"/>
    <w:rsid w:val="00A53E25"/>
    <w:rsid w:val="00A60D13"/>
    <w:rsid w:val="00A67036"/>
    <w:rsid w:val="00A67C17"/>
    <w:rsid w:val="00A7248E"/>
    <w:rsid w:val="00A72745"/>
    <w:rsid w:val="00A741D4"/>
    <w:rsid w:val="00A76EFC"/>
    <w:rsid w:val="00A82276"/>
    <w:rsid w:val="00A91010"/>
    <w:rsid w:val="00A97F29"/>
    <w:rsid w:val="00AA5093"/>
    <w:rsid w:val="00AA702E"/>
    <w:rsid w:val="00AB0964"/>
    <w:rsid w:val="00AB28F4"/>
    <w:rsid w:val="00AB5011"/>
    <w:rsid w:val="00AB78D3"/>
    <w:rsid w:val="00AC50D2"/>
    <w:rsid w:val="00AC7368"/>
    <w:rsid w:val="00AD16B9"/>
    <w:rsid w:val="00AD43F4"/>
    <w:rsid w:val="00AE17D9"/>
    <w:rsid w:val="00AE377D"/>
    <w:rsid w:val="00AE4D1F"/>
    <w:rsid w:val="00AF39E8"/>
    <w:rsid w:val="00AF6A1B"/>
    <w:rsid w:val="00B04762"/>
    <w:rsid w:val="00B04F03"/>
    <w:rsid w:val="00B13B88"/>
    <w:rsid w:val="00B14994"/>
    <w:rsid w:val="00B15686"/>
    <w:rsid w:val="00B1663F"/>
    <w:rsid w:val="00B17FBD"/>
    <w:rsid w:val="00B315A6"/>
    <w:rsid w:val="00B31813"/>
    <w:rsid w:val="00B33365"/>
    <w:rsid w:val="00B3554E"/>
    <w:rsid w:val="00B36A90"/>
    <w:rsid w:val="00B57052"/>
    <w:rsid w:val="00B57B36"/>
    <w:rsid w:val="00B61B09"/>
    <w:rsid w:val="00B62F36"/>
    <w:rsid w:val="00B673C4"/>
    <w:rsid w:val="00B67958"/>
    <w:rsid w:val="00B8686D"/>
    <w:rsid w:val="00BA4AA6"/>
    <w:rsid w:val="00BB5CA9"/>
    <w:rsid w:val="00BC30C9"/>
    <w:rsid w:val="00BC4EF7"/>
    <w:rsid w:val="00BC53F6"/>
    <w:rsid w:val="00BD077E"/>
    <w:rsid w:val="00BE03BF"/>
    <w:rsid w:val="00BE3E58"/>
    <w:rsid w:val="00BE5A3E"/>
    <w:rsid w:val="00BE5A93"/>
    <w:rsid w:val="00C01158"/>
    <w:rsid w:val="00C01616"/>
    <w:rsid w:val="00C0162B"/>
    <w:rsid w:val="00C069DE"/>
    <w:rsid w:val="00C06F59"/>
    <w:rsid w:val="00C139AC"/>
    <w:rsid w:val="00C144E1"/>
    <w:rsid w:val="00C22ADC"/>
    <w:rsid w:val="00C31948"/>
    <w:rsid w:val="00C3254A"/>
    <w:rsid w:val="00C345B1"/>
    <w:rsid w:val="00C40142"/>
    <w:rsid w:val="00C4030D"/>
    <w:rsid w:val="00C511C1"/>
    <w:rsid w:val="00C57182"/>
    <w:rsid w:val="00C57863"/>
    <w:rsid w:val="00C655FD"/>
    <w:rsid w:val="00C73496"/>
    <w:rsid w:val="00C81456"/>
    <w:rsid w:val="00C870A8"/>
    <w:rsid w:val="00C91466"/>
    <w:rsid w:val="00C94434"/>
    <w:rsid w:val="00C955DC"/>
    <w:rsid w:val="00CA0D75"/>
    <w:rsid w:val="00CA1C95"/>
    <w:rsid w:val="00CA5A9C"/>
    <w:rsid w:val="00CC3136"/>
    <w:rsid w:val="00CC7881"/>
    <w:rsid w:val="00CD3517"/>
    <w:rsid w:val="00CD5A00"/>
    <w:rsid w:val="00CD5FE2"/>
    <w:rsid w:val="00CD7A64"/>
    <w:rsid w:val="00CE18A2"/>
    <w:rsid w:val="00CE27E5"/>
    <w:rsid w:val="00CE4E01"/>
    <w:rsid w:val="00CE7119"/>
    <w:rsid w:val="00CE7428"/>
    <w:rsid w:val="00CE7C68"/>
    <w:rsid w:val="00D02B4C"/>
    <w:rsid w:val="00D040C4"/>
    <w:rsid w:val="00D20435"/>
    <w:rsid w:val="00D57C84"/>
    <w:rsid w:val="00D6057D"/>
    <w:rsid w:val="00D627B6"/>
    <w:rsid w:val="00D662FA"/>
    <w:rsid w:val="00D6761D"/>
    <w:rsid w:val="00D70F6D"/>
    <w:rsid w:val="00D830FF"/>
    <w:rsid w:val="00D8338F"/>
    <w:rsid w:val="00D84576"/>
    <w:rsid w:val="00D94BA4"/>
    <w:rsid w:val="00DA1399"/>
    <w:rsid w:val="00DA24C6"/>
    <w:rsid w:val="00DA4D7B"/>
    <w:rsid w:val="00DA4DC6"/>
    <w:rsid w:val="00DA60F7"/>
    <w:rsid w:val="00DC10A4"/>
    <w:rsid w:val="00DE264A"/>
    <w:rsid w:val="00DE35BE"/>
    <w:rsid w:val="00DF089E"/>
    <w:rsid w:val="00DF204A"/>
    <w:rsid w:val="00DF22F5"/>
    <w:rsid w:val="00DF43F5"/>
    <w:rsid w:val="00E007BF"/>
    <w:rsid w:val="00E02D18"/>
    <w:rsid w:val="00E0362A"/>
    <w:rsid w:val="00E041E7"/>
    <w:rsid w:val="00E04F0B"/>
    <w:rsid w:val="00E06833"/>
    <w:rsid w:val="00E06AAB"/>
    <w:rsid w:val="00E22401"/>
    <w:rsid w:val="00E23CA1"/>
    <w:rsid w:val="00E25C2F"/>
    <w:rsid w:val="00E261D9"/>
    <w:rsid w:val="00E26995"/>
    <w:rsid w:val="00E409A8"/>
    <w:rsid w:val="00E50C12"/>
    <w:rsid w:val="00E56A4D"/>
    <w:rsid w:val="00E56DB2"/>
    <w:rsid w:val="00E65B91"/>
    <w:rsid w:val="00E71D85"/>
    <w:rsid w:val="00E7209D"/>
    <w:rsid w:val="00E77223"/>
    <w:rsid w:val="00E8528B"/>
    <w:rsid w:val="00E85B94"/>
    <w:rsid w:val="00E91FE7"/>
    <w:rsid w:val="00E94250"/>
    <w:rsid w:val="00E96746"/>
    <w:rsid w:val="00E978D0"/>
    <w:rsid w:val="00EA1101"/>
    <w:rsid w:val="00EA4613"/>
    <w:rsid w:val="00EA7619"/>
    <w:rsid w:val="00EA7F91"/>
    <w:rsid w:val="00EB1523"/>
    <w:rsid w:val="00EB670F"/>
    <w:rsid w:val="00EC0E49"/>
    <w:rsid w:val="00EC2249"/>
    <w:rsid w:val="00EC284F"/>
    <w:rsid w:val="00EC39A2"/>
    <w:rsid w:val="00EC4E40"/>
    <w:rsid w:val="00EC62D1"/>
    <w:rsid w:val="00EC7DF7"/>
    <w:rsid w:val="00ED6739"/>
    <w:rsid w:val="00EE0131"/>
    <w:rsid w:val="00EE55D5"/>
    <w:rsid w:val="00EE694B"/>
    <w:rsid w:val="00EE7D49"/>
    <w:rsid w:val="00F155B2"/>
    <w:rsid w:val="00F22442"/>
    <w:rsid w:val="00F3026D"/>
    <w:rsid w:val="00F30C5F"/>
    <w:rsid w:val="00F30C64"/>
    <w:rsid w:val="00F32CDB"/>
    <w:rsid w:val="00F45D5E"/>
    <w:rsid w:val="00F51720"/>
    <w:rsid w:val="00F529D4"/>
    <w:rsid w:val="00F53789"/>
    <w:rsid w:val="00F5550D"/>
    <w:rsid w:val="00F63A70"/>
    <w:rsid w:val="00F91B5A"/>
    <w:rsid w:val="00F926DC"/>
    <w:rsid w:val="00F9276A"/>
    <w:rsid w:val="00F94E78"/>
    <w:rsid w:val="00FA21D0"/>
    <w:rsid w:val="00FA5F5F"/>
    <w:rsid w:val="00FB730C"/>
    <w:rsid w:val="00FC13D6"/>
    <w:rsid w:val="00FC2695"/>
    <w:rsid w:val="00FC3E03"/>
    <w:rsid w:val="00FC3FC1"/>
    <w:rsid w:val="00FC4B1A"/>
    <w:rsid w:val="00FD4E53"/>
    <w:rsid w:val="00FD684C"/>
    <w:rsid w:val="00FF08C5"/>
    <w:rsid w:val="00FF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E4259"/>
  <w15:docId w15:val="{D8833855-4738-4A7F-A6F2-7DBDE782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77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DefaultParagraphFon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numPr>
        <w:ilvl w:val="0"/>
        <w:numId w:val="0"/>
      </w:numPr>
      <w:spacing w:after="0"/>
    </w:pPr>
  </w:style>
  <w:style w:type="character" w:customStyle="1" w:styleId="CETHeadingxxChar">
    <w:name w:val="CET Headingxx Char"/>
    <w:basedOn w:val="CETheadingxCarattere"/>
    <w:link w:val="CETHeadingxx"/>
    <w:rsid w:val="00252C1A"/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-table-title">
    <w:name w:val="CET-table-title"/>
    <w:rsid w:val="00A67036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paragraph" w:styleId="NoSpacing">
    <w:name w:val="No Spacing"/>
    <w:uiPriority w:val="1"/>
    <w:qFormat/>
    <w:rsid w:val="00457BCD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548FD"/>
    <w:rPr>
      <w:color w:val="808080"/>
    </w:rPr>
  </w:style>
  <w:style w:type="paragraph" w:styleId="Revision">
    <w:name w:val="Revision"/>
    <w:hidden/>
    <w:uiPriority w:val="99"/>
    <w:semiHidden/>
    <w:rsid w:val="002B5BF3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2A01-A1C4-4DF4-BC8F-C84F0F37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3601</Words>
  <Characters>20528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Marco Maschietti</cp:lastModifiedBy>
  <cp:revision>11</cp:revision>
  <cp:lastPrinted>2019-02-08T07:54:00Z</cp:lastPrinted>
  <dcterms:created xsi:type="dcterms:W3CDTF">2019-04-01T13:49:00Z</dcterms:created>
  <dcterms:modified xsi:type="dcterms:W3CDTF">2019-04-05T09:17:00Z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Mendeley Document_1">
    <vt:lpwstr>True</vt:lpwstr>
  </property>
  <property fmtid="{D5CDD505-2E9C-101B-9397-08002B2CF9AE}" pid="5" name="Mendeley Citation Style_1">
    <vt:lpwstr>http://www.zotero.org/styles/the-journal-of-supercritical-fluids</vt:lpwstr>
  </property>
  <property fmtid="{D5CDD505-2E9C-101B-9397-08002B2CF9AE}" pid="6" name="Mendeley Unique User Id_1">
    <vt:lpwstr>73ec47e4-5549-390c-98e4-19e192b58c58</vt:lpwstr>
  </property>
</Properties>
</file>