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B2722" w:rsidRPr="009B2722">
        <w:trPr>
          <w:trHeight w:val="852"/>
          <w:jc w:val="center"/>
        </w:trPr>
        <w:tc>
          <w:tcPr>
            <w:tcW w:w="6946" w:type="dxa"/>
            <w:vMerge w:val="restart"/>
            <w:tcBorders>
              <w:right w:val="single" w:sz="4" w:space="0" w:color="auto"/>
            </w:tcBorders>
          </w:tcPr>
          <w:p w:rsidR="000A03B2" w:rsidRPr="009B2722" w:rsidRDefault="000A03B2" w:rsidP="00DE264A">
            <w:pPr>
              <w:tabs>
                <w:tab w:val="left" w:pos="-108"/>
              </w:tabs>
              <w:ind w:left="-108"/>
              <w:jc w:val="left"/>
              <w:rPr>
                <w:rFonts w:cs="Arial"/>
                <w:b/>
                <w:bCs/>
                <w:i/>
                <w:iCs/>
                <w:sz w:val="12"/>
                <w:szCs w:val="12"/>
                <w:lang w:eastAsia="it-IT"/>
              </w:rPr>
            </w:pPr>
            <w:r w:rsidRPr="009B2722">
              <w:rPr>
                <w:rFonts w:ascii="AdvP6960" w:hAnsi="AdvP6960" w:cs="AdvP6960"/>
                <w:noProof/>
                <w:szCs w:val="18"/>
                <w:lang w:val="en-ZA" w:eastAsia="en-ZA"/>
              </w:rPr>
              <w:drawing>
                <wp:inline distT="0" distB="0" distL="0" distR="0" wp14:anchorId="61F4BA13" wp14:editId="04934DE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B2722">
              <w:rPr>
                <w:rFonts w:ascii="AdvP6960" w:hAnsi="AdvP6960" w:cs="AdvP6960"/>
                <w:szCs w:val="18"/>
                <w:lang w:eastAsia="it-IT"/>
              </w:rPr>
              <w:t xml:space="preserve"> </w:t>
            </w:r>
            <w:r w:rsidRPr="009B2722">
              <w:rPr>
                <w:rFonts w:cs="Arial"/>
                <w:b/>
                <w:bCs/>
                <w:i/>
                <w:iCs/>
                <w:sz w:val="24"/>
                <w:szCs w:val="24"/>
                <w:lang w:eastAsia="it-IT"/>
              </w:rPr>
              <w:t>CHEMICAL ENGINEERING TRANSACTIONS</w:t>
            </w:r>
            <w:r w:rsidRPr="009B2722">
              <w:rPr>
                <w:sz w:val="24"/>
                <w:szCs w:val="24"/>
                <w:lang w:eastAsia="it-IT"/>
              </w:rPr>
              <w:t xml:space="preserve"> </w:t>
            </w:r>
            <w:r w:rsidRPr="009B2722">
              <w:rPr>
                <w:rFonts w:cs="Arial"/>
                <w:b/>
                <w:bCs/>
                <w:i/>
                <w:iCs/>
                <w:sz w:val="27"/>
                <w:szCs w:val="27"/>
                <w:lang w:eastAsia="it-IT"/>
              </w:rPr>
              <w:br/>
            </w:r>
          </w:p>
          <w:p w:rsidR="000A03B2" w:rsidRPr="009B2722" w:rsidRDefault="00A76EFC" w:rsidP="009635B9">
            <w:pPr>
              <w:tabs>
                <w:tab w:val="left" w:pos="-108"/>
              </w:tabs>
              <w:ind w:left="-108"/>
              <w:rPr>
                <w:rFonts w:cs="Arial"/>
                <w:b/>
                <w:bCs/>
                <w:i/>
                <w:iCs/>
                <w:sz w:val="22"/>
                <w:szCs w:val="22"/>
                <w:lang w:eastAsia="it-IT"/>
              </w:rPr>
            </w:pPr>
            <w:r w:rsidRPr="009B2722">
              <w:rPr>
                <w:rFonts w:cs="Arial"/>
                <w:b/>
                <w:bCs/>
                <w:i/>
                <w:iCs/>
                <w:sz w:val="22"/>
                <w:szCs w:val="22"/>
                <w:lang w:eastAsia="it-IT"/>
              </w:rPr>
              <w:t xml:space="preserve">VOL. </w:t>
            </w:r>
            <w:r w:rsidR="007931FA" w:rsidRPr="009B2722">
              <w:rPr>
                <w:rFonts w:cs="Arial"/>
                <w:b/>
                <w:bCs/>
                <w:i/>
                <w:iCs/>
                <w:sz w:val="22"/>
                <w:szCs w:val="22"/>
                <w:lang w:eastAsia="it-IT"/>
              </w:rPr>
              <w:t>7</w:t>
            </w:r>
            <w:r w:rsidR="009635B9" w:rsidRPr="009B2722">
              <w:rPr>
                <w:rFonts w:cs="Arial"/>
                <w:b/>
                <w:bCs/>
                <w:i/>
                <w:iCs/>
                <w:sz w:val="22"/>
                <w:szCs w:val="22"/>
                <w:lang w:eastAsia="it-IT"/>
              </w:rPr>
              <w:t>6</w:t>
            </w:r>
            <w:r w:rsidR="00FA5F5F" w:rsidRPr="009B2722">
              <w:rPr>
                <w:rFonts w:cs="Arial"/>
                <w:b/>
                <w:bCs/>
                <w:i/>
                <w:iCs/>
                <w:sz w:val="22"/>
                <w:szCs w:val="22"/>
                <w:lang w:eastAsia="it-IT"/>
              </w:rPr>
              <w:t>, 201</w:t>
            </w:r>
            <w:r w:rsidR="007931FA" w:rsidRPr="009B2722">
              <w:rPr>
                <w:rFonts w:cs="Arial"/>
                <w:b/>
                <w:bCs/>
                <w:i/>
                <w:iCs/>
                <w:sz w:val="22"/>
                <w:szCs w:val="22"/>
                <w:lang w:eastAsia="it-IT"/>
              </w:rPr>
              <w:t>9</w:t>
            </w:r>
          </w:p>
        </w:tc>
        <w:tc>
          <w:tcPr>
            <w:tcW w:w="1843" w:type="dxa"/>
            <w:tcBorders>
              <w:left w:val="single" w:sz="4" w:space="0" w:color="auto"/>
              <w:bottom w:val="nil"/>
              <w:right w:val="single" w:sz="4" w:space="0" w:color="auto"/>
            </w:tcBorders>
          </w:tcPr>
          <w:p w:rsidR="000A03B2" w:rsidRPr="009B2722" w:rsidRDefault="000A03B2" w:rsidP="00CD5FE2">
            <w:pPr>
              <w:spacing w:line="140" w:lineRule="atLeast"/>
              <w:jc w:val="right"/>
              <w:rPr>
                <w:rFonts w:cs="Arial"/>
                <w:sz w:val="14"/>
                <w:szCs w:val="14"/>
              </w:rPr>
            </w:pPr>
            <w:r w:rsidRPr="009B2722">
              <w:rPr>
                <w:rFonts w:cs="Arial"/>
                <w:sz w:val="14"/>
                <w:szCs w:val="14"/>
              </w:rPr>
              <w:t>A publication of</w:t>
            </w:r>
          </w:p>
          <w:p w:rsidR="000A03B2" w:rsidRPr="009B2722" w:rsidRDefault="000A03B2" w:rsidP="00CD5FE2">
            <w:pPr>
              <w:jc w:val="right"/>
            </w:pPr>
            <w:r w:rsidRPr="009B2722">
              <w:rPr>
                <w:noProof/>
                <w:lang w:val="en-ZA" w:eastAsia="en-ZA"/>
              </w:rPr>
              <w:drawing>
                <wp:inline distT="0" distB="0" distL="0" distR="0" wp14:anchorId="221FAEEB" wp14:editId="348642B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B2722" w:rsidRPr="009B2722">
        <w:trPr>
          <w:trHeight w:val="567"/>
          <w:jc w:val="center"/>
        </w:trPr>
        <w:tc>
          <w:tcPr>
            <w:tcW w:w="6946" w:type="dxa"/>
            <w:vMerge/>
            <w:tcBorders>
              <w:right w:val="single" w:sz="4" w:space="0" w:color="auto"/>
            </w:tcBorders>
          </w:tcPr>
          <w:p w:rsidR="000A03B2" w:rsidRPr="009B2722" w:rsidRDefault="000A03B2" w:rsidP="00CD5FE2">
            <w:pPr>
              <w:tabs>
                <w:tab w:val="left" w:pos="-108"/>
              </w:tabs>
            </w:pPr>
          </w:p>
        </w:tc>
        <w:tc>
          <w:tcPr>
            <w:tcW w:w="1843" w:type="dxa"/>
            <w:tcBorders>
              <w:left w:val="single" w:sz="4" w:space="0" w:color="auto"/>
              <w:bottom w:val="nil"/>
              <w:right w:val="single" w:sz="4" w:space="0" w:color="auto"/>
            </w:tcBorders>
          </w:tcPr>
          <w:p w:rsidR="000A03B2" w:rsidRPr="009B2722" w:rsidRDefault="000A03B2" w:rsidP="00CD5FE2">
            <w:pPr>
              <w:spacing w:line="140" w:lineRule="atLeast"/>
              <w:jc w:val="right"/>
              <w:rPr>
                <w:rFonts w:cs="Arial"/>
                <w:sz w:val="14"/>
                <w:szCs w:val="14"/>
              </w:rPr>
            </w:pPr>
            <w:r w:rsidRPr="009B2722">
              <w:rPr>
                <w:rFonts w:cs="Arial"/>
                <w:sz w:val="14"/>
                <w:szCs w:val="14"/>
              </w:rPr>
              <w:t>The Italian Association</w:t>
            </w:r>
          </w:p>
          <w:p w:rsidR="000A03B2" w:rsidRPr="009B2722" w:rsidRDefault="000A03B2" w:rsidP="00CD5FE2">
            <w:pPr>
              <w:spacing w:line="140" w:lineRule="atLeast"/>
              <w:jc w:val="right"/>
              <w:rPr>
                <w:rFonts w:cs="Arial"/>
                <w:sz w:val="14"/>
                <w:szCs w:val="14"/>
              </w:rPr>
            </w:pPr>
            <w:r w:rsidRPr="009B2722">
              <w:rPr>
                <w:rFonts w:cs="Arial"/>
                <w:sz w:val="14"/>
                <w:szCs w:val="14"/>
              </w:rPr>
              <w:t>of Chemical Engineering</w:t>
            </w:r>
          </w:p>
          <w:p w:rsidR="000A03B2" w:rsidRPr="009B2722" w:rsidRDefault="000A03B2" w:rsidP="00162642">
            <w:pPr>
              <w:spacing w:line="140" w:lineRule="atLeast"/>
              <w:jc w:val="right"/>
              <w:rPr>
                <w:rFonts w:cs="Arial"/>
                <w:sz w:val="14"/>
                <w:szCs w:val="14"/>
              </w:rPr>
            </w:pPr>
            <w:r w:rsidRPr="009B2722">
              <w:rPr>
                <w:rFonts w:cs="Arial"/>
                <w:sz w:val="14"/>
                <w:szCs w:val="14"/>
              </w:rPr>
              <w:t xml:space="preserve">Online at </w:t>
            </w:r>
            <w:r w:rsidR="00162642" w:rsidRPr="009B2722">
              <w:rPr>
                <w:rFonts w:cs="Arial"/>
                <w:sz w:val="14"/>
                <w:szCs w:val="14"/>
              </w:rPr>
              <w:t>www.cetjournal.it</w:t>
            </w:r>
          </w:p>
        </w:tc>
      </w:tr>
      <w:tr w:rsidR="009B2722" w:rsidRPr="009B2722">
        <w:trPr>
          <w:trHeight w:val="68"/>
          <w:jc w:val="center"/>
        </w:trPr>
        <w:tc>
          <w:tcPr>
            <w:tcW w:w="8789" w:type="dxa"/>
            <w:gridSpan w:val="2"/>
          </w:tcPr>
          <w:p w:rsidR="00300E56" w:rsidRPr="009B2722" w:rsidRDefault="00300E56" w:rsidP="003365E3">
            <w:pPr>
              <w:ind w:left="-107"/>
              <w:rPr>
                <w:lang w:val="it-IT"/>
              </w:rPr>
            </w:pPr>
            <w:r w:rsidRPr="009B2722">
              <w:rPr>
                <w:rFonts w:ascii="Tahoma" w:hAnsi="Tahoma" w:cs="Tahoma"/>
                <w:iCs/>
                <w:sz w:val="14"/>
                <w:szCs w:val="14"/>
                <w:lang w:val="it-IT" w:eastAsia="it-IT"/>
              </w:rPr>
              <w:t>Guest Editors:</w:t>
            </w:r>
            <w:r w:rsidR="00904C62" w:rsidRPr="009B2722">
              <w:rPr>
                <w:rFonts w:ascii="Tahoma" w:hAnsi="Tahoma" w:cs="Tahoma"/>
                <w:iCs/>
                <w:sz w:val="14"/>
                <w:szCs w:val="14"/>
                <w:lang w:val="it-IT" w:eastAsia="it-IT"/>
              </w:rPr>
              <w:t xml:space="preserve"> </w:t>
            </w:r>
            <w:r w:rsidR="009635B9" w:rsidRPr="009B2722">
              <w:rPr>
                <w:rFonts w:ascii="Tahoma" w:hAnsi="Tahoma" w:cs="Tahoma"/>
                <w:sz w:val="14"/>
                <w:szCs w:val="14"/>
                <w:lang w:val="it-IT"/>
              </w:rPr>
              <w:t>Sauro Pierucci,</w:t>
            </w:r>
            <w:r w:rsidR="003B60F3" w:rsidRPr="009B2722">
              <w:rPr>
                <w:rFonts w:ascii="Tahoma" w:hAnsi="Tahoma" w:cs="Tahoma"/>
                <w:sz w:val="14"/>
                <w:szCs w:val="14"/>
                <w:lang w:val="it-IT"/>
              </w:rPr>
              <w:t xml:space="preserve"> </w:t>
            </w:r>
            <w:r w:rsidR="00047D7F" w:rsidRPr="009B2722">
              <w:rPr>
                <w:rFonts w:ascii="Tahoma" w:hAnsi="Tahoma" w:cs="Tahoma"/>
                <w:sz w:val="14"/>
                <w:szCs w:val="14"/>
                <w:shd w:val="clear" w:color="auto" w:fill="FFFFFF"/>
                <w:lang w:val="it-IT"/>
              </w:rPr>
              <w:t>Jiří Jaromír Klemeš</w:t>
            </w:r>
            <w:r w:rsidR="00252C1A" w:rsidRPr="009B2722">
              <w:rPr>
                <w:rFonts w:ascii="Tahoma" w:hAnsi="Tahoma" w:cs="Tahoma"/>
                <w:sz w:val="14"/>
                <w:szCs w:val="14"/>
                <w:shd w:val="clear" w:color="auto" w:fill="FFFFFF"/>
                <w:lang w:val="it-IT"/>
              </w:rPr>
              <w:t>, Laura Piazza</w:t>
            </w:r>
          </w:p>
          <w:p w:rsidR="000A03B2" w:rsidRPr="009B2722" w:rsidRDefault="00FA5F5F" w:rsidP="00131FAB">
            <w:pPr>
              <w:tabs>
                <w:tab w:val="left" w:pos="-108"/>
              </w:tabs>
              <w:spacing w:line="140" w:lineRule="atLeast"/>
              <w:ind w:left="-107"/>
              <w:jc w:val="left"/>
            </w:pPr>
            <w:r w:rsidRPr="009B2722">
              <w:rPr>
                <w:rFonts w:ascii="Tahoma" w:hAnsi="Tahoma" w:cs="Tahoma"/>
                <w:iCs/>
                <w:sz w:val="14"/>
                <w:szCs w:val="14"/>
                <w:lang w:eastAsia="it-IT"/>
              </w:rPr>
              <w:t>Copyright © 201</w:t>
            </w:r>
            <w:r w:rsidR="007931FA" w:rsidRPr="009B2722">
              <w:rPr>
                <w:rFonts w:ascii="Tahoma" w:hAnsi="Tahoma" w:cs="Tahoma"/>
                <w:iCs/>
                <w:sz w:val="14"/>
                <w:szCs w:val="14"/>
                <w:lang w:eastAsia="it-IT"/>
              </w:rPr>
              <w:t>9</w:t>
            </w:r>
            <w:r w:rsidR="00904C62" w:rsidRPr="009B2722">
              <w:rPr>
                <w:rFonts w:ascii="Tahoma" w:hAnsi="Tahoma" w:cs="Tahoma"/>
                <w:iCs/>
                <w:sz w:val="14"/>
                <w:szCs w:val="14"/>
                <w:lang w:eastAsia="it-IT"/>
              </w:rPr>
              <w:t>, AIDIC Servizi S.r.l.</w:t>
            </w:r>
            <w:r w:rsidR="00300E56" w:rsidRPr="009B2722">
              <w:rPr>
                <w:rFonts w:ascii="Tahoma" w:hAnsi="Tahoma" w:cs="Tahoma"/>
                <w:iCs/>
                <w:sz w:val="14"/>
                <w:szCs w:val="14"/>
                <w:lang w:eastAsia="it-IT"/>
              </w:rPr>
              <w:br/>
            </w:r>
            <w:r w:rsidR="00300E56" w:rsidRPr="009B2722">
              <w:rPr>
                <w:rFonts w:ascii="Tahoma" w:hAnsi="Tahoma" w:cs="Tahoma"/>
                <w:b/>
                <w:iCs/>
                <w:sz w:val="14"/>
                <w:szCs w:val="14"/>
                <w:lang w:eastAsia="it-IT"/>
              </w:rPr>
              <w:t>ISBN</w:t>
            </w:r>
            <w:r w:rsidR="00300E56" w:rsidRPr="009B2722">
              <w:rPr>
                <w:rFonts w:ascii="Tahoma" w:hAnsi="Tahoma" w:cs="Tahoma"/>
                <w:iCs/>
                <w:sz w:val="14"/>
                <w:szCs w:val="14"/>
                <w:lang w:eastAsia="it-IT"/>
              </w:rPr>
              <w:t xml:space="preserve"> </w:t>
            </w:r>
            <w:r w:rsidR="008D32B9" w:rsidRPr="009B2722">
              <w:rPr>
                <w:rFonts w:ascii="Tahoma" w:hAnsi="Tahoma" w:cs="Tahoma"/>
                <w:sz w:val="14"/>
                <w:szCs w:val="14"/>
              </w:rPr>
              <w:t>978-88-95608-</w:t>
            </w:r>
            <w:r w:rsidR="009635B9" w:rsidRPr="009B2722">
              <w:rPr>
                <w:rFonts w:ascii="Tahoma" w:hAnsi="Tahoma" w:cs="Tahoma"/>
                <w:sz w:val="14"/>
                <w:szCs w:val="14"/>
              </w:rPr>
              <w:t>73</w:t>
            </w:r>
            <w:r w:rsidR="008D32B9" w:rsidRPr="009B2722">
              <w:rPr>
                <w:rFonts w:ascii="Tahoma" w:hAnsi="Tahoma" w:cs="Tahoma"/>
                <w:sz w:val="14"/>
                <w:szCs w:val="14"/>
              </w:rPr>
              <w:t>-</w:t>
            </w:r>
            <w:r w:rsidR="009635B9" w:rsidRPr="009B2722">
              <w:rPr>
                <w:rFonts w:ascii="Tahoma" w:hAnsi="Tahoma" w:cs="Tahoma"/>
                <w:sz w:val="14"/>
                <w:szCs w:val="14"/>
              </w:rPr>
              <w:t>0</w:t>
            </w:r>
            <w:r w:rsidR="00300E56" w:rsidRPr="009B2722">
              <w:rPr>
                <w:rFonts w:ascii="Tahoma" w:hAnsi="Tahoma" w:cs="Tahoma"/>
                <w:iCs/>
                <w:sz w:val="14"/>
                <w:szCs w:val="14"/>
                <w:lang w:eastAsia="it-IT"/>
              </w:rPr>
              <w:t xml:space="preserve">; </w:t>
            </w:r>
            <w:r w:rsidR="00300E56" w:rsidRPr="009B2722">
              <w:rPr>
                <w:rFonts w:ascii="Tahoma" w:hAnsi="Tahoma" w:cs="Tahoma"/>
                <w:b/>
                <w:iCs/>
                <w:sz w:val="14"/>
                <w:szCs w:val="14"/>
                <w:lang w:eastAsia="it-IT"/>
              </w:rPr>
              <w:t>ISSN</w:t>
            </w:r>
            <w:r w:rsidR="00300E56" w:rsidRPr="009B2722">
              <w:rPr>
                <w:rFonts w:ascii="Tahoma" w:hAnsi="Tahoma" w:cs="Tahoma"/>
                <w:iCs/>
                <w:sz w:val="14"/>
                <w:szCs w:val="14"/>
                <w:lang w:eastAsia="it-IT"/>
              </w:rPr>
              <w:t xml:space="preserve"> 2283-9216</w:t>
            </w:r>
          </w:p>
        </w:tc>
      </w:tr>
    </w:tbl>
    <w:p w:rsidR="000A03B2" w:rsidRPr="009B2722" w:rsidRDefault="000A03B2" w:rsidP="000A03B2">
      <w:pPr>
        <w:pStyle w:val="CETAuthors"/>
        <w:sectPr w:rsidR="000A03B2" w:rsidRPr="009B2722">
          <w:type w:val="continuous"/>
          <w:pgSz w:w="11906" w:h="16838" w:code="9"/>
          <w:pgMar w:top="1701" w:right="1418" w:bottom="1701" w:left="1701" w:header="1701" w:footer="0" w:gutter="0"/>
          <w:cols w:space="708"/>
          <w:titlePg/>
          <w:docGrid w:linePitch="360"/>
        </w:sectPr>
      </w:pPr>
    </w:p>
    <w:p w:rsidR="00B41C99" w:rsidRPr="009B2722" w:rsidRDefault="00B41C99" w:rsidP="00B41C99">
      <w:pPr>
        <w:pStyle w:val="CETTitle"/>
        <w:rPr>
          <w:rFonts w:cs="Arial"/>
        </w:rPr>
      </w:pPr>
      <w:r w:rsidRPr="009B2722">
        <w:lastRenderedPageBreak/>
        <w:t xml:space="preserve">Potential Biological Deodorisation of Butyric Acid </w:t>
      </w:r>
      <w:r w:rsidRPr="009B2722">
        <w:rPr>
          <w:rFonts w:cs="Arial"/>
        </w:rPr>
        <w:t xml:space="preserve">by Aerobic Bacterial Species of </w:t>
      </w:r>
      <w:r w:rsidRPr="009B2722">
        <w:rPr>
          <w:rFonts w:cs="Arial"/>
          <w:i/>
        </w:rPr>
        <w:t>Bacillus</w:t>
      </w:r>
      <w:r w:rsidRPr="009B2722">
        <w:rPr>
          <w:rFonts w:cs="Arial"/>
        </w:rPr>
        <w:t xml:space="preserve"> Genus under Different pH Conditions</w:t>
      </w:r>
    </w:p>
    <w:p w:rsidR="00E978D0" w:rsidRPr="009B2722" w:rsidRDefault="00B41C99" w:rsidP="00AB5011">
      <w:pPr>
        <w:pStyle w:val="CETAuthors"/>
      </w:pPr>
      <w:r w:rsidRPr="009B2722">
        <w:t>John B</w:t>
      </w:r>
      <w:r w:rsidR="00600535" w:rsidRPr="009B2722">
        <w:t>.</w:t>
      </w:r>
      <w:r w:rsidRPr="009B2722">
        <w:t>J.</w:t>
      </w:r>
      <w:r w:rsidR="00600535" w:rsidRPr="009B2722">
        <w:t xml:space="preserve"> </w:t>
      </w:r>
      <w:r w:rsidRPr="009B2722">
        <w:t>Njalam’mano*, Evans M.N. Chirwa</w:t>
      </w:r>
    </w:p>
    <w:p w:rsidR="00E978D0" w:rsidRPr="009B2722" w:rsidRDefault="00B41C99" w:rsidP="00E978D0">
      <w:pPr>
        <w:pStyle w:val="CETAddress"/>
      </w:pPr>
      <w:r w:rsidRPr="009B2722">
        <w:t>University of Pretoria, Department of Chemical Engineering, Water Utilisation and Environmental Engineering Division</w:t>
      </w:r>
      <w:r w:rsidR="00C32F22" w:rsidRPr="009B2722">
        <w:t>, Private Bag X20, Hatfield, Pretoria 0028, South Africa.</w:t>
      </w:r>
    </w:p>
    <w:p w:rsidR="00E978D0" w:rsidRPr="009B2722" w:rsidRDefault="00B41C99" w:rsidP="00E978D0">
      <w:pPr>
        <w:pStyle w:val="CETemail"/>
        <w:rPr>
          <w:rFonts w:cs="Arial"/>
          <w:sz w:val="18"/>
          <w:szCs w:val="18"/>
        </w:rPr>
      </w:pPr>
      <w:r w:rsidRPr="009B2722">
        <w:rPr>
          <w:rFonts w:cs="Arial"/>
          <w:sz w:val="18"/>
          <w:szCs w:val="18"/>
        </w:rPr>
        <w:t>chinamvuu@yahoo.co.uk</w:t>
      </w:r>
    </w:p>
    <w:p w:rsidR="00600535" w:rsidRPr="009B2722" w:rsidRDefault="00D83E6F" w:rsidP="00600535">
      <w:pPr>
        <w:pStyle w:val="CETBodytext"/>
        <w:rPr>
          <w:rFonts w:cs="Arial"/>
          <w:szCs w:val="18"/>
          <w:lang w:val="en-GB"/>
        </w:rPr>
      </w:pPr>
      <w:bookmarkStart w:id="0" w:name="_Hlk495475023"/>
      <w:r w:rsidRPr="009B2722">
        <w:rPr>
          <w:rFonts w:cs="Arial"/>
          <w:szCs w:val="18"/>
          <w:lang w:val="en-GB"/>
        </w:rPr>
        <w:t xml:space="preserve">Waste volatile compounds, such as butyric acid, generated from pit latrines may cause discomfort to pit latrine users and they have undesirable impacts on sanitation promotion efforts and public </w:t>
      </w:r>
      <w:r w:rsidR="00965A56" w:rsidRPr="009B2722">
        <w:rPr>
          <w:rFonts w:cs="Arial"/>
          <w:szCs w:val="18"/>
          <w:lang w:val="en-GB"/>
        </w:rPr>
        <w:t>health.</w:t>
      </w:r>
      <w:r w:rsidR="00965A56" w:rsidRPr="009B2722">
        <w:rPr>
          <w:rFonts w:cs="Arial"/>
          <w:szCs w:val="18"/>
          <w:shd w:val="clear" w:color="auto" w:fill="FFFFFF"/>
        </w:rPr>
        <w:t xml:space="preserve"> The purpose of this work was to isolate and identify</w:t>
      </w:r>
      <w:r w:rsidR="00965A56" w:rsidRPr="009B2722">
        <w:rPr>
          <w:rFonts w:cs="Arial"/>
          <w:szCs w:val="18"/>
        </w:rPr>
        <w:t xml:space="preserve"> highly efficient deodorant butyric acid bacteria</w:t>
      </w:r>
      <w:r w:rsidR="004C2994" w:rsidRPr="009B2722">
        <w:rPr>
          <w:rFonts w:cs="Arial"/>
          <w:szCs w:val="18"/>
        </w:rPr>
        <w:t xml:space="preserve"> and</w:t>
      </w:r>
      <w:r w:rsidR="00965A56" w:rsidRPr="009B2722">
        <w:rPr>
          <w:rFonts w:cs="Arial"/>
          <w:szCs w:val="18"/>
          <w:shd w:val="clear" w:color="auto" w:fill="FFFFFF"/>
        </w:rPr>
        <w:t xml:space="preserve"> investigate the</w:t>
      </w:r>
      <w:r w:rsidR="004C2994" w:rsidRPr="009B2722">
        <w:rPr>
          <w:rFonts w:cs="Arial"/>
          <w:szCs w:val="18"/>
          <w:shd w:val="clear" w:color="auto" w:fill="FFFFFF"/>
        </w:rPr>
        <w:t>ir</w:t>
      </w:r>
      <w:r w:rsidR="00965A56" w:rsidRPr="009B2722">
        <w:rPr>
          <w:rFonts w:cs="Arial"/>
          <w:szCs w:val="18"/>
          <w:shd w:val="clear" w:color="auto" w:fill="FFFFFF"/>
        </w:rPr>
        <w:t xml:space="preserve"> feasibility of biologically removing butyric acid from</w:t>
      </w:r>
      <w:r w:rsidR="00F16166" w:rsidRPr="009B2722">
        <w:rPr>
          <w:rFonts w:cs="Arial"/>
          <w:szCs w:val="18"/>
          <w:lang w:val="en-GB"/>
        </w:rPr>
        <w:t xml:space="preserve"> </w:t>
      </w:r>
      <w:r w:rsidR="00965A56" w:rsidRPr="009B2722">
        <w:rPr>
          <w:rFonts w:cs="Arial"/>
          <w:szCs w:val="18"/>
          <w:lang w:val="en-GB"/>
        </w:rPr>
        <w:t>enriched liquid medium under different pH conditions.</w:t>
      </w:r>
      <w:r w:rsidR="008F7542" w:rsidRPr="009B2722">
        <w:t xml:space="preserve"> </w:t>
      </w:r>
      <w:r w:rsidR="008F7542" w:rsidRPr="009B2722">
        <w:t xml:space="preserve">The determination of the ability of these bacterial strains on </w:t>
      </w:r>
      <w:r w:rsidR="000E7CA6" w:rsidRPr="009B2722">
        <w:t>removal</w:t>
      </w:r>
      <w:r w:rsidR="008F7542" w:rsidRPr="009B2722">
        <w:t xml:space="preserve"> of butyric acid was at the concentration of 1000 mgL</w:t>
      </w:r>
      <w:r w:rsidR="008F7542" w:rsidRPr="009B2722">
        <w:rPr>
          <w:vertAlign w:val="superscript"/>
        </w:rPr>
        <w:t>-1</w:t>
      </w:r>
      <w:r w:rsidR="008F7542" w:rsidRPr="009B2722">
        <w:t xml:space="preserve"> in MSM. The experiment was designed in a batch reactor under aerobic condition by shaking in a temperature controlled incubator at orbital shaking speed of 110 rpm and of 30 </w:t>
      </w:r>
      <w:r w:rsidR="008F7542" w:rsidRPr="009B2722">
        <w:rPr>
          <w:vertAlign w:val="superscript"/>
        </w:rPr>
        <w:t>o</w:t>
      </w:r>
      <w:r w:rsidR="008F7542" w:rsidRPr="009B2722">
        <w:t>C and initial pH was adjusted to 7.0</w:t>
      </w:r>
      <w:r w:rsidR="000E7CA6" w:rsidRPr="009B2722">
        <w:t>.</w:t>
      </w:r>
      <w:r w:rsidR="00965A56" w:rsidRPr="009B2722">
        <w:rPr>
          <w:rFonts w:cs="Arial"/>
          <w:szCs w:val="18"/>
          <w:lang w:val="en-GB"/>
        </w:rPr>
        <w:t xml:space="preserve"> </w:t>
      </w:r>
      <w:r w:rsidR="00F60C33" w:rsidRPr="009B2722">
        <w:rPr>
          <w:rFonts w:cs="Arial"/>
          <w:szCs w:val="18"/>
          <w:lang w:val="en-GB"/>
        </w:rPr>
        <w:t>The results showed</w:t>
      </w:r>
      <w:r w:rsidR="000E7CA6" w:rsidRPr="009B2722">
        <w:rPr>
          <w:rFonts w:cs="Arial"/>
          <w:szCs w:val="18"/>
          <w:lang w:val="en-GB"/>
        </w:rPr>
        <w:t xml:space="preserve"> that</w:t>
      </w:r>
      <w:r w:rsidR="00F60C33" w:rsidRPr="009B2722">
        <w:rPr>
          <w:rFonts w:cs="Arial"/>
          <w:szCs w:val="18"/>
          <w:lang w:val="en-GB"/>
        </w:rPr>
        <w:t xml:space="preserve"> t</w:t>
      </w:r>
      <w:r w:rsidR="00F16166" w:rsidRPr="009B2722">
        <w:rPr>
          <w:rFonts w:cs="Arial"/>
          <w:szCs w:val="18"/>
          <w:lang w:val="en-GB"/>
        </w:rPr>
        <w:t xml:space="preserve">hese bacterial strains were identified as </w:t>
      </w:r>
      <w:r w:rsidR="00F16166" w:rsidRPr="009B2722">
        <w:rPr>
          <w:rFonts w:cs="Arial"/>
          <w:i/>
          <w:szCs w:val="18"/>
        </w:rPr>
        <w:t xml:space="preserve">Bacillus cereus, </w:t>
      </w:r>
      <w:r w:rsidR="00F16166" w:rsidRPr="009B2722">
        <w:rPr>
          <w:rFonts w:cs="Arial"/>
          <w:i/>
          <w:szCs w:val="18"/>
          <w:lang w:eastAsia="en-ZA"/>
        </w:rPr>
        <w:t xml:space="preserve">Lysinibacillus fusiformis, </w:t>
      </w:r>
      <w:r w:rsidR="00F16166" w:rsidRPr="009B2722">
        <w:rPr>
          <w:rFonts w:eastAsia="Calibri" w:cs="Arial"/>
          <w:i/>
          <w:szCs w:val="18"/>
          <w:lang w:val="en-ZA" w:eastAsia="en-ZA"/>
        </w:rPr>
        <w:t xml:space="preserve">Bacillus subtilis </w:t>
      </w:r>
      <w:r w:rsidR="00F16166" w:rsidRPr="009B2722">
        <w:rPr>
          <w:rFonts w:eastAsia="Calibri" w:cs="Arial"/>
          <w:szCs w:val="18"/>
          <w:lang w:val="en-ZA" w:eastAsia="en-ZA"/>
        </w:rPr>
        <w:t>and</w:t>
      </w:r>
      <w:r w:rsidR="00F16166" w:rsidRPr="009B2722">
        <w:rPr>
          <w:rFonts w:eastAsia="Calibri" w:cs="Arial"/>
          <w:i/>
          <w:szCs w:val="18"/>
          <w:lang w:val="en-ZA" w:eastAsia="en-ZA"/>
        </w:rPr>
        <w:t xml:space="preserve"> Bacillus methylotrophicus.</w:t>
      </w:r>
      <w:r w:rsidR="008F7542" w:rsidRPr="009B2722">
        <w:rPr>
          <w:rFonts w:eastAsia="Calibri" w:cs="Arial"/>
          <w:i/>
          <w:szCs w:val="18"/>
          <w:lang w:val="en-ZA" w:eastAsia="en-ZA"/>
        </w:rPr>
        <w:t xml:space="preserve"> </w:t>
      </w:r>
      <w:r w:rsidR="008F7542" w:rsidRPr="009B2722">
        <w:rPr>
          <w:rFonts w:eastAsia="Calibri" w:cs="Arial"/>
          <w:szCs w:val="18"/>
          <w:lang w:val="en-ZA" w:eastAsia="en-ZA"/>
        </w:rPr>
        <w:t>The bacterial strains were capable of growth and degrading butyric acid at a wide range of initial pH values but the optimal growth and butyric acid degradation was achieved at neutral pH.  Complete butyric ac</w:t>
      </w:r>
      <w:r w:rsidR="00C1696B" w:rsidRPr="009B2722">
        <w:rPr>
          <w:rFonts w:eastAsia="Calibri" w:cs="Arial"/>
          <w:szCs w:val="18"/>
          <w:lang w:val="en-ZA" w:eastAsia="en-ZA"/>
        </w:rPr>
        <w:t>i</w:t>
      </w:r>
      <w:r w:rsidR="008F7542" w:rsidRPr="009B2722">
        <w:rPr>
          <w:rFonts w:eastAsia="Calibri" w:cs="Arial"/>
          <w:szCs w:val="18"/>
          <w:lang w:val="en-ZA" w:eastAsia="en-ZA"/>
        </w:rPr>
        <w:t>d degradation was achieved within 20-24 h.</w:t>
      </w:r>
      <w:r w:rsidR="006B4194" w:rsidRPr="009B2722">
        <w:t xml:space="preserve"> The bacterial strains</w:t>
      </w:r>
      <w:r w:rsidR="006B4194" w:rsidRPr="009B2722">
        <w:t xml:space="preserve"> </w:t>
      </w:r>
      <w:r w:rsidR="006B4194" w:rsidRPr="009B2722">
        <w:t>have</w:t>
      </w:r>
      <w:r w:rsidR="006B4194" w:rsidRPr="009B2722">
        <w:t xml:space="preserve"> proved to be </w:t>
      </w:r>
      <w:r w:rsidR="006B4194" w:rsidRPr="009B2722">
        <w:t>potential</w:t>
      </w:r>
      <w:r w:rsidR="006B4194" w:rsidRPr="009B2722">
        <w:t xml:space="preserve"> candidate</w:t>
      </w:r>
      <w:r w:rsidR="006B4194" w:rsidRPr="009B2722">
        <w:t>s</w:t>
      </w:r>
      <w:r w:rsidR="006B4194" w:rsidRPr="009B2722">
        <w:t xml:space="preserve"> for the </w:t>
      </w:r>
      <w:r w:rsidR="006B4194" w:rsidRPr="009B2722">
        <w:t>development of biodeodorization</w:t>
      </w:r>
      <w:r w:rsidR="006B4194" w:rsidRPr="009B2722">
        <w:t xml:space="preserve"> systems</w:t>
      </w:r>
      <w:r w:rsidR="006B4194" w:rsidRPr="009B2722">
        <w:t xml:space="preserve"> for pit latrines.</w:t>
      </w:r>
    </w:p>
    <w:bookmarkEnd w:id="0"/>
    <w:p w:rsidR="00600535" w:rsidRPr="009B2722" w:rsidRDefault="00600535" w:rsidP="00600535">
      <w:pPr>
        <w:pStyle w:val="CETHeading1"/>
        <w:rPr>
          <w:lang w:val="en-GB"/>
        </w:rPr>
      </w:pPr>
      <w:r w:rsidRPr="009B2722">
        <w:rPr>
          <w:lang w:val="en-GB"/>
        </w:rPr>
        <w:t>Introduction</w:t>
      </w:r>
    </w:p>
    <w:p w:rsidR="00E11A84" w:rsidRPr="009B2722" w:rsidRDefault="00C32F22" w:rsidP="00E11A84">
      <w:pPr>
        <w:pStyle w:val="ListParagraph"/>
        <w:ind w:left="0"/>
        <w:rPr>
          <w:rFonts w:cs="Arial"/>
        </w:rPr>
      </w:pPr>
      <w:r w:rsidRPr="009B2722">
        <w:rPr>
          <w:rFonts w:cs="Arial"/>
        </w:rPr>
        <w:t>United Nations General Assembly and United Nations Human Rights Council recognised, alongside water, basic sanitation as a human right in 2010 (</w:t>
      </w:r>
      <w:r w:rsidR="00AF385E" w:rsidRPr="009B2722">
        <w:rPr>
          <w:rFonts w:cs="Arial"/>
        </w:rPr>
        <w:t xml:space="preserve">United Nations General Assembly, </w:t>
      </w:r>
      <w:r w:rsidRPr="009B2722">
        <w:rPr>
          <w:rFonts w:cs="Arial"/>
        </w:rPr>
        <w:t>2010). In 2015, adequate sanitation was unanimously recognised as a distinct and separate human right (Langford et al., 2017). This can be viewed as an affirmation of the fundamental significance of sanitation for human d</w:t>
      </w:r>
      <w:r w:rsidR="00D83E6F" w:rsidRPr="009B2722">
        <w:rPr>
          <w:rFonts w:cs="Arial"/>
        </w:rPr>
        <w:t>ignity (United Nations General A</w:t>
      </w:r>
      <w:r w:rsidRPr="009B2722">
        <w:rPr>
          <w:rFonts w:cs="Arial"/>
        </w:rPr>
        <w:t xml:space="preserve">ssembly 2015). However, in the same year, an estimated 2.4 billion people lacked access to improved sanitation facilities that hygienically separate human excreta from human contact, and 1.1 billion of the poorest people practiced open defecation as a result of lack of access to sanitation facilities worldwide </w:t>
      </w:r>
      <w:r w:rsidR="0075160F" w:rsidRPr="009B2722">
        <w:rPr>
          <w:rFonts w:cs="Arial"/>
        </w:rPr>
        <w:t>(</w:t>
      </w:r>
      <w:r w:rsidR="0075160F" w:rsidRPr="009B2722">
        <w:t>WHO and UNICEF, 2017</w:t>
      </w:r>
      <w:r w:rsidR="0075160F" w:rsidRPr="009B2722">
        <w:rPr>
          <w:rFonts w:cs="Arial"/>
        </w:rPr>
        <w:t>)</w:t>
      </w:r>
      <w:r w:rsidRPr="009B2722">
        <w:rPr>
          <w:rFonts w:cs="Arial"/>
        </w:rPr>
        <w:t>. Indiscriminate disposal of human excreta has long-since been recognized as a major public health risk as it is responsible for transmission of bacterial, viral and parasitic infections such as diarrhoea, polio, schistosomiasis, hookworm, typhoid or cholera. In addition, this is further perpetuated by its intrinsic negative externalities. The most common route of transmission for enteric pathogens is via the faecal –oral route, therefore, access to adequate sanitation is a crucial barrier to faecal-oral transmission chain associated with poor sanitation (Duku et al., 2018).  Improving sanitation is known to have a significant beneficial impact on health both in households and across communities</w:t>
      </w:r>
      <w:r w:rsidR="006B4194" w:rsidRPr="009B2722">
        <w:rPr>
          <w:rFonts w:cs="Arial"/>
        </w:rPr>
        <w:t xml:space="preserve"> in addition to </w:t>
      </w:r>
      <w:r w:rsidR="006B4194" w:rsidRPr="009B2722">
        <w:rPr>
          <w:rFonts w:cs="Arial"/>
          <w:shd w:val="clear" w:color="auto" w:fill="FFFFFF"/>
        </w:rPr>
        <w:t>offering</w:t>
      </w:r>
      <w:r w:rsidR="006B4194" w:rsidRPr="009B2722">
        <w:rPr>
          <w:rFonts w:cs="Arial"/>
          <w:shd w:val="clear" w:color="auto" w:fill="FFFFFF"/>
        </w:rPr>
        <w:t xml:space="preserve"> a foundation for economic growth and social gains</w:t>
      </w:r>
      <w:r w:rsidR="006B4194" w:rsidRPr="009B2722">
        <w:rPr>
          <w:rFonts w:cs="Arial"/>
        </w:rPr>
        <w:t xml:space="preserve"> (Montgomery, et al., 2009)</w:t>
      </w:r>
    </w:p>
    <w:p w:rsidR="00C32F22" w:rsidRPr="009B2722" w:rsidRDefault="00C32F22" w:rsidP="00E11A84">
      <w:pPr>
        <w:pStyle w:val="ListParagraph"/>
        <w:ind w:left="0"/>
        <w:rPr>
          <w:rFonts w:cs="Arial"/>
        </w:rPr>
      </w:pPr>
      <w:r w:rsidRPr="009B2722">
        <w:rPr>
          <w:rFonts w:cs="Arial"/>
        </w:rPr>
        <w:t xml:space="preserve">Currently, decentralised sanitation systems, such as pit latrines, are the most common sanitation technology used </w:t>
      </w:r>
      <w:r w:rsidRPr="009B2722">
        <w:rPr>
          <w:rFonts w:cs="Arial"/>
          <w:shd w:val="clear" w:color="auto" w:fill="FFFFFF"/>
        </w:rPr>
        <w:t>in rural and low-income and highly dense informal or semi-formal communities throughout the developing countries</w:t>
      </w:r>
      <w:r w:rsidR="004F4D85" w:rsidRPr="009B2722">
        <w:rPr>
          <w:rFonts w:cs="Arial"/>
          <w:shd w:val="clear" w:color="auto" w:fill="FFFFFF"/>
        </w:rPr>
        <w:t xml:space="preserve"> (Njalam’mano et al., 2017)</w:t>
      </w:r>
      <w:r w:rsidRPr="009B2722">
        <w:rPr>
          <w:rFonts w:cs="Arial"/>
        </w:rPr>
        <w:t xml:space="preserve">. It is estimated that about 1.8 billion people use pit latrines as a primary means of sanitation (Graham and Polizzotto, 2013).  In spite of their cheapness to construct and operate, and simplicity, pit latrines are often associated with performance difficulties such as offensive odour. Odour </w:t>
      </w:r>
      <w:r w:rsidRPr="009B2722">
        <w:rPr>
          <w:rFonts w:cs="Arial"/>
        </w:rPr>
        <w:lastRenderedPageBreak/>
        <w:t>generation from pit latrines is one of the major nuisances that critically determine the consistent use of existing ones and adoption by some potential users (Obeng et al., 2018). These unpleasant odours compel people to prefer open defecation to foul-smelling pit latrines and in some cases even in the precincts of the latrines. This is due to many social, aesthetic and potential public health related concerns the malodours represent for the users and communities within the immediate vicinity. Thus, pit latrine odour abatement is an important issue and </w:t>
      </w:r>
      <w:hyperlink r:id="rId10" w:tooltip="Learn more about Appropriate Technology" w:history="1">
        <w:r w:rsidRPr="009B2722">
          <w:rPr>
            <w:rFonts w:cs="Arial"/>
          </w:rPr>
          <w:t>appropriate technologies</w:t>
        </w:r>
      </w:hyperlink>
      <w:r w:rsidRPr="009B2722">
        <w:rPr>
          <w:rFonts w:cs="Arial"/>
        </w:rPr>
        <w:t> are needed to increase its uptake, usage and for sanitation promotion to ultimately meet sustainable development goal (SDG) sanitation target.</w:t>
      </w:r>
    </w:p>
    <w:p w:rsidR="00C32F22" w:rsidRPr="009B2722" w:rsidRDefault="00C32F22" w:rsidP="00C32F22">
      <w:pPr>
        <w:pStyle w:val="ListParagraph"/>
        <w:ind w:left="0"/>
        <w:rPr>
          <w:rFonts w:cs="Arial"/>
        </w:rPr>
      </w:pPr>
      <w:r w:rsidRPr="009B2722">
        <w:rPr>
          <w:rFonts w:cs="Arial"/>
        </w:rPr>
        <w:t>Previous studies have demonstrated that butyric acid</w:t>
      </w:r>
      <w:r w:rsidR="002D2FE3" w:rsidRPr="009B2722">
        <w:rPr>
          <w:rFonts w:cs="Arial"/>
        </w:rPr>
        <w:t xml:space="preserve"> </w:t>
      </w:r>
      <w:r w:rsidR="002D2FE3" w:rsidRPr="009B2722">
        <w:rPr>
          <w:rFonts w:cs="Arial"/>
          <w:lang w:eastAsia="en-ZA"/>
        </w:rPr>
        <w:t>(</w:t>
      </w:r>
      <w:r w:rsidR="002D2FE3" w:rsidRPr="009B2722">
        <w:rPr>
          <w:rFonts w:cs="Arial"/>
          <w:shd w:val="clear" w:color="auto" w:fill="FFFFFF"/>
        </w:rPr>
        <w:t>C</w:t>
      </w:r>
      <w:r w:rsidR="002D2FE3" w:rsidRPr="009B2722">
        <w:rPr>
          <w:rFonts w:cs="Arial"/>
          <w:shd w:val="clear" w:color="auto" w:fill="FFFFFF"/>
          <w:vertAlign w:val="subscript"/>
        </w:rPr>
        <w:t>4</w:t>
      </w:r>
      <w:r w:rsidR="002D2FE3" w:rsidRPr="009B2722">
        <w:rPr>
          <w:rFonts w:cs="Arial"/>
          <w:shd w:val="clear" w:color="auto" w:fill="FFFFFF"/>
        </w:rPr>
        <w:t>H</w:t>
      </w:r>
      <w:r w:rsidR="002D2FE3" w:rsidRPr="009B2722">
        <w:rPr>
          <w:rFonts w:cs="Arial"/>
          <w:shd w:val="clear" w:color="auto" w:fill="FFFFFF"/>
          <w:vertAlign w:val="subscript"/>
        </w:rPr>
        <w:t>8</w:t>
      </w:r>
      <w:r w:rsidR="002D2FE3" w:rsidRPr="009B2722">
        <w:rPr>
          <w:rFonts w:cs="Arial"/>
          <w:shd w:val="clear" w:color="auto" w:fill="FFFFFF"/>
        </w:rPr>
        <w:t>O</w:t>
      </w:r>
      <w:r w:rsidR="002D2FE3" w:rsidRPr="009B2722">
        <w:rPr>
          <w:rFonts w:cs="Arial"/>
          <w:shd w:val="clear" w:color="auto" w:fill="FFFFFF"/>
          <w:vertAlign w:val="subscript"/>
        </w:rPr>
        <w:t>2</w:t>
      </w:r>
      <w:r w:rsidR="002D2FE3" w:rsidRPr="009B2722">
        <w:rPr>
          <w:rFonts w:cs="Arial"/>
          <w:shd w:val="clear" w:color="auto" w:fill="FFFFFF"/>
        </w:rPr>
        <w:t xml:space="preserve">) </w:t>
      </w:r>
      <w:r w:rsidRPr="009B2722">
        <w:rPr>
          <w:rFonts w:cs="Arial"/>
        </w:rPr>
        <w:t xml:space="preserve">is one of the key </w:t>
      </w:r>
      <w:r w:rsidR="00AF385E" w:rsidRPr="009B2722">
        <w:rPr>
          <w:rFonts w:cs="Arial"/>
        </w:rPr>
        <w:t>odorant</w:t>
      </w:r>
      <w:r w:rsidRPr="009B2722">
        <w:rPr>
          <w:rFonts w:cs="Arial"/>
        </w:rPr>
        <w:t xml:space="preserve"> compounds in a</w:t>
      </w:r>
      <w:r w:rsidR="00986447" w:rsidRPr="009B2722">
        <w:rPr>
          <w:rFonts w:cs="Arial"/>
        </w:rPr>
        <w:t xml:space="preserve"> complex mixture of hundreds of </w:t>
      </w:r>
      <w:hyperlink r:id="rId11" w:tooltip="Learn more about Volatile Substance" w:history="1">
        <w:r w:rsidRPr="009B2722">
          <w:rPr>
            <w:rFonts w:cs="Arial"/>
          </w:rPr>
          <w:t>volatile compounds</w:t>
        </w:r>
      </w:hyperlink>
      <w:r w:rsidRPr="009B2722">
        <w:rPr>
          <w:rFonts w:cs="Arial"/>
        </w:rPr>
        <w:t xml:space="preserve"> proclaimed to be responsible for pit latrine malodorous emissions. It is usually emitted in significant concentrations much higher than its human odour detection threshold limit (</w:t>
      </w:r>
      <w:r w:rsidR="00986447" w:rsidRPr="009B2722">
        <w:rPr>
          <w:rFonts w:cs="Arial"/>
          <w:spacing w:val="2"/>
          <w:shd w:val="clear" w:color="auto" w:fill="FCFCFC"/>
        </w:rPr>
        <w:t xml:space="preserve">Lin et al., </w:t>
      </w:r>
      <w:hyperlink r:id="rId12" w:anchor="CR16" w:tooltip="View reference" w:history="1">
        <w:r w:rsidRPr="009B2722">
          <w:rPr>
            <w:rFonts w:cs="Arial"/>
            <w:spacing w:val="2"/>
          </w:rPr>
          <w:t>2013</w:t>
        </w:r>
      </w:hyperlink>
      <w:r w:rsidRPr="009B2722">
        <w:rPr>
          <w:rFonts w:cs="Arial"/>
          <w:spacing w:val="2"/>
          <w:shd w:val="clear" w:color="auto" w:fill="FCFCFC"/>
        </w:rPr>
        <w:t>)</w:t>
      </w:r>
      <w:r w:rsidRPr="009B2722">
        <w:rPr>
          <w:rFonts w:cs="Arial"/>
        </w:rPr>
        <w:t xml:space="preserve">. Critical analysis of current abatement technologies and mitigation strategies of malodour gaseous emissions of pit latrines in the developing countries such as ventilated improved pit (VIP) latrines, addition of carboneous materials, urine separation etc., shows that they have socio-cultural, technological and economical limitations in their application.  </w:t>
      </w:r>
    </w:p>
    <w:p w:rsidR="00C32F22" w:rsidRPr="009B2722" w:rsidRDefault="00C32F22" w:rsidP="00C32F22">
      <w:pPr>
        <w:pStyle w:val="ListParagraph"/>
        <w:ind w:left="0"/>
        <w:rPr>
          <w:rFonts w:cs="Arial"/>
        </w:rPr>
      </w:pPr>
      <w:r w:rsidRPr="009B2722">
        <w:rPr>
          <w:rFonts w:cs="Arial"/>
        </w:rPr>
        <w:t xml:space="preserve">In recent years, bioremediation has received great attention. This is because the approach is more reliable and environmentally-friendly. Microorganisms including bacteria, fungi, yeast and algae with a high neutralising ability have been reported in literature. Biological deodorization is becoming popular, and can be designed for virtually complete removal of </w:t>
      </w:r>
      <w:r w:rsidR="00AF385E" w:rsidRPr="009B2722">
        <w:rPr>
          <w:rFonts w:cs="Arial"/>
        </w:rPr>
        <w:t>odours</w:t>
      </w:r>
      <w:r w:rsidRPr="009B2722">
        <w:rPr>
          <w:rFonts w:cs="Arial"/>
        </w:rPr>
        <w:t xml:space="preserve"> without causing secondary pollution.</w:t>
      </w:r>
      <w:r w:rsidRPr="009B2722">
        <w:rPr>
          <w:rFonts w:ascii="Open Sans" w:hAnsi="Open Sans"/>
          <w:sz w:val="26"/>
          <w:szCs w:val="26"/>
        </w:rPr>
        <w:t xml:space="preserve"> </w:t>
      </w:r>
      <w:r w:rsidRPr="009B2722">
        <w:rPr>
          <w:rFonts w:cs="Arial"/>
        </w:rPr>
        <w:t xml:space="preserve"> Bacteria play important roles in deodorization in other biological methods such as biocover and bio filter</w:t>
      </w:r>
      <w:r w:rsidR="009B2722">
        <w:rPr>
          <w:rFonts w:cs="Arial"/>
        </w:rPr>
        <w:t xml:space="preserve"> (Li et al., 2012)</w:t>
      </w:r>
      <w:r w:rsidRPr="009B2722">
        <w:rPr>
          <w:rFonts w:cs="Arial"/>
        </w:rPr>
        <w:t>. However, to design a full-scale biological odour abatement technology</w:t>
      </w:r>
      <w:r w:rsidR="0097120C" w:rsidRPr="009B2722">
        <w:rPr>
          <w:rFonts w:cs="Arial"/>
        </w:rPr>
        <w:t xml:space="preserve"> for pit latrines</w:t>
      </w:r>
      <w:r w:rsidRPr="009B2722">
        <w:rPr>
          <w:rFonts w:cs="Arial"/>
        </w:rPr>
        <w:t>, the performance of butyric acid degrading bacteria should be evaluated. To the best of our knowledge, study related to deodorization of </w:t>
      </w:r>
      <w:hyperlink r:id="rId13" w:tooltip="Learn more about Arsenic Toxicity" w:history="1"/>
      <w:r w:rsidRPr="009B2722">
        <w:rPr>
          <w:rFonts w:cs="Arial"/>
        </w:rPr>
        <w:t xml:space="preserve"> butyric acid  by employing butyric acid-degrading bacteria from pit latrin</w:t>
      </w:r>
      <w:r w:rsidR="00986447" w:rsidRPr="009B2722">
        <w:rPr>
          <w:rFonts w:cs="Arial"/>
        </w:rPr>
        <w:t>e faecal sludge in South Africa</w:t>
      </w:r>
      <w:r w:rsidRPr="009B2722">
        <w:rPr>
          <w:rFonts w:cs="Arial"/>
        </w:rPr>
        <w:t xml:space="preserve"> is very limited. Taking into consideration the significance of work, in this current work, indigenous bacterium capable of utilizing butyric acid as a sole source of carbon and energy was isolated from pit latrine faecal sludge. The performance of the isolated bacterium in the degradation of butyric acid was evaluated under different medium pH </w:t>
      </w:r>
      <w:r w:rsidR="00B4680E" w:rsidRPr="009B2722">
        <w:rPr>
          <w:rFonts w:cs="Arial"/>
        </w:rPr>
        <w:t>conditions.</w:t>
      </w:r>
    </w:p>
    <w:p w:rsidR="00600535" w:rsidRPr="009B2722" w:rsidRDefault="00C32F22" w:rsidP="00C32F22">
      <w:pPr>
        <w:pStyle w:val="CETHeading1"/>
        <w:numPr>
          <w:ilvl w:val="1"/>
          <w:numId w:val="25"/>
        </w:numPr>
        <w:rPr>
          <w:lang w:val="en-GB"/>
        </w:rPr>
      </w:pPr>
      <w:r w:rsidRPr="009B2722">
        <w:rPr>
          <w:lang w:val="en-GB"/>
        </w:rPr>
        <w:t>Materials and methods</w:t>
      </w:r>
    </w:p>
    <w:p w:rsidR="00600535" w:rsidRPr="009B2722" w:rsidRDefault="00BD3A1B" w:rsidP="00AE7780">
      <w:pPr>
        <w:pStyle w:val="CETheadingx"/>
      </w:pPr>
      <w:r w:rsidRPr="009B2722">
        <w:t xml:space="preserve">2.1 </w:t>
      </w:r>
      <w:r w:rsidR="00C32F22" w:rsidRPr="009B2722">
        <w:t>Culture</w:t>
      </w:r>
      <w:r w:rsidR="00ED09E5" w:rsidRPr="009B2722">
        <w:t xml:space="preserve"> medium</w:t>
      </w:r>
    </w:p>
    <w:p w:rsidR="00ED09E5" w:rsidRPr="009B2722" w:rsidRDefault="00ED09E5" w:rsidP="00600535">
      <w:pPr>
        <w:pStyle w:val="CETBodytext"/>
        <w:rPr>
          <w:rFonts w:cs="Arial"/>
          <w:lang w:eastAsia="en-ZA"/>
        </w:rPr>
      </w:pPr>
      <w:r w:rsidRPr="009B2722">
        <w:rPr>
          <w:rFonts w:cs="Arial"/>
          <w:lang w:eastAsia="en-ZA"/>
        </w:rPr>
        <w:t xml:space="preserve">The mineral salt medium (MSM) used in this study comprised of </w:t>
      </w:r>
      <w:r w:rsidRPr="009B2722">
        <w:rPr>
          <w:rFonts w:cs="Arial"/>
          <w:shd w:val="clear" w:color="auto" w:fill="FFFFFF"/>
        </w:rPr>
        <w:t>(in gL</w:t>
      </w:r>
      <w:r w:rsidRPr="009B2722">
        <w:rPr>
          <w:rFonts w:cs="Arial"/>
          <w:shd w:val="clear" w:color="auto" w:fill="FFFFFF"/>
          <w:vertAlign w:val="superscript"/>
        </w:rPr>
        <w:t>-1</w:t>
      </w:r>
      <w:r w:rsidRPr="009B2722">
        <w:rPr>
          <w:rFonts w:cs="Arial"/>
          <w:shd w:val="clear" w:color="auto" w:fill="FFFFFF"/>
        </w:rPr>
        <w:t>)</w:t>
      </w:r>
      <w:r w:rsidRPr="009B2722">
        <w:rPr>
          <w:rFonts w:cs="Arial"/>
          <w:lang w:eastAsia="en-ZA"/>
        </w:rPr>
        <w:t xml:space="preserve">; </w:t>
      </w:r>
      <w:r w:rsidRPr="009B2722">
        <w:rPr>
          <w:rFonts w:cs="Arial"/>
          <w:shd w:val="clear" w:color="auto" w:fill="FFFFFF"/>
        </w:rPr>
        <w:t>K</w:t>
      </w:r>
      <w:r w:rsidRPr="009B2722">
        <w:rPr>
          <w:rFonts w:cs="Arial"/>
          <w:shd w:val="clear" w:color="auto" w:fill="FFFFFF"/>
          <w:vertAlign w:val="subscript"/>
        </w:rPr>
        <w:t>2</w:t>
      </w:r>
      <w:r w:rsidRPr="009B2722">
        <w:rPr>
          <w:rFonts w:cs="Arial"/>
          <w:shd w:val="clear" w:color="auto" w:fill="FFFFFF"/>
        </w:rPr>
        <w:t>HPO</w:t>
      </w:r>
      <w:r w:rsidRPr="009B2722">
        <w:rPr>
          <w:rFonts w:cs="Arial"/>
          <w:shd w:val="clear" w:color="auto" w:fill="FFFFFF"/>
          <w:vertAlign w:val="subscript"/>
        </w:rPr>
        <w:t>4</w:t>
      </w:r>
      <w:r w:rsidRPr="009B2722">
        <w:rPr>
          <w:rFonts w:cs="Arial"/>
          <w:shd w:val="clear" w:color="auto" w:fill="FFFFFF"/>
        </w:rPr>
        <w:t xml:space="preserve"> </w:t>
      </w:r>
      <w:r w:rsidRPr="009B2722">
        <w:rPr>
          <w:rFonts w:cs="Arial"/>
        </w:rPr>
        <w:t>2.72</w:t>
      </w:r>
      <w:r w:rsidRPr="009B2722">
        <w:rPr>
          <w:rFonts w:cs="Arial"/>
          <w:shd w:val="clear" w:color="auto" w:fill="FFFFFF"/>
        </w:rPr>
        <w:t>, Na</w:t>
      </w:r>
      <w:r w:rsidRPr="009B2722">
        <w:rPr>
          <w:rFonts w:cs="Arial"/>
          <w:shd w:val="clear" w:color="auto" w:fill="FFFFFF"/>
          <w:vertAlign w:val="subscript"/>
        </w:rPr>
        <w:t>2</w:t>
      </w:r>
      <w:r w:rsidRPr="009B2722">
        <w:rPr>
          <w:rFonts w:cs="Arial"/>
          <w:shd w:val="clear" w:color="auto" w:fill="FFFFFF"/>
        </w:rPr>
        <w:t>HPO</w:t>
      </w:r>
      <w:r w:rsidRPr="009B2722">
        <w:rPr>
          <w:rFonts w:cs="Arial"/>
          <w:shd w:val="clear" w:color="auto" w:fill="FFFFFF"/>
          <w:vertAlign w:val="subscript"/>
        </w:rPr>
        <w:t>4</w:t>
      </w:r>
      <w:r w:rsidRPr="009B2722">
        <w:rPr>
          <w:rFonts w:cs="Arial"/>
          <w:shd w:val="clear" w:color="auto" w:fill="FFFFFF"/>
        </w:rPr>
        <w:t xml:space="preserve"> </w:t>
      </w:r>
      <w:r w:rsidRPr="009B2722">
        <w:rPr>
          <w:rFonts w:cs="Arial"/>
        </w:rPr>
        <w:t>4.26</w:t>
      </w:r>
      <w:r w:rsidRPr="009B2722">
        <w:rPr>
          <w:rFonts w:cs="Arial"/>
          <w:shd w:val="clear" w:color="auto" w:fill="FFFFFF"/>
        </w:rPr>
        <w:t>, NH</w:t>
      </w:r>
      <w:r w:rsidRPr="009B2722">
        <w:rPr>
          <w:rFonts w:cs="Arial"/>
          <w:shd w:val="clear" w:color="auto" w:fill="FFFFFF"/>
          <w:vertAlign w:val="subscript"/>
        </w:rPr>
        <w:t>4</w:t>
      </w:r>
      <w:r w:rsidRPr="009B2722">
        <w:rPr>
          <w:rFonts w:cs="Arial"/>
          <w:shd w:val="clear" w:color="auto" w:fill="FFFFFF"/>
        </w:rPr>
        <w:t xml:space="preserve">Cl </w:t>
      </w:r>
      <w:r w:rsidRPr="009B2722">
        <w:rPr>
          <w:rFonts w:cs="Arial"/>
        </w:rPr>
        <w:t xml:space="preserve">0.535, </w:t>
      </w:r>
      <w:r w:rsidRPr="009B2722">
        <w:rPr>
          <w:rFonts w:cs="Arial"/>
          <w:shd w:val="clear" w:color="auto" w:fill="FFFFFF"/>
        </w:rPr>
        <w:t>MgSO</w:t>
      </w:r>
      <w:r w:rsidRPr="009B2722">
        <w:rPr>
          <w:rFonts w:cs="Arial"/>
          <w:shd w:val="clear" w:color="auto" w:fill="FFFFFF"/>
          <w:vertAlign w:val="subscript"/>
        </w:rPr>
        <w:t>4</w:t>
      </w:r>
      <w:r w:rsidRPr="009B2722">
        <w:rPr>
          <w:rFonts w:cs="Arial"/>
          <w:shd w:val="clear" w:color="auto" w:fill="FFFFFF"/>
        </w:rPr>
        <w:t xml:space="preserve"> </w:t>
      </w:r>
      <w:r w:rsidRPr="009B2722">
        <w:rPr>
          <w:rFonts w:cs="Arial"/>
        </w:rPr>
        <w:t xml:space="preserve">0.049, </w:t>
      </w:r>
      <w:r w:rsidRPr="009B2722">
        <w:rPr>
          <w:rFonts w:cs="Arial"/>
          <w:shd w:val="clear" w:color="auto" w:fill="FFFFFF"/>
        </w:rPr>
        <w:t>Na</w:t>
      </w:r>
      <w:r w:rsidRPr="009B2722">
        <w:rPr>
          <w:rFonts w:cs="Arial"/>
          <w:vertAlign w:val="subscript"/>
        </w:rPr>
        <w:t>2</w:t>
      </w:r>
      <w:r w:rsidRPr="009B2722">
        <w:rPr>
          <w:rFonts w:cs="Arial"/>
        </w:rPr>
        <w:t>SO</w:t>
      </w:r>
      <w:r w:rsidRPr="009B2722">
        <w:rPr>
          <w:rFonts w:cs="Arial"/>
          <w:vertAlign w:val="subscript"/>
        </w:rPr>
        <w:t>4</w:t>
      </w:r>
      <w:r w:rsidRPr="009B2722">
        <w:rPr>
          <w:rFonts w:cs="Arial"/>
        </w:rPr>
        <w:t xml:space="preserve"> 0.114 </w:t>
      </w:r>
      <w:r w:rsidRPr="009B2722">
        <w:rPr>
          <w:rFonts w:cs="Arial"/>
          <w:shd w:val="clear" w:color="auto" w:fill="FFFFFF"/>
        </w:rPr>
        <w:t>and 1 mlL</w:t>
      </w:r>
      <w:r w:rsidRPr="009B2722">
        <w:rPr>
          <w:rFonts w:cs="Arial"/>
          <w:shd w:val="clear" w:color="auto" w:fill="FFFFFF"/>
          <w:vertAlign w:val="superscript"/>
        </w:rPr>
        <w:t>-1</w:t>
      </w:r>
      <w:r w:rsidRPr="009B2722">
        <w:rPr>
          <w:rFonts w:cs="Arial"/>
          <w:shd w:val="clear" w:color="auto" w:fill="FFFFFF"/>
        </w:rPr>
        <w:t xml:space="preserve"> of trace element solution. The trace element solution contained (in gL</w:t>
      </w:r>
      <w:r w:rsidRPr="009B2722">
        <w:rPr>
          <w:rFonts w:cs="Arial"/>
          <w:shd w:val="clear" w:color="auto" w:fill="FFFFFF"/>
          <w:vertAlign w:val="superscript"/>
        </w:rPr>
        <w:t>-1</w:t>
      </w:r>
      <w:r w:rsidRPr="009B2722">
        <w:rPr>
          <w:rFonts w:cs="Arial"/>
          <w:shd w:val="clear" w:color="auto" w:fill="FFFFFF"/>
        </w:rPr>
        <w:t>); CaCl</w:t>
      </w:r>
      <w:r w:rsidRPr="009B2722">
        <w:rPr>
          <w:rFonts w:cs="Arial"/>
          <w:vertAlign w:val="subscript"/>
        </w:rPr>
        <w:t xml:space="preserve">2 </w:t>
      </w:r>
      <w:r w:rsidRPr="009B2722">
        <w:rPr>
          <w:rFonts w:cs="Arial"/>
        </w:rPr>
        <w:t>5.55, FeSO</w:t>
      </w:r>
      <w:r w:rsidRPr="009B2722">
        <w:rPr>
          <w:rFonts w:cs="Arial"/>
          <w:vertAlign w:val="subscript"/>
        </w:rPr>
        <w:t xml:space="preserve">4 </w:t>
      </w:r>
      <w:r w:rsidRPr="009B2722">
        <w:rPr>
          <w:rFonts w:cs="Arial"/>
        </w:rPr>
        <w:t>6.95, ZnCl</w:t>
      </w:r>
      <w:r w:rsidRPr="009B2722">
        <w:rPr>
          <w:rFonts w:cs="Arial"/>
          <w:vertAlign w:val="subscript"/>
        </w:rPr>
        <w:t>2</w:t>
      </w:r>
      <w:r w:rsidRPr="009B2722">
        <w:rPr>
          <w:rFonts w:cs="Arial"/>
        </w:rPr>
        <w:t xml:space="preserve"> 0.014, CuCl</w:t>
      </w:r>
      <w:r w:rsidRPr="009B2722">
        <w:rPr>
          <w:rFonts w:cs="Arial"/>
          <w:vertAlign w:val="subscript"/>
        </w:rPr>
        <w:t xml:space="preserve">2 </w:t>
      </w:r>
      <w:r w:rsidRPr="009B2722">
        <w:rPr>
          <w:rFonts w:cs="Arial"/>
        </w:rPr>
        <w:t>0.035, NaBr 0.011, NaMoO</w:t>
      </w:r>
      <w:r w:rsidRPr="009B2722">
        <w:rPr>
          <w:rFonts w:cs="Arial"/>
          <w:vertAlign w:val="subscript"/>
        </w:rPr>
        <w:t xml:space="preserve">2 </w:t>
      </w:r>
      <w:r w:rsidRPr="009B2722">
        <w:rPr>
          <w:rFonts w:cs="Arial"/>
        </w:rPr>
        <w:t>0.012, MnCl</w:t>
      </w:r>
      <w:r w:rsidRPr="009B2722">
        <w:rPr>
          <w:rFonts w:cs="Arial"/>
          <w:vertAlign w:val="subscript"/>
        </w:rPr>
        <w:t xml:space="preserve">2 </w:t>
      </w:r>
      <w:r w:rsidRPr="009B2722">
        <w:rPr>
          <w:rFonts w:cs="Arial"/>
        </w:rPr>
        <w:t>0.020, KI 0.017, H</w:t>
      </w:r>
      <w:r w:rsidRPr="009B2722">
        <w:rPr>
          <w:rFonts w:cs="Arial"/>
          <w:vertAlign w:val="subscript"/>
        </w:rPr>
        <w:t>3</w:t>
      </w:r>
      <w:r w:rsidRPr="009B2722">
        <w:rPr>
          <w:rFonts w:cs="Arial"/>
        </w:rPr>
        <w:t>BO</w:t>
      </w:r>
      <w:r w:rsidRPr="009B2722">
        <w:rPr>
          <w:rFonts w:cs="Arial"/>
          <w:vertAlign w:val="subscript"/>
        </w:rPr>
        <w:t>3</w:t>
      </w:r>
      <w:r w:rsidRPr="009B2722">
        <w:rPr>
          <w:rFonts w:cs="Arial"/>
        </w:rPr>
        <w:t xml:space="preserve"> 0.012, CoCl</w:t>
      </w:r>
      <w:r w:rsidRPr="009B2722">
        <w:rPr>
          <w:rFonts w:cs="Arial"/>
          <w:vertAlign w:val="subscript"/>
        </w:rPr>
        <w:t>2</w:t>
      </w:r>
      <w:r w:rsidRPr="009B2722">
        <w:rPr>
          <w:rFonts w:cs="Arial"/>
        </w:rPr>
        <w:t xml:space="preserve"> 0.024 and NiCl</w:t>
      </w:r>
      <w:r w:rsidRPr="009B2722">
        <w:rPr>
          <w:rFonts w:cs="Arial"/>
          <w:vertAlign w:val="subscript"/>
        </w:rPr>
        <w:t xml:space="preserve">2 </w:t>
      </w:r>
      <w:r w:rsidRPr="009B2722">
        <w:rPr>
          <w:rFonts w:cs="Arial"/>
        </w:rPr>
        <w:t xml:space="preserve">0.013 (Roslev et al., 1998). </w:t>
      </w:r>
      <w:r w:rsidRPr="009B2722">
        <w:rPr>
          <w:rFonts w:cs="Arial"/>
          <w:lang w:eastAsia="en-ZA"/>
        </w:rPr>
        <w:t xml:space="preserve">The medium was autoclaved for 15 min at 121° C. Sterilised analytical grade butyric acid </w:t>
      </w:r>
      <w:r w:rsidRPr="009B2722">
        <w:rPr>
          <w:rFonts w:cs="Arial"/>
          <w:shd w:val="clear" w:color="auto" w:fill="FFFFFF"/>
        </w:rPr>
        <w:t xml:space="preserve">with </w:t>
      </w:r>
      <w:r w:rsidRPr="009B2722">
        <w:rPr>
          <w:rFonts w:cs="Arial"/>
        </w:rPr>
        <w:t>≥99%</w:t>
      </w:r>
      <w:r w:rsidRPr="009B2722">
        <w:rPr>
          <w:rFonts w:cs="Arial"/>
          <w:shd w:val="clear" w:color="auto" w:fill="FFFFFF"/>
        </w:rPr>
        <w:t xml:space="preserve"> purity </w:t>
      </w:r>
      <w:r w:rsidRPr="009B2722">
        <w:rPr>
          <w:rFonts w:cs="Arial"/>
          <w:lang w:eastAsia="en-ZA"/>
        </w:rPr>
        <w:t>was added into the MSM to a final concentration of 1000 mgL</w:t>
      </w:r>
      <w:r w:rsidRPr="009B2722">
        <w:rPr>
          <w:rFonts w:cs="Arial"/>
          <w:vertAlign w:val="superscript"/>
          <w:lang w:eastAsia="en-ZA"/>
        </w:rPr>
        <w:t>-1</w:t>
      </w:r>
      <w:r w:rsidRPr="009B2722">
        <w:rPr>
          <w:rFonts w:cs="Arial"/>
          <w:lang w:eastAsia="en-ZA"/>
        </w:rPr>
        <w:t xml:space="preserve"> unless otherwise indicated. The pH of the media was adjusted by 6 M NaOH by titration unless otherwise indicated.</w:t>
      </w:r>
    </w:p>
    <w:p w:rsidR="00ED09E5" w:rsidRPr="009B2722" w:rsidRDefault="00ED09E5" w:rsidP="00AE7780">
      <w:pPr>
        <w:pStyle w:val="CETheadingx"/>
      </w:pPr>
      <w:r w:rsidRPr="009B2722">
        <w:t>2.2 Enrichment, isolation and molecular identification of bacterial strain procedure</w:t>
      </w:r>
    </w:p>
    <w:p w:rsidR="00ED09E5" w:rsidRPr="009B2722" w:rsidRDefault="00ED09E5" w:rsidP="00ED09E5">
      <w:pPr>
        <w:shd w:val="clear" w:color="auto" w:fill="FFFFFF"/>
        <w:spacing w:line="240" w:lineRule="auto"/>
        <w:rPr>
          <w:rFonts w:cs="Arial"/>
          <w:lang w:eastAsia="en-ZA"/>
        </w:rPr>
      </w:pPr>
      <w:r w:rsidRPr="009B2722">
        <w:rPr>
          <w:rFonts w:cs="Arial"/>
          <w:lang w:eastAsia="en-ZA"/>
        </w:rPr>
        <w:t>Faecal sludge was collected from pit latrines in Mpumalanga Province, South Africa. One hundred gram</w:t>
      </w:r>
      <w:r w:rsidR="002D2FE3" w:rsidRPr="009B2722">
        <w:rPr>
          <w:rFonts w:cs="Arial"/>
          <w:lang w:eastAsia="en-ZA"/>
        </w:rPr>
        <w:t>s</w:t>
      </w:r>
      <w:r w:rsidRPr="009B2722">
        <w:rPr>
          <w:rFonts w:cs="Arial"/>
          <w:lang w:eastAsia="en-ZA"/>
        </w:rPr>
        <w:t xml:space="preserve"> of the thoroughly homogenised faecal sludge sample were aseptically added to a sterilised flask containing 1000 mL of sterile deionised water. The mixture was vigorously vortexed for 5 min and allowed to settled for 10 min. The supernatant was preserved at 4 °C prior to use for bacterial isolation. One hundred millilitres of the supernatant were aseptically added to a 250 mL shaking flask containing 150 ml of the MSM supplemented with 500 mgL</w:t>
      </w:r>
      <w:r w:rsidRPr="009B2722">
        <w:rPr>
          <w:rFonts w:cs="Arial"/>
          <w:vertAlign w:val="superscript"/>
          <w:lang w:eastAsia="en-ZA"/>
        </w:rPr>
        <w:t>-1</w:t>
      </w:r>
      <w:r w:rsidRPr="009B2722">
        <w:rPr>
          <w:rFonts w:cs="Arial"/>
          <w:lang w:eastAsia="en-ZA"/>
        </w:rPr>
        <w:t xml:space="preserve"> butyric acid with its pH adjusted to 7.0 and incubated in a temperature controlled rotary shaker at 110 rpm at 30 </w:t>
      </w:r>
      <w:r w:rsidRPr="009B2722">
        <w:rPr>
          <w:rFonts w:cs="Arial"/>
          <w:vertAlign w:val="superscript"/>
          <w:lang w:eastAsia="en-ZA"/>
        </w:rPr>
        <w:t>o</w:t>
      </w:r>
      <w:r w:rsidRPr="009B2722">
        <w:rPr>
          <w:rFonts w:cs="Arial"/>
          <w:lang w:eastAsia="en-ZA"/>
        </w:rPr>
        <w:t xml:space="preserve">C for 24 h in the dark. This procedure was repeated thrice, and the 100 µL of the final culture broth was serially diluted and spread on nutrient agar plate. This was incubated at 30 </w:t>
      </w:r>
      <w:r w:rsidRPr="009B2722">
        <w:rPr>
          <w:rFonts w:cs="Arial"/>
          <w:vertAlign w:val="superscript"/>
          <w:lang w:eastAsia="en-ZA"/>
        </w:rPr>
        <w:t>o</w:t>
      </w:r>
      <w:r w:rsidRPr="009B2722">
        <w:rPr>
          <w:rFonts w:cs="Arial"/>
          <w:lang w:eastAsia="en-ZA"/>
        </w:rPr>
        <w:t>C in the dark. The morphologically distinct colonies appearing on the nutrient agar plates after 24-48 h incubation at 30 °C in the dark were picked and subcultured on fresh nutrient agar plates to obtain pure cultures. Microscopic examination was carried out for bacterial strain purity confirmation. The purified cultures were preserved in the MSM supplemented with 20% sterilized glycerol at - 80 °C.</w:t>
      </w:r>
    </w:p>
    <w:p w:rsidR="00ED09E5" w:rsidRPr="009B2722" w:rsidRDefault="00666315" w:rsidP="00ED09E5">
      <w:pPr>
        <w:shd w:val="clear" w:color="auto" w:fill="FFFFFF"/>
        <w:spacing w:line="240" w:lineRule="auto"/>
      </w:pPr>
      <w:r w:rsidRPr="009B2722">
        <w:t>Genomic DNA of the isolates was extracted using the boiling method</w:t>
      </w:r>
      <w:r w:rsidRPr="009B2722">
        <w:rPr>
          <w:rFonts w:cs="Arial"/>
        </w:rPr>
        <w:t xml:space="preserve"> incubating the cell suspension for 10 min at 100 °C in water bath</w:t>
      </w:r>
      <w:r w:rsidRPr="009B2722">
        <w:t>. The 16S rRNA encoding genes of isolates were amplified by</w:t>
      </w:r>
      <w:r w:rsidRPr="009B2722">
        <w:rPr>
          <w:rFonts w:cs="Arial"/>
          <w:bCs/>
          <w:shd w:val="clear" w:color="auto" w:fill="FFFFFF"/>
        </w:rPr>
        <w:t xml:space="preserve"> Polymerase chain reaction</w:t>
      </w:r>
      <w:r w:rsidRPr="009B2722">
        <w:rPr>
          <w:rFonts w:cs="Arial"/>
          <w:shd w:val="clear" w:color="auto" w:fill="FFFFFF"/>
        </w:rPr>
        <w:t> (</w:t>
      </w:r>
      <w:r w:rsidRPr="009B2722">
        <w:rPr>
          <w:rFonts w:cs="Arial"/>
          <w:bCs/>
          <w:shd w:val="clear" w:color="auto" w:fill="FFFFFF"/>
        </w:rPr>
        <w:t>PCR</w:t>
      </w:r>
      <w:r w:rsidRPr="009B2722">
        <w:rPr>
          <w:rFonts w:cs="Arial"/>
          <w:shd w:val="clear" w:color="auto" w:fill="FFFFFF"/>
        </w:rPr>
        <w:t>)</w:t>
      </w:r>
      <w:r w:rsidRPr="009B2722">
        <w:t xml:space="preserve"> PCR using the </w:t>
      </w:r>
      <w:r w:rsidRPr="009B2722">
        <w:rPr>
          <w:rFonts w:cs="Arial"/>
        </w:rPr>
        <w:t>forward primer (27F: 5' GAG TTT GAT CCT GGC TCA G 3') and reverse primer (1492R: 5' GGT TAC CTT GTT ACG ACT 3')</w:t>
      </w:r>
      <w:r w:rsidRPr="009B2722">
        <w:t xml:space="preserve">. The amplification was done by </w:t>
      </w:r>
      <w:r w:rsidR="00DF4E20" w:rsidRPr="009B2722">
        <w:rPr>
          <w:rFonts w:cs="Arial"/>
        </w:rPr>
        <w:t>initial denaturation performed at 94 °C for 10 min</w:t>
      </w:r>
      <w:r w:rsidR="00DF4E20" w:rsidRPr="009B2722">
        <w:t xml:space="preserve"> </w:t>
      </w:r>
      <w:r w:rsidRPr="009B2722">
        <w:t xml:space="preserve">followed by </w:t>
      </w:r>
      <w:r w:rsidR="00DF4E20" w:rsidRPr="009B2722">
        <w:rPr>
          <w:rFonts w:cs="Arial"/>
        </w:rPr>
        <w:t>30 cycles of denaturation at the same temperature of 94 °C for 1 min</w:t>
      </w:r>
      <w:r w:rsidRPr="009B2722">
        <w:t xml:space="preserve">, 63 °C for 1 min, 71 °C for 1.5 min; 20 cycles of 93 °C for 1 min, </w:t>
      </w:r>
      <w:r w:rsidR="00DF4E20" w:rsidRPr="009B2722">
        <w:rPr>
          <w:rFonts w:cs="Arial"/>
        </w:rPr>
        <w:t xml:space="preserve">annealing at 58 °C for 1 min </w:t>
      </w:r>
      <w:r w:rsidRPr="009B2722">
        <w:t xml:space="preserve">and extension at </w:t>
      </w:r>
      <w:r w:rsidR="00DF4E20" w:rsidRPr="009B2722">
        <w:t xml:space="preserve">72 °C for 1 min and then a final extension step at </w:t>
      </w:r>
      <w:r w:rsidR="00DF4E20" w:rsidRPr="009B2722">
        <w:rPr>
          <w:rFonts w:cs="Arial"/>
        </w:rPr>
        <w:t>72 °C for 5 min.</w:t>
      </w:r>
      <w:r w:rsidR="00DF4E20" w:rsidRPr="009B2722">
        <w:t xml:space="preserve"> </w:t>
      </w:r>
      <w:r w:rsidRPr="009B2722">
        <w:t xml:space="preserve">The purified PCR product was sequenced in both directions using </w:t>
      </w:r>
      <w:r w:rsidR="00DF4E20" w:rsidRPr="009B2722">
        <w:rPr>
          <w:rFonts w:cs="Arial"/>
        </w:rPr>
        <w:t>using ChromasLite v2.01 (Technelysium, Queensland, Australia) and BioEdit v7.</w:t>
      </w:r>
      <w:r w:rsidR="00A6370A" w:rsidRPr="009B2722">
        <w:rPr>
          <w:rFonts w:cs="Arial"/>
        </w:rPr>
        <w:t>05.</w:t>
      </w:r>
      <w:r w:rsidR="00A6370A" w:rsidRPr="009B2722">
        <w:t xml:space="preserve"> The</w:t>
      </w:r>
      <w:r w:rsidRPr="009B2722">
        <w:t xml:space="preserve"> phylogenic relationship of the isolate</w:t>
      </w:r>
      <w:r w:rsidR="00A6370A" w:rsidRPr="009B2722">
        <w:t>s</w:t>
      </w:r>
      <w:r w:rsidRPr="009B2722">
        <w:t xml:space="preserve"> was determined by comparing the sequencing data with sequences of known 16s rRNA gene sequences in the </w:t>
      </w:r>
      <w:r w:rsidR="00A6370A" w:rsidRPr="009B2722">
        <w:t xml:space="preserve">GenBank nucleotide </w:t>
      </w:r>
      <w:r w:rsidRPr="009B2722">
        <w:t>database</w:t>
      </w:r>
      <w:r w:rsidR="00A6370A" w:rsidRPr="009B2722">
        <w:rPr>
          <w:rFonts w:cs="Arial"/>
        </w:rPr>
        <w:t xml:space="preserve"> maintained by National Centre for Biotechnology Information (NCBI) using BLAST searches at http://www.ncbi.nlm.nih.gov/BLAST.</w:t>
      </w:r>
    </w:p>
    <w:p w:rsidR="00ED09E5" w:rsidRPr="009B2722" w:rsidRDefault="00ED09E5" w:rsidP="00AE7780">
      <w:pPr>
        <w:pStyle w:val="CETheadingx"/>
      </w:pPr>
      <w:r w:rsidRPr="009B2722">
        <w:lastRenderedPageBreak/>
        <w:t xml:space="preserve">2.3 </w:t>
      </w:r>
      <w:r w:rsidRPr="009B2722">
        <w:rPr>
          <w:rFonts w:cs="Times New Roman"/>
        </w:rPr>
        <w:t>Effect</w:t>
      </w:r>
      <w:r w:rsidRPr="009B2722">
        <w:t xml:space="preserve"> of initial medium pH on biodegradation of butyric acid and bacterial growth </w:t>
      </w:r>
    </w:p>
    <w:p w:rsidR="00ED09E5" w:rsidRPr="009B2722" w:rsidRDefault="00ED09E5" w:rsidP="00ED09E5">
      <w:pPr>
        <w:shd w:val="clear" w:color="auto" w:fill="FFFFFF"/>
        <w:spacing w:line="240" w:lineRule="auto"/>
        <w:rPr>
          <w:rFonts w:cs="Arial"/>
          <w:b/>
          <w:lang w:eastAsia="en-ZA"/>
        </w:rPr>
      </w:pPr>
      <w:r w:rsidRPr="009B2722">
        <w:rPr>
          <w:rFonts w:cs="Arial"/>
        </w:rPr>
        <w:t>To evaluate the effect of initial growth medium pH biodegradation of butyric acid by and bacterial growth of the bacterial strain</w:t>
      </w:r>
      <w:r w:rsidR="002D2FE3" w:rsidRPr="009B2722">
        <w:rPr>
          <w:rFonts w:cs="Arial"/>
        </w:rPr>
        <w:t>s</w:t>
      </w:r>
      <w:r w:rsidRPr="009B2722">
        <w:rPr>
          <w:rFonts w:cs="Arial"/>
        </w:rPr>
        <w:t xml:space="preserve"> at different</w:t>
      </w:r>
      <w:r w:rsidR="002D2FE3" w:rsidRPr="009B2722">
        <w:rPr>
          <w:rFonts w:cs="Arial"/>
        </w:rPr>
        <w:t xml:space="preserve"> initial medium</w:t>
      </w:r>
      <w:r w:rsidRPr="009B2722">
        <w:rPr>
          <w:rFonts w:cs="Arial"/>
        </w:rPr>
        <w:t xml:space="preserve"> pH</w:t>
      </w:r>
      <w:r w:rsidR="002D2FE3" w:rsidRPr="009B2722">
        <w:rPr>
          <w:rFonts w:cs="Arial"/>
        </w:rPr>
        <w:t xml:space="preserve"> values</w:t>
      </w:r>
      <w:r w:rsidRPr="009B2722">
        <w:rPr>
          <w:rFonts w:cs="Arial"/>
        </w:rPr>
        <w:t xml:space="preserve">, 150 ml sterilised MSM in 250 ml Erlenmeyer flasks was adjusted to pH values of 5, 6, 7, 8, 9 and </w:t>
      </w:r>
      <w:r w:rsidR="002116E4" w:rsidRPr="009B2722">
        <w:rPr>
          <w:rFonts w:cs="Arial"/>
        </w:rPr>
        <w:t>10 by titration with 32</w:t>
      </w:r>
      <w:r w:rsidRPr="009B2722">
        <w:rPr>
          <w:rFonts w:cs="Arial"/>
        </w:rPr>
        <w:t>% HCl and 6.0 M NaOH. The MSM was supplemented with butyric acid to a concentration of 1000 mg l</w:t>
      </w:r>
      <w:r w:rsidRPr="009B2722">
        <w:rPr>
          <w:rFonts w:cs="Arial"/>
          <w:vertAlign w:val="superscript"/>
        </w:rPr>
        <w:t>–1</w:t>
      </w:r>
      <w:r w:rsidRPr="009B2722">
        <w:rPr>
          <w:rFonts w:cs="Arial"/>
        </w:rPr>
        <w:t>. The MSM in the flasks was inoculated by adding 1 ml of bacterial inoculum (OD</w:t>
      </w:r>
      <w:r w:rsidRPr="009B2722">
        <w:rPr>
          <w:rFonts w:cs="Arial"/>
          <w:vertAlign w:val="subscript"/>
        </w:rPr>
        <w:t>600</w:t>
      </w:r>
      <w:r w:rsidRPr="009B2722">
        <w:rPr>
          <w:rFonts w:cs="Arial"/>
        </w:rPr>
        <w:t xml:space="preserve"> = 2.0). These inoculated flasks were incubated at 30 </w:t>
      </w:r>
      <w:r w:rsidRPr="009B2722">
        <w:rPr>
          <w:rFonts w:cs="Arial"/>
          <w:vertAlign w:val="superscript"/>
        </w:rPr>
        <w:t>o</w:t>
      </w:r>
      <w:r w:rsidRPr="009B2722">
        <w:rPr>
          <w:rFonts w:cs="Arial"/>
        </w:rPr>
        <w:t>C in a rotary shaking incuba</w:t>
      </w:r>
      <w:r w:rsidR="00B4680E" w:rsidRPr="009B2722">
        <w:rPr>
          <w:rFonts w:cs="Arial"/>
        </w:rPr>
        <w:t>tor at 11</w:t>
      </w:r>
      <w:r w:rsidR="007A1D92" w:rsidRPr="009B2722">
        <w:rPr>
          <w:rFonts w:cs="Arial"/>
        </w:rPr>
        <w:t>0 rpm for 24 h in darkness.</w:t>
      </w:r>
      <w:r w:rsidRPr="009B2722">
        <w:rPr>
          <w:rFonts w:cs="Arial"/>
        </w:rPr>
        <w:t xml:space="preserve"> Controls of un-inoculated flasks were used</w:t>
      </w:r>
      <w:r w:rsidR="007A1D92" w:rsidRPr="009B2722">
        <w:rPr>
          <w:rFonts w:cs="Arial"/>
        </w:rPr>
        <w:t xml:space="preserve"> to check abiotic degradation. </w:t>
      </w:r>
      <w:r w:rsidRPr="009B2722">
        <w:rPr>
          <w:rFonts w:cs="Arial"/>
        </w:rPr>
        <w:t>The experiments were conducted in triplicates</w:t>
      </w:r>
    </w:p>
    <w:p w:rsidR="00ED09E5" w:rsidRPr="009B2722" w:rsidRDefault="00ED09E5" w:rsidP="00ED09E5">
      <w:pPr>
        <w:shd w:val="clear" w:color="auto" w:fill="FFFFFF"/>
        <w:spacing w:line="240" w:lineRule="auto"/>
        <w:rPr>
          <w:rFonts w:cs="Arial"/>
        </w:rPr>
      </w:pPr>
    </w:p>
    <w:p w:rsidR="00ED09E5" w:rsidRPr="009B2722" w:rsidRDefault="00ED09E5" w:rsidP="00ED09E5">
      <w:pPr>
        <w:shd w:val="clear" w:color="auto" w:fill="FFFFFF"/>
        <w:spacing w:line="240" w:lineRule="auto"/>
        <w:rPr>
          <w:rFonts w:cs="Arial"/>
        </w:rPr>
      </w:pPr>
      <w:r w:rsidRPr="009B2722">
        <w:rPr>
          <w:rFonts w:cs="Arial"/>
        </w:rPr>
        <w:t>The percent degradation of butyric acid (</w:t>
      </w:r>
      <m:oMath>
        <m:r>
          <w:rPr>
            <w:rFonts w:ascii="Cambria Math" w:hAnsi="Cambria Math" w:cs="Arial"/>
          </w:rPr>
          <m:t>A</m:t>
        </m:r>
      </m:oMath>
      <w:r w:rsidRPr="009B2722">
        <w:rPr>
          <w:rFonts w:cs="Arial"/>
        </w:rPr>
        <w:t xml:space="preserve">) was determined according to Eq 1: </w:t>
      </w:r>
    </w:p>
    <w:p w:rsidR="00ED09E5" w:rsidRPr="009B2722" w:rsidRDefault="00ED09E5" w:rsidP="00ED09E5">
      <w:pPr>
        <w:shd w:val="clear" w:color="auto" w:fill="FFFFFF"/>
        <w:spacing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3886"/>
      </w:tblGrid>
      <w:tr w:rsidR="009B2722" w:rsidRPr="009B2722" w:rsidTr="00B1408D">
        <w:tc>
          <w:tcPr>
            <w:tcW w:w="5004" w:type="dxa"/>
          </w:tcPr>
          <w:p w:rsidR="00ED09E5" w:rsidRPr="009B2722" w:rsidRDefault="00ED09E5" w:rsidP="00B1408D">
            <w:pPr>
              <w:rPr>
                <w:rFonts w:cs="Arial"/>
              </w:rPr>
            </w:pPr>
            <m:oMathPara>
              <m:oMathParaPr>
                <m:jc m:val="left"/>
              </m:oMathParaPr>
              <m:oMath>
                <m:r>
                  <w:rPr>
                    <w:rFonts w:ascii="Cambria Math" w:hAnsi="Cambria Math" w:cs="Arial"/>
                  </w:rPr>
                  <m:t>A=</m:t>
                </m:r>
                <m:f>
                  <m:fPr>
                    <m:type m:val="lin"/>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m:t>
                            </m:r>
                          </m:e>
                          <m:sub>
                            <m:r>
                              <w:rPr>
                                <w:rFonts w:ascii="Cambria Math" w:hAnsi="Cambria Math" w:cs="Arial"/>
                              </w:rPr>
                              <m:t>k</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C</m:t>
                            </m:r>
                          </m:e>
                          <m:sub>
                            <m:r>
                              <w:rPr>
                                <w:rFonts w:ascii="Cambria Math" w:hAnsi="Cambria Math" w:cs="Arial"/>
                              </w:rPr>
                              <m:t>o</m:t>
                            </m:r>
                          </m:sub>
                        </m:sSub>
                      </m:e>
                    </m:d>
                  </m:num>
                  <m:den>
                    <m:sSub>
                      <m:sSubPr>
                        <m:ctrlPr>
                          <w:rPr>
                            <w:rFonts w:ascii="Cambria Math" w:hAnsi="Cambria Math" w:cs="Arial"/>
                            <w:i/>
                          </w:rPr>
                        </m:ctrlPr>
                      </m:sSubPr>
                      <m:e>
                        <m:r>
                          <w:rPr>
                            <w:rFonts w:ascii="Cambria Math" w:hAnsi="Cambria Math" w:cs="Arial"/>
                          </w:rPr>
                          <m:t>C</m:t>
                        </m:r>
                      </m:e>
                      <m:sub>
                        <m:r>
                          <w:rPr>
                            <w:rFonts w:ascii="Cambria Math" w:hAnsi="Cambria Math" w:cs="Arial"/>
                          </w:rPr>
                          <m:t>k</m:t>
                        </m:r>
                      </m:sub>
                    </m:sSub>
                    <m:r>
                      <w:rPr>
                        <w:rFonts w:ascii="Cambria Math" w:hAnsi="Cambria Math" w:cs="Arial"/>
                      </w:rPr>
                      <m:t>x 100%</m:t>
                    </m:r>
                  </m:den>
                </m:f>
              </m:oMath>
            </m:oMathPara>
          </w:p>
        </w:tc>
        <w:tc>
          <w:tcPr>
            <w:tcW w:w="4012" w:type="dxa"/>
          </w:tcPr>
          <w:p w:rsidR="00ED09E5" w:rsidRPr="009B2722" w:rsidRDefault="00ED09E5" w:rsidP="00BD3A1B">
            <w:pPr>
              <w:jc w:val="right"/>
              <w:rPr>
                <w:rFonts w:eastAsia="Calibri" w:cs="Arial"/>
              </w:rPr>
            </w:pPr>
            <w:r w:rsidRPr="009B2722">
              <w:rPr>
                <w:rFonts w:eastAsia="Calibri" w:cs="Arial"/>
              </w:rPr>
              <w:t xml:space="preserve">                                                         (1)</w:t>
            </w:r>
          </w:p>
        </w:tc>
      </w:tr>
      <w:tr w:rsidR="009B2722" w:rsidRPr="009B2722" w:rsidTr="00B1408D">
        <w:tc>
          <w:tcPr>
            <w:tcW w:w="5004" w:type="dxa"/>
          </w:tcPr>
          <w:p w:rsidR="00ED09E5" w:rsidRPr="009B2722" w:rsidRDefault="00ED09E5" w:rsidP="00B1408D">
            <w:pPr>
              <w:rPr>
                <w:rFonts w:eastAsia="Calibri" w:cs="Arial"/>
              </w:rPr>
            </w:pPr>
          </w:p>
        </w:tc>
        <w:tc>
          <w:tcPr>
            <w:tcW w:w="4012" w:type="dxa"/>
          </w:tcPr>
          <w:p w:rsidR="00ED09E5" w:rsidRPr="009B2722" w:rsidRDefault="00ED09E5" w:rsidP="00B1408D">
            <w:pPr>
              <w:rPr>
                <w:rFonts w:eastAsia="Calibri" w:cs="Arial"/>
              </w:rPr>
            </w:pPr>
          </w:p>
        </w:tc>
      </w:tr>
    </w:tbl>
    <w:p w:rsidR="00ED09E5" w:rsidRPr="009B2722" w:rsidRDefault="00ED09E5" w:rsidP="00ED09E5">
      <w:pPr>
        <w:shd w:val="clear" w:color="auto" w:fill="FFFFFF"/>
        <w:spacing w:line="240" w:lineRule="auto"/>
        <w:rPr>
          <w:rFonts w:cs="Arial"/>
          <w:lang w:eastAsia="en-ZA"/>
        </w:rPr>
      </w:pPr>
      <w:r w:rsidRPr="009B2722">
        <w:rPr>
          <w:rFonts w:cs="Arial"/>
        </w:rPr>
        <w:t>wherein</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C</m:t>
            </m:r>
          </m:e>
          <m:sub>
            <m:r>
              <w:rPr>
                <w:rFonts w:ascii="Cambria Math" w:hAnsi="Cambria Math" w:cs="Arial"/>
              </w:rPr>
              <m:t>k</m:t>
            </m:r>
          </m:sub>
        </m:sSub>
      </m:oMath>
      <w:r w:rsidRPr="009B2722">
        <w:rPr>
          <w:rFonts w:cs="Arial"/>
        </w:rPr>
        <w:t xml:space="preserve"> is the concentration of residual butyric acid  in the biotic bioreactor in which </w:t>
      </w:r>
      <m:oMath>
        <m:r>
          <w:rPr>
            <w:rFonts w:ascii="Cambria Math" w:hAnsi="Cambria Math" w:cs="Arial"/>
          </w:rPr>
          <m:t>k</m:t>
        </m:r>
      </m:oMath>
      <w:r w:rsidRPr="009B2722">
        <w:rPr>
          <w:rFonts w:cs="Arial"/>
        </w:rPr>
        <w:t xml:space="preserve"> is the incubation time in h and </w:t>
      </w:r>
      <m:oMath>
        <m:sSub>
          <m:sSubPr>
            <m:ctrlPr>
              <w:rPr>
                <w:rFonts w:ascii="Cambria Math" w:hAnsi="Cambria Math" w:cs="Arial"/>
                <w:i/>
              </w:rPr>
            </m:ctrlPr>
          </m:sSubPr>
          <m:e>
            <m:r>
              <w:rPr>
                <w:rFonts w:ascii="Cambria Math" w:hAnsi="Cambria Math" w:cs="Arial"/>
              </w:rPr>
              <m:t>C</m:t>
            </m:r>
          </m:e>
          <m:sub>
            <m:r>
              <w:rPr>
                <w:rFonts w:ascii="Cambria Math" w:hAnsi="Cambria Math" w:cs="Arial"/>
              </w:rPr>
              <m:t>0</m:t>
            </m:r>
          </m:sub>
        </m:sSub>
      </m:oMath>
      <w:r w:rsidRPr="009B2722">
        <w:rPr>
          <w:rFonts w:cs="Arial"/>
        </w:rPr>
        <w:t xml:space="preserve"> is the concentration of residual butyric acid in the abiotic reactor (control).</w:t>
      </w:r>
    </w:p>
    <w:p w:rsidR="00ED09E5" w:rsidRPr="009B2722" w:rsidRDefault="00ED09E5" w:rsidP="00AE7780">
      <w:pPr>
        <w:pStyle w:val="CETheadingx"/>
      </w:pPr>
      <w:r w:rsidRPr="009B2722">
        <w:t>2.4 Analytical procedures</w:t>
      </w:r>
    </w:p>
    <w:p w:rsidR="00934993" w:rsidRPr="009B2722" w:rsidRDefault="00ED09E5" w:rsidP="00ED09E5">
      <w:pPr>
        <w:shd w:val="clear" w:color="auto" w:fill="FFFFFF"/>
        <w:spacing w:line="240" w:lineRule="auto"/>
        <w:rPr>
          <w:rFonts w:cs="Arial"/>
          <w:lang w:eastAsia="en-ZA"/>
        </w:rPr>
      </w:pPr>
      <w:r w:rsidRPr="009B2722">
        <w:rPr>
          <w:rFonts w:cs="Arial"/>
        </w:rPr>
        <w:t xml:space="preserve">The concentrations of residual butyric acid in the medium were measured by </w:t>
      </w:r>
      <w:r w:rsidRPr="009B2722">
        <w:rPr>
          <w:rFonts w:eastAsia="Calibri" w:cs="Arial"/>
        </w:rPr>
        <w:t>Waters Alliance 2695 Separation Module HPLC system (Waters Corporation, Milford, MA, USA)</w:t>
      </w:r>
      <w:r w:rsidRPr="009B2722">
        <w:rPr>
          <w:rFonts w:cs="Arial"/>
        </w:rPr>
        <w:t xml:space="preserve">, equipped with a </w:t>
      </w:r>
      <w:r w:rsidRPr="009B2722">
        <w:rPr>
          <w:rFonts w:eastAsia="Calibri" w:cs="Arial"/>
          <w:shd w:val="clear" w:color="auto" w:fill="FFFFFF"/>
        </w:rPr>
        <w:t>Waters 2998 Photodiode array detector</w:t>
      </w:r>
      <w:r w:rsidRPr="009B2722">
        <w:rPr>
          <w:rFonts w:eastAsia="Calibri" w:cs="Arial"/>
        </w:rPr>
        <w:t xml:space="preserve"> (PAD) (Waters Corporation, Milford, MA, USA)</w:t>
      </w:r>
      <w:r w:rsidRPr="009B2722">
        <w:rPr>
          <w:rFonts w:cs="Arial"/>
        </w:rPr>
        <w:t>. For all separations an Aminex</w:t>
      </w:r>
      <w:r w:rsidRPr="009B2722">
        <w:rPr>
          <w:rFonts w:eastAsia="Calibri" w:cs="Arial"/>
        </w:rPr>
        <w:t xml:space="preserve"> HPX-87H ion-exclusion organic acid, 300 mm × 7.8 mm, 9 μm particle size column (Bio-Rad Laboratories, Berkeley, CA, USA) </w:t>
      </w:r>
      <w:r w:rsidRPr="009B2722">
        <w:rPr>
          <w:rFonts w:cs="Arial"/>
        </w:rPr>
        <w:t xml:space="preserve">was used. The solvent was </w:t>
      </w:r>
      <w:r w:rsidRPr="009B2722">
        <w:rPr>
          <w:rFonts w:eastAsia="Calibri" w:cs="Arial"/>
        </w:rPr>
        <w:t>0.02 M sulphuric acid (H</w:t>
      </w:r>
      <w:r w:rsidRPr="009B2722">
        <w:rPr>
          <w:rFonts w:eastAsia="Calibri" w:cs="Arial"/>
          <w:vertAlign w:val="subscript"/>
        </w:rPr>
        <w:t>2</w:t>
      </w:r>
      <w:r w:rsidRPr="009B2722">
        <w:rPr>
          <w:rFonts w:eastAsia="Calibri" w:cs="Arial"/>
        </w:rPr>
        <w:t>SO</w:t>
      </w:r>
      <w:r w:rsidRPr="009B2722">
        <w:rPr>
          <w:rFonts w:eastAsia="Calibri" w:cs="Arial"/>
          <w:vertAlign w:val="subscript"/>
        </w:rPr>
        <w:t>4</w:t>
      </w:r>
      <w:r w:rsidRPr="009B2722">
        <w:rPr>
          <w:rFonts w:eastAsia="Calibri" w:cs="Arial"/>
        </w:rPr>
        <w:t>)</w:t>
      </w:r>
      <w:r w:rsidRPr="009B2722">
        <w:rPr>
          <w:rFonts w:cs="Arial"/>
        </w:rPr>
        <w:t xml:space="preserve">. The separation temperature was kept constant at 60 °C, isocratic flow rate and sample injection volume were set to </w:t>
      </w:r>
      <w:r w:rsidRPr="009B2722">
        <w:rPr>
          <w:rFonts w:eastAsia="Calibri" w:cs="Arial"/>
        </w:rPr>
        <w:t>1 mLmin</w:t>
      </w:r>
      <w:r w:rsidRPr="009B2722">
        <w:rPr>
          <w:rFonts w:eastAsia="Calibri" w:cs="Arial"/>
          <w:vertAlign w:val="superscript"/>
        </w:rPr>
        <w:t xml:space="preserve">-1 </w:t>
      </w:r>
      <w:r w:rsidRPr="009B2722">
        <w:rPr>
          <w:rFonts w:cs="Arial"/>
        </w:rPr>
        <w:t>and 10 μL respectively. All separations were monitored at 210 nm. Retention time for butyric acid was 12.2 min and the total run time was set at 15 min. Bacterial growth was measured spectrophotometrically at 600 nm with a UV Lightwave II spectrophotometer (Labotec, Gauteng, South Africa)</w:t>
      </w:r>
      <w:r w:rsidRPr="009B2722">
        <w:rPr>
          <w:rFonts w:cs="Arial"/>
          <w:lang w:eastAsia="en-ZA"/>
        </w:rPr>
        <w:t>.</w:t>
      </w:r>
    </w:p>
    <w:p w:rsidR="007D2C75" w:rsidRPr="009B2722" w:rsidRDefault="00934993" w:rsidP="00AE7780">
      <w:pPr>
        <w:pStyle w:val="CETheadingx"/>
      </w:pPr>
      <w:r w:rsidRPr="009B2722">
        <w:t xml:space="preserve">2.5 </w:t>
      </w:r>
      <w:r w:rsidRPr="009B2722">
        <w:rPr>
          <w:lang w:eastAsia="en-US"/>
        </w:rPr>
        <w:t>Statistical</w:t>
      </w:r>
      <w:r w:rsidRPr="009B2722">
        <w:t xml:space="preserve"> analysis</w:t>
      </w:r>
    </w:p>
    <w:p w:rsidR="007D2C75" w:rsidRPr="009B2722" w:rsidRDefault="007D2C75" w:rsidP="00ED09E5">
      <w:pPr>
        <w:shd w:val="clear" w:color="auto" w:fill="FFFFFF"/>
        <w:spacing w:line="240" w:lineRule="auto"/>
        <w:rPr>
          <w:rFonts w:cs="Arial"/>
          <w:b/>
          <w:lang w:eastAsia="en-ZA"/>
        </w:rPr>
      </w:pPr>
      <w:r w:rsidRPr="009B2722">
        <w:rPr>
          <w:rFonts w:cs="Arial"/>
          <w:shd w:val="clear" w:color="auto" w:fill="FFFFFF"/>
        </w:rPr>
        <w:t xml:space="preserve">The results </w:t>
      </w:r>
      <w:r w:rsidR="00DA3B76" w:rsidRPr="009B2722">
        <w:rPr>
          <w:rFonts w:cs="Arial"/>
          <w:shd w:val="clear" w:color="auto" w:fill="FFFFFF"/>
        </w:rPr>
        <w:t>of all</w:t>
      </w:r>
      <w:r w:rsidRPr="009B2722">
        <w:rPr>
          <w:rFonts w:cs="Arial"/>
          <w:shd w:val="clear" w:color="auto" w:fill="FFFFFF"/>
        </w:rPr>
        <w:t xml:space="preserve"> the analysed samples for butyric acid degradation</w:t>
      </w:r>
      <w:r w:rsidR="00DA3B76" w:rsidRPr="009B2722">
        <w:rPr>
          <w:rFonts w:cs="Arial"/>
          <w:shd w:val="clear" w:color="auto" w:fill="FFFFFF"/>
        </w:rPr>
        <w:t xml:space="preserve"> </w:t>
      </w:r>
      <w:r w:rsidRPr="009B2722">
        <w:rPr>
          <w:rFonts w:cs="Arial"/>
          <w:shd w:val="clear" w:color="auto" w:fill="FFFFFF"/>
        </w:rPr>
        <w:t>were expressed as</w:t>
      </w:r>
      <w:r w:rsidRPr="009B2722">
        <w:rPr>
          <w:rFonts w:cs="Arial"/>
        </w:rPr>
        <w:t xml:space="preserve"> means ± </w:t>
      </w:r>
      <w:r w:rsidR="00DA3B76" w:rsidRPr="009B2722">
        <w:rPr>
          <w:rFonts w:cs="Arial"/>
        </w:rPr>
        <w:t>standard error (SE)</w:t>
      </w:r>
      <w:r w:rsidRPr="009B2722">
        <w:rPr>
          <w:rFonts w:cs="Arial"/>
        </w:rPr>
        <w:t>.  The</w:t>
      </w:r>
      <w:r w:rsidR="00DA3B76" w:rsidRPr="009B2722">
        <w:rPr>
          <w:rFonts w:cs="Arial"/>
        </w:rPr>
        <w:t xml:space="preserve"> statistical significant</w:t>
      </w:r>
      <w:r w:rsidRPr="009B2722">
        <w:rPr>
          <w:rFonts w:cs="Arial"/>
        </w:rPr>
        <w:t xml:space="preserve"> differences</w:t>
      </w:r>
      <w:r w:rsidR="00DA3B76" w:rsidRPr="009B2722">
        <w:rPr>
          <w:rFonts w:cs="Arial"/>
        </w:rPr>
        <w:t xml:space="preserve"> between the means of the analysed samples were determined</w:t>
      </w:r>
      <w:r w:rsidR="00CA7169" w:rsidRPr="009B2722">
        <w:rPr>
          <w:rFonts w:cs="Arial"/>
        </w:rPr>
        <w:t xml:space="preserve"> by</w:t>
      </w:r>
      <w:r w:rsidRPr="009B2722">
        <w:rPr>
          <w:rFonts w:cs="Arial"/>
        </w:rPr>
        <w:t xml:space="preserve"> </w:t>
      </w:r>
      <w:r w:rsidRPr="009B2722">
        <w:rPr>
          <w:rFonts w:cs="Arial"/>
          <w:shd w:val="clear" w:color="auto" w:fill="FFFFFF"/>
        </w:rPr>
        <w:t>using one</w:t>
      </w:r>
      <w:r w:rsidRPr="009B2722">
        <w:rPr>
          <w:rFonts w:ascii="Cambria Math" w:hAnsi="Cambria Math" w:cs="Cambria Math"/>
          <w:shd w:val="clear" w:color="auto" w:fill="FFFFFF"/>
        </w:rPr>
        <w:t>‐</w:t>
      </w:r>
      <w:r w:rsidRPr="009B2722">
        <w:rPr>
          <w:rFonts w:cs="Arial"/>
          <w:shd w:val="clear" w:color="auto" w:fill="FFFFFF"/>
        </w:rPr>
        <w:t>way analysis of variance (ANOVA) and Tukey's </w:t>
      </w:r>
      <w:r w:rsidRPr="009B2722">
        <w:rPr>
          <w:rFonts w:cs="Arial"/>
          <w:iCs/>
          <w:shd w:val="clear" w:color="auto" w:fill="FFFFFF"/>
        </w:rPr>
        <w:t>post hoc</w:t>
      </w:r>
      <w:r w:rsidRPr="009B2722">
        <w:rPr>
          <w:rFonts w:cs="Arial"/>
          <w:shd w:val="clear" w:color="auto" w:fill="FFFFFF"/>
        </w:rPr>
        <w:t> analysis</w:t>
      </w:r>
      <w:r w:rsidR="00DA3B76" w:rsidRPr="009B2722">
        <w:rPr>
          <w:rFonts w:cs="Arial"/>
          <w:shd w:val="clear" w:color="auto" w:fill="FFFFFF"/>
        </w:rPr>
        <w:t xml:space="preserve"> at a p-value ≤ 0.05 using SPSS 25.0 for Windows (SPSS Inc., Chicago, USA).</w:t>
      </w:r>
    </w:p>
    <w:p w:rsidR="00ED09E5" w:rsidRPr="009B2722" w:rsidRDefault="00ED09E5" w:rsidP="00ED09E5">
      <w:pPr>
        <w:pStyle w:val="CETHeading1"/>
        <w:numPr>
          <w:ilvl w:val="1"/>
          <w:numId w:val="25"/>
        </w:numPr>
        <w:rPr>
          <w:rFonts w:cs="Arial"/>
          <w:lang w:eastAsia="en-ZA"/>
        </w:rPr>
      </w:pPr>
      <w:r w:rsidRPr="009B2722">
        <w:rPr>
          <w:rFonts w:cs="Arial"/>
          <w:lang w:eastAsia="en-ZA"/>
        </w:rPr>
        <w:t xml:space="preserve">Results </w:t>
      </w:r>
      <w:r w:rsidRPr="009B2722">
        <w:rPr>
          <w:lang w:val="en-GB"/>
        </w:rPr>
        <w:t>and</w:t>
      </w:r>
      <w:r w:rsidRPr="009B2722">
        <w:rPr>
          <w:rFonts w:cs="Arial"/>
          <w:lang w:eastAsia="en-ZA"/>
        </w:rPr>
        <w:t xml:space="preserve"> discussion</w:t>
      </w:r>
    </w:p>
    <w:p w:rsidR="00AE7780" w:rsidRPr="009B2722" w:rsidRDefault="00AE7780" w:rsidP="00AE7780">
      <w:pPr>
        <w:pStyle w:val="CETBodytext"/>
        <w:rPr>
          <w:b/>
          <w:lang w:eastAsia="en-ZA"/>
        </w:rPr>
      </w:pPr>
      <w:r w:rsidRPr="009B2722">
        <w:rPr>
          <w:b/>
          <w:lang w:eastAsia="en-ZA"/>
        </w:rPr>
        <w:t xml:space="preserve">3.1 Isolation and identification of butyric acid </w:t>
      </w:r>
      <w:r w:rsidR="00330EBA" w:rsidRPr="009B2722">
        <w:rPr>
          <w:b/>
          <w:lang w:eastAsia="en-ZA"/>
        </w:rPr>
        <w:t>utilizing</w:t>
      </w:r>
      <w:r w:rsidRPr="009B2722">
        <w:rPr>
          <w:b/>
          <w:lang w:eastAsia="en-ZA"/>
        </w:rPr>
        <w:t xml:space="preserve"> bacterial strains</w:t>
      </w:r>
    </w:p>
    <w:p w:rsidR="00ED09E5" w:rsidRPr="009B2722" w:rsidRDefault="00463AB5" w:rsidP="00A00FB9">
      <w:pPr>
        <w:pStyle w:val="CETBodytext"/>
        <w:rPr>
          <w:rFonts w:cs="Arial"/>
        </w:rPr>
      </w:pPr>
      <w:r w:rsidRPr="009B2722">
        <w:t xml:space="preserve">Nine strains of butyric acid-utilizing bacteria were isolated fecal sludge obtained from pit latrines in Mpumalanga, South Africa. The determination of the ability of these bacterial strains on biodegradation of </w:t>
      </w:r>
      <w:r w:rsidR="00A00FB9" w:rsidRPr="009B2722">
        <w:t>butyric acid</w:t>
      </w:r>
      <w:r w:rsidRPr="009B2722">
        <w:t xml:space="preserve"> </w:t>
      </w:r>
      <w:r w:rsidR="00A00FB9" w:rsidRPr="009B2722">
        <w:t>was at</w:t>
      </w:r>
      <w:r w:rsidRPr="009B2722">
        <w:t xml:space="preserve"> the concentration of 1000 mgL</w:t>
      </w:r>
      <w:r w:rsidRPr="009B2722">
        <w:rPr>
          <w:vertAlign w:val="superscript"/>
        </w:rPr>
        <w:t>-1</w:t>
      </w:r>
      <w:r w:rsidRPr="009B2722">
        <w:t xml:space="preserve"> </w:t>
      </w:r>
      <w:r w:rsidR="00A00FB9" w:rsidRPr="009B2722">
        <w:t>in MSM</w:t>
      </w:r>
      <w:r w:rsidRPr="009B2722">
        <w:t xml:space="preserve">. The experiment was designed in a batch reactor under aerobic condition by </w:t>
      </w:r>
      <w:r w:rsidR="00A00FB9" w:rsidRPr="009B2722">
        <w:t>shaking in a temperature controlled incubator</w:t>
      </w:r>
      <w:r w:rsidRPr="009B2722">
        <w:t xml:space="preserve"> </w:t>
      </w:r>
      <w:r w:rsidR="00A00FB9" w:rsidRPr="009B2722">
        <w:t>at orbital shaking speed of 110 rpm and room temperature of 30</w:t>
      </w:r>
      <w:r w:rsidRPr="009B2722">
        <w:t xml:space="preserve"> </w:t>
      </w:r>
      <w:r w:rsidR="00A00FB9" w:rsidRPr="009B2722">
        <w:rPr>
          <w:vertAlign w:val="superscript"/>
        </w:rPr>
        <w:t>o</w:t>
      </w:r>
      <w:r w:rsidR="00A00FB9" w:rsidRPr="009B2722">
        <w:t>C</w:t>
      </w:r>
      <w:r w:rsidRPr="009B2722">
        <w:t xml:space="preserve"> an</w:t>
      </w:r>
      <w:r w:rsidR="00A00FB9" w:rsidRPr="009B2722">
        <w:t>d initial pH was adjusted to 7.0</w:t>
      </w:r>
      <w:r w:rsidRPr="009B2722">
        <w:t xml:space="preserve">. The results of </w:t>
      </w:r>
      <w:r w:rsidR="00A00FB9" w:rsidRPr="009B2722">
        <w:t>HPLC analyses</w:t>
      </w:r>
      <w:r w:rsidRPr="009B2722">
        <w:t xml:space="preserve"> </w:t>
      </w:r>
      <w:r w:rsidR="00A00FB9" w:rsidRPr="009B2722">
        <w:t>of residual butyric acid showed</w:t>
      </w:r>
      <w:r w:rsidRPr="009B2722">
        <w:t xml:space="preserve"> that all bacteria strains </w:t>
      </w:r>
      <w:r w:rsidR="00A00FB9" w:rsidRPr="009B2722">
        <w:t>were capable of degrading butyric acid completely within 20 and 24 h (data not shown)</w:t>
      </w:r>
      <w:r w:rsidRPr="009B2722">
        <w:t xml:space="preserve"> compared to the sample that was not </w:t>
      </w:r>
      <w:r w:rsidR="00512DE7" w:rsidRPr="009B2722">
        <w:t>inoculated</w:t>
      </w:r>
      <w:r w:rsidRPr="009B2722">
        <w:t xml:space="preserve"> with any bacteria strain. </w:t>
      </w:r>
      <w:r w:rsidR="00ED09E5" w:rsidRPr="009B2722">
        <w:rPr>
          <w:rFonts w:cs="Arial"/>
        </w:rPr>
        <w:t xml:space="preserve">The phylogenetic analyses inferred from 16S rRNA gene sequence (phylogenetic tree based on the 16S rRNA gene sequences not shown) of the isolated strains demonstrated that out of nine bacterial strains four bacterial strains were closely related to species of the genus </w:t>
      </w:r>
      <w:r w:rsidR="00ED09E5" w:rsidRPr="009B2722">
        <w:rPr>
          <w:rFonts w:cs="Arial"/>
          <w:i/>
        </w:rPr>
        <w:t xml:space="preserve">Bacillus </w:t>
      </w:r>
      <w:r w:rsidR="00ED09E5" w:rsidRPr="009B2722">
        <w:rPr>
          <w:rFonts w:cs="Arial"/>
        </w:rPr>
        <w:t>shown in Table 1</w:t>
      </w:r>
      <w:r w:rsidR="00934993" w:rsidRPr="009B2722">
        <w:rPr>
          <w:rFonts w:cs="Arial"/>
        </w:rPr>
        <w:t>.</w:t>
      </w:r>
    </w:p>
    <w:p w:rsidR="00B008D7" w:rsidRPr="009B2722" w:rsidRDefault="00B008D7" w:rsidP="00A00FB9">
      <w:pPr>
        <w:pStyle w:val="CETBodytext"/>
        <w:rPr>
          <w:i/>
          <w:lang w:eastAsia="en-ZA"/>
        </w:rPr>
      </w:pPr>
    </w:p>
    <w:p w:rsidR="00ED09E5" w:rsidRPr="009B2722" w:rsidRDefault="00ED09E5" w:rsidP="00ED09E5">
      <w:pPr>
        <w:rPr>
          <w:rFonts w:cs="Arial"/>
          <w:i/>
        </w:rPr>
      </w:pPr>
      <w:r w:rsidRPr="009B2722">
        <w:rPr>
          <w:rFonts w:cs="Arial"/>
          <w:i/>
        </w:rPr>
        <w:t>Table 1:</w:t>
      </w:r>
      <w:r w:rsidRPr="009B2722">
        <w:rPr>
          <w:rFonts w:cs="Arial"/>
          <w:i/>
          <w:lang w:eastAsia="en-ZA"/>
        </w:rPr>
        <w:t xml:space="preserve"> Closest relatives of the 16S rRNA gene sequences of bacterial strains</w:t>
      </w:r>
      <w:r w:rsidR="006D1070" w:rsidRPr="009B2722">
        <w:rPr>
          <w:rFonts w:cs="Arial"/>
          <w:i/>
          <w:lang w:eastAsia="en-ZA"/>
        </w:rPr>
        <w:t xml:space="preserve"> </w:t>
      </w:r>
    </w:p>
    <w:tbl>
      <w:tblPr>
        <w:tblStyle w:val="TableGrid"/>
        <w:tblW w:w="88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1418"/>
        <w:gridCol w:w="4394"/>
        <w:gridCol w:w="1305"/>
        <w:gridCol w:w="1246"/>
      </w:tblGrid>
      <w:tr w:rsidR="009B2722" w:rsidRPr="009B2722" w:rsidTr="00B008D7">
        <w:trPr>
          <w:jc w:val="center"/>
        </w:trPr>
        <w:tc>
          <w:tcPr>
            <w:tcW w:w="502" w:type="dxa"/>
            <w:tcBorders>
              <w:top w:val="single" w:sz="12" w:space="0" w:color="00B050"/>
              <w:bottom w:val="single" w:sz="8" w:space="0" w:color="00B050"/>
            </w:tcBorders>
          </w:tcPr>
          <w:p w:rsidR="00ED09E5" w:rsidRPr="009B2722" w:rsidRDefault="00ED09E5" w:rsidP="00B1408D">
            <w:pPr>
              <w:outlineLvl w:val="2"/>
              <w:rPr>
                <w:rFonts w:cs="Arial"/>
                <w:lang w:eastAsia="en-ZA"/>
              </w:rPr>
            </w:pPr>
          </w:p>
        </w:tc>
        <w:tc>
          <w:tcPr>
            <w:tcW w:w="1418" w:type="dxa"/>
            <w:tcBorders>
              <w:top w:val="single" w:sz="12" w:space="0" w:color="00B050"/>
              <w:bottom w:val="single" w:sz="8" w:space="0" w:color="00B050"/>
            </w:tcBorders>
          </w:tcPr>
          <w:p w:rsidR="00ED09E5" w:rsidRPr="009B2722" w:rsidRDefault="00ED09E5" w:rsidP="00B1408D">
            <w:pPr>
              <w:outlineLvl w:val="2"/>
              <w:rPr>
                <w:rFonts w:cs="Arial"/>
                <w:lang w:eastAsia="en-ZA"/>
              </w:rPr>
            </w:pPr>
            <w:r w:rsidRPr="009B2722">
              <w:rPr>
                <w:rFonts w:cs="Arial"/>
                <w:lang w:eastAsia="en-ZA"/>
              </w:rPr>
              <w:t>Isolate designation</w:t>
            </w:r>
          </w:p>
        </w:tc>
        <w:tc>
          <w:tcPr>
            <w:tcW w:w="4394" w:type="dxa"/>
            <w:tcBorders>
              <w:top w:val="single" w:sz="12" w:space="0" w:color="00B050"/>
              <w:bottom w:val="single" w:sz="8" w:space="0" w:color="00B050"/>
            </w:tcBorders>
          </w:tcPr>
          <w:p w:rsidR="00ED09E5" w:rsidRPr="009B2722" w:rsidRDefault="00ED09E5" w:rsidP="00B1408D">
            <w:pPr>
              <w:jc w:val="center"/>
              <w:outlineLvl w:val="2"/>
              <w:rPr>
                <w:rFonts w:cs="Arial"/>
                <w:lang w:eastAsia="en-ZA"/>
              </w:rPr>
            </w:pPr>
            <w:r w:rsidRPr="009B2722">
              <w:rPr>
                <w:rFonts w:cs="Arial"/>
                <w:lang w:eastAsia="en-ZA"/>
              </w:rPr>
              <w:t>Closest hit</w:t>
            </w:r>
          </w:p>
        </w:tc>
        <w:tc>
          <w:tcPr>
            <w:tcW w:w="1305" w:type="dxa"/>
            <w:tcBorders>
              <w:top w:val="single" w:sz="12" w:space="0" w:color="00B050"/>
              <w:bottom w:val="single" w:sz="8" w:space="0" w:color="00B050"/>
            </w:tcBorders>
          </w:tcPr>
          <w:p w:rsidR="00ED09E5" w:rsidRPr="009B2722" w:rsidRDefault="00ED09E5" w:rsidP="00B1408D">
            <w:pPr>
              <w:jc w:val="center"/>
              <w:outlineLvl w:val="2"/>
              <w:rPr>
                <w:rFonts w:cs="Arial"/>
                <w:lang w:eastAsia="en-ZA"/>
              </w:rPr>
            </w:pPr>
            <w:r w:rsidRPr="009B2722">
              <w:rPr>
                <w:rFonts w:cs="Arial"/>
                <w:lang w:eastAsia="en-ZA"/>
              </w:rPr>
              <w:t>Accession No.</w:t>
            </w:r>
          </w:p>
        </w:tc>
        <w:tc>
          <w:tcPr>
            <w:tcW w:w="1246" w:type="dxa"/>
            <w:tcBorders>
              <w:top w:val="single" w:sz="12" w:space="0" w:color="00B050"/>
              <w:bottom w:val="single" w:sz="8" w:space="0" w:color="00B050"/>
            </w:tcBorders>
          </w:tcPr>
          <w:p w:rsidR="00ED09E5" w:rsidRPr="009B2722" w:rsidRDefault="00ED09E5" w:rsidP="00B1408D">
            <w:pPr>
              <w:jc w:val="center"/>
              <w:outlineLvl w:val="2"/>
              <w:rPr>
                <w:rFonts w:cs="Arial"/>
                <w:lang w:eastAsia="en-ZA"/>
              </w:rPr>
            </w:pPr>
            <w:r w:rsidRPr="009B2722">
              <w:rPr>
                <w:rFonts w:cs="Arial"/>
                <w:lang w:eastAsia="en-ZA"/>
              </w:rPr>
              <w:t>Homology (%)</w:t>
            </w:r>
          </w:p>
        </w:tc>
      </w:tr>
      <w:tr w:rsidR="009B2722" w:rsidRPr="009B2722" w:rsidTr="00B008D7">
        <w:trPr>
          <w:jc w:val="center"/>
        </w:trPr>
        <w:tc>
          <w:tcPr>
            <w:tcW w:w="502" w:type="dxa"/>
            <w:tcBorders>
              <w:top w:val="single" w:sz="8" w:space="0" w:color="00B050"/>
            </w:tcBorders>
          </w:tcPr>
          <w:p w:rsidR="00ED09E5" w:rsidRPr="009B2722" w:rsidRDefault="00ED09E5" w:rsidP="00B1408D">
            <w:pPr>
              <w:outlineLvl w:val="2"/>
              <w:rPr>
                <w:rFonts w:cs="Arial"/>
                <w:lang w:eastAsia="en-ZA"/>
              </w:rPr>
            </w:pPr>
            <w:r w:rsidRPr="009B2722">
              <w:rPr>
                <w:rFonts w:cs="Arial"/>
                <w:lang w:eastAsia="en-ZA"/>
              </w:rPr>
              <w:t>1</w:t>
            </w:r>
          </w:p>
        </w:tc>
        <w:tc>
          <w:tcPr>
            <w:tcW w:w="1418" w:type="dxa"/>
            <w:tcBorders>
              <w:top w:val="single" w:sz="8" w:space="0" w:color="00B050"/>
            </w:tcBorders>
          </w:tcPr>
          <w:p w:rsidR="00ED09E5" w:rsidRPr="009B2722" w:rsidRDefault="00ED09E5" w:rsidP="00B1408D">
            <w:pPr>
              <w:outlineLvl w:val="2"/>
              <w:rPr>
                <w:rFonts w:cs="Arial"/>
                <w:lang w:eastAsia="en-ZA"/>
              </w:rPr>
            </w:pPr>
            <w:r w:rsidRPr="009B2722">
              <w:rPr>
                <w:rFonts w:cs="Arial"/>
                <w:lang w:eastAsia="en-ZA"/>
              </w:rPr>
              <w:t>B7a</w:t>
            </w:r>
          </w:p>
        </w:tc>
        <w:tc>
          <w:tcPr>
            <w:tcW w:w="4394" w:type="dxa"/>
            <w:tcBorders>
              <w:top w:val="single" w:sz="8" w:space="0" w:color="00B050"/>
            </w:tcBorders>
          </w:tcPr>
          <w:p w:rsidR="00ED09E5" w:rsidRPr="009B2722" w:rsidRDefault="00ED09E5" w:rsidP="00B1408D">
            <w:pPr>
              <w:outlineLvl w:val="2"/>
              <w:rPr>
                <w:rFonts w:cs="Arial"/>
                <w:lang w:eastAsia="en-ZA"/>
              </w:rPr>
            </w:pPr>
            <w:r w:rsidRPr="009B2722">
              <w:rPr>
                <w:rFonts w:cs="Arial"/>
                <w:i/>
                <w:lang w:eastAsia="en-ZA"/>
              </w:rPr>
              <w:t>Bacillus cereus</w:t>
            </w:r>
            <w:r w:rsidRPr="009B2722">
              <w:rPr>
                <w:rFonts w:cs="Arial"/>
                <w:lang w:eastAsia="en-ZA"/>
              </w:rPr>
              <w:t xml:space="preserve"> ATCC14579</w:t>
            </w:r>
          </w:p>
        </w:tc>
        <w:tc>
          <w:tcPr>
            <w:tcW w:w="1305" w:type="dxa"/>
            <w:tcBorders>
              <w:top w:val="single" w:sz="8" w:space="0" w:color="00B050"/>
            </w:tcBorders>
          </w:tcPr>
          <w:p w:rsidR="00ED09E5" w:rsidRPr="009B2722" w:rsidRDefault="00ED09E5" w:rsidP="00B1408D">
            <w:pPr>
              <w:outlineLvl w:val="2"/>
              <w:rPr>
                <w:rFonts w:cs="Arial"/>
                <w:lang w:eastAsia="en-ZA"/>
              </w:rPr>
            </w:pPr>
            <w:r w:rsidRPr="009B2722">
              <w:rPr>
                <w:rFonts w:cs="Arial"/>
                <w:lang w:eastAsia="en-ZA"/>
              </w:rPr>
              <w:t>AE016877</w:t>
            </w:r>
          </w:p>
        </w:tc>
        <w:tc>
          <w:tcPr>
            <w:tcW w:w="1246" w:type="dxa"/>
            <w:tcBorders>
              <w:top w:val="single" w:sz="8" w:space="0" w:color="00B050"/>
            </w:tcBorders>
          </w:tcPr>
          <w:p w:rsidR="00ED09E5" w:rsidRPr="009B2722" w:rsidRDefault="00ED09E5" w:rsidP="00B1408D">
            <w:pPr>
              <w:jc w:val="center"/>
              <w:outlineLvl w:val="2"/>
              <w:rPr>
                <w:rFonts w:cs="Arial"/>
                <w:lang w:eastAsia="en-ZA"/>
              </w:rPr>
            </w:pPr>
            <w:r w:rsidRPr="009B2722">
              <w:rPr>
                <w:rFonts w:cs="Arial"/>
                <w:lang w:eastAsia="en-ZA"/>
              </w:rPr>
              <w:t>100</w:t>
            </w:r>
          </w:p>
          <w:p w:rsidR="00ED09E5" w:rsidRPr="009B2722" w:rsidRDefault="00ED09E5" w:rsidP="00B1408D">
            <w:pPr>
              <w:jc w:val="center"/>
              <w:outlineLvl w:val="2"/>
              <w:rPr>
                <w:rFonts w:cs="Arial"/>
                <w:lang w:eastAsia="en-ZA"/>
              </w:rPr>
            </w:pPr>
          </w:p>
        </w:tc>
      </w:tr>
      <w:tr w:rsidR="009B2722" w:rsidRPr="009B2722" w:rsidTr="007F367D">
        <w:trPr>
          <w:jc w:val="center"/>
        </w:trPr>
        <w:tc>
          <w:tcPr>
            <w:tcW w:w="502" w:type="dxa"/>
          </w:tcPr>
          <w:p w:rsidR="00ED09E5" w:rsidRPr="009B2722" w:rsidRDefault="00ED09E5" w:rsidP="00B1408D">
            <w:pPr>
              <w:outlineLvl w:val="2"/>
              <w:rPr>
                <w:rFonts w:cs="Arial"/>
                <w:lang w:eastAsia="en-ZA"/>
              </w:rPr>
            </w:pPr>
            <w:r w:rsidRPr="009B2722">
              <w:rPr>
                <w:rFonts w:cs="Arial"/>
                <w:lang w:eastAsia="en-ZA"/>
              </w:rPr>
              <w:t>2</w:t>
            </w:r>
          </w:p>
        </w:tc>
        <w:tc>
          <w:tcPr>
            <w:tcW w:w="1418" w:type="dxa"/>
          </w:tcPr>
          <w:p w:rsidR="00ED09E5" w:rsidRPr="009B2722" w:rsidRDefault="00ED09E5" w:rsidP="00B1408D">
            <w:pPr>
              <w:outlineLvl w:val="2"/>
              <w:rPr>
                <w:rFonts w:cs="Arial"/>
                <w:lang w:eastAsia="en-ZA"/>
              </w:rPr>
            </w:pPr>
            <w:r w:rsidRPr="009B2722">
              <w:rPr>
                <w:rFonts w:cs="Arial"/>
                <w:lang w:eastAsia="en-ZA"/>
              </w:rPr>
              <w:t>C4c</w:t>
            </w:r>
          </w:p>
        </w:tc>
        <w:tc>
          <w:tcPr>
            <w:tcW w:w="4394" w:type="dxa"/>
          </w:tcPr>
          <w:p w:rsidR="00ED09E5" w:rsidRPr="009B2722" w:rsidRDefault="00ED09E5" w:rsidP="00B1408D">
            <w:pPr>
              <w:outlineLvl w:val="2"/>
              <w:rPr>
                <w:rFonts w:cs="Arial"/>
                <w:lang w:eastAsia="en-ZA"/>
              </w:rPr>
            </w:pPr>
            <w:r w:rsidRPr="009B2722">
              <w:rPr>
                <w:rFonts w:cs="Arial"/>
                <w:i/>
                <w:lang w:eastAsia="en-ZA"/>
              </w:rPr>
              <w:t>Lysinibacillus fusiformis</w:t>
            </w:r>
            <w:r w:rsidRPr="009B2722">
              <w:rPr>
                <w:rFonts w:cs="Arial"/>
                <w:lang w:eastAsia="en-ZA"/>
              </w:rPr>
              <w:t xml:space="preserve"> NRS-350</w:t>
            </w:r>
            <w:r w:rsidRPr="009B2722">
              <w:rPr>
                <w:rFonts w:cs="Arial"/>
                <w:vertAlign w:val="superscript"/>
                <w:lang w:eastAsia="en-ZA"/>
              </w:rPr>
              <w:t>T</w:t>
            </w:r>
          </w:p>
        </w:tc>
        <w:tc>
          <w:tcPr>
            <w:tcW w:w="1305" w:type="dxa"/>
          </w:tcPr>
          <w:p w:rsidR="00ED09E5" w:rsidRPr="009B2722" w:rsidRDefault="00ED09E5" w:rsidP="00B1408D">
            <w:pPr>
              <w:outlineLvl w:val="2"/>
              <w:rPr>
                <w:rFonts w:cs="Arial"/>
                <w:lang w:eastAsia="en-ZA"/>
              </w:rPr>
            </w:pPr>
            <w:r w:rsidRPr="009B2722">
              <w:rPr>
                <w:rFonts w:cs="Arial"/>
                <w:lang w:eastAsia="en-ZA"/>
              </w:rPr>
              <w:t>AF169537</w:t>
            </w:r>
          </w:p>
        </w:tc>
        <w:tc>
          <w:tcPr>
            <w:tcW w:w="1246" w:type="dxa"/>
          </w:tcPr>
          <w:p w:rsidR="00ED09E5" w:rsidRPr="009B2722" w:rsidRDefault="00ED09E5" w:rsidP="00B1408D">
            <w:pPr>
              <w:jc w:val="center"/>
              <w:outlineLvl w:val="2"/>
              <w:rPr>
                <w:rFonts w:cs="Arial"/>
                <w:lang w:eastAsia="en-ZA"/>
              </w:rPr>
            </w:pPr>
            <w:r w:rsidRPr="009B2722">
              <w:rPr>
                <w:rFonts w:cs="Arial"/>
                <w:lang w:eastAsia="en-ZA"/>
              </w:rPr>
              <w:t>100</w:t>
            </w:r>
          </w:p>
          <w:p w:rsidR="00ED09E5" w:rsidRPr="009B2722" w:rsidRDefault="00ED09E5" w:rsidP="00B1408D">
            <w:pPr>
              <w:outlineLvl w:val="2"/>
              <w:rPr>
                <w:rFonts w:cs="Arial"/>
                <w:lang w:eastAsia="en-ZA"/>
              </w:rPr>
            </w:pPr>
          </w:p>
        </w:tc>
      </w:tr>
      <w:tr w:rsidR="009B2722" w:rsidRPr="009B2722" w:rsidTr="007F367D">
        <w:trPr>
          <w:jc w:val="center"/>
        </w:trPr>
        <w:tc>
          <w:tcPr>
            <w:tcW w:w="502" w:type="dxa"/>
          </w:tcPr>
          <w:p w:rsidR="00ED09E5" w:rsidRPr="009B2722" w:rsidRDefault="00ED09E5" w:rsidP="00B1408D">
            <w:pPr>
              <w:outlineLvl w:val="2"/>
              <w:rPr>
                <w:rFonts w:cs="Arial"/>
                <w:lang w:eastAsia="en-ZA"/>
              </w:rPr>
            </w:pPr>
            <w:r w:rsidRPr="009B2722">
              <w:rPr>
                <w:rFonts w:cs="Arial"/>
                <w:lang w:eastAsia="en-ZA"/>
              </w:rPr>
              <w:t>3</w:t>
            </w:r>
          </w:p>
        </w:tc>
        <w:tc>
          <w:tcPr>
            <w:tcW w:w="1418" w:type="dxa"/>
          </w:tcPr>
          <w:p w:rsidR="00ED09E5" w:rsidRPr="009B2722" w:rsidRDefault="00ED09E5" w:rsidP="00B1408D">
            <w:pPr>
              <w:outlineLvl w:val="2"/>
              <w:rPr>
                <w:rFonts w:cs="Arial"/>
                <w:lang w:eastAsia="en-ZA"/>
              </w:rPr>
            </w:pPr>
            <w:r w:rsidRPr="009B2722">
              <w:rPr>
                <w:rFonts w:cs="Arial"/>
                <w:lang w:eastAsia="en-ZA"/>
              </w:rPr>
              <w:t>CrNb</w:t>
            </w:r>
          </w:p>
        </w:tc>
        <w:tc>
          <w:tcPr>
            <w:tcW w:w="4394" w:type="dxa"/>
          </w:tcPr>
          <w:p w:rsidR="00ED09E5" w:rsidRPr="009B2722" w:rsidRDefault="00ED09E5" w:rsidP="00B1408D">
            <w:pPr>
              <w:outlineLvl w:val="2"/>
              <w:rPr>
                <w:rFonts w:cs="Arial"/>
                <w:lang w:eastAsia="en-ZA"/>
              </w:rPr>
            </w:pPr>
            <w:r w:rsidRPr="009B2722">
              <w:rPr>
                <w:rFonts w:cs="Arial"/>
                <w:i/>
                <w:lang w:eastAsia="en-ZA"/>
              </w:rPr>
              <w:t>Bacillus methylotrophicus</w:t>
            </w:r>
            <w:r w:rsidRPr="009B2722">
              <w:rPr>
                <w:rFonts w:cs="Arial"/>
                <w:lang w:eastAsia="en-ZA"/>
              </w:rPr>
              <w:t xml:space="preserve"> CBMB205</w:t>
            </w:r>
            <w:r w:rsidRPr="009B2722">
              <w:rPr>
                <w:rFonts w:cs="Arial"/>
                <w:vertAlign w:val="superscript"/>
                <w:lang w:eastAsia="en-ZA"/>
              </w:rPr>
              <w:t>T</w:t>
            </w:r>
          </w:p>
        </w:tc>
        <w:tc>
          <w:tcPr>
            <w:tcW w:w="1305" w:type="dxa"/>
          </w:tcPr>
          <w:p w:rsidR="00ED09E5" w:rsidRPr="009B2722" w:rsidRDefault="00ED09E5" w:rsidP="00B1408D">
            <w:pPr>
              <w:outlineLvl w:val="2"/>
              <w:rPr>
                <w:rFonts w:cs="Arial"/>
                <w:lang w:eastAsia="en-ZA"/>
              </w:rPr>
            </w:pPr>
            <w:r w:rsidRPr="009B2722">
              <w:rPr>
                <w:rFonts w:cs="Arial"/>
                <w:lang w:eastAsia="en-ZA"/>
              </w:rPr>
              <w:t>EU194897</w:t>
            </w:r>
          </w:p>
        </w:tc>
        <w:tc>
          <w:tcPr>
            <w:tcW w:w="1246" w:type="dxa"/>
          </w:tcPr>
          <w:p w:rsidR="00ED09E5" w:rsidRPr="009B2722" w:rsidRDefault="00ED09E5" w:rsidP="00B1408D">
            <w:pPr>
              <w:jc w:val="center"/>
              <w:outlineLvl w:val="2"/>
              <w:rPr>
                <w:rFonts w:cs="Arial"/>
                <w:lang w:eastAsia="en-ZA"/>
              </w:rPr>
            </w:pPr>
            <w:r w:rsidRPr="009B2722">
              <w:rPr>
                <w:rFonts w:cs="Arial"/>
                <w:lang w:eastAsia="en-ZA"/>
              </w:rPr>
              <w:t>100</w:t>
            </w:r>
          </w:p>
          <w:p w:rsidR="00ED09E5" w:rsidRPr="009B2722" w:rsidRDefault="00ED09E5" w:rsidP="00B1408D">
            <w:pPr>
              <w:jc w:val="center"/>
              <w:outlineLvl w:val="2"/>
              <w:rPr>
                <w:rFonts w:cs="Arial"/>
                <w:lang w:eastAsia="en-ZA"/>
              </w:rPr>
            </w:pPr>
          </w:p>
        </w:tc>
      </w:tr>
      <w:tr w:rsidR="00ED09E5" w:rsidRPr="009B2722" w:rsidTr="00B008D7">
        <w:trPr>
          <w:jc w:val="center"/>
        </w:trPr>
        <w:tc>
          <w:tcPr>
            <w:tcW w:w="502" w:type="dxa"/>
            <w:tcBorders>
              <w:bottom w:val="single" w:sz="12" w:space="0" w:color="00B050"/>
            </w:tcBorders>
          </w:tcPr>
          <w:p w:rsidR="00ED09E5" w:rsidRPr="009B2722" w:rsidRDefault="00ED09E5" w:rsidP="00B1408D">
            <w:pPr>
              <w:outlineLvl w:val="2"/>
              <w:rPr>
                <w:rFonts w:cs="Arial"/>
                <w:lang w:eastAsia="en-ZA"/>
              </w:rPr>
            </w:pPr>
            <w:r w:rsidRPr="009B2722">
              <w:rPr>
                <w:rFonts w:cs="Arial"/>
                <w:lang w:eastAsia="en-ZA"/>
              </w:rPr>
              <w:t>4</w:t>
            </w:r>
          </w:p>
        </w:tc>
        <w:tc>
          <w:tcPr>
            <w:tcW w:w="1418" w:type="dxa"/>
            <w:tcBorders>
              <w:bottom w:val="single" w:sz="12" w:space="0" w:color="00B050"/>
            </w:tcBorders>
          </w:tcPr>
          <w:p w:rsidR="00ED09E5" w:rsidRPr="009B2722" w:rsidRDefault="00ED09E5" w:rsidP="00B1408D">
            <w:pPr>
              <w:outlineLvl w:val="2"/>
              <w:rPr>
                <w:rFonts w:cs="Arial"/>
                <w:lang w:eastAsia="en-ZA"/>
              </w:rPr>
            </w:pPr>
            <w:r w:rsidRPr="009B2722">
              <w:rPr>
                <w:rFonts w:cs="Arial"/>
                <w:lang w:eastAsia="en-ZA"/>
              </w:rPr>
              <w:t>CrNc</w:t>
            </w:r>
          </w:p>
        </w:tc>
        <w:tc>
          <w:tcPr>
            <w:tcW w:w="4394" w:type="dxa"/>
            <w:tcBorders>
              <w:bottom w:val="single" w:sz="12" w:space="0" w:color="00B050"/>
            </w:tcBorders>
          </w:tcPr>
          <w:p w:rsidR="00ED09E5" w:rsidRPr="009B2722" w:rsidRDefault="00ED09E5" w:rsidP="00B1408D">
            <w:pPr>
              <w:outlineLvl w:val="2"/>
              <w:rPr>
                <w:rFonts w:cs="Arial"/>
                <w:lang w:eastAsia="en-ZA"/>
              </w:rPr>
            </w:pPr>
            <w:r w:rsidRPr="009B2722">
              <w:rPr>
                <w:rFonts w:cs="Arial"/>
                <w:i/>
                <w:lang w:eastAsia="en-ZA"/>
              </w:rPr>
              <w:t>Bacillus subtilis</w:t>
            </w:r>
            <w:r w:rsidRPr="009B2722">
              <w:rPr>
                <w:rFonts w:cs="Arial"/>
                <w:lang w:eastAsia="en-ZA"/>
              </w:rPr>
              <w:t xml:space="preserve"> DSM10</w:t>
            </w:r>
            <w:r w:rsidRPr="009B2722">
              <w:rPr>
                <w:rFonts w:cs="Arial"/>
                <w:vertAlign w:val="superscript"/>
                <w:lang w:eastAsia="en-ZA"/>
              </w:rPr>
              <w:t>T</w:t>
            </w:r>
          </w:p>
        </w:tc>
        <w:tc>
          <w:tcPr>
            <w:tcW w:w="1305" w:type="dxa"/>
            <w:tcBorders>
              <w:bottom w:val="single" w:sz="12" w:space="0" w:color="00B050"/>
            </w:tcBorders>
          </w:tcPr>
          <w:p w:rsidR="00ED09E5" w:rsidRPr="009B2722" w:rsidRDefault="00ED09E5" w:rsidP="00B1408D">
            <w:pPr>
              <w:outlineLvl w:val="2"/>
              <w:rPr>
                <w:rFonts w:cs="Arial"/>
                <w:lang w:eastAsia="en-ZA"/>
              </w:rPr>
            </w:pPr>
            <w:r w:rsidRPr="009B2722">
              <w:rPr>
                <w:rFonts w:cs="Arial"/>
                <w:lang w:eastAsia="en-ZA"/>
              </w:rPr>
              <w:t>AJ276351</w:t>
            </w:r>
          </w:p>
        </w:tc>
        <w:tc>
          <w:tcPr>
            <w:tcW w:w="1246" w:type="dxa"/>
            <w:tcBorders>
              <w:bottom w:val="single" w:sz="12" w:space="0" w:color="00B050"/>
            </w:tcBorders>
          </w:tcPr>
          <w:p w:rsidR="00ED09E5" w:rsidRPr="009B2722" w:rsidRDefault="00ED09E5" w:rsidP="00B1408D">
            <w:pPr>
              <w:jc w:val="center"/>
              <w:outlineLvl w:val="2"/>
              <w:rPr>
                <w:rFonts w:cs="Arial"/>
                <w:lang w:eastAsia="en-ZA"/>
              </w:rPr>
            </w:pPr>
            <w:r w:rsidRPr="009B2722">
              <w:rPr>
                <w:rFonts w:cs="Arial"/>
                <w:lang w:eastAsia="en-ZA"/>
              </w:rPr>
              <w:t>100</w:t>
            </w:r>
          </w:p>
        </w:tc>
      </w:tr>
    </w:tbl>
    <w:p w:rsidR="00A00FB9" w:rsidRPr="009B2722" w:rsidRDefault="00A00FB9" w:rsidP="00495670">
      <w:pPr>
        <w:pStyle w:val="ListParagraph"/>
        <w:ind w:left="0"/>
        <w:rPr>
          <w:rFonts w:cs="Arial"/>
        </w:rPr>
      </w:pPr>
    </w:p>
    <w:p w:rsidR="00B4680E" w:rsidRPr="009B2722" w:rsidRDefault="00495670" w:rsidP="00B4680E">
      <w:pPr>
        <w:pStyle w:val="ListParagraph"/>
        <w:ind w:left="0"/>
      </w:pPr>
      <w:r w:rsidRPr="009B2722">
        <w:rPr>
          <w:rFonts w:cs="Arial"/>
        </w:rPr>
        <w:t xml:space="preserve">Highly diverse nature of Bacillus genus established in this work is in accordance with the observations made by Osibote et al. (2016) based upon microbiological analyses conducted on </w:t>
      </w:r>
      <w:r w:rsidRPr="009B2722">
        <w:rPr>
          <w:rFonts w:cs="Arial"/>
          <w:noProof/>
        </w:rPr>
        <w:t>faecal</w:t>
      </w:r>
      <w:r w:rsidRPr="009B2722">
        <w:rPr>
          <w:rFonts w:cs="Arial"/>
        </w:rPr>
        <w:t xml:space="preserve"> sludge samples collected from </w:t>
      </w:r>
      <w:r w:rsidRPr="009B2722">
        <w:rPr>
          <w:rFonts w:cs="Arial"/>
        </w:rPr>
        <w:lastRenderedPageBreak/>
        <w:t>pit latrines</w:t>
      </w:r>
      <w:r w:rsidR="00A00FB9" w:rsidRPr="009B2722">
        <w:rPr>
          <w:rFonts w:cs="Arial"/>
        </w:rPr>
        <w:t xml:space="preserve">. </w:t>
      </w:r>
      <w:r w:rsidR="00827D97" w:rsidRPr="009B2722">
        <w:t xml:space="preserve">The predominance of bacterial strains of </w:t>
      </w:r>
      <w:r w:rsidR="00827D97" w:rsidRPr="009B2722">
        <w:rPr>
          <w:i/>
        </w:rPr>
        <w:t>Bacillus</w:t>
      </w:r>
      <w:r w:rsidR="00827D97" w:rsidRPr="009B2722">
        <w:t xml:space="preserve"> genus among other genera in the bioremediation processes, indicates that these bacterial strains are the main agents responsible for the degradation of butyric acid</w:t>
      </w:r>
    </w:p>
    <w:p w:rsidR="00AE7780" w:rsidRPr="009B2722" w:rsidRDefault="00AE7780" w:rsidP="00AE7780">
      <w:pPr>
        <w:pStyle w:val="CETheadingx"/>
      </w:pPr>
      <w:r w:rsidRPr="009B2722">
        <w:t>3.2 Effects of initial medium pH on butyric acid degradation and bacterial growth</w:t>
      </w:r>
    </w:p>
    <w:p w:rsidR="00ED09E5" w:rsidRPr="009B2722" w:rsidRDefault="00085C23" w:rsidP="00B4680E">
      <w:pPr>
        <w:pStyle w:val="ListParagraph"/>
        <w:ind w:left="0"/>
        <w:rPr>
          <w:rFonts w:cs="Arial"/>
        </w:rPr>
      </w:pPr>
      <w:r w:rsidRPr="009B2722">
        <w:rPr>
          <w:rFonts w:cs="Arial"/>
        </w:rPr>
        <w:t xml:space="preserve">Environmental pH has a </w:t>
      </w:r>
      <w:r w:rsidRPr="009B2722">
        <w:rPr>
          <w:rFonts w:cs="Arial"/>
          <w:noProof/>
        </w:rPr>
        <w:t>strong</w:t>
      </w:r>
      <w:r w:rsidRPr="009B2722">
        <w:rPr>
          <w:rFonts w:cs="Arial"/>
        </w:rPr>
        <w:t xml:space="preserve"> effect on their cell metabolism and growth. </w:t>
      </w:r>
      <w:r w:rsidR="003849CF" w:rsidRPr="009B2722">
        <w:rPr>
          <w:rFonts w:cs="Arial"/>
        </w:rPr>
        <w:t xml:space="preserve">The effect of </w:t>
      </w:r>
      <w:r w:rsidRPr="009B2722">
        <w:rPr>
          <w:rFonts w:cs="Arial"/>
        </w:rPr>
        <w:t>initial medium pH</w:t>
      </w:r>
      <w:r w:rsidR="003849CF" w:rsidRPr="009B2722">
        <w:rPr>
          <w:rFonts w:cs="Arial"/>
        </w:rPr>
        <w:t xml:space="preserve"> on butyric acid deodorisation and</w:t>
      </w:r>
      <w:r w:rsidR="00ED09E5" w:rsidRPr="009B2722">
        <w:rPr>
          <w:rFonts w:cs="Arial"/>
        </w:rPr>
        <w:t xml:space="preserve"> bacterial growth in</w:t>
      </w:r>
      <w:r w:rsidR="003849CF" w:rsidRPr="009B2722">
        <w:rPr>
          <w:rFonts w:cs="Arial"/>
        </w:rPr>
        <w:t xml:space="preserve"> a batch</w:t>
      </w:r>
      <w:r w:rsidR="00ED09E5" w:rsidRPr="009B2722">
        <w:rPr>
          <w:rFonts w:cs="Arial"/>
        </w:rPr>
        <w:t xml:space="preserve"> </w:t>
      </w:r>
      <w:r w:rsidR="003849CF" w:rsidRPr="009B2722">
        <w:rPr>
          <w:rFonts w:cs="Arial"/>
        </w:rPr>
        <w:t>system</w:t>
      </w:r>
      <w:r w:rsidR="00ED09E5" w:rsidRPr="009B2722">
        <w:rPr>
          <w:rFonts w:cs="Arial"/>
        </w:rPr>
        <w:t xml:space="preserve"> with 1000 mgL</w:t>
      </w:r>
      <w:r w:rsidR="00ED09E5" w:rsidRPr="009B2722">
        <w:rPr>
          <w:rFonts w:cs="Arial"/>
          <w:vertAlign w:val="superscript"/>
        </w:rPr>
        <w:t>-1</w:t>
      </w:r>
      <w:r w:rsidR="00ED09E5" w:rsidRPr="009B2722">
        <w:rPr>
          <w:rFonts w:cs="Arial"/>
        </w:rPr>
        <w:t xml:space="preserve"> of butyric acid as sole organic source at under different pH conditions in the range of 5 to 10</w:t>
      </w:r>
      <w:r w:rsidR="003849CF" w:rsidRPr="009B2722">
        <w:rPr>
          <w:rFonts w:cs="Arial"/>
        </w:rPr>
        <w:t xml:space="preserve"> at 30 </w:t>
      </w:r>
      <w:r w:rsidR="003849CF" w:rsidRPr="009B2722">
        <w:rPr>
          <w:rFonts w:cs="Arial"/>
          <w:vertAlign w:val="superscript"/>
        </w:rPr>
        <w:t>o</w:t>
      </w:r>
      <w:r w:rsidR="003849CF" w:rsidRPr="009B2722">
        <w:rPr>
          <w:rFonts w:cs="Arial"/>
        </w:rPr>
        <w:t>C and 110 rpm are</w:t>
      </w:r>
      <w:r w:rsidR="00ED09E5" w:rsidRPr="009B2722">
        <w:rPr>
          <w:rFonts w:cs="Arial"/>
        </w:rPr>
        <w:t xml:space="preserve"> </w:t>
      </w:r>
      <w:r w:rsidR="003849CF" w:rsidRPr="009B2722">
        <w:rPr>
          <w:rFonts w:cs="Arial"/>
        </w:rPr>
        <w:t>shown</w:t>
      </w:r>
      <w:r w:rsidR="00ED09E5" w:rsidRPr="009B2722">
        <w:rPr>
          <w:rFonts w:cs="Arial"/>
        </w:rPr>
        <w:t xml:space="preserve"> in Fig. 1 and Fig. 2, respectively</w:t>
      </w:r>
      <w:r w:rsidR="00ED09E5" w:rsidRPr="009B2722">
        <w:t xml:space="preserve">. </w:t>
      </w:r>
      <w:r w:rsidR="00074342" w:rsidRPr="009B2722">
        <w:rPr>
          <w:rFonts w:cs="Arial"/>
        </w:rPr>
        <w:t xml:space="preserve">The pH range was carefully selected to mimic the range of pH values found in pit latrine </w:t>
      </w:r>
      <w:r w:rsidR="00074342" w:rsidRPr="009B2722">
        <w:rPr>
          <w:rFonts w:cs="Arial"/>
          <w:noProof/>
        </w:rPr>
        <w:t>faecal</w:t>
      </w:r>
      <w:r w:rsidR="00074342" w:rsidRPr="009B2722">
        <w:rPr>
          <w:rFonts w:cs="Arial"/>
        </w:rPr>
        <w:t xml:space="preserve"> sludge according to previous studies by Zuma et al (2015). </w:t>
      </w:r>
      <w:r w:rsidR="00ED09E5" w:rsidRPr="009B2722">
        <w:t xml:space="preserve">The </w:t>
      </w:r>
      <w:r w:rsidR="0018427C" w:rsidRPr="009B2722">
        <w:t xml:space="preserve">butyric acid </w:t>
      </w:r>
      <w:r w:rsidR="00085063" w:rsidRPr="009B2722">
        <w:t>deodorisation</w:t>
      </w:r>
      <w:r w:rsidR="0018427C" w:rsidRPr="009B2722">
        <w:t xml:space="preserve"> as well as the bacterial growth depend upon the medium pH</w:t>
      </w:r>
      <w:r w:rsidR="005D0CA3" w:rsidRPr="009B2722">
        <w:t>.</w:t>
      </w:r>
      <w:r w:rsidR="0018427C" w:rsidRPr="009B2722">
        <w:t xml:space="preserve"> The butyric acid de</w:t>
      </w:r>
      <w:r w:rsidR="006C3204" w:rsidRPr="009B2722">
        <w:t>gradation</w:t>
      </w:r>
      <w:r w:rsidR="0018427C" w:rsidRPr="009B2722">
        <w:t xml:space="preserve"> efficiency of all the bacterial strains were identically </w:t>
      </w:r>
      <w:r w:rsidR="00B104A9" w:rsidRPr="009B2722">
        <w:t xml:space="preserve">influenced by the medium pH value. The butyric acid deodorisation </w:t>
      </w:r>
      <w:r w:rsidR="00746D70" w:rsidRPr="009B2722">
        <w:t>was concomitant with bacterial growth</w:t>
      </w:r>
      <w:r w:rsidR="00B104A9" w:rsidRPr="009B2722">
        <w:t xml:space="preserve"> as shown by Fig. 1 and Fig. 2</w:t>
      </w:r>
    </w:p>
    <w:p w:rsidR="0087403C" w:rsidRPr="009B2722" w:rsidRDefault="0087403C" w:rsidP="0087403C">
      <w:pPr>
        <w:jc w:val="center"/>
        <w:rPr>
          <w:rFonts w:cs="Arial"/>
        </w:rPr>
      </w:pPr>
      <w:r w:rsidRPr="009B2722">
        <w:rPr>
          <w:rFonts w:cs="Arial"/>
          <w:noProof/>
          <w:szCs w:val="18"/>
          <w:lang w:val="en-ZA" w:eastAsia="en-ZA"/>
        </w:rPr>
        <w:drawing>
          <wp:inline distT="0" distB="0" distL="0" distR="0" wp14:anchorId="1DBA3C0D" wp14:editId="0C9E82D6">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403C" w:rsidRPr="009B2722" w:rsidRDefault="0087403C" w:rsidP="0087403C">
      <w:pPr>
        <w:rPr>
          <w:rFonts w:cs="Arial"/>
          <w:i/>
        </w:rPr>
      </w:pPr>
      <w:r w:rsidRPr="009B2722">
        <w:rPr>
          <w:rFonts w:cs="Arial"/>
          <w:i/>
        </w:rPr>
        <w:t xml:space="preserve">Figure 1: Butyric acid degradation efficiencies by different bacterial strains; Bacillus cereus (BC), Lysinibacillus </w:t>
      </w:r>
      <w:r w:rsidRPr="009B2722">
        <w:rPr>
          <w:rFonts w:cs="Arial"/>
          <w:i/>
          <w:noProof/>
        </w:rPr>
        <w:t>fusiformis</w:t>
      </w:r>
      <w:r w:rsidRPr="009B2722">
        <w:rPr>
          <w:rFonts w:cs="Arial"/>
          <w:i/>
        </w:rPr>
        <w:t xml:space="preserve">(LF), Bacillus </w:t>
      </w:r>
      <w:r w:rsidRPr="009B2722">
        <w:rPr>
          <w:rFonts w:cs="Arial"/>
          <w:i/>
          <w:noProof/>
        </w:rPr>
        <w:t>methylotrophicus</w:t>
      </w:r>
      <w:r w:rsidRPr="009B2722">
        <w:rPr>
          <w:rFonts w:cs="Arial"/>
          <w:i/>
        </w:rPr>
        <w:t>(BM) and Bacillus subtilis(BS) under different initial medium pH conditions after 24 h incubation</w:t>
      </w:r>
    </w:p>
    <w:p w:rsidR="00934993" w:rsidRPr="009B2722" w:rsidRDefault="00934993" w:rsidP="0087403C">
      <w:pPr>
        <w:rPr>
          <w:rFonts w:cs="Arial"/>
          <w:i/>
        </w:rPr>
      </w:pPr>
    </w:p>
    <w:p w:rsidR="00ED09E5" w:rsidRPr="009B2722" w:rsidRDefault="0036094C" w:rsidP="0036094C">
      <w:pPr>
        <w:pStyle w:val="CETBodytext"/>
        <w:jc w:val="center"/>
        <w:rPr>
          <w:lang w:eastAsia="en-ZA"/>
        </w:rPr>
      </w:pPr>
      <w:r w:rsidRPr="009B2722">
        <w:rPr>
          <w:rFonts w:cs="Arial"/>
          <w:noProof/>
          <w:lang w:val="en-ZA" w:eastAsia="en-ZA"/>
        </w:rPr>
        <w:drawing>
          <wp:inline distT="0" distB="0" distL="0" distR="0" wp14:anchorId="380E037D" wp14:editId="0CA8B1A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4993" w:rsidRPr="009B2722" w:rsidRDefault="00934993" w:rsidP="00F378F3">
      <w:pPr>
        <w:rPr>
          <w:rFonts w:cs="Arial"/>
          <w:i/>
        </w:rPr>
      </w:pPr>
    </w:p>
    <w:p w:rsidR="00F378F3" w:rsidRPr="009B2722" w:rsidRDefault="00F378F3" w:rsidP="00F378F3">
      <w:pPr>
        <w:rPr>
          <w:rFonts w:cs="Arial"/>
          <w:i/>
        </w:rPr>
      </w:pPr>
      <w:r w:rsidRPr="009B2722">
        <w:rPr>
          <w:rFonts w:cs="Arial"/>
          <w:i/>
        </w:rPr>
        <w:t xml:space="preserve">Figure 2: Bacterial growth of different bacterial strains; Bacillus cereus(BC), Lysinibacillus </w:t>
      </w:r>
      <w:r w:rsidRPr="009B2722">
        <w:rPr>
          <w:rFonts w:cs="Arial"/>
          <w:i/>
          <w:noProof/>
        </w:rPr>
        <w:t>fusiformis</w:t>
      </w:r>
      <w:r w:rsidRPr="009B2722">
        <w:rPr>
          <w:rFonts w:cs="Arial"/>
          <w:i/>
        </w:rPr>
        <w:t xml:space="preserve">(LF), Bacillus </w:t>
      </w:r>
      <w:r w:rsidRPr="009B2722">
        <w:rPr>
          <w:rFonts w:cs="Arial"/>
          <w:i/>
          <w:noProof/>
        </w:rPr>
        <w:t>methylotrophicus</w:t>
      </w:r>
      <w:r w:rsidRPr="009B2722">
        <w:rPr>
          <w:rFonts w:cs="Arial"/>
          <w:i/>
        </w:rPr>
        <w:t>(BM) and Bacillus subtilis(BS) under different initial medium pH conditions after 24 h incubation</w:t>
      </w:r>
    </w:p>
    <w:p w:rsidR="00EC5522" w:rsidRPr="009B2722" w:rsidRDefault="00EC5522" w:rsidP="00F378F3">
      <w:pPr>
        <w:rPr>
          <w:rFonts w:cs="Arial"/>
        </w:rPr>
      </w:pPr>
    </w:p>
    <w:p w:rsidR="006C3204" w:rsidRPr="009B2722" w:rsidRDefault="006C3204" w:rsidP="006C3204">
      <w:pPr>
        <w:pStyle w:val="ListParagraph"/>
        <w:ind w:left="0"/>
        <w:rPr>
          <w:rFonts w:cs="Arial"/>
        </w:rPr>
      </w:pPr>
      <w:r w:rsidRPr="009B2722">
        <w:t xml:space="preserve">Differences in butyric acid </w:t>
      </w:r>
      <w:r w:rsidRPr="009B2722">
        <w:t>degradation</w:t>
      </w:r>
      <w:r w:rsidR="00F83D1C" w:rsidRPr="009B2722">
        <w:t xml:space="preserve"> efficiencies</w:t>
      </w:r>
      <w:r w:rsidRPr="009B2722">
        <w:t xml:space="preserve"> were</w:t>
      </w:r>
      <w:r w:rsidRPr="009B2722">
        <w:t xml:space="preserve"> statistically insignificant</w:t>
      </w:r>
      <w:r w:rsidRPr="009B2722">
        <w:t xml:space="preserve"> between pH 5 and 9</w:t>
      </w:r>
      <w:r w:rsidR="00F83D1C" w:rsidRPr="009B2722">
        <w:t>, pH 9 and 10, and pH 5 and 10</w:t>
      </w:r>
      <w:r w:rsidRPr="009B2722">
        <w:t xml:space="preserve"> for </w:t>
      </w:r>
      <w:r w:rsidRPr="009B2722">
        <w:rPr>
          <w:i/>
        </w:rPr>
        <w:t>Bacillus Subtilis,</w:t>
      </w:r>
      <w:r w:rsidRPr="009B2722">
        <w:rPr>
          <w:rFonts w:cs="Arial"/>
          <w:i/>
          <w:lang w:eastAsia="en-ZA"/>
        </w:rPr>
        <w:t xml:space="preserve"> </w:t>
      </w:r>
      <w:r w:rsidRPr="009B2722">
        <w:rPr>
          <w:rFonts w:cs="Arial"/>
          <w:i/>
          <w:lang w:eastAsia="en-ZA"/>
        </w:rPr>
        <w:t>Bacillus methylotrophicus</w:t>
      </w:r>
      <w:r w:rsidRPr="009B2722">
        <w:t xml:space="preserve">, and </w:t>
      </w:r>
      <w:r w:rsidRPr="009B2722">
        <w:rPr>
          <w:i/>
        </w:rPr>
        <w:t>Bacillus cereus</w:t>
      </w:r>
      <w:r w:rsidRPr="009B2722">
        <w:t xml:space="preserve">.  At </w:t>
      </w:r>
      <w:r w:rsidR="00F83D1C" w:rsidRPr="009B2722">
        <w:t>pH 7 and 8, the butyric degradation efficiencies were not statistically different for all the bacterial strains.</w:t>
      </w:r>
    </w:p>
    <w:p w:rsidR="00F83D1C" w:rsidRPr="009B2722" w:rsidRDefault="006D1070" w:rsidP="00EE1414">
      <w:r w:rsidRPr="009B2722">
        <w:t xml:space="preserve">The butyric acid </w:t>
      </w:r>
      <w:r w:rsidR="00715E04" w:rsidRPr="009B2722">
        <w:t>degradation</w:t>
      </w:r>
      <w:r w:rsidRPr="009B2722">
        <w:t xml:space="preserve"> increased from pH 6 to pH 8 in correspondence to the bacterial growth.  The maximal butyric acid deodorisation was observed when the initial </w:t>
      </w:r>
      <w:r w:rsidR="00EC5522" w:rsidRPr="009B2722">
        <w:t>medium pH was set at 7 to 8.  This indicates that neutral or weak alkaline pH are favourable for butyric acid deodorisation.  However, the bacterium,</w:t>
      </w:r>
      <w:r w:rsidR="00EC5522" w:rsidRPr="009B2722">
        <w:rPr>
          <w:rFonts w:cs="Arial"/>
          <w:i/>
          <w:lang w:eastAsia="en-ZA"/>
        </w:rPr>
        <w:t xml:space="preserve"> Lysinibacillus fusiformis</w:t>
      </w:r>
      <w:r w:rsidR="00EC5522" w:rsidRPr="009B2722">
        <w:t xml:space="preserve"> achieved 100% removal of butyric acid after 24 h incubation at pH 6 to 8.  </w:t>
      </w:r>
      <w:r w:rsidR="00EC5522" w:rsidRPr="009B2722">
        <w:rPr>
          <w:rFonts w:cs="Arial"/>
        </w:rPr>
        <w:t xml:space="preserve">All the bacterial </w:t>
      </w:r>
      <w:r w:rsidR="00EC5522" w:rsidRPr="009B2722">
        <w:rPr>
          <w:rFonts w:cs="Arial"/>
          <w:shd w:val="clear" w:color="auto" w:fill="FFFFFF"/>
        </w:rPr>
        <w:t>strains can be regarded as neutralophilic with respect to the range of pH for growth. These results suggest that all the bacterial strains have a similar mechanism in enzymatic butyric acid oxidation.</w:t>
      </w:r>
      <w:r w:rsidR="00EC5522" w:rsidRPr="009B2722">
        <w:rPr>
          <w:rFonts w:cs="Arial"/>
        </w:rPr>
        <w:t xml:space="preserve"> </w:t>
      </w:r>
      <w:r w:rsidR="00C60F4F" w:rsidRPr="009B2722">
        <w:rPr>
          <w:rFonts w:cs="Arial"/>
        </w:rPr>
        <w:t>Also, these results are in perfect accordance with Chin et al (2010)</w:t>
      </w:r>
      <w:r w:rsidR="00EC5522" w:rsidRPr="009B2722">
        <w:rPr>
          <w:rFonts w:cs="Arial"/>
        </w:rPr>
        <w:t xml:space="preserve"> </w:t>
      </w:r>
      <w:r w:rsidR="00C60F4F" w:rsidRPr="009B2722">
        <w:rPr>
          <w:rFonts w:cs="Arial"/>
        </w:rPr>
        <w:t xml:space="preserve">observation </w:t>
      </w:r>
      <w:r w:rsidR="00512DE7" w:rsidRPr="009B2722">
        <w:rPr>
          <w:rFonts w:cs="Arial"/>
        </w:rPr>
        <w:t>that rapid</w:t>
      </w:r>
      <w:r w:rsidR="00EC5522" w:rsidRPr="009B2722">
        <w:rPr>
          <w:rFonts w:cs="Arial"/>
        </w:rPr>
        <w:t xml:space="preserve"> degradation of butyric acid as a</w:t>
      </w:r>
      <w:r w:rsidR="00CD3492" w:rsidRPr="009B2722">
        <w:rPr>
          <w:rFonts w:cs="Arial"/>
        </w:rPr>
        <w:t xml:space="preserve"> sole</w:t>
      </w:r>
      <w:r w:rsidR="00EC5522" w:rsidRPr="009B2722">
        <w:rPr>
          <w:rFonts w:cs="Arial"/>
        </w:rPr>
        <w:t xml:space="preserve"> source</w:t>
      </w:r>
      <w:r w:rsidR="00CD3492" w:rsidRPr="009B2722">
        <w:rPr>
          <w:rFonts w:cs="Arial"/>
        </w:rPr>
        <w:t xml:space="preserve"> of carbon and energy when it was</w:t>
      </w:r>
      <w:r w:rsidR="00EC5522" w:rsidRPr="009B2722">
        <w:rPr>
          <w:rFonts w:cs="Arial"/>
        </w:rPr>
        <w:t xml:space="preserve"> inoculated with </w:t>
      </w:r>
      <w:r w:rsidR="00EC5522" w:rsidRPr="009B2722">
        <w:rPr>
          <w:rFonts w:cs="Arial"/>
          <w:i/>
        </w:rPr>
        <w:t xml:space="preserve">Acinetobacter </w:t>
      </w:r>
      <w:r w:rsidR="00EC5522" w:rsidRPr="009B2722">
        <w:rPr>
          <w:rFonts w:cs="Arial"/>
          <w:i/>
          <w:noProof/>
        </w:rPr>
        <w:t>calcoaceticus</w:t>
      </w:r>
      <w:r w:rsidR="00EC5522" w:rsidRPr="009B2722">
        <w:rPr>
          <w:rFonts w:cs="Arial"/>
        </w:rPr>
        <w:t xml:space="preserve">, </w:t>
      </w:r>
      <w:r w:rsidR="00EC5522" w:rsidRPr="009B2722">
        <w:rPr>
          <w:rFonts w:cs="Arial"/>
          <w:i/>
          <w:noProof/>
        </w:rPr>
        <w:t>Burkholdeira</w:t>
      </w:r>
      <w:r w:rsidR="00EC5522" w:rsidRPr="009B2722">
        <w:rPr>
          <w:rFonts w:cs="Arial"/>
          <w:i/>
        </w:rPr>
        <w:t xml:space="preserve"> </w:t>
      </w:r>
      <w:r w:rsidR="00EC5522" w:rsidRPr="009B2722">
        <w:rPr>
          <w:rFonts w:cs="Arial"/>
          <w:i/>
          <w:noProof/>
        </w:rPr>
        <w:t>cepacia</w:t>
      </w:r>
      <w:r w:rsidR="00EC5522" w:rsidRPr="009B2722">
        <w:rPr>
          <w:rFonts w:cs="Arial"/>
        </w:rPr>
        <w:t xml:space="preserve"> </w:t>
      </w:r>
      <w:r w:rsidR="00EC5522" w:rsidRPr="009B2722">
        <w:rPr>
          <w:rFonts w:cs="Arial"/>
          <w:noProof/>
        </w:rPr>
        <w:t>and</w:t>
      </w:r>
      <w:r w:rsidR="00C60F4F" w:rsidRPr="009B2722">
        <w:rPr>
          <w:rFonts w:cs="Arial"/>
          <w:noProof/>
        </w:rPr>
        <w:t xml:space="preserve"> </w:t>
      </w:r>
      <w:r w:rsidR="00EC5522" w:rsidRPr="009B2722">
        <w:rPr>
          <w:rFonts w:cs="Arial"/>
          <w:i/>
        </w:rPr>
        <w:t xml:space="preserve">Wautersia </w:t>
      </w:r>
      <w:r w:rsidR="00EC5522" w:rsidRPr="009B2722">
        <w:rPr>
          <w:rFonts w:cs="Arial"/>
          <w:i/>
          <w:noProof/>
        </w:rPr>
        <w:t>paucula</w:t>
      </w:r>
      <w:r w:rsidR="00EC5522" w:rsidRPr="009B2722">
        <w:rPr>
          <w:rFonts w:cs="Arial"/>
        </w:rPr>
        <w:t xml:space="preserve"> was accomplished at neutral pH. It is possible that some key enzymes responsible for butyric acid degradation have their optimal enzymatic activity at neutral pH. </w:t>
      </w:r>
      <w:r w:rsidR="00EC5522" w:rsidRPr="009B2722">
        <w:rPr>
          <w:rFonts w:cs="Arial"/>
          <w:shd w:val="clear" w:color="auto" w:fill="FFFFFF"/>
        </w:rPr>
        <w:t>Fu</w:t>
      </w:r>
      <w:r w:rsidR="005B23B4" w:rsidRPr="009B2722">
        <w:rPr>
          <w:rFonts w:cs="Arial"/>
          <w:shd w:val="clear" w:color="auto" w:fill="FFFFFF"/>
        </w:rPr>
        <w:t>rther increase in pH from 8 to 10</w:t>
      </w:r>
      <w:r w:rsidR="00EC5522" w:rsidRPr="009B2722">
        <w:rPr>
          <w:rFonts w:cs="Arial"/>
          <w:shd w:val="clear" w:color="auto" w:fill="FFFFFF"/>
        </w:rPr>
        <w:t xml:space="preserve"> or decrease from 6 to 5 drastically lowered butyric acid deodorisation efficiency and bacterial growth for all the bacterial strains.</w:t>
      </w:r>
      <w:r w:rsidR="005B23B4" w:rsidRPr="009B2722">
        <w:rPr>
          <w:rFonts w:cs="Arial"/>
          <w:shd w:val="clear" w:color="auto" w:fill="FFFFFF"/>
        </w:rPr>
        <w:t xml:space="preserve"> This could be due to change in structure of macromolecules, disruption of enzymatic activities and membrane potential of the bacterial strains at those pH levels (Jeong et al., 2008).</w:t>
      </w:r>
      <w:r w:rsidR="00ED1FA0" w:rsidRPr="009B2722">
        <w:rPr>
          <w:rFonts w:cs="Arial"/>
          <w:shd w:val="clear" w:color="auto" w:fill="FFFFFF"/>
        </w:rPr>
        <w:t xml:space="preserve"> However, i</w:t>
      </w:r>
      <w:r w:rsidR="008D115E" w:rsidRPr="009B2722">
        <w:rPr>
          <w:rFonts w:cs="Arial"/>
        </w:rPr>
        <w:t xml:space="preserve">t was noted that the pH of the </w:t>
      </w:r>
      <w:r w:rsidR="008D115E" w:rsidRPr="009B2722">
        <w:rPr>
          <w:rFonts w:cs="Arial"/>
          <w:noProof/>
        </w:rPr>
        <w:t>culture</w:t>
      </w:r>
      <w:r w:rsidR="008D115E" w:rsidRPr="009B2722">
        <w:rPr>
          <w:rFonts w:cs="Arial"/>
        </w:rPr>
        <w:t xml:space="preserve"> medium of initial pH values in acidic condition was increasing with incubation time shifting towards the optimal</w:t>
      </w:r>
      <w:r w:rsidR="0096798B" w:rsidRPr="009B2722">
        <w:rPr>
          <w:rFonts w:cs="Arial"/>
        </w:rPr>
        <w:t xml:space="preserve"> neutral</w:t>
      </w:r>
      <w:r w:rsidR="008D115E" w:rsidRPr="009B2722">
        <w:rPr>
          <w:rFonts w:cs="Arial"/>
        </w:rPr>
        <w:t xml:space="preserve"> pH </w:t>
      </w:r>
      <w:r w:rsidR="00052B77" w:rsidRPr="009B2722">
        <w:rPr>
          <w:rFonts w:cs="Arial"/>
        </w:rPr>
        <w:t>whereas</w:t>
      </w:r>
      <w:r w:rsidR="008D115E" w:rsidRPr="009B2722">
        <w:rPr>
          <w:rFonts w:cs="Arial"/>
        </w:rPr>
        <w:t xml:space="preserve"> the pH of the </w:t>
      </w:r>
      <w:r w:rsidR="008D115E" w:rsidRPr="009B2722">
        <w:rPr>
          <w:rFonts w:cs="Arial"/>
          <w:noProof/>
        </w:rPr>
        <w:t>culture</w:t>
      </w:r>
      <w:r w:rsidR="008D115E" w:rsidRPr="009B2722">
        <w:rPr>
          <w:rFonts w:cs="Arial"/>
        </w:rPr>
        <w:t xml:space="preserve"> medium of initial pH values of extreme alkaline condition was decreasing with incubation time shifting towards the </w:t>
      </w:r>
      <w:r w:rsidR="0096798B" w:rsidRPr="009B2722">
        <w:rPr>
          <w:rFonts w:cs="Arial"/>
        </w:rPr>
        <w:t xml:space="preserve">optimal pH. The </w:t>
      </w:r>
      <w:r w:rsidR="0096798B" w:rsidRPr="009B2722">
        <w:t>v</w:t>
      </w:r>
      <w:r w:rsidR="00F378F3" w:rsidRPr="009B2722">
        <w:t>ariations in pH of the liquid culture after 24 h of incubation</w:t>
      </w:r>
      <w:r w:rsidR="00EE1414" w:rsidRPr="009B2722">
        <w:t xml:space="preserve"> are shown in Table 2.</w:t>
      </w:r>
    </w:p>
    <w:p w:rsidR="00A95FBB" w:rsidRPr="009B2722" w:rsidRDefault="00EE1414" w:rsidP="00EE1414">
      <w:pPr>
        <w:rPr>
          <w:rFonts w:cs="Arial"/>
          <w:noProof/>
        </w:rPr>
      </w:pPr>
      <w:r w:rsidRPr="009B2722">
        <w:t xml:space="preserve"> </w:t>
      </w:r>
    </w:p>
    <w:p w:rsidR="0065021D" w:rsidRPr="009B2722" w:rsidRDefault="00F378F3" w:rsidP="00F378F3">
      <w:pPr>
        <w:rPr>
          <w:rFonts w:cs="Arial"/>
          <w:i/>
        </w:rPr>
      </w:pPr>
      <w:r w:rsidRPr="009B2722">
        <w:rPr>
          <w:i/>
        </w:rPr>
        <w:t xml:space="preserve"> </w:t>
      </w:r>
      <w:r w:rsidR="00A95FBB" w:rsidRPr="009B2722">
        <w:rPr>
          <w:i/>
        </w:rPr>
        <w:t xml:space="preserve">Table </w:t>
      </w:r>
      <w:r w:rsidR="00F16166" w:rsidRPr="009B2722">
        <w:rPr>
          <w:i/>
        </w:rPr>
        <w:t>2: Variation</w:t>
      </w:r>
      <w:r w:rsidR="00715E04" w:rsidRPr="009B2722">
        <w:rPr>
          <w:i/>
        </w:rPr>
        <w:t>s</w:t>
      </w:r>
      <w:r w:rsidR="00F16166" w:rsidRPr="009B2722">
        <w:rPr>
          <w:i/>
        </w:rPr>
        <w:t xml:space="preserve"> in medium pH</w:t>
      </w:r>
      <w:r w:rsidR="00A95FBB" w:rsidRPr="009B2722">
        <w:rPr>
          <w:i/>
        </w:rPr>
        <w:t xml:space="preserve"> after 24 h incubation for different bacterial strains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F16166" w:rsidRPr="009B2722" w:rsidTr="00F16166">
        <w:tc>
          <w:tcPr>
            <w:tcW w:w="877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343"/>
              <w:gridCol w:w="1344"/>
              <w:gridCol w:w="1834"/>
              <w:gridCol w:w="1344"/>
              <w:gridCol w:w="1401"/>
            </w:tblGrid>
            <w:tr w:rsidR="009B2722" w:rsidRPr="009B2722" w:rsidTr="009137B7">
              <w:tc>
                <w:tcPr>
                  <w:tcW w:w="1406" w:type="dxa"/>
                  <w:vMerge w:val="restart"/>
                  <w:tcBorders>
                    <w:top w:val="single" w:sz="12" w:space="0" w:color="00B050"/>
                    <w:bottom w:val="single" w:sz="4" w:space="0" w:color="auto"/>
                  </w:tcBorders>
                </w:tcPr>
                <w:p w:rsidR="00F16166" w:rsidRPr="009B2722" w:rsidRDefault="00F16166" w:rsidP="00F16166">
                  <w:pPr>
                    <w:jc w:val="center"/>
                    <w:rPr>
                      <w:rFonts w:cs="Arial"/>
                    </w:rPr>
                  </w:pPr>
                  <w:r w:rsidRPr="009B2722">
                    <w:rPr>
                      <w:rFonts w:cs="Arial"/>
                    </w:rPr>
                    <w:t>Initial pH</w:t>
                  </w:r>
                </w:p>
                <w:p w:rsidR="00F16166" w:rsidRPr="009B2722" w:rsidRDefault="00F16166" w:rsidP="00F16166">
                  <w:pPr>
                    <w:jc w:val="center"/>
                    <w:rPr>
                      <w:rFonts w:cs="Arial"/>
                    </w:rPr>
                  </w:pPr>
                </w:p>
              </w:tc>
              <w:tc>
                <w:tcPr>
                  <w:tcW w:w="6102" w:type="dxa"/>
                  <w:gridSpan w:val="4"/>
                  <w:tcBorders>
                    <w:top w:val="single" w:sz="12" w:space="0" w:color="00B050"/>
                    <w:bottom w:val="single" w:sz="4" w:space="0" w:color="auto"/>
                  </w:tcBorders>
                </w:tcPr>
                <w:p w:rsidR="00F16166" w:rsidRPr="009B2722" w:rsidRDefault="00F16166" w:rsidP="00F16166">
                  <w:pPr>
                    <w:jc w:val="center"/>
                    <w:rPr>
                      <w:rFonts w:cs="Arial"/>
                      <w:b/>
                    </w:rPr>
                  </w:pPr>
                  <w:r w:rsidRPr="009B2722">
                    <w:rPr>
                      <w:rFonts w:cs="Arial"/>
                    </w:rPr>
                    <w:t>Final pH</w:t>
                  </w:r>
                </w:p>
              </w:tc>
              <w:tc>
                <w:tcPr>
                  <w:tcW w:w="1508" w:type="dxa"/>
                  <w:tcBorders>
                    <w:top w:val="single" w:sz="12" w:space="0" w:color="00B050"/>
                    <w:bottom w:val="single" w:sz="8" w:space="0" w:color="00B050"/>
                  </w:tcBorders>
                </w:tcPr>
                <w:p w:rsidR="00F16166" w:rsidRPr="009B2722" w:rsidRDefault="00F16166" w:rsidP="00F16166">
                  <w:pPr>
                    <w:jc w:val="center"/>
                    <w:rPr>
                      <w:rFonts w:cs="Arial"/>
                    </w:rPr>
                  </w:pPr>
                </w:p>
              </w:tc>
            </w:tr>
            <w:tr w:rsidR="009B2722" w:rsidRPr="009B2722" w:rsidTr="009137B7">
              <w:tc>
                <w:tcPr>
                  <w:tcW w:w="1406" w:type="dxa"/>
                  <w:vMerge/>
                  <w:tcBorders>
                    <w:top w:val="single" w:sz="4" w:space="0" w:color="auto"/>
                    <w:bottom w:val="single" w:sz="8" w:space="0" w:color="00B050"/>
                  </w:tcBorders>
                </w:tcPr>
                <w:p w:rsidR="00F16166" w:rsidRPr="009B2722" w:rsidRDefault="00F16166" w:rsidP="00F16166">
                  <w:pPr>
                    <w:rPr>
                      <w:rFonts w:cs="Arial"/>
                    </w:rPr>
                  </w:pPr>
                </w:p>
              </w:tc>
              <w:tc>
                <w:tcPr>
                  <w:tcW w:w="1433" w:type="dxa"/>
                  <w:tcBorders>
                    <w:top w:val="single" w:sz="8" w:space="0" w:color="00B050"/>
                    <w:bottom w:val="single" w:sz="8" w:space="0" w:color="00B050"/>
                  </w:tcBorders>
                </w:tcPr>
                <w:p w:rsidR="00F16166" w:rsidRPr="009B2722" w:rsidRDefault="00F16166" w:rsidP="00F16166">
                  <w:pPr>
                    <w:jc w:val="center"/>
                    <w:rPr>
                      <w:rFonts w:cs="Arial"/>
                    </w:rPr>
                  </w:pPr>
                  <w:r w:rsidRPr="009B2722">
                    <w:rPr>
                      <w:rFonts w:cs="Arial"/>
                      <w:i/>
                      <w:lang w:eastAsia="en-ZA"/>
                    </w:rPr>
                    <w:t>Bacillus subtilis</w:t>
                  </w:r>
                </w:p>
              </w:tc>
              <w:tc>
                <w:tcPr>
                  <w:tcW w:w="1434" w:type="dxa"/>
                  <w:tcBorders>
                    <w:top w:val="single" w:sz="8" w:space="0" w:color="00B050"/>
                    <w:bottom w:val="single" w:sz="8" w:space="0" w:color="00B050"/>
                  </w:tcBorders>
                </w:tcPr>
                <w:p w:rsidR="00F16166" w:rsidRPr="009B2722" w:rsidRDefault="00F16166" w:rsidP="00F16166">
                  <w:pPr>
                    <w:jc w:val="center"/>
                    <w:rPr>
                      <w:rFonts w:cs="Arial"/>
                    </w:rPr>
                  </w:pPr>
                  <w:r w:rsidRPr="009B2722">
                    <w:rPr>
                      <w:rFonts w:cs="Arial"/>
                      <w:i/>
                      <w:lang w:eastAsia="en-ZA"/>
                    </w:rPr>
                    <w:t>Bacillus cereus</w:t>
                  </w:r>
                </w:p>
              </w:tc>
              <w:tc>
                <w:tcPr>
                  <w:tcW w:w="1879" w:type="dxa"/>
                  <w:tcBorders>
                    <w:top w:val="single" w:sz="8" w:space="0" w:color="00B050"/>
                    <w:bottom w:val="single" w:sz="8" w:space="0" w:color="00B050"/>
                  </w:tcBorders>
                </w:tcPr>
                <w:p w:rsidR="00F16166" w:rsidRPr="009B2722" w:rsidRDefault="00F16166" w:rsidP="00F16166">
                  <w:pPr>
                    <w:jc w:val="center"/>
                    <w:outlineLvl w:val="2"/>
                    <w:rPr>
                      <w:rFonts w:cs="Arial"/>
                      <w:lang w:eastAsia="en-ZA"/>
                    </w:rPr>
                  </w:pPr>
                  <w:r w:rsidRPr="009B2722">
                    <w:rPr>
                      <w:rFonts w:cs="Arial"/>
                      <w:i/>
                      <w:lang w:eastAsia="en-ZA"/>
                    </w:rPr>
                    <w:t>Bacillus methylotrophicus</w:t>
                  </w:r>
                </w:p>
              </w:tc>
              <w:tc>
                <w:tcPr>
                  <w:tcW w:w="1356" w:type="dxa"/>
                  <w:tcBorders>
                    <w:top w:val="single" w:sz="8" w:space="0" w:color="00B050"/>
                    <w:bottom w:val="single" w:sz="8" w:space="0" w:color="00B050"/>
                  </w:tcBorders>
                </w:tcPr>
                <w:p w:rsidR="00F16166" w:rsidRPr="009B2722" w:rsidRDefault="00F16166" w:rsidP="00F16166">
                  <w:pPr>
                    <w:jc w:val="center"/>
                    <w:rPr>
                      <w:rFonts w:cs="Arial"/>
                    </w:rPr>
                  </w:pPr>
                  <w:r w:rsidRPr="009B2722">
                    <w:rPr>
                      <w:rFonts w:cs="Arial"/>
                      <w:i/>
                      <w:lang w:eastAsia="en-ZA"/>
                    </w:rPr>
                    <w:t>Lysinibacillus fusiformis</w:t>
                  </w:r>
                </w:p>
              </w:tc>
              <w:tc>
                <w:tcPr>
                  <w:tcW w:w="1508" w:type="dxa"/>
                  <w:tcBorders>
                    <w:top w:val="single" w:sz="8" w:space="0" w:color="00B050"/>
                    <w:bottom w:val="single" w:sz="4" w:space="0" w:color="auto"/>
                  </w:tcBorders>
                </w:tcPr>
                <w:p w:rsidR="00F16166" w:rsidRPr="009B2722" w:rsidRDefault="00F16166" w:rsidP="00F16166">
                  <w:pPr>
                    <w:jc w:val="center"/>
                    <w:rPr>
                      <w:rFonts w:cs="Arial"/>
                      <w:lang w:eastAsia="en-ZA"/>
                    </w:rPr>
                  </w:pPr>
                  <w:r w:rsidRPr="009B2722">
                    <w:rPr>
                      <w:rFonts w:cs="Arial"/>
                      <w:lang w:eastAsia="en-ZA"/>
                    </w:rPr>
                    <w:t>Control</w:t>
                  </w:r>
                </w:p>
              </w:tc>
            </w:tr>
            <w:tr w:rsidR="009B2722" w:rsidRPr="009B2722" w:rsidTr="009137B7">
              <w:tc>
                <w:tcPr>
                  <w:tcW w:w="1406" w:type="dxa"/>
                  <w:tcBorders>
                    <w:top w:val="single" w:sz="8" w:space="0" w:color="00B050"/>
                  </w:tcBorders>
                </w:tcPr>
                <w:p w:rsidR="00F16166" w:rsidRPr="009B2722" w:rsidRDefault="00F16166" w:rsidP="00F16166">
                  <w:pPr>
                    <w:rPr>
                      <w:rFonts w:cs="Arial"/>
                    </w:rPr>
                  </w:pPr>
                  <w:r w:rsidRPr="009B2722">
                    <w:rPr>
                      <w:rFonts w:cs="Arial"/>
                    </w:rPr>
                    <w:t>5.00</w:t>
                  </w:r>
                </w:p>
              </w:tc>
              <w:tc>
                <w:tcPr>
                  <w:tcW w:w="1433" w:type="dxa"/>
                  <w:tcBorders>
                    <w:top w:val="single" w:sz="8" w:space="0" w:color="00B050"/>
                  </w:tcBorders>
                </w:tcPr>
                <w:p w:rsidR="00F16166" w:rsidRPr="009B2722" w:rsidRDefault="00F16166" w:rsidP="00F16166">
                  <w:pPr>
                    <w:rPr>
                      <w:rFonts w:cs="Arial"/>
                    </w:rPr>
                  </w:pPr>
                  <w:r w:rsidRPr="009B2722">
                    <w:rPr>
                      <w:rFonts w:cs="Arial"/>
                    </w:rPr>
                    <w:t>5.64 ± 0.12</w:t>
                  </w:r>
                </w:p>
              </w:tc>
              <w:tc>
                <w:tcPr>
                  <w:tcW w:w="1434" w:type="dxa"/>
                  <w:tcBorders>
                    <w:top w:val="single" w:sz="8" w:space="0" w:color="00B050"/>
                  </w:tcBorders>
                </w:tcPr>
                <w:p w:rsidR="00F16166" w:rsidRPr="009B2722" w:rsidRDefault="00F16166" w:rsidP="00F16166">
                  <w:pPr>
                    <w:rPr>
                      <w:rFonts w:cs="Arial"/>
                    </w:rPr>
                  </w:pPr>
                  <w:r w:rsidRPr="009B2722">
                    <w:rPr>
                      <w:rFonts w:cs="Arial"/>
                    </w:rPr>
                    <w:t>5.26 ± 0.08</w:t>
                  </w:r>
                </w:p>
              </w:tc>
              <w:tc>
                <w:tcPr>
                  <w:tcW w:w="1879" w:type="dxa"/>
                  <w:tcBorders>
                    <w:top w:val="single" w:sz="8" w:space="0" w:color="00B050"/>
                  </w:tcBorders>
                </w:tcPr>
                <w:p w:rsidR="00F16166" w:rsidRPr="009B2722" w:rsidRDefault="00F16166" w:rsidP="00F16166">
                  <w:pPr>
                    <w:rPr>
                      <w:rFonts w:cs="Arial"/>
                    </w:rPr>
                  </w:pPr>
                  <w:r w:rsidRPr="009B2722">
                    <w:rPr>
                      <w:rFonts w:cs="Arial"/>
                    </w:rPr>
                    <w:t>5.20 ± 0.06</w:t>
                  </w:r>
                </w:p>
              </w:tc>
              <w:tc>
                <w:tcPr>
                  <w:tcW w:w="1356" w:type="dxa"/>
                  <w:tcBorders>
                    <w:top w:val="single" w:sz="8" w:space="0" w:color="00B050"/>
                  </w:tcBorders>
                </w:tcPr>
                <w:p w:rsidR="00F16166" w:rsidRPr="009B2722" w:rsidRDefault="00F16166" w:rsidP="00F16166">
                  <w:pPr>
                    <w:rPr>
                      <w:rFonts w:cs="Arial"/>
                    </w:rPr>
                  </w:pPr>
                  <w:r w:rsidRPr="009B2722">
                    <w:rPr>
                      <w:rFonts w:cs="Arial"/>
                    </w:rPr>
                    <w:t>5.42 ± 0.07</w:t>
                  </w:r>
                </w:p>
              </w:tc>
              <w:tc>
                <w:tcPr>
                  <w:tcW w:w="1508" w:type="dxa"/>
                  <w:tcBorders>
                    <w:top w:val="single" w:sz="4" w:space="0" w:color="auto"/>
                  </w:tcBorders>
                </w:tcPr>
                <w:p w:rsidR="00F16166" w:rsidRPr="009B2722" w:rsidRDefault="00F16166" w:rsidP="00F16166">
                  <w:pPr>
                    <w:rPr>
                      <w:rFonts w:cs="Arial"/>
                    </w:rPr>
                  </w:pPr>
                  <w:r w:rsidRPr="009B2722">
                    <w:rPr>
                      <w:rFonts w:cs="Arial"/>
                    </w:rPr>
                    <w:t>5.00 ± 0.02</w:t>
                  </w:r>
                </w:p>
              </w:tc>
            </w:tr>
            <w:tr w:rsidR="009B2722" w:rsidRPr="009B2722" w:rsidTr="009137B7">
              <w:tc>
                <w:tcPr>
                  <w:tcW w:w="1406" w:type="dxa"/>
                </w:tcPr>
                <w:p w:rsidR="00F16166" w:rsidRPr="009B2722" w:rsidRDefault="00F16166" w:rsidP="00F16166">
                  <w:pPr>
                    <w:rPr>
                      <w:rFonts w:cs="Arial"/>
                    </w:rPr>
                  </w:pPr>
                  <w:r w:rsidRPr="009B2722">
                    <w:rPr>
                      <w:rFonts w:cs="Arial"/>
                    </w:rPr>
                    <w:t>6.00</w:t>
                  </w:r>
                </w:p>
              </w:tc>
              <w:tc>
                <w:tcPr>
                  <w:tcW w:w="1433" w:type="dxa"/>
                </w:tcPr>
                <w:p w:rsidR="00F16166" w:rsidRPr="009B2722" w:rsidRDefault="00F16166" w:rsidP="00F16166">
                  <w:pPr>
                    <w:rPr>
                      <w:rFonts w:cs="Arial"/>
                    </w:rPr>
                  </w:pPr>
                  <w:r w:rsidRPr="009B2722">
                    <w:rPr>
                      <w:rFonts w:cs="Arial"/>
                    </w:rPr>
                    <w:t>6.18 ± 0.11</w:t>
                  </w:r>
                </w:p>
              </w:tc>
              <w:tc>
                <w:tcPr>
                  <w:tcW w:w="1434" w:type="dxa"/>
                </w:tcPr>
                <w:p w:rsidR="00F16166" w:rsidRPr="009B2722" w:rsidRDefault="00F16166" w:rsidP="00F16166">
                  <w:pPr>
                    <w:rPr>
                      <w:rFonts w:cs="Arial"/>
                    </w:rPr>
                  </w:pPr>
                  <w:r w:rsidRPr="009B2722">
                    <w:rPr>
                      <w:rFonts w:cs="Arial"/>
                    </w:rPr>
                    <w:t>6.45 ± 0.05</w:t>
                  </w:r>
                </w:p>
              </w:tc>
              <w:tc>
                <w:tcPr>
                  <w:tcW w:w="1879" w:type="dxa"/>
                </w:tcPr>
                <w:p w:rsidR="00F16166" w:rsidRPr="009B2722" w:rsidRDefault="00F16166" w:rsidP="00F16166">
                  <w:pPr>
                    <w:rPr>
                      <w:rFonts w:cs="Arial"/>
                    </w:rPr>
                  </w:pPr>
                  <w:r w:rsidRPr="009B2722">
                    <w:rPr>
                      <w:rFonts w:cs="Arial"/>
                    </w:rPr>
                    <w:t>6.30 ± 0.21</w:t>
                  </w:r>
                </w:p>
              </w:tc>
              <w:tc>
                <w:tcPr>
                  <w:tcW w:w="1356" w:type="dxa"/>
                </w:tcPr>
                <w:p w:rsidR="00F16166" w:rsidRPr="009B2722" w:rsidRDefault="00F16166" w:rsidP="00F16166">
                  <w:pPr>
                    <w:rPr>
                      <w:rFonts w:cs="Arial"/>
                    </w:rPr>
                  </w:pPr>
                  <w:r w:rsidRPr="009B2722">
                    <w:rPr>
                      <w:rFonts w:cs="Arial"/>
                    </w:rPr>
                    <w:t>6.27 ± 0.09</w:t>
                  </w:r>
                </w:p>
              </w:tc>
              <w:tc>
                <w:tcPr>
                  <w:tcW w:w="1508" w:type="dxa"/>
                </w:tcPr>
                <w:p w:rsidR="00F16166" w:rsidRPr="009B2722" w:rsidRDefault="00F16166" w:rsidP="00F16166">
                  <w:pPr>
                    <w:rPr>
                      <w:rFonts w:cs="Arial"/>
                    </w:rPr>
                  </w:pPr>
                  <w:r w:rsidRPr="009B2722">
                    <w:rPr>
                      <w:rFonts w:cs="Arial"/>
                    </w:rPr>
                    <w:t>6.00 ± 0.04</w:t>
                  </w:r>
                </w:p>
              </w:tc>
            </w:tr>
            <w:tr w:rsidR="009B2722" w:rsidRPr="009B2722" w:rsidTr="009137B7">
              <w:tc>
                <w:tcPr>
                  <w:tcW w:w="1406" w:type="dxa"/>
                </w:tcPr>
                <w:p w:rsidR="00F16166" w:rsidRPr="009B2722" w:rsidRDefault="00F16166" w:rsidP="00F16166">
                  <w:pPr>
                    <w:rPr>
                      <w:rFonts w:cs="Arial"/>
                    </w:rPr>
                  </w:pPr>
                  <w:r w:rsidRPr="009B2722">
                    <w:rPr>
                      <w:rFonts w:cs="Arial"/>
                    </w:rPr>
                    <w:t>7.00</w:t>
                  </w:r>
                </w:p>
              </w:tc>
              <w:tc>
                <w:tcPr>
                  <w:tcW w:w="1433" w:type="dxa"/>
                </w:tcPr>
                <w:p w:rsidR="00F16166" w:rsidRPr="009B2722" w:rsidRDefault="00F16166" w:rsidP="00F16166">
                  <w:pPr>
                    <w:rPr>
                      <w:rFonts w:cs="Arial"/>
                    </w:rPr>
                  </w:pPr>
                  <w:r w:rsidRPr="009B2722">
                    <w:rPr>
                      <w:rFonts w:cs="Arial"/>
                    </w:rPr>
                    <w:t>7.13 ± 0.05</w:t>
                  </w:r>
                </w:p>
              </w:tc>
              <w:tc>
                <w:tcPr>
                  <w:tcW w:w="1434" w:type="dxa"/>
                </w:tcPr>
                <w:p w:rsidR="00F16166" w:rsidRPr="009B2722" w:rsidRDefault="00F16166" w:rsidP="00F16166">
                  <w:pPr>
                    <w:rPr>
                      <w:rFonts w:cs="Arial"/>
                    </w:rPr>
                  </w:pPr>
                  <w:r w:rsidRPr="009B2722">
                    <w:rPr>
                      <w:rFonts w:cs="Arial"/>
                    </w:rPr>
                    <w:t>7.38 ± 0.03</w:t>
                  </w:r>
                </w:p>
              </w:tc>
              <w:tc>
                <w:tcPr>
                  <w:tcW w:w="1879" w:type="dxa"/>
                </w:tcPr>
                <w:p w:rsidR="00F16166" w:rsidRPr="009B2722" w:rsidRDefault="00F16166" w:rsidP="00F16166">
                  <w:pPr>
                    <w:rPr>
                      <w:rFonts w:cs="Arial"/>
                    </w:rPr>
                  </w:pPr>
                  <w:r w:rsidRPr="009B2722">
                    <w:rPr>
                      <w:rFonts w:cs="Arial"/>
                    </w:rPr>
                    <w:t>7.32 ± 0.06</w:t>
                  </w:r>
                </w:p>
              </w:tc>
              <w:tc>
                <w:tcPr>
                  <w:tcW w:w="1356" w:type="dxa"/>
                </w:tcPr>
                <w:p w:rsidR="00F16166" w:rsidRPr="009B2722" w:rsidRDefault="00F16166" w:rsidP="00F16166">
                  <w:pPr>
                    <w:rPr>
                      <w:rFonts w:cs="Arial"/>
                    </w:rPr>
                  </w:pPr>
                  <w:r w:rsidRPr="009B2722">
                    <w:rPr>
                      <w:rFonts w:cs="Arial"/>
                    </w:rPr>
                    <w:t>7.26 ± 0.08</w:t>
                  </w:r>
                </w:p>
              </w:tc>
              <w:tc>
                <w:tcPr>
                  <w:tcW w:w="1508" w:type="dxa"/>
                </w:tcPr>
                <w:p w:rsidR="00F16166" w:rsidRPr="009B2722" w:rsidRDefault="00F16166" w:rsidP="00F16166">
                  <w:pPr>
                    <w:rPr>
                      <w:rFonts w:cs="Arial"/>
                    </w:rPr>
                  </w:pPr>
                  <w:r w:rsidRPr="009B2722">
                    <w:rPr>
                      <w:rFonts w:cs="Arial"/>
                    </w:rPr>
                    <w:t>7.00 ± 0.05</w:t>
                  </w:r>
                </w:p>
              </w:tc>
            </w:tr>
            <w:tr w:rsidR="009B2722" w:rsidRPr="009B2722" w:rsidTr="009137B7">
              <w:tc>
                <w:tcPr>
                  <w:tcW w:w="1406" w:type="dxa"/>
                </w:tcPr>
                <w:p w:rsidR="00F16166" w:rsidRPr="009B2722" w:rsidRDefault="00F16166" w:rsidP="00F16166">
                  <w:pPr>
                    <w:rPr>
                      <w:rFonts w:cs="Arial"/>
                    </w:rPr>
                  </w:pPr>
                  <w:r w:rsidRPr="009B2722">
                    <w:rPr>
                      <w:rFonts w:cs="Arial"/>
                    </w:rPr>
                    <w:t>8.00</w:t>
                  </w:r>
                </w:p>
              </w:tc>
              <w:tc>
                <w:tcPr>
                  <w:tcW w:w="1433" w:type="dxa"/>
                </w:tcPr>
                <w:p w:rsidR="00F16166" w:rsidRPr="009B2722" w:rsidRDefault="00F16166" w:rsidP="00F16166">
                  <w:pPr>
                    <w:rPr>
                      <w:rFonts w:cs="Arial"/>
                    </w:rPr>
                  </w:pPr>
                  <w:r w:rsidRPr="009B2722">
                    <w:rPr>
                      <w:rFonts w:cs="Arial"/>
                    </w:rPr>
                    <w:t>8.20 ± 0.07</w:t>
                  </w:r>
                </w:p>
              </w:tc>
              <w:tc>
                <w:tcPr>
                  <w:tcW w:w="1434" w:type="dxa"/>
                </w:tcPr>
                <w:p w:rsidR="00F16166" w:rsidRPr="009B2722" w:rsidRDefault="00F16166" w:rsidP="00F16166">
                  <w:r w:rsidRPr="009B2722">
                    <w:rPr>
                      <w:rFonts w:cs="Arial"/>
                    </w:rPr>
                    <w:t>8.11 ± 0.04</w:t>
                  </w:r>
                </w:p>
              </w:tc>
              <w:tc>
                <w:tcPr>
                  <w:tcW w:w="1879" w:type="dxa"/>
                </w:tcPr>
                <w:p w:rsidR="00F16166" w:rsidRPr="009B2722" w:rsidRDefault="00F16166" w:rsidP="00F16166">
                  <w:r w:rsidRPr="009B2722">
                    <w:rPr>
                      <w:rFonts w:cs="Arial"/>
                    </w:rPr>
                    <w:t>8.14 ± 0.05</w:t>
                  </w:r>
                </w:p>
              </w:tc>
              <w:tc>
                <w:tcPr>
                  <w:tcW w:w="1356" w:type="dxa"/>
                </w:tcPr>
                <w:p w:rsidR="00F16166" w:rsidRPr="009B2722" w:rsidRDefault="00F16166" w:rsidP="00F16166">
                  <w:r w:rsidRPr="009B2722">
                    <w:rPr>
                      <w:rFonts w:cs="Arial"/>
                    </w:rPr>
                    <w:t>8.11 ± 0.08</w:t>
                  </w:r>
                </w:p>
              </w:tc>
              <w:tc>
                <w:tcPr>
                  <w:tcW w:w="1508" w:type="dxa"/>
                </w:tcPr>
                <w:p w:rsidR="00F16166" w:rsidRPr="009B2722" w:rsidRDefault="00F16166" w:rsidP="00F16166">
                  <w:pPr>
                    <w:rPr>
                      <w:rFonts w:cs="Arial"/>
                    </w:rPr>
                  </w:pPr>
                  <w:r w:rsidRPr="009B2722">
                    <w:rPr>
                      <w:rFonts w:cs="Arial"/>
                    </w:rPr>
                    <w:t>8.00 ± 0.02</w:t>
                  </w:r>
                </w:p>
              </w:tc>
            </w:tr>
            <w:tr w:rsidR="009B2722" w:rsidRPr="009B2722" w:rsidTr="009137B7">
              <w:tc>
                <w:tcPr>
                  <w:tcW w:w="1406" w:type="dxa"/>
                </w:tcPr>
                <w:p w:rsidR="00F16166" w:rsidRPr="009B2722" w:rsidRDefault="00F16166" w:rsidP="00F16166">
                  <w:pPr>
                    <w:rPr>
                      <w:rFonts w:cs="Arial"/>
                    </w:rPr>
                  </w:pPr>
                  <w:r w:rsidRPr="009B2722">
                    <w:rPr>
                      <w:rFonts w:cs="Arial"/>
                    </w:rPr>
                    <w:t>9.00</w:t>
                  </w:r>
                </w:p>
              </w:tc>
              <w:tc>
                <w:tcPr>
                  <w:tcW w:w="1433" w:type="dxa"/>
                </w:tcPr>
                <w:p w:rsidR="00F16166" w:rsidRPr="009B2722" w:rsidRDefault="00F16166" w:rsidP="00F16166">
                  <w:pPr>
                    <w:rPr>
                      <w:rFonts w:cs="Arial"/>
                    </w:rPr>
                  </w:pPr>
                  <w:r w:rsidRPr="009B2722">
                    <w:rPr>
                      <w:rFonts w:cs="Arial"/>
                    </w:rPr>
                    <w:t>8.34 ± 0.07</w:t>
                  </w:r>
                </w:p>
              </w:tc>
              <w:tc>
                <w:tcPr>
                  <w:tcW w:w="1434" w:type="dxa"/>
                </w:tcPr>
                <w:p w:rsidR="00F16166" w:rsidRPr="009B2722" w:rsidRDefault="00F16166" w:rsidP="00F16166">
                  <w:r w:rsidRPr="009B2722">
                    <w:rPr>
                      <w:rFonts w:cs="Arial"/>
                    </w:rPr>
                    <w:t>8.25 ± 0.09</w:t>
                  </w:r>
                </w:p>
              </w:tc>
              <w:tc>
                <w:tcPr>
                  <w:tcW w:w="1879" w:type="dxa"/>
                </w:tcPr>
                <w:p w:rsidR="00F16166" w:rsidRPr="009B2722" w:rsidRDefault="00F16166" w:rsidP="00F16166">
                  <w:r w:rsidRPr="009B2722">
                    <w:rPr>
                      <w:rFonts w:cs="Arial"/>
                    </w:rPr>
                    <w:t>8.27 ± 0.10</w:t>
                  </w:r>
                </w:p>
              </w:tc>
              <w:tc>
                <w:tcPr>
                  <w:tcW w:w="1356" w:type="dxa"/>
                </w:tcPr>
                <w:p w:rsidR="00F16166" w:rsidRPr="009B2722" w:rsidRDefault="00F16166" w:rsidP="00F16166">
                  <w:r w:rsidRPr="009B2722">
                    <w:rPr>
                      <w:rFonts w:cs="Arial"/>
                    </w:rPr>
                    <w:t>8.32 ± 0.08</w:t>
                  </w:r>
                </w:p>
              </w:tc>
              <w:tc>
                <w:tcPr>
                  <w:tcW w:w="1508" w:type="dxa"/>
                </w:tcPr>
                <w:p w:rsidR="00F16166" w:rsidRPr="009B2722" w:rsidRDefault="00F16166" w:rsidP="00F16166">
                  <w:pPr>
                    <w:rPr>
                      <w:rFonts w:cs="Arial"/>
                    </w:rPr>
                  </w:pPr>
                  <w:r w:rsidRPr="009B2722">
                    <w:rPr>
                      <w:rFonts w:cs="Arial"/>
                    </w:rPr>
                    <w:t>9.00 ± 0.01</w:t>
                  </w:r>
                </w:p>
              </w:tc>
            </w:tr>
            <w:tr w:rsidR="009B2722" w:rsidRPr="009B2722" w:rsidTr="009137B7">
              <w:tc>
                <w:tcPr>
                  <w:tcW w:w="1406" w:type="dxa"/>
                  <w:tcBorders>
                    <w:bottom w:val="single" w:sz="12" w:space="0" w:color="00B050"/>
                  </w:tcBorders>
                </w:tcPr>
                <w:p w:rsidR="00F16166" w:rsidRPr="009B2722" w:rsidRDefault="00F16166" w:rsidP="00F16166">
                  <w:pPr>
                    <w:rPr>
                      <w:rFonts w:cs="Arial"/>
                    </w:rPr>
                  </w:pPr>
                  <w:r w:rsidRPr="009B2722">
                    <w:rPr>
                      <w:rFonts w:cs="Arial"/>
                    </w:rPr>
                    <w:t>10.00</w:t>
                  </w:r>
                </w:p>
              </w:tc>
              <w:tc>
                <w:tcPr>
                  <w:tcW w:w="1433" w:type="dxa"/>
                  <w:tcBorders>
                    <w:bottom w:val="single" w:sz="12" w:space="0" w:color="00B050"/>
                  </w:tcBorders>
                </w:tcPr>
                <w:p w:rsidR="00F16166" w:rsidRPr="009B2722" w:rsidRDefault="00F16166" w:rsidP="00F16166">
                  <w:pPr>
                    <w:rPr>
                      <w:rFonts w:cs="Arial"/>
                    </w:rPr>
                  </w:pPr>
                  <w:r w:rsidRPr="009B2722">
                    <w:rPr>
                      <w:rFonts w:cs="Arial"/>
                    </w:rPr>
                    <w:t>9.14 ± 0.04</w:t>
                  </w:r>
                </w:p>
              </w:tc>
              <w:tc>
                <w:tcPr>
                  <w:tcW w:w="1434" w:type="dxa"/>
                  <w:tcBorders>
                    <w:bottom w:val="single" w:sz="12" w:space="0" w:color="00B050"/>
                  </w:tcBorders>
                </w:tcPr>
                <w:p w:rsidR="00F16166" w:rsidRPr="009B2722" w:rsidRDefault="00F16166" w:rsidP="00F16166">
                  <w:r w:rsidRPr="009B2722">
                    <w:rPr>
                      <w:rFonts w:cs="Arial"/>
                    </w:rPr>
                    <w:t>9.23 ± 0.08</w:t>
                  </w:r>
                </w:p>
              </w:tc>
              <w:tc>
                <w:tcPr>
                  <w:tcW w:w="1879" w:type="dxa"/>
                  <w:tcBorders>
                    <w:bottom w:val="single" w:sz="12" w:space="0" w:color="00B050"/>
                  </w:tcBorders>
                </w:tcPr>
                <w:p w:rsidR="00F16166" w:rsidRPr="009B2722" w:rsidRDefault="00F16166" w:rsidP="00F16166">
                  <w:r w:rsidRPr="009B2722">
                    <w:rPr>
                      <w:rFonts w:cs="Arial"/>
                    </w:rPr>
                    <w:t>9.28 ± 0.05</w:t>
                  </w:r>
                </w:p>
              </w:tc>
              <w:tc>
                <w:tcPr>
                  <w:tcW w:w="1356" w:type="dxa"/>
                  <w:tcBorders>
                    <w:bottom w:val="single" w:sz="12" w:space="0" w:color="00B050"/>
                  </w:tcBorders>
                </w:tcPr>
                <w:p w:rsidR="00F16166" w:rsidRPr="009B2722" w:rsidRDefault="00F16166" w:rsidP="00F16166">
                  <w:r w:rsidRPr="009B2722">
                    <w:rPr>
                      <w:rFonts w:cs="Arial"/>
                    </w:rPr>
                    <w:t>9.21 ± 0.02</w:t>
                  </w:r>
                </w:p>
              </w:tc>
              <w:tc>
                <w:tcPr>
                  <w:tcW w:w="1508" w:type="dxa"/>
                  <w:tcBorders>
                    <w:bottom w:val="single" w:sz="12" w:space="0" w:color="00B050"/>
                  </w:tcBorders>
                </w:tcPr>
                <w:p w:rsidR="00F16166" w:rsidRPr="009B2722" w:rsidRDefault="00F16166" w:rsidP="00F16166">
                  <w:pPr>
                    <w:rPr>
                      <w:rFonts w:cs="Arial"/>
                    </w:rPr>
                  </w:pPr>
                  <w:r w:rsidRPr="009B2722">
                    <w:rPr>
                      <w:rFonts w:cs="Arial"/>
                    </w:rPr>
                    <w:t>10.00 ± 0.04</w:t>
                  </w:r>
                </w:p>
              </w:tc>
            </w:tr>
          </w:tbl>
          <w:p w:rsidR="00F16166" w:rsidRPr="009B2722" w:rsidRDefault="00F16166" w:rsidP="00F378F3"/>
        </w:tc>
      </w:tr>
    </w:tbl>
    <w:p w:rsidR="00EE1414" w:rsidRPr="009B2722" w:rsidRDefault="00EE1414" w:rsidP="00F378F3"/>
    <w:p w:rsidR="00F378F3" w:rsidRPr="009B2722" w:rsidRDefault="00F83D1C" w:rsidP="00751164">
      <w:pPr>
        <w:rPr>
          <w:rFonts w:cs="Arial"/>
        </w:rPr>
      </w:pPr>
      <w:r w:rsidRPr="009B2722">
        <w:t>This is a manifestation that the bacterial strains have the capacity to modify and react to environmental pH variations.</w:t>
      </w:r>
      <w:r w:rsidRPr="009B2722">
        <w:rPr>
          <w:rFonts w:cs="Arial"/>
        </w:rPr>
        <w:t xml:space="preserve"> According to Jain and Sinha (2008), this is one of the several coping mechanisms the bacteria develop to alleviate the effects of lowered or risen cytoplasmic pH and maintain cellular pH homeostasis that is compatible with optimal functional and structural integrity. </w:t>
      </w:r>
      <w:r w:rsidRPr="009B2722">
        <w:rPr>
          <w:rFonts w:cs="Arial"/>
        </w:rPr>
        <w:t xml:space="preserve"> </w:t>
      </w:r>
      <w:r w:rsidR="00EE1414" w:rsidRPr="009B2722">
        <w:t>T</w:t>
      </w:r>
      <w:r w:rsidR="00E67800" w:rsidRPr="009B2722">
        <w:t>he c</w:t>
      </w:r>
      <w:r w:rsidR="00ED1FA0" w:rsidRPr="009B2722">
        <w:t>ulture pH</w:t>
      </w:r>
      <w:r w:rsidR="000C2A6D" w:rsidRPr="009B2722">
        <w:t xml:space="preserve"> (i.e. with initial medium pH of 5-6) increase</w:t>
      </w:r>
      <w:r w:rsidR="00ED1FA0" w:rsidRPr="009B2722">
        <w:t xml:space="preserve"> </w:t>
      </w:r>
      <w:r w:rsidR="000C2A6D" w:rsidRPr="009B2722">
        <w:t>towards neutral pH</w:t>
      </w:r>
      <w:r w:rsidR="00E67800" w:rsidRPr="009B2722">
        <w:t xml:space="preserve"> </w:t>
      </w:r>
      <w:r w:rsidR="00EE1414" w:rsidRPr="009B2722">
        <w:t>could be</w:t>
      </w:r>
      <w:r w:rsidR="00ED1FA0" w:rsidRPr="009B2722">
        <w:t xml:space="preserve"> due </w:t>
      </w:r>
      <w:r w:rsidR="00EE1414" w:rsidRPr="009B2722">
        <w:t>to indirect involvement of decarboxylase activity of glutamate, arginine an</w:t>
      </w:r>
      <w:r w:rsidR="000C2A6D" w:rsidRPr="009B2722">
        <w:t>d lysine (</w:t>
      </w:r>
      <w:r w:rsidR="003F3AA8" w:rsidRPr="009B2722">
        <w:t>Hommais et al., 2001</w:t>
      </w:r>
      <w:r w:rsidR="00EE1414" w:rsidRPr="009B2722">
        <w:t>).</w:t>
      </w:r>
      <w:r w:rsidR="00ED1FA0" w:rsidRPr="009B2722">
        <w:t xml:space="preserve"> </w:t>
      </w:r>
      <w:r w:rsidR="000C2A6D" w:rsidRPr="009B2722">
        <w:t>This is</w:t>
      </w:r>
      <w:r w:rsidR="00C60F4F" w:rsidRPr="009B2722">
        <w:t xml:space="preserve"> accomplished</w:t>
      </w:r>
      <w:r w:rsidR="000C2A6D" w:rsidRPr="009B2722">
        <w:t xml:space="preserve"> </w:t>
      </w:r>
      <w:r w:rsidR="00751164" w:rsidRPr="009B2722">
        <w:t>via</w:t>
      </w:r>
      <w:r w:rsidR="000C2A6D" w:rsidRPr="009B2722">
        <w:t xml:space="preserve"> sequestering</w:t>
      </w:r>
      <w:r w:rsidR="00C60F4F" w:rsidRPr="009B2722">
        <w:t xml:space="preserve"> of</w:t>
      </w:r>
      <w:r w:rsidR="000C2A6D" w:rsidRPr="009B2722">
        <w:t xml:space="preserve"> the intracellular protons </w:t>
      </w:r>
      <w:r w:rsidR="00751164" w:rsidRPr="009B2722">
        <w:t>through</w:t>
      </w:r>
      <w:r w:rsidR="000C2A6D" w:rsidRPr="009B2722">
        <w:t xml:space="preserve"> biochemical </w:t>
      </w:r>
      <w:r w:rsidR="00751164" w:rsidRPr="009B2722">
        <w:t>reactions that</w:t>
      </w:r>
      <w:r w:rsidR="000C2A6D" w:rsidRPr="009B2722">
        <w:t xml:space="preserve"> either </w:t>
      </w:r>
      <w:r w:rsidR="00751164" w:rsidRPr="009B2722">
        <w:t>use up</w:t>
      </w:r>
      <w:r w:rsidR="000C2A6D" w:rsidRPr="009B2722">
        <w:t xml:space="preserve"> protons </w:t>
      </w:r>
      <w:r w:rsidR="00751164" w:rsidRPr="009B2722">
        <w:t>(i.e.</w:t>
      </w:r>
      <w:r w:rsidR="000C2A6D" w:rsidRPr="009B2722">
        <w:t xml:space="preserve"> amino acid decarboxylation) </w:t>
      </w:r>
      <w:r w:rsidR="00751164" w:rsidRPr="009B2722">
        <w:t>or produce ammonia (i.e.</w:t>
      </w:r>
      <w:r w:rsidR="000C2A6D" w:rsidRPr="009B2722">
        <w:t xml:space="preserve"> deiminase, deaminase and </w:t>
      </w:r>
      <w:r w:rsidR="00751164" w:rsidRPr="009B2722">
        <w:t>urease) (Lund et al., 2014). The culture pH (i.e. with initial medium pH of 9-10) decrease towards neutral pH could be as a result of metabolic activities that lead to increased acid production through amino acid deaminase (</w:t>
      </w:r>
      <w:r w:rsidR="00623BE7" w:rsidRPr="009B2722">
        <w:t>Padan et al., 2005).</w:t>
      </w:r>
    </w:p>
    <w:p w:rsidR="00600535" w:rsidRPr="009B2722" w:rsidRDefault="00F378F3" w:rsidP="00ED09E5">
      <w:pPr>
        <w:pStyle w:val="CETHeading1"/>
        <w:numPr>
          <w:ilvl w:val="1"/>
          <w:numId w:val="25"/>
        </w:numPr>
        <w:rPr>
          <w:lang w:val="en-GB"/>
        </w:rPr>
      </w:pPr>
      <w:r w:rsidRPr="009B2722">
        <w:rPr>
          <w:lang w:val="en-GB"/>
        </w:rPr>
        <w:t>Co</w:t>
      </w:r>
      <w:r w:rsidR="00600535" w:rsidRPr="009B2722">
        <w:rPr>
          <w:lang w:val="en-GB"/>
        </w:rPr>
        <w:t>nclusions</w:t>
      </w:r>
    </w:p>
    <w:p w:rsidR="00AC3DFE" w:rsidRPr="009B2722" w:rsidRDefault="00F60AF7" w:rsidP="00AC3DFE">
      <w:pPr>
        <w:rPr>
          <w:rFonts w:cs="Arial"/>
          <w:szCs w:val="18"/>
        </w:rPr>
      </w:pPr>
      <w:r w:rsidRPr="009B2722">
        <w:t xml:space="preserve">Four out of the nine bacterial strains that were capable of degrading butyric acid isolated from pit latrine faecal sludge were of Bacillus genus. These efficiently butyric acid degrading strains were identified as </w:t>
      </w:r>
      <w:r w:rsidRPr="009B2722">
        <w:rPr>
          <w:i/>
        </w:rPr>
        <w:t xml:space="preserve">Bacillus cereus, </w:t>
      </w:r>
      <w:r w:rsidRPr="009B2722">
        <w:rPr>
          <w:rFonts w:cs="Arial"/>
          <w:i/>
          <w:lang w:eastAsia="en-ZA"/>
        </w:rPr>
        <w:t xml:space="preserve">Lysinibacillus fusiformis, </w:t>
      </w:r>
      <w:r w:rsidRPr="009B2722">
        <w:rPr>
          <w:rFonts w:eastAsia="Calibri" w:cs="Arial"/>
          <w:i/>
          <w:szCs w:val="18"/>
          <w:lang w:val="en-ZA" w:eastAsia="en-ZA"/>
        </w:rPr>
        <w:t xml:space="preserve">Bacillus subtilis </w:t>
      </w:r>
      <w:r w:rsidRPr="009B2722">
        <w:rPr>
          <w:rFonts w:eastAsia="Calibri" w:cs="Arial"/>
          <w:szCs w:val="18"/>
          <w:lang w:val="en-ZA" w:eastAsia="en-ZA"/>
        </w:rPr>
        <w:t>and</w:t>
      </w:r>
      <w:r w:rsidRPr="009B2722">
        <w:rPr>
          <w:rFonts w:eastAsia="Calibri" w:cs="Arial"/>
          <w:i/>
          <w:szCs w:val="18"/>
          <w:lang w:val="en-ZA" w:eastAsia="en-ZA"/>
        </w:rPr>
        <w:t xml:space="preserve"> Bacillus methylotrophicus</w:t>
      </w:r>
      <w:r w:rsidRPr="009B2722">
        <w:rPr>
          <w:rFonts w:cs="Arial"/>
          <w:i/>
          <w:lang w:eastAsia="en-ZA"/>
        </w:rPr>
        <w:t xml:space="preserve"> </w:t>
      </w:r>
      <w:r w:rsidRPr="009B2722">
        <w:t xml:space="preserve">with </w:t>
      </w:r>
      <w:r w:rsidR="007E26CA" w:rsidRPr="009B2722">
        <w:t>nucleotides homology of 100%</w:t>
      </w:r>
      <w:r w:rsidRPr="009B2722">
        <w:t>.</w:t>
      </w:r>
      <w:r w:rsidR="00AC3DFE" w:rsidRPr="009B2722">
        <w:rPr>
          <w:rFonts w:cs="Arial"/>
        </w:rPr>
        <w:t xml:space="preserve"> The optimum pH for growth and butyric acid degradation for all the bacterial strains was nearly neutral.</w:t>
      </w:r>
      <w:r w:rsidRPr="009B2722">
        <w:t xml:space="preserve"> </w:t>
      </w:r>
      <w:r w:rsidR="00AC3DFE" w:rsidRPr="009B2722">
        <w:rPr>
          <w:rFonts w:cs="Arial"/>
          <w:lang w:eastAsia="en-ZA"/>
        </w:rPr>
        <w:t xml:space="preserve">To the best of our knowledge this is the first time that these bacterial species of </w:t>
      </w:r>
      <w:r w:rsidR="00AC3DFE" w:rsidRPr="009B2722">
        <w:rPr>
          <w:rFonts w:cs="Arial"/>
          <w:i/>
          <w:lang w:eastAsia="en-ZA"/>
        </w:rPr>
        <w:t>Bacillus</w:t>
      </w:r>
      <w:r w:rsidR="00AC3DFE" w:rsidRPr="009B2722">
        <w:rPr>
          <w:rFonts w:cs="Arial"/>
          <w:lang w:eastAsia="en-ZA"/>
        </w:rPr>
        <w:t xml:space="preserve"> genus has been reported for biological deodorization application. </w:t>
      </w:r>
      <w:r w:rsidRPr="009B2722">
        <w:t xml:space="preserve">The use of indigenous bacterial </w:t>
      </w:r>
      <w:r w:rsidR="00BD2474" w:rsidRPr="009B2722">
        <w:t>strains</w:t>
      </w:r>
      <w:r w:rsidRPr="009B2722">
        <w:t xml:space="preserve"> with bu</w:t>
      </w:r>
      <w:r w:rsidR="00BD2474" w:rsidRPr="009B2722">
        <w:t>ty</w:t>
      </w:r>
      <w:r w:rsidRPr="009B2722">
        <w:t xml:space="preserve">ric acid degrading capabilities as seed </w:t>
      </w:r>
      <w:r w:rsidR="00BD2474" w:rsidRPr="009B2722">
        <w:t>onto pit latrine contaminated with butyric</w:t>
      </w:r>
      <w:r w:rsidR="007E26CA" w:rsidRPr="009B2722">
        <w:t xml:space="preserve"> acid</w:t>
      </w:r>
      <w:r w:rsidR="00BD2474" w:rsidRPr="009B2722">
        <w:t xml:space="preserve"> </w:t>
      </w:r>
      <w:r w:rsidRPr="009B2722">
        <w:t xml:space="preserve">could prove a more environmentally-friendly approach to bioremediation which would </w:t>
      </w:r>
      <w:r w:rsidR="007E26CA" w:rsidRPr="009B2722">
        <w:t xml:space="preserve">have </w:t>
      </w:r>
      <w:r w:rsidRPr="009B2722">
        <w:t>enhance</w:t>
      </w:r>
      <w:r w:rsidR="007E26CA" w:rsidRPr="009B2722">
        <w:t>d</w:t>
      </w:r>
      <w:r w:rsidRPr="009B2722">
        <w:t xml:space="preserve"> sustainable development rather than the use of </w:t>
      </w:r>
      <w:r w:rsidR="00BD2474" w:rsidRPr="009B2722">
        <w:t>alien</w:t>
      </w:r>
      <w:r w:rsidRPr="009B2722">
        <w:t xml:space="preserve"> bacterial strains</w:t>
      </w:r>
      <w:r w:rsidR="00BD2474" w:rsidRPr="009B2722">
        <w:t>.</w:t>
      </w:r>
      <w:r w:rsidR="00AC3DFE" w:rsidRPr="009B2722">
        <w:rPr>
          <w:rFonts w:ascii="Open Sans" w:hAnsi="Open Sans"/>
          <w:sz w:val="26"/>
          <w:szCs w:val="26"/>
        </w:rPr>
        <w:t xml:space="preserve"> </w:t>
      </w:r>
      <w:r w:rsidR="00AC3DFE" w:rsidRPr="009B2722">
        <w:rPr>
          <w:rFonts w:cs="Arial"/>
          <w:szCs w:val="18"/>
        </w:rPr>
        <w:t>The results suggested that the bact</w:t>
      </w:r>
      <w:r w:rsidR="00E817F2" w:rsidRPr="009B2722">
        <w:rPr>
          <w:rFonts w:cs="Arial"/>
          <w:szCs w:val="18"/>
        </w:rPr>
        <w:t>erial strains could be potential</w:t>
      </w:r>
      <w:r w:rsidR="00AC3DFE" w:rsidRPr="009B2722">
        <w:rPr>
          <w:rFonts w:cs="Arial"/>
          <w:szCs w:val="18"/>
        </w:rPr>
        <w:t xml:space="preserve"> candidate</w:t>
      </w:r>
      <w:r w:rsidR="00E817F2" w:rsidRPr="009B2722">
        <w:rPr>
          <w:rFonts w:cs="Arial"/>
          <w:szCs w:val="18"/>
        </w:rPr>
        <w:t>s</w:t>
      </w:r>
      <w:r w:rsidR="00AC3DFE" w:rsidRPr="009B2722">
        <w:rPr>
          <w:rFonts w:cs="Arial"/>
          <w:szCs w:val="18"/>
        </w:rPr>
        <w:t xml:space="preserve"> for pit latrine biological deodorization</w:t>
      </w:r>
      <w:r w:rsidR="004F4D85" w:rsidRPr="009B2722">
        <w:rPr>
          <w:rFonts w:cs="Arial"/>
          <w:szCs w:val="18"/>
        </w:rPr>
        <w:t>.</w:t>
      </w:r>
    </w:p>
    <w:p w:rsidR="00F60AF7" w:rsidRPr="009B2722" w:rsidRDefault="00F60AF7" w:rsidP="00AC3DFE">
      <w:pPr>
        <w:shd w:val="clear" w:color="auto" w:fill="FFFFFF"/>
        <w:spacing w:line="240" w:lineRule="auto"/>
        <w:rPr>
          <w:rFonts w:cs="Arial"/>
          <w:szCs w:val="18"/>
          <w:lang w:eastAsia="en-ZA"/>
        </w:rPr>
      </w:pPr>
    </w:p>
    <w:p w:rsidR="00F83D1C" w:rsidRPr="009B2722" w:rsidRDefault="00F83D1C" w:rsidP="00600535">
      <w:pPr>
        <w:pStyle w:val="CETAcknowledgementstitle"/>
      </w:pPr>
    </w:p>
    <w:p w:rsidR="00600535" w:rsidRPr="009B2722" w:rsidRDefault="00600535" w:rsidP="00600535">
      <w:pPr>
        <w:pStyle w:val="CETAcknowledgementstitle"/>
      </w:pPr>
      <w:r w:rsidRPr="009B2722">
        <w:lastRenderedPageBreak/>
        <w:t>Acknowledgments</w:t>
      </w:r>
    </w:p>
    <w:p w:rsidR="00A90550" w:rsidRPr="009B2722" w:rsidRDefault="00C35122" w:rsidP="002103F9">
      <w:pPr>
        <w:shd w:val="clear" w:color="auto" w:fill="FFFFFF"/>
        <w:tabs>
          <w:tab w:val="clear" w:pos="7100"/>
        </w:tabs>
        <w:spacing w:line="240" w:lineRule="auto"/>
        <w:rPr>
          <w:rFonts w:cs="Arial"/>
          <w:szCs w:val="18"/>
          <w:lang w:val="en-ZA" w:eastAsia="en-ZA"/>
        </w:rPr>
      </w:pPr>
      <w:r w:rsidRPr="009B2722">
        <w:rPr>
          <w:rFonts w:cs="Arial"/>
        </w:rPr>
        <w:t>This work was supported financially in part by</w:t>
      </w:r>
      <w:r w:rsidRPr="009B2722">
        <w:rPr>
          <w:rFonts w:cs="Arial"/>
          <w:lang w:eastAsia="en-ZA"/>
        </w:rPr>
        <w:t xml:space="preserve"> the National Research Foundation (NRF), South Africa </w:t>
      </w:r>
      <w:r w:rsidRPr="009B2722">
        <w:rPr>
          <w:rFonts w:eastAsia="Calibri" w:cs="Arial"/>
        </w:rPr>
        <w:t>Competitive Programme for Rated Researchers Grant No. CSUR18021531353</w:t>
      </w:r>
      <w:r w:rsidR="009F5E2D" w:rsidRPr="009B2722">
        <w:rPr>
          <w:rFonts w:eastAsia="Calibri" w:cs="Arial"/>
        </w:rPr>
        <w:t xml:space="preserve">4 awarded to Prof. Evans Chirwa. </w:t>
      </w:r>
      <w:r w:rsidR="0009624F" w:rsidRPr="009B2722">
        <w:rPr>
          <w:rFonts w:eastAsia="Calibri" w:cs="Arial"/>
        </w:rPr>
        <w:t xml:space="preserve"> The co-author, </w:t>
      </w:r>
      <w:r w:rsidRPr="009B2722">
        <w:rPr>
          <w:rFonts w:eastAsia="Calibri" w:cs="Arial"/>
        </w:rPr>
        <w:t>John Njalam’mano</w:t>
      </w:r>
      <w:r w:rsidR="0009624F" w:rsidRPr="009B2722">
        <w:rPr>
          <w:rFonts w:eastAsia="Calibri" w:cs="Arial"/>
        </w:rPr>
        <w:t>,</w:t>
      </w:r>
      <w:r w:rsidRPr="009B2722">
        <w:rPr>
          <w:rFonts w:eastAsia="Calibri" w:cs="Arial"/>
        </w:rPr>
        <w:t xml:space="preserve"> </w:t>
      </w:r>
      <w:r w:rsidR="009F5E2D" w:rsidRPr="009B2722">
        <w:rPr>
          <w:rFonts w:eastAsia="Calibri" w:cs="Arial"/>
        </w:rPr>
        <w:t xml:space="preserve">received a Commonwealth scholarship </w:t>
      </w:r>
      <w:r w:rsidRPr="009B2722">
        <w:rPr>
          <w:rFonts w:eastAsia="Calibri" w:cs="Arial"/>
        </w:rPr>
        <w:t>through the Department of Research and Innovation at the University of Pretoria.</w:t>
      </w:r>
      <w:r w:rsidR="00986447" w:rsidRPr="009B2722">
        <w:rPr>
          <w:rFonts w:ascii="Times New Roman" w:hAnsi="Times New Roman"/>
          <w:sz w:val="57"/>
          <w:szCs w:val="57"/>
          <w:lang w:val="en-ZA" w:eastAsia="en-ZA"/>
        </w:rPr>
        <w:t xml:space="preserve"> </w:t>
      </w:r>
      <w:r w:rsidR="009F5E2D" w:rsidRPr="009B2722">
        <w:rPr>
          <w:rFonts w:cs="Arial"/>
          <w:szCs w:val="18"/>
          <w:lang w:val="en-ZA" w:eastAsia="en-ZA"/>
        </w:rPr>
        <w:t>Thanks are given to Prof. Fanus Venter for technical assistance.</w:t>
      </w:r>
    </w:p>
    <w:p w:rsidR="006B4194" w:rsidRPr="009B2722" w:rsidRDefault="006B4194" w:rsidP="002103F9">
      <w:pPr>
        <w:shd w:val="clear" w:color="auto" w:fill="FFFFFF"/>
        <w:tabs>
          <w:tab w:val="clear" w:pos="7100"/>
        </w:tabs>
        <w:spacing w:line="240" w:lineRule="auto"/>
        <w:rPr>
          <w:rFonts w:cs="Arial"/>
          <w:szCs w:val="18"/>
          <w:lang w:val="en-ZA" w:eastAsia="en-ZA"/>
        </w:rPr>
      </w:pPr>
    </w:p>
    <w:p w:rsidR="00600535" w:rsidRDefault="00600535" w:rsidP="002103F9">
      <w:pPr>
        <w:shd w:val="clear" w:color="auto" w:fill="FFFFFF"/>
        <w:tabs>
          <w:tab w:val="clear" w:pos="7100"/>
        </w:tabs>
        <w:spacing w:line="240" w:lineRule="auto"/>
        <w:rPr>
          <w:b/>
        </w:rPr>
      </w:pPr>
      <w:r w:rsidRPr="009B2722">
        <w:rPr>
          <w:b/>
        </w:rPr>
        <w:t>References</w:t>
      </w:r>
    </w:p>
    <w:p w:rsidR="00D25E9B" w:rsidRPr="009B2722" w:rsidRDefault="00D25E9B" w:rsidP="002103F9">
      <w:pPr>
        <w:shd w:val="clear" w:color="auto" w:fill="FFFFFF"/>
        <w:tabs>
          <w:tab w:val="clear" w:pos="7100"/>
        </w:tabs>
        <w:spacing w:line="240" w:lineRule="auto"/>
        <w:rPr>
          <w:b/>
        </w:rPr>
      </w:pPr>
      <w:bookmarkStart w:id="1" w:name="_GoBack"/>
      <w:bookmarkEnd w:id="1"/>
    </w:p>
    <w:p w:rsidR="00162BDC" w:rsidRPr="009B2722" w:rsidRDefault="00162BDC" w:rsidP="00162BDC">
      <w:pPr>
        <w:pStyle w:val="CETReferencetext"/>
        <w:rPr>
          <w:rFonts w:cs="Arial"/>
        </w:rPr>
      </w:pPr>
      <w:r w:rsidRPr="009B2722">
        <w:rPr>
          <w:rFonts w:cs="Arial"/>
        </w:rPr>
        <w:t xml:space="preserve">Chin, S., Ishmael, N.S., </w:t>
      </w:r>
      <w:r w:rsidRPr="009B2722">
        <w:rPr>
          <w:rFonts w:cs="Arial"/>
          <w:noProof/>
        </w:rPr>
        <w:t>Abudullar</w:t>
      </w:r>
      <w:r w:rsidRPr="009B2722">
        <w:rPr>
          <w:rFonts w:cs="Arial"/>
        </w:rPr>
        <w:t>, A, A.</w:t>
      </w:r>
      <w:r w:rsidR="00651856" w:rsidRPr="009B2722">
        <w:rPr>
          <w:rFonts w:cs="Arial"/>
        </w:rPr>
        <w:t xml:space="preserve">, Yahya, A.R.M.,2010, </w:t>
      </w:r>
      <w:r w:rsidRPr="009B2722">
        <w:rPr>
          <w:rFonts w:cs="Arial"/>
        </w:rPr>
        <w:t xml:space="preserve">Aerobic degradation of volatile fatty acids by bacterial strain isolated from rivers and cow farm in </w:t>
      </w:r>
      <w:r w:rsidR="00651856" w:rsidRPr="009B2722">
        <w:rPr>
          <w:rFonts w:cs="Arial"/>
        </w:rPr>
        <w:t>Malaysia, Journal</w:t>
      </w:r>
      <w:r w:rsidRPr="009B2722">
        <w:rPr>
          <w:rFonts w:cs="Arial"/>
        </w:rPr>
        <w:t xml:space="preserve"> </w:t>
      </w:r>
      <w:r w:rsidR="00651856" w:rsidRPr="009B2722">
        <w:rPr>
          <w:rFonts w:cs="Arial"/>
        </w:rPr>
        <w:t xml:space="preserve">of </w:t>
      </w:r>
      <w:r w:rsidR="00651856" w:rsidRPr="009B2722">
        <w:rPr>
          <w:rFonts w:cs="Arial"/>
          <w:shd w:val="clear" w:color="auto" w:fill="FFFFFF"/>
        </w:rPr>
        <w:t>Bioremediation</w:t>
      </w:r>
      <w:r w:rsidRPr="009B2722">
        <w:rPr>
          <w:rFonts w:cs="Arial"/>
          <w:shd w:val="clear" w:color="auto" w:fill="FFFFFF"/>
        </w:rPr>
        <w:t xml:space="preserve"> </w:t>
      </w:r>
      <w:r w:rsidR="00651856" w:rsidRPr="009B2722">
        <w:rPr>
          <w:rFonts w:cs="Arial"/>
          <w:shd w:val="clear" w:color="auto" w:fill="FFFFFF"/>
        </w:rPr>
        <w:t>and Biodegradation</w:t>
      </w:r>
      <w:r w:rsidRPr="009B2722">
        <w:rPr>
          <w:rFonts w:cs="Arial"/>
        </w:rPr>
        <w:t xml:space="preserve"> 1:100-111</w:t>
      </w:r>
      <w:r w:rsidR="00651856" w:rsidRPr="009B2722">
        <w:rPr>
          <w:rFonts w:cs="Arial"/>
        </w:rPr>
        <w:t>.</w:t>
      </w:r>
    </w:p>
    <w:p w:rsidR="000E171F" w:rsidRPr="009B2722" w:rsidRDefault="000E171F" w:rsidP="000E171F">
      <w:pPr>
        <w:pStyle w:val="CETReferencetext"/>
        <w:rPr>
          <w:rFonts w:cs="Arial"/>
        </w:rPr>
      </w:pPr>
      <w:r w:rsidRPr="009B2722">
        <w:rPr>
          <w:rFonts w:cs="Arial"/>
        </w:rPr>
        <w:t>Duku, G.A., Nya</w:t>
      </w:r>
      <w:r w:rsidR="00C35122" w:rsidRPr="009B2722">
        <w:rPr>
          <w:rFonts w:cs="Arial"/>
        </w:rPr>
        <w:t xml:space="preserve">rko, K.B., </w:t>
      </w:r>
      <w:r w:rsidRPr="009B2722">
        <w:rPr>
          <w:rFonts w:cs="Arial"/>
        </w:rPr>
        <w:t>Appiah-Effah, E., 2018, Alternative low-cost latrine option for rural and peri-urban communities. In: Shaw, R.J. (Ed), Transformation towards sustainable and resilient WASH services: Proceedings of the 41</w:t>
      </w:r>
      <w:r w:rsidRPr="009B2722">
        <w:rPr>
          <w:rFonts w:cs="Arial"/>
          <w:vertAlign w:val="superscript"/>
        </w:rPr>
        <w:t>st</w:t>
      </w:r>
      <w:r w:rsidRPr="009B2722">
        <w:rPr>
          <w:rFonts w:cs="Arial"/>
        </w:rPr>
        <w:t xml:space="preserve"> WEDC International Conference, Nakuru, Kenya, 9-13 July 2018, paper 2974, pp 7.</w:t>
      </w:r>
    </w:p>
    <w:p w:rsidR="000E171F" w:rsidRPr="009B2722" w:rsidRDefault="000E171F" w:rsidP="000E171F">
      <w:pPr>
        <w:pStyle w:val="CETReferencetext"/>
        <w:rPr>
          <w:rStyle w:val="Strong"/>
          <w:rFonts w:cs="Arial"/>
          <w:b w:val="0"/>
          <w:shd w:val="clear" w:color="auto" w:fill="F5F5F5"/>
        </w:rPr>
      </w:pPr>
      <w:r w:rsidRPr="009B2722">
        <w:rPr>
          <w:rFonts w:cs="Arial"/>
        </w:rPr>
        <w:t>Graham, J.P. and Polizzotto, M.L., 2013,</w:t>
      </w:r>
      <w:r w:rsidRPr="009B2722">
        <w:rPr>
          <w:rFonts w:cs="Arial"/>
          <w:b/>
        </w:rPr>
        <w:t xml:space="preserve"> </w:t>
      </w:r>
      <w:r w:rsidRPr="009B2722">
        <w:rPr>
          <w:rStyle w:val="Strong"/>
          <w:rFonts w:cs="Arial"/>
          <w:b w:val="0"/>
          <w:shd w:val="clear" w:color="auto" w:fill="F5F5F5"/>
        </w:rPr>
        <w:t>Pit latrines and their impacts on groundwater quality: a systematic review, Environmental Health Perspective 5: 521-530.</w:t>
      </w:r>
    </w:p>
    <w:p w:rsidR="003F3AA8" w:rsidRPr="009B2722" w:rsidRDefault="003F3AA8" w:rsidP="000E171F">
      <w:pPr>
        <w:pStyle w:val="CETReferencetext"/>
        <w:rPr>
          <w:rStyle w:val="Strong"/>
          <w:rFonts w:cs="Arial"/>
          <w:b w:val="0"/>
          <w:shd w:val="clear" w:color="auto" w:fill="F5F5F5"/>
        </w:rPr>
      </w:pPr>
      <w:r w:rsidRPr="009B2722">
        <w:rPr>
          <w:rStyle w:val="Strong"/>
          <w:rFonts w:cs="Arial"/>
          <w:b w:val="0"/>
          <w:shd w:val="clear" w:color="auto" w:fill="F5F5F5"/>
        </w:rPr>
        <w:t xml:space="preserve">Hommais, F, Krin, E., Laurent-Winter, C., Soutourina, O. Malpertuy, A., LeCaer, J-P., Danchin, A., Bertin, P., 2001, Scale monitoring of pleiotropic of gene </w:t>
      </w:r>
      <w:r w:rsidR="00C60F4F" w:rsidRPr="009B2722">
        <w:rPr>
          <w:rStyle w:val="Strong"/>
          <w:rFonts w:cs="Arial"/>
          <w:b w:val="0"/>
          <w:shd w:val="clear" w:color="auto" w:fill="F5F5F5"/>
        </w:rPr>
        <w:t>expression by</w:t>
      </w:r>
      <w:r w:rsidRPr="009B2722">
        <w:rPr>
          <w:rStyle w:val="Strong"/>
          <w:rFonts w:cs="Arial"/>
          <w:b w:val="0"/>
          <w:shd w:val="clear" w:color="auto" w:fill="F5F5F5"/>
        </w:rPr>
        <w:t xml:space="preserve"> the prokaryotic nucleoid associated protein H-NS, Molecular Microbiology 40(1):20-36.</w:t>
      </w:r>
    </w:p>
    <w:p w:rsidR="002116E4" w:rsidRPr="009B2722" w:rsidRDefault="002116E4" w:rsidP="000E171F">
      <w:pPr>
        <w:pStyle w:val="CETReferencetext"/>
        <w:rPr>
          <w:rStyle w:val="Strong"/>
          <w:rFonts w:cs="Arial"/>
          <w:b w:val="0"/>
          <w:shd w:val="clear" w:color="auto" w:fill="F5F5F5"/>
        </w:rPr>
      </w:pPr>
      <w:r w:rsidRPr="009B2722">
        <w:rPr>
          <w:rStyle w:val="Strong"/>
          <w:rFonts w:cs="Arial"/>
          <w:b w:val="0"/>
          <w:shd w:val="clear" w:color="auto" w:fill="F5F5F5"/>
        </w:rPr>
        <w:t>Jeong. K.C., Hung, K.F., Bumler, J.D., Byrd, J.J., Kas</w:t>
      </w:r>
      <w:r w:rsidR="00C60F4F" w:rsidRPr="009B2722">
        <w:rPr>
          <w:rStyle w:val="Strong"/>
          <w:rFonts w:cs="Arial"/>
          <w:b w:val="0"/>
          <w:shd w:val="clear" w:color="auto" w:fill="F5F5F5"/>
        </w:rPr>
        <w:t>par, C.</w:t>
      </w:r>
      <w:r w:rsidRPr="009B2722">
        <w:rPr>
          <w:rStyle w:val="Strong"/>
          <w:rFonts w:cs="Arial"/>
          <w:b w:val="0"/>
          <w:shd w:val="clear" w:color="auto" w:fill="F5F5F5"/>
        </w:rPr>
        <w:t>W., 2008</w:t>
      </w:r>
      <w:r w:rsidR="00F8369D" w:rsidRPr="009B2722">
        <w:rPr>
          <w:rStyle w:val="Strong"/>
          <w:rFonts w:cs="Arial"/>
          <w:b w:val="0"/>
          <w:shd w:val="clear" w:color="auto" w:fill="F5F5F5"/>
        </w:rPr>
        <w:t xml:space="preserve">, Acid stress damage of DNA is prevented by Dps binding in </w:t>
      </w:r>
      <w:r w:rsidR="00F8369D" w:rsidRPr="009B2722">
        <w:rPr>
          <w:rStyle w:val="Strong"/>
          <w:rFonts w:cs="Arial"/>
          <w:b w:val="0"/>
          <w:i/>
          <w:shd w:val="clear" w:color="auto" w:fill="F5F5F5"/>
        </w:rPr>
        <w:t>Escherichia coli</w:t>
      </w:r>
      <w:r w:rsidR="00F8369D" w:rsidRPr="009B2722">
        <w:rPr>
          <w:rStyle w:val="Strong"/>
          <w:rFonts w:cs="Arial"/>
          <w:b w:val="0"/>
          <w:shd w:val="clear" w:color="auto" w:fill="F5F5F5"/>
        </w:rPr>
        <w:t xml:space="preserve"> 0157:H7, BMC Microbiology 8 (81): 1-37.</w:t>
      </w:r>
    </w:p>
    <w:p w:rsidR="00CA7169" w:rsidRPr="009B2722" w:rsidRDefault="00CA7169" w:rsidP="000E171F">
      <w:pPr>
        <w:pStyle w:val="CETReferencetext"/>
        <w:rPr>
          <w:rStyle w:val="Strong"/>
          <w:rFonts w:cs="Arial"/>
          <w:b w:val="0"/>
          <w:shd w:val="clear" w:color="auto" w:fill="F5F5F5"/>
        </w:rPr>
      </w:pPr>
      <w:r w:rsidRPr="009B2722">
        <w:rPr>
          <w:rStyle w:val="Strong"/>
          <w:rFonts w:cs="Arial"/>
          <w:b w:val="0"/>
          <w:shd w:val="clear" w:color="auto" w:fill="F5F5F5"/>
        </w:rPr>
        <w:t>Jain, P., Sinha</w:t>
      </w:r>
      <w:r w:rsidR="00E67800" w:rsidRPr="009B2722">
        <w:rPr>
          <w:rStyle w:val="Strong"/>
          <w:rFonts w:cs="Arial"/>
          <w:b w:val="0"/>
          <w:shd w:val="clear" w:color="auto" w:fill="F5F5F5"/>
        </w:rPr>
        <w:t>, S., 2008, Neutrophiles: Acid c</w:t>
      </w:r>
      <w:r w:rsidRPr="009B2722">
        <w:rPr>
          <w:rStyle w:val="Strong"/>
          <w:rFonts w:cs="Arial"/>
          <w:b w:val="0"/>
          <w:shd w:val="clear" w:color="auto" w:fill="F5F5F5"/>
        </w:rPr>
        <w:t>hallenge</w:t>
      </w:r>
      <w:r w:rsidR="00E67800" w:rsidRPr="009B2722">
        <w:rPr>
          <w:rStyle w:val="Strong"/>
          <w:rFonts w:cs="Arial"/>
          <w:b w:val="0"/>
          <w:shd w:val="clear" w:color="auto" w:fill="F5F5F5"/>
        </w:rPr>
        <w:t xml:space="preserve"> and comparison with acidophiles. The Internet Journal of Microbiology 7 (1):1-10.</w:t>
      </w:r>
    </w:p>
    <w:p w:rsidR="009B2722" w:rsidRPr="009B2722" w:rsidRDefault="000E171F" w:rsidP="009B2722">
      <w:pPr>
        <w:tabs>
          <w:tab w:val="clear" w:pos="7100"/>
        </w:tabs>
        <w:spacing w:line="240" w:lineRule="auto"/>
        <w:jc w:val="left"/>
        <w:rPr>
          <w:rFonts w:cs="Arial"/>
          <w:sz w:val="20"/>
          <w:lang w:val="en-ZA" w:eastAsia="en-ZA"/>
        </w:rPr>
      </w:pPr>
      <w:r w:rsidRPr="009B2722">
        <w:rPr>
          <w:rStyle w:val="Strong"/>
          <w:b w:val="0"/>
          <w:bCs w:val="0"/>
          <w:shd w:val="clear" w:color="auto" w:fill="F5F5F5"/>
        </w:rPr>
        <w:t>Langford</w:t>
      </w:r>
      <w:r w:rsidRPr="009B2722">
        <w:rPr>
          <w:rFonts w:cs="Arial"/>
          <w:b/>
        </w:rPr>
        <w:t>,</w:t>
      </w:r>
      <w:r w:rsidRPr="009B2722">
        <w:rPr>
          <w:rFonts w:cs="Arial"/>
        </w:rPr>
        <w:t xml:space="preserve"> M., Bartram, J., Roaf, V. ,2017, The</w:t>
      </w:r>
      <w:r w:rsidR="00F8369D" w:rsidRPr="009B2722">
        <w:rPr>
          <w:rFonts w:cs="Arial"/>
        </w:rPr>
        <w:t xml:space="preserve"> human right to sanitation</w:t>
      </w:r>
      <w:r w:rsidRPr="009B2722">
        <w:rPr>
          <w:rFonts w:cs="Arial"/>
        </w:rPr>
        <w:t>: In Langford, M. and Russell A.F.S.</w:t>
      </w:r>
      <w:r w:rsidR="00E67800" w:rsidRPr="009B2722">
        <w:rPr>
          <w:rFonts w:cs="Arial"/>
        </w:rPr>
        <w:t xml:space="preserve">(Ed), </w:t>
      </w:r>
      <w:r w:rsidRPr="009B2722">
        <w:rPr>
          <w:rFonts w:cs="Arial"/>
        </w:rPr>
        <w:t xml:space="preserve">The </w:t>
      </w:r>
      <w:r w:rsidR="00E67800" w:rsidRPr="009B2722">
        <w:rPr>
          <w:rFonts w:cs="Arial"/>
        </w:rPr>
        <w:t>human right to water theory, practice and prospects,</w:t>
      </w:r>
      <w:r w:rsidRPr="009B2722">
        <w:rPr>
          <w:rFonts w:cs="Arial"/>
        </w:rPr>
        <w:t xml:space="preserve"> The Oxford University, Cambridge University Press, pp 300-344.</w:t>
      </w:r>
      <w:r w:rsidR="009B2722" w:rsidRPr="009B2722">
        <w:rPr>
          <w:rFonts w:cs="Arial"/>
          <w:sz w:val="20"/>
          <w:lang w:val="en-ZA" w:eastAsia="en-ZA"/>
        </w:rPr>
        <w:t xml:space="preserve"> </w:t>
      </w:r>
    </w:p>
    <w:p w:rsidR="009B2722" w:rsidRPr="009B2722" w:rsidRDefault="009B2722" w:rsidP="009B2722">
      <w:pPr>
        <w:pStyle w:val="CETReferencetext"/>
        <w:rPr>
          <w:rFonts w:cs="Arial"/>
          <w:szCs w:val="18"/>
          <w:lang w:val="en-ZA" w:eastAsia="en-ZA"/>
        </w:rPr>
      </w:pPr>
      <w:r w:rsidRPr="009B2722">
        <w:rPr>
          <w:rFonts w:cs="Arial"/>
          <w:szCs w:val="18"/>
          <w:lang w:val="en-ZA" w:eastAsia="en-ZA"/>
        </w:rPr>
        <w:t xml:space="preserve">Li,L.,  Han,Y.,  Liu, J., 2012, </w:t>
      </w:r>
      <w:r w:rsidRPr="009B2722">
        <w:rPr>
          <w:rFonts w:cs="Arial"/>
          <w:bCs/>
          <w:szCs w:val="18"/>
          <w:lang w:val="en-ZA" w:eastAsia="en-ZA"/>
        </w:rPr>
        <w:t xml:space="preserve">Performance and bacterial community diversity of a full-scale biofilter treating leachate odor in a sanitary landfill site, </w:t>
      </w:r>
      <w:r w:rsidRPr="009B2722">
        <w:rPr>
          <w:rFonts w:cs="Arial"/>
          <w:szCs w:val="18"/>
          <w:lang w:val="en-ZA" w:eastAsia="en-ZA"/>
        </w:rPr>
        <w:t>Water, Air and Soil Pollution., 223:5599-5611.</w:t>
      </w:r>
    </w:p>
    <w:p w:rsidR="000E171F" w:rsidRPr="009B2722" w:rsidRDefault="000E171F" w:rsidP="009B2722">
      <w:pPr>
        <w:pStyle w:val="CETReferencetext"/>
        <w:rPr>
          <w:rFonts w:cs="Arial"/>
          <w:sz w:val="20"/>
          <w:lang w:val="en-ZA" w:eastAsia="en-ZA"/>
        </w:rPr>
      </w:pPr>
      <w:r w:rsidRPr="009B2722">
        <w:rPr>
          <w:rFonts w:cs="Arial"/>
        </w:rPr>
        <w:t>Lin</w:t>
      </w:r>
      <w:r w:rsidR="00C35122" w:rsidRPr="009B2722">
        <w:rPr>
          <w:rFonts w:cs="Arial"/>
          <w:spacing w:val="2"/>
          <w:shd w:val="clear" w:color="auto" w:fill="FCFCFC"/>
        </w:rPr>
        <w:t xml:space="preserve">, J., Aoll, </w:t>
      </w:r>
      <w:r w:rsidRPr="009B2722">
        <w:rPr>
          <w:rFonts w:cs="Arial"/>
          <w:spacing w:val="2"/>
          <w:shd w:val="clear" w:color="auto" w:fill="FCFCFC"/>
        </w:rPr>
        <w:t>J</w:t>
      </w:r>
      <w:r w:rsidR="00C35122" w:rsidRPr="009B2722">
        <w:rPr>
          <w:rFonts w:cs="Arial"/>
          <w:spacing w:val="2"/>
          <w:shd w:val="clear" w:color="auto" w:fill="FCFCFC"/>
        </w:rPr>
        <w:t>.</w:t>
      </w:r>
      <w:r w:rsidRPr="009B2722">
        <w:rPr>
          <w:rFonts w:cs="Arial"/>
          <w:spacing w:val="2"/>
          <w:shd w:val="clear" w:color="auto" w:fill="FCFCFC"/>
        </w:rPr>
        <w:t>, Nic</w:t>
      </w:r>
      <w:r w:rsidR="00C35122" w:rsidRPr="009B2722">
        <w:rPr>
          <w:rFonts w:cs="Arial"/>
          <w:spacing w:val="2"/>
          <w:shd w:val="clear" w:color="auto" w:fill="FCFCFC"/>
        </w:rPr>
        <w:t xml:space="preserve">lass, </w:t>
      </w:r>
      <w:r w:rsidRPr="009B2722">
        <w:rPr>
          <w:rFonts w:cs="Arial"/>
          <w:spacing w:val="2"/>
          <w:shd w:val="clear" w:color="auto" w:fill="FCFCFC"/>
        </w:rPr>
        <w:t xml:space="preserve">Y., Velazco, M.I., Wünsche, L., Pika, J., </w:t>
      </w:r>
      <w:r w:rsidR="00C35122" w:rsidRPr="009B2722">
        <w:rPr>
          <w:rFonts w:cs="Arial"/>
          <w:spacing w:val="2"/>
          <w:shd w:val="clear" w:color="auto" w:fill="FCFCFC"/>
        </w:rPr>
        <w:t xml:space="preserve">Starkenmann, </w:t>
      </w:r>
      <w:r w:rsidRPr="009B2722">
        <w:rPr>
          <w:rFonts w:cs="Arial"/>
          <w:spacing w:val="2"/>
          <w:shd w:val="clear" w:color="auto" w:fill="FCFCFC"/>
        </w:rPr>
        <w:t>C</w:t>
      </w:r>
      <w:r w:rsidR="00C35122" w:rsidRPr="009B2722">
        <w:rPr>
          <w:rFonts w:cs="Arial"/>
          <w:spacing w:val="2"/>
          <w:shd w:val="clear" w:color="auto" w:fill="FCFCFC"/>
        </w:rPr>
        <w:t>., 2013,</w:t>
      </w:r>
      <w:r w:rsidRPr="009B2722">
        <w:rPr>
          <w:rFonts w:cs="Arial"/>
          <w:spacing w:val="2"/>
          <w:shd w:val="clear" w:color="auto" w:fill="FCFCFC"/>
        </w:rPr>
        <w:t xml:space="preserve"> Qualitative and quantitative analysis of volat</w:t>
      </w:r>
      <w:r w:rsidR="00C35122" w:rsidRPr="009B2722">
        <w:rPr>
          <w:rFonts w:cs="Arial"/>
          <w:spacing w:val="2"/>
          <w:shd w:val="clear" w:color="auto" w:fill="FCFCFC"/>
        </w:rPr>
        <w:t xml:space="preserve">ile constituents from latrines, </w:t>
      </w:r>
      <w:r w:rsidRPr="009B2722">
        <w:rPr>
          <w:rFonts w:cs="Arial"/>
          <w:spacing w:val="2"/>
          <w:shd w:val="clear" w:color="auto" w:fill="FCFCFC"/>
        </w:rPr>
        <w:t>Environmental Science and Technology 47:7876–7882.</w:t>
      </w:r>
    </w:p>
    <w:p w:rsidR="002116E4" w:rsidRPr="009B2722" w:rsidRDefault="002116E4" w:rsidP="000E171F">
      <w:pPr>
        <w:pStyle w:val="CETReferencetext"/>
        <w:rPr>
          <w:rFonts w:cs="Arial"/>
          <w:spacing w:val="2"/>
          <w:shd w:val="clear" w:color="auto" w:fill="FCFCFC"/>
        </w:rPr>
      </w:pPr>
      <w:r w:rsidRPr="009B2722">
        <w:rPr>
          <w:rFonts w:cs="Arial"/>
          <w:spacing w:val="2"/>
          <w:shd w:val="clear" w:color="auto" w:fill="FCFCFC"/>
        </w:rPr>
        <w:t>Lund</w:t>
      </w:r>
      <w:r w:rsidR="00F8369D" w:rsidRPr="009B2722">
        <w:rPr>
          <w:rFonts w:cs="Arial"/>
          <w:spacing w:val="2"/>
          <w:shd w:val="clear" w:color="auto" w:fill="FCFCFC"/>
        </w:rPr>
        <w:t xml:space="preserve">, P., Tramonti, A., DE Biase, D., 2014, Coping </w:t>
      </w:r>
      <w:r w:rsidR="0009624F" w:rsidRPr="009B2722">
        <w:rPr>
          <w:rFonts w:cs="Arial"/>
          <w:spacing w:val="2"/>
          <w:shd w:val="clear" w:color="auto" w:fill="FCFCFC"/>
        </w:rPr>
        <w:t>with low pH: Molecular strategies in neutralophilic bacteria, FEMS Microbiology Reviews 38(6): 1091-1125.</w:t>
      </w:r>
    </w:p>
    <w:p w:rsidR="006B4194" w:rsidRPr="009B2722" w:rsidRDefault="006B4194" w:rsidP="000E171F">
      <w:pPr>
        <w:pStyle w:val="CETReferencetext"/>
        <w:rPr>
          <w:rFonts w:cs="Arial"/>
          <w:spacing w:val="2"/>
          <w:shd w:val="clear" w:color="auto" w:fill="FCFCFC"/>
        </w:rPr>
      </w:pPr>
      <w:r w:rsidRPr="009B2722">
        <w:rPr>
          <w:rFonts w:cs="Arial"/>
        </w:rPr>
        <w:t>Montgomery, M.A.</w:t>
      </w:r>
      <w:r w:rsidRPr="009B2722">
        <w:rPr>
          <w:rFonts w:cs="Arial"/>
        </w:rPr>
        <w:t>,  Bartram,J.</w:t>
      </w:r>
      <w:r w:rsidRPr="009B2722">
        <w:rPr>
          <w:rFonts w:cs="Arial"/>
        </w:rPr>
        <w:t xml:space="preserve">, Elimelech, M., </w:t>
      </w:r>
      <w:r w:rsidRPr="009B2722">
        <w:rPr>
          <w:rFonts w:cs="Arial"/>
        </w:rPr>
        <w:t>2009</w:t>
      </w:r>
      <w:r w:rsidRPr="009B2722">
        <w:rPr>
          <w:rFonts w:cs="Arial"/>
        </w:rPr>
        <w:t>,</w:t>
      </w:r>
      <w:r w:rsidRPr="009B2722">
        <w:rPr>
          <w:rFonts w:cs="Arial"/>
        </w:rPr>
        <w:t xml:space="preserve"> Increasing functional sustainability of water and sanitation supplies</w:t>
      </w:r>
      <w:r w:rsidRPr="009B2722">
        <w:rPr>
          <w:rFonts w:cs="Arial"/>
        </w:rPr>
        <w:t xml:space="preserve"> in Rural Sub-Saharan Africa, </w:t>
      </w:r>
      <w:r w:rsidRPr="009B2722">
        <w:rPr>
          <w:rFonts w:cs="Arial"/>
        </w:rPr>
        <w:t>Environmental Engineering Science 26: 5.</w:t>
      </w:r>
    </w:p>
    <w:p w:rsidR="004F4D85" w:rsidRPr="009B2722" w:rsidRDefault="004F4D85" w:rsidP="000E171F">
      <w:pPr>
        <w:pStyle w:val="CETReferencetext"/>
        <w:rPr>
          <w:rFonts w:cs="Arial"/>
          <w:spacing w:val="2"/>
          <w:shd w:val="clear" w:color="auto" w:fill="FCFCFC"/>
        </w:rPr>
      </w:pPr>
      <w:r w:rsidRPr="009B2722">
        <w:t>Njalam mano J.B.J., Chirwa E.M.N., Pieterse M., 2017, Optimisation of headspace solid phase microextraction for gas chromatography time-of-flight mass spectrometry analysis of pit latrine key odorants, Chemical Engineering Transactions, 61, 631-636</w:t>
      </w:r>
      <w:r w:rsidR="00D25E9B">
        <w:t>.</w:t>
      </w:r>
    </w:p>
    <w:p w:rsidR="000E171F" w:rsidRPr="009B2722" w:rsidRDefault="000E171F" w:rsidP="000E171F">
      <w:pPr>
        <w:pStyle w:val="CETReferencetext"/>
        <w:rPr>
          <w:rFonts w:cs="Arial"/>
        </w:rPr>
      </w:pPr>
      <w:r w:rsidRPr="009B2722">
        <w:rPr>
          <w:rFonts w:cs="Arial"/>
        </w:rPr>
        <w:t xml:space="preserve">Osibote, B.A., Osibote, I.A., Bolaji, O. M., Ana, G.R.E.E., 2016, Effect of thermal treatment on microbial load of </w:t>
      </w:r>
      <w:r w:rsidRPr="009B2722">
        <w:rPr>
          <w:rFonts w:cs="Arial"/>
          <w:noProof/>
        </w:rPr>
        <w:t>faecal</w:t>
      </w:r>
      <w:r w:rsidRPr="009B2722">
        <w:rPr>
          <w:rFonts w:cs="Arial"/>
        </w:rPr>
        <w:t xml:space="preserve"> sludge from some </w:t>
      </w:r>
      <w:r w:rsidRPr="009B2722">
        <w:rPr>
          <w:rFonts w:cs="Arial"/>
          <w:noProof/>
        </w:rPr>
        <w:t>faecal</w:t>
      </w:r>
      <w:r w:rsidRPr="009B2722">
        <w:rPr>
          <w:rFonts w:cs="Arial"/>
        </w:rPr>
        <w:t xml:space="preserve"> sludge collection sites in Oyo state, South Western Nigeria, </w:t>
      </w:r>
      <w:r w:rsidRPr="009B2722">
        <w:rPr>
          <w:rStyle w:val="st1"/>
          <w:rFonts w:cs="Arial"/>
        </w:rPr>
        <w:t xml:space="preserve">Jordan Journal of Biological Sciences </w:t>
      </w:r>
      <w:r w:rsidRPr="009B2722">
        <w:rPr>
          <w:rFonts w:cs="Arial"/>
        </w:rPr>
        <w:t>9(4): 243-248.</w:t>
      </w:r>
    </w:p>
    <w:p w:rsidR="00A208A1" w:rsidRPr="009B2722" w:rsidRDefault="00A208A1" w:rsidP="000E171F">
      <w:pPr>
        <w:pStyle w:val="CETReferencetext"/>
        <w:rPr>
          <w:rFonts w:cs="Arial"/>
          <w:spacing w:val="2"/>
          <w:shd w:val="clear" w:color="auto" w:fill="FCFCFC"/>
        </w:rPr>
      </w:pPr>
      <w:r w:rsidRPr="009B2722">
        <w:rPr>
          <w:rFonts w:cs="Arial"/>
        </w:rPr>
        <w:t>Padan, E., Bibi, E., Ito, M., Krulwich, T.A., 2005, Alkaline pH homeostasis in bacteria: New insights, Biochim Biophys Acta 1717(2): 67-88.</w:t>
      </w:r>
    </w:p>
    <w:p w:rsidR="000E171F" w:rsidRPr="009B2722" w:rsidRDefault="000E171F" w:rsidP="000E171F">
      <w:pPr>
        <w:pStyle w:val="CETReferencetext"/>
        <w:rPr>
          <w:rFonts w:cs="Arial"/>
          <w:spacing w:val="2"/>
          <w:shd w:val="clear" w:color="auto" w:fill="FCFCFC"/>
        </w:rPr>
      </w:pPr>
      <w:r w:rsidRPr="009B2722">
        <w:rPr>
          <w:rFonts w:cs="Arial"/>
        </w:rPr>
        <w:t>Pomeroy</w:t>
      </w:r>
      <w:r w:rsidRPr="009B2722">
        <w:rPr>
          <w:rFonts w:cs="Arial"/>
          <w:spacing w:val="2"/>
          <w:shd w:val="clear" w:color="auto" w:fill="FCFCFC"/>
        </w:rPr>
        <w:t>, R.D.,1982,</w:t>
      </w:r>
      <w:r w:rsidRPr="009B2722">
        <w:rPr>
          <w:rFonts w:cs="Arial"/>
        </w:rPr>
        <w:t xml:space="preserve"> Biological treatment of odorous air</w:t>
      </w:r>
      <w:r w:rsidRPr="009B2722">
        <w:rPr>
          <w:rFonts w:cs="Arial"/>
          <w:spacing w:val="2"/>
          <w:shd w:val="clear" w:color="auto" w:fill="FCFCFC"/>
        </w:rPr>
        <w:t xml:space="preserve">, </w:t>
      </w:r>
      <w:r w:rsidRPr="009B2722">
        <w:rPr>
          <w:rFonts w:cs="Arial"/>
        </w:rPr>
        <w:t xml:space="preserve">Journal (Water Pollution Control Federation), 54(12): 1541- 1545. </w:t>
      </w:r>
    </w:p>
    <w:p w:rsidR="00E84CE4" w:rsidRPr="009B2722" w:rsidRDefault="00C35122" w:rsidP="00E84CE4">
      <w:pPr>
        <w:pStyle w:val="CETReferencetext"/>
        <w:rPr>
          <w:rFonts w:eastAsia="Calibri" w:cs="Arial"/>
          <w:noProof/>
          <w:lang w:val="en-US"/>
        </w:rPr>
      </w:pPr>
      <w:r w:rsidRPr="009B2722">
        <w:rPr>
          <w:rFonts w:cs="Arial"/>
        </w:rPr>
        <w:t>Roslev</w:t>
      </w:r>
      <w:r w:rsidRPr="009B2722">
        <w:rPr>
          <w:rFonts w:eastAsia="Calibri" w:cs="Arial"/>
          <w:noProof/>
          <w:lang w:val="en-US"/>
        </w:rPr>
        <w:t>, P.</w:t>
      </w:r>
      <w:r w:rsidR="000E171F" w:rsidRPr="009B2722">
        <w:rPr>
          <w:rFonts w:eastAsia="Calibri" w:cs="Arial"/>
          <w:noProof/>
          <w:lang w:val="en-US"/>
        </w:rPr>
        <w:t xml:space="preserve">, </w:t>
      </w:r>
      <w:r w:rsidR="000E171F" w:rsidRPr="009B2722">
        <w:rPr>
          <w:rFonts w:cs="Arial"/>
        </w:rPr>
        <w:t>Madsen</w:t>
      </w:r>
      <w:r w:rsidRPr="009B2722">
        <w:rPr>
          <w:rFonts w:eastAsia="Calibri" w:cs="Arial"/>
          <w:noProof/>
          <w:lang w:val="en-US"/>
        </w:rPr>
        <w:t xml:space="preserve">, P.L., Thyme, J.B., </w:t>
      </w:r>
      <w:r w:rsidR="000E171F" w:rsidRPr="009B2722">
        <w:rPr>
          <w:rFonts w:cs="Arial"/>
        </w:rPr>
        <w:t>Henriksen</w:t>
      </w:r>
      <w:r w:rsidR="000E171F" w:rsidRPr="009B2722">
        <w:rPr>
          <w:rFonts w:eastAsia="Calibri" w:cs="Arial"/>
          <w:noProof/>
          <w:lang w:val="en-US"/>
        </w:rPr>
        <w:t>, K.,1998, Degradation of phthalate and di-(2-ethylhexyl)phthalate by indigenous and inoculated microorganisms in sludge-amended soil, Applied Environmental  Microbiology 64: 4711-4719</w:t>
      </w:r>
      <w:r w:rsidRPr="009B2722">
        <w:rPr>
          <w:rFonts w:eastAsia="Calibri" w:cs="Arial"/>
          <w:noProof/>
          <w:lang w:val="en-US"/>
        </w:rPr>
        <w:t>.</w:t>
      </w:r>
    </w:p>
    <w:p w:rsidR="00A90550" w:rsidRPr="009B2722" w:rsidRDefault="00A90550" w:rsidP="00E84CE4">
      <w:pPr>
        <w:pStyle w:val="CETReferencetext"/>
        <w:rPr>
          <w:rFonts w:eastAsia="Calibri" w:cs="Arial"/>
          <w:noProof/>
          <w:lang w:val="en-US"/>
        </w:rPr>
      </w:pPr>
      <w:r w:rsidRPr="009B2722">
        <w:rPr>
          <w:rFonts w:cs="Arial"/>
          <w:sz w:val="20"/>
        </w:rPr>
        <w:t>United</w:t>
      </w:r>
      <w:r w:rsidRPr="009B2722">
        <w:rPr>
          <w:rFonts w:cs="Arial"/>
          <w:sz w:val="20"/>
        </w:rPr>
        <w:t xml:space="preserve"> Nations General Assembly, 2010,</w:t>
      </w:r>
      <w:r w:rsidRPr="009B2722">
        <w:rPr>
          <w:rFonts w:cs="Arial"/>
          <w:sz w:val="20"/>
        </w:rPr>
        <w:t xml:space="preserve"> Human Rights Council: Resolution 15/9. </w:t>
      </w:r>
      <w:r w:rsidRPr="009B2722">
        <w:rPr>
          <w:rFonts w:cs="Arial"/>
          <w:sz w:val="20"/>
        </w:rPr>
        <w:t xml:space="preserve">Human rights and access to safe drinking water and sanitation, </w:t>
      </w:r>
      <w:r w:rsidR="000E7CA6" w:rsidRPr="009B2722">
        <w:rPr>
          <w:rFonts w:cs="Arial"/>
          <w:sz w:val="20"/>
        </w:rPr>
        <w:t>https://www.right-docs.org/doc/a-hrc-res-15-9/ accessed 12.09.2016.</w:t>
      </w:r>
    </w:p>
    <w:p w:rsidR="0075160F" w:rsidRPr="009B2722" w:rsidRDefault="0075160F" w:rsidP="00E84CE4">
      <w:pPr>
        <w:pStyle w:val="CETReferencetext"/>
        <w:rPr>
          <w:rFonts w:eastAsia="Calibri" w:cs="Arial"/>
          <w:noProof/>
          <w:lang w:val="en-US"/>
        </w:rPr>
      </w:pPr>
      <w:r w:rsidRPr="009B2722">
        <w:t>WHO and UNICEF ,2017, Progress on drinking water, sanitation and hygiene: 2017 Update and SDG baselines https://apps.who.int/iris/bitstream/handle/10665/258617/9789241512893-eng.pdf?sequence=1 accessed 20.10.2017</w:t>
      </w:r>
      <w:r w:rsidR="00D25E9B">
        <w:t>.</w:t>
      </w:r>
    </w:p>
    <w:p w:rsidR="004628D2" w:rsidRPr="009B2722" w:rsidRDefault="00E84CE4" w:rsidP="00E84CE4">
      <w:pPr>
        <w:pStyle w:val="CETReferencetext"/>
        <w:rPr>
          <w:rFonts w:eastAsia="Calibri" w:cs="Arial"/>
          <w:noProof/>
          <w:lang w:val="en-US"/>
        </w:rPr>
      </w:pPr>
      <w:r w:rsidRPr="009B2722">
        <w:rPr>
          <w:rFonts w:cs="Arial"/>
        </w:rPr>
        <w:t>Zuma, L., Velkushanova, K., Buckley, C., 2015, Chemical and thermal properties of VIP latrine sludge, Water SA 41(4):534-540</w:t>
      </w:r>
      <w:r w:rsidR="00D25E9B">
        <w:rPr>
          <w:rFonts w:cs="Arial"/>
        </w:rPr>
        <w:t>.</w:t>
      </w:r>
    </w:p>
    <w:sectPr w:rsidR="004628D2" w:rsidRPr="009B272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95" w:rsidRDefault="00E26995" w:rsidP="004F5E36">
      <w:r>
        <w:separator/>
      </w:r>
    </w:p>
  </w:endnote>
  <w:endnote w:type="continuationSeparator" w:id="0">
    <w:p w:rsidR="00E26995" w:rsidRDefault="00E269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Open 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95" w:rsidRDefault="00E26995" w:rsidP="004F5E36">
      <w:r>
        <w:separator/>
      </w:r>
    </w:p>
  </w:footnote>
  <w:footnote w:type="continuationSeparator" w:id="0">
    <w:p w:rsidR="00E26995" w:rsidRDefault="00E26995"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2"/>
    </w:lvlOverride>
  </w:num>
  <w:num w:numId="23">
    <w:abstractNumId w:val="10"/>
  </w:num>
  <w:num w:numId="24">
    <w:abstractNumId w:val="10"/>
  </w:num>
  <w:num w:numId="25">
    <w:abstractNumId w:val="10"/>
    <w:lvlOverride w:ilvl="0">
      <w:startOverride w:val="1"/>
    </w:lvlOverride>
    <w:lvlOverride w:ilvl="1">
      <w:startOverride w:val="2"/>
    </w:lvlOverride>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52B77"/>
    <w:rsid w:val="00062A9A"/>
    <w:rsid w:val="00065058"/>
    <w:rsid w:val="00074342"/>
    <w:rsid w:val="00085063"/>
    <w:rsid w:val="00085C23"/>
    <w:rsid w:val="00086C39"/>
    <w:rsid w:val="0009624F"/>
    <w:rsid w:val="000A03B2"/>
    <w:rsid w:val="000A3B79"/>
    <w:rsid w:val="000A6C34"/>
    <w:rsid w:val="000C2A6D"/>
    <w:rsid w:val="000D34BE"/>
    <w:rsid w:val="000E102F"/>
    <w:rsid w:val="000E171F"/>
    <w:rsid w:val="000E36F1"/>
    <w:rsid w:val="000E3A73"/>
    <w:rsid w:val="000E414A"/>
    <w:rsid w:val="000E7CA6"/>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2BDC"/>
    <w:rsid w:val="00164CF9"/>
    <w:rsid w:val="0018427C"/>
    <w:rsid w:val="00184AD6"/>
    <w:rsid w:val="001B0349"/>
    <w:rsid w:val="001B65C1"/>
    <w:rsid w:val="001C684B"/>
    <w:rsid w:val="001D53FC"/>
    <w:rsid w:val="001F42A5"/>
    <w:rsid w:val="001F7B9D"/>
    <w:rsid w:val="002103F9"/>
    <w:rsid w:val="002116E4"/>
    <w:rsid w:val="00221710"/>
    <w:rsid w:val="002224B4"/>
    <w:rsid w:val="002447EF"/>
    <w:rsid w:val="00251550"/>
    <w:rsid w:val="00252C1A"/>
    <w:rsid w:val="00263B05"/>
    <w:rsid w:val="0027221A"/>
    <w:rsid w:val="00275B61"/>
    <w:rsid w:val="00282656"/>
    <w:rsid w:val="00296B83"/>
    <w:rsid w:val="002B78CE"/>
    <w:rsid w:val="002C2FB6"/>
    <w:rsid w:val="002D2FE3"/>
    <w:rsid w:val="002D5BCD"/>
    <w:rsid w:val="002E4A25"/>
    <w:rsid w:val="003009B7"/>
    <w:rsid w:val="00300E56"/>
    <w:rsid w:val="0030469C"/>
    <w:rsid w:val="003206CA"/>
    <w:rsid w:val="00321CA6"/>
    <w:rsid w:val="00330EBA"/>
    <w:rsid w:val="00334C09"/>
    <w:rsid w:val="003365E3"/>
    <w:rsid w:val="0036094C"/>
    <w:rsid w:val="003723D4"/>
    <w:rsid w:val="0037486A"/>
    <w:rsid w:val="003849CF"/>
    <w:rsid w:val="00384CC8"/>
    <w:rsid w:val="003871FD"/>
    <w:rsid w:val="003A1E30"/>
    <w:rsid w:val="003A7D1C"/>
    <w:rsid w:val="003B304B"/>
    <w:rsid w:val="003B3146"/>
    <w:rsid w:val="003B60F3"/>
    <w:rsid w:val="003C37E1"/>
    <w:rsid w:val="003E39D3"/>
    <w:rsid w:val="003F015E"/>
    <w:rsid w:val="003F3AA8"/>
    <w:rsid w:val="00400414"/>
    <w:rsid w:val="0041446B"/>
    <w:rsid w:val="0044329C"/>
    <w:rsid w:val="00453AFE"/>
    <w:rsid w:val="004577FE"/>
    <w:rsid w:val="00457B9C"/>
    <w:rsid w:val="0046164A"/>
    <w:rsid w:val="004628D2"/>
    <w:rsid w:val="00462DCD"/>
    <w:rsid w:val="00463AB5"/>
    <w:rsid w:val="004648AD"/>
    <w:rsid w:val="004703A9"/>
    <w:rsid w:val="004760DE"/>
    <w:rsid w:val="00495670"/>
    <w:rsid w:val="004A004E"/>
    <w:rsid w:val="004A24CF"/>
    <w:rsid w:val="004B6721"/>
    <w:rsid w:val="004C2994"/>
    <w:rsid w:val="004C3D1D"/>
    <w:rsid w:val="004C7913"/>
    <w:rsid w:val="004E4DD6"/>
    <w:rsid w:val="004F4D85"/>
    <w:rsid w:val="004F5E36"/>
    <w:rsid w:val="00507B47"/>
    <w:rsid w:val="00507CC9"/>
    <w:rsid w:val="005119A5"/>
    <w:rsid w:val="00512DE7"/>
    <w:rsid w:val="00513060"/>
    <w:rsid w:val="005278B7"/>
    <w:rsid w:val="00532016"/>
    <w:rsid w:val="005346C8"/>
    <w:rsid w:val="00543E7D"/>
    <w:rsid w:val="00546B05"/>
    <w:rsid w:val="00547A68"/>
    <w:rsid w:val="005531C9"/>
    <w:rsid w:val="005B2110"/>
    <w:rsid w:val="005B23B4"/>
    <w:rsid w:val="005B61E6"/>
    <w:rsid w:val="005C77E1"/>
    <w:rsid w:val="005D0CA3"/>
    <w:rsid w:val="005D6A2F"/>
    <w:rsid w:val="005E1A82"/>
    <w:rsid w:val="005E794C"/>
    <w:rsid w:val="005F0A28"/>
    <w:rsid w:val="005F0E5E"/>
    <w:rsid w:val="00600535"/>
    <w:rsid w:val="00610CD6"/>
    <w:rsid w:val="00612BC2"/>
    <w:rsid w:val="00620DEE"/>
    <w:rsid w:val="00621F92"/>
    <w:rsid w:val="00623BE7"/>
    <w:rsid w:val="00625639"/>
    <w:rsid w:val="00631B33"/>
    <w:rsid w:val="006320AD"/>
    <w:rsid w:val="0064184D"/>
    <w:rsid w:val="006422CC"/>
    <w:rsid w:val="0065021D"/>
    <w:rsid w:val="00651856"/>
    <w:rsid w:val="00660E3E"/>
    <w:rsid w:val="00662E74"/>
    <w:rsid w:val="00666315"/>
    <w:rsid w:val="00680C23"/>
    <w:rsid w:val="00693766"/>
    <w:rsid w:val="006A3281"/>
    <w:rsid w:val="006B4194"/>
    <w:rsid w:val="006B4888"/>
    <w:rsid w:val="006C2E45"/>
    <w:rsid w:val="006C3204"/>
    <w:rsid w:val="006C359C"/>
    <w:rsid w:val="006C5579"/>
    <w:rsid w:val="006C6742"/>
    <w:rsid w:val="006D1070"/>
    <w:rsid w:val="006E737D"/>
    <w:rsid w:val="0070195D"/>
    <w:rsid w:val="00715E04"/>
    <w:rsid w:val="00720A24"/>
    <w:rsid w:val="00732386"/>
    <w:rsid w:val="007447F3"/>
    <w:rsid w:val="00746D70"/>
    <w:rsid w:val="00751164"/>
    <w:rsid w:val="0075160F"/>
    <w:rsid w:val="0075499F"/>
    <w:rsid w:val="007661C8"/>
    <w:rsid w:val="0077098D"/>
    <w:rsid w:val="00772565"/>
    <w:rsid w:val="007849D4"/>
    <w:rsid w:val="007931FA"/>
    <w:rsid w:val="007A1D92"/>
    <w:rsid w:val="007A7BBA"/>
    <w:rsid w:val="007B0C50"/>
    <w:rsid w:val="007C1A43"/>
    <w:rsid w:val="007D2C75"/>
    <w:rsid w:val="007E1DC6"/>
    <w:rsid w:val="007E26CA"/>
    <w:rsid w:val="007F367D"/>
    <w:rsid w:val="00813288"/>
    <w:rsid w:val="008168FC"/>
    <w:rsid w:val="00827D97"/>
    <w:rsid w:val="00830996"/>
    <w:rsid w:val="008345F1"/>
    <w:rsid w:val="00861A27"/>
    <w:rsid w:val="00865B07"/>
    <w:rsid w:val="008667EA"/>
    <w:rsid w:val="00870E0D"/>
    <w:rsid w:val="0087403C"/>
    <w:rsid w:val="0087637F"/>
    <w:rsid w:val="008904B9"/>
    <w:rsid w:val="00892AD5"/>
    <w:rsid w:val="008A1512"/>
    <w:rsid w:val="008C78C1"/>
    <w:rsid w:val="008D115E"/>
    <w:rsid w:val="008D32B9"/>
    <w:rsid w:val="008D433B"/>
    <w:rsid w:val="008E19C4"/>
    <w:rsid w:val="008E566E"/>
    <w:rsid w:val="008F2286"/>
    <w:rsid w:val="008F7542"/>
    <w:rsid w:val="0090161A"/>
    <w:rsid w:val="00901C03"/>
    <w:rsid w:val="00901EB6"/>
    <w:rsid w:val="00904C62"/>
    <w:rsid w:val="00924DAC"/>
    <w:rsid w:val="00927058"/>
    <w:rsid w:val="00934993"/>
    <w:rsid w:val="009450CE"/>
    <w:rsid w:val="00947179"/>
    <w:rsid w:val="0095164B"/>
    <w:rsid w:val="00954090"/>
    <w:rsid w:val="009573E7"/>
    <w:rsid w:val="009635B9"/>
    <w:rsid w:val="00963E05"/>
    <w:rsid w:val="00965A56"/>
    <w:rsid w:val="0096798B"/>
    <w:rsid w:val="00967D54"/>
    <w:rsid w:val="0097120C"/>
    <w:rsid w:val="00981D4E"/>
    <w:rsid w:val="00986447"/>
    <w:rsid w:val="00996483"/>
    <w:rsid w:val="00996F5A"/>
    <w:rsid w:val="009A0A3E"/>
    <w:rsid w:val="009B041A"/>
    <w:rsid w:val="009B2722"/>
    <w:rsid w:val="009B38E6"/>
    <w:rsid w:val="009B4BC7"/>
    <w:rsid w:val="009C7C86"/>
    <w:rsid w:val="009D2FF7"/>
    <w:rsid w:val="009E7884"/>
    <w:rsid w:val="009E788A"/>
    <w:rsid w:val="009F0E08"/>
    <w:rsid w:val="009F53C2"/>
    <w:rsid w:val="009F5E2D"/>
    <w:rsid w:val="00A00FB9"/>
    <w:rsid w:val="00A1763D"/>
    <w:rsid w:val="00A17CEC"/>
    <w:rsid w:val="00A208A1"/>
    <w:rsid w:val="00A270A2"/>
    <w:rsid w:val="00A27EF0"/>
    <w:rsid w:val="00A50B20"/>
    <w:rsid w:val="00A51390"/>
    <w:rsid w:val="00A60D13"/>
    <w:rsid w:val="00A6370A"/>
    <w:rsid w:val="00A72745"/>
    <w:rsid w:val="00A76EFC"/>
    <w:rsid w:val="00A90550"/>
    <w:rsid w:val="00A91010"/>
    <w:rsid w:val="00A95FBB"/>
    <w:rsid w:val="00A97F29"/>
    <w:rsid w:val="00AA702E"/>
    <w:rsid w:val="00AB0964"/>
    <w:rsid w:val="00AB5011"/>
    <w:rsid w:val="00AC3DFE"/>
    <w:rsid w:val="00AC7368"/>
    <w:rsid w:val="00AD16B9"/>
    <w:rsid w:val="00AE377D"/>
    <w:rsid w:val="00AE7780"/>
    <w:rsid w:val="00AF385E"/>
    <w:rsid w:val="00B008D7"/>
    <w:rsid w:val="00B104A9"/>
    <w:rsid w:val="00B17FBD"/>
    <w:rsid w:val="00B315A6"/>
    <w:rsid w:val="00B31813"/>
    <w:rsid w:val="00B33365"/>
    <w:rsid w:val="00B41C99"/>
    <w:rsid w:val="00B4680E"/>
    <w:rsid w:val="00B57B36"/>
    <w:rsid w:val="00B71517"/>
    <w:rsid w:val="00B8686D"/>
    <w:rsid w:val="00B95683"/>
    <w:rsid w:val="00BC30C9"/>
    <w:rsid w:val="00BD2474"/>
    <w:rsid w:val="00BD3A1B"/>
    <w:rsid w:val="00BE3E58"/>
    <w:rsid w:val="00BE6B8C"/>
    <w:rsid w:val="00C01616"/>
    <w:rsid w:val="00C0162B"/>
    <w:rsid w:val="00C1696B"/>
    <w:rsid w:val="00C32F22"/>
    <w:rsid w:val="00C345B1"/>
    <w:rsid w:val="00C35122"/>
    <w:rsid w:val="00C40142"/>
    <w:rsid w:val="00C57182"/>
    <w:rsid w:val="00C57863"/>
    <w:rsid w:val="00C60F4F"/>
    <w:rsid w:val="00C655FD"/>
    <w:rsid w:val="00C83AF7"/>
    <w:rsid w:val="00C870A8"/>
    <w:rsid w:val="00C94434"/>
    <w:rsid w:val="00CA02CF"/>
    <w:rsid w:val="00CA0D75"/>
    <w:rsid w:val="00CA1C95"/>
    <w:rsid w:val="00CA5A9C"/>
    <w:rsid w:val="00CA7169"/>
    <w:rsid w:val="00CD3492"/>
    <w:rsid w:val="00CD3517"/>
    <w:rsid w:val="00CD5A00"/>
    <w:rsid w:val="00CD5FE2"/>
    <w:rsid w:val="00CD7433"/>
    <w:rsid w:val="00CE7C68"/>
    <w:rsid w:val="00D02B4C"/>
    <w:rsid w:val="00D040C4"/>
    <w:rsid w:val="00D25E9B"/>
    <w:rsid w:val="00D57C84"/>
    <w:rsid w:val="00D6057D"/>
    <w:rsid w:val="00D83E6F"/>
    <w:rsid w:val="00D84576"/>
    <w:rsid w:val="00DA1399"/>
    <w:rsid w:val="00DA24C6"/>
    <w:rsid w:val="00DA3B76"/>
    <w:rsid w:val="00DA4D7B"/>
    <w:rsid w:val="00DE264A"/>
    <w:rsid w:val="00DF4E20"/>
    <w:rsid w:val="00E02D18"/>
    <w:rsid w:val="00E041E7"/>
    <w:rsid w:val="00E04481"/>
    <w:rsid w:val="00E11A84"/>
    <w:rsid w:val="00E2042E"/>
    <w:rsid w:val="00E23CA1"/>
    <w:rsid w:val="00E26995"/>
    <w:rsid w:val="00E409A8"/>
    <w:rsid w:val="00E50C12"/>
    <w:rsid w:val="00E65B91"/>
    <w:rsid w:val="00E67800"/>
    <w:rsid w:val="00E7209D"/>
    <w:rsid w:val="00E77223"/>
    <w:rsid w:val="00E817F2"/>
    <w:rsid w:val="00E84CE4"/>
    <w:rsid w:val="00E84FEE"/>
    <w:rsid w:val="00E8528B"/>
    <w:rsid w:val="00E85B94"/>
    <w:rsid w:val="00E978D0"/>
    <w:rsid w:val="00EA4613"/>
    <w:rsid w:val="00EA7F91"/>
    <w:rsid w:val="00EB1523"/>
    <w:rsid w:val="00EC0E49"/>
    <w:rsid w:val="00EC5522"/>
    <w:rsid w:val="00EC7EF2"/>
    <w:rsid w:val="00ED09E5"/>
    <w:rsid w:val="00ED1FA0"/>
    <w:rsid w:val="00EE0131"/>
    <w:rsid w:val="00EE1414"/>
    <w:rsid w:val="00F155B2"/>
    <w:rsid w:val="00F16166"/>
    <w:rsid w:val="00F30C64"/>
    <w:rsid w:val="00F32CDB"/>
    <w:rsid w:val="00F34828"/>
    <w:rsid w:val="00F378F3"/>
    <w:rsid w:val="00F60AF7"/>
    <w:rsid w:val="00F60C33"/>
    <w:rsid w:val="00F63A70"/>
    <w:rsid w:val="00F8369D"/>
    <w:rsid w:val="00F83D1C"/>
    <w:rsid w:val="00FA1E45"/>
    <w:rsid w:val="00FA21D0"/>
    <w:rsid w:val="00FA3FE5"/>
    <w:rsid w:val="00FA5F5F"/>
    <w:rsid w:val="00FB730C"/>
    <w:rsid w:val="00FC2695"/>
    <w:rsid w:val="00FC3E03"/>
    <w:rsid w:val="00FC3FC1"/>
    <w:rsid w:val="00FE1353"/>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44C082"/>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E7780"/>
    <w:pPr>
      <w:keepNext/>
      <w:suppressAutoHyphens/>
      <w:spacing w:before="120" w:after="120" w:line="240" w:lineRule="auto"/>
    </w:pPr>
    <w:rPr>
      <w:rFonts w:ascii="Arial" w:eastAsia="Times New Roman" w:hAnsi="Arial" w:cs="Arial"/>
      <w:b/>
      <w:sz w:val="18"/>
      <w:szCs w:val="20"/>
      <w:lang w:val="en-US" w:eastAsia="en-ZA"/>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E7780"/>
    <w:rPr>
      <w:rFonts w:ascii="Arial" w:eastAsia="Times New Roman" w:hAnsi="Arial" w:cs="Arial"/>
      <w:b/>
      <w:sz w:val="18"/>
      <w:szCs w:val="20"/>
      <w:lang w:val="en-US" w:eastAsia="en-ZA"/>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eastAsia="en-ZA"/>
    </w:rPr>
  </w:style>
  <w:style w:type="paragraph" w:styleId="ListParagraph">
    <w:name w:val="List Paragraph"/>
    <w:basedOn w:val="Normal"/>
    <w:uiPriority w:val="34"/>
    <w:rsid w:val="00C32F22"/>
    <w:pPr>
      <w:ind w:left="720"/>
      <w:contextualSpacing/>
    </w:pPr>
  </w:style>
  <w:style w:type="character" w:styleId="Strong">
    <w:name w:val="Strong"/>
    <w:basedOn w:val="DefaultParagraphFont"/>
    <w:uiPriority w:val="22"/>
    <w:qFormat/>
    <w:rsid w:val="000E171F"/>
    <w:rPr>
      <w:b/>
      <w:bCs/>
    </w:rPr>
  </w:style>
  <w:style w:type="character" w:customStyle="1" w:styleId="st1">
    <w:name w:val="st1"/>
    <w:basedOn w:val="DefaultParagraphFont"/>
    <w:rsid w:val="000E171F"/>
  </w:style>
  <w:style w:type="table" w:customStyle="1" w:styleId="TableGrid1">
    <w:name w:val="Table Grid1"/>
    <w:basedOn w:val="TableNormal"/>
    <w:next w:val="TableGrid"/>
    <w:uiPriority w:val="39"/>
    <w:rsid w:val="00F378F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93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5568">
      <w:bodyDiv w:val="1"/>
      <w:marLeft w:val="0"/>
      <w:marRight w:val="0"/>
      <w:marTop w:val="0"/>
      <w:marBottom w:val="0"/>
      <w:divBdr>
        <w:top w:val="none" w:sz="0" w:space="0" w:color="auto"/>
        <w:left w:val="none" w:sz="0" w:space="0" w:color="auto"/>
        <w:bottom w:val="none" w:sz="0" w:space="0" w:color="auto"/>
        <w:right w:val="none" w:sz="0" w:space="0" w:color="auto"/>
      </w:divBdr>
      <w:divsChild>
        <w:div w:id="795102633">
          <w:marLeft w:val="0"/>
          <w:marRight w:val="0"/>
          <w:marTop w:val="0"/>
          <w:marBottom w:val="0"/>
          <w:divBdr>
            <w:top w:val="none" w:sz="0" w:space="0" w:color="auto"/>
            <w:left w:val="none" w:sz="0" w:space="0" w:color="auto"/>
            <w:bottom w:val="none" w:sz="0" w:space="0" w:color="auto"/>
            <w:right w:val="none" w:sz="0" w:space="0" w:color="auto"/>
          </w:divBdr>
        </w:div>
        <w:div w:id="1771729839">
          <w:marLeft w:val="0"/>
          <w:marRight w:val="0"/>
          <w:marTop w:val="0"/>
          <w:marBottom w:val="0"/>
          <w:divBdr>
            <w:top w:val="none" w:sz="0" w:space="0" w:color="auto"/>
            <w:left w:val="none" w:sz="0" w:space="0" w:color="auto"/>
            <w:bottom w:val="none" w:sz="0" w:space="0" w:color="auto"/>
            <w:right w:val="none" w:sz="0" w:space="0" w:color="auto"/>
          </w:divBdr>
        </w:div>
        <w:div w:id="825628509">
          <w:marLeft w:val="0"/>
          <w:marRight w:val="0"/>
          <w:marTop w:val="0"/>
          <w:marBottom w:val="0"/>
          <w:divBdr>
            <w:top w:val="none" w:sz="0" w:space="0" w:color="auto"/>
            <w:left w:val="none" w:sz="0" w:space="0" w:color="auto"/>
            <w:bottom w:val="none" w:sz="0" w:space="0" w:color="auto"/>
            <w:right w:val="none" w:sz="0" w:space="0" w:color="auto"/>
          </w:divBdr>
        </w:div>
        <w:div w:id="1432822694">
          <w:marLeft w:val="0"/>
          <w:marRight w:val="0"/>
          <w:marTop w:val="0"/>
          <w:marBottom w:val="0"/>
          <w:divBdr>
            <w:top w:val="none" w:sz="0" w:space="0" w:color="auto"/>
            <w:left w:val="none" w:sz="0" w:space="0" w:color="auto"/>
            <w:bottom w:val="none" w:sz="0" w:space="0" w:color="auto"/>
            <w:right w:val="none" w:sz="0" w:space="0" w:color="auto"/>
          </w:divBdr>
        </w:div>
        <w:div w:id="827137528">
          <w:marLeft w:val="0"/>
          <w:marRight w:val="0"/>
          <w:marTop w:val="0"/>
          <w:marBottom w:val="0"/>
          <w:divBdr>
            <w:top w:val="none" w:sz="0" w:space="0" w:color="auto"/>
            <w:left w:val="none" w:sz="0" w:space="0" w:color="auto"/>
            <w:bottom w:val="none" w:sz="0" w:space="0" w:color="auto"/>
            <w:right w:val="none" w:sz="0" w:space="0" w:color="auto"/>
          </w:divBdr>
        </w:div>
        <w:div w:id="1329947408">
          <w:marLeft w:val="0"/>
          <w:marRight w:val="0"/>
          <w:marTop w:val="0"/>
          <w:marBottom w:val="0"/>
          <w:divBdr>
            <w:top w:val="none" w:sz="0" w:space="0" w:color="auto"/>
            <w:left w:val="none" w:sz="0" w:space="0" w:color="auto"/>
            <w:bottom w:val="none" w:sz="0" w:space="0" w:color="auto"/>
            <w:right w:val="none" w:sz="0" w:space="0" w:color="auto"/>
          </w:divBdr>
        </w:div>
        <w:div w:id="1923562544">
          <w:marLeft w:val="0"/>
          <w:marRight w:val="0"/>
          <w:marTop w:val="0"/>
          <w:marBottom w:val="0"/>
          <w:divBdr>
            <w:top w:val="none" w:sz="0" w:space="0" w:color="auto"/>
            <w:left w:val="none" w:sz="0" w:space="0" w:color="auto"/>
            <w:bottom w:val="none" w:sz="0" w:space="0" w:color="auto"/>
            <w:right w:val="none" w:sz="0" w:space="0" w:color="auto"/>
          </w:divBdr>
        </w:div>
        <w:div w:id="272445240">
          <w:marLeft w:val="0"/>
          <w:marRight w:val="0"/>
          <w:marTop w:val="0"/>
          <w:marBottom w:val="0"/>
          <w:divBdr>
            <w:top w:val="none" w:sz="0" w:space="0" w:color="auto"/>
            <w:left w:val="none" w:sz="0" w:space="0" w:color="auto"/>
            <w:bottom w:val="none" w:sz="0" w:space="0" w:color="auto"/>
            <w:right w:val="none" w:sz="0" w:space="0" w:color="auto"/>
          </w:divBdr>
        </w:div>
        <w:div w:id="292448623">
          <w:marLeft w:val="0"/>
          <w:marRight w:val="0"/>
          <w:marTop w:val="0"/>
          <w:marBottom w:val="0"/>
          <w:divBdr>
            <w:top w:val="none" w:sz="0" w:space="0" w:color="auto"/>
            <w:left w:val="none" w:sz="0" w:space="0" w:color="auto"/>
            <w:bottom w:val="none" w:sz="0" w:space="0" w:color="auto"/>
            <w:right w:val="none" w:sz="0" w:space="0" w:color="auto"/>
          </w:divBdr>
        </w:div>
        <w:div w:id="1972206147">
          <w:marLeft w:val="0"/>
          <w:marRight w:val="0"/>
          <w:marTop w:val="0"/>
          <w:marBottom w:val="0"/>
          <w:divBdr>
            <w:top w:val="none" w:sz="0" w:space="0" w:color="auto"/>
            <w:left w:val="none" w:sz="0" w:space="0" w:color="auto"/>
            <w:bottom w:val="none" w:sz="0" w:space="0" w:color="auto"/>
            <w:right w:val="none" w:sz="0" w:space="0" w:color="auto"/>
          </w:divBdr>
        </w:div>
        <w:div w:id="1975942047">
          <w:marLeft w:val="0"/>
          <w:marRight w:val="0"/>
          <w:marTop w:val="0"/>
          <w:marBottom w:val="0"/>
          <w:divBdr>
            <w:top w:val="none" w:sz="0" w:space="0" w:color="auto"/>
            <w:left w:val="none" w:sz="0" w:space="0" w:color="auto"/>
            <w:bottom w:val="none" w:sz="0" w:space="0" w:color="auto"/>
            <w:right w:val="none" w:sz="0" w:space="0" w:color="auto"/>
          </w:divBdr>
        </w:div>
        <w:div w:id="726605336">
          <w:marLeft w:val="0"/>
          <w:marRight w:val="0"/>
          <w:marTop w:val="0"/>
          <w:marBottom w:val="0"/>
          <w:divBdr>
            <w:top w:val="none" w:sz="0" w:space="0" w:color="auto"/>
            <w:left w:val="none" w:sz="0" w:space="0" w:color="auto"/>
            <w:bottom w:val="none" w:sz="0" w:space="0" w:color="auto"/>
            <w:right w:val="none" w:sz="0" w:space="0" w:color="auto"/>
          </w:divBdr>
        </w:div>
        <w:div w:id="560402895">
          <w:marLeft w:val="0"/>
          <w:marRight w:val="0"/>
          <w:marTop w:val="0"/>
          <w:marBottom w:val="0"/>
          <w:divBdr>
            <w:top w:val="none" w:sz="0" w:space="0" w:color="auto"/>
            <w:left w:val="none" w:sz="0" w:space="0" w:color="auto"/>
            <w:bottom w:val="none" w:sz="0" w:space="0" w:color="auto"/>
            <w:right w:val="none" w:sz="0" w:space="0" w:color="auto"/>
          </w:divBdr>
        </w:div>
        <w:div w:id="766927692">
          <w:marLeft w:val="0"/>
          <w:marRight w:val="0"/>
          <w:marTop w:val="0"/>
          <w:marBottom w:val="0"/>
          <w:divBdr>
            <w:top w:val="none" w:sz="0" w:space="0" w:color="auto"/>
            <w:left w:val="none" w:sz="0" w:space="0" w:color="auto"/>
            <w:bottom w:val="none" w:sz="0" w:space="0" w:color="auto"/>
            <w:right w:val="none" w:sz="0" w:space="0" w:color="auto"/>
          </w:divBdr>
        </w:div>
        <w:div w:id="1860465169">
          <w:marLeft w:val="0"/>
          <w:marRight w:val="0"/>
          <w:marTop w:val="0"/>
          <w:marBottom w:val="0"/>
          <w:divBdr>
            <w:top w:val="none" w:sz="0" w:space="0" w:color="auto"/>
            <w:left w:val="none" w:sz="0" w:space="0" w:color="auto"/>
            <w:bottom w:val="none" w:sz="0" w:space="0" w:color="auto"/>
            <w:right w:val="none" w:sz="0" w:space="0" w:color="auto"/>
          </w:divBdr>
        </w:div>
        <w:div w:id="578447052">
          <w:marLeft w:val="0"/>
          <w:marRight w:val="0"/>
          <w:marTop w:val="0"/>
          <w:marBottom w:val="0"/>
          <w:divBdr>
            <w:top w:val="none" w:sz="0" w:space="0" w:color="auto"/>
            <w:left w:val="none" w:sz="0" w:space="0" w:color="auto"/>
            <w:bottom w:val="none" w:sz="0" w:space="0" w:color="auto"/>
            <w:right w:val="none" w:sz="0" w:space="0" w:color="auto"/>
          </w:divBdr>
        </w:div>
        <w:div w:id="1316909568">
          <w:marLeft w:val="0"/>
          <w:marRight w:val="0"/>
          <w:marTop w:val="0"/>
          <w:marBottom w:val="0"/>
          <w:divBdr>
            <w:top w:val="none" w:sz="0" w:space="0" w:color="auto"/>
            <w:left w:val="none" w:sz="0" w:space="0" w:color="auto"/>
            <w:bottom w:val="none" w:sz="0" w:space="0" w:color="auto"/>
            <w:right w:val="none" w:sz="0" w:space="0" w:color="auto"/>
          </w:divBdr>
        </w:div>
        <w:div w:id="171259507">
          <w:marLeft w:val="0"/>
          <w:marRight w:val="0"/>
          <w:marTop w:val="0"/>
          <w:marBottom w:val="0"/>
          <w:divBdr>
            <w:top w:val="none" w:sz="0" w:space="0" w:color="auto"/>
            <w:left w:val="none" w:sz="0" w:space="0" w:color="auto"/>
            <w:bottom w:val="none" w:sz="0" w:space="0" w:color="auto"/>
            <w:right w:val="none" w:sz="0" w:space="0" w:color="auto"/>
          </w:divBdr>
        </w:div>
        <w:div w:id="1675720413">
          <w:marLeft w:val="0"/>
          <w:marRight w:val="0"/>
          <w:marTop w:val="0"/>
          <w:marBottom w:val="0"/>
          <w:divBdr>
            <w:top w:val="none" w:sz="0" w:space="0" w:color="auto"/>
            <w:left w:val="none" w:sz="0" w:space="0" w:color="auto"/>
            <w:bottom w:val="none" w:sz="0" w:space="0" w:color="auto"/>
            <w:right w:val="none" w:sz="0" w:space="0" w:color="auto"/>
          </w:divBdr>
        </w:div>
        <w:div w:id="908617276">
          <w:marLeft w:val="0"/>
          <w:marRight w:val="0"/>
          <w:marTop w:val="0"/>
          <w:marBottom w:val="0"/>
          <w:divBdr>
            <w:top w:val="none" w:sz="0" w:space="0" w:color="auto"/>
            <w:left w:val="none" w:sz="0" w:space="0" w:color="auto"/>
            <w:bottom w:val="none" w:sz="0" w:space="0" w:color="auto"/>
            <w:right w:val="none" w:sz="0" w:space="0" w:color="auto"/>
          </w:divBdr>
        </w:div>
      </w:divsChild>
    </w:div>
    <w:div w:id="851837884">
      <w:bodyDiv w:val="1"/>
      <w:marLeft w:val="0"/>
      <w:marRight w:val="0"/>
      <w:marTop w:val="0"/>
      <w:marBottom w:val="0"/>
      <w:divBdr>
        <w:top w:val="none" w:sz="0" w:space="0" w:color="auto"/>
        <w:left w:val="none" w:sz="0" w:space="0" w:color="auto"/>
        <w:bottom w:val="none" w:sz="0" w:space="0" w:color="auto"/>
        <w:right w:val="none" w:sz="0" w:space="0" w:color="auto"/>
      </w:divBdr>
      <w:divsChild>
        <w:div w:id="67580731">
          <w:marLeft w:val="0"/>
          <w:marRight w:val="0"/>
          <w:marTop w:val="0"/>
          <w:marBottom w:val="0"/>
          <w:divBdr>
            <w:top w:val="none" w:sz="0" w:space="0" w:color="auto"/>
            <w:left w:val="none" w:sz="0" w:space="0" w:color="auto"/>
            <w:bottom w:val="none" w:sz="0" w:space="0" w:color="auto"/>
            <w:right w:val="none" w:sz="0" w:space="0" w:color="auto"/>
          </w:divBdr>
        </w:div>
        <w:div w:id="1851023565">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5564">
      <w:bodyDiv w:val="1"/>
      <w:marLeft w:val="0"/>
      <w:marRight w:val="0"/>
      <w:marTop w:val="0"/>
      <w:marBottom w:val="0"/>
      <w:divBdr>
        <w:top w:val="none" w:sz="0" w:space="0" w:color="auto"/>
        <w:left w:val="none" w:sz="0" w:space="0" w:color="auto"/>
        <w:bottom w:val="none" w:sz="0" w:space="0" w:color="auto"/>
        <w:right w:val="none" w:sz="0" w:space="0" w:color="auto"/>
      </w:divBdr>
      <w:divsChild>
        <w:div w:id="1293486516">
          <w:marLeft w:val="0"/>
          <w:marRight w:val="0"/>
          <w:marTop w:val="0"/>
          <w:marBottom w:val="0"/>
          <w:divBdr>
            <w:top w:val="none" w:sz="0" w:space="0" w:color="auto"/>
            <w:left w:val="none" w:sz="0" w:space="0" w:color="auto"/>
            <w:bottom w:val="none" w:sz="0" w:space="0" w:color="auto"/>
            <w:right w:val="none" w:sz="0" w:space="0" w:color="auto"/>
          </w:divBdr>
        </w:div>
        <w:div w:id="1183085788">
          <w:marLeft w:val="0"/>
          <w:marRight w:val="0"/>
          <w:marTop w:val="0"/>
          <w:marBottom w:val="0"/>
          <w:divBdr>
            <w:top w:val="none" w:sz="0" w:space="0" w:color="auto"/>
            <w:left w:val="none" w:sz="0" w:space="0" w:color="auto"/>
            <w:bottom w:val="none" w:sz="0" w:space="0" w:color="auto"/>
            <w:right w:val="none" w:sz="0" w:space="0" w:color="auto"/>
          </w:divBdr>
        </w:div>
      </w:divsChild>
    </w:div>
    <w:div w:id="1345598005">
      <w:bodyDiv w:val="1"/>
      <w:marLeft w:val="0"/>
      <w:marRight w:val="0"/>
      <w:marTop w:val="0"/>
      <w:marBottom w:val="0"/>
      <w:divBdr>
        <w:top w:val="none" w:sz="0" w:space="0" w:color="auto"/>
        <w:left w:val="none" w:sz="0" w:space="0" w:color="auto"/>
        <w:bottom w:val="none" w:sz="0" w:space="0" w:color="auto"/>
        <w:right w:val="none" w:sz="0" w:space="0" w:color="auto"/>
      </w:divBdr>
      <w:divsChild>
        <w:div w:id="1764375142">
          <w:marLeft w:val="0"/>
          <w:marRight w:val="0"/>
          <w:marTop w:val="0"/>
          <w:marBottom w:val="0"/>
          <w:divBdr>
            <w:top w:val="none" w:sz="0" w:space="0" w:color="auto"/>
            <w:left w:val="none" w:sz="0" w:space="0" w:color="auto"/>
            <w:bottom w:val="none" w:sz="0" w:space="0" w:color="auto"/>
            <w:right w:val="none" w:sz="0" w:space="0" w:color="auto"/>
          </w:divBdr>
        </w:div>
        <w:div w:id="2027635348">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topics/biochemistry-genetics-and-molecular-biology/arsenic-toxi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40710-016-012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arth-and-planetary-sciences/volatile-substance"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www.sciencedirect.com/topics/earth-and-planetary-sciences/appropriate-technolog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BS</c:v>
          </c:tx>
          <c:spPr>
            <a:pattFill prst="pct5">
              <a:fgClr>
                <a:schemeClr val="tx1">
                  <a:lumMod val="65000"/>
                  <a:lumOff val="35000"/>
                </a:schemeClr>
              </a:fgClr>
              <a:bgClr>
                <a:schemeClr val="bg1"/>
              </a:bgClr>
            </a:pattFill>
            <a:ln w="6350">
              <a:solidFill>
                <a:schemeClr val="tx1"/>
              </a:solidFill>
            </a:ln>
            <a:effectLst/>
          </c:spPr>
          <c:invertIfNegative val="0"/>
          <c:errBars>
            <c:errBarType val="both"/>
            <c:errValType val="cust"/>
            <c:noEndCap val="0"/>
            <c:plus>
              <c:numRef>
                <c:f>Sheet1!$B$44:$B$49</c:f>
                <c:numCache>
                  <c:formatCode>General</c:formatCode>
                  <c:ptCount val="6"/>
                  <c:pt idx="0">
                    <c:v>6.4268099999999997</c:v>
                  </c:pt>
                  <c:pt idx="1">
                    <c:v>1.68689</c:v>
                  </c:pt>
                  <c:pt idx="2">
                    <c:v>0</c:v>
                  </c:pt>
                  <c:pt idx="3">
                    <c:v>0</c:v>
                  </c:pt>
                  <c:pt idx="4">
                    <c:v>0.38912000000000002</c:v>
                  </c:pt>
                  <c:pt idx="5">
                    <c:v>0.31641999999999998</c:v>
                  </c:pt>
                </c:numCache>
              </c:numRef>
            </c:plus>
            <c:minus>
              <c:numRef>
                <c:f>Sheet1!$B$44:$B$49</c:f>
                <c:numCache>
                  <c:formatCode>General</c:formatCode>
                  <c:ptCount val="6"/>
                  <c:pt idx="0">
                    <c:v>6.4268099999999997</c:v>
                  </c:pt>
                  <c:pt idx="1">
                    <c:v>1.68689</c:v>
                  </c:pt>
                  <c:pt idx="2">
                    <c:v>0</c:v>
                  </c:pt>
                  <c:pt idx="3">
                    <c:v>0</c:v>
                  </c:pt>
                  <c:pt idx="4">
                    <c:v>0.38912000000000002</c:v>
                  </c:pt>
                  <c:pt idx="5">
                    <c:v>0.31641999999999998</c:v>
                  </c:pt>
                </c:numCache>
              </c:numRef>
            </c:minus>
            <c:spPr>
              <a:noFill/>
              <a:ln w="9525" cap="flat" cmpd="sng" algn="ctr">
                <a:solidFill>
                  <a:schemeClr val="tx1">
                    <a:lumMod val="65000"/>
                    <a:lumOff val="35000"/>
                  </a:schemeClr>
                </a:solidFill>
                <a:round/>
              </a:ln>
              <a:effectLst/>
            </c:spPr>
          </c:errBars>
          <c:cat>
            <c:strRef>
              <c:f>Sheet1!$A$9:$A$14</c:f>
              <c:strCache>
                <c:ptCount val="6"/>
                <c:pt idx="0">
                  <c:v>pH 5</c:v>
                </c:pt>
                <c:pt idx="1">
                  <c:v>pH 6</c:v>
                </c:pt>
                <c:pt idx="2">
                  <c:v>pH 7</c:v>
                </c:pt>
                <c:pt idx="3">
                  <c:v>pH 8</c:v>
                </c:pt>
                <c:pt idx="4">
                  <c:v>pH 9</c:v>
                </c:pt>
                <c:pt idx="5">
                  <c:v>pH 10</c:v>
                </c:pt>
              </c:strCache>
            </c:strRef>
          </c:cat>
          <c:val>
            <c:numRef>
              <c:f>Sheet1!$B$9:$B$14</c:f>
              <c:numCache>
                <c:formatCode>General</c:formatCode>
                <c:ptCount val="6"/>
                <c:pt idx="0">
                  <c:v>10.18</c:v>
                </c:pt>
                <c:pt idx="1">
                  <c:v>88.17</c:v>
                </c:pt>
                <c:pt idx="2">
                  <c:v>100</c:v>
                </c:pt>
                <c:pt idx="3">
                  <c:v>100</c:v>
                </c:pt>
                <c:pt idx="4">
                  <c:v>5.09</c:v>
                </c:pt>
                <c:pt idx="5">
                  <c:v>4.54</c:v>
                </c:pt>
              </c:numCache>
            </c:numRef>
          </c:val>
          <c:extLst>
            <c:ext xmlns:c16="http://schemas.microsoft.com/office/drawing/2014/chart" uri="{C3380CC4-5D6E-409C-BE32-E72D297353CC}">
              <c16:uniqueId val="{00000000-0886-41F4-B5A3-847FD682BBA0}"/>
            </c:ext>
          </c:extLst>
        </c:ser>
        <c:ser>
          <c:idx val="1"/>
          <c:order val="1"/>
          <c:tx>
            <c:v>BC</c:v>
          </c:tx>
          <c:spPr>
            <a:pattFill prst="pct30">
              <a:fgClr>
                <a:schemeClr val="tx1">
                  <a:lumMod val="65000"/>
                  <a:lumOff val="35000"/>
                </a:schemeClr>
              </a:fgClr>
              <a:bgClr>
                <a:schemeClr val="bg1"/>
              </a:bgClr>
            </a:pattFill>
            <a:ln w="6350">
              <a:solidFill>
                <a:schemeClr val="tx1"/>
              </a:solidFill>
            </a:ln>
            <a:effectLst/>
          </c:spPr>
          <c:invertIfNegative val="0"/>
          <c:errBars>
            <c:errBarType val="both"/>
            <c:errValType val="cust"/>
            <c:noEndCap val="0"/>
            <c:plus>
              <c:numRef>
                <c:f>Sheet1!$C$44:$C$49</c:f>
                <c:numCache>
                  <c:formatCode>General</c:formatCode>
                  <c:ptCount val="6"/>
                  <c:pt idx="0">
                    <c:v>1.3317000000000001</c:v>
                  </c:pt>
                  <c:pt idx="1">
                    <c:v>3.0082</c:v>
                  </c:pt>
                  <c:pt idx="2">
                    <c:v>0</c:v>
                  </c:pt>
                  <c:pt idx="3">
                    <c:v>0</c:v>
                  </c:pt>
                  <c:pt idx="4">
                    <c:v>0.29646</c:v>
                  </c:pt>
                  <c:pt idx="5">
                    <c:v>0.23948</c:v>
                  </c:pt>
                </c:numCache>
              </c:numRef>
            </c:plus>
            <c:minus>
              <c:numRef>
                <c:f>Sheet1!$C$44:$C$49</c:f>
                <c:numCache>
                  <c:formatCode>General</c:formatCode>
                  <c:ptCount val="6"/>
                  <c:pt idx="0">
                    <c:v>1.3317000000000001</c:v>
                  </c:pt>
                  <c:pt idx="1">
                    <c:v>3.0082</c:v>
                  </c:pt>
                  <c:pt idx="2">
                    <c:v>0</c:v>
                  </c:pt>
                  <c:pt idx="3">
                    <c:v>0</c:v>
                  </c:pt>
                  <c:pt idx="4">
                    <c:v>0.29646</c:v>
                  </c:pt>
                  <c:pt idx="5">
                    <c:v>0.23948</c:v>
                  </c:pt>
                </c:numCache>
              </c:numRef>
            </c:minus>
            <c:spPr>
              <a:noFill/>
              <a:ln w="9525" cap="flat" cmpd="sng" algn="ctr">
                <a:solidFill>
                  <a:schemeClr val="tx1">
                    <a:lumMod val="65000"/>
                    <a:lumOff val="35000"/>
                  </a:schemeClr>
                </a:solidFill>
                <a:round/>
              </a:ln>
              <a:effectLst/>
            </c:spPr>
          </c:errBars>
          <c:cat>
            <c:strRef>
              <c:f>Sheet1!$A$9:$A$14</c:f>
              <c:strCache>
                <c:ptCount val="6"/>
                <c:pt idx="0">
                  <c:v>pH 5</c:v>
                </c:pt>
                <c:pt idx="1">
                  <c:v>pH 6</c:v>
                </c:pt>
                <c:pt idx="2">
                  <c:v>pH 7</c:v>
                </c:pt>
                <c:pt idx="3">
                  <c:v>pH 8</c:v>
                </c:pt>
                <c:pt idx="4">
                  <c:v>pH 9</c:v>
                </c:pt>
                <c:pt idx="5">
                  <c:v>pH 10</c:v>
                </c:pt>
              </c:strCache>
            </c:strRef>
          </c:cat>
          <c:val>
            <c:numRef>
              <c:f>Sheet1!$C$9:$C$14</c:f>
              <c:numCache>
                <c:formatCode>General</c:formatCode>
                <c:ptCount val="6"/>
                <c:pt idx="0">
                  <c:v>2.44</c:v>
                </c:pt>
                <c:pt idx="1">
                  <c:v>96.06</c:v>
                </c:pt>
                <c:pt idx="2">
                  <c:v>100</c:v>
                </c:pt>
                <c:pt idx="3">
                  <c:v>100</c:v>
                </c:pt>
                <c:pt idx="4">
                  <c:v>1.77</c:v>
                </c:pt>
                <c:pt idx="5">
                  <c:v>1.47</c:v>
                </c:pt>
              </c:numCache>
            </c:numRef>
          </c:val>
          <c:extLst>
            <c:ext xmlns:c16="http://schemas.microsoft.com/office/drawing/2014/chart" uri="{C3380CC4-5D6E-409C-BE32-E72D297353CC}">
              <c16:uniqueId val="{00000001-0886-41F4-B5A3-847FD682BBA0}"/>
            </c:ext>
          </c:extLst>
        </c:ser>
        <c:ser>
          <c:idx val="2"/>
          <c:order val="2"/>
          <c:tx>
            <c:v>BM</c:v>
          </c:tx>
          <c:spPr>
            <a:solidFill>
              <a:schemeClr val="accent3"/>
            </a:solidFill>
            <a:ln w="6350">
              <a:solidFill>
                <a:schemeClr val="tx1"/>
              </a:solidFill>
            </a:ln>
            <a:effectLst/>
          </c:spPr>
          <c:invertIfNegative val="0"/>
          <c:errBars>
            <c:errBarType val="both"/>
            <c:errValType val="cust"/>
            <c:noEndCap val="0"/>
            <c:plus>
              <c:numRef>
                <c:f>Sheet1!$D$44:$D$49</c:f>
                <c:numCache>
                  <c:formatCode>General</c:formatCode>
                  <c:ptCount val="6"/>
                  <c:pt idx="0">
                    <c:v>2.4274</c:v>
                  </c:pt>
                  <c:pt idx="1">
                    <c:v>3.88897</c:v>
                  </c:pt>
                  <c:pt idx="2">
                    <c:v>0</c:v>
                  </c:pt>
                  <c:pt idx="3">
                    <c:v>0</c:v>
                  </c:pt>
                  <c:pt idx="4">
                    <c:v>0.33851999999999999</c:v>
                  </c:pt>
                  <c:pt idx="5">
                    <c:v>0</c:v>
                  </c:pt>
                </c:numCache>
              </c:numRef>
            </c:plus>
            <c:minus>
              <c:numRef>
                <c:f>Sheet1!$D$44:$D$49</c:f>
                <c:numCache>
                  <c:formatCode>General</c:formatCode>
                  <c:ptCount val="6"/>
                  <c:pt idx="0">
                    <c:v>2.4274</c:v>
                  </c:pt>
                  <c:pt idx="1">
                    <c:v>3.88897</c:v>
                  </c:pt>
                  <c:pt idx="2">
                    <c:v>0</c:v>
                  </c:pt>
                  <c:pt idx="3">
                    <c:v>0</c:v>
                  </c:pt>
                  <c:pt idx="4">
                    <c:v>0.33851999999999999</c:v>
                  </c:pt>
                  <c:pt idx="5">
                    <c:v>0</c:v>
                  </c:pt>
                </c:numCache>
              </c:numRef>
            </c:minus>
            <c:spPr>
              <a:noFill/>
              <a:ln w="9525" cap="flat" cmpd="sng" algn="ctr">
                <a:solidFill>
                  <a:schemeClr val="tx1">
                    <a:lumMod val="65000"/>
                    <a:lumOff val="35000"/>
                  </a:schemeClr>
                </a:solidFill>
                <a:round/>
              </a:ln>
              <a:effectLst/>
            </c:spPr>
          </c:errBars>
          <c:cat>
            <c:strRef>
              <c:f>Sheet1!$A$9:$A$14</c:f>
              <c:strCache>
                <c:ptCount val="6"/>
                <c:pt idx="0">
                  <c:v>pH 5</c:v>
                </c:pt>
                <c:pt idx="1">
                  <c:v>pH 6</c:v>
                </c:pt>
                <c:pt idx="2">
                  <c:v>pH 7</c:v>
                </c:pt>
                <c:pt idx="3">
                  <c:v>pH 8</c:v>
                </c:pt>
                <c:pt idx="4">
                  <c:v>pH 9</c:v>
                </c:pt>
                <c:pt idx="5">
                  <c:v>pH 10</c:v>
                </c:pt>
              </c:strCache>
            </c:strRef>
          </c:cat>
          <c:val>
            <c:numRef>
              <c:f>Sheet1!$D$9:$D$14</c:f>
              <c:numCache>
                <c:formatCode>General</c:formatCode>
                <c:ptCount val="6"/>
                <c:pt idx="0">
                  <c:v>5.18</c:v>
                </c:pt>
                <c:pt idx="1">
                  <c:v>81.5</c:v>
                </c:pt>
                <c:pt idx="2">
                  <c:v>100</c:v>
                </c:pt>
                <c:pt idx="3">
                  <c:v>100</c:v>
                </c:pt>
                <c:pt idx="4">
                  <c:v>4.47</c:v>
                </c:pt>
                <c:pt idx="5">
                  <c:v>3.98</c:v>
                </c:pt>
              </c:numCache>
            </c:numRef>
          </c:val>
          <c:extLst>
            <c:ext xmlns:c16="http://schemas.microsoft.com/office/drawing/2014/chart" uri="{C3380CC4-5D6E-409C-BE32-E72D297353CC}">
              <c16:uniqueId val="{00000002-0886-41F4-B5A3-847FD682BBA0}"/>
            </c:ext>
          </c:extLst>
        </c:ser>
        <c:ser>
          <c:idx val="3"/>
          <c:order val="3"/>
          <c:tx>
            <c:v>LF</c:v>
          </c:tx>
          <c:spPr>
            <a:pattFill prst="ltDnDiag">
              <a:fgClr>
                <a:schemeClr val="tx1">
                  <a:lumMod val="65000"/>
                  <a:lumOff val="35000"/>
                </a:schemeClr>
              </a:fgClr>
              <a:bgClr>
                <a:schemeClr val="bg1"/>
              </a:bgClr>
            </a:pattFill>
            <a:ln w="6350">
              <a:solidFill>
                <a:schemeClr val="tx1"/>
              </a:solidFill>
            </a:ln>
            <a:effectLst/>
          </c:spPr>
          <c:invertIfNegative val="0"/>
          <c:errBars>
            <c:errBarType val="both"/>
            <c:errValType val="cust"/>
            <c:noEndCap val="0"/>
            <c:plus>
              <c:numRef>
                <c:f>Sheet1!$E$44:$E$49</c:f>
                <c:numCache>
                  <c:formatCode>General</c:formatCode>
                  <c:ptCount val="6"/>
                  <c:pt idx="0">
                    <c:v>1.7317499999999999</c:v>
                  </c:pt>
                  <c:pt idx="1">
                    <c:v>0</c:v>
                  </c:pt>
                  <c:pt idx="2">
                    <c:v>0</c:v>
                  </c:pt>
                  <c:pt idx="3">
                    <c:v>0</c:v>
                  </c:pt>
                  <c:pt idx="4">
                    <c:v>0.96465000000000001</c:v>
                  </c:pt>
                  <c:pt idx="5">
                    <c:v>0</c:v>
                  </c:pt>
                </c:numCache>
              </c:numRef>
            </c:plus>
            <c:minus>
              <c:numRef>
                <c:f>Sheet1!$E$44:$E$49</c:f>
                <c:numCache>
                  <c:formatCode>General</c:formatCode>
                  <c:ptCount val="6"/>
                  <c:pt idx="0">
                    <c:v>1.7317499999999999</c:v>
                  </c:pt>
                  <c:pt idx="1">
                    <c:v>0</c:v>
                  </c:pt>
                  <c:pt idx="2">
                    <c:v>0</c:v>
                  </c:pt>
                  <c:pt idx="3">
                    <c:v>0</c:v>
                  </c:pt>
                  <c:pt idx="4">
                    <c:v>0.96465000000000001</c:v>
                  </c:pt>
                  <c:pt idx="5">
                    <c:v>0</c:v>
                  </c:pt>
                </c:numCache>
              </c:numRef>
            </c:minus>
            <c:spPr>
              <a:noFill/>
              <a:ln w="9525" cap="flat" cmpd="sng" algn="ctr">
                <a:solidFill>
                  <a:schemeClr val="tx1">
                    <a:lumMod val="65000"/>
                    <a:lumOff val="35000"/>
                  </a:schemeClr>
                </a:solidFill>
                <a:round/>
              </a:ln>
              <a:effectLst/>
            </c:spPr>
          </c:errBars>
          <c:cat>
            <c:strRef>
              <c:f>Sheet1!$A$9:$A$14</c:f>
              <c:strCache>
                <c:ptCount val="6"/>
                <c:pt idx="0">
                  <c:v>pH 5</c:v>
                </c:pt>
                <c:pt idx="1">
                  <c:v>pH 6</c:v>
                </c:pt>
                <c:pt idx="2">
                  <c:v>pH 7</c:v>
                </c:pt>
                <c:pt idx="3">
                  <c:v>pH 8</c:v>
                </c:pt>
                <c:pt idx="4">
                  <c:v>pH 9</c:v>
                </c:pt>
                <c:pt idx="5">
                  <c:v>pH 10</c:v>
                </c:pt>
              </c:strCache>
            </c:strRef>
          </c:cat>
          <c:val>
            <c:numRef>
              <c:f>Sheet1!$E$9:$E$14</c:f>
              <c:numCache>
                <c:formatCode>General</c:formatCode>
                <c:ptCount val="6"/>
                <c:pt idx="0">
                  <c:v>3.59</c:v>
                </c:pt>
                <c:pt idx="1">
                  <c:v>100</c:v>
                </c:pt>
                <c:pt idx="2">
                  <c:v>100</c:v>
                </c:pt>
                <c:pt idx="3">
                  <c:v>100</c:v>
                </c:pt>
                <c:pt idx="4">
                  <c:v>2.84</c:v>
                </c:pt>
                <c:pt idx="5">
                  <c:v>1.2</c:v>
                </c:pt>
              </c:numCache>
            </c:numRef>
          </c:val>
          <c:extLst>
            <c:ext xmlns:c16="http://schemas.microsoft.com/office/drawing/2014/chart" uri="{C3380CC4-5D6E-409C-BE32-E72D297353CC}">
              <c16:uniqueId val="{00000003-0886-41F4-B5A3-847FD682BBA0}"/>
            </c:ext>
          </c:extLst>
        </c:ser>
        <c:dLbls>
          <c:showLegendKey val="0"/>
          <c:showVal val="0"/>
          <c:showCatName val="0"/>
          <c:showSerName val="0"/>
          <c:showPercent val="0"/>
          <c:showBubbleSize val="0"/>
        </c:dLbls>
        <c:gapWidth val="150"/>
        <c:axId val="395917104"/>
        <c:axId val="395922680"/>
      </c:barChart>
      <c:catAx>
        <c:axId val="39591710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Initial medium pH</a:t>
                </a:r>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5922680"/>
        <c:crosses val="autoZero"/>
        <c:auto val="1"/>
        <c:lblAlgn val="ctr"/>
        <c:lblOffset val="100"/>
        <c:noMultiLvlLbl val="0"/>
      </c:catAx>
      <c:valAx>
        <c:axId val="39592268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Butyric acid degradation efficiency(%)</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59171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Sheet1!$B$47</c:f>
              <c:strCache>
                <c:ptCount val="1"/>
                <c:pt idx="0">
                  <c:v>BS</c:v>
                </c:pt>
              </c:strCache>
            </c:strRef>
          </c:tx>
          <c:spPr>
            <a:pattFill prst="pct5">
              <a:fgClr>
                <a:schemeClr val="accent1"/>
              </a:fgClr>
              <a:bgClr>
                <a:schemeClr val="bg1"/>
              </a:bgClr>
            </a:pattFill>
            <a:ln w="6350">
              <a:solidFill>
                <a:schemeClr val="tx1"/>
              </a:solidFill>
            </a:ln>
            <a:effectLst/>
          </c:spPr>
          <c:invertIfNegative val="0"/>
          <c:errBars>
            <c:errBarType val="both"/>
            <c:errValType val="cust"/>
            <c:noEndCap val="0"/>
            <c:plus>
              <c:numRef>
                <c:f>Sheet1!$B$65:$B$70</c:f>
                <c:numCache>
                  <c:formatCode>General</c:formatCode>
                  <c:ptCount val="6"/>
                  <c:pt idx="0">
                    <c:v>3.0000000000000001E-3</c:v>
                  </c:pt>
                  <c:pt idx="1">
                    <c:v>2.9000000000000001E-2</c:v>
                  </c:pt>
                  <c:pt idx="2">
                    <c:v>4.8000000000000001E-2</c:v>
                  </c:pt>
                  <c:pt idx="3">
                    <c:v>5.8999999999999997E-2</c:v>
                  </c:pt>
                  <c:pt idx="4">
                    <c:v>2E-3</c:v>
                  </c:pt>
                  <c:pt idx="5">
                    <c:v>4.0000000000000001E-3</c:v>
                  </c:pt>
                </c:numCache>
              </c:numRef>
            </c:plus>
            <c:minus>
              <c:numRef>
                <c:f>Sheet1!$B$65:$B$70</c:f>
                <c:numCache>
                  <c:formatCode>General</c:formatCode>
                  <c:ptCount val="6"/>
                  <c:pt idx="0">
                    <c:v>3.0000000000000001E-3</c:v>
                  </c:pt>
                  <c:pt idx="1">
                    <c:v>2.9000000000000001E-2</c:v>
                  </c:pt>
                  <c:pt idx="2">
                    <c:v>4.8000000000000001E-2</c:v>
                  </c:pt>
                  <c:pt idx="3">
                    <c:v>5.8999999999999997E-2</c:v>
                  </c:pt>
                  <c:pt idx="4">
                    <c:v>2E-3</c:v>
                  </c:pt>
                  <c:pt idx="5">
                    <c:v>4.0000000000000001E-3</c:v>
                  </c:pt>
                </c:numCache>
              </c:numRef>
            </c:minus>
            <c:spPr>
              <a:noFill/>
              <a:ln w="9525" cap="flat" cmpd="sng" algn="ctr">
                <a:solidFill>
                  <a:schemeClr val="tx1">
                    <a:lumMod val="65000"/>
                    <a:lumOff val="35000"/>
                  </a:schemeClr>
                </a:solidFill>
                <a:round/>
              </a:ln>
              <a:effectLst/>
            </c:spPr>
          </c:errBars>
          <c:cat>
            <c:strRef>
              <c:f>Sheet1!$A$48:$A$53</c:f>
              <c:strCache>
                <c:ptCount val="6"/>
                <c:pt idx="0">
                  <c:v>pH 5</c:v>
                </c:pt>
                <c:pt idx="1">
                  <c:v>pH 6</c:v>
                </c:pt>
                <c:pt idx="2">
                  <c:v>pH 7</c:v>
                </c:pt>
                <c:pt idx="3">
                  <c:v>pH 8</c:v>
                </c:pt>
                <c:pt idx="4">
                  <c:v>pH 9</c:v>
                </c:pt>
                <c:pt idx="5">
                  <c:v>pH 10</c:v>
                </c:pt>
              </c:strCache>
            </c:strRef>
          </c:cat>
          <c:val>
            <c:numRef>
              <c:f>Sheet1!$B$48:$B$53</c:f>
              <c:numCache>
                <c:formatCode>General</c:formatCode>
                <c:ptCount val="6"/>
                <c:pt idx="0">
                  <c:v>0.03</c:v>
                </c:pt>
                <c:pt idx="1">
                  <c:v>1.1299999999999999</c:v>
                </c:pt>
                <c:pt idx="2">
                  <c:v>1.1200000000000001</c:v>
                </c:pt>
                <c:pt idx="3">
                  <c:v>1.07</c:v>
                </c:pt>
                <c:pt idx="4">
                  <c:v>0.02</c:v>
                </c:pt>
                <c:pt idx="5">
                  <c:v>0.01</c:v>
                </c:pt>
              </c:numCache>
            </c:numRef>
          </c:val>
          <c:extLst>
            <c:ext xmlns:c16="http://schemas.microsoft.com/office/drawing/2014/chart" uri="{C3380CC4-5D6E-409C-BE32-E72D297353CC}">
              <c16:uniqueId val="{00000000-3EEB-4052-9543-E2CB2EB0051B}"/>
            </c:ext>
          </c:extLst>
        </c:ser>
        <c:ser>
          <c:idx val="1"/>
          <c:order val="1"/>
          <c:tx>
            <c:strRef>
              <c:f>Sheet1!$C$47</c:f>
              <c:strCache>
                <c:ptCount val="1"/>
                <c:pt idx="0">
                  <c:v>BC</c:v>
                </c:pt>
              </c:strCache>
            </c:strRef>
          </c:tx>
          <c:spPr>
            <a:pattFill prst="pct30">
              <a:fgClr>
                <a:schemeClr val="tx1"/>
              </a:fgClr>
              <a:bgClr>
                <a:schemeClr val="bg1"/>
              </a:bgClr>
            </a:pattFill>
            <a:ln w="3175">
              <a:solidFill>
                <a:schemeClr val="tx1"/>
              </a:solidFill>
            </a:ln>
            <a:effectLst/>
          </c:spPr>
          <c:invertIfNegative val="0"/>
          <c:errBars>
            <c:errBarType val="both"/>
            <c:errValType val="cust"/>
            <c:noEndCap val="0"/>
            <c:plus>
              <c:numRef>
                <c:f>Sheet1!$C$65:$C$70</c:f>
                <c:numCache>
                  <c:formatCode>General</c:formatCode>
                  <c:ptCount val="6"/>
                  <c:pt idx="0">
                    <c:v>1.0999999999999999E-2</c:v>
                  </c:pt>
                  <c:pt idx="1">
                    <c:v>1.7999999999999999E-2</c:v>
                  </c:pt>
                  <c:pt idx="2">
                    <c:v>5.2999999999999999E-2</c:v>
                  </c:pt>
                  <c:pt idx="3">
                    <c:v>4.7E-2</c:v>
                  </c:pt>
                  <c:pt idx="4">
                    <c:v>6.0000000000000001E-3</c:v>
                  </c:pt>
                  <c:pt idx="5">
                    <c:v>2E-3</c:v>
                  </c:pt>
                </c:numCache>
              </c:numRef>
            </c:plus>
            <c:minus>
              <c:numRef>
                <c:f>Sheet1!$C$65:$C$70</c:f>
                <c:numCache>
                  <c:formatCode>General</c:formatCode>
                  <c:ptCount val="6"/>
                  <c:pt idx="0">
                    <c:v>1.0999999999999999E-2</c:v>
                  </c:pt>
                  <c:pt idx="1">
                    <c:v>1.7999999999999999E-2</c:v>
                  </c:pt>
                  <c:pt idx="2">
                    <c:v>5.2999999999999999E-2</c:v>
                  </c:pt>
                  <c:pt idx="3">
                    <c:v>4.7E-2</c:v>
                  </c:pt>
                  <c:pt idx="4">
                    <c:v>6.0000000000000001E-3</c:v>
                  </c:pt>
                  <c:pt idx="5">
                    <c:v>2E-3</c:v>
                  </c:pt>
                </c:numCache>
              </c:numRef>
            </c:minus>
            <c:spPr>
              <a:noFill/>
              <a:ln w="9525" cap="flat" cmpd="sng" algn="ctr">
                <a:solidFill>
                  <a:schemeClr val="tx1">
                    <a:lumMod val="65000"/>
                    <a:lumOff val="35000"/>
                  </a:schemeClr>
                </a:solidFill>
                <a:round/>
              </a:ln>
              <a:effectLst/>
            </c:spPr>
          </c:errBars>
          <c:cat>
            <c:strRef>
              <c:f>Sheet1!$A$48:$A$53</c:f>
              <c:strCache>
                <c:ptCount val="6"/>
                <c:pt idx="0">
                  <c:v>pH 5</c:v>
                </c:pt>
                <c:pt idx="1">
                  <c:v>pH 6</c:v>
                </c:pt>
                <c:pt idx="2">
                  <c:v>pH 7</c:v>
                </c:pt>
                <c:pt idx="3">
                  <c:v>pH 8</c:v>
                </c:pt>
                <c:pt idx="4">
                  <c:v>pH 9</c:v>
                </c:pt>
                <c:pt idx="5">
                  <c:v>pH 10</c:v>
                </c:pt>
              </c:strCache>
            </c:strRef>
          </c:cat>
          <c:val>
            <c:numRef>
              <c:f>Sheet1!$C$48:$C$53</c:f>
              <c:numCache>
                <c:formatCode>General</c:formatCode>
                <c:ptCount val="6"/>
                <c:pt idx="0">
                  <c:v>2.7E-2</c:v>
                </c:pt>
                <c:pt idx="1">
                  <c:v>1.018</c:v>
                </c:pt>
                <c:pt idx="2">
                  <c:v>1.054</c:v>
                </c:pt>
                <c:pt idx="3">
                  <c:v>0.999</c:v>
                </c:pt>
                <c:pt idx="4">
                  <c:v>2.3E-2</c:v>
                </c:pt>
                <c:pt idx="5">
                  <c:v>2.1000000000000001E-2</c:v>
                </c:pt>
              </c:numCache>
            </c:numRef>
          </c:val>
          <c:extLst>
            <c:ext xmlns:c16="http://schemas.microsoft.com/office/drawing/2014/chart" uri="{C3380CC4-5D6E-409C-BE32-E72D297353CC}">
              <c16:uniqueId val="{00000001-3EEB-4052-9543-E2CB2EB0051B}"/>
            </c:ext>
          </c:extLst>
        </c:ser>
        <c:ser>
          <c:idx val="2"/>
          <c:order val="2"/>
          <c:tx>
            <c:strRef>
              <c:f>Sheet1!$D$47</c:f>
              <c:strCache>
                <c:ptCount val="1"/>
                <c:pt idx="0">
                  <c:v>BM</c:v>
                </c:pt>
              </c:strCache>
            </c:strRef>
          </c:tx>
          <c:spPr>
            <a:solidFill>
              <a:schemeClr val="accent3"/>
            </a:solidFill>
            <a:ln w="6350">
              <a:solidFill>
                <a:schemeClr val="tx1"/>
              </a:solidFill>
            </a:ln>
            <a:effectLst/>
          </c:spPr>
          <c:invertIfNegative val="0"/>
          <c:errBars>
            <c:errBarType val="both"/>
            <c:errValType val="cust"/>
            <c:noEndCap val="0"/>
            <c:plus>
              <c:numRef>
                <c:f>Sheet1!$D$65:$D$70</c:f>
                <c:numCache>
                  <c:formatCode>General</c:formatCode>
                  <c:ptCount val="6"/>
                  <c:pt idx="0">
                    <c:v>2.1999999999999999E-2</c:v>
                  </c:pt>
                  <c:pt idx="1">
                    <c:v>1.9E-2</c:v>
                  </c:pt>
                  <c:pt idx="2">
                    <c:v>3.4000000000000002E-2</c:v>
                  </c:pt>
                  <c:pt idx="3">
                    <c:v>7.0000000000000007E-2</c:v>
                  </c:pt>
                  <c:pt idx="4">
                    <c:v>1E-3</c:v>
                  </c:pt>
                  <c:pt idx="5">
                    <c:v>5.0000000000000001E-3</c:v>
                  </c:pt>
                </c:numCache>
              </c:numRef>
            </c:plus>
            <c:minus>
              <c:numRef>
                <c:f>Sheet1!$D$65:$D$70</c:f>
                <c:numCache>
                  <c:formatCode>General</c:formatCode>
                  <c:ptCount val="6"/>
                  <c:pt idx="0">
                    <c:v>2.1999999999999999E-2</c:v>
                  </c:pt>
                  <c:pt idx="1">
                    <c:v>1.9E-2</c:v>
                  </c:pt>
                  <c:pt idx="2">
                    <c:v>3.4000000000000002E-2</c:v>
                  </c:pt>
                  <c:pt idx="3">
                    <c:v>7.0000000000000007E-2</c:v>
                  </c:pt>
                  <c:pt idx="4">
                    <c:v>1E-3</c:v>
                  </c:pt>
                  <c:pt idx="5">
                    <c:v>5.0000000000000001E-3</c:v>
                  </c:pt>
                </c:numCache>
              </c:numRef>
            </c:minus>
            <c:spPr>
              <a:noFill/>
              <a:ln w="9525" cap="flat" cmpd="sng" algn="ctr">
                <a:solidFill>
                  <a:schemeClr val="tx1">
                    <a:lumMod val="65000"/>
                    <a:lumOff val="35000"/>
                  </a:schemeClr>
                </a:solidFill>
                <a:round/>
              </a:ln>
              <a:effectLst/>
            </c:spPr>
          </c:errBars>
          <c:cat>
            <c:strRef>
              <c:f>Sheet1!$A$48:$A$53</c:f>
              <c:strCache>
                <c:ptCount val="6"/>
                <c:pt idx="0">
                  <c:v>pH 5</c:v>
                </c:pt>
                <c:pt idx="1">
                  <c:v>pH 6</c:v>
                </c:pt>
                <c:pt idx="2">
                  <c:v>pH 7</c:v>
                </c:pt>
                <c:pt idx="3">
                  <c:v>pH 8</c:v>
                </c:pt>
                <c:pt idx="4">
                  <c:v>pH 9</c:v>
                </c:pt>
                <c:pt idx="5">
                  <c:v>pH 10</c:v>
                </c:pt>
              </c:strCache>
            </c:strRef>
          </c:cat>
          <c:val>
            <c:numRef>
              <c:f>Sheet1!$D$48:$D$53</c:f>
              <c:numCache>
                <c:formatCode>General</c:formatCode>
                <c:ptCount val="6"/>
                <c:pt idx="0">
                  <c:v>3.3000000000000002E-2</c:v>
                </c:pt>
                <c:pt idx="1">
                  <c:v>1.123</c:v>
                </c:pt>
                <c:pt idx="2">
                  <c:v>1.07</c:v>
                </c:pt>
                <c:pt idx="3">
                  <c:v>1.1200000000000001</c:v>
                </c:pt>
                <c:pt idx="4">
                  <c:v>3.1E-2</c:v>
                </c:pt>
                <c:pt idx="5">
                  <c:v>2.7E-2</c:v>
                </c:pt>
              </c:numCache>
            </c:numRef>
          </c:val>
          <c:extLst>
            <c:ext xmlns:c16="http://schemas.microsoft.com/office/drawing/2014/chart" uri="{C3380CC4-5D6E-409C-BE32-E72D297353CC}">
              <c16:uniqueId val="{00000002-3EEB-4052-9543-E2CB2EB0051B}"/>
            </c:ext>
          </c:extLst>
        </c:ser>
        <c:ser>
          <c:idx val="3"/>
          <c:order val="3"/>
          <c:tx>
            <c:strRef>
              <c:f>Sheet1!$E$47</c:f>
              <c:strCache>
                <c:ptCount val="1"/>
                <c:pt idx="0">
                  <c:v>LF</c:v>
                </c:pt>
              </c:strCache>
            </c:strRef>
          </c:tx>
          <c:spPr>
            <a:pattFill prst="ltDnDiag">
              <a:fgClr>
                <a:schemeClr val="tx1"/>
              </a:fgClr>
              <a:bgClr>
                <a:schemeClr val="bg1"/>
              </a:bgClr>
            </a:pattFill>
            <a:ln w="6350">
              <a:solidFill>
                <a:schemeClr val="tx1"/>
              </a:solidFill>
            </a:ln>
            <a:effectLst/>
          </c:spPr>
          <c:invertIfNegative val="0"/>
          <c:errBars>
            <c:errBarType val="both"/>
            <c:errValType val="cust"/>
            <c:noEndCap val="0"/>
            <c:plus>
              <c:numRef>
                <c:f>Sheet1!$E$65:$E$70</c:f>
                <c:numCache>
                  <c:formatCode>General</c:formatCode>
                  <c:ptCount val="6"/>
                  <c:pt idx="0">
                    <c:v>6.0000000000000001E-3</c:v>
                  </c:pt>
                  <c:pt idx="1">
                    <c:v>1.7999999999999999E-2</c:v>
                  </c:pt>
                  <c:pt idx="2">
                    <c:v>5.5E-2</c:v>
                  </c:pt>
                  <c:pt idx="3">
                    <c:v>4.7E-2</c:v>
                  </c:pt>
                  <c:pt idx="4">
                    <c:v>6.0000000000000001E-3</c:v>
                  </c:pt>
                  <c:pt idx="5">
                    <c:v>2E-3</c:v>
                  </c:pt>
                </c:numCache>
              </c:numRef>
            </c:plus>
            <c:minus>
              <c:numRef>
                <c:f>Sheet1!$E$65:$E$70</c:f>
                <c:numCache>
                  <c:formatCode>General</c:formatCode>
                  <c:ptCount val="6"/>
                  <c:pt idx="0">
                    <c:v>6.0000000000000001E-3</c:v>
                  </c:pt>
                  <c:pt idx="1">
                    <c:v>1.7999999999999999E-2</c:v>
                  </c:pt>
                  <c:pt idx="2">
                    <c:v>5.5E-2</c:v>
                  </c:pt>
                  <c:pt idx="3">
                    <c:v>4.7E-2</c:v>
                  </c:pt>
                  <c:pt idx="4">
                    <c:v>6.0000000000000001E-3</c:v>
                  </c:pt>
                  <c:pt idx="5">
                    <c:v>2E-3</c:v>
                  </c:pt>
                </c:numCache>
              </c:numRef>
            </c:minus>
            <c:spPr>
              <a:noFill/>
              <a:ln w="9525" cap="flat" cmpd="sng" algn="ctr">
                <a:solidFill>
                  <a:schemeClr val="tx1">
                    <a:lumMod val="65000"/>
                    <a:lumOff val="35000"/>
                  </a:schemeClr>
                </a:solidFill>
                <a:round/>
              </a:ln>
              <a:effectLst/>
            </c:spPr>
          </c:errBars>
          <c:cat>
            <c:strRef>
              <c:f>Sheet1!$A$48:$A$53</c:f>
              <c:strCache>
                <c:ptCount val="6"/>
                <c:pt idx="0">
                  <c:v>pH 5</c:v>
                </c:pt>
                <c:pt idx="1">
                  <c:v>pH 6</c:v>
                </c:pt>
                <c:pt idx="2">
                  <c:v>pH 7</c:v>
                </c:pt>
                <c:pt idx="3">
                  <c:v>pH 8</c:v>
                </c:pt>
                <c:pt idx="4">
                  <c:v>pH 9</c:v>
                </c:pt>
                <c:pt idx="5">
                  <c:v>pH 10</c:v>
                </c:pt>
              </c:strCache>
            </c:strRef>
          </c:cat>
          <c:val>
            <c:numRef>
              <c:f>Sheet1!$E$48:$E$53</c:f>
              <c:numCache>
                <c:formatCode>General</c:formatCode>
                <c:ptCount val="6"/>
                <c:pt idx="0">
                  <c:v>0.04</c:v>
                </c:pt>
                <c:pt idx="1">
                  <c:v>1.02</c:v>
                </c:pt>
                <c:pt idx="2">
                  <c:v>1.23</c:v>
                </c:pt>
                <c:pt idx="3">
                  <c:v>1.26</c:v>
                </c:pt>
                <c:pt idx="4">
                  <c:v>3.3000000000000002E-2</c:v>
                </c:pt>
                <c:pt idx="5">
                  <c:v>2.7099999999999999E-2</c:v>
                </c:pt>
              </c:numCache>
            </c:numRef>
          </c:val>
          <c:extLst>
            <c:ext xmlns:c16="http://schemas.microsoft.com/office/drawing/2014/chart" uri="{C3380CC4-5D6E-409C-BE32-E72D297353CC}">
              <c16:uniqueId val="{00000003-3EEB-4052-9543-E2CB2EB0051B}"/>
            </c:ext>
          </c:extLst>
        </c:ser>
        <c:dLbls>
          <c:showLegendKey val="0"/>
          <c:showVal val="0"/>
          <c:showCatName val="0"/>
          <c:showSerName val="0"/>
          <c:showPercent val="0"/>
          <c:showBubbleSize val="0"/>
        </c:dLbls>
        <c:gapWidth val="150"/>
        <c:axId val="343872760"/>
        <c:axId val="343876368"/>
      </c:barChart>
      <c:catAx>
        <c:axId val="343872760"/>
        <c:scaling>
          <c:orientation val="minMax"/>
        </c:scaling>
        <c:delete val="0"/>
        <c:axPos val="b"/>
        <c:minorGridlines>
          <c:spPr>
            <a:ln w="9525" cap="flat" cmpd="sng" algn="ctr">
              <a:noFill/>
              <a:round/>
            </a:ln>
            <a:effectLst/>
          </c:spPr>
        </c:min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rPr>
                  <a:t>Initial medium pH</a:t>
                </a:r>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3876368"/>
        <c:crosses val="autoZero"/>
        <c:auto val="1"/>
        <c:lblAlgn val="ctr"/>
        <c:lblOffset val="100"/>
        <c:noMultiLvlLbl val="0"/>
      </c:catAx>
      <c:valAx>
        <c:axId val="34387636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rPr>
                  <a:t>Absorbance (OD</a:t>
                </a:r>
                <a:r>
                  <a:rPr lang="en-US" baseline="-25000">
                    <a:solidFill>
                      <a:sysClr val="windowText" lastClr="000000"/>
                    </a:solidFill>
                  </a:rPr>
                  <a:t>600</a:t>
                </a:r>
                <a:r>
                  <a:rPr lang="en-US">
                    <a:solidFill>
                      <a:sysClr val="windowText" lastClr="000000"/>
                    </a:solidFill>
                  </a:rPr>
                  <a:t>)</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3872760"/>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0F693-36C7-42CA-AD4A-BBEB11F7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3807</Words>
  <Characters>21701</Characters>
  <Application>Microsoft Office Word</Application>
  <DocSecurity>0</DocSecurity>
  <Lines>180</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JBJ Njalam'mano</dc:creator>
  <cp:lastModifiedBy>Windows User</cp:lastModifiedBy>
  <cp:revision>2</cp:revision>
  <cp:lastPrinted>2015-05-12T18:31:00Z</cp:lastPrinted>
  <dcterms:created xsi:type="dcterms:W3CDTF">2019-02-04T15:03:00Z</dcterms:created>
  <dcterms:modified xsi:type="dcterms:W3CDTF">2019-02-04T15:03:00Z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