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3302AB" w:rsidRDefault="003302AB" w:rsidP="00AB5011">
      <w:pPr>
        <w:pStyle w:val="CETAuthors"/>
        <w:rPr>
          <w:noProof w:val="0"/>
          <w:sz w:val="32"/>
        </w:rPr>
      </w:pPr>
      <w:r w:rsidRPr="003302AB">
        <w:rPr>
          <w:noProof w:val="0"/>
          <w:sz w:val="32"/>
        </w:rPr>
        <w:lastRenderedPageBreak/>
        <w:t xml:space="preserve">Surfactant Activity of Artocarpus heterophyllus Fruit Extract and Application in Oil Removal of Solid Surface </w:t>
      </w:r>
    </w:p>
    <w:p w:rsidR="003302AB" w:rsidRDefault="003302AB" w:rsidP="00E978D0">
      <w:pPr>
        <w:pStyle w:val="CETAddress"/>
        <w:rPr>
          <w:sz w:val="24"/>
        </w:rPr>
      </w:pPr>
      <w:r w:rsidRPr="003302AB">
        <w:rPr>
          <w:sz w:val="24"/>
        </w:rPr>
        <w:t>Fabíola C. G. de Almeida</w:t>
      </w:r>
      <w:r w:rsidRPr="003302AB">
        <w:rPr>
          <w:sz w:val="24"/>
          <w:vertAlign w:val="superscript"/>
        </w:rPr>
        <w:t>*a,b,</w:t>
      </w:r>
      <w:r w:rsidR="00537B4B">
        <w:rPr>
          <w:sz w:val="24"/>
          <w:vertAlign w:val="superscript"/>
        </w:rPr>
        <w:t>,</w:t>
      </w:r>
      <w:r w:rsidR="00537B4B">
        <w:rPr>
          <w:sz w:val="24"/>
        </w:rPr>
        <w:t xml:space="preserve"> Nathália M. da Rocha e S</w:t>
      </w:r>
      <w:bookmarkStart w:id="0" w:name="_GoBack"/>
      <w:bookmarkEnd w:id="0"/>
      <w:r w:rsidR="00537B4B">
        <w:rPr>
          <w:sz w:val="24"/>
        </w:rPr>
        <w:t>ilva</w:t>
      </w:r>
      <w:r w:rsidRPr="003302AB">
        <w:rPr>
          <w:sz w:val="24"/>
          <w:vertAlign w:val="superscript"/>
        </w:rPr>
        <w:t>b,c,</w:t>
      </w:r>
      <w:r w:rsidRPr="003302AB">
        <w:rPr>
          <w:sz w:val="24"/>
        </w:rPr>
        <w:t xml:space="preserve"> Thaís C. de Souza</w:t>
      </w:r>
      <w:r w:rsidRPr="003302AB">
        <w:rPr>
          <w:sz w:val="24"/>
          <w:vertAlign w:val="superscript"/>
        </w:rPr>
        <w:t>a</w:t>
      </w:r>
      <w:r w:rsidRPr="003302AB">
        <w:rPr>
          <w:sz w:val="24"/>
        </w:rPr>
        <w:t>, Darne G. de Almeida</w:t>
      </w:r>
      <w:r w:rsidRPr="003302AB">
        <w:rPr>
          <w:sz w:val="24"/>
          <w:vertAlign w:val="superscript"/>
        </w:rPr>
        <w:t>a</w:t>
      </w:r>
      <w:r>
        <w:rPr>
          <w:sz w:val="24"/>
          <w:vertAlign w:val="superscript"/>
        </w:rPr>
        <w:t>,b</w:t>
      </w:r>
      <w:r w:rsidRPr="003302AB">
        <w:rPr>
          <w:sz w:val="24"/>
        </w:rPr>
        <w:t>, Juliana M. de Luna</w:t>
      </w:r>
      <w:r w:rsidRPr="003302AB">
        <w:rPr>
          <w:sz w:val="24"/>
          <w:vertAlign w:val="superscript"/>
        </w:rPr>
        <w:t>a,b</w:t>
      </w:r>
      <w:r w:rsidRPr="003302AB">
        <w:rPr>
          <w:sz w:val="24"/>
        </w:rPr>
        <w:t>, Charles B. B. Farias</w:t>
      </w:r>
      <w:r w:rsidRPr="003302AB">
        <w:rPr>
          <w:sz w:val="24"/>
          <w:vertAlign w:val="superscript"/>
        </w:rPr>
        <w:t xml:space="preserve">b,c </w:t>
      </w:r>
      <w:r w:rsidRPr="003302AB">
        <w:rPr>
          <w:sz w:val="24"/>
        </w:rPr>
        <w:t>Raquel D. Rufino</w:t>
      </w:r>
      <w:r w:rsidRPr="003302AB">
        <w:rPr>
          <w:sz w:val="24"/>
          <w:vertAlign w:val="superscript"/>
        </w:rPr>
        <w:t>a</w:t>
      </w:r>
      <w:r w:rsidRPr="003302AB">
        <w:rPr>
          <w:sz w:val="24"/>
        </w:rPr>
        <w:t>, Leonie A. Sarubbo</w:t>
      </w:r>
      <w:r w:rsidRPr="003302AB">
        <w:rPr>
          <w:sz w:val="24"/>
          <w:vertAlign w:val="superscript"/>
        </w:rPr>
        <w:t>a,b</w:t>
      </w:r>
    </w:p>
    <w:p w:rsidR="003302AB" w:rsidRDefault="003302AB" w:rsidP="00E978D0">
      <w:pPr>
        <w:pStyle w:val="CETAddress"/>
        <w:rPr>
          <w:sz w:val="24"/>
        </w:rPr>
      </w:pPr>
    </w:p>
    <w:p w:rsidR="003302AB" w:rsidRDefault="003302AB" w:rsidP="003302AB">
      <w:pPr>
        <w:pStyle w:val="CETemail"/>
        <w:spacing w:after="0" w:line="240" w:lineRule="auto"/>
      </w:pPr>
      <w:r w:rsidRPr="003302AB">
        <w:rPr>
          <w:vertAlign w:val="superscript"/>
        </w:rPr>
        <w:t>a</w:t>
      </w:r>
      <w:r>
        <w:t xml:space="preserve"> Centre of Science and Technology, Catholic University of Pernambuco, Rua do Príncipe, n. 526, Boa Vista, Cep: 50050 900, Recife-Pernambuco, Brazil</w:t>
      </w:r>
    </w:p>
    <w:p w:rsidR="003302AB" w:rsidRDefault="003302AB" w:rsidP="003302AB">
      <w:pPr>
        <w:pStyle w:val="CETemail"/>
        <w:spacing w:after="0" w:line="240" w:lineRule="auto"/>
      </w:pPr>
      <w:r w:rsidRPr="003302AB">
        <w:rPr>
          <w:vertAlign w:val="superscript"/>
        </w:rPr>
        <w:t>b</w:t>
      </w:r>
      <w:r>
        <w:t xml:space="preserve"> Advanced Institute of Technology and Innovation – IATI, Rua Carlos Porto Carreiro, n. 70, Boa Vista, CEP: 50070-090, Recife, Pernambuco, Brazil</w:t>
      </w:r>
    </w:p>
    <w:p w:rsidR="003302AB" w:rsidRDefault="003302AB" w:rsidP="003302AB">
      <w:pPr>
        <w:pStyle w:val="CETemail"/>
        <w:spacing w:after="0" w:line="240" w:lineRule="auto"/>
      </w:pPr>
      <w:r w:rsidRPr="003302AB">
        <w:rPr>
          <w:vertAlign w:val="superscript"/>
        </w:rPr>
        <w:t xml:space="preserve">c </w:t>
      </w:r>
      <w:r>
        <w:t>Northeast Biothecnoloby Network, Federal Rural University of Pernambuco, Rua Dom Manoel de Medeiros, s/n, Dois Irmãos, CEP: 52171-900, Recife, Pernambuco, Brazil</w:t>
      </w:r>
    </w:p>
    <w:p w:rsidR="00E978D0" w:rsidRDefault="003302AB" w:rsidP="003302AB">
      <w:pPr>
        <w:pStyle w:val="CETemail"/>
        <w:spacing w:after="0" w:line="240" w:lineRule="auto"/>
      </w:pPr>
      <w:r>
        <w:t>fabiolacgalmeida@ hotmail.com</w:t>
      </w:r>
    </w:p>
    <w:p w:rsidR="003302AB" w:rsidRPr="003302AB" w:rsidRDefault="003302AB" w:rsidP="003302AB">
      <w:pPr>
        <w:pStyle w:val="CETBodytext"/>
        <w:rPr>
          <w:lang w:val="en-GB"/>
        </w:rPr>
      </w:pPr>
    </w:p>
    <w:p w:rsidR="00A24A87" w:rsidRDefault="004F0CDF" w:rsidP="00600535">
      <w:pPr>
        <w:pStyle w:val="CETBodytext"/>
        <w:rPr>
          <w:lang w:val="en-GB"/>
        </w:rPr>
      </w:pPr>
      <w:r w:rsidRPr="004F0CDF">
        <w:rPr>
          <w:lang w:val="en-GB"/>
        </w:rPr>
        <w:t xml:space="preserve">The commercial importance of natural surfactants is evidenced from the increasing trends in their production and the number of industrial applications due to its potential physicochemical properties. Currently, these compounds are moving several industries in the food, chemical and pharmaceutical sectors in which they demand the development of technologies in the industrial and environmental areas. The objectives of the present study were to evaluate the surfactant properties of the </w:t>
      </w:r>
      <w:r w:rsidRPr="004F0CDF">
        <w:rPr>
          <w:i/>
          <w:lang w:val="en-GB"/>
        </w:rPr>
        <w:t>Artocarpus heterophyllus</w:t>
      </w:r>
      <w:r w:rsidRPr="004F0CDF">
        <w:rPr>
          <w:lang w:val="en-GB"/>
        </w:rPr>
        <w:t xml:space="preserve"> plant extract and its application in oil removal of solid surface. Studies on the surfactant properties analyses performed were the surface tension, emulsification activity using different hydrocarbons and vegetable oils, the haemolytic activity, the surface tension stability in different temperatures, pH and addition of salt, test of dispersion, toxicity test, the critical micelle concentration and the ion charges. To evaluate the capacity of this surfactant on oil removal in engine parts, small-scale tests conducted using steel nuts of different sizes. The results showed that this surfactant of vegetable origin obtained from fruit extract exhibited surfactant properties due to the presence of the haemolytic activity and the reduction of the surface tension of water from 72.00 ± 0.14 mN / m to 26.90 ± 0.20 mN / m, with the critical micelle concentration of 0.050 g / L with the increase values of the emulsification activity ranging from 42 ± 0.12 % and 100 ± 0.05 % on all hydrophobic compounds (corn oil, sunflower oil, soybean oil, petroleum, n-hexa</w:t>
      </w:r>
      <w:r>
        <w:rPr>
          <w:lang w:val="en-GB"/>
        </w:rPr>
        <w:t xml:space="preserve">decane, diesel and motor oil). </w:t>
      </w:r>
      <w:r w:rsidRPr="004F0CDF">
        <w:rPr>
          <w:lang w:val="en-GB"/>
        </w:rPr>
        <w:t>The results also showed a considerable stability of these biosurfactants derived from fruit extract submitted to differe</w:t>
      </w:r>
      <w:r>
        <w:rPr>
          <w:lang w:val="en-GB"/>
        </w:rPr>
        <w:t>nt temperature (stability of 26.11 ± 0.23), pH (stability of 25.</w:t>
      </w:r>
      <w:r w:rsidRPr="004F0CDF">
        <w:rPr>
          <w:lang w:val="en-GB"/>
        </w:rPr>
        <w:t xml:space="preserve">63 ± 0.21) and the salt </w:t>
      </w:r>
      <w:r>
        <w:rPr>
          <w:lang w:val="en-GB"/>
        </w:rPr>
        <w:t>concentrations (stability of 25.</w:t>
      </w:r>
      <w:r w:rsidRPr="004F0CDF">
        <w:rPr>
          <w:lang w:val="en-GB"/>
        </w:rPr>
        <w:t>79 ± 0.08). And in the result of oil displacement test demonstrated that the biosurfactant vegetable could remove 1.872 cm</w:t>
      </w:r>
      <w:r w:rsidRPr="00BB5875">
        <w:rPr>
          <w:vertAlign w:val="superscript"/>
          <w:lang w:val="en-GB"/>
        </w:rPr>
        <w:t>2</w:t>
      </w:r>
      <w:r w:rsidRPr="004F0CDF">
        <w:rPr>
          <w:lang w:val="en-GB"/>
        </w:rPr>
        <w:t xml:space="preserve"> the motor oil.  With the characteristic of l</w:t>
      </w:r>
      <w:r>
        <w:rPr>
          <w:lang w:val="en-GB"/>
        </w:rPr>
        <w:t>ow toxicity (germination index w</w:t>
      </w:r>
      <w:r w:rsidRPr="004F0CDF">
        <w:rPr>
          <w:lang w:val="en-GB"/>
        </w:rPr>
        <w:t>ith values of 100 at 98</w:t>
      </w:r>
      <w:r w:rsidR="00835588">
        <w:rPr>
          <w:lang w:val="en-GB"/>
        </w:rPr>
        <w:t xml:space="preserve"> </w:t>
      </w:r>
      <w:r w:rsidRPr="004F0CDF">
        <w:rPr>
          <w:lang w:val="en-GB"/>
        </w:rPr>
        <w:t>%) of biosurfactant and the efficient oil removal on a solid surface between 82.6 ± 0.5 a 78.4 ± 0.6</w:t>
      </w:r>
      <w:r w:rsidR="00835588">
        <w:rPr>
          <w:lang w:val="en-GB"/>
        </w:rPr>
        <w:t xml:space="preserve"> </w:t>
      </w:r>
      <w:r w:rsidRPr="004F0CDF">
        <w:rPr>
          <w:lang w:val="en-GB"/>
        </w:rPr>
        <w:t>%, can be considered new perspectives with potential to be marketed and replace the application of chemical surfactants.</w:t>
      </w:r>
    </w:p>
    <w:p w:rsidR="008C38E3" w:rsidRDefault="008C38E3" w:rsidP="00600535">
      <w:pPr>
        <w:pStyle w:val="CETBodytext"/>
        <w:rPr>
          <w:lang w:val="en-GB"/>
        </w:rPr>
      </w:pPr>
    </w:p>
    <w:p w:rsidR="00600535" w:rsidRPr="008C38E3" w:rsidRDefault="00600535" w:rsidP="008C38E3">
      <w:pPr>
        <w:pStyle w:val="CETHeading1"/>
        <w:rPr>
          <w:lang w:val="en-GB"/>
        </w:rPr>
      </w:pPr>
      <w:r w:rsidRPr="00B57B36">
        <w:rPr>
          <w:lang w:val="en-GB"/>
        </w:rPr>
        <w:t>Introd</w:t>
      </w:r>
      <w:r w:rsidRPr="008C38E3">
        <w:rPr>
          <w:lang w:val="en-GB"/>
        </w:rPr>
        <w:t>uction</w:t>
      </w:r>
    </w:p>
    <w:p w:rsidR="00BB5875" w:rsidRDefault="00BB5875" w:rsidP="00BB5875">
      <w:pPr>
        <w:pStyle w:val="CETBodytext"/>
        <w:rPr>
          <w:lang w:val="en-GB"/>
        </w:rPr>
      </w:pPr>
      <w:r w:rsidRPr="00BB5875">
        <w:rPr>
          <w:lang w:val="en-GB"/>
        </w:rPr>
        <w:t xml:space="preserve">Biosurfactants and have a wide range of biotechnological applications in areas such as dairy, food, beverage, cosmetics, detergent, textile, paint, mining, petroleum, paper pulp and pharmaceutical industries. Biosurfactants are ecologically accepted, non-toxic, biodegradable and effective in a wide range of extreme conditions including temperature, pH and salinity, as compared to chemical surfactants (Sarubbo et al., 2016; Luna et al., 2016). They are produced by fungi, bacterium, yeast and plants. Due to their ability to concentrate at the air–water interface, they are commonly used to separate oily materials from a given medium. Surfactants increase the aqueous solubility of hydrophilic molecules by reducing the surface tension at air–water and water–oil interfaces </w:t>
      </w:r>
      <w:r>
        <w:rPr>
          <w:lang w:val="en-GB"/>
        </w:rPr>
        <w:lastRenderedPageBreak/>
        <w:t>(Souza et al., 2014</w:t>
      </w:r>
      <w:r w:rsidRPr="00BB5875">
        <w:rPr>
          <w:lang w:val="en-GB"/>
        </w:rPr>
        <w:t>; Santos et al., 2017).  The Natural surf</w:t>
      </w:r>
      <w:r>
        <w:rPr>
          <w:lang w:val="en-GB"/>
        </w:rPr>
        <w:t xml:space="preserve">actants of vegetable origin are </w:t>
      </w:r>
      <w:r w:rsidRPr="00BB5875">
        <w:rPr>
          <w:lang w:val="en-GB"/>
        </w:rPr>
        <w:t>classified as phospholipids, proteins or protein hydrolysates and saponins. And they are surfactants which have emulsifying and foaming properties. Some studies have shown that vegetables biosurfactant (saponins) can effectively remove heavy metals or oils from contaminated soils due to efficiency coupled with characteristics such as biodegradability, low toxicity and easy to obtain (</w:t>
      </w:r>
      <w:r w:rsidR="00BE6470" w:rsidRPr="00BE6470">
        <w:rPr>
          <w:lang w:val="en-GB"/>
        </w:rPr>
        <w:t>Zhou et al., 2013</w:t>
      </w:r>
      <w:r>
        <w:rPr>
          <w:lang w:val="en-GB"/>
        </w:rPr>
        <w:t xml:space="preserve">). </w:t>
      </w:r>
      <w:r w:rsidRPr="00BB5875">
        <w:rPr>
          <w:lang w:val="en-GB"/>
        </w:rPr>
        <w:t xml:space="preserve">Global research in the field of surfactants has been intensifying as a function of the properties of these compounds, since the amphipathic nature of their structures allows numerous industrial applications. On the other hand, the need for replacement of these agents, derived from petroleum, has motivated the development of innovative alternatives with low environmental impact. The presence work describes the properties physico-chemical along with environmental application of the biosurfactants produced by </w:t>
      </w:r>
      <w:r w:rsidRPr="00BB5875">
        <w:rPr>
          <w:i/>
          <w:lang w:val="en-GB"/>
        </w:rPr>
        <w:t>Artocarpus heterophyllus</w:t>
      </w:r>
      <w:r w:rsidRPr="00BB5875">
        <w:rPr>
          <w:lang w:val="en-GB"/>
        </w:rPr>
        <w:t>.</w:t>
      </w:r>
    </w:p>
    <w:p w:rsidR="00BB5875" w:rsidRDefault="00BB5875" w:rsidP="00BB5875">
      <w:pPr>
        <w:pStyle w:val="CETBodytext"/>
        <w:rPr>
          <w:lang w:val="en-GB"/>
        </w:rPr>
      </w:pPr>
    </w:p>
    <w:p w:rsidR="00A24A87" w:rsidRPr="008C38E3" w:rsidRDefault="008C38E3" w:rsidP="00BB5875">
      <w:pPr>
        <w:pStyle w:val="CETBodytext"/>
        <w:rPr>
          <w:b/>
          <w:sz w:val="20"/>
          <w:lang w:val="en-GB"/>
        </w:rPr>
      </w:pPr>
      <w:r>
        <w:rPr>
          <w:b/>
          <w:sz w:val="20"/>
          <w:lang w:val="en-GB"/>
        </w:rPr>
        <w:t xml:space="preserve">2. </w:t>
      </w:r>
      <w:r w:rsidR="00681C37" w:rsidRPr="008C38E3">
        <w:rPr>
          <w:b/>
          <w:sz w:val="20"/>
          <w:lang w:val="en-GB"/>
        </w:rPr>
        <w:t>Material and methods</w:t>
      </w:r>
    </w:p>
    <w:p w:rsidR="00A24A87" w:rsidRDefault="00A24A87" w:rsidP="00681C37">
      <w:pPr>
        <w:pStyle w:val="CETheadingx"/>
        <w:numPr>
          <w:ilvl w:val="0"/>
          <w:numId w:val="0"/>
        </w:numPr>
      </w:pPr>
      <w:r>
        <w:t>2.1 Format Collect and preparation of vegetables</w:t>
      </w:r>
    </w:p>
    <w:p w:rsidR="00A24A87" w:rsidRDefault="00A24A87" w:rsidP="00681C37">
      <w:pPr>
        <w:pStyle w:val="CETBodytext"/>
        <w:rPr>
          <w:lang w:val="en-GB"/>
        </w:rPr>
      </w:pPr>
      <w:r w:rsidRPr="00A24A87">
        <w:rPr>
          <w:lang w:val="en-GB"/>
        </w:rPr>
        <w:t xml:space="preserve">The fruits </w:t>
      </w:r>
      <w:r w:rsidRPr="00933514">
        <w:rPr>
          <w:i/>
          <w:lang w:val="en-GB"/>
        </w:rPr>
        <w:t>Artocarpus heterophyllus</w:t>
      </w:r>
      <w:r w:rsidRPr="00A24A87">
        <w:rPr>
          <w:lang w:val="en-GB"/>
        </w:rPr>
        <w:t xml:space="preserve"> (Jaca) purchased commercially (Central Supply and Logistics of Pernambuco - CEASA). After collection, the fruits taken to the laboratory for the washing process under water. Samples placed in the oven for 48 h at a temperature of 50 ° C for dehydration. After dehydration, the samples were ground to a fine powder.</w:t>
      </w:r>
    </w:p>
    <w:p w:rsidR="00A24A87" w:rsidRPr="00A24A87" w:rsidRDefault="00A24A87" w:rsidP="00A24A87">
      <w:pPr>
        <w:pStyle w:val="CETheadingx"/>
        <w:numPr>
          <w:ilvl w:val="0"/>
          <w:numId w:val="0"/>
        </w:numPr>
      </w:pPr>
      <w:r>
        <w:t xml:space="preserve">2.2 </w:t>
      </w:r>
      <w:r w:rsidRPr="00A24A87">
        <w:t>Hemolytic activity test</w:t>
      </w:r>
    </w:p>
    <w:p w:rsidR="00A24A87" w:rsidRDefault="00A24A87" w:rsidP="00681C37">
      <w:pPr>
        <w:pStyle w:val="CETBodytext"/>
      </w:pPr>
      <w:r>
        <w:t xml:space="preserve">Hemolytic activity </w:t>
      </w:r>
      <w:r w:rsidRPr="00FD25E3">
        <w:t xml:space="preserve">observed from the mixture of the plant extract in soy tripticasein Agar (TSA-BBL) plus 5% sheep defibrinated blood in </w:t>
      </w:r>
      <w:r>
        <w:t xml:space="preserve">Petri dishes. Petri dishes </w:t>
      </w:r>
      <w:r w:rsidRPr="00FD25E3">
        <w:t>incubated at 37 ° C for 24-48 hours (</w:t>
      </w:r>
      <w:r w:rsidRPr="009D6673">
        <w:t>Nagao et al., 2000</w:t>
      </w:r>
      <w:r w:rsidRPr="00FD25E3">
        <w:t>).</w:t>
      </w:r>
    </w:p>
    <w:p w:rsidR="00A24A87" w:rsidRPr="00A24A87" w:rsidRDefault="00A24A87" w:rsidP="00600535">
      <w:pPr>
        <w:pStyle w:val="CETBodytext"/>
      </w:pPr>
    </w:p>
    <w:p w:rsidR="00A24A87" w:rsidRDefault="00A24A87" w:rsidP="00681C37">
      <w:pPr>
        <w:spacing w:line="240" w:lineRule="auto"/>
        <w:rPr>
          <w:b/>
          <w:lang w:val="en-US"/>
        </w:rPr>
      </w:pPr>
      <w:r>
        <w:rPr>
          <w:b/>
          <w:lang w:val="en-US"/>
        </w:rPr>
        <w:t xml:space="preserve">2.3 </w:t>
      </w:r>
      <w:r w:rsidRPr="00A24A87">
        <w:rPr>
          <w:b/>
          <w:lang w:val="en-US"/>
        </w:rPr>
        <w:t>Obtaining the extractive solution vegetable</w:t>
      </w:r>
    </w:p>
    <w:p w:rsidR="00681C37" w:rsidRPr="00A24A87" w:rsidRDefault="00681C37" w:rsidP="00681C37">
      <w:pPr>
        <w:spacing w:line="240" w:lineRule="auto"/>
        <w:rPr>
          <w:b/>
          <w:lang w:val="en-US"/>
        </w:rPr>
      </w:pPr>
    </w:p>
    <w:p w:rsidR="00A24A87" w:rsidRDefault="00A24A87" w:rsidP="00681C37">
      <w:pPr>
        <w:pStyle w:val="CETBodytext"/>
        <w:rPr>
          <w:lang w:val="en-GB"/>
        </w:rPr>
      </w:pPr>
      <w:r w:rsidRPr="00A24A87">
        <w:rPr>
          <w:lang w:val="en-GB"/>
        </w:rPr>
        <w:t xml:space="preserve">Powdered vegetable matter (50 g) from </w:t>
      </w:r>
      <w:r w:rsidRPr="00A6559E">
        <w:rPr>
          <w:i/>
          <w:lang w:val="en-GB"/>
        </w:rPr>
        <w:t>Artocarpus heterophyllus</w:t>
      </w:r>
      <w:r w:rsidRPr="00A24A87">
        <w:rPr>
          <w:lang w:val="en-GB"/>
        </w:rPr>
        <w:t xml:space="preserve"> were transferred separately to Becker and 100 ml of 1% aqueous sodium hydroxide solution was added and subjected to heating 60 ° C for 30 minutes under constant stirring. The extractive solution filtered under reduced pressure using Whatman n°1 filter paper. Then the filtered solution acidified with citric acid slowly added and with constant stirring until the solution reached pH 2. The acid solution placed in a separation funnel for the extraction of the biosurfactant using ethyl acetate in a ratio of 1: 2 (v / v). The procedure epeated until the ethyl acetate became colourless. The extractive solution was frozen at -4 ° C and lyophilized. The vegetable extract lyophilized containing the biosurfactant submitted to analysis.</w:t>
      </w:r>
    </w:p>
    <w:p w:rsidR="00A24A87" w:rsidRDefault="00A24A87" w:rsidP="00A24A87">
      <w:pPr>
        <w:pStyle w:val="CETBodytext"/>
        <w:rPr>
          <w:lang w:val="en-GB"/>
        </w:rPr>
      </w:pPr>
    </w:p>
    <w:p w:rsidR="00A24A87" w:rsidRPr="00681C37" w:rsidRDefault="00681C37" w:rsidP="00681C37">
      <w:pPr>
        <w:spacing w:line="360" w:lineRule="auto"/>
        <w:rPr>
          <w:b/>
          <w:lang w:val="en-US"/>
        </w:rPr>
      </w:pPr>
      <w:r>
        <w:rPr>
          <w:b/>
          <w:lang w:val="en-US"/>
        </w:rPr>
        <w:t>2</w:t>
      </w:r>
      <w:r w:rsidR="00A24A87">
        <w:rPr>
          <w:b/>
          <w:lang w:val="en-US"/>
        </w:rPr>
        <w:t xml:space="preserve">.4 </w:t>
      </w:r>
      <w:r w:rsidR="00A24A87" w:rsidRPr="00A24A87">
        <w:rPr>
          <w:b/>
          <w:lang w:val="en-US"/>
        </w:rPr>
        <w:t>Surface activity</w:t>
      </w:r>
    </w:p>
    <w:p w:rsidR="00A24A87" w:rsidRDefault="00A24A87" w:rsidP="00681C37">
      <w:pPr>
        <w:pStyle w:val="CETBodytext"/>
        <w:rPr>
          <w:lang w:val="en-GB"/>
        </w:rPr>
      </w:pPr>
      <w:r w:rsidRPr="00A24A87">
        <w:rPr>
          <w:lang w:val="en-GB"/>
        </w:rPr>
        <w:t>The surface tension of the vegetable extract was looking using a Du Nouy Tensiometer model Sigma 70 (KSV Instruments LTD, Finland) at room temperature. The surface measurement carried out at 25 ± 1 ºC after dipping the platinum ring in the solution for a while to attain equilibrium conditions. The measurement repeated three</w:t>
      </w:r>
      <w:r>
        <w:rPr>
          <w:lang w:val="en-GB"/>
        </w:rPr>
        <w:t xml:space="preserve"> times and an average value was </w:t>
      </w:r>
      <w:r w:rsidRPr="00A24A87">
        <w:rPr>
          <w:lang w:val="en-GB"/>
        </w:rPr>
        <w:t>obtained.</w:t>
      </w:r>
    </w:p>
    <w:p w:rsidR="00681C37" w:rsidRDefault="00681C37" w:rsidP="00681C37">
      <w:pPr>
        <w:pStyle w:val="CETBodytext"/>
        <w:rPr>
          <w:lang w:val="en-GB"/>
        </w:rPr>
      </w:pPr>
    </w:p>
    <w:p w:rsidR="00681C37" w:rsidRPr="00681C37" w:rsidRDefault="00681C37" w:rsidP="00681C37">
      <w:pPr>
        <w:spacing w:line="360" w:lineRule="auto"/>
        <w:rPr>
          <w:b/>
          <w:lang w:val="en-US"/>
        </w:rPr>
      </w:pPr>
      <w:r w:rsidRPr="00681C37">
        <w:rPr>
          <w:b/>
          <w:lang w:val="en-US"/>
        </w:rPr>
        <w:t>2.5 Emulsification activity</w:t>
      </w:r>
    </w:p>
    <w:p w:rsidR="00681C37" w:rsidRDefault="00681C37" w:rsidP="00A24A87">
      <w:pPr>
        <w:pStyle w:val="CETBodytext"/>
        <w:rPr>
          <w:lang w:val="en-GB"/>
        </w:rPr>
      </w:pPr>
      <w:r w:rsidRPr="00681C37">
        <w:rPr>
          <w:lang w:val="en-GB"/>
        </w:rPr>
        <w:t>The emulsification index measured using the method described by Copper and Goldenberg (1987). An aliquot of 3 ml hydrocarbon was added to 2 ml vegetable extract in a glass test tube separately and vortexed at high speed (2300 rpm) for 2 min. The stability of the emulsion was determined after 24 h and emulsification index (E24) calculated by dividing the measured height of the emulsion layer in the test tube by the total height of the mixture and multiplying by 100.</w:t>
      </w:r>
    </w:p>
    <w:p w:rsidR="00681C37" w:rsidRDefault="00681C37" w:rsidP="00681C37">
      <w:pPr>
        <w:pStyle w:val="CETBodytext"/>
        <w:rPr>
          <w:lang w:val="en-GB"/>
        </w:rPr>
      </w:pPr>
    </w:p>
    <w:p w:rsidR="00681C37" w:rsidRPr="00681C37" w:rsidRDefault="00681C37" w:rsidP="00681C37">
      <w:pPr>
        <w:spacing w:line="360" w:lineRule="auto"/>
        <w:rPr>
          <w:b/>
          <w:lang w:val="en-US"/>
        </w:rPr>
      </w:pPr>
      <w:r w:rsidRPr="00681C37">
        <w:rPr>
          <w:b/>
          <w:lang w:val="en-US"/>
        </w:rPr>
        <w:t>2.6 Determination of critical micelle concentration (CMC)</w:t>
      </w:r>
    </w:p>
    <w:p w:rsidR="00681C37" w:rsidRDefault="00681C37" w:rsidP="00A24A87">
      <w:pPr>
        <w:pStyle w:val="CETBodytext"/>
        <w:rPr>
          <w:lang w:val="en-GB"/>
        </w:rPr>
      </w:pPr>
      <w:r w:rsidRPr="00681C37">
        <w:rPr>
          <w:lang w:val="en-GB"/>
        </w:rPr>
        <w:t>The CMC of the extracts vegetable containing the biosurfactant was determined for the concentration 0.01–3 % (w / v) in distilled water and followed by the measurement of surface tension. The surface tension of each concentration was determined in triplicate. The maximum standard deviation associated with the surface activity measurements was ± 0.2 mN / m. The CMC of the extracts brute vegetable estimated from constant value of surface tension.</w:t>
      </w:r>
    </w:p>
    <w:p w:rsidR="00681C37" w:rsidRDefault="00681C37" w:rsidP="00681C37">
      <w:pPr>
        <w:pStyle w:val="CETBodytext"/>
        <w:rPr>
          <w:lang w:val="en-GB"/>
        </w:rPr>
      </w:pPr>
    </w:p>
    <w:p w:rsidR="00681C37" w:rsidRPr="00681C37" w:rsidRDefault="00681C37" w:rsidP="00681C37">
      <w:pPr>
        <w:spacing w:line="360" w:lineRule="auto"/>
        <w:rPr>
          <w:b/>
          <w:lang w:val="en-US"/>
        </w:rPr>
      </w:pPr>
      <w:r w:rsidRPr="00681C37">
        <w:rPr>
          <w:b/>
          <w:lang w:val="en-US"/>
        </w:rPr>
        <w:t>2.7 Stability studies</w:t>
      </w:r>
    </w:p>
    <w:p w:rsidR="00681C37" w:rsidRDefault="00681C37" w:rsidP="00A24A87">
      <w:pPr>
        <w:pStyle w:val="CETBodytext"/>
        <w:rPr>
          <w:lang w:val="en-GB"/>
        </w:rPr>
      </w:pPr>
      <w:r w:rsidRPr="00681C37">
        <w:rPr>
          <w:lang w:val="en-GB"/>
        </w:rPr>
        <w:t xml:space="preserve">To determine the stability of the vegetable extract containing the biosurfactant, the extract was maintained at different conditions of temperature (5 - 100 °C) for 15 min, in different values of pH (2 - 12) using 1 N NaOH or </w:t>
      </w:r>
      <w:r w:rsidRPr="00681C37">
        <w:rPr>
          <w:lang w:val="en-GB"/>
        </w:rPr>
        <w:lastRenderedPageBreak/>
        <w:t>1 N HCl. Different concentration of NaCl (2.5 - 40 %). The stability of the biosurfactant of vegetable extract investigated by analysis of surface tension. All assays carried out in triplicate and did not vary by more than 5 %.</w:t>
      </w:r>
    </w:p>
    <w:p w:rsidR="00681C37" w:rsidRDefault="00681C37" w:rsidP="00A24A87">
      <w:pPr>
        <w:pStyle w:val="CETBodytext"/>
        <w:rPr>
          <w:lang w:val="en-GB"/>
        </w:rPr>
      </w:pPr>
    </w:p>
    <w:p w:rsidR="00681C37" w:rsidRPr="00681C37" w:rsidRDefault="006D30CC" w:rsidP="00681C37">
      <w:pPr>
        <w:spacing w:line="360" w:lineRule="auto"/>
        <w:rPr>
          <w:b/>
          <w:lang w:val="en-US"/>
        </w:rPr>
      </w:pPr>
      <w:r w:rsidRPr="006D30CC">
        <w:rPr>
          <w:b/>
          <w:lang w:val="en-US"/>
        </w:rPr>
        <w:t>2.8 Totoxicity (germination test)</w:t>
      </w:r>
    </w:p>
    <w:p w:rsidR="006D30CC" w:rsidRDefault="006D30CC" w:rsidP="00A24A87">
      <w:pPr>
        <w:pStyle w:val="CETBodytext"/>
        <w:rPr>
          <w:lang w:val="en-GB"/>
        </w:rPr>
      </w:pPr>
      <w:r w:rsidRPr="006D30CC">
        <w:rPr>
          <w:lang w:val="en-GB"/>
        </w:rPr>
        <w:t>The phytotoxicity test performed according to Tiquia et al. (1996), using seeds of cabbage (</w:t>
      </w:r>
      <w:r w:rsidRPr="006D30CC">
        <w:rPr>
          <w:i/>
          <w:lang w:val="en-GB"/>
        </w:rPr>
        <w:t>Brassica oleracea var. Capitata L</w:t>
      </w:r>
      <w:r w:rsidRPr="006D30CC">
        <w:rPr>
          <w:lang w:val="en-GB"/>
        </w:rPr>
        <w:t>.). Each petri dish placed on filter paper moistened with water (as positive control), diesel (as negative control) and concentration of vegetable extract in 1.0, 0.</w:t>
      </w:r>
      <w:r w:rsidR="00302078">
        <w:rPr>
          <w:lang w:val="en-GB"/>
        </w:rPr>
        <w:t>0</w:t>
      </w:r>
      <w:r w:rsidRPr="006D30CC">
        <w:rPr>
          <w:lang w:val="en-GB"/>
        </w:rPr>
        <w:t>5 and 0.</w:t>
      </w:r>
      <w:r w:rsidR="00302078">
        <w:rPr>
          <w:lang w:val="en-GB"/>
        </w:rPr>
        <w:t>0</w:t>
      </w:r>
      <w:r w:rsidRPr="006D30CC">
        <w:rPr>
          <w:lang w:val="en-GB"/>
        </w:rPr>
        <w:t>25 g / L. They were then placed 10 cabbage seeds per plate and incubated in bacteriological oven at a temperature of 28 ° C for 120 hours. After this period counted germinated seeds, evaluating the length of the roots of the transition point between the hypocotyl to the root end and the calculation of germination. Assays performed in triplicat</w:t>
      </w:r>
      <w:r>
        <w:rPr>
          <w:lang w:val="en-GB"/>
        </w:rPr>
        <w:t>e. The results were expressed</w:t>
      </w:r>
      <w:r w:rsidRPr="006D30CC">
        <w:rPr>
          <w:lang w:val="en-GB"/>
        </w:rPr>
        <w:t xml:space="preserve"> percentage of germination (% G), average growth of the root (CR</w:t>
      </w:r>
      <w:r w:rsidR="00BB5875">
        <w:rPr>
          <w:lang w:val="en-GB"/>
        </w:rPr>
        <w:t xml:space="preserve"> </w:t>
      </w:r>
      <w:r w:rsidRPr="006D30CC">
        <w:rPr>
          <w:lang w:val="en-GB"/>
        </w:rPr>
        <w:t>%) and germination index (GI</w:t>
      </w:r>
      <w:r w:rsidR="00BB5875">
        <w:rPr>
          <w:lang w:val="en-GB"/>
        </w:rPr>
        <w:t xml:space="preserve"> </w:t>
      </w:r>
      <w:r w:rsidRPr="006D30CC">
        <w:rPr>
          <w:lang w:val="en-GB"/>
        </w:rPr>
        <w:t>%), by the formula: (average of seed germination test x 100) on seed germination media control; (mean root growth of the seed test x 100), on the average growth of the root control seeds, (% germinati</w:t>
      </w:r>
      <w:r>
        <w:rPr>
          <w:lang w:val="en-GB"/>
        </w:rPr>
        <w:t>on of seed growth of the roots</w:t>
      </w:r>
      <w:r w:rsidRPr="006D30CC">
        <w:rPr>
          <w:lang w:val="en-GB"/>
        </w:rPr>
        <w:t>) of 100.</w:t>
      </w:r>
    </w:p>
    <w:p w:rsidR="006D30CC" w:rsidRDefault="006D30CC" w:rsidP="00A24A87">
      <w:pPr>
        <w:pStyle w:val="CETBodytext"/>
        <w:rPr>
          <w:lang w:val="en-GB"/>
        </w:rPr>
      </w:pPr>
    </w:p>
    <w:p w:rsidR="006D30CC" w:rsidRPr="00681C37" w:rsidRDefault="006D30CC" w:rsidP="006D30CC">
      <w:pPr>
        <w:spacing w:line="360" w:lineRule="auto"/>
        <w:rPr>
          <w:b/>
          <w:lang w:val="en-US"/>
        </w:rPr>
      </w:pPr>
      <w:r w:rsidRPr="006D30CC">
        <w:rPr>
          <w:b/>
          <w:lang w:val="en-US"/>
        </w:rPr>
        <w:t>2.9 Oil displacement test</w:t>
      </w:r>
    </w:p>
    <w:p w:rsidR="006D30CC" w:rsidRDefault="006D30CC" w:rsidP="00A24A87">
      <w:pPr>
        <w:pStyle w:val="CETBodytext"/>
        <w:rPr>
          <w:lang w:val="en-GB"/>
        </w:rPr>
      </w:pPr>
      <w:r w:rsidRPr="006D30CC">
        <w:rPr>
          <w:lang w:val="en-GB"/>
        </w:rPr>
        <w:t>The oil displacement test is a method used to measure the diameter of the clear zone, which occurs after dropping a surfactant-containing solution on an oil-water interphase. The binomial diameter allows an evaluation of the surface tension reduction efficiency of a given biosurfactant contained in the vegetable extract. The oil displacement test done by adding 20 ml of distilled water to a petri dish with a diameter of 15 cm. After that 20 μl moto oil was dropped onto the surface of the water, followed by the addition of 10 μl of solution of extract vegetable of 0.</w:t>
      </w:r>
      <w:r w:rsidR="00302078">
        <w:rPr>
          <w:lang w:val="en-GB"/>
        </w:rPr>
        <w:t>0</w:t>
      </w:r>
      <w:r w:rsidRPr="006D30CC">
        <w:rPr>
          <w:lang w:val="en-GB"/>
        </w:rPr>
        <w:t>5 g / L. The diameter and the clear halo visualized under visible light measured after 30 s (Rodrigues et al., 2006).</w:t>
      </w:r>
    </w:p>
    <w:p w:rsidR="006D30CC" w:rsidRDefault="008C38E3" w:rsidP="008C38E3">
      <w:pPr>
        <w:pStyle w:val="CETheadingx"/>
        <w:numPr>
          <w:ilvl w:val="0"/>
          <w:numId w:val="0"/>
        </w:numPr>
      </w:pPr>
      <w:r>
        <w:t xml:space="preserve">2.10 </w:t>
      </w:r>
      <w:r w:rsidR="006D30CC" w:rsidRPr="00624690">
        <w:t>Surface oil removal test</w:t>
      </w:r>
      <w:r w:rsidR="006D30CC">
        <w:t xml:space="preserve"> </w:t>
      </w:r>
    </w:p>
    <w:p w:rsidR="006D30CC" w:rsidRDefault="006D30CC" w:rsidP="00A24A87">
      <w:pPr>
        <w:pStyle w:val="CETBodytext"/>
        <w:rPr>
          <w:lang w:val="en-GB"/>
        </w:rPr>
      </w:pPr>
      <w:r w:rsidRPr="006D30CC">
        <w:rPr>
          <w:lang w:val="en-GB"/>
        </w:rPr>
        <w:t>Surface testing performed using 2 cm diameter metal nuts that had their area contaminated uniformly with 500 μL of motor oil. Then the metal nuts submerged in the solutions containing the plant extract in different concentrations (1.0, 0.</w:t>
      </w:r>
      <w:r w:rsidR="00302078">
        <w:rPr>
          <w:lang w:val="en-GB"/>
        </w:rPr>
        <w:t>0</w:t>
      </w:r>
      <w:r w:rsidRPr="006D30CC">
        <w:rPr>
          <w:lang w:val="en-GB"/>
        </w:rPr>
        <w:t>5, 0.</w:t>
      </w:r>
      <w:r w:rsidR="00302078">
        <w:rPr>
          <w:lang w:val="en-GB"/>
        </w:rPr>
        <w:t>0</w:t>
      </w:r>
      <w:r w:rsidRPr="006D30CC">
        <w:rPr>
          <w:lang w:val="en-GB"/>
        </w:rPr>
        <w:t>25 g / L) under constant stirring for 5 minutes. The results observed visually and the ratio between the volume of oil removed and not removed by the vegetable extract was determined after extraction with hexane, and expressed as a percentage.</w:t>
      </w:r>
    </w:p>
    <w:p w:rsidR="00E45A99" w:rsidRPr="008C38E3" w:rsidRDefault="00E45A99" w:rsidP="008C38E3">
      <w:pPr>
        <w:pStyle w:val="CETHeading1"/>
        <w:numPr>
          <w:ilvl w:val="1"/>
          <w:numId w:val="27"/>
        </w:numPr>
        <w:rPr>
          <w:lang w:val="en-GB"/>
        </w:rPr>
      </w:pPr>
      <w:r w:rsidRPr="008C38E3">
        <w:rPr>
          <w:lang w:val="en-GB"/>
        </w:rPr>
        <w:t>Results and Discussion</w:t>
      </w:r>
    </w:p>
    <w:p w:rsidR="00E45A99" w:rsidRDefault="00E45A99" w:rsidP="00E45A99">
      <w:pPr>
        <w:pStyle w:val="CETBodytext"/>
        <w:rPr>
          <w:lang w:val="en-GB"/>
        </w:rPr>
      </w:pPr>
      <w:r w:rsidRPr="00E45A99">
        <w:rPr>
          <w:lang w:val="en-GB"/>
        </w:rPr>
        <w:t xml:space="preserve">The structural diversity of the plant biosurfactant is reflected in its physical-chemical properties (foaming, emulsification, solubilization, sweetening, bitterness) and biological (hemolytic, antimicrobial and insecticide), which are exploited in several applications in the industries. They are widely distributed in the plant kingdom and include a diverse group of compounds characterized by their structure containing a steroidal or triterpenoid aglycone, attached to one or more sugar molecules. In the present study, the surfactant properties of the crude extract vegetable of </w:t>
      </w:r>
      <w:r w:rsidRPr="00A6559E">
        <w:rPr>
          <w:i/>
          <w:lang w:val="en-GB"/>
        </w:rPr>
        <w:t>Artocarpus heterophyllus</w:t>
      </w:r>
      <w:r w:rsidRPr="00E45A99">
        <w:rPr>
          <w:lang w:val="en-GB"/>
        </w:rPr>
        <w:t xml:space="preserve"> investigated. The analyze of haemolytic activity has shown the evidence presence of biosurfactant by present of a halo colourless it around of vegetable extract, as shows in figure 1.</w:t>
      </w:r>
    </w:p>
    <w:p w:rsidR="00E45A99" w:rsidRDefault="00E45A99" w:rsidP="00E45A99">
      <w:pPr>
        <w:pStyle w:val="CETBodytext"/>
        <w:rPr>
          <w:lang w:val="en-GB"/>
        </w:rPr>
      </w:pPr>
    </w:p>
    <w:p w:rsidR="00E45A99" w:rsidRDefault="00E45A99" w:rsidP="00E45A99">
      <w:pPr>
        <w:pStyle w:val="CETBodytext"/>
        <w:rPr>
          <w:lang w:val="en-GB"/>
        </w:rPr>
      </w:pPr>
    </w:p>
    <w:p w:rsidR="00E45A99" w:rsidRDefault="00E45A99" w:rsidP="00E45A99">
      <w:pPr>
        <w:pStyle w:val="CETBodytext"/>
        <w:jc w:val="center"/>
        <w:rPr>
          <w:lang w:val="en-GB"/>
        </w:rPr>
      </w:pPr>
      <w:r w:rsidRPr="003F5B7C">
        <w:rPr>
          <w:b/>
          <w:noProof/>
          <w:szCs w:val="18"/>
          <w:lang w:val="it-IT" w:eastAsia="it-IT"/>
        </w:rPr>
        <w:drawing>
          <wp:inline distT="0" distB="0" distL="0" distR="0">
            <wp:extent cx="3629025" cy="1374784"/>
            <wp:effectExtent l="0" t="0" r="0" b="0"/>
            <wp:docPr id="3" name="Imagem 3" descr="C:\Users\Leonie\Desktop\fabiola\CONGRESSOS 2017-2018\atividade hemoli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Leonie\Desktop\fabiola\CONGRESSOS 2017-2018\atividade hemolitic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858" cy="1376615"/>
                    </a:xfrm>
                    <a:prstGeom prst="rect">
                      <a:avLst/>
                    </a:prstGeom>
                    <a:noFill/>
                    <a:ln>
                      <a:noFill/>
                    </a:ln>
                  </pic:spPr>
                </pic:pic>
              </a:graphicData>
            </a:graphic>
          </wp:inline>
        </w:drawing>
      </w:r>
    </w:p>
    <w:p w:rsidR="00E45A99" w:rsidRDefault="00E45A99" w:rsidP="00E45A99">
      <w:pPr>
        <w:pStyle w:val="CETBodytext"/>
        <w:rPr>
          <w:lang w:val="en-GB"/>
        </w:rPr>
      </w:pPr>
    </w:p>
    <w:p w:rsidR="00E45A99" w:rsidRPr="00353B32" w:rsidRDefault="00E45A99" w:rsidP="00E45A99">
      <w:pPr>
        <w:pStyle w:val="CETBodytext"/>
        <w:jc w:val="center"/>
        <w:rPr>
          <w:i/>
          <w:lang w:val="en-GB"/>
        </w:rPr>
      </w:pPr>
      <w:bookmarkStart w:id="1" w:name="_Hlk493781082"/>
      <w:r w:rsidRPr="009A7D31">
        <w:rPr>
          <w:i/>
          <w:lang w:val="en-GB"/>
        </w:rPr>
        <w:t xml:space="preserve">Figure 1: </w:t>
      </w:r>
      <w:r>
        <w:rPr>
          <w:i/>
          <w:lang w:val="en-GB"/>
        </w:rPr>
        <w:t>H</w:t>
      </w:r>
      <w:r w:rsidRPr="009A7D31">
        <w:rPr>
          <w:i/>
          <w:lang w:val="en-GB"/>
        </w:rPr>
        <w:t>aemolytic activity</w:t>
      </w:r>
      <w:r>
        <w:rPr>
          <w:i/>
          <w:lang w:val="en-GB"/>
        </w:rPr>
        <w:t xml:space="preserve"> test</w:t>
      </w:r>
      <w:r w:rsidRPr="009A7D31">
        <w:rPr>
          <w:i/>
          <w:lang w:val="en-GB"/>
        </w:rPr>
        <w:t xml:space="preserve"> </w:t>
      </w:r>
      <w:bookmarkEnd w:id="1"/>
    </w:p>
    <w:p w:rsidR="00E45A99" w:rsidRDefault="00E45A99" w:rsidP="00E45A99">
      <w:pPr>
        <w:pStyle w:val="CETBodytext"/>
        <w:rPr>
          <w:lang w:val="en-GB"/>
        </w:rPr>
      </w:pPr>
    </w:p>
    <w:p w:rsidR="00E45A99" w:rsidRDefault="00E45A99" w:rsidP="00E45A99">
      <w:pPr>
        <w:pStyle w:val="CETBodytext"/>
        <w:rPr>
          <w:lang w:val="en-GB"/>
        </w:rPr>
      </w:pPr>
      <w:r w:rsidRPr="00E45A99">
        <w:rPr>
          <w:lang w:val="en-GB"/>
        </w:rPr>
        <w:t xml:space="preserve">The ability of the vegetable biosurfactant in reduce the surface tension of distilled water and the capacity of oil dispersion on the surface of water was observed (Table 1). The vegetable extract of </w:t>
      </w:r>
      <w:r w:rsidRPr="00A6559E">
        <w:rPr>
          <w:i/>
          <w:lang w:val="en-GB"/>
        </w:rPr>
        <w:t>Artocarpus heterophyllus</w:t>
      </w:r>
      <w:r w:rsidRPr="00E45A99">
        <w:rPr>
          <w:lang w:val="en-GB"/>
        </w:rPr>
        <w:t xml:space="preserve"> </w:t>
      </w:r>
      <w:r w:rsidRPr="00E45A99">
        <w:rPr>
          <w:lang w:val="en-GB"/>
        </w:rPr>
        <w:lastRenderedPageBreak/>
        <w:t xml:space="preserve">reduced the surface tension of distilled water to a minimum value of 26.92 mN/m in </w:t>
      </w:r>
      <w:r w:rsidR="009A1FF8" w:rsidRPr="00E45A99">
        <w:rPr>
          <w:lang w:val="en-GB"/>
        </w:rPr>
        <w:t>a</w:t>
      </w:r>
      <w:r w:rsidRPr="00E45A99">
        <w:rPr>
          <w:lang w:val="en-GB"/>
        </w:rPr>
        <w:t xml:space="preserve"> value of critical micelle concentration of 0.050 g / L. And the procedure of extraction of vegetable biosurfactant in ethyl acetate presented an yield gross of 2</w:t>
      </w:r>
      <w:r w:rsidR="00933514">
        <w:rPr>
          <w:lang w:val="en-GB"/>
        </w:rPr>
        <w:t>.5</w:t>
      </w:r>
      <w:r w:rsidRPr="00E45A99">
        <w:rPr>
          <w:lang w:val="en-GB"/>
        </w:rPr>
        <w:t xml:space="preserve"> g to each 1K g of plant material. On the oil displacement test was observed than crude vegetable biosurfactant had a higher displacement activity presents the zones of clearing on the oil surface. These results are in accordance with previously reported data of literature (</w:t>
      </w:r>
      <w:r w:rsidRPr="00927976">
        <w:rPr>
          <w:lang w:val="en-GB"/>
        </w:rPr>
        <w:t>Sarubbo et al., 2015; Banat, 2010</w:t>
      </w:r>
      <w:r w:rsidRPr="00E45A99">
        <w:rPr>
          <w:lang w:val="en-GB"/>
        </w:rPr>
        <w:t>), where it was reported biossurfactant production by microorganisms with surface tension between 37 at 25 mN/m.</w:t>
      </w:r>
    </w:p>
    <w:p w:rsidR="00E45A99" w:rsidRPr="009378F0" w:rsidRDefault="00E45A99" w:rsidP="00E45A99">
      <w:pPr>
        <w:pStyle w:val="CET-table-title"/>
        <w:jc w:val="both"/>
        <w:rPr>
          <w:lang w:val="en-GB"/>
        </w:rPr>
      </w:pPr>
      <w:bookmarkStart w:id="2" w:name="_Hlk493807958"/>
      <w:r w:rsidRPr="009743CE">
        <w:rPr>
          <w:lang w:val="en-GB"/>
        </w:rPr>
        <w:t xml:space="preserve">Table 1: </w:t>
      </w:r>
      <w:bookmarkEnd w:id="2"/>
      <w:r w:rsidRPr="009743CE">
        <w:rPr>
          <w:lang w:val="en-GB"/>
        </w:rPr>
        <w:t>Physicochemical properties of vegetables biosurfactants prod</w:t>
      </w:r>
      <w:r>
        <w:rPr>
          <w:lang w:val="en-GB"/>
        </w:rPr>
        <w:t xml:space="preserve">uced by </w:t>
      </w:r>
      <w:bookmarkStart w:id="3" w:name="_Hlk493795292"/>
      <w:r w:rsidRPr="008838F9">
        <w:rPr>
          <w:lang w:val="en-GB"/>
        </w:rPr>
        <w:t>Artocarpus heterophyllus</w:t>
      </w:r>
      <w:bookmarkEnd w:id="3"/>
      <w:r>
        <w:rPr>
          <w:lang w:val="en-GB"/>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421"/>
        <w:gridCol w:w="1805"/>
        <w:gridCol w:w="1607"/>
        <w:gridCol w:w="199"/>
        <w:gridCol w:w="2003"/>
        <w:gridCol w:w="30"/>
      </w:tblGrid>
      <w:tr w:rsidR="00E45A99" w:rsidRPr="009378F0" w:rsidTr="00A6559E">
        <w:trPr>
          <w:trHeight w:val="392"/>
        </w:trPr>
        <w:tc>
          <w:tcPr>
            <w:tcW w:w="2421" w:type="dxa"/>
            <w:tcBorders>
              <w:top w:val="single" w:sz="12" w:space="0" w:color="008000"/>
              <w:bottom w:val="single" w:sz="6" w:space="0" w:color="008000"/>
            </w:tcBorders>
            <w:shd w:val="clear" w:color="auto" w:fill="FFFFFF"/>
          </w:tcPr>
          <w:p w:rsidR="00E45A99" w:rsidRPr="009378F0" w:rsidRDefault="00E45A99" w:rsidP="000E21FB">
            <w:pPr>
              <w:pStyle w:val="CETBodytext"/>
              <w:jc w:val="center"/>
              <w:rPr>
                <w:lang w:val="en-GB"/>
              </w:rPr>
            </w:pPr>
            <w:bookmarkStart w:id="4" w:name="_Hlk493801352"/>
            <w:r>
              <w:rPr>
                <w:lang w:val="en-GB"/>
              </w:rPr>
              <w:t>Samples</w:t>
            </w:r>
          </w:p>
        </w:tc>
        <w:tc>
          <w:tcPr>
            <w:tcW w:w="1805" w:type="dxa"/>
            <w:tcBorders>
              <w:top w:val="single" w:sz="12" w:space="0" w:color="008000"/>
              <w:bottom w:val="single" w:sz="6" w:space="0" w:color="008000"/>
            </w:tcBorders>
            <w:shd w:val="clear" w:color="auto" w:fill="FFFFFF"/>
          </w:tcPr>
          <w:p w:rsidR="00E45A99" w:rsidRPr="009743CE" w:rsidRDefault="00E45A99" w:rsidP="000E21FB">
            <w:pPr>
              <w:pStyle w:val="CETBodytext"/>
              <w:jc w:val="center"/>
              <w:rPr>
                <w:lang w:val="en-GB"/>
              </w:rPr>
            </w:pPr>
            <w:r w:rsidRPr="009743CE">
              <w:rPr>
                <w:lang w:val="en-GB"/>
              </w:rPr>
              <w:t>Surface tension</w:t>
            </w:r>
          </w:p>
          <w:p w:rsidR="00E45A99" w:rsidRPr="009378F0" w:rsidRDefault="00E45A99" w:rsidP="000E21FB">
            <w:pPr>
              <w:pStyle w:val="CETBodytext"/>
              <w:jc w:val="center"/>
              <w:rPr>
                <w:lang w:val="en-GB"/>
              </w:rPr>
            </w:pPr>
            <w:r w:rsidRPr="009743CE">
              <w:rPr>
                <w:lang w:val="en-GB"/>
              </w:rPr>
              <w:t>(mN/m)</w:t>
            </w:r>
          </w:p>
        </w:tc>
        <w:tc>
          <w:tcPr>
            <w:tcW w:w="1607" w:type="dxa"/>
            <w:tcBorders>
              <w:top w:val="single" w:sz="12" w:space="0" w:color="008000"/>
              <w:bottom w:val="single" w:sz="6" w:space="0" w:color="008000"/>
            </w:tcBorders>
            <w:shd w:val="clear" w:color="auto" w:fill="FFFFFF"/>
          </w:tcPr>
          <w:p w:rsidR="00E45A99" w:rsidRPr="009743CE" w:rsidRDefault="00E45A99" w:rsidP="000E21FB">
            <w:pPr>
              <w:pStyle w:val="CETBodytext"/>
              <w:jc w:val="center"/>
              <w:rPr>
                <w:lang w:val="en-GB"/>
              </w:rPr>
            </w:pPr>
            <w:r>
              <w:rPr>
                <w:lang w:val="en-GB"/>
              </w:rPr>
              <w:t>CM</w:t>
            </w:r>
            <w:r w:rsidRPr="009743CE">
              <w:rPr>
                <w:lang w:val="en-GB"/>
              </w:rPr>
              <w:t>C</w:t>
            </w:r>
          </w:p>
          <w:p w:rsidR="00E45A99" w:rsidRPr="009378F0" w:rsidRDefault="00E45A99" w:rsidP="000E21FB">
            <w:pPr>
              <w:pStyle w:val="CETBodytext"/>
              <w:jc w:val="center"/>
              <w:rPr>
                <w:lang w:val="en-GB"/>
              </w:rPr>
            </w:pPr>
            <w:r w:rsidRPr="009743CE">
              <w:rPr>
                <w:lang w:val="en-GB"/>
              </w:rPr>
              <w:t>(g/L)</w:t>
            </w:r>
          </w:p>
        </w:tc>
        <w:tc>
          <w:tcPr>
            <w:tcW w:w="199" w:type="dxa"/>
            <w:tcBorders>
              <w:top w:val="single" w:sz="12" w:space="0" w:color="008000"/>
              <w:bottom w:val="single" w:sz="6" w:space="0" w:color="008000"/>
            </w:tcBorders>
            <w:shd w:val="clear" w:color="auto" w:fill="FFFFFF"/>
          </w:tcPr>
          <w:p w:rsidR="00E45A99" w:rsidRPr="009378F0" w:rsidRDefault="00E45A99" w:rsidP="000E21FB">
            <w:pPr>
              <w:pStyle w:val="CETBodytext"/>
              <w:ind w:right="-1"/>
              <w:rPr>
                <w:rFonts w:cs="Arial"/>
                <w:szCs w:val="18"/>
                <w:lang w:val="en-GB"/>
              </w:rPr>
            </w:pPr>
          </w:p>
        </w:tc>
        <w:tc>
          <w:tcPr>
            <w:tcW w:w="2003" w:type="dxa"/>
            <w:tcBorders>
              <w:top w:val="single" w:sz="12" w:space="0" w:color="008000"/>
              <w:bottom w:val="single" w:sz="6" w:space="0" w:color="008000"/>
            </w:tcBorders>
            <w:shd w:val="clear" w:color="auto" w:fill="FFFFFF"/>
          </w:tcPr>
          <w:p w:rsidR="00E45A99" w:rsidRPr="009743CE" w:rsidRDefault="00E45A99" w:rsidP="000E21FB">
            <w:pPr>
              <w:pStyle w:val="CETBodytext"/>
              <w:ind w:right="-1"/>
              <w:jc w:val="center"/>
              <w:rPr>
                <w:rFonts w:cs="Arial"/>
                <w:szCs w:val="18"/>
                <w:lang w:val="en-GB"/>
              </w:rPr>
            </w:pPr>
            <w:r w:rsidRPr="009743CE">
              <w:rPr>
                <w:rFonts w:cs="Arial"/>
                <w:szCs w:val="18"/>
                <w:lang w:val="en-GB"/>
              </w:rPr>
              <w:t>Oil displacement</w:t>
            </w:r>
          </w:p>
          <w:p w:rsidR="00E45A99" w:rsidRPr="009378F0" w:rsidRDefault="00E45A99" w:rsidP="000E21FB">
            <w:pPr>
              <w:pStyle w:val="CETBodytext"/>
              <w:ind w:right="-1"/>
              <w:jc w:val="center"/>
              <w:rPr>
                <w:rFonts w:cs="Arial"/>
                <w:szCs w:val="18"/>
                <w:lang w:val="en-GB"/>
              </w:rPr>
            </w:pPr>
            <w:r>
              <w:rPr>
                <w:rFonts w:cs="Arial"/>
                <w:szCs w:val="18"/>
                <w:lang w:val="en-GB"/>
              </w:rPr>
              <w:t>(cm</w:t>
            </w:r>
            <w:r w:rsidRPr="009743CE">
              <w:rPr>
                <w:rFonts w:cs="Arial"/>
                <w:szCs w:val="18"/>
                <w:vertAlign w:val="superscript"/>
                <w:lang w:val="en-GB"/>
              </w:rPr>
              <w:t>2</w:t>
            </w:r>
            <w:r w:rsidRPr="009743CE">
              <w:rPr>
                <w:rFonts w:cs="Arial"/>
                <w:szCs w:val="18"/>
                <w:lang w:val="en-GB"/>
              </w:rPr>
              <w:t>)</w:t>
            </w:r>
          </w:p>
        </w:tc>
        <w:tc>
          <w:tcPr>
            <w:tcW w:w="30" w:type="dxa"/>
            <w:tcBorders>
              <w:top w:val="single" w:sz="12" w:space="0" w:color="008000"/>
              <w:bottom w:val="single" w:sz="6" w:space="0" w:color="008000"/>
            </w:tcBorders>
            <w:shd w:val="clear" w:color="auto" w:fill="FFFFFF"/>
          </w:tcPr>
          <w:p w:rsidR="00E45A99" w:rsidRPr="009378F0" w:rsidRDefault="00E45A99" w:rsidP="000E21FB">
            <w:pPr>
              <w:pStyle w:val="CETBodytext"/>
              <w:ind w:right="-1"/>
              <w:rPr>
                <w:rFonts w:cs="Arial"/>
                <w:szCs w:val="18"/>
                <w:lang w:val="en-GB"/>
              </w:rPr>
            </w:pPr>
          </w:p>
        </w:tc>
      </w:tr>
      <w:tr w:rsidR="00E45A99" w:rsidRPr="009378F0" w:rsidTr="00A6559E">
        <w:trPr>
          <w:trHeight w:val="405"/>
        </w:trPr>
        <w:tc>
          <w:tcPr>
            <w:tcW w:w="2421" w:type="dxa"/>
            <w:shd w:val="clear" w:color="auto" w:fill="FFFFFF"/>
          </w:tcPr>
          <w:p w:rsidR="00E45A99" w:rsidRDefault="00E45A99" w:rsidP="000E21FB">
            <w:pPr>
              <w:pStyle w:val="CETBodytext"/>
              <w:jc w:val="center"/>
              <w:rPr>
                <w:lang w:val="en-GB"/>
              </w:rPr>
            </w:pPr>
            <w:r>
              <w:rPr>
                <w:lang w:val="en-GB"/>
              </w:rPr>
              <w:t xml:space="preserve">Biosurfactant </w:t>
            </w:r>
          </w:p>
          <w:p w:rsidR="00E45A99" w:rsidRPr="008838F9" w:rsidRDefault="00E45A99" w:rsidP="000E21FB">
            <w:pPr>
              <w:pStyle w:val="CETBodytext"/>
              <w:jc w:val="center"/>
              <w:rPr>
                <w:i/>
                <w:lang w:val="en-GB"/>
              </w:rPr>
            </w:pPr>
            <w:r w:rsidRPr="008838F9">
              <w:rPr>
                <w:i/>
                <w:lang w:val="en-GB"/>
              </w:rPr>
              <w:t>A</w:t>
            </w:r>
            <w:r>
              <w:rPr>
                <w:i/>
                <w:lang w:val="en-GB"/>
              </w:rPr>
              <w:t xml:space="preserve">. </w:t>
            </w:r>
            <w:r w:rsidRPr="008838F9">
              <w:rPr>
                <w:i/>
                <w:lang w:val="en-GB"/>
              </w:rPr>
              <w:t>heterophyllus</w:t>
            </w:r>
          </w:p>
        </w:tc>
        <w:tc>
          <w:tcPr>
            <w:tcW w:w="1805" w:type="dxa"/>
            <w:shd w:val="clear" w:color="auto" w:fill="FFFFFF"/>
          </w:tcPr>
          <w:p w:rsidR="00E45A99" w:rsidRDefault="00E45A99" w:rsidP="000E21FB">
            <w:pPr>
              <w:pStyle w:val="CETBodytext"/>
              <w:jc w:val="center"/>
              <w:rPr>
                <w:lang w:val="en-GB"/>
              </w:rPr>
            </w:pPr>
          </w:p>
          <w:p w:rsidR="00E45A99" w:rsidRPr="009378F0" w:rsidRDefault="00E45A99" w:rsidP="000E21FB">
            <w:pPr>
              <w:pStyle w:val="CETBodytext"/>
              <w:jc w:val="center"/>
              <w:rPr>
                <w:lang w:val="en-GB"/>
              </w:rPr>
            </w:pPr>
            <w:r w:rsidRPr="008838F9">
              <w:rPr>
                <w:lang w:val="en-GB"/>
              </w:rPr>
              <w:t>26.90 ± 0.20</w:t>
            </w:r>
          </w:p>
        </w:tc>
        <w:tc>
          <w:tcPr>
            <w:tcW w:w="1607" w:type="dxa"/>
            <w:shd w:val="clear" w:color="auto" w:fill="FFFFFF"/>
          </w:tcPr>
          <w:p w:rsidR="00E45A99" w:rsidRDefault="00E45A99" w:rsidP="000E21FB">
            <w:pPr>
              <w:pStyle w:val="CETBodytext"/>
              <w:jc w:val="center"/>
              <w:rPr>
                <w:lang w:val="en-GB"/>
              </w:rPr>
            </w:pPr>
          </w:p>
          <w:p w:rsidR="00E45A99" w:rsidRPr="009378F0" w:rsidRDefault="00E45A99" w:rsidP="000E21FB">
            <w:pPr>
              <w:pStyle w:val="CETBodytext"/>
              <w:jc w:val="center"/>
              <w:rPr>
                <w:lang w:val="en-GB"/>
              </w:rPr>
            </w:pPr>
            <w:r>
              <w:rPr>
                <w:lang w:val="en-GB"/>
              </w:rPr>
              <w:t>0,050</w:t>
            </w:r>
          </w:p>
        </w:tc>
        <w:tc>
          <w:tcPr>
            <w:tcW w:w="199" w:type="dxa"/>
            <w:shd w:val="clear" w:color="auto" w:fill="FFFFFF"/>
          </w:tcPr>
          <w:p w:rsidR="00E45A99" w:rsidRPr="009378F0" w:rsidRDefault="00E45A99" w:rsidP="000E21FB">
            <w:pPr>
              <w:pStyle w:val="CETBodytext"/>
              <w:ind w:right="-1"/>
              <w:jc w:val="center"/>
              <w:rPr>
                <w:rFonts w:cs="Arial"/>
                <w:szCs w:val="18"/>
                <w:lang w:val="en-GB"/>
              </w:rPr>
            </w:pPr>
          </w:p>
        </w:tc>
        <w:tc>
          <w:tcPr>
            <w:tcW w:w="2003" w:type="dxa"/>
            <w:shd w:val="clear" w:color="auto" w:fill="FFFFFF"/>
          </w:tcPr>
          <w:p w:rsidR="00E45A99" w:rsidRDefault="00E45A99" w:rsidP="000E21FB">
            <w:pPr>
              <w:pStyle w:val="CETBodytext"/>
              <w:ind w:right="-1"/>
              <w:jc w:val="center"/>
              <w:rPr>
                <w:rFonts w:cs="Arial"/>
                <w:szCs w:val="18"/>
                <w:lang w:val="en-GB"/>
              </w:rPr>
            </w:pPr>
          </w:p>
          <w:p w:rsidR="00E45A99" w:rsidRPr="009378F0" w:rsidRDefault="00E45A99" w:rsidP="000E21FB">
            <w:pPr>
              <w:pStyle w:val="CETBodytext"/>
              <w:ind w:right="-1"/>
              <w:jc w:val="center"/>
              <w:rPr>
                <w:rFonts w:cs="Arial"/>
                <w:szCs w:val="18"/>
                <w:lang w:val="en-GB"/>
              </w:rPr>
            </w:pPr>
            <w:r>
              <w:rPr>
                <w:rFonts w:cs="Arial"/>
                <w:szCs w:val="18"/>
                <w:lang w:val="en-GB"/>
              </w:rPr>
              <w:t>1.872</w:t>
            </w:r>
          </w:p>
        </w:tc>
        <w:tc>
          <w:tcPr>
            <w:tcW w:w="30" w:type="dxa"/>
            <w:shd w:val="clear" w:color="auto" w:fill="FFFFFF"/>
          </w:tcPr>
          <w:p w:rsidR="00E45A99" w:rsidRPr="009378F0" w:rsidRDefault="00E45A99" w:rsidP="000E21FB">
            <w:pPr>
              <w:pStyle w:val="CETBodytext"/>
              <w:ind w:right="-1"/>
              <w:rPr>
                <w:rFonts w:cs="Arial"/>
                <w:szCs w:val="18"/>
                <w:lang w:val="en-GB"/>
              </w:rPr>
            </w:pPr>
          </w:p>
        </w:tc>
      </w:tr>
      <w:tr w:rsidR="00E45A99" w:rsidRPr="009378F0" w:rsidTr="00A6559E">
        <w:trPr>
          <w:trHeight w:val="392"/>
        </w:trPr>
        <w:tc>
          <w:tcPr>
            <w:tcW w:w="2421" w:type="dxa"/>
            <w:shd w:val="clear" w:color="auto" w:fill="FFFFFF"/>
          </w:tcPr>
          <w:p w:rsidR="00E45A99" w:rsidRDefault="00E45A99" w:rsidP="000E21FB">
            <w:pPr>
              <w:pStyle w:val="CETBodytext"/>
              <w:jc w:val="center"/>
              <w:rPr>
                <w:i/>
                <w:lang w:val="en-GB"/>
              </w:rPr>
            </w:pPr>
          </w:p>
          <w:p w:rsidR="00E45A99" w:rsidRPr="008838F9" w:rsidRDefault="00E45A99" w:rsidP="000E21FB">
            <w:pPr>
              <w:pStyle w:val="CETBodytext"/>
              <w:jc w:val="center"/>
              <w:rPr>
                <w:lang w:val="en-GB"/>
              </w:rPr>
            </w:pPr>
            <w:r>
              <w:rPr>
                <w:lang w:val="en-GB"/>
              </w:rPr>
              <w:t>Control (</w:t>
            </w:r>
            <w:r w:rsidRPr="008838F9">
              <w:rPr>
                <w:lang w:val="en-GB"/>
              </w:rPr>
              <w:t>water</w:t>
            </w:r>
            <w:r>
              <w:rPr>
                <w:lang w:val="en-GB"/>
              </w:rPr>
              <w:t>)</w:t>
            </w:r>
          </w:p>
        </w:tc>
        <w:tc>
          <w:tcPr>
            <w:tcW w:w="1805" w:type="dxa"/>
            <w:shd w:val="clear" w:color="auto" w:fill="FFFFFF"/>
          </w:tcPr>
          <w:p w:rsidR="00E45A99" w:rsidRDefault="00E45A99" w:rsidP="000E21FB">
            <w:pPr>
              <w:pStyle w:val="CETBodytext"/>
              <w:jc w:val="center"/>
              <w:rPr>
                <w:lang w:val="en-GB"/>
              </w:rPr>
            </w:pPr>
          </w:p>
          <w:p w:rsidR="00E45A99" w:rsidRPr="008838F9" w:rsidRDefault="00E45A99" w:rsidP="000E21FB">
            <w:pPr>
              <w:pStyle w:val="CETBodytext"/>
              <w:jc w:val="center"/>
              <w:rPr>
                <w:lang w:val="en-GB"/>
              </w:rPr>
            </w:pPr>
            <w:r w:rsidRPr="008838F9">
              <w:rPr>
                <w:lang w:val="en-GB"/>
              </w:rPr>
              <w:t>72.00 ± 0.14</w:t>
            </w:r>
          </w:p>
        </w:tc>
        <w:tc>
          <w:tcPr>
            <w:tcW w:w="1607" w:type="dxa"/>
            <w:shd w:val="clear" w:color="auto" w:fill="FFFFFF"/>
          </w:tcPr>
          <w:p w:rsidR="00E45A99" w:rsidRDefault="00E45A99" w:rsidP="000E21FB">
            <w:pPr>
              <w:pStyle w:val="CETBodytext"/>
              <w:jc w:val="center"/>
              <w:rPr>
                <w:lang w:val="en-GB"/>
              </w:rPr>
            </w:pPr>
          </w:p>
          <w:p w:rsidR="00E45A99" w:rsidRPr="00617BB6" w:rsidRDefault="00E45A99" w:rsidP="000E21FB">
            <w:pPr>
              <w:pStyle w:val="CETBodytext"/>
              <w:jc w:val="center"/>
              <w:rPr>
                <w:lang w:val="en-GB"/>
              </w:rPr>
            </w:pPr>
            <w:r>
              <w:rPr>
                <w:lang w:val="en-GB"/>
              </w:rPr>
              <w:t>-</w:t>
            </w:r>
          </w:p>
        </w:tc>
        <w:tc>
          <w:tcPr>
            <w:tcW w:w="199" w:type="dxa"/>
            <w:shd w:val="clear" w:color="auto" w:fill="FFFFFF"/>
          </w:tcPr>
          <w:p w:rsidR="00E45A99" w:rsidRPr="009378F0" w:rsidRDefault="00E45A99" w:rsidP="000E21FB">
            <w:pPr>
              <w:pStyle w:val="CETBodytext"/>
              <w:ind w:right="-1"/>
              <w:jc w:val="center"/>
              <w:rPr>
                <w:rFonts w:cs="Arial"/>
                <w:szCs w:val="18"/>
                <w:lang w:val="en-GB"/>
              </w:rPr>
            </w:pPr>
          </w:p>
        </w:tc>
        <w:tc>
          <w:tcPr>
            <w:tcW w:w="2003" w:type="dxa"/>
            <w:shd w:val="clear" w:color="auto" w:fill="FFFFFF"/>
          </w:tcPr>
          <w:p w:rsidR="00E45A99" w:rsidRDefault="00E45A99" w:rsidP="000E21FB">
            <w:pPr>
              <w:pStyle w:val="CETBodytext"/>
              <w:ind w:right="-1"/>
              <w:jc w:val="center"/>
              <w:rPr>
                <w:rFonts w:cs="Arial"/>
                <w:szCs w:val="18"/>
                <w:lang w:val="en-GB"/>
              </w:rPr>
            </w:pPr>
          </w:p>
          <w:p w:rsidR="00E45A99" w:rsidRPr="009378F0" w:rsidRDefault="00E45A99" w:rsidP="000E21FB">
            <w:pPr>
              <w:pStyle w:val="CETBodytext"/>
              <w:ind w:right="-1"/>
              <w:jc w:val="center"/>
              <w:rPr>
                <w:rFonts w:cs="Arial"/>
                <w:szCs w:val="18"/>
                <w:lang w:val="en-GB"/>
              </w:rPr>
            </w:pPr>
            <w:r>
              <w:rPr>
                <w:rFonts w:cs="Arial"/>
                <w:szCs w:val="18"/>
                <w:lang w:val="en-GB"/>
              </w:rPr>
              <w:t>-</w:t>
            </w:r>
          </w:p>
        </w:tc>
        <w:tc>
          <w:tcPr>
            <w:tcW w:w="30" w:type="dxa"/>
            <w:shd w:val="clear" w:color="auto" w:fill="FFFFFF"/>
          </w:tcPr>
          <w:p w:rsidR="00E45A99" w:rsidRPr="009378F0" w:rsidRDefault="00E45A99" w:rsidP="000E21FB">
            <w:pPr>
              <w:pStyle w:val="CETBodytext"/>
              <w:ind w:right="-1"/>
              <w:rPr>
                <w:rFonts w:cs="Arial"/>
                <w:szCs w:val="18"/>
                <w:lang w:val="en-GB"/>
              </w:rPr>
            </w:pPr>
          </w:p>
        </w:tc>
      </w:tr>
      <w:tr w:rsidR="00E45A99" w:rsidRPr="009378F0" w:rsidTr="00A6559E">
        <w:trPr>
          <w:trHeight w:val="195"/>
        </w:trPr>
        <w:tc>
          <w:tcPr>
            <w:tcW w:w="2421" w:type="dxa"/>
            <w:shd w:val="clear" w:color="auto" w:fill="FFFFFF"/>
          </w:tcPr>
          <w:p w:rsidR="00E45A99" w:rsidRPr="009378F0" w:rsidRDefault="00E45A99" w:rsidP="000E21FB">
            <w:pPr>
              <w:pStyle w:val="CETBodytext"/>
              <w:ind w:right="-1"/>
              <w:jc w:val="center"/>
              <w:rPr>
                <w:rFonts w:cs="Arial"/>
                <w:szCs w:val="18"/>
                <w:lang w:val="en-GB"/>
              </w:rPr>
            </w:pPr>
          </w:p>
        </w:tc>
        <w:tc>
          <w:tcPr>
            <w:tcW w:w="1805" w:type="dxa"/>
            <w:shd w:val="clear" w:color="auto" w:fill="FFFFFF"/>
          </w:tcPr>
          <w:p w:rsidR="00E45A99" w:rsidRPr="009378F0" w:rsidRDefault="00E45A99" w:rsidP="000E21FB">
            <w:pPr>
              <w:pStyle w:val="CETBodytext"/>
              <w:ind w:right="-1"/>
              <w:jc w:val="center"/>
              <w:rPr>
                <w:rFonts w:cs="Arial"/>
                <w:szCs w:val="18"/>
                <w:lang w:val="en-GB"/>
              </w:rPr>
            </w:pPr>
          </w:p>
        </w:tc>
        <w:tc>
          <w:tcPr>
            <w:tcW w:w="1607" w:type="dxa"/>
            <w:shd w:val="clear" w:color="auto" w:fill="FFFFFF"/>
          </w:tcPr>
          <w:p w:rsidR="00E45A99" w:rsidRPr="009378F0" w:rsidRDefault="00E45A99" w:rsidP="000E21FB">
            <w:pPr>
              <w:pStyle w:val="CETBodytext"/>
              <w:ind w:right="-1"/>
              <w:jc w:val="center"/>
              <w:rPr>
                <w:rFonts w:cs="Arial"/>
                <w:szCs w:val="18"/>
                <w:lang w:val="en-GB"/>
              </w:rPr>
            </w:pPr>
          </w:p>
        </w:tc>
        <w:tc>
          <w:tcPr>
            <w:tcW w:w="199" w:type="dxa"/>
            <w:shd w:val="clear" w:color="auto" w:fill="FFFFFF"/>
          </w:tcPr>
          <w:p w:rsidR="00E45A99" w:rsidRPr="009378F0" w:rsidRDefault="00E45A99" w:rsidP="000E21FB">
            <w:pPr>
              <w:pStyle w:val="CETBodytext"/>
              <w:ind w:right="-1"/>
              <w:jc w:val="center"/>
              <w:rPr>
                <w:rFonts w:cs="Arial"/>
                <w:szCs w:val="18"/>
                <w:lang w:val="en-GB"/>
              </w:rPr>
            </w:pPr>
          </w:p>
        </w:tc>
        <w:tc>
          <w:tcPr>
            <w:tcW w:w="2003" w:type="dxa"/>
            <w:shd w:val="clear" w:color="auto" w:fill="FFFFFF"/>
          </w:tcPr>
          <w:p w:rsidR="00E45A99" w:rsidRPr="009378F0" w:rsidRDefault="00E45A99" w:rsidP="000E21FB">
            <w:pPr>
              <w:pStyle w:val="CETBodytext"/>
              <w:ind w:right="-1"/>
              <w:jc w:val="center"/>
              <w:rPr>
                <w:rFonts w:cs="Arial"/>
                <w:szCs w:val="18"/>
                <w:lang w:val="en-GB"/>
              </w:rPr>
            </w:pPr>
          </w:p>
        </w:tc>
        <w:tc>
          <w:tcPr>
            <w:tcW w:w="30" w:type="dxa"/>
            <w:shd w:val="clear" w:color="auto" w:fill="FFFFFF"/>
          </w:tcPr>
          <w:p w:rsidR="00E45A99" w:rsidRPr="009378F0" w:rsidRDefault="00E45A99" w:rsidP="000E21FB">
            <w:pPr>
              <w:pStyle w:val="CETBodytext"/>
              <w:ind w:right="-1"/>
              <w:rPr>
                <w:rFonts w:cs="Arial"/>
                <w:szCs w:val="18"/>
                <w:lang w:val="en-GB"/>
              </w:rPr>
            </w:pPr>
          </w:p>
        </w:tc>
      </w:tr>
      <w:bookmarkEnd w:id="4"/>
    </w:tbl>
    <w:p w:rsidR="00E45A99" w:rsidRDefault="00E45A99" w:rsidP="00E45A99">
      <w:pPr>
        <w:pStyle w:val="CETBodytext"/>
        <w:rPr>
          <w:lang w:val="en-GB"/>
        </w:rPr>
      </w:pPr>
    </w:p>
    <w:p w:rsidR="00E45A99" w:rsidRDefault="00E45A99" w:rsidP="00E45A99">
      <w:pPr>
        <w:pStyle w:val="CETBodytext"/>
        <w:rPr>
          <w:lang w:val="en-GB"/>
        </w:rPr>
      </w:pPr>
      <w:r w:rsidRPr="00E45A99">
        <w:rPr>
          <w:lang w:val="en-GB"/>
        </w:rPr>
        <w:t>The emulsification activity o</w:t>
      </w:r>
      <w:r>
        <w:rPr>
          <w:lang w:val="en-GB"/>
        </w:rPr>
        <w:t xml:space="preserve">f biosurfactants can be clearly </w:t>
      </w:r>
      <w:r w:rsidRPr="00E45A99">
        <w:rPr>
          <w:lang w:val="en-GB"/>
        </w:rPr>
        <w:t xml:space="preserve">understood through determination of the emulsification index. Once the emulsification index is determined, this information can be applied to estimate the </w:t>
      </w:r>
      <w:r>
        <w:rPr>
          <w:lang w:val="en-GB"/>
        </w:rPr>
        <w:t>emulsifiers</w:t>
      </w:r>
      <w:r w:rsidRPr="00E45A99">
        <w:rPr>
          <w:lang w:val="en-GB"/>
        </w:rPr>
        <w:t xml:space="preserve"> property of biosurfactant to be utilized by environmental pollution treatment (</w:t>
      </w:r>
      <w:r w:rsidRPr="00927976">
        <w:rPr>
          <w:lang w:val="en-GB"/>
        </w:rPr>
        <w:t>Sarubbo et al</w:t>
      </w:r>
      <w:r w:rsidR="000C605B">
        <w:rPr>
          <w:lang w:val="en-GB"/>
        </w:rPr>
        <w:t>.,</w:t>
      </w:r>
      <w:r w:rsidRPr="00927976">
        <w:rPr>
          <w:lang w:val="en-GB"/>
        </w:rPr>
        <w:t xml:space="preserve"> 2012</w:t>
      </w:r>
      <w:r w:rsidRPr="00E45A99">
        <w:rPr>
          <w:lang w:val="en-GB"/>
        </w:rPr>
        <w:t>). The biosurfactant vegetable exhibited emulsification effects on all hydrophobic compounds, and the emulsification index reached 42 – 100</w:t>
      </w:r>
      <w:r w:rsidR="00835588">
        <w:rPr>
          <w:lang w:val="en-GB"/>
        </w:rPr>
        <w:t xml:space="preserve"> </w:t>
      </w:r>
      <w:r w:rsidRPr="00E45A99">
        <w:rPr>
          <w:lang w:val="en-GB"/>
        </w:rPr>
        <w:t xml:space="preserve">% (Figure 2). </w:t>
      </w:r>
    </w:p>
    <w:p w:rsidR="00E45A99" w:rsidRDefault="00E45A99" w:rsidP="00E45A99">
      <w:pPr>
        <w:pStyle w:val="CETBodytext"/>
        <w:rPr>
          <w:lang w:val="en-GB"/>
        </w:rPr>
      </w:pPr>
    </w:p>
    <w:p w:rsidR="00E45A99" w:rsidRDefault="00E45A99" w:rsidP="00E45A99">
      <w:pPr>
        <w:pStyle w:val="CETBodytext"/>
        <w:rPr>
          <w:lang w:val="en-GB"/>
        </w:rPr>
      </w:pPr>
      <w:r w:rsidRPr="003F5B7C">
        <w:rPr>
          <w:noProof/>
          <w:lang w:val="it-IT" w:eastAsia="it-IT"/>
        </w:rPr>
        <w:drawing>
          <wp:inline distT="0" distB="0" distL="0" distR="0">
            <wp:extent cx="4886325" cy="18764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1876425"/>
                    </a:xfrm>
                    <a:prstGeom prst="rect">
                      <a:avLst/>
                    </a:prstGeom>
                    <a:noFill/>
                    <a:ln>
                      <a:noFill/>
                    </a:ln>
                  </pic:spPr>
                </pic:pic>
              </a:graphicData>
            </a:graphic>
          </wp:inline>
        </w:drawing>
      </w:r>
    </w:p>
    <w:p w:rsidR="00E45A99" w:rsidRDefault="00E45A99" w:rsidP="00E45A99">
      <w:pPr>
        <w:pStyle w:val="CETHeading1"/>
        <w:numPr>
          <w:ilvl w:val="0"/>
          <w:numId w:val="0"/>
        </w:numPr>
        <w:tabs>
          <w:tab w:val="right" w:pos="7100"/>
        </w:tabs>
        <w:jc w:val="both"/>
        <w:rPr>
          <w:b w:val="0"/>
          <w:i/>
          <w:sz w:val="18"/>
          <w:szCs w:val="18"/>
          <w:lang w:val="en-GB"/>
        </w:rPr>
      </w:pPr>
      <w:bookmarkStart w:id="5" w:name="_Hlk493806898"/>
      <w:r>
        <w:rPr>
          <w:b w:val="0"/>
          <w:i/>
          <w:sz w:val="18"/>
          <w:szCs w:val="18"/>
          <w:lang w:val="en-GB"/>
        </w:rPr>
        <w:t>Figure 2</w:t>
      </w:r>
      <w:r w:rsidRPr="008838F9">
        <w:rPr>
          <w:b w:val="0"/>
          <w:i/>
          <w:sz w:val="18"/>
          <w:szCs w:val="18"/>
          <w:lang w:val="en-GB"/>
        </w:rPr>
        <w:t xml:space="preserve">: Emulsification </w:t>
      </w:r>
      <w:bookmarkEnd w:id="5"/>
      <w:r w:rsidRPr="008838F9">
        <w:rPr>
          <w:b w:val="0"/>
          <w:i/>
          <w:sz w:val="18"/>
          <w:szCs w:val="18"/>
          <w:lang w:val="en-GB"/>
        </w:rPr>
        <w:t>activity (E</w:t>
      </w:r>
      <w:r w:rsidRPr="00BC248E">
        <w:rPr>
          <w:b w:val="0"/>
          <w:i/>
          <w:sz w:val="18"/>
          <w:szCs w:val="18"/>
          <w:vertAlign w:val="subscript"/>
          <w:lang w:val="en-GB"/>
        </w:rPr>
        <w:t>24</w:t>
      </w:r>
      <w:r w:rsidRPr="008838F9">
        <w:rPr>
          <w:b w:val="0"/>
          <w:i/>
          <w:sz w:val="18"/>
          <w:szCs w:val="18"/>
          <w:lang w:val="en-GB"/>
        </w:rPr>
        <w:t>) of the crude biosurfactants vegetab</w:t>
      </w:r>
      <w:r>
        <w:rPr>
          <w:b w:val="0"/>
          <w:i/>
          <w:sz w:val="18"/>
          <w:szCs w:val="18"/>
          <w:lang w:val="en-GB"/>
        </w:rPr>
        <w:t xml:space="preserve">les produced by </w:t>
      </w:r>
      <w:r w:rsidRPr="003B6C46">
        <w:rPr>
          <w:b w:val="0"/>
          <w:i/>
          <w:sz w:val="18"/>
          <w:szCs w:val="18"/>
          <w:lang w:val="en-GB"/>
        </w:rPr>
        <w:t>Artocarpus heterophyllus</w:t>
      </w:r>
      <w:r w:rsidRPr="003B6C46">
        <w:rPr>
          <w:i/>
          <w:sz w:val="18"/>
          <w:szCs w:val="18"/>
          <w:lang w:val="en-GB"/>
        </w:rPr>
        <w:t xml:space="preserve"> </w:t>
      </w:r>
      <w:r>
        <w:rPr>
          <w:b w:val="0"/>
          <w:i/>
          <w:sz w:val="18"/>
          <w:szCs w:val="18"/>
          <w:lang w:val="en-GB"/>
        </w:rPr>
        <w:t>towards different hydrophobic</w:t>
      </w:r>
      <w:r w:rsidRPr="008838F9">
        <w:rPr>
          <w:b w:val="0"/>
          <w:i/>
          <w:sz w:val="18"/>
          <w:szCs w:val="18"/>
          <w:lang w:val="en-GB"/>
        </w:rPr>
        <w:t xml:space="preserve"> s</w:t>
      </w:r>
      <w:r>
        <w:rPr>
          <w:b w:val="0"/>
          <w:i/>
          <w:sz w:val="18"/>
          <w:szCs w:val="18"/>
          <w:lang w:val="en-GB"/>
        </w:rPr>
        <w:t>ubstrates</w:t>
      </w:r>
    </w:p>
    <w:p w:rsidR="008C38E3" w:rsidRPr="008C38E3" w:rsidRDefault="008C38E3" w:rsidP="008C38E3">
      <w:pPr>
        <w:pStyle w:val="CETBodytext"/>
        <w:rPr>
          <w:lang w:val="en-GB"/>
        </w:rPr>
      </w:pPr>
    </w:p>
    <w:p w:rsidR="00E45A99" w:rsidRDefault="000C605B" w:rsidP="00E45A99">
      <w:pPr>
        <w:pStyle w:val="CETBodytext"/>
        <w:rPr>
          <w:lang w:val="en-GB"/>
        </w:rPr>
      </w:pPr>
      <w:r>
        <w:rPr>
          <w:lang w:val="en-GB"/>
        </w:rPr>
        <w:t xml:space="preserve">Many biosurfactants can be </w:t>
      </w:r>
      <w:r w:rsidRPr="000C605B">
        <w:rPr>
          <w:lang w:val="en-GB"/>
        </w:rPr>
        <w:t>used under extreme conditions, which include high temperatures, pH values and salinity (Luna</w:t>
      </w:r>
      <w:r>
        <w:rPr>
          <w:lang w:val="en-GB"/>
        </w:rPr>
        <w:t xml:space="preserve"> et al., 2016</w:t>
      </w:r>
      <w:r w:rsidRPr="000C605B">
        <w:rPr>
          <w:lang w:val="en-GB"/>
        </w:rPr>
        <w:t>). The stability tests of vegetable biosurfactant at various pH, temperature and NaCl concentrations studied using surface tension measurements. The surface tension of the vegetable extract containing the biosurfactant remained stable during exposure to a wide range of temperatures of 5 - 100 ° C, pH of 2 - 10 and salt 2.5 - 40 %, end it presents no great variations in its surface tension (Table 2).</w:t>
      </w:r>
    </w:p>
    <w:p w:rsidR="000C605B" w:rsidRDefault="000C605B" w:rsidP="00E45A99">
      <w:pPr>
        <w:pStyle w:val="CETBodytext"/>
        <w:rPr>
          <w:lang w:val="en-GB"/>
        </w:rPr>
      </w:pPr>
    </w:p>
    <w:p w:rsidR="00E45A99" w:rsidRDefault="00E45A99" w:rsidP="00E45A99">
      <w:pPr>
        <w:pStyle w:val="CETBodytext"/>
        <w:rPr>
          <w:i/>
          <w:lang w:val="en-GB"/>
        </w:rPr>
      </w:pPr>
      <w:r>
        <w:rPr>
          <w:i/>
          <w:lang w:val="en-GB"/>
        </w:rPr>
        <w:t>Table 2</w:t>
      </w:r>
      <w:r w:rsidRPr="000537FD">
        <w:rPr>
          <w:i/>
          <w:lang w:val="en-GB"/>
        </w:rPr>
        <w:t>: Results of effect of temperature, NaCl concentration and pH on the surface tension of vegetable biosurfactants</w:t>
      </w:r>
    </w:p>
    <w:tbl>
      <w:tblPr>
        <w:tblpPr w:leftFromText="141" w:rightFromText="141" w:vertAnchor="text" w:horzAnchor="margin" w:tblpY="64"/>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630"/>
        <w:gridCol w:w="1286"/>
        <w:gridCol w:w="1110"/>
        <w:gridCol w:w="135"/>
        <w:gridCol w:w="1383"/>
        <w:gridCol w:w="1383"/>
        <w:gridCol w:w="1399"/>
        <w:gridCol w:w="20"/>
        <w:gridCol w:w="20"/>
        <w:gridCol w:w="20"/>
      </w:tblGrid>
      <w:tr w:rsidR="008C38E3" w:rsidRPr="009378F0" w:rsidTr="008C38E3">
        <w:trPr>
          <w:trHeight w:val="356"/>
        </w:trPr>
        <w:tc>
          <w:tcPr>
            <w:tcW w:w="1630" w:type="dxa"/>
            <w:tcBorders>
              <w:top w:val="single" w:sz="12" w:space="0" w:color="008000"/>
              <w:bottom w:val="single" w:sz="6" w:space="0" w:color="008000"/>
            </w:tcBorders>
            <w:shd w:val="clear" w:color="auto" w:fill="FFFFFF"/>
          </w:tcPr>
          <w:p w:rsidR="008C38E3" w:rsidRDefault="008C38E3" w:rsidP="008C38E3">
            <w:pPr>
              <w:pStyle w:val="CETBodytext"/>
              <w:jc w:val="center"/>
              <w:rPr>
                <w:lang w:val="en-GB"/>
              </w:rPr>
            </w:pPr>
            <w:r>
              <w:rPr>
                <w:lang w:val="en-GB"/>
              </w:rPr>
              <w:t>NaCl concentration</w:t>
            </w:r>
          </w:p>
          <w:p w:rsidR="008C38E3" w:rsidRPr="009378F0" w:rsidRDefault="008C38E3" w:rsidP="008C38E3">
            <w:pPr>
              <w:pStyle w:val="CETBodytext"/>
              <w:jc w:val="center"/>
              <w:rPr>
                <w:lang w:val="en-GB"/>
              </w:rPr>
            </w:pPr>
            <w:r>
              <w:rPr>
                <w:lang w:val="en-GB"/>
              </w:rPr>
              <w:t>(%)</w:t>
            </w:r>
          </w:p>
        </w:tc>
        <w:tc>
          <w:tcPr>
            <w:tcW w:w="1286" w:type="dxa"/>
            <w:tcBorders>
              <w:top w:val="single" w:sz="12" w:space="0" w:color="008000"/>
              <w:bottom w:val="single" w:sz="6" w:space="0" w:color="008000"/>
            </w:tcBorders>
            <w:shd w:val="clear" w:color="auto" w:fill="FFFFFF"/>
          </w:tcPr>
          <w:p w:rsidR="008C38E3" w:rsidRPr="009743CE" w:rsidRDefault="008C38E3" w:rsidP="008C38E3">
            <w:pPr>
              <w:pStyle w:val="CETBodytext"/>
              <w:jc w:val="center"/>
              <w:rPr>
                <w:lang w:val="en-GB"/>
              </w:rPr>
            </w:pPr>
            <w:r w:rsidRPr="009743CE">
              <w:rPr>
                <w:lang w:val="en-GB"/>
              </w:rPr>
              <w:t>Surface tension</w:t>
            </w:r>
          </w:p>
          <w:p w:rsidR="008C38E3" w:rsidRPr="009378F0" w:rsidRDefault="008C38E3" w:rsidP="008C38E3">
            <w:pPr>
              <w:pStyle w:val="CETBodytext"/>
              <w:jc w:val="center"/>
              <w:rPr>
                <w:lang w:val="en-GB"/>
              </w:rPr>
            </w:pPr>
            <w:r w:rsidRPr="009743CE">
              <w:rPr>
                <w:lang w:val="en-GB"/>
              </w:rPr>
              <w:t>(mN/m)</w:t>
            </w:r>
          </w:p>
        </w:tc>
        <w:tc>
          <w:tcPr>
            <w:tcW w:w="1110" w:type="dxa"/>
            <w:tcBorders>
              <w:top w:val="single" w:sz="12" w:space="0" w:color="008000"/>
              <w:bottom w:val="single" w:sz="6" w:space="0" w:color="008000"/>
            </w:tcBorders>
            <w:shd w:val="clear" w:color="auto" w:fill="FFFFFF"/>
          </w:tcPr>
          <w:p w:rsidR="008C38E3" w:rsidRPr="009378F0" w:rsidRDefault="008C38E3" w:rsidP="008C38E3">
            <w:pPr>
              <w:pStyle w:val="CETBodytext"/>
              <w:jc w:val="center"/>
              <w:rPr>
                <w:lang w:val="en-GB"/>
              </w:rPr>
            </w:pPr>
            <w:r>
              <w:rPr>
                <w:lang w:val="en-GB"/>
              </w:rPr>
              <w:t>pH</w:t>
            </w:r>
          </w:p>
        </w:tc>
        <w:tc>
          <w:tcPr>
            <w:tcW w:w="135" w:type="dxa"/>
            <w:tcBorders>
              <w:top w:val="single" w:sz="12" w:space="0" w:color="008000"/>
              <w:bottom w:val="single" w:sz="6" w:space="0" w:color="008000"/>
            </w:tcBorders>
            <w:shd w:val="clear" w:color="auto" w:fill="FFFFFF"/>
          </w:tcPr>
          <w:p w:rsidR="008C38E3" w:rsidRPr="009378F0" w:rsidRDefault="008C38E3" w:rsidP="008C38E3">
            <w:pPr>
              <w:pStyle w:val="CETBodytext"/>
              <w:ind w:right="-1"/>
              <w:rPr>
                <w:rFonts w:cs="Arial"/>
                <w:szCs w:val="18"/>
                <w:lang w:val="en-GB"/>
              </w:rPr>
            </w:pPr>
          </w:p>
        </w:tc>
        <w:tc>
          <w:tcPr>
            <w:tcW w:w="1383" w:type="dxa"/>
            <w:tcBorders>
              <w:top w:val="single" w:sz="12" w:space="0" w:color="008000"/>
              <w:bottom w:val="single" w:sz="6" w:space="0" w:color="008000"/>
            </w:tcBorders>
            <w:shd w:val="clear" w:color="auto" w:fill="FFFFFF"/>
          </w:tcPr>
          <w:p w:rsidR="008C38E3" w:rsidRPr="009A7D31" w:rsidRDefault="008C38E3" w:rsidP="008C38E3">
            <w:pPr>
              <w:pStyle w:val="CETBodytext"/>
              <w:ind w:right="-1"/>
              <w:jc w:val="center"/>
              <w:rPr>
                <w:rFonts w:cs="Arial"/>
                <w:szCs w:val="18"/>
                <w:lang w:val="en-GB"/>
              </w:rPr>
            </w:pPr>
            <w:r w:rsidRPr="009A7D31">
              <w:rPr>
                <w:rFonts w:cs="Arial"/>
                <w:szCs w:val="18"/>
                <w:lang w:val="en-GB"/>
              </w:rPr>
              <w:t>Surface tension</w:t>
            </w:r>
          </w:p>
          <w:p w:rsidR="008C38E3" w:rsidRPr="009A7D31" w:rsidRDefault="008C38E3" w:rsidP="008C38E3">
            <w:pPr>
              <w:pStyle w:val="CETBodytext"/>
              <w:ind w:right="-1"/>
              <w:jc w:val="center"/>
              <w:rPr>
                <w:rFonts w:cs="Arial"/>
                <w:szCs w:val="18"/>
                <w:lang w:val="en-GB"/>
              </w:rPr>
            </w:pPr>
            <w:r w:rsidRPr="009A7D31">
              <w:rPr>
                <w:rFonts w:cs="Arial"/>
                <w:szCs w:val="18"/>
                <w:lang w:val="en-GB"/>
              </w:rPr>
              <w:t>(mN/m</w:t>
            </w:r>
            <w:r>
              <w:rPr>
                <w:rFonts w:cs="Arial"/>
                <w:szCs w:val="18"/>
                <w:lang w:val="en-GB"/>
              </w:rPr>
              <w:t>)</w:t>
            </w:r>
          </w:p>
        </w:tc>
        <w:tc>
          <w:tcPr>
            <w:tcW w:w="1383" w:type="dxa"/>
            <w:tcBorders>
              <w:top w:val="single" w:sz="12" w:space="0" w:color="008000"/>
              <w:bottom w:val="single" w:sz="6" w:space="0" w:color="008000"/>
            </w:tcBorders>
            <w:shd w:val="clear" w:color="auto" w:fill="FFFFFF"/>
          </w:tcPr>
          <w:p w:rsidR="008C38E3" w:rsidRDefault="008C38E3" w:rsidP="008C38E3">
            <w:pPr>
              <w:pStyle w:val="CETBodytext"/>
              <w:ind w:right="-1"/>
              <w:jc w:val="center"/>
              <w:rPr>
                <w:rFonts w:cs="Arial"/>
                <w:szCs w:val="18"/>
                <w:lang w:val="en-GB"/>
              </w:rPr>
            </w:pPr>
            <w:r>
              <w:rPr>
                <w:rFonts w:cs="Arial"/>
                <w:szCs w:val="18"/>
                <w:lang w:val="en-GB"/>
              </w:rPr>
              <w:t>Temperature</w:t>
            </w:r>
          </w:p>
          <w:p w:rsidR="008C38E3" w:rsidRPr="009A7D31" w:rsidRDefault="008C38E3" w:rsidP="008C38E3">
            <w:pPr>
              <w:pStyle w:val="CETBodytext"/>
              <w:ind w:right="-1"/>
              <w:jc w:val="center"/>
              <w:rPr>
                <w:rFonts w:cs="Arial"/>
                <w:szCs w:val="18"/>
                <w:lang w:val="en-GB"/>
              </w:rPr>
            </w:pPr>
            <w:r>
              <w:rPr>
                <w:rFonts w:cs="Arial"/>
                <w:szCs w:val="18"/>
                <w:lang w:val="en-GB"/>
              </w:rPr>
              <w:t>(° C)</w:t>
            </w:r>
          </w:p>
        </w:tc>
        <w:tc>
          <w:tcPr>
            <w:tcW w:w="1399" w:type="dxa"/>
            <w:tcBorders>
              <w:top w:val="single" w:sz="12" w:space="0" w:color="008000"/>
              <w:bottom w:val="single" w:sz="6" w:space="0" w:color="008000"/>
            </w:tcBorders>
            <w:shd w:val="clear" w:color="auto" w:fill="FFFFFF"/>
          </w:tcPr>
          <w:p w:rsidR="008C38E3" w:rsidRPr="009A7D31" w:rsidRDefault="008C38E3" w:rsidP="008C38E3">
            <w:pPr>
              <w:pStyle w:val="CETBodytext"/>
              <w:ind w:right="-1"/>
              <w:jc w:val="center"/>
              <w:rPr>
                <w:rFonts w:cs="Arial"/>
                <w:szCs w:val="18"/>
                <w:lang w:val="en-GB"/>
              </w:rPr>
            </w:pPr>
            <w:r w:rsidRPr="009A7D31">
              <w:rPr>
                <w:rFonts w:cs="Arial"/>
                <w:szCs w:val="18"/>
                <w:lang w:val="en-GB"/>
              </w:rPr>
              <w:t>Surface tension</w:t>
            </w:r>
          </w:p>
          <w:p w:rsidR="008C38E3" w:rsidRPr="009378F0" w:rsidRDefault="008C38E3" w:rsidP="008C38E3">
            <w:pPr>
              <w:pStyle w:val="CETBodytext"/>
              <w:ind w:right="-1"/>
              <w:jc w:val="center"/>
              <w:rPr>
                <w:rFonts w:cs="Arial"/>
                <w:szCs w:val="18"/>
                <w:lang w:val="en-GB"/>
              </w:rPr>
            </w:pPr>
            <w:r w:rsidRPr="009A7D31">
              <w:rPr>
                <w:rFonts w:cs="Arial"/>
                <w:szCs w:val="18"/>
                <w:lang w:val="en-GB"/>
              </w:rPr>
              <w:t>(mN/m</w:t>
            </w:r>
            <w:r>
              <w:rPr>
                <w:rFonts w:cs="Arial"/>
                <w:szCs w:val="18"/>
                <w:lang w:val="en-GB"/>
              </w:rPr>
              <w:t>)</w:t>
            </w:r>
          </w:p>
        </w:tc>
        <w:tc>
          <w:tcPr>
            <w:tcW w:w="20" w:type="dxa"/>
            <w:tcBorders>
              <w:top w:val="single" w:sz="12" w:space="0" w:color="008000"/>
              <w:bottom w:val="single" w:sz="6" w:space="0" w:color="008000"/>
            </w:tcBorders>
            <w:shd w:val="clear" w:color="auto" w:fill="FFFFFF"/>
          </w:tcPr>
          <w:p w:rsidR="008C38E3" w:rsidRPr="009378F0" w:rsidRDefault="008C38E3" w:rsidP="008C38E3">
            <w:pPr>
              <w:pStyle w:val="CETBodytext"/>
              <w:ind w:right="-1"/>
              <w:rPr>
                <w:rFonts w:cs="Arial"/>
                <w:szCs w:val="18"/>
                <w:lang w:val="en-GB"/>
              </w:rPr>
            </w:pPr>
          </w:p>
        </w:tc>
        <w:tc>
          <w:tcPr>
            <w:tcW w:w="20" w:type="dxa"/>
            <w:tcBorders>
              <w:top w:val="single" w:sz="12" w:space="0" w:color="008000"/>
              <w:bottom w:val="single" w:sz="6" w:space="0" w:color="008000"/>
            </w:tcBorders>
            <w:shd w:val="clear" w:color="auto" w:fill="FFFFFF"/>
          </w:tcPr>
          <w:p w:rsidR="008C38E3" w:rsidRPr="009378F0" w:rsidRDefault="008C38E3" w:rsidP="008C38E3">
            <w:pPr>
              <w:pStyle w:val="CETBodytext"/>
              <w:ind w:right="-1"/>
              <w:rPr>
                <w:rFonts w:cs="Arial"/>
                <w:szCs w:val="18"/>
                <w:lang w:val="en-GB"/>
              </w:rPr>
            </w:pPr>
          </w:p>
        </w:tc>
        <w:tc>
          <w:tcPr>
            <w:tcW w:w="20" w:type="dxa"/>
            <w:tcBorders>
              <w:top w:val="single" w:sz="12" w:space="0" w:color="008000"/>
              <w:bottom w:val="single" w:sz="6" w:space="0" w:color="008000"/>
            </w:tcBorders>
            <w:shd w:val="clear" w:color="auto" w:fill="FFFFFF"/>
          </w:tcPr>
          <w:p w:rsidR="008C38E3" w:rsidRPr="009378F0" w:rsidRDefault="008C38E3" w:rsidP="008C38E3">
            <w:pPr>
              <w:pStyle w:val="CETBodytext"/>
              <w:ind w:right="-1"/>
              <w:rPr>
                <w:rFonts w:cs="Arial"/>
                <w:szCs w:val="18"/>
                <w:lang w:val="en-GB"/>
              </w:rPr>
            </w:pPr>
          </w:p>
        </w:tc>
      </w:tr>
      <w:tr w:rsidR="008C38E3" w:rsidRPr="009378F0" w:rsidTr="008C38E3">
        <w:trPr>
          <w:trHeight w:val="269"/>
        </w:trPr>
        <w:tc>
          <w:tcPr>
            <w:tcW w:w="1630" w:type="dxa"/>
            <w:shd w:val="clear" w:color="auto" w:fill="FFFFFF"/>
          </w:tcPr>
          <w:p w:rsidR="008C38E3" w:rsidRDefault="008C38E3" w:rsidP="008C38E3">
            <w:pPr>
              <w:pStyle w:val="CETBodytext"/>
              <w:jc w:val="center"/>
              <w:rPr>
                <w:lang w:val="en-GB"/>
              </w:rPr>
            </w:pPr>
            <w:r>
              <w:rPr>
                <w:lang w:val="en-GB"/>
              </w:rPr>
              <w:t>2.5</w:t>
            </w:r>
          </w:p>
        </w:tc>
        <w:tc>
          <w:tcPr>
            <w:tcW w:w="1286" w:type="dxa"/>
            <w:shd w:val="clear" w:color="auto" w:fill="FFFFFF"/>
          </w:tcPr>
          <w:p w:rsidR="008C38E3" w:rsidRPr="004710D1" w:rsidRDefault="008C38E3" w:rsidP="008C38E3">
            <w:r>
              <w:t>25,9</w:t>
            </w:r>
            <w:r w:rsidRPr="004710D1">
              <w:t>4</w:t>
            </w:r>
            <w:r>
              <w:t xml:space="preserve"> </w:t>
            </w:r>
            <w:r w:rsidRPr="008838F9">
              <w:t>± 0.14</w:t>
            </w:r>
          </w:p>
        </w:tc>
        <w:tc>
          <w:tcPr>
            <w:tcW w:w="1110" w:type="dxa"/>
            <w:shd w:val="clear" w:color="auto" w:fill="FFFFFF"/>
          </w:tcPr>
          <w:p w:rsidR="008C38E3" w:rsidRDefault="008C38E3" w:rsidP="008C38E3">
            <w:pPr>
              <w:pStyle w:val="CETBodytext"/>
              <w:jc w:val="center"/>
              <w:rPr>
                <w:lang w:val="en-GB"/>
              </w:rPr>
            </w:pPr>
            <w:r>
              <w:rPr>
                <w:lang w:val="en-GB"/>
              </w:rPr>
              <w:t>2</w:t>
            </w: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284519" w:rsidRDefault="008C38E3" w:rsidP="008C38E3">
            <w:r>
              <w:t>26</w:t>
            </w:r>
            <w:r w:rsidRPr="00284519">
              <w:t>,59</w:t>
            </w:r>
            <w:r>
              <w:t xml:space="preserve"> ± 0.2</w:t>
            </w:r>
            <w:r w:rsidRPr="008838F9">
              <w:t>4</w:t>
            </w:r>
          </w:p>
        </w:tc>
        <w:tc>
          <w:tcPr>
            <w:tcW w:w="1383"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5</w:t>
            </w:r>
          </w:p>
        </w:tc>
        <w:tc>
          <w:tcPr>
            <w:tcW w:w="1399" w:type="dxa"/>
            <w:shd w:val="clear" w:color="auto" w:fill="FFFFFF"/>
          </w:tcPr>
          <w:p w:rsidR="008C38E3" w:rsidRPr="004532BB" w:rsidRDefault="008C38E3" w:rsidP="008C38E3">
            <w:r w:rsidRPr="004532BB">
              <w:t>26,02</w:t>
            </w:r>
            <w:r>
              <w:t xml:space="preserve"> ± 0.12</w:t>
            </w: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r>
      <w:tr w:rsidR="008C38E3" w:rsidRPr="009378F0" w:rsidTr="008C38E3">
        <w:trPr>
          <w:trHeight w:val="269"/>
        </w:trPr>
        <w:tc>
          <w:tcPr>
            <w:tcW w:w="1630" w:type="dxa"/>
            <w:shd w:val="clear" w:color="auto" w:fill="FFFFFF"/>
          </w:tcPr>
          <w:p w:rsidR="008C38E3" w:rsidRDefault="008C38E3" w:rsidP="008C38E3">
            <w:pPr>
              <w:pStyle w:val="CETBodytext"/>
              <w:jc w:val="center"/>
              <w:rPr>
                <w:lang w:val="en-GB"/>
              </w:rPr>
            </w:pPr>
            <w:r>
              <w:rPr>
                <w:lang w:val="en-GB"/>
              </w:rPr>
              <w:t>5.0</w:t>
            </w:r>
          </w:p>
        </w:tc>
        <w:tc>
          <w:tcPr>
            <w:tcW w:w="1286" w:type="dxa"/>
            <w:shd w:val="clear" w:color="auto" w:fill="FFFFFF"/>
          </w:tcPr>
          <w:p w:rsidR="008C38E3" w:rsidRPr="004710D1" w:rsidRDefault="008C38E3" w:rsidP="008C38E3">
            <w:r>
              <w:t>25,8</w:t>
            </w:r>
            <w:r w:rsidRPr="004710D1">
              <w:t>2</w:t>
            </w:r>
            <w:r>
              <w:t xml:space="preserve"> ± 0.16</w:t>
            </w:r>
          </w:p>
        </w:tc>
        <w:tc>
          <w:tcPr>
            <w:tcW w:w="1110" w:type="dxa"/>
            <w:shd w:val="clear" w:color="auto" w:fill="FFFFFF"/>
          </w:tcPr>
          <w:p w:rsidR="008C38E3" w:rsidRDefault="008C38E3" w:rsidP="008C38E3">
            <w:pPr>
              <w:pStyle w:val="CETBodytext"/>
              <w:jc w:val="center"/>
              <w:rPr>
                <w:lang w:val="en-GB"/>
              </w:rPr>
            </w:pPr>
            <w:r>
              <w:rPr>
                <w:lang w:val="en-GB"/>
              </w:rPr>
              <w:t>4</w:t>
            </w: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284519" w:rsidRDefault="008C38E3" w:rsidP="008C38E3">
            <w:r>
              <w:t>26</w:t>
            </w:r>
            <w:r w:rsidRPr="00284519">
              <w:t>,61</w:t>
            </w:r>
            <w:r>
              <w:t xml:space="preserve"> ± 0.</w:t>
            </w:r>
            <w:r w:rsidRPr="008838F9">
              <w:t>4</w:t>
            </w:r>
            <w:r>
              <w:t>1</w:t>
            </w:r>
          </w:p>
        </w:tc>
        <w:tc>
          <w:tcPr>
            <w:tcW w:w="1383"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30</w:t>
            </w:r>
          </w:p>
        </w:tc>
        <w:tc>
          <w:tcPr>
            <w:tcW w:w="1399" w:type="dxa"/>
            <w:shd w:val="clear" w:color="auto" w:fill="FFFFFF"/>
          </w:tcPr>
          <w:p w:rsidR="008C38E3" w:rsidRPr="004532BB" w:rsidRDefault="008C38E3" w:rsidP="008C38E3">
            <w:r w:rsidRPr="004532BB">
              <w:t>26,12</w:t>
            </w:r>
            <w:r>
              <w:t xml:space="preserve"> ± 0.08</w:t>
            </w: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r>
      <w:tr w:rsidR="008C38E3" w:rsidRPr="009378F0" w:rsidTr="008C38E3">
        <w:trPr>
          <w:trHeight w:val="269"/>
        </w:trPr>
        <w:tc>
          <w:tcPr>
            <w:tcW w:w="1630" w:type="dxa"/>
            <w:shd w:val="clear" w:color="auto" w:fill="FFFFFF"/>
          </w:tcPr>
          <w:p w:rsidR="008C38E3" w:rsidRDefault="008C38E3" w:rsidP="008C38E3">
            <w:pPr>
              <w:pStyle w:val="CETBodytext"/>
              <w:jc w:val="center"/>
              <w:rPr>
                <w:lang w:val="en-GB"/>
              </w:rPr>
            </w:pPr>
            <w:r>
              <w:rPr>
                <w:lang w:val="en-GB"/>
              </w:rPr>
              <w:t>10.0</w:t>
            </w:r>
          </w:p>
        </w:tc>
        <w:tc>
          <w:tcPr>
            <w:tcW w:w="1286" w:type="dxa"/>
            <w:shd w:val="clear" w:color="auto" w:fill="FFFFFF"/>
          </w:tcPr>
          <w:p w:rsidR="008C38E3" w:rsidRPr="004710D1" w:rsidRDefault="008C38E3" w:rsidP="008C38E3">
            <w:r>
              <w:t>25,8</w:t>
            </w:r>
            <w:r w:rsidRPr="004710D1">
              <w:t>4</w:t>
            </w:r>
            <w:r>
              <w:t xml:space="preserve"> ± 0.0</w:t>
            </w:r>
            <w:r w:rsidRPr="008838F9">
              <w:t>4</w:t>
            </w:r>
          </w:p>
        </w:tc>
        <w:tc>
          <w:tcPr>
            <w:tcW w:w="1110" w:type="dxa"/>
            <w:shd w:val="clear" w:color="auto" w:fill="FFFFFF"/>
          </w:tcPr>
          <w:p w:rsidR="008C38E3" w:rsidRDefault="008C38E3" w:rsidP="008C38E3">
            <w:pPr>
              <w:pStyle w:val="CETBodytext"/>
              <w:jc w:val="center"/>
              <w:rPr>
                <w:lang w:val="en-GB"/>
              </w:rPr>
            </w:pPr>
            <w:r>
              <w:rPr>
                <w:lang w:val="en-GB"/>
              </w:rPr>
              <w:t>6</w:t>
            </w: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284519" w:rsidRDefault="008C38E3" w:rsidP="008C38E3">
            <w:r>
              <w:t>26</w:t>
            </w:r>
            <w:r w:rsidRPr="00284519">
              <w:t>,63</w:t>
            </w:r>
            <w:r>
              <w:t xml:space="preserve"> ± 0.15</w:t>
            </w:r>
          </w:p>
        </w:tc>
        <w:tc>
          <w:tcPr>
            <w:tcW w:w="1383"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60</w:t>
            </w:r>
          </w:p>
        </w:tc>
        <w:tc>
          <w:tcPr>
            <w:tcW w:w="1399" w:type="dxa"/>
            <w:shd w:val="clear" w:color="auto" w:fill="FFFFFF"/>
          </w:tcPr>
          <w:p w:rsidR="008C38E3" w:rsidRPr="004532BB" w:rsidRDefault="008C38E3" w:rsidP="008C38E3">
            <w:r w:rsidRPr="004532BB">
              <w:t>26,09</w:t>
            </w:r>
            <w:r>
              <w:t xml:space="preserve"> ± 0.17</w:t>
            </w: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jc w:val="center"/>
              <w:rPr>
                <w:rFonts w:cs="Arial"/>
                <w:szCs w:val="18"/>
                <w:lang w:val="en-GB"/>
              </w:rPr>
            </w:pPr>
          </w:p>
        </w:tc>
      </w:tr>
      <w:tr w:rsidR="008C38E3" w:rsidRPr="009378F0" w:rsidTr="008C38E3">
        <w:trPr>
          <w:trHeight w:val="289"/>
        </w:trPr>
        <w:tc>
          <w:tcPr>
            <w:tcW w:w="1630" w:type="dxa"/>
            <w:shd w:val="clear" w:color="auto" w:fill="FFFFFF"/>
          </w:tcPr>
          <w:p w:rsidR="008C38E3" w:rsidRPr="009A7D31" w:rsidRDefault="008C38E3" w:rsidP="008C38E3">
            <w:pPr>
              <w:pStyle w:val="CETBodytext"/>
              <w:ind w:right="-1"/>
              <w:jc w:val="center"/>
              <w:rPr>
                <w:rFonts w:cs="Arial"/>
                <w:szCs w:val="18"/>
                <w:lang w:val="en-GB"/>
              </w:rPr>
            </w:pPr>
            <w:r>
              <w:rPr>
                <w:rFonts w:cs="Arial"/>
                <w:szCs w:val="18"/>
                <w:lang w:val="en-GB"/>
              </w:rPr>
              <w:t>15.0</w:t>
            </w:r>
          </w:p>
        </w:tc>
        <w:tc>
          <w:tcPr>
            <w:tcW w:w="1286" w:type="dxa"/>
            <w:shd w:val="clear" w:color="auto" w:fill="FFFFFF"/>
          </w:tcPr>
          <w:p w:rsidR="008C38E3" w:rsidRPr="004710D1" w:rsidRDefault="008C38E3" w:rsidP="008C38E3">
            <w:r>
              <w:t>25,93 ± 0.10</w:t>
            </w:r>
          </w:p>
        </w:tc>
        <w:tc>
          <w:tcPr>
            <w:tcW w:w="1110"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7</w:t>
            </w: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284519" w:rsidRDefault="008C38E3" w:rsidP="008C38E3">
            <w:r>
              <w:t>26</w:t>
            </w:r>
            <w:r w:rsidRPr="00284519">
              <w:t>,62</w:t>
            </w:r>
            <w:r>
              <w:t xml:space="preserve"> ± 0.05</w:t>
            </w:r>
          </w:p>
        </w:tc>
        <w:tc>
          <w:tcPr>
            <w:tcW w:w="1383"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90</w:t>
            </w:r>
          </w:p>
        </w:tc>
        <w:tc>
          <w:tcPr>
            <w:tcW w:w="1399" w:type="dxa"/>
            <w:shd w:val="clear" w:color="auto" w:fill="FFFFFF"/>
          </w:tcPr>
          <w:p w:rsidR="008C38E3" w:rsidRPr="004532BB" w:rsidRDefault="008C38E3" w:rsidP="008C38E3">
            <w:r w:rsidRPr="004532BB">
              <w:t>26,1</w:t>
            </w:r>
            <w:r>
              <w:t xml:space="preserve">0 </w:t>
            </w:r>
            <w:r w:rsidRPr="008838F9">
              <w:t>± 0.14</w:t>
            </w: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r>
      <w:tr w:rsidR="008C38E3" w:rsidRPr="009378F0" w:rsidTr="008C38E3">
        <w:trPr>
          <w:trHeight w:val="266"/>
        </w:trPr>
        <w:tc>
          <w:tcPr>
            <w:tcW w:w="1630" w:type="dxa"/>
            <w:shd w:val="clear" w:color="auto" w:fill="FFFFFF"/>
          </w:tcPr>
          <w:p w:rsidR="008C38E3" w:rsidRDefault="008C38E3" w:rsidP="008C38E3">
            <w:pPr>
              <w:pStyle w:val="CETBodytext"/>
              <w:ind w:right="-1"/>
              <w:jc w:val="center"/>
              <w:rPr>
                <w:rFonts w:cs="Arial"/>
                <w:szCs w:val="18"/>
                <w:lang w:val="en-GB"/>
              </w:rPr>
            </w:pPr>
            <w:r>
              <w:rPr>
                <w:rFonts w:cs="Arial"/>
                <w:szCs w:val="18"/>
                <w:lang w:val="en-GB"/>
              </w:rPr>
              <w:t>20.0</w:t>
            </w:r>
          </w:p>
        </w:tc>
        <w:tc>
          <w:tcPr>
            <w:tcW w:w="1286" w:type="dxa"/>
            <w:shd w:val="clear" w:color="auto" w:fill="FFFFFF"/>
          </w:tcPr>
          <w:p w:rsidR="008C38E3" w:rsidRPr="004710D1" w:rsidRDefault="008C38E3" w:rsidP="008C38E3">
            <w:r>
              <w:t>25,9</w:t>
            </w:r>
            <w:r w:rsidRPr="004710D1">
              <w:t>2</w:t>
            </w:r>
            <w:r>
              <w:t xml:space="preserve"> ± 0.12</w:t>
            </w:r>
          </w:p>
        </w:tc>
        <w:tc>
          <w:tcPr>
            <w:tcW w:w="1110"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8</w:t>
            </w: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284519" w:rsidRDefault="008C38E3" w:rsidP="008C38E3">
            <w:r>
              <w:t>25</w:t>
            </w:r>
            <w:r w:rsidRPr="00284519">
              <w:t>,62</w:t>
            </w:r>
            <w:r>
              <w:t xml:space="preserve"> ± 0.12</w:t>
            </w:r>
          </w:p>
        </w:tc>
        <w:tc>
          <w:tcPr>
            <w:tcW w:w="1383"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100</w:t>
            </w:r>
          </w:p>
        </w:tc>
        <w:tc>
          <w:tcPr>
            <w:tcW w:w="1399" w:type="dxa"/>
            <w:shd w:val="clear" w:color="auto" w:fill="FFFFFF"/>
          </w:tcPr>
          <w:p w:rsidR="008C38E3" w:rsidRDefault="008C38E3" w:rsidP="008C38E3">
            <w:r w:rsidRPr="004532BB">
              <w:t>26,11</w:t>
            </w:r>
            <w:r>
              <w:t xml:space="preserve"> ± 0.23</w:t>
            </w: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r>
      <w:tr w:rsidR="008C38E3" w:rsidRPr="009378F0" w:rsidTr="008C38E3">
        <w:trPr>
          <w:trHeight w:val="257"/>
        </w:trPr>
        <w:tc>
          <w:tcPr>
            <w:tcW w:w="1630" w:type="dxa"/>
            <w:shd w:val="clear" w:color="auto" w:fill="FFFFFF"/>
          </w:tcPr>
          <w:p w:rsidR="008C38E3" w:rsidRDefault="008C38E3" w:rsidP="008C38E3">
            <w:pPr>
              <w:pStyle w:val="CETBodytext"/>
              <w:ind w:right="-1"/>
              <w:jc w:val="center"/>
              <w:rPr>
                <w:rFonts w:cs="Arial"/>
                <w:szCs w:val="18"/>
                <w:lang w:val="en-GB"/>
              </w:rPr>
            </w:pPr>
            <w:r>
              <w:rPr>
                <w:rFonts w:cs="Arial"/>
                <w:szCs w:val="18"/>
                <w:lang w:val="en-GB"/>
              </w:rPr>
              <w:lastRenderedPageBreak/>
              <w:t>25.0</w:t>
            </w:r>
          </w:p>
        </w:tc>
        <w:tc>
          <w:tcPr>
            <w:tcW w:w="1286" w:type="dxa"/>
            <w:shd w:val="clear" w:color="auto" w:fill="FFFFFF"/>
          </w:tcPr>
          <w:p w:rsidR="008C38E3" w:rsidRPr="004710D1" w:rsidRDefault="008C38E3" w:rsidP="008C38E3">
            <w:r>
              <w:t>25,9</w:t>
            </w:r>
            <w:r w:rsidRPr="004710D1">
              <w:t>6</w:t>
            </w:r>
            <w:r>
              <w:t xml:space="preserve"> </w:t>
            </w:r>
            <w:r w:rsidRPr="008838F9">
              <w:t>± 0.14</w:t>
            </w:r>
          </w:p>
        </w:tc>
        <w:tc>
          <w:tcPr>
            <w:tcW w:w="1110"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10</w:t>
            </w: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284519" w:rsidRDefault="008C38E3" w:rsidP="008C38E3">
            <w:r w:rsidRPr="00284519">
              <w:t>25,61</w:t>
            </w:r>
            <w:r>
              <w:t xml:space="preserve"> ± 0.16</w:t>
            </w:r>
          </w:p>
        </w:tc>
        <w:tc>
          <w:tcPr>
            <w:tcW w:w="1383" w:type="dxa"/>
            <w:shd w:val="clear" w:color="auto" w:fill="FFFFFF"/>
          </w:tcPr>
          <w:p w:rsidR="008C38E3" w:rsidRPr="009378F0" w:rsidRDefault="008C38E3" w:rsidP="008C38E3">
            <w:pPr>
              <w:pStyle w:val="CETBodytext"/>
              <w:ind w:right="-1"/>
              <w:jc w:val="center"/>
              <w:rPr>
                <w:rFonts w:cs="Arial"/>
                <w:szCs w:val="18"/>
                <w:lang w:val="en-GB"/>
              </w:rPr>
            </w:pPr>
          </w:p>
        </w:tc>
        <w:tc>
          <w:tcPr>
            <w:tcW w:w="1399"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r>
      <w:tr w:rsidR="008C38E3" w:rsidRPr="009378F0" w:rsidTr="008C38E3">
        <w:trPr>
          <w:trHeight w:val="261"/>
        </w:trPr>
        <w:tc>
          <w:tcPr>
            <w:tcW w:w="1630" w:type="dxa"/>
            <w:shd w:val="clear" w:color="auto" w:fill="FFFFFF"/>
          </w:tcPr>
          <w:p w:rsidR="008C38E3" w:rsidRDefault="008C38E3" w:rsidP="008C38E3">
            <w:pPr>
              <w:pStyle w:val="CETBodytext"/>
              <w:ind w:right="-1"/>
              <w:jc w:val="center"/>
              <w:rPr>
                <w:rFonts w:cs="Arial"/>
                <w:szCs w:val="18"/>
                <w:lang w:val="en-GB"/>
              </w:rPr>
            </w:pPr>
            <w:r>
              <w:rPr>
                <w:rFonts w:cs="Arial"/>
                <w:szCs w:val="18"/>
                <w:lang w:val="en-GB"/>
              </w:rPr>
              <w:t>30.0</w:t>
            </w:r>
          </w:p>
        </w:tc>
        <w:tc>
          <w:tcPr>
            <w:tcW w:w="1286" w:type="dxa"/>
            <w:shd w:val="clear" w:color="auto" w:fill="FFFFFF"/>
          </w:tcPr>
          <w:p w:rsidR="008C38E3" w:rsidRPr="004710D1" w:rsidRDefault="008C38E3" w:rsidP="008C38E3">
            <w:r>
              <w:t>25,8</w:t>
            </w:r>
            <w:r w:rsidRPr="004710D1">
              <w:t>5</w:t>
            </w:r>
            <w:r>
              <w:t xml:space="preserve"> ± 0.15</w:t>
            </w:r>
          </w:p>
        </w:tc>
        <w:tc>
          <w:tcPr>
            <w:tcW w:w="1110" w:type="dxa"/>
            <w:shd w:val="clear" w:color="auto" w:fill="FFFFFF"/>
          </w:tcPr>
          <w:p w:rsidR="008C38E3" w:rsidRPr="009378F0" w:rsidRDefault="008C38E3" w:rsidP="008C38E3">
            <w:pPr>
              <w:pStyle w:val="CETBodytext"/>
              <w:ind w:right="-1"/>
              <w:jc w:val="center"/>
              <w:rPr>
                <w:rFonts w:cs="Arial"/>
                <w:szCs w:val="18"/>
                <w:lang w:val="en-GB"/>
              </w:rPr>
            </w:pPr>
            <w:r>
              <w:rPr>
                <w:rFonts w:cs="Arial"/>
                <w:szCs w:val="18"/>
                <w:lang w:val="en-GB"/>
              </w:rPr>
              <w:t>12</w:t>
            </w: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Default="008C38E3" w:rsidP="008C38E3">
            <w:r w:rsidRPr="00284519">
              <w:t>25,63</w:t>
            </w:r>
            <w:r>
              <w:t xml:space="preserve"> ± 0.21</w:t>
            </w:r>
          </w:p>
        </w:tc>
        <w:tc>
          <w:tcPr>
            <w:tcW w:w="1383" w:type="dxa"/>
            <w:shd w:val="clear" w:color="auto" w:fill="FFFFFF"/>
          </w:tcPr>
          <w:p w:rsidR="008C38E3" w:rsidRPr="009378F0" w:rsidRDefault="008C38E3" w:rsidP="008C38E3">
            <w:pPr>
              <w:pStyle w:val="CETBodytext"/>
              <w:ind w:right="-1"/>
              <w:jc w:val="center"/>
              <w:rPr>
                <w:rFonts w:cs="Arial"/>
                <w:szCs w:val="18"/>
                <w:lang w:val="en-GB"/>
              </w:rPr>
            </w:pPr>
          </w:p>
        </w:tc>
        <w:tc>
          <w:tcPr>
            <w:tcW w:w="1399"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r>
      <w:tr w:rsidR="008C38E3" w:rsidRPr="009378F0" w:rsidTr="008C38E3">
        <w:trPr>
          <w:trHeight w:val="178"/>
        </w:trPr>
        <w:tc>
          <w:tcPr>
            <w:tcW w:w="1630" w:type="dxa"/>
            <w:shd w:val="clear" w:color="auto" w:fill="FFFFFF"/>
          </w:tcPr>
          <w:p w:rsidR="008C38E3" w:rsidRDefault="008C38E3" w:rsidP="008C38E3">
            <w:pPr>
              <w:pStyle w:val="CETBodytext"/>
              <w:ind w:right="-1"/>
              <w:jc w:val="center"/>
              <w:rPr>
                <w:rFonts w:cs="Arial"/>
                <w:szCs w:val="18"/>
                <w:lang w:val="en-GB"/>
              </w:rPr>
            </w:pPr>
            <w:r>
              <w:rPr>
                <w:rFonts w:cs="Arial"/>
                <w:szCs w:val="18"/>
                <w:lang w:val="en-GB"/>
              </w:rPr>
              <w:t>40.0</w:t>
            </w:r>
          </w:p>
        </w:tc>
        <w:tc>
          <w:tcPr>
            <w:tcW w:w="1286" w:type="dxa"/>
            <w:shd w:val="clear" w:color="auto" w:fill="FFFFFF"/>
          </w:tcPr>
          <w:p w:rsidR="008C38E3" w:rsidRDefault="008C38E3" w:rsidP="008C38E3">
            <w:r>
              <w:t>25,79 ± 0.08</w:t>
            </w:r>
          </w:p>
        </w:tc>
        <w:tc>
          <w:tcPr>
            <w:tcW w:w="1110" w:type="dxa"/>
            <w:shd w:val="clear" w:color="auto" w:fill="FFFFFF"/>
          </w:tcPr>
          <w:p w:rsidR="008C38E3" w:rsidRPr="009378F0" w:rsidRDefault="008C38E3" w:rsidP="008C38E3">
            <w:pPr>
              <w:pStyle w:val="CETBodytext"/>
              <w:ind w:right="-1"/>
              <w:jc w:val="center"/>
              <w:rPr>
                <w:rFonts w:cs="Arial"/>
                <w:szCs w:val="18"/>
                <w:lang w:val="en-GB"/>
              </w:rPr>
            </w:pPr>
          </w:p>
        </w:tc>
        <w:tc>
          <w:tcPr>
            <w:tcW w:w="135"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9378F0" w:rsidRDefault="008C38E3" w:rsidP="008C38E3">
            <w:pPr>
              <w:pStyle w:val="CETBodytext"/>
              <w:ind w:right="-1"/>
              <w:jc w:val="center"/>
              <w:rPr>
                <w:rFonts w:cs="Arial"/>
                <w:szCs w:val="18"/>
                <w:lang w:val="en-GB"/>
              </w:rPr>
            </w:pPr>
          </w:p>
        </w:tc>
        <w:tc>
          <w:tcPr>
            <w:tcW w:w="1383" w:type="dxa"/>
            <w:shd w:val="clear" w:color="auto" w:fill="FFFFFF"/>
          </w:tcPr>
          <w:p w:rsidR="008C38E3" w:rsidRPr="009378F0" w:rsidRDefault="008C38E3" w:rsidP="008C38E3">
            <w:pPr>
              <w:pStyle w:val="CETBodytext"/>
              <w:ind w:right="-1"/>
              <w:jc w:val="center"/>
              <w:rPr>
                <w:rFonts w:cs="Arial"/>
                <w:szCs w:val="18"/>
                <w:lang w:val="en-GB"/>
              </w:rPr>
            </w:pPr>
          </w:p>
        </w:tc>
        <w:tc>
          <w:tcPr>
            <w:tcW w:w="1399" w:type="dxa"/>
            <w:shd w:val="clear" w:color="auto" w:fill="FFFFFF"/>
          </w:tcPr>
          <w:p w:rsidR="008C38E3" w:rsidRPr="009378F0" w:rsidRDefault="008C38E3" w:rsidP="008C38E3">
            <w:pPr>
              <w:pStyle w:val="CETBodytext"/>
              <w:ind w:right="-1"/>
              <w:jc w:val="center"/>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c>
          <w:tcPr>
            <w:tcW w:w="20" w:type="dxa"/>
            <w:shd w:val="clear" w:color="auto" w:fill="FFFFFF"/>
          </w:tcPr>
          <w:p w:rsidR="008C38E3" w:rsidRPr="009378F0" w:rsidRDefault="008C38E3" w:rsidP="008C38E3">
            <w:pPr>
              <w:pStyle w:val="CETBodytext"/>
              <w:ind w:right="-1"/>
              <w:rPr>
                <w:rFonts w:cs="Arial"/>
                <w:szCs w:val="18"/>
                <w:lang w:val="en-GB"/>
              </w:rPr>
            </w:pPr>
          </w:p>
        </w:tc>
      </w:tr>
    </w:tbl>
    <w:p w:rsidR="000C605B" w:rsidRDefault="000C605B" w:rsidP="00E45A99">
      <w:pPr>
        <w:pStyle w:val="CETBodytext"/>
        <w:rPr>
          <w:lang w:val="en-GB"/>
        </w:rPr>
      </w:pPr>
    </w:p>
    <w:p w:rsidR="00A6559E" w:rsidRDefault="00A6559E" w:rsidP="00E45A99">
      <w:pPr>
        <w:pStyle w:val="CETBodytext"/>
        <w:rPr>
          <w:lang w:val="en-GB"/>
        </w:rPr>
      </w:pPr>
      <w:r w:rsidRPr="00A6559E">
        <w:rPr>
          <w:lang w:val="en-GB"/>
        </w:rPr>
        <w:t>The germination index (IG), which combines measures of relative seed germination and relative root elongation, was used to evaluate the toxicity of the vegetable biosurfactant on cabbage (</w:t>
      </w:r>
      <w:r w:rsidRPr="00A6559E">
        <w:rPr>
          <w:i/>
          <w:lang w:val="en-GB"/>
        </w:rPr>
        <w:t>B. oleracea</w:t>
      </w:r>
      <w:r w:rsidRPr="00A6559E">
        <w:rPr>
          <w:lang w:val="en-GB"/>
        </w:rPr>
        <w:t>). Considering that a GI value of 80% has been used as an indicator of the disappearance of phytotoxicity (Markandea et al., 2013). The results obtained indicated that the solutions</w:t>
      </w:r>
      <w:r>
        <w:rPr>
          <w:lang w:val="en-GB"/>
        </w:rPr>
        <w:t xml:space="preserve"> tested did not show inhibitory</w:t>
      </w:r>
      <w:r w:rsidRPr="00A6559E">
        <w:t xml:space="preserve"> </w:t>
      </w:r>
      <w:r w:rsidRPr="00A6559E">
        <w:rPr>
          <w:lang w:val="en-GB"/>
        </w:rPr>
        <w:t xml:space="preserve">effects on the seed germination </w:t>
      </w:r>
      <w:r>
        <w:rPr>
          <w:lang w:val="en-GB"/>
        </w:rPr>
        <w:t>and root elongation of cabbage.</w:t>
      </w:r>
      <w:r w:rsidR="00376E64">
        <w:rPr>
          <w:lang w:val="en-GB"/>
        </w:rPr>
        <w:t xml:space="preserve"> GI values of 100 at 98</w:t>
      </w:r>
      <w:r w:rsidR="00835588">
        <w:rPr>
          <w:lang w:val="en-GB"/>
        </w:rPr>
        <w:t xml:space="preserve"> </w:t>
      </w:r>
      <w:r w:rsidRPr="00A6559E">
        <w:rPr>
          <w:lang w:val="en-GB"/>
        </w:rPr>
        <w:t>% were found for biosurfactant vegetable extract solutions containing of 1.0, 0.</w:t>
      </w:r>
      <w:r w:rsidR="00302078">
        <w:rPr>
          <w:lang w:val="en-GB"/>
        </w:rPr>
        <w:t>0</w:t>
      </w:r>
      <w:r w:rsidRPr="00A6559E">
        <w:rPr>
          <w:lang w:val="en-GB"/>
        </w:rPr>
        <w:t>5 and 0.</w:t>
      </w:r>
      <w:r w:rsidR="00302078">
        <w:rPr>
          <w:lang w:val="en-GB"/>
        </w:rPr>
        <w:t>0</w:t>
      </w:r>
      <w:r w:rsidRPr="00A6559E">
        <w:rPr>
          <w:lang w:val="en-GB"/>
        </w:rPr>
        <w:t>25 g /L, respectively (Table 2).</w:t>
      </w:r>
    </w:p>
    <w:p w:rsidR="00A6559E" w:rsidRDefault="00A6559E" w:rsidP="00E45A99">
      <w:pPr>
        <w:pStyle w:val="CETBodytext"/>
        <w:rPr>
          <w:lang w:val="en-GB"/>
        </w:rPr>
      </w:pPr>
    </w:p>
    <w:p w:rsidR="00A6559E" w:rsidRDefault="00A6559E" w:rsidP="00A6559E">
      <w:pPr>
        <w:pStyle w:val="CETBodytext"/>
        <w:rPr>
          <w:i/>
          <w:lang w:val="en-GB"/>
        </w:rPr>
      </w:pPr>
      <w:r>
        <w:rPr>
          <w:i/>
          <w:lang w:val="en-GB"/>
        </w:rPr>
        <w:t>Table 2</w:t>
      </w:r>
      <w:r w:rsidRPr="00D45BC4">
        <w:rPr>
          <w:i/>
          <w:lang w:val="en-GB"/>
        </w:rPr>
        <w:t xml:space="preserve">: Observation </w:t>
      </w:r>
      <w:r>
        <w:rPr>
          <w:i/>
          <w:lang w:val="en-GB"/>
        </w:rPr>
        <w:t xml:space="preserve">of the toxicity of the vegetable </w:t>
      </w:r>
      <w:r w:rsidRPr="00D45BC4">
        <w:rPr>
          <w:i/>
          <w:lang w:val="en-GB"/>
        </w:rPr>
        <w:t xml:space="preserve">biosurfactant using seeds of </w:t>
      </w:r>
      <w:r w:rsidRPr="00F56E91">
        <w:rPr>
          <w:i/>
          <w:lang w:val="en-GB"/>
        </w:rPr>
        <w:t>B. oleracea</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744"/>
        <w:gridCol w:w="622"/>
        <w:gridCol w:w="1663"/>
        <w:gridCol w:w="1663"/>
        <w:gridCol w:w="627"/>
        <w:gridCol w:w="28"/>
      </w:tblGrid>
      <w:tr w:rsidR="00A6559E" w:rsidRPr="009378F0" w:rsidTr="00A6559E">
        <w:trPr>
          <w:trHeight w:val="358"/>
        </w:trPr>
        <w:tc>
          <w:tcPr>
            <w:tcW w:w="3744" w:type="dxa"/>
            <w:tcBorders>
              <w:top w:val="single" w:sz="12" w:space="0" w:color="008000"/>
              <w:bottom w:val="single" w:sz="6" w:space="0" w:color="008000"/>
            </w:tcBorders>
            <w:shd w:val="clear" w:color="auto" w:fill="FFFFFF"/>
          </w:tcPr>
          <w:p w:rsidR="00A6559E" w:rsidRPr="009378F0" w:rsidRDefault="00A6559E" w:rsidP="000E21FB">
            <w:pPr>
              <w:pStyle w:val="CETBodytext"/>
              <w:jc w:val="center"/>
              <w:rPr>
                <w:lang w:val="en-GB"/>
              </w:rPr>
            </w:pPr>
            <w:r w:rsidRPr="00FD39F8">
              <w:rPr>
                <w:lang w:val="en-GB"/>
              </w:rPr>
              <w:t>Solution of the vegetable biosurfactant of Artocarpus heterophyllus (g / L)</w:t>
            </w:r>
          </w:p>
        </w:tc>
        <w:tc>
          <w:tcPr>
            <w:tcW w:w="4575" w:type="dxa"/>
            <w:gridSpan w:val="4"/>
            <w:tcBorders>
              <w:top w:val="single" w:sz="12" w:space="0" w:color="008000"/>
              <w:bottom w:val="single" w:sz="6" w:space="0" w:color="008000"/>
            </w:tcBorders>
            <w:shd w:val="clear" w:color="auto" w:fill="FFFFFF"/>
          </w:tcPr>
          <w:p w:rsidR="00A6559E" w:rsidRPr="009378F0" w:rsidRDefault="00A6559E" w:rsidP="000E21FB">
            <w:pPr>
              <w:pStyle w:val="CETBodytext"/>
              <w:ind w:right="-1"/>
              <w:jc w:val="center"/>
              <w:rPr>
                <w:rFonts w:cs="Arial"/>
                <w:szCs w:val="18"/>
                <w:lang w:val="en-GB"/>
              </w:rPr>
            </w:pPr>
            <w:r>
              <w:rPr>
                <w:rFonts w:cs="Arial"/>
                <w:szCs w:val="18"/>
                <w:lang w:val="en-GB"/>
              </w:rPr>
              <w:t xml:space="preserve">              </w:t>
            </w:r>
            <w:r w:rsidRPr="00FD39F8">
              <w:rPr>
                <w:rFonts w:cs="Arial"/>
                <w:szCs w:val="18"/>
                <w:lang w:val="en-GB"/>
              </w:rPr>
              <w:t xml:space="preserve">Germination Index (IG) </w:t>
            </w:r>
          </w:p>
        </w:tc>
        <w:tc>
          <w:tcPr>
            <w:tcW w:w="28" w:type="dxa"/>
            <w:tcBorders>
              <w:top w:val="single" w:sz="12" w:space="0" w:color="008000"/>
              <w:bottom w:val="single" w:sz="6" w:space="0" w:color="008000"/>
            </w:tcBorders>
            <w:shd w:val="clear" w:color="auto" w:fill="FFFFFF"/>
          </w:tcPr>
          <w:p w:rsidR="00A6559E" w:rsidRPr="009378F0" w:rsidRDefault="00A6559E" w:rsidP="000E21FB">
            <w:pPr>
              <w:pStyle w:val="CETBodytext"/>
              <w:ind w:right="-1"/>
              <w:rPr>
                <w:rFonts w:cs="Arial"/>
                <w:szCs w:val="18"/>
                <w:lang w:val="en-GB"/>
              </w:rPr>
            </w:pPr>
          </w:p>
        </w:tc>
      </w:tr>
      <w:tr w:rsidR="00A6559E" w:rsidRPr="009378F0" w:rsidTr="00A6559E">
        <w:trPr>
          <w:trHeight w:val="234"/>
        </w:trPr>
        <w:tc>
          <w:tcPr>
            <w:tcW w:w="3744" w:type="dxa"/>
            <w:shd w:val="clear" w:color="auto" w:fill="FFFFFF"/>
          </w:tcPr>
          <w:p w:rsidR="00A6559E" w:rsidRPr="000161ED" w:rsidRDefault="00A6559E" w:rsidP="000E21FB">
            <w:pPr>
              <w:pStyle w:val="CETBodytext"/>
              <w:jc w:val="center"/>
              <w:rPr>
                <w:lang w:val="en-GB"/>
              </w:rPr>
            </w:pPr>
          </w:p>
          <w:p w:rsidR="00A6559E" w:rsidRPr="000161ED" w:rsidRDefault="00A6559E" w:rsidP="000E21FB">
            <w:pPr>
              <w:pStyle w:val="CETBodytext"/>
              <w:jc w:val="center"/>
              <w:rPr>
                <w:lang w:val="en-GB"/>
              </w:rPr>
            </w:pPr>
            <w:r w:rsidRPr="000161ED">
              <w:rPr>
                <w:lang w:val="en-GB"/>
              </w:rPr>
              <w:t>1.0</w:t>
            </w:r>
          </w:p>
        </w:tc>
        <w:tc>
          <w:tcPr>
            <w:tcW w:w="622" w:type="dxa"/>
            <w:shd w:val="clear" w:color="auto" w:fill="FFFFFF"/>
          </w:tcPr>
          <w:p w:rsidR="00A6559E" w:rsidRDefault="00A6559E" w:rsidP="000E21FB">
            <w:pPr>
              <w:pStyle w:val="CETBodytext"/>
              <w:jc w:val="center"/>
              <w:rPr>
                <w:lang w:val="en-GB"/>
              </w:rPr>
            </w:pPr>
          </w:p>
          <w:p w:rsidR="00A6559E" w:rsidRPr="009378F0" w:rsidRDefault="00A6559E" w:rsidP="000E21FB">
            <w:pPr>
              <w:pStyle w:val="CETBodytext"/>
              <w:jc w:val="center"/>
              <w:rPr>
                <w:lang w:val="en-GB"/>
              </w:rPr>
            </w:pPr>
          </w:p>
        </w:tc>
        <w:tc>
          <w:tcPr>
            <w:tcW w:w="1663" w:type="dxa"/>
            <w:shd w:val="clear" w:color="auto" w:fill="FFFFFF"/>
          </w:tcPr>
          <w:p w:rsidR="00A6559E" w:rsidRDefault="00A6559E" w:rsidP="000E21FB">
            <w:pPr>
              <w:pStyle w:val="CETBodytext"/>
              <w:jc w:val="center"/>
              <w:rPr>
                <w:lang w:val="en-GB"/>
              </w:rPr>
            </w:pPr>
          </w:p>
          <w:p w:rsidR="00A6559E" w:rsidRPr="009378F0" w:rsidRDefault="00A6559E" w:rsidP="000E21FB">
            <w:pPr>
              <w:pStyle w:val="CETBodytext"/>
              <w:jc w:val="center"/>
              <w:rPr>
                <w:lang w:val="en-GB"/>
              </w:rPr>
            </w:pPr>
          </w:p>
        </w:tc>
        <w:tc>
          <w:tcPr>
            <w:tcW w:w="1663"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835588">
            <w:pPr>
              <w:pStyle w:val="CETBodytext"/>
              <w:ind w:right="-1"/>
              <w:jc w:val="center"/>
              <w:rPr>
                <w:rFonts w:cs="Arial"/>
                <w:szCs w:val="18"/>
                <w:lang w:val="en-GB"/>
              </w:rPr>
            </w:pPr>
            <w:r>
              <w:rPr>
                <w:rFonts w:cs="Arial"/>
                <w:szCs w:val="18"/>
                <w:lang w:val="en-GB"/>
              </w:rPr>
              <w:t xml:space="preserve">98  ± 0.2 </w:t>
            </w:r>
            <w:r w:rsidR="00835588">
              <w:rPr>
                <w:rFonts w:cs="Arial"/>
                <w:szCs w:val="18"/>
                <w:lang w:val="en-GB"/>
              </w:rPr>
              <w:t>%</w:t>
            </w:r>
          </w:p>
        </w:tc>
        <w:tc>
          <w:tcPr>
            <w:tcW w:w="625"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p>
        </w:tc>
        <w:tc>
          <w:tcPr>
            <w:tcW w:w="28" w:type="dxa"/>
            <w:shd w:val="clear" w:color="auto" w:fill="FFFFFF"/>
          </w:tcPr>
          <w:p w:rsidR="00A6559E" w:rsidRPr="009378F0" w:rsidRDefault="00A6559E" w:rsidP="000E21FB">
            <w:pPr>
              <w:pStyle w:val="CETBodytext"/>
              <w:ind w:right="-1"/>
              <w:rPr>
                <w:rFonts w:cs="Arial"/>
                <w:szCs w:val="18"/>
                <w:lang w:val="en-GB"/>
              </w:rPr>
            </w:pPr>
          </w:p>
        </w:tc>
      </w:tr>
      <w:tr w:rsidR="00A6559E" w:rsidRPr="009378F0" w:rsidTr="00A6559E">
        <w:trPr>
          <w:trHeight w:val="351"/>
        </w:trPr>
        <w:tc>
          <w:tcPr>
            <w:tcW w:w="3744" w:type="dxa"/>
            <w:shd w:val="clear" w:color="auto" w:fill="FFFFFF"/>
          </w:tcPr>
          <w:p w:rsidR="00A6559E" w:rsidRPr="000161ED" w:rsidRDefault="00A6559E" w:rsidP="000E21FB">
            <w:pPr>
              <w:pStyle w:val="CETBodytext"/>
              <w:jc w:val="center"/>
              <w:rPr>
                <w:lang w:val="en-GB"/>
              </w:rPr>
            </w:pPr>
          </w:p>
          <w:p w:rsidR="00A6559E" w:rsidRPr="000161ED" w:rsidRDefault="00A6559E" w:rsidP="000E21FB">
            <w:pPr>
              <w:pStyle w:val="CETBodytext"/>
              <w:jc w:val="center"/>
              <w:rPr>
                <w:lang w:val="en-GB"/>
              </w:rPr>
            </w:pPr>
            <w:r w:rsidRPr="000161ED">
              <w:rPr>
                <w:lang w:val="en-GB"/>
              </w:rPr>
              <w:t>0.</w:t>
            </w:r>
            <w:r w:rsidR="00302078">
              <w:rPr>
                <w:lang w:val="en-GB"/>
              </w:rPr>
              <w:t>0</w:t>
            </w:r>
            <w:r w:rsidRPr="000161ED">
              <w:rPr>
                <w:lang w:val="en-GB"/>
              </w:rPr>
              <w:t>5</w:t>
            </w:r>
          </w:p>
          <w:p w:rsidR="00A6559E" w:rsidRPr="000161ED" w:rsidRDefault="00A6559E" w:rsidP="000E21FB">
            <w:pPr>
              <w:pStyle w:val="CETBodytext"/>
              <w:jc w:val="center"/>
              <w:rPr>
                <w:lang w:val="en-GB"/>
              </w:rPr>
            </w:pPr>
          </w:p>
        </w:tc>
        <w:tc>
          <w:tcPr>
            <w:tcW w:w="622" w:type="dxa"/>
            <w:shd w:val="clear" w:color="auto" w:fill="FFFFFF"/>
          </w:tcPr>
          <w:p w:rsidR="00A6559E" w:rsidRDefault="00A6559E" w:rsidP="000E21FB">
            <w:pPr>
              <w:pStyle w:val="CETBodytext"/>
              <w:jc w:val="center"/>
              <w:rPr>
                <w:lang w:val="en-GB"/>
              </w:rPr>
            </w:pPr>
          </w:p>
          <w:p w:rsidR="00A6559E" w:rsidRPr="008838F9" w:rsidRDefault="00A6559E" w:rsidP="000E21FB">
            <w:pPr>
              <w:pStyle w:val="CETBodytext"/>
              <w:jc w:val="center"/>
              <w:rPr>
                <w:lang w:val="en-GB"/>
              </w:rPr>
            </w:pPr>
          </w:p>
        </w:tc>
        <w:tc>
          <w:tcPr>
            <w:tcW w:w="1663" w:type="dxa"/>
            <w:shd w:val="clear" w:color="auto" w:fill="FFFFFF"/>
          </w:tcPr>
          <w:p w:rsidR="00A6559E" w:rsidRDefault="00A6559E" w:rsidP="000E21FB">
            <w:pPr>
              <w:pStyle w:val="CETBodytext"/>
              <w:jc w:val="center"/>
              <w:rPr>
                <w:lang w:val="en-GB"/>
              </w:rPr>
            </w:pPr>
          </w:p>
          <w:p w:rsidR="00A6559E" w:rsidRPr="00617BB6" w:rsidRDefault="00A6559E" w:rsidP="000E21FB">
            <w:pPr>
              <w:pStyle w:val="CETBodytext"/>
              <w:jc w:val="center"/>
              <w:rPr>
                <w:lang w:val="en-GB"/>
              </w:rPr>
            </w:pPr>
          </w:p>
        </w:tc>
        <w:tc>
          <w:tcPr>
            <w:tcW w:w="1663"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r w:rsidRPr="000161ED">
              <w:rPr>
                <w:rFonts w:cs="Arial"/>
                <w:szCs w:val="18"/>
                <w:lang w:val="en-GB"/>
              </w:rPr>
              <w:t>99</w:t>
            </w:r>
            <w:r>
              <w:rPr>
                <w:rFonts w:cs="Arial"/>
                <w:szCs w:val="18"/>
                <w:lang w:val="en-GB"/>
              </w:rPr>
              <w:t xml:space="preserve"> </w:t>
            </w:r>
            <w:r w:rsidRPr="000161ED">
              <w:rPr>
                <w:rFonts w:cs="Arial"/>
                <w:szCs w:val="18"/>
                <w:lang w:val="en-GB"/>
              </w:rPr>
              <w:t xml:space="preserve"> ± 0.5</w:t>
            </w:r>
            <w:r w:rsidR="00835588">
              <w:rPr>
                <w:rFonts w:cs="Arial"/>
                <w:szCs w:val="18"/>
                <w:lang w:val="en-GB"/>
              </w:rPr>
              <w:t xml:space="preserve"> %</w:t>
            </w:r>
          </w:p>
        </w:tc>
        <w:tc>
          <w:tcPr>
            <w:tcW w:w="625"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p>
        </w:tc>
        <w:tc>
          <w:tcPr>
            <w:tcW w:w="28" w:type="dxa"/>
            <w:shd w:val="clear" w:color="auto" w:fill="FFFFFF"/>
          </w:tcPr>
          <w:p w:rsidR="00A6559E" w:rsidRPr="009378F0" w:rsidRDefault="00A6559E" w:rsidP="000E21FB">
            <w:pPr>
              <w:pStyle w:val="CETBodytext"/>
              <w:ind w:right="-1"/>
              <w:rPr>
                <w:rFonts w:cs="Arial"/>
                <w:szCs w:val="18"/>
                <w:lang w:val="en-GB"/>
              </w:rPr>
            </w:pPr>
          </w:p>
        </w:tc>
      </w:tr>
      <w:tr w:rsidR="00A6559E" w:rsidRPr="009378F0" w:rsidTr="00A6559E">
        <w:trPr>
          <w:trHeight w:val="124"/>
        </w:trPr>
        <w:tc>
          <w:tcPr>
            <w:tcW w:w="3744" w:type="dxa"/>
            <w:shd w:val="clear" w:color="auto" w:fill="FFFFFF"/>
          </w:tcPr>
          <w:p w:rsidR="00A6559E" w:rsidRPr="000161ED" w:rsidRDefault="00A6559E" w:rsidP="000E21FB">
            <w:pPr>
              <w:pStyle w:val="CETBodytext"/>
              <w:ind w:right="-1"/>
              <w:jc w:val="center"/>
              <w:rPr>
                <w:rFonts w:cs="Arial"/>
                <w:szCs w:val="18"/>
                <w:lang w:val="en-GB"/>
              </w:rPr>
            </w:pPr>
            <w:r w:rsidRPr="000161ED">
              <w:rPr>
                <w:rFonts w:cs="Arial"/>
                <w:szCs w:val="18"/>
                <w:lang w:val="en-GB"/>
              </w:rPr>
              <w:t>0.</w:t>
            </w:r>
            <w:r w:rsidR="00302078">
              <w:rPr>
                <w:rFonts w:cs="Arial"/>
                <w:szCs w:val="18"/>
                <w:lang w:val="en-GB"/>
              </w:rPr>
              <w:t>0</w:t>
            </w:r>
            <w:r w:rsidRPr="000161ED">
              <w:rPr>
                <w:rFonts w:cs="Arial"/>
                <w:szCs w:val="18"/>
                <w:lang w:val="en-GB"/>
              </w:rPr>
              <w:t>25</w:t>
            </w:r>
          </w:p>
        </w:tc>
        <w:tc>
          <w:tcPr>
            <w:tcW w:w="622" w:type="dxa"/>
            <w:shd w:val="clear" w:color="auto" w:fill="FFFFFF"/>
          </w:tcPr>
          <w:p w:rsidR="00A6559E" w:rsidRPr="009378F0" w:rsidRDefault="00A6559E" w:rsidP="000E21FB">
            <w:pPr>
              <w:pStyle w:val="CETBodytext"/>
              <w:ind w:right="-1"/>
              <w:jc w:val="center"/>
              <w:rPr>
                <w:rFonts w:cs="Arial"/>
                <w:szCs w:val="18"/>
                <w:lang w:val="en-GB"/>
              </w:rPr>
            </w:pPr>
          </w:p>
        </w:tc>
        <w:tc>
          <w:tcPr>
            <w:tcW w:w="1663" w:type="dxa"/>
            <w:shd w:val="clear" w:color="auto" w:fill="FFFFFF"/>
          </w:tcPr>
          <w:p w:rsidR="00A6559E" w:rsidRPr="009378F0" w:rsidRDefault="00A6559E" w:rsidP="000E21FB">
            <w:pPr>
              <w:pStyle w:val="CETBodytext"/>
              <w:ind w:right="-1"/>
              <w:jc w:val="center"/>
              <w:rPr>
                <w:rFonts w:cs="Arial"/>
                <w:szCs w:val="18"/>
                <w:lang w:val="en-GB"/>
              </w:rPr>
            </w:pPr>
          </w:p>
        </w:tc>
        <w:tc>
          <w:tcPr>
            <w:tcW w:w="1663" w:type="dxa"/>
            <w:shd w:val="clear" w:color="auto" w:fill="FFFFFF"/>
          </w:tcPr>
          <w:p w:rsidR="00A6559E" w:rsidRPr="009378F0" w:rsidRDefault="00835588" w:rsidP="000E21FB">
            <w:pPr>
              <w:pStyle w:val="CETBodytext"/>
              <w:ind w:right="-1"/>
              <w:jc w:val="center"/>
              <w:rPr>
                <w:rFonts w:cs="Arial"/>
                <w:szCs w:val="18"/>
                <w:lang w:val="en-GB"/>
              </w:rPr>
            </w:pPr>
            <w:r>
              <w:rPr>
                <w:rFonts w:cs="Arial"/>
                <w:szCs w:val="18"/>
                <w:lang w:val="en-GB"/>
              </w:rPr>
              <w:t xml:space="preserve">100 </w:t>
            </w:r>
            <w:r w:rsidR="00A6559E">
              <w:rPr>
                <w:rFonts w:cs="Arial"/>
                <w:szCs w:val="18"/>
                <w:lang w:val="en-GB"/>
              </w:rPr>
              <w:t xml:space="preserve"> ± 0.2</w:t>
            </w:r>
            <w:r>
              <w:rPr>
                <w:rFonts w:cs="Arial"/>
                <w:szCs w:val="18"/>
                <w:lang w:val="en-GB"/>
              </w:rPr>
              <w:t xml:space="preserve"> %</w:t>
            </w:r>
          </w:p>
        </w:tc>
        <w:tc>
          <w:tcPr>
            <w:tcW w:w="625" w:type="dxa"/>
            <w:shd w:val="clear" w:color="auto" w:fill="FFFFFF"/>
          </w:tcPr>
          <w:p w:rsidR="00A6559E" w:rsidRPr="009378F0" w:rsidRDefault="00A6559E" w:rsidP="000E21FB">
            <w:pPr>
              <w:pStyle w:val="CETBodytext"/>
              <w:ind w:right="-1"/>
              <w:jc w:val="center"/>
              <w:rPr>
                <w:rFonts w:cs="Arial"/>
                <w:szCs w:val="18"/>
                <w:lang w:val="en-GB"/>
              </w:rPr>
            </w:pPr>
          </w:p>
        </w:tc>
        <w:tc>
          <w:tcPr>
            <w:tcW w:w="28" w:type="dxa"/>
            <w:shd w:val="clear" w:color="auto" w:fill="FFFFFF"/>
          </w:tcPr>
          <w:p w:rsidR="00A6559E" w:rsidRPr="009378F0" w:rsidRDefault="00A6559E" w:rsidP="000E21FB">
            <w:pPr>
              <w:pStyle w:val="CETBodytext"/>
              <w:ind w:right="-1"/>
              <w:rPr>
                <w:rFonts w:cs="Arial"/>
                <w:szCs w:val="18"/>
                <w:lang w:val="en-GB"/>
              </w:rPr>
            </w:pPr>
          </w:p>
        </w:tc>
      </w:tr>
      <w:tr w:rsidR="00A6559E" w:rsidRPr="009378F0" w:rsidTr="00A6559E">
        <w:trPr>
          <w:trHeight w:val="234"/>
        </w:trPr>
        <w:tc>
          <w:tcPr>
            <w:tcW w:w="3744" w:type="dxa"/>
            <w:shd w:val="clear" w:color="auto" w:fill="FFFFFF"/>
          </w:tcPr>
          <w:p w:rsidR="00A6559E" w:rsidRPr="000161ED" w:rsidRDefault="00A6559E" w:rsidP="000E21FB">
            <w:pPr>
              <w:pStyle w:val="CETBodytext"/>
              <w:ind w:right="-1"/>
              <w:jc w:val="center"/>
              <w:rPr>
                <w:rFonts w:cs="Arial"/>
                <w:szCs w:val="18"/>
                <w:lang w:val="en-GB"/>
              </w:rPr>
            </w:pPr>
          </w:p>
          <w:p w:rsidR="00A6559E" w:rsidRPr="000161ED" w:rsidRDefault="00A6559E" w:rsidP="000E21FB">
            <w:pPr>
              <w:pStyle w:val="CETBodytext"/>
              <w:ind w:right="-1"/>
              <w:jc w:val="center"/>
              <w:rPr>
                <w:rFonts w:cs="Arial"/>
                <w:szCs w:val="18"/>
                <w:lang w:val="en-GB"/>
              </w:rPr>
            </w:pPr>
            <w:r w:rsidRPr="000161ED">
              <w:rPr>
                <w:rFonts w:cs="Arial"/>
                <w:szCs w:val="18"/>
                <w:lang w:val="en-GB"/>
              </w:rPr>
              <w:t>water</w:t>
            </w:r>
          </w:p>
        </w:tc>
        <w:tc>
          <w:tcPr>
            <w:tcW w:w="622" w:type="dxa"/>
            <w:shd w:val="clear" w:color="auto" w:fill="FFFFFF"/>
          </w:tcPr>
          <w:p w:rsidR="00A6559E" w:rsidRPr="009378F0" w:rsidRDefault="00A6559E" w:rsidP="000E21FB">
            <w:pPr>
              <w:pStyle w:val="CETBodytext"/>
              <w:ind w:right="-1"/>
              <w:jc w:val="center"/>
              <w:rPr>
                <w:rFonts w:cs="Arial"/>
                <w:szCs w:val="18"/>
                <w:lang w:val="en-GB"/>
              </w:rPr>
            </w:pPr>
          </w:p>
        </w:tc>
        <w:tc>
          <w:tcPr>
            <w:tcW w:w="1663" w:type="dxa"/>
            <w:shd w:val="clear" w:color="auto" w:fill="FFFFFF"/>
          </w:tcPr>
          <w:p w:rsidR="00A6559E" w:rsidRPr="009378F0" w:rsidRDefault="00A6559E" w:rsidP="000E21FB">
            <w:pPr>
              <w:pStyle w:val="CETBodytext"/>
              <w:ind w:right="-1"/>
              <w:jc w:val="center"/>
              <w:rPr>
                <w:rFonts w:cs="Arial"/>
                <w:szCs w:val="18"/>
                <w:lang w:val="en-GB"/>
              </w:rPr>
            </w:pPr>
          </w:p>
        </w:tc>
        <w:tc>
          <w:tcPr>
            <w:tcW w:w="1663"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r w:rsidRPr="000161ED">
              <w:rPr>
                <w:rFonts w:cs="Arial"/>
                <w:szCs w:val="18"/>
                <w:lang w:val="en-GB"/>
              </w:rPr>
              <w:t>100</w:t>
            </w:r>
            <w:r>
              <w:rPr>
                <w:rFonts w:cs="Arial"/>
                <w:szCs w:val="18"/>
                <w:lang w:val="en-GB"/>
              </w:rPr>
              <w:t xml:space="preserve"> </w:t>
            </w:r>
            <w:r w:rsidRPr="000161ED">
              <w:rPr>
                <w:rFonts w:cs="Arial"/>
                <w:szCs w:val="18"/>
                <w:lang w:val="en-GB"/>
              </w:rPr>
              <w:t>± 0.3</w:t>
            </w:r>
            <w:r w:rsidR="00835588">
              <w:rPr>
                <w:rFonts w:cs="Arial"/>
                <w:szCs w:val="18"/>
                <w:lang w:val="en-GB"/>
              </w:rPr>
              <w:t xml:space="preserve"> %</w:t>
            </w:r>
          </w:p>
        </w:tc>
        <w:tc>
          <w:tcPr>
            <w:tcW w:w="625" w:type="dxa"/>
            <w:shd w:val="clear" w:color="auto" w:fill="FFFFFF"/>
          </w:tcPr>
          <w:p w:rsidR="00A6559E" w:rsidRPr="009378F0" w:rsidRDefault="00A6559E" w:rsidP="000E21FB">
            <w:pPr>
              <w:pStyle w:val="CETBodytext"/>
              <w:ind w:right="-1"/>
              <w:jc w:val="center"/>
              <w:rPr>
                <w:rFonts w:cs="Arial"/>
                <w:szCs w:val="18"/>
                <w:lang w:val="en-GB"/>
              </w:rPr>
            </w:pPr>
          </w:p>
        </w:tc>
        <w:tc>
          <w:tcPr>
            <w:tcW w:w="28" w:type="dxa"/>
            <w:shd w:val="clear" w:color="auto" w:fill="FFFFFF"/>
          </w:tcPr>
          <w:p w:rsidR="00A6559E" w:rsidRPr="009378F0" w:rsidRDefault="00A6559E" w:rsidP="000E21FB">
            <w:pPr>
              <w:pStyle w:val="CETBodytext"/>
              <w:ind w:right="-1"/>
              <w:rPr>
                <w:rFonts w:cs="Arial"/>
                <w:szCs w:val="18"/>
                <w:lang w:val="en-GB"/>
              </w:rPr>
            </w:pPr>
          </w:p>
        </w:tc>
      </w:tr>
    </w:tbl>
    <w:p w:rsidR="00A6559E" w:rsidRDefault="00A6559E" w:rsidP="00A6559E">
      <w:pPr>
        <w:pStyle w:val="CETBodytext"/>
        <w:rPr>
          <w:i/>
          <w:lang w:val="en-GB"/>
        </w:rPr>
      </w:pPr>
    </w:p>
    <w:p w:rsidR="00A6559E" w:rsidRDefault="00A6559E" w:rsidP="00E45A99">
      <w:pPr>
        <w:pStyle w:val="CETBodytext"/>
        <w:rPr>
          <w:lang w:val="en-GB"/>
        </w:rPr>
      </w:pPr>
      <w:r w:rsidRPr="00A6559E">
        <w:rPr>
          <w:lang w:val="en-GB"/>
        </w:rPr>
        <w:t>The application of biosurfactants is one of the most promising techniques to remove and recover a significant amount of the residual oil in environment (Sarubbo et al., 2012; Brasileiro et al., 2016). The results of test of washing demonstrated that the biosurfactant vegetable could remove 82</w:t>
      </w:r>
      <w:r w:rsidR="00835588">
        <w:rPr>
          <w:lang w:val="en-GB"/>
        </w:rPr>
        <w:t xml:space="preserve"> </w:t>
      </w:r>
      <w:r w:rsidRPr="00A6559E">
        <w:rPr>
          <w:lang w:val="en-GB"/>
        </w:rPr>
        <w:t>% and 78</w:t>
      </w:r>
      <w:r w:rsidR="00835588">
        <w:rPr>
          <w:lang w:val="en-GB"/>
        </w:rPr>
        <w:t xml:space="preserve"> </w:t>
      </w:r>
      <w:r w:rsidRPr="00A6559E">
        <w:rPr>
          <w:lang w:val="en-GB"/>
        </w:rPr>
        <w:t>% the motor oil, while the distilled water (control) not removed (Table 3). And therefore, the biological surfactants have advantages over chemical surfactant by being more efficient, effective and ecofriendly, by they remove oil of superface contaminants (Figure 3).</w:t>
      </w:r>
    </w:p>
    <w:p w:rsidR="00A6559E" w:rsidRDefault="00A6559E" w:rsidP="00E45A99">
      <w:pPr>
        <w:pStyle w:val="CETBodytext"/>
        <w:rPr>
          <w:lang w:val="en-GB"/>
        </w:rPr>
      </w:pPr>
    </w:p>
    <w:p w:rsidR="00A6559E" w:rsidRDefault="00A6559E" w:rsidP="00A6559E">
      <w:pPr>
        <w:pStyle w:val="CETBodytext"/>
        <w:rPr>
          <w:i/>
          <w:lang w:val="en-GB"/>
        </w:rPr>
      </w:pPr>
      <w:r>
        <w:rPr>
          <w:i/>
          <w:lang w:val="en-GB"/>
        </w:rPr>
        <w:t>Table 3</w:t>
      </w:r>
      <w:r w:rsidRPr="00D45BC4">
        <w:rPr>
          <w:i/>
          <w:lang w:val="en-GB"/>
        </w:rPr>
        <w:t>:</w:t>
      </w:r>
      <w:r w:rsidRPr="003F0397">
        <w:t xml:space="preserve"> </w:t>
      </w:r>
      <w:r>
        <w:rPr>
          <w:i/>
          <w:lang w:val="en-GB"/>
        </w:rPr>
        <w:t>R</w:t>
      </w:r>
      <w:r w:rsidRPr="00D35E0B">
        <w:rPr>
          <w:i/>
          <w:lang w:val="en-GB"/>
        </w:rPr>
        <w:t xml:space="preserve">emoval of surface motor oil by vegetable </w:t>
      </w:r>
      <w:r>
        <w:rPr>
          <w:i/>
          <w:lang w:val="en-GB"/>
        </w:rPr>
        <w:t xml:space="preserve">biosurfactant </w:t>
      </w:r>
      <w:r w:rsidRPr="00D35E0B">
        <w:rPr>
          <w:i/>
          <w:lang w:val="en-GB"/>
        </w:rPr>
        <w:t>produced by Artocarpus heterophyllus</w:t>
      </w:r>
    </w:p>
    <w:p w:rsidR="00A6559E" w:rsidRPr="00155D00" w:rsidRDefault="00A6559E" w:rsidP="00A6559E">
      <w:pPr>
        <w:pStyle w:val="CETBodytext"/>
        <w:rPr>
          <w:i/>
          <w:lang w:val="en-GB"/>
        </w:rPr>
      </w:pP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756"/>
        <w:gridCol w:w="624"/>
        <w:gridCol w:w="1668"/>
        <w:gridCol w:w="1668"/>
        <w:gridCol w:w="628"/>
        <w:gridCol w:w="29"/>
      </w:tblGrid>
      <w:tr w:rsidR="00A6559E" w:rsidRPr="009378F0" w:rsidTr="00927976">
        <w:trPr>
          <w:trHeight w:val="315"/>
        </w:trPr>
        <w:tc>
          <w:tcPr>
            <w:tcW w:w="3756" w:type="dxa"/>
            <w:tcBorders>
              <w:top w:val="single" w:sz="12" w:space="0" w:color="008000"/>
              <w:bottom w:val="single" w:sz="6" w:space="0" w:color="008000"/>
            </w:tcBorders>
            <w:shd w:val="clear" w:color="auto" w:fill="FFFFFF"/>
          </w:tcPr>
          <w:p w:rsidR="00A6559E" w:rsidRDefault="00A6559E" w:rsidP="000E21FB">
            <w:pPr>
              <w:pStyle w:val="CETBodytext"/>
              <w:jc w:val="center"/>
              <w:rPr>
                <w:lang w:val="en-GB"/>
              </w:rPr>
            </w:pPr>
          </w:p>
          <w:p w:rsidR="00A6559E" w:rsidRPr="009378F0" w:rsidRDefault="00A6559E" w:rsidP="000E21FB">
            <w:pPr>
              <w:pStyle w:val="CETBodytext"/>
              <w:jc w:val="center"/>
              <w:rPr>
                <w:lang w:val="en-GB"/>
              </w:rPr>
            </w:pPr>
            <w:r w:rsidRPr="003F0397">
              <w:rPr>
                <w:lang w:val="en-GB"/>
              </w:rPr>
              <w:t xml:space="preserve">Removal agent </w:t>
            </w:r>
          </w:p>
        </w:tc>
        <w:tc>
          <w:tcPr>
            <w:tcW w:w="4588" w:type="dxa"/>
            <w:gridSpan w:val="4"/>
            <w:tcBorders>
              <w:top w:val="single" w:sz="12" w:space="0" w:color="008000"/>
              <w:bottom w:val="single" w:sz="6" w:space="0" w:color="008000"/>
            </w:tcBorders>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r>
              <w:rPr>
                <w:rFonts w:cs="Arial"/>
                <w:szCs w:val="18"/>
                <w:lang w:val="en-GB"/>
              </w:rPr>
              <w:t xml:space="preserve">               </w:t>
            </w:r>
            <w:r w:rsidRPr="00DB7B0C">
              <w:rPr>
                <w:rFonts w:cs="Arial"/>
                <w:szCs w:val="18"/>
                <w:lang w:val="en-GB"/>
              </w:rPr>
              <w:t>Recovery (%)</w:t>
            </w:r>
          </w:p>
        </w:tc>
        <w:tc>
          <w:tcPr>
            <w:tcW w:w="29" w:type="dxa"/>
            <w:tcBorders>
              <w:top w:val="single" w:sz="12" w:space="0" w:color="008000"/>
              <w:bottom w:val="single" w:sz="6" w:space="0" w:color="008000"/>
            </w:tcBorders>
            <w:shd w:val="clear" w:color="auto" w:fill="FFFFFF"/>
          </w:tcPr>
          <w:p w:rsidR="00A6559E" w:rsidRPr="009378F0" w:rsidRDefault="00A6559E" w:rsidP="000E21FB">
            <w:pPr>
              <w:pStyle w:val="CETBodytext"/>
              <w:ind w:right="-1"/>
              <w:rPr>
                <w:rFonts w:cs="Arial"/>
                <w:szCs w:val="18"/>
                <w:lang w:val="en-GB"/>
              </w:rPr>
            </w:pPr>
          </w:p>
        </w:tc>
      </w:tr>
      <w:tr w:rsidR="00A6559E" w:rsidRPr="009378F0" w:rsidTr="00927976">
        <w:trPr>
          <w:trHeight w:val="778"/>
        </w:trPr>
        <w:tc>
          <w:tcPr>
            <w:tcW w:w="3756" w:type="dxa"/>
            <w:shd w:val="clear" w:color="auto" w:fill="FFFFFF"/>
          </w:tcPr>
          <w:p w:rsidR="00A6559E" w:rsidRPr="000161ED" w:rsidRDefault="00A6559E" w:rsidP="000E21FB">
            <w:pPr>
              <w:pStyle w:val="CETBodytext"/>
              <w:jc w:val="center"/>
              <w:rPr>
                <w:lang w:val="en-GB"/>
              </w:rPr>
            </w:pPr>
          </w:p>
          <w:p w:rsidR="00A6559E" w:rsidRPr="000161ED" w:rsidRDefault="00A6559E" w:rsidP="000E21FB">
            <w:pPr>
              <w:pStyle w:val="CETBodytext"/>
              <w:jc w:val="center"/>
              <w:rPr>
                <w:lang w:val="en-GB"/>
              </w:rPr>
            </w:pPr>
            <w:r w:rsidRPr="003F0397">
              <w:rPr>
                <w:lang w:val="en-GB"/>
              </w:rPr>
              <w:t>Solution of the</w:t>
            </w:r>
            <w:r>
              <w:rPr>
                <w:lang w:val="en-GB"/>
              </w:rPr>
              <w:t xml:space="preserve"> vegetable biosurfactant at a concentration CMC (0.</w:t>
            </w:r>
            <w:r w:rsidR="00302078">
              <w:rPr>
                <w:lang w:val="en-GB"/>
              </w:rPr>
              <w:t>0</w:t>
            </w:r>
            <w:r>
              <w:rPr>
                <w:lang w:val="en-GB"/>
              </w:rPr>
              <w:t>5 g / L</w:t>
            </w:r>
            <w:r w:rsidRPr="003F0397">
              <w:rPr>
                <w:lang w:val="en-GB"/>
              </w:rPr>
              <w:t>)</w:t>
            </w:r>
          </w:p>
          <w:p w:rsidR="00A6559E" w:rsidRPr="000161ED" w:rsidRDefault="00A6559E" w:rsidP="000E21FB">
            <w:pPr>
              <w:pStyle w:val="CETBodytext"/>
              <w:jc w:val="center"/>
              <w:rPr>
                <w:lang w:val="en-GB"/>
              </w:rPr>
            </w:pPr>
          </w:p>
        </w:tc>
        <w:tc>
          <w:tcPr>
            <w:tcW w:w="624" w:type="dxa"/>
            <w:shd w:val="clear" w:color="auto" w:fill="FFFFFF"/>
          </w:tcPr>
          <w:p w:rsidR="00A6559E" w:rsidRDefault="00A6559E" w:rsidP="000E21FB">
            <w:pPr>
              <w:pStyle w:val="CETBodytext"/>
              <w:jc w:val="center"/>
              <w:rPr>
                <w:lang w:val="en-GB"/>
              </w:rPr>
            </w:pPr>
          </w:p>
          <w:p w:rsidR="00A6559E" w:rsidRPr="008838F9" w:rsidRDefault="00A6559E" w:rsidP="000E21FB">
            <w:pPr>
              <w:pStyle w:val="CETBodytext"/>
              <w:jc w:val="center"/>
              <w:rPr>
                <w:lang w:val="en-GB"/>
              </w:rPr>
            </w:pPr>
          </w:p>
        </w:tc>
        <w:tc>
          <w:tcPr>
            <w:tcW w:w="1668" w:type="dxa"/>
            <w:shd w:val="clear" w:color="auto" w:fill="FFFFFF"/>
          </w:tcPr>
          <w:p w:rsidR="00A6559E" w:rsidRDefault="00A6559E" w:rsidP="000E21FB">
            <w:pPr>
              <w:pStyle w:val="CETBodytext"/>
              <w:jc w:val="center"/>
              <w:rPr>
                <w:lang w:val="en-GB"/>
              </w:rPr>
            </w:pPr>
          </w:p>
          <w:p w:rsidR="00A6559E" w:rsidRPr="00617BB6" w:rsidRDefault="00A6559E" w:rsidP="000E21FB">
            <w:pPr>
              <w:pStyle w:val="CETBodytext"/>
              <w:jc w:val="center"/>
              <w:rPr>
                <w:lang w:val="en-GB"/>
              </w:rPr>
            </w:pPr>
          </w:p>
        </w:tc>
        <w:tc>
          <w:tcPr>
            <w:tcW w:w="1668" w:type="dxa"/>
            <w:shd w:val="clear" w:color="auto" w:fill="FFFFFF"/>
          </w:tcPr>
          <w:p w:rsidR="00A6559E" w:rsidRDefault="00A6559E" w:rsidP="000E21FB">
            <w:pPr>
              <w:pStyle w:val="CETBodytext"/>
              <w:ind w:right="-1"/>
              <w:jc w:val="center"/>
              <w:rPr>
                <w:rFonts w:cs="Arial"/>
                <w:szCs w:val="18"/>
                <w:lang w:val="en-GB"/>
              </w:rPr>
            </w:pPr>
          </w:p>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r>
              <w:rPr>
                <w:rFonts w:cs="Arial"/>
                <w:szCs w:val="18"/>
                <w:lang w:val="en-GB"/>
              </w:rPr>
              <w:t>82.6</w:t>
            </w:r>
            <w:r w:rsidRPr="000161ED">
              <w:rPr>
                <w:rFonts w:cs="Arial"/>
                <w:szCs w:val="18"/>
                <w:lang w:val="en-GB"/>
              </w:rPr>
              <w:t xml:space="preserve"> ± 0.5</w:t>
            </w:r>
          </w:p>
        </w:tc>
        <w:tc>
          <w:tcPr>
            <w:tcW w:w="626"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p>
        </w:tc>
        <w:tc>
          <w:tcPr>
            <w:tcW w:w="29" w:type="dxa"/>
            <w:shd w:val="clear" w:color="auto" w:fill="FFFFFF"/>
          </w:tcPr>
          <w:p w:rsidR="00A6559E" w:rsidRPr="009378F0" w:rsidRDefault="00A6559E" w:rsidP="000E21FB">
            <w:pPr>
              <w:pStyle w:val="CETBodytext"/>
              <w:ind w:right="-1"/>
              <w:rPr>
                <w:rFonts w:cs="Arial"/>
                <w:szCs w:val="18"/>
                <w:lang w:val="en-GB"/>
              </w:rPr>
            </w:pPr>
          </w:p>
        </w:tc>
      </w:tr>
      <w:tr w:rsidR="00A6559E" w:rsidRPr="009378F0" w:rsidTr="00927976">
        <w:trPr>
          <w:trHeight w:val="469"/>
        </w:trPr>
        <w:tc>
          <w:tcPr>
            <w:tcW w:w="3756" w:type="dxa"/>
            <w:shd w:val="clear" w:color="auto" w:fill="FFFFFF"/>
          </w:tcPr>
          <w:p w:rsidR="00A6559E" w:rsidRPr="000161ED" w:rsidRDefault="00A6559E" w:rsidP="000E21FB">
            <w:pPr>
              <w:pStyle w:val="CETBodytext"/>
              <w:ind w:right="-1"/>
              <w:jc w:val="center"/>
              <w:rPr>
                <w:rFonts w:cs="Arial"/>
                <w:szCs w:val="18"/>
                <w:lang w:val="en-GB"/>
              </w:rPr>
            </w:pPr>
            <w:r w:rsidRPr="003F0397">
              <w:rPr>
                <w:rFonts w:cs="Arial"/>
                <w:szCs w:val="18"/>
                <w:lang w:val="en-GB"/>
              </w:rPr>
              <w:t xml:space="preserve">Solution of the vegetable biosurfactant at a concentration </w:t>
            </w:r>
            <w:r>
              <w:rPr>
                <w:rFonts w:cs="Arial"/>
                <w:szCs w:val="18"/>
                <w:lang w:val="en-GB"/>
              </w:rPr>
              <w:t>½ CMC (0.</w:t>
            </w:r>
            <w:r w:rsidR="00302078">
              <w:rPr>
                <w:rFonts w:cs="Arial"/>
                <w:szCs w:val="18"/>
                <w:lang w:val="en-GB"/>
              </w:rPr>
              <w:t>0</w:t>
            </w:r>
            <w:r>
              <w:rPr>
                <w:rFonts w:cs="Arial"/>
                <w:szCs w:val="18"/>
                <w:lang w:val="en-GB"/>
              </w:rPr>
              <w:t>25</w:t>
            </w:r>
            <w:r w:rsidRPr="003F0397">
              <w:rPr>
                <w:rFonts w:cs="Arial"/>
                <w:szCs w:val="18"/>
                <w:lang w:val="en-GB"/>
              </w:rPr>
              <w:t xml:space="preserve"> g / L)</w:t>
            </w:r>
          </w:p>
        </w:tc>
        <w:tc>
          <w:tcPr>
            <w:tcW w:w="624" w:type="dxa"/>
            <w:shd w:val="clear" w:color="auto" w:fill="FFFFFF"/>
          </w:tcPr>
          <w:p w:rsidR="00A6559E" w:rsidRPr="009378F0" w:rsidRDefault="00A6559E" w:rsidP="000E21FB">
            <w:pPr>
              <w:pStyle w:val="CETBodytext"/>
              <w:ind w:right="-1"/>
              <w:jc w:val="center"/>
              <w:rPr>
                <w:rFonts w:cs="Arial"/>
                <w:szCs w:val="18"/>
                <w:lang w:val="en-GB"/>
              </w:rPr>
            </w:pPr>
          </w:p>
        </w:tc>
        <w:tc>
          <w:tcPr>
            <w:tcW w:w="1668" w:type="dxa"/>
            <w:shd w:val="clear" w:color="auto" w:fill="FFFFFF"/>
          </w:tcPr>
          <w:p w:rsidR="00A6559E" w:rsidRPr="009378F0" w:rsidRDefault="00A6559E" w:rsidP="000E21FB">
            <w:pPr>
              <w:pStyle w:val="CETBodytext"/>
              <w:ind w:right="-1"/>
              <w:jc w:val="center"/>
              <w:rPr>
                <w:rFonts w:cs="Arial"/>
                <w:szCs w:val="18"/>
                <w:lang w:val="en-GB"/>
              </w:rPr>
            </w:pPr>
          </w:p>
        </w:tc>
        <w:tc>
          <w:tcPr>
            <w:tcW w:w="1668"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r>
              <w:rPr>
                <w:rFonts w:cs="Arial"/>
                <w:szCs w:val="18"/>
                <w:lang w:val="en-GB"/>
              </w:rPr>
              <w:t>78.4 ± 0.6</w:t>
            </w:r>
          </w:p>
        </w:tc>
        <w:tc>
          <w:tcPr>
            <w:tcW w:w="626" w:type="dxa"/>
            <w:shd w:val="clear" w:color="auto" w:fill="FFFFFF"/>
          </w:tcPr>
          <w:p w:rsidR="00A6559E" w:rsidRPr="009378F0" w:rsidRDefault="00A6559E" w:rsidP="000E21FB">
            <w:pPr>
              <w:pStyle w:val="CETBodytext"/>
              <w:ind w:right="-1"/>
              <w:jc w:val="center"/>
              <w:rPr>
                <w:rFonts w:cs="Arial"/>
                <w:szCs w:val="18"/>
                <w:lang w:val="en-GB"/>
              </w:rPr>
            </w:pPr>
          </w:p>
        </w:tc>
        <w:tc>
          <w:tcPr>
            <w:tcW w:w="29" w:type="dxa"/>
            <w:shd w:val="clear" w:color="auto" w:fill="FFFFFF"/>
          </w:tcPr>
          <w:p w:rsidR="00A6559E" w:rsidRPr="009378F0" w:rsidRDefault="00A6559E" w:rsidP="000E21FB">
            <w:pPr>
              <w:pStyle w:val="CETBodytext"/>
              <w:ind w:right="-1"/>
              <w:rPr>
                <w:rFonts w:cs="Arial"/>
                <w:szCs w:val="18"/>
                <w:lang w:val="en-GB"/>
              </w:rPr>
            </w:pPr>
          </w:p>
        </w:tc>
      </w:tr>
      <w:tr w:rsidR="00A6559E" w:rsidRPr="009378F0" w:rsidTr="00927976">
        <w:trPr>
          <w:trHeight w:val="315"/>
        </w:trPr>
        <w:tc>
          <w:tcPr>
            <w:tcW w:w="3756" w:type="dxa"/>
            <w:shd w:val="clear" w:color="auto" w:fill="FFFFFF"/>
          </w:tcPr>
          <w:p w:rsidR="00A6559E" w:rsidRPr="000161ED" w:rsidRDefault="00A6559E" w:rsidP="000E21FB">
            <w:pPr>
              <w:pStyle w:val="CETBodytext"/>
              <w:ind w:right="-1"/>
              <w:jc w:val="center"/>
              <w:rPr>
                <w:rFonts w:cs="Arial"/>
                <w:szCs w:val="18"/>
                <w:lang w:val="en-GB"/>
              </w:rPr>
            </w:pPr>
          </w:p>
          <w:p w:rsidR="00A6559E" w:rsidRPr="000161ED" w:rsidRDefault="00A6559E" w:rsidP="000E21FB">
            <w:pPr>
              <w:pStyle w:val="CETBodytext"/>
              <w:ind w:right="-1"/>
              <w:jc w:val="center"/>
              <w:rPr>
                <w:rFonts w:cs="Arial"/>
                <w:szCs w:val="18"/>
                <w:lang w:val="en-GB"/>
              </w:rPr>
            </w:pPr>
            <w:r w:rsidRPr="003F0397">
              <w:rPr>
                <w:rFonts w:cs="Arial"/>
                <w:szCs w:val="18"/>
                <w:lang w:val="en-GB"/>
              </w:rPr>
              <w:t>Control (distilled water)</w:t>
            </w:r>
          </w:p>
        </w:tc>
        <w:tc>
          <w:tcPr>
            <w:tcW w:w="624" w:type="dxa"/>
            <w:shd w:val="clear" w:color="auto" w:fill="FFFFFF"/>
          </w:tcPr>
          <w:p w:rsidR="00A6559E" w:rsidRPr="009378F0" w:rsidRDefault="00A6559E" w:rsidP="000E21FB">
            <w:pPr>
              <w:pStyle w:val="CETBodytext"/>
              <w:ind w:right="-1"/>
              <w:jc w:val="center"/>
              <w:rPr>
                <w:rFonts w:cs="Arial"/>
                <w:szCs w:val="18"/>
                <w:lang w:val="en-GB"/>
              </w:rPr>
            </w:pPr>
          </w:p>
        </w:tc>
        <w:tc>
          <w:tcPr>
            <w:tcW w:w="1668" w:type="dxa"/>
            <w:shd w:val="clear" w:color="auto" w:fill="FFFFFF"/>
          </w:tcPr>
          <w:p w:rsidR="00A6559E" w:rsidRPr="009378F0" w:rsidRDefault="00A6559E" w:rsidP="000E21FB">
            <w:pPr>
              <w:pStyle w:val="CETBodytext"/>
              <w:ind w:right="-1"/>
              <w:jc w:val="center"/>
              <w:rPr>
                <w:rFonts w:cs="Arial"/>
                <w:szCs w:val="18"/>
                <w:lang w:val="en-GB"/>
              </w:rPr>
            </w:pPr>
          </w:p>
        </w:tc>
        <w:tc>
          <w:tcPr>
            <w:tcW w:w="1668" w:type="dxa"/>
            <w:shd w:val="clear" w:color="auto" w:fill="FFFFFF"/>
          </w:tcPr>
          <w:p w:rsidR="00A6559E" w:rsidRDefault="00A6559E" w:rsidP="000E21FB">
            <w:pPr>
              <w:pStyle w:val="CETBodytext"/>
              <w:ind w:right="-1"/>
              <w:jc w:val="center"/>
              <w:rPr>
                <w:rFonts w:cs="Arial"/>
                <w:szCs w:val="18"/>
                <w:lang w:val="en-GB"/>
              </w:rPr>
            </w:pPr>
          </w:p>
          <w:p w:rsidR="00A6559E" w:rsidRPr="009378F0" w:rsidRDefault="00A6559E" w:rsidP="000E21FB">
            <w:pPr>
              <w:pStyle w:val="CETBodytext"/>
              <w:ind w:right="-1"/>
              <w:jc w:val="center"/>
              <w:rPr>
                <w:rFonts w:cs="Arial"/>
                <w:szCs w:val="18"/>
                <w:lang w:val="en-GB"/>
              </w:rPr>
            </w:pPr>
            <w:r>
              <w:rPr>
                <w:rFonts w:cs="Arial"/>
                <w:szCs w:val="18"/>
                <w:lang w:val="en-GB"/>
              </w:rPr>
              <w:t>-</w:t>
            </w:r>
          </w:p>
        </w:tc>
        <w:tc>
          <w:tcPr>
            <w:tcW w:w="626" w:type="dxa"/>
            <w:shd w:val="clear" w:color="auto" w:fill="FFFFFF"/>
          </w:tcPr>
          <w:p w:rsidR="00A6559E" w:rsidRPr="009378F0" w:rsidRDefault="00A6559E" w:rsidP="000E21FB">
            <w:pPr>
              <w:pStyle w:val="CETBodytext"/>
              <w:ind w:right="-1"/>
              <w:jc w:val="center"/>
              <w:rPr>
                <w:rFonts w:cs="Arial"/>
                <w:szCs w:val="18"/>
                <w:lang w:val="en-GB"/>
              </w:rPr>
            </w:pPr>
          </w:p>
        </w:tc>
        <w:tc>
          <w:tcPr>
            <w:tcW w:w="29" w:type="dxa"/>
            <w:shd w:val="clear" w:color="auto" w:fill="FFFFFF"/>
          </w:tcPr>
          <w:p w:rsidR="00A6559E" w:rsidRPr="009378F0" w:rsidRDefault="00A6559E" w:rsidP="000E21FB">
            <w:pPr>
              <w:pStyle w:val="CETBodytext"/>
              <w:ind w:right="-1"/>
              <w:rPr>
                <w:rFonts w:cs="Arial"/>
                <w:szCs w:val="18"/>
                <w:lang w:val="en-GB"/>
              </w:rPr>
            </w:pPr>
          </w:p>
        </w:tc>
      </w:tr>
    </w:tbl>
    <w:p w:rsidR="00A6559E" w:rsidRDefault="00A6559E" w:rsidP="00E45A99">
      <w:pPr>
        <w:pStyle w:val="CETBodytext"/>
        <w:rPr>
          <w:lang w:val="en-GB"/>
        </w:rPr>
      </w:pPr>
    </w:p>
    <w:p w:rsidR="00A6559E" w:rsidRDefault="009C67DA" w:rsidP="009C67DA">
      <w:pPr>
        <w:pStyle w:val="CETBodytext"/>
        <w:jc w:val="center"/>
        <w:rPr>
          <w:lang w:val="en-GB"/>
        </w:rPr>
      </w:pPr>
      <w:r w:rsidRPr="003F5B7C">
        <w:rPr>
          <w:noProof/>
          <w:lang w:val="it-IT" w:eastAsia="it-IT"/>
        </w:rPr>
        <w:drawing>
          <wp:inline distT="0" distB="0" distL="0" distR="0">
            <wp:extent cx="3781425" cy="1800225"/>
            <wp:effectExtent l="0" t="0" r="9525" b="9525"/>
            <wp:docPr id="7" name="Imagem 7" descr="C:\Users\Fabiola\Desktop\CONGRESSOS 2017-2018\fotos IBIC\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Fabiola\Desktop\CONGRESSOS 2017-2018\fotos IBIC\Sem títu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1800225"/>
                    </a:xfrm>
                    <a:prstGeom prst="rect">
                      <a:avLst/>
                    </a:prstGeom>
                    <a:noFill/>
                    <a:ln>
                      <a:noFill/>
                    </a:ln>
                  </pic:spPr>
                </pic:pic>
              </a:graphicData>
            </a:graphic>
          </wp:inline>
        </w:drawing>
      </w:r>
    </w:p>
    <w:p w:rsidR="009C67DA" w:rsidRDefault="009C67DA" w:rsidP="00E45A99">
      <w:pPr>
        <w:pStyle w:val="CETBodytext"/>
        <w:rPr>
          <w:lang w:val="en-GB"/>
        </w:rPr>
      </w:pPr>
    </w:p>
    <w:p w:rsidR="00E45A99" w:rsidRPr="008C38E3" w:rsidRDefault="009C67DA" w:rsidP="008C38E3">
      <w:pPr>
        <w:pStyle w:val="CETBodytext"/>
        <w:jc w:val="center"/>
        <w:rPr>
          <w:i/>
          <w:lang w:val="en-GB"/>
        </w:rPr>
      </w:pPr>
      <w:r>
        <w:rPr>
          <w:i/>
          <w:lang w:val="en-GB"/>
        </w:rPr>
        <w:t>Figure 3:</w:t>
      </w:r>
      <w:r w:rsidRPr="00155D00">
        <w:t xml:space="preserve"> </w:t>
      </w:r>
      <w:r>
        <w:rPr>
          <w:i/>
          <w:lang w:val="en-GB"/>
        </w:rPr>
        <w:t>I</w:t>
      </w:r>
      <w:r w:rsidRPr="00155D00">
        <w:rPr>
          <w:i/>
          <w:lang w:val="en-GB"/>
        </w:rPr>
        <w:t>llustration of motor oil removal test on solid surface</w:t>
      </w:r>
    </w:p>
    <w:p w:rsidR="004F0CDF" w:rsidRDefault="009C67DA" w:rsidP="004F0CDF">
      <w:pPr>
        <w:pStyle w:val="CETHeading1"/>
        <w:rPr>
          <w:lang w:val="en-GB"/>
        </w:rPr>
      </w:pPr>
      <w:r w:rsidRPr="009C67DA">
        <w:rPr>
          <w:lang w:val="en-GB"/>
        </w:rPr>
        <w:lastRenderedPageBreak/>
        <w:t>Conclusions</w:t>
      </w:r>
    </w:p>
    <w:p w:rsidR="004F0CDF" w:rsidRDefault="00927976" w:rsidP="00290497">
      <w:pPr>
        <w:pStyle w:val="CETHeading1"/>
        <w:numPr>
          <w:ilvl w:val="0"/>
          <w:numId w:val="0"/>
        </w:numPr>
        <w:jc w:val="both"/>
        <w:rPr>
          <w:b w:val="0"/>
        </w:rPr>
      </w:pPr>
      <w:r w:rsidRPr="004F0CDF">
        <w:rPr>
          <w:b w:val="0"/>
        </w:rPr>
        <w:t xml:space="preserve">The biosurfactants produced by </w:t>
      </w:r>
      <w:r w:rsidRPr="004F0CDF">
        <w:rPr>
          <w:b w:val="0"/>
          <w:i/>
        </w:rPr>
        <w:t>Artocarpus heterophyllus</w:t>
      </w:r>
      <w:r w:rsidRPr="004F0CDF">
        <w:rPr>
          <w:b w:val="0"/>
        </w:rPr>
        <w:t xml:space="preserve"> can be considered an potential alternatives to be applied in the industry of hygiene to remediation of environments contaminated by oil and oil products. The physicochemical characteristics of the biosurfactant obtained confirmed their tensoactive and emulsifying properties, and consequently their potential for use in formulation of natural detergent for industrial and environmental applications. </w:t>
      </w:r>
    </w:p>
    <w:p w:rsidR="00927976" w:rsidRPr="004F0CDF" w:rsidRDefault="00927976" w:rsidP="004F0CDF">
      <w:pPr>
        <w:pStyle w:val="CETHeading1"/>
        <w:numPr>
          <w:ilvl w:val="0"/>
          <w:numId w:val="0"/>
        </w:numPr>
        <w:rPr>
          <w:lang w:val="en-GB"/>
        </w:rPr>
      </w:pPr>
      <w:r w:rsidRPr="009378F0">
        <w:t xml:space="preserve">Acknowledgments </w:t>
      </w:r>
    </w:p>
    <w:p w:rsidR="00927976" w:rsidRDefault="00927976" w:rsidP="004F0CDF">
      <w:pPr>
        <w:pStyle w:val="CETBodytext"/>
        <w:rPr>
          <w:lang w:val="en-GB"/>
        </w:rPr>
      </w:pPr>
      <w:r w:rsidRPr="00417FAB">
        <w:rPr>
          <w:lang w:val="en-GB"/>
        </w:rPr>
        <w:t>This study was funded by the Foundation for the Support of Science and Technology of the State of</w:t>
      </w:r>
      <w:r>
        <w:rPr>
          <w:lang w:val="en-GB"/>
        </w:rPr>
        <w:t xml:space="preserve"> </w:t>
      </w:r>
      <w:r w:rsidRPr="00417FAB">
        <w:rPr>
          <w:lang w:val="en-GB"/>
        </w:rPr>
        <w:t>Pernambuco (FACEPE), the Research and Development Program from National A</w:t>
      </w:r>
      <w:r>
        <w:rPr>
          <w:lang w:val="en-GB"/>
        </w:rPr>
        <w:t xml:space="preserve">gency of Electrical Energy </w:t>
      </w:r>
      <w:r w:rsidRPr="00417FAB">
        <w:rPr>
          <w:lang w:val="en-GB"/>
        </w:rPr>
        <w:t>(ANEEL) and Electrical Central of Paraíba (EPASA), the National Council f</w:t>
      </w:r>
      <w:r>
        <w:rPr>
          <w:lang w:val="en-GB"/>
        </w:rPr>
        <w:t xml:space="preserve">or Scientific and Technological </w:t>
      </w:r>
      <w:r w:rsidRPr="00417FAB">
        <w:rPr>
          <w:lang w:val="en-GB"/>
        </w:rPr>
        <w:t>Development (CNPq), and the Coordination for the Improvement of H</w:t>
      </w:r>
      <w:r>
        <w:rPr>
          <w:lang w:val="en-GB"/>
        </w:rPr>
        <w:t xml:space="preserve">igher Level Education Personnel </w:t>
      </w:r>
      <w:r w:rsidRPr="00417FAB">
        <w:rPr>
          <w:lang w:val="en-GB"/>
        </w:rPr>
        <w:t>(CAPES). The authors are grateful to the laboratories of the Centre for</w:t>
      </w:r>
      <w:r>
        <w:rPr>
          <w:lang w:val="en-GB"/>
        </w:rPr>
        <w:t xml:space="preserve"> Sciences and Technology of the </w:t>
      </w:r>
      <w:r w:rsidRPr="00417FAB">
        <w:rPr>
          <w:lang w:val="en-GB"/>
        </w:rPr>
        <w:t xml:space="preserve">Universidade Católica de Pernambuco, Brazil. </w:t>
      </w:r>
    </w:p>
    <w:p w:rsidR="00927976" w:rsidRPr="009378F0" w:rsidRDefault="00927976" w:rsidP="004F0CDF">
      <w:pPr>
        <w:pStyle w:val="CETReference"/>
      </w:pPr>
      <w:r w:rsidRPr="009378F0">
        <w:t xml:space="preserve">Reference </w:t>
      </w:r>
    </w:p>
    <w:p w:rsidR="00927976" w:rsidRDefault="00927976" w:rsidP="000C605B">
      <w:pPr>
        <w:pStyle w:val="CETReference-text"/>
        <w:ind w:left="0" w:firstLine="0"/>
      </w:pPr>
      <w:r>
        <w:t>Banat,</w:t>
      </w:r>
      <w:r w:rsidRPr="00EE1BBB">
        <w:t xml:space="preserve"> I. M., 2010, Microbial biosurfactants production, applications, Appl. Microbiol. Biotechnol. 87, 427- 444.</w:t>
      </w:r>
    </w:p>
    <w:p w:rsidR="00927976" w:rsidRDefault="00927976" w:rsidP="000C605B">
      <w:pPr>
        <w:pStyle w:val="CETReference-text"/>
        <w:ind w:left="0" w:firstLine="0"/>
      </w:pPr>
      <w:r w:rsidRPr="00A34719">
        <w:t>Brasileiro, P.P.F., Meira, H.M., Luna, J.M., Rufino, R.D., Santos, V.A., Sarubbo, L.A., 2016, Oil Bioremoval Prototype Controlled by Arduino Utilizing the Biosurfactant Produced by Candida Guilliermondii, Chemical Engineering Transactions, 49, 505</w:t>
      </w:r>
      <w:r>
        <w:t xml:space="preserve"> </w:t>
      </w:r>
      <w:r w:rsidRPr="00A34719">
        <w:t>-</w:t>
      </w:r>
      <w:r>
        <w:t xml:space="preserve"> </w:t>
      </w:r>
      <w:r w:rsidRPr="00A34719">
        <w:t>510, DOI: 10.3303/CET1649085.</w:t>
      </w:r>
    </w:p>
    <w:p w:rsidR="00927976" w:rsidRDefault="00927976" w:rsidP="000C605B">
      <w:pPr>
        <w:pStyle w:val="CETReference-text"/>
        <w:ind w:left="0" w:firstLine="0"/>
      </w:pPr>
      <w:r w:rsidRPr="00114163">
        <w:t>Luna J.M., Santos Filho A., Rufino R.D., Sarubbo L.A., 2016, Production of a biosurfactant from cândida bombicola URM 3718 for environmental applications, Chemical Engineering Transactions, 49, 583-588.</w:t>
      </w:r>
    </w:p>
    <w:p w:rsidR="00927976" w:rsidRDefault="00927976" w:rsidP="000C605B">
      <w:pPr>
        <w:pStyle w:val="CETReference-text"/>
        <w:ind w:left="0" w:firstLine="0"/>
      </w:pPr>
      <w:r w:rsidRPr="00483952">
        <w:t>Ma</w:t>
      </w:r>
      <w:r w:rsidR="001F42EC">
        <w:t>rkandea, A. R., Acharyab, S. R.,</w:t>
      </w:r>
      <w:r w:rsidRPr="00483952">
        <w:t xml:space="preserve"> Nerurkara, A. S.</w:t>
      </w:r>
      <w:r>
        <w:t>, 2013,</w:t>
      </w:r>
      <w:r w:rsidRPr="00483952">
        <w:t xml:space="preserve"> Physicochemical characterization of a thermostable glycoprotein bioemulsifier from Soli bacillus silvestris. Process Bioche</w:t>
      </w:r>
      <w:r>
        <w:t>mistry, 48, 1800 - 1808</w:t>
      </w:r>
      <w:r w:rsidRPr="00483952">
        <w:t>.</w:t>
      </w:r>
    </w:p>
    <w:p w:rsidR="00927976" w:rsidRDefault="00927976" w:rsidP="000C605B">
      <w:pPr>
        <w:pStyle w:val="CETReference-text"/>
        <w:ind w:left="0" w:firstLine="0"/>
      </w:pPr>
      <w:r w:rsidRPr="00EE1BBB">
        <w:t>Nagao E.</w:t>
      </w:r>
      <w:r w:rsidR="001F42EC">
        <w:t>,</w:t>
      </w:r>
      <w:r w:rsidRPr="00EE1BBB">
        <w:t xml:space="preserve"> Yamamoto A.</w:t>
      </w:r>
      <w:r w:rsidR="001F42EC">
        <w:t>,</w:t>
      </w:r>
      <w:r w:rsidRPr="00EE1BBB">
        <w:t xml:space="preserve"> Igarashi T.</w:t>
      </w:r>
      <w:r w:rsidR="001F42EC">
        <w:t>,</w:t>
      </w:r>
      <w:r w:rsidRPr="00EE1BBB">
        <w:t xml:space="preserve"> Goto N.</w:t>
      </w:r>
      <w:r w:rsidR="001F42EC">
        <w:t>,</w:t>
      </w:r>
      <w:r w:rsidRPr="00EE1BBB">
        <w:t xml:space="preserve"> Sasa R., 2000, Two distinct hemolysins in Trichomonas tenasx ATCC 30207. Oral Microbiol Immunol, 15,</w:t>
      </w:r>
      <w:r>
        <w:t xml:space="preserve"> </w:t>
      </w:r>
      <w:r w:rsidRPr="00EE1BBB">
        <w:t>.355</w:t>
      </w:r>
      <w:r>
        <w:t xml:space="preserve"> -</w:t>
      </w:r>
      <w:r w:rsidRPr="00EE1BBB">
        <w:t xml:space="preserve"> 359</w:t>
      </w:r>
      <w:r>
        <w:t>.</w:t>
      </w:r>
    </w:p>
    <w:p w:rsidR="00927976" w:rsidRDefault="00927976" w:rsidP="000C605B">
      <w:pPr>
        <w:pStyle w:val="CETReference-text"/>
        <w:ind w:left="0" w:firstLine="0"/>
      </w:pPr>
      <w:r w:rsidRPr="00EE1BBB">
        <w:t>Coope</w:t>
      </w:r>
      <w:r>
        <w:t>r, D. G. and Goldenberg, B. G., 1987</w:t>
      </w:r>
      <w:r w:rsidRPr="00EE1BBB">
        <w:t>, Surface active agents from two Bacillus species. Appl Environ Microbiology, 53,</w:t>
      </w:r>
      <w:r>
        <w:t xml:space="preserve"> 224 - </w:t>
      </w:r>
      <w:r w:rsidRPr="00EE1BBB">
        <w:t>229</w:t>
      </w:r>
      <w:r>
        <w:t>.</w:t>
      </w:r>
    </w:p>
    <w:p w:rsidR="00927976" w:rsidRDefault="001F42EC" w:rsidP="000C605B">
      <w:pPr>
        <w:pStyle w:val="CETReference-text"/>
        <w:ind w:left="0" w:firstLine="0"/>
      </w:pPr>
      <w:r>
        <w:t>Tiquia, S. M.,</w:t>
      </w:r>
      <w:r w:rsidR="00927976" w:rsidRPr="00EE1BBB">
        <w:t xml:space="preserve"> </w:t>
      </w:r>
      <w:r>
        <w:t>Tam, N. F. Y.,</w:t>
      </w:r>
      <w:r w:rsidR="00927976">
        <w:t xml:space="preserve"> Hodgkiss, I. J., 1996,</w:t>
      </w:r>
      <w:r w:rsidR="00927976" w:rsidRPr="00EE1BBB">
        <w:t xml:space="preserve"> Effects os composting on phytotoxicity of spent pig-manure </w:t>
      </w:r>
      <w:r w:rsidR="00927976">
        <w:t>sawdust litter. Envir Pollution,</w:t>
      </w:r>
      <w:r w:rsidR="00927976" w:rsidRPr="00EE1BBB">
        <w:t xml:space="preserve"> </w:t>
      </w:r>
      <w:r w:rsidR="00927976">
        <w:t xml:space="preserve">3, </w:t>
      </w:r>
      <w:r w:rsidR="00927976" w:rsidRPr="00EE1BBB">
        <w:t>249</w:t>
      </w:r>
      <w:r w:rsidR="00927976">
        <w:t xml:space="preserve"> </w:t>
      </w:r>
      <w:r w:rsidR="00927976" w:rsidRPr="00EE1BBB">
        <w:t>-</w:t>
      </w:r>
      <w:r w:rsidR="00927976">
        <w:t xml:space="preserve"> </w:t>
      </w:r>
      <w:r w:rsidR="00927976" w:rsidRPr="00EE1BBB">
        <w:t>256.</w:t>
      </w:r>
    </w:p>
    <w:p w:rsidR="00927976" w:rsidRDefault="001F42EC" w:rsidP="000C605B">
      <w:pPr>
        <w:pStyle w:val="CETReference-text"/>
        <w:ind w:left="0" w:firstLine="0"/>
      </w:pPr>
      <w:r>
        <w:t>Rodrigues, L.,</w:t>
      </w:r>
      <w:r w:rsidR="00927976" w:rsidRPr="00EE1BBB">
        <w:t xml:space="preserve"> Banat, M. I</w:t>
      </w:r>
      <w:r w:rsidR="00A34F9C">
        <w:t>.,</w:t>
      </w:r>
      <w:r w:rsidR="00927976">
        <w:t xml:space="preserve"> Teixera, J and Oliveira, R., 2006,</w:t>
      </w:r>
      <w:r w:rsidR="00927976" w:rsidRPr="00EE1BBB">
        <w:t xml:space="preserve"> Biosurfactants: potential applications in medicine. J of Antimicro Chemoth, 57, 609</w:t>
      </w:r>
      <w:r w:rsidR="00927976">
        <w:t xml:space="preserve"> </w:t>
      </w:r>
      <w:r w:rsidR="00927976" w:rsidRPr="00EE1BBB">
        <w:t>-</w:t>
      </w:r>
      <w:r w:rsidR="00927976">
        <w:t xml:space="preserve"> </w:t>
      </w:r>
      <w:r w:rsidR="00927976" w:rsidRPr="00EE1BBB">
        <w:t>618.</w:t>
      </w:r>
    </w:p>
    <w:p w:rsidR="00927976" w:rsidRDefault="00927976" w:rsidP="000C605B">
      <w:pPr>
        <w:pStyle w:val="CETReference-text"/>
        <w:ind w:left="0" w:firstLine="0"/>
      </w:pPr>
      <w:r w:rsidRPr="000A5D9B">
        <w:t>Sarubbo L. A., Luna J. M., Rufino R. D., Farias C. B. B., Santos V. A., 2012, Production of Biosurfactants for Application in the Removal of Hydrophobic Contaminants Originated by the Petroleum Industry. Chemical Engineer</w:t>
      </w:r>
      <w:r>
        <w:t>ing Transactions, 27, 7 - 12, DOI</w:t>
      </w:r>
      <w:r w:rsidRPr="000A5D9B">
        <w:t>: 10.3303/CET1227002</w:t>
      </w:r>
    </w:p>
    <w:p w:rsidR="00927976" w:rsidRDefault="00927976" w:rsidP="000C605B">
      <w:pPr>
        <w:pStyle w:val="CETReference-text"/>
        <w:ind w:left="0" w:firstLine="0"/>
      </w:pPr>
      <w:r w:rsidRPr="00A34719">
        <w:t>Sarubbo L., Luna J., Rufino R., 2015, Application of a biosurfactant produced in low-cost substrates in the removal of hydrophobic contaminants, Chemical Engineering Transactions, 43, 295</w:t>
      </w:r>
      <w:r>
        <w:t xml:space="preserve"> </w:t>
      </w:r>
      <w:r w:rsidRPr="00A34719">
        <w:t>-</w:t>
      </w:r>
      <w:r>
        <w:t xml:space="preserve"> </w:t>
      </w:r>
      <w:r w:rsidRPr="00A34719">
        <w:t>300, DOI: 10.3303/CET1543050</w:t>
      </w:r>
    </w:p>
    <w:p w:rsidR="00927976" w:rsidRDefault="00927976" w:rsidP="000C605B">
      <w:pPr>
        <w:pStyle w:val="CETReference-text"/>
        <w:ind w:left="0" w:firstLine="0"/>
      </w:pPr>
      <w:r w:rsidRPr="009151E9">
        <w:t>Sarubbo, L</w:t>
      </w:r>
      <w:r>
        <w:t xml:space="preserve">. </w:t>
      </w:r>
      <w:r w:rsidR="00A34F9C">
        <w:t>A,</w:t>
      </w:r>
      <w:r w:rsidRPr="009151E9">
        <w:t xml:space="preserve"> Luna</w:t>
      </w:r>
      <w:r>
        <w:t>, J. M.</w:t>
      </w:r>
      <w:r w:rsidR="00A34F9C">
        <w:t>,</w:t>
      </w:r>
      <w:r w:rsidRPr="009151E9">
        <w:t xml:space="preserve"> Rufin</w:t>
      </w:r>
      <w:r w:rsidR="00A34F9C">
        <w:t>o, R. D.,</w:t>
      </w:r>
      <w:r>
        <w:t xml:space="preserve"> Brasileiro, P. P. F., 2016,</w:t>
      </w:r>
      <w:r w:rsidRPr="009151E9">
        <w:t xml:space="preserve"> Production of a Low-cost Biosurfactant for Application in the Remediation of Sea water Contaminated with Petroleum Derivates. Chemical Engineering Trans</w:t>
      </w:r>
      <w:r w:rsidR="00290497">
        <w:t>actions,</w:t>
      </w:r>
      <w:r>
        <w:t xml:space="preserve"> 49, 523 - 528</w:t>
      </w:r>
      <w:r w:rsidRPr="009151E9">
        <w:t>.</w:t>
      </w:r>
    </w:p>
    <w:p w:rsidR="00927976" w:rsidRDefault="00927976" w:rsidP="000C605B">
      <w:pPr>
        <w:pStyle w:val="CETReference-text"/>
        <w:ind w:left="0" w:firstLine="0"/>
      </w:pPr>
      <w:r w:rsidRPr="006E04F4">
        <w:t>Santos, Danyelle Khadydja</w:t>
      </w:r>
      <w:r>
        <w:t xml:space="preserve"> F.</w:t>
      </w:r>
      <w:r w:rsidR="00A34F9C">
        <w:t>,</w:t>
      </w:r>
      <w:r w:rsidRPr="006E04F4">
        <w:t xml:space="preserve"> Meira, Hugo </w:t>
      </w:r>
      <w:r w:rsidR="00A34F9C">
        <w:t>M., Rufino, Raquel D.,</w:t>
      </w:r>
      <w:r>
        <w:t xml:space="preserve"> Luna, Juliana M.</w:t>
      </w:r>
      <w:r w:rsidR="00A34F9C">
        <w:t>,</w:t>
      </w:r>
      <w:r w:rsidRPr="006E04F4">
        <w:t xml:space="preserve"> Sarubbo, Leonie A</w:t>
      </w:r>
      <w:r>
        <w:t>., 2017,</w:t>
      </w:r>
      <w:r w:rsidRPr="006E04F4">
        <w:t xml:space="preserve"> Biosurfactant production from Candida lipolytica in bioreactor and evaluation of its toxicity for application as a bioremediation ag</w:t>
      </w:r>
      <w:r>
        <w:t>ent. Process Biochemistry</w:t>
      </w:r>
      <w:r w:rsidRPr="006E04F4">
        <w:t>, 54, 20</w:t>
      </w:r>
      <w:r>
        <w:t xml:space="preserve"> </w:t>
      </w:r>
      <w:r w:rsidRPr="006E04F4">
        <w:t>-</w:t>
      </w:r>
      <w:r>
        <w:t xml:space="preserve"> </w:t>
      </w:r>
      <w:r w:rsidRPr="006E04F4">
        <w:t>27, 2017.</w:t>
      </w:r>
    </w:p>
    <w:p w:rsidR="00927976" w:rsidRDefault="00A34F9C" w:rsidP="000C605B">
      <w:pPr>
        <w:pStyle w:val="CETReference-text"/>
        <w:ind w:left="0" w:firstLine="0"/>
      </w:pPr>
      <w:r>
        <w:t>Souza, C. E., Vessoni-Penna, T. C.,</w:t>
      </w:r>
      <w:r w:rsidR="00927976" w:rsidRPr="00A34719">
        <w:t xml:space="preserve"> Oliveira, S. P. R.</w:t>
      </w:r>
      <w:r w:rsidR="00927976">
        <w:t>, 2014,</w:t>
      </w:r>
      <w:r w:rsidR="00927976" w:rsidRPr="00A34719">
        <w:t xml:space="preserve"> Biosurfactant-enhanced hydrocarbon bioremediation: An overview</w:t>
      </w:r>
      <w:r w:rsidR="00927976" w:rsidRPr="000D30CA">
        <w:t xml:space="preserve"> </w:t>
      </w:r>
      <w:r w:rsidR="00927976">
        <w:t>International B</w:t>
      </w:r>
      <w:r w:rsidR="00927976" w:rsidRPr="000D30CA">
        <w:t>iodeter</w:t>
      </w:r>
      <w:r w:rsidR="00927976">
        <w:t>ioration &amp; B</w:t>
      </w:r>
      <w:r w:rsidR="00927976" w:rsidRPr="000D30CA">
        <w:t>iodegradation</w:t>
      </w:r>
      <w:r w:rsidR="00927976">
        <w:t>, 89, 88 - 94</w:t>
      </w:r>
      <w:r w:rsidR="00927976" w:rsidRPr="00A34719">
        <w:t>.</w:t>
      </w:r>
    </w:p>
    <w:p w:rsidR="00BE6470" w:rsidRDefault="00A34F9C" w:rsidP="000C605B">
      <w:pPr>
        <w:pStyle w:val="CETReference-text"/>
        <w:ind w:left="0" w:firstLine="0"/>
      </w:pPr>
      <w:r>
        <w:t>Zhou, W., Wang, X., Chen, C.,</w:t>
      </w:r>
      <w:r w:rsidR="00BE6470" w:rsidRPr="00BE6470">
        <w:t xml:space="preserve"> Zhu, L. Enhanced soil washing of phenanthrene by a plant-derived natural biosurfactant, Sapindus saponin. Colloids and Surfaces A: Physicochem</w:t>
      </w:r>
      <w:r w:rsidR="00BE6470">
        <w:t xml:space="preserve">cal and Engineering Aspects, 425, </w:t>
      </w:r>
      <w:r w:rsidR="00BE6470" w:rsidRPr="00BE6470">
        <w:t xml:space="preserve"> 122– 128, 2013.</w:t>
      </w:r>
    </w:p>
    <w:p w:rsidR="00600535" w:rsidRPr="00B57B36" w:rsidRDefault="00600535" w:rsidP="009C67DA">
      <w:pPr>
        <w:pStyle w:val="CETHeading1"/>
        <w:numPr>
          <w:ilvl w:val="0"/>
          <w:numId w:val="0"/>
        </w:numPr>
        <w:tabs>
          <w:tab w:val="right" w:pos="7100"/>
        </w:tabs>
        <w:jc w:val="both"/>
        <w:rPr>
          <w:lang w:val="en-GB"/>
        </w:rPr>
      </w:pPr>
    </w:p>
    <w:p w:rsidR="006B4888" w:rsidRPr="000D56D6" w:rsidRDefault="006B4888" w:rsidP="006B4888">
      <w:pPr>
        <w:pStyle w:val="CETReferencetext"/>
      </w:pPr>
    </w:p>
    <w:p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76" w:rsidRDefault="00907676" w:rsidP="004F5E36">
      <w:r>
        <w:separator/>
      </w:r>
    </w:p>
  </w:endnote>
  <w:endnote w:type="continuationSeparator" w:id="0">
    <w:p w:rsidR="00907676" w:rsidRDefault="0090767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76" w:rsidRDefault="00907676" w:rsidP="004F5E36">
      <w:r>
        <w:separator/>
      </w:r>
    </w:p>
  </w:footnote>
  <w:footnote w:type="continuationSeparator" w:id="0">
    <w:p w:rsidR="00907676" w:rsidRDefault="0090767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1CB494D"/>
    <w:multiLevelType w:val="hybridMultilevel"/>
    <w:tmpl w:val="EC82C294"/>
    <w:lvl w:ilvl="0" w:tplc="2E4EBCA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A178FC"/>
    <w:multiLevelType w:val="hybridMultilevel"/>
    <w:tmpl w:val="984C0798"/>
    <w:lvl w:ilvl="0" w:tplc="5E52C3A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EC7130"/>
    <w:multiLevelType w:val="hybridMultilevel"/>
    <w:tmpl w:val="E4E491BA"/>
    <w:lvl w:ilvl="0" w:tplc="8620D93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1"/>
    <w:lvlOverride w:ilvl="0">
      <w:startOverride w:val="1"/>
    </w:lvlOverride>
    <w:lvlOverride w:ilvl="1">
      <w:startOverride w:val="1"/>
    </w:lvlOverride>
    <w:lvlOverride w:ilvl="2">
      <w:startOverride w:val="3"/>
    </w:lvlOverride>
  </w:num>
  <w:num w:numId="23">
    <w:abstractNumId w:val="14"/>
  </w:num>
  <w:num w:numId="24">
    <w:abstractNumId w:val="20"/>
  </w:num>
  <w:num w:numId="25">
    <w:abstractNumId w:val="10"/>
  </w:num>
  <w:num w:numId="26">
    <w:abstractNumId w:val="11"/>
    <w:lvlOverride w:ilvl="0">
      <w:startOverride w:val="1"/>
    </w:lvlOverride>
    <w:lvlOverride w:ilvl="1">
      <w:startOverride w:val="2"/>
    </w:lvlOverride>
    <w:lvlOverride w:ilvl="2">
      <w:startOverride w:val="10"/>
    </w:lvlOverride>
  </w:num>
  <w:num w:numId="27">
    <w:abstractNumId w:val="11"/>
    <w:lvlOverride w:ilvl="0">
      <w:startOverride w:val="1"/>
    </w:lvlOverride>
    <w:lvlOverride w:ilvl="1">
      <w:startOverride w:val="3"/>
    </w:lvlOverride>
  </w:num>
  <w:num w:numId="28">
    <w:abstractNumId w:val="11"/>
    <w:lvlOverride w:ilvl="0">
      <w:startOverride w:val="1"/>
    </w:lvlOverride>
    <w:lvlOverride w:ilvl="1">
      <w:startOverride w:val="2"/>
    </w:lvlOverride>
    <w:lvlOverride w:ilvl="2">
      <w:startOverride w:val="10"/>
    </w:lvlOverride>
  </w:num>
  <w:num w:numId="29">
    <w:abstractNumId w:val="11"/>
    <w:lvlOverride w:ilvl="0">
      <w:startOverride w:val="1"/>
    </w:lvlOverride>
    <w:lvlOverride w:ilvl="1">
      <w:startOverride w:val="2"/>
    </w:lvlOverride>
    <w:lvlOverride w:ilvl="2">
      <w:startOverride w:val="10"/>
    </w:lvlOverride>
  </w:num>
  <w:num w:numId="30">
    <w:abstractNumId w:val="11"/>
    <w:lvlOverride w:ilvl="0">
      <w:startOverride w:val="1"/>
    </w:lvlOverride>
    <w:lvlOverride w:ilvl="1">
      <w:startOverride w:val="2"/>
    </w:lvlOverride>
    <w:lvlOverride w:ilvl="2">
      <w:startOverride w:val="10"/>
    </w:lvlOverride>
  </w:num>
  <w:num w:numId="31">
    <w:abstractNumId w:val="11"/>
    <w:lvlOverride w:ilvl="0">
      <w:startOverride w:val="1"/>
    </w:lvlOverride>
    <w:lvlOverride w:ilvl="1">
      <w:startOverride w:val="2"/>
    </w:lvlOverride>
    <w:lvlOverride w:ilvl="2">
      <w:startOverride w:val="10"/>
    </w:lvlOverride>
  </w:num>
  <w:num w:numId="32">
    <w:abstractNumId w:val="11"/>
    <w:lvlOverride w:ilvl="0">
      <w:startOverride w:val="1"/>
    </w:lvlOverride>
    <w:lvlOverride w:ilvl="1">
      <w:startOverride w:val="2"/>
    </w:lvlOverride>
    <w:lvlOverride w:ilvl="2">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C605B"/>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42EC"/>
    <w:rsid w:val="001F7B9D"/>
    <w:rsid w:val="002224B4"/>
    <w:rsid w:val="002447EF"/>
    <w:rsid w:val="00251550"/>
    <w:rsid w:val="00252C1A"/>
    <w:rsid w:val="00263B05"/>
    <w:rsid w:val="0027221A"/>
    <w:rsid w:val="00275B61"/>
    <w:rsid w:val="00282656"/>
    <w:rsid w:val="00290497"/>
    <w:rsid w:val="00296B83"/>
    <w:rsid w:val="002B78CE"/>
    <w:rsid w:val="002C2FB6"/>
    <w:rsid w:val="002D5BCD"/>
    <w:rsid w:val="003009B7"/>
    <w:rsid w:val="00300E56"/>
    <w:rsid w:val="00302078"/>
    <w:rsid w:val="0030469C"/>
    <w:rsid w:val="00321CA6"/>
    <w:rsid w:val="003302AB"/>
    <w:rsid w:val="00334C09"/>
    <w:rsid w:val="003365E3"/>
    <w:rsid w:val="003723D4"/>
    <w:rsid w:val="00376E64"/>
    <w:rsid w:val="00384CC8"/>
    <w:rsid w:val="003871FD"/>
    <w:rsid w:val="003A1E30"/>
    <w:rsid w:val="003A7D1C"/>
    <w:rsid w:val="003B304B"/>
    <w:rsid w:val="003B3146"/>
    <w:rsid w:val="003B60F3"/>
    <w:rsid w:val="003C0A9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0CDF"/>
    <w:rsid w:val="004F5E36"/>
    <w:rsid w:val="00507B47"/>
    <w:rsid w:val="00507CC9"/>
    <w:rsid w:val="005119A5"/>
    <w:rsid w:val="005278B7"/>
    <w:rsid w:val="00532016"/>
    <w:rsid w:val="005346C8"/>
    <w:rsid w:val="00537B4B"/>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81C37"/>
    <w:rsid w:val="00693766"/>
    <w:rsid w:val="006A3281"/>
    <w:rsid w:val="006B4888"/>
    <w:rsid w:val="006C2E45"/>
    <w:rsid w:val="006C359C"/>
    <w:rsid w:val="006C5579"/>
    <w:rsid w:val="006D30CC"/>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35588"/>
    <w:rsid w:val="00865B07"/>
    <w:rsid w:val="008667EA"/>
    <w:rsid w:val="0087637F"/>
    <w:rsid w:val="008904B9"/>
    <w:rsid w:val="00892AD5"/>
    <w:rsid w:val="008A1512"/>
    <w:rsid w:val="008C38E3"/>
    <w:rsid w:val="008C78C1"/>
    <w:rsid w:val="008D32B9"/>
    <w:rsid w:val="008D433B"/>
    <w:rsid w:val="008E566E"/>
    <w:rsid w:val="0090161A"/>
    <w:rsid w:val="00901EB6"/>
    <w:rsid w:val="00904C62"/>
    <w:rsid w:val="00907676"/>
    <w:rsid w:val="00924DAC"/>
    <w:rsid w:val="00927058"/>
    <w:rsid w:val="00927976"/>
    <w:rsid w:val="00933514"/>
    <w:rsid w:val="009450CE"/>
    <w:rsid w:val="00947179"/>
    <w:rsid w:val="0095164B"/>
    <w:rsid w:val="00954090"/>
    <w:rsid w:val="009573E7"/>
    <w:rsid w:val="009635B9"/>
    <w:rsid w:val="00963E05"/>
    <w:rsid w:val="00967D54"/>
    <w:rsid w:val="00996483"/>
    <w:rsid w:val="00996F5A"/>
    <w:rsid w:val="009A0A3E"/>
    <w:rsid w:val="009A1FF8"/>
    <w:rsid w:val="009B041A"/>
    <w:rsid w:val="009C4BF4"/>
    <w:rsid w:val="009C67DA"/>
    <w:rsid w:val="009C7C86"/>
    <w:rsid w:val="009D2FF7"/>
    <w:rsid w:val="009E7884"/>
    <w:rsid w:val="009E788A"/>
    <w:rsid w:val="009F0E08"/>
    <w:rsid w:val="00A1763D"/>
    <w:rsid w:val="00A17CEC"/>
    <w:rsid w:val="00A24A87"/>
    <w:rsid w:val="00A27EF0"/>
    <w:rsid w:val="00A34F9C"/>
    <w:rsid w:val="00A50B20"/>
    <w:rsid w:val="00A51390"/>
    <w:rsid w:val="00A60D13"/>
    <w:rsid w:val="00A6559E"/>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B5875"/>
    <w:rsid w:val="00BC248E"/>
    <w:rsid w:val="00BC30C9"/>
    <w:rsid w:val="00BE3E58"/>
    <w:rsid w:val="00BE6470"/>
    <w:rsid w:val="00C01616"/>
    <w:rsid w:val="00C0162B"/>
    <w:rsid w:val="00C345B1"/>
    <w:rsid w:val="00C40142"/>
    <w:rsid w:val="00C523FF"/>
    <w:rsid w:val="00C5648A"/>
    <w:rsid w:val="00C57182"/>
    <w:rsid w:val="00C57863"/>
    <w:rsid w:val="00C655FD"/>
    <w:rsid w:val="00C870A8"/>
    <w:rsid w:val="00C92145"/>
    <w:rsid w:val="00C94434"/>
    <w:rsid w:val="00CA0D75"/>
    <w:rsid w:val="00CA1C95"/>
    <w:rsid w:val="00CA5A9C"/>
    <w:rsid w:val="00CD3517"/>
    <w:rsid w:val="00CD5A00"/>
    <w:rsid w:val="00CD5FE2"/>
    <w:rsid w:val="00CE7C68"/>
    <w:rsid w:val="00D02B4C"/>
    <w:rsid w:val="00D040C4"/>
    <w:rsid w:val="00D57C84"/>
    <w:rsid w:val="00D6057D"/>
    <w:rsid w:val="00D60618"/>
    <w:rsid w:val="00D84576"/>
    <w:rsid w:val="00DA1399"/>
    <w:rsid w:val="00DA24C6"/>
    <w:rsid w:val="00DA4D7B"/>
    <w:rsid w:val="00DE264A"/>
    <w:rsid w:val="00E02A9F"/>
    <w:rsid w:val="00E02D18"/>
    <w:rsid w:val="00E041E7"/>
    <w:rsid w:val="00E23CA1"/>
    <w:rsid w:val="00E26995"/>
    <w:rsid w:val="00E409A8"/>
    <w:rsid w:val="00E45A99"/>
    <w:rsid w:val="00E50C12"/>
    <w:rsid w:val="00E65B91"/>
    <w:rsid w:val="00E7209D"/>
    <w:rsid w:val="00E723AD"/>
    <w:rsid w:val="00E77223"/>
    <w:rsid w:val="00E8528B"/>
    <w:rsid w:val="00E85B94"/>
    <w:rsid w:val="00E978D0"/>
    <w:rsid w:val="00EA4613"/>
    <w:rsid w:val="00EA7F91"/>
    <w:rsid w:val="00EB1523"/>
    <w:rsid w:val="00EC0E49"/>
    <w:rsid w:val="00EE0131"/>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81C37"/>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table-title">
    <w:name w:val="CET-table-title"/>
    <w:rsid w:val="00E45A99"/>
    <w:pPr>
      <w:keepNext/>
      <w:spacing w:before="240" w:after="80" w:line="240" w:lineRule="exact"/>
    </w:pPr>
    <w:rPr>
      <w:rFonts w:ascii="Arial" w:eastAsia="Times New Roman" w:hAnsi="Arial" w:cs="Times New Roman"/>
      <w:i/>
      <w:sz w:val="18"/>
      <w:szCs w:val="20"/>
      <w:lang w:val="en-US"/>
    </w:rPr>
  </w:style>
  <w:style w:type="paragraph" w:customStyle="1" w:styleId="CETAcknowledgements">
    <w:name w:val="CET_Acknowledgements"/>
    <w:next w:val="CETBodytext"/>
    <w:qFormat/>
    <w:rsid w:val="00927976"/>
    <w:pPr>
      <w:spacing w:before="200" w:after="120"/>
    </w:pPr>
    <w:rPr>
      <w:rFonts w:ascii="Arial" w:eastAsia="Times New Roman" w:hAnsi="Arial" w:cs="Times New Roman"/>
      <w:b/>
      <w:sz w:val="18"/>
      <w:szCs w:val="20"/>
      <w:lang w:val="en-GB"/>
    </w:rPr>
  </w:style>
  <w:style w:type="paragraph" w:customStyle="1" w:styleId="CETReference-text">
    <w:name w:val="CET Reference-text"/>
    <w:rsid w:val="00927976"/>
    <w:pPr>
      <w:spacing w:after="0" w:line="264" w:lineRule="auto"/>
      <w:ind w:left="284" w:hanging="284"/>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A27C-1F45-45DD-919F-3763B9D8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3071</Words>
  <Characters>17507</Characters>
  <Application>Microsoft Office Word</Application>
  <DocSecurity>0</DocSecurity>
  <Lines>145</Lines>
  <Paragraphs>41</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9</cp:revision>
  <cp:lastPrinted>2019-01-17T17:54:00Z</cp:lastPrinted>
  <dcterms:created xsi:type="dcterms:W3CDTF">2019-04-09T00:34:00Z</dcterms:created>
  <dcterms:modified xsi:type="dcterms:W3CDTF">2019-05-12T12:13:00Z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