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9F57CF" w:rsidTr="005D079B">
        <w:trPr>
          <w:trHeight w:val="852"/>
          <w:jc w:val="center"/>
        </w:trPr>
        <w:tc>
          <w:tcPr>
            <w:tcW w:w="6940" w:type="dxa"/>
            <w:vMerge w:val="restart"/>
            <w:tcBorders>
              <w:right w:val="single" w:sz="4" w:space="0" w:color="auto"/>
            </w:tcBorders>
          </w:tcPr>
          <w:p w:rsidR="000A03B2" w:rsidRPr="009F57CF" w:rsidRDefault="000A03B2" w:rsidP="00DE264A">
            <w:pPr>
              <w:tabs>
                <w:tab w:val="left" w:pos="-108"/>
              </w:tabs>
              <w:ind w:left="-108"/>
              <w:jc w:val="left"/>
              <w:rPr>
                <w:rFonts w:cs="Arial"/>
                <w:b/>
                <w:bCs/>
                <w:i/>
                <w:iCs/>
                <w:color w:val="000066"/>
                <w:sz w:val="12"/>
                <w:szCs w:val="12"/>
                <w:lang w:eastAsia="it-IT"/>
              </w:rPr>
            </w:pPr>
            <w:r w:rsidRPr="009F57CF">
              <w:rPr>
                <w:rFonts w:ascii="AdvP6960" w:hAnsi="AdvP6960" w:cs="AdvP6960"/>
                <w:noProof/>
                <w:color w:val="241F20"/>
                <w:szCs w:val="18"/>
                <w:lang w:val="en-US"/>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9F57CF">
              <w:rPr>
                <w:rFonts w:ascii="AdvP6960" w:hAnsi="AdvP6960" w:cs="AdvP6960"/>
                <w:color w:val="241F20"/>
                <w:szCs w:val="18"/>
                <w:lang w:eastAsia="it-IT"/>
              </w:rPr>
              <w:t xml:space="preserve"> </w:t>
            </w:r>
            <w:r w:rsidRPr="009F57CF">
              <w:rPr>
                <w:rFonts w:cs="Arial"/>
                <w:b/>
                <w:bCs/>
                <w:i/>
                <w:iCs/>
                <w:color w:val="000066"/>
                <w:sz w:val="24"/>
                <w:szCs w:val="24"/>
                <w:lang w:eastAsia="it-IT"/>
              </w:rPr>
              <w:t>CHEMICAL ENGINEERING</w:t>
            </w:r>
            <w:r w:rsidRPr="009F57CF">
              <w:rPr>
                <w:rFonts w:cs="Arial"/>
                <w:b/>
                <w:bCs/>
                <w:i/>
                <w:iCs/>
                <w:color w:val="0033FF"/>
                <w:sz w:val="24"/>
                <w:szCs w:val="24"/>
                <w:lang w:eastAsia="it-IT"/>
              </w:rPr>
              <w:t xml:space="preserve"> </w:t>
            </w:r>
            <w:r w:rsidRPr="009F57CF">
              <w:rPr>
                <w:rFonts w:cs="Arial"/>
                <w:b/>
                <w:bCs/>
                <w:i/>
                <w:iCs/>
                <w:color w:val="666666"/>
                <w:sz w:val="24"/>
                <w:szCs w:val="24"/>
                <w:lang w:eastAsia="it-IT"/>
              </w:rPr>
              <w:t>TRANSACTIONS</w:t>
            </w:r>
            <w:r w:rsidRPr="009F57CF">
              <w:rPr>
                <w:color w:val="333333"/>
                <w:sz w:val="24"/>
                <w:szCs w:val="24"/>
                <w:lang w:eastAsia="it-IT"/>
              </w:rPr>
              <w:t xml:space="preserve"> </w:t>
            </w:r>
            <w:r w:rsidRPr="009F57CF">
              <w:rPr>
                <w:rFonts w:cs="Arial"/>
                <w:b/>
                <w:bCs/>
                <w:i/>
                <w:iCs/>
                <w:color w:val="000066"/>
                <w:sz w:val="27"/>
                <w:szCs w:val="27"/>
                <w:lang w:eastAsia="it-IT"/>
              </w:rPr>
              <w:br/>
            </w:r>
          </w:p>
          <w:p w:rsidR="000A03B2" w:rsidRPr="009F57CF" w:rsidRDefault="00A76EFC" w:rsidP="009635B9">
            <w:pPr>
              <w:tabs>
                <w:tab w:val="left" w:pos="-108"/>
              </w:tabs>
              <w:ind w:left="-108"/>
              <w:rPr>
                <w:rFonts w:cs="Arial"/>
                <w:b/>
                <w:bCs/>
                <w:i/>
                <w:iCs/>
                <w:color w:val="000066"/>
                <w:sz w:val="22"/>
                <w:szCs w:val="22"/>
                <w:lang w:eastAsia="it-IT"/>
              </w:rPr>
            </w:pPr>
            <w:r w:rsidRPr="009F57CF">
              <w:rPr>
                <w:rFonts w:cs="Arial"/>
                <w:b/>
                <w:bCs/>
                <w:i/>
                <w:iCs/>
                <w:color w:val="000066"/>
                <w:sz w:val="22"/>
                <w:szCs w:val="22"/>
                <w:lang w:eastAsia="it-IT"/>
              </w:rPr>
              <w:t xml:space="preserve">VOL. </w:t>
            </w:r>
            <w:r w:rsidR="007931FA" w:rsidRPr="009F57CF">
              <w:rPr>
                <w:rFonts w:cs="Arial"/>
                <w:b/>
                <w:bCs/>
                <w:i/>
                <w:iCs/>
                <w:color w:val="000066"/>
                <w:sz w:val="22"/>
                <w:szCs w:val="22"/>
                <w:lang w:eastAsia="it-IT"/>
              </w:rPr>
              <w:t>7</w:t>
            </w:r>
            <w:r w:rsidR="009635B9" w:rsidRPr="009F57CF">
              <w:rPr>
                <w:rFonts w:cs="Arial"/>
                <w:b/>
                <w:bCs/>
                <w:i/>
                <w:iCs/>
                <w:color w:val="000066"/>
                <w:sz w:val="22"/>
                <w:szCs w:val="22"/>
                <w:lang w:eastAsia="it-IT"/>
              </w:rPr>
              <w:t>6</w:t>
            </w:r>
            <w:r w:rsidR="00FA5F5F" w:rsidRPr="009F57CF">
              <w:rPr>
                <w:rFonts w:cs="Arial"/>
                <w:b/>
                <w:bCs/>
                <w:i/>
                <w:iCs/>
                <w:color w:val="000066"/>
                <w:sz w:val="22"/>
                <w:szCs w:val="22"/>
                <w:lang w:eastAsia="it-IT"/>
              </w:rPr>
              <w:t>, 201</w:t>
            </w:r>
            <w:r w:rsidR="007931FA" w:rsidRPr="009F57CF">
              <w:rPr>
                <w:rFonts w:cs="Arial"/>
                <w:b/>
                <w:bCs/>
                <w:i/>
                <w:iCs/>
                <w:color w:val="000066"/>
                <w:sz w:val="22"/>
                <w:szCs w:val="22"/>
                <w:lang w:eastAsia="it-IT"/>
              </w:rPr>
              <w:t>9</w:t>
            </w:r>
          </w:p>
        </w:tc>
        <w:tc>
          <w:tcPr>
            <w:tcW w:w="1842" w:type="dxa"/>
            <w:tcBorders>
              <w:left w:val="single" w:sz="4" w:space="0" w:color="auto"/>
              <w:bottom w:val="nil"/>
              <w:right w:val="single" w:sz="4" w:space="0" w:color="auto"/>
            </w:tcBorders>
          </w:tcPr>
          <w:p w:rsidR="000A03B2" w:rsidRPr="009F57CF" w:rsidRDefault="000A03B2" w:rsidP="00CD5FE2">
            <w:pPr>
              <w:spacing w:line="140" w:lineRule="atLeast"/>
              <w:jc w:val="right"/>
              <w:rPr>
                <w:rFonts w:cs="Arial"/>
                <w:sz w:val="14"/>
                <w:szCs w:val="14"/>
              </w:rPr>
            </w:pPr>
            <w:r w:rsidRPr="009F57CF">
              <w:rPr>
                <w:rFonts w:cs="Arial"/>
                <w:sz w:val="14"/>
                <w:szCs w:val="14"/>
              </w:rPr>
              <w:t>A publication of</w:t>
            </w:r>
          </w:p>
          <w:p w:rsidR="000A03B2" w:rsidRPr="009F57CF" w:rsidRDefault="000A03B2" w:rsidP="00CD5FE2">
            <w:pPr>
              <w:jc w:val="right"/>
            </w:pPr>
            <w:r w:rsidRPr="009F57CF">
              <w:rPr>
                <w:noProof/>
                <w:lang w:val="en-US"/>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9F57CF" w:rsidTr="005D079B">
        <w:trPr>
          <w:trHeight w:val="567"/>
          <w:jc w:val="center"/>
        </w:trPr>
        <w:tc>
          <w:tcPr>
            <w:tcW w:w="6940" w:type="dxa"/>
            <w:vMerge/>
            <w:tcBorders>
              <w:right w:val="single" w:sz="4" w:space="0" w:color="auto"/>
            </w:tcBorders>
          </w:tcPr>
          <w:p w:rsidR="000A03B2" w:rsidRPr="009F57CF" w:rsidRDefault="000A03B2" w:rsidP="00CD5FE2">
            <w:pPr>
              <w:tabs>
                <w:tab w:val="left" w:pos="-108"/>
              </w:tabs>
            </w:pPr>
          </w:p>
        </w:tc>
        <w:tc>
          <w:tcPr>
            <w:tcW w:w="1842" w:type="dxa"/>
            <w:tcBorders>
              <w:left w:val="single" w:sz="4" w:space="0" w:color="auto"/>
              <w:bottom w:val="nil"/>
              <w:right w:val="single" w:sz="4" w:space="0" w:color="auto"/>
            </w:tcBorders>
          </w:tcPr>
          <w:p w:rsidR="000A03B2" w:rsidRPr="009F57CF" w:rsidRDefault="000A03B2" w:rsidP="00CD5FE2">
            <w:pPr>
              <w:spacing w:line="140" w:lineRule="atLeast"/>
              <w:jc w:val="right"/>
              <w:rPr>
                <w:rFonts w:cs="Arial"/>
                <w:sz w:val="14"/>
                <w:szCs w:val="14"/>
              </w:rPr>
            </w:pPr>
            <w:r w:rsidRPr="009F57CF">
              <w:rPr>
                <w:rFonts w:cs="Arial"/>
                <w:sz w:val="14"/>
                <w:szCs w:val="14"/>
              </w:rPr>
              <w:t>The Italian Association</w:t>
            </w:r>
          </w:p>
          <w:p w:rsidR="000A03B2" w:rsidRPr="009F57CF" w:rsidRDefault="000A03B2" w:rsidP="00CD5FE2">
            <w:pPr>
              <w:spacing w:line="140" w:lineRule="atLeast"/>
              <w:jc w:val="right"/>
              <w:rPr>
                <w:rFonts w:cs="Arial"/>
                <w:sz w:val="14"/>
                <w:szCs w:val="14"/>
              </w:rPr>
            </w:pPr>
            <w:r w:rsidRPr="009F57CF">
              <w:rPr>
                <w:rFonts w:cs="Arial"/>
                <w:sz w:val="14"/>
                <w:szCs w:val="14"/>
              </w:rPr>
              <w:t>of Chemical Engineering</w:t>
            </w:r>
          </w:p>
          <w:p w:rsidR="000A03B2" w:rsidRPr="009F57CF" w:rsidRDefault="000A03B2" w:rsidP="00CD5FE2">
            <w:pPr>
              <w:spacing w:line="140" w:lineRule="atLeast"/>
              <w:jc w:val="right"/>
              <w:rPr>
                <w:rFonts w:cs="Arial"/>
                <w:sz w:val="14"/>
                <w:szCs w:val="14"/>
              </w:rPr>
            </w:pPr>
            <w:r w:rsidRPr="009F57CF">
              <w:rPr>
                <w:rFonts w:cs="Arial"/>
                <w:sz w:val="14"/>
                <w:szCs w:val="14"/>
              </w:rPr>
              <w:t xml:space="preserve">Online at </w:t>
            </w:r>
            <w:r w:rsidR="00892AD5" w:rsidRPr="009F57CF">
              <w:rPr>
                <w:rFonts w:cs="Arial"/>
                <w:sz w:val="14"/>
                <w:szCs w:val="14"/>
              </w:rPr>
              <w:t>www.aidic.it/cet</w:t>
            </w:r>
          </w:p>
        </w:tc>
      </w:tr>
      <w:tr w:rsidR="000A03B2" w:rsidRPr="009F57CF" w:rsidTr="005D079B">
        <w:trPr>
          <w:trHeight w:val="68"/>
          <w:jc w:val="center"/>
        </w:trPr>
        <w:tc>
          <w:tcPr>
            <w:tcW w:w="8782" w:type="dxa"/>
            <w:gridSpan w:val="2"/>
          </w:tcPr>
          <w:p w:rsidR="00300E56" w:rsidRPr="009F57CF" w:rsidRDefault="00300E56" w:rsidP="003365E3">
            <w:pPr>
              <w:ind w:left="-107"/>
              <w:rPr>
                <w:lang w:val="it-IT"/>
              </w:rPr>
            </w:pPr>
            <w:r w:rsidRPr="009F57CF">
              <w:rPr>
                <w:rFonts w:ascii="Tahoma" w:hAnsi="Tahoma" w:cs="Tahoma"/>
                <w:iCs/>
                <w:color w:val="333333"/>
                <w:sz w:val="14"/>
                <w:szCs w:val="14"/>
                <w:lang w:val="it-IT" w:eastAsia="it-IT"/>
              </w:rPr>
              <w:t>Guest Editors:</w:t>
            </w:r>
            <w:r w:rsidR="00904C62" w:rsidRPr="009F57CF">
              <w:rPr>
                <w:rFonts w:ascii="Tahoma" w:hAnsi="Tahoma" w:cs="Tahoma"/>
                <w:iCs/>
                <w:color w:val="333333"/>
                <w:sz w:val="14"/>
                <w:szCs w:val="14"/>
                <w:lang w:val="it-IT" w:eastAsia="it-IT"/>
              </w:rPr>
              <w:t xml:space="preserve"> </w:t>
            </w:r>
            <w:r w:rsidR="009635B9" w:rsidRPr="009F57CF">
              <w:rPr>
                <w:rFonts w:ascii="Tahoma" w:hAnsi="Tahoma" w:cs="Tahoma"/>
                <w:sz w:val="14"/>
                <w:szCs w:val="14"/>
                <w:lang w:val="it-IT"/>
              </w:rPr>
              <w:t>Sauro Pierucci,</w:t>
            </w:r>
            <w:r w:rsidR="003B60F3" w:rsidRPr="009F57CF">
              <w:rPr>
                <w:rFonts w:ascii="Tahoma" w:hAnsi="Tahoma" w:cs="Tahoma"/>
                <w:sz w:val="14"/>
                <w:szCs w:val="14"/>
                <w:lang w:val="it-IT"/>
              </w:rPr>
              <w:t xml:space="preserve"> </w:t>
            </w:r>
            <w:r w:rsidR="00047D7F" w:rsidRPr="009F57CF">
              <w:rPr>
                <w:rFonts w:ascii="Tahoma" w:hAnsi="Tahoma" w:cs="Tahoma"/>
                <w:sz w:val="14"/>
                <w:szCs w:val="14"/>
                <w:shd w:val="clear" w:color="auto" w:fill="FFFFFF"/>
                <w:lang w:val="it-IT"/>
              </w:rPr>
              <w:t>Jiří Jaromír Klemeš</w:t>
            </w:r>
            <w:r w:rsidR="00252C1A" w:rsidRPr="009F57CF">
              <w:rPr>
                <w:rFonts w:ascii="Tahoma" w:hAnsi="Tahoma" w:cs="Tahoma"/>
                <w:sz w:val="14"/>
                <w:szCs w:val="14"/>
                <w:shd w:val="clear" w:color="auto" w:fill="FFFFFF"/>
                <w:lang w:val="it-IT"/>
              </w:rPr>
              <w:t>, Laura Piazza</w:t>
            </w:r>
          </w:p>
          <w:p w:rsidR="000A03B2" w:rsidRPr="009F57CF" w:rsidRDefault="00FA5F5F" w:rsidP="00131FAB">
            <w:pPr>
              <w:tabs>
                <w:tab w:val="left" w:pos="-108"/>
              </w:tabs>
              <w:spacing w:line="140" w:lineRule="atLeast"/>
              <w:ind w:left="-107"/>
              <w:jc w:val="left"/>
            </w:pPr>
            <w:r w:rsidRPr="009F57CF">
              <w:rPr>
                <w:rFonts w:ascii="Tahoma" w:hAnsi="Tahoma" w:cs="Tahoma"/>
                <w:iCs/>
                <w:color w:val="333333"/>
                <w:sz w:val="14"/>
                <w:szCs w:val="14"/>
                <w:lang w:eastAsia="it-IT"/>
              </w:rPr>
              <w:t>Copyright © 201</w:t>
            </w:r>
            <w:r w:rsidR="007931FA" w:rsidRPr="009F57CF">
              <w:rPr>
                <w:rFonts w:ascii="Tahoma" w:hAnsi="Tahoma" w:cs="Tahoma"/>
                <w:iCs/>
                <w:color w:val="333333"/>
                <w:sz w:val="14"/>
                <w:szCs w:val="14"/>
                <w:lang w:eastAsia="it-IT"/>
              </w:rPr>
              <w:t>9</w:t>
            </w:r>
            <w:r w:rsidR="00904C62" w:rsidRPr="009F57CF">
              <w:rPr>
                <w:rFonts w:ascii="Tahoma" w:hAnsi="Tahoma" w:cs="Tahoma"/>
                <w:iCs/>
                <w:color w:val="333333"/>
                <w:sz w:val="14"/>
                <w:szCs w:val="14"/>
                <w:lang w:eastAsia="it-IT"/>
              </w:rPr>
              <w:t>, AIDIC Servizi S.r.l.</w:t>
            </w:r>
            <w:r w:rsidR="00300E56" w:rsidRPr="009F57CF">
              <w:rPr>
                <w:rFonts w:ascii="Tahoma" w:hAnsi="Tahoma" w:cs="Tahoma"/>
                <w:iCs/>
                <w:color w:val="333333"/>
                <w:sz w:val="14"/>
                <w:szCs w:val="14"/>
                <w:lang w:eastAsia="it-IT"/>
              </w:rPr>
              <w:br/>
            </w:r>
            <w:r w:rsidR="00300E56" w:rsidRPr="009F57CF">
              <w:rPr>
                <w:rFonts w:ascii="Tahoma" w:hAnsi="Tahoma" w:cs="Tahoma"/>
                <w:b/>
                <w:iCs/>
                <w:color w:val="000000"/>
                <w:sz w:val="14"/>
                <w:szCs w:val="14"/>
                <w:lang w:eastAsia="it-IT"/>
              </w:rPr>
              <w:t>ISBN</w:t>
            </w:r>
            <w:r w:rsidR="00300E56" w:rsidRPr="009F57CF">
              <w:rPr>
                <w:rFonts w:ascii="Tahoma" w:hAnsi="Tahoma" w:cs="Tahoma"/>
                <w:iCs/>
                <w:color w:val="000000"/>
                <w:sz w:val="14"/>
                <w:szCs w:val="14"/>
                <w:lang w:eastAsia="it-IT"/>
              </w:rPr>
              <w:t xml:space="preserve"> </w:t>
            </w:r>
            <w:r w:rsidR="008D32B9" w:rsidRPr="009F57CF">
              <w:rPr>
                <w:rFonts w:ascii="Tahoma" w:hAnsi="Tahoma" w:cs="Tahoma"/>
                <w:sz w:val="14"/>
                <w:szCs w:val="14"/>
              </w:rPr>
              <w:t>978-88-95608-</w:t>
            </w:r>
            <w:r w:rsidR="009635B9" w:rsidRPr="009F57CF">
              <w:rPr>
                <w:rFonts w:ascii="Tahoma" w:hAnsi="Tahoma" w:cs="Tahoma"/>
                <w:sz w:val="14"/>
                <w:szCs w:val="14"/>
              </w:rPr>
              <w:t>73</w:t>
            </w:r>
            <w:r w:rsidR="008D32B9" w:rsidRPr="009F57CF">
              <w:rPr>
                <w:rFonts w:ascii="Tahoma" w:hAnsi="Tahoma" w:cs="Tahoma"/>
                <w:sz w:val="14"/>
                <w:szCs w:val="14"/>
              </w:rPr>
              <w:t>-</w:t>
            </w:r>
            <w:r w:rsidR="009635B9" w:rsidRPr="009F57CF">
              <w:rPr>
                <w:rFonts w:ascii="Tahoma" w:hAnsi="Tahoma" w:cs="Tahoma"/>
                <w:sz w:val="14"/>
                <w:szCs w:val="14"/>
              </w:rPr>
              <w:t>0</w:t>
            </w:r>
            <w:r w:rsidR="00300E56" w:rsidRPr="009F57CF">
              <w:rPr>
                <w:rFonts w:ascii="Tahoma" w:hAnsi="Tahoma" w:cs="Tahoma"/>
                <w:iCs/>
                <w:color w:val="333333"/>
                <w:sz w:val="14"/>
                <w:szCs w:val="14"/>
                <w:lang w:eastAsia="it-IT"/>
              </w:rPr>
              <w:t xml:space="preserve">; </w:t>
            </w:r>
            <w:r w:rsidR="00300E56" w:rsidRPr="009F57CF">
              <w:rPr>
                <w:rFonts w:ascii="Tahoma" w:hAnsi="Tahoma" w:cs="Tahoma"/>
                <w:b/>
                <w:iCs/>
                <w:color w:val="333333"/>
                <w:sz w:val="14"/>
                <w:szCs w:val="14"/>
                <w:lang w:eastAsia="it-IT"/>
              </w:rPr>
              <w:t>ISSN</w:t>
            </w:r>
            <w:r w:rsidR="00300E56" w:rsidRPr="009F57CF">
              <w:rPr>
                <w:rFonts w:ascii="Tahoma" w:hAnsi="Tahoma" w:cs="Tahoma"/>
                <w:iCs/>
                <w:color w:val="333333"/>
                <w:sz w:val="14"/>
                <w:szCs w:val="14"/>
                <w:lang w:eastAsia="it-IT"/>
              </w:rPr>
              <w:t xml:space="preserve"> 2283-9216</w:t>
            </w:r>
          </w:p>
        </w:tc>
      </w:tr>
    </w:tbl>
    <w:p w:rsidR="005D079B" w:rsidRPr="009F57CF" w:rsidRDefault="005D079B" w:rsidP="005D079B">
      <w:pPr>
        <w:pStyle w:val="CETTitle"/>
      </w:pPr>
      <w:r w:rsidRPr="009F57CF">
        <w:t xml:space="preserve">A kinetic modelling of the growth rate of </w:t>
      </w:r>
      <w:r w:rsidRPr="009F57CF">
        <w:rPr>
          <w:i/>
        </w:rPr>
        <w:t>Lolium perenne</w:t>
      </w:r>
      <w:r w:rsidRPr="009F57CF">
        <w:t xml:space="preserve"> for phytotoxicity bioassays</w:t>
      </w:r>
    </w:p>
    <w:p w:rsidR="00D23F36" w:rsidRPr="009F57CF" w:rsidRDefault="00D23F36" w:rsidP="00D23F36">
      <w:pPr>
        <w:pStyle w:val="CETAuthors"/>
        <w:rPr>
          <w:lang w:val="es-CO"/>
        </w:rPr>
      </w:pPr>
      <w:r w:rsidRPr="009F57CF">
        <w:rPr>
          <w:lang w:val="es-CO"/>
        </w:rPr>
        <w:t>Yuby Cruz</w:t>
      </w:r>
      <w:r w:rsidRPr="009F57CF">
        <w:rPr>
          <w:vertAlign w:val="superscript"/>
          <w:lang w:val="es-CO"/>
        </w:rPr>
        <w:t>a</w:t>
      </w:r>
      <w:r w:rsidRPr="009F57CF">
        <w:rPr>
          <w:lang w:val="es-CO"/>
        </w:rPr>
        <w:t>, Gabriela Carmago</w:t>
      </w:r>
      <w:r w:rsidRPr="009F57CF">
        <w:rPr>
          <w:vertAlign w:val="superscript"/>
          <w:lang w:val="es-CO"/>
        </w:rPr>
        <w:t>a</w:t>
      </w:r>
      <w:r w:rsidRPr="009F57CF">
        <w:rPr>
          <w:lang w:val="es-CO"/>
        </w:rPr>
        <w:t>, Jorge L. Gallego</w:t>
      </w:r>
      <w:r w:rsidRPr="009F57CF">
        <w:rPr>
          <w:vertAlign w:val="superscript"/>
          <w:lang w:val="es-CO"/>
        </w:rPr>
        <w:t xml:space="preserve"> b,</w:t>
      </w:r>
      <w:r w:rsidRPr="009F57CF">
        <w:rPr>
          <w:lang w:val="es-CO"/>
        </w:rPr>
        <w:t>*, Juan F. Saldarriaga</w:t>
      </w:r>
      <w:r w:rsidRPr="009F57CF">
        <w:rPr>
          <w:vertAlign w:val="superscript"/>
          <w:lang w:val="es-CO"/>
        </w:rPr>
        <w:t>a</w:t>
      </w:r>
    </w:p>
    <w:p w:rsidR="00D23F36" w:rsidRPr="009F57CF" w:rsidRDefault="00D23F36" w:rsidP="00D23F36">
      <w:pPr>
        <w:pStyle w:val="CETAddress"/>
        <w:rPr>
          <w:lang w:val="es-CO"/>
        </w:rPr>
      </w:pPr>
      <w:r w:rsidRPr="009F57CF">
        <w:rPr>
          <w:vertAlign w:val="superscript"/>
          <w:lang w:val="es-CO"/>
        </w:rPr>
        <w:t>a</w:t>
      </w:r>
      <w:r w:rsidRPr="009F57CF">
        <w:rPr>
          <w:lang w:val="es-CO"/>
        </w:rPr>
        <w:t xml:space="preserve">Department of Civil and Environmental Engineering, Universidad de los Andes, Carrera 1Este #19A-40, Bogotá, Colombia. </w:t>
      </w:r>
    </w:p>
    <w:p w:rsidR="00D23F36" w:rsidRPr="009F57CF" w:rsidRDefault="00D23F36" w:rsidP="00D23F36">
      <w:pPr>
        <w:pStyle w:val="CETAddress"/>
        <w:rPr>
          <w:lang w:val="es-CO"/>
        </w:rPr>
      </w:pPr>
      <w:r w:rsidRPr="009F57CF">
        <w:rPr>
          <w:vertAlign w:val="superscript"/>
          <w:lang w:val="es-CO"/>
        </w:rPr>
        <w:t>b</w:t>
      </w:r>
      <w:r w:rsidRPr="009F57CF">
        <w:rPr>
          <w:lang w:val="es-CO"/>
        </w:rPr>
        <w:t xml:space="preserve">Deparment of Environmental Engineering, Universidad de Medellin, Carrera 87 #30-65, Medellín, Colombia. </w:t>
      </w:r>
    </w:p>
    <w:p w:rsidR="00E978D0" w:rsidRPr="009F57CF" w:rsidRDefault="00D23F36" w:rsidP="00D23F36">
      <w:pPr>
        <w:pStyle w:val="CETemail"/>
      </w:pPr>
      <w:r w:rsidRPr="00400A55">
        <w:rPr>
          <w:lang w:val="es-CO"/>
        </w:rPr>
        <w:t xml:space="preserve"> </w:t>
      </w:r>
      <w:r w:rsidRPr="009F57CF">
        <w:t>jlgallegoz@gmail.com</w:t>
      </w:r>
    </w:p>
    <w:p w:rsidR="00DA24C6" w:rsidRPr="009F57CF" w:rsidRDefault="00435F2E" w:rsidP="00D23F36">
      <w:pPr>
        <w:pStyle w:val="CETBodytext"/>
      </w:pPr>
      <w:r w:rsidRPr="009F57CF">
        <w:t xml:space="preserve">Plant </w:t>
      </w:r>
      <w:r w:rsidR="00DE6095" w:rsidRPr="00DC358F">
        <w:t xml:space="preserve">growth rate </w:t>
      </w:r>
      <w:r w:rsidR="00D23F36" w:rsidRPr="00DC358F">
        <w:t>represents one of the main factors in the</w:t>
      </w:r>
      <w:r w:rsidR="006D1B99" w:rsidRPr="00DC358F">
        <w:t xml:space="preserve"> vegetal-model</w:t>
      </w:r>
      <w:r w:rsidR="00D23F36" w:rsidRPr="00DC358F">
        <w:t xml:space="preserve"> </w:t>
      </w:r>
      <w:r w:rsidR="006D1B99" w:rsidRPr="00DC358F">
        <w:t xml:space="preserve">bioassays design and the </w:t>
      </w:r>
      <w:r w:rsidR="00D23F36" w:rsidRPr="00DC358F">
        <w:t>development of phytoremediation</w:t>
      </w:r>
      <w:r w:rsidR="004C7C38" w:rsidRPr="00DC358F">
        <w:t xml:space="preserve"> technologies</w:t>
      </w:r>
      <w:r w:rsidR="00D23F36" w:rsidRPr="00DC358F">
        <w:t>.</w:t>
      </w:r>
      <w:r w:rsidR="004929E1" w:rsidRPr="00DC358F">
        <w:t xml:space="preserve"> </w:t>
      </w:r>
      <w:r w:rsidR="004929E1" w:rsidRPr="00DC358F">
        <w:rPr>
          <w:i/>
        </w:rPr>
        <w:t>Lolium perenne</w:t>
      </w:r>
      <w:r w:rsidR="004929E1" w:rsidRPr="00DC358F">
        <w:t xml:space="preserve"> is a promising plant to he</w:t>
      </w:r>
      <w:r w:rsidR="00DC358F" w:rsidRPr="00DC358F">
        <w:t>a</w:t>
      </w:r>
      <w:r w:rsidR="004929E1" w:rsidRPr="00DC358F">
        <w:t xml:space="preserve">vy metals monitoring and </w:t>
      </w:r>
      <w:r w:rsidR="00DC358F" w:rsidRPr="00DC358F">
        <w:t>phyto</w:t>
      </w:r>
      <w:r w:rsidR="004929E1" w:rsidRPr="00DC358F">
        <w:t>reme</w:t>
      </w:r>
      <w:r w:rsidR="00DC358F" w:rsidRPr="00DC358F">
        <w:t>diation,</w:t>
      </w:r>
      <w:r w:rsidR="00D23F36" w:rsidRPr="00DC358F">
        <w:t xml:space="preserve"> </w:t>
      </w:r>
      <w:r w:rsidR="00DC358F" w:rsidRPr="00DC358F">
        <w:t>b</w:t>
      </w:r>
      <w:r w:rsidR="004929E1" w:rsidRPr="00DC358F">
        <w:t>ut bioassay</w:t>
      </w:r>
      <w:r w:rsidR="00DC358F">
        <w:t>s</w:t>
      </w:r>
      <w:r w:rsidR="004929E1" w:rsidRPr="00DC358F">
        <w:t xml:space="preserve"> proto</w:t>
      </w:r>
      <w:r w:rsidR="00DC358F" w:rsidRPr="00DC358F">
        <w:t>c</w:t>
      </w:r>
      <w:r w:rsidR="004929E1" w:rsidRPr="00DC358F">
        <w:t>ols</w:t>
      </w:r>
      <w:r w:rsidR="00DC358F">
        <w:t xml:space="preserve"> and </w:t>
      </w:r>
      <w:r w:rsidR="00DC358F" w:rsidRPr="00DC358F">
        <w:t>toxicity limits are needed.</w:t>
      </w:r>
      <w:r w:rsidR="00DC358F">
        <w:t xml:space="preserve"> </w:t>
      </w:r>
      <w:r w:rsidR="00D23F36" w:rsidRPr="00DC358F">
        <w:t>In</w:t>
      </w:r>
      <w:r w:rsidR="00D23F36" w:rsidRPr="009F57CF">
        <w:t xml:space="preserve"> this research, the effects of cadmium and mercury on germination time and emergence as toxicity markers of </w:t>
      </w:r>
      <w:r w:rsidR="00D23F36" w:rsidRPr="009F57CF">
        <w:rPr>
          <w:i/>
        </w:rPr>
        <w:t>Lolium perenne</w:t>
      </w:r>
      <w:r w:rsidR="00D23F36" w:rsidRPr="009F57CF">
        <w:t xml:space="preserve"> plants were determined. </w:t>
      </w:r>
      <w:r w:rsidR="005E2E56" w:rsidRPr="009F57CF">
        <w:t>S</w:t>
      </w:r>
      <w:r w:rsidR="00D23F36" w:rsidRPr="009F57CF">
        <w:t>eeds were exposed to increasing concentrations in the range of 0 to 25 mg/L of cadmium (Cd</w:t>
      </w:r>
      <w:r w:rsidR="00D23F36" w:rsidRPr="009F57CF">
        <w:rPr>
          <w:vertAlign w:val="superscript"/>
        </w:rPr>
        <w:t>2+</w:t>
      </w:r>
      <w:r w:rsidR="00D23F36" w:rsidRPr="009F57CF">
        <w:t>) and mercury (Hg</w:t>
      </w:r>
      <w:r w:rsidR="00D23F36" w:rsidRPr="009F57CF">
        <w:rPr>
          <w:vertAlign w:val="superscript"/>
        </w:rPr>
        <w:t>2+</w:t>
      </w:r>
      <w:r w:rsidR="00D23F36" w:rsidRPr="009F57CF">
        <w:t>) in Petri dishes, by independent experiments carried out for</w:t>
      </w:r>
      <w:r w:rsidR="004929E1">
        <w:t xml:space="preserve"> 14 d. </w:t>
      </w:r>
      <w:r w:rsidR="00E25098">
        <w:t>E</w:t>
      </w:r>
      <w:r w:rsidR="004929E1">
        <w:t>mergence, root and shot length were assessed</w:t>
      </w:r>
      <w:r w:rsidR="00E25098">
        <w:t xml:space="preserve"> and kinetic parameters of growth were calculated</w:t>
      </w:r>
      <w:r w:rsidR="004929E1">
        <w:t>.</w:t>
      </w:r>
      <w:r w:rsidR="00E25098">
        <w:t xml:space="preserve"> After 14 d, the</w:t>
      </w:r>
      <w:r w:rsidR="00E25098" w:rsidRPr="009F57CF">
        <w:t xml:space="preserve"> maximum germination index </w:t>
      </w:r>
      <w:r w:rsidR="00E25098">
        <w:t>of control seeds was 78</w:t>
      </w:r>
      <w:r w:rsidR="00E25098" w:rsidRPr="009F57CF">
        <w:t>.</w:t>
      </w:r>
      <w:r w:rsidR="00E25098">
        <w:t xml:space="preserve">7 </w:t>
      </w:r>
      <w:r w:rsidR="00E25098">
        <w:rPr>
          <w:rFonts w:cs="Arial"/>
        </w:rPr>
        <w:t>±</w:t>
      </w:r>
      <w:r w:rsidR="00E25098">
        <w:t xml:space="preserve"> 4.8 </w:t>
      </w:r>
      <w:r w:rsidR="00E25098" w:rsidRPr="009F57CF">
        <w:t>%</w:t>
      </w:r>
      <w:r w:rsidR="001B3B55">
        <w:t>.</w:t>
      </w:r>
      <w:r w:rsidR="00E25098">
        <w:t xml:space="preserve"> </w:t>
      </w:r>
      <w:r w:rsidR="001B3B55">
        <w:t>T</w:t>
      </w:r>
      <w:r w:rsidR="00E25098">
        <w:t>he treatment of 25 mg/L Cd</w:t>
      </w:r>
      <w:r w:rsidR="00E25098" w:rsidRPr="00794696">
        <w:rPr>
          <w:vertAlign w:val="superscript"/>
        </w:rPr>
        <w:t>2+</w:t>
      </w:r>
      <w:r w:rsidR="00E25098">
        <w:t xml:space="preserve"> posed an inhibitory effect on the seeds emergence of 24.7 %</w:t>
      </w:r>
      <w:r w:rsidR="001B3B55">
        <w:t>, and reduced the velocity germination Index (VGI)</w:t>
      </w:r>
      <w:r w:rsidR="00E25098">
        <w:t>. The maximum germination index of Hg</w:t>
      </w:r>
      <w:r w:rsidR="00E25098" w:rsidRPr="00794696">
        <w:rPr>
          <w:vertAlign w:val="superscript"/>
        </w:rPr>
        <w:t>2+</w:t>
      </w:r>
      <w:r w:rsidR="00E25098">
        <w:t xml:space="preserve"> treated seeds </w:t>
      </w:r>
      <w:r w:rsidR="001B3B55">
        <w:t>had not</w:t>
      </w:r>
      <w:r w:rsidR="00E25098">
        <w:t xml:space="preserve"> significant differences </w:t>
      </w:r>
      <w:r w:rsidR="001B3B55">
        <w:t xml:space="preserve">to control. </w:t>
      </w:r>
      <w:r w:rsidR="00240913" w:rsidRPr="009F57CF">
        <w:t xml:space="preserve">Toxic effects of </w:t>
      </w:r>
      <w:r w:rsidR="00D23F36" w:rsidRPr="009F57CF">
        <w:t>Cd</w:t>
      </w:r>
      <w:r w:rsidR="00E25098" w:rsidRPr="00E25098">
        <w:rPr>
          <w:vertAlign w:val="superscript"/>
        </w:rPr>
        <w:t>2+</w:t>
      </w:r>
      <w:r w:rsidR="00D23F36" w:rsidRPr="009F57CF">
        <w:t xml:space="preserve"> and Hg</w:t>
      </w:r>
      <w:r w:rsidR="00E25098" w:rsidRPr="00E25098">
        <w:rPr>
          <w:vertAlign w:val="superscript"/>
        </w:rPr>
        <w:t>2+</w:t>
      </w:r>
      <w:r w:rsidR="00D23F36" w:rsidRPr="009F57CF">
        <w:t xml:space="preserve"> </w:t>
      </w:r>
      <w:r w:rsidR="00240913" w:rsidRPr="009F57CF">
        <w:t>were found</w:t>
      </w:r>
      <w:r w:rsidR="00D23F36" w:rsidRPr="009F57CF">
        <w:t xml:space="preserve"> on the development of stem and roots of </w:t>
      </w:r>
      <w:r w:rsidR="00D23F36" w:rsidRPr="009F57CF">
        <w:rPr>
          <w:i/>
        </w:rPr>
        <w:t>Lolium perenne</w:t>
      </w:r>
      <w:r w:rsidR="00D23F36" w:rsidRPr="009F57CF">
        <w:t xml:space="preserve">, however, </w:t>
      </w:r>
      <w:r w:rsidR="001B3B55">
        <w:t xml:space="preserve">the </w:t>
      </w:r>
      <w:r w:rsidR="001B3B55" w:rsidRPr="009F57CF">
        <w:t>range of concentrations</w:t>
      </w:r>
      <w:r w:rsidR="001B3B55">
        <w:t xml:space="preserve"> which the plant grows well,</w:t>
      </w:r>
      <w:r w:rsidR="001B3B55" w:rsidRPr="009F57CF">
        <w:t xml:space="preserve"> </w:t>
      </w:r>
      <w:r w:rsidR="001B3B55">
        <w:t xml:space="preserve">is considered a </w:t>
      </w:r>
      <w:r w:rsidR="00D23F36" w:rsidRPr="009F57CF">
        <w:t xml:space="preserve">suitable condition </w:t>
      </w:r>
      <w:r w:rsidR="001B3B55">
        <w:t>to</w:t>
      </w:r>
      <w:r w:rsidR="00D23F36" w:rsidRPr="009F57CF">
        <w:t xml:space="preserve"> potentially act as a phytoremediator.</w:t>
      </w:r>
      <w:r w:rsidR="00E25098">
        <w:t xml:space="preserve"> The kinetic parameters of growth are useful to perform toxicity tests and phytoremediation protocols of </w:t>
      </w:r>
      <w:r w:rsidR="00E25098" w:rsidRPr="00DC358F">
        <w:rPr>
          <w:i/>
        </w:rPr>
        <w:t>Lolium perenne</w:t>
      </w:r>
      <w:r w:rsidR="00E25098">
        <w:t>.</w:t>
      </w:r>
    </w:p>
    <w:p w:rsidR="00600535" w:rsidRPr="009F57CF" w:rsidRDefault="00600535" w:rsidP="00600535">
      <w:pPr>
        <w:pStyle w:val="CETHeading1"/>
        <w:rPr>
          <w:lang w:val="en-GB"/>
        </w:rPr>
      </w:pPr>
      <w:r w:rsidRPr="009F57CF">
        <w:rPr>
          <w:lang w:val="en-GB"/>
        </w:rPr>
        <w:t>Introduction</w:t>
      </w:r>
    </w:p>
    <w:p w:rsidR="001E3D65" w:rsidRDefault="006D1B99" w:rsidP="00281963">
      <w:pPr>
        <w:pStyle w:val="CETBodytext"/>
        <w:rPr>
          <w:lang w:val="en-GB"/>
        </w:rPr>
      </w:pPr>
      <w:r w:rsidRPr="009F57CF">
        <w:rPr>
          <w:lang w:val="en-GB"/>
        </w:rPr>
        <w:t xml:space="preserve">Environmental changes determine plant </w:t>
      </w:r>
      <w:r w:rsidR="004C7C38" w:rsidRPr="009F57CF">
        <w:rPr>
          <w:lang w:val="en-GB"/>
        </w:rPr>
        <w:t>development</w:t>
      </w:r>
      <w:r w:rsidR="00637E81" w:rsidRPr="009F57CF">
        <w:rPr>
          <w:lang w:val="en-GB"/>
        </w:rPr>
        <w:t>, including seed ger</w:t>
      </w:r>
      <w:r w:rsidR="004C7C38" w:rsidRPr="009F57CF">
        <w:rPr>
          <w:lang w:val="en-GB"/>
        </w:rPr>
        <w:t xml:space="preserve">mination and growing rate. </w:t>
      </w:r>
      <w:r w:rsidR="000A68F2">
        <w:rPr>
          <w:lang w:val="en-GB"/>
        </w:rPr>
        <w:t>A</w:t>
      </w:r>
      <w:r w:rsidR="00D031A2" w:rsidRPr="00D031A2">
        <w:rPr>
          <w:lang w:val="en-GB"/>
        </w:rPr>
        <w:t>biotic stresses,</w:t>
      </w:r>
      <w:r w:rsidR="00D031A2">
        <w:rPr>
          <w:lang w:val="en-GB"/>
        </w:rPr>
        <w:t xml:space="preserve"> </w:t>
      </w:r>
      <w:r w:rsidR="00D031A2" w:rsidRPr="00D031A2">
        <w:rPr>
          <w:lang w:val="en-GB"/>
        </w:rPr>
        <w:t>such as salinity, cold, heat, drought</w:t>
      </w:r>
      <w:r w:rsidR="001B3B55">
        <w:rPr>
          <w:lang w:val="en-GB"/>
        </w:rPr>
        <w:t xml:space="preserve"> and pollutants </w:t>
      </w:r>
      <w:r w:rsidR="0039527B" w:rsidRPr="0039527B">
        <w:rPr>
          <w:lang w:val="en-GB"/>
        </w:rPr>
        <w:t>can potentially affect plants when their different tolera</w:t>
      </w:r>
      <w:r w:rsidR="0039527B">
        <w:rPr>
          <w:lang w:val="en-GB"/>
        </w:rPr>
        <w:t>nce mechanisms are insufficient</w:t>
      </w:r>
      <w:r w:rsidR="00AE46B3">
        <w:rPr>
          <w:lang w:val="en-GB"/>
        </w:rPr>
        <w:t xml:space="preserve"> (</w:t>
      </w:r>
      <w:r w:rsidR="00AE46B3" w:rsidRPr="00AE46B3">
        <w:rPr>
          <w:iCs/>
          <w:noProof/>
        </w:rPr>
        <w:t>Mithöfer</w:t>
      </w:r>
      <w:r w:rsidR="00AE46B3">
        <w:rPr>
          <w:iCs/>
          <w:noProof/>
        </w:rPr>
        <w:t xml:space="preserve"> et al.</w:t>
      </w:r>
      <w:r w:rsidR="00AE46B3" w:rsidRPr="00AE46B3">
        <w:rPr>
          <w:iCs/>
          <w:noProof/>
        </w:rPr>
        <w:t>,</w:t>
      </w:r>
      <w:r w:rsidR="00AE46B3">
        <w:rPr>
          <w:iCs/>
          <w:noProof/>
        </w:rPr>
        <w:t xml:space="preserve"> </w:t>
      </w:r>
      <w:r w:rsidR="00AE46B3" w:rsidRPr="00AE46B3">
        <w:rPr>
          <w:iCs/>
          <w:noProof/>
        </w:rPr>
        <w:t>2004</w:t>
      </w:r>
      <w:r w:rsidR="00AE46B3">
        <w:rPr>
          <w:iCs/>
          <w:noProof/>
        </w:rPr>
        <w:t>)</w:t>
      </w:r>
      <w:r w:rsidR="0039527B">
        <w:rPr>
          <w:lang w:val="en-GB"/>
        </w:rPr>
        <w:t>. S</w:t>
      </w:r>
      <w:r w:rsidR="004C7C38" w:rsidRPr="009F57CF">
        <w:rPr>
          <w:lang w:val="en-GB"/>
        </w:rPr>
        <w:t>everal responses are involved from molecular to morphological level to face stress conditions, thus, sensitive</w:t>
      </w:r>
      <w:r w:rsidR="001B58D4">
        <w:rPr>
          <w:lang w:val="en-GB"/>
        </w:rPr>
        <w:t xml:space="preserve"> and tolerant</w:t>
      </w:r>
      <w:r w:rsidR="004C7C38" w:rsidRPr="009F57CF">
        <w:rPr>
          <w:lang w:val="en-GB"/>
        </w:rPr>
        <w:t xml:space="preserve"> species are use</w:t>
      </w:r>
      <w:r w:rsidR="001E3D65">
        <w:rPr>
          <w:lang w:val="en-GB"/>
        </w:rPr>
        <w:t>d</w:t>
      </w:r>
      <w:r w:rsidR="004C7C38" w:rsidRPr="009F57CF">
        <w:rPr>
          <w:lang w:val="en-GB"/>
        </w:rPr>
        <w:t xml:space="preserve"> as sentinels for environmental monitoring</w:t>
      </w:r>
      <w:r w:rsidR="001B58D4">
        <w:rPr>
          <w:lang w:val="en-GB"/>
        </w:rPr>
        <w:t xml:space="preserve"> and remediation.</w:t>
      </w:r>
    </w:p>
    <w:p w:rsidR="00CE0DBF" w:rsidRDefault="004C7C38" w:rsidP="006D1B99">
      <w:pPr>
        <w:pStyle w:val="CETBodytext"/>
      </w:pPr>
      <w:r w:rsidRPr="009F57CF">
        <w:rPr>
          <w:lang w:val="en-GB"/>
        </w:rPr>
        <w:t xml:space="preserve">Heavy metals are high concern </w:t>
      </w:r>
      <w:r w:rsidR="000D50B9" w:rsidRPr="009F57CF">
        <w:rPr>
          <w:lang w:val="en-GB"/>
        </w:rPr>
        <w:t>pollutants, which</w:t>
      </w:r>
      <w:r w:rsidRPr="009F57CF">
        <w:rPr>
          <w:lang w:val="en-GB"/>
        </w:rPr>
        <w:t xml:space="preserve"> at present </w:t>
      </w:r>
      <w:r w:rsidR="000D50B9" w:rsidRPr="009F57CF">
        <w:rPr>
          <w:lang w:val="en-GB"/>
        </w:rPr>
        <w:t>need actions aimed to minimize their environmental impact</w:t>
      </w:r>
      <w:r w:rsidR="00CE0DBF">
        <w:rPr>
          <w:lang w:val="en-GB"/>
        </w:rPr>
        <w:t xml:space="preserve"> (Qi and Zhang 2017)</w:t>
      </w:r>
      <w:r w:rsidR="000D50B9" w:rsidRPr="009F57CF">
        <w:rPr>
          <w:lang w:val="en-GB"/>
        </w:rPr>
        <w:t xml:space="preserve">. </w:t>
      </w:r>
      <w:r w:rsidR="00077974" w:rsidRPr="009F57CF">
        <w:t>Metals occurs naturally in ecosystems</w:t>
      </w:r>
      <w:r w:rsidR="00DE6095" w:rsidRPr="009F57CF">
        <w:t>,</w:t>
      </w:r>
      <w:r w:rsidR="00077974" w:rsidRPr="009F57CF">
        <w:t xml:space="preserve"> some of them are essential for multiple biological processes such as the growth of plants</w:t>
      </w:r>
      <w:r w:rsidR="009364BF" w:rsidRPr="009F57CF">
        <w:t>, while</w:t>
      </w:r>
      <w:r w:rsidR="00DE6095" w:rsidRPr="009F57CF">
        <w:t xml:space="preserve"> others</w:t>
      </w:r>
      <w:r w:rsidR="00077974" w:rsidRPr="009F57CF">
        <w:t xml:space="preserve"> are toxic to living organism, even in </w:t>
      </w:r>
      <w:r w:rsidR="00AB1855" w:rsidRPr="009F57CF">
        <w:t>low</w:t>
      </w:r>
      <w:r w:rsidR="00077974" w:rsidRPr="009F57CF">
        <w:t xml:space="preserve"> doses</w:t>
      </w:r>
      <w:r w:rsidR="00AB1855" w:rsidRPr="009F57CF">
        <w:t>, becoming a public health and environmental concern</w:t>
      </w:r>
      <w:r w:rsidR="00DE6095" w:rsidRPr="009F57CF">
        <w:t xml:space="preserve"> </w:t>
      </w:r>
      <w:r w:rsidR="00AC704E" w:rsidRPr="009F57CF">
        <w:t>(Prieto Méndez</w:t>
      </w:r>
      <w:r w:rsidR="001B1C90" w:rsidRPr="009F57CF">
        <w:t xml:space="preserve"> et al.,</w:t>
      </w:r>
      <w:r w:rsidR="00AC704E" w:rsidRPr="009F57CF">
        <w:t xml:space="preserve"> 2009)</w:t>
      </w:r>
      <w:r w:rsidR="00077974" w:rsidRPr="009F57CF">
        <w:t xml:space="preserve">. </w:t>
      </w:r>
      <w:r w:rsidR="004B19EA" w:rsidRPr="009F57CF">
        <w:t>Due to</w:t>
      </w:r>
      <w:r w:rsidR="00240913" w:rsidRPr="009F57CF">
        <w:t xml:space="preserve"> industr</w:t>
      </w:r>
      <w:r w:rsidR="004B19EA" w:rsidRPr="009F57CF">
        <w:t>ial</w:t>
      </w:r>
      <w:r w:rsidR="00240913" w:rsidRPr="009F57CF">
        <w:t xml:space="preserve"> </w:t>
      </w:r>
      <w:r w:rsidR="00077974" w:rsidRPr="009F57CF">
        <w:t>development</w:t>
      </w:r>
      <w:r w:rsidR="00240913" w:rsidRPr="009F57CF">
        <w:t xml:space="preserve">, </w:t>
      </w:r>
      <w:r w:rsidR="00077974" w:rsidRPr="009F57CF">
        <w:t xml:space="preserve">there has been a substantial increase in the concentrations of metals </w:t>
      </w:r>
      <w:r w:rsidR="008C0EC7" w:rsidRPr="009F57CF">
        <w:t xml:space="preserve">in water </w:t>
      </w:r>
      <w:r w:rsidR="004B19EA" w:rsidRPr="009F57CF">
        <w:t xml:space="preserve">ecosystems </w:t>
      </w:r>
      <w:r w:rsidR="008C0EC7" w:rsidRPr="009F57CF">
        <w:t>an</w:t>
      </w:r>
      <w:r w:rsidR="00DE696C" w:rsidRPr="009F57CF">
        <w:t>d</w:t>
      </w:r>
      <w:r w:rsidR="008C0EC7" w:rsidRPr="009F57CF">
        <w:t xml:space="preserve"> soil</w:t>
      </w:r>
      <w:r w:rsidR="004B19EA" w:rsidRPr="009F57CF">
        <w:t>s</w:t>
      </w:r>
      <w:r w:rsidR="008C0EC7" w:rsidRPr="009F57CF">
        <w:t xml:space="preserve"> </w:t>
      </w:r>
      <w:r w:rsidR="00AC704E" w:rsidRPr="009F57CF">
        <w:t>(Londoño Franco</w:t>
      </w:r>
      <w:r w:rsidR="001B1C90" w:rsidRPr="009F57CF">
        <w:t xml:space="preserve"> et al., </w:t>
      </w:r>
      <w:r w:rsidR="00AC704E" w:rsidRPr="009F57CF">
        <w:t>2016)</w:t>
      </w:r>
      <w:r w:rsidR="004B19EA" w:rsidRPr="009F57CF">
        <w:t>. Likewise, s</w:t>
      </w:r>
      <w:r w:rsidR="008C0EC7" w:rsidRPr="009F57CF">
        <w:t xml:space="preserve">ignificant quantities of cadmium and mercury are found in soils areas because </w:t>
      </w:r>
      <w:r w:rsidR="00077974" w:rsidRPr="009F57CF">
        <w:t xml:space="preserve">the </w:t>
      </w:r>
      <w:r w:rsidR="004B19EA" w:rsidRPr="009F57CF">
        <w:t xml:space="preserve">use of metal containing products and its </w:t>
      </w:r>
      <w:r w:rsidR="00077974" w:rsidRPr="009F57CF">
        <w:t xml:space="preserve">poor </w:t>
      </w:r>
      <w:r w:rsidR="004B19EA" w:rsidRPr="009F57CF">
        <w:t xml:space="preserve">waste disposal </w:t>
      </w:r>
      <w:r w:rsidR="00AC704E" w:rsidRPr="009F57CF">
        <w:t>(Reyes</w:t>
      </w:r>
      <w:r w:rsidR="001B1C90" w:rsidRPr="009F57CF">
        <w:t xml:space="preserve"> et al.,</w:t>
      </w:r>
      <w:r w:rsidR="00AC704E" w:rsidRPr="009F57CF">
        <w:t xml:space="preserve"> 2016)</w:t>
      </w:r>
      <w:r w:rsidR="008C0EC7" w:rsidRPr="009F57CF">
        <w:t xml:space="preserve">. </w:t>
      </w:r>
      <w:r w:rsidR="006D1B99" w:rsidRPr="009F57CF">
        <w:t xml:space="preserve">Agriculture, smelter, mining, and </w:t>
      </w:r>
      <w:r w:rsidR="000D50B9" w:rsidRPr="009F57CF">
        <w:t>tannery</w:t>
      </w:r>
      <w:r w:rsidR="006D1B99" w:rsidRPr="009F57CF">
        <w:t xml:space="preserve"> are common sources of metal pollution when waste management are poorly </w:t>
      </w:r>
      <w:r w:rsidR="000D50B9" w:rsidRPr="009F57CF">
        <w:t>addressed</w:t>
      </w:r>
      <w:r w:rsidR="006D1B99" w:rsidRPr="009F57CF">
        <w:t xml:space="preserve">. The role of plants in </w:t>
      </w:r>
      <w:r w:rsidR="00F238F3" w:rsidRPr="009F57CF">
        <w:t>heavy</w:t>
      </w:r>
      <w:r w:rsidR="006D1B99" w:rsidRPr="009F57CF">
        <w:t xml:space="preserve"> metals issues have been </w:t>
      </w:r>
      <w:r w:rsidR="00F238F3" w:rsidRPr="009F57CF">
        <w:t>highlighted</w:t>
      </w:r>
      <w:r w:rsidR="006D1B99" w:rsidRPr="009F57CF">
        <w:t xml:space="preserve"> as promising because their </w:t>
      </w:r>
      <w:r w:rsidR="00637E81" w:rsidRPr="009F57CF">
        <w:t xml:space="preserve">responses </w:t>
      </w:r>
      <w:r w:rsidR="006D1B99" w:rsidRPr="009F57CF">
        <w:t>to low metal concentrations and accumulation ability</w:t>
      </w:r>
      <w:r w:rsidR="001B58D4">
        <w:t xml:space="preserve"> (</w:t>
      </w:r>
      <w:r w:rsidR="001B58D4" w:rsidRPr="001B58D4">
        <w:t>Ali et al., 2013</w:t>
      </w:r>
      <w:r w:rsidR="001B58D4">
        <w:t>)</w:t>
      </w:r>
      <w:r w:rsidR="006D1B99" w:rsidRPr="009F57CF">
        <w:t xml:space="preserve">. Thus, </w:t>
      </w:r>
      <w:r w:rsidR="006D1B99" w:rsidRPr="009F57CF">
        <w:rPr>
          <w:i/>
        </w:rPr>
        <w:t>in vitro</w:t>
      </w:r>
      <w:r w:rsidR="006D1B99" w:rsidRPr="009F57CF">
        <w:t xml:space="preserve"> to field biomonitoring approaches and plant toxicity tests have been proposed to assess the environmental impacts of heavy metals. </w:t>
      </w:r>
      <w:r w:rsidR="00F238F3" w:rsidRPr="009F57CF">
        <w:t>Phytoremediation</w:t>
      </w:r>
      <w:r w:rsidR="006D1B99" w:rsidRPr="009F57CF">
        <w:t xml:space="preserve"> technologies to soil and water treatment has been studied as well. These plants</w:t>
      </w:r>
      <w:r w:rsidR="00F238F3" w:rsidRPr="009F57CF">
        <w:t xml:space="preserve"> potentialities</w:t>
      </w:r>
      <w:r w:rsidR="006D1B99" w:rsidRPr="009F57CF">
        <w:t xml:space="preserve"> have encouraged extensive research to the identification of </w:t>
      </w:r>
      <w:r w:rsidR="00F238F3" w:rsidRPr="009F57CF">
        <w:t xml:space="preserve">efficient </w:t>
      </w:r>
      <w:r w:rsidR="006D1B99" w:rsidRPr="009F57CF">
        <w:t>species</w:t>
      </w:r>
      <w:r w:rsidR="001B58D4">
        <w:t>,</w:t>
      </w:r>
      <w:r w:rsidR="006D1B99" w:rsidRPr="009F57CF">
        <w:t xml:space="preserve"> and </w:t>
      </w:r>
      <w:r w:rsidR="001B58D4">
        <w:t xml:space="preserve">to the </w:t>
      </w:r>
      <w:r w:rsidR="006D1B99" w:rsidRPr="009F57CF">
        <w:t>characteriz</w:t>
      </w:r>
      <w:r w:rsidR="001B58D4">
        <w:t>ation of</w:t>
      </w:r>
      <w:r w:rsidR="006D1B99" w:rsidRPr="009F57CF">
        <w:t xml:space="preserve"> their </w:t>
      </w:r>
      <w:r w:rsidR="00AC704E" w:rsidRPr="009F57CF">
        <w:t>performance under metal exposure (</w:t>
      </w:r>
      <w:r w:rsidR="00AC704E" w:rsidRPr="00400A55">
        <w:rPr>
          <w:iCs/>
          <w:noProof/>
        </w:rPr>
        <w:t>Rahman et al., 2016)</w:t>
      </w:r>
      <w:r w:rsidR="006D1B99" w:rsidRPr="009F57CF">
        <w:t>.</w:t>
      </w:r>
      <w:r w:rsidR="00CE0DBF">
        <w:t xml:space="preserve"> </w:t>
      </w:r>
    </w:p>
    <w:p w:rsidR="00CE0DBF" w:rsidRDefault="00CE0DBF" w:rsidP="00CE0DBF">
      <w:pPr>
        <w:pStyle w:val="CETBodytext"/>
      </w:pPr>
      <w:r w:rsidRPr="009F57CF">
        <w:t xml:space="preserve">Soil, sediments and water are the main sinks of heavy metal wastes, becoming pathways to exposure and bioaccumulation to living organisms. </w:t>
      </w:r>
      <w:r>
        <w:t>C</w:t>
      </w:r>
      <w:r w:rsidRPr="000A68F2">
        <w:t xml:space="preserve">admium (Cd) and mercury (Hg) </w:t>
      </w:r>
      <w:r w:rsidRPr="009F57CF">
        <w:t xml:space="preserve">are of special interest due to their biodiversity and human health impacts. Cd has been related to kidney disease and endocrine disorders, </w:t>
      </w:r>
      <w:r w:rsidRPr="009F57CF">
        <w:lastRenderedPageBreak/>
        <w:t xml:space="preserve">meanwhile Hg is known because the impact in the nervous system, liver, among others (Rana et al., 2018). Thus, there is a need to monitor and remediate the pollution of heavy metals. </w:t>
      </w:r>
    </w:p>
    <w:p w:rsidR="001B58D4" w:rsidRDefault="003F2150" w:rsidP="006D1B99">
      <w:pPr>
        <w:pStyle w:val="CETBodytext"/>
        <w:rPr>
          <w:lang w:val="en-GB"/>
        </w:rPr>
      </w:pPr>
      <w:r w:rsidRPr="009F57CF">
        <w:rPr>
          <w:lang w:val="en-GB"/>
        </w:rPr>
        <w:t>At present, many soil treatment techniques have been developed</w:t>
      </w:r>
      <w:r w:rsidR="00CE0DBF">
        <w:rPr>
          <w:lang w:val="en-GB"/>
        </w:rPr>
        <w:t xml:space="preserve"> (Rufino et al., 2012)</w:t>
      </w:r>
      <w:r w:rsidRPr="009F57CF">
        <w:rPr>
          <w:lang w:val="en-GB"/>
        </w:rPr>
        <w:t xml:space="preserve">, including physical-chemical, biological, thermal or mixed treatments (Ortiz </w:t>
      </w:r>
      <w:r w:rsidRPr="009F57CF">
        <w:t>et al.,</w:t>
      </w:r>
      <w:r w:rsidRPr="009F57CF">
        <w:rPr>
          <w:lang w:val="en-GB"/>
        </w:rPr>
        <w:t xml:space="preserve"> 2007). </w:t>
      </w:r>
      <w:r w:rsidRPr="009F57CF">
        <w:t>P</w:t>
      </w:r>
      <w:r w:rsidRPr="009F57CF">
        <w:rPr>
          <w:lang w:val="en-GB"/>
        </w:rPr>
        <w:t xml:space="preserve">hytoremediation are among the biological treatments, which are characterized by a much lower cost than other alternatives. Phytoremediation emerged as an alternative for the removal of heavy metals, due to the problems and limitations presented by many of the traditional methods. The high costs, secondary waste, the great demands of chemicals, among others, are some of the implications of the traditional methods of removal of soil contaminants (Beltrán </w:t>
      </w:r>
      <w:r w:rsidRPr="009F57CF">
        <w:t>et al.,</w:t>
      </w:r>
      <w:r w:rsidRPr="009F57CF">
        <w:rPr>
          <w:lang w:val="en-GB"/>
        </w:rPr>
        <w:t xml:space="preserve"> 2016).</w:t>
      </w:r>
      <w:r>
        <w:rPr>
          <w:lang w:val="en-GB"/>
        </w:rPr>
        <w:t xml:space="preserve"> </w:t>
      </w:r>
    </w:p>
    <w:p w:rsidR="00077974" w:rsidRPr="009F57CF" w:rsidRDefault="00DC358F" w:rsidP="00600535">
      <w:pPr>
        <w:pStyle w:val="CETBodytext"/>
        <w:rPr>
          <w:lang w:val="en-GB"/>
        </w:rPr>
      </w:pPr>
      <w:r w:rsidRPr="001B58D4">
        <w:t xml:space="preserve">In </w:t>
      </w:r>
      <w:r w:rsidRPr="001B58D4">
        <w:rPr>
          <w:i/>
        </w:rPr>
        <w:t xml:space="preserve">Poaceae </w:t>
      </w:r>
      <w:r w:rsidRPr="001B58D4">
        <w:t>family</w:t>
      </w:r>
      <w:r w:rsidR="003F2150" w:rsidRPr="001B58D4">
        <w:t>,</w:t>
      </w:r>
      <w:r w:rsidRPr="001B58D4">
        <w:t xml:space="preserve"> </w:t>
      </w:r>
      <w:r w:rsidRPr="001B58D4">
        <w:rPr>
          <w:i/>
        </w:rPr>
        <w:t>Lolium perenne</w:t>
      </w:r>
      <w:r w:rsidRPr="001B58D4">
        <w:t xml:space="preserve"> is a promising plant to heavy metals monitoring and remediation</w:t>
      </w:r>
      <w:r w:rsidR="00CE0DBF">
        <w:t xml:space="preserve"> (</w:t>
      </w:r>
      <w:r w:rsidR="00CE0DBF" w:rsidRPr="00CE0DBF">
        <w:t>Huang</w:t>
      </w:r>
      <w:r w:rsidR="00CE0DBF">
        <w:t xml:space="preserve"> et al., 2018) </w:t>
      </w:r>
      <w:r w:rsidRPr="001B58D4">
        <w:t>because of its rapid growth, root development</w:t>
      </w:r>
      <w:r w:rsidR="003F2150" w:rsidRPr="001B58D4">
        <w:t>,</w:t>
      </w:r>
      <w:r w:rsidRPr="001B58D4">
        <w:t xml:space="preserve"> sensitivity</w:t>
      </w:r>
      <w:r w:rsidR="003F2150" w:rsidRPr="001B58D4">
        <w:t xml:space="preserve"> to metals</w:t>
      </w:r>
      <w:r w:rsidR="001B58D4">
        <w:t xml:space="preserve"> (</w:t>
      </w:r>
      <w:r w:rsidR="001B58D4" w:rsidRPr="001B58D4">
        <w:t>Inostroza-Blancheteau</w:t>
      </w:r>
      <w:r w:rsidR="001B58D4">
        <w:t xml:space="preserve"> et al., 2017)</w:t>
      </w:r>
      <w:r w:rsidR="001B58D4" w:rsidRPr="001B58D4">
        <w:t>,</w:t>
      </w:r>
      <w:r w:rsidR="003F2150" w:rsidRPr="001B58D4">
        <w:t xml:space="preserve"> and adaptability to soil degradation.</w:t>
      </w:r>
      <w:r w:rsidR="003F2150">
        <w:t xml:space="preserve"> </w:t>
      </w:r>
      <w:r w:rsidR="001B58D4" w:rsidRPr="001B58D4">
        <w:rPr>
          <w:i/>
        </w:rPr>
        <w:t>Lolium perenne</w:t>
      </w:r>
      <w:r w:rsidR="001B58D4" w:rsidRPr="001B58D4">
        <w:t xml:space="preserve"> L. is largely cultivated in tropical soils</w:t>
      </w:r>
      <w:r w:rsidR="00CE0DBF">
        <w:t>,</w:t>
      </w:r>
      <w:r w:rsidR="001B58D4" w:rsidRPr="001B58D4">
        <w:t xml:space="preserve"> </w:t>
      </w:r>
      <w:r w:rsidR="001B58D4">
        <w:t>h</w:t>
      </w:r>
      <w:r w:rsidR="003F2150">
        <w:t>owever, few studies have been developed on the heavy metal toxicity and phytoremediation capacity</w:t>
      </w:r>
      <w:r w:rsidR="003F2150">
        <w:rPr>
          <w:i/>
        </w:rPr>
        <w:t xml:space="preserve">. </w:t>
      </w:r>
      <w:r w:rsidR="003F2150" w:rsidRPr="003F2150">
        <w:t>Hence,</w:t>
      </w:r>
      <w:r w:rsidR="003F2150">
        <w:t xml:space="preserve"> t</w:t>
      </w:r>
      <w:r w:rsidR="00281963" w:rsidRPr="009F57CF">
        <w:rPr>
          <w:lang w:val="en-GB"/>
        </w:rPr>
        <w:t xml:space="preserve">he aim of present study is to realize a kinetic model of the growth of seeds of </w:t>
      </w:r>
      <w:r w:rsidR="00281963" w:rsidRPr="009F57CF">
        <w:rPr>
          <w:i/>
          <w:lang w:val="en-GB"/>
        </w:rPr>
        <w:t>Lolium perenne</w:t>
      </w:r>
      <w:r w:rsidR="00281963" w:rsidRPr="009F57CF">
        <w:rPr>
          <w:lang w:val="en-GB"/>
        </w:rPr>
        <w:t xml:space="preserve"> in order to evaluate its </w:t>
      </w:r>
      <w:r w:rsidR="00F238F3" w:rsidRPr="009F57CF">
        <w:rPr>
          <w:lang w:val="en-GB"/>
        </w:rPr>
        <w:t>response</w:t>
      </w:r>
      <w:r w:rsidR="00281963" w:rsidRPr="009F57CF">
        <w:rPr>
          <w:lang w:val="en-GB"/>
        </w:rPr>
        <w:t xml:space="preserve"> </w:t>
      </w:r>
      <w:r w:rsidR="00F238F3" w:rsidRPr="009F57CF">
        <w:rPr>
          <w:lang w:val="en-GB"/>
        </w:rPr>
        <w:t>under</w:t>
      </w:r>
      <w:r w:rsidR="00281963" w:rsidRPr="009F57CF">
        <w:rPr>
          <w:lang w:val="en-GB"/>
        </w:rPr>
        <w:t xml:space="preserve"> different concentrations</w:t>
      </w:r>
      <w:r w:rsidR="00F238F3" w:rsidRPr="009F57CF">
        <w:rPr>
          <w:lang w:val="en-GB"/>
        </w:rPr>
        <w:t xml:space="preserve"> of mercury and cadmium, </w:t>
      </w:r>
      <w:r w:rsidR="003F2150">
        <w:rPr>
          <w:lang w:val="en-GB"/>
        </w:rPr>
        <w:t xml:space="preserve">and </w:t>
      </w:r>
      <w:r w:rsidR="00F238F3" w:rsidRPr="009F57CF">
        <w:rPr>
          <w:lang w:val="en-GB"/>
        </w:rPr>
        <w:t>to develop further metal bioassays and phytoremediation pro</w:t>
      </w:r>
      <w:r w:rsidR="00AC704E" w:rsidRPr="009F57CF">
        <w:rPr>
          <w:lang w:val="en-GB"/>
        </w:rPr>
        <w:t>to</w:t>
      </w:r>
      <w:r w:rsidR="00F238F3" w:rsidRPr="009F57CF">
        <w:rPr>
          <w:lang w:val="en-GB"/>
        </w:rPr>
        <w:t>cols.</w:t>
      </w:r>
    </w:p>
    <w:p w:rsidR="00435F2E" w:rsidRPr="009F57CF" w:rsidRDefault="00435F2E" w:rsidP="00435F2E">
      <w:pPr>
        <w:pStyle w:val="CETHeading1"/>
      </w:pPr>
      <w:r w:rsidRPr="009F57CF">
        <w:t>Materials and methods</w:t>
      </w:r>
    </w:p>
    <w:p w:rsidR="00281963" w:rsidRPr="009F57CF" w:rsidRDefault="00362D0D" w:rsidP="00362D0D">
      <w:pPr>
        <w:pStyle w:val="CETheadingx"/>
      </w:pPr>
      <w:r w:rsidRPr="009F57CF">
        <w:t xml:space="preserve">Seed germination and </w:t>
      </w:r>
      <w:r w:rsidR="00E51E95" w:rsidRPr="009F57CF">
        <w:t xml:space="preserve">plant </w:t>
      </w:r>
      <w:r w:rsidR="008E2BD6" w:rsidRPr="009F57CF">
        <w:t>growing</w:t>
      </w:r>
      <w:r w:rsidRPr="009F57CF">
        <w:t xml:space="preserve"> tests</w:t>
      </w:r>
    </w:p>
    <w:p w:rsidR="004A31A7" w:rsidRPr="005E0140" w:rsidRDefault="00404101" w:rsidP="00A14CDB">
      <w:pPr>
        <w:pStyle w:val="CETBodytext"/>
      </w:pPr>
      <w:r>
        <w:t xml:space="preserve">The emergence and growth </w:t>
      </w:r>
      <w:r w:rsidR="0033056E" w:rsidRPr="0033056E">
        <w:rPr>
          <w:i/>
        </w:rPr>
        <w:t>Lolium perenne</w:t>
      </w:r>
      <w:r w:rsidR="0033056E" w:rsidRPr="0033056E">
        <w:t xml:space="preserve"> </w:t>
      </w:r>
      <w:r w:rsidR="0033056E" w:rsidRPr="009F57CF">
        <w:t>w</w:t>
      </w:r>
      <w:r>
        <w:t>ere</w:t>
      </w:r>
      <w:r w:rsidR="0033056E" w:rsidRPr="009F57CF">
        <w:t xml:space="preserve"> evaluated </w:t>
      </w:r>
      <w:r w:rsidR="0033056E">
        <w:t>under d</w:t>
      </w:r>
      <w:r w:rsidR="00435F2E" w:rsidRPr="009F57CF">
        <w:t>ifferent conc</w:t>
      </w:r>
      <w:r w:rsidR="00DB1B5A" w:rsidRPr="009F57CF">
        <w:t xml:space="preserve">entrations </w:t>
      </w:r>
      <w:r w:rsidR="005D2CEC" w:rsidRPr="009F57CF">
        <w:t>of cadmium</w:t>
      </w:r>
      <w:r w:rsidR="0033056E">
        <w:t xml:space="preserve"> (</w:t>
      </w:r>
      <w:r w:rsidR="0033056E" w:rsidRPr="009F57CF">
        <w:t>Cd</w:t>
      </w:r>
      <w:r w:rsidR="0033056E" w:rsidRPr="009F57CF">
        <w:rPr>
          <w:vertAlign w:val="superscript"/>
        </w:rPr>
        <w:t>2+</w:t>
      </w:r>
      <w:r w:rsidR="0033056E">
        <w:t xml:space="preserve">) </w:t>
      </w:r>
      <w:r w:rsidR="005D2CEC" w:rsidRPr="009F57CF">
        <w:t>and mercury</w:t>
      </w:r>
      <w:r w:rsidR="0033056E">
        <w:t xml:space="preserve"> (</w:t>
      </w:r>
      <w:r w:rsidR="0033056E" w:rsidRPr="009F57CF">
        <w:t>Hg</w:t>
      </w:r>
      <w:r w:rsidR="0033056E" w:rsidRPr="009F57CF">
        <w:rPr>
          <w:vertAlign w:val="superscript"/>
        </w:rPr>
        <w:t>2+</w:t>
      </w:r>
      <w:r w:rsidR="0033056E">
        <w:t>)</w:t>
      </w:r>
      <w:r w:rsidR="005D2CEC" w:rsidRPr="009F57CF">
        <w:t xml:space="preserve"> </w:t>
      </w:r>
      <w:r>
        <w:t xml:space="preserve">in </w:t>
      </w:r>
      <w:r w:rsidR="005D2CEC" w:rsidRPr="009F57CF">
        <w:t>independent</w:t>
      </w:r>
      <w:r>
        <w:t xml:space="preserve"> experiments</w:t>
      </w:r>
      <w:r w:rsidR="005D2CEC" w:rsidRPr="009F57CF">
        <w:t xml:space="preserve"> in a completely randomized design.</w:t>
      </w:r>
      <w:r w:rsidR="00435F2E" w:rsidRPr="009F57CF">
        <w:t xml:space="preserve"> </w:t>
      </w:r>
      <w:r w:rsidR="005D2CEC" w:rsidRPr="009F57CF">
        <w:t xml:space="preserve">Petri dishes and </w:t>
      </w:r>
      <w:r w:rsidR="00435F2E" w:rsidRPr="009F57CF">
        <w:t xml:space="preserve">filter paper </w:t>
      </w:r>
      <w:r w:rsidR="005D2CEC" w:rsidRPr="009F57CF">
        <w:t xml:space="preserve">were used </w:t>
      </w:r>
      <w:r>
        <w:t>as growing</w:t>
      </w:r>
      <w:r w:rsidR="005D2CEC" w:rsidRPr="009F57CF">
        <w:t xml:space="preserve"> medi</w:t>
      </w:r>
      <w:r>
        <w:t>um,</w:t>
      </w:r>
      <w:r w:rsidR="005D2CEC" w:rsidRPr="009F57CF">
        <w:t xml:space="preserve"> </w:t>
      </w:r>
      <w:r w:rsidR="00435F2E" w:rsidRPr="009F57CF">
        <w:t xml:space="preserve">and 100 </w:t>
      </w:r>
      <w:r w:rsidR="00007F2B">
        <w:t xml:space="preserve">commercial </w:t>
      </w:r>
      <w:r w:rsidR="00435F2E" w:rsidRPr="009F57CF">
        <w:t xml:space="preserve">seeds of the </w:t>
      </w:r>
      <w:r w:rsidR="00435F2E" w:rsidRPr="009F57CF">
        <w:rPr>
          <w:i/>
        </w:rPr>
        <w:t>Lolium perenne</w:t>
      </w:r>
      <w:r w:rsidR="00435F2E" w:rsidRPr="009F57CF">
        <w:t xml:space="preserve"> species </w:t>
      </w:r>
      <w:r w:rsidR="00007F2B">
        <w:t xml:space="preserve">(Rye Grass Bestfort plus X CEBA, Colombia) </w:t>
      </w:r>
      <w:r w:rsidR="00435F2E" w:rsidRPr="009F57CF">
        <w:t xml:space="preserve">were </w:t>
      </w:r>
      <w:r w:rsidR="00E51E95" w:rsidRPr="009F57CF">
        <w:t>carefully placed</w:t>
      </w:r>
      <w:r w:rsidR="00007F2B">
        <w:t xml:space="preserve"> per experimental unit</w:t>
      </w:r>
      <w:r w:rsidR="005D2CEC" w:rsidRPr="009F57CF">
        <w:t>.</w:t>
      </w:r>
      <w:r w:rsidR="00615E01" w:rsidRPr="00615E01">
        <w:t xml:space="preserve"> CdCl</w:t>
      </w:r>
      <w:r w:rsidR="00615E01" w:rsidRPr="00615E01">
        <w:rPr>
          <w:vertAlign w:val="subscript"/>
        </w:rPr>
        <w:t>2</w:t>
      </w:r>
      <w:r w:rsidR="00615E01" w:rsidRPr="00615E01">
        <w:t xml:space="preserve"> 2.5H</w:t>
      </w:r>
      <w:r w:rsidR="00615E01" w:rsidRPr="00615E01">
        <w:rPr>
          <w:vertAlign w:val="subscript"/>
        </w:rPr>
        <w:t>2</w:t>
      </w:r>
      <w:r w:rsidR="00615E01" w:rsidRPr="00615E01">
        <w:t xml:space="preserve">O </w:t>
      </w:r>
      <w:r w:rsidR="00615E01">
        <w:t>(</w:t>
      </w:r>
      <w:r w:rsidR="00615E01" w:rsidRPr="00615E01">
        <w:t>Alfa Aesar ®, United States)</w:t>
      </w:r>
      <w:r w:rsidR="00615E01">
        <w:t xml:space="preserve"> and</w:t>
      </w:r>
      <w:r w:rsidR="00615E01" w:rsidRPr="00615E01">
        <w:t xml:space="preserve"> HgCl</w:t>
      </w:r>
      <w:r w:rsidR="00615E01" w:rsidRPr="00615E01">
        <w:rPr>
          <w:vertAlign w:val="subscript"/>
        </w:rPr>
        <w:t>2</w:t>
      </w:r>
      <w:r w:rsidR="00615E01" w:rsidRPr="00615E01">
        <w:t xml:space="preserve"> (Sigma-Aldrich ®) </w:t>
      </w:r>
      <w:r w:rsidR="00615E01">
        <w:t xml:space="preserve">were used to prepare stock solutions. The </w:t>
      </w:r>
      <w:r w:rsidR="00E51E95" w:rsidRPr="009F57CF">
        <w:t>test concentrations</w:t>
      </w:r>
      <w:r w:rsidR="00462B51">
        <w:t xml:space="preserve"> of </w:t>
      </w:r>
      <w:r w:rsidR="00462B51" w:rsidRPr="009F57CF">
        <w:t>Cd</w:t>
      </w:r>
      <w:r w:rsidR="00462B51" w:rsidRPr="009F57CF">
        <w:rPr>
          <w:vertAlign w:val="superscript"/>
        </w:rPr>
        <w:t>2+</w:t>
      </w:r>
      <w:r w:rsidR="00462B51" w:rsidRPr="009F57CF">
        <w:t xml:space="preserve"> and Hg</w:t>
      </w:r>
      <w:r w:rsidR="00462B51" w:rsidRPr="009F57CF">
        <w:rPr>
          <w:vertAlign w:val="superscript"/>
        </w:rPr>
        <w:t>2+</w:t>
      </w:r>
      <w:r w:rsidR="00E51E95" w:rsidRPr="009F57CF">
        <w:t xml:space="preserve"> </w:t>
      </w:r>
      <w:r w:rsidR="00615E01">
        <w:t>were</w:t>
      </w:r>
      <w:r w:rsidR="00362D0D" w:rsidRPr="009F57CF">
        <w:t xml:space="preserve"> 0.05, 0.10, 0.25, 1.00, 5.00 and 25.00 mg/</w:t>
      </w:r>
      <w:r w:rsidR="00E51E95" w:rsidRPr="009F57CF">
        <w:t>L</w:t>
      </w:r>
      <w:r w:rsidR="005E2E56" w:rsidRPr="009F57CF">
        <w:t xml:space="preserve">, </w:t>
      </w:r>
      <w:r w:rsidR="00362D0D" w:rsidRPr="009F57CF">
        <w:t xml:space="preserve">and </w:t>
      </w:r>
      <w:r w:rsidR="005D2CEC" w:rsidRPr="009F57CF">
        <w:t>5</w:t>
      </w:r>
      <w:r w:rsidR="005E2E56" w:rsidRPr="009F57CF">
        <w:t>.0</w:t>
      </w:r>
      <w:r w:rsidR="000A68F2">
        <w:t xml:space="preserve"> mL</w:t>
      </w:r>
      <w:r w:rsidR="005D2CEC" w:rsidRPr="009F57CF">
        <w:t xml:space="preserve"> </w:t>
      </w:r>
      <w:r w:rsidR="00362D0D" w:rsidRPr="009F57CF">
        <w:t>were added</w:t>
      </w:r>
      <w:r w:rsidR="00E51E95" w:rsidRPr="009F57CF">
        <w:t xml:space="preserve"> to each P</w:t>
      </w:r>
      <w:r w:rsidR="00362D0D" w:rsidRPr="009F57CF">
        <w:t>etri dish</w:t>
      </w:r>
      <w:r w:rsidR="00615E01">
        <w:t xml:space="preserve"> respectively</w:t>
      </w:r>
      <w:r w:rsidR="004A31A7">
        <w:t>.</w:t>
      </w:r>
      <w:r w:rsidR="000A68F2">
        <w:t xml:space="preserve"> </w:t>
      </w:r>
      <w:r w:rsidR="00247250">
        <w:t>Five</w:t>
      </w:r>
      <w:r w:rsidR="00462B51">
        <w:t xml:space="preserve"> </w:t>
      </w:r>
      <w:r w:rsidR="00462B51" w:rsidRPr="00462B51">
        <w:t>replicates were used for each treatment.</w:t>
      </w:r>
      <w:r w:rsidR="00615E01" w:rsidRPr="00615E01">
        <w:t xml:space="preserve"> The growing conditions were room temperature at 18 °C and a 12/12 h light-dark regime.</w:t>
      </w:r>
      <w:r w:rsidR="00615E01">
        <w:t xml:space="preserve"> The experiment</w:t>
      </w:r>
      <w:r w:rsidR="00E51E95" w:rsidRPr="009F57CF">
        <w:t xml:space="preserve"> was checked every day to observe desiccation in the filter paper</w:t>
      </w:r>
      <w:r w:rsidR="00615E01">
        <w:t>,</w:t>
      </w:r>
      <w:r w:rsidR="00E51E95" w:rsidRPr="009F57CF">
        <w:t xml:space="preserve"> and it was moistened with the </w:t>
      </w:r>
      <w:r w:rsidR="00462B51" w:rsidRPr="00462B51">
        <w:t>respective</w:t>
      </w:r>
      <w:r w:rsidR="00E51E95" w:rsidRPr="009F57CF">
        <w:t xml:space="preserve"> solution when needed. The number of germinated seeds were registered every day, </w:t>
      </w:r>
      <w:r w:rsidR="000A68F2">
        <w:t xml:space="preserve">where </w:t>
      </w:r>
      <w:r w:rsidR="00E51E95" w:rsidRPr="009F57CF">
        <w:t xml:space="preserve">1 mm </w:t>
      </w:r>
      <w:r w:rsidR="004A31A7">
        <w:t xml:space="preserve">of </w:t>
      </w:r>
      <w:r w:rsidR="00E51E95" w:rsidRPr="009F57CF">
        <w:t xml:space="preserve">radical seed emergence was considered as </w:t>
      </w:r>
      <w:r w:rsidR="00DA1623" w:rsidRPr="009F57CF">
        <w:t xml:space="preserve">seed germination. </w:t>
      </w:r>
      <w:r w:rsidR="004A31A7" w:rsidRPr="004A31A7">
        <w:t>After 14 d, the plants were carefully removed and the length of the root and stem were measured on a millimetric basis.</w:t>
      </w:r>
      <w:r w:rsidR="005E0140">
        <w:t xml:space="preserve"> </w:t>
      </w:r>
      <w:r w:rsidR="009B123D" w:rsidRPr="005E0140">
        <w:t xml:space="preserve">To assess the </w:t>
      </w:r>
      <w:r w:rsidR="008E2BD6" w:rsidRPr="005E0140">
        <w:t xml:space="preserve">kinetics of plant </w:t>
      </w:r>
      <w:r w:rsidR="006D1B99" w:rsidRPr="005E0140">
        <w:t>germination</w:t>
      </w:r>
      <w:r w:rsidR="009B123D" w:rsidRPr="005E0140">
        <w:t xml:space="preserve"> and growing</w:t>
      </w:r>
      <w:r w:rsidR="006D1B99" w:rsidRPr="005E0140">
        <w:t>, seed emergence index</w:t>
      </w:r>
      <w:r w:rsidR="00F238F3" w:rsidRPr="005E0140">
        <w:t xml:space="preserve">es </w:t>
      </w:r>
      <w:r w:rsidR="005E0140" w:rsidRPr="005E0140">
        <w:t>of final germination percentage (FGP), first day of g</w:t>
      </w:r>
      <w:r w:rsidR="00A14CDB" w:rsidRPr="005E0140">
        <w:t>ermination</w:t>
      </w:r>
      <w:r w:rsidR="002C7851" w:rsidRPr="005E0140">
        <w:t xml:space="preserve"> (FDG)</w:t>
      </w:r>
      <w:r w:rsidR="005E0140" w:rsidRPr="005E0140">
        <w:t>, last day of germinat</w:t>
      </w:r>
      <w:r w:rsidR="00A14CDB" w:rsidRPr="005E0140">
        <w:t>ion</w:t>
      </w:r>
      <w:r w:rsidR="002C7851" w:rsidRPr="005E0140">
        <w:t xml:space="preserve"> (LDG)</w:t>
      </w:r>
      <w:r w:rsidR="005E0140" w:rsidRPr="005E0140">
        <w:t xml:space="preserve">, and velocity germination index </w:t>
      </w:r>
      <w:r w:rsidR="002C7851" w:rsidRPr="005E0140">
        <w:t>(VGI)</w:t>
      </w:r>
      <w:r w:rsidR="005E0140" w:rsidRPr="005E0140">
        <w:t xml:space="preserve"> and  mean germination time (</w:t>
      </w:r>
      <w:r w:rsidR="002C7851" w:rsidRPr="005E0140">
        <w:t>MGT)</w:t>
      </w:r>
      <w:r w:rsidR="005E0140" w:rsidRPr="005E0140">
        <w:t xml:space="preserve"> were calculated (Al-Ansari, F. &amp; Ksiksi, 2016).</w:t>
      </w:r>
    </w:p>
    <w:p w:rsidR="005D2CEC" w:rsidRPr="009F57CF" w:rsidRDefault="00E51E95" w:rsidP="00F238F3">
      <w:pPr>
        <w:pStyle w:val="CETheadingx"/>
      </w:pPr>
      <w:r w:rsidRPr="009F57CF">
        <w:t>Statistical analysis</w:t>
      </w:r>
    </w:p>
    <w:p w:rsidR="00615E01" w:rsidRPr="009F57CF" w:rsidRDefault="00AC704E" w:rsidP="00615E01">
      <w:pPr>
        <w:pStyle w:val="CETBodytext"/>
        <w:rPr>
          <w:lang w:val="en-GB"/>
        </w:rPr>
      </w:pPr>
      <w:r w:rsidRPr="009F57CF">
        <w:t xml:space="preserve">Data are presented </w:t>
      </w:r>
      <w:r w:rsidR="000A68F2" w:rsidRPr="000A68F2">
        <w:t>by the mean and the standard deviation (SD)</w:t>
      </w:r>
      <w:r w:rsidRPr="009F57CF">
        <w:t>.</w:t>
      </w:r>
      <w:r w:rsidR="00615E01">
        <w:t xml:space="preserve"> Germination and length data were checked for normality with Kolmogorov-Smirnov test, and homogeneity of variances with Levene test. </w:t>
      </w:r>
      <w:r w:rsidR="001F2040" w:rsidRPr="009F57CF">
        <w:rPr>
          <w:lang w:val="en-GB"/>
        </w:rPr>
        <w:t xml:space="preserve">In order to determine if there is </w:t>
      </w:r>
      <w:r w:rsidR="001F2040">
        <w:rPr>
          <w:lang w:val="en-GB"/>
        </w:rPr>
        <w:t>any</w:t>
      </w:r>
      <w:r w:rsidR="001F2040" w:rsidRPr="009F57CF">
        <w:rPr>
          <w:lang w:val="en-GB"/>
        </w:rPr>
        <w:t xml:space="preserve"> relationship between the </w:t>
      </w:r>
      <w:r w:rsidR="001F2040">
        <w:rPr>
          <w:lang w:val="en-GB"/>
        </w:rPr>
        <w:t xml:space="preserve">tested </w:t>
      </w:r>
      <w:r w:rsidR="001F2040" w:rsidRPr="009F57CF">
        <w:rPr>
          <w:lang w:val="en-GB"/>
        </w:rPr>
        <w:t>concentration</w:t>
      </w:r>
      <w:r w:rsidR="001F2040">
        <w:rPr>
          <w:lang w:val="en-GB"/>
        </w:rPr>
        <w:t>s</w:t>
      </w:r>
      <w:r w:rsidR="001F2040" w:rsidRPr="009F57CF">
        <w:rPr>
          <w:lang w:val="en-GB"/>
        </w:rPr>
        <w:t xml:space="preserve"> of the </w:t>
      </w:r>
      <w:r w:rsidR="001F2040">
        <w:rPr>
          <w:lang w:val="en-GB"/>
        </w:rPr>
        <w:t>metals</w:t>
      </w:r>
      <w:r w:rsidR="001F2040" w:rsidRPr="009F57CF">
        <w:rPr>
          <w:lang w:val="en-GB"/>
        </w:rPr>
        <w:t xml:space="preserve"> and the development of the </w:t>
      </w:r>
      <w:r w:rsidR="001F2040">
        <w:rPr>
          <w:lang w:val="en-GB"/>
        </w:rPr>
        <w:t>plants, an</w:t>
      </w:r>
      <w:r w:rsidR="001F2040" w:rsidRPr="009F57CF">
        <w:rPr>
          <w:lang w:val="en-GB"/>
        </w:rPr>
        <w:t xml:space="preserve"> ANOVA </w:t>
      </w:r>
      <w:r w:rsidR="001F2040">
        <w:rPr>
          <w:lang w:val="en-GB"/>
        </w:rPr>
        <w:t xml:space="preserve">analysis </w:t>
      </w:r>
      <w:r w:rsidR="001F2040" w:rsidRPr="009F57CF">
        <w:rPr>
          <w:lang w:val="en-GB"/>
        </w:rPr>
        <w:t>was performed</w:t>
      </w:r>
      <w:r w:rsidR="001F2040">
        <w:rPr>
          <w:lang w:val="en-GB"/>
        </w:rPr>
        <w:t xml:space="preserve"> on the morphology data. </w:t>
      </w:r>
      <w:r w:rsidR="00833A69" w:rsidRPr="009F57CF">
        <w:t xml:space="preserve">Dunnett's multiple comparison test was </w:t>
      </w:r>
      <w:r w:rsidR="00DC358F">
        <w:t>conducted</w:t>
      </w:r>
      <w:r w:rsidR="00833A69" w:rsidRPr="009F57CF">
        <w:t xml:space="preserve"> to analyze significant differences among means of each treatment and control.</w:t>
      </w:r>
      <w:r w:rsidR="00F238F3" w:rsidRPr="009F57CF">
        <w:t xml:space="preserve"> </w:t>
      </w:r>
      <w:r w:rsidR="005E0140" w:rsidRPr="00615E01">
        <w:rPr>
          <w:lang w:val="en-GB"/>
        </w:rPr>
        <w:t xml:space="preserve">Differences </w:t>
      </w:r>
      <w:r w:rsidR="00615E01" w:rsidRPr="00615E01">
        <w:rPr>
          <w:lang w:val="en-GB"/>
        </w:rPr>
        <w:t>were</w:t>
      </w:r>
      <w:r w:rsidR="001F2040">
        <w:rPr>
          <w:lang w:val="en-GB"/>
        </w:rPr>
        <w:t xml:space="preserve"> </w:t>
      </w:r>
      <w:r w:rsidR="00615E01" w:rsidRPr="00DC358F">
        <w:rPr>
          <w:lang w:val="en-GB"/>
        </w:rPr>
        <w:t>considered significant when p &lt; 0.05.</w:t>
      </w:r>
      <w:r w:rsidR="001F2040" w:rsidRPr="00DC358F">
        <w:rPr>
          <w:lang w:val="en-GB"/>
        </w:rPr>
        <w:t xml:space="preserve"> </w:t>
      </w:r>
      <w:r w:rsidR="005E03CE" w:rsidRPr="00DC358F">
        <w:rPr>
          <w:lang w:val="en-GB"/>
        </w:rPr>
        <w:t>Simple r</w:t>
      </w:r>
      <w:r w:rsidR="000C634F" w:rsidRPr="00DC358F">
        <w:rPr>
          <w:lang w:val="en-GB"/>
        </w:rPr>
        <w:t xml:space="preserve">egression </w:t>
      </w:r>
      <w:r w:rsidR="005E03CE" w:rsidRPr="00DC358F">
        <w:rPr>
          <w:lang w:val="en-GB"/>
        </w:rPr>
        <w:t>analysis was</w:t>
      </w:r>
      <w:r w:rsidR="00DC358F" w:rsidRPr="00DC358F">
        <w:rPr>
          <w:lang w:val="en-GB"/>
        </w:rPr>
        <w:t xml:space="preserve"> used to assess possible models to describe the concentration effect on morphological parameters of </w:t>
      </w:r>
      <w:r w:rsidR="00DC358F" w:rsidRPr="00DC358F">
        <w:rPr>
          <w:i/>
          <w:lang w:val="en-GB"/>
        </w:rPr>
        <w:t xml:space="preserve">Lolium perenne. </w:t>
      </w:r>
      <w:r w:rsidR="00DC358F" w:rsidRPr="00DC358F">
        <w:rPr>
          <w:lang w:val="en-GB"/>
        </w:rPr>
        <w:t xml:space="preserve">The statistical analyses were performed using </w:t>
      </w:r>
      <w:r w:rsidR="001F2040" w:rsidRPr="00DC358F">
        <w:rPr>
          <w:lang w:val="en-GB"/>
        </w:rPr>
        <w:t xml:space="preserve">Statgraphics </w:t>
      </w:r>
      <w:r w:rsidR="00DC358F" w:rsidRPr="00DC358F">
        <w:rPr>
          <w:lang w:val="en-GB"/>
        </w:rPr>
        <w:t xml:space="preserve">Centurion XVI and GraphPad Prism 5.0 </w:t>
      </w:r>
      <w:r w:rsidR="001F2040" w:rsidRPr="00DC358F">
        <w:rPr>
          <w:lang w:val="en-GB"/>
        </w:rPr>
        <w:t>software.</w:t>
      </w:r>
      <w:r w:rsidR="001F2040" w:rsidRPr="009F57CF">
        <w:rPr>
          <w:lang w:val="en-GB"/>
        </w:rPr>
        <w:t xml:space="preserve"> </w:t>
      </w:r>
    </w:p>
    <w:p w:rsidR="00435F2E" w:rsidRPr="009F57CF" w:rsidRDefault="00DE6095" w:rsidP="00DE6095">
      <w:pPr>
        <w:pStyle w:val="CETHeading1"/>
      </w:pPr>
      <w:r w:rsidRPr="009F57CF">
        <w:t>Results</w:t>
      </w:r>
    </w:p>
    <w:p w:rsidR="00DE6095" w:rsidRPr="009F57CF" w:rsidRDefault="00264BCB" w:rsidP="00264BCB">
      <w:pPr>
        <w:pStyle w:val="CETheadingx"/>
      </w:pPr>
      <w:r w:rsidRPr="009F57CF">
        <w:t xml:space="preserve">Effect of cadmium and mercury on </w:t>
      </w:r>
      <w:r w:rsidRPr="009F57CF">
        <w:rPr>
          <w:i/>
        </w:rPr>
        <w:t>Lolium perenne</w:t>
      </w:r>
      <w:r w:rsidRPr="009F57CF">
        <w:t xml:space="preserve"> germination</w:t>
      </w:r>
    </w:p>
    <w:p w:rsidR="00B21E52" w:rsidRDefault="003B58AD" w:rsidP="00B21E52">
      <w:pPr>
        <w:pStyle w:val="CETBodytext"/>
      </w:pPr>
      <w:r>
        <w:t>The g</w:t>
      </w:r>
      <w:r w:rsidR="00E61A94">
        <w:t xml:space="preserve">ermination rate was reported daily during </w:t>
      </w:r>
      <w:r>
        <w:t xml:space="preserve">the </w:t>
      </w:r>
      <w:r w:rsidR="00E61A94">
        <w:t>14 d of the experiment. Figure 1</w:t>
      </w:r>
      <w:r w:rsidR="00E61A94" w:rsidRPr="00E61A94">
        <w:t xml:space="preserve"> shows the germination rate</w:t>
      </w:r>
      <w:r>
        <w:t xml:space="preserve"> (%)</w:t>
      </w:r>
      <w:r w:rsidR="00E61A94" w:rsidRPr="00E61A94">
        <w:t xml:space="preserve"> of </w:t>
      </w:r>
      <w:r w:rsidR="00E61A94" w:rsidRPr="00E61A94">
        <w:rPr>
          <w:i/>
        </w:rPr>
        <w:t>Lolium perenne</w:t>
      </w:r>
      <w:r w:rsidR="00E61A94" w:rsidRPr="00E61A94">
        <w:t xml:space="preserve"> </w:t>
      </w:r>
      <w:r>
        <w:t xml:space="preserve">seeds </w:t>
      </w:r>
      <w:r w:rsidR="00E61A94" w:rsidRPr="00E61A94">
        <w:t>exposed to different Cd</w:t>
      </w:r>
      <w:r w:rsidR="00E61A94" w:rsidRPr="003B58AD">
        <w:rPr>
          <w:vertAlign w:val="superscript"/>
        </w:rPr>
        <w:t>2+</w:t>
      </w:r>
      <w:r w:rsidR="00E61A94" w:rsidRPr="00E61A94">
        <w:t xml:space="preserve"> </w:t>
      </w:r>
      <w:r w:rsidR="00E61A94">
        <w:t>and Hg</w:t>
      </w:r>
      <w:r w:rsidR="00E61A94" w:rsidRPr="003B58AD">
        <w:rPr>
          <w:vertAlign w:val="superscript"/>
        </w:rPr>
        <w:t xml:space="preserve">2+ </w:t>
      </w:r>
      <w:r w:rsidR="00E61A94" w:rsidRPr="00E61A94">
        <w:t>concentrations</w:t>
      </w:r>
      <w:r w:rsidR="00E61A94">
        <w:t>.</w:t>
      </w:r>
      <w:r>
        <w:t xml:space="preserve"> In order to assess the effect of the metals on the germination rate in comparison to the control seeds, </w:t>
      </w:r>
      <w:r w:rsidRPr="00E61A94">
        <w:t>ANOVA and Dunnett's multiple comparison test</w:t>
      </w:r>
      <w:r>
        <w:t xml:space="preserve"> were performed </w:t>
      </w:r>
      <w:r w:rsidR="00F81E29">
        <w:t>when the</w:t>
      </w:r>
      <w:r w:rsidR="00E61A94">
        <w:t xml:space="preserve"> first</w:t>
      </w:r>
      <w:r>
        <w:t xml:space="preserve"> germinated seed</w:t>
      </w:r>
      <w:r w:rsidR="00E61A94">
        <w:t xml:space="preserve"> </w:t>
      </w:r>
      <w:r w:rsidR="00F81E29">
        <w:t xml:space="preserve">was </w:t>
      </w:r>
      <w:r w:rsidR="00E61A94">
        <w:t xml:space="preserve">observed in control </w:t>
      </w:r>
      <w:r>
        <w:t>group</w:t>
      </w:r>
      <w:r w:rsidR="00E61A94">
        <w:t>,</w:t>
      </w:r>
      <w:r>
        <w:t xml:space="preserve"> when the 50 % of emergence was observed in control seeds, and after 14 d. </w:t>
      </w:r>
      <w:r w:rsidR="007B6C4F">
        <w:t xml:space="preserve">The germination of </w:t>
      </w:r>
      <w:r w:rsidR="000E6E54">
        <w:t xml:space="preserve">the </w:t>
      </w:r>
      <w:r w:rsidR="007B6C4F">
        <w:t>c</w:t>
      </w:r>
      <w:r w:rsidR="00E307C2" w:rsidRPr="009F57CF">
        <w:t xml:space="preserve">ontrol </w:t>
      </w:r>
      <w:r w:rsidR="0056079D" w:rsidRPr="009F57CF">
        <w:t xml:space="preserve">seeds </w:t>
      </w:r>
      <w:r w:rsidR="007B6C4F">
        <w:t xml:space="preserve">started after 4 d (12.7 </w:t>
      </w:r>
      <w:r w:rsidR="007B6C4F">
        <w:rPr>
          <w:rFonts w:cs="Arial"/>
        </w:rPr>
        <w:t>±</w:t>
      </w:r>
      <w:r w:rsidR="007B6C4F">
        <w:t xml:space="preserve"> 4.7 %). A later </w:t>
      </w:r>
      <w:r w:rsidR="00E61A94">
        <w:t xml:space="preserve">beginning of </w:t>
      </w:r>
      <w:r w:rsidR="007B6C4F">
        <w:t>germination was observed in treated seeds, suggesting a significant effect of the tested concentrations of Cd</w:t>
      </w:r>
      <w:r w:rsidR="007B6C4F" w:rsidRPr="007B6C4F">
        <w:rPr>
          <w:vertAlign w:val="superscript"/>
        </w:rPr>
        <w:t>2+</w:t>
      </w:r>
      <w:r w:rsidR="007B6C4F">
        <w:t xml:space="preserve"> (</w:t>
      </w:r>
      <w:r w:rsidR="00E61A94">
        <w:t>p</w:t>
      </w:r>
      <w:r w:rsidR="007B6C4F">
        <w:t>&lt;0.0001; F</w:t>
      </w:r>
      <w:r w:rsidR="00CF751B">
        <w:t xml:space="preserve"> </w:t>
      </w:r>
      <w:r w:rsidR="007B6C4F">
        <w:t>=</w:t>
      </w:r>
      <w:r w:rsidR="00CF751B">
        <w:t xml:space="preserve"> </w:t>
      </w:r>
      <w:r w:rsidR="007B6C4F">
        <w:t>25.7) and Hg</w:t>
      </w:r>
      <w:r w:rsidR="007B6C4F" w:rsidRPr="007B6C4F">
        <w:rPr>
          <w:vertAlign w:val="superscript"/>
        </w:rPr>
        <w:t>2+</w:t>
      </w:r>
      <w:r w:rsidR="007B6C4F">
        <w:t xml:space="preserve"> (</w:t>
      </w:r>
      <w:r w:rsidR="00E61A94">
        <w:t>p</w:t>
      </w:r>
      <w:r w:rsidR="007B6C4F">
        <w:t>&lt;0.0001; F=</w:t>
      </w:r>
      <w:r w:rsidR="00CF751B">
        <w:t xml:space="preserve"> </w:t>
      </w:r>
      <w:r w:rsidR="007B6C4F">
        <w:t xml:space="preserve">34.3) on the time of emergence of </w:t>
      </w:r>
      <w:r w:rsidR="007B6C4F" w:rsidRPr="00462B51">
        <w:rPr>
          <w:i/>
        </w:rPr>
        <w:t>Lolium perenne</w:t>
      </w:r>
      <w:r w:rsidR="000E6E54">
        <w:t xml:space="preserve"> seeds</w:t>
      </w:r>
      <w:r w:rsidR="007B6C4F">
        <w:rPr>
          <w:i/>
        </w:rPr>
        <w:t>.</w:t>
      </w:r>
      <w:r w:rsidR="000C634F">
        <w:t xml:space="preserve"> An emergence</w:t>
      </w:r>
      <w:r w:rsidR="00F81E29">
        <w:t xml:space="preserve"> rate</w:t>
      </w:r>
      <w:r w:rsidR="000C634F">
        <w:t xml:space="preserve"> </w:t>
      </w:r>
      <w:r w:rsidR="000E6E54" w:rsidRPr="000E6E54">
        <w:t xml:space="preserve">greater than </w:t>
      </w:r>
      <w:r w:rsidR="000C634F">
        <w:t>50</w:t>
      </w:r>
      <w:r w:rsidR="000E6E54">
        <w:t xml:space="preserve"> </w:t>
      </w:r>
      <w:r w:rsidR="000C634F">
        <w:t xml:space="preserve">% was observed </w:t>
      </w:r>
      <w:r w:rsidR="000E6E54">
        <w:t xml:space="preserve">in the control seeds </w:t>
      </w:r>
      <w:r w:rsidR="000C634F">
        <w:t>after 7 d.</w:t>
      </w:r>
      <w:r w:rsidR="00794696">
        <w:t xml:space="preserve"> </w:t>
      </w:r>
      <w:r w:rsidR="00F81E29">
        <w:t xml:space="preserve">The seeds exposed to </w:t>
      </w:r>
      <w:r w:rsidR="00794696">
        <w:t>Cd</w:t>
      </w:r>
      <w:r w:rsidR="00794696" w:rsidRPr="00794696">
        <w:rPr>
          <w:vertAlign w:val="superscript"/>
        </w:rPr>
        <w:t>2+</w:t>
      </w:r>
      <w:r w:rsidR="00794696">
        <w:t xml:space="preserve"> emerged </w:t>
      </w:r>
      <w:r w:rsidR="00CF751B">
        <w:t>more than</w:t>
      </w:r>
      <w:r w:rsidR="00794696">
        <w:t xml:space="preserve"> 50</w:t>
      </w:r>
      <w:r w:rsidR="000E6E54">
        <w:t xml:space="preserve"> </w:t>
      </w:r>
      <w:r w:rsidR="00794696">
        <w:t xml:space="preserve">% except for </w:t>
      </w:r>
      <w:r w:rsidR="00CF751B">
        <w:t xml:space="preserve">the </w:t>
      </w:r>
      <w:r w:rsidR="00794696">
        <w:t>25 mg/L Cd</w:t>
      </w:r>
      <w:r w:rsidR="000E6E54" w:rsidRPr="00794696">
        <w:rPr>
          <w:vertAlign w:val="superscript"/>
        </w:rPr>
        <w:t>2+</w:t>
      </w:r>
      <w:r w:rsidR="00794696">
        <w:t xml:space="preserve"> </w:t>
      </w:r>
      <w:r w:rsidR="00CF751B">
        <w:t xml:space="preserve">treatment </w:t>
      </w:r>
      <w:r w:rsidR="00794696">
        <w:t>(</w:t>
      </w:r>
      <w:r w:rsidR="00CF751B">
        <w:t>38,</w:t>
      </w:r>
      <w:r w:rsidR="000E6E54">
        <w:t xml:space="preserve">7 </w:t>
      </w:r>
      <w:r w:rsidR="000E6E54">
        <w:rPr>
          <w:rFonts w:cs="Arial"/>
        </w:rPr>
        <w:t>±</w:t>
      </w:r>
      <w:r w:rsidR="000E6E54">
        <w:t xml:space="preserve"> 7.8 %</w:t>
      </w:r>
      <w:r w:rsidR="00794696">
        <w:t>)</w:t>
      </w:r>
      <w:r w:rsidR="000E6E54">
        <w:t>, which means a significant inhibitory potential of 42.5% on seed</w:t>
      </w:r>
      <w:r w:rsidR="00CF751B">
        <w:t>s</w:t>
      </w:r>
      <w:r w:rsidR="000E6E54">
        <w:t xml:space="preserve"> emergence in comparison to</w:t>
      </w:r>
      <w:r w:rsidR="00CF751B">
        <w:t xml:space="preserve"> the</w:t>
      </w:r>
      <w:r w:rsidR="000E6E54">
        <w:t xml:space="preserve"> </w:t>
      </w:r>
      <w:r w:rsidR="00794696">
        <w:t xml:space="preserve">control </w:t>
      </w:r>
      <w:r w:rsidR="000E6E54">
        <w:t xml:space="preserve">seeds </w:t>
      </w:r>
      <w:r w:rsidR="00794696">
        <w:t>(</w:t>
      </w:r>
      <w:r w:rsidR="00E61A94">
        <w:t>p</w:t>
      </w:r>
      <w:r w:rsidR="00CF751B">
        <w:t xml:space="preserve"> = 0.004; F = 3.9</w:t>
      </w:r>
      <w:r w:rsidR="00794696">
        <w:t>).</w:t>
      </w:r>
      <w:r w:rsidR="000E6E54">
        <w:t xml:space="preserve"> </w:t>
      </w:r>
      <w:r w:rsidR="00794696">
        <w:t xml:space="preserve">At </w:t>
      </w:r>
      <w:r w:rsidR="000E6E54">
        <w:t xml:space="preserve">the same </w:t>
      </w:r>
      <w:r w:rsidR="00CF751B">
        <w:t>experiment</w:t>
      </w:r>
      <w:r w:rsidR="000E6E54">
        <w:t xml:space="preserve"> time,</w:t>
      </w:r>
      <w:r w:rsidR="00794696">
        <w:t xml:space="preserve"> Hg</w:t>
      </w:r>
      <w:r w:rsidR="00794696" w:rsidRPr="00794696">
        <w:rPr>
          <w:vertAlign w:val="superscript"/>
        </w:rPr>
        <w:t>2+</w:t>
      </w:r>
      <w:r w:rsidR="00794696">
        <w:t xml:space="preserve"> treated seeds emerged from 50</w:t>
      </w:r>
      <w:r w:rsidR="000E6E54">
        <w:t>.0 to</w:t>
      </w:r>
      <w:r w:rsidR="00794696">
        <w:t xml:space="preserve"> 58.7</w:t>
      </w:r>
      <w:r w:rsidR="000E6E54">
        <w:t xml:space="preserve"> %</w:t>
      </w:r>
      <w:r w:rsidR="00794696">
        <w:t xml:space="preserve"> without significant differences to </w:t>
      </w:r>
      <w:r w:rsidR="00CF751B">
        <w:t xml:space="preserve">the </w:t>
      </w:r>
      <w:r w:rsidR="00794696">
        <w:t>control</w:t>
      </w:r>
      <w:r w:rsidR="000E6E54">
        <w:t xml:space="preserve"> seeds</w:t>
      </w:r>
      <w:r w:rsidR="00794696">
        <w:t xml:space="preserve"> (</w:t>
      </w:r>
      <w:r w:rsidR="00E61A94">
        <w:t>p</w:t>
      </w:r>
      <w:r w:rsidR="00CF751B">
        <w:t xml:space="preserve"> = 0.235</w:t>
      </w:r>
      <w:r w:rsidR="00794696">
        <w:t>)</w:t>
      </w:r>
      <w:r w:rsidR="00CF751B">
        <w:t>.</w:t>
      </w:r>
      <w:r w:rsidR="00D356F0">
        <w:t xml:space="preserve"> </w:t>
      </w:r>
      <w:r w:rsidR="00F81E29">
        <w:t>C</w:t>
      </w:r>
      <w:r w:rsidR="00CF751B" w:rsidRPr="009F57CF">
        <w:t xml:space="preserve">ontrol seeds </w:t>
      </w:r>
      <w:r w:rsidR="0056079D" w:rsidRPr="009F57CF">
        <w:t>showed a maximum germination</w:t>
      </w:r>
      <w:r w:rsidR="005C3D7C" w:rsidRPr="009F57CF">
        <w:t xml:space="preserve"> </w:t>
      </w:r>
      <w:r w:rsidR="005C3D7C" w:rsidRPr="009F57CF">
        <w:lastRenderedPageBreak/>
        <w:t xml:space="preserve">index of </w:t>
      </w:r>
      <w:r w:rsidR="00503A2F">
        <w:t>78</w:t>
      </w:r>
      <w:r w:rsidR="004D4689" w:rsidRPr="009F57CF">
        <w:t>.</w:t>
      </w:r>
      <w:r w:rsidR="00503A2F">
        <w:t xml:space="preserve">7 </w:t>
      </w:r>
      <w:r w:rsidR="00503A2F">
        <w:rPr>
          <w:rFonts w:cs="Arial"/>
        </w:rPr>
        <w:t>±</w:t>
      </w:r>
      <w:r w:rsidR="00503A2F">
        <w:t xml:space="preserve"> 4.8 </w:t>
      </w:r>
      <w:r w:rsidR="004D4689" w:rsidRPr="009F57CF">
        <w:t xml:space="preserve">% </w:t>
      </w:r>
      <w:r w:rsidR="00503A2F">
        <w:t xml:space="preserve">after 14 d of the experiment. </w:t>
      </w:r>
      <w:r w:rsidR="00CF751B">
        <w:t>Cd</w:t>
      </w:r>
      <w:r w:rsidR="00F81E29" w:rsidRPr="00794696">
        <w:rPr>
          <w:vertAlign w:val="superscript"/>
        </w:rPr>
        <w:t>2+</w:t>
      </w:r>
      <w:r w:rsidR="00F81E29">
        <w:t xml:space="preserve"> had a significant effect </w:t>
      </w:r>
      <w:r w:rsidR="00503A2F">
        <w:t>(</w:t>
      </w:r>
      <w:r w:rsidR="00E61A94">
        <w:t>p</w:t>
      </w:r>
      <w:r w:rsidR="00F81E29">
        <w:t xml:space="preserve"> = 0.015; F = 3.16) for the</w:t>
      </w:r>
      <w:r w:rsidR="00B21E52">
        <w:t xml:space="preserve"> 25 mg/L</w:t>
      </w:r>
      <w:r w:rsidR="00F81E29">
        <w:t xml:space="preserve"> treatment</w:t>
      </w:r>
      <w:r w:rsidR="00503A2F">
        <w:t xml:space="preserve"> </w:t>
      </w:r>
      <w:r w:rsidR="00F81E29">
        <w:t>(</w:t>
      </w:r>
      <w:r w:rsidR="00503A2F">
        <w:t xml:space="preserve">59.3 </w:t>
      </w:r>
      <w:r w:rsidR="00503A2F">
        <w:rPr>
          <w:rFonts w:cs="Arial"/>
        </w:rPr>
        <w:t>±</w:t>
      </w:r>
      <w:r w:rsidR="00503A2F">
        <w:t xml:space="preserve"> 4.68 </w:t>
      </w:r>
      <w:r w:rsidR="00503A2F" w:rsidRPr="009F57CF">
        <w:t>%</w:t>
      </w:r>
      <w:r w:rsidR="00F81E29">
        <w:t xml:space="preserve">), which posed an inhibitory effect on the seeds emergence </w:t>
      </w:r>
      <w:r w:rsidR="00B21E52">
        <w:t>of 24.7 %</w:t>
      </w:r>
      <w:r w:rsidR="00F81E29">
        <w:t>. The m</w:t>
      </w:r>
      <w:r w:rsidR="00E115FF">
        <w:t>aximum germination index of Hg</w:t>
      </w:r>
      <w:r w:rsidR="00F81E29" w:rsidRPr="00794696">
        <w:rPr>
          <w:vertAlign w:val="superscript"/>
        </w:rPr>
        <w:t>2+</w:t>
      </w:r>
      <w:r w:rsidR="00F81E29">
        <w:t xml:space="preserve"> </w:t>
      </w:r>
      <w:r w:rsidR="00E115FF">
        <w:t xml:space="preserve">treated seeds was lower than average germination of control seeds, ranging from </w:t>
      </w:r>
      <w:r w:rsidR="00B21E52">
        <w:t xml:space="preserve"> 60.7 to 73.3 </w:t>
      </w:r>
      <w:r w:rsidR="00B21E52" w:rsidRPr="009F57CF">
        <w:t>%</w:t>
      </w:r>
      <w:r w:rsidR="00E115FF">
        <w:t xml:space="preserve">, </w:t>
      </w:r>
      <w:r w:rsidR="00D356F0" w:rsidRPr="00D356F0">
        <w:t>however</w:t>
      </w:r>
      <w:r w:rsidR="00D356F0">
        <w:t>,</w:t>
      </w:r>
      <w:r w:rsidR="00E115FF">
        <w:t xml:space="preserve"> significant differences were not considered (</w:t>
      </w:r>
      <w:r w:rsidR="00E61A94">
        <w:t>p</w:t>
      </w:r>
      <w:r w:rsidR="00E115FF">
        <w:t xml:space="preserve"> = </w:t>
      </w:r>
      <w:r w:rsidR="00E115FF" w:rsidRPr="00B21E52">
        <w:t>0.070</w:t>
      </w:r>
      <w:r w:rsidR="00E115FF">
        <w:t>; F = 2.17).</w:t>
      </w:r>
    </w:p>
    <w:p w:rsidR="00B21E52" w:rsidRDefault="00B21E52" w:rsidP="00146FA1">
      <w:pPr>
        <w:pStyle w:val="CETBodytext"/>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3"/>
        <w:gridCol w:w="4364"/>
      </w:tblGrid>
      <w:tr w:rsidR="00517873" w:rsidTr="00517873">
        <w:tc>
          <w:tcPr>
            <w:tcW w:w="4388" w:type="dxa"/>
          </w:tcPr>
          <w:p w:rsidR="00517873" w:rsidRDefault="00517873" w:rsidP="00146FA1">
            <w:pPr>
              <w:pStyle w:val="CETBodytext"/>
            </w:pPr>
            <w:r>
              <w:t>a</w:t>
            </w:r>
          </w:p>
          <w:p w:rsidR="00517873" w:rsidRDefault="006431EA" w:rsidP="00146FA1">
            <w:pPr>
              <w:pStyle w:val="CETBodytext"/>
            </w:pPr>
            <w:r w:rsidRPr="006431EA">
              <w:rPr>
                <w:noProof/>
              </w:rPr>
              <w:drawing>
                <wp:inline distT="0" distB="0" distL="0" distR="0">
                  <wp:extent cx="2714827" cy="1896745"/>
                  <wp:effectExtent l="0" t="0" r="9525" b="8255"/>
                  <wp:docPr id="8" name="Imagen 8" descr="D:\Desktop\CADMI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esktop\CADMIO.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8014" cy="1919932"/>
                          </a:xfrm>
                          <a:prstGeom prst="rect">
                            <a:avLst/>
                          </a:prstGeom>
                          <a:noFill/>
                          <a:ln>
                            <a:noFill/>
                          </a:ln>
                        </pic:spPr>
                      </pic:pic>
                    </a:graphicData>
                  </a:graphic>
                </wp:inline>
              </w:drawing>
            </w:r>
          </w:p>
        </w:tc>
        <w:tc>
          <w:tcPr>
            <w:tcW w:w="4389" w:type="dxa"/>
          </w:tcPr>
          <w:p w:rsidR="00517873" w:rsidRDefault="006431EA" w:rsidP="00146FA1">
            <w:pPr>
              <w:pStyle w:val="CETBodytext"/>
            </w:pPr>
            <w:r>
              <w:t>b</w:t>
            </w:r>
          </w:p>
          <w:p w:rsidR="00517873" w:rsidRDefault="00517873" w:rsidP="00146FA1">
            <w:pPr>
              <w:pStyle w:val="CETBodytext"/>
            </w:pPr>
            <w:r w:rsidRPr="00517873">
              <w:rPr>
                <w:noProof/>
              </w:rPr>
              <w:drawing>
                <wp:inline distT="0" distB="0" distL="0" distR="0">
                  <wp:extent cx="2682815" cy="1896762"/>
                  <wp:effectExtent l="0" t="0" r="3810" b="8255"/>
                  <wp:docPr id="4" name="Imagen 4" descr="D:\Desktop\MERCURI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sktop\MERCURIO.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06331" cy="1913388"/>
                          </a:xfrm>
                          <a:prstGeom prst="rect">
                            <a:avLst/>
                          </a:prstGeom>
                          <a:noFill/>
                          <a:ln>
                            <a:noFill/>
                          </a:ln>
                        </pic:spPr>
                      </pic:pic>
                    </a:graphicData>
                  </a:graphic>
                </wp:inline>
              </w:drawing>
            </w:r>
          </w:p>
        </w:tc>
      </w:tr>
    </w:tbl>
    <w:p w:rsidR="009C2D81" w:rsidRPr="009F57CF" w:rsidRDefault="009C2D81" w:rsidP="009C2D81">
      <w:pPr>
        <w:pStyle w:val="CETCaption"/>
      </w:pPr>
      <w:bookmarkStart w:id="0" w:name="OLE_LINK1"/>
      <w:r w:rsidRPr="009F57CF">
        <w:t xml:space="preserve">Figure </w:t>
      </w:r>
      <w:r w:rsidR="00DA1623" w:rsidRPr="009F57CF">
        <w:t>1</w:t>
      </w:r>
      <w:r w:rsidRPr="009F57CF">
        <w:t xml:space="preserve">: </w:t>
      </w:r>
      <w:r w:rsidR="00DA1623" w:rsidRPr="009F57CF">
        <w:t>Germination rate of Lolium perenne</w:t>
      </w:r>
      <w:r w:rsidR="00D356F0">
        <w:t>. a)</w:t>
      </w:r>
      <w:r w:rsidR="00DA1623" w:rsidRPr="009F57CF">
        <w:t xml:space="preserve"> seeds under Cd</w:t>
      </w:r>
      <w:r w:rsidR="00DA1623" w:rsidRPr="009F57CF">
        <w:rPr>
          <w:vertAlign w:val="superscript"/>
        </w:rPr>
        <w:t>2+</w:t>
      </w:r>
      <w:r w:rsidR="00DA1623" w:rsidRPr="009F57CF">
        <w:t xml:space="preserve"> exposure</w:t>
      </w:r>
      <w:r w:rsidR="00D356F0">
        <w:t xml:space="preserve">, b) </w:t>
      </w:r>
      <w:r w:rsidR="00D356F0" w:rsidRPr="009F57CF">
        <w:t>seeds under Hg</w:t>
      </w:r>
      <w:r w:rsidR="00D356F0" w:rsidRPr="009F57CF">
        <w:rPr>
          <w:vertAlign w:val="superscript"/>
        </w:rPr>
        <w:t>2+</w:t>
      </w:r>
      <w:r w:rsidR="00D356F0">
        <w:rPr>
          <w:vertAlign w:val="superscript"/>
        </w:rPr>
        <w:t xml:space="preserve"> </w:t>
      </w:r>
      <w:r w:rsidR="00D356F0" w:rsidRPr="009F57CF">
        <w:t xml:space="preserve">exposure </w:t>
      </w:r>
    </w:p>
    <w:p w:rsidR="00191052" w:rsidRDefault="00C742D2" w:rsidP="00191052">
      <w:pPr>
        <w:pStyle w:val="CETBodytext"/>
      </w:pPr>
      <w:r w:rsidRPr="009F57CF">
        <w:t>The first process of exchange of the seeds with the surrounding medium occurs in the germination stage</w:t>
      </w:r>
      <w:r>
        <w:t xml:space="preserve"> </w:t>
      </w:r>
      <w:r>
        <w:rPr>
          <w:noProof/>
        </w:rPr>
        <w:t>(</w:t>
      </w:r>
      <w:r w:rsidRPr="009F57CF">
        <w:rPr>
          <w:noProof/>
        </w:rPr>
        <w:t>Guerrero et al., 2014)</w:t>
      </w:r>
      <w:r>
        <w:t>,</w:t>
      </w:r>
      <w:r w:rsidRPr="009F57CF">
        <w:t xml:space="preserve"> and it is in this stage where the changes of the environmental conditions turn out to have a greater impact due to the sensitivity of the seeds </w:t>
      </w:r>
      <w:r w:rsidRPr="009F57CF">
        <w:rPr>
          <w:noProof/>
        </w:rPr>
        <w:t>(Shah et al., 2010</w:t>
      </w:r>
      <w:r>
        <w:rPr>
          <w:noProof/>
        </w:rPr>
        <w:t xml:space="preserve">). The toxicity of Hg on seed germination was asessed by Morales and Gallego (2013) on the grass </w:t>
      </w:r>
      <w:r>
        <w:rPr>
          <w:i/>
          <w:noProof/>
        </w:rPr>
        <w:t>Brachiaria dictyonerura</w:t>
      </w:r>
      <w:r>
        <w:rPr>
          <w:noProof/>
        </w:rPr>
        <w:t xml:space="preserve">, and significant differences were found for 50 and 75 mg/L Hg </w:t>
      </w:r>
      <w:r w:rsidRPr="00E71F67">
        <w:rPr>
          <w:noProof/>
          <w:vertAlign w:val="superscript"/>
        </w:rPr>
        <w:t>2+</w:t>
      </w:r>
      <w:r>
        <w:rPr>
          <w:noProof/>
        </w:rPr>
        <w:t xml:space="preserve">. Cd2+ toxicity </w:t>
      </w:r>
      <w:r w:rsidR="00517873">
        <w:rPr>
          <w:noProof/>
        </w:rPr>
        <w:t xml:space="preserve">was reported on seed germination of rice and alfalfa plants by </w:t>
      </w:r>
      <w:r w:rsidR="00517873" w:rsidRPr="00517873">
        <w:rPr>
          <w:noProof/>
        </w:rPr>
        <w:t>Al-Helal, A. A. (1995).</w:t>
      </w:r>
      <w:r w:rsidR="00517873">
        <w:rPr>
          <w:noProof/>
        </w:rPr>
        <w:t xml:space="preserve"> </w:t>
      </w:r>
      <w:r>
        <w:rPr>
          <w:noProof/>
        </w:rPr>
        <w:t>In this study was found that t</w:t>
      </w:r>
      <w:r w:rsidR="00E75892">
        <w:t>he final germination percentage</w:t>
      </w:r>
      <w:r w:rsidR="005E0E1E">
        <w:t xml:space="preserve"> (FGP) and</w:t>
      </w:r>
      <w:r w:rsidR="00E75892">
        <w:t xml:space="preserve"> </w:t>
      </w:r>
      <w:r w:rsidR="005E0E1E">
        <w:t xml:space="preserve">velocity germination Index (VGI) </w:t>
      </w:r>
      <w:r w:rsidR="00E75892">
        <w:t>w</w:t>
      </w:r>
      <w:r w:rsidR="005E0E1E">
        <w:t>ere</w:t>
      </w:r>
      <w:r w:rsidR="00E75892">
        <w:t xml:space="preserve"> different for </w:t>
      </w:r>
      <w:r w:rsidR="005E0E1E">
        <w:t xml:space="preserve">25 </w:t>
      </w:r>
      <w:r w:rsidR="005E0E1E" w:rsidRPr="009F57CF">
        <w:t>mg L</w:t>
      </w:r>
      <w:r w:rsidR="005E0E1E" w:rsidRPr="009F57CF">
        <w:rPr>
          <w:vertAlign w:val="superscript"/>
        </w:rPr>
        <w:t>-1</w:t>
      </w:r>
      <w:r w:rsidR="00E75892">
        <w:t xml:space="preserve"> Cd</w:t>
      </w:r>
      <w:r w:rsidR="00E75892" w:rsidRPr="00794696">
        <w:rPr>
          <w:vertAlign w:val="superscript"/>
        </w:rPr>
        <w:t>2+</w:t>
      </w:r>
      <w:r w:rsidR="00E75892">
        <w:rPr>
          <w:vertAlign w:val="superscript"/>
        </w:rPr>
        <w:t xml:space="preserve"> </w:t>
      </w:r>
      <w:r w:rsidR="00E75892">
        <w:t>treatment. Effects on the average amount of germinated seeds</w:t>
      </w:r>
      <w:r w:rsidR="005E0E1E">
        <w:t xml:space="preserve"> and VGI</w:t>
      </w:r>
      <w:r w:rsidR="00E75892">
        <w:t xml:space="preserve"> were not observed for Hg</w:t>
      </w:r>
      <w:r w:rsidR="00E75892" w:rsidRPr="00E75892">
        <w:rPr>
          <w:vertAlign w:val="superscript"/>
        </w:rPr>
        <w:t>2+</w:t>
      </w:r>
      <w:r w:rsidR="00E75892">
        <w:t xml:space="preserve"> treatments at the conditions of this experiment. Cd</w:t>
      </w:r>
      <w:r w:rsidR="00E75892" w:rsidRPr="00E75892">
        <w:rPr>
          <w:vertAlign w:val="superscript"/>
        </w:rPr>
        <w:t>2+</w:t>
      </w:r>
      <w:r w:rsidR="00E75892">
        <w:t xml:space="preserve"> and Hg</w:t>
      </w:r>
      <w:r w:rsidR="00E75892" w:rsidRPr="00E75892">
        <w:rPr>
          <w:vertAlign w:val="superscript"/>
        </w:rPr>
        <w:t>2+</w:t>
      </w:r>
      <w:r w:rsidR="00E75892">
        <w:t xml:space="preserve"> affected the first day of germination (FDG) at concentrations equal or greater to 0.05 mg/L. </w:t>
      </w:r>
      <w:r w:rsidR="005E0E1E">
        <w:t>The germination parameters are shown in the table 1.</w:t>
      </w:r>
    </w:p>
    <w:p w:rsidR="000761EC" w:rsidRPr="009F57CF" w:rsidRDefault="000761EC" w:rsidP="000761EC">
      <w:pPr>
        <w:pStyle w:val="CETTabletitle"/>
      </w:pPr>
      <w:r w:rsidRPr="009F57CF">
        <w:t xml:space="preserve">Table 1: </w:t>
      </w:r>
      <w:r w:rsidR="00A14CDB" w:rsidRPr="009F57CF">
        <w:t xml:space="preserve">Germination </w:t>
      </w:r>
      <w:r w:rsidR="00191052">
        <w:t xml:space="preserve">parameters of </w:t>
      </w:r>
      <w:r w:rsidR="00191052" w:rsidRPr="009F57CF">
        <w:t>Lolium perenne</w:t>
      </w:r>
      <w:r w:rsidR="00A14CDB" w:rsidRPr="009F57CF">
        <w:t xml:space="preserve"> under Cd</w:t>
      </w:r>
      <w:r w:rsidR="00E75892" w:rsidRPr="009F57CF">
        <w:rPr>
          <w:vertAlign w:val="superscript"/>
        </w:rPr>
        <w:t>2+</w:t>
      </w:r>
      <w:r w:rsidR="00191052">
        <w:t xml:space="preserve"> and Hg</w:t>
      </w:r>
      <w:r w:rsidR="00E75892" w:rsidRPr="009F57CF">
        <w:rPr>
          <w:vertAlign w:val="superscript"/>
        </w:rPr>
        <w:t>2+</w:t>
      </w:r>
      <w:r w:rsidR="00A14CDB" w:rsidRPr="009F57CF">
        <w:t xml:space="preserve"> exposure</w:t>
      </w:r>
    </w:p>
    <w:tbl>
      <w:tblPr>
        <w:tblW w:w="5011"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271"/>
        <w:gridCol w:w="1507"/>
        <w:gridCol w:w="1508"/>
        <w:gridCol w:w="1508"/>
        <w:gridCol w:w="1508"/>
        <w:gridCol w:w="1504"/>
      </w:tblGrid>
      <w:tr w:rsidR="001A56F6" w:rsidRPr="009F57CF" w:rsidTr="001A56F6">
        <w:tc>
          <w:tcPr>
            <w:tcW w:w="722" w:type="pct"/>
            <w:tcBorders>
              <w:top w:val="single" w:sz="12" w:space="0" w:color="008000"/>
              <w:bottom w:val="nil"/>
              <w:right w:val="nil"/>
            </w:tcBorders>
            <w:shd w:val="clear" w:color="auto" w:fill="FFFFFF"/>
          </w:tcPr>
          <w:p w:rsidR="001A56F6" w:rsidRPr="009F57CF" w:rsidRDefault="001A56F6" w:rsidP="001A56F6">
            <w:pPr>
              <w:pStyle w:val="CETBodytext"/>
              <w:jc w:val="center"/>
            </w:pPr>
          </w:p>
        </w:tc>
        <w:tc>
          <w:tcPr>
            <w:tcW w:w="4278" w:type="pct"/>
            <w:gridSpan w:val="5"/>
            <w:tcBorders>
              <w:top w:val="single" w:sz="12" w:space="0" w:color="008000"/>
              <w:left w:val="nil"/>
              <w:bottom w:val="nil"/>
              <w:right w:val="nil"/>
            </w:tcBorders>
            <w:shd w:val="clear" w:color="auto" w:fill="FFFFFF"/>
          </w:tcPr>
          <w:p w:rsidR="001A56F6" w:rsidRPr="009F57CF" w:rsidRDefault="001A56F6" w:rsidP="001B1C90">
            <w:pPr>
              <w:pStyle w:val="CETBodytext"/>
              <w:jc w:val="center"/>
            </w:pPr>
            <w:r>
              <w:rPr>
                <w:lang w:val="en-GB"/>
              </w:rPr>
              <w:t>Parameter</w:t>
            </w:r>
          </w:p>
        </w:tc>
      </w:tr>
      <w:tr w:rsidR="001A56F6" w:rsidRPr="009F57CF" w:rsidTr="001A56F6">
        <w:tc>
          <w:tcPr>
            <w:tcW w:w="722" w:type="pct"/>
            <w:tcBorders>
              <w:top w:val="nil"/>
              <w:bottom w:val="single" w:sz="6" w:space="0" w:color="008000"/>
              <w:right w:val="nil"/>
            </w:tcBorders>
            <w:shd w:val="clear" w:color="auto" w:fill="FFFFFF"/>
          </w:tcPr>
          <w:p w:rsidR="001A56F6" w:rsidRPr="009F57CF" w:rsidRDefault="001A56F6" w:rsidP="001A56F6">
            <w:pPr>
              <w:pStyle w:val="CETBodytext"/>
              <w:rPr>
                <w:lang w:val="en-GB"/>
              </w:rPr>
            </w:pPr>
          </w:p>
        </w:tc>
        <w:tc>
          <w:tcPr>
            <w:tcW w:w="856" w:type="pct"/>
            <w:tcBorders>
              <w:top w:val="single" w:sz="12" w:space="0" w:color="008000"/>
              <w:left w:val="nil"/>
              <w:bottom w:val="single" w:sz="6" w:space="0" w:color="008000"/>
            </w:tcBorders>
            <w:shd w:val="clear" w:color="auto" w:fill="FFFFFF"/>
            <w:vAlign w:val="center"/>
          </w:tcPr>
          <w:p w:rsidR="001A56F6" w:rsidRPr="001A56F6" w:rsidRDefault="002C7851" w:rsidP="001A56F6">
            <w:pPr>
              <w:pStyle w:val="CETBodytext"/>
              <w:jc w:val="left"/>
            </w:pPr>
            <w:r>
              <w:t>FGP (%)</w:t>
            </w:r>
          </w:p>
        </w:tc>
        <w:tc>
          <w:tcPr>
            <w:tcW w:w="856" w:type="pct"/>
            <w:tcBorders>
              <w:top w:val="single" w:sz="12" w:space="0" w:color="008000"/>
              <w:bottom w:val="single" w:sz="6" w:space="0" w:color="008000"/>
            </w:tcBorders>
            <w:shd w:val="clear" w:color="auto" w:fill="FFFFFF"/>
            <w:vAlign w:val="center"/>
          </w:tcPr>
          <w:p w:rsidR="001A56F6" w:rsidRPr="001A56F6" w:rsidRDefault="002C7851" w:rsidP="001A56F6">
            <w:pPr>
              <w:pStyle w:val="CETBodytext"/>
              <w:jc w:val="left"/>
            </w:pPr>
            <w:r>
              <w:t>FDG (d)</w:t>
            </w:r>
          </w:p>
        </w:tc>
        <w:tc>
          <w:tcPr>
            <w:tcW w:w="856" w:type="pct"/>
            <w:tcBorders>
              <w:top w:val="single" w:sz="12" w:space="0" w:color="008000"/>
              <w:bottom w:val="single" w:sz="6" w:space="0" w:color="008000"/>
            </w:tcBorders>
            <w:shd w:val="clear" w:color="auto" w:fill="FFFFFF"/>
            <w:vAlign w:val="center"/>
          </w:tcPr>
          <w:p w:rsidR="001A56F6" w:rsidRPr="001A56F6" w:rsidRDefault="002C7851" w:rsidP="001A56F6">
            <w:pPr>
              <w:pStyle w:val="CETBodytext"/>
              <w:jc w:val="left"/>
            </w:pPr>
            <w:r>
              <w:t>LDG (d)</w:t>
            </w:r>
          </w:p>
        </w:tc>
        <w:tc>
          <w:tcPr>
            <w:tcW w:w="856" w:type="pct"/>
            <w:tcBorders>
              <w:top w:val="single" w:sz="12" w:space="0" w:color="008000"/>
              <w:bottom w:val="single" w:sz="6" w:space="0" w:color="008000"/>
            </w:tcBorders>
            <w:shd w:val="clear" w:color="auto" w:fill="FFFFFF"/>
            <w:vAlign w:val="center"/>
          </w:tcPr>
          <w:p w:rsidR="001A56F6" w:rsidRDefault="002C7851" w:rsidP="001A56F6">
            <w:pPr>
              <w:jc w:val="left"/>
              <w:rPr>
                <w:rFonts w:cs="Arial"/>
                <w:color w:val="000000"/>
                <w:szCs w:val="18"/>
              </w:rPr>
            </w:pPr>
            <w:r>
              <w:rPr>
                <w:rFonts w:cs="Arial"/>
                <w:color w:val="000000"/>
                <w:szCs w:val="18"/>
              </w:rPr>
              <w:t>VGI</w:t>
            </w:r>
          </w:p>
        </w:tc>
        <w:tc>
          <w:tcPr>
            <w:tcW w:w="854" w:type="pct"/>
            <w:tcBorders>
              <w:top w:val="single" w:sz="12" w:space="0" w:color="008000"/>
              <w:bottom w:val="single" w:sz="6" w:space="0" w:color="008000"/>
              <w:right w:val="nil"/>
            </w:tcBorders>
            <w:shd w:val="clear" w:color="auto" w:fill="FFFFFF"/>
            <w:vAlign w:val="center"/>
          </w:tcPr>
          <w:p w:rsidR="001A56F6" w:rsidRPr="001A56F6" w:rsidRDefault="002C7851" w:rsidP="001A56F6">
            <w:pPr>
              <w:pStyle w:val="CETBodytext"/>
              <w:jc w:val="left"/>
            </w:pPr>
            <w:r>
              <w:t>MGT (d)</w:t>
            </w:r>
          </w:p>
        </w:tc>
      </w:tr>
      <w:tr w:rsidR="001A56F6" w:rsidRPr="009F57CF" w:rsidTr="001A56F6">
        <w:tc>
          <w:tcPr>
            <w:tcW w:w="722" w:type="pct"/>
            <w:tcBorders>
              <w:top w:val="nil"/>
              <w:left w:val="nil"/>
              <w:bottom w:val="nil"/>
              <w:right w:val="nil"/>
            </w:tcBorders>
            <w:shd w:val="clear" w:color="auto" w:fill="FFFFFF"/>
            <w:vAlign w:val="bottom"/>
          </w:tcPr>
          <w:p w:rsidR="001A56F6" w:rsidRPr="009F57CF" w:rsidRDefault="001A56F6" w:rsidP="001A56F6">
            <w:pPr>
              <w:pStyle w:val="CETBodytext"/>
            </w:pPr>
            <w:r>
              <w:t>Cd</w:t>
            </w:r>
            <w:r w:rsidRPr="009F57CF">
              <w:rPr>
                <w:vertAlign w:val="superscript"/>
              </w:rPr>
              <w:t>2+</w:t>
            </w:r>
            <w:r w:rsidRPr="009F57CF">
              <w:t xml:space="preserve"> (mg L</w:t>
            </w:r>
            <w:r w:rsidRPr="009F57CF">
              <w:rPr>
                <w:vertAlign w:val="superscript"/>
              </w:rPr>
              <w:t>-1</w:t>
            </w:r>
            <w:r w:rsidRPr="009F57CF">
              <w:t>)</w:t>
            </w:r>
          </w:p>
        </w:tc>
        <w:tc>
          <w:tcPr>
            <w:tcW w:w="856" w:type="pct"/>
            <w:tcBorders>
              <w:top w:val="nil"/>
              <w:left w:val="nil"/>
              <w:bottom w:val="nil"/>
              <w:right w:val="nil"/>
            </w:tcBorders>
            <w:shd w:val="clear" w:color="auto" w:fill="FFFFFF"/>
            <w:vAlign w:val="center"/>
          </w:tcPr>
          <w:p w:rsidR="001A56F6" w:rsidRDefault="001A56F6" w:rsidP="001A56F6">
            <w:pPr>
              <w:rPr>
                <w:rFonts w:cs="Arial"/>
                <w:color w:val="000000"/>
                <w:szCs w:val="18"/>
              </w:rPr>
            </w:pPr>
          </w:p>
        </w:tc>
        <w:tc>
          <w:tcPr>
            <w:tcW w:w="856" w:type="pct"/>
            <w:tcBorders>
              <w:top w:val="nil"/>
              <w:left w:val="nil"/>
              <w:bottom w:val="nil"/>
              <w:right w:val="nil"/>
            </w:tcBorders>
            <w:shd w:val="clear" w:color="auto" w:fill="FFFFFF"/>
            <w:vAlign w:val="center"/>
          </w:tcPr>
          <w:p w:rsidR="001A56F6" w:rsidRDefault="001A56F6" w:rsidP="001A56F6">
            <w:pPr>
              <w:jc w:val="left"/>
              <w:rPr>
                <w:rFonts w:cs="Arial"/>
                <w:color w:val="000000"/>
                <w:szCs w:val="18"/>
              </w:rPr>
            </w:pPr>
          </w:p>
        </w:tc>
        <w:tc>
          <w:tcPr>
            <w:tcW w:w="856" w:type="pct"/>
            <w:tcBorders>
              <w:top w:val="nil"/>
              <w:left w:val="nil"/>
              <w:bottom w:val="nil"/>
              <w:right w:val="nil"/>
            </w:tcBorders>
            <w:shd w:val="clear" w:color="auto" w:fill="FFFFFF"/>
            <w:vAlign w:val="center"/>
          </w:tcPr>
          <w:p w:rsidR="001A56F6" w:rsidRDefault="001A56F6" w:rsidP="001A56F6">
            <w:pPr>
              <w:rPr>
                <w:rFonts w:cs="Arial"/>
                <w:color w:val="000000"/>
                <w:szCs w:val="18"/>
              </w:rPr>
            </w:pPr>
          </w:p>
        </w:tc>
        <w:tc>
          <w:tcPr>
            <w:tcW w:w="856" w:type="pct"/>
            <w:tcBorders>
              <w:top w:val="nil"/>
              <w:left w:val="nil"/>
              <w:bottom w:val="nil"/>
              <w:right w:val="nil"/>
            </w:tcBorders>
            <w:shd w:val="clear" w:color="auto" w:fill="FFFFFF"/>
            <w:vAlign w:val="center"/>
          </w:tcPr>
          <w:p w:rsidR="001A56F6" w:rsidRDefault="001A56F6" w:rsidP="001A56F6">
            <w:pPr>
              <w:rPr>
                <w:rFonts w:cs="Arial"/>
                <w:color w:val="000000"/>
                <w:szCs w:val="18"/>
              </w:rPr>
            </w:pPr>
          </w:p>
        </w:tc>
        <w:tc>
          <w:tcPr>
            <w:tcW w:w="854" w:type="pct"/>
            <w:tcBorders>
              <w:top w:val="nil"/>
              <w:left w:val="nil"/>
              <w:bottom w:val="nil"/>
              <w:right w:val="nil"/>
            </w:tcBorders>
            <w:shd w:val="clear" w:color="auto" w:fill="FFFFFF"/>
            <w:vAlign w:val="center"/>
          </w:tcPr>
          <w:p w:rsidR="001A56F6" w:rsidRDefault="001A56F6" w:rsidP="001A56F6">
            <w:pPr>
              <w:jc w:val="left"/>
              <w:rPr>
                <w:rFonts w:cs="Arial"/>
                <w:color w:val="000000"/>
                <w:szCs w:val="18"/>
              </w:rPr>
            </w:pPr>
          </w:p>
        </w:tc>
      </w:tr>
      <w:tr w:rsidR="001A56F6" w:rsidRPr="009F57CF" w:rsidTr="001A56F6">
        <w:tc>
          <w:tcPr>
            <w:tcW w:w="722" w:type="pct"/>
            <w:tcBorders>
              <w:top w:val="nil"/>
              <w:left w:val="nil"/>
              <w:bottom w:val="nil"/>
              <w:right w:val="nil"/>
            </w:tcBorders>
            <w:shd w:val="clear" w:color="auto" w:fill="FFFFFF"/>
            <w:vAlign w:val="center"/>
          </w:tcPr>
          <w:p w:rsidR="001A56F6" w:rsidRDefault="001A56F6" w:rsidP="001A56F6">
            <w:pPr>
              <w:tabs>
                <w:tab w:val="clear" w:pos="7100"/>
              </w:tabs>
              <w:spacing w:line="240" w:lineRule="auto"/>
              <w:rPr>
                <w:rFonts w:cs="Arial"/>
                <w:color w:val="000000"/>
                <w:szCs w:val="18"/>
                <w:lang w:val="en-US"/>
              </w:rPr>
            </w:pPr>
            <w:r>
              <w:rPr>
                <w:rFonts w:cs="Arial"/>
                <w:color w:val="000000"/>
                <w:szCs w:val="18"/>
              </w:rPr>
              <w:t>0.05</w:t>
            </w:r>
          </w:p>
        </w:tc>
        <w:tc>
          <w:tcPr>
            <w:tcW w:w="856" w:type="pct"/>
            <w:tcBorders>
              <w:top w:val="nil"/>
              <w:left w:val="nil"/>
              <w:bottom w:val="nil"/>
              <w:right w:val="nil"/>
            </w:tcBorders>
            <w:shd w:val="clear" w:color="auto" w:fill="FFFFFF"/>
            <w:vAlign w:val="center"/>
          </w:tcPr>
          <w:p w:rsidR="001A56F6" w:rsidRDefault="001A56F6" w:rsidP="001A56F6">
            <w:pPr>
              <w:rPr>
                <w:rFonts w:cs="Arial"/>
                <w:color w:val="000000"/>
                <w:szCs w:val="18"/>
              </w:rPr>
            </w:pPr>
            <w:r>
              <w:rPr>
                <w:rFonts w:cs="Arial"/>
                <w:color w:val="000000"/>
                <w:szCs w:val="18"/>
              </w:rPr>
              <w:t>65</w:t>
            </w:r>
            <w:r w:rsidR="002C7851">
              <w:rPr>
                <w:rFonts w:cs="Arial"/>
                <w:color w:val="000000"/>
                <w:szCs w:val="18"/>
              </w:rPr>
              <w:t>.</w:t>
            </w:r>
            <w:r>
              <w:rPr>
                <w:rFonts w:cs="Arial"/>
                <w:color w:val="000000"/>
                <w:szCs w:val="18"/>
              </w:rPr>
              <w:t>3 (13</w:t>
            </w:r>
            <w:r w:rsidR="002C7851">
              <w:rPr>
                <w:rFonts w:cs="Arial"/>
                <w:color w:val="000000"/>
                <w:szCs w:val="18"/>
              </w:rPr>
              <w:t>.</w:t>
            </w:r>
            <w:r>
              <w:rPr>
                <w:rFonts w:cs="Arial"/>
                <w:color w:val="000000"/>
                <w:szCs w:val="18"/>
              </w:rPr>
              <w:t>8)</w:t>
            </w:r>
          </w:p>
        </w:tc>
        <w:tc>
          <w:tcPr>
            <w:tcW w:w="856" w:type="pct"/>
            <w:tcBorders>
              <w:top w:val="nil"/>
              <w:left w:val="nil"/>
              <w:bottom w:val="nil"/>
              <w:right w:val="nil"/>
            </w:tcBorders>
            <w:shd w:val="clear" w:color="auto" w:fill="FFFFFF"/>
            <w:vAlign w:val="center"/>
          </w:tcPr>
          <w:p w:rsidR="001A56F6" w:rsidRDefault="001A56F6" w:rsidP="001A56F6">
            <w:pPr>
              <w:jc w:val="left"/>
              <w:rPr>
                <w:rFonts w:cs="Arial"/>
                <w:color w:val="000000"/>
                <w:szCs w:val="18"/>
              </w:rPr>
            </w:pPr>
            <w:r>
              <w:rPr>
                <w:rFonts w:cs="Arial"/>
                <w:color w:val="000000"/>
                <w:szCs w:val="18"/>
              </w:rPr>
              <w:t>4</w:t>
            </w:r>
            <w:r w:rsidR="002C7851">
              <w:rPr>
                <w:rFonts w:cs="Arial"/>
                <w:color w:val="000000"/>
                <w:szCs w:val="18"/>
              </w:rPr>
              <w:t>.</w:t>
            </w:r>
            <w:r>
              <w:rPr>
                <w:rFonts w:cs="Arial"/>
                <w:color w:val="000000"/>
                <w:szCs w:val="18"/>
              </w:rPr>
              <w:t>7 (0</w:t>
            </w:r>
            <w:r w:rsidR="002C7851">
              <w:rPr>
                <w:rFonts w:cs="Arial"/>
                <w:color w:val="000000"/>
                <w:szCs w:val="18"/>
              </w:rPr>
              <w:t>.</w:t>
            </w:r>
            <w:r>
              <w:rPr>
                <w:rFonts w:cs="Arial"/>
                <w:color w:val="000000"/>
                <w:szCs w:val="18"/>
              </w:rPr>
              <w:t>5)</w:t>
            </w:r>
            <w:r w:rsidR="00191052">
              <w:rPr>
                <w:rFonts w:cs="Arial"/>
                <w:color w:val="000000"/>
                <w:szCs w:val="18"/>
              </w:rPr>
              <w:t>*</w:t>
            </w:r>
          </w:p>
        </w:tc>
        <w:tc>
          <w:tcPr>
            <w:tcW w:w="856" w:type="pct"/>
            <w:tcBorders>
              <w:top w:val="nil"/>
              <w:left w:val="nil"/>
              <w:bottom w:val="nil"/>
              <w:right w:val="nil"/>
            </w:tcBorders>
            <w:shd w:val="clear" w:color="auto" w:fill="FFFFFF"/>
            <w:vAlign w:val="center"/>
          </w:tcPr>
          <w:p w:rsidR="001A56F6" w:rsidRDefault="001A56F6" w:rsidP="001A56F6">
            <w:pPr>
              <w:rPr>
                <w:rFonts w:cs="Arial"/>
                <w:color w:val="000000"/>
                <w:szCs w:val="18"/>
              </w:rPr>
            </w:pPr>
            <w:r>
              <w:rPr>
                <w:rFonts w:cs="Arial"/>
                <w:color w:val="000000"/>
                <w:szCs w:val="18"/>
              </w:rPr>
              <w:t>10</w:t>
            </w:r>
            <w:r w:rsidR="002C7851">
              <w:rPr>
                <w:rFonts w:cs="Arial"/>
                <w:color w:val="000000"/>
                <w:szCs w:val="18"/>
              </w:rPr>
              <w:t>.</w:t>
            </w:r>
            <w:r>
              <w:rPr>
                <w:rFonts w:cs="Arial"/>
                <w:color w:val="000000"/>
                <w:szCs w:val="18"/>
              </w:rPr>
              <w:t>2 (0</w:t>
            </w:r>
            <w:r w:rsidR="002C7851">
              <w:rPr>
                <w:rFonts w:cs="Arial"/>
                <w:color w:val="000000"/>
                <w:szCs w:val="18"/>
              </w:rPr>
              <w:t>.</w:t>
            </w:r>
            <w:r>
              <w:rPr>
                <w:rFonts w:cs="Arial"/>
                <w:color w:val="000000"/>
                <w:szCs w:val="18"/>
              </w:rPr>
              <w:t>8)</w:t>
            </w:r>
          </w:p>
        </w:tc>
        <w:tc>
          <w:tcPr>
            <w:tcW w:w="856" w:type="pct"/>
            <w:tcBorders>
              <w:top w:val="nil"/>
              <w:left w:val="nil"/>
              <w:bottom w:val="nil"/>
              <w:right w:val="nil"/>
            </w:tcBorders>
            <w:shd w:val="clear" w:color="auto" w:fill="FFFFFF"/>
            <w:vAlign w:val="center"/>
          </w:tcPr>
          <w:p w:rsidR="001A56F6" w:rsidRDefault="001A56F6" w:rsidP="001A56F6">
            <w:pPr>
              <w:rPr>
                <w:rFonts w:cs="Arial"/>
                <w:color w:val="000000"/>
                <w:szCs w:val="18"/>
              </w:rPr>
            </w:pPr>
            <w:r>
              <w:rPr>
                <w:rFonts w:cs="Arial"/>
                <w:color w:val="000000"/>
                <w:szCs w:val="18"/>
              </w:rPr>
              <w:t>1</w:t>
            </w:r>
            <w:r w:rsidR="002C7851">
              <w:rPr>
                <w:rFonts w:cs="Arial"/>
                <w:color w:val="000000"/>
                <w:szCs w:val="18"/>
              </w:rPr>
              <w:t>.</w:t>
            </w:r>
            <w:r>
              <w:rPr>
                <w:rFonts w:cs="Arial"/>
                <w:color w:val="000000"/>
                <w:szCs w:val="18"/>
              </w:rPr>
              <w:t>2 (0</w:t>
            </w:r>
            <w:r w:rsidR="002C7851">
              <w:rPr>
                <w:rFonts w:cs="Arial"/>
                <w:color w:val="000000"/>
                <w:szCs w:val="18"/>
              </w:rPr>
              <w:t>.</w:t>
            </w:r>
            <w:r>
              <w:rPr>
                <w:rFonts w:cs="Arial"/>
                <w:color w:val="000000"/>
                <w:szCs w:val="18"/>
              </w:rPr>
              <w:t>2)</w:t>
            </w:r>
          </w:p>
        </w:tc>
        <w:tc>
          <w:tcPr>
            <w:tcW w:w="854" w:type="pct"/>
            <w:tcBorders>
              <w:top w:val="nil"/>
              <w:left w:val="nil"/>
              <w:bottom w:val="nil"/>
              <w:right w:val="nil"/>
            </w:tcBorders>
            <w:shd w:val="clear" w:color="auto" w:fill="FFFFFF"/>
            <w:vAlign w:val="center"/>
          </w:tcPr>
          <w:p w:rsidR="001A56F6" w:rsidRDefault="001A56F6" w:rsidP="001A56F6">
            <w:pPr>
              <w:jc w:val="left"/>
              <w:rPr>
                <w:rFonts w:cs="Arial"/>
                <w:color w:val="000000"/>
                <w:szCs w:val="18"/>
              </w:rPr>
            </w:pPr>
            <w:r>
              <w:rPr>
                <w:rFonts w:cs="Arial"/>
                <w:color w:val="000000"/>
                <w:szCs w:val="18"/>
              </w:rPr>
              <w:t>13</w:t>
            </w:r>
            <w:r w:rsidR="002C7851">
              <w:rPr>
                <w:rFonts w:cs="Arial"/>
                <w:color w:val="000000"/>
                <w:szCs w:val="18"/>
              </w:rPr>
              <w:t>.</w:t>
            </w:r>
            <w:r>
              <w:rPr>
                <w:rFonts w:cs="Arial"/>
                <w:color w:val="000000"/>
                <w:szCs w:val="18"/>
              </w:rPr>
              <w:t>9 (3</w:t>
            </w:r>
            <w:r w:rsidR="002C7851">
              <w:rPr>
                <w:rFonts w:cs="Arial"/>
                <w:color w:val="000000"/>
                <w:szCs w:val="18"/>
              </w:rPr>
              <w:t>.</w:t>
            </w:r>
            <w:r>
              <w:rPr>
                <w:rFonts w:cs="Arial"/>
                <w:color w:val="000000"/>
                <w:szCs w:val="18"/>
              </w:rPr>
              <w:t>1)</w:t>
            </w:r>
          </w:p>
        </w:tc>
      </w:tr>
      <w:tr w:rsidR="001A56F6" w:rsidRPr="009F57CF" w:rsidTr="001A56F6">
        <w:tc>
          <w:tcPr>
            <w:tcW w:w="722" w:type="pct"/>
            <w:tcBorders>
              <w:top w:val="nil"/>
              <w:left w:val="nil"/>
              <w:bottom w:val="nil"/>
              <w:right w:val="nil"/>
            </w:tcBorders>
            <w:shd w:val="clear" w:color="auto" w:fill="FFFFFF"/>
            <w:vAlign w:val="center"/>
          </w:tcPr>
          <w:p w:rsidR="001A56F6" w:rsidRDefault="001A56F6" w:rsidP="001A56F6">
            <w:pPr>
              <w:rPr>
                <w:rFonts w:cs="Arial"/>
                <w:color w:val="000000"/>
                <w:szCs w:val="18"/>
              </w:rPr>
            </w:pPr>
            <w:r>
              <w:rPr>
                <w:rFonts w:cs="Arial"/>
                <w:color w:val="000000"/>
                <w:szCs w:val="18"/>
              </w:rPr>
              <w:t>0.10</w:t>
            </w:r>
          </w:p>
        </w:tc>
        <w:tc>
          <w:tcPr>
            <w:tcW w:w="856" w:type="pct"/>
            <w:tcBorders>
              <w:top w:val="nil"/>
              <w:left w:val="nil"/>
              <w:bottom w:val="nil"/>
              <w:right w:val="nil"/>
            </w:tcBorders>
            <w:shd w:val="clear" w:color="auto" w:fill="FFFFFF"/>
            <w:vAlign w:val="center"/>
          </w:tcPr>
          <w:p w:rsidR="001A56F6" w:rsidRDefault="001A56F6" w:rsidP="001A56F6">
            <w:pPr>
              <w:rPr>
                <w:rFonts w:cs="Arial"/>
                <w:color w:val="000000"/>
                <w:szCs w:val="18"/>
              </w:rPr>
            </w:pPr>
            <w:r>
              <w:rPr>
                <w:rFonts w:cs="Arial"/>
                <w:color w:val="000000"/>
                <w:szCs w:val="18"/>
              </w:rPr>
              <w:t>80</w:t>
            </w:r>
            <w:r w:rsidR="002C7851">
              <w:rPr>
                <w:rFonts w:cs="Arial"/>
                <w:color w:val="000000"/>
                <w:szCs w:val="18"/>
              </w:rPr>
              <w:t>.</w:t>
            </w:r>
            <w:r>
              <w:rPr>
                <w:rFonts w:cs="Arial"/>
                <w:color w:val="000000"/>
                <w:szCs w:val="18"/>
              </w:rPr>
              <w:t>7 (11</w:t>
            </w:r>
            <w:r w:rsidR="002C7851">
              <w:rPr>
                <w:rFonts w:cs="Arial"/>
                <w:color w:val="000000"/>
                <w:szCs w:val="18"/>
              </w:rPr>
              <w:t>.</w:t>
            </w:r>
            <w:r>
              <w:rPr>
                <w:rFonts w:cs="Arial"/>
                <w:color w:val="000000"/>
                <w:szCs w:val="18"/>
              </w:rPr>
              <w:t>4)</w:t>
            </w:r>
          </w:p>
        </w:tc>
        <w:tc>
          <w:tcPr>
            <w:tcW w:w="856" w:type="pct"/>
            <w:tcBorders>
              <w:top w:val="nil"/>
              <w:left w:val="nil"/>
              <w:bottom w:val="nil"/>
              <w:right w:val="nil"/>
            </w:tcBorders>
            <w:shd w:val="clear" w:color="auto" w:fill="FFFFFF"/>
            <w:vAlign w:val="center"/>
          </w:tcPr>
          <w:p w:rsidR="001A56F6" w:rsidRDefault="001A56F6" w:rsidP="001A56F6">
            <w:pPr>
              <w:jc w:val="left"/>
              <w:rPr>
                <w:rFonts w:cs="Arial"/>
                <w:color w:val="000000"/>
                <w:szCs w:val="18"/>
              </w:rPr>
            </w:pPr>
            <w:r>
              <w:rPr>
                <w:rFonts w:cs="Arial"/>
                <w:color w:val="000000"/>
                <w:szCs w:val="18"/>
              </w:rPr>
              <w:t>5</w:t>
            </w:r>
            <w:r w:rsidR="002C7851">
              <w:rPr>
                <w:rFonts w:cs="Arial"/>
                <w:color w:val="000000"/>
                <w:szCs w:val="18"/>
              </w:rPr>
              <w:t>.0</w:t>
            </w:r>
            <w:r>
              <w:rPr>
                <w:rFonts w:cs="Arial"/>
                <w:color w:val="000000"/>
                <w:szCs w:val="18"/>
              </w:rPr>
              <w:t xml:space="preserve"> (0</w:t>
            </w:r>
            <w:r w:rsidR="002C7851">
              <w:rPr>
                <w:rFonts w:cs="Arial"/>
                <w:color w:val="000000"/>
                <w:szCs w:val="18"/>
              </w:rPr>
              <w:t>.0</w:t>
            </w:r>
            <w:r>
              <w:rPr>
                <w:rFonts w:cs="Arial"/>
                <w:color w:val="000000"/>
                <w:szCs w:val="18"/>
              </w:rPr>
              <w:t>)</w:t>
            </w:r>
            <w:r w:rsidR="00191052">
              <w:rPr>
                <w:rFonts w:cs="Arial"/>
                <w:color w:val="000000"/>
                <w:szCs w:val="18"/>
              </w:rPr>
              <w:t>*</w:t>
            </w:r>
          </w:p>
        </w:tc>
        <w:tc>
          <w:tcPr>
            <w:tcW w:w="856" w:type="pct"/>
            <w:tcBorders>
              <w:top w:val="nil"/>
              <w:left w:val="nil"/>
              <w:bottom w:val="nil"/>
              <w:right w:val="nil"/>
            </w:tcBorders>
            <w:shd w:val="clear" w:color="auto" w:fill="FFFFFF"/>
            <w:vAlign w:val="center"/>
          </w:tcPr>
          <w:p w:rsidR="001A56F6" w:rsidRDefault="001A56F6" w:rsidP="001A56F6">
            <w:pPr>
              <w:rPr>
                <w:rFonts w:cs="Arial"/>
                <w:color w:val="000000"/>
                <w:szCs w:val="18"/>
              </w:rPr>
            </w:pPr>
            <w:r>
              <w:rPr>
                <w:rFonts w:cs="Arial"/>
                <w:color w:val="000000"/>
                <w:szCs w:val="18"/>
              </w:rPr>
              <w:t>10</w:t>
            </w:r>
            <w:r w:rsidR="002C7851">
              <w:rPr>
                <w:rFonts w:cs="Arial"/>
                <w:color w:val="000000"/>
                <w:szCs w:val="18"/>
              </w:rPr>
              <w:t>.</w:t>
            </w:r>
            <w:r>
              <w:rPr>
                <w:rFonts w:cs="Arial"/>
                <w:color w:val="000000"/>
                <w:szCs w:val="18"/>
              </w:rPr>
              <w:t>8 (1</w:t>
            </w:r>
            <w:r w:rsidR="002C7851">
              <w:rPr>
                <w:rFonts w:cs="Arial"/>
                <w:color w:val="000000"/>
                <w:szCs w:val="18"/>
              </w:rPr>
              <w:t>.0</w:t>
            </w:r>
            <w:r>
              <w:rPr>
                <w:rFonts w:cs="Arial"/>
                <w:color w:val="000000"/>
                <w:szCs w:val="18"/>
              </w:rPr>
              <w:t>)</w:t>
            </w:r>
          </w:p>
        </w:tc>
        <w:tc>
          <w:tcPr>
            <w:tcW w:w="856" w:type="pct"/>
            <w:tcBorders>
              <w:top w:val="nil"/>
              <w:left w:val="nil"/>
              <w:bottom w:val="nil"/>
              <w:right w:val="nil"/>
            </w:tcBorders>
            <w:shd w:val="clear" w:color="auto" w:fill="FFFFFF"/>
            <w:vAlign w:val="center"/>
          </w:tcPr>
          <w:p w:rsidR="001A56F6" w:rsidRDefault="001A56F6" w:rsidP="001A56F6">
            <w:pPr>
              <w:rPr>
                <w:rFonts w:cs="Arial"/>
                <w:color w:val="000000"/>
                <w:szCs w:val="18"/>
              </w:rPr>
            </w:pPr>
            <w:r>
              <w:rPr>
                <w:rFonts w:cs="Arial"/>
                <w:color w:val="000000"/>
                <w:szCs w:val="18"/>
              </w:rPr>
              <w:t>1</w:t>
            </w:r>
            <w:r w:rsidR="002C7851">
              <w:rPr>
                <w:rFonts w:cs="Arial"/>
                <w:color w:val="000000"/>
                <w:szCs w:val="18"/>
              </w:rPr>
              <w:t>.</w:t>
            </w:r>
            <w:r>
              <w:rPr>
                <w:rFonts w:cs="Arial"/>
                <w:color w:val="000000"/>
                <w:szCs w:val="18"/>
              </w:rPr>
              <w:t>4 (0</w:t>
            </w:r>
            <w:r w:rsidR="002C7851">
              <w:rPr>
                <w:rFonts w:cs="Arial"/>
                <w:color w:val="000000"/>
                <w:szCs w:val="18"/>
              </w:rPr>
              <w:t>.</w:t>
            </w:r>
            <w:r>
              <w:rPr>
                <w:rFonts w:cs="Arial"/>
                <w:color w:val="000000"/>
                <w:szCs w:val="18"/>
              </w:rPr>
              <w:t>2)</w:t>
            </w:r>
          </w:p>
        </w:tc>
        <w:tc>
          <w:tcPr>
            <w:tcW w:w="854" w:type="pct"/>
            <w:tcBorders>
              <w:top w:val="nil"/>
              <w:left w:val="nil"/>
              <w:bottom w:val="nil"/>
              <w:right w:val="nil"/>
            </w:tcBorders>
            <w:shd w:val="clear" w:color="auto" w:fill="FFFFFF"/>
            <w:vAlign w:val="center"/>
          </w:tcPr>
          <w:p w:rsidR="001A56F6" w:rsidRDefault="001A56F6" w:rsidP="001A56F6">
            <w:pPr>
              <w:jc w:val="left"/>
              <w:rPr>
                <w:rFonts w:cs="Arial"/>
                <w:color w:val="000000"/>
                <w:szCs w:val="18"/>
              </w:rPr>
            </w:pPr>
            <w:r>
              <w:rPr>
                <w:rFonts w:cs="Arial"/>
                <w:color w:val="000000"/>
                <w:szCs w:val="18"/>
              </w:rPr>
              <w:t>16</w:t>
            </w:r>
            <w:r w:rsidR="002C7851">
              <w:rPr>
                <w:rFonts w:cs="Arial"/>
                <w:color w:val="000000"/>
                <w:szCs w:val="18"/>
              </w:rPr>
              <w:t>.</w:t>
            </w:r>
            <w:r>
              <w:rPr>
                <w:rFonts w:cs="Arial"/>
                <w:color w:val="000000"/>
                <w:szCs w:val="18"/>
              </w:rPr>
              <w:t>7 (2</w:t>
            </w:r>
            <w:r w:rsidR="002C7851">
              <w:rPr>
                <w:rFonts w:cs="Arial"/>
                <w:color w:val="000000"/>
                <w:szCs w:val="18"/>
              </w:rPr>
              <w:t>.</w:t>
            </w:r>
            <w:r>
              <w:rPr>
                <w:rFonts w:cs="Arial"/>
                <w:color w:val="000000"/>
                <w:szCs w:val="18"/>
              </w:rPr>
              <w:t>9)</w:t>
            </w:r>
          </w:p>
        </w:tc>
      </w:tr>
      <w:tr w:rsidR="001A56F6" w:rsidRPr="009F57CF" w:rsidTr="001A56F6">
        <w:tc>
          <w:tcPr>
            <w:tcW w:w="722" w:type="pct"/>
            <w:tcBorders>
              <w:top w:val="nil"/>
              <w:left w:val="nil"/>
              <w:bottom w:val="nil"/>
              <w:right w:val="nil"/>
            </w:tcBorders>
            <w:shd w:val="clear" w:color="auto" w:fill="FFFFFF"/>
            <w:vAlign w:val="center"/>
          </w:tcPr>
          <w:p w:rsidR="001A56F6" w:rsidRDefault="001A56F6" w:rsidP="001A56F6">
            <w:pPr>
              <w:rPr>
                <w:rFonts w:cs="Arial"/>
                <w:color w:val="000000"/>
                <w:szCs w:val="18"/>
              </w:rPr>
            </w:pPr>
            <w:r>
              <w:rPr>
                <w:rFonts w:cs="Arial"/>
                <w:color w:val="000000"/>
                <w:szCs w:val="18"/>
              </w:rPr>
              <w:t>0.25</w:t>
            </w:r>
          </w:p>
        </w:tc>
        <w:tc>
          <w:tcPr>
            <w:tcW w:w="856" w:type="pct"/>
            <w:tcBorders>
              <w:top w:val="nil"/>
              <w:left w:val="nil"/>
              <w:bottom w:val="nil"/>
              <w:right w:val="nil"/>
            </w:tcBorders>
            <w:shd w:val="clear" w:color="auto" w:fill="FFFFFF"/>
            <w:vAlign w:val="center"/>
          </w:tcPr>
          <w:p w:rsidR="001A56F6" w:rsidRDefault="001A56F6" w:rsidP="001A56F6">
            <w:pPr>
              <w:rPr>
                <w:rFonts w:cs="Arial"/>
                <w:color w:val="000000"/>
                <w:szCs w:val="18"/>
              </w:rPr>
            </w:pPr>
            <w:r>
              <w:rPr>
                <w:rFonts w:cs="Arial"/>
                <w:color w:val="000000"/>
                <w:szCs w:val="18"/>
              </w:rPr>
              <w:t>77</w:t>
            </w:r>
            <w:r w:rsidR="002C7851">
              <w:rPr>
                <w:rFonts w:cs="Arial"/>
                <w:color w:val="000000"/>
                <w:szCs w:val="18"/>
              </w:rPr>
              <w:t>.</w:t>
            </w:r>
            <w:r>
              <w:rPr>
                <w:rFonts w:cs="Arial"/>
                <w:color w:val="000000"/>
                <w:szCs w:val="18"/>
              </w:rPr>
              <w:t>3 (13</w:t>
            </w:r>
            <w:r w:rsidR="002C7851">
              <w:rPr>
                <w:rFonts w:cs="Arial"/>
                <w:color w:val="000000"/>
                <w:szCs w:val="18"/>
              </w:rPr>
              <w:t>.</w:t>
            </w:r>
            <w:r>
              <w:rPr>
                <w:rFonts w:cs="Arial"/>
                <w:color w:val="000000"/>
                <w:szCs w:val="18"/>
              </w:rPr>
              <w:t>1)</w:t>
            </w:r>
          </w:p>
        </w:tc>
        <w:tc>
          <w:tcPr>
            <w:tcW w:w="856" w:type="pct"/>
            <w:tcBorders>
              <w:top w:val="nil"/>
              <w:left w:val="nil"/>
              <w:bottom w:val="nil"/>
              <w:right w:val="nil"/>
            </w:tcBorders>
            <w:shd w:val="clear" w:color="auto" w:fill="FFFFFF"/>
            <w:vAlign w:val="center"/>
          </w:tcPr>
          <w:p w:rsidR="001A56F6" w:rsidRDefault="001A56F6" w:rsidP="001A56F6">
            <w:pPr>
              <w:jc w:val="left"/>
              <w:rPr>
                <w:rFonts w:cs="Arial"/>
                <w:color w:val="000000"/>
                <w:szCs w:val="18"/>
              </w:rPr>
            </w:pPr>
            <w:r>
              <w:rPr>
                <w:rFonts w:cs="Arial"/>
                <w:color w:val="000000"/>
                <w:szCs w:val="18"/>
              </w:rPr>
              <w:t>5</w:t>
            </w:r>
            <w:r w:rsidR="002C7851">
              <w:rPr>
                <w:rFonts w:cs="Arial"/>
                <w:color w:val="000000"/>
                <w:szCs w:val="18"/>
              </w:rPr>
              <w:t>.</w:t>
            </w:r>
            <w:r>
              <w:rPr>
                <w:rFonts w:cs="Arial"/>
                <w:color w:val="000000"/>
                <w:szCs w:val="18"/>
              </w:rPr>
              <w:t>2 (0</w:t>
            </w:r>
            <w:r w:rsidR="002C7851">
              <w:rPr>
                <w:rFonts w:cs="Arial"/>
                <w:color w:val="000000"/>
                <w:szCs w:val="18"/>
              </w:rPr>
              <w:t>.</w:t>
            </w:r>
            <w:r>
              <w:rPr>
                <w:rFonts w:cs="Arial"/>
                <w:color w:val="000000"/>
                <w:szCs w:val="18"/>
              </w:rPr>
              <w:t>4)</w:t>
            </w:r>
            <w:r w:rsidR="00191052">
              <w:rPr>
                <w:rFonts w:cs="Arial"/>
                <w:color w:val="000000"/>
                <w:szCs w:val="18"/>
              </w:rPr>
              <w:t>*</w:t>
            </w:r>
          </w:p>
        </w:tc>
        <w:tc>
          <w:tcPr>
            <w:tcW w:w="856" w:type="pct"/>
            <w:tcBorders>
              <w:top w:val="nil"/>
              <w:left w:val="nil"/>
              <w:bottom w:val="nil"/>
              <w:right w:val="nil"/>
            </w:tcBorders>
            <w:shd w:val="clear" w:color="auto" w:fill="FFFFFF"/>
            <w:vAlign w:val="center"/>
          </w:tcPr>
          <w:p w:rsidR="001A56F6" w:rsidRDefault="001A56F6" w:rsidP="001A56F6">
            <w:pPr>
              <w:rPr>
                <w:rFonts w:cs="Arial"/>
                <w:color w:val="000000"/>
                <w:szCs w:val="18"/>
              </w:rPr>
            </w:pPr>
            <w:r>
              <w:rPr>
                <w:rFonts w:cs="Arial"/>
                <w:color w:val="000000"/>
                <w:szCs w:val="18"/>
              </w:rPr>
              <w:t>10</w:t>
            </w:r>
            <w:r w:rsidR="002C7851">
              <w:rPr>
                <w:rFonts w:cs="Arial"/>
                <w:color w:val="000000"/>
                <w:szCs w:val="18"/>
              </w:rPr>
              <w:t>.</w:t>
            </w:r>
            <w:r>
              <w:rPr>
                <w:rFonts w:cs="Arial"/>
                <w:color w:val="000000"/>
                <w:szCs w:val="18"/>
              </w:rPr>
              <w:t>2 (0</w:t>
            </w:r>
            <w:r w:rsidR="002C7851">
              <w:rPr>
                <w:rFonts w:cs="Arial"/>
                <w:color w:val="000000"/>
                <w:szCs w:val="18"/>
              </w:rPr>
              <w:t>.</w:t>
            </w:r>
            <w:r>
              <w:rPr>
                <w:rFonts w:cs="Arial"/>
                <w:color w:val="000000"/>
                <w:szCs w:val="18"/>
              </w:rPr>
              <w:t>8)</w:t>
            </w:r>
          </w:p>
        </w:tc>
        <w:tc>
          <w:tcPr>
            <w:tcW w:w="856" w:type="pct"/>
            <w:tcBorders>
              <w:top w:val="nil"/>
              <w:left w:val="nil"/>
              <w:bottom w:val="nil"/>
              <w:right w:val="nil"/>
            </w:tcBorders>
            <w:shd w:val="clear" w:color="auto" w:fill="FFFFFF"/>
            <w:vAlign w:val="center"/>
          </w:tcPr>
          <w:p w:rsidR="001A56F6" w:rsidRDefault="001A56F6" w:rsidP="001A56F6">
            <w:pPr>
              <w:rPr>
                <w:rFonts w:cs="Arial"/>
                <w:color w:val="000000"/>
                <w:szCs w:val="18"/>
              </w:rPr>
            </w:pPr>
            <w:r>
              <w:rPr>
                <w:rFonts w:cs="Arial"/>
                <w:color w:val="000000"/>
                <w:szCs w:val="18"/>
              </w:rPr>
              <w:t>1</w:t>
            </w:r>
            <w:r w:rsidR="002C7851">
              <w:rPr>
                <w:rFonts w:cs="Arial"/>
                <w:color w:val="000000"/>
                <w:szCs w:val="18"/>
              </w:rPr>
              <w:t>.</w:t>
            </w:r>
            <w:r>
              <w:rPr>
                <w:rFonts w:cs="Arial"/>
                <w:color w:val="000000"/>
                <w:szCs w:val="18"/>
              </w:rPr>
              <w:t>4 (0</w:t>
            </w:r>
            <w:r w:rsidR="002C7851">
              <w:rPr>
                <w:rFonts w:cs="Arial"/>
                <w:color w:val="000000"/>
                <w:szCs w:val="18"/>
              </w:rPr>
              <w:t>.</w:t>
            </w:r>
            <w:r>
              <w:rPr>
                <w:rFonts w:cs="Arial"/>
                <w:color w:val="000000"/>
                <w:szCs w:val="18"/>
              </w:rPr>
              <w:t>2)</w:t>
            </w:r>
          </w:p>
        </w:tc>
        <w:tc>
          <w:tcPr>
            <w:tcW w:w="854" w:type="pct"/>
            <w:tcBorders>
              <w:top w:val="nil"/>
              <w:left w:val="nil"/>
              <w:bottom w:val="nil"/>
              <w:right w:val="nil"/>
            </w:tcBorders>
            <w:shd w:val="clear" w:color="auto" w:fill="FFFFFF"/>
            <w:vAlign w:val="center"/>
          </w:tcPr>
          <w:p w:rsidR="001A56F6" w:rsidRDefault="001A56F6" w:rsidP="001A56F6">
            <w:pPr>
              <w:jc w:val="left"/>
              <w:rPr>
                <w:rFonts w:cs="Arial"/>
                <w:color w:val="000000"/>
                <w:szCs w:val="18"/>
              </w:rPr>
            </w:pPr>
            <w:r>
              <w:rPr>
                <w:rFonts w:cs="Arial"/>
                <w:color w:val="000000"/>
                <w:szCs w:val="18"/>
              </w:rPr>
              <w:t>16</w:t>
            </w:r>
            <w:r w:rsidR="002C7851">
              <w:rPr>
                <w:rFonts w:cs="Arial"/>
                <w:color w:val="000000"/>
                <w:szCs w:val="18"/>
              </w:rPr>
              <w:t>.</w:t>
            </w:r>
            <w:r>
              <w:rPr>
                <w:rFonts w:cs="Arial"/>
                <w:color w:val="000000"/>
                <w:szCs w:val="18"/>
              </w:rPr>
              <w:t>8 (3</w:t>
            </w:r>
            <w:r w:rsidR="002C7851">
              <w:rPr>
                <w:rFonts w:cs="Arial"/>
                <w:color w:val="000000"/>
                <w:szCs w:val="18"/>
              </w:rPr>
              <w:t>.</w:t>
            </w:r>
            <w:r>
              <w:rPr>
                <w:rFonts w:cs="Arial"/>
                <w:color w:val="000000"/>
                <w:szCs w:val="18"/>
              </w:rPr>
              <w:t>3)</w:t>
            </w:r>
          </w:p>
        </w:tc>
      </w:tr>
      <w:tr w:rsidR="001A56F6" w:rsidRPr="009F57CF" w:rsidTr="001A56F6">
        <w:tc>
          <w:tcPr>
            <w:tcW w:w="722" w:type="pct"/>
            <w:tcBorders>
              <w:top w:val="nil"/>
              <w:left w:val="nil"/>
              <w:bottom w:val="nil"/>
              <w:right w:val="nil"/>
            </w:tcBorders>
            <w:shd w:val="clear" w:color="auto" w:fill="FFFFFF"/>
            <w:vAlign w:val="center"/>
          </w:tcPr>
          <w:p w:rsidR="001A56F6" w:rsidRDefault="001A56F6" w:rsidP="001A56F6">
            <w:pPr>
              <w:rPr>
                <w:rFonts w:cs="Arial"/>
                <w:color w:val="000000"/>
                <w:szCs w:val="18"/>
              </w:rPr>
            </w:pPr>
            <w:r>
              <w:rPr>
                <w:rFonts w:cs="Arial"/>
                <w:color w:val="000000"/>
                <w:szCs w:val="18"/>
              </w:rPr>
              <w:t>1.0</w:t>
            </w:r>
          </w:p>
        </w:tc>
        <w:tc>
          <w:tcPr>
            <w:tcW w:w="856" w:type="pct"/>
            <w:tcBorders>
              <w:top w:val="nil"/>
              <w:left w:val="nil"/>
              <w:bottom w:val="nil"/>
              <w:right w:val="nil"/>
            </w:tcBorders>
            <w:shd w:val="clear" w:color="auto" w:fill="FFFFFF"/>
            <w:vAlign w:val="center"/>
          </w:tcPr>
          <w:p w:rsidR="001A56F6" w:rsidRDefault="001A56F6" w:rsidP="001A56F6">
            <w:pPr>
              <w:rPr>
                <w:rFonts w:cs="Arial"/>
                <w:color w:val="000000"/>
                <w:szCs w:val="18"/>
              </w:rPr>
            </w:pPr>
            <w:r>
              <w:rPr>
                <w:rFonts w:cs="Arial"/>
                <w:color w:val="000000"/>
                <w:szCs w:val="18"/>
              </w:rPr>
              <w:t>72</w:t>
            </w:r>
            <w:r w:rsidR="002C7851">
              <w:rPr>
                <w:rFonts w:cs="Arial"/>
                <w:color w:val="000000"/>
                <w:szCs w:val="18"/>
              </w:rPr>
              <w:t>.0</w:t>
            </w:r>
            <w:r>
              <w:rPr>
                <w:rFonts w:cs="Arial"/>
                <w:color w:val="000000"/>
                <w:szCs w:val="18"/>
              </w:rPr>
              <w:t xml:space="preserve"> (9</w:t>
            </w:r>
            <w:r w:rsidR="002C7851">
              <w:rPr>
                <w:rFonts w:cs="Arial"/>
                <w:color w:val="000000"/>
                <w:szCs w:val="18"/>
              </w:rPr>
              <w:t>.</w:t>
            </w:r>
            <w:r>
              <w:rPr>
                <w:rFonts w:cs="Arial"/>
                <w:color w:val="000000"/>
                <w:szCs w:val="18"/>
              </w:rPr>
              <w:t>1)</w:t>
            </w:r>
          </w:p>
        </w:tc>
        <w:tc>
          <w:tcPr>
            <w:tcW w:w="856" w:type="pct"/>
            <w:tcBorders>
              <w:top w:val="nil"/>
              <w:left w:val="nil"/>
              <w:bottom w:val="nil"/>
              <w:right w:val="nil"/>
            </w:tcBorders>
            <w:shd w:val="clear" w:color="auto" w:fill="FFFFFF"/>
            <w:vAlign w:val="center"/>
          </w:tcPr>
          <w:p w:rsidR="001A56F6" w:rsidRDefault="001A56F6" w:rsidP="001A56F6">
            <w:pPr>
              <w:jc w:val="left"/>
              <w:rPr>
                <w:rFonts w:cs="Arial"/>
                <w:color w:val="000000"/>
                <w:szCs w:val="18"/>
              </w:rPr>
            </w:pPr>
            <w:r>
              <w:rPr>
                <w:rFonts w:cs="Arial"/>
                <w:color w:val="000000"/>
                <w:szCs w:val="18"/>
              </w:rPr>
              <w:t>5</w:t>
            </w:r>
            <w:r w:rsidR="002C7851">
              <w:rPr>
                <w:rFonts w:cs="Arial"/>
                <w:color w:val="000000"/>
                <w:szCs w:val="18"/>
              </w:rPr>
              <w:t>.</w:t>
            </w:r>
            <w:r>
              <w:rPr>
                <w:rFonts w:cs="Arial"/>
                <w:color w:val="000000"/>
                <w:szCs w:val="18"/>
              </w:rPr>
              <w:t>2 (0</w:t>
            </w:r>
            <w:r w:rsidR="002C7851">
              <w:rPr>
                <w:rFonts w:cs="Arial"/>
                <w:color w:val="000000"/>
                <w:szCs w:val="18"/>
              </w:rPr>
              <w:t>.</w:t>
            </w:r>
            <w:r>
              <w:rPr>
                <w:rFonts w:cs="Arial"/>
                <w:color w:val="000000"/>
                <w:szCs w:val="18"/>
              </w:rPr>
              <w:t>4)</w:t>
            </w:r>
            <w:r w:rsidR="00191052">
              <w:rPr>
                <w:rFonts w:cs="Arial"/>
                <w:color w:val="000000"/>
                <w:szCs w:val="18"/>
              </w:rPr>
              <w:t>*</w:t>
            </w:r>
          </w:p>
        </w:tc>
        <w:tc>
          <w:tcPr>
            <w:tcW w:w="856" w:type="pct"/>
            <w:tcBorders>
              <w:top w:val="nil"/>
              <w:left w:val="nil"/>
              <w:bottom w:val="nil"/>
              <w:right w:val="nil"/>
            </w:tcBorders>
            <w:shd w:val="clear" w:color="auto" w:fill="FFFFFF"/>
            <w:vAlign w:val="center"/>
          </w:tcPr>
          <w:p w:rsidR="001A56F6" w:rsidRDefault="001A56F6" w:rsidP="001A56F6">
            <w:pPr>
              <w:rPr>
                <w:rFonts w:cs="Arial"/>
                <w:color w:val="000000"/>
                <w:szCs w:val="18"/>
              </w:rPr>
            </w:pPr>
            <w:r>
              <w:rPr>
                <w:rFonts w:cs="Arial"/>
                <w:color w:val="000000"/>
                <w:szCs w:val="18"/>
              </w:rPr>
              <w:t>10</w:t>
            </w:r>
            <w:r w:rsidR="002C7851">
              <w:rPr>
                <w:rFonts w:cs="Arial"/>
                <w:color w:val="000000"/>
                <w:szCs w:val="18"/>
              </w:rPr>
              <w:t>.</w:t>
            </w:r>
            <w:r>
              <w:rPr>
                <w:rFonts w:cs="Arial"/>
                <w:color w:val="000000"/>
                <w:szCs w:val="18"/>
              </w:rPr>
              <w:t>2 (2</w:t>
            </w:r>
            <w:r w:rsidR="002C7851">
              <w:rPr>
                <w:rFonts w:cs="Arial"/>
                <w:color w:val="000000"/>
                <w:szCs w:val="18"/>
              </w:rPr>
              <w:t>.</w:t>
            </w:r>
            <w:r>
              <w:rPr>
                <w:rFonts w:cs="Arial"/>
                <w:color w:val="000000"/>
                <w:szCs w:val="18"/>
              </w:rPr>
              <w:t>3)</w:t>
            </w:r>
          </w:p>
        </w:tc>
        <w:tc>
          <w:tcPr>
            <w:tcW w:w="856" w:type="pct"/>
            <w:tcBorders>
              <w:top w:val="nil"/>
              <w:left w:val="nil"/>
              <w:bottom w:val="nil"/>
              <w:right w:val="nil"/>
            </w:tcBorders>
            <w:shd w:val="clear" w:color="auto" w:fill="FFFFFF"/>
            <w:vAlign w:val="center"/>
          </w:tcPr>
          <w:p w:rsidR="001A56F6" w:rsidRDefault="001A56F6" w:rsidP="001A56F6">
            <w:pPr>
              <w:rPr>
                <w:rFonts w:cs="Arial"/>
                <w:color w:val="000000"/>
                <w:szCs w:val="18"/>
              </w:rPr>
            </w:pPr>
            <w:r>
              <w:rPr>
                <w:rFonts w:cs="Arial"/>
                <w:color w:val="000000"/>
                <w:szCs w:val="18"/>
              </w:rPr>
              <w:t>1</w:t>
            </w:r>
            <w:r w:rsidR="002C7851">
              <w:rPr>
                <w:rFonts w:cs="Arial"/>
                <w:color w:val="000000"/>
                <w:szCs w:val="18"/>
              </w:rPr>
              <w:t>.</w:t>
            </w:r>
            <w:r>
              <w:rPr>
                <w:rFonts w:cs="Arial"/>
                <w:color w:val="000000"/>
                <w:szCs w:val="18"/>
              </w:rPr>
              <w:t>3 (0</w:t>
            </w:r>
            <w:r w:rsidR="002C7851">
              <w:rPr>
                <w:rFonts w:cs="Arial"/>
                <w:color w:val="000000"/>
                <w:szCs w:val="18"/>
              </w:rPr>
              <w:t>.</w:t>
            </w:r>
            <w:r>
              <w:rPr>
                <w:rFonts w:cs="Arial"/>
                <w:color w:val="000000"/>
                <w:szCs w:val="18"/>
              </w:rPr>
              <w:t>2)</w:t>
            </w:r>
          </w:p>
        </w:tc>
        <w:tc>
          <w:tcPr>
            <w:tcW w:w="854" w:type="pct"/>
            <w:tcBorders>
              <w:top w:val="nil"/>
              <w:left w:val="nil"/>
              <w:bottom w:val="nil"/>
              <w:right w:val="nil"/>
            </w:tcBorders>
            <w:shd w:val="clear" w:color="auto" w:fill="FFFFFF"/>
            <w:vAlign w:val="center"/>
          </w:tcPr>
          <w:p w:rsidR="001A56F6" w:rsidRDefault="001A56F6" w:rsidP="001A56F6">
            <w:pPr>
              <w:jc w:val="left"/>
              <w:rPr>
                <w:rFonts w:cs="Arial"/>
                <w:color w:val="000000"/>
                <w:szCs w:val="18"/>
              </w:rPr>
            </w:pPr>
            <w:r>
              <w:rPr>
                <w:rFonts w:cs="Arial"/>
                <w:color w:val="000000"/>
                <w:szCs w:val="18"/>
              </w:rPr>
              <w:t>14</w:t>
            </w:r>
            <w:r w:rsidR="002C7851">
              <w:rPr>
                <w:rFonts w:cs="Arial"/>
                <w:color w:val="000000"/>
                <w:szCs w:val="18"/>
              </w:rPr>
              <w:t>.</w:t>
            </w:r>
            <w:r>
              <w:rPr>
                <w:rFonts w:cs="Arial"/>
                <w:color w:val="000000"/>
                <w:szCs w:val="18"/>
              </w:rPr>
              <w:t>1 (1</w:t>
            </w:r>
            <w:r w:rsidR="002C7851">
              <w:rPr>
                <w:rFonts w:cs="Arial"/>
                <w:color w:val="000000"/>
                <w:szCs w:val="18"/>
              </w:rPr>
              <w:t>.</w:t>
            </w:r>
            <w:r>
              <w:rPr>
                <w:rFonts w:cs="Arial"/>
                <w:color w:val="000000"/>
                <w:szCs w:val="18"/>
              </w:rPr>
              <w:t>8)</w:t>
            </w:r>
          </w:p>
        </w:tc>
      </w:tr>
      <w:tr w:rsidR="001A56F6" w:rsidRPr="009F57CF" w:rsidTr="001A56F6">
        <w:tc>
          <w:tcPr>
            <w:tcW w:w="722" w:type="pct"/>
            <w:tcBorders>
              <w:top w:val="nil"/>
              <w:left w:val="nil"/>
              <w:bottom w:val="nil"/>
              <w:right w:val="nil"/>
            </w:tcBorders>
            <w:shd w:val="clear" w:color="auto" w:fill="FFFFFF"/>
            <w:vAlign w:val="center"/>
          </w:tcPr>
          <w:p w:rsidR="001A56F6" w:rsidRDefault="001A56F6" w:rsidP="001A56F6">
            <w:pPr>
              <w:rPr>
                <w:rFonts w:cs="Arial"/>
                <w:color w:val="000000"/>
                <w:szCs w:val="18"/>
              </w:rPr>
            </w:pPr>
            <w:r>
              <w:rPr>
                <w:rFonts w:cs="Arial"/>
                <w:color w:val="000000"/>
                <w:szCs w:val="18"/>
              </w:rPr>
              <w:t>5.0</w:t>
            </w:r>
          </w:p>
        </w:tc>
        <w:tc>
          <w:tcPr>
            <w:tcW w:w="856" w:type="pct"/>
            <w:tcBorders>
              <w:top w:val="nil"/>
              <w:left w:val="nil"/>
              <w:bottom w:val="nil"/>
              <w:right w:val="nil"/>
            </w:tcBorders>
            <w:shd w:val="clear" w:color="auto" w:fill="FFFFFF"/>
            <w:vAlign w:val="center"/>
          </w:tcPr>
          <w:p w:rsidR="001A56F6" w:rsidRDefault="001A56F6" w:rsidP="001A56F6">
            <w:pPr>
              <w:rPr>
                <w:rFonts w:cs="Arial"/>
                <w:color w:val="000000"/>
                <w:szCs w:val="18"/>
              </w:rPr>
            </w:pPr>
            <w:r>
              <w:rPr>
                <w:rFonts w:cs="Arial"/>
                <w:color w:val="000000"/>
                <w:szCs w:val="18"/>
              </w:rPr>
              <w:t>71</w:t>
            </w:r>
            <w:r w:rsidR="002C7851">
              <w:rPr>
                <w:rFonts w:cs="Arial"/>
                <w:color w:val="000000"/>
                <w:szCs w:val="18"/>
              </w:rPr>
              <w:t>.</w:t>
            </w:r>
            <w:r>
              <w:rPr>
                <w:rFonts w:cs="Arial"/>
                <w:color w:val="000000"/>
                <w:szCs w:val="18"/>
              </w:rPr>
              <w:t>3 (12</w:t>
            </w:r>
            <w:r w:rsidR="002C7851">
              <w:rPr>
                <w:rFonts w:cs="Arial"/>
                <w:color w:val="000000"/>
                <w:szCs w:val="18"/>
              </w:rPr>
              <w:t>.</w:t>
            </w:r>
            <w:r>
              <w:rPr>
                <w:rFonts w:cs="Arial"/>
                <w:color w:val="000000"/>
                <w:szCs w:val="18"/>
              </w:rPr>
              <w:t>8)</w:t>
            </w:r>
          </w:p>
        </w:tc>
        <w:tc>
          <w:tcPr>
            <w:tcW w:w="856" w:type="pct"/>
            <w:tcBorders>
              <w:top w:val="nil"/>
              <w:left w:val="nil"/>
              <w:bottom w:val="nil"/>
              <w:right w:val="nil"/>
            </w:tcBorders>
            <w:shd w:val="clear" w:color="auto" w:fill="FFFFFF"/>
            <w:vAlign w:val="center"/>
          </w:tcPr>
          <w:p w:rsidR="001A56F6" w:rsidRDefault="001A56F6" w:rsidP="001A56F6">
            <w:pPr>
              <w:jc w:val="left"/>
              <w:rPr>
                <w:rFonts w:cs="Arial"/>
                <w:color w:val="000000"/>
                <w:szCs w:val="18"/>
              </w:rPr>
            </w:pPr>
            <w:r>
              <w:rPr>
                <w:rFonts w:cs="Arial"/>
                <w:color w:val="000000"/>
                <w:szCs w:val="18"/>
              </w:rPr>
              <w:t>5</w:t>
            </w:r>
            <w:r w:rsidR="002C7851">
              <w:rPr>
                <w:rFonts w:cs="Arial"/>
                <w:color w:val="000000"/>
                <w:szCs w:val="18"/>
              </w:rPr>
              <w:t>.</w:t>
            </w:r>
            <w:r>
              <w:rPr>
                <w:rFonts w:cs="Arial"/>
                <w:color w:val="000000"/>
                <w:szCs w:val="18"/>
              </w:rPr>
              <w:t>3 (0</w:t>
            </w:r>
            <w:r w:rsidR="002C7851">
              <w:rPr>
                <w:rFonts w:cs="Arial"/>
                <w:color w:val="000000"/>
                <w:szCs w:val="18"/>
              </w:rPr>
              <w:t>.</w:t>
            </w:r>
            <w:r>
              <w:rPr>
                <w:rFonts w:cs="Arial"/>
                <w:color w:val="000000"/>
                <w:szCs w:val="18"/>
              </w:rPr>
              <w:t>5)</w:t>
            </w:r>
            <w:r w:rsidR="00191052">
              <w:rPr>
                <w:rFonts w:cs="Arial"/>
                <w:color w:val="000000"/>
                <w:szCs w:val="18"/>
              </w:rPr>
              <w:t>*</w:t>
            </w:r>
          </w:p>
        </w:tc>
        <w:tc>
          <w:tcPr>
            <w:tcW w:w="856" w:type="pct"/>
            <w:tcBorders>
              <w:top w:val="nil"/>
              <w:left w:val="nil"/>
              <w:bottom w:val="nil"/>
              <w:right w:val="nil"/>
            </w:tcBorders>
            <w:shd w:val="clear" w:color="auto" w:fill="FFFFFF"/>
            <w:vAlign w:val="center"/>
          </w:tcPr>
          <w:p w:rsidR="001A56F6" w:rsidRDefault="001A56F6" w:rsidP="001A56F6">
            <w:pPr>
              <w:rPr>
                <w:rFonts w:cs="Arial"/>
                <w:color w:val="000000"/>
                <w:szCs w:val="18"/>
              </w:rPr>
            </w:pPr>
            <w:r>
              <w:rPr>
                <w:rFonts w:cs="Arial"/>
                <w:color w:val="000000"/>
                <w:szCs w:val="18"/>
              </w:rPr>
              <w:t>10</w:t>
            </w:r>
            <w:r w:rsidR="002C7851">
              <w:rPr>
                <w:rFonts w:cs="Arial"/>
                <w:color w:val="000000"/>
                <w:szCs w:val="18"/>
              </w:rPr>
              <w:t>.</w:t>
            </w:r>
            <w:r>
              <w:rPr>
                <w:rFonts w:cs="Arial"/>
                <w:color w:val="000000"/>
                <w:szCs w:val="18"/>
              </w:rPr>
              <w:t>8 (2</w:t>
            </w:r>
            <w:r w:rsidR="002C7851">
              <w:rPr>
                <w:rFonts w:cs="Arial"/>
                <w:color w:val="000000"/>
                <w:szCs w:val="18"/>
              </w:rPr>
              <w:t>.0</w:t>
            </w:r>
            <w:r>
              <w:rPr>
                <w:rFonts w:cs="Arial"/>
                <w:color w:val="000000"/>
                <w:szCs w:val="18"/>
              </w:rPr>
              <w:t>)</w:t>
            </w:r>
          </w:p>
        </w:tc>
        <w:tc>
          <w:tcPr>
            <w:tcW w:w="856" w:type="pct"/>
            <w:tcBorders>
              <w:top w:val="nil"/>
              <w:left w:val="nil"/>
              <w:bottom w:val="nil"/>
              <w:right w:val="nil"/>
            </w:tcBorders>
            <w:shd w:val="clear" w:color="auto" w:fill="FFFFFF"/>
            <w:vAlign w:val="center"/>
          </w:tcPr>
          <w:p w:rsidR="001A56F6" w:rsidRDefault="001A56F6" w:rsidP="001A56F6">
            <w:pPr>
              <w:rPr>
                <w:rFonts w:cs="Arial"/>
                <w:color w:val="000000"/>
                <w:szCs w:val="18"/>
              </w:rPr>
            </w:pPr>
            <w:r>
              <w:rPr>
                <w:rFonts w:cs="Arial"/>
                <w:color w:val="000000"/>
                <w:szCs w:val="18"/>
              </w:rPr>
              <w:t>1</w:t>
            </w:r>
            <w:r w:rsidR="002C7851">
              <w:rPr>
                <w:rFonts w:cs="Arial"/>
                <w:color w:val="000000"/>
                <w:szCs w:val="18"/>
              </w:rPr>
              <w:t>.</w:t>
            </w:r>
            <w:r>
              <w:rPr>
                <w:rFonts w:cs="Arial"/>
                <w:color w:val="000000"/>
                <w:szCs w:val="18"/>
              </w:rPr>
              <w:t>3 (0</w:t>
            </w:r>
            <w:r w:rsidR="002C7851">
              <w:rPr>
                <w:rFonts w:cs="Arial"/>
                <w:color w:val="000000"/>
                <w:szCs w:val="18"/>
              </w:rPr>
              <w:t>.</w:t>
            </w:r>
            <w:r>
              <w:rPr>
                <w:rFonts w:cs="Arial"/>
                <w:color w:val="000000"/>
                <w:szCs w:val="18"/>
              </w:rPr>
              <w:t>2)</w:t>
            </w:r>
          </w:p>
        </w:tc>
        <w:tc>
          <w:tcPr>
            <w:tcW w:w="854" w:type="pct"/>
            <w:tcBorders>
              <w:top w:val="nil"/>
              <w:left w:val="nil"/>
              <w:bottom w:val="nil"/>
              <w:right w:val="nil"/>
            </w:tcBorders>
            <w:shd w:val="clear" w:color="auto" w:fill="FFFFFF"/>
            <w:vAlign w:val="center"/>
          </w:tcPr>
          <w:p w:rsidR="001A56F6" w:rsidRDefault="001A56F6" w:rsidP="001A56F6">
            <w:pPr>
              <w:jc w:val="left"/>
              <w:rPr>
                <w:rFonts w:cs="Arial"/>
                <w:color w:val="000000"/>
                <w:szCs w:val="18"/>
              </w:rPr>
            </w:pPr>
            <w:r>
              <w:rPr>
                <w:rFonts w:cs="Arial"/>
                <w:color w:val="000000"/>
                <w:szCs w:val="18"/>
              </w:rPr>
              <w:t>16</w:t>
            </w:r>
            <w:r w:rsidR="002C7851">
              <w:rPr>
                <w:rFonts w:cs="Arial"/>
                <w:color w:val="000000"/>
                <w:szCs w:val="18"/>
              </w:rPr>
              <w:t>.</w:t>
            </w:r>
            <w:r>
              <w:rPr>
                <w:rFonts w:cs="Arial"/>
                <w:color w:val="000000"/>
                <w:szCs w:val="18"/>
              </w:rPr>
              <w:t>3 (3</w:t>
            </w:r>
            <w:r w:rsidR="002C7851">
              <w:rPr>
                <w:rFonts w:cs="Arial"/>
                <w:color w:val="000000"/>
                <w:szCs w:val="18"/>
              </w:rPr>
              <w:t>.</w:t>
            </w:r>
            <w:r>
              <w:rPr>
                <w:rFonts w:cs="Arial"/>
                <w:color w:val="000000"/>
                <w:szCs w:val="18"/>
              </w:rPr>
              <w:t>5)</w:t>
            </w:r>
          </w:p>
        </w:tc>
      </w:tr>
      <w:tr w:rsidR="001A56F6" w:rsidRPr="009F57CF" w:rsidTr="001A56F6">
        <w:tc>
          <w:tcPr>
            <w:tcW w:w="722" w:type="pct"/>
            <w:tcBorders>
              <w:top w:val="nil"/>
              <w:left w:val="nil"/>
              <w:bottom w:val="nil"/>
              <w:right w:val="nil"/>
            </w:tcBorders>
            <w:shd w:val="clear" w:color="auto" w:fill="FFFFFF"/>
            <w:vAlign w:val="center"/>
          </w:tcPr>
          <w:p w:rsidR="001A56F6" w:rsidRDefault="001A56F6" w:rsidP="001A56F6">
            <w:pPr>
              <w:rPr>
                <w:rFonts w:cs="Arial"/>
                <w:color w:val="000000"/>
                <w:szCs w:val="18"/>
              </w:rPr>
            </w:pPr>
            <w:r>
              <w:rPr>
                <w:rFonts w:cs="Arial"/>
                <w:color w:val="000000"/>
                <w:szCs w:val="18"/>
              </w:rPr>
              <w:t>25</w:t>
            </w:r>
          </w:p>
        </w:tc>
        <w:tc>
          <w:tcPr>
            <w:tcW w:w="856" w:type="pct"/>
            <w:tcBorders>
              <w:top w:val="nil"/>
              <w:left w:val="nil"/>
              <w:bottom w:val="nil"/>
              <w:right w:val="nil"/>
            </w:tcBorders>
            <w:shd w:val="clear" w:color="auto" w:fill="FFFFFF"/>
            <w:vAlign w:val="center"/>
          </w:tcPr>
          <w:p w:rsidR="001A56F6" w:rsidRDefault="001A56F6" w:rsidP="001A56F6">
            <w:pPr>
              <w:rPr>
                <w:rFonts w:cs="Arial"/>
                <w:color w:val="000000"/>
                <w:szCs w:val="18"/>
              </w:rPr>
            </w:pPr>
            <w:r>
              <w:rPr>
                <w:rFonts w:cs="Arial"/>
                <w:color w:val="000000"/>
                <w:szCs w:val="18"/>
              </w:rPr>
              <w:t>59</w:t>
            </w:r>
            <w:r w:rsidR="002C7851">
              <w:rPr>
                <w:rFonts w:cs="Arial"/>
                <w:color w:val="000000"/>
                <w:szCs w:val="18"/>
              </w:rPr>
              <w:t>.</w:t>
            </w:r>
            <w:r>
              <w:rPr>
                <w:rFonts w:cs="Arial"/>
                <w:color w:val="000000"/>
                <w:szCs w:val="18"/>
              </w:rPr>
              <w:t>3 (4</w:t>
            </w:r>
            <w:r w:rsidR="002C7851">
              <w:rPr>
                <w:rFonts w:cs="Arial"/>
                <w:color w:val="000000"/>
                <w:szCs w:val="18"/>
              </w:rPr>
              <w:t>.</w:t>
            </w:r>
            <w:r>
              <w:rPr>
                <w:rFonts w:cs="Arial"/>
                <w:color w:val="000000"/>
                <w:szCs w:val="18"/>
              </w:rPr>
              <w:t>7)</w:t>
            </w:r>
            <w:r w:rsidR="00191052">
              <w:t>*</w:t>
            </w:r>
          </w:p>
        </w:tc>
        <w:tc>
          <w:tcPr>
            <w:tcW w:w="856" w:type="pct"/>
            <w:tcBorders>
              <w:top w:val="nil"/>
              <w:left w:val="nil"/>
              <w:bottom w:val="nil"/>
              <w:right w:val="nil"/>
            </w:tcBorders>
            <w:shd w:val="clear" w:color="auto" w:fill="FFFFFF"/>
            <w:vAlign w:val="center"/>
          </w:tcPr>
          <w:p w:rsidR="001A56F6" w:rsidRDefault="001A56F6" w:rsidP="001A56F6">
            <w:pPr>
              <w:jc w:val="left"/>
              <w:rPr>
                <w:rFonts w:cs="Arial"/>
                <w:color w:val="000000"/>
                <w:szCs w:val="18"/>
              </w:rPr>
            </w:pPr>
            <w:r>
              <w:rPr>
                <w:rFonts w:cs="Arial"/>
                <w:color w:val="000000"/>
                <w:szCs w:val="18"/>
              </w:rPr>
              <w:t>5</w:t>
            </w:r>
            <w:r w:rsidR="002C7851">
              <w:rPr>
                <w:rFonts w:cs="Arial"/>
                <w:color w:val="000000"/>
                <w:szCs w:val="18"/>
              </w:rPr>
              <w:t>.</w:t>
            </w:r>
            <w:r>
              <w:rPr>
                <w:rFonts w:cs="Arial"/>
                <w:color w:val="000000"/>
                <w:szCs w:val="18"/>
              </w:rPr>
              <w:t>3 (0</w:t>
            </w:r>
            <w:r w:rsidR="002C7851">
              <w:rPr>
                <w:rFonts w:cs="Arial"/>
                <w:color w:val="000000"/>
                <w:szCs w:val="18"/>
              </w:rPr>
              <w:t>.</w:t>
            </w:r>
            <w:r>
              <w:rPr>
                <w:rFonts w:cs="Arial"/>
                <w:color w:val="000000"/>
                <w:szCs w:val="18"/>
              </w:rPr>
              <w:t>5)</w:t>
            </w:r>
            <w:r w:rsidR="00191052">
              <w:rPr>
                <w:rFonts w:cs="Arial"/>
                <w:color w:val="000000"/>
                <w:szCs w:val="18"/>
              </w:rPr>
              <w:t>*</w:t>
            </w:r>
          </w:p>
        </w:tc>
        <w:tc>
          <w:tcPr>
            <w:tcW w:w="856" w:type="pct"/>
            <w:tcBorders>
              <w:top w:val="nil"/>
              <w:left w:val="nil"/>
              <w:bottom w:val="nil"/>
              <w:right w:val="nil"/>
            </w:tcBorders>
            <w:shd w:val="clear" w:color="auto" w:fill="FFFFFF"/>
            <w:vAlign w:val="center"/>
          </w:tcPr>
          <w:p w:rsidR="001A56F6" w:rsidRDefault="001A56F6" w:rsidP="001A56F6">
            <w:pPr>
              <w:rPr>
                <w:rFonts w:cs="Arial"/>
                <w:color w:val="000000"/>
                <w:szCs w:val="18"/>
              </w:rPr>
            </w:pPr>
            <w:r>
              <w:rPr>
                <w:rFonts w:cs="Arial"/>
                <w:color w:val="000000"/>
                <w:szCs w:val="18"/>
              </w:rPr>
              <w:t>9</w:t>
            </w:r>
            <w:r w:rsidR="002C7851">
              <w:rPr>
                <w:rFonts w:cs="Arial"/>
                <w:color w:val="000000"/>
                <w:szCs w:val="18"/>
              </w:rPr>
              <w:t>.</w:t>
            </w:r>
            <w:r>
              <w:rPr>
                <w:rFonts w:cs="Arial"/>
                <w:color w:val="000000"/>
                <w:szCs w:val="18"/>
              </w:rPr>
              <w:t>7 (1</w:t>
            </w:r>
            <w:r w:rsidR="002C7851">
              <w:rPr>
                <w:rFonts w:cs="Arial"/>
                <w:color w:val="000000"/>
                <w:szCs w:val="18"/>
              </w:rPr>
              <w:t>.</w:t>
            </w:r>
            <w:r>
              <w:rPr>
                <w:rFonts w:cs="Arial"/>
                <w:color w:val="000000"/>
                <w:szCs w:val="18"/>
              </w:rPr>
              <w:t>9)</w:t>
            </w:r>
          </w:p>
        </w:tc>
        <w:tc>
          <w:tcPr>
            <w:tcW w:w="856" w:type="pct"/>
            <w:tcBorders>
              <w:top w:val="nil"/>
              <w:left w:val="nil"/>
              <w:bottom w:val="nil"/>
              <w:right w:val="nil"/>
            </w:tcBorders>
            <w:shd w:val="clear" w:color="auto" w:fill="FFFFFF"/>
            <w:vAlign w:val="center"/>
          </w:tcPr>
          <w:p w:rsidR="001A56F6" w:rsidRDefault="001A56F6" w:rsidP="001A56F6">
            <w:pPr>
              <w:rPr>
                <w:rFonts w:cs="Arial"/>
                <w:color w:val="000000"/>
                <w:szCs w:val="18"/>
              </w:rPr>
            </w:pPr>
            <w:r>
              <w:rPr>
                <w:rFonts w:cs="Arial"/>
                <w:color w:val="000000"/>
                <w:szCs w:val="18"/>
              </w:rPr>
              <w:t>1</w:t>
            </w:r>
            <w:r w:rsidR="002C7851">
              <w:rPr>
                <w:rFonts w:cs="Arial"/>
                <w:color w:val="000000"/>
                <w:szCs w:val="18"/>
              </w:rPr>
              <w:t>.</w:t>
            </w:r>
            <w:r>
              <w:rPr>
                <w:rFonts w:cs="Arial"/>
                <w:color w:val="000000"/>
                <w:szCs w:val="18"/>
              </w:rPr>
              <w:t>1 (0</w:t>
            </w:r>
            <w:r w:rsidR="002C7851">
              <w:rPr>
                <w:rFonts w:cs="Arial"/>
                <w:color w:val="000000"/>
                <w:szCs w:val="18"/>
              </w:rPr>
              <w:t>.</w:t>
            </w:r>
            <w:r>
              <w:rPr>
                <w:rFonts w:cs="Arial"/>
                <w:color w:val="000000"/>
                <w:szCs w:val="18"/>
              </w:rPr>
              <w:t>1)</w:t>
            </w:r>
            <w:r w:rsidR="00191052">
              <w:rPr>
                <w:rFonts w:cs="Arial"/>
                <w:color w:val="000000"/>
                <w:szCs w:val="18"/>
              </w:rPr>
              <w:t>*</w:t>
            </w:r>
          </w:p>
        </w:tc>
        <w:tc>
          <w:tcPr>
            <w:tcW w:w="854" w:type="pct"/>
            <w:tcBorders>
              <w:top w:val="nil"/>
              <w:left w:val="nil"/>
              <w:bottom w:val="nil"/>
              <w:right w:val="nil"/>
            </w:tcBorders>
            <w:shd w:val="clear" w:color="auto" w:fill="FFFFFF"/>
            <w:vAlign w:val="center"/>
          </w:tcPr>
          <w:p w:rsidR="001A56F6" w:rsidRDefault="001A56F6" w:rsidP="001A56F6">
            <w:pPr>
              <w:jc w:val="left"/>
              <w:rPr>
                <w:rFonts w:cs="Arial"/>
                <w:color w:val="000000"/>
                <w:szCs w:val="18"/>
              </w:rPr>
            </w:pPr>
            <w:r>
              <w:rPr>
                <w:rFonts w:cs="Arial"/>
                <w:color w:val="000000"/>
                <w:szCs w:val="18"/>
              </w:rPr>
              <w:t>12</w:t>
            </w:r>
            <w:r w:rsidR="002C7851">
              <w:rPr>
                <w:rFonts w:cs="Arial"/>
                <w:color w:val="000000"/>
                <w:szCs w:val="18"/>
              </w:rPr>
              <w:t>.</w:t>
            </w:r>
            <w:r>
              <w:rPr>
                <w:rFonts w:cs="Arial"/>
                <w:color w:val="000000"/>
                <w:szCs w:val="18"/>
              </w:rPr>
              <w:t>4 (1</w:t>
            </w:r>
            <w:r w:rsidR="002C7851">
              <w:rPr>
                <w:rFonts w:cs="Arial"/>
                <w:color w:val="000000"/>
                <w:szCs w:val="18"/>
              </w:rPr>
              <w:t>.</w:t>
            </w:r>
            <w:r>
              <w:rPr>
                <w:rFonts w:cs="Arial"/>
                <w:color w:val="000000"/>
                <w:szCs w:val="18"/>
              </w:rPr>
              <w:t>1)</w:t>
            </w:r>
          </w:p>
        </w:tc>
      </w:tr>
      <w:tr w:rsidR="001A56F6" w:rsidRPr="009F57CF" w:rsidTr="001A56F6">
        <w:tc>
          <w:tcPr>
            <w:tcW w:w="722" w:type="pct"/>
            <w:tcBorders>
              <w:top w:val="nil"/>
              <w:left w:val="nil"/>
              <w:bottom w:val="nil"/>
              <w:right w:val="nil"/>
            </w:tcBorders>
            <w:shd w:val="clear" w:color="auto" w:fill="FFFFFF"/>
            <w:vAlign w:val="bottom"/>
          </w:tcPr>
          <w:p w:rsidR="001A56F6" w:rsidRPr="009F57CF" w:rsidRDefault="001A56F6" w:rsidP="001A56F6">
            <w:pPr>
              <w:pStyle w:val="CETBodytext"/>
            </w:pPr>
            <w:r w:rsidRPr="009F57CF">
              <w:t>Hg</w:t>
            </w:r>
            <w:r w:rsidRPr="009F57CF">
              <w:rPr>
                <w:vertAlign w:val="superscript"/>
              </w:rPr>
              <w:t>2+</w:t>
            </w:r>
            <w:r w:rsidRPr="009F57CF">
              <w:t xml:space="preserve"> (mg L</w:t>
            </w:r>
            <w:r w:rsidRPr="009F57CF">
              <w:rPr>
                <w:vertAlign w:val="superscript"/>
              </w:rPr>
              <w:t>-1</w:t>
            </w:r>
            <w:r w:rsidRPr="009F57CF">
              <w:t>)</w:t>
            </w:r>
          </w:p>
        </w:tc>
        <w:tc>
          <w:tcPr>
            <w:tcW w:w="856" w:type="pct"/>
            <w:tcBorders>
              <w:top w:val="nil"/>
              <w:left w:val="nil"/>
              <w:bottom w:val="nil"/>
              <w:right w:val="nil"/>
            </w:tcBorders>
            <w:shd w:val="clear" w:color="auto" w:fill="FFFFFF"/>
            <w:vAlign w:val="center"/>
          </w:tcPr>
          <w:p w:rsidR="001A56F6" w:rsidRDefault="001A56F6" w:rsidP="001A56F6">
            <w:pPr>
              <w:rPr>
                <w:rFonts w:cs="Arial"/>
                <w:color w:val="000000"/>
                <w:szCs w:val="18"/>
              </w:rPr>
            </w:pPr>
          </w:p>
        </w:tc>
        <w:tc>
          <w:tcPr>
            <w:tcW w:w="856" w:type="pct"/>
            <w:tcBorders>
              <w:top w:val="nil"/>
              <w:left w:val="nil"/>
              <w:bottom w:val="nil"/>
              <w:right w:val="nil"/>
            </w:tcBorders>
            <w:shd w:val="clear" w:color="auto" w:fill="FFFFFF"/>
            <w:vAlign w:val="center"/>
          </w:tcPr>
          <w:p w:rsidR="001A56F6" w:rsidRDefault="001A56F6" w:rsidP="001A56F6">
            <w:pPr>
              <w:jc w:val="left"/>
              <w:rPr>
                <w:rFonts w:cs="Arial"/>
                <w:color w:val="000000"/>
                <w:szCs w:val="18"/>
              </w:rPr>
            </w:pPr>
          </w:p>
        </w:tc>
        <w:tc>
          <w:tcPr>
            <w:tcW w:w="856" w:type="pct"/>
            <w:tcBorders>
              <w:top w:val="nil"/>
              <w:left w:val="nil"/>
              <w:bottom w:val="nil"/>
              <w:right w:val="nil"/>
            </w:tcBorders>
            <w:shd w:val="clear" w:color="auto" w:fill="FFFFFF"/>
            <w:vAlign w:val="center"/>
          </w:tcPr>
          <w:p w:rsidR="001A56F6" w:rsidRDefault="001A56F6" w:rsidP="001A56F6">
            <w:pPr>
              <w:rPr>
                <w:rFonts w:cs="Arial"/>
                <w:color w:val="000000"/>
                <w:szCs w:val="18"/>
              </w:rPr>
            </w:pPr>
          </w:p>
        </w:tc>
        <w:tc>
          <w:tcPr>
            <w:tcW w:w="856" w:type="pct"/>
            <w:tcBorders>
              <w:top w:val="nil"/>
              <w:left w:val="nil"/>
              <w:bottom w:val="nil"/>
              <w:right w:val="nil"/>
            </w:tcBorders>
            <w:shd w:val="clear" w:color="auto" w:fill="FFFFFF"/>
            <w:vAlign w:val="center"/>
          </w:tcPr>
          <w:p w:rsidR="001A56F6" w:rsidRDefault="001A56F6" w:rsidP="001A56F6">
            <w:pPr>
              <w:rPr>
                <w:rFonts w:cs="Arial"/>
                <w:color w:val="000000"/>
                <w:szCs w:val="18"/>
              </w:rPr>
            </w:pPr>
          </w:p>
        </w:tc>
        <w:tc>
          <w:tcPr>
            <w:tcW w:w="854" w:type="pct"/>
            <w:tcBorders>
              <w:top w:val="nil"/>
              <w:left w:val="nil"/>
              <w:bottom w:val="nil"/>
              <w:right w:val="nil"/>
            </w:tcBorders>
            <w:shd w:val="clear" w:color="auto" w:fill="FFFFFF"/>
            <w:vAlign w:val="center"/>
          </w:tcPr>
          <w:p w:rsidR="001A56F6" w:rsidRDefault="001A56F6" w:rsidP="001A56F6">
            <w:pPr>
              <w:jc w:val="left"/>
              <w:rPr>
                <w:rFonts w:cs="Arial"/>
                <w:color w:val="000000"/>
                <w:szCs w:val="18"/>
              </w:rPr>
            </w:pPr>
          </w:p>
        </w:tc>
      </w:tr>
      <w:tr w:rsidR="001A56F6" w:rsidRPr="009F57CF" w:rsidTr="001A56F6">
        <w:tc>
          <w:tcPr>
            <w:tcW w:w="722" w:type="pct"/>
            <w:tcBorders>
              <w:top w:val="nil"/>
              <w:left w:val="nil"/>
              <w:bottom w:val="nil"/>
              <w:right w:val="nil"/>
            </w:tcBorders>
            <w:shd w:val="clear" w:color="auto" w:fill="FFFFFF"/>
            <w:vAlign w:val="center"/>
          </w:tcPr>
          <w:p w:rsidR="001A56F6" w:rsidRDefault="001A56F6" w:rsidP="001A56F6">
            <w:pPr>
              <w:tabs>
                <w:tab w:val="clear" w:pos="7100"/>
              </w:tabs>
              <w:spacing w:line="240" w:lineRule="auto"/>
              <w:rPr>
                <w:rFonts w:cs="Arial"/>
                <w:color w:val="000000"/>
                <w:szCs w:val="18"/>
                <w:lang w:val="en-US"/>
              </w:rPr>
            </w:pPr>
            <w:r>
              <w:rPr>
                <w:rFonts w:cs="Arial"/>
                <w:color w:val="000000"/>
                <w:szCs w:val="18"/>
              </w:rPr>
              <w:t>0.05</w:t>
            </w:r>
          </w:p>
        </w:tc>
        <w:tc>
          <w:tcPr>
            <w:tcW w:w="856" w:type="pct"/>
            <w:tcBorders>
              <w:top w:val="nil"/>
              <w:left w:val="nil"/>
              <w:bottom w:val="nil"/>
              <w:right w:val="nil"/>
            </w:tcBorders>
            <w:shd w:val="clear" w:color="auto" w:fill="FFFFFF"/>
          </w:tcPr>
          <w:p w:rsidR="001A56F6" w:rsidRPr="00792B2E" w:rsidRDefault="001A56F6" w:rsidP="001A56F6">
            <w:r w:rsidRPr="00792B2E">
              <w:t>66.7 (12</w:t>
            </w:r>
            <w:r w:rsidR="002C7851">
              <w:t>.0</w:t>
            </w:r>
            <w:r w:rsidRPr="00792B2E">
              <w:t>)</w:t>
            </w:r>
          </w:p>
        </w:tc>
        <w:tc>
          <w:tcPr>
            <w:tcW w:w="856" w:type="pct"/>
            <w:tcBorders>
              <w:top w:val="nil"/>
              <w:left w:val="nil"/>
              <w:bottom w:val="nil"/>
              <w:right w:val="nil"/>
            </w:tcBorders>
            <w:shd w:val="clear" w:color="auto" w:fill="FFFFFF"/>
          </w:tcPr>
          <w:p w:rsidR="001A56F6" w:rsidRPr="00792B2E" w:rsidRDefault="001A56F6" w:rsidP="002C7851">
            <w:r w:rsidRPr="00792B2E">
              <w:t>4.8 (0.4)</w:t>
            </w:r>
            <w:r w:rsidR="002C7851">
              <w:t>*</w:t>
            </w:r>
          </w:p>
        </w:tc>
        <w:tc>
          <w:tcPr>
            <w:tcW w:w="856" w:type="pct"/>
            <w:tcBorders>
              <w:top w:val="nil"/>
              <w:left w:val="nil"/>
              <w:bottom w:val="nil"/>
              <w:right w:val="nil"/>
            </w:tcBorders>
            <w:shd w:val="clear" w:color="auto" w:fill="FFFFFF"/>
          </w:tcPr>
          <w:p w:rsidR="001A56F6" w:rsidRPr="00792B2E" w:rsidRDefault="001A56F6" w:rsidP="001A56F6">
            <w:r w:rsidRPr="00792B2E">
              <w:t>10.7 (1.4)</w:t>
            </w:r>
          </w:p>
        </w:tc>
        <w:tc>
          <w:tcPr>
            <w:tcW w:w="856" w:type="pct"/>
            <w:tcBorders>
              <w:top w:val="nil"/>
              <w:left w:val="nil"/>
              <w:bottom w:val="nil"/>
              <w:right w:val="nil"/>
            </w:tcBorders>
            <w:shd w:val="clear" w:color="auto" w:fill="FFFFFF"/>
          </w:tcPr>
          <w:p w:rsidR="001A56F6" w:rsidRPr="00792B2E" w:rsidRDefault="001A56F6" w:rsidP="001A56F6">
            <w:r w:rsidRPr="00792B2E">
              <w:t>1.2 (0.2)</w:t>
            </w:r>
          </w:p>
        </w:tc>
        <w:tc>
          <w:tcPr>
            <w:tcW w:w="854" w:type="pct"/>
            <w:tcBorders>
              <w:top w:val="nil"/>
              <w:left w:val="nil"/>
              <w:bottom w:val="nil"/>
              <w:right w:val="nil"/>
            </w:tcBorders>
            <w:shd w:val="clear" w:color="auto" w:fill="FFFFFF"/>
          </w:tcPr>
          <w:p w:rsidR="001A56F6" w:rsidRPr="00792B2E" w:rsidRDefault="001A56F6" w:rsidP="001A56F6">
            <w:r w:rsidRPr="00792B2E">
              <w:t>13.8 (2.6)</w:t>
            </w:r>
          </w:p>
        </w:tc>
      </w:tr>
      <w:tr w:rsidR="001A56F6" w:rsidRPr="009F57CF" w:rsidTr="001A56F6">
        <w:tc>
          <w:tcPr>
            <w:tcW w:w="722" w:type="pct"/>
            <w:tcBorders>
              <w:top w:val="nil"/>
              <w:left w:val="nil"/>
              <w:bottom w:val="nil"/>
              <w:right w:val="nil"/>
            </w:tcBorders>
            <w:shd w:val="clear" w:color="auto" w:fill="FFFFFF"/>
            <w:vAlign w:val="center"/>
          </w:tcPr>
          <w:p w:rsidR="001A56F6" w:rsidRDefault="001A56F6" w:rsidP="001A56F6">
            <w:pPr>
              <w:rPr>
                <w:rFonts w:cs="Arial"/>
                <w:color w:val="000000"/>
                <w:szCs w:val="18"/>
              </w:rPr>
            </w:pPr>
            <w:r>
              <w:rPr>
                <w:rFonts w:cs="Arial"/>
                <w:color w:val="000000"/>
                <w:szCs w:val="18"/>
              </w:rPr>
              <w:t>0.10</w:t>
            </w:r>
          </w:p>
        </w:tc>
        <w:tc>
          <w:tcPr>
            <w:tcW w:w="856" w:type="pct"/>
            <w:tcBorders>
              <w:top w:val="nil"/>
              <w:left w:val="nil"/>
              <w:bottom w:val="nil"/>
              <w:right w:val="nil"/>
            </w:tcBorders>
            <w:shd w:val="clear" w:color="auto" w:fill="FFFFFF"/>
          </w:tcPr>
          <w:p w:rsidR="001A56F6" w:rsidRPr="00792B2E" w:rsidRDefault="001A56F6" w:rsidP="001A56F6">
            <w:r w:rsidRPr="00792B2E">
              <w:t>68</w:t>
            </w:r>
            <w:r w:rsidR="002C7851">
              <w:t>.0</w:t>
            </w:r>
            <w:r w:rsidRPr="00792B2E">
              <w:t xml:space="preserve"> (6.7)</w:t>
            </w:r>
          </w:p>
        </w:tc>
        <w:tc>
          <w:tcPr>
            <w:tcW w:w="856" w:type="pct"/>
            <w:tcBorders>
              <w:top w:val="nil"/>
              <w:left w:val="nil"/>
              <w:bottom w:val="nil"/>
              <w:right w:val="nil"/>
            </w:tcBorders>
            <w:shd w:val="clear" w:color="auto" w:fill="FFFFFF"/>
          </w:tcPr>
          <w:p w:rsidR="001A56F6" w:rsidRPr="00792B2E" w:rsidRDefault="001A56F6" w:rsidP="002C7851">
            <w:r w:rsidRPr="00792B2E">
              <w:t>4.8 (0.4)</w:t>
            </w:r>
            <w:r w:rsidR="002C7851">
              <w:t>*</w:t>
            </w:r>
          </w:p>
        </w:tc>
        <w:tc>
          <w:tcPr>
            <w:tcW w:w="856" w:type="pct"/>
            <w:tcBorders>
              <w:top w:val="nil"/>
              <w:left w:val="nil"/>
              <w:bottom w:val="nil"/>
              <w:right w:val="nil"/>
            </w:tcBorders>
            <w:shd w:val="clear" w:color="auto" w:fill="FFFFFF"/>
          </w:tcPr>
          <w:p w:rsidR="001A56F6" w:rsidRPr="00792B2E" w:rsidRDefault="001A56F6" w:rsidP="001A56F6">
            <w:r w:rsidRPr="00792B2E">
              <w:t>9.8 (3.3)</w:t>
            </w:r>
          </w:p>
        </w:tc>
        <w:tc>
          <w:tcPr>
            <w:tcW w:w="856" w:type="pct"/>
            <w:tcBorders>
              <w:top w:val="nil"/>
              <w:left w:val="nil"/>
              <w:bottom w:val="nil"/>
              <w:right w:val="nil"/>
            </w:tcBorders>
            <w:shd w:val="clear" w:color="auto" w:fill="FFFFFF"/>
          </w:tcPr>
          <w:p w:rsidR="001A56F6" w:rsidRPr="00792B2E" w:rsidRDefault="001A56F6" w:rsidP="001A56F6">
            <w:r w:rsidRPr="00792B2E">
              <w:t>1.2 (0.1)</w:t>
            </w:r>
          </w:p>
        </w:tc>
        <w:tc>
          <w:tcPr>
            <w:tcW w:w="854" w:type="pct"/>
            <w:tcBorders>
              <w:top w:val="nil"/>
              <w:left w:val="nil"/>
              <w:bottom w:val="nil"/>
              <w:right w:val="nil"/>
            </w:tcBorders>
            <w:shd w:val="clear" w:color="auto" w:fill="FFFFFF"/>
          </w:tcPr>
          <w:p w:rsidR="001A56F6" w:rsidRPr="00792B2E" w:rsidRDefault="001A56F6" w:rsidP="001A56F6">
            <w:r w:rsidRPr="00792B2E">
              <w:t>14.6 (1.5)</w:t>
            </w:r>
          </w:p>
        </w:tc>
      </w:tr>
      <w:tr w:rsidR="001A56F6" w:rsidRPr="009F57CF" w:rsidTr="001A56F6">
        <w:tc>
          <w:tcPr>
            <w:tcW w:w="722" w:type="pct"/>
            <w:tcBorders>
              <w:top w:val="nil"/>
              <w:left w:val="nil"/>
              <w:bottom w:val="nil"/>
              <w:right w:val="nil"/>
            </w:tcBorders>
            <w:shd w:val="clear" w:color="auto" w:fill="FFFFFF"/>
            <w:vAlign w:val="center"/>
          </w:tcPr>
          <w:p w:rsidR="001A56F6" w:rsidRDefault="001A56F6" w:rsidP="001A56F6">
            <w:pPr>
              <w:rPr>
                <w:rFonts w:cs="Arial"/>
                <w:color w:val="000000"/>
                <w:szCs w:val="18"/>
              </w:rPr>
            </w:pPr>
            <w:r>
              <w:rPr>
                <w:rFonts w:cs="Arial"/>
                <w:color w:val="000000"/>
                <w:szCs w:val="18"/>
              </w:rPr>
              <w:t>0.25</w:t>
            </w:r>
          </w:p>
        </w:tc>
        <w:tc>
          <w:tcPr>
            <w:tcW w:w="856" w:type="pct"/>
            <w:tcBorders>
              <w:top w:val="nil"/>
              <w:left w:val="nil"/>
              <w:bottom w:val="nil"/>
              <w:right w:val="nil"/>
            </w:tcBorders>
            <w:shd w:val="clear" w:color="auto" w:fill="FFFFFF"/>
          </w:tcPr>
          <w:p w:rsidR="001A56F6" w:rsidRPr="00792B2E" w:rsidRDefault="001A56F6" w:rsidP="001A56F6">
            <w:r w:rsidRPr="00792B2E">
              <w:t>65.3 (15.3)</w:t>
            </w:r>
          </w:p>
        </w:tc>
        <w:tc>
          <w:tcPr>
            <w:tcW w:w="856" w:type="pct"/>
            <w:tcBorders>
              <w:top w:val="nil"/>
              <w:left w:val="nil"/>
              <w:bottom w:val="nil"/>
              <w:right w:val="nil"/>
            </w:tcBorders>
            <w:shd w:val="clear" w:color="auto" w:fill="FFFFFF"/>
          </w:tcPr>
          <w:p w:rsidR="001A56F6" w:rsidRPr="00792B2E" w:rsidRDefault="001A56F6" w:rsidP="002C7851">
            <w:r w:rsidRPr="00792B2E">
              <w:t>5</w:t>
            </w:r>
            <w:r w:rsidR="002C7851">
              <w:t>.0</w:t>
            </w:r>
            <w:r w:rsidRPr="00792B2E">
              <w:t xml:space="preserve"> (0</w:t>
            </w:r>
            <w:r w:rsidR="002C7851">
              <w:t>.0</w:t>
            </w:r>
            <w:r w:rsidRPr="00792B2E">
              <w:t>)</w:t>
            </w:r>
            <w:r w:rsidR="002C7851">
              <w:t>*</w:t>
            </w:r>
          </w:p>
        </w:tc>
        <w:tc>
          <w:tcPr>
            <w:tcW w:w="856" w:type="pct"/>
            <w:tcBorders>
              <w:top w:val="nil"/>
              <w:left w:val="nil"/>
              <w:bottom w:val="nil"/>
              <w:right w:val="nil"/>
            </w:tcBorders>
            <w:shd w:val="clear" w:color="auto" w:fill="FFFFFF"/>
          </w:tcPr>
          <w:p w:rsidR="001A56F6" w:rsidRPr="00792B2E" w:rsidRDefault="001A56F6" w:rsidP="001A56F6">
            <w:r w:rsidRPr="00792B2E">
              <w:t>9.8 (0.8)</w:t>
            </w:r>
          </w:p>
        </w:tc>
        <w:tc>
          <w:tcPr>
            <w:tcW w:w="856" w:type="pct"/>
            <w:tcBorders>
              <w:top w:val="nil"/>
              <w:left w:val="nil"/>
              <w:bottom w:val="nil"/>
              <w:right w:val="nil"/>
            </w:tcBorders>
            <w:shd w:val="clear" w:color="auto" w:fill="FFFFFF"/>
          </w:tcPr>
          <w:p w:rsidR="001A56F6" w:rsidRPr="00792B2E" w:rsidRDefault="001A56F6" w:rsidP="001A56F6">
            <w:r w:rsidRPr="00792B2E">
              <w:t>1.2 (0.3)</w:t>
            </w:r>
          </w:p>
        </w:tc>
        <w:tc>
          <w:tcPr>
            <w:tcW w:w="854" w:type="pct"/>
            <w:tcBorders>
              <w:top w:val="nil"/>
              <w:left w:val="nil"/>
              <w:bottom w:val="nil"/>
              <w:right w:val="nil"/>
            </w:tcBorders>
            <w:shd w:val="clear" w:color="auto" w:fill="FFFFFF"/>
          </w:tcPr>
          <w:p w:rsidR="001A56F6" w:rsidRPr="00792B2E" w:rsidRDefault="001A56F6" w:rsidP="001A56F6">
            <w:r w:rsidRPr="00792B2E">
              <w:t>14.3 (3.7)</w:t>
            </w:r>
          </w:p>
        </w:tc>
      </w:tr>
      <w:tr w:rsidR="001A56F6" w:rsidRPr="009F57CF" w:rsidTr="001A56F6">
        <w:tc>
          <w:tcPr>
            <w:tcW w:w="722" w:type="pct"/>
            <w:tcBorders>
              <w:top w:val="nil"/>
              <w:left w:val="nil"/>
              <w:bottom w:val="nil"/>
              <w:right w:val="nil"/>
            </w:tcBorders>
            <w:shd w:val="clear" w:color="auto" w:fill="FFFFFF"/>
            <w:vAlign w:val="center"/>
          </w:tcPr>
          <w:p w:rsidR="001A56F6" w:rsidRDefault="001A56F6" w:rsidP="001A56F6">
            <w:pPr>
              <w:rPr>
                <w:rFonts w:cs="Arial"/>
                <w:color w:val="000000"/>
                <w:szCs w:val="18"/>
              </w:rPr>
            </w:pPr>
            <w:r>
              <w:rPr>
                <w:rFonts w:cs="Arial"/>
                <w:color w:val="000000"/>
                <w:szCs w:val="18"/>
              </w:rPr>
              <w:t>1.0</w:t>
            </w:r>
          </w:p>
        </w:tc>
        <w:tc>
          <w:tcPr>
            <w:tcW w:w="856" w:type="pct"/>
            <w:tcBorders>
              <w:top w:val="nil"/>
              <w:left w:val="nil"/>
              <w:bottom w:val="nil"/>
              <w:right w:val="nil"/>
            </w:tcBorders>
            <w:shd w:val="clear" w:color="auto" w:fill="FFFFFF"/>
          </w:tcPr>
          <w:p w:rsidR="001A56F6" w:rsidRPr="00792B2E" w:rsidRDefault="001A56F6" w:rsidP="001A56F6">
            <w:r w:rsidRPr="00792B2E">
              <w:t>73.3 (8.3)</w:t>
            </w:r>
          </w:p>
        </w:tc>
        <w:tc>
          <w:tcPr>
            <w:tcW w:w="856" w:type="pct"/>
            <w:tcBorders>
              <w:top w:val="nil"/>
              <w:left w:val="nil"/>
              <w:bottom w:val="nil"/>
              <w:right w:val="nil"/>
            </w:tcBorders>
            <w:shd w:val="clear" w:color="auto" w:fill="FFFFFF"/>
          </w:tcPr>
          <w:p w:rsidR="001A56F6" w:rsidRPr="00792B2E" w:rsidRDefault="001A56F6" w:rsidP="001A56F6">
            <w:r w:rsidRPr="00792B2E">
              <w:t>5.3 (0.5)</w:t>
            </w:r>
            <w:r w:rsidR="002C7851">
              <w:t>*</w:t>
            </w:r>
          </w:p>
        </w:tc>
        <w:tc>
          <w:tcPr>
            <w:tcW w:w="856" w:type="pct"/>
            <w:tcBorders>
              <w:top w:val="nil"/>
              <w:left w:val="nil"/>
              <w:bottom w:val="nil"/>
              <w:right w:val="nil"/>
            </w:tcBorders>
            <w:shd w:val="clear" w:color="auto" w:fill="FFFFFF"/>
          </w:tcPr>
          <w:p w:rsidR="001A56F6" w:rsidRPr="00792B2E" w:rsidRDefault="001A56F6" w:rsidP="001A56F6">
            <w:r w:rsidRPr="00792B2E">
              <w:t>10</w:t>
            </w:r>
            <w:r w:rsidR="002C7851">
              <w:t>.0</w:t>
            </w:r>
            <w:r w:rsidRPr="00792B2E">
              <w:t xml:space="preserve"> (0.9)</w:t>
            </w:r>
          </w:p>
        </w:tc>
        <w:tc>
          <w:tcPr>
            <w:tcW w:w="856" w:type="pct"/>
            <w:tcBorders>
              <w:top w:val="nil"/>
              <w:left w:val="nil"/>
              <w:bottom w:val="nil"/>
              <w:right w:val="nil"/>
            </w:tcBorders>
            <w:shd w:val="clear" w:color="auto" w:fill="FFFFFF"/>
          </w:tcPr>
          <w:p w:rsidR="001A56F6" w:rsidRPr="00792B2E" w:rsidRDefault="001A56F6" w:rsidP="001A56F6">
            <w:r w:rsidRPr="00792B2E">
              <w:t>1.3 (0.1)</w:t>
            </w:r>
          </w:p>
        </w:tc>
        <w:tc>
          <w:tcPr>
            <w:tcW w:w="854" w:type="pct"/>
            <w:tcBorders>
              <w:top w:val="nil"/>
              <w:left w:val="nil"/>
              <w:bottom w:val="nil"/>
              <w:right w:val="nil"/>
            </w:tcBorders>
            <w:shd w:val="clear" w:color="auto" w:fill="FFFFFF"/>
          </w:tcPr>
          <w:p w:rsidR="001A56F6" w:rsidRPr="00792B2E" w:rsidRDefault="001A56F6" w:rsidP="001A56F6">
            <w:r w:rsidRPr="00792B2E">
              <w:t>14.2 (1.3)</w:t>
            </w:r>
          </w:p>
        </w:tc>
      </w:tr>
      <w:tr w:rsidR="001A56F6" w:rsidRPr="009F57CF" w:rsidTr="001A56F6">
        <w:tc>
          <w:tcPr>
            <w:tcW w:w="722" w:type="pct"/>
            <w:tcBorders>
              <w:top w:val="nil"/>
              <w:left w:val="nil"/>
              <w:bottom w:val="nil"/>
              <w:right w:val="nil"/>
            </w:tcBorders>
            <w:shd w:val="clear" w:color="auto" w:fill="FFFFFF"/>
            <w:vAlign w:val="center"/>
          </w:tcPr>
          <w:p w:rsidR="001A56F6" w:rsidRDefault="001A56F6" w:rsidP="001A56F6">
            <w:pPr>
              <w:rPr>
                <w:rFonts w:cs="Arial"/>
                <w:color w:val="000000"/>
                <w:szCs w:val="18"/>
              </w:rPr>
            </w:pPr>
            <w:r>
              <w:rPr>
                <w:rFonts w:cs="Arial"/>
                <w:color w:val="000000"/>
                <w:szCs w:val="18"/>
              </w:rPr>
              <w:t>5.0</w:t>
            </w:r>
          </w:p>
        </w:tc>
        <w:tc>
          <w:tcPr>
            <w:tcW w:w="856" w:type="pct"/>
            <w:tcBorders>
              <w:top w:val="nil"/>
              <w:left w:val="nil"/>
              <w:bottom w:val="nil"/>
              <w:right w:val="nil"/>
            </w:tcBorders>
            <w:shd w:val="clear" w:color="auto" w:fill="FFFFFF"/>
          </w:tcPr>
          <w:p w:rsidR="001A56F6" w:rsidRPr="00792B2E" w:rsidRDefault="001A56F6" w:rsidP="001A56F6">
            <w:r w:rsidRPr="00792B2E">
              <w:t>60.7 (3</w:t>
            </w:r>
            <w:r w:rsidR="002C7851">
              <w:t>.0</w:t>
            </w:r>
            <w:r w:rsidRPr="00792B2E">
              <w:t>)</w:t>
            </w:r>
          </w:p>
        </w:tc>
        <w:tc>
          <w:tcPr>
            <w:tcW w:w="856" w:type="pct"/>
            <w:tcBorders>
              <w:top w:val="nil"/>
              <w:left w:val="nil"/>
              <w:bottom w:val="nil"/>
              <w:right w:val="nil"/>
            </w:tcBorders>
            <w:shd w:val="clear" w:color="auto" w:fill="FFFFFF"/>
          </w:tcPr>
          <w:p w:rsidR="001A56F6" w:rsidRPr="00792B2E" w:rsidRDefault="001A56F6" w:rsidP="002C7851">
            <w:r w:rsidRPr="00792B2E">
              <w:t>5.2 (0.4)</w:t>
            </w:r>
            <w:r w:rsidR="002C7851">
              <w:t>*</w:t>
            </w:r>
          </w:p>
        </w:tc>
        <w:tc>
          <w:tcPr>
            <w:tcW w:w="856" w:type="pct"/>
            <w:tcBorders>
              <w:top w:val="nil"/>
              <w:left w:val="nil"/>
              <w:bottom w:val="nil"/>
              <w:right w:val="nil"/>
            </w:tcBorders>
            <w:shd w:val="clear" w:color="auto" w:fill="FFFFFF"/>
          </w:tcPr>
          <w:p w:rsidR="001A56F6" w:rsidRPr="00792B2E" w:rsidRDefault="001A56F6" w:rsidP="001A56F6">
            <w:r w:rsidRPr="00792B2E">
              <w:t>10.2 (1.3)</w:t>
            </w:r>
          </w:p>
        </w:tc>
        <w:tc>
          <w:tcPr>
            <w:tcW w:w="856" w:type="pct"/>
            <w:tcBorders>
              <w:top w:val="nil"/>
              <w:left w:val="nil"/>
              <w:bottom w:val="nil"/>
              <w:right w:val="nil"/>
            </w:tcBorders>
            <w:shd w:val="clear" w:color="auto" w:fill="FFFFFF"/>
          </w:tcPr>
          <w:p w:rsidR="001A56F6" w:rsidRPr="00792B2E" w:rsidRDefault="001A56F6" w:rsidP="001A56F6">
            <w:r w:rsidRPr="00792B2E">
              <w:t>1.1 (0.1)</w:t>
            </w:r>
          </w:p>
        </w:tc>
        <w:tc>
          <w:tcPr>
            <w:tcW w:w="854" w:type="pct"/>
            <w:tcBorders>
              <w:top w:val="nil"/>
              <w:left w:val="nil"/>
              <w:bottom w:val="nil"/>
              <w:right w:val="nil"/>
            </w:tcBorders>
            <w:shd w:val="clear" w:color="auto" w:fill="FFFFFF"/>
          </w:tcPr>
          <w:p w:rsidR="001A56F6" w:rsidRPr="00792B2E" w:rsidRDefault="001A56F6" w:rsidP="001A56F6">
            <w:r w:rsidRPr="00792B2E">
              <w:t>14.2 (1.1)</w:t>
            </w:r>
          </w:p>
        </w:tc>
      </w:tr>
      <w:tr w:rsidR="001A56F6" w:rsidRPr="009F57CF" w:rsidTr="001A56F6">
        <w:tc>
          <w:tcPr>
            <w:tcW w:w="722" w:type="pct"/>
            <w:tcBorders>
              <w:top w:val="nil"/>
              <w:bottom w:val="nil"/>
            </w:tcBorders>
            <w:shd w:val="clear" w:color="auto" w:fill="FFFFFF"/>
            <w:vAlign w:val="center"/>
          </w:tcPr>
          <w:p w:rsidR="001A56F6" w:rsidRDefault="001A56F6" w:rsidP="001A56F6">
            <w:pPr>
              <w:rPr>
                <w:rFonts w:cs="Arial"/>
                <w:color w:val="000000"/>
                <w:szCs w:val="18"/>
              </w:rPr>
            </w:pPr>
            <w:r>
              <w:rPr>
                <w:rFonts w:cs="Arial"/>
                <w:color w:val="000000"/>
                <w:szCs w:val="18"/>
              </w:rPr>
              <w:t>25</w:t>
            </w:r>
          </w:p>
        </w:tc>
        <w:tc>
          <w:tcPr>
            <w:tcW w:w="856" w:type="pct"/>
            <w:tcBorders>
              <w:top w:val="nil"/>
              <w:bottom w:val="nil"/>
              <w:right w:val="nil"/>
            </w:tcBorders>
            <w:shd w:val="clear" w:color="auto" w:fill="FFFFFF"/>
          </w:tcPr>
          <w:p w:rsidR="001A56F6" w:rsidRPr="00792B2E" w:rsidRDefault="001A56F6" w:rsidP="00191052">
            <w:r w:rsidRPr="00792B2E">
              <w:t>66</w:t>
            </w:r>
            <w:r w:rsidR="00191052">
              <w:t>.0</w:t>
            </w:r>
            <w:r w:rsidRPr="00792B2E">
              <w:t xml:space="preserve"> (12.1)</w:t>
            </w:r>
          </w:p>
        </w:tc>
        <w:tc>
          <w:tcPr>
            <w:tcW w:w="856" w:type="pct"/>
            <w:tcBorders>
              <w:top w:val="nil"/>
              <w:left w:val="nil"/>
              <w:bottom w:val="nil"/>
            </w:tcBorders>
            <w:shd w:val="clear" w:color="auto" w:fill="FFFFFF"/>
          </w:tcPr>
          <w:p w:rsidR="001A56F6" w:rsidRPr="00792B2E" w:rsidRDefault="001A56F6" w:rsidP="002C7851">
            <w:r w:rsidRPr="00792B2E">
              <w:t>5.3 (0.5)</w:t>
            </w:r>
            <w:r w:rsidR="002C7851">
              <w:t>*</w:t>
            </w:r>
          </w:p>
        </w:tc>
        <w:tc>
          <w:tcPr>
            <w:tcW w:w="856" w:type="pct"/>
            <w:tcBorders>
              <w:top w:val="nil"/>
              <w:bottom w:val="nil"/>
            </w:tcBorders>
            <w:shd w:val="clear" w:color="auto" w:fill="FFFFFF"/>
          </w:tcPr>
          <w:p w:rsidR="001A56F6" w:rsidRPr="00792B2E" w:rsidRDefault="001A56F6" w:rsidP="001A56F6">
            <w:r w:rsidRPr="00792B2E">
              <w:t>8.3 (0.8)</w:t>
            </w:r>
          </w:p>
        </w:tc>
        <w:tc>
          <w:tcPr>
            <w:tcW w:w="856" w:type="pct"/>
            <w:tcBorders>
              <w:top w:val="nil"/>
              <w:bottom w:val="nil"/>
            </w:tcBorders>
            <w:shd w:val="clear" w:color="auto" w:fill="FFFFFF"/>
          </w:tcPr>
          <w:p w:rsidR="001A56F6" w:rsidRPr="00792B2E" w:rsidRDefault="001A56F6" w:rsidP="001A56F6">
            <w:r w:rsidRPr="00792B2E">
              <w:t>1.2 (0.2)</w:t>
            </w:r>
          </w:p>
        </w:tc>
        <w:tc>
          <w:tcPr>
            <w:tcW w:w="854" w:type="pct"/>
            <w:tcBorders>
              <w:top w:val="nil"/>
              <w:bottom w:val="nil"/>
            </w:tcBorders>
            <w:shd w:val="clear" w:color="auto" w:fill="FFFFFF"/>
          </w:tcPr>
          <w:p w:rsidR="001A56F6" w:rsidRDefault="001A56F6" w:rsidP="001A56F6">
            <w:r w:rsidRPr="00792B2E">
              <w:t>14.4 (2.8)</w:t>
            </w:r>
          </w:p>
        </w:tc>
      </w:tr>
      <w:tr w:rsidR="001A56F6" w:rsidRPr="009F57CF" w:rsidTr="008F6949">
        <w:tc>
          <w:tcPr>
            <w:tcW w:w="722" w:type="pct"/>
            <w:tcBorders>
              <w:top w:val="nil"/>
            </w:tcBorders>
            <w:shd w:val="clear" w:color="auto" w:fill="FFFFFF"/>
            <w:vAlign w:val="bottom"/>
          </w:tcPr>
          <w:p w:rsidR="001A56F6" w:rsidRPr="009F57CF" w:rsidRDefault="001A56F6" w:rsidP="001A56F6">
            <w:pPr>
              <w:pStyle w:val="CETBodytext"/>
            </w:pPr>
            <w:r>
              <w:t>Control</w:t>
            </w:r>
          </w:p>
        </w:tc>
        <w:tc>
          <w:tcPr>
            <w:tcW w:w="856" w:type="pct"/>
            <w:tcBorders>
              <w:top w:val="nil"/>
              <w:bottom w:val="single" w:sz="12" w:space="0" w:color="008000"/>
              <w:right w:val="nil"/>
            </w:tcBorders>
            <w:shd w:val="clear" w:color="auto" w:fill="FFFFFF"/>
            <w:vAlign w:val="center"/>
          </w:tcPr>
          <w:p w:rsidR="001A56F6" w:rsidRDefault="001A56F6" w:rsidP="001A56F6">
            <w:pPr>
              <w:rPr>
                <w:rFonts w:cs="Arial"/>
                <w:color w:val="000000"/>
                <w:szCs w:val="18"/>
              </w:rPr>
            </w:pPr>
            <w:r>
              <w:rPr>
                <w:rFonts w:cs="Arial"/>
                <w:color w:val="000000"/>
                <w:szCs w:val="18"/>
              </w:rPr>
              <w:t>78</w:t>
            </w:r>
            <w:r w:rsidR="002C7851">
              <w:rPr>
                <w:rFonts w:cs="Arial"/>
                <w:color w:val="000000"/>
                <w:szCs w:val="18"/>
              </w:rPr>
              <w:t>.</w:t>
            </w:r>
            <w:r>
              <w:rPr>
                <w:rFonts w:cs="Arial"/>
                <w:color w:val="000000"/>
                <w:szCs w:val="18"/>
              </w:rPr>
              <w:t>7 (4</w:t>
            </w:r>
            <w:r w:rsidR="002C7851">
              <w:rPr>
                <w:rFonts w:cs="Arial"/>
                <w:color w:val="000000"/>
                <w:szCs w:val="18"/>
              </w:rPr>
              <w:t>.</w:t>
            </w:r>
            <w:r>
              <w:rPr>
                <w:rFonts w:cs="Arial"/>
                <w:color w:val="000000"/>
                <w:szCs w:val="18"/>
              </w:rPr>
              <w:t>8)</w:t>
            </w:r>
          </w:p>
        </w:tc>
        <w:tc>
          <w:tcPr>
            <w:tcW w:w="856" w:type="pct"/>
            <w:tcBorders>
              <w:top w:val="nil"/>
              <w:left w:val="nil"/>
            </w:tcBorders>
            <w:shd w:val="clear" w:color="auto" w:fill="FFFFFF"/>
            <w:vAlign w:val="center"/>
          </w:tcPr>
          <w:p w:rsidR="001A56F6" w:rsidRDefault="001A56F6" w:rsidP="001A56F6">
            <w:pPr>
              <w:jc w:val="left"/>
              <w:rPr>
                <w:rFonts w:cs="Arial"/>
                <w:color w:val="000000"/>
                <w:szCs w:val="18"/>
              </w:rPr>
            </w:pPr>
            <w:r>
              <w:rPr>
                <w:rFonts w:cs="Arial"/>
                <w:color w:val="000000"/>
                <w:szCs w:val="18"/>
              </w:rPr>
              <w:t>4</w:t>
            </w:r>
            <w:r w:rsidR="002C7851">
              <w:rPr>
                <w:rFonts w:cs="Arial"/>
                <w:color w:val="000000"/>
                <w:szCs w:val="18"/>
              </w:rPr>
              <w:t>.0</w:t>
            </w:r>
            <w:r>
              <w:rPr>
                <w:rFonts w:cs="Arial"/>
                <w:color w:val="000000"/>
                <w:szCs w:val="18"/>
              </w:rPr>
              <w:t xml:space="preserve"> (0</w:t>
            </w:r>
            <w:r w:rsidR="002C7851">
              <w:rPr>
                <w:rFonts w:cs="Arial"/>
                <w:color w:val="000000"/>
                <w:szCs w:val="18"/>
              </w:rPr>
              <w:t>.0</w:t>
            </w:r>
            <w:r>
              <w:rPr>
                <w:rFonts w:cs="Arial"/>
                <w:color w:val="000000"/>
                <w:szCs w:val="18"/>
              </w:rPr>
              <w:t>)</w:t>
            </w:r>
          </w:p>
        </w:tc>
        <w:tc>
          <w:tcPr>
            <w:tcW w:w="856" w:type="pct"/>
            <w:tcBorders>
              <w:top w:val="nil"/>
            </w:tcBorders>
            <w:shd w:val="clear" w:color="auto" w:fill="FFFFFF"/>
            <w:vAlign w:val="center"/>
          </w:tcPr>
          <w:p w:rsidR="001A56F6" w:rsidRDefault="001A56F6" w:rsidP="001A56F6">
            <w:pPr>
              <w:rPr>
                <w:rFonts w:cs="Arial"/>
                <w:color w:val="000000"/>
                <w:szCs w:val="18"/>
              </w:rPr>
            </w:pPr>
            <w:r>
              <w:rPr>
                <w:rFonts w:cs="Arial"/>
                <w:color w:val="000000"/>
                <w:szCs w:val="18"/>
              </w:rPr>
              <w:t>10</w:t>
            </w:r>
            <w:r w:rsidR="002C7851">
              <w:rPr>
                <w:rFonts w:cs="Arial"/>
                <w:color w:val="000000"/>
                <w:szCs w:val="18"/>
              </w:rPr>
              <w:t>.</w:t>
            </w:r>
            <w:r>
              <w:rPr>
                <w:rFonts w:cs="Arial"/>
                <w:color w:val="000000"/>
                <w:szCs w:val="18"/>
              </w:rPr>
              <w:t>3 (2</w:t>
            </w:r>
            <w:r w:rsidR="002C7851">
              <w:rPr>
                <w:rFonts w:cs="Arial"/>
                <w:color w:val="000000"/>
                <w:szCs w:val="18"/>
              </w:rPr>
              <w:t>.</w:t>
            </w:r>
            <w:r>
              <w:rPr>
                <w:rFonts w:cs="Arial"/>
                <w:color w:val="000000"/>
                <w:szCs w:val="18"/>
              </w:rPr>
              <w:t>9)</w:t>
            </w:r>
          </w:p>
        </w:tc>
        <w:tc>
          <w:tcPr>
            <w:tcW w:w="856" w:type="pct"/>
            <w:tcBorders>
              <w:top w:val="nil"/>
            </w:tcBorders>
            <w:shd w:val="clear" w:color="auto" w:fill="FFFFFF"/>
            <w:vAlign w:val="center"/>
          </w:tcPr>
          <w:p w:rsidR="001A56F6" w:rsidRDefault="001A56F6" w:rsidP="001A56F6">
            <w:pPr>
              <w:rPr>
                <w:rFonts w:cs="Arial"/>
                <w:color w:val="000000"/>
                <w:szCs w:val="18"/>
              </w:rPr>
            </w:pPr>
            <w:r>
              <w:rPr>
                <w:rFonts w:cs="Arial"/>
                <w:color w:val="000000"/>
                <w:szCs w:val="18"/>
              </w:rPr>
              <w:t>1</w:t>
            </w:r>
            <w:r w:rsidR="002C7851">
              <w:rPr>
                <w:rFonts w:cs="Arial"/>
                <w:color w:val="000000"/>
                <w:szCs w:val="18"/>
              </w:rPr>
              <w:t>.</w:t>
            </w:r>
            <w:r>
              <w:rPr>
                <w:rFonts w:cs="Arial"/>
                <w:color w:val="000000"/>
                <w:szCs w:val="18"/>
              </w:rPr>
              <w:t>4 (0</w:t>
            </w:r>
            <w:r w:rsidR="002C7851">
              <w:rPr>
                <w:rFonts w:cs="Arial"/>
                <w:color w:val="000000"/>
                <w:szCs w:val="18"/>
              </w:rPr>
              <w:t>.</w:t>
            </w:r>
            <w:r>
              <w:rPr>
                <w:rFonts w:cs="Arial"/>
                <w:color w:val="000000"/>
                <w:szCs w:val="18"/>
              </w:rPr>
              <w:t>1)</w:t>
            </w:r>
          </w:p>
        </w:tc>
        <w:tc>
          <w:tcPr>
            <w:tcW w:w="854" w:type="pct"/>
            <w:tcBorders>
              <w:top w:val="nil"/>
            </w:tcBorders>
            <w:shd w:val="clear" w:color="auto" w:fill="FFFFFF"/>
            <w:vAlign w:val="center"/>
          </w:tcPr>
          <w:p w:rsidR="001A56F6" w:rsidRDefault="001A56F6" w:rsidP="001A56F6">
            <w:pPr>
              <w:jc w:val="left"/>
              <w:rPr>
                <w:rFonts w:cs="Arial"/>
                <w:color w:val="000000"/>
                <w:szCs w:val="18"/>
              </w:rPr>
            </w:pPr>
            <w:r>
              <w:rPr>
                <w:rFonts w:cs="Arial"/>
                <w:color w:val="000000"/>
                <w:szCs w:val="18"/>
              </w:rPr>
              <w:t>14</w:t>
            </w:r>
            <w:r w:rsidR="002C7851">
              <w:rPr>
                <w:rFonts w:cs="Arial"/>
                <w:color w:val="000000"/>
                <w:szCs w:val="18"/>
              </w:rPr>
              <w:t>.</w:t>
            </w:r>
            <w:r>
              <w:rPr>
                <w:rFonts w:cs="Arial"/>
                <w:color w:val="000000"/>
                <w:szCs w:val="18"/>
              </w:rPr>
              <w:t>5 (0</w:t>
            </w:r>
            <w:r w:rsidR="002C7851">
              <w:rPr>
                <w:rFonts w:cs="Arial"/>
                <w:color w:val="000000"/>
                <w:szCs w:val="18"/>
              </w:rPr>
              <w:t>.</w:t>
            </w:r>
            <w:r>
              <w:rPr>
                <w:rFonts w:cs="Arial"/>
                <w:color w:val="000000"/>
                <w:szCs w:val="18"/>
              </w:rPr>
              <w:t>5)</w:t>
            </w:r>
          </w:p>
        </w:tc>
      </w:tr>
    </w:tbl>
    <w:p w:rsidR="000761EC" w:rsidRDefault="000761EC" w:rsidP="00E231A5">
      <w:pPr>
        <w:pStyle w:val="CETBodytext"/>
      </w:pPr>
    </w:p>
    <w:bookmarkEnd w:id="0"/>
    <w:p w:rsidR="00264BCB" w:rsidRPr="009F57CF" w:rsidRDefault="00264BCB" w:rsidP="00264BCB">
      <w:pPr>
        <w:pStyle w:val="CETheadingx"/>
      </w:pPr>
      <w:r w:rsidRPr="009F57CF">
        <w:t xml:space="preserve">Effect of cadmium and mercury on </w:t>
      </w:r>
      <w:r w:rsidRPr="009F57CF">
        <w:rPr>
          <w:i/>
        </w:rPr>
        <w:t>Lolium perenne</w:t>
      </w:r>
      <w:r w:rsidRPr="009F57CF">
        <w:t xml:space="preserve"> </w:t>
      </w:r>
      <w:r w:rsidR="00DA1623" w:rsidRPr="009F57CF">
        <w:t>gr</w:t>
      </w:r>
      <w:r w:rsidR="00802FBC" w:rsidRPr="009F57CF">
        <w:t>owth</w:t>
      </w:r>
    </w:p>
    <w:p w:rsidR="001B1C90" w:rsidRPr="009F57CF" w:rsidRDefault="00C742D2" w:rsidP="001B1C90">
      <w:pPr>
        <w:pStyle w:val="CETBodytext"/>
      </w:pPr>
      <w:r>
        <w:t xml:space="preserve">Root and shoot length were assessed after 14 d of the experiment. </w:t>
      </w:r>
      <w:r w:rsidR="001B1C90" w:rsidRPr="009F57CF">
        <w:t xml:space="preserve">In the case of Hg an inhibition effect was observed in the root and not in the stem. For the root, it is necessary that at higher concentrations its elongation decreases, however, for the response curve of concentration-growth of the stem we have the U-shape typical </w:t>
      </w:r>
      <w:r w:rsidR="001B1C90" w:rsidRPr="009F57CF">
        <w:lastRenderedPageBreak/>
        <w:t xml:space="preserve">of response to hormetic metal ions </w:t>
      </w:r>
      <w:r w:rsidR="001B1C90" w:rsidRPr="009F57CF">
        <w:rPr>
          <w:noProof/>
        </w:rPr>
        <w:t>(Poschenrieder et al., 2013)</w:t>
      </w:r>
      <w:r w:rsidR="001B1C90" w:rsidRPr="009F57CF">
        <w:t xml:space="preserve">. This duality in the response of the organs of the plant can be explained by the tolerance mechanism used by each one </w:t>
      </w:r>
      <w:r w:rsidR="001B1C90" w:rsidRPr="009F57CF">
        <w:rPr>
          <w:noProof/>
        </w:rPr>
        <w:t>(Guerrero et al., 2014)</w:t>
      </w:r>
      <w:r w:rsidR="001B1C90" w:rsidRPr="009F57CF">
        <w:t>.</w:t>
      </w:r>
    </w:p>
    <w:p w:rsidR="001B1C90" w:rsidRPr="009F57CF" w:rsidRDefault="001B1C90" w:rsidP="001B1C90">
      <w:pPr>
        <w:pStyle w:val="CETBodytext"/>
      </w:pPr>
      <w:r w:rsidRPr="009F57CF">
        <w:t xml:space="preserve">With respect to the response caused by the Cd, it was found that there is no clear growth response with respect to the increase of contaminant for any of the organs of the plant. However, for a concentration of 0.25 ppm a positive response was observed for the root and stem. Therefore, this could be considered the dose where the stimulation of growth is presented as a response to a compensatory adaptation process </w:t>
      </w:r>
      <w:r w:rsidRPr="009F57CF">
        <w:rPr>
          <w:noProof/>
        </w:rPr>
        <w:t>(Poschenrieder et al., 2013)</w:t>
      </w:r>
      <w:r w:rsidRPr="009F57CF">
        <w:t xml:space="preserve">. </w:t>
      </w:r>
    </w:p>
    <w:p w:rsidR="001B1C90" w:rsidRPr="009F57CF" w:rsidRDefault="001B1C90" w:rsidP="001B1C90">
      <w:pPr>
        <w:pStyle w:val="CETBodytext"/>
      </w:pPr>
    </w:p>
    <w:p w:rsidR="00264BCB" w:rsidRPr="009F57CF" w:rsidRDefault="00C310FE" w:rsidP="00264BCB">
      <w:pPr>
        <w:pStyle w:val="CETBodytext"/>
      </w:pPr>
      <w:r w:rsidRPr="009F57CF">
        <w:rPr>
          <w:noProof/>
        </w:rPr>
        <w:drawing>
          <wp:inline distT="0" distB="0" distL="0" distR="0">
            <wp:extent cx="5579745" cy="2091418"/>
            <wp:effectExtent l="0" t="0" r="1905" b="4445"/>
            <wp:docPr id="3" name="Imagen 3" descr="C:\Users\Jorge luis\Dropbox\PROYECTO DTA\artículo\prisma\Layout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rge luis\Dropbox\PROYECTO DTA\artículo\prisma\Layout 1.t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79745" cy="2091418"/>
                    </a:xfrm>
                    <a:prstGeom prst="rect">
                      <a:avLst/>
                    </a:prstGeom>
                    <a:noFill/>
                    <a:ln>
                      <a:noFill/>
                    </a:ln>
                  </pic:spPr>
                </pic:pic>
              </a:graphicData>
            </a:graphic>
          </wp:inline>
        </w:drawing>
      </w:r>
    </w:p>
    <w:p w:rsidR="000761EC" w:rsidRPr="009F57CF" w:rsidRDefault="000761EC" w:rsidP="000761EC">
      <w:pPr>
        <w:pStyle w:val="CETCaption"/>
      </w:pPr>
      <w:r w:rsidRPr="009F57CF">
        <w:t>Figure 2: Cd</w:t>
      </w:r>
      <w:r w:rsidRPr="009F57CF">
        <w:rPr>
          <w:vertAlign w:val="superscript"/>
        </w:rPr>
        <w:t>2+</w:t>
      </w:r>
      <w:r w:rsidRPr="009F57CF">
        <w:t xml:space="preserve"> and Hg</w:t>
      </w:r>
      <w:r w:rsidRPr="009F57CF">
        <w:rPr>
          <w:vertAlign w:val="superscript"/>
        </w:rPr>
        <w:t>2+</w:t>
      </w:r>
      <w:r w:rsidRPr="009F57CF">
        <w:t xml:space="preserve"> effect on Root (a) and Shoot (b) length development.</w:t>
      </w:r>
    </w:p>
    <w:p w:rsidR="0021607D" w:rsidRDefault="00517873" w:rsidP="0021607D">
      <w:pPr>
        <w:pStyle w:val="CETBodytext"/>
      </w:pPr>
      <w:r>
        <w:t>Cd and Hg toxicity on roots was assessed by t</w:t>
      </w:r>
      <w:r w:rsidR="00E71F67" w:rsidRPr="00E71F67">
        <w:t xml:space="preserve">he </w:t>
      </w:r>
      <w:r w:rsidR="00E71F67" w:rsidRPr="00517873">
        <w:rPr>
          <w:i/>
        </w:rPr>
        <w:t>L. sativa</w:t>
      </w:r>
      <w:r w:rsidR="00E71F67" w:rsidRPr="00E71F67">
        <w:t xml:space="preserve"> bioassay</w:t>
      </w:r>
      <w:r>
        <w:t xml:space="preserve">, and the toxicity was reported at 0.26 mg/L Hg and 0.15 mg/L Cd </w:t>
      </w:r>
      <w:r w:rsidR="00E71F67">
        <w:t>(Lyu et al., 2018)</w:t>
      </w:r>
      <w:r>
        <w:t>. Morales and Gallego (2013) reported root toxicity for 25 mg/L Hg</w:t>
      </w:r>
      <w:r w:rsidRPr="00517873">
        <w:rPr>
          <w:vertAlign w:val="superscript"/>
        </w:rPr>
        <w:t>2+</w:t>
      </w:r>
      <w:r>
        <w:t xml:space="preserve"> and suggested regression models to assess the dose-dependent effect of metals. In this study, r</w:t>
      </w:r>
      <w:r w:rsidR="001B1C90" w:rsidRPr="009F57CF">
        <w:t>egression test</w:t>
      </w:r>
      <w:r w:rsidR="0021607D">
        <w:t>s</w:t>
      </w:r>
      <w:r w:rsidR="001B1C90" w:rsidRPr="009F57CF">
        <w:t xml:space="preserve"> were performed to analyze the model of inhibition of root and shoot of </w:t>
      </w:r>
      <w:r w:rsidR="001B1C90" w:rsidRPr="009F57CF">
        <w:rPr>
          <w:i/>
        </w:rPr>
        <w:t>Lolium perene</w:t>
      </w:r>
      <w:r w:rsidR="001B1C90" w:rsidRPr="009F57CF">
        <w:t xml:space="preserve"> under mercury and cadmium exposure. The best predictive</w:t>
      </w:r>
      <w:r w:rsidR="00C877B6" w:rsidRPr="009F57CF">
        <w:t xml:space="preserve"> </w:t>
      </w:r>
      <w:r w:rsidR="001B1C90" w:rsidRPr="009F57CF">
        <w:t>function</w:t>
      </w:r>
      <w:r w:rsidR="0021607D">
        <w:t xml:space="preserve"> </w:t>
      </w:r>
      <w:r w:rsidR="0021607D" w:rsidRPr="009F57CF">
        <w:t>(R</w:t>
      </w:r>
      <w:r w:rsidR="0021607D" w:rsidRPr="009F57CF">
        <w:rPr>
          <w:vertAlign w:val="superscript"/>
        </w:rPr>
        <w:t>2</w:t>
      </w:r>
      <w:r w:rsidR="0021607D" w:rsidRPr="009F57CF">
        <w:t xml:space="preserve"> </w:t>
      </w:r>
      <w:r w:rsidR="0021607D">
        <w:t xml:space="preserve">= </w:t>
      </w:r>
      <w:r w:rsidR="0021607D" w:rsidRPr="009F57CF">
        <w:t>77,80</w:t>
      </w:r>
      <w:r w:rsidR="0021607D">
        <w:t xml:space="preserve"> </w:t>
      </w:r>
      <w:r w:rsidR="0021607D" w:rsidRPr="009F57CF">
        <w:t>%)</w:t>
      </w:r>
      <w:r w:rsidR="001B1C90" w:rsidRPr="009F57CF">
        <w:t xml:space="preserve"> was found for root </w:t>
      </w:r>
      <w:r w:rsidR="0021607D">
        <w:t xml:space="preserve">length </w:t>
      </w:r>
      <w:r w:rsidR="001B1C90" w:rsidRPr="009F57CF">
        <w:t xml:space="preserve">under </w:t>
      </w:r>
      <w:r w:rsidR="00C877B6" w:rsidRPr="009F57CF">
        <w:t>mercury effect</w:t>
      </w:r>
      <w:r w:rsidR="0021607D">
        <w:t xml:space="preserve"> </w:t>
      </w:r>
      <w:r w:rsidR="00C877B6" w:rsidRPr="009F57CF">
        <w:t xml:space="preserve">(figure 3). </w:t>
      </w:r>
      <w:r w:rsidR="00806246">
        <w:t>The resulting equation</w:t>
      </w:r>
      <w:bookmarkStart w:id="1" w:name="_GoBack"/>
      <w:bookmarkEnd w:id="1"/>
      <w:r w:rsidR="00806246">
        <w:t xml:space="preserve"> Eq</w:t>
      </w:r>
      <w:r w:rsidR="0021607D" w:rsidRPr="0021607D">
        <w:t xml:space="preserve">(1) corresponds to the model </w:t>
      </w:r>
      <w:r w:rsidR="0021607D">
        <w:t>Inverse-</w:t>
      </w:r>
      <w:r w:rsidR="0021607D" w:rsidRPr="0021607D">
        <w:t xml:space="preserve">Y Square Root-X, with a </w:t>
      </w:r>
      <w:r w:rsidR="0021607D">
        <w:t>c</w:t>
      </w:r>
      <w:r w:rsidR="0021607D" w:rsidRPr="0021607D">
        <w:t>orrelation coefficient of 0.882 (p=0.000).</w:t>
      </w:r>
    </w:p>
    <w:p w:rsidR="0021607D" w:rsidRDefault="0021607D" w:rsidP="0021607D">
      <w:pPr>
        <w:pStyle w:val="CETBodytext"/>
      </w:pPr>
    </w:p>
    <w:tbl>
      <w:tblPr>
        <w:tblW w:w="5000" w:type="pct"/>
        <w:tblLook w:val="04A0" w:firstRow="1" w:lastRow="0" w:firstColumn="1" w:lastColumn="0" w:noHBand="0" w:noVBand="1"/>
      </w:tblPr>
      <w:tblGrid>
        <w:gridCol w:w="7986"/>
        <w:gridCol w:w="801"/>
      </w:tblGrid>
      <w:tr w:rsidR="00216D01" w:rsidRPr="00B57B36" w:rsidTr="0021607D">
        <w:tc>
          <w:tcPr>
            <w:tcW w:w="7986" w:type="dxa"/>
            <w:shd w:val="clear" w:color="auto" w:fill="auto"/>
            <w:vAlign w:val="center"/>
          </w:tcPr>
          <w:p w:rsidR="00216D01" w:rsidRPr="00B57B36" w:rsidRDefault="00216D01" w:rsidP="005576EE">
            <w:pPr>
              <w:pStyle w:val="CETEquation"/>
            </w:pPr>
            <w:r w:rsidRPr="00216D01">
              <w:rPr>
                <w:noProof/>
                <w:lang w:val="en-US"/>
              </w:rPr>
              <w:drawing>
                <wp:inline distT="0" distB="0" distL="0" distR="0" wp14:anchorId="3B671A42" wp14:editId="7D67276C">
                  <wp:extent cx="1637030" cy="322580"/>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35696" r="34834" b="-68"/>
                          <a:stretch/>
                        </pic:blipFill>
                        <pic:spPr bwMode="auto">
                          <a:xfrm>
                            <a:off x="0" y="0"/>
                            <a:ext cx="1637957" cy="32276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01" w:type="dxa"/>
            <w:shd w:val="clear" w:color="auto" w:fill="auto"/>
            <w:vAlign w:val="center"/>
          </w:tcPr>
          <w:p w:rsidR="00216D01" w:rsidRPr="00B57B36" w:rsidRDefault="00216D01" w:rsidP="005576EE">
            <w:pPr>
              <w:pStyle w:val="CETEquation"/>
              <w:jc w:val="right"/>
            </w:pPr>
            <w:r w:rsidRPr="00B57B36">
              <w:t>(1)</w:t>
            </w:r>
          </w:p>
        </w:tc>
      </w:tr>
    </w:tbl>
    <w:p w:rsidR="0021607D" w:rsidRDefault="0021607D" w:rsidP="0021607D">
      <w:pPr>
        <w:pStyle w:val="CETBodytext"/>
      </w:pPr>
    </w:p>
    <w:p w:rsidR="0021607D" w:rsidRDefault="0021607D" w:rsidP="0021607D">
      <w:pPr>
        <w:pStyle w:val="CETBodytext"/>
        <w:rPr>
          <w:rFonts w:eastAsiaTheme="minorHAnsi"/>
        </w:rPr>
      </w:pPr>
      <w:r w:rsidRPr="009F57CF">
        <w:rPr>
          <w:noProof/>
        </w:rPr>
        <w:drawing>
          <wp:inline distT="0" distB="0" distL="0" distR="0" wp14:anchorId="5BBFD006" wp14:editId="689C678B">
            <wp:extent cx="4581525" cy="2543810"/>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rotWithShape="1">
                    <a:blip r:embed="rId14"/>
                    <a:srcRect l="1567"/>
                    <a:stretch/>
                  </pic:blipFill>
                  <pic:spPr bwMode="auto">
                    <a:xfrm>
                      <a:off x="0" y="0"/>
                      <a:ext cx="4695781" cy="2607249"/>
                    </a:xfrm>
                    <a:prstGeom prst="rect">
                      <a:avLst/>
                    </a:prstGeom>
                    <a:ln>
                      <a:noFill/>
                    </a:ln>
                    <a:extLst>
                      <a:ext uri="{53640926-AAD7-44D8-BBD7-CCE9431645EC}">
                        <a14:shadowObscured xmlns:a14="http://schemas.microsoft.com/office/drawing/2010/main"/>
                      </a:ext>
                    </a:extLst>
                  </pic:spPr>
                </pic:pic>
              </a:graphicData>
            </a:graphic>
          </wp:inline>
        </w:drawing>
      </w:r>
    </w:p>
    <w:p w:rsidR="0021607D" w:rsidRDefault="0021607D" w:rsidP="0021607D">
      <w:pPr>
        <w:pStyle w:val="CETCaption"/>
      </w:pPr>
      <w:r w:rsidRPr="009F57CF">
        <w:t>Figure 3: Regression model of root inhibition under Hg</w:t>
      </w:r>
      <w:r w:rsidRPr="009F57CF">
        <w:rPr>
          <w:vertAlign w:val="superscript"/>
        </w:rPr>
        <w:t>2+</w:t>
      </w:r>
      <w:r w:rsidRPr="009F57CF">
        <w:t xml:space="preserve"> exposure.</w:t>
      </w:r>
    </w:p>
    <w:p w:rsidR="0021607D" w:rsidRPr="0021607D" w:rsidRDefault="00E71F67" w:rsidP="0021607D">
      <w:pPr>
        <w:pStyle w:val="CETBodytext"/>
      </w:pPr>
      <w:r w:rsidRPr="009F57CF">
        <w:lastRenderedPageBreak/>
        <w:t>With the statistical analysis, it was determined that the effect of growth inhibition caused by the contaminant was greater when the plant was exposed to Cd than to Hg, this for both the stem and the root (figure 2). However, when comparing the different levels with the control, it was observed that not necessarily the metal in all the concentrations has a negative effect on the seed</w:t>
      </w:r>
      <w:r>
        <w:t xml:space="preserve"> (</w:t>
      </w:r>
      <w:r w:rsidRPr="009F57CF">
        <w:rPr>
          <w:noProof/>
        </w:rPr>
        <w:t>Kumar et al., 2016)</w:t>
      </w:r>
      <w:r>
        <w:t>.</w:t>
      </w:r>
      <w:r w:rsidRPr="009F57CF">
        <w:t xml:space="preserve"> This may be the result of hormesis and homeostasis processes, in which the plant uses the contaminant load as a stimulant for growth, or has the ability to maintain a stable system despite environmental changes </w:t>
      </w:r>
      <w:r w:rsidRPr="009F57CF">
        <w:rPr>
          <w:noProof/>
        </w:rPr>
        <w:t xml:space="preserve">(Poschenrieder </w:t>
      </w:r>
      <w:r>
        <w:rPr>
          <w:noProof/>
        </w:rPr>
        <w:t xml:space="preserve">et al., 2013). </w:t>
      </w:r>
      <w:r w:rsidR="00C742D2">
        <w:rPr>
          <w:noProof/>
        </w:rPr>
        <w:t xml:space="preserve">Plants grow at widely differing rates, and had developed different adaptations to environmental stressors. Thus, the kinetic model and the assessment of </w:t>
      </w:r>
      <w:r w:rsidR="00C742D2" w:rsidRPr="00C742D2">
        <w:rPr>
          <w:i/>
          <w:noProof/>
        </w:rPr>
        <w:t>Lolium perenne</w:t>
      </w:r>
      <w:r w:rsidR="00C742D2">
        <w:rPr>
          <w:noProof/>
        </w:rPr>
        <w:t xml:space="preserve"> growing is important for the understanding of future bioassays and phytoremediation technologies.</w:t>
      </w:r>
    </w:p>
    <w:p w:rsidR="00765892" w:rsidRPr="009F57CF" w:rsidRDefault="00E307C2" w:rsidP="00E307C2">
      <w:pPr>
        <w:pStyle w:val="CETHeading1"/>
      </w:pPr>
      <w:r w:rsidRPr="009F57CF">
        <w:t>C</w:t>
      </w:r>
      <w:r w:rsidR="00517873">
        <w:t>onclusion</w:t>
      </w:r>
    </w:p>
    <w:p w:rsidR="00DA7EB0" w:rsidRDefault="0039527B" w:rsidP="00DA7EB0">
      <w:pPr>
        <w:pStyle w:val="CETBodytext"/>
      </w:pPr>
      <w:r>
        <w:t>S</w:t>
      </w:r>
      <w:r w:rsidR="00C877B6" w:rsidRPr="009F57CF">
        <w:t>eed</w:t>
      </w:r>
      <w:r>
        <w:t>s</w:t>
      </w:r>
      <w:r w:rsidR="00C877B6" w:rsidRPr="009F57CF">
        <w:t xml:space="preserve"> emergency and early root and shoot development are crucial for an effective plant bioassay or phytoremediation technology. </w:t>
      </w:r>
      <w:r w:rsidR="00691BC3" w:rsidRPr="009F57CF">
        <w:t xml:space="preserve">Germination and growing parameters of </w:t>
      </w:r>
      <w:r w:rsidR="00691BC3" w:rsidRPr="009F57CF">
        <w:rPr>
          <w:i/>
        </w:rPr>
        <w:t>Lollium perene</w:t>
      </w:r>
      <w:r w:rsidR="00691BC3" w:rsidRPr="009F57CF">
        <w:t xml:space="preserve"> were assessed under heavy metal stress. </w:t>
      </w:r>
      <w:r w:rsidRPr="0039527B">
        <w:rPr>
          <w:i/>
        </w:rPr>
        <w:t>Lolium perenne</w:t>
      </w:r>
      <w:r>
        <w:t xml:space="preserve"> s</w:t>
      </w:r>
      <w:r w:rsidR="00691BC3" w:rsidRPr="009F57CF">
        <w:t xml:space="preserve">eeds had the ability to germinate under a wide range of Hg and Cd </w:t>
      </w:r>
      <w:r>
        <w:t xml:space="preserve">concentrations, </w:t>
      </w:r>
      <w:r w:rsidR="00691BC3" w:rsidRPr="009F57CF">
        <w:t xml:space="preserve">showing </w:t>
      </w:r>
      <w:r w:rsidR="00DA7EB0">
        <w:t xml:space="preserve">none </w:t>
      </w:r>
      <w:r w:rsidR="00C877B6" w:rsidRPr="009F57CF">
        <w:t>significant</w:t>
      </w:r>
      <w:r w:rsidR="00691BC3" w:rsidRPr="009F57CF">
        <w:t xml:space="preserve"> change</w:t>
      </w:r>
      <w:r w:rsidR="00DA7EB0">
        <w:t>s</w:t>
      </w:r>
      <w:r w:rsidR="00691BC3" w:rsidRPr="009F57CF">
        <w:t xml:space="preserve"> on their kinetic parameters</w:t>
      </w:r>
      <w:r>
        <w:t>. Shot and root development was sensitive to</w:t>
      </w:r>
      <w:r w:rsidR="00DA7EB0">
        <w:t xml:space="preserve"> </w:t>
      </w:r>
      <w:r w:rsidR="00DA7EB0" w:rsidRPr="009F57CF">
        <w:t>Hg and Cd</w:t>
      </w:r>
      <w:r>
        <w:t xml:space="preserve"> concentrations, which suggest the plant as a </w:t>
      </w:r>
      <w:r w:rsidR="00DA7EB0">
        <w:t xml:space="preserve">monitoring and </w:t>
      </w:r>
      <w:r>
        <w:t xml:space="preserve">bioassay model. </w:t>
      </w:r>
      <w:r w:rsidR="00DA7EB0" w:rsidRPr="0039527B">
        <w:rPr>
          <w:i/>
        </w:rPr>
        <w:t>Lolium perenne</w:t>
      </w:r>
      <w:r w:rsidR="00DA7EB0">
        <w:t xml:space="preserve"> </w:t>
      </w:r>
      <w:r w:rsidR="00DA7EB0" w:rsidRPr="00DA7EB0">
        <w:t xml:space="preserve">had the ability to grow despite toxicity conditions, in addition, growth parameters are suitable for a wide range of Hg and Cd concentrations. Therefore, </w:t>
      </w:r>
      <w:r w:rsidR="00DA7EB0" w:rsidRPr="0039527B">
        <w:rPr>
          <w:i/>
        </w:rPr>
        <w:t>Lolium perenne</w:t>
      </w:r>
      <w:r w:rsidR="00DA7EB0">
        <w:t xml:space="preserve"> </w:t>
      </w:r>
      <w:r w:rsidR="00DA7EB0" w:rsidRPr="00DA7EB0">
        <w:t xml:space="preserve">is a candidate for phytoremediation protocols and heavy metal bioassays. </w:t>
      </w:r>
    </w:p>
    <w:p w:rsidR="00600535" w:rsidRDefault="00600535" w:rsidP="00DA7EB0">
      <w:pPr>
        <w:pStyle w:val="CETHeading1"/>
      </w:pPr>
      <w:r w:rsidRPr="009F57CF">
        <w:t>References</w:t>
      </w:r>
    </w:p>
    <w:p w:rsidR="00517873" w:rsidRDefault="00517873" w:rsidP="00216D01">
      <w:pPr>
        <w:pStyle w:val="Bibliografa"/>
        <w:rPr>
          <w:noProof/>
          <w:lang w:val="es-CO"/>
        </w:rPr>
      </w:pPr>
      <w:r w:rsidRPr="00216D01">
        <w:rPr>
          <w:noProof/>
          <w:lang w:val="es-CO"/>
        </w:rPr>
        <w:t>Al-Ansari, F., &amp; Ksiksi, T. 2016. A Quantitative Assessment of Germination Parameters: the Case of Crotalaria Persica and Tephrosia Apollinea. The Open Ecology Journal, 91.</w:t>
      </w:r>
    </w:p>
    <w:p w:rsidR="00517873" w:rsidRDefault="00517873" w:rsidP="00216D01">
      <w:pPr>
        <w:pStyle w:val="Bibliografa"/>
        <w:rPr>
          <w:noProof/>
          <w:lang w:val="es-CO"/>
        </w:rPr>
      </w:pPr>
      <w:r w:rsidRPr="00517873">
        <w:rPr>
          <w:noProof/>
          <w:lang w:val="es-CO"/>
        </w:rPr>
        <w:t>Al-Helal, A. A. 1995. Effect of cadmium and mercury on seed germination and early seedling growth of rice and alfalfa. Journal-univeRsity of Kuwait science, 22, 76-76.</w:t>
      </w:r>
    </w:p>
    <w:p w:rsidR="00517873" w:rsidRDefault="00517873" w:rsidP="00216D01">
      <w:pPr>
        <w:pStyle w:val="Bibliografa"/>
        <w:rPr>
          <w:noProof/>
          <w:lang w:val="es-CO"/>
        </w:rPr>
      </w:pPr>
      <w:r w:rsidRPr="001B58D4">
        <w:rPr>
          <w:noProof/>
          <w:lang w:val="es-CO"/>
        </w:rPr>
        <w:t>Ali, H., Khan, E., &amp; Sajad, M. A. 2013. Phytoremediation of heavy metals—concepts and applications. Chemosphere, 917, 869-881.</w:t>
      </w:r>
    </w:p>
    <w:p w:rsidR="00517873" w:rsidRDefault="00517873" w:rsidP="00216D01">
      <w:pPr>
        <w:pStyle w:val="Bibliografa"/>
        <w:rPr>
          <w:noProof/>
          <w:lang w:val="es-CO"/>
        </w:rPr>
      </w:pPr>
      <w:r w:rsidRPr="00216D01">
        <w:rPr>
          <w:noProof/>
          <w:lang w:val="es-CO"/>
        </w:rPr>
        <w:t>Beltrán Pineda, M. E., &amp; Gómez Rodríguez, A. M. 2016. Biorremediación de metales pesados cadmio Cd, cromo Cr y mercurio Hg mecanismos bioquímicos e ingeniería genéticA: una revisión. Facultad de Ciencias Básicas de la Universidad MIlitar Nueva Granada, 172- 197.</w:t>
      </w:r>
    </w:p>
    <w:p w:rsidR="00517873" w:rsidRPr="00216D01" w:rsidRDefault="00517873" w:rsidP="00216D01">
      <w:pPr>
        <w:pStyle w:val="Bibliografa"/>
        <w:rPr>
          <w:noProof/>
          <w:lang w:val="es-CO"/>
        </w:rPr>
      </w:pPr>
      <w:r w:rsidRPr="00216D01">
        <w:rPr>
          <w:noProof/>
          <w:lang w:val="es-CO"/>
        </w:rPr>
        <w:t>Guerrero, B., Llugany, M., Palacios, O., &amp; Valiente, M. 2014. Dual effects of different selenium species on wheat. Plant Physiology and Biochemistry, 83, 300-307.</w:t>
      </w:r>
    </w:p>
    <w:p w:rsidR="00517873" w:rsidRDefault="00517873" w:rsidP="00216D01">
      <w:pPr>
        <w:pStyle w:val="Bibliografa"/>
        <w:rPr>
          <w:noProof/>
          <w:lang w:val="es-CO"/>
        </w:rPr>
      </w:pPr>
      <w:r w:rsidRPr="00CE0DBF">
        <w:rPr>
          <w:noProof/>
          <w:lang w:val="es-CO"/>
        </w:rPr>
        <w:t>Huang, D., Qin, X., Peng, Z., Liu, Y., Gong, X., Zeng, G., ... &amp; Hu, Z. 2018. Nanoscale zero-valent iron assisted phytoremediation of Pb in sediment: Impacts on metal accumulation and antioxidative system of Lolium perenne. Ecotoxicology and environmental safety, 153, 229-237.</w:t>
      </w:r>
    </w:p>
    <w:p w:rsidR="00517873" w:rsidRPr="001B58D4" w:rsidRDefault="00517873" w:rsidP="001B58D4">
      <w:pPr>
        <w:pStyle w:val="Bibliografa"/>
        <w:rPr>
          <w:noProof/>
          <w:lang w:val="es-CO"/>
        </w:rPr>
      </w:pPr>
      <w:r w:rsidRPr="001B58D4">
        <w:rPr>
          <w:noProof/>
          <w:lang w:val="es-CO"/>
        </w:rPr>
        <w:t>Inostroza-Blancheteau, C., Reyes-Díaz, M., Berríos, G., Rodrigues-Salvador, A., Nunes-Nesi, A., Deppe, M., ... &amp; Alberdi, M. 2017. Physiological and biochemical responses to manganese toxicity in ryegrass Lolium perenne L. genotypes. Plant physiology and biochemistry, 113, 89-97.</w:t>
      </w:r>
    </w:p>
    <w:p w:rsidR="00517873" w:rsidRPr="00216D01" w:rsidRDefault="00517873" w:rsidP="00216D01">
      <w:pPr>
        <w:pStyle w:val="Bibliografa"/>
        <w:rPr>
          <w:noProof/>
          <w:lang w:val="es-CO"/>
        </w:rPr>
      </w:pPr>
      <w:r w:rsidRPr="00216D01">
        <w:rPr>
          <w:noProof/>
          <w:lang w:val="es-CO"/>
        </w:rPr>
        <w:t>Kumar, R., Kumar, R., Mishra, V., Qidwai, A., Pandey, A., &amp; Kant, S. 2016. Chapter 13 - Detoxification and Tolerance of Heavy Metals in Plants. Plant Metal Interaction , 335-359.</w:t>
      </w:r>
    </w:p>
    <w:p w:rsidR="00517873" w:rsidRPr="00216D01" w:rsidRDefault="00517873" w:rsidP="00216D01">
      <w:pPr>
        <w:pStyle w:val="Bibliografa"/>
        <w:rPr>
          <w:noProof/>
          <w:lang w:val="es-CO"/>
        </w:rPr>
      </w:pPr>
      <w:r w:rsidRPr="00216D01">
        <w:rPr>
          <w:noProof/>
          <w:lang w:val="es-CO"/>
        </w:rPr>
        <w:t>Londoño Franco, L. F., Londoño Muñoz, T., &amp; Muñoz García, G. 2016. Los riesgos de los metales pesados en la salud humana y animal. Biotecnología en el sector, 145-153.</w:t>
      </w:r>
    </w:p>
    <w:p w:rsidR="00517873" w:rsidRDefault="00517873" w:rsidP="00216D01">
      <w:pPr>
        <w:pStyle w:val="Bibliografa"/>
        <w:rPr>
          <w:noProof/>
          <w:lang w:val="es-CO"/>
        </w:rPr>
      </w:pPr>
      <w:r w:rsidRPr="00E71F67">
        <w:rPr>
          <w:noProof/>
          <w:lang w:val="es-CO"/>
        </w:rPr>
        <w:t>Lyu, J., Park, J., Pandey, L. K., Choi, S., Lee, H., De Saeger, J., ... &amp; Han, T. 2018. Testing the toxicity of metals, phenol, effluents, and receiving waters by root elongation in Lactuca sativa L. Ecotoxicology and environmental safety, 149, 225-232.</w:t>
      </w:r>
    </w:p>
    <w:p w:rsidR="00517873" w:rsidRDefault="00517873">
      <w:pPr>
        <w:pStyle w:val="Bibliografa"/>
        <w:rPr>
          <w:iCs/>
          <w:noProof/>
          <w:lang w:val="en-US"/>
        </w:rPr>
      </w:pPr>
      <w:r w:rsidRPr="001B58D4">
        <w:rPr>
          <w:noProof/>
          <w:lang w:val="es-CO"/>
        </w:rPr>
        <w:t>Mithöfer, A., Schulze, B., &amp; Boland, W. 2004. Biotic and heavy metal stress response in plants: evidence for</w:t>
      </w:r>
      <w:r w:rsidRPr="00AE46B3">
        <w:rPr>
          <w:iCs/>
          <w:noProof/>
          <w:lang w:val="en-US"/>
        </w:rPr>
        <w:t xml:space="preserve"> common signals. FEBS letters, 5661-3, 1-5.</w:t>
      </w:r>
    </w:p>
    <w:p w:rsidR="00517873" w:rsidRPr="00400A55" w:rsidRDefault="00517873">
      <w:pPr>
        <w:pStyle w:val="Bibliografa"/>
        <w:rPr>
          <w:iCs/>
          <w:noProof/>
          <w:lang w:val="en-US"/>
        </w:rPr>
      </w:pPr>
      <w:r w:rsidRPr="00E71F67">
        <w:rPr>
          <w:iCs/>
          <w:noProof/>
          <w:lang w:val="en-US"/>
        </w:rPr>
        <w:t xml:space="preserve">Morales, G. E., </w:t>
      </w:r>
      <w:r>
        <w:rPr>
          <w:iCs/>
          <w:noProof/>
          <w:lang w:val="en-US"/>
        </w:rPr>
        <w:t xml:space="preserve">Gallego </w:t>
      </w:r>
      <w:r w:rsidRPr="00E71F67">
        <w:rPr>
          <w:iCs/>
          <w:noProof/>
          <w:lang w:val="en-US"/>
        </w:rPr>
        <w:t>J. L. 2013. Determinación de los efectos tóxicos del mercurio en la especie Brachiaria dictyoneura Fig. &amp; De Not. Stapf. Avances en Ciencias e Ingeniería, 41, 1-17.</w:t>
      </w:r>
    </w:p>
    <w:p w:rsidR="00517873" w:rsidRPr="00216D01" w:rsidRDefault="00517873" w:rsidP="00216D01">
      <w:pPr>
        <w:pStyle w:val="Bibliografa"/>
        <w:rPr>
          <w:noProof/>
          <w:lang w:val="es-CO"/>
        </w:rPr>
      </w:pPr>
      <w:r w:rsidRPr="00216D01">
        <w:rPr>
          <w:noProof/>
          <w:lang w:val="es-CO"/>
        </w:rPr>
        <w:t>Poschenrieder, C., Cabot, C., Martos, S., Gallego, B., &amp; Barceló, J. 2013. Do toxic ions induce hormesis in plants? Plant Science, 212, 15-25.</w:t>
      </w:r>
    </w:p>
    <w:p w:rsidR="00517873" w:rsidRDefault="00517873" w:rsidP="00216D01">
      <w:pPr>
        <w:pStyle w:val="Bibliografa"/>
        <w:rPr>
          <w:noProof/>
          <w:lang w:val="es-CO"/>
        </w:rPr>
      </w:pPr>
      <w:r w:rsidRPr="00216D01">
        <w:rPr>
          <w:noProof/>
          <w:lang w:val="es-CO"/>
        </w:rPr>
        <w:t>Prieto Méndez, J., González Ramírez, C., Román Gutiérrez, A., &amp; Prieto García, F. 2009. Contaminación y fitotoxicidad en plantas por metales pesados provenientes de sueño y agua. Tropical and Subtropical Agroecosystems, 29-44.</w:t>
      </w:r>
    </w:p>
    <w:p w:rsidR="00517873" w:rsidRDefault="00517873" w:rsidP="00216D01">
      <w:pPr>
        <w:pStyle w:val="Bibliografa"/>
        <w:rPr>
          <w:noProof/>
          <w:lang w:val="es-CO"/>
        </w:rPr>
      </w:pPr>
      <w:r w:rsidRPr="00CE0DBF">
        <w:rPr>
          <w:noProof/>
          <w:lang w:val="es-CO"/>
        </w:rPr>
        <w:t>Qi, N., &amp; Zhang, X. 2017. Research on Soil Heavy Metal Accumulation and Chemical Environmental Quality Evaluation Based on Environment Law. Chemical Engineering Transactions, 62, 493-498.</w:t>
      </w:r>
    </w:p>
    <w:p w:rsidR="00517873" w:rsidRPr="00400A55" w:rsidRDefault="00517873" w:rsidP="00216D01">
      <w:pPr>
        <w:pStyle w:val="Bibliografa"/>
        <w:rPr>
          <w:iCs/>
          <w:noProof/>
          <w:lang w:val="en-US"/>
        </w:rPr>
      </w:pPr>
      <w:r w:rsidRPr="00400A55">
        <w:rPr>
          <w:iCs/>
          <w:noProof/>
          <w:lang w:val="en-US"/>
        </w:rPr>
        <w:t>Rahman, M. A., Reichman, S. M., De Filippis, L., Sany, S. B. T., &amp; Hasegawa, H. 2016. Phytoremediation of toxic metals in soils and wetlands: concepts and applications. In Environmental Remediation Technologies for Metal-Contaminated Soils pp. 161-195. Springer, Tokyo.</w:t>
      </w:r>
    </w:p>
    <w:p w:rsidR="00517873" w:rsidRPr="00400A55" w:rsidRDefault="00517873" w:rsidP="00216D01">
      <w:pPr>
        <w:pStyle w:val="Bibliografa"/>
        <w:rPr>
          <w:iCs/>
          <w:noProof/>
          <w:lang w:val="en-US"/>
        </w:rPr>
      </w:pPr>
      <w:r w:rsidRPr="00400A55">
        <w:rPr>
          <w:iCs/>
          <w:noProof/>
          <w:lang w:val="en-US"/>
        </w:rPr>
        <w:t>Rana, M. N., Tangpong, J., &amp; Rahman, M. M. 2018. Toxicodynamics of lead, cadmium, mercury and arsenic-induced kidney toxicity and treatment strategy: a mini review. Toxicology reports.</w:t>
      </w:r>
    </w:p>
    <w:p w:rsidR="00517873" w:rsidRDefault="00517873" w:rsidP="00216D01">
      <w:pPr>
        <w:pStyle w:val="Bibliografa"/>
        <w:rPr>
          <w:noProof/>
          <w:lang w:val="es-CO"/>
        </w:rPr>
      </w:pPr>
      <w:r w:rsidRPr="00216D01">
        <w:rPr>
          <w:noProof/>
          <w:lang w:val="es-CO"/>
        </w:rPr>
        <w:lastRenderedPageBreak/>
        <w:t>Reyes, Y., Vergara, I., Torres, O., Díaz, M., &amp; González, E. 2016. Contaminación por metales pesados: implicaciones en salud, ambiente y seguridad alimentaria. Revista Ingeniería, Investigación y Desarrollo, 66-77.</w:t>
      </w:r>
    </w:p>
    <w:p w:rsidR="00517873" w:rsidRDefault="00517873" w:rsidP="00216D01">
      <w:pPr>
        <w:pStyle w:val="Bibliografa"/>
        <w:rPr>
          <w:noProof/>
          <w:lang w:val="es-CO"/>
        </w:rPr>
      </w:pPr>
      <w:r w:rsidRPr="00CE0DBF">
        <w:rPr>
          <w:noProof/>
          <w:lang w:val="es-CO"/>
        </w:rPr>
        <w:t>Rufino, R. D., Luna, J. M., Campos-Takaki, G. M., Ferreira, S. R., &amp; Sarubbo, L. A. 2012. Application of the biosurfactant produced by Candida lipolytica in the remediation of heavy metals. Chem. Eng, 27, 61-66.</w:t>
      </w:r>
    </w:p>
    <w:p w:rsidR="00517873" w:rsidRPr="00216D01" w:rsidRDefault="00517873" w:rsidP="00216D01">
      <w:pPr>
        <w:pStyle w:val="Bibliografa"/>
        <w:rPr>
          <w:noProof/>
          <w:lang w:val="es-CO"/>
        </w:rPr>
      </w:pPr>
      <w:r w:rsidRPr="00216D01">
        <w:rPr>
          <w:noProof/>
          <w:lang w:val="es-CO"/>
        </w:rPr>
        <w:t>Shah, F., Ahmad, N., Masood, K., Peralta-Videa, J., &amp; Ahmad, F. 2010. Heavy metal toxicity in plants. Plant Adaptation and Phytoremediation, 71-97.</w:t>
      </w:r>
    </w:p>
    <w:sectPr w:rsidR="00517873" w:rsidRPr="00216D01"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7F6" w:rsidRDefault="008D47F6" w:rsidP="004F5E36">
      <w:r>
        <w:separator/>
      </w:r>
    </w:p>
  </w:endnote>
  <w:endnote w:type="continuationSeparator" w:id="0">
    <w:p w:rsidR="008D47F6" w:rsidRDefault="008D47F6"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7F6" w:rsidRDefault="008D47F6" w:rsidP="004F5E36">
      <w:r>
        <w:separator/>
      </w:r>
    </w:p>
  </w:footnote>
  <w:footnote w:type="continuationSeparator" w:id="0">
    <w:p w:rsidR="008D47F6" w:rsidRDefault="008D47F6"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 w:numId="22">
    <w:abstractNumId w:val="10"/>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7F2B"/>
    <w:rsid w:val="00010F40"/>
    <w:rsid w:val="000117CB"/>
    <w:rsid w:val="0003148D"/>
    <w:rsid w:val="00047D7F"/>
    <w:rsid w:val="00051566"/>
    <w:rsid w:val="00062A9A"/>
    <w:rsid w:val="0006482A"/>
    <w:rsid w:val="00065058"/>
    <w:rsid w:val="00070F98"/>
    <w:rsid w:val="000761EC"/>
    <w:rsid w:val="00077974"/>
    <w:rsid w:val="00086C39"/>
    <w:rsid w:val="000A03B2"/>
    <w:rsid w:val="000A3B32"/>
    <w:rsid w:val="000A3B79"/>
    <w:rsid w:val="000A68F2"/>
    <w:rsid w:val="000C634F"/>
    <w:rsid w:val="000D34BE"/>
    <w:rsid w:val="000D50B9"/>
    <w:rsid w:val="000E102F"/>
    <w:rsid w:val="000E36F1"/>
    <w:rsid w:val="000E3A73"/>
    <w:rsid w:val="000E414A"/>
    <w:rsid w:val="000E6E54"/>
    <w:rsid w:val="000F093C"/>
    <w:rsid w:val="000F16BD"/>
    <w:rsid w:val="000F787B"/>
    <w:rsid w:val="0012091F"/>
    <w:rsid w:val="00126BC2"/>
    <w:rsid w:val="001308B6"/>
    <w:rsid w:val="0013121F"/>
    <w:rsid w:val="00131FAB"/>
    <w:rsid w:val="00131FE6"/>
    <w:rsid w:val="0013263F"/>
    <w:rsid w:val="00134DE4"/>
    <w:rsid w:val="0014034D"/>
    <w:rsid w:val="00146FA1"/>
    <w:rsid w:val="00150E59"/>
    <w:rsid w:val="0015115D"/>
    <w:rsid w:val="00152DE3"/>
    <w:rsid w:val="00164CF9"/>
    <w:rsid w:val="001678D4"/>
    <w:rsid w:val="00184AD6"/>
    <w:rsid w:val="00190988"/>
    <w:rsid w:val="00190A39"/>
    <w:rsid w:val="00191052"/>
    <w:rsid w:val="001A56F6"/>
    <w:rsid w:val="001B0349"/>
    <w:rsid w:val="001B1C90"/>
    <w:rsid w:val="001B3B55"/>
    <w:rsid w:val="001B58D4"/>
    <w:rsid w:val="001B65C1"/>
    <w:rsid w:val="001C684B"/>
    <w:rsid w:val="001C7BC4"/>
    <w:rsid w:val="001D53FC"/>
    <w:rsid w:val="001E3D65"/>
    <w:rsid w:val="001F2040"/>
    <w:rsid w:val="001F42A5"/>
    <w:rsid w:val="001F7B9D"/>
    <w:rsid w:val="0021607D"/>
    <w:rsid w:val="00216D01"/>
    <w:rsid w:val="002224B4"/>
    <w:rsid w:val="00235BC8"/>
    <w:rsid w:val="00240913"/>
    <w:rsid w:val="002447EF"/>
    <w:rsid w:val="00247250"/>
    <w:rsid w:val="00251550"/>
    <w:rsid w:val="00252C1A"/>
    <w:rsid w:val="00263B05"/>
    <w:rsid w:val="00264BCB"/>
    <w:rsid w:val="0027221A"/>
    <w:rsid w:val="00275B61"/>
    <w:rsid w:val="00281963"/>
    <w:rsid w:val="00282656"/>
    <w:rsid w:val="00296B83"/>
    <w:rsid w:val="002B78CE"/>
    <w:rsid w:val="002C2FB6"/>
    <w:rsid w:val="002C7851"/>
    <w:rsid w:val="002D5BCD"/>
    <w:rsid w:val="003009B7"/>
    <w:rsid w:val="00300E56"/>
    <w:rsid w:val="0030469C"/>
    <w:rsid w:val="00321CA6"/>
    <w:rsid w:val="0033056E"/>
    <w:rsid w:val="00334C09"/>
    <w:rsid w:val="003365E3"/>
    <w:rsid w:val="00362D0D"/>
    <w:rsid w:val="003723D4"/>
    <w:rsid w:val="003831DC"/>
    <w:rsid w:val="00384CC8"/>
    <w:rsid w:val="003871FD"/>
    <w:rsid w:val="0039527B"/>
    <w:rsid w:val="003A1E30"/>
    <w:rsid w:val="003A7D1C"/>
    <w:rsid w:val="003B304B"/>
    <w:rsid w:val="003B3146"/>
    <w:rsid w:val="003B58AD"/>
    <w:rsid w:val="003B60F3"/>
    <w:rsid w:val="003F015E"/>
    <w:rsid w:val="003F2150"/>
    <w:rsid w:val="00400414"/>
    <w:rsid w:val="00400A55"/>
    <w:rsid w:val="00404101"/>
    <w:rsid w:val="0041446B"/>
    <w:rsid w:val="00435F2E"/>
    <w:rsid w:val="0044329C"/>
    <w:rsid w:val="004577FE"/>
    <w:rsid w:val="00457B9C"/>
    <w:rsid w:val="0046164A"/>
    <w:rsid w:val="004628D2"/>
    <w:rsid w:val="00462B51"/>
    <w:rsid w:val="00462DCD"/>
    <w:rsid w:val="004648AD"/>
    <w:rsid w:val="004703A9"/>
    <w:rsid w:val="004760DE"/>
    <w:rsid w:val="004929E1"/>
    <w:rsid w:val="004A004E"/>
    <w:rsid w:val="004A24CF"/>
    <w:rsid w:val="004A31A7"/>
    <w:rsid w:val="004B19EA"/>
    <w:rsid w:val="004B6721"/>
    <w:rsid w:val="004C3D1D"/>
    <w:rsid w:val="004C7913"/>
    <w:rsid w:val="004C7C38"/>
    <w:rsid w:val="004D4689"/>
    <w:rsid w:val="004E4DD6"/>
    <w:rsid w:val="004F5E36"/>
    <w:rsid w:val="00503A2F"/>
    <w:rsid w:val="00507B47"/>
    <w:rsid w:val="00507CC9"/>
    <w:rsid w:val="005119A5"/>
    <w:rsid w:val="00517873"/>
    <w:rsid w:val="005278B7"/>
    <w:rsid w:val="00532016"/>
    <w:rsid w:val="005346C8"/>
    <w:rsid w:val="00543E7D"/>
    <w:rsid w:val="00546B05"/>
    <w:rsid w:val="00547A68"/>
    <w:rsid w:val="005531C9"/>
    <w:rsid w:val="00553DD3"/>
    <w:rsid w:val="0056079D"/>
    <w:rsid w:val="005A4F01"/>
    <w:rsid w:val="005B2110"/>
    <w:rsid w:val="005B61E6"/>
    <w:rsid w:val="005C3D7C"/>
    <w:rsid w:val="005C77E1"/>
    <w:rsid w:val="005D079B"/>
    <w:rsid w:val="005D2CEC"/>
    <w:rsid w:val="005D6A2F"/>
    <w:rsid w:val="005E0140"/>
    <w:rsid w:val="005E03CE"/>
    <w:rsid w:val="005E0E1E"/>
    <w:rsid w:val="005E1A82"/>
    <w:rsid w:val="005E2E56"/>
    <w:rsid w:val="005E794C"/>
    <w:rsid w:val="005F0A28"/>
    <w:rsid w:val="005F0E5E"/>
    <w:rsid w:val="00600535"/>
    <w:rsid w:val="00610CD6"/>
    <w:rsid w:val="00615E01"/>
    <w:rsid w:val="00620DEE"/>
    <w:rsid w:val="00621F92"/>
    <w:rsid w:val="006245C9"/>
    <w:rsid w:val="00625639"/>
    <w:rsid w:val="00631B18"/>
    <w:rsid w:val="00631B33"/>
    <w:rsid w:val="00637E81"/>
    <w:rsid w:val="0064184D"/>
    <w:rsid w:val="006422CC"/>
    <w:rsid w:val="006431EA"/>
    <w:rsid w:val="00660E3E"/>
    <w:rsid w:val="00662E74"/>
    <w:rsid w:val="00675FBA"/>
    <w:rsid w:val="00680C23"/>
    <w:rsid w:val="00691BC3"/>
    <w:rsid w:val="00693766"/>
    <w:rsid w:val="006952A8"/>
    <w:rsid w:val="006A3281"/>
    <w:rsid w:val="006B1A96"/>
    <w:rsid w:val="006B4888"/>
    <w:rsid w:val="006C2E45"/>
    <w:rsid w:val="006C359C"/>
    <w:rsid w:val="006C5579"/>
    <w:rsid w:val="006D1B99"/>
    <w:rsid w:val="006E737D"/>
    <w:rsid w:val="0070195D"/>
    <w:rsid w:val="00720A24"/>
    <w:rsid w:val="00732386"/>
    <w:rsid w:val="007447F3"/>
    <w:rsid w:val="0075499F"/>
    <w:rsid w:val="00765892"/>
    <w:rsid w:val="007661C8"/>
    <w:rsid w:val="0077098D"/>
    <w:rsid w:val="00792D37"/>
    <w:rsid w:val="007931FA"/>
    <w:rsid w:val="00794696"/>
    <w:rsid w:val="00796F16"/>
    <w:rsid w:val="007A7BBA"/>
    <w:rsid w:val="007B0C50"/>
    <w:rsid w:val="007B6C4F"/>
    <w:rsid w:val="007C1A43"/>
    <w:rsid w:val="007E1DC6"/>
    <w:rsid w:val="007F3D00"/>
    <w:rsid w:val="00802FBC"/>
    <w:rsid w:val="00806246"/>
    <w:rsid w:val="00813288"/>
    <w:rsid w:val="008168FC"/>
    <w:rsid w:val="00830996"/>
    <w:rsid w:val="00832E4C"/>
    <w:rsid w:val="00833A69"/>
    <w:rsid w:val="008345F1"/>
    <w:rsid w:val="008478BB"/>
    <w:rsid w:val="0086251B"/>
    <w:rsid w:val="00865B07"/>
    <w:rsid w:val="008667EA"/>
    <w:rsid w:val="0087637F"/>
    <w:rsid w:val="008904B9"/>
    <w:rsid w:val="00892AD5"/>
    <w:rsid w:val="008A1512"/>
    <w:rsid w:val="008B03F4"/>
    <w:rsid w:val="008C0EC7"/>
    <w:rsid w:val="008C78C1"/>
    <w:rsid w:val="008D32B9"/>
    <w:rsid w:val="008D433B"/>
    <w:rsid w:val="008D47F6"/>
    <w:rsid w:val="008E2BD6"/>
    <w:rsid w:val="008E566E"/>
    <w:rsid w:val="00900E77"/>
    <w:rsid w:val="0090161A"/>
    <w:rsid w:val="00901EB6"/>
    <w:rsid w:val="00904C62"/>
    <w:rsid w:val="00914196"/>
    <w:rsid w:val="00924DAC"/>
    <w:rsid w:val="00926ACC"/>
    <w:rsid w:val="00927058"/>
    <w:rsid w:val="009364BF"/>
    <w:rsid w:val="009450CE"/>
    <w:rsid w:val="00947179"/>
    <w:rsid w:val="0095164B"/>
    <w:rsid w:val="00954090"/>
    <w:rsid w:val="009573E7"/>
    <w:rsid w:val="009635B9"/>
    <w:rsid w:val="00963E05"/>
    <w:rsid w:val="00967D54"/>
    <w:rsid w:val="00996483"/>
    <w:rsid w:val="00996F5A"/>
    <w:rsid w:val="009A0A3E"/>
    <w:rsid w:val="009A293B"/>
    <w:rsid w:val="009B041A"/>
    <w:rsid w:val="009B123D"/>
    <w:rsid w:val="009C2D81"/>
    <w:rsid w:val="009C7C86"/>
    <w:rsid w:val="009D2FF7"/>
    <w:rsid w:val="009E7884"/>
    <w:rsid w:val="009E788A"/>
    <w:rsid w:val="009F0E08"/>
    <w:rsid w:val="009F57CF"/>
    <w:rsid w:val="00A14CDB"/>
    <w:rsid w:val="00A1763D"/>
    <w:rsid w:val="00A17CEC"/>
    <w:rsid w:val="00A27EF0"/>
    <w:rsid w:val="00A50B20"/>
    <w:rsid w:val="00A51390"/>
    <w:rsid w:val="00A60D13"/>
    <w:rsid w:val="00A722BD"/>
    <w:rsid w:val="00A72745"/>
    <w:rsid w:val="00A76EFC"/>
    <w:rsid w:val="00A91010"/>
    <w:rsid w:val="00A97F29"/>
    <w:rsid w:val="00AA702E"/>
    <w:rsid w:val="00AB0964"/>
    <w:rsid w:val="00AB1855"/>
    <w:rsid w:val="00AB5011"/>
    <w:rsid w:val="00AC704E"/>
    <w:rsid w:val="00AC7368"/>
    <w:rsid w:val="00AD16B9"/>
    <w:rsid w:val="00AE377D"/>
    <w:rsid w:val="00AE46B3"/>
    <w:rsid w:val="00B0213E"/>
    <w:rsid w:val="00B17FBD"/>
    <w:rsid w:val="00B21E52"/>
    <w:rsid w:val="00B315A6"/>
    <w:rsid w:val="00B31813"/>
    <w:rsid w:val="00B33365"/>
    <w:rsid w:val="00B57B36"/>
    <w:rsid w:val="00B8686D"/>
    <w:rsid w:val="00BC30C9"/>
    <w:rsid w:val="00BE3E58"/>
    <w:rsid w:val="00C01616"/>
    <w:rsid w:val="00C0162B"/>
    <w:rsid w:val="00C310FE"/>
    <w:rsid w:val="00C345B1"/>
    <w:rsid w:val="00C40142"/>
    <w:rsid w:val="00C41C59"/>
    <w:rsid w:val="00C57182"/>
    <w:rsid w:val="00C57863"/>
    <w:rsid w:val="00C655FD"/>
    <w:rsid w:val="00C742D2"/>
    <w:rsid w:val="00C82521"/>
    <w:rsid w:val="00C870A8"/>
    <w:rsid w:val="00C877B6"/>
    <w:rsid w:val="00C94434"/>
    <w:rsid w:val="00C94795"/>
    <w:rsid w:val="00CA0D75"/>
    <w:rsid w:val="00CA1C95"/>
    <w:rsid w:val="00CA5A9C"/>
    <w:rsid w:val="00CD3517"/>
    <w:rsid w:val="00CD5A00"/>
    <w:rsid w:val="00CD5FE2"/>
    <w:rsid w:val="00CD7DAA"/>
    <w:rsid w:val="00CE0DBF"/>
    <w:rsid w:val="00CE7C68"/>
    <w:rsid w:val="00CF751B"/>
    <w:rsid w:val="00D02B4C"/>
    <w:rsid w:val="00D031A2"/>
    <w:rsid w:val="00D040C4"/>
    <w:rsid w:val="00D06F15"/>
    <w:rsid w:val="00D23F36"/>
    <w:rsid w:val="00D356F0"/>
    <w:rsid w:val="00D57C84"/>
    <w:rsid w:val="00D6057D"/>
    <w:rsid w:val="00D84576"/>
    <w:rsid w:val="00DA1399"/>
    <w:rsid w:val="00DA1623"/>
    <w:rsid w:val="00DA24C6"/>
    <w:rsid w:val="00DA4D7B"/>
    <w:rsid w:val="00DA7EB0"/>
    <w:rsid w:val="00DB1B5A"/>
    <w:rsid w:val="00DC11BE"/>
    <w:rsid w:val="00DC358F"/>
    <w:rsid w:val="00DD0E59"/>
    <w:rsid w:val="00DE264A"/>
    <w:rsid w:val="00DE6095"/>
    <w:rsid w:val="00DE696C"/>
    <w:rsid w:val="00E02D18"/>
    <w:rsid w:val="00E041E7"/>
    <w:rsid w:val="00E115FF"/>
    <w:rsid w:val="00E231A5"/>
    <w:rsid w:val="00E23CA1"/>
    <w:rsid w:val="00E25098"/>
    <w:rsid w:val="00E25C8F"/>
    <w:rsid w:val="00E307C2"/>
    <w:rsid w:val="00E409A8"/>
    <w:rsid w:val="00E50C12"/>
    <w:rsid w:val="00E51E95"/>
    <w:rsid w:val="00E61A94"/>
    <w:rsid w:val="00E65B91"/>
    <w:rsid w:val="00E71F67"/>
    <w:rsid w:val="00E7209D"/>
    <w:rsid w:val="00E75892"/>
    <w:rsid w:val="00E77223"/>
    <w:rsid w:val="00E8528B"/>
    <w:rsid w:val="00E85B94"/>
    <w:rsid w:val="00E978D0"/>
    <w:rsid w:val="00EA4613"/>
    <w:rsid w:val="00EA7E64"/>
    <w:rsid w:val="00EA7F91"/>
    <w:rsid w:val="00EB1523"/>
    <w:rsid w:val="00EC0E49"/>
    <w:rsid w:val="00EE0131"/>
    <w:rsid w:val="00F06BF7"/>
    <w:rsid w:val="00F155B2"/>
    <w:rsid w:val="00F238F3"/>
    <w:rsid w:val="00F30C64"/>
    <w:rsid w:val="00F313BA"/>
    <w:rsid w:val="00F32CDB"/>
    <w:rsid w:val="00F63A70"/>
    <w:rsid w:val="00F81E29"/>
    <w:rsid w:val="00FA21D0"/>
    <w:rsid w:val="00FA5F5F"/>
    <w:rsid w:val="00FB730C"/>
    <w:rsid w:val="00FC2695"/>
    <w:rsid w:val="00FC3E03"/>
    <w:rsid w:val="00FC3FC1"/>
    <w:rsid w:val="00FF798D"/>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833855-4738-4A7F-A6F2-7DBDE782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de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character" w:styleId="Textodelmarcadordeposicin">
    <w:name w:val="Placeholder Text"/>
    <w:basedOn w:val="Fuentedeprrafopredeter"/>
    <w:uiPriority w:val="99"/>
    <w:semiHidden/>
    <w:rsid w:val="00216D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33765">
      <w:bodyDiv w:val="1"/>
      <w:marLeft w:val="0"/>
      <w:marRight w:val="0"/>
      <w:marTop w:val="0"/>
      <w:marBottom w:val="0"/>
      <w:divBdr>
        <w:top w:val="none" w:sz="0" w:space="0" w:color="auto"/>
        <w:left w:val="none" w:sz="0" w:space="0" w:color="auto"/>
        <w:bottom w:val="none" w:sz="0" w:space="0" w:color="auto"/>
        <w:right w:val="none" w:sz="0" w:space="0" w:color="auto"/>
      </w:divBdr>
    </w:div>
    <w:div w:id="746726063">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252787">
      <w:bodyDiv w:val="1"/>
      <w:marLeft w:val="0"/>
      <w:marRight w:val="0"/>
      <w:marTop w:val="0"/>
      <w:marBottom w:val="0"/>
      <w:divBdr>
        <w:top w:val="none" w:sz="0" w:space="0" w:color="auto"/>
        <w:left w:val="none" w:sz="0" w:space="0" w:color="auto"/>
        <w:bottom w:val="none" w:sz="0" w:space="0" w:color="auto"/>
        <w:right w:val="none" w:sz="0" w:space="0" w:color="auto"/>
      </w:divBdr>
    </w:div>
    <w:div w:id="1120294154">
      <w:bodyDiv w:val="1"/>
      <w:marLeft w:val="0"/>
      <w:marRight w:val="0"/>
      <w:marTop w:val="0"/>
      <w:marBottom w:val="0"/>
      <w:divBdr>
        <w:top w:val="none" w:sz="0" w:space="0" w:color="auto"/>
        <w:left w:val="none" w:sz="0" w:space="0" w:color="auto"/>
        <w:bottom w:val="none" w:sz="0" w:space="0" w:color="auto"/>
        <w:right w:val="none" w:sz="0" w:space="0" w:color="auto"/>
      </w:divBdr>
    </w:div>
    <w:div w:id="1132019883">
      <w:bodyDiv w:val="1"/>
      <w:marLeft w:val="0"/>
      <w:marRight w:val="0"/>
      <w:marTop w:val="0"/>
      <w:marBottom w:val="0"/>
      <w:divBdr>
        <w:top w:val="none" w:sz="0" w:space="0" w:color="auto"/>
        <w:left w:val="none" w:sz="0" w:space="0" w:color="auto"/>
        <w:bottom w:val="none" w:sz="0" w:space="0" w:color="auto"/>
        <w:right w:val="none" w:sz="0" w:space="0" w:color="auto"/>
      </w:divBdr>
    </w:div>
    <w:div w:id="1291789418">
      <w:bodyDiv w:val="1"/>
      <w:marLeft w:val="0"/>
      <w:marRight w:val="0"/>
      <w:marTop w:val="0"/>
      <w:marBottom w:val="0"/>
      <w:divBdr>
        <w:top w:val="none" w:sz="0" w:space="0" w:color="auto"/>
        <w:left w:val="none" w:sz="0" w:space="0" w:color="auto"/>
        <w:bottom w:val="none" w:sz="0" w:space="0" w:color="auto"/>
        <w:right w:val="none" w:sz="0" w:space="0" w:color="auto"/>
      </w:divBdr>
    </w:div>
    <w:div w:id="1390421287">
      <w:bodyDiv w:val="1"/>
      <w:marLeft w:val="0"/>
      <w:marRight w:val="0"/>
      <w:marTop w:val="0"/>
      <w:marBottom w:val="0"/>
      <w:divBdr>
        <w:top w:val="none" w:sz="0" w:space="0" w:color="auto"/>
        <w:left w:val="none" w:sz="0" w:space="0" w:color="auto"/>
        <w:bottom w:val="none" w:sz="0" w:space="0" w:color="auto"/>
        <w:right w:val="none" w:sz="0" w:space="0" w:color="auto"/>
      </w:divBdr>
    </w:div>
    <w:div w:id="1519537945">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84654">
      <w:bodyDiv w:val="1"/>
      <w:marLeft w:val="0"/>
      <w:marRight w:val="0"/>
      <w:marTop w:val="0"/>
      <w:marBottom w:val="0"/>
      <w:divBdr>
        <w:top w:val="none" w:sz="0" w:space="0" w:color="auto"/>
        <w:left w:val="none" w:sz="0" w:space="0" w:color="auto"/>
        <w:bottom w:val="none" w:sz="0" w:space="0" w:color="auto"/>
        <w:right w:val="none" w:sz="0" w:space="0" w:color="auto"/>
      </w:divBdr>
    </w:div>
    <w:div w:id="2125801850">
      <w:bodyDiv w:val="1"/>
      <w:marLeft w:val="0"/>
      <w:marRight w:val="0"/>
      <w:marTop w:val="0"/>
      <w:marBottom w:val="0"/>
      <w:divBdr>
        <w:top w:val="none" w:sz="0" w:space="0" w:color="auto"/>
        <w:left w:val="none" w:sz="0" w:space="0" w:color="auto"/>
        <w:bottom w:val="none" w:sz="0" w:space="0" w:color="auto"/>
        <w:right w:val="none" w:sz="0" w:space="0" w:color="auto"/>
      </w:divBdr>
    </w:div>
    <w:div w:id="2126345679">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if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Pri09</b:Tag>
    <b:SourceType>JournalArticle</b:SourceType>
    <b:Guid>{40A375F5-AD7F-4BB0-AF25-7AB67D3A4B4E}</b:Guid>
    <b:Title>Contaminación y fitotoxicidad en plantas por metales pesados provenientes de sueño y agua</b:Title>
    <b:Year>2009</b:Year>
    <b:Author>
      <b:Author>
        <b:NameList>
          <b:Person>
            <b:Last>Prieto Méndez</b:Last>
            <b:First>Judith</b:First>
          </b:Person>
          <b:Person>
            <b:Last>González Ramírez</b:Last>
            <b:First>Cesar</b:First>
          </b:Person>
          <b:Person>
            <b:Last>Román Gutiérrez</b:Last>
            <b:First>Alma</b:First>
          </b:Person>
          <b:Person>
            <b:Last>Prieto García</b:Last>
            <b:First>Francisco</b:First>
          </b:Person>
        </b:NameList>
      </b:Author>
    </b:Author>
    <b:JournalName>Tropical and Subtropical Agroecosystems</b:JournalName>
    <b:Pages>29-44</b:Pages>
    <b:RefOrder>1</b:RefOrder>
  </b:Source>
  <b:Source>
    <b:Tag>Lon16</b:Tag>
    <b:SourceType>JournalArticle</b:SourceType>
    <b:Guid>{A06529C9-7A60-4171-90C3-FD9610F2B145}</b:Guid>
    <b:Author>
      <b:Author>
        <b:NameList>
          <b:Person>
            <b:Last>Londoño Franco</b:Last>
            <b:First>Luis</b:First>
            <b:Middle>Fernando</b:Middle>
          </b:Person>
          <b:Person>
            <b:Last>Londoño Muñoz</b:Last>
            <b:First>Tatiana</b:First>
          </b:Person>
          <b:Person>
            <b:Last>Muñoz García</b:Last>
            <b:First>Gerardo</b:First>
          </b:Person>
        </b:NameList>
      </b:Author>
    </b:Author>
    <b:Title>Los riesgos de los metales pesados en la salud humana y animal</b:Title>
    <b:JournalName>Biotecnología en el sector</b:JournalName>
    <b:Year>2016</b:Year>
    <b:Pages>145-153</b:Pages>
    <b:RefOrder>2</b:RefOrder>
  </b:Source>
  <b:Source>
    <b:Tag>Rey16</b:Tag>
    <b:SourceType>JournalArticle</b:SourceType>
    <b:Guid>{66AC8D02-BD39-4EB3-8A7B-9D16E9694F31}</b:Guid>
    <b:Author>
      <b:Author>
        <b:NameList>
          <b:Person>
            <b:Last>Reyes</b:Last>
            <b:First>Yulieth</b:First>
          </b:Person>
          <b:Person>
            <b:Last>Vergara</b:Last>
            <b:First>Inés</b:First>
          </b:Person>
          <b:Person>
            <b:Last>Torres</b:Last>
            <b:First>Omar</b:First>
          </b:Person>
          <b:Person>
            <b:Last>Díaz</b:Last>
            <b:First>Mercedes</b:First>
          </b:Person>
          <b:Person>
            <b:Last>González</b:Last>
            <b:First>Edgar</b:First>
          </b:Person>
        </b:NameList>
      </b:Author>
    </b:Author>
    <b:Title>CONTAMINACIÓN POR METALES PESADOS: IMPLICACIONES EN SALUD, AMBIENTE Y SEGURIDAD ALIMENTARIA</b:Title>
    <b:Year>2016</b:Year>
    <b:Pages>66-77</b:Pages>
    <b:JournalName>Revista Ingeniería, Investigación y Desarrollo</b:JournalName>
    <b:RefOrder>3</b:RefOrder>
  </b:Source>
  <b:Source>
    <b:Tag>Bel16</b:Tag>
    <b:SourceType>JournalArticle</b:SourceType>
    <b:Guid>{B83E370D-A09A-4CD6-A057-47E4A731BF34}</b:Guid>
    <b:Title>BIORREMEDIACIÓN DE METALES PESADOS CADMIO (Cd), CROMO (Cr) Y MERCURIO (Hg) MECANISMOS BIOQUÍMICOS E INGENIERÍA GENÉTICA: UNA REVISIÓN</b:Title>
    <b:Year>2016</b:Year>
    <b:Author>
      <b:Author>
        <b:NameList>
          <b:Person>
            <b:Last>Beltrán Pineda</b:Last>
            <b:First>Mayra</b:First>
            <b:Middle>Eleonora</b:Middle>
          </b:Person>
          <b:Person>
            <b:Last>Gómez Rodríguez</b:Last>
            <b:First>Alida</b:First>
            <b:Middle>MArcela</b:Middle>
          </b:Person>
        </b:NameList>
      </b:Author>
    </b:Author>
    <b:JournalName>Facultad de Ciencias Básicas de la Universidad MIlitar Nueva Granada</b:JournalName>
    <b:Pages>172- 197</b:Pages>
    <b:RefOrder>4</b:RefOrder>
  </b:Source>
  <b:Source>
    <b:Tag>Sha10</b:Tag>
    <b:SourceType>JournalArticle</b:SourceType>
    <b:Guid>{116113A1-A188-4506-95E2-DC58DF644280}</b:Guid>
    <b:Author>
      <b:Author>
        <b:NameList>
          <b:Person>
            <b:Last>Shah</b:Last>
            <b:First>F.U.R.</b:First>
          </b:Person>
          <b:Person>
            <b:Last>Ahmad</b:Last>
            <b:First>N.</b:First>
          </b:Person>
          <b:Person>
            <b:Last>Masood</b:Last>
            <b:First>K.R.</b:First>
          </b:Person>
          <b:Person>
            <b:Last>Peralta-Videa</b:Last>
            <b:First>J.R.</b:First>
          </b:Person>
          <b:Person>
            <b:Last>Ahmad</b:Last>
            <b:First>F.U.D.</b:First>
          </b:Person>
        </b:NameList>
      </b:Author>
    </b:Author>
    <b:Title>Heavy metal toxicity in plants</b:Title>
    <b:JournalName>Plant Adaptation and Phytoremediation</b:JournalName>
    <b:Year>2010</b:Year>
    <b:Pages>71-97</b:Pages>
    <b:RefOrder>5</b:RefOrder>
  </b:Source>
  <b:Source>
    <b:Tag>Gue14</b:Tag>
    <b:SourceType>JournalArticle</b:SourceType>
    <b:Guid>{B8F07EA6-455A-40BA-84B4-3F897AF86755}</b:Guid>
    <b:Author>
      <b:Author>
        <b:NameList>
          <b:Person>
            <b:Last>Guerrero</b:Last>
            <b:First>B</b:First>
          </b:Person>
          <b:Person>
            <b:Last>Llugany</b:Last>
            <b:First>M</b:First>
          </b:Person>
          <b:Person>
            <b:Last>Palacios</b:Last>
            <b:First>O</b:First>
          </b:Person>
          <b:Person>
            <b:Last>Valiente</b:Last>
            <b:First>M</b:First>
          </b:Person>
        </b:NameList>
      </b:Author>
    </b:Author>
    <b:Title>Dual effects of different selenium species on wheat</b:Title>
    <b:JournalName>Plant Physiology and Biochemistry</b:JournalName>
    <b:Year>2014</b:Year>
    <b:Pages>300-307</b:Pages>
    <b:Volume>83</b:Volume>
    <b:RefOrder>6</b:RefOrder>
  </b:Source>
  <b:Source>
    <b:Tag>Pos13</b:Tag>
    <b:SourceType>JournalArticle</b:SourceType>
    <b:Guid>{614C822C-6025-4FB6-9D52-49E2931FB3AB}</b:Guid>
    <b:Author>
      <b:Author>
        <b:NameList>
          <b:Person>
            <b:Last>Poschenrieder</b:Last>
            <b:First>C</b:First>
          </b:Person>
          <b:Person>
            <b:Last>Cabot</b:Last>
            <b:First>C</b:First>
          </b:Person>
          <b:Person>
            <b:Last>Martos</b:Last>
            <b:First>S</b:First>
          </b:Person>
          <b:Person>
            <b:Last>Gallego</b:Last>
            <b:First>B</b:First>
          </b:Person>
          <b:Person>
            <b:Last>Barceló</b:Last>
            <b:First>J</b:First>
          </b:Person>
        </b:NameList>
      </b:Author>
    </b:Author>
    <b:Title>Do toxic ions induce hormesis in plants?</b:Title>
    <b:JournalName>Plant Science</b:JournalName>
    <b:Year>2013</b:Year>
    <b:Pages>15-25</b:Pages>
    <b:Volume>212</b:Volume>
    <b:RefOrder>7</b:RefOrder>
  </b:Source>
  <b:Source>
    <b:Tag>Kum16</b:Tag>
    <b:SourceType>JournalArticle</b:SourceType>
    <b:Guid>{CF9BC6F5-9EED-4D96-91EF-9064E4CE42A9}</b:Guid>
    <b:Author>
      <b:Author>
        <b:NameList>
          <b:Person>
            <b:Last>Kumar</b:Last>
            <b:First>R</b:First>
          </b:Person>
          <b:Person>
            <b:Last>Kumar</b:Last>
            <b:First>R</b:First>
          </b:Person>
          <b:Person>
            <b:Last>Mishra</b:Last>
            <b:First>V</b:First>
          </b:Person>
          <b:Person>
            <b:Last>Qidwai</b:Last>
            <b:First>A</b:First>
          </b:Person>
          <b:Person>
            <b:Last>Pandey</b:Last>
            <b:First>A</b:First>
          </b:Person>
          <b:Person>
            <b:Last>Kant</b:Last>
            <b:First>Shashi</b:First>
          </b:Person>
        </b:NameList>
      </b:Author>
    </b:Author>
    <b:Title>Chapter 13 - Detoxification and Tolerance of Heavy Metals in Plants</b:Title>
    <b:JournalName>Plant Metal Interaction </b:JournalName>
    <b:Year>2016</b:Year>
    <b:Pages>335-359</b:Pages>
    <b:RefOrder>8</b:RefOrder>
  </b:Source>
</b:Sources>
</file>

<file path=customXml/itemProps1.xml><?xml version="1.0" encoding="utf-8"?>
<ds:datastoreItem xmlns:ds="http://schemas.openxmlformats.org/officeDocument/2006/customXml" ds:itemID="{81189F39-94C8-478B-85B1-71F743F42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6</Pages>
  <Words>2941</Words>
  <Characters>16769</Characters>
  <Application>Microsoft Office Word</Application>
  <DocSecurity>0</DocSecurity>
  <Lines>139</Lines>
  <Paragraphs>39</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19671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Jorge luis</cp:lastModifiedBy>
  <cp:revision>9</cp:revision>
  <cp:lastPrinted>2015-05-12T18:31:00Z</cp:lastPrinted>
  <dcterms:created xsi:type="dcterms:W3CDTF">2019-04-15T22:33:00Z</dcterms:created>
  <dcterms:modified xsi:type="dcterms:W3CDTF">2019-04-16T05:05:00Z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