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064ABA1F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23F37B10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en-CA" w:eastAsia="en-CA"/>
              </w:rPr>
              <w:drawing>
                <wp:inline distT="0" distB="0" distL="0" distR="0" wp14:anchorId="7C287FDD" wp14:editId="38BE370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EC4DBD8" w14:textId="77777777"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32CECC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45346670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en-CA" w:eastAsia="en-CA"/>
              </w:rPr>
              <w:drawing>
                <wp:inline distT="0" distB="0" distL="0" distR="0" wp14:anchorId="7450BC42" wp14:editId="585338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6E4E63E6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7BD2EC28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BAC3DF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48F94044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1D234D04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963E05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B57B36" w14:paraId="16C39A19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505B5967" w14:textId="77777777"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14:paraId="5B819F28" w14:textId="77777777"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68FB7F61" w14:textId="77777777"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1352A553" w14:textId="77777777" w:rsidR="00E978D0" w:rsidRPr="00B57B36" w:rsidRDefault="00195E10" w:rsidP="00E978D0">
      <w:pPr>
        <w:pStyle w:val="CETTitle"/>
      </w:pPr>
      <w:r w:rsidRPr="00195E10">
        <w:t>Energy integration of steam-assisted gravity drainage facilities with carbon capture</w:t>
      </w:r>
      <w:r>
        <w:t xml:space="preserve"> </w:t>
      </w:r>
    </w:p>
    <w:p w14:paraId="649D2902" w14:textId="77777777" w:rsidR="00E978D0" w:rsidRPr="0041712F" w:rsidRDefault="00195E10" w:rsidP="00195E10">
      <w:pPr>
        <w:pStyle w:val="CETAuthors"/>
        <w:rPr>
          <w:lang w:val="fr-CA"/>
        </w:rPr>
      </w:pPr>
      <w:r w:rsidRPr="00135BDE">
        <w:rPr>
          <w:lang w:val="fr-CA"/>
        </w:rPr>
        <w:t>Omid Ashrafi</w:t>
      </w:r>
      <w:r w:rsidR="000B0988" w:rsidRPr="00135BDE">
        <w:rPr>
          <w:lang w:val="fr-CA"/>
        </w:rPr>
        <w:t>*</w:t>
      </w:r>
      <w:r w:rsidRPr="00135BDE">
        <w:rPr>
          <w:lang w:val="fr-CA"/>
        </w:rPr>
        <w:t xml:space="preserve">, Philippe Navarri, Orsen </w:t>
      </w:r>
      <w:r w:rsidRPr="0041712F">
        <w:rPr>
          <w:lang w:val="fr-CA"/>
        </w:rPr>
        <w:t>Zamor</w:t>
      </w:r>
      <w:r w:rsidR="00135BDE" w:rsidRPr="0041712F">
        <w:rPr>
          <w:lang w:val="fr-CA"/>
        </w:rPr>
        <w:t xml:space="preserve"> </w:t>
      </w:r>
    </w:p>
    <w:p w14:paraId="7C3B12FB" w14:textId="77777777" w:rsidR="00E978D0" w:rsidRPr="00B57B36" w:rsidRDefault="00E978D0" w:rsidP="00E978D0">
      <w:pPr>
        <w:pStyle w:val="CETAddress"/>
      </w:pPr>
      <w:r w:rsidRPr="00B57B36">
        <w:rPr>
          <w:vertAlign w:val="superscript"/>
        </w:rPr>
        <w:t>a</w:t>
      </w:r>
      <w:r w:rsidR="00195E10" w:rsidRPr="00195E10">
        <w:t>Natural Resources Canada, CanmetENERGY, 1615 Lionel-Boulet, Varennes, Quebec, J3X 1S6, Canada</w:t>
      </w:r>
      <w:r w:rsidRPr="00B57B36">
        <w:t xml:space="preserve"> </w:t>
      </w:r>
    </w:p>
    <w:p w14:paraId="01541E8C" w14:textId="77777777" w:rsidR="00E978D0" w:rsidRPr="000B0988" w:rsidRDefault="00AB5011" w:rsidP="00E978D0">
      <w:pPr>
        <w:pStyle w:val="CETemail"/>
        <w:rPr>
          <w:lang w:val="en-CA"/>
        </w:rPr>
      </w:pPr>
      <w:r>
        <w:t xml:space="preserve"> </w:t>
      </w:r>
      <w:hyperlink r:id="rId13" w:history="1">
        <w:r w:rsidR="00195E10" w:rsidRPr="000B0988">
          <w:rPr>
            <w:rStyle w:val="Hyperlink"/>
            <w:lang w:val="en-CA"/>
          </w:rPr>
          <w:t>omid.ashrafi@canada.ca</w:t>
        </w:r>
      </w:hyperlink>
      <w:r w:rsidR="00195E10" w:rsidRPr="000B0988">
        <w:rPr>
          <w:lang w:val="en-CA"/>
        </w:rPr>
        <w:t xml:space="preserve"> </w:t>
      </w:r>
    </w:p>
    <w:p w14:paraId="1324A1FA" w14:textId="1B85CBA5" w:rsidR="00E46767" w:rsidRPr="00CC1902" w:rsidRDefault="006B5A45" w:rsidP="00CC1902">
      <w:pPr>
        <w:pStyle w:val="CETListbullets"/>
        <w:ind w:left="0" w:firstLine="0"/>
      </w:pPr>
      <w:r w:rsidRPr="005B45D0">
        <w:t xml:space="preserve">The in-situ extraction of bitumen is one of the most energy-intensive processes and a large natural gas consumer in </w:t>
      </w:r>
      <w:r>
        <w:t xml:space="preserve">the </w:t>
      </w:r>
      <w:r w:rsidRPr="005B45D0">
        <w:t>Canadian oil sands</w:t>
      </w:r>
      <w:r>
        <w:t xml:space="preserve"> industry</w:t>
      </w:r>
      <w:r w:rsidRPr="005B45D0">
        <w:t xml:space="preserve">, contributing significantly to </w:t>
      </w:r>
      <w:r w:rsidR="003A687C">
        <w:t>Canada’s anthropogenic</w:t>
      </w:r>
      <w:r w:rsidRPr="005B45D0">
        <w:t xml:space="preserve"> GHG emissions.</w:t>
      </w:r>
      <w:r>
        <w:t xml:space="preserve"> </w:t>
      </w:r>
      <w:r w:rsidRPr="005B45D0">
        <w:t>In this regard, industry and technology developers are constantly looking for ways to reduce CO</w:t>
      </w:r>
      <w:r w:rsidRPr="005B45D0">
        <w:rPr>
          <w:vertAlign w:val="subscript"/>
        </w:rPr>
        <w:t>2</w:t>
      </w:r>
      <w:r w:rsidRPr="005B45D0">
        <w:t xml:space="preserve"> emissions from their operations</w:t>
      </w:r>
      <w:r>
        <w:t xml:space="preserve"> through process improvements and more effi</w:t>
      </w:r>
      <w:r w:rsidR="00055F33">
        <w:t>cient heat production and utilis</w:t>
      </w:r>
      <w:r>
        <w:t xml:space="preserve">ation. </w:t>
      </w:r>
      <w:r w:rsidRPr="005B45D0">
        <w:t>Post-combustion carbon capture</w:t>
      </w:r>
      <w:r>
        <w:t xml:space="preserve"> (PCC)</w:t>
      </w:r>
      <w:r w:rsidRPr="005B45D0">
        <w:t xml:space="preserve"> is one of the solutions available to achieve significant GHG reduction</w:t>
      </w:r>
      <w:r w:rsidR="009B2447">
        <w:t>s</w:t>
      </w:r>
      <w:r>
        <w:t xml:space="preserve">. </w:t>
      </w:r>
      <w:r w:rsidRPr="005B45D0">
        <w:t xml:space="preserve">This work focuses on improving the energy performance of integrated </w:t>
      </w:r>
      <w:r>
        <w:t>s</w:t>
      </w:r>
      <w:r w:rsidRPr="00D347FE">
        <w:t>team</w:t>
      </w:r>
      <w:r w:rsidR="009B2447">
        <w:t>-</w:t>
      </w:r>
      <w:r w:rsidRPr="00D347FE">
        <w:t>assisted gravity drainage</w:t>
      </w:r>
      <w:r>
        <w:t xml:space="preserve"> (SAGD)</w:t>
      </w:r>
      <w:r w:rsidRPr="005B45D0">
        <w:t xml:space="preserve"> </w:t>
      </w:r>
      <w:r>
        <w:t>processes</w:t>
      </w:r>
      <w:r w:rsidRPr="005B45D0">
        <w:t xml:space="preserve"> with </w:t>
      </w:r>
      <w:r>
        <w:t>PCC</w:t>
      </w:r>
      <w:r w:rsidRPr="005B45D0">
        <w:t xml:space="preserve"> technologies.</w:t>
      </w:r>
      <w:r>
        <w:t xml:space="preserve"> </w:t>
      </w:r>
      <w:r w:rsidRPr="005B45D0">
        <w:t>Three typical SAGD configurations have been selected</w:t>
      </w:r>
      <w:r>
        <w:t xml:space="preserve">, all with different water treatment and steam generation </w:t>
      </w:r>
      <w:r w:rsidRPr="00A6537A">
        <w:t>systems</w:t>
      </w:r>
      <w:r>
        <w:t xml:space="preserve"> that are </w:t>
      </w:r>
      <w:r w:rsidRPr="00A6537A">
        <w:t>represen</w:t>
      </w:r>
      <w:r>
        <w:t xml:space="preserve">tative of active facilities, and simulated using </w:t>
      </w:r>
      <w:r w:rsidRPr="005B45D0">
        <w:t>Aspen HYSYS</w:t>
      </w:r>
      <w:r w:rsidRPr="005B45D0">
        <w:rPr>
          <w:vertAlign w:val="superscript"/>
        </w:rPr>
        <w:t>®</w:t>
      </w:r>
      <w:r w:rsidRPr="005B45D0">
        <w:t>.</w:t>
      </w:r>
      <w:r>
        <w:t xml:space="preserve"> </w:t>
      </w:r>
      <w:r w:rsidRPr="005B45D0">
        <w:t>Analysis of the selected SAGD configurations revealed that significant energy savings and GHG reductions could be achieved through optimi</w:t>
      </w:r>
      <w:r w:rsidR="00A16CAB">
        <w:t>s</w:t>
      </w:r>
      <w:r w:rsidRPr="005B45D0">
        <w:t>ed heat recovery.</w:t>
      </w:r>
      <w:r>
        <w:t xml:space="preserve"> </w:t>
      </w:r>
      <w:r w:rsidRPr="00CC1902">
        <w:t>The proposed retrofit projects could decrease natural gas consumption for steam generation by up to 10%.</w:t>
      </w:r>
      <w:r>
        <w:t xml:space="preserve"> </w:t>
      </w:r>
      <w:r w:rsidRPr="00CC1902">
        <w:t xml:space="preserve">Then, several </w:t>
      </w:r>
      <w:r>
        <w:t>PCC</w:t>
      </w:r>
      <w:r w:rsidRPr="00CC1902">
        <w:t xml:space="preserve"> technologies were considered to analyse the systems aspect when integrated into SAGD facilities, with </w:t>
      </w:r>
      <w:r w:rsidR="00D1148E">
        <w:t>a view</w:t>
      </w:r>
      <w:r w:rsidRPr="00CC1902">
        <w:t xml:space="preserve"> to maximi</w:t>
      </w:r>
      <w:r w:rsidR="004769D4">
        <w:t>s</w:t>
      </w:r>
      <w:r w:rsidR="00D1148E">
        <w:t>ing</w:t>
      </w:r>
      <w:r w:rsidRPr="00CC1902">
        <w:t xml:space="preserve"> the synergies between the two </w:t>
      </w:r>
      <w:r w:rsidR="00A00765">
        <w:t>processes</w:t>
      </w:r>
      <w:r>
        <w:t xml:space="preserve"> from an energy and water standpoint</w:t>
      </w:r>
      <w:r w:rsidRPr="00CC1902">
        <w:t>.</w:t>
      </w:r>
      <w:r>
        <w:t xml:space="preserve"> </w:t>
      </w:r>
      <w:r w:rsidRPr="00CC1902">
        <w:t xml:space="preserve">The results revealed that the SAGD process configuration, the type of </w:t>
      </w:r>
      <w:r w:rsidR="009B2447">
        <w:t>P</w:t>
      </w:r>
      <w:r>
        <w:t>CC</w:t>
      </w:r>
      <w:r w:rsidRPr="00CC1902">
        <w:t xml:space="preserve"> technology, and the level of heat integration within the SAGD plant have a direct impact on the amount of CO</w:t>
      </w:r>
      <w:r w:rsidRPr="00361B3A">
        <w:rPr>
          <w:vertAlign w:val="subscript"/>
        </w:rPr>
        <w:t>2</w:t>
      </w:r>
      <w:r w:rsidRPr="00CC1902">
        <w:t xml:space="preserve"> that can be captured.</w:t>
      </w:r>
      <w:r w:rsidR="00CC1902">
        <w:t xml:space="preserve"> </w:t>
      </w:r>
    </w:p>
    <w:p w14:paraId="7F66A160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1F49D600" w14:textId="344BFF78" w:rsidR="00BF58B9" w:rsidRDefault="00424DC0" w:rsidP="00D347FE">
      <w:pPr>
        <w:pStyle w:val="CETBodytext"/>
        <w:rPr>
          <w:lang w:val="en-GB"/>
        </w:rPr>
      </w:pPr>
      <w:r w:rsidRPr="0028513B">
        <w:rPr>
          <w:lang w:val="en-GB"/>
        </w:rPr>
        <w:t xml:space="preserve">The accumulation of GHG emissions has grown </w:t>
      </w:r>
      <w:r>
        <w:rPr>
          <w:lang w:val="en-GB"/>
        </w:rPr>
        <w:t>rapidly</w:t>
      </w:r>
      <w:r w:rsidRPr="0028513B">
        <w:rPr>
          <w:lang w:val="en-GB"/>
        </w:rPr>
        <w:t xml:space="preserve"> </w:t>
      </w:r>
      <w:r>
        <w:rPr>
          <w:lang w:val="en-GB"/>
        </w:rPr>
        <w:t>(approximately 2% per year</w:t>
      </w:r>
      <w:r w:rsidR="00C47FBF">
        <w:rPr>
          <w:lang w:val="en-GB"/>
        </w:rPr>
        <w:t xml:space="preserve"> (</w:t>
      </w:r>
      <w:r w:rsidR="00C47FBF" w:rsidRPr="00C47FBF">
        <w:rPr>
          <w:lang w:val="en-GB"/>
        </w:rPr>
        <w:t>M</w:t>
      </w:r>
      <w:r w:rsidR="00C47FBF">
        <w:rPr>
          <w:lang w:val="en-GB"/>
        </w:rPr>
        <w:t>i</w:t>
      </w:r>
      <w:r w:rsidR="00C47FBF" w:rsidRPr="00C47FBF">
        <w:rPr>
          <w:lang w:val="en-GB"/>
        </w:rPr>
        <w:t>gueza</w:t>
      </w:r>
      <w:r w:rsidR="00C47FBF">
        <w:rPr>
          <w:lang w:val="en-GB"/>
        </w:rPr>
        <w:t xml:space="preserve"> et al., 2018)</w:t>
      </w:r>
      <w:r>
        <w:rPr>
          <w:lang w:val="en-GB"/>
        </w:rPr>
        <w:t xml:space="preserve">) over </w:t>
      </w:r>
      <w:r w:rsidR="006B5A45">
        <w:rPr>
          <w:lang w:val="en-GB"/>
        </w:rPr>
        <w:t xml:space="preserve">the previous decades due to the </w:t>
      </w:r>
      <w:r w:rsidR="00055F33">
        <w:rPr>
          <w:lang w:val="en-GB"/>
        </w:rPr>
        <w:t>utilis</w:t>
      </w:r>
      <w:r w:rsidR="006B5A45" w:rsidRPr="0028513B">
        <w:rPr>
          <w:lang w:val="en-GB"/>
        </w:rPr>
        <w:t xml:space="preserve">ation of fossil fuels </w:t>
      </w:r>
      <w:r w:rsidR="006B5A45">
        <w:rPr>
          <w:lang w:val="en-GB"/>
        </w:rPr>
        <w:t xml:space="preserve">in several sectors, including </w:t>
      </w:r>
      <w:r w:rsidR="006B5A45" w:rsidRPr="0028513B">
        <w:rPr>
          <w:lang w:val="en-GB"/>
        </w:rPr>
        <w:t>industrial processes</w:t>
      </w:r>
      <w:r w:rsidR="006B5A45">
        <w:rPr>
          <w:lang w:val="en-GB"/>
        </w:rPr>
        <w:t xml:space="preserve">. </w:t>
      </w:r>
      <w:r w:rsidR="006B5A45" w:rsidRPr="00D347FE">
        <w:rPr>
          <w:lang w:val="en-GB"/>
        </w:rPr>
        <w:t>Process industries consume approximately 37% of global energy and contribute to 25% of global direct GHG emissions</w:t>
      </w:r>
      <w:r w:rsidR="00C47FBF">
        <w:rPr>
          <w:lang w:val="en-GB"/>
        </w:rPr>
        <w:t xml:space="preserve"> (</w:t>
      </w:r>
      <w:r w:rsidR="00C47FBF" w:rsidRPr="00CA0E81">
        <w:t>Fitzpatrick</w:t>
      </w:r>
      <w:r w:rsidR="00C47FBF">
        <w:t xml:space="preserve"> and </w:t>
      </w:r>
      <w:r w:rsidR="00C47FBF" w:rsidRPr="00CA0E81">
        <w:t>Dooley</w:t>
      </w:r>
      <w:r w:rsidR="00C47FBF">
        <w:t>, 2017)</w:t>
      </w:r>
      <w:r w:rsidR="006B5A45">
        <w:rPr>
          <w:lang w:val="en-GB"/>
        </w:rPr>
        <w:t xml:space="preserve">. </w:t>
      </w:r>
      <w:r w:rsidR="00FE40A0" w:rsidRPr="00670B5A">
        <w:rPr>
          <w:lang w:val="en-GB"/>
        </w:rPr>
        <w:t>The oil sands are Canada’s fastest growing source of GHG emissions</w:t>
      </w:r>
      <w:r w:rsidR="00317A5D" w:rsidRPr="00670B5A">
        <w:rPr>
          <w:lang w:val="en-GB"/>
        </w:rPr>
        <w:t xml:space="preserve">, </w:t>
      </w:r>
      <w:r w:rsidR="00A479DE">
        <w:rPr>
          <w:lang w:val="en-GB"/>
        </w:rPr>
        <w:t>projected</w:t>
      </w:r>
      <w:r w:rsidR="00A479DE" w:rsidRPr="00670B5A">
        <w:rPr>
          <w:lang w:val="en-GB"/>
        </w:rPr>
        <w:t xml:space="preserve"> </w:t>
      </w:r>
      <w:r w:rsidR="00317A5D" w:rsidRPr="00670B5A">
        <w:rPr>
          <w:lang w:val="en-GB"/>
        </w:rPr>
        <w:t>to reach</w:t>
      </w:r>
      <w:r w:rsidR="006B5A45" w:rsidRPr="00670B5A">
        <w:rPr>
          <w:lang w:val="en-GB"/>
        </w:rPr>
        <w:t xml:space="preserve"> </w:t>
      </w:r>
      <w:r w:rsidR="005D7067">
        <w:rPr>
          <w:lang w:val="en-GB"/>
        </w:rPr>
        <w:t xml:space="preserve">over </w:t>
      </w:r>
      <w:r w:rsidR="006B5A45" w:rsidRPr="00670B5A">
        <w:rPr>
          <w:lang w:val="en-GB"/>
        </w:rPr>
        <w:t>100 Mt</w:t>
      </w:r>
      <w:r w:rsidR="006B3DCE" w:rsidRPr="00670B5A">
        <w:rPr>
          <w:lang w:val="en-GB"/>
        </w:rPr>
        <w:t xml:space="preserve"> GHG emissions </w:t>
      </w:r>
      <w:r w:rsidR="006B5A45" w:rsidRPr="00670B5A">
        <w:rPr>
          <w:lang w:val="en-GB"/>
        </w:rPr>
        <w:t xml:space="preserve">by </w:t>
      </w:r>
      <w:r w:rsidR="00317A5D" w:rsidRPr="00670B5A">
        <w:rPr>
          <w:lang w:val="en-GB"/>
        </w:rPr>
        <w:t>20</w:t>
      </w:r>
      <w:r w:rsidR="005D7067">
        <w:rPr>
          <w:lang w:val="en-GB"/>
        </w:rPr>
        <w:t>30</w:t>
      </w:r>
      <w:r w:rsidR="006B3DCE" w:rsidRPr="00670B5A">
        <w:rPr>
          <w:lang w:val="en-GB"/>
        </w:rPr>
        <w:t xml:space="preserve"> (</w:t>
      </w:r>
      <w:r w:rsidR="00CA290F">
        <w:rPr>
          <w:lang w:val="en-GB"/>
        </w:rPr>
        <w:t>Government of Canada</w:t>
      </w:r>
      <w:r w:rsidR="00BB487C">
        <w:rPr>
          <w:lang w:val="en-GB"/>
        </w:rPr>
        <w:t>, 2017</w:t>
      </w:r>
      <w:r w:rsidR="006B3DCE" w:rsidRPr="00670B5A">
        <w:rPr>
          <w:lang w:val="en-GB"/>
        </w:rPr>
        <w:t>)</w:t>
      </w:r>
      <w:r w:rsidR="005B45D0" w:rsidRPr="00670B5A">
        <w:rPr>
          <w:lang w:val="en-GB"/>
        </w:rPr>
        <w:t>.</w:t>
      </w:r>
      <w:r w:rsidR="005B45D0">
        <w:rPr>
          <w:lang w:val="en-GB"/>
        </w:rPr>
        <w:t xml:space="preserve"> </w:t>
      </w:r>
      <w:r w:rsidR="006B5A45">
        <w:rPr>
          <w:lang w:val="en-GB"/>
        </w:rPr>
        <w:t>In s</w:t>
      </w:r>
      <w:r w:rsidR="006B5A45" w:rsidRPr="00D347FE">
        <w:rPr>
          <w:lang w:val="en-GB"/>
        </w:rPr>
        <w:t>team assisted gravity drainage (SAGD) processes, steam is generated by combusting large quantities of natural gas. The combustion process, therefore, results in huge GHG emiss</w:t>
      </w:r>
      <w:r w:rsidR="006B5A45">
        <w:rPr>
          <w:lang w:val="en-GB"/>
        </w:rPr>
        <w:t>ions that industr</w:t>
      </w:r>
      <w:r w:rsidR="00D1148E">
        <w:rPr>
          <w:lang w:val="en-GB"/>
        </w:rPr>
        <w:t>ies</w:t>
      </w:r>
      <w:r w:rsidR="006B5A45">
        <w:rPr>
          <w:lang w:val="en-GB"/>
        </w:rPr>
        <w:t xml:space="preserve"> must reduce. </w:t>
      </w:r>
      <w:r w:rsidR="00A7491E" w:rsidRPr="00D347FE">
        <w:rPr>
          <w:lang w:val="en-GB"/>
        </w:rPr>
        <w:t xml:space="preserve">Because in-situ facilities are </w:t>
      </w:r>
      <w:r w:rsidR="00A26133">
        <w:rPr>
          <w:lang w:val="en-GB"/>
        </w:rPr>
        <w:t xml:space="preserve">both </w:t>
      </w:r>
      <w:r w:rsidR="00A7491E" w:rsidRPr="00D347FE">
        <w:rPr>
          <w:lang w:val="en-GB"/>
        </w:rPr>
        <w:t xml:space="preserve">energy and water-intensive and among the largest Canadian GHG emitting industrial facilities, the oil sands industry and process developers are seeking ways </w:t>
      </w:r>
      <w:r w:rsidR="00B32883">
        <w:rPr>
          <w:lang w:val="en-GB"/>
        </w:rPr>
        <w:t xml:space="preserve"> to reduce</w:t>
      </w:r>
      <w:r w:rsidR="00A7491E" w:rsidRPr="00D347FE">
        <w:rPr>
          <w:lang w:val="en-GB"/>
        </w:rPr>
        <w:t xml:space="preserve"> the environmental footprint of their processes.</w:t>
      </w:r>
      <w:r>
        <w:rPr>
          <w:lang w:val="en-GB"/>
        </w:rPr>
        <w:t xml:space="preserve"> </w:t>
      </w:r>
      <w:r w:rsidR="00D347FE" w:rsidRPr="001048BB">
        <w:rPr>
          <w:lang w:val="en-GB"/>
        </w:rPr>
        <w:t xml:space="preserve">Various </w:t>
      </w:r>
      <w:r w:rsidR="00D347FE">
        <w:rPr>
          <w:lang w:val="en-GB"/>
        </w:rPr>
        <w:t>approaches</w:t>
      </w:r>
      <w:r w:rsidR="00D347FE" w:rsidRPr="001048BB">
        <w:rPr>
          <w:lang w:val="en-GB"/>
        </w:rPr>
        <w:t xml:space="preserve"> are considered </w:t>
      </w:r>
      <w:r w:rsidR="00D347FE">
        <w:rPr>
          <w:lang w:val="en-GB"/>
        </w:rPr>
        <w:t xml:space="preserve">to </w:t>
      </w:r>
      <w:r w:rsidR="00090ED3">
        <w:rPr>
          <w:lang w:val="en-GB"/>
        </w:rPr>
        <w:t>mitigate</w:t>
      </w:r>
      <w:r w:rsidR="00D347FE" w:rsidRPr="001048BB">
        <w:rPr>
          <w:lang w:val="en-GB"/>
        </w:rPr>
        <w:t xml:space="preserve"> GHG emissions, including</w:t>
      </w:r>
      <w:r w:rsidR="00C47FBF">
        <w:rPr>
          <w:lang w:val="en-GB"/>
        </w:rPr>
        <w:t xml:space="preserve"> (</w:t>
      </w:r>
      <w:r w:rsidR="00C47FBF" w:rsidRPr="00C47FBF">
        <w:rPr>
          <w:lang w:val="en-GB"/>
        </w:rPr>
        <w:t>M</w:t>
      </w:r>
      <w:r w:rsidR="00C47FBF">
        <w:rPr>
          <w:lang w:val="en-GB"/>
        </w:rPr>
        <w:t>i</w:t>
      </w:r>
      <w:r w:rsidR="00C47FBF" w:rsidRPr="00C47FBF">
        <w:rPr>
          <w:lang w:val="en-GB"/>
        </w:rPr>
        <w:t>gueza</w:t>
      </w:r>
      <w:r w:rsidR="00C47FBF">
        <w:rPr>
          <w:lang w:val="en-GB"/>
        </w:rPr>
        <w:t xml:space="preserve"> et al., 2018</w:t>
      </w:r>
      <w:r w:rsidR="00C47FBF">
        <w:t>)</w:t>
      </w:r>
      <w:r w:rsidR="00D347FE" w:rsidRPr="001048BB">
        <w:rPr>
          <w:lang w:val="en-GB"/>
        </w:rPr>
        <w:t>:</w:t>
      </w:r>
      <w:r w:rsidR="00D347FE">
        <w:rPr>
          <w:lang w:val="en-GB"/>
        </w:rPr>
        <w:t xml:space="preserve"> </w:t>
      </w:r>
    </w:p>
    <w:p w14:paraId="6EA39271" w14:textId="1D80ED61" w:rsidR="00BF58B9" w:rsidRDefault="00D347FE" w:rsidP="00FC0DAF">
      <w:pPr>
        <w:pStyle w:val="CETBodytext"/>
        <w:numPr>
          <w:ilvl w:val="0"/>
          <w:numId w:val="24"/>
        </w:numPr>
        <w:ind w:left="567" w:hanging="283"/>
        <w:rPr>
          <w:lang w:val="en-GB"/>
        </w:rPr>
      </w:pPr>
      <w:r>
        <w:rPr>
          <w:lang w:val="en-GB"/>
        </w:rPr>
        <w:t>Improved energy efficiencies (</w:t>
      </w:r>
      <w:r w:rsidR="006B5A45">
        <w:rPr>
          <w:lang w:val="en-GB"/>
        </w:rPr>
        <w:t>h</w:t>
      </w:r>
      <w:r w:rsidRPr="00EA6A4B">
        <w:rPr>
          <w:lang w:val="en-GB"/>
        </w:rPr>
        <w:t>eat recovery</w:t>
      </w:r>
      <w:r w:rsidR="006B5A45">
        <w:rPr>
          <w:lang w:val="en-GB"/>
        </w:rPr>
        <w:t>; s</w:t>
      </w:r>
      <w:r w:rsidRPr="00EA6A4B">
        <w:rPr>
          <w:lang w:val="en-GB"/>
        </w:rPr>
        <w:t xml:space="preserve">team </w:t>
      </w:r>
      <w:r>
        <w:rPr>
          <w:lang w:val="en-GB"/>
        </w:rPr>
        <w:t>generation</w:t>
      </w:r>
      <w:r w:rsidRPr="00EA6A4B">
        <w:rPr>
          <w:lang w:val="en-GB"/>
        </w:rPr>
        <w:t xml:space="preserve"> efficiencies</w:t>
      </w:r>
      <w:r>
        <w:rPr>
          <w:lang w:val="en-GB"/>
        </w:rPr>
        <w:t xml:space="preserve">); </w:t>
      </w:r>
    </w:p>
    <w:p w14:paraId="1435EE17" w14:textId="32E8ACA3" w:rsidR="00BF58B9" w:rsidRDefault="00D347FE" w:rsidP="00FC0DAF">
      <w:pPr>
        <w:pStyle w:val="CETBodytext"/>
        <w:numPr>
          <w:ilvl w:val="0"/>
          <w:numId w:val="24"/>
        </w:numPr>
        <w:ind w:left="567" w:hanging="283"/>
      </w:pPr>
      <w:r w:rsidRPr="00EA6A4B">
        <w:rPr>
          <w:lang w:val="en-GB"/>
        </w:rPr>
        <w:t xml:space="preserve">Energy generation </w:t>
      </w:r>
      <w:r>
        <w:rPr>
          <w:lang w:val="en-GB"/>
        </w:rPr>
        <w:t>(</w:t>
      </w:r>
      <w:r w:rsidR="006B5A45">
        <w:t>n</w:t>
      </w:r>
      <w:r w:rsidRPr="001048BB">
        <w:t>ew technologies for steam generation</w:t>
      </w:r>
      <w:r>
        <w:t xml:space="preserve">; </w:t>
      </w:r>
      <w:r w:rsidR="00A26133">
        <w:t>combined heat and power</w:t>
      </w:r>
      <w:r w:rsidR="006B5A45">
        <w:t>; r</w:t>
      </w:r>
      <w:r>
        <w:t xml:space="preserve">enewables); </w:t>
      </w:r>
    </w:p>
    <w:p w14:paraId="73FBB7B4" w14:textId="1CE9FE24" w:rsidR="00F938F7" w:rsidRPr="00F938F7" w:rsidRDefault="00D347FE" w:rsidP="00FC0DAF">
      <w:pPr>
        <w:pStyle w:val="CETBodytext"/>
        <w:numPr>
          <w:ilvl w:val="0"/>
          <w:numId w:val="24"/>
        </w:numPr>
        <w:ind w:left="567" w:hanging="283"/>
        <w:rPr>
          <w:lang w:val="en-GB"/>
        </w:rPr>
      </w:pPr>
      <w:r>
        <w:t>New and clean</w:t>
      </w:r>
      <w:r w:rsidR="00090ED3">
        <w:t xml:space="preserve">er technologies for process; </w:t>
      </w:r>
      <w:r>
        <w:t xml:space="preserve"> </w:t>
      </w:r>
    </w:p>
    <w:p w14:paraId="1AC35BF2" w14:textId="45A87ACB" w:rsidR="005162E0" w:rsidRDefault="00D347FE" w:rsidP="00FC0DAF">
      <w:pPr>
        <w:pStyle w:val="CETBodytext"/>
        <w:numPr>
          <w:ilvl w:val="0"/>
          <w:numId w:val="24"/>
        </w:numPr>
        <w:ind w:left="567" w:hanging="283"/>
        <w:rPr>
          <w:lang w:val="en-GB"/>
        </w:rPr>
      </w:pPr>
      <w:r w:rsidRPr="001048BB">
        <w:t>Carbon capture</w:t>
      </w:r>
      <w:r>
        <w:t>,</w:t>
      </w:r>
      <w:r w:rsidR="00055F33">
        <w:t xml:space="preserve"> utilis</w:t>
      </w:r>
      <w:r w:rsidR="00055F33" w:rsidRPr="001048BB">
        <w:t>ation</w:t>
      </w:r>
      <w:r w:rsidRPr="001048BB">
        <w:t xml:space="preserve"> and storage</w:t>
      </w:r>
      <w:r>
        <w:t xml:space="preserve">. </w:t>
      </w:r>
    </w:p>
    <w:p w14:paraId="53AB0796" w14:textId="62A6AEBB" w:rsidR="00D04F7E" w:rsidRPr="0041712F" w:rsidRDefault="006B5A45" w:rsidP="00C24063">
      <w:pPr>
        <w:pStyle w:val="CETBodytext"/>
        <w:rPr>
          <w:lang w:val="en-GB"/>
        </w:rPr>
      </w:pPr>
      <w:r>
        <w:rPr>
          <w:lang w:val="en-GB"/>
        </w:rPr>
        <w:t>Among these approaches, a</w:t>
      </w:r>
      <w:r w:rsidRPr="00E85ACE">
        <w:rPr>
          <w:lang w:val="en-GB"/>
        </w:rPr>
        <w:t xml:space="preserve"> comprehensi</w:t>
      </w:r>
      <w:r w:rsidR="00055F33">
        <w:rPr>
          <w:lang w:val="en-GB"/>
        </w:rPr>
        <w:t>ve heat integration that maximis</w:t>
      </w:r>
      <w:r w:rsidRPr="00E85ACE">
        <w:rPr>
          <w:lang w:val="en-GB"/>
        </w:rPr>
        <w:t>e</w:t>
      </w:r>
      <w:r>
        <w:rPr>
          <w:lang w:val="en-GB"/>
        </w:rPr>
        <w:t>s</w:t>
      </w:r>
      <w:r w:rsidR="00A16CAB">
        <w:rPr>
          <w:lang w:val="en-GB"/>
        </w:rPr>
        <w:t xml:space="preserve"> heat recovery and minimis</w:t>
      </w:r>
      <w:r w:rsidRPr="00E85ACE">
        <w:rPr>
          <w:lang w:val="en-GB"/>
        </w:rPr>
        <w:t>e</w:t>
      </w:r>
      <w:r>
        <w:rPr>
          <w:lang w:val="en-GB"/>
        </w:rPr>
        <w:t>s</w:t>
      </w:r>
      <w:r w:rsidRPr="00E85ACE">
        <w:rPr>
          <w:lang w:val="en-GB"/>
        </w:rPr>
        <w:t xml:space="preserve"> natural gas use will simultaneously reduce GHG generat</w:t>
      </w:r>
      <w:r>
        <w:rPr>
          <w:lang w:val="en-GB"/>
        </w:rPr>
        <w:t xml:space="preserve">ion and plant’s operating cost. </w:t>
      </w:r>
      <w:r w:rsidRPr="00E85ACE">
        <w:rPr>
          <w:lang w:val="en-GB"/>
        </w:rPr>
        <w:t>Additionally, less natural gas combusted will generate</w:t>
      </w:r>
      <w:r>
        <w:rPr>
          <w:lang w:val="en-GB"/>
        </w:rPr>
        <w:t xml:space="preserve"> lower volumes of flue gas that </w:t>
      </w:r>
      <w:r w:rsidRPr="00E85ACE">
        <w:rPr>
          <w:lang w:val="en-GB"/>
        </w:rPr>
        <w:t xml:space="preserve">will require smaller units </w:t>
      </w:r>
      <w:r>
        <w:rPr>
          <w:lang w:val="en-GB"/>
        </w:rPr>
        <w:t xml:space="preserve">for </w:t>
      </w:r>
      <w:r w:rsidR="00415784">
        <w:rPr>
          <w:lang w:val="en-GB"/>
        </w:rPr>
        <w:t>carbon capture</w:t>
      </w:r>
      <w:r>
        <w:rPr>
          <w:lang w:val="en-GB"/>
        </w:rPr>
        <w:t xml:space="preserve">. </w:t>
      </w:r>
      <w:r w:rsidRPr="00E85ACE">
        <w:rPr>
          <w:lang w:val="en-GB"/>
        </w:rPr>
        <w:t>However, since numerous streams need to be heated up and cooled down in these facilities, optimi</w:t>
      </w:r>
      <w:r w:rsidR="00A16CAB">
        <w:rPr>
          <w:lang w:val="en-GB"/>
        </w:rPr>
        <w:t>s</w:t>
      </w:r>
      <w:r w:rsidRPr="00E85ACE">
        <w:rPr>
          <w:lang w:val="en-GB"/>
        </w:rPr>
        <w:t>ing heat recovery systems requires the us</w:t>
      </w:r>
      <w:r>
        <w:rPr>
          <w:lang w:val="en-GB"/>
        </w:rPr>
        <w:t>e of a facility-wide approach for</w:t>
      </w:r>
      <w:r w:rsidRPr="00E85ACE">
        <w:rPr>
          <w:lang w:val="en-GB"/>
        </w:rPr>
        <w:t xml:space="preserve"> heat management.</w:t>
      </w:r>
      <w:r>
        <w:rPr>
          <w:lang w:val="en-GB"/>
        </w:rPr>
        <w:t xml:space="preserve"> </w:t>
      </w:r>
      <w:r w:rsidRPr="00E85ACE">
        <w:rPr>
          <w:lang w:val="en-GB"/>
        </w:rPr>
        <w:t>Due to conservative approaches often used in the design of in-situ processes to minimi</w:t>
      </w:r>
      <w:r w:rsidR="004769D4">
        <w:rPr>
          <w:lang w:val="en-GB"/>
        </w:rPr>
        <w:t>s</w:t>
      </w:r>
      <w:r w:rsidRPr="00E85ACE">
        <w:rPr>
          <w:lang w:val="en-GB"/>
        </w:rPr>
        <w:t xml:space="preserve">e operational risks, oil sands operators do </w:t>
      </w:r>
      <w:r w:rsidRPr="00E85ACE">
        <w:rPr>
          <w:lang w:val="en-GB"/>
        </w:rPr>
        <w:lastRenderedPageBreak/>
        <w:t>not take full advantage of most recent advances in heat integration and potential for improving plants performance remains unexploited</w:t>
      </w:r>
      <w:r w:rsidR="00C47FBF">
        <w:rPr>
          <w:lang w:val="en-GB"/>
        </w:rPr>
        <w:t xml:space="preserve"> (</w:t>
      </w:r>
      <w:r w:rsidR="00C47FBF" w:rsidRPr="00E85ACE">
        <w:t>Jac</w:t>
      </w:r>
      <w:r w:rsidR="00D70064">
        <w:t>o</w:t>
      </w:r>
      <w:r w:rsidR="00C47FBF" w:rsidRPr="00E85ACE">
        <w:t>bs,</w:t>
      </w:r>
      <w:r w:rsidR="00C47FBF">
        <w:t xml:space="preserve"> 2009</w:t>
      </w:r>
      <w:r w:rsidR="00D70064">
        <w:t>)</w:t>
      </w:r>
      <w:r>
        <w:rPr>
          <w:lang w:val="en-GB"/>
        </w:rPr>
        <w:t xml:space="preserve">. Process </w:t>
      </w:r>
      <w:r w:rsidRPr="00D04F7E">
        <w:rPr>
          <w:lang w:val="en-GB"/>
        </w:rPr>
        <w:t xml:space="preserve">Integration </w:t>
      </w:r>
      <w:r>
        <w:rPr>
          <w:lang w:val="en-GB"/>
        </w:rPr>
        <w:t xml:space="preserve">(PI) </w:t>
      </w:r>
      <w:r w:rsidRPr="00D04F7E">
        <w:rPr>
          <w:lang w:val="en-GB"/>
        </w:rPr>
        <w:t>is a powerful approach</w:t>
      </w:r>
      <w:r>
        <w:rPr>
          <w:lang w:val="en-GB"/>
        </w:rPr>
        <w:t xml:space="preserve"> among different heat management techniques that is used in several industrial processes to improve the energy efficiency and </w:t>
      </w:r>
      <w:r w:rsidR="00B45BE8">
        <w:rPr>
          <w:lang w:val="en-GB"/>
        </w:rPr>
        <w:t xml:space="preserve">to </w:t>
      </w:r>
      <w:r w:rsidR="00A16CAB">
        <w:rPr>
          <w:lang w:val="en-GB"/>
        </w:rPr>
        <w:t>optimis</w:t>
      </w:r>
      <w:r w:rsidRPr="00D04F7E">
        <w:rPr>
          <w:lang w:val="en-GB"/>
        </w:rPr>
        <w:t>e the use of</w:t>
      </w:r>
      <w:r>
        <w:rPr>
          <w:lang w:val="en-GB"/>
        </w:rPr>
        <w:t xml:space="preserve"> heat in the process</w:t>
      </w:r>
      <w:r w:rsidR="00D70064">
        <w:rPr>
          <w:lang w:val="en-GB"/>
        </w:rPr>
        <w:t xml:space="preserve"> (</w:t>
      </w:r>
      <w:r w:rsidR="00D70064">
        <w:t>Ashrafi</w:t>
      </w:r>
      <w:r w:rsidR="00E46767">
        <w:rPr>
          <w:lang w:val="en-GB"/>
        </w:rPr>
        <w:t xml:space="preserve"> </w:t>
      </w:r>
      <w:r w:rsidR="00D70064">
        <w:rPr>
          <w:lang w:val="en-GB"/>
        </w:rPr>
        <w:t>et al., 2016)</w:t>
      </w:r>
      <w:r w:rsidR="00E46767">
        <w:rPr>
          <w:lang w:val="en-GB"/>
        </w:rPr>
        <w:t xml:space="preserve">. </w:t>
      </w:r>
      <w:r>
        <w:rPr>
          <w:lang w:val="en-GB"/>
        </w:rPr>
        <w:t>Among the PI techniques, Pinch Analy</w:t>
      </w:r>
      <w:r w:rsidR="00A16CAB">
        <w:rPr>
          <w:lang w:val="en-GB"/>
        </w:rPr>
        <w:t>sis is very effective to optimis</w:t>
      </w:r>
      <w:r>
        <w:rPr>
          <w:lang w:val="en-GB"/>
        </w:rPr>
        <w:t>e heat recovery systems that minimi</w:t>
      </w:r>
      <w:r w:rsidR="004769D4">
        <w:rPr>
          <w:lang w:val="en-GB"/>
        </w:rPr>
        <w:t>s</w:t>
      </w:r>
      <w:r>
        <w:rPr>
          <w:lang w:val="en-GB"/>
        </w:rPr>
        <w:t xml:space="preserve">es </w:t>
      </w:r>
      <w:r w:rsidRPr="00E46767">
        <w:rPr>
          <w:lang w:val="en-GB"/>
        </w:rPr>
        <w:t>the use of the</w:t>
      </w:r>
      <w:r>
        <w:rPr>
          <w:lang w:val="en-GB"/>
        </w:rPr>
        <w:t xml:space="preserve">rmal energy in a process by proposing the best design </w:t>
      </w:r>
      <w:r w:rsidRPr="00E46767">
        <w:rPr>
          <w:lang w:val="en-GB"/>
        </w:rPr>
        <w:t>options</w:t>
      </w:r>
      <w:r>
        <w:rPr>
          <w:lang w:val="en-GB"/>
        </w:rPr>
        <w:t xml:space="preserve"> </w:t>
      </w:r>
      <w:r w:rsidR="00D70064">
        <w:rPr>
          <w:lang w:val="en-GB"/>
        </w:rPr>
        <w:t>(</w:t>
      </w:r>
      <w:r w:rsidR="00D70064" w:rsidRPr="00D70064">
        <w:t>Gadalla</w:t>
      </w:r>
      <w:r w:rsidR="00D70064">
        <w:t>, 2015</w:t>
      </w:r>
      <w:r w:rsidR="00D70064" w:rsidRPr="0041712F">
        <w:t>)</w:t>
      </w:r>
      <w:r w:rsidR="00AD0CB0" w:rsidRPr="0041712F">
        <w:rPr>
          <w:lang w:val="en-GB"/>
        </w:rPr>
        <w:t xml:space="preserve">. </w:t>
      </w:r>
    </w:p>
    <w:p w14:paraId="634EF9EE" w14:textId="248544EB" w:rsidR="00D04F7E" w:rsidRPr="001248D7" w:rsidRDefault="009E76AA" w:rsidP="006B5A45">
      <w:pPr>
        <w:pStyle w:val="CETBodytext"/>
        <w:rPr>
          <w:lang w:val="en-GB"/>
        </w:rPr>
      </w:pPr>
      <w:r>
        <w:rPr>
          <w:lang w:val="en-GB"/>
        </w:rPr>
        <w:t>Carbon capture</w:t>
      </w:r>
      <w:r w:rsidR="009C5941">
        <w:rPr>
          <w:lang w:val="en-GB"/>
        </w:rPr>
        <w:t xml:space="preserve"> </w:t>
      </w:r>
      <w:r w:rsidR="006B5A45">
        <w:rPr>
          <w:lang w:val="en-GB"/>
        </w:rPr>
        <w:t xml:space="preserve">is </w:t>
      </w:r>
      <w:r w:rsidR="006B5A45" w:rsidRPr="00B96201">
        <w:rPr>
          <w:lang w:val="en-GB"/>
        </w:rPr>
        <w:t xml:space="preserve">a key technology </w:t>
      </w:r>
      <w:r w:rsidR="00681C29">
        <w:rPr>
          <w:lang w:val="en-GB"/>
        </w:rPr>
        <w:t xml:space="preserve">to control and </w:t>
      </w:r>
      <w:r w:rsidR="00090ED3">
        <w:rPr>
          <w:lang w:val="en-GB"/>
        </w:rPr>
        <w:t>mitigate</w:t>
      </w:r>
      <w:r w:rsidR="006B5A45">
        <w:rPr>
          <w:lang w:val="en-GB"/>
        </w:rPr>
        <w:t xml:space="preserve"> </w:t>
      </w:r>
      <w:r w:rsidR="006B5A45" w:rsidRPr="0028513B">
        <w:rPr>
          <w:lang w:val="en-GB"/>
        </w:rPr>
        <w:t>the rise of</w:t>
      </w:r>
      <w:r w:rsidR="006B5A45">
        <w:rPr>
          <w:lang w:val="en-GB"/>
        </w:rPr>
        <w:t xml:space="preserve"> GHG emissions in industry </w:t>
      </w:r>
      <w:r w:rsidR="00935850">
        <w:rPr>
          <w:lang w:val="en-GB"/>
        </w:rPr>
        <w:t>(</w:t>
      </w:r>
      <w:r w:rsidR="00935850">
        <w:t>IEA, 2013)</w:t>
      </w:r>
      <w:r w:rsidR="00335E73" w:rsidRPr="00335E73">
        <w:rPr>
          <w:color w:val="FF0000"/>
          <w:lang w:val="en-GB"/>
        </w:rPr>
        <w:t xml:space="preserve"> </w:t>
      </w:r>
      <w:r w:rsidR="00AD0CB0">
        <w:rPr>
          <w:lang w:val="en-GB"/>
        </w:rPr>
        <w:t>since CO</w:t>
      </w:r>
      <w:r w:rsidR="00AD0CB0">
        <w:rPr>
          <w:vertAlign w:val="subscript"/>
          <w:lang w:val="en-GB"/>
        </w:rPr>
        <w:t>2</w:t>
      </w:r>
      <w:r w:rsidR="00AD0CB0">
        <w:rPr>
          <w:lang w:val="en-GB"/>
        </w:rPr>
        <w:t xml:space="preserve"> alone </w:t>
      </w:r>
      <w:r w:rsidR="00AD0CB0" w:rsidRPr="0028513B">
        <w:rPr>
          <w:lang w:val="en-GB"/>
        </w:rPr>
        <w:t xml:space="preserve">has contributed </w:t>
      </w:r>
      <w:r w:rsidR="00F355E3">
        <w:rPr>
          <w:lang w:val="en-GB"/>
        </w:rPr>
        <w:t xml:space="preserve">to </w:t>
      </w:r>
      <w:r w:rsidR="00AD0CB0" w:rsidRPr="0028513B">
        <w:rPr>
          <w:lang w:val="en-GB"/>
        </w:rPr>
        <w:t>about 76% of the global</w:t>
      </w:r>
      <w:r w:rsidR="00AD0CB0">
        <w:rPr>
          <w:lang w:val="en-GB"/>
        </w:rPr>
        <w:t xml:space="preserve"> GHG</w:t>
      </w:r>
      <w:r w:rsidR="001B56A6">
        <w:rPr>
          <w:lang w:val="en-GB"/>
        </w:rPr>
        <w:t xml:space="preserve"> (</w:t>
      </w:r>
      <w:r w:rsidR="001B56A6">
        <w:t>Rudin et al., 2017)</w:t>
      </w:r>
      <w:r w:rsidR="00AD0CB0">
        <w:rPr>
          <w:lang w:val="en-GB"/>
        </w:rPr>
        <w:t xml:space="preserve">. </w:t>
      </w:r>
      <w:r w:rsidR="006B5A45" w:rsidRPr="0028513B">
        <w:rPr>
          <w:lang w:val="en-GB"/>
        </w:rPr>
        <w:t>The international energy agency</w:t>
      </w:r>
      <w:r w:rsidR="006B5A45">
        <w:rPr>
          <w:lang w:val="en-GB"/>
        </w:rPr>
        <w:t xml:space="preserve"> (IEA) revealed that the potential for carbon</w:t>
      </w:r>
      <w:r w:rsidR="006B5A45" w:rsidRPr="0028513B">
        <w:rPr>
          <w:lang w:val="en-GB"/>
        </w:rPr>
        <w:t xml:space="preserve"> capture from industry and power </w:t>
      </w:r>
      <w:r w:rsidR="006B5A45">
        <w:rPr>
          <w:lang w:val="en-GB"/>
        </w:rPr>
        <w:t xml:space="preserve">plants is approximately 19% of the total reduction potential </w:t>
      </w:r>
      <w:r w:rsidR="00246D66">
        <w:rPr>
          <w:lang w:val="en-GB"/>
        </w:rPr>
        <w:t>(</w:t>
      </w:r>
      <w:r w:rsidR="00246D66">
        <w:t>Berstad et al., 2013)</w:t>
      </w:r>
      <w:r w:rsidR="006D4E8E">
        <w:rPr>
          <w:lang w:val="en-GB"/>
        </w:rPr>
        <w:t xml:space="preserve">. </w:t>
      </w:r>
      <w:r w:rsidR="000F4F6D">
        <w:rPr>
          <w:lang w:val="en-GB"/>
        </w:rPr>
        <w:t xml:space="preserve">In general, </w:t>
      </w:r>
      <w:r w:rsidR="00D1148E">
        <w:rPr>
          <w:lang w:val="en-GB"/>
        </w:rPr>
        <w:t xml:space="preserve">existing </w:t>
      </w:r>
      <w:r w:rsidR="000F4F6D">
        <w:rPr>
          <w:lang w:val="en-GB"/>
        </w:rPr>
        <w:t>carbon capture</w:t>
      </w:r>
      <w:r w:rsidR="006B5A45" w:rsidRPr="0028513B">
        <w:rPr>
          <w:lang w:val="en-GB"/>
        </w:rPr>
        <w:t xml:space="preserve"> technolog</w:t>
      </w:r>
      <w:r w:rsidR="006B5A45">
        <w:rPr>
          <w:lang w:val="en-GB"/>
        </w:rPr>
        <w:t xml:space="preserve">ies are </w:t>
      </w:r>
      <w:r w:rsidR="006B5A45" w:rsidRPr="0028513B">
        <w:rPr>
          <w:lang w:val="en-GB"/>
        </w:rPr>
        <w:t>post-combustion, pre-combustion, oxy</w:t>
      </w:r>
      <w:r w:rsidR="006B5A45">
        <w:rPr>
          <w:lang w:val="en-GB"/>
        </w:rPr>
        <w:t>-</w:t>
      </w:r>
      <w:r w:rsidR="006B5A45" w:rsidRPr="0028513B">
        <w:rPr>
          <w:lang w:val="en-GB"/>
        </w:rPr>
        <w:t>fuel combustion and chemical looping combustion</w:t>
      </w:r>
      <w:r w:rsidR="006B5A45">
        <w:rPr>
          <w:lang w:val="en-GB"/>
        </w:rPr>
        <w:t xml:space="preserve"> </w:t>
      </w:r>
      <w:r w:rsidR="001B56A6">
        <w:rPr>
          <w:lang w:val="en-GB"/>
        </w:rPr>
        <w:t>(</w:t>
      </w:r>
      <w:r w:rsidR="001B56A6">
        <w:t>Rudin et al., 2017)</w:t>
      </w:r>
      <w:r w:rsidR="00335E73">
        <w:rPr>
          <w:lang w:val="en-GB"/>
        </w:rPr>
        <w:t xml:space="preserve">. </w:t>
      </w:r>
      <w:r w:rsidR="006B5A45" w:rsidRPr="00E85ACE">
        <w:rPr>
          <w:lang w:val="en-GB"/>
        </w:rPr>
        <w:t xml:space="preserve">A typical </w:t>
      </w:r>
      <w:r w:rsidR="006B5A45">
        <w:rPr>
          <w:lang w:val="en-GB"/>
        </w:rPr>
        <w:t>so</w:t>
      </w:r>
      <w:r w:rsidR="000F4F6D">
        <w:rPr>
          <w:lang w:val="en-GB"/>
        </w:rPr>
        <w:t>l</w:t>
      </w:r>
      <w:r w:rsidR="006B5A45">
        <w:rPr>
          <w:lang w:val="en-GB"/>
        </w:rPr>
        <w:t xml:space="preserve">vent-based </w:t>
      </w:r>
      <w:r w:rsidR="006B5A45" w:rsidRPr="00E85ACE">
        <w:rPr>
          <w:lang w:val="en-GB"/>
        </w:rPr>
        <w:t xml:space="preserve">post-combustion </w:t>
      </w:r>
      <w:r w:rsidR="000F4F6D">
        <w:rPr>
          <w:lang w:val="en-GB"/>
        </w:rPr>
        <w:t>carbon capture (PCC)</w:t>
      </w:r>
      <w:r w:rsidR="006B5A45" w:rsidRPr="00E85ACE">
        <w:rPr>
          <w:lang w:val="en-GB"/>
        </w:rPr>
        <w:t xml:space="preserve"> unit is comprised of an absorber where the CO</w:t>
      </w:r>
      <w:r w:rsidR="006B5A45" w:rsidRPr="00335E73">
        <w:rPr>
          <w:vertAlign w:val="subscript"/>
          <w:lang w:val="en-GB"/>
        </w:rPr>
        <w:t>2</w:t>
      </w:r>
      <w:r w:rsidR="006B5A45" w:rsidRPr="00E85ACE">
        <w:rPr>
          <w:lang w:val="en-GB"/>
        </w:rPr>
        <w:t xml:space="preserve"> in the flue gas is absorbed into a solvent, and a stripping col</w:t>
      </w:r>
      <w:r w:rsidR="006B5A45">
        <w:rPr>
          <w:lang w:val="en-GB"/>
        </w:rPr>
        <w:t xml:space="preserve">umn to regenerate the solvent. </w:t>
      </w:r>
      <w:r w:rsidR="006B5A45" w:rsidRPr="00E85ACE">
        <w:rPr>
          <w:lang w:val="en-GB"/>
        </w:rPr>
        <w:t>The desorbed CO</w:t>
      </w:r>
      <w:r w:rsidR="006B5A45" w:rsidRPr="00335E73">
        <w:rPr>
          <w:vertAlign w:val="subscript"/>
          <w:lang w:val="en-GB"/>
        </w:rPr>
        <w:t>2</w:t>
      </w:r>
      <w:r w:rsidR="006B5A45" w:rsidRPr="00E85ACE">
        <w:rPr>
          <w:lang w:val="en-GB"/>
        </w:rPr>
        <w:t xml:space="preserve"> is recovered for further use, for exampl</w:t>
      </w:r>
      <w:r w:rsidR="006B5A45">
        <w:rPr>
          <w:lang w:val="en-GB"/>
        </w:rPr>
        <w:t>e in enhanced oil recovery</w:t>
      </w:r>
      <w:r w:rsidR="006B5A45" w:rsidRPr="00E85ACE">
        <w:rPr>
          <w:lang w:val="en-GB"/>
        </w:rPr>
        <w:t xml:space="preserve"> or other industry utili</w:t>
      </w:r>
      <w:r w:rsidR="004769D4">
        <w:rPr>
          <w:lang w:val="en-GB"/>
        </w:rPr>
        <w:t>s</w:t>
      </w:r>
      <w:r w:rsidR="006B5A45" w:rsidRPr="00E85ACE">
        <w:rPr>
          <w:lang w:val="en-GB"/>
        </w:rPr>
        <w:t xml:space="preserve">ations, or for conversion </w:t>
      </w:r>
      <w:r w:rsidR="006B5A45">
        <w:rPr>
          <w:lang w:val="en-GB"/>
        </w:rPr>
        <w:t>in</w:t>
      </w:r>
      <w:r w:rsidR="006B5A45" w:rsidRPr="00E85ACE">
        <w:rPr>
          <w:lang w:val="en-GB"/>
        </w:rPr>
        <w:t>to value-added products.</w:t>
      </w:r>
      <w:r w:rsidR="006B5A45">
        <w:rPr>
          <w:lang w:val="en-GB"/>
        </w:rPr>
        <w:t xml:space="preserve"> </w:t>
      </w:r>
      <w:r w:rsidR="006B5A45" w:rsidRPr="001248D7">
        <w:rPr>
          <w:lang w:val="en-GB"/>
        </w:rPr>
        <w:t>Commercially available technologies using solvents can achieve high CO</w:t>
      </w:r>
      <w:r w:rsidR="006B5A45" w:rsidRPr="001248D7">
        <w:rPr>
          <w:vertAlign w:val="subscript"/>
          <w:lang w:val="en-GB"/>
        </w:rPr>
        <w:t>2</w:t>
      </w:r>
      <w:r w:rsidR="006B5A45">
        <w:rPr>
          <w:lang w:val="en-GB"/>
        </w:rPr>
        <w:t xml:space="preserve"> capture rates. </w:t>
      </w:r>
      <w:r w:rsidR="006B5A45" w:rsidRPr="001248D7">
        <w:rPr>
          <w:lang w:val="en-GB"/>
        </w:rPr>
        <w:t xml:space="preserve">However, significant amounts of high-grade heat </w:t>
      </w:r>
      <w:r w:rsidR="000F4F6D">
        <w:rPr>
          <w:lang w:val="en-GB"/>
        </w:rPr>
        <w:t xml:space="preserve">and </w:t>
      </w:r>
      <w:r w:rsidR="006B5A45" w:rsidRPr="001248D7">
        <w:rPr>
          <w:lang w:val="en-GB"/>
        </w:rPr>
        <w:t>high capital co</w:t>
      </w:r>
      <w:r w:rsidR="000F4F6D">
        <w:rPr>
          <w:lang w:val="en-GB"/>
        </w:rPr>
        <w:t>s</w:t>
      </w:r>
      <w:r w:rsidR="006B5A45" w:rsidRPr="001248D7">
        <w:rPr>
          <w:lang w:val="en-GB"/>
        </w:rPr>
        <w:t xml:space="preserve">ts </w:t>
      </w:r>
      <w:r w:rsidR="006B5A45">
        <w:rPr>
          <w:lang w:val="en-GB"/>
        </w:rPr>
        <w:t xml:space="preserve">are needed </w:t>
      </w:r>
      <w:r w:rsidR="006B5A45" w:rsidRPr="001248D7">
        <w:rPr>
          <w:lang w:val="en-GB"/>
        </w:rPr>
        <w:t>to process the large volume of flue gas from</w:t>
      </w:r>
      <w:r w:rsidR="006B5A45">
        <w:rPr>
          <w:lang w:val="en-GB"/>
        </w:rPr>
        <w:t xml:space="preserve"> SAGD processes.</w:t>
      </w:r>
      <w:r w:rsidR="000F4F6D">
        <w:rPr>
          <w:lang w:val="en-GB"/>
        </w:rPr>
        <w:t xml:space="preserve"> </w:t>
      </w:r>
    </w:p>
    <w:p w14:paraId="67D703A3" w14:textId="3AC75945" w:rsidR="006E0DAD" w:rsidRDefault="009E76AA" w:rsidP="009E76AA">
      <w:pPr>
        <w:pStyle w:val="CETBodytext"/>
        <w:rPr>
          <w:lang w:val="en-GB"/>
        </w:rPr>
      </w:pPr>
      <w:r>
        <w:rPr>
          <w:lang w:val="en-GB"/>
        </w:rPr>
        <w:t xml:space="preserve">Carbon capture </w:t>
      </w:r>
      <w:r w:rsidRPr="00B96201">
        <w:rPr>
          <w:lang w:val="en-GB"/>
        </w:rPr>
        <w:t>has been actively investigated for decades in various countries</w:t>
      </w:r>
      <w:r w:rsidR="00FF7B9B">
        <w:rPr>
          <w:lang w:val="en-GB"/>
        </w:rPr>
        <w:t xml:space="preserve"> </w:t>
      </w:r>
      <w:r w:rsidR="00FF7B9B" w:rsidRPr="008E0A2A">
        <w:rPr>
          <w:lang w:val="en-GB"/>
        </w:rPr>
        <w:t>(</w:t>
      </w:r>
      <w:r w:rsidR="0026785A">
        <w:rPr>
          <w:lang w:val="en-GB"/>
        </w:rPr>
        <w:t>e.g</w:t>
      </w:r>
      <w:r w:rsidR="00FF7B9B" w:rsidRPr="008E0A2A">
        <w:rPr>
          <w:lang w:val="en-GB"/>
        </w:rPr>
        <w:t xml:space="preserve">. </w:t>
      </w:r>
      <w:r w:rsidR="0026785A">
        <w:t>Kessler</w:t>
      </w:r>
      <w:r w:rsidR="0026785A" w:rsidRPr="008E0A2A">
        <w:t xml:space="preserve"> </w:t>
      </w:r>
      <w:r w:rsidR="0026785A">
        <w:t xml:space="preserve">et al., 2018, </w:t>
      </w:r>
      <w:r w:rsidR="008E0A2A" w:rsidRPr="008E0A2A">
        <w:t>Laribi</w:t>
      </w:r>
      <w:r w:rsidR="008E0A2A">
        <w:t xml:space="preserve"> et al., 2018</w:t>
      </w:r>
      <w:r w:rsidR="008E0A2A" w:rsidRPr="008E0A2A">
        <w:rPr>
          <w:lang w:val="en-GB"/>
        </w:rPr>
        <w:t>;</w:t>
      </w:r>
      <w:r w:rsidR="00FF7B9B" w:rsidRPr="00FF7B9B">
        <w:rPr>
          <w:color w:val="FF0000"/>
          <w:lang w:val="en-GB"/>
        </w:rPr>
        <w:t xml:space="preserve"> </w:t>
      </w:r>
      <w:r w:rsidR="008E0A2A">
        <w:t>Li et al., 2018)</w:t>
      </w:r>
      <w:r w:rsidR="00FF7B9B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Pr="00B96201">
        <w:rPr>
          <w:lang w:val="en-GB"/>
        </w:rPr>
        <w:t xml:space="preserve">most of the work </w:t>
      </w:r>
      <w:r>
        <w:rPr>
          <w:lang w:val="en-GB"/>
        </w:rPr>
        <w:t xml:space="preserve">currently </w:t>
      </w:r>
      <w:r w:rsidRPr="00B96201">
        <w:rPr>
          <w:lang w:val="en-GB"/>
        </w:rPr>
        <w:t>performed by research teams and technology providers is directed towards</w:t>
      </w:r>
      <w:r>
        <w:rPr>
          <w:lang w:val="en-GB"/>
        </w:rPr>
        <w:t xml:space="preserve"> reducing both operating and capital cost</w:t>
      </w:r>
      <w:r w:rsidR="00D1148E">
        <w:rPr>
          <w:lang w:val="en-GB"/>
        </w:rPr>
        <w:t>s</w:t>
      </w:r>
      <w:r>
        <w:rPr>
          <w:lang w:val="en-GB"/>
        </w:rPr>
        <w:t xml:space="preserve">. </w:t>
      </w:r>
      <w:r w:rsidRPr="00B96201">
        <w:rPr>
          <w:lang w:val="en-GB"/>
        </w:rPr>
        <w:t xml:space="preserve">However, most of these works consider the </w:t>
      </w:r>
      <w:r w:rsidR="000F4F6D">
        <w:rPr>
          <w:lang w:val="en-GB"/>
        </w:rPr>
        <w:t>carbon capture</w:t>
      </w:r>
      <w:r w:rsidRPr="00B96201">
        <w:rPr>
          <w:lang w:val="en-GB"/>
        </w:rPr>
        <w:t xml:space="preserve"> unit stand-alone and do not </w:t>
      </w:r>
      <w:r>
        <w:rPr>
          <w:lang w:val="en-GB"/>
        </w:rPr>
        <w:t xml:space="preserve">fully </w:t>
      </w:r>
      <w:r w:rsidRPr="00B96201">
        <w:rPr>
          <w:lang w:val="en-GB"/>
        </w:rPr>
        <w:t>exploit the opportunities for heat inte</w:t>
      </w:r>
      <w:r w:rsidR="00055F33">
        <w:rPr>
          <w:lang w:val="en-GB"/>
        </w:rPr>
        <w:t>gration to maximis</w:t>
      </w:r>
      <w:r w:rsidRPr="00B96201">
        <w:rPr>
          <w:lang w:val="en-GB"/>
        </w:rPr>
        <w:t xml:space="preserve">e synergies between the in-situ plant and the capture unit to further reduce </w:t>
      </w:r>
      <w:r w:rsidRPr="0001765A">
        <w:rPr>
          <w:lang w:val="en-GB"/>
        </w:rPr>
        <w:t>costs</w:t>
      </w:r>
      <w:r>
        <w:rPr>
          <w:lang w:val="en-GB"/>
        </w:rPr>
        <w:t>. In this study, heat recovery systems in typical SAGD fac</w:t>
      </w:r>
      <w:r w:rsidR="00A16CAB">
        <w:rPr>
          <w:lang w:val="en-GB"/>
        </w:rPr>
        <w:t>ilities are analysed and optimis</w:t>
      </w:r>
      <w:r>
        <w:rPr>
          <w:lang w:val="en-GB"/>
        </w:rPr>
        <w:t xml:space="preserve">ed, </w:t>
      </w:r>
      <w:r w:rsidRPr="00E85ACE">
        <w:t xml:space="preserve">the energy penalty </w:t>
      </w:r>
      <w:r>
        <w:t xml:space="preserve">associated with </w:t>
      </w:r>
      <w:r w:rsidR="000F4F6D">
        <w:t>PCC</w:t>
      </w:r>
      <w:r>
        <w:t xml:space="preserve"> is reduced, and </w:t>
      </w:r>
      <w:r w:rsidRPr="00E85ACE">
        <w:t>the overall efficiency of the combined operations</w:t>
      </w:r>
      <w:r>
        <w:t xml:space="preserve"> </w:t>
      </w:r>
      <w:r w:rsidR="000F4F6D">
        <w:t xml:space="preserve">(SAGD + PCC) </w:t>
      </w:r>
      <w:r>
        <w:t xml:space="preserve">is improved. </w:t>
      </w:r>
      <w:r w:rsidRPr="00B11CF0">
        <w:rPr>
          <w:lang w:val="en-GB"/>
        </w:rPr>
        <w:t xml:space="preserve">Three </w:t>
      </w:r>
      <w:r>
        <w:rPr>
          <w:lang w:val="en-GB"/>
        </w:rPr>
        <w:t xml:space="preserve">SAGD facility configurations, </w:t>
      </w:r>
      <w:r w:rsidRPr="00B96201">
        <w:rPr>
          <w:lang w:val="en-GB"/>
        </w:rPr>
        <w:t>representing the majority of existing plants in operation in Canada</w:t>
      </w:r>
      <w:r>
        <w:rPr>
          <w:lang w:val="en-GB"/>
        </w:rPr>
        <w:t>, and three</w:t>
      </w:r>
      <w:r w:rsidRPr="00B11CF0">
        <w:rPr>
          <w:lang w:val="en-GB"/>
        </w:rPr>
        <w:t xml:space="preserve"> </w:t>
      </w:r>
      <w:r w:rsidR="000F4F6D">
        <w:rPr>
          <w:lang w:val="en-GB"/>
        </w:rPr>
        <w:t>PCC</w:t>
      </w:r>
      <w:r w:rsidRPr="00B11CF0">
        <w:rPr>
          <w:lang w:val="en-GB"/>
        </w:rPr>
        <w:t xml:space="preserve"> technologies that are best suited to in-situ plants </w:t>
      </w:r>
      <w:r>
        <w:rPr>
          <w:lang w:val="en-GB"/>
        </w:rPr>
        <w:t xml:space="preserve">have been selected </w:t>
      </w:r>
      <w:r w:rsidRPr="00B96201">
        <w:rPr>
          <w:lang w:val="en-GB"/>
        </w:rPr>
        <w:t xml:space="preserve">in collaboration with </w:t>
      </w:r>
      <w:r>
        <w:rPr>
          <w:lang w:val="en-GB"/>
        </w:rPr>
        <w:t xml:space="preserve">our </w:t>
      </w:r>
      <w:r w:rsidRPr="00B96201">
        <w:rPr>
          <w:lang w:val="en-GB"/>
        </w:rPr>
        <w:t>industry partners</w:t>
      </w:r>
      <w:r w:rsidRPr="0001765A">
        <w:rPr>
          <w:lang w:val="en-GB"/>
        </w:rPr>
        <w:t xml:space="preserve">. </w:t>
      </w:r>
      <w:r w:rsidR="0001765A" w:rsidRPr="0001765A">
        <w:rPr>
          <w:lang w:val="en-GB"/>
        </w:rPr>
        <w:t>T</w:t>
      </w:r>
      <w:r w:rsidR="000A5FDC" w:rsidRPr="0001765A">
        <w:rPr>
          <w:lang w:val="en-GB"/>
        </w:rPr>
        <w:t>his analysis</w:t>
      </w:r>
      <w:r w:rsidR="0001765A" w:rsidRPr="0001765A">
        <w:rPr>
          <w:lang w:val="en-GB"/>
        </w:rPr>
        <w:t xml:space="preserve"> focuses on energy</w:t>
      </w:r>
      <w:r w:rsidR="0001765A">
        <w:rPr>
          <w:lang w:val="en-GB"/>
        </w:rPr>
        <w:t xml:space="preserve"> and GHG</w:t>
      </w:r>
      <w:r w:rsidR="0001765A" w:rsidRPr="0001765A">
        <w:rPr>
          <w:lang w:val="en-GB"/>
        </w:rPr>
        <w:t xml:space="preserve"> aspects</w:t>
      </w:r>
      <w:r w:rsidR="000A5FDC" w:rsidRPr="0001765A">
        <w:rPr>
          <w:lang w:val="en-GB"/>
        </w:rPr>
        <w:t xml:space="preserve"> </w:t>
      </w:r>
      <w:r w:rsidR="0001765A" w:rsidRPr="0001765A">
        <w:rPr>
          <w:lang w:val="en-GB"/>
        </w:rPr>
        <w:t xml:space="preserve">of SAGD process with PCC and </w:t>
      </w:r>
      <w:r w:rsidR="000A5FDC" w:rsidRPr="0001765A">
        <w:rPr>
          <w:lang w:val="en-GB"/>
        </w:rPr>
        <w:t xml:space="preserve">capital </w:t>
      </w:r>
      <w:r w:rsidR="0001765A">
        <w:rPr>
          <w:lang w:val="en-GB"/>
        </w:rPr>
        <w:t>cost</w:t>
      </w:r>
      <w:r w:rsidR="000A5FDC" w:rsidRPr="0001765A">
        <w:rPr>
          <w:lang w:val="en-GB"/>
        </w:rPr>
        <w:t xml:space="preserve"> </w:t>
      </w:r>
      <w:r w:rsidR="0001765A">
        <w:rPr>
          <w:lang w:val="en-GB"/>
        </w:rPr>
        <w:t>was</w:t>
      </w:r>
      <w:r w:rsidR="000A5FDC" w:rsidRPr="0001765A">
        <w:rPr>
          <w:lang w:val="en-GB"/>
        </w:rPr>
        <w:t xml:space="preserve"> not considered. </w:t>
      </w:r>
      <w:r w:rsidRPr="0001765A">
        <w:rPr>
          <w:lang w:val="en-GB"/>
        </w:rPr>
        <w:t>Su</w:t>
      </w:r>
      <w:r w:rsidRPr="00B96201">
        <w:rPr>
          <w:lang w:val="en-GB"/>
        </w:rPr>
        <w:t xml:space="preserve">bsequently, modelling and extensive facility-wide heat integration </w:t>
      </w:r>
      <w:r>
        <w:rPr>
          <w:lang w:val="en-GB"/>
        </w:rPr>
        <w:t>is</w:t>
      </w:r>
      <w:r w:rsidRPr="00B96201">
        <w:rPr>
          <w:lang w:val="en-GB"/>
        </w:rPr>
        <w:t xml:space="preserve"> performed to optimi</w:t>
      </w:r>
      <w:r w:rsidR="004769D4">
        <w:rPr>
          <w:lang w:val="en-GB"/>
        </w:rPr>
        <w:t>s</w:t>
      </w:r>
      <w:r w:rsidRPr="00B96201">
        <w:rPr>
          <w:lang w:val="en-GB"/>
        </w:rPr>
        <w:t xml:space="preserve">e the energy use of the typical </w:t>
      </w:r>
      <w:r>
        <w:rPr>
          <w:lang w:val="en-GB"/>
        </w:rPr>
        <w:t>SAGD</w:t>
      </w:r>
      <w:r w:rsidRPr="00B96201">
        <w:rPr>
          <w:lang w:val="en-GB"/>
        </w:rPr>
        <w:t xml:space="preserve"> configurations, in two scenarios: with and without </w:t>
      </w:r>
      <w:r w:rsidR="000F4F6D">
        <w:rPr>
          <w:lang w:val="en-GB"/>
        </w:rPr>
        <w:t>PCC</w:t>
      </w:r>
      <w:r>
        <w:rPr>
          <w:lang w:val="en-GB"/>
        </w:rPr>
        <w:t xml:space="preserve">. </w:t>
      </w:r>
      <w:r w:rsidRPr="00B96201">
        <w:rPr>
          <w:lang w:val="en-GB"/>
        </w:rPr>
        <w:t xml:space="preserve">First, energy-efficient designs that reduce energy use and GHG emissions related to steam production in the in-situ typical processes without </w:t>
      </w:r>
      <w:r w:rsidR="000F4F6D">
        <w:rPr>
          <w:lang w:val="en-GB"/>
        </w:rPr>
        <w:t>carbon</w:t>
      </w:r>
      <w:r w:rsidRPr="00B96201">
        <w:rPr>
          <w:lang w:val="en-GB"/>
        </w:rPr>
        <w:t xml:space="preserve"> capture </w:t>
      </w:r>
      <w:r>
        <w:rPr>
          <w:lang w:val="en-GB"/>
        </w:rPr>
        <w:t xml:space="preserve">is developed. </w:t>
      </w:r>
      <w:r>
        <w:rPr>
          <w:lang w:val="en-GB"/>
        </w:rPr>
        <w:tab/>
        <w:t xml:space="preserve">Then, </w:t>
      </w:r>
      <w:r w:rsidRPr="00B96201">
        <w:rPr>
          <w:lang w:val="en-GB"/>
        </w:rPr>
        <w:t xml:space="preserve">selected </w:t>
      </w:r>
      <w:r w:rsidR="004B2A85">
        <w:rPr>
          <w:lang w:val="en-GB"/>
        </w:rPr>
        <w:t>carbon capture</w:t>
      </w:r>
      <w:r w:rsidRPr="00B96201">
        <w:rPr>
          <w:lang w:val="en-GB"/>
        </w:rPr>
        <w:t xml:space="preserve"> technologies </w:t>
      </w:r>
      <w:r>
        <w:rPr>
          <w:lang w:val="en-GB"/>
        </w:rPr>
        <w:t>are</w:t>
      </w:r>
      <w:r w:rsidRPr="00B96201">
        <w:rPr>
          <w:lang w:val="en-GB"/>
        </w:rPr>
        <w:t xml:space="preserve"> optimally integrated with</w:t>
      </w:r>
      <w:r>
        <w:rPr>
          <w:lang w:val="en-GB"/>
        </w:rPr>
        <w:t>in</w:t>
      </w:r>
      <w:r w:rsidRPr="00B96201">
        <w:rPr>
          <w:lang w:val="en-GB"/>
        </w:rPr>
        <w:t xml:space="preserve"> the in-situ plants to maximi</w:t>
      </w:r>
      <w:r w:rsidR="004769D4">
        <w:rPr>
          <w:lang w:val="en-GB"/>
        </w:rPr>
        <w:t>s</w:t>
      </w:r>
      <w:r w:rsidRPr="00B96201">
        <w:rPr>
          <w:lang w:val="en-GB"/>
        </w:rPr>
        <w:t>e synergies that improve the overall effici</w:t>
      </w:r>
      <w:r>
        <w:rPr>
          <w:lang w:val="en-GB"/>
        </w:rPr>
        <w:t xml:space="preserve">ency of the combined operations. </w:t>
      </w:r>
      <w:r w:rsidRPr="00B96201">
        <w:rPr>
          <w:lang w:val="en-GB"/>
        </w:rPr>
        <w:t>Impact analys</w:t>
      </w:r>
      <w:r>
        <w:rPr>
          <w:lang w:val="en-GB"/>
        </w:rPr>
        <w:t>i</w:t>
      </w:r>
      <w:r w:rsidRPr="00B96201">
        <w:rPr>
          <w:lang w:val="en-GB"/>
        </w:rPr>
        <w:t xml:space="preserve">s </w:t>
      </w:r>
      <w:r>
        <w:rPr>
          <w:lang w:val="en-GB"/>
        </w:rPr>
        <w:t>is</w:t>
      </w:r>
      <w:r w:rsidRPr="00B96201">
        <w:rPr>
          <w:lang w:val="en-GB"/>
        </w:rPr>
        <w:t xml:space="preserve"> performed for the different scenarios, to evaluate the energy and environmental benefits associated with the optimal integration of in-situ facilities, with and without </w:t>
      </w:r>
      <w:r w:rsidR="004B2A85">
        <w:rPr>
          <w:lang w:val="en-GB"/>
        </w:rPr>
        <w:t>carbon</w:t>
      </w:r>
      <w:r w:rsidRPr="00B96201">
        <w:rPr>
          <w:lang w:val="en-GB"/>
        </w:rPr>
        <w:t xml:space="preserve"> capture.</w:t>
      </w:r>
      <w:r w:rsidR="000A5FDC">
        <w:rPr>
          <w:lang w:val="en-GB"/>
        </w:rPr>
        <w:t xml:space="preserve"> </w:t>
      </w:r>
    </w:p>
    <w:p w14:paraId="3EB37ECC" w14:textId="77777777" w:rsidR="00FC48E5" w:rsidRPr="0076248A" w:rsidRDefault="00F753DB" w:rsidP="00FC48E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 xml:space="preserve">Process and technology assessment </w:t>
      </w:r>
    </w:p>
    <w:p w14:paraId="0714383F" w14:textId="77777777" w:rsidR="00600535" w:rsidRPr="00B57B36" w:rsidRDefault="00F753DB" w:rsidP="00FA5F5F">
      <w:pPr>
        <w:pStyle w:val="CETheadingx"/>
      </w:pPr>
      <w:r>
        <w:t xml:space="preserve">SAGD configurations </w:t>
      </w:r>
    </w:p>
    <w:p w14:paraId="2DBE7E16" w14:textId="674E814E" w:rsidR="00F753DB" w:rsidRDefault="00B737C6" w:rsidP="00B737C6">
      <w:pPr>
        <w:pStyle w:val="CETBodytext"/>
        <w:rPr>
          <w:lang w:val="en-GB"/>
        </w:rPr>
      </w:pPr>
      <w:r w:rsidRPr="00FA2C3A">
        <w:rPr>
          <w:lang w:val="en-GB"/>
        </w:rPr>
        <w:t>In SAGD</w:t>
      </w:r>
      <w:r>
        <w:rPr>
          <w:lang w:val="en-GB"/>
        </w:rPr>
        <w:t xml:space="preserve"> process, </w:t>
      </w:r>
      <w:r w:rsidRPr="00FA2C3A">
        <w:rPr>
          <w:lang w:val="en-GB"/>
        </w:rPr>
        <w:t xml:space="preserve">large amounts of </w:t>
      </w:r>
      <w:r w:rsidR="009E76AA">
        <w:rPr>
          <w:lang w:val="en-GB"/>
        </w:rPr>
        <w:t>high pressure (</w:t>
      </w:r>
      <w:r w:rsidRPr="00FA2C3A">
        <w:rPr>
          <w:lang w:val="en-GB"/>
        </w:rPr>
        <w:t>HP</w:t>
      </w:r>
      <w:r w:rsidR="009E76AA">
        <w:rPr>
          <w:lang w:val="en-GB"/>
        </w:rPr>
        <w:t>)</w:t>
      </w:r>
      <w:r w:rsidRPr="00FA2C3A">
        <w:rPr>
          <w:lang w:val="en-GB"/>
        </w:rPr>
        <w:t xml:space="preserve"> steam are p</w:t>
      </w:r>
      <w:r>
        <w:rPr>
          <w:lang w:val="en-GB"/>
        </w:rPr>
        <w:t xml:space="preserve">roduced in the central processing facility (CPF) and injected through </w:t>
      </w:r>
      <w:r w:rsidR="00D1148E">
        <w:rPr>
          <w:lang w:val="en-GB"/>
        </w:rPr>
        <w:t>several</w:t>
      </w:r>
      <w:r w:rsidR="00C934F5">
        <w:rPr>
          <w:lang w:val="en-GB"/>
        </w:rPr>
        <w:t xml:space="preserve"> </w:t>
      </w:r>
      <w:r>
        <w:rPr>
          <w:lang w:val="en-GB"/>
        </w:rPr>
        <w:t xml:space="preserve">wells </w:t>
      </w:r>
      <w:r w:rsidR="00C934F5">
        <w:rPr>
          <w:lang w:val="en-GB"/>
        </w:rPr>
        <w:t>in</w:t>
      </w:r>
      <w:r>
        <w:rPr>
          <w:lang w:val="en-GB"/>
        </w:rPr>
        <w:t xml:space="preserve">to </w:t>
      </w:r>
      <w:r w:rsidR="00C934F5">
        <w:rPr>
          <w:lang w:val="en-GB"/>
        </w:rPr>
        <w:t xml:space="preserve">the reservoir to </w:t>
      </w:r>
      <w:r w:rsidRPr="00FA2C3A">
        <w:rPr>
          <w:lang w:val="en-GB"/>
        </w:rPr>
        <w:t>extract bit</w:t>
      </w:r>
      <w:r>
        <w:rPr>
          <w:lang w:val="en-GB"/>
        </w:rPr>
        <w:t>umen</w:t>
      </w:r>
      <w:r w:rsidR="001B56A6">
        <w:rPr>
          <w:lang w:val="en-GB"/>
        </w:rPr>
        <w:t xml:space="preserve"> (</w:t>
      </w:r>
      <w:r w:rsidR="001B56A6" w:rsidRPr="00E85ACE">
        <w:t>Jac</w:t>
      </w:r>
      <w:r w:rsidR="001B56A6">
        <w:t>o</w:t>
      </w:r>
      <w:r w:rsidR="001B56A6" w:rsidRPr="00E85ACE">
        <w:t>bs,</w:t>
      </w:r>
      <w:r w:rsidR="001B56A6">
        <w:t xml:space="preserve"> 2009)</w:t>
      </w:r>
      <w:r w:rsidR="00C934F5">
        <w:rPr>
          <w:lang w:val="en-GB"/>
        </w:rPr>
        <w:t>. More detail</w:t>
      </w:r>
      <w:r w:rsidR="00D02091">
        <w:rPr>
          <w:lang w:val="en-GB"/>
        </w:rPr>
        <w:t>s about the SAGD process</w:t>
      </w:r>
      <w:r w:rsidR="00C934F5">
        <w:rPr>
          <w:lang w:val="en-GB"/>
        </w:rPr>
        <w:t xml:space="preserve"> can be found in</w:t>
      </w:r>
      <w:r w:rsidR="000347F0">
        <w:rPr>
          <w:lang w:val="en-GB"/>
        </w:rPr>
        <w:t xml:space="preserve"> (</w:t>
      </w:r>
      <w:r w:rsidR="000347F0" w:rsidRPr="000347F0">
        <w:t>Jacobs</w:t>
      </w:r>
      <w:r w:rsidR="000347F0">
        <w:t>, 2012)</w:t>
      </w:r>
      <w:r w:rsidR="00C934F5">
        <w:rPr>
          <w:lang w:val="en-GB"/>
        </w:rPr>
        <w:t>. In this work</w:t>
      </w:r>
      <w:r w:rsidR="00135BDE">
        <w:rPr>
          <w:lang w:val="en-GB"/>
        </w:rPr>
        <w:t>,</w:t>
      </w:r>
      <w:r w:rsidR="00C934F5">
        <w:rPr>
          <w:lang w:val="en-GB"/>
        </w:rPr>
        <w:t xml:space="preserve"> three </w:t>
      </w:r>
      <w:r w:rsidR="00C934F5" w:rsidRPr="006E0DAD">
        <w:rPr>
          <w:lang w:val="en-GB"/>
        </w:rPr>
        <w:t xml:space="preserve">SAGD configurations </w:t>
      </w:r>
      <w:r w:rsidR="00887C7E">
        <w:rPr>
          <w:lang w:val="en-GB"/>
        </w:rPr>
        <w:t xml:space="preserve">that </w:t>
      </w:r>
      <w:r w:rsidR="00C934F5" w:rsidRPr="006E0DAD">
        <w:rPr>
          <w:lang w:val="en-GB"/>
        </w:rPr>
        <w:t>are representative of typical plants currently in operation</w:t>
      </w:r>
      <w:r w:rsidR="00460F92">
        <w:rPr>
          <w:lang w:val="en-GB"/>
        </w:rPr>
        <w:t xml:space="preserve"> </w:t>
      </w:r>
      <w:r w:rsidR="009E76AA">
        <w:rPr>
          <w:lang w:val="en-GB"/>
        </w:rPr>
        <w:t>are considered</w:t>
      </w:r>
      <w:r w:rsidR="00460F92">
        <w:rPr>
          <w:lang w:val="en-GB"/>
        </w:rPr>
        <w:t>, as follows</w:t>
      </w:r>
      <w:r w:rsidR="009E76AA">
        <w:rPr>
          <w:lang w:val="en-GB"/>
        </w:rPr>
        <w:t xml:space="preserve"> (COSIA, 2018)</w:t>
      </w:r>
      <w:r w:rsidR="00460F92">
        <w:rPr>
          <w:lang w:val="en-GB"/>
        </w:rPr>
        <w:t xml:space="preserve">: </w:t>
      </w:r>
    </w:p>
    <w:p w14:paraId="7FF7EA7B" w14:textId="148BD38D" w:rsidR="00460F92" w:rsidRPr="006E0DAD" w:rsidRDefault="00374D36" w:rsidP="00FC0DAF">
      <w:pPr>
        <w:pStyle w:val="CETBodytext"/>
        <w:numPr>
          <w:ilvl w:val="0"/>
          <w:numId w:val="25"/>
        </w:numPr>
        <w:ind w:left="567" w:hanging="283"/>
        <w:rPr>
          <w:lang w:val="en-GB"/>
        </w:rPr>
      </w:pPr>
      <w:r>
        <w:rPr>
          <w:lang w:val="en-GB"/>
        </w:rPr>
        <w:t>Configuration</w:t>
      </w:r>
      <w:r w:rsidR="00460F92">
        <w:rPr>
          <w:lang w:val="en-GB"/>
        </w:rPr>
        <w:t xml:space="preserve"> 1</w:t>
      </w:r>
      <w:r w:rsidR="00460F92" w:rsidRPr="006E0DAD">
        <w:rPr>
          <w:lang w:val="en-GB"/>
        </w:rPr>
        <w:t xml:space="preserve">: Mechanical lift with Warm lime softening and </w:t>
      </w:r>
      <w:r w:rsidR="00317A5D">
        <w:rPr>
          <w:lang w:val="en-GB"/>
        </w:rPr>
        <w:t xml:space="preserve">6 </w:t>
      </w:r>
      <w:r w:rsidR="00460F92">
        <w:rPr>
          <w:lang w:val="en-GB"/>
        </w:rPr>
        <w:t>once-through steam generator</w:t>
      </w:r>
      <w:r w:rsidR="00317A5D">
        <w:rPr>
          <w:lang w:val="en-GB"/>
        </w:rPr>
        <w:t>s</w:t>
      </w:r>
      <w:r w:rsidR="00460F92">
        <w:rPr>
          <w:lang w:val="en-GB"/>
        </w:rPr>
        <w:t xml:space="preserve"> (</w:t>
      </w:r>
      <w:r w:rsidR="00460F92" w:rsidRPr="006E0DAD">
        <w:rPr>
          <w:lang w:val="en-GB"/>
        </w:rPr>
        <w:t>OTSG</w:t>
      </w:r>
      <w:r w:rsidR="00460F92">
        <w:rPr>
          <w:lang w:val="en-GB"/>
        </w:rPr>
        <w:t>)</w:t>
      </w:r>
      <w:r w:rsidR="00133A66">
        <w:rPr>
          <w:lang w:val="en-GB"/>
        </w:rPr>
        <w:t xml:space="preserve"> with 77% steam quality; </w:t>
      </w:r>
    </w:p>
    <w:p w14:paraId="64EB5E60" w14:textId="0645AA24" w:rsidR="00460F92" w:rsidRPr="006E0DAD" w:rsidRDefault="00374D36" w:rsidP="00FC0DAF">
      <w:pPr>
        <w:pStyle w:val="CETBodytext"/>
        <w:numPr>
          <w:ilvl w:val="0"/>
          <w:numId w:val="25"/>
        </w:numPr>
        <w:ind w:left="567" w:hanging="283"/>
        <w:rPr>
          <w:lang w:val="en-GB"/>
        </w:rPr>
      </w:pPr>
      <w:r>
        <w:rPr>
          <w:lang w:val="en-GB"/>
        </w:rPr>
        <w:t>Configuration</w:t>
      </w:r>
      <w:r w:rsidRPr="006E0DAD">
        <w:rPr>
          <w:lang w:val="en-GB"/>
        </w:rPr>
        <w:t xml:space="preserve"> </w:t>
      </w:r>
      <w:r w:rsidR="00460F92" w:rsidRPr="006E0DAD">
        <w:rPr>
          <w:lang w:val="en-GB"/>
        </w:rPr>
        <w:t xml:space="preserve">2: Mechanical lift with Evaporator and </w:t>
      </w:r>
      <w:r w:rsidR="00317A5D">
        <w:rPr>
          <w:lang w:val="en-GB"/>
        </w:rPr>
        <w:t xml:space="preserve">5 </w:t>
      </w:r>
      <w:r w:rsidR="00460F92" w:rsidRPr="006E0DAD">
        <w:rPr>
          <w:lang w:val="en-GB"/>
        </w:rPr>
        <w:t>Drum boiler</w:t>
      </w:r>
      <w:r w:rsidR="00317A5D">
        <w:rPr>
          <w:lang w:val="en-GB"/>
        </w:rPr>
        <w:t>s</w:t>
      </w:r>
      <w:r w:rsidR="00133A66">
        <w:rPr>
          <w:lang w:val="en-GB"/>
        </w:rPr>
        <w:t xml:space="preserve"> with 98% steam quality</w:t>
      </w:r>
      <w:r w:rsidR="00460F92" w:rsidRPr="006E0DAD">
        <w:rPr>
          <w:lang w:val="en-GB"/>
        </w:rPr>
        <w:t>;</w:t>
      </w:r>
    </w:p>
    <w:p w14:paraId="34908615" w14:textId="702D1F3B" w:rsidR="00460F92" w:rsidRDefault="00374D36" w:rsidP="00FC0DAF">
      <w:pPr>
        <w:pStyle w:val="CETBodytext"/>
        <w:numPr>
          <w:ilvl w:val="0"/>
          <w:numId w:val="25"/>
        </w:numPr>
        <w:ind w:left="567" w:hanging="283"/>
        <w:rPr>
          <w:lang w:val="en-GB"/>
        </w:rPr>
      </w:pPr>
      <w:r>
        <w:rPr>
          <w:lang w:val="en-GB"/>
        </w:rPr>
        <w:t>Configuration</w:t>
      </w:r>
      <w:r w:rsidRPr="006E0DAD">
        <w:rPr>
          <w:lang w:val="en-GB"/>
        </w:rPr>
        <w:t xml:space="preserve"> </w:t>
      </w:r>
      <w:r w:rsidR="00460F92" w:rsidRPr="006E0DAD">
        <w:rPr>
          <w:lang w:val="en-GB"/>
        </w:rPr>
        <w:t>3: Mechanical lift w</w:t>
      </w:r>
      <w:r w:rsidR="00460F92">
        <w:rPr>
          <w:lang w:val="en-GB"/>
        </w:rPr>
        <w:t xml:space="preserve">ith Evaporator, </w:t>
      </w:r>
      <w:r w:rsidR="00317A5D">
        <w:rPr>
          <w:lang w:val="en-GB"/>
        </w:rPr>
        <w:t xml:space="preserve">4 </w:t>
      </w:r>
      <w:r w:rsidR="00460F92">
        <w:rPr>
          <w:lang w:val="en-GB"/>
        </w:rPr>
        <w:t>Drum boiler</w:t>
      </w:r>
      <w:r w:rsidR="00317A5D">
        <w:rPr>
          <w:lang w:val="en-GB"/>
        </w:rPr>
        <w:t>s</w:t>
      </w:r>
      <w:r w:rsidR="00460F92">
        <w:rPr>
          <w:lang w:val="en-GB"/>
        </w:rPr>
        <w:t>, and</w:t>
      </w:r>
      <w:r w:rsidR="00460F92" w:rsidRPr="006E0DAD">
        <w:rPr>
          <w:lang w:val="en-GB"/>
        </w:rPr>
        <w:t xml:space="preserve"> </w:t>
      </w:r>
      <w:r w:rsidR="00317A5D">
        <w:rPr>
          <w:lang w:val="en-GB"/>
        </w:rPr>
        <w:t xml:space="preserve">1 </w:t>
      </w:r>
      <w:r w:rsidR="00460F92" w:rsidRPr="006E0DAD">
        <w:rPr>
          <w:lang w:val="en-GB"/>
        </w:rPr>
        <w:t>Cogeneration</w:t>
      </w:r>
      <w:r w:rsidR="00133A66">
        <w:rPr>
          <w:lang w:val="en-GB"/>
        </w:rPr>
        <w:t xml:space="preserve"> </w:t>
      </w:r>
      <w:r w:rsidR="00317A5D">
        <w:rPr>
          <w:lang w:val="en-GB"/>
        </w:rPr>
        <w:t xml:space="preserve">unit </w:t>
      </w:r>
      <w:r w:rsidR="00133A66">
        <w:rPr>
          <w:lang w:val="en-GB"/>
        </w:rPr>
        <w:t>with 98% steam quality</w:t>
      </w:r>
      <w:r w:rsidR="00460F92">
        <w:rPr>
          <w:lang w:val="en-GB"/>
        </w:rPr>
        <w:t xml:space="preserve">. </w:t>
      </w:r>
    </w:p>
    <w:p w14:paraId="3F6F65F3" w14:textId="44EFF333" w:rsidR="00F83080" w:rsidRDefault="009F1A8F" w:rsidP="00F83080">
      <w:pPr>
        <w:pStyle w:val="CETBodytext"/>
        <w:rPr>
          <w:lang w:val="en-GB"/>
        </w:rPr>
      </w:pPr>
      <w:r>
        <w:rPr>
          <w:lang w:val="en-GB"/>
        </w:rPr>
        <w:t xml:space="preserve">Since </w:t>
      </w:r>
      <w:r w:rsidRPr="009F1A8F">
        <w:rPr>
          <w:lang w:val="en-GB"/>
        </w:rPr>
        <w:t xml:space="preserve">SAGD </w:t>
      </w:r>
      <w:r>
        <w:rPr>
          <w:lang w:val="en-GB"/>
        </w:rPr>
        <w:t>plants are energy-intensive and</w:t>
      </w:r>
      <w:r w:rsidRPr="009F1A8F">
        <w:rPr>
          <w:lang w:val="en-GB"/>
        </w:rPr>
        <w:t xml:space="preserve"> </w:t>
      </w:r>
      <w:r>
        <w:rPr>
          <w:lang w:val="en-GB"/>
        </w:rPr>
        <w:t>often has limited</w:t>
      </w:r>
      <w:r w:rsidRPr="009F1A8F">
        <w:rPr>
          <w:lang w:val="en-GB"/>
        </w:rPr>
        <w:t xml:space="preserve"> access to water, the process is designed for energy efficiency and water conservation.</w:t>
      </w:r>
      <w:r>
        <w:rPr>
          <w:lang w:val="en-GB"/>
        </w:rPr>
        <w:t xml:space="preserve"> </w:t>
      </w:r>
      <w:r w:rsidR="008D4BF2" w:rsidRPr="0053218F">
        <w:rPr>
          <w:lang w:val="en-GB"/>
        </w:rPr>
        <w:t>In the</w:t>
      </w:r>
      <w:r w:rsidR="008D4BF2">
        <w:rPr>
          <w:lang w:val="en-GB"/>
        </w:rPr>
        <w:t xml:space="preserve"> three </w:t>
      </w:r>
      <w:r w:rsidR="008D4BF2" w:rsidRPr="0053218F">
        <w:rPr>
          <w:lang w:val="en-GB"/>
        </w:rPr>
        <w:t>configuration</w:t>
      </w:r>
      <w:r w:rsidR="008D4BF2">
        <w:rPr>
          <w:lang w:val="en-GB"/>
        </w:rPr>
        <w:t>s</w:t>
      </w:r>
      <w:r w:rsidR="008D4BF2" w:rsidRPr="0053218F">
        <w:rPr>
          <w:lang w:val="en-GB"/>
        </w:rPr>
        <w:t xml:space="preserve"> analy</w:t>
      </w:r>
      <w:r w:rsidR="00494935">
        <w:rPr>
          <w:lang w:val="en-GB"/>
        </w:rPr>
        <w:t>s</w:t>
      </w:r>
      <w:r w:rsidR="009C5941">
        <w:rPr>
          <w:lang w:val="en-GB"/>
        </w:rPr>
        <w:t>ed, b</w:t>
      </w:r>
      <w:r w:rsidR="00F83080">
        <w:rPr>
          <w:lang w:val="en-GB"/>
        </w:rPr>
        <w:t xml:space="preserve">esides direct heat exchangers, a </w:t>
      </w:r>
      <w:r w:rsidR="00F83080" w:rsidRPr="0053218F">
        <w:rPr>
          <w:lang w:val="en-GB"/>
        </w:rPr>
        <w:t>large glycol circuit is also</w:t>
      </w:r>
      <w:r w:rsidR="00F83080">
        <w:rPr>
          <w:lang w:val="en-GB"/>
        </w:rPr>
        <w:t xml:space="preserve"> </w:t>
      </w:r>
      <w:r w:rsidR="00F83080" w:rsidRPr="0053218F">
        <w:rPr>
          <w:lang w:val="en-GB"/>
        </w:rPr>
        <w:t xml:space="preserve">employed </w:t>
      </w:r>
      <w:r w:rsidR="009C5941">
        <w:rPr>
          <w:lang w:val="en-GB"/>
        </w:rPr>
        <w:t>to</w:t>
      </w:r>
      <w:r w:rsidR="00F83080" w:rsidRPr="0053218F">
        <w:rPr>
          <w:lang w:val="en-GB"/>
        </w:rPr>
        <w:t xml:space="preserve"> transfer </w:t>
      </w:r>
      <w:r w:rsidR="009C5941">
        <w:rPr>
          <w:lang w:val="en-GB"/>
        </w:rPr>
        <w:t>heat throughout</w:t>
      </w:r>
      <w:r w:rsidR="00F83080" w:rsidRPr="0053218F">
        <w:rPr>
          <w:lang w:val="en-GB"/>
        </w:rPr>
        <w:t xml:space="preserve"> </w:t>
      </w:r>
      <w:r w:rsidR="00F83080">
        <w:rPr>
          <w:lang w:val="en-GB"/>
        </w:rPr>
        <w:t>the plant</w:t>
      </w:r>
      <w:r w:rsidR="009C5941">
        <w:rPr>
          <w:lang w:val="en-GB"/>
        </w:rPr>
        <w:t xml:space="preserve"> where heat </w:t>
      </w:r>
      <w:r w:rsidR="009C5941" w:rsidRPr="0053218F">
        <w:rPr>
          <w:lang w:val="en-GB"/>
        </w:rPr>
        <w:t>in the hot</w:t>
      </w:r>
      <w:r w:rsidR="009C5941">
        <w:rPr>
          <w:lang w:val="en-GB"/>
        </w:rPr>
        <w:t xml:space="preserve"> </w:t>
      </w:r>
      <w:r w:rsidR="009C5941" w:rsidRPr="0053218F">
        <w:rPr>
          <w:lang w:val="en-GB"/>
        </w:rPr>
        <w:t xml:space="preserve">process streams is </w:t>
      </w:r>
      <w:r w:rsidR="009C5941">
        <w:rPr>
          <w:lang w:val="en-GB"/>
        </w:rPr>
        <w:t>used</w:t>
      </w:r>
      <w:r w:rsidR="009C5941" w:rsidRPr="0053218F">
        <w:rPr>
          <w:lang w:val="en-GB"/>
        </w:rPr>
        <w:t xml:space="preserve"> to preheat cold process streams,</w:t>
      </w:r>
      <w:r w:rsidR="009C5941">
        <w:rPr>
          <w:lang w:val="en-GB"/>
        </w:rPr>
        <w:t xml:space="preserve"> mostly boiler feedwater (BFW)</w:t>
      </w:r>
      <w:r w:rsidR="00F83080" w:rsidRPr="0053218F">
        <w:rPr>
          <w:lang w:val="en-GB"/>
        </w:rPr>
        <w:t>.</w:t>
      </w:r>
      <w:r w:rsidR="00F83080">
        <w:rPr>
          <w:lang w:val="en-GB"/>
        </w:rPr>
        <w:t xml:space="preserve"> Although the use of glycol </w:t>
      </w:r>
      <w:r w:rsidR="009C5941">
        <w:rPr>
          <w:lang w:val="en-GB"/>
        </w:rPr>
        <w:t xml:space="preserve">as heat transfer medium </w:t>
      </w:r>
      <w:r w:rsidR="00F83080">
        <w:rPr>
          <w:lang w:val="en-GB"/>
        </w:rPr>
        <w:t xml:space="preserve">in SAGD processes is common due to the flexibility in operation, </w:t>
      </w:r>
      <w:r w:rsidR="00F83080" w:rsidRPr="0053218F">
        <w:rPr>
          <w:lang w:val="en-GB"/>
        </w:rPr>
        <w:t xml:space="preserve">glycol systems </w:t>
      </w:r>
      <w:r w:rsidR="009C5941">
        <w:rPr>
          <w:lang w:val="en-GB"/>
        </w:rPr>
        <w:t>introduce inefficiencies</w:t>
      </w:r>
      <w:r w:rsidR="00F83080" w:rsidRPr="00AF1091">
        <w:rPr>
          <w:lang w:val="en-GB"/>
        </w:rPr>
        <w:t xml:space="preserve"> </w:t>
      </w:r>
      <w:r w:rsidR="00F83080" w:rsidRPr="0053218F">
        <w:rPr>
          <w:lang w:val="en-GB"/>
        </w:rPr>
        <w:t>from a heat recovery</w:t>
      </w:r>
      <w:r w:rsidR="00F83080">
        <w:rPr>
          <w:lang w:val="en-GB"/>
        </w:rPr>
        <w:t xml:space="preserve"> </w:t>
      </w:r>
      <w:r w:rsidR="00FC0DAF">
        <w:rPr>
          <w:lang w:val="en-GB"/>
        </w:rPr>
        <w:t>standpoint</w:t>
      </w:r>
      <w:r w:rsidR="00F83080">
        <w:rPr>
          <w:lang w:val="en-GB"/>
        </w:rPr>
        <w:t xml:space="preserve">. Glycol heat recovery loops transfer heat </w:t>
      </w:r>
      <w:r w:rsidR="00F83080" w:rsidRPr="0053218F">
        <w:rPr>
          <w:lang w:val="en-GB"/>
        </w:rPr>
        <w:t>several</w:t>
      </w:r>
      <w:r w:rsidR="00F83080">
        <w:rPr>
          <w:lang w:val="en-GB"/>
        </w:rPr>
        <w:t xml:space="preserve"> </w:t>
      </w:r>
      <w:r w:rsidR="00F83080" w:rsidRPr="0053218F">
        <w:rPr>
          <w:lang w:val="en-GB"/>
        </w:rPr>
        <w:t>times</w:t>
      </w:r>
      <w:r w:rsidR="00F83080">
        <w:rPr>
          <w:lang w:val="en-GB"/>
        </w:rPr>
        <w:t xml:space="preserve"> that tends to </w:t>
      </w:r>
      <w:r w:rsidR="00F83080" w:rsidRPr="0053218F">
        <w:rPr>
          <w:lang w:val="en-GB"/>
        </w:rPr>
        <w:t xml:space="preserve">lower </w:t>
      </w:r>
      <w:r w:rsidR="00F83080">
        <w:rPr>
          <w:lang w:val="en-GB"/>
        </w:rPr>
        <w:t xml:space="preserve">the </w:t>
      </w:r>
      <w:r w:rsidR="00F83080" w:rsidRPr="0053218F">
        <w:rPr>
          <w:lang w:val="en-GB"/>
        </w:rPr>
        <w:t>heat quality</w:t>
      </w:r>
      <w:r w:rsidR="00F83080">
        <w:rPr>
          <w:lang w:val="en-GB"/>
        </w:rPr>
        <w:t xml:space="preserve"> and reduce </w:t>
      </w:r>
      <w:r w:rsidR="00F83080" w:rsidRPr="0053218F">
        <w:rPr>
          <w:lang w:val="en-GB"/>
        </w:rPr>
        <w:t>the heat recovery</w:t>
      </w:r>
      <w:r w:rsidR="00F83080">
        <w:rPr>
          <w:lang w:val="en-GB"/>
        </w:rPr>
        <w:t xml:space="preserve"> </w:t>
      </w:r>
      <w:r w:rsidR="00F83080" w:rsidRPr="0053218F">
        <w:rPr>
          <w:lang w:val="en-GB"/>
        </w:rPr>
        <w:t>potential</w:t>
      </w:r>
      <w:r w:rsidR="00F83080">
        <w:rPr>
          <w:lang w:val="en-GB"/>
        </w:rPr>
        <w:t xml:space="preserve"> (</w:t>
      </w:r>
      <w:r w:rsidR="00F83080" w:rsidRPr="005B59D2">
        <w:t>Suncor Energy and Jacobs</w:t>
      </w:r>
      <w:r w:rsidR="00F83080">
        <w:t>, 2012)</w:t>
      </w:r>
      <w:r w:rsidR="00F83080">
        <w:rPr>
          <w:lang w:val="en-GB"/>
        </w:rPr>
        <w:t xml:space="preserve">. However, </w:t>
      </w:r>
      <w:r w:rsidR="00F83080" w:rsidRPr="0053218F">
        <w:rPr>
          <w:lang w:val="en-GB"/>
        </w:rPr>
        <w:t>in conservative design practices</w:t>
      </w:r>
      <w:r w:rsidR="00F83080">
        <w:rPr>
          <w:lang w:val="en-GB"/>
        </w:rPr>
        <w:t xml:space="preserve">, </w:t>
      </w:r>
      <w:r w:rsidR="00F83080" w:rsidRPr="0053218F">
        <w:rPr>
          <w:lang w:val="en-GB"/>
        </w:rPr>
        <w:t>the use of a heat transfer loop finds its</w:t>
      </w:r>
      <w:r w:rsidR="00F83080">
        <w:rPr>
          <w:lang w:val="en-GB"/>
        </w:rPr>
        <w:t xml:space="preserve"> </w:t>
      </w:r>
      <w:r w:rsidR="00F83080" w:rsidRPr="0053218F">
        <w:rPr>
          <w:lang w:val="en-GB"/>
        </w:rPr>
        <w:t>rationale</w:t>
      </w:r>
      <w:r w:rsidR="00F83080">
        <w:rPr>
          <w:lang w:val="en-GB"/>
        </w:rPr>
        <w:t xml:space="preserve"> </w:t>
      </w:r>
      <w:r w:rsidR="00F83080" w:rsidRPr="0053218F">
        <w:rPr>
          <w:lang w:val="en-GB"/>
        </w:rPr>
        <w:t>as an intermediate mean</w:t>
      </w:r>
      <w:r w:rsidR="004769D4">
        <w:rPr>
          <w:lang w:val="en-GB"/>
        </w:rPr>
        <w:t>s</w:t>
      </w:r>
      <w:r w:rsidR="00F83080" w:rsidRPr="0053218F">
        <w:rPr>
          <w:lang w:val="en-GB"/>
        </w:rPr>
        <w:t xml:space="preserve"> for heat transfer</w:t>
      </w:r>
      <w:r w:rsidR="00F83080">
        <w:rPr>
          <w:lang w:val="en-GB"/>
        </w:rPr>
        <w:t xml:space="preserve">. In this study, the efforts are to </w:t>
      </w:r>
      <w:r w:rsidR="00F83080" w:rsidRPr="0053218F">
        <w:rPr>
          <w:lang w:val="en-GB"/>
        </w:rPr>
        <w:t>maximi</w:t>
      </w:r>
      <w:r w:rsidR="004769D4">
        <w:rPr>
          <w:lang w:val="en-GB"/>
        </w:rPr>
        <w:t>s</w:t>
      </w:r>
      <w:r w:rsidR="00F83080" w:rsidRPr="0053218F">
        <w:rPr>
          <w:lang w:val="en-GB"/>
        </w:rPr>
        <w:t>e direct</w:t>
      </w:r>
      <w:r w:rsidR="00F83080">
        <w:rPr>
          <w:lang w:val="en-GB"/>
        </w:rPr>
        <w:t xml:space="preserve"> </w:t>
      </w:r>
      <w:r w:rsidR="00F83080" w:rsidRPr="0053218F">
        <w:rPr>
          <w:lang w:val="en-GB"/>
        </w:rPr>
        <w:t>heat recovery</w:t>
      </w:r>
      <w:r w:rsidR="00F83080">
        <w:rPr>
          <w:lang w:val="en-GB"/>
        </w:rPr>
        <w:t xml:space="preserve"> to</w:t>
      </w:r>
      <w:r w:rsidR="00F83080" w:rsidRPr="0053218F">
        <w:rPr>
          <w:lang w:val="en-GB"/>
        </w:rPr>
        <w:t xml:space="preserve"> keep process streams as hot as possible</w:t>
      </w:r>
      <w:r w:rsidR="00F83080">
        <w:rPr>
          <w:lang w:val="en-GB"/>
        </w:rPr>
        <w:t xml:space="preserve"> and </w:t>
      </w:r>
      <w:r w:rsidR="00FC0DAF">
        <w:rPr>
          <w:lang w:val="en-GB"/>
        </w:rPr>
        <w:t xml:space="preserve">to </w:t>
      </w:r>
      <w:r w:rsidR="00F83080">
        <w:rPr>
          <w:lang w:val="en-GB"/>
        </w:rPr>
        <w:t xml:space="preserve">reduce the use of glycol in the process. Figure 1 represents the simplified </w:t>
      </w:r>
      <w:r w:rsidR="00F83080" w:rsidRPr="00142044">
        <w:rPr>
          <w:lang w:val="en-GB"/>
        </w:rPr>
        <w:t>process flow diagram</w:t>
      </w:r>
      <w:r w:rsidR="00133A66">
        <w:rPr>
          <w:lang w:val="en-GB"/>
        </w:rPr>
        <w:t xml:space="preserve"> </w:t>
      </w:r>
      <w:r w:rsidR="00133A66">
        <w:rPr>
          <w:lang w:val="en-GB"/>
        </w:rPr>
        <w:lastRenderedPageBreak/>
        <w:t>of the SAGD process (Configuration</w:t>
      </w:r>
      <w:r w:rsidR="00F83080">
        <w:rPr>
          <w:lang w:val="en-GB"/>
        </w:rPr>
        <w:t xml:space="preserve"> 1) that include</w:t>
      </w:r>
      <w:r w:rsidR="009C5941">
        <w:rPr>
          <w:lang w:val="en-GB"/>
        </w:rPr>
        <w:t>s</w:t>
      </w:r>
      <w:r w:rsidR="00F83080">
        <w:rPr>
          <w:lang w:val="en-GB"/>
        </w:rPr>
        <w:t xml:space="preserve"> </w:t>
      </w:r>
      <w:r w:rsidR="00F83080" w:rsidRPr="00142044">
        <w:rPr>
          <w:lang w:val="en-GB"/>
        </w:rPr>
        <w:t xml:space="preserve">major </w:t>
      </w:r>
      <w:r w:rsidR="009C5941">
        <w:rPr>
          <w:lang w:val="en-GB"/>
        </w:rPr>
        <w:t xml:space="preserve">equipment, </w:t>
      </w:r>
      <w:r w:rsidR="00F83080" w:rsidRPr="00142044">
        <w:rPr>
          <w:lang w:val="en-GB"/>
        </w:rPr>
        <w:t>process streams</w:t>
      </w:r>
      <w:r w:rsidR="00133A66">
        <w:rPr>
          <w:lang w:val="en-GB"/>
        </w:rPr>
        <w:t xml:space="preserve">, </w:t>
      </w:r>
      <w:r w:rsidR="00F83080" w:rsidRPr="00142044">
        <w:rPr>
          <w:lang w:val="en-GB"/>
        </w:rPr>
        <w:t xml:space="preserve">and heat </w:t>
      </w:r>
      <w:r w:rsidR="009C5941">
        <w:rPr>
          <w:lang w:val="en-GB"/>
        </w:rPr>
        <w:t>recovery system</w:t>
      </w:r>
      <w:r w:rsidR="00F83080" w:rsidRPr="00142044">
        <w:rPr>
          <w:lang w:val="en-GB"/>
        </w:rPr>
        <w:t xml:space="preserve"> within the CPF</w:t>
      </w:r>
      <w:r w:rsidR="00F83080">
        <w:rPr>
          <w:lang w:val="en-GB"/>
        </w:rPr>
        <w:t xml:space="preserve">. </w:t>
      </w:r>
    </w:p>
    <w:p w14:paraId="2FA700E2" w14:textId="77777777" w:rsidR="0076248A" w:rsidRDefault="0076248A" w:rsidP="00B13F08">
      <w:pPr>
        <w:pStyle w:val="CETBodytext"/>
        <w:rPr>
          <w:lang w:val="en-GB"/>
        </w:rPr>
      </w:pPr>
    </w:p>
    <w:p w14:paraId="34D99D44" w14:textId="6FA45515" w:rsidR="0076248A" w:rsidRDefault="00E44FD7" w:rsidP="0076248A">
      <w:pPr>
        <w:pStyle w:val="CETBodytext"/>
        <w:rPr>
          <w:lang w:val="en-GB"/>
        </w:rPr>
      </w:pPr>
      <w:r>
        <w:object w:dxaOrig="15030" w:dyaOrig="8116" w14:anchorId="43B1E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36.25pt" o:ole="">
            <v:imagedata r:id="rId14" o:title=""/>
          </v:shape>
          <o:OLEObject Type="Embed" ProgID="Visio.Drawing.15" ShapeID="_x0000_i1025" DrawAspect="Content" ObjectID="_1615375510" r:id="rId15"/>
        </w:object>
      </w:r>
    </w:p>
    <w:p w14:paraId="1B731844" w14:textId="77777777" w:rsidR="0076248A" w:rsidRPr="00B57B36" w:rsidRDefault="0076248A" w:rsidP="0076248A">
      <w:pPr>
        <w:pStyle w:val="CETCaption"/>
      </w:pPr>
      <w:r w:rsidRPr="00B57B36">
        <w:t xml:space="preserve">Figure 1: </w:t>
      </w:r>
      <w:r w:rsidRPr="0076248A">
        <w:t xml:space="preserve">Simplified flow diagram of the </w:t>
      </w:r>
      <w:r w:rsidR="00585525">
        <w:t xml:space="preserve">Base Case </w:t>
      </w:r>
      <w:r w:rsidRPr="0076248A">
        <w:t xml:space="preserve">SAGD process – </w:t>
      </w:r>
      <w:r w:rsidR="00133A66">
        <w:t>Configuration</w:t>
      </w:r>
      <w:r w:rsidRPr="0076248A">
        <w:t xml:space="preserve"> 1 </w:t>
      </w:r>
    </w:p>
    <w:p w14:paraId="2976A506" w14:textId="77777777" w:rsidR="00600535" w:rsidRPr="00B57B36" w:rsidRDefault="00F753DB" w:rsidP="00FA5F5F">
      <w:pPr>
        <w:pStyle w:val="CETheadingx"/>
      </w:pPr>
      <w:r>
        <w:t xml:space="preserve">Carbon capture technologies </w:t>
      </w:r>
    </w:p>
    <w:p w14:paraId="47A5931F" w14:textId="65739EF1" w:rsidR="006E0DAD" w:rsidRDefault="009C5941" w:rsidP="006E0DAD">
      <w:pPr>
        <w:pStyle w:val="CETBodytext"/>
        <w:rPr>
          <w:lang w:val="en-GB"/>
        </w:rPr>
      </w:pPr>
      <w:r>
        <w:rPr>
          <w:lang w:val="en-GB"/>
        </w:rPr>
        <w:t>Carbon capture</w:t>
      </w:r>
      <w:r w:rsidR="00F938F7">
        <w:rPr>
          <w:lang w:val="en-GB"/>
        </w:rPr>
        <w:t xml:space="preserve"> is c</w:t>
      </w:r>
      <w:r w:rsidR="00F938F7" w:rsidRPr="00F938F7">
        <w:rPr>
          <w:lang w:val="en-GB"/>
        </w:rPr>
        <w:t xml:space="preserve">onsidered an important option to dramatically reduce GHG emissions </w:t>
      </w:r>
      <w:r w:rsidR="0071004D" w:rsidRPr="0071004D">
        <w:rPr>
          <w:lang w:val="en-GB"/>
        </w:rPr>
        <w:t>from large industrial combustion systems</w:t>
      </w:r>
      <w:r w:rsidR="0005164F">
        <w:rPr>
          <w:lang w:val="en-GB"/>
        </w:rPr>
        <w:t xml:space="preserve"> such as SAGD</w:t>
      </w:r>
      <w:r w:rsidR="004B1ADA">
        <w:rPr>
          <w:lang w:val="en-GB"/>
        </w:rPr>
        <w:t xml:space="preserve">. </w:t>
      </w:r>
      <w:r w:rsidR="00A647FB">
        <w:rPr>
          <w:lang w:val="en-GB"/>
        </w:rPr>
        <w:t>In this work</w:t>
      </w:r>
      <w:r w:rsidR="00D5711A">
        <w:rPr>
          <w:lang w:val="en-GB"/>
        </w:rPr>
        <w:t>,</w:t>
      </w:r>
      <w:r w:rsidR="00A647FB">
        <w:rPr>
          <w:lang w:val="en-GB"/>
        </w:rPr>
        <w:t xml:space="preserve"> </w:t>
      </w:r>
      <w:r>
        <w:rPr>
          <w:lang w:val="en-GB"/>
        </w:rPr>
        <w:t>three</w:t>
      </w:r>
      <w:r w:rsidR="00A647FB" w:rsidRPr="00A647FB">
        <w:rPr>
          <w:lang w:val="en-GB"/>
        </w:rPr>
        <w:t xml:space="preserve"> </w:t>
      </w:r>
      <w:r w:rsidR="00D5711A">
        <w:rPr>
          <w:lang w:val="en-GB"/>
        </w:rPr>
        <w:t>P</w:t>
      </w:r>
      <w:r w:rsidR="00361B3A">
        <w:rPr>
          <w:lang w:val="en-GB"/>
        </w:rPr>
        <w:t>CC</w:t>
      </w:r>
      <w:r w:rsidR="00A647FB" w:rsidRPr="00A647FB">
        <w:rPr>
          <w:lang w:val="en-GB"/>
        </w:rPr>
        <w:t xml:space="preserve"> technologies </w:t>
      </w:r>
      <w:r>
        <w:rPr>
          <w:lang w:val="en-GB"/>
        </w:rPr>
        <w:t>are</w:t>
      </w:r>
      <w:r w:rsidR="00A647FB" w:rsidRPr="00A647FB">
        <w:rPr>
          <w:lang w:val="en-GB"/>
        </w:rPr>
        <w:t xml:space="preserve"> optimally integrated wi</w:t>
      </w:r>
      <w:r w:rsidR="00055F33">
        <w:rPr>
          <w:lang w:val="en-GB"/>
        </w:rPr>
        <w:t>th the in-situ plants to maximis</w:t>
      </w:r>
      <w:r w:rsidR="00A647FB" w:rsidRPr="00A647FB">
        <w:rPr>
          <w:lang w:val="en-GB"/>
        </w:rPr>
        <w:t>e synergies that will improve the overall efficiency of the combined operations</w:t>
      </w:r>
      <w:r w:rsidR="006527F1">
        <w:rPr>
          <w:lang w:val="en-GB"/>
        </w:rPr>
        <w:t xml:space="preserve">. </w:t>
      </w:r>
      <w:r w:rsidR="00A647FB">
        <w:rPr>
          <w:lang w:val="en-GB"/>
        </w:rPr>
        <w:t>The s</w:t>
      </w:r>
      <w:r w:rsidR="006E0DAD" w:rsidRPr="006E0DAD">
        <w:rPr>
          <w:lang w:val="en-GB"/>
        </w:rPr>
        <w:t>el</w:t>
      </w:r>
      <w:r w:rsidR="00A647FB">
        <w:rPr>
          <w:lang w:val="en-GB"/>
        </w:rPr>
        <w:t xml:space="preserve">ected </w:t>
      </w:r>
      <w:r w:rsidR="00D5711A">
        <w:rPr>
          <w:lang w:val="en-GB"/>
        </w:rPr>
        <w:t>P</w:t>
      </w:r>
      <w:r w:rsidR="00361B3A">
        <w:rPr>
          <w:lang w:val="en-GB"/>
        </w:rPr>
        <w:t>CC</w:t>
      </w:r>
      <w:r w:rsidR="00A647FB">
        <w:rPr>
          <w:lang w:val="en-GB"/>
        </w:rPr>
        <w:t xml:space="preserve"> technologies are: </w:t>
      </w:r>
    </w:p>
    <w:p w14:paraId="3609F217" w14:textId="5542B318" w:rsidR="00FD161D" w:rsidRDefault="00FD161D" w:rsidP="00D5711A">
      <w:pPr>
        <w:pStyle w:val="CETBodytext"/>
        <w:numPr>
          <w:ilvl w:val="0"/>
          <w:numId w:val="26"/>
        </w:numPr>
        <w:ind w:left="567" w:hanging="283"/>
        <w:rPr>
          <w:lang w:val="en-GB"/>
        </w:rPr>
      </w:pPr>
      <w:r>
        <w:rPr>
          <w:lang w:val="en-GB"/>
        </w:rPr>
        <w:t>E</w:t>
      </w:r>
      <w:r w:rsidRPr="008C1468">
        <w:rPr>
          <w:lang w:val="en-GB"/>
        </w:rPr>
        <w:t>nzyme-enabled</w:t>
      </w:r>
      <w:r w:rsidR="006527F1">
        <w:rPr>
          <w:lang w:val="en-GB"/>
        </w:rPr>
        <w:t xml:space="preserve"> so</w:t>
      </w:r>
      <w:r w:rsidR="009C5941">
        <w:rPr>
          <w:lang w:val="en-GB"/>
        </w:rPr>
        <w:t>lvent (absorber + stripper);</w:t>
      </w:r>
      <w:r w:rsidR="006527F1">
        <w:rPr>
          <w:lang w:val="en-GB"/>
        </w:rPr>
        <w:t xml:space="preserve"> regeneration energy: hot water </w:t>
      </w:r>
      <w:r w:rsidR="00CC1902">
        <w:rPr>
          <w:lang w:val="en-GB"/>
        </w:rPr>
        <w:t>(CC</w:t>
      </w:r>
      <w:r w:rsidR="008C4F61">
        <w:rPr>
          <w:lang w:val="en-GB"/>
        </w:rPr>
        <w:t xml:space="preserve"> </w:t>
      </w:r>
      <w:r w:rsidR="00CC1902">
        <w:rPr>
          <w:lang w:val="en-GB"/>
        </w:rPr>
        <w:t>1)</w:t>
      </w:r>
    </w:p>
    <w:p w14:paraId="3699306D" w14:textId="5A93D5B7" w:rsidR="00FD161D" w:rsidRPr="00FD161D" w:rsidRDefault="0044109D" w:rsidP="00D5711A">
      <w:pPr>
        <w:pStyle w:val="CETBodytext"/>
        <w:numPr>
          <w:ilvl w:val="0"/>
          <w:numId w:val="26"/>
        </w:numPr>
        <w:ind w:left="567" w:hanging="283"/>
        <w:rPr>
          <w:lang w:val="en-GB"/>
        </w:rPr>
      </w:pPr>
      <w:r>
        <w:rPr>
          <w:lang w:val="en-GB"/>
        </w:rPr>
        <w:t>Physical sorption</w:t>
      </w:r>
      <w:r w:rsidR="009C5941">
        <w:rPr>
          <w:lang w:val="en-GB"/>
        </w:rPr>
        <w:t>;</w:t>
      </w:r>
      <w:r w:rsidR="006527F1">
        <w:rPr>
          <w:lang w:val="en-GB"/>
        </w:rPr>
        <w:t xml:space="preserve"> regeneration energy: LP steam </w:t>
      </w:r>
      <w:r w:rsidR="00CC1902">
        <w:rPr>
          <w:lang w:val="en-GB"/>
        </w:rPr>
        <w:t>(CC</w:t>
      </w:r>
      <w:r w:rsidR="008C4F61">
        <w:rPr>
          <w:lang w:val="en-GB"/>
        </w:rPr>
        <w:t xml:space="preserve"> </w:t>
      </w:r>
      <w:r w:rsidR="00CC1902">
        <w:rPr>
          <w:lang w:val="en-GB"/>
        </w:rPr>
        <w:t>2)</w:t>
      </w:r>
    </w:p>
    <w:p w14:paraId="2DE397CC" w14:textId="27184E32" w:rsidR="008C1468" w:rsidRDefault="00FD161D" w:rsidP="00D5711A">
      <w:pPr>
        <w:pStyle w:val="CETBodytext"/>
        <w:numPr>
          <w:ilvl w:val="0"/>
          <w:numId w:val="26"/>
        </w:numPr>
        <w:ind w:left="567" w:hanging="283"/>
        <w:rPr>
          <w:lang w:val="en-GB"/>
        </w:rPr>
      </w:pPr>
      <w:r w:rsidRPr="00FD161D">
        <w:rPr>
          <w:lang w:val="en-GB"/>
        </w:rPr>
        <w:t>State-of-the-art amine-based</w:t>
      </w:r>
      <w:r>
        <w:rPr>
          <w:lang w:val="en-GB"/>
        </w:rPr>
        <w:t xml:space="preserve"> </w:t>
      </w:r>
      <w:r w:rsidRPr="00FD161D">
        <w:rPr>
          <w:lang w:val="en-GB"/>
        </w:rPr>
        <w:t>solvent (absorber + stripper)</w:t>
      </w:r>
      <w:r w:rsidR="009C5941">
        <w:rPr>
          <w:lang w:val="en-GB"/>
        </w:rPr>
        <w:t>;</w:t>
      </w:r>
      <w:r w:rsidR="006527F1">
        <w:rPr>
          <w:lang w:val="en-GB"/>
        </w:rPr>
        <w:t xml:space="preserve"> regeneration energy: LP steam </w:t>
      </w:r>
      <w:r w:rsidR="00CC1902">
        <w:rPr>
          <w:lang w:val="en-GB"/>
        </w:rPr>
        <w:t>(CC</w:t>
      </w:r>
      <w:r w:rsidR="008C4F61">
        <w:rPr>
          <w:lang w:val="en-GB"/>
        </w:rPr>
        <w:t xml:space="preserve"> </w:t>
      </w:r>
      <w:r w:rsidR="00CC1902">
        <w:rPr>
          <w:lang w:val="en-GB"/>
        </w:rPr>
        <w:t>3)</w:t>
      </w:r>
    </w:p>
    <w:p w14:paraId="0F432A8E" w14:textId="0F48138F" w:rsidR="00355A07" w:rsidRDefault="00836232" w:rsidP="00130E73">
      <w:pPr>
        <w:pStyle w:val="CETBodytext"/>
        <w:rPr>
          <w:lang w:val="en-GB"/>
        </w:rPr>
      </w:pPr>
      <w:r>
        <w:rPr>
          <w:lang w:val="en-GB"/>
        </w:rPr>
        <w:t xml:space="preserve">In all selected technologies, </w:t>
      </w:r>
      <w:r w:rsidR="00BC1F4F">
        <w:rPr>
          <w:lang w:val="en-GB"/>
        </w:rPr>
        <w:t>655,220 kg/h</w:t>
      </w:r>
      <w:r>
        <w:rPr>
          <w:lang w:val="en-GB"/>
        </w:rPr>
        <w:t xml:space="preserve"> SAGD flue gas </w:t>
      </w:r>
      <w:r w:rsidR="00BC1F4F">
        <w:rPr>
          <w:lang w:val="en-GB"/>
        </w:rPr>
        <w:t xml:space="preserve">(195 </w:t>
      </w:r>
      <w:r w:rsidR="00BC1F4F">
        <w:rPr>
          <w:rFonts w:cs="Arial"/>
          <w:lang w:val="en-GB"/>
        </w:rPr>
        <w:t>°</w:t>
      </w:r>
      <w:r w:rsidR="00BC1F4F">
        <w:rPr>
          <w:lang w:val="en-GB"/>
        </w:rPr>
        <w:t xml:space="preserve">C) </w:t>
      </w:r>
      <w:r>
        <w:rPr>
          <w:lang w:val="en-GB"/>
        </w:rPr>
        <w:t>with 8</w:t>
      </w:r>
      <w:r w:rsidR="00BC1F4F">
        <w:rPr>
          <w:lang w:val="en-GB"/>
        </w:rPr>
        <w:t>.5</w:t>
      </w:r>
      <w:r>
        <w:rPr>
          <w:lang w:val="en-GB"/>
        </w:rPr>
        <w:t>% CO</w:t>
      </w:r>
      <w:r w:rsidRPr="00836232">
        <w:rPr>
          <w:vertAlign w:val="subscript"/>
          <w:lang w:val="en-GB"/>
        </w:rPr>
        <w:t>2</w:t>
      </w:r>
      <w:r>
        <w:rPr>
          <w:lang w:val="en-GB"/>
        </w:rPr>
        <w:t xml:space="preserve"> (wet basis) </w:t>
      </w:r>
      <w:r w:rsidR="00A00765">
        <w:rPr>
          <w:lang w:val="en-GB"/>
        </w:rPr>
        <w:t xml:space="preserve">is </w:t>
      </w:r>
      <w:r w:rsidR="009C5941">
        <w:rPr>
          <w:lang w:val="en-GB"/>
        </w:rPr>
        <w:t>treated with a targeted capture rate of 90%</w:t>
      </w:r>
      <w:r>
        <w:rPr>
          <w:lang w:val="en-GB"/>
        </w:rPr>
        <w:t xml:space="preserve">. </w:t>
      </w:r>
      <w:r w:rsidR="00130E73">
        <w:rPr>
          <w:lang w:val="en-GB"/>
        </w:rPr>
        <w:t>The captured CO</w:t>
      </w:r>
      <w:r w:rsidR="00130E73" w:rsidRPr="00130E73">
        <w:rPr>
          <w:vertAlign w:val="subscript"/>
          <w:lang w:val="en-GB"/>
        </w:rPr>
        <w:t>2</w:t>
      </w:r>
      <w:r w:rsidR="0010396E">
        <w:rPr>
          <w:lang w:val="en-GB"/>
        </w:rPr>
        <w:t xml:space="preserve"> </w:t>
      </w:r>
      <w:r w:rsidR="009C5941">
        <w:rPr>
          <w:lang w:val="en-GB"/>
        </w:rPr>
        <w:t xml:space="preserve">is compressed and dehydrated to 157 bars in </w:t>
      </w:r>
      <w:r w:rsidR="004769D4">
        <w:rPr>
          <w:lang w:val="en-GB"/>
        </w:rPr>
        <w:t xml:space="preserve">a </w:t>
      </w:r>
      <w:r w:rsidR="009C5941">
        <w:rPr>
          <w:lang w:val="en-GB"/>
        </w:rPr>
        <w:t>multi-stage compressor and intercooling system</w:t>
      </w:r>
      <w:r w:rsidR="00DE4667">
        <w:rPr>
          <w:lang w:val="en-GB"/>
        </w:rPr>
        <w:t>. The compressed CO</w:t>
      </w:r>
      <w:r w:rsidR="00DE4667" w:rsidRPr="00DE4667">
        <w:rPr>
          <w:vertAlign w:val="subscript"/>
          <w:lang w:val="en-GB"/>
        </w:rPr>
        <w:t>2</w:t>
      </w:r>
      <w:r w:rsidR="00DE4667">
        <w:rPr>
          <w:lang w:val="en-GB"/>
        </w:rPr>
        <w:t xml:space="preserve"> can be </w:t>
      </w:r>
      <w:r w:rsidR="00DE4667" w:rsidRPr="00DE4667">
        <w:rPr>
          <w:lang w:val="en-GB"/>
        </w:rPr>
        <w:t>pipelined for further use, for example in enhanced oil recovery applications</w:t>
      </w:r>
      <w:r w:rsidR="009C5941">
        <w:rPr>
          <w:lang w:val="en-GB"/>
        </w:rPr>
        <w:t xml:space="preserve"> (EOR)</w:t>
      </w:r>
      <w:r w:rsidR="00DE4667" w:rsidRPr="00DE4667">
        <w:rPr>
          <w:lang w:val="en-GB"/>
        </w:rPr>
        <w:t>, for use in greenhouses or the food and beverage industry, or for conversion to value-added products</w:t>
      </w:r>
      <w:r w:rsidR="00D5711A">
        <w:rPr>
          <w:lang w:val="en-GB"/>
        </w:rPr>
        <w:t xml:space="preserve"> (chemicals and fuels)</w:t>
      </w:r>
      <w:r w:rsidR="00DE4667">
        <w:rPr>
          <w:lang w:val="en-GB"/>
        </w:rPr>
        <w:t xml:space="preserve">. </w:t>
      </w:r>
      <w:r w:rsidR="003439A5">
        <w:rPr>
          <w:lang w:val="en-GB"/>
        </w:rPr>
        <w:t>In the capture plant, some water contained in the flue gas is condensed and can be reused in the SAGD process as make-up water. This study showed that the c</w:t>
      </w:r>
      <w:r w:rsidR="003439A5" w:rsidRPr="00355A07">
        <w:rPr>
          <w:lang w:val="en-GB"/>
        </w:rPr>
        <w:t xml:space="preserve">ondensed water </w:t>
      </w:r>
      <w:r w:rsidR="003439A5">
        <w:rPr>
          <w:lang w:val="en-GB"/>
        </w:rPr>
        <w:t xml:space="preserve">recovered in the carbon capture plant </w:t>
      </w:r>
      <w:r w:rsidR="00D5711A">
        <w:rPr>
          <w:lang w:val="en-GB"/>
        </w:rPr>
        <w:t>could</w:t>
      </w:r>
      <w:r w:rsidR="003439A5">
        <w:rPr>
          <w:lang w:val="en-GB"/>
        </w:rPr>
        <w:t xml:space="preserve"> </w:t>
      </w:r>
      <w:r w:rsidR="003439A5" w:rsidRPr="00355A07">
        <w:rPr>
          <w:lang w:val="en-GB"/>
        </w:rPr>
        <w:t>significantly</w:t>
      </w:r>
      <w:r w:rsidR="00355A07" w:rsidRPr="00355A07">
        <w:rPr>
          <w:lang w:val="en-GB"/>
        </w:rPr>
        <w:t xml:space="preserve"> reduce the SAGD plant make-up water, by 25% to 100%, depending on </w:t>
      </w:r>
      <w:r w:rsidR="00D1148E">
        <w:rPr>
          <w:lang w:val="en-GB"/>
        </w:rPr>
        <w:t xml:space="preserve">the </w:t>
      </w:r>
      <w:r w:rsidR="00355A07" w:rsidRPr="00355A07">
        <w:rPr>
          <w:lang w:val="en-GB"/>
        </w:rPr>
        <w:t xml:space="preserve">SAGD configuration and </w:t>
      </w:r>
      <w:r w:rsidR="00D5711A">
        <w:rPr>
          <w:lang w:val="en-GB"/>
        </w:rPr>
        <w:t xml:space="preserve">the required </w:t>
      </w:r>
      <w:r w:rsidR="00355A07" w:rsidRPr="00355A07">
        <w:rPr>
          <w:lang w:val="en-GB"/>
        </w:rPr>
        <w:t>amount of make-up water</w:t>
      </w:r>
      <w:r w:rsidR="00355A07">
        <w:rPr>
          <w:lang w:val="en-GB"/>
        </w:rPr>
        <w:t>.</w:t>
      </w:r>
      <w:r w:rsidR="00355A07" w:rsidRPr="00355A07">
        <w:rPr>
          <w:lang w:val="en-GB"/>
        </w:rPr>
        <w:t xml:space="preserve"> </w:t>
      </w:r>
      <w:r w:rsidR="00355A07">
        <w:rPr>
          <w:lang w:val="en-GB"/>
        </w:rPr>
        <w:t xml:space="preserve">The cleaned flue gas is then released </w:t>
      </w:r>
      <w:r w:rsidR="00D1148E">
        <w:rPr>
          <w:lang w:val="en-GB"/>
        </w:rPr>
        <w:t>in</w:t>
      </w:r>
      <w:r w:rsidR="00355A07">
        <w:rPr>
          <w:lang w:val="en-GB"/>
        </w:rPr>
        <w:t>to the atmosphere.</w:t>
      </w:r>
    </w:p>
    <w:p w14:paraId="1EC43AF7" w14:textId="34EBE118" w:rsidR="00F753DB" w:rsidRDefault="00F753DB" w:rsidP="00F753DB">
      <w:pPr>
        <w:pStyle w:val="CETHeading1"/>
        <w:rPr>
          <w:lang w:val="en-GB"/>
        </w:rPr>
      </w:pPr>
      <w:r>
        <w:rPr>
          <w:lang w:val="en-GB"/>
        </w:rPr>
        <w:t>Process optimi</w:t>
      </w:r>
      <w:r w:rsidR="00C33293">
        <w:rPr>
          <w:lang w:val="en-GB"/>
        </w:rPr>
        <w:t>s</w:t>
      </w:r>
      <w:r>
        <w:rPr>
          <w:lang w:val="en-GB"/>
        </w:rPr>
        <w:t xml:space="preserve">ation </w:t>
      </w:r>
    </w:p>
    <w:p w14:paraId="6916E41A" w14:textId="5B2D24DE" w:rsidR="00FF3E92" w:rsidRDefault="003439A5" w:rsidP="00FF3E92">
      <w:pPr>
        <w:pStyle w:val="CETBodytext"/>
        <w:rPr>
          <w:lang w:val="en-GB"/>
        </w:rPr>
      </w:pPr>
      <w:r>
        <w:rPr>
          <w:lang w:val="en-GB"/>
        </w:rPr>
        <w:t>The three selected SAGD configurations were simulated using Aspen HYSYS</w:t>
      </w:r>
      <w:r w:rsidRPr="001A1B05">
        <w:rPr>
          <w:vertAlign w:val="superscript"/>
        </w:rPr>
        <w:t>®</w:t>
      </w:r>
      <w:r>
        <w:rPr>
          <w:lang w:val="en-GB"/>
        </w:rPr>
        <w:t xml:space="preserve">. Then, CanmetENERGY’s INTEGRATION and COGEN software were used </w:t>
      </w:r>
      <w:r w:rsidRPr="00A01AA9">
        <w:rPr>
          <w:lang w:val="en-GB"/>
        </w:rPr>
        <w:t xml:space="preserve">to </w:t>
      </w:r>
      <w:r>
        <w:rPr>
          <w:lang w:val="en-GB"/>
        </w:rPr>
        <w:t>analyse the exi</w:t>
      </w:r>
      <w:r w:rsidR="00090ED3">
        <w:rPr>
          <w:lang w:val="en-GB"/>
        </w:rPr>
        <w:t>s</w:t>
      </w:r>
      <w:r>
        <w:rPr>
          <w:lang w:val="en-GB"/>
        </w:rPr>
        <w:t>ting heat recovery system, identify energy use inefficiencies in the process</w:t>
      </w:r>
      <w:r w:rsidRPr="0001243B">
        <w:rPr>
          <w:lang w:val="en-GB"/>
        </w:rPr>
        <w:t xml:space="preserve"> </w:t>
      </w:r>
      <w:r>
        <w:rPr>
          <w:lang w:val="en-GB"/>
        </w:rPr>
        <w:t xml:space="preserve">and develop design solutions to improve heat recovery </w:t>
      </w:r>
      <w:r w:rsidRPr="0001243B">
        <w:rPr>
          <w:lang w:val="en-GB"/>
        </w:rPr>
        <w:t>(</w:t>
      </w:r>
      <w:r>
        <w:t>NRCan, 2015)</w:t>
      </w:r>
      <w:r>
        <w:rPr>
          <w:lang w:val="en-GB"/>
        </w:rPr>
        <w:t>.</w:t>
      </w:r>
    </w:p>
    <w:p w14:paraId="2E39B980" w14:textId="6E927E12" w:rsidR="00F753DB" w:rsidRPr="00B57B36" w:rsidRDefault="00F753DB" w:rsidP="00F753DB">
      <w:pPr>
        <w:pStyle w:val="CETheadingx"/>
      </w:pPr>
      <w:r>
        <w:t>Heat recovery optimi</w:t>
      </w:r>
      <w:r w:rsidR="00C33293">
        <w:t>s</w:t>
      </w:r>
      <w:r>
        <w:t xml:space="preserve">ation in SAGD process  </w:t>
      </w:r>
    </w:p>
    <w:p w14:paraId="778E273B" w14:textId="13CCAE12" w:rsidR="00287490" w:rsidRDefault="003439A5" w:rsidP="003222D5">
      <w:pPr>
        <w:pStyle w:val="CETBodytext"/>
        <w:rPr>
          <w:lang w:val="en-GB"/>
        </w:rPr>
      </w:pPr>
      <w:r>
        <w:rPr>
          <w:lang w:val="en-GB"/>
        </w:rPr>
        <w:t>Pinch Analysis was used to improve the energy integ</w:t>
      </w:r>
      <w:r w:rsidR="00797819">
        <w:rPr>
          <w:lang w:val="en-GB"/>
        </w:rPr>
        <w:t>ration of the three SAGD plants</w:t>
      </w:r>
      <w:r>
        <w:rPr>
          <w:lang w:val="en-GB"/>
        </w:rPr>
        <w:t>. For each configuration, process data (i.e. flowrates, temperatures</w:t>
      </w:r>
      <w:r w:rsidR="00797819">
        <w:rPr>
          <w:lang w:val="en-GB"/>
        </w:rPr>
        <w:t xml:space="preserve">, and enthalpy) were collected, </w:t>
      </w:r>
      <w:r>
        <w:rPr>
          <w:lang w:val="en-GB"/>
        </w:rPr>
        <w:t xml:space="preserve">and </w:t>
      </w:r>
      <w:r w:rsidRPr="001E6653">
        <w:rPr>
          <w:lang w:val="en-GB"/>
        </w:rPr>
        <w:t>energy and</w:t>
      </w:r>
      <w:r>
        <w:rPr>
          <w:lang w:val="en-GB"/>
        </w:rPr>
        <w:t xml:space="preserve"> </w:t>
      </w:r>
      <w:r w:rsidRPr="001E6653">
        <w:rPr>
          <w:lang w:val="en-GB"/>
        </w:rPr>
        <w:t>material balances</w:t>
      </w:r>
      <w:r>
        <w:rPr>
          <w:lang w:val="en-GB"/>
        </w:rPr>
        <w:t xml:space="preserve"> were performed for the existing heat exchangers networks. The flue gas from OTSGs, drum boilers, and cogeneration systems, rejected </w:t>
      </w:r>
      <w:r w:rsidR="00D1148E">
        <w:rPr>
          <w:lang w:val="en-GB"/>
        </w:rPr>
        <w:t>in</w:t>
      </w:r>
      <w:r>
        <w:rPr>
          <w:lang w:val="en-GB"/>
        </w:rPr>
        <w:t xml:space="preserve">to the atmosphere at high temperature in the base </w:t>
      </w:r>
      <w:r w:rsidR="00797819">
        <w:rPr>
          <w:lang w:val="en-GB"/>
        </w:rPr>
        <w:t>case designs</w:t>
      </w:r>
      <w:r>
        <w:rPr>
          <w:lang w:val="en-GB"/>
        </w:rPr>
        <w:t xml:space="preserve">, was considered as a source with </w:t>
      </w:r>
      <w:r w:rsidRPr="001E6653">
        <w:rPr>
          <w:lang w:val="en-GB"/>
        </w:rPr>
        <w:t>high-quality</w:t>
      </w:r>
      <w:r>
        <w:rPr>
          <w:lang w:val="en-GB"/>
        </w:rPr>
        <w:t xml:space="preserve"> </w:t>
      </w:r>
      <w:r w:rsidRPr="001E6653">
        <w:rPr>
          <w:lang w:val="en-GB"/>
        </w:rPr>
        <w:t>energy</w:t>
      </w:r>
      <w:r>
        <w:rPr>
          <w:lang w:val="en-GB"/>
        </w:rPr>
        <w:t xml:space="preserve"> </w:t>
      </w:r>
      <w:r w:rsidRPr="001E6653">
        <w:rPr>
          <w:lang w:val="en-GB"/>
        </w:rPr>
        <w:t>for heat recovery</w:t>
      </w:r>
      <w:r>
        <w:rPr>
          <w:lang w:val="en-GB"/>
        </w:rPr>
        <w:t xml:space="preserve">. In order to avoid </w:t>
      </w:r>
      <w:r w:rsidRPr="001E6653">
        <w:rPr>
          <w:lang w:val="en-GB"/>
        </w:rPr>
        <w:t>overestimating the available energy for heat recovery</w:t>
      </w:r>
      <w:r w:rsidR="00090ED3">
        <w:rPr>
          <w:lang w:val="en-GB"/>
        </w:rPr>
        <w:t>, it wa</w:t>
      </w:r>
      <w:r>
        <w:rPr>
          <w:lang w:val="en-GB"/>
        </w:rPr>
        <w:t xml:space="preserve">s assumed that the flue gas temperature is always 25 </w:t>
      </w:r>
      <w:r>
        <w:rPr>
          <w:rFonts w:cs="Arial"/>
          <w:lang w:val="en-GB"/>
        </w:rPr>
        <w:t>°</w:t>
      </w:r>
      <w:r>
        <w:rPr>
          <w:lang w:val="en-GB"/>
        </w:rPr>
        <w:t xml:space="preserve">C above the boiler feedwater inlet temperature. It was also assumed that the </w:t>
      </w:r>
      <w:r w:rsidR="006B3DCE">
        <w:rPr>
          <w:lang w:val="en-GB"/>
        </w:rPr>
        <w:t xml:space="preserve">OTSG and drum boiler </w:t>
      </w:r>
      <w:r>
        <w:rPr>
          <w:lang w:val="en-GB"/>
        </w:rPr>
        <w:t xml:space="preserve">combustion air </w:t>
      </w:r>
      <w:r w:rsidR="00797819">
        <w:rPr>
          <w:lang w:val="en-GB"/>
        </w:rPr>
        <w:t>could</w:t>
      </w:r>
      <w:r>
        <w:rPr>
          <w:lang w:val="en-GB"/>
        </w:rPr>
        <w:t xml:space="preserve"> be heated up to 175 </w:t>
      </w:r>
      <w:r>
        <w:rPr>
          <w:rFonts w:cs="Arial"/>
          <w:lang w:val="en-GB"/>
        </w:rPr>
        <w:t>°</w:t>
      </w:r>
      <w:r>
        <w:rPr>
          <w:lang w:val="en-GB"/>
        </w:rPr>
        <w:t xml:space="preserve">C </w:t>
      </w:r>
      <w:r w:rsidRPr="001E6653">
        <w:rPr>
          <w:lang w:val="en-GB"/>
        </w:rPr>
        <w:t>with no negative effect on NO</w:t>
      </w:r>
      <w:r>
        <w:rPr>
          <w:vertAlign w:val="subscript"/>
          <w:lang w:val="en-GB"/>
        </w:rPr>
        <w:t>X</w:t>
      </w:r>
      <w:r w:rsidRPr="001E6653">
        <w:rPr>
          <w:lang w:val="en-GB"/>
        </w:rPr>
        <w:t xml:space="preserve"> emissions</w:t>
      </w:r>
      <w:r>
        <w:rPr>
          <w:lang w:val="en-GB"/>
        </w:rPr>
        <w:t xml:space="preserve">. It is worth saying that the improved heat recovery not only identified </w:t>
      </w:r>
      <w:r w:rsidRPr="001E6653">
        <w:rPr>
          <w:lang w:val="en-GB"/>
        </w:rPr>
        <w:t>opportunities</w:t>
      </w:r>
      <w:r>
        <w:rPr>
          <w:lang w:val="en-GB"/>
        </w:rPr>
        <w:t xml:space="preserve"> </w:t>
      </w:r>
      <w:r w:rsidRPr="001E6653">
        <w:rPr>
          <w:lang w:val="en-GB"/>
        </w:rPr>
        <w:t>to reduce natural gas use</w:t>
      </w:r>
      <w:r>
        <w:rPr>
          <w:lang w:val="en-GB"/>
        </w:rPr>
        <w:t xml:space="preserve"> for steam generation but also found ways to reduce the glycol usage in the plant. </w:t>
      </w:r>
      <w:r w:rsidRPr="00D47767">
        <w:rPr>
          <w:lang w:val="en-GB"/>
        </w:rPr>
        <w:t>Opportunities for increasing</w:t>
      </w:r>
      <w:r>
        <w:rPr>
          <w:lang w:val="en-GB"/>
        </w:rPr>
        <w:t xml:space="preserve"> </w:t>
      </w:r>
      <w:r w:rsidRPr="00D47767">
        <w:rPr>
          <w:lang w:val="en-GB"/>
        </w:rPr>
        <w:t>energy efficiency</w:t>
      </w:r>
      <w:r>
        <w:rPr>
          <w:lang w:val="en-GB"/>
        </w:rPr>
        <w:t xml:space="preserve"> in the three cases are presented in Table 1. A detailed heat integration of the SAGD process Configuration 1 is presented in Ashrafi et al. (2016). </w:t>
      </w:r>
      <w:r w:rsidR="00EC3F0D">
        <w:rPr>
          <w:lang w:val="en-GB"/>
        </w:rPr>
        <w:t xml:space="preserve"> </w:t>
      </w:r>
    </w:p>
    <w:p w14:paraId="23840A6E" w14:textId="77777777" w:rsidR="003222D5" w:rsidRPr="00B57B36" w:rsidRDefault="003222D5" w:rsidP="003222D5">
      <w:pPr>
        <w:pStyle w:val="CETTabletitle"/>
      </w:pPr>
      <w:r>
        <w:t xml:space="preserve">Table </w:t>
      </w:r>
      <w:r w:rsidR="00BC1F4F">
        <w:t>1</w:t>
      </w:r>
      <w:r w:rsidRPr="00B57B36">
        <w:t xml:space="preserve">: </w:t>
      </w:r>
      <w:r>
        <w:t xml:space="preserve">Results of the Pinch Analysis on the three SAGD configurations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709"/>
        <w:gridCol w:w="1321"/>
        <w:gridCol w:w="1370"/>
        <w:gridCol w:w="1320"/>
      </w:tblGrid>
      <w:tr w:rsidR="003222D5" w:rsidRPr="00B57B36" w14:paraId="715F0D21" w14:textId="77777777" w:rsidTr="00797819">
        <w:tc>
          <w:tcPr>
            <w:tcW w:w="297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B90EB84" w14:textId="77777777" w:rsidR="003222D5" w:rsidRPr="00B57B36" w:rsidRDefault="003222D5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Parameter 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1A7DA5B" w14:textId="77777777" w:rsidR="003222D5" w:rsidRPr="00B57B36" w:rsidRDefault="003222D5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Unit</w:t>
            </w:r>
          </w:p>
        </w:tc>
        <w:tc>
          <w:tcPr>
            <w:tcW w:w="132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F709FC3" w14:textId="77777777" w:rsidR="003222D5" w:rsidRPr="00B57B36" w:rsidRDefault="00E61BBE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Configuration</w:t>
            </w:r>
            <w:r w:rsidR="003222D5">
              <w:rPr>
                <w:lang w:val="en-GB"/>
              </w:rPr>
              <w:t xml:space="preserve"> 1</w:t>
            </w:r>
          </w:p>
        </w:tc>
        <w:tc>
          <w:tcPr>
            <w:tcW w:w="137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EADD959" w14:textId="77777777" w:rsidR="003222D5" w:rsidRPr="00B57B36" w:rsidRDefault="00E61BBE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 xml:space="preserve">Configuration </w:t>
            </w:r>
            <w:r w:rsidR="003222D5">
              <w:rPr>
                <w:rFonts w:cs="Arial"/>
                <w:szCs w:val="18"/>
                <w:lang w:val="en-GB"/>
              </w:rPr>
              <w:t xml:space="preserve">2 </w:t>
            </w:r>
          </w:p>
        </w:tc>
        <w:tc>
          <w:tcPr>
            <w:tcW w:w="13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E781F8C" w14:textId="77777777" w:rsidR="003222D5" w:rsidRPr="00B57B36" w:rsidRDefault="00E61BBE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 xml:space="preserve">Configuration </w:t>
            </w:r>
            <w:r w:rsidR="003222D5">
              <w:rPr>
                <w:rFonts w:cs="Arial"/>
                <w:szCs w:val="18"/>
                <w:lang w:val="en-GB"/>
              </w:rPr>
              <w:t>3</w:t>
            </w:r>
          </w:p>
        </w:tc>
      </w:tr>
      <w:tr w:rsidR="003222D5" w:rsidRPr="00B57B36" w14:paraId="2C1ED2DB" w14:textId="77777777" w:rsidTr="00797819">
        <w:tc>
          <w:tcPr>
            <w:tcW w:w="2977" w:type="dxa"/>
            <w:shd w:val="clear" w:color="auto" w:fill="FFFFFF"/>
          </w:tcPr>
          <w:p w14:paraId="6687B1EF" w14:textId="77777777" w:rsidR="003222D5" w:rsidRDefault="003222D5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Boiler feedwater temperature </w:t>
            </w:r>
          </w:p>
          <w:p w14:paraId="7EC1FCE8" w14:textId="77777777" w:rsidR="00D1647C" w:rsidRDefault="00D1647C" w:rsidP="00D1647C">
            <w:pPr>
              <w:pStyle w:val="CETBodytext"/>
              <w:ind w:left="284"/>
              <w:rPr>
                <w:lang w:val="en-GB"/>
              </w:rPr>
            </w:pPr>
            <w:r>
              <w:rPr>
                <w:lang w:val="en-GB"/>
              </w:rPr>
              <w:t xml:space="preserve">Base Case </w:t>
            </w:r>
          </w:p>
          <w:p w14:paraId="73103D60" w14:textId="77777777" w:rsidR="00D1647C" w:rsidRPr="00B57B36" w:rsidRDefault="00D1647C" w:rsidP="00D1647C">
            <w:pPr>
              <w:pStyle w:val="CETBodytext"/>
              <w:ind w:left="284"/>
              <w:rPr>
                <w:lang w:val="en-GB"/>
              </w:rPr>
            </w:pPr>
            <w:r>
              <w:rPr>
                <w:lang w:val="en-GB"/>
              </w:rPr>
              <w:t xml:space="preserve">Heat integrated </w:t>
            </w:r>
          </w:p>
        </w:tc>
        <w:tc>
          <w:tcPr>
            <w:tcW w:w="709" w:type="dxa"/>
            <w:shd w:val="clear" w:color="auto" w:fill="FFFFFF"/>
          </w:tcPr>
          <w:p w14:paraId="510F77B2" w14:textId="77777777" w:rsidR="00D1647C" w:rsidRDefault="00D1647C" w:rsidP="008B170C">
            <w:pPr>
              <w:pStyle w:val="CETBodytext"/>
              <w:rPr>
                <w:rFonts w:cs="Arial"/>
                <w:lang w:val="en-GB"/>
              </w:rPr>
            </w:pPr>
          </w:p>
          <w:p w14:paraId="596FD030" w14:textId="77777777" w:rsidR="003222D5" w:rsidRDefault="003222D5" w:rsidP="008B170C">
            <w:pPr>
              <w:pStyle w:val="CETBodytext"/>
              <w:rPr>
                <w:lang w:val="en-GB"/>
              </w:rPr>
            </w:pPr>
            <w:r>
              <w:rPr>
                <w:rFonts w:cs="Arial"/>
                <w:lang w:val="en-GB"/>
              </w:rPr>
              <w:t>°</w:t>
            </w:r>
            <w:r>
              <w:rPr>
                <w:lang w:val="en-GB"/>
              </w:rPr>
              <w:t>C</w:t>
            </w:r>
          </w:p>
          <w:p w14:paraId="3192AA30" w14:textId="77777777" w:rsidR="00D1647C" w:rsidRPr="00B57B36" w:rsidRDefault="00D1647C" w:rsidP="008B170C">
            <w:pPr>
              <w:pStyle w:val="CETBodytext"/>
              <w:rPr>
                <w:lang w:val="en-GB"/>
              </w:rPr>
            </w:pPr>
            <w:r>
              <w:rPr>
                <w:rFonts w:cs="Arial"/>
                <w:lang w:val="en-GB"/>
              </w:rPr>
              <w:t>°</w:t>
            </w:r>
            <w:r>
              <w:rPr>
                <w:lang w:val="en-GB"/>
              </w:rPr>
              <w:t>C</w:t>
            </w:r>
          </w:p>
        </w:tc>
        <w:tc>
          <w:tcPr>
            <w:tcW w:w="1321" w:type="dxa"/>
            <w:shd w:val="clear" w:color="auto" w:fill="FFFFFF"/>
          </w:tcPr>
          <w:p w14:paraId="6297CABA" w14:textId="77777777" w:rsidR="003222D5" w:rsidRDefault="003222D5" w:rsidP="008B170C">
            <w:pPr>
              <w:pStyle w:val="CETBodytext"/>
              <w:rPr>
                <w:lang w:val="en-GB"/>
              </w:rPr>
            </w:pPr>
          </w:p>
          <w:p w14:paraId="744932DC" w14:textId="77777777" w:rsidR="00D1647C" w:rsidRDefault="00D1647C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170</w:t>
            </w:r>
          </w:p>
          <w:p w14:paraId="37311457" w14:textId="77777777" w:rsidR="00D1647C" w:rsidRPr="00B57B36" w:rsidRDefault="00D1647C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194 </w:t>
            </w:r>
          </w:p>
        </w:tc>
        <w:tc>
          <w:tcPr>
            <w:tcW w:w="1370" w:type="dxa"/>
            <w:shd w:val="clear" w:color="auto" w:fill="FFFFFF"/>
          </w:tcPr>
          <w:p w14:paraId="70E60F2A" w14:textId="77777777" w:rsidR="003222D5" w:rsidRDefault="003222D5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  <w:p w14:paraId="44E0BBFD" w14:textId="77777777" w:rsidR="00D1647C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184</w:t>
            </w:r>
          </w:p>
          <w:p w14:paraId="7C98AAF4" w14:textId="77777777" w:rsidR="00D1647C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200</w:t>
            </w:r>
          </w:p>
        </w:tc>
        <w:tc>
          <w:tcPr>
            <w:tcW w:w="1320" w:type="dxa"/>
            <w:shd w:val="clear" w:color="auto" w:fill="FFFFFF"/>
          </w:tcPr>
          <w:p w14:paraId="07E34EE0" w14:textId="77777777" w:rsidR="003222D5" w:rsidRDefault="003222D5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  <w:p w14:paraId="3655A125" w14:textId="77777777" w:rsidR="00D1647C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160</w:t>
            </w:r>
          </w:p>
          <w:p w14:paraId="0E13E402" w14:textId="77777777" w:rsidR="00D1647C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166</w:t>
            </w:r>
          </w:p>
        </w:tc>
      </w:tr>
      <w:tr w:rsidR="003222D5" w:rsidRPr="00B57B36" w14:paraId="0BF4D4D3" w14:textId="77777777" w:rsidTr="00797819">
        <w:tc>
          <w:tcPr>
            <w:tcW w:w="2977" w:type="dxa"/>
            <w:shd w:val="clear" w:color="auto" w:fill="FFFFFF"/>
          </w:tcPr>
          <w:p w14:paraId="358BE2E4" w14:textId="77777777" w:rsidR="003222D5" w:rsidRDefault="003222D5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Combustion air temperature </w:t>
            </w:r>
          </w:p>
          <w:p w14:paraId="528C1BAB" w14:textId="77777777" w:rsidR="00D1647C" w:rsidRDefault="00D1647C" w:rsidP="00D1647C">
            <w:pPr>
              <w:pStyle w:val="CETBodytext"/>
              <w:ind w:left="284"/>
              <w:rPr>
                <w:lang w:val="en-GB"/>
              </w:rPr>
            </w:pPr>
            <w:r>
              <w:rPr>
                <w:lang w:val="en-GB"/>
              </w:rPr>
              <w:t xml:space="preserve">Base Case </w:t>
            </w:r>
          </w:p>
          <w:p w14:paraId="640E5CF7" w14:textId="77777777" w:rsidR="00D1647C" w:rsidRDefault="00D1647C" w:rsidP="00D1647C">
            <w:pPr>
              <w:pStyle w:val="CETBodytext"/>
              <w:ind w:left="284"/>
              <w:rPr>
                <w:lang w:val="en-GB"/>
              </w:rPr>
            </w:pPr>
            <w:r>
              <w:rPr>
                <w:lang w:val="en-GB"/>
              </w:rPr>
              <w:t>Heat integrated</w:t>
            </w:r>
          </w:p>
        </w:tc>
        <w:tc>
          <w:tcPr>
            <w:tcW w:w="709" w:type="dxa"/>
            <w:shd w:val="clear" w:color="auto" w:fill="FFFFFF"/>
          </w:tcPr>
          <w:p w14:paraId="16115483" w14:textId="77777777" w:rsidR="00D1647C" w:rsidRDefault="00D1647C" w:rsidP="008B170C">
            <w:pPr>
              <w:pStyle w:val="CETBodytext"/>
              <w:rPr>
                <w:rFonts w:cs="Arial"/>
                <w:lang w:val="en-GB"/>
              </w:rPr>
            </w:pPr>
          </w:p>
          <w:p w14:paraId="31E3E4D5" w14:textId="77777777" w:rsidR="003222D5" w:rsidRDefault="003222D5" w:rsidP="008B170C">
            <w:pPr>
              <w:pStyle w:val="CETBodytext"/>
              <w:rPr>
                <w:lang w:val="en-GB"/>
              </w:rPr>
            </w:pPr>
            <w:r>
              <w:rPr>
                <w:rFonts w:cs="Arial"/>
                <w:lang w:val="en-GB"/>
              </w:rPr>
              <w:t>°</w:t>
            </w:r>
            <w:r>
              <w:rPr>
                <w:lang w:val="en-GB"/>
              </w:rPr>
              <w:t>C</w:t>
            </w:r>
          </w:p>
          <w:p w14:paraId="0ECE7E8C" w14:textId="77777777" w:rsidR="00D1647C" w:rsidRPr="00B57B36" w:rsidRDefault="00D1647C" w:rsidP="008B170C">
            <w:pPr>
              <w:pStyle w:val="CETBodytext"/>
              <w:rPr>
                <w:lang w:val="en-GB"/>
              </w:rPr>
            </w:pPr>
            <w:r>
              <w:rPr>
                <w:rFonts w:cs="Arial"/>
                <w:lang w:val="en-GB"/>
              </w:rPr>
              <w:t>°</w:t>
            </w:r>
            <w:r>
              <w:rPr>
                <w:lang w:val="en-GB"/>
              </w:rPr>
              <w:t>C</w:t>
            </w:r>
          </w:p>
        </w:tc>
        <w:tc>
          <w:tcPr>
            <w:tcW w:w="1321" w:type="dxa"/>
            <w:shd w:val="clear" w:color="auto" w:fill="FFFFFF"/>
          </w:tcPr>
          <w:p w14:paraId="22D9790F" w14:textId="77777777" w:rsidR="003222D5" w:rsidRDefault="003222D5" w:rsidP="008B170C">
            <w:pPr>
              <w:pStyle w:val="CETBodytext"/>
              <w:rPr>
                <w:lang w:val="en-GB"/>
              </w:rPr>
            </w:pPr>
          </w:p>
          <w:p w14:paraId="0C05F0C5" w14:textId="77777777" w:rsidR="00D1647C" w:rsidRDefault="00D1647C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53</w:t>
            </w:r>
          </w:p>
          <w:p w14:paraId="5AF27182" w14:textId="77777777" w:rsidR="00D1647C" w:rsidRPr="00B57B36" w:rsidRDefault="00D1647C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128</w:t>
            </w:r>
          </w:p>
        </w:tc>
        <w:tc>
          <w:tcPr>
            <w:tcW w:w="1370" w:type="dxa"/>
            <w:shd w:val="clear" w:color="auto" w:fill="FFFFFF"/>
          </w:tcPr>
          <w:p w14:paraId="21F96E0E" w14:textId="77777777" w:rsidR="003222D5" w:rsidRDefault="003222D5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  <w:p w14:paraId="78FFE327" w14:textId="77777777" w:rsidR="00D1647C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53</w:t>
            </w:r>
          </w:p>
          <w:p w14:paraId="0BBA47BB" w14:textId="77777777" w:rsidR="00D1647C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150</w:t>
            </w:r>
          </w:p>
        </w:tc>
        <w:tc>
          <w:tcPr>
            <w:tcW w:w="1320" w:type="dxa"/>
            <w:shd w:val="clear" w:color="auto" w:fill="FFFFFF"/>
          </w:tcPr>
          <w:p w14:paraId="045E8E74" w14:textId="77777777" w:rsidR="003222D5" w:rsidRDefault="003222D5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  <w:p w14:paraId="3A8BB07D" w14:textId="77777777" w:rsidR="00D1647C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53</w:t>
            </w:r>
          </w:p>
          <w:p w14:paraId="1BFE75AB" w14:textId="77777777" w:rsidR="00D1647C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130</w:t>
            </w:r>
          </w:p>
        </w:tc>
      </w:tr>
      <w:tr w:rsidR="00D1647C" w:rsidRPr="00B57B36" w14:paraId="025F3A0E" w14:textId="77777777" w:rsidTr="00797819">
        <w:tc>
          <w:tcPr>
            <w:tcW w:w="2977" w:type="dxa"/>
            <w:shd w:val="clear" w:color="auto" w:fill="FFFFFF"/>
          </w:tcPr>
          <w:p w14:paraId="4A9562DE" w14:textId="77777777" w:rsidR="00D1647C" w:rsidRDefault="00D1647C" w:rsidP="008B170C">
            <w:pPr>
              <w:pStyle w:val="CETBodytext"/>
              <w:rPr>
                <w:lang w:val="en-GB"/>
              </w:rPr>
            </w:pPr>
            <w:r w:rsidRPr="00D1647C">
              <w:rPr>
                <w:lang w:val="en-GB"/>
              </w:rPr>
              <w:t>Boiler flue gas temperature</w:t>
            </w:r>
          </w:p>
          <w:p w14:paraId="5FFEABAC" w14:textId="77777777" w:rsidR="00D1647C" w:rsidRDefault="00D1647C" w:rsidP="00D1647C">
            <w:pPr>
              <w:pStyle w:val="CETBodytext"/>
              <w:ind w:left="284"/>
              <w:rPr>
                <w:lang w:val="en-GB"/>
              </w:rPr>
            </w:pPr>
            <w:r>
              <w:rPr>
                <w:lang w:val="en-GB"/>
              </w:rPr>
              <w:t xml:space="preserve">Base Case </w:t>
            </w:r>
          </w:p>
          <w:p w14:paraId="480CDB32" w14:textId="77777777" w:rsidR="00D1647C" w:rsidRDefault="00D1647C" w:rsidP="00D1647C">
            <w:pPr>
              <w:pStyle w:val="CETBodytext"/>
              <w:ind w:left="284"/>
              <w:rPr>
                <w:lang w:val="en-GB"/>
              </w:rPr>
            </w:pPr>
            <w:r>
              <w:rPr>
                <w:lang w:val="en-GB"/>
              </w:rPr>
              <w:t>Heat integrated</w:t>
            </w:r>
          </w:p>
        </w:tc>
        <w:tc>
          <w:tcPr>
            <w:tcW w:w="709" w:type="dxa"/>
            <w:shd w:val="clear" w:color="auto" w:fill="FFFFFF"/>
          </w:tcPr>
          <w:p w14:paraId="3041F4B7" w14:textId="77777777" w:rsidR="00D1647C" w:rsidRDefault="00D1647C" w:rsidP="008B170C">
            <w:pPr>
              <w:pStyle w:val="CETBodytext"/>
              <w:rPr>
                <w:rFonts w:cs="Arial"/>
                <w:lang w:val="en-GB"/>
              </w:rPr>
            </w:pPr>
          </w:p>
          <w:p w14:paraId="6D55EB5E" w14:textId="77777777" w:rsidR="00D1647C" w:rsidRDefault="00D1647C" w:rsidP="008B170C">
            <w:pPr>
              <w:pStyle w:val="CETBodytext"/>
              <w:rPr>
                <w:lang w:val="en-GB"/>
              </w:rPr>
            </w:pPr>
            <w:r>
              <w:rPr>
                <w:rFonts w:cs="Arial"/>
                <w:lang w:val="en-GB"/>
              </w:rPr>
              <w:t>°</w:t>
            </w:r>
            <w:r>
              <w:rPr>
                <w:lang w:val="en-GB"/>
              </w:rPr>
              <w:t>C</w:t>
            </w:r>
          </w:p>
          <w:p w14:paraId="14335BA7" w14:textId="77777777" w:rsidR="00D1647C" w:rsidRDefault="00D1647C" w:rsidP="008B170C">
            <w:pPr>
              <w:pStyle w:val="CET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°</w:t>
            </w:r>
            <w:r>
              <w:rPr>
                <w:lang w:val="en-GB"/>
              </w:rPr>
              <w:t>C</w:t>
            </w:r>
          </w:p>
        </w:tc>
        <w:tc>
          <w:tcPr>
            <w:tcW w:w="1321" w:type="dxa"/>
            <w:shd w:val="clear" w:color="auto" w:fill="FFFFFF"/>
          </w:tcPr>
          <w:p w14:paraId="114FDBBB" w14:textId="77777777" w:rsidR="00D1647C" w:rsidRDefault="00D1647C" w:rsidP="008B170C">
            <w:pPr>
              <w:pStyle w:val="CETBodytext"/>
              <w:rPr>
                <w:lang w:val="en-GB"/>
              </w:rPr>
            </w:pPr>
          </w:p>
          <w:p w14:paraId="3FAD420A" w14:textId="77777777" w:rsidR="00D1647C" w:rsidRDefault="00D1647C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195</w:t>
            </w:r>
          </w:p>
          <w:p w14:paraId="74CB60CE" w14:textId="77777777" w:rsidR="00D1647C" w:rsidRPr="00B57B36" w:rsidRDefault="00D1647C" w:rsidP="008B17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130</w:t>
            </w:r>
          </w:p>
        </w:tc>
        <w:tc>
          <w:tcPr>
            <w:tcW w:w="1370" w:type="dxa"/>
            <w:shd w:val="clear" w:color="auto" w:fill="FFFFFF"/>
          </w:tcPr>
          <w:p w14:paraId="394DC39C" w14:textId="77777777" w:rsidR="00D1647C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  <w:p w14:paraId="77560C6A" w14:textId="77777777" w:rsidR="00D1647C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209</w:t>
            </w:r>
          </w:p>
          <w:p w14:paraId="3B27290E" w14:textId="77777777" w:rsidR="00D1647C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143</w:t>
            </w:r>
          </w:p>
        </w:tc>
        <w:tc>
          <w:tcPr>
            <w:tcW w:w="1320" w:type="dxa"/>
            <w:shd w:val="clear" w:color="auto" w:fill="FFFFFF"/>
          </w:tcPr>
          <w:p w14:paraId="685EE350" w14:textId="77777777" w:rsidR="00D1647C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  <w:p w14:paraId="1B435D1D" w14:textId="77777777" w:rsidR="00D1647C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185</w:t>
            </w:r>
          </w:p>
          <w:p w14:paraId="0257EE57" w14:textId="77777777" w:rsidR="00D1647C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130 </w:t>
            </w:r>
          </w:p>
        </w:tc>
      </w:tr>
      <w:tr w:rsidR="003222D5" w:rsidRPr="00B57B36" w14:paraId="67BFE179" w14:textId="77777777" w:rsidTr="00797819">
        <w:tc>
          <w:tcPr>
            <w:tcW w:w="2977" w:type="dxa"/>
            <w:shd w:val="clear" w:color="auto" w:fill="FFFFFF"/>
          </w:tcPr>
          <w:p w14:paraId="1A42D247" w14:textId="53F982B6" w:rsidR="003222D5" w:rsidRPr="00B57B36" w:rsidRDefault="00BC1F4F" w:rsidP="0079781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Natural gas </w:t>
            </w:r>
            <w:r w:rsidR="00797819">
              <w:rPr>
                <w:rFonts w:cs="Arial"/>
                <w:szCs w:val="18"/>
                <w:lang w:val="en-GB"/>
              </w:rPr>
              <w:t>consumption</w:t>
            </w:r>
            <w:r>
              <w:rPr>
                <w:rFonts w:cs="Arial"/>
                <w:szCs w:val="18"/>
                <w:lang w:val="en-GB"/>
              </w:rPr>
              <w:t xml:space="preserve"> reduction </w:t>
            </w:r>
          </w:p>
        </w:tc>
        <w:tc>
          <w:tcPr>
            <w:tcW w:w="709" w:type="dxa"/>
            <w:shd w:val="clear" w:color="auto" w:fill="FFFFFF"/>
          </w:tcPr>
          <w:p w14:paraId="1089B832" w14:textId="77777777" w:rsidR="003222D5" w:rsidRPr="00B57B36" w:rsidRDefault="0005164F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 </w:t>
            </w:r>
            <w:r w:rsidR="003222D5">
              <w:rPr>
                <w:rFonts w:cs="Arial"/>
                <w:szCs w:val="18"/>
                <w:lang w:val="en-GB"/>
              </w:rPr>
              <w:t>%</w:t>
            </w:r>
          </w:p>
        </w:tc>
        <w:tc>
          <w:tcPr>
            <w:tcW w:w="1321" w:type="dxa"/>
            <w:shd w:val="clear" w:color="auto" w:fill="FFFFFF"/>
          </w:tcPr>
          <w:p w14:paraId="0E6C102E" w14:textId="77777777" w:rsidR="003222D5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</w:t>
            </w:r>
          </w:p>
        </w:tc>
        <w:tc>
          <w:tcPr>
            <w:tcW w:w="1370" w:type="dxa"/>
            <w:shd w:val="clear" w:color="auto" w:fill="FFFFFF"/>
          </w:tcPr>
          <w:p w14:paraId="62B576F7" w14:textId="77777777" w:rsidR="003222D5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</w:t>
            </w:r>
          </w:p>
        </w:tc>
        <w:tc>
          <w:tcPr>
            <w:tcW w:w="1320" w:type="dxa"/>
            <w:shd w:val="clear" w:color="auto" w:fill="FFFFFF"/>
          </w:tcPr>
          <w:p w14:paraId="66A1C999" w14:textId="77777777" w:rsidR="003222D5" w:rsidRPr="00B57B36" w:rsidRDefault="00D1647C" w:rsidP="008B17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</w:p>
        </w:tc>
      </w:tr>
    </w:tbl>
    <w:p w14:paraId="4739D891" w14:textId="34157676" w:rsidR="0053218F" w:rsidRDefault="0053218F" w:rsidP="00600535">
      <w:pPr>
        <w:pStyle w:val="CETBodytext"/>
        <w:rPr>
          <w:lang w:val="en-GB"/>
        </w:rPr>
      </w:pPr>
    </w:p>
    <w:p w14:paraId="113604F3" w14:textId="3ECC9D57" w:rsidR="00F753DB" w:rsidRPr="00B57B36" w:rsidRDefault="00F753DB" w:rsidP="00F753DB">
      <w:pPr>
        <w:pStyle w:val="CETheadingx"/>
      </w:pPr>
      <w:r>
        <w:t>Heat recovery optimi</w:t>
      </w:r>
      <w:r w:rsidR="00C33293">
        <w:t>s</w:t>
      </w:r>
      <w:r>
        <w:t xml:space="preserve">ation in SAGD process with carbon capture </w:t>
      </w:r>
    </w:p>
    <w:p w14:paraId="6068A2AF" w14:textId="022FA0A6" w:rsidR="00533541" w:rsidRDefault="003439A5" w:rsidP="00533541">
      <w:pPr>
        <w:pStyle w:val="CETBodytext"/>
        <w:rPr>
          <w:lang w:val="en-CA"/>
        </w:rPr>
      </w:pPr>
      <w:r>
        <w:rPr>
          <w:lang w:val="en-CA"/>
        </w:rPr>
        <w:t>In this section, p</w:t>
      </w:r>
      <w:r w:rsidRPr="0005164F">
        <w:rPr>
          <w:lang w:val="en-CA"/>
        </w:rPr>
        <w:t xml:space="preserve">roducing part of the regeneration energy using excess heat from </w:t>
      </w:r>
      <w:r>
        <w:rPr>
          <w:lang w:val="en-CA"/>
        </w:rPr>
        <w:t xml:space="preserve">the </w:t>
      </w:r>
      <w:r w:rsidR="001F39D4">
        <w:rPr>
          <w:lang w:val="en-CA"/>
        </w:rPr>
        <w:t>P</w:t>
      </w:r>
      <w:r>
        <w:rPr>
          <w:lang w:val="en-CA"/>
        </w:rPr>
        <w:t>CC</w:t>
      </w:r>
      <w:r w:rsidRPr="0005164F">
        <w:rPr>
          <w:lang w:val="en-CA"/>
        </w:rPr>
        <w:t xml:space="preserve"> </w:t>
      </w:r>
      <w:r>
        <w:rPr>
          <w:lang w:val="en-CA"/>
        </w:rPr>
        <w:t xml:space="preserve">unit </w:t>
      </w:r>
      <w:r w:rsidRPr="0005164F">
        <w:rPr>
          <w:lang w:val="en-CA"/>
        </w:rPr>
        <w:t xml:space="preserve">and </w:t>
      </w:r>
      <w:r>
        <w:rPr>
          <w:lang w:val="en-CA"/>
        </w:rPr>
        <w:t xml:space="preserve">the </w:t>
      </w:r>
      <w:r w:rsidRPr="0005164F">
        <w:rPr>
          <w:lang w:val="en-CA"/>
        </w:rPr>
        <w:t xml:space="preserve">SAGD </w:t>
      </w:r>
      <w:r>
        <w:rPr>
          <w:lang w:val="en-CA"/>
        </w:rPr>
        <w:t>process</w:t>
      </w:r>
      <w:r w:rsidRPr="0005164F">
        <w:rPr>
          <w:lang w:val="en-CA"/>
        </w:rPr>
        <w:t xml:space="preserve"> was investigated for </w:t>
      </w:r>
      <w:r>
        <w:rPr>
          <w:lang w:val="en-CA"/>
        </w:rPr>
        <w:t xml:space="preserve">various </w:t>
      </w:r>
      <w:r w:rsidRPr="0005164F">
        <w:rPr>
          <w:lang w:val="en-CA"/>
        </w:rPr>
        <w:t>heat integration levels</w:t>
      </w:r>
      <w:r>
        <w:rPr>
          <w:lang w:val="en-CA"/>
        </w:rPr>
        <w:t xml:space="preserve"> of the SAGD facility. Figure 2 shows </w:t>
      </w:r>
      <w:r>
        <w:rPr>
          <w:lang w:val="en-GB"/>
        </w:rPr>
        <w:t>the simplified flow diagram of the SAGD process</w:t>
      </w:r>
      <w:r w:rsidRPr="007C60F2">
        <w:rPr>
          <w:lang w:val="en-GB"/>
        </w:rPr>
        <w:t xml:space="preserve"> </w:t>
      </w:r>
      <w:r>
        <w:rPr>
          <w:lang w:val="en-GB"/>
        </w:rPr>
        <w:t xml:space="preserve">with carbon capture and compression. </w:t>
      </w:r>
    </w:p>
    <w:p w14:paraId="29360D8F" w14:textId="77777777" w:rsidR="00533541" w:rsidRPr="0005164F" w:rsidRDefault="00533541" w:rsidP="00533541">
      <w:pPr>
        <w:pStyle w:val="CETBodytext"/>
        <w:rPr>
          <w:lang w:val="en-CA"/>
        </w:rPr>
      </w:pPr>
    </w:p>
    <w:p w14:paraId="19B2F5B4" w14:textId="2A2B8189" w:rsidR="00533541" w:rsidRPr="006E0DAD" w:rsidRDefault="00325712" w:rsidP="00A00765">
      <w:pPr>
        <w:pStyle w:val="CETBodytext"/>
        <w:jc w:val="left"/>
        <w:rPr>
          <w:lang w:val="en-GB"/>
        </w:rPr>
      </w:pPr>
      <w:r>
        <w:object w:dxaOrig="11625" w:dyaOrig="3136" w14:anchorId="727ECE6A">
          <v:shape id="_x0000_i1026" type="#_x0000_t75" style="width:432.75pt;height:116.25pt" o:ole="">
            <v:imagedata r:id="rId16" o:title=""/>
          </v:shape>
          <o:OLEObject Type="Embed" ProgID="Visio.Drawing.15" ShapeID="_x0000_i1026" DrawAspect="Content" ObjectID="_1615375511" r:id="rId17"/>
        </w:object>
      </w:r>
    </w:p>
    <w:p w14:paraId="0188AA33" w14:textId="31176A9B" w:rsidR="00533541" w:rsidRPr="00B57B36" w:rsidRDefault="00533541" w:rsidP="00533541">
      <w:pPr>
        <w:pStyle w:val="CETCaption"/>
      </w:pPr>
      <w:r w:rsidRPr="00B57B36">
        <w:t xml:space="preserve">Figure </w:t>
      </w:r>
      <w:r w:rsidR="00E71CD0">
        <w:t>2</w:t>
      </w:r>
      <w:r w:rsidRPr="00B57B36">
        <w:t xml:space="preserve">: </w:t>
      </w:r>
      <w:r>
        <w:t>S</w:t>
      </w:r>
      <w:r w:rsidRPr="00533541">
        <w:t xml:space="preserve">implified flow diagram of the </w:t>
      </w:r>
      <w:r w:rsidR="003439A5">
        <w:t>SAGD process</w:t>
      </w:r>
      <w:r w:rsidR="003439A5" w:rsidRPr="007C60F2">
        <w:t xml:space="preserve"> </w:t>
      </w:r>
      <w:r w:rsidR="003439A5">
        <w:t xml:space="preserve">with carbon capture and compression </w:t>
      </w:r>
    </w:p>
    <w:p w14:paraId="72F615A8" w14:textId="3FA5F984" w:rsidR="0005164F" w:rsidRDefault="003439A5" w:rsidP="00600535">
      <w:pPr>
        <w:pStyle w:val="CETBodytext"/>
      </w:pPr>
      <w:r w:rsidRPr="00A13697">
        <w:rPr>
          <w:lang w:val="en-GB"/>
        </w:rPr>
        <w:t xml:space="preserve">The enzyme-enabled </w:t>
      </w:r>
      <w:r w:rsidR="00797819">
        <w:rPr>
          <w:lang w:val="en-GB"/>
        </w:rPr>
        <w:t>P</w:t>
      </w:r>
      <w:r>
        <w:rPr>
          <w:lang w:val="en-GB"/>
        </w:rPr>
        <w:t>CC</w:t>
      </w:r>
      <w:r w:rsidRPr="00A13697">
        <w:rPr>
          <w:lang w:val="en-GB"/>
        </w:rPr>
        <w:t xml:space="preserve"> </w:t>
      </w:r>
      <w:r>
        <w:rPr>
          <w:lang w:val="en-GB"/>
        </w:rPr>
        <w:t>technology</w:t>
      </w:r>
      <w:r w:rsidRPr="00A13697">
        <w:rPr>
          <w:lang w:val="en-GB"/>
        </w:rPr>
        <w:t xml:space="preserve"> is using hot water as regeneration energy</w:t>
      </w:r>
      <w:r>
        <w:rPr>
          <w:lang w:val="en-GB"/>
        </w:rPr>
        <w:t xml:space="preserve"> while the other two technologies use low pressure (LP) steam. These technologies already consider some heat recovery measures in their design.</w:t>
      </w:r>
      <w:r w:rsidR="001F39D4">
        <w:rPr>
          <w:lang w:val="en-GB"/>
        </w:rPr>
        <w:t xml:space="preserve"> For example, CC 1 uses the energy in the flue gas and the compression train as a part of the regeneration energy.</w:t>
      </w:r>
      <w:r>
        <w:rPr>
          <w:lang w:val="en-GB"/>
        </w:rPr>
        <w:t xml:space="preserve"> </w:t>
      </w:r>
      <w:r w:rsidRPr="0010396E">
        <w:t xml:space="preserve">However, the recovered energy is </w:t>
      </w:r>
      <w:r w:rsidR="00E86D4A">
        <w:t>in</w:t>
      </w:r>
      <w:r w:rsidRPr="0010396E">
        <w:t>sufficient</w:t>
      </w:r>
      <w:r>
        <w:t xml:space="preserve"> and another source of energy is needed to provide the regeneration energy. In most carbon capture technologies, this is done using a dedicated natural gas </w:t>
      </w:r>
      <w:r w:rsidR="00797819">
        <w:t xml:space="preserve">auxiliary </w:t>
      </w:r>
      <w:r>
        <w:t xml:space="preserve">boiler. However, </w:t>
      </w:r>
      <w:r w:rsidRPr="00DF2134">
        <w:rPr>
          <w:lang w:val="en-GB"/>
        </w:rPr>
        <w:t>excess heat</w:t>
      </w:r>
      <w:r>
        <w:rPr>
          <w:lang w:val="en-GB"/>
        </w:rPr>
        <w:t xml:space="preserve"> from SAGD can be used to provide part </w:t>
      </w:r>
      <w:r w:rsidRPr="00DF2134">
        <w:rPr>
          <w:lang w:val="en-GB"/>
        </w:rPr>
        <w:t>of the</w:t>
      </w:r>
      <w:r>
        <w:rPr>
          <w:lang w:val="en-GB"/>
        </w:rPr>
        <w:t xml:space="preserve"> energy required for </w:t>
      </w:r>
      <w:r w:rsidR="00797819" w:rsidRPr="00DF2134">
        <w:rPr>
          <w:lang w:val="en-GB"/>
        </w:rPr>
        <w:t xml:space="preserve">regeneration. </w:t>
      </w:r>
      <w:r>
        <w:rPr>
          <w:lang w:val="en-GB"/>
        </w:rPr>
        <w:t>Table 2 summari</w:t>
      </w:r>
      <w:r w:rsidR="00C33293">
        <w:rPr>
          <w:lang w:val="en-GB"/>
        </w:rPr>
        <w:t>s</w:t>
      </w:r>
      <w:r>
        <w:rPr>
          <w:lang w:val="en-GB"/>
        </w:rPr>
        <w:t>es available heat sources in the three selected SAGD configurations that can be used for the carbon capture units.</w:t>
      </w:r>
      <w:r w:rsidR="00361B3A">
        <w:rPr>
          <w:lang w:val="en-GB"/>
        </w:rPr>
        <w:t xml:space="preserve"> </w:t>
      </w:r>
    </w:p>
    <w:p w14:paraId="65A9B189" w14:textId="0839C00A" w:rsidR="00CC1902" w:rsidRPr="00B57B36" w:rsidRDefault="00361B3A" w:rsidP="00CC1902">
      <w:pPr>
        <w:pStyle w:val="CETTabletitle"/>
      </w:pPr>
      <w:r>
        <w:t xml:space="preserve">Table </w:t>
      </w:r>
      <w:r w:rsidR="00BC1F4F">
        <w:t>2</w:t>
      </w:r>
      <w:r w:rsidR="00CC1902" w:rsidRPr="00B57B36">
        <w:t xml:space="preserve">: </w:t>
      </w:r>
      <w:r>
        <w:t xml:space="preserve">Heat sources in SAGD useful for regeneration energy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1321"/>
        <w:gridCol w:w="1321"/>
        <w:gridCol w:w="1320"/>
      </w:tblGrid>
      <w:tr w:rsidR="00361B3A" w:rsidRPr="00B57B36" w14:paraId="438F6836" w14:textId="77777777" w:rsidTr="00E61BBE">
        <w:tc>
          <w:tcPr>
            <w:tcW w:w="2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A0CC28A" w14:textId="77777777" w:rsidR="00361B3A" w:rsidRPr="00B57B36" w:rsidRDefault="00361B3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Heat source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132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69005F2" w14:textId="77777777" w:rsidR="00361B3A" w:rsidRPr="00B57B36" w:rsidRDefault="00E61BBE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Configuration </w:t>
            </w:r>
            <w:r w:rsidR="00361B3A">
              <w:rPr>
                <w:lang w:val="en-GB"/>
              </w:rPr>
              <w:t>1</w:t>
            </w:r>
          </w:p>
        </w:tc>
        <w:tc>
          <w:tcPr>
            <w:tcW w:w="132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E40D847" w14:textId="77777777" w:rsidR="00361B3A" w:rsidRPr="00B57B36" w:rsidRDefault="00E61BBE" w:rsidP="00361B3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Configuration </w:t>
            </w:r>
            <w:r w:rsidR="00361B3A">
              <w:rPr>
                <w:lang w:val="en-GB"/>
              </w:rPr>
              <w:t>2</w:t>
            </w:r>
          </w:p>
        </w:tc>
        <w:tc>
          <w:tcPr>
            <w:tcW w:w="13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8B5DA96" w14:textId="77777777" w:rsidR="00361B3A" w:rsidRPr="00B57B36" w:rsidRDefault="00E61BBE" w:rsidP="00361B3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 xml:space="preserve">Configuration </w:t>
            </w:r>
            <w:r w:rsidR="00361B3A">
              <w:rPr>
                <w:lang w:val="en-GB"/>
              </w:rPr>
              <w:t>3</w:t>
            </w:r>
          </w:p>
        </w:tc>
      </w:tr>
      <w:tr w:rsidR="00361B3A" w:rsidRPr="00B57B36" w14:paraId="70591732" w14:textId="77777777" w:rsidTr="00E61BBE">
        <w:tc>
          <w:tcPr>
            <w:tcW w:w="2835" w:type="dxa"/>
            <w:shd w:val="clear" w:color="auto" w:fill="FFFFFF"/>
          </w:tcPr>
          <w:p w14:paraId="6F9DB08A" w14:textId="77777777" w:rsidR="00361B3A" w:rsidRPr="00B57B36" w:rsidRDefault="00361B3A" w:rsidP="00D61C43">
            <w:pPr>
              <w:pStyle w:val="CETBodytext"/>
              <w:rPr>
                <w:lang w:val="en-GB"/>
              </w:rPr>
            </w:pPr>
            <w:r w:rsidRPr="00361B3A">
              <w:rPr>
                <w:lang w:val="en-GB"/>
              </w:rPr>
              <w:t>Flue gas (FG) from OTSG/DB</w:t>
            </w:r>
          </w:p>
        </w:tc>
        <w:tc>
          <w:tcPr>
            <w:tcW w:w="1321" w:type="dxa"/>
            <w:shd w:val="clear" w:color="auto" w:fill="FFFFFF"/>
          </w:tcPr>
          <w:p w14:paraId="0F8A7E92" w14:textId="77777777" w:rsidR="00361B3A" w:rsidRPr="00B57B36" w:rsidRDefault="006A524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321" w:type="dxa"/>
            <w:shd w:val="clear" w:color="auto" w:fill="FFFFFF"/>
          </w:tcPr>
          <w:p w14:paraId="4F2651D3" w14:textId="77777777" w:rsidR="00361B3A" w:rsidRPr="00B57B36" w:rsidRDefault="006A524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320" w:type="dxa"/>
            <w:shd w:val="clear" w:color="auto" w:fill="FFFFFF"/>
          </w:tcPr>
          <w:p w14:paraId="0C1DDAA1" w14:textId="77777777" w:rsidR="00361B3A" w:rsidRPr="00B57B36" w:rsidRDefault="006A524A" w:rsidP="00D61C4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Y</w:t>
            </w:r>
          </w:p>
        </w:tc>
      </w:tr>
      <w:tr w:rsidR="00361B3A" w:rsidRPr="00B57B36" w14:paraId="10E9FB28" w14:textId="77777777" w:rsidTr="00E61BBE">
        <w:tc>
          <w:tcPr>
            <w:tcW w:w="2835" w:type="dxa"/>
            <w:shd w:val="clear" w:color="auto" w:fill="FFFFFF"/>
          </w:tcPr>
          <w:p w14:paraId="24DBC8A9" w14:textId="77777777" w:rsidR="00361B3A" w:rsidRPr="00361B3A" w:rsidRDefault="00361B3A" w:rsidP="00D61C43">
            <w:pPr>
              <w:pStyle w:val="CETBodytext"/>
              <w:rPr>
                <w:lang w:val="en-GB"/>
              </w:rPr>
            </w:pPr>
            <w:r w:rsidRPr="00361B3A">
              <w:rPr>
                <w:lang w:val="en-GB"/>
              </w:rPr>
              <w:t>Flue gas (FG) from COGEN</w:t>
            </w:r>
          </w:p>
        </w:tc>
        <w:tc>
          <w:tcPr>
            <w:tcW w:w="1321" w:type="dxa"/>
            <w:shd w:val="clear" w:color="auto" w:fill="FFFFFF"/>
          </w:tcPr>
          <w:p w14:paraId="1EADB9AA" w14:textId="77777777" w:rsidR="00361B3A" w:rsidRPr="00B57B36" w:rsidRDefault="006A524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21" w:type="dxa"/>
            <w:shd w:val="clear" w:color="auto" w:fill="FFFFFF"/>
          </w:tcPr>
          <w:p w14:paraId="09B86010" w14:textId="77777777" w:rsidR="00361B3A" w:rsidRPr="00B57B36" w:rsidRDefault="006A524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20" w:type="dxa"/>
            <w:shd w:val="clear" w:color="auto" w:fill="FFFFFF"/>
          </w:tcPr>
          <w:p w14:paraId="014A0D39" w14:textId="77777777" w:rsidR="00361B3A" w:rsidRPr="00B57B36" w:rsidRDefault="006A524A" w:rsidP="00D61C4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Y</w:t>
            </w:r>
          </w:p>
        </w:tc>
      </w:tr>
      <w:tr w:rsidR="00361B3A" w:rsidRPr="00B57B36" w14:paraId="36FF75A1" w14:textId="77777777" w:rsidTr="00E61BBE">
        <w:tc>
          <w:tcPr>
            <w:tcW w:w="2835" w:type="dxa"/>
            <w:shd w:val="clear" w:color="auto" w:fill="FFFFFF"/>
          </w:tcPr>
          <w:p w14:paraId="7B54F0E4" w14:textId="77777777" w:rsidR="00361B3A" w:rsidRPr="00361B3A" w:rsidRDefault="00361B3A" w:rsidP="00D61C43">
            <w:pPr>
              <w:pStyle w:val="CETBodytext"/>
              <w:rPr>
                <w:lang w:val="en-GB"/>
              </w:rPr>
            </w:pPr>
            <w:r w:rsidRPr="00361B3A">
              <w:rPr>
                <w:lang w:val="en-GB"/>
              </w:rPr>
              <w:t>Glycol system</w:t>
            </w:r>
          </w:p>
        </w:tc>
        <w:tc>
          <w:tcPr>
            <w:tcW w:w="1321" w:type="dxa"/>
            <w:shd w:val="clear" w:color="auto" w:fill="FFFFFF"/>
          </w:tcPr>
          <w:p w14:paraId="04AA4B7D" w14:textId="77777777" w:rsidR="00361B3A" w:rsidRPr="00B57B36" w:rsidRDefault="006A524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21" w:type="dxa"/>
            <w:shd w:val="clear" w:color="auto" w:fill="FFFFFF"/>
          </w:tcPr>
          <w:p w14:paraId="141E9E74" w14:textId="77777777" w:rsidR="00361B3A" w:rsidRPr="00B57B36" w:rsidRDefault="006A524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320" w:type="dxa"/>
            <w:shd w:val="clear" w:color="auto" w:fill="FFFFFF"/>
          </w:tcPr>
          <w:p w14:paraId="75B189C6" w14:textId="77777777" w:rsidR="00361B3A" w:rsidRPr="00B57B36" w:rsidRDefault="006A524A" w:rsidP="00D61C4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</w:tr>
      <w:tr w:rsidR="00361B3A" w:rsidRPr="00B57B36" w14:paraId="665A3D64" w14:textId="77777777" w:rsidTr="00E61BBE">
        <w:tc>
          <w:tcPr>
            <w:tcW w:w="2835" w:type="dxa"/>
            <w:shd w:val="clear" w:color="auto" w:fill="FFFFFF"/>
          </w:tcPr>
          <w:p w14:paraId="01506F58" w14:textId="77777777" w:rsidR="00361B3A" w:rsidRPr="00361B3A" w:rsidRDefault="00361B3A" w:rsidP="00D61C43">
            <w:pPr>
              <w:pStyle w:val="CETBodytext"/>
              <w:rPr>
                <w:lang w:val="en-GB"/>
              </w:rPr>
            </w:pPr>
            <w:r w:rsidRPr="00361B3A">
              <w:rPr>
                <w:lang w:val="en-GB"/>
              </w:rPr>
              <w:t>Produced water (PW)</w:t>
            </w:r>
          </w:p>
        </w:tc>
        <w:tc>
          <w:tcPr>
            <w:tcW w:w="1321" w:type="dxa"/>
            <w:shd w:val="clear" w:color="auto" w:fill="FFFFFF"/>
          </w:tcPr>
          <w:p w14:paraId="05CC2BE2" w14:textId="77777777" w:rsidR="00361B3A" w:rsidRPr="00B57B36" w:rsidRDefault="006A524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21" w:type="dxa"/>
            <w:shd w:val="clear" w:color="auto" w:fill="FFFFFF"/>
          </w:tcPr>
          <w:p w14:paraId="04BC3753" w14:textId="77777777" w:rsidR="00361B3A" w:rsidRPr="00B57B36" w:rsidRDefault="006A524A" w:rsidP="00D61C4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320" w:type="dxa"/>
            <w:shd w:val="clear" w:color="auto" w:fill="FFFFFF"/>
          </w:tcPr>
          <w:p w14:paraId="43A32F4C" w14:textId="77777777" w:rsidR="00361B3A" w:rsidRPr="00B57B36" w:rsidRDefault="006A524A" w:rsidP="00D61C4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</w:tr>
      <w:tr w:rsidR="00361B3A" w:rsidRPr="00B57B36" w14:paraId="078A99CA" w14:textId="77777777" w:rsidTr="00E61BBE">
        <w:tc>
          <w:tcPr>
            <w:tcW w:w="2835" w:type="dxa"/>
            <w:shd w:val="clear" w:color="auto" w:fill="FFFFFF"/>
          </w:tcPr>
          <w:p w14:paraId="2EF21858" w14:textId="77777777" w:rsidR="00361B3A" w:rsidRPr="00B57B36" w:rsidRDefault="00361B3A" w:rsidP="00D61C4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61B3A">
              <w:rPr>
                <w:rFonts w:cs="Arial"/>
                <w:szCs w:val="18"/>
                <w:lang w:val="en-GB"/>
              </w:rPr>
              <w:t>Dilbit</w:t>
            </w:r>
          </w:p>
        </w:tc>
        <w:tc>
          <w:tcPr>
            <w:tcW w:w="1321" w:type="dxa"/>
            <w:shd w:val="clear" w:color="auto" w:fill="FFFFFF"/>
          </w:tcPr>
          <w:p w14:paraId="189CBAD8" w14:textId="77777777" w:rsidR="00361B3A" w:rsidRPr="00B57B36" w:rsidRDefault="006A524A" w:rsidP="00D61C4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Y</w:t>
            </w:r>
          </w:p>
        </w:tc>
        <w:tc>
          <w:tcPr>
            <w:tcW w:w="1321" w:type="dxa"/>
            <w:shd w:val="clear" w:color="auto" w:fill="FFFFFF"/>
          </w:tcPr>
          <w:p w14:paraId="4FB89FE6" w14:textId="77777777" w:rsidR="00361B3A" w:rsidRPr="00B57B36" w:rsidRDefault="006A524A" w:rsidP="00D61C4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Y</w:t>
            </w:r>
          </w:p>
        </w:tc>
        <w:tc>
          <w:tcPr>
            <w:tcW w:w="1320" w:type="dxa"/>
            <w:shd w:val="clear" w:color="auto" w:fill="FFFFFF"/>
          </w:tcPr>
          <w:p w14:paraId="78DB1391" w14:textId="77777777" w:rsidR="00361B3A" w:rsidRPr="00B57B36" w:rsidRDefault="006A524A" w:rsidP="00D61C4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Y</w:t>
            </w:r>
          </w:p>
        </w:tc>
      </w:tr>
    </w:tbl>
    <w:p w14:paraId="6B3A9473" w14:textId="77777777" w:rsidR="00CC1902" w:rsidRDefault="00CC1902" w:rsidP="00600535">
      <w:pPr>
        <w:pStyle w:val="CETBodytext"/>
      </w:pPr>
    </w:p>
    <w:p w14:paraId="1FECC16A" w14:textId="757AD5EA" w:rsidR="003439A5" w:rsidRPr="00E141BD" w:rsidRDefault="003439A5" w:rsidP="003439A5">
      <w:pPr>
        <w:pStyle w:val="CETBodytext"/>
      </w:pPr>
      <w:r>
        <w:t xml:space="preserve">In addition to the SAGD heat sources, </w:t>
      </w:r>
      <w:r w:rsidRPr="00355A07">
        <w:t xml:space="preserve">several </w:t>
      </w:r>
      <w:r>
        <w:t xml:space="preserve">other </w:t>
      </w:r>
      <w:r w:rsidRPr="00355A07">
        <w:t>strategies were considered</w:t>
      </w:r>
      <w:r>
        <w:t xml:space="preserve"> to provide the regeneration energy, </w:t>
      </w:r>
      <w:r w:rsidRPr="00355A07">
        <w:t>including: the use of heat pumps</w:t>
      </w:r>
      <w:r w:rsidR="00C206A2">
        <w:t>, stripper overhead</w:t>
      </w:r>
      <w:r w:rsidR="001F39D4">
        <w:t xml:space="preserve"> </w:t>
      </w:r>
      <w:r>
        <w:t>compression</w:t>
      </w:r>
      <w:r w:rsidR="001F39D4">
        <w:t xml:space="preserve"> (SOC)</w:t>
      </w:r>
      <w:r w:rsidRPr="00355A07">
        <w:t>, and the use of part of the process steam or a dedicated auxiliary boiler.</w:t>
      </w:r>
      <w:r>
        <w:t xml:space="preserve"> Figure 3 shows a comparison of CO</w:t>
      </w:r>
      <w:r w:rsidRPr="00931CB0">
        <w:rPr>
          <w:vertAlign w:val="subscript"/>
        </w:rPr>
        <w:t>2</w:t>
      </w:r>
      <w:r>
        <w:t xml:space="preserve"> emissions for the three </w:t>
      </w:r>
      <w:r w:rsidR="00C206A2">
        <w:t>PCC</w:t>
      </w:r>
      <w:r>
        <w:t xml:space="preserve"> technologies integrated with the SAGD configuration </w:t>
      </w:r>
      <w:r w:rsidR="009E020F">
        <w:t xml:space="preserve">1 </w:t>
      </w:r>
      <w:r>
        <w:t xml:space="preserve">(Mechanical lift, Warm lime softening and OTSG). </w:t>
      </w:r>
      <w:r w:rsidRPr="00C33293">
        <w:t>In this figure, direct and indirect CO</w:t>
      </w:r>
      <w:r w:rsidRPr="00C33293">
        <w:rPr>
          <w:vertAlign w:val="subscript"/>
        </w:rPr>
        <w:t>2</w:t>
      </w:r>
      <w:r w:rsidRPr="00C33293">
        <w:t xml:space="preserve"> emissions due to natural gas combustion and electricity consumption, respectively, are presented</w:t>
      </w:r>
      <w:r w:rsidR="00764662" w:rsidRPr="00C33293">
        <w:t xml:space="preserve"> for the plant with</w:t>
      </w:r>
      <w:r w:rsidR="00E036A9" w:rsidRPr="00C33293">
        <w:t xml:space="preserve"> no</w:t>
      </w:r>
      <w:r w:rsidR="00764662" w:rsidRPr="00C33293">
        <w:t xml:space="preserve"> PCC </w:t>
      </w:r>
      <w:r w:rsidR="00E036A9" w:rsidRPr="00C33293">
        <w:t xml:space="preserve">and for the plant with </w:t>
      </w:r>
      <w:r w:rsidR="00176008" w:rsidRPr="00C33293">
        <w:t xml:space="preserve">PCC having </w:t>
      </w:r>
      <w:r w:rsidR="00764662" w:rsidRPr="00C33293">
        <w:t xml:space="preserve">different </w:t>
      </w:r>
      <w:r w:rsidR="00E036A9" w:rsidRPr="00C33293">
        <w:t xml:space="preserve">energy integration </w:t>
      </w:r>
      <w:r w:rsidR="00764662" w:rsidRPr="00C33293">
        <w:t>levels</w:t>
      </w:r>
      <w:r w:rsidR="00E036A9" w:rsidRPr="00C33293">
        <w:t>.</w:t>
      </w:r>
      <w:r w:rsidR="00CC4F07">
        <w:t xml:space="preserve"> </w:t>
      </w:r>
    </w:p>
    <w:p w14:paraId="415DF737" w14:textId="495F9183" w:rsidR="00F753DB" w:rsidRDefault="00317A5D" w:rsidP="003439A5">
      <w:pPr>
        <w:pStyle w:val="CETBodytext"/>
      </w:pPr>
      <w:r>
        <w:t>The energy analysis</w:t>
      </w:r>
      <w:r w:rsidR="003439A5">
        <w:t xml:space="preserve"> show</w:t>
      </w:r>
      <w:r>
        <w:t>ed</w:t>
      </w:r>
      <w:r w:rsidR="003439A5">
        <w:t xml:space="preserve"> that the excess heat available in the SAGD plant is </w:t>
      </w:r>
      <w:r w:rsidR="00E86D4A">
        <w:t>in</w:t>
      </w:r>
      <w:r w:rsidR="003439A5">
        <w:t xml:space="preserve">sufficient to provide all the required regeneration energy for any </w:t>
      </w:r>
      <w:r w:rsidR="003439A5" w:rsidRPr="00C33293">
        <w:t xml:space="preserve">of the three selected PCC technologies. As expected, a larger portion of the regeneration energy can be provided </w:t>
      </w:r>
      <w:r w:rsidR="005F612E" w:rsidRPr="00C33293">
        <w:t xml:space="preserve">using excess heat </w:t>
      </w:r>
      <w:r w:rsidR="003439A5" w:rsidRPr="00C33293">
        <w:t xml:space="preserve">for the enzyme-enabled capture technology since the process uses a lower temperature for solvent regeneration. </w:t>
      </w:r>
      <w:r w:rsidR="005F612E" w:rsidRPr="00C33293">
        <w:t>This is also the technology where the regeneration heat can be pr</w:t>
      </w:r>
      <w:r w:rsidR="00E625F5" w:rsidRPr="00C33293">
        <w:t>o</w:t>
      </w:r>
      <w:r w:rsidR="005F612E" w:rsidRPr="00C33293">
        <w:t>vide</w:t>
      </w:r>
      <w:r w:rsidR="00E625F5" w:rsidRPr="00C33293">
        <w:t>d</w:t>
      </w:r>
      <w:r w:rsidR="005F612E" w:rsidRPr="00C33293">
        <w:t xml:space="preserve"> using stripper overhead compression </w:t>
      </w:r>
      <w:r w:rsidR="00E625F5" w:rsidRPr="00C33293">
        <w:t xml:space="preserve">but the power consumption and indirect GHG emissions </w:t>
      </w:r>
      <w:r w:rsidR="00176008" w:rsidRPr="00C33293">
        <w:t xml:space="preserve">would be </w:t>
      </w:r>
      <w:r w:rsidR="00E625F5" w:rsidRPr="00C33293">
        <w:t>increased.</w:t>
      </w:r>
      <w:r w:rsidR="005F612E" w:rsidRPr="00C33293">
        <w:t xml:space="preserve"> </w:t>
      </w:r>
      <w:r w:rsidR="003439A5" w:rsidRPr="00C33293">
        <w:t xml:space="preserve">In addition, if the SAGD flue gas energy is used for internal heat recovery, less </w:t>
      </w:r>
      <w:r w:rsidR="003439A5" w:rsidRPr="000543F5">
        <w:t xml:space="preserve">energy </w:t>
      </w:r>
      <w:r w:rsidR="008D1B1A" w:rsidRPr="000543F5">
        <w:t>would be</w:t>
      </w:r>
      <w:r w:rsidR="003439A5" w:rsidRPr="000543F5">
        <w:t xml:space="preserve"> available for the </w:t>
      </w:r>
      <w:r w:rsidR="00C206A2" w:rsidRPr="000543F5">
        <w:t>P</w:t>
      </w:r>
      <w:r w:rsidR="003439A5" w:rsidRPr="000543F5">
        <w:t xml:space="preserve">CC </w:t>
      </w:r>
      <w:r w:rsidR="008D1B1A" w:rsidRPr="000543F5">
        <w:t>unit</w:t>
      </w:r>
      <w:r w:rsidR="000543F5" w:rsidRPr="000543F5">
        <w:t xml:space="preserve"> </w:t>
      </w:r>
      <w:r w:rsidR="008D1B1A" w:rsidRPr="000543F5">
        <w:t xml:space="preserve">and </w:t>
      </w:r>
      <w:r w:rsidR="003439A5" w:rsidRPr="000543F5">
        <w:t xml:space="preserve">more natural gas </w:t>
      </w:r>
      <w:r w:rsidR="008D1B1A" w:rsidRPr="000543F5">
        <w:t>would be</w:t>
      </w:r>
      <w:r w:rsidR="003439A5" w:rsidRPr="000543F5">
        <w:t xml:space="preserve"> burned in the auxiliary boiler to provide the regeneration energy. </w:t>
      </w:r>
      <w:r w:rsidR="00E86D4A" w:rsidRPr="000543F5">
        <w:t>This is the case for the three</w:t>
      </w:r>
      <w:r w:rsidR="00E86D4A" w:rsidRPr="00C33293">
        <w:t xml:space="preserve"> SAGD configurations studied. </w:t>
      </w:r>
      <w:r w:rsidR="003439A5" w:rsidRPr="00C33293">
        <w:t xml:space="preserve">Again, the impact is lower for the enzyme-enabled capture technology that uses a lower temperature regeneration energy. </w:t>
      </w:r>
    </w:p>
    <w:p w14:paraId="0BBB327C" w14:textId="09793472" w:rsidR="002563D7" w:rsidRDefault="002563D7" w:rsidP="002563D7">
      <w:pPr>
        <w:jc w:val="left"/>
      </w:pPr>
    </w:p>
    <w:p w14:paraId="0D7FCF54" w14:textId="0CD0EC1F" w:rsidR="00DB631D" w:rsidRDefault="00DB631D" w:rsidP="00DB631D">
      <w:r>
        <w:t xml:space="preserve">                            </w:t>
      </w:r>
      <w:r>
        <w:t xml:space="preserve">             </w:t>
      </w:r>
      <w:r>
        <w:t xml:space="preserve">    </w:t>
      </w:r>
      <w:r>
        <w:rPr>
          <w:noProof/>
          <w:lang w:eastAsia="en-CA"/>
        </w:rPr>
        <w:drawing>
          <wp:inline distT="0" distB="0" distL="0" distR="0" wp14:anchorId="1981D82A" wp14:editId="254E8905">
            <wp:extent cx="2684678" cy="203702"/>
            <wp:effectExtent l="0" t="0" r="190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0" r="7883" b="91055"/>
                    <a:stretch/>
                  </pic:blipFill>
                  <pic:spPr bwMode="auto">
                    <a:xfrm>
                      <a:off x="0" y="0"/>
                      <a:ext cx="3013393" cy="22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737AD" w14:textId="5C7BF733" w:rsidR="00DB631D" w:rsidRDefault="00DB631D" w:rsidP="002563D7">
      <w:r>
        <w:rPr>
          <w:noProof/>
          <w:lang w:eastAsia="en-CA"/>
        </w:rPr>
        <w:drawing>
          <wp:inline distT="0" distB="0" distL="0" distR="0" wp14:anchorId="50EB3C6A" wp14:editId="3549528C">
            <wp:extent cx="2023200" cy="202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20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F28DEC0" wp14:editId="58F09D33">
            <wp:extent cx="1724400" cy="2023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20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7771B638" wp14:editId="21CB8D4A">
            <wp:extent cx="1724400" cy="20232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20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679D9" w14:textId="77777777" w:rsidR="00135BDE" w:rsidRPr="00585525" w:rsidRDefault="00135BDE" w:rsidP="00135BDE">
      <w:pPr>
        <w:pStyle w:val="CETCaption"/>
      </w:pPr>
      <w:r w:rsidRPr="00B57B36">
        <w:t xml:space="preserve">Figure </w:t>
      </w:r>
      <w:r w:rsidR="00E71CD0">
        <w:t>3</w:t>
      </w:r>
      <w:r w:rsidRPr="00B57B36">
        <w:t xml:space="preserve">: </w:t>
      </w:r>
      <w:r>
        <w:t xml:space="preserve">Integration of CC units within SAGD </w:t>
      </w:r>
      <w:r w:rsidR="0093404F">
        <w:t>Configuration 1 (Base C</w:t>
      </w:r>
      <w:r>
        <w:t>ase</w:t>
      </w:r>
      <w:r w:rsidR="0093404F">
        <w:t>)</w:t>
      </w:r>
    </w:p>
    <w:p w14:paraId="177D5F10" w14:textId="3A7FC773" w:rsidR="00E71CD0" w:rsidRPr="00E71CD0" w:rsidRDefault="00B86ED0" w:rsidP="00F753DB">
      <w:pPr>
        <w:pStyle w:val="CETBodytext"/>
        <w:rPr>
          <w:lang w:val="en-GB"/>
        </w:rPr>
      </w:pPr>
      <w:r w:rsidRPr="00E71CD0">
        <w:rPr>
          <w:lang w:val="en-GB"/>
        </w:rPr>
        <w:t xml:space="preserve">As </w:t>
      </w:r>
      <w:r w:rsidRPr="00C33293">
        <w:rPr>
          <w:lang w:val="en-GB"/>
        </w:rPr>
        <w:t>shown in Figure 3, the impact of indirect CO</w:t>
      </w:r>
      <w:r w:rsidRPr="00C33293">
        <w:rPr>
          <w:vertAlign w:val="subscript"/>
          <w:lang w:val="en-GB"/>
        </w:rPr>
        <w:t>2</w:t>
      </w:r>
      <w:r w:rsidRPr="00C33293">
        <w:rPr>
          <w:lang w:val="en-GB"/>
        </w:rPr>
        <w:t xml:space="preserve"> emission associated with electricity consumption on total emissions is significant. In this study, </w:t>
      </w:r>
      <w:r w:rsidR="0081765D" w:rsidRPr="00C33293">
        <w:rPr>
          <w:lang w:val="en-GB"/>
        </w:rPr>
        <w:t xml:space="preserve">we </w:t>
      </w:r>
      <w:r w:rsidR="00E625F5" w:rsidRPr="00C33293">
        <w:rPr>
          <w:lang w:val="en-GB"/>
        </w:rPr>
        <w:t xml:space="preserve">also </w:t>
      </w:r>
      <w:r w:rsidR="0081765D" w:rsidRPr="00C33293">
        <w:rPr>
          <w:lang w:val="en-GB"/>
        </w:rPr>
        <w:t>analysed the potential benefits of using a cogeneration unit instead of an</w:t>
      </w:r>
      <w:r w:rsidRPr="00C33293">
        <w:rPr>
          <w:lang w:val="en-GB"/>
        </w:rPr>
        <w:t xml:space="preserve"> auxiliary boiler</w:t>
      </w:r>
      <w:r w:rsidR="0081765D" w:rsidRPr="00C33293">
        <w:rPr>
          <w:lang w:val="en-GB"/>
        </w:rPr>
        <w:t xml:space="preserve"> </w:t>
      </w:r>
      <w:r w:rsidR="00127E58" w:rsidRPr="000543F5">
        <w:rPr>
          <w:lang w:val="en-GB"/>
        </w:rPr>
        <w:t xml:space="preserve">to produce the regeneration </w:t>
      </w:r>
      <w:r w:rsidR="001F0DD2">
        <w:rPr>
          <w:lang w:val="en-GB"/>
        </w:rPr>
        <w:t>energy</w:t>
      </w:r>
      <w:r w:rsidR="00127E58" w:rsidRPr="000543F5">
        <w:rPr>
          <w:lang w:val="en-GB"/>
        </w:rPr>
        <w:t>. In this case, t</w:t>
      </w:r>
      <w:r w:rsidRPr="000543F5">
        <w:rPr>
          <w:lang w:val="en-GB"/>
        </w:rPr>
        <w:t>he</w:t>
      </w:r>
      <w:r w:rsidRPr="00C33293">
        <w:rPr>
          <w:lang w:val="en-GB"/>
        </w:rPr>
        <w:t xml:space="preserve"> cogeneration unit can </w:t>
      </w:r>
      <w:r w:rsidR="00127E58" w:rsidRPr="000543F5">
        <w:rPr>
          <w:lang w:val="en-GB"/>
        </w:rPr>
        <w:t>also</w:t>
      </w:r>
      <w:r w:rsidR="00127E58">
        <w:rPr>
          <w:lang w:val="en-GB"/>
        </w:rPr>
        <w:t xml:space="preserve"> </w:t>
      </w:r>
      <w:r w:rsidRPr="00C33293">
        <w:rPr>
          <w:lang w:val="en-GB"/>
        </w:rPr>
        <w:t>meet all of the SAGD facility,</w:t>
      </w:r>
      <w:r w:rsidR="00C206A2" w:rsidRPr="00C33293">
        <w:rPr>
          <w:lang w:val="en-GB"/>
        </w:rPr>
        <w:t xml:space="preserve"> carbon capture,</w:t>
      </w:r>
      <w:r w:rsidRPr="00C33293">
        <w:rPr>
          <w:lang w:val="en-GB"/>
        </w:rPr>
        <w:t xml:space="preserve"> </w:t>
      </w:r>
      <w:r w:rsidR="00FB34DD" w:rsidRPr="00C33293">
        <w:rPr>
          <w:lang w:val="en-GB"/>
        </w:rPr>
        <w:t xml:space="preserve">and compression’s power demands. It can also </w:t>
      </w:r>
      <w:r w:rsidRPr="00C33293">
        <w:rPr>
          <w:lang w:val="en-GB"/>
        </w:rPr>
        <w:t xml:space="preserve">generate excess power that can be exported to the grid </w:t>
      </w:r>
      <w:r w:rsidR="00FB34DD" w:rsidRPr="00C33293">
        <w:rPr>
          <w:lang w:val="en-GB"/>
        </w:rPr>
        <w:t xml:space="preserve">and </w:t>
      </w:r>
      <w:r w:rsidR="00855763" w:rsidRPr="00C33293">
        <w:rPr>
          <w:lang w:val="en-GB"/>
        </w:rPr>
        <w:t xml:space="preserve">therefore </w:t>
      </w:r>
      <w:r w:rsidR="00FB34DD" w:rsidRPr="00C33293">
        <w:rPr>
          <w:lang w:val="en-GB"/>
        </w:rPr>
        <w:t xml:space="preserve">considered as a GHG credit considering the </w:t>
      </w:r>
      <w:r w:rsidR="00C206A2" w:rsidRPr="00C33293">
        <w:rPr>
          <w:lang w:val="en-GB"/>
        </w:rPr>
        <w:t xml:space="preserve">grid power GHG intensity </w:t>
      </w:r>
      <w:r w:rsidR="00FB34DD" w:rsidRPr="00C33293">
        <w:rPr>
          <w:lang w:val="en-GB"/>
        </w:rPr>
        <w:t xml:space="preserve">(i.e. </w:t>
      </w:r>
      <w:r w:rsidR="00C206A2" w:rsidRPr="00C33293">
        <w:rPr>
          <w:lang w:val="en-GB"/>
        </w:rPr>
        <w:t>0.6</w:t>
      </w:r>
      <w:r w:rsidR="00EB5595" w:rsidRPr="00C33293">
        <w:rPr>
          <w:lang w:val="en-GB"/>
        </w:rPr>
        <w:t>35</w:t>
      </w:r>
      <w:r w:rsidR="00C206A2" w:rsidRPr="00C33293">
        <w:rPr>
          <w:lang w:val="en-GB"/>
        </w:rPr>
        <w:t xml:space="preserve"> t</w:t>
      </w:r>
      <w:r w:rsidR="00EB5595" w:rsidRPr="00C33293">
        <w:rPr>
          <w:lang w:val="en-GB"/>
        </w:rPr>
        <w:t>-</w:t>
      </w:r>
      <w:r w:rsidR="00C206A2" w:rsidRPr="00C33293">
        <w:rPr>
          <w:lang w:val="en-GB"/>
        </w:rPr>
        <w:t>CO</w:t>
      </w:r>
      <w:r w:rsidR="00C206A2" w:rsidRPr="00C33293">
        <w:rPr>
          <w:vertAlign w:val="subscript"/>
          <w:lang w:val="en-GB"/>
        </w:rPr>
        <w:t>2</w:t>
      </w:r>
      <w:r w:rsidR="00C206A2" w:rsidRPr="00C33293">
        <w:rPr>
          <w:lang w:val="en-GB"/>
        </w:rPr>
        <w:t>/</w:t>
      </w:r>
      <w:r w:rsidR="00EB5595" w:rsidRPr="00C33293">
        <w:rPr>
          <w:lang w:val="en-GB"/>
        </w:rPr>
        <w:t xml:space="preserve">MWh </w:t>
      </w:r>
      <w:r w:rsidR="00FB34DD" w:rsidRPr="00C33293">
        <w:rPr>
          <w:lang w:val="en-GB"/>
        </w:rPr>
        <w:t>in this study</w:t>
      </w:r>
      <w:r w:rsidR="00EB5595" w:rsidRPr="00C33293">
        <w:rPr>
          <w:lang w:val="en-GB"/>
        </w:rPr>
        <w:t>)</w:t>
      </w:r>
      <w:r w:rsidR="0081765D" w:rsidRPr="00C33293">
        <w:rPr>
          <w:lang w:val="en-GB"/>
        </w:rPr>
        <w:t xml:space="preserve">. </w:t>
      </w:r>
      <w:r w:rsidR="00203601" w:rsidRPr="00C33293">
        <w:rPr>
          <w:lang w:val="en-GB"/>
        </w:rPr>
        <w:t xml:space="preserve">As an example, </w:t>
      </w:r>
      <w:r w:rsidR="0081765D" w:rsidRPr="00C33293">
        <w:rPr>
          <w:lang w:val="en-GB"/>
        </w:rPr>
        <w:t xml:space="preserve">Figure 4 </w:t>
      </w:r>
      <w:r w:rsidR="00176008" w:rsidRPr="00C33293">
        <w:rPr>
          <w:lang w:val="en-GB"/>
        </w:rPr>
        <w:t xml:space="preserve">illustrates </w:t>
      </w:r>
      <w:r w:rsidR="00203601" w:rsidRPr="00C33293">
        <w:rPr>
          <w:lang w:val="en-GB"/>
        </w:rPr>
        <w:t>the use</w:t>
      </w:r>
      <w:r w:rsidR="0081765D" w:rsidRPr="00C33293">
        <w:rPr>
          <w:lang w:val="en-GB"/>
        </w:rPr>
        <w:t xml:space="preserve"> of a cogeneration </w:t>
      </w:r>
      <w:r w:rsidR="00E86D4A" w:rsidRPr="00C33293">
        <w:rPr>
          <w:lang w:val="en-GB"/>
        </w:rPr>
        <w:t xml:space="preserve">unit </w:t>
      </w:r>
      <w:r w:rsidR="00176008" w:rsidRPr="00C33293">
        <w:rPr>
          <w:lang w:val="en-GB"/>
        </w:rPr>
        <w:t xml:space="preserve">for carbon capture technology </w:t>
      </w:r>
      <w:r w:rsidR="0081765D" w:rsidRPr="00C33293">
        <w:rPr>
          <w:lang w:val="en-GB"/>
        </w:rPr>
        <w:t>CC 3</w:t>
      </w:r>
      <w:r w:rsidR="00176008" w:rsidRPr="00C33293">
        <w:rPr>
          <w:lang w:val="en-GB"/>
        </w:rPr>
        <w:t>. Th</w:t>
      </w:r>
      <w:bookmarkStart w:id="0" w:name="_GoBack"/>
      <w:bookmarkEnd w:id="0"/>
      <w:r w:rsidR="00176008" w:rsidRPr="00C33293">
        <w:rPr>
          <w:lang w:val="en-GB"/>
        </w:rPr>
        <w:t xml:space="preserve">e figure shows </w:t>
      </w:r>
      <w:r w:rsidR="0081765D" w:rsidRPr="00C33293">
        <w:rPr>
          <w:lang w:val="en-GB"/>
        </w:rPr>
        <w:t>a</w:t>
      </w:r>
      <w:r w:rsidRPr="00C33293">
        <w:rPr>
          <w:lang w:val="en-GB"/>
        </w:rPr>
        <w:t xml:space="preserve"> negative</w:t>
      </w:r>
      <w:r w:rsidR="0081765D" w:rsidRPr="00C33293">
        <w:rPr>
          <w:lang w:val="en-GB"/>
        </w:rPr>
        <w:t xml:space="preserve"> value</w:t>
      </w:r>
      <w:r w:rsidRPr="00C33293">
        <w:rPr>
          <w:lang w:val="en-GB"/>
        </w:rPr>
        <w:t xml:space="preserve"> for indirect emission </w:t>
      </w:r>
      <w:r w:rsidR="00176008" w:rsidRPr="00C33293">
        <w:rPr>
          <w:lang w:val="en-GB"/>
        </w:rPr>
        <w:t xml:space="preserve">due to power export </w:t>
      </w:r>
      <w:r w:rsidR="0081765D" w:rsidRPr="00C33293">
        <w:rPr>
          <w:lang w:val="en-GB"/>
        </w:rPr>
        <w:t>that</w:t>
      </w:r>
      <w:r w:rsidRPr="00C33293">
        <w:rPr>
          <w:lang w:val="en-GB"/>
        </w:rPr>
        <w:t xml:space="preserve"> results in less </w:t>
      </w:r>
      <w:r w:rsidR="00855763" w:rsidRPr="00C33293">
        <w:rPr>
          <w:lang w:val="en-GB"/>
        </w:rPr>
        <w:t xml:space="preserve">overall </w:t>
      </w:r>
      <w:r w:rsidRPr="00C33293">
        <w:rPr>
          <w:lang w:val="en-GB"/>
        </w:rPr>
        <w:t>CO</w:t>
      </w:r>
      <w:r w:rsidRPr="00C33293">
        <w:rPr>
          <w:vertAlign w:val="subscript"/>
          <w:lang w:val="en-GB"/>
        </w:rPr>
        <w:t>2</w:t>
      </w:r>
      <w:r w:rsidRPr="00C33293">
        <w:rPr>
          <w:lang w:val="en-GB"/>
        </w:rPr>
        <w:t xml:space="preserve"> emissions compared</w:t>
      </w:r>
      <w:r>
        <w:rPr>
          <w:lang w:val="en-GB"/>
        </w:rPr>
        <w:t xml:space="preserve"> to the scenario with auxiliary boiler</w:t>
      </w:r>
      <w:r w:rsidR="00FB34DD">
        <w:rPr>
          <w:lang w:val="en-GB"/>
        </w:rPr>
        <w:t xml:space="preserve"> (see Figure 3)</w:t>
      </w:r>
      <w:r>
        <w:rPr>
          <w:lang w:val="en-GB"/>
        </w:rPr>
        <w:t>.</w:t>
      </w:r>
      <w:r w:rsidR="00BF1B36">
        <w:rPr>
          <w:lang w:val="en-GB"/>
        </w:rPr>
        <w:t xml:space="preserve"> </w:t>
      </w:r>
      <w:r w:rsidR="0081765D">
        <w:rPr>
          <w:lang w:val="en-GB"/>
        </w:rPr>
        <w:t>However, using cogeneration increases the natural gas consumption and direct</w:t>
      </w:r>
      <w:r w:rsidR="00E435DE">
        <w:rPr>
          <w:lang w:val="en-GB"/>
        </w:rPr>
        <w:t xml:space="preserve"> GHG emissions</w:t>
      </w:r>
      <w:r w:rsidR="00203601">
        <w:rPr>
          <w:lang w:val="en-GB"/>
        </w:rPr>
        <w:t>, as well as capital cost</w:t>
      </w:r>
      <w:r w:rsidR="00E435DE">
        <w:rPr>
          <w:lang w:val="en-GB"/>
        </w:rPr>
        <w:t xml:space="preserve">. This is the case for all PCC technologies studied. </w:t>
      </w:r>
    </w:p>
    <w:p w14:paraId="3FB4AB80" w14:textId="77777777" w:rsidR="00E71CD0" w:rsidRPr="00C50577" w:rsidRDefault="00E71CD0" w:rsidP="00F753DB">
      <w:pPr>
        <w:pStyle w:val="CETBodytext"/>
        <w:rPr>
          <w:lang w:val="en-GB"/>
        </w:rPr>
      </w:pPr>
    </w:p>
    <w:p w14:paraId="11241A4E" w14:textId="7A5F556F" w:rsidR="00135BDE" w:rsidRDefault="00B53E1B" w:rsidP="00F753DB">
      <w:pPr>
        <w:pStyle w:val="CETBodytext"/>
      </w:pPr>
      <w:r>
        <w:rPr>
          <w:noProof/>
          <w:lang w:val="en-CA" w:eastAsia="en-CA"/>
        </w:rPr>
        <w:drawing>
          <wp:inline distT="0" distB="0" distL="0" distR="0" wp14:anchorId="31A282A6" wp14:editId="71481A3B">
            <wp:extent cx="3780000" cy="189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8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1DCC8" w14:textId="77777777" w:rsidR="00133A66" w:rsidRPr="00BF1B36" w:rsidRDefault="00BF1B36" w:rsidP="00BF1B36">
      <w:pPr>
        <w:pStyle w:val="CETCaption"/>
      </w:pPr>
      <w:r w:rsidRPr="00B57B36">
        <w:t xml:space="preserve">Figure </w:t>
      </w:r>
      <w:r>
        <w:t>4</w:t>
      </w:r>
      <w:r w:rsidRPr="00B57B36">
        <w:t xml:space="preserve">: </w:t>
      </w:r>
      <w:r>
        <w:t xml:space="preserve">Integration of CC 3 unit </w:t>
      </w:r>
      <w:r w:rsidR="0093404F">
        <w:t xml:space="preserve">with a cogeneration unit </w:t>
      </w:r>
      <w:r>
        <w:t xml:space="preserve">within SAGD </w:t>
      </w:r>
      <w:r w:rsidR="0093404F">
        <w:t>Configuration 1 (Base Case)</w:t>
      </w:r>
      <w:r>
        <w:t xml:space="preserve"> </w:t>
      </w:r>
    </w:p>
    <w:p w14:paraId="154FB236" w14:textId="77777777" w:rsidR="00F753DB" w:rsidRPr="00F753DB" w:rsidRDefault="00F753DB" w:rsidP="00F753DB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  <w:r w:rsidRPr="00F753DB">
        <w:rPr>
          <w:lang w:val="en-GB"/>
        </w:rPr>
        <w:t xml:space="preserve"> </w:t>
      </w:r>
    </w:p>
    <w:p w14:paraId="73EAC715" w14:textId="6F049630" w:rsidR="00FA5C2D" w:rsidRPr="00AE4BCC" w:rsidRDefault="00B86ED0" w:rsidP="00AE4BCC">
      <w:pPr>
        <w:pStyle w:val="CETAcknowledgementstitle"/>
        <w:jc w:val="both"/>
        <w:rPr>
          <w:b w:val="0"/>
        </w:rPr>
      </w:pPr>
      <w:r>
        <w:rPr>
          <w:b w:val="0"/>
        </w:rPr>
        <w:t xml:space="preserve">Lowering the </w:t>
      </w:r>
      <w:r w:rsidRPr="00C33293">
        <w:rPr>
          <w:b w:val="0"/>
        </w:rPr>
        <w:t xml:space="preserve">carbon dioxide emissions in various industrial sectors is </w:t>
      </w:r>
      <w:r w:rsidR="00E86D4A" w:rsidRPr="00C33293">
        <w:rPr>
          <w:b w:val="0"/>
        </w:rPr>
        <w:t xml:space="preserve">necessary </w:t>
      </w:r>
      <w:r w:rsidRPr="00C33293">
        <w:rPr>
          <w:b w:val="0"/>
        </w:rPr>
        <w:t xml:space="preserve">to meet GHG emission targets established in international agreements. Consequently, </w:t>
      </w:r>
      <w:r w:rsidR="002A2808" w:rsidRPr="00C33293">
        <w:rPr>
          <w:b w:val="0"/>
        </w:rPr>
        <w:t xml:space="preserve">the </w:t>
      </w:r>
      <w:r w:rsidRPr="00C33293">
        <w:rPr>
          <w:b w:val="0"/>
        </w:rPr>
        <w:t xml:space="preserve">Canadian oil sands industry needs to significantly reduce its GHG emissions to </w:t>
      </w:r>
      <w:r w:rsidR="00EB5595" w:rsidRPr="00C33293">
        <w:rPr>
          <w:b w:val="0"/>
        </w:rPr>
        <w:t>comply with</w:t>
      </w:r>
      <w:r w:rsidRPr="00C33293">
        <w:rPr>
          <w:b w:val="0"/>
        </w:rPr>
        <w:t xml:space="preserve"> federal/provincial regulations and </w:t>
      </w:r>
      <w:r w:rsidR="00EB5595" w:rsidRPr="00C33293">
        <w:rPr>
          <w:b w:val="0"/>
        </w:rPr>
        <w:t>to improve</w:t>
      </w:r>
      <w:r w:rsidRPr="00C33293">
        <w:rPr>
          <w:b w:val="0"/>
        </w:rPr>
        <w:t xml:space="preserve"> international acceptance. Carbon capture is considered as an efficient path for decarbonisation in energy intensive industries. In this study, energy integration aspects for </w:t>
      </w:r>
      <w:r w:rsidR="00EB5595" w:rsidRPr="00C33293">
        <w:rPr>
          <w:b w:val="0"/>
        </w:rPr>
        <w:t>SAGD</w:t>
      </w:r>
      <w:r w:rsidRPr="00C33293">
        <w:rPr>
          <w:b w:val="0"/>
        </w:rPr>
        <w:t xml:space="preserve"> facilities </w:t>
      </w:r>
      <w:r w:rsidR="002A2808" w:rsidRPr="00C33293">
        <w:rPr>
          <w:b w:val="0"/>
        </w:rPr>
        <w:t xml:space="preserve">with </w:t>
      </w:r>
      <w:r w:rsidR="00CB7E59" w:rsidRPr="00C33293">
        <w:rPr>
          <w:b w:val="0"/>
        </w:rPr>
        <w:t xml:space="preserve">PCC </w:t>
      </w:r>
      <w:r w:rsidR="00055F33">
        <w:rPr>
          <w:b w:val="0"/>
        </w:rPr>
        <w:t>are analysed in order to maximis</w:t>
      </w:r>
      <w:r w:rsidR="00CB7E59" w:rsidRPr="00C33293">
        <w:rPr>
          <w:b w:val="0"/>
        </w:rPr>
        <w:t xml:space="preserve">e the use of waste heat and decrease the use of natural gas to produce the PCC regeneration energy. Among all studied options, the technologies that use a low-grade heat as regeneration energy benefit more from waste heat and rely less on natural gas. </w:t>
      </w:r>
      <w:r w:rsidR="00C33293" w:rsidRPr="00C33293">
        <w:rPr>
          <w:b w:val="0"/>
        </w:rPr>
        <w:t>In addition</w:t>
      </w:r>
      <w:r w:rsidR="00CB7E59" w:rsidRPr="00C33293">
        <w:rPr>
          <w:b w:val="0"/>
        </w:rPr>
        <w:t xml:space="preserve">, PCC with a cogeneration unit simultaneously producing heat and power appears to be attractive in terms of overall GHG reductions and new revenues from </w:t>
      </w:r>
      <w:r w:rsidR="00CB7E59" w:rsidRPr="00C50577">
        <w:rPr>
          <w:b w:val="0"/>
        </w:rPr>
        <w:t xml:space="preserve">power export. However, direct emissions and capital investment would be higher than </w:t>
      </w:r>
      <w:r w:rsidR="002A2808" w:rsidRPr="00C50577">
        <w:rPr>
          <w:b w:val="0"/>
        </w:rPr>
        <w:t xml:space="preserve">with </w:t>
      </w:r>
      <w:r w:rsidR="00CB7E59" w:rsidRPr="00C50577">
        <w:rPr>
          <w:b w:val="0"/>
        </w:rPr>
        <w:t xml:space="preserve">a conventional </w:t>
      </w:r>
      <w:r w:rsidR="00CB7E59" w:rsidRPr="001A1B05">
        <w:rPr>
          <w:b w:val="0"/>
        </w:rPr>
        <w:t xml:space="preserve">boiler. </w:t>
      </w:r>
      <w:r w:rsidR="001A1B05" w:rsidRPr="001A1B05">
        <w:rPr>
          <w:b w:val="0"/>
        </w:rPr>
        <w:t>Further</w:t>
      </w:r>
      <w:r w:rsidR="0001765A" w:rsidRPr="001A1B05">
        <w:rPr>
          <w:b w:val="0"/>
        </w:rPr>
        <w:t xml:space="preserve">, this work did not consider capital cost that could significantly affect the </w:t>
      </w:r>
      <w:r w:rsidR="001A1B05" w:rsidRPr="001A1B05">
        <w:rPr>
          <w:b w:val="0"/>
        </w:rPr>
        <w:t>overall capture cost. The economic analysis of SAGD processes with PCC will be studied in the next phase of this work.</w:t>
      </w:r>
      <w:r w:rsidR="0001765A" w:rsidRPr="001A1B05">
        <w:rPr>
          <w:b w:val="0"/>
        </w:rPr>
        <w:t xml:space="preserve"> </w:t>
      </w:r>
      <w:r w:rsidR="00CB7E59" w:rsidRPr="001A1B05">
        <w:rPr>
          <w:b w:val="0"/>
        </w:rPr>
        <w:t xml:space="preserve">In all cases, synergies between SAGD </w:t>
      </w:r>
      <w:r w:rsidR="001A1B05" w:rsidRPr="001A1B05">
        <w:rPr>
          <w:b w:val="0"/>
        </w:rPr>
        <w:t xml:space="preserve">process </w:t>
      </w:r>
      <w:r w:rsidR="00CB7E59" w:rsidRPr="001A1B05">
        <w:rPr>
          <w:b w:val="0"/>
        </w:rPr>
        <w:t>and PCC were exploited from an energy and environment perspective. The results</w:t>
      </w:r>
      <w:r w:rsidR="00CB7E59" w:rsidRPr="00C50577">
        <w:rPr>
          <w:b w:val="0"/>
        </w:rPr>
        <w:t xml:space="preserve"> revealed that the SAGD configuration, its heat integration level and the type of PCC technology affect the amount of waste heat that can be used as regeneration energy</w:t>
      </w:r>
      <w:r w:rsidR="00F64384" w:rsidRPr="00C50577">
        <w:rPr>
          <w:b w:val="0"/>
        </w:rPr>
        <w:t>,</w:t>
      </w:r>
      <w:r w:rsidR="00CB7E59" w:rsidRPr="00C50577">
        <w:rPr>
          <w:b w:val="0"/>
        </w:rPr>
        <w:t xml:space="preserve"> </w:t>
      </w:r>
      <w:r w:rsidR="002037DB" w:rsidRPr="00C50577">
        <w:rPr>
          <w:b w:val="0"/>
        </w:rPr>
        <w:t>as well as</w:t>
      </w:r>
      <w:r w:rsidR="00CB7E59" w:rsidRPr="00C50577">
        <w:rPr>
          <w:b w:val="0"/>
        </w:rPr>
        <w:t xml:space="preserve"> the overall energy</w:t>
      </w:r>
      <w:r w:rsidR="00F64384" w:rsidRPr="00C50577">
        <w:rPr>
          <w:b w:val="0"/>
        </w:rPr>
        <w:t xml:space="preserve"> demand</w:t>
      </w:r>
      <w:r w:rsidR="00F64384" w:rsidRPr="00C33293">
        <w:rPr>
          <w:b w:val="0"/>
        </w:rPr>
        <w:t>,</w:t>
      </w:r>
      <w:r w:rsidR="00CB7E59" w:rsidRPr="00C33293">
        <w:rPr>
          <w:b w:val="0"/>
        </w:rPr>
        <w:t xml:space="preserve"> </w:t>
      </w:r>
      <w:r w:rsidR="002037DB" w:rsidRPr="00C33293">
        <w:rPr>
          <w:b w:val="0"/>
        </w:rPr>
        <w:t>and</w:t>
      </w:r>
      <w:r w:rsidR="00CB7E59" w:rsidRPr="00C33293">
        <w:rPr>
          <w:b w:val="0"/>
        </w:rPr>
        <w:t xml:space="preserve"> </w:t>
      </w:r>
      <w:r w:rsidR="00A56043" w:rsidRPr="00C33293">
        <w:rPr>
          <w:b w:val="0"/>
        </w:rPr>
        <w:t>GHG emission reduction</w:t>
      </w:r>
      <w:r w:rsidR="00CB7E59" w:rsidRPr="00C33293">
        <w:rPr>
          <w:b w:val="0"/>
        </w:rPr>
        <w:t>.</w:t>
      </w:r>
      <w:r w:rsidR="00FA5C2D">
        <w:rPr>
          <w:b w:val="0"/>
        </w:rPr>
        <w:t xml:space="preserve"> </w:t>
      </w:r>
    </w:p>
    <w:p w14:paraId="67BA0B85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6758CAD3" w14:textId="4F58A6B0" w:rsidR="00600535" w:rsidRPr="00B57B36" w:rsidRDefault="00D9582B" w:rsidP="00600535">
      <w:pPr>
        <w:pStyle w:val="CETBodytext"/>
        <w:rPr>
          <w:lang w:val="en-GB"/>
        </w:rPr>
      </w:pPr>
      <w:r>
        <w:rPr>
          <w:lang w:val="en-GB"/>
        </w:rPr>
        <w:t>T</w:t>
      </w:r>
      <w:r w:rsidR="00920A48" w:rsidRPr="00920A48">
        <w:rPr>
          <w:lang w:val="en-GB"/>
        </w:rPr>
        <w:t xml:space="preserve">he Energy Innovation Program (EIP) at Natural Resources Canada for the funding of this research work, COSIA Joint Industry Project members </w:t>
      </w:r>
      <w:r w:rsidR="008F18FA" w:rsidRPr="008F18FA">
        <w:rPr>
          <w:lang w:val="en-GB"/>
        </w:rPr>
        <w:t>CNOOC International</w:t>
      </w:r>
      <w:r w:rsidR="00920A48" w:rsidRPr="00920A48">
        <w:rPr>
          <w:lang w:val="en-GB"/>
        </w:rPr>
        <w:t xml:space="preserve">, </w:t>
      </w:r>
      <w:r w:rsidR="008F18FA">
        <w:rPr>
          <w:lang w:val="en-GB"/>
        </w:rPr>
        <w:t>Canadian Natural,</w:t>
      </w:r>
      <w:r w:rsidR="00920A48" w:rsidRPr="00920A48">
        <w:rPr>
          <w:lang w:val="en-GB"/>
        </w:rPr>
        <w:t xml:space="preserve"> and Suncor </w:t>
      </w:r>
      <w:r w:rsidR="00275942">
        <w:rPr>
          <w:lang w:val="en-GB"/>
        </w:rPr>
        <w:t xml:space="preserve">Energy </w:t>
      </w:r>
      <w:r w:rsidR="00920A48" w:rsidRPr="00920A48">
        <w:rPr>
          <w:lang w:val="en-GB"/>
        </w:rPr>
        <w:t xml:space="preserve">for providing valuable input to the project, </w:t>
      </w:r>
      <w:r w:rsidR="00B57139">
        <w:rPr>
          <w:lang w:val="en-GB"/>
        </w:rPr>
        <w:t>CO</w:t>
      </w:r>
      <w:r w:rsidR="00B57139" w:rsidRPr="00B57139">
        <w:rPr>
          <w:vertAlign w:val="subscript"/>
          <w:lang w:val="en-GB"/>
        </w:rPr>
        <w:t>2</w:t>
      </w:r>
      <w:r w:rsidR="00B57139">
        <w:rPr>
          <w:lang w:val="en-GB"/>
        </w:rPr>
        <w:t xml:space="preserve"> Solutions Inc.</w:t>
      </w:r>
      <w:r w:rsidR="00920A48" w:rsidRPr="00B70ADC">
        <w:rPr>
          <w:lang w:val="en-GB"/>
        </w:rPr>
        <w:t xml:space="preserve"> and Mitsubishi Heavy Industries America for </w:t>
      </w:r>
      <w:r w:rsidR="001F39D4">
        <w:rPr>
          <w:lang w:val="en-GB"/>
        </w:rPr>
        <w:t>providing</w:t>
      </w:r>
      <w:r w:rsidR="00920A48" w:rsidRPr="00B70ADC">
        <w:rPr>
          <w:lang w:val="en-GB"/>
        </w:rPr>
        <w:t xml:space="preserve"> </w:t>
      </w:r>
      <w:r w:rsidR="001F39D4">
        <w:rPr>
          <w:lang w:val="en-GB"/>
        </w:rPr>
        <w:t>data</w:t>
      </w:r>
      <w:r w:rsidR="00920A48" w:rsidRPr="00B70ADC">
        <w:rPr>
          <w:lang w:val="en-GB"/>
        </w:rPr>
        <w:t xml:space="preserve"> </w:t>
      </w:r>
      <w:r w:rsidR="001F39D4">
        <w:rPr>
          <w:lang w:val="en-GB"/>
        </w:rPr>
        <w:t>for</w:t>
      </w:r>
      <w:r w:rsidR="00920A48" w:rsidRPr="00B70ADC">
        <w:rPr>
          <w:lang w:val="en-GB"/>
        </w:rPr>
        <w:t xml:space="preserve"> their carbon capture </w:t>
      </w:r>
      <w:r w:rsidR="001F39D4">
        <w:rPr>
          <w:lang w:val="en-GB"/>
        </w:rPr>
        <w:t>technologies</w:t>
      </w:r>
      <w:r w:rsidR="00920A48" w:rsidRPr="00B70ADC">
        <w:rPr>
          <w:lang w:val="en-GB"/>
        </w:rPr>
        <w:t>.</w:t>
      </w:r>
      <w:r w:rsidR="004C5357" w:rsidRPr="00B70ADC">
        <w:rPr>
          <w:lang w:val="en-GB"/>
        </w:rPr>
        <w:t xml:space="preserve"> </w:t>
      </w:r>
    </w:p>
    <w:p w14:paraId="5469F4DD" w14:textId="77777777" w:rsidR="00600535" w:rsidRPr="00B57B36" w:rsidRDefault="00600535" w:rsidP="00600535">
      <w:pPr>
        <w:pStyle w:val="CETReference"/>
      </w:pPr>
      <w:r w:rsidRPr="00B57B36">
        <w:t>References</w:t>
      </w:r>
    </w:p>
    <w:p w14:paraId="5E13B951" w14:textId="77777777" w:rsidR="005B59D2" w:rsidRDefault="005B59D2" w:rsidP="005B59D2">
      <w:pPr>
        <w:pStyle w:val="CETReferencetext"/>
      </w:pPr>
      <w:r>
        <w:t>Ashrafi O., Navarri P., Hughes R.</w:t>
      </w:r>
      <w:r w:rsidRPr="00D70064">
        <w:t>, Lu</w:t>
      </w:r>
      <w:r>
        <w:t xml:space="preserve"> D., 2016, Heat recovery optimization in a steam-assisted gravity drainage (SAGD) plant, Energy, 111,</w:t>
      </w:r>
      <w:r w:rsidRPr="00D70064">
        <w:t xml:space="preserve"> 981</w:t>
      </w:r>
      <w:r w:rsidRPr="00C47FBF">
        <w:t>–</w:t>
      </w:r>
      <w:r w:rsidRPr="00D70064">
        <w:t>990</w:t>
      </w:r>
      <w:r>
        <w:t xml:space="preserve">. </w:t>
      </w:r>
    </w:p>
    <w:p w14:paraId="35B93783" w14:textId="0A7D9DE4" w:rsidR="005B59D2" w:rsidRDefault="005B59D2" w:rsidP="005B59D2">
      <w:pPr>
        <w:pStyle w:val="CETReferencetext"/>
      </w:pPr>
      <w:r>
        <w:t>Berstad D.</w:t>
      </w:r>
      <w:r w:rsidRPr="001B56A6">
        <w:t>, Anantharaman</w:t>
      </w:r>
      <w:r>
        <w:t xml:space="preserve"> R.</w:t>
      </w:r>
      <w:r w:rsidRPr="001B56A6">
        <w:t>, Neksa</w:t>
      </w:r>
      <w:r>
        <w:t xml:space="preserve"> P., 2013, Low-temperature CO2 capture technologies – Applications and potential, International Journal of Refrigeration, 36, 1403</w:t>
      </w:r>
      <w:r w:rsidRPr="00C47FBF">
        <w:t>–</w:t>
      </w:r>
      <w:r>
        <w:t>141</w:t>
      </w:r>
      <w:r w:rsidRPr="001B56A6">
        <w:t>6</w:t>
      </w:r>
      <w:r>
        <w:t xml:space="preserve">. </w:t>
      </w:r>
    </w:p>
    <w:p w14:paraId="101ED95F" w14:textId="4D5C4C33" w:rsidR="009E76AA" w:rsidRDefault="009E76AA" w:rsidP="009E76AA">
      <w:pPr>
        <w:pStyle w:val="CETReferencetext"/>
      </w:pPr>
      <w:r>
        <w:t xml:space="preserve">COSIA, 2018, SAGD Reference Facilities Report, </w:t>
      </w:r>
      <w:hyperlink r:id="rId23" w:history="1">
        <w:r w:rsidRPr="008251EF">
          <w:rPr>
            <w:rStyle w:val="Hyperlink"/>
          </w:rPr>
          <w:t>https://www.cosia.ca/node/38</w:t>
        </w:r>
      </w:hyperlink>
      <w:r>
        <w:t xml:space="preserve">, accessed 17/01/2019. </w:t>
      </w:r>
    </w:p>
    <w:p w14:paraId="1D936353" w14:textId="77777777" w:rsidR="005B59D2" w:rsidRDefault="005B59D2" w:rsidP="005B59D2">
      <w:pPr>
        <w:pStyle w:val="CETReferencetext"/>
      </w:pPr>
      <w:r w:rsidRPr="00CA0E81">
        <w:t>Fitzpatrick</w:t>
      </w:r>
      <w:r>
        <w:t xml:space="preserve"> J.J</w:t>
      </w:r>
      <w:r w:rsidRPr="00CA0E81">
        <w:t>, Dooley</w:t>
      </w:r>
      <w:r>
        <w:t xml:space="preserve"> P., 2017, Holistic view of CO</w:t>
      </w:r>
      <w:r w:rsidRPr="00C47FBF">
        <w:rPr>
          <w:vertAlign w:val="subscript"/>
        </w:rPr>
        <w:t>2</w:t>
      </w:r>
      <w:r>
        <w:t xml:space="preserve"> reduction potential from energy use by an individual processing company, </w:t>
      </w:r>
      <w:r w:rsidRPr="00C47FBF">
        <w:t>Renewable and Sustainable Energy Reviews</w:t>
      </w:r>
      <w:r>
        <w:t xml:space="preserve">, 77, </w:t>
      </w:r>
      <w:r w:rsidRPr="00C47FBF">
        <w:t>336–343</w:t>
      </w:r>
      <w:r>
        <w:t xml:space="preserve">. </w:t>
      </w:r>
    </w:p>
    <w:p w14:paraId="3A562C9D" w14:textId="74D41744" w:rsidR="005B59D2" w:rsidRDefault="005B59D2" w:rsidP="005B59D2">
      <w:pPr>
        <w:pStyle w:val="CETReferencetext"/>
      </w:pPr>
      <w:r w:rsidRPr="00D70064">
        <w:t>Gadalla M</w:t>
      </w:r>
      <w:r>
        <w:t>.</w:t>
      </w:r>
      <w:r w:rsidRPr="00D70064">
        <w:t>A.</w:t>
      </w:r>
      <w:r>
        <w:t>, 2015,</w:t>
      </w:r>
      <w:r w:rsidRPr="00D70064">
        <w:t xml:space="preserve"> A new graphical method for pinch analysis application: heat exchanger network </w:t>
      </w:r>
      <w:r>
        <w:t>retrofit and energy integration,</w:t>
      </w:r>
      <w:r w:rsidRPr="00D70064">
        <w:t xml:space="preserve"> Energy</w:t>
      </w:r>
      <w:r>
        <w:t xml:space="preserve">, 81, </w:t>
      </w:r>
      <w:r w:rsidRPr="00D70064">
        <w:t>159</w:t>
      </w:r>
      <w:r w:rsidRPr="00C47FBF">
        <w:t>–</w:t>
      </w:r>
      <w:r>
        <w:t>1</w:t>
      </w:r>
      <w:r w:rsidRPr="00D70064">
        <w:t>74.</w:t>
      </w:r>
      <w:r>
        <w:t xml:space="preserve"> </w:t>
      </w:r>
    </w:p>
    <w:p w14:paraId="16FA4520" w14:textId="77777777" w:rsidR="005B59D2" w:rsidRDefault="005B59D2" w:rsidP="005B59D2">
      <w:pPr>
        <w:pStyle w:val="CETReferencetext"/>
      </w:pPr>
      <w:r>
        <w:t xml:space="preserve">IEA, 2013, </w:t>
      </w:r>
      <w:r w:rsidRPr="00821A2A">
        <w:t>Technology Roadmap: Carbon Capture and Storage</w:t>
      </w:r>
      <w:r>
        <w:t xml:space="preserve">, Energy Technologies Perspective, France. </w:t>
      </w:r>
    </w:p>
    <w:p w14:paraId="1A3A980C" w14:textId="77777777" w:rsidR="005B59D2" w:rsidRDefault="005B59D2" w:rsidP="005B59D2">
      <w:pPr>
        <w:pStyle w:val="CETReferencetext"/>
      </w:pPr>
      <w:r w:rsidRPr="00E85ACE">
        <w:t>Jac</w:t>
      </w:r>
      <w:r>
        <w:t>o</w:t>
      </w:r>
      <w:r w:rsidRPr="00E85ACE">
        <w:t>bs Consultancy,</w:t>
      </w:r>
      <w:r>
        <w:t xml:space="preserve"> 2009, </w:t>
      </w:r>
      <w:r w:rsidRPr="00E85ACE">
        <w:t>SAGD Energy Efficiency Study</w:t>
      </w:r>
      <w:r>
        <w:t xml:space="preserve">, Canada. </w:t>
      </w:r>
    </w:p>
    <w:p w14:paraId="58C0BBB2" w14:textId="70A8A6F9" w:rsidR="005B59D2" w:rsidRDefault="005B59D2" w:rsidP="00C76649">
      <w:pPr>
        <w:pStyle w:val="CETReferencetext"/>
      </w:pPr>
      <w:r w:rsidRPr="000347F0">
        <w:t>Jacobs Consultancy</w:t>
      </w:r>
      <w:r>
        <w:t>, 2012, Thermal in situ water conservation study – A s</w:t>
      </w:r>
      <w:r w:rsidRPr="000347F0">
        <w:t>ummary report,</w:t>
      </w:r>
      <w:r w:rsidRPr="000347F0">
        <w:rPr>
          <w:rStyle w:val="Hyperlink"/>
          <w:color w:val="auto"/>
          <w:u w:val="none"/>
        </w:rPr>
        <w:t xml:space="preserve"> Canada</w:t>
      </w:r>
      <w:r>
        <w:t xml:space="preserve">. </w:t>
      </w:r>
    </w:p>
    <w:p w14:paraId="74ED9199" w14:textId="77777777" w:rsidR="0001243B" w:rsidRDefault="0001243B" w:rsidP="0001243B">
      <w:pPr>
        <w:pStyle w:val="CETReferencetext"/>
      </w:pPr>
      <w:r>
        <w:t>Kessler E., Schäfer L.N., Willy B., Schneider R., Irfan M., Rolker J., von Harbou E., Hasse H., 2018, Structure-property relationships for new amines for reactive CO</w:t>
      </w:r>
      <w:r w:rsidRPr="0026785A">
        <w:rPr>
          <w:vertAlign w:val="subscript"/>
        </w:rPr>
        <w:t>2</w:t>
      </w:r>
      <w:r>
        <w:t xml:space="preserve"> absorption, Chemical Engineering Transactions, 69, 109</w:t>
      </w:r>
      <w:r w:rsidRPr="00C47FBF">
        <w:t>–</w:t>
      </w:r>
      <w:r>
        <w:t xml:space="preserve">114. </w:t>
      </w:r>
    </w:p>
    <w:p w14:paraId="58F79709" w14:textId="77777777" w:rsidR="0001243B" w:rsidRDefault="0001243B" w:rsidP="0001243B">
      <w:pPr>
        <w:pStyle w:val="CETReferencetext"/>
      </w:pPr>
      <w:r w:rsidRPr="008E0A2A">
        <w:t>Laribi</w:t>
      </w:r>
      <w:r>
        <w:t xml:space="preserve"> S.</w:t>
      </w:r>
      <w:r w:rsidRPr="008E0A2A">
        <w:t>, Dubois</w:t>
      </w:r>
      <w:r>
        <w:t xml:space="preserve"> L.</w:t>
      </w:r>
      <w:r w:rsidRPr="008E0A2A">
        <w:t>, Weireld</w:t>
      </w:r>
      <w:r>
        <w:t xml:space="preserve"> G.D.</w:t>
      </w:r>
      <w:r w:rsidRPr="008E0A2A">
        <w:t>, Thomas</w:t>
      </w:r>
      <w:r>
        <w:t xml:space="preserve"> D., 2018, Simultaneous absorption of SO</w:t>
      </w:r>
      <w:r w:rsidRPr="008E0A2A">
        <w:rPr>
          <w:vertAlign w:val="subscript"/>
        </w:rPr>
        <w:t>2</w:t>
      </w:r>
      <w:r>
        <w:t xml:space="preserve"> and CO</w:t>
      </w:r>
      <w:r w:rsidRPr="008E0A2A">
        <w:rPr>
          <w:vertAlign w:val="subscript"/>
        </w:rPr>
        <w:t>2</w:t>
      </w:r>
      <w:r>
        <w:t xml:space="preserve"> from conventional and partial Oxy-fuel cement plant flue gases, Chemical Engineering Transactions, 69, 121</w:t>
      </w:r>
      <w:r w:rsidRPr="00C47FBF">
        <w:t>–</w:t>
      </w:r>
      <w:r>
        <w:t xml:space="preserve">126. </w:t>
      </w:r>
    </w:p>
    <w:p w14:paraId="2D6A293C" w14:textId="77777777" w:rsidR="0001243B" w:rsidRDefault="0001243B" w:rsidP="0001243B">
      <w:pPr>
        <w:pStyle w:val="CETReferencetext"/>
      </w:pPr>
      <w:r>
        <w:t>Li K., Feron P.H.M., Jiang K., Jones T.W., Bennett R.D., 2018, Hollenkamp A.F., Pearson P., Reaction enthalpy conversion in amine based post-combustion CO</w:t>
      </w:r>
      <w:r w:rsidRPr="008E0A2A">
        <w:rPr>
          <w:vertAlign w:val="subscript"/>
        </w:rPr>
        <w:t>2</w:t>
      </w:r>
      <w:r>
        <w:t xml:space="preserve"> capture, Chemical Engineering Transactions, 69, 139</w:t>
      </w:r>
      <w:r w:rsidRPr="00C47FBF">
        <w:t>–</w:t>
      </w:r>
      <w:r>
        <w:t xml:space="preserve">144. </w:t>
      </w:r>
    </w:p>
    <w:p w14:paraId="5CBCAB07" w14:textId="77777777" w:rsidR="00C47FBF" w:rsidRDefault="00C47FBF" w:rsidP="00C47FBF">
      <w:pPr>
        <w:pStyle w:val="CETReferencetext"/>
      </w:pPr>
      <w:r>
        <w:t>M</w:t>
      </w:r>
      <w:r w:rsidR="005B59D2">
        <w:t>i</w:t>
      </w:r>
      <w:r>
        <w:t>gueza J.L.,</w:t>
      </w:r>
      <w:r w:rsidRPr="00C47FBF">
        <w:t xml:space="preserve"> Porteiroa</w:t>
      </w:r>
      <w:r>
        <w:t xml:space="preserve"> J.</w:t>
      </w:r>
      <w:r w:rsidRPr="00C47FBF">
        <w:t>, P</w:t>
      </w:r>
      <w:r w:rsidRPr="00C47FBF">
        <w:rPr>
          <w:rFonts w:cs="Arial"/>
        </w:rPr>
        <w:t>é</w:t>
      </w:r>
      <w:r w:rsidRPr="00C47FBF">
        <w:t>rez-Orozcoa</w:t>
      </w:r>
      <w:r>
        <w:t xml:space="preserve"> R.</w:t>
      </w:r>
      <w:r w:rsidRPr="00C47FBF">
        <w:t>, Pati</w:t>
      </w:r>
      <w:r w:rsidRPr="00C47FBF">
        <w:rPr>
          <w:rFonts w:cs="Arial"/>
        </w:rPr>
        <w:t>ñ</w:t>
      </w:r>
      <w:r w:rsidRPr="00C47FBF">
        <w:t>oa</w:t>
      </w:r>
      <w:r>
        <w:t xml:space="preserve"> D.</w:t>
      </w:r>
      <w:r w:rsidRPr="00C47FBF">
        <w:t>, Rodr</w:t>
      </w:r>
      <w:r w:rsidRPr="00C47FBF">
        <w:rPr>
          <w:rFonts w:cs="Arial"/>
        </w:rPr>
        <w:t>í</w:t>
      </w:r>
      <w:r w:rsidRPr="00C47FBF">
        <w:t>guez</w:t>
      </w:r>
      <w:r>
        <w:t xml:space="preserve"> S., 2018, Evolution of CO2 capture technology between 2007 and 2017 through the study of patent activity, Applied Energy, 211,</w:t>
      </w:r>
      <w:r w:rsidRPr="00C47FBF">
        <w:t xml:space="preserve"> 1282–1296</w:t>
      </w:r>
      <w:r>
        <w:t xml:space="preserve">. </w:t>
      </w:r>
    </w:p>
    <w:p w14:paraId="4CFA0947" w14:textId="5485DC57" w:rsidR="00EC3F0D" w:rsidRDefault="00EC3F0D" w:rsidP="00C47FBF">
      <w:pPr>
        <w:pStyle w:val="CETReferencetext"/>
      </w:pPr>
      <w:r>
        <w:t xml:space="preserve">NRCan (Natural Resources Canada), 2015, </w:t>
      </w:r>
      <w:r w:rsidRPr="00EC3F0D">
        <w:t>INTEGRATION Software: A Unique Tool for Identifying and Assessing Energy Saving Projects</w:t>
      </w:r>
      <w:r>
        <w:t xml:space="preserve">, </w:t>
      </w:r>
      <w:hyperlink r:id="rId24" w:history="1">
        <w:r w:rsidRPr="00F76F19">
          <w:rPr>
            <w:rStyle w:val="Hyperlink"/>
          </w:rPr>
          <w:t>https://www.nrcan.gc.ca/energy/efficiency/industry/processes/systems-optimization/process-integration/products-services/5529</w:t>
        </w:r>
      </w:hyperlink>
      <w:r w:rsidR="00BB7BF2">
        <w:t>, accessed 2</w:t>
      </w:r>
      <w:r>
        <w:t xml:space="preserve">9/01/2019. </w:t>
      </w:r>
    </w:p>
    <w:p w14:paraId="2EAB713D" w14:textId="3A1A926C" w:rsidR="00BB7BF2" w:rsidRDefault="00CA290F" w:rsidP="00FA3F0A">
      <w:pPr>
        <w:pStyle w:val="CETReferencetext"/>
      </w:pPr>
      <w:r>
        <w:t>Government of Canada</w:t>
      </w:r>
      <w:r w:rsidR="00BB7BF2">
        <w:t xml:space="preserve">, 2017, </w:t>
      </w:r>
      <w:r w:rsidR="00BB7BF2" w:rsidRPr="00BB7BF2">
        <w:t>Canada's 2016 greenhouse gas emissions reference case</w:t>
      </w:r>
      <w:r w:rsidR="00BB7BF2">
        <w:t xml:space="preserve">, </w:t>
      </w:r>
      <w:hyperlink r:id="rId25" w:anchor="tab6" w:history="1">
        <w:r w:rsidR="00BB7BF2" w:rsidRPr="009C5394">
          <w:rPr>
            <w:rStyle w:val="Hyperlink"/>
          </w:rPr>
          <w:t>https://www.canada.ca/en/environment-climate-change/services/climate-change/publications/2016-greenhouse-gas-emissions-case/chapter-2.html#tab6</w:t>
        </w:r>
      </w:hyperlink>
      <w:r w:rsidR="00BB7BF2">
        <w:t xml:space="preserve">, accessed 29/01/2019. </w:t>
      </w:r>
    </w:p>
    <w:p w14:paraId="2F42CB8D" w14:textId="04EDB7A9" w:rsidR="00935850" w:rsidRDefault="001B56A6" w:rsidP="001B56A6">
      <w:pPr>
        <w:pStyle w:val="CETReferencetext"/>
      </w:pPr>
      <w:r>
        <w:t>Rudin S.N.F.M.</w:t>
      </w:r>
      <w:r w:rsidRPr="001B56A6">
        <w:t>, Muis</w:t>
      </w:r>
      <w:r>
        <w:t xml:space="preserve"> Z.</w:t>
      </w:r>
      <w:r w:rsidRPr="001B56A6">
        <w:t>, Hashim</w:t>
      </w:r>
      <w:r>
        <w:t xml:space="preserve"> H.</w:t>
      </w:r>
      <w:r w:rsidRPr="001B56A6">
        <w:t>, Ho</w:t>
      </w:r>
      <w:r>
        <w:t xml:space="preserve"> W.S., 2017, Overview of carbon reduction, capture, utilization and storage: Development of new framework, Chemical Engineering Transactions, 57, 649</w:t>
      </w:r>
      <w:r w:rsidRPr="00C47FBF">
        <w:t>–</w:t>
      </w:r>
      <w:r>
        <w:t xml:space="preserve">654. </w:t>
      </w:r>
    </w:p>
    <w:p w14:paraId="7688E0E4" w14:textId="31A3C642" w:rsidR="00A35E4F" w:rsidRPr="006D4E8E" w:rsidRDefault="005B59D2" w:rsidP="006B3DCE">
      <w:pPr>
        <w:pStyle w:val="CETReferencetext"/>
      </w:pPr>
      <w:r w:rsidRPr="005B59D2">
        <w:t>Suncor Energy and Jacobs Consultancy</w:t>
      </w:r>
      <w:r>
        <w:t xml:space="preserve">, 2012, </w:t>
      </w:r>
      <w:r w:rsidRPr="005B59D2">
        <w:t xml:space="preserve">A </w:t>
      </w:r>
      <w:r>
        <w:t>g</w:t>
      </w:r>
      <w:r w:rsidRPr="005B59D2">
        <w:t xml:space="preserve">reenhouse </w:t>
      </w:r>
      <w:r>
        <w:t>g</w:t>
      </w:r>
      <w:r w:rsidRPr="005B59D2">
        <w:t xml:space="preserve">as </w:t>
      </w:r>
      <w:r>
        <w:t>r</w:t>
      </w:r>
      <w:r w:rsidRPr="005B59D2">
        <w:t>eduction</w:t>
      </w:r>
      <w:r>
        <w:t xml:space="preserve"> –</w:t>
      </w:r>
      <w:r w:rsidRPr="005B59D2">
        <w:t xml:space="preserve"> Roadmap  for </w:t>
      </w:r>
      <w:r>
        <w:t>o</w:t>
      </w:r>
      <w:r w:rsidRPr="005B59D2">
        <w:t>il sands</w:t>
      </w:r>
      <w:r>
        <w:t xml:space="preserve">, Canada. </w:t>
      </w:r>
    </w:p>
    <w:sectPr w:rsidR="00A35E4F" w:rsidRPr="006D4E8E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6CE76" w14:textId="77777777" w:rsidR="00492BBB" w:rsidRDefault="00492BBB" w:rsidP="004F5E36">
      <w:r>
        <w:separator/>
      </w:r>
    </w:p>
  </w:endnote>
  <w:endnote w:type="continuationSeparator" w:id="0">
    <w:p w14:paraId="04E1517B" w14:textId="77777777" w:rsidR="00492BBB" w:rsidRDefault="00492BB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A4CC" w14:textId="77777777" w:rsidR="00492BBB" w:rsidRDefault="00492BBB" w:rsidP="004F5E36">
      <w:r>
        <w:separator/>
      </w:r>
    </w:p>
  </w:footnote>
  <w:footnote w:type="continuationSeparator" w:id="0">
    <w:p w14:paraId="28B9CC46" w14:textId="77777777" w:rsidR="00492BBB" w:rsidRDefault="00492BBB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538DD"/>
    <w:multiLevelType w:val="hybridMultilevel"/>
    <w:tmpl w:val="569AD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220A7"/>
    <w:multiLevelType w:val="hybridMultilevel"/>
    <w:tmpl w:val="A7CA7C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29203C"/>
    <w:multiLevelType w:val="hybridMultilevel"/>
    <w:tmpl w:val="9C32A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30373"/>
    <w:multiLevelType w:val="hybridMultilevel"/>
    <w:tmpl w:val="13E6D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0C6C"/>
    <w:multiLevelType w:val="hybridMultilevel"/>
    <w:tmpl w:val="8B7A4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8BE3852"/>
    <w:multiLevelType w:val="hybridMultilevel"/>
    <w:tmpl w:val="37B216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6"/>
  </w:num>
  <w:num w:numId="14">
    <w:abstractNumId w:val="23"/>
  </w:num>
  <w:num w:numId="15">
    <w:abstractNumId w:val="25"/>
  </w:num>
  <w:num w:numId="16">
    <w:abstractNumId w:val="24"/>
  </w:num>
  <w:num w:numId="17">
    <w:abstractNumId w:val="15"/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19"/>
  </w:num>
  <w:num w:numId="21">
    <w:abstractNumId w:val="17"/>
  </w:num>
  <w:num w:numId="22">
    <w:abstractNumId w:val="18"/>
  </w:num>
  <w:num w:numId="23">
    <w:abstractNumId w:val="13"/>
  </w:num>
  <w:num w:numId="24">
    <w:abstractNumId w:val="10"/>
  </w:num>
  <w:num w:numId="25">
    <w:abstractNumId w:val="14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07958"/>
    <w:rsid w:val="00010F40"/>
    <w:rsid w:val="000117CB"/>
    <w:rsid w:val="0001243B"/>
    <w:rsid w:val="00016251"/>
    <w:rsid w:val="0001765A"/>
    <w:rsid w:val="0003148D"/>
    <w:rsid w:val="000347F0"/>
    <w:rsid w:val="00035070"/>
    <w:rsid w:val="00047D7F"/>
    <w:rsid w:val="00051566"/>
    <w:rsid w:val="0005164F"/>
    <w:rsid w:val="000543F5"/>
    <w:rsid w:val="00055F33"/>
    <w:rsid w:val="00062A9A"/>
    <w:rsid w:val="00065058"/>
    <w:rsid w:val="00086C39"/>
    <w:rsid w:val="00090ED3"/>
    <w:rsid w:val="000A03B2"/>
    <w:rsid w:val="000A3B79"/>
    <w:rsid w:val="000A5FDC"/>
    <w:rsid w:val="000B0988"/>
    <w:rsid w:val="000D34BE"/>
    <w:rsid w:val="000E102F"/>
    <w:rsid w:val="000E1674"/>
    <w:rsid w:val="000E286A"/>
    <w:rsid w:val="000E36F1"/>
    <w:rsid w:val="000E3A73"/>
    <w:rsid w:val="000E414A"/>
    <w:rsid w:val="000F093C"/>
    <w:rsid w:val="000F16BD"/>
    <w:rsid w:val="000F4F6D"/>
    <w:rsid w:val="000F787B"/>
    <w:rsid w:val="0010396E"/>
    <w:rsid w:val="001048BB"/>
    <w:rsid w:val="0012091F"/>
    <w:rsid w:val="001248D7"/>
    <w:rsid w:val="00125674"/>
    <w:rsid w:val="00126BC2"/>
    <w:rsid w:val="00127E58"/>
    <w:rsid w:val="001308B6"/>
    <w:rsid w:val="00130E73"/>
    <w:rsid w:val="0013121F"/>
    <w:rsid w:val="00131FAB"/>
    <w:rsid w:val="00131FE6"/>
    <w:rsid w:val="0013263F"/>
    <w:rsid w:val="00133A66"/>
    <w:rsid w:val="00134DE4"/>
    <w:rsid w:val="00135BDE"/>
    <w:rsid w:val="0014034D"/>
    <w:rsid w:val="00142044"/>
    <w:rsid w:val="00145031"/>
    <w:rsid w:val="00150E59"/>
    <w:rsid w:val="00152DE3"/>
    <w:rsid w:val="001533D3"/>
    <w:rsid w:val="00164CF9"/>
    <w:rsid w:val="00176008"/>
    <w:rsid w:val="00184AD6"/>
    <w:rsid w:val="0019179C"/>
    <w:rsid w:val="00195E10"/>
    <w:rsid w:val="001A1B05"/>
    <w:rsid w:val="001B0349"/>
    <w:rsid w:val="001B56A6"/>
    <w:rsid w:val="001B65C1"/>
    <w:rsid w:val="001C3924"/>
    <w:rsid w:val="001C684B"/>
    <w:rsid w:val="001D3FB1"/>
    <w:rsid w:val="001D53FC"/>
    <w:rsid w:val="001E6653"/>
    <w:rsid w:val="001F0DD2"/>
    <w:rsid w:val="001F39D4"/>
    <w:rsid w:val="001F42A5"/>
    <w:rsid w:val="001F7B9D"/>
    <w:rsid w:val="00203601"/>
    <w:rsid w:val="002037DB"/>
    <w:rsid w:val="002224B4"/>
    <w:rsid w:val="002447EF"/>
    <w:rsid w:val="00246D66"/>
    <w:rsid w:val="002509E7"/>
    <w:rsid w:val="00251550"/>
    <w:rsid w:val="00252C1A"/>
    <w:rsid w:val="002563D7"/>
    <w:rsid w:val="00263B05"/>
    <w:rsid w:val="00265F45"/>
    <w:rsid w:val="0026785A"/>
    <w:rsid w:val="0027221A"/>
    <w:rsid w:val="00275942"/>
    <w:rsid w:val="00275B61"/>
    <w:rsid w:val="00282656"/>
    <w:rsid w:val="0028513B"/>
    <w:rsid w:val="00287490"/>
    <w:rsid w:val="00296B83"/>
    <w:rsid w:val="002A2808"/>
    <w:rsid w:val="002A6574"/>
    <w:rsid w:val="002B78CE"/>
    <w:rsid w:val="002C2FB6"/>
    <w:rsid w:val="002C7F85"/>
    <w:rsid w:val="002D19BF"/>
    <w:rsid w:val="002D5BCD"/>
    <w:rsid w:val="002D7238"/>
    <w:rsid w:val="002E5187"/>
    <w:rsid w:val="003009B7"/>
    <w:rsid w:val="00300E56"/>
    <w:rsid w:val="0030469C"/>
    <w:rsid w:val="00317A5D"/>
    <w:rsid w:val="0032058F"/>
    <w:rsid w:val="00321CA6"/>
    <w:rsid w:val="003222D5"/>
    <w:rsid w:val="00325712"/>
    <w:rsid w:val="00334C09"/>
    <w:rsid w:val="00335E73"/>
    <w:rsid w:val="003365E3"/>
    <w:rsid w:val="003439A5"/>
    <w:rsid w:val="00355A07"/>
    <w:rsid w:val="003610FF"/>
    <w:rsid w:val="00361B3A"/>
    <w:rsid w:val="003723D4"/>
    <w:rsid w:val="00374D36"/>
    <w:rsid w:val="00384CC8"/>
    <w:rsid w:val="003871FD"/>
    <w:rsid w:val="003A1E30"/>
    <w:rsid w:val="003A687C"/>
    <w:rsid w:val="003A7D1C"/>
    <w:rsid w:val="003B304B"/>
    <w:rsid w:val="003B3146"/>
    <w:rsid w:val="003B60F3"/>
    <w:rsid w:val="003E6517"/>
    <w:rsid w:val="003F015E"/>
    <w:rsid w:val="00400414"/>
    <w:rsid w:val="00410574"/>
    <w:rsid w:val="0041446B"/>
    <w:rsid w:val="004150EB"/>
    <w:rsid w:val="00415784"/>
    <w:rsid w:val="0041712F"/>
    <w:rsid w:val="0042158D"/>
    <w:rsid w:val="00424DC0"/>
    <w:rsid w:val="0044109D"/>
    <w:rsid w:val="0044329C"/>
    <w:rsid w:val="004577FE"/>
    <w:rsid w:val="00457B9C"/>
    <w:rsid w:val="00460F92"/>
    <w:rsid w:val="0046131C"/>
    <w:rsid w:val="0046164A"/>
    <w:rsid w:val="004628D2"/>
    <w:rsid w:val="00462DCD"/>
    <w:rsid w:val="004648AD"/>
    <w:rsid w:val="004703A9"/>
    <w:rsid w:val="004760DE"/>
    <w:rsid w:val="004769D4"/>
    <w:rsid w:val="00492BBB"/>
    <w:rsid w:val="00494935"/>
    <w:rsid w:val="004A004E"/>
    <w:rsid w:val="004A24CF"/>
    <w:rsid w:val="004B1ADA"/>
    <w:rsid w:val="004B2A85"/>
    <w:rsid w:val="004B6721"/>
    <w:rsid w:val="004C3D1D"/>
    <w:rsid w:val="004C5357"/>
    <w:rsid w:val="004C72A8"/>
    <w:rsid w:val="004C7913"/>
    <w:rsid w:val="004D02DA"/>
    <w:rsid w:val="004D3DD1"/>
    <w:rsid w:val="004E4DD6"/>
    <w:rsid w:val="004F3BBC"/>
    <w:rsid w:val="004F5E36"/>
    <w:rsid w:val="00507B47"/>
    <w:rsid w:val="00507CC9"/>
    <w:rsid w:val="005119A5"/>
    <w:rsid w:val="005162E0"/>
    <w:rsid w:val="00524815"/>
    <w:rsid w:val="005278B7"/>
    <w:rsid w:val="00532016"/>
    <w:rsid w:val="0053218F"/>
    <w:rsid w:val="00533541"/>
    <w:rsid w:val="005346C8"/>
    <w:rsid w:val="00543E7D"/>
    <w:rsid w:val="00546B05"/>
    <w:rsid w:val="00547A68"/>
    <w:rsid w:val="00551262"/>
    <w:rsid w:val="005531C9"/>
    <w:rsid w:val="00585525"/>
    <w:rsid w:val="00586384"/>
    <w:rsid w:val="00587E47"/>
    <w:rsid w:val="005B2110"/>
    <w:rsid w:val="005B45D0"/>
    <w:rsid w:val="005B59D2"/>
    <w:rsid w:val="005B61E6"/>
    <w:rsid w:val="005C77E1"/>
    <w:rsid w:val="005D5846"/>
    <w:rsid w:val="005D6A2F"/>
    <w:rsid w:val="005D6BE4"/>
    <w:rsid w:val="005D7067"/>
    <w:rsid w:val="005D7456"/>
    <w:rsid w:val="005E1A82"/>
    <w:rsid w:val="005E4613"/>
    <w:rsid w:val="005E794C"/>
    <w:rsid w:val="005F0A28"/>
    <w:rsid w:val="005F0E5E"/>
    <w:rsid w:val="005F612E"/>
    <w:rsid w:val="005F7DAA"/>
    <w:rsid w:val="00600535"/>
    <w:rsid w:val="00606368"/>
    <w:rsid w:val="00610CD6"/>
    <w:rsid w:val="0061702C"/>
    <w:rsid w:val="00620DEE"/>
    <w:rsid w:val="00621F92"/>
    <w:rsid w:val="00625639"/>
    <w:rsid w:val="0062638B"/>
    <w:rsid w:val="00631B33"/>
    <w:rsid w:val="0064184D"/>
    <w:rsid w:val="006422CC"/>
    <w:rsid w:val="006527F1"/>
    <w:rsid w:val="006568B3"/>
    <w:rsid w:val="00660E3E"/>
    <w:rsid w:val="00662E74"/>
    <w:rsid w:val="006654D4"/>
    <w:rsid w:val="00670B5A"/>
    <w:rsid w:val="00680C23"/>
    <w:rsid w:val="00681C29"/>
    <w:rsid w:val="00693766"/>
    <w:rsid w:val="006A3281"/>
    <w:rsid w:val="006A524A"/>
    <w:rsid w:val="006B3DCE"/>
    <w:rsid w:val="006B4888"/>
    <w:rsid w:val="006B5A45"/>
    <w:rsid w:val="006C2E45"/>
    <w:rsid w:val="006C3206"/>
    <w:rsid w:val="006C359C"/>
    <w:rsid w:val="006C5579"/>
    <w:rsid w:val="006D0664"/>
    <w:rsid w:val="006D1EA4"/>
    <w:rsid w:val="006D4E8E"/>
    <w:rsid w:val="006E0DAD"/>
    <w:rsid w:val="006E2806"/>
    <w:rsid w:val="006E40EC"/>
    <w:rsid w:val="006E737D"/>
    <w:rsid w:val="006F45E3"/>
    <w:rsid w:val="0070195D"/>
    <w:rsid w:val="00705546"/>
    <w:rsid w:val="0071004D"/>
    <w:rsid w:val="00720A24"/>
    <w:rsid w:val="00732386"/>
    <w:rsid w:val="007447F3"/>
    <w:rsid w:val="0075499F"/>
    <w:rsid w:val="0076248A"/>
    <w:rsid w:val="00764662"/>
    <w:rsid w:val="007661C8"/>
    <w:rsid w:val="0077098D"/>
    <w:rsid w:val="00782321"/>
    <w:rsid w:val="007931FA"/>
    <w:rsid w:val="00797819"/>
    <w:rsid w:val="007A5AC8"/>
    <w:rsid w:val="007A7BBA"/>
    <w:rsid w:val="007B0C50"/>
    <w:rsid w:val="007C1A43"/>
    <w:rsid w:val="007C57DD"/>
    <w:rsid w:val="007E1DC6"/>
    <w:rsid w:val="00813288"/>
    <w:rsid w:val="008168FC"/>
    <w:rsid w:val="0081765D"/>
    <w:rsid w:val="00830996"/>
    <w:rsid w:val="008345F1"/>
    <w:rsid w:val="00836232"/>
    <w:rsid w:val="00851118"/>
    <w:rsid w:val="00855763"/>
    <w:rsid w:val="00865B07"/>
    <w:rsid w:val="008667EA"/>
    <w:rsid w:val="0087637F"/>
    <w:rsid w:val="00887C7E"/>
    <w:rsid w:val="008904B9"/>
    <w:rsid w:val="00892AD5"/>
    <w:rsid w:val="008A1512"/>
    <w:rsid w:val="008C1468"/>
    <w:rsid w:val="008C3409"/>
    <w:rsid w:val="008C4F61"/>
    <w:rsid w:val="008C78C1"/>
    <w:rsid w:val="008D1B1A"/>
    <w:rsid w:val="008D32B9"/>
    <w:rsid w:val="008D433B"/>
    <w:rsid w:val="008D4BF2"/>
    <w:rsid w:val="008E0A2A"/>
    <w:rsid w:val="008E566E"/>
    <w:rsid w:val="008F18FA"/>
    <w:rsid w:val="008F6E7C"/>
    <w:rsid w:val="0090161A"/>
    <w:rsid w:val="00901EB6"/>
    <w:rsid w:val="00904C62"/>
    <w:rsid w:val="00920A48"/>
    <w:rsid w:val="009213B8"/>
    <w:rsid w:val="00924DAC"/>
    <w:rsid w:val="00925FD3"/>
    <w:rsid w:val="00927058"/>
    <w:rsid w:val="0093404F"/>
    <w:rsid w:val="00935850"/>
    <w:rsid w:val="0094376E"/>
    <w:rsid w:val="009450CE"/>
    <w:rsid w:val="00947179"/>
    <w:rsid w:val="0095164B"/>
    <w:rsid w:val="00954090"/>
    <w:rsid w:val="009573E7"/>
    <w:rsid w:val="009635B9"/>
    <w:rsid w:val="00963E05"/>
    <w:rsid w:val="00967D54"/>
    <w:rsid w:val="00996483"/>
    <w:rsid w:val="00996F5A"/>
    <w:rsid w:val="009A0A3E"/>
    <w:rsid w:val="009A2634"/>
    <w:rsid w:val="009B041A"/>
    <w:rsid w:val="009B2447"/>
    <w:rsid w:val="009C5941"/>
    <w:rsid w:val="009C7C86"/>
    <w:rsid w:val="009D084C"/>
    <w:rsid w:val="009D2FF7"/>
    <w:rsid w:val="009E020F"/>
    <w:rsid w:val="009E76AA"/>
    <w:rsid w:val="009E7884"/>
    <w:rsid w:val="009E788A"/>
    <w:rsid w:val="009F0E08"/>
    <w:rsid w:val="009F1A8F"/>
    <w:rsid w:val="00A00765"/>
    <w:rsid w:val="00A01AA9"/>
    <w:rsid w:val="00A05FFD"/>
    <w:rsid w:val="00A13697"/>
    <w:rsid w:val="00A16CAB"/>
    <w:rsid w:val="00A1763D"/>
    <w:rsid w:val="00A17CEC"/>
    <w:rsid w:val="00A20236"/>
    <w:rsid w:val="00A26133"/>
    <w:rsid w:val="00A27EF0"/>
    <w:rsid w:val="00A35E4F"/>
    <w:rsid w:val="00A3605A"/>
    <w:rsid w:val="00A479DE"/>
    <w:rsid w:val="00A50B20"/>
    <w:rsid w:val="00A51390"/>
    <w:rsid w:val="00A53BAF"/>
    <w:rsid w:val="00A56043"/>
    <w:rsid w:val="00A60D13"/>
    <w:rsid w:val="00A647FB"/>
    <w:rsid w:val="00A7172F"/>
    <w:rsid w:val="00A72745"/>
    <w:rsid w:val="00A7491E"/>
    <w:rsid w:val="00A76EFC"/>
    <w:rsid w:val="00A91010"/>
    <w:rsid w:val="00A93995"/>
    <w:rsid w:val="00A97F29"/>
    <w:rsid w:val="00AA702E"/>
    <w:rsid w:val="00AB0964"/>
    <w:rsid w:val="00AB5011"/>
    <w:rsid w:val="00AC7368"/>
    <w:rsid w:val="00AC7E44"/>
    <w:rsid w:val="00AD0CB0"/>
    <w:rsid w:val="00AD16B9"/>
    <w:rsid w:val="00AE377D"/>
    <w:rsid w:val="00AE4BCC"/>
    <w:rsid w:val="00AF1091"/>
    <w:rsid w:val="00B11CF0"/>
    <w:rsid w:val="00B13F08"/>
    <w:rsid w:val="00B17FBD"/>
    <w:rsid w:val="00B24D00"/>
    <w:rsid w:val="00B24E9A"/>
    <w:rsid w:val="00B315A6"/>
    <w:rsid w:val="00B31813"/>
    <w:rsid w:val="00B32883"/>
    <w:rsid w:val="00B33365"/>
    <w:rsid w:val="00B40482"/>
    <w:rsid w:val="00B42249"/>
    <w:rsid w:val="00B45BE8"/>
    <w:rsid w:val="00B53E1B"/>
    <w:rsid w:val="00B57139"/>
    <w:rsid w:val="00B57B36"/>
    <w:rsid w:val="00B70ADC"/>
    <w:rsid w:val="00B737C6"/>
    <w:rsid w:val="00B8686D"/>
    <w:rsid w:val="00B86ED0"/>
    <w:rsid w:val="00B96201"/>
    <w:rsid w:val="00BB3CF8"/>
    <w:rsid w:val="00BB487C"/>
    <w:rsid w:val="00BB7BF2"/>
    <w:rsid w:val="00BC1F4F"/>
    <w:rsid w:val="00BC30C9"/>
    <w:rsid w:val="00BD3A0D"/>
    <w:rsid w:val="00BE3E58"/>
    <w:rsid w:val="00BF1B36"/>
    <w:rsid w:val="00BF58B9"/>
    <w:rsid w:val="00C01616"/>
    <w:rsid w:val="00C0162B"/>
    <w:rsid w:val="00C206A2"/>
    <w:rsid w:val="00C24063"/>
    <w:rsid w:val="00C33293"/>
    <w:rsid w:val="00C345B1"/>
    <w:rsid w:val="00C40142"/>
    <w:rsid w:val="00C47FBF"/>
    <w:rsid w:val="00C50577"/>
    <w:rsid w:val="00C57182"/>
    <w:rsid w:val="00C57863"/>
    <w:rsid w:val="00C655FD"/>
    <w:rsid w:val="00C76649"/>
    <w:rsid w:val="00C83A74"/>
    <w:rsid w:val="00C870A8"/>
    <w:rsid w:val="00C92805"/>
    <w:rsid w:val="00C934F5"/>
    <w:rsid w:val="00C94434"/>
    <w:rsid w:val="00CA0D75"/>
    <w:rsid w:val="00CA0E81"/>
    <w:rsid w:val="00CA1C95"/>
    <w:rsid w:val="00CA290F"/>
    <w:rsid w:val="00CA5A9C"/>
    <w:rsid w:val="00CB7E59"/>
    <w:rsid w:val="00CC05CD"/>
    <w:rsid w:val="00CC1902"/>
    <w:rsid w:val="00CC4F07"/>
    <w:rsid w:val="00CD0516"/>
    <w:rsid w:val="00CD3517"/>
    <w:rsid w:val="00CD5A00"/>
    <w:rsid w:val="00CD5FE2"/>
    <w:rsid w:val="00CE7C68"/>
    <w:rsid w:val="00D02091"/>
    <w:rsid w:val="00D02B4C"/>
    <w:rsid w:val="00D040C4"/>
    <w:rsid w:val="00D04F7E"/>
    <w:rsid w:val="00D1148E"/>
    <w:rsid w:val="00D1647C"/>
    <w:rsid w:val="00D347FE"/>
    <w:rsid w:val="00D47767"/>
    <w:rsid w:val="00D5711A"/>
    <w:rsid w:val="00D57C84"/>
    <w:rsid w:val="00D6057D"/>
    <w:rsid w:val="00D70064"/>
    <w:rsid w:val="00D80285"/>
    <w:rsid w:val="00D84576"/>
    <w:rsid w:val="00D9582B"/>
    <w:rsid w:val="00DA1399"/>
    <w:rsid w:val="00DA24C6"/>
    <w:rsid w:val="00DA4D7B"/>
    <w:rsid w:val="00DB631D"/>
    <w:rsid w:val="00DE264A"/>
    <w:rsid w:val="00DE4667"/>
    <w:rsid w:val="00DF2134"/>
    <w:rsid w:val="00E02D18"/>
    <w:rsid w:val="00E036A9"/>
    <w:rsid w:val="00E041E7"/>
    <w:rsid w:val="00E23CA1"/>
    <w:rsid w:val="00E35C63"/>
    <w:rsid w:val="00E409A8"/>
    <w:rsid w:val="00E435DE"/>
    <w:rsid w:val="00E44FD7"/>
    <w:rsid w:val="00E46767"/>
    <w:rsid w:val="00E50C12"/>
    <w:rsid w:val="00E56DD7"/>
    <w:rsid w:val="00E61ACA"/>
    <w:rsid w:val="00E61BBE"/>
    <w:rsid w:val="00E625F5"/>
    <w:rsid w:val="00E65B91"/>
    <w:rsid w:val="00E71CD0"/>
    <w:rsid w:val="00E7209D"/>
    <w:rsid w:val="00E77223"/>
    <w:rsid w:val="00E8528B"/>
    <w:rsid w:val="00E85ACE"/>
    <w:rsid w:val="00E85B94"/>
    <w:rsid w:val="00E86D4A"/>
    <w:rsid w:val="00E978D0"/>
    <w:rsid w:val="00EA4613"/>
    <w:rsid w:val="00EA6A4B"/>
    <w:rsid w:val="00EA7F91"/>
    <w:rsid w:val="00EB1523"/>
    <w:rsid w:val="00EB5595"/>
    <w:rsid w:val="00EC0E49"/>
    <w:rsid w:val="00EC2641"/>
    <w:rsid w:val="00EC3F0D"/>
    <w:rsid w:val="00EE0131"/>
    <w:rsid w:val="00F155B2"/>
    <w:rsid w:val="00F30C64"/>
    <w:rsid w:val="00F32CDB"/>
    <w:rsid w:val="00F33AB5"/>
    <w:rsid w:val="00F355E3"/>
    <w:rsid w:val="00F46EAA"/>
    <w:rsid w:val="00F63A70"/>
    <w:rsid w:val="00F64384"/>
    <w:rsid w:val="00F66F99"/>
    <w:rsid w:val="00F753DB"/>
    <w:rsid w:val="00F83080"/>
    <w:rsid w:val="00F938F7"/>
    <w:rsid w:val="00F94575"/>
    <w:rsid w:val="00FA21D0"/>
    <w:rsid w:val="00FA2C3A"/>
    <w:rsid w:val="00FA3F0A"/>
    <w:rsid w:val="00FA5C2D"/>
    <w:rsid w:val="00FA5F5F"/>
    <w:rsid w:val="00FB34DD"/>
    <w:rsid w:val="00FB730C"/>
    <w:rsid w:val="00FC0DAF"/>
    <w:rsid w:val="00FC2695"/>
    <w:rsid w:val="00FC3E03"/>
    <w:rsid w:val="00FC3FC1"/>
    <w:rsid w:val="00FC48E5"/>
    <w:rsid w:val="00FD161D"/>
    <w:rsid w:val="00FD7063"/>
    <w:rsid w:val="00FD7191"/>
    <w:rsid w:val="00FE40A0"/>
    <w:rsid w:val="00FE544D"/>
    <w:rsid w:val="00FF3E92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B9AC4"/>
  <w15:docId w15:val="{D8833855-4738-4A7F-A6F2-7DBDE782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DE4667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4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id.ashrafi@canada.ca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package" Target="embeddings/Microsoft_Visio_Drawing1.vsdx"/><Relationship Id="rId25" Type="http://schemas.openxmlformats.org/officeDocument/2006/relationships/hyperlink" Target="https://www.canada.ca/en/environment-climate-change/services/climate-change/publications/2016-greenhouse-gas-emissions-case/chapter-2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nrcan.gc.ca/energy/efficiency/industry/processes/systems-optimization/process-integration/products-services/5529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23" Type="http://schemas.openxmlformats.org/officeDocument/2006/relationships/hyperlink" Target="https://www.cosia.ca/node/38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6E1DAFFAEA4C9C27A466023D6E6A" ma:contentTypeVersion="22" ma:contentTypeDescription="Create a new document." ma:contentTypeScope="" ma:versionID="2240ffc1b1b08f4c8eee12e036fb2da7">
  <xsd:schema xmlns:xsd="http://www.w3.org/2001/XMLSchema" xmlns:p="http://schemas.microsoft.com/office/2006/metadata/properties" xmlns:ns1="45542519-7b6e-48e0-a567-83e5adc5ce31" targetNamespace="http://schemas.microsoft.com/office/2006/metadata/properties" ma:root="true" ma:fieldsID="e458a936386f2d3d5c8ace00cc3821e3" ns1:_="">
    <xsd:import namespace="45542519-7b6e-48e0-a567-83e5adc5ce31"/>
    <xsd:element name="properties">
      <xsd:complexType>
        <xsd:sequence>
          <xsd:element name="documentManagement">
            <xsd:complexType>
              <xsd:all>
                <xsd:element ref="ns1:Theme" minOccurs="0"/>
                <xsd:element ref="ns1:Project_x0020_Code" minOccurs="0"/>
                <xsd:element ref="ns1:Industry_x0020_Subtheme" minOccurs="0"/>
                <xsd:element ref="ns1:Activities_x0020_Type" minOccurs="0"/>
                <xsd:element ref="ns1:Funding_x0020_Source" minOccurs="0"/>
                <xsd:element ref="ns1:Master_x0020_Documents_x0020_Category" minOccurs="0"/>
                <xsd:element ref="ns1:Master_x0020_Documents_x0020_Type" minOccurs="0"/>
                <xsd:element ref="ns1:Background_x0020_Literature" minOccurs="0"/>
                <xsd:element ref="ns1:Securit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5542519-7b6e-48e0-a567-83e5adc5ce31" elementFormDefault="qualified">
    <xsd:import namespace="http://schemas.microsoft.com/office/2006/documentManagement/types"/>
    <xsd:element name="Theme" ma:index="0" nillable="true" ma:displayName="Theme" ma:default="Industry" ma:format="Dropdown" ma:internalName="Theme">
      <xsd:simpleType>
        <xsd:restriction base="dms:Choice">
          <xsd:enumeration value="Building"/>
          <xsd:enumeration value="Corporate"/>
          <xsd:enumeration value="Industry"/>
          <xsd:enumeration value="RETScreen"/>
          <xsd:enumeration value="Smart-grid"/>
        </xsd:restriction>
      </xsd:simpleType>
    </xsd:element>
    <xsd:element name="Project_x0020_Code" ma:index="5" nillable="true" ma:displayName="Project Code" ma:description="Ex.: CH4MIN, CFRPRO, etc." ma:internalName="Project_x0020_Code">
      <xsd:simpleType>
        <xsd:restriction base="dms:Text">
          <xsd:maxLength value="6"/>
        </xsd:restriction>
      </xsd:simpleType>
    </xsd:element>
    <xsd:element name="Industry_x0020_Subtheme" ma:index="6" nillable="true" ma:displayName="Subthemes / Sous-thèmes" ma:format="Dropdown" ma:internalName="Industry_x0020_Subtheme">
      <xsd:simpleType>
        <xsd:restriction base="dms:Choice">
          <xsd:enumeration value="Bio-energy / Bioenergie"/>
          <xsd:enumeration value="Biorefinery / Bioraffinerie"/>
          <xsd:enumeration value="CO2 capture / Capture CO2"/>
          <xsd:enumeration value="Cogeneration"/>
          <xsd:enumeration value="Data Mining / Forage de donnees"/>
          <xsd:enumeration value="Fault Detection and Diagnosis / Detection de fautes et diagnostics"/>
          <xsd:enumeration value="FPInnovations"/>
          <xsd:enumeration value="Heat Management / Gestion de la chaleur"/>
          <xsd:enumeration value="Modelling / Modelisation"/>
          <xsd:enumeration value="Optimization techniques / Techniques d’optimisation"/>
        </xsd:restriction>
      </xsd:simpleType>
    </xsd:element>
    <xsd:element name="Activities_x0020_Type" ma:index="7" nillable="true" ma:displayName="Activities Type" ma:format="Dropdown" ma:internalName="Activities_x0020_Type">
      <xsd:simpleType>
        <xsd:restriction base="dms:Choice">
          <xsd:enumeration value="Demonstration"/>
          <xsd:enumeration value="Deployment"/>
          <xsd:enumeration value="R&amp;D"/>
          <xsd:enumeration value="Standardization - Best Practices"/>
          <xsd:enumeration value="Planning, Follow-up and Strategy"/>
          <xsd:enumeration value="Training"/>
        </xsd:restriction>
      </xsd:simpleType>
    </xsd:element>
    <xsd:element name="Funding_x0020_Source" ma:index="8" nillable="true" ma:displayName="Funding Source" ma:description="Exemple: A-BASE, PERD, TEAM, T&amp;I, Clean Energy" ma:internalName="Funding_x0020_Source">
      <xsd:simpleType>
        <xsd:restriction base="dms:Text">
          <xsd:maxLength value="255"/>
        </xsd:restriction>
      </xsd:simpleType>
    </xsd:element>
    <xsd:element name="Master_x0020_Documents_x0020_Category" ma:index="9" nillable="true" ma:displayName="Master Documents Category" ma:format="Dropdown" ma:internalName="Master_x0020_Documents_x0020_Category">
      <xsd:simpleType>
        <xsd:restriction base="dms:Choice">
          <xsd:enumeration value="Administrative Documents / Documents administratifs"/>
          <xsd:enumeration value="Contractual Material / Document contractuel"/>
          <xsd:enumeration value="Commercialisation"/>
          <xsd:enumeration value="Paper-Presentation / Articles-Présentations"/>
          <xsd:enumeration value="Project Management / Gestion de projet"/>
          <xsd:enumeration value="Promotional Material / Matériel promotionnel"/>
          <xsd:enumeration value="Report / Rapport"/>
          <xsd:enumeration value="Technical Document / Documents techniques"/>
        </xsd:restriction>
      </xsd:simpleType>
    </xsd:element>
    <xsd:element name="Master_x0020_Documents_x0020_Type" ma:index="10" nillable="true" ma:displayName="Documents Type" ma:list="{A794774C-8CC8-4D33-B03A-038732B82285}" ma:internalName="Master_x0020_Documents_x0020_Type" ma:showField="Title" ma:web="45542519-7b6e-48e0-a567-83e5adc5ce31">
      <xsd:simpleType>
        <xsd:restriction base="dms:Lookup"/>
      </xsd:simpleType>
    </xsd:element>
    <xsd:element name="Background_x0020_Literature" ma:index="11" nillable="true" ma:displayName="Background Literature" ma:default="0" ma:internalName="Background_x0020_Literature">
      <xsd:simpleType>
        <xsd:restriction base="dms:Boolean"/>
      </xsd:simpleType>
    </xsd:element>
    <xsd:element name="Security" ma:index="12" nillable="true" ma:displayName="Security" ma:description="For information: http://s-var-portal/sites/corporate_corporatif/Information-Management_Gestion-de-l%27information/Shared%20Documents/Renseignements_Proteges.ppt" ma:format="Dropdown" ma:internalName="Security">
      <xsd:simpleType>
        <xsd:restriction base="dms:Choice">
          <xsd:enumeration value="Unclassified"/>
          <xsd:enumeration value="Protected 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Master_x0020_Documents_x0020_Category xmlns="45542519-7b6e-48e0-a567-83e5adc5ce31" xsi:nil="true"/>
    <Security xmlns="45542519-7b6e-48e0-a567-83e5adc5ce31" xsi:nil="true"/>
    <Funding_x0020_Source xmlns="45542519-7b6e-48e0-a567-83e5adc5ce31" xsi:nil="true"/>
    <Activities_x0020_Type xmlns="45542519-7b6e-48e0-a567-83e5adc5ce31">R&amp;D</Activities_x0020_Type>
    <Project_x0020_Code xmlns="45542519-7b6e-48e0-a567-83e5adc5ce31" xsi:nil="true"/>
    <Master_x0020_Documents_x0020_Type xmlns="45542519-7b6e-48e0-a567-83e5adc5ce31" xsi:nil="true"/>
    <Theme xmlns="45542519-7b6e-48e0-a567-83e5adc5ce31">Industry</Theme>
    <Background_x0020_Literature xmlns="45542519-7b6e-48e0-a567-83e5adc5ce31">false</Background_x0020_Literature>
    <Industry_x0020_Subtheme xmlns="45542519-7b6e-48e0-a567-83e5adc5ce31">CO2 capture / Capture CO2</Industry_x0020_Subthe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A05A-90AB-4A52-ACBB-6F81373E8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DB372-5D8E-470D-9505-6BCC84D2B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2519-7b6e-48e0-a567-83e5adc5ce3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F60621-7B9B-4B75-8812-F9F0DDD01A2A}">
  <ds:schemaRefs>
    <ds:schemaRef ds:uri="http://schemas.microsoft.com/office/2006/metadata/properties"/>
    <ds:schemaRef ds:uri="45542519-7b6e-48e0-a567-83e5adc5ce31"/>
  </ds:schemaRefs>
</ds:datastoreItem>
</file>

<file path=customXml/itemProps4.xml><?xml version="1.0" encoding="utf-8"?>
<ds:datastoreItem xmlns:ds="http://schemas.openxmlformats.org/officeDocument/2006/customXml" ds:itemID="{0708F617-6C3F-4E8B-A6E5-A4E65CFF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3421</Words>
  <Characters>19500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Ashrafi, Omid</dc:creator>
  <cp:keywords/>
  <cp:lastModifiedBy>Ashrafi, Omid</cp:lastModifiedBy>
  <cp:revision>5</cp:revision>
  <cp:lastPrinted>2019-01-16T16:07:00Z</cp:lastPrinted>
  <dcterms:created xsi:type="dcterms:W3CDTF">2019-03-29T14:49:00Z</dcterms:created>
  <dcterms:modified xsi:type="dcterms:W3CDTF">2019-03-29T18:39:00Z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ontentTypeId">
    <vt:lpwstr>0x010100D7086E1DAFFAEA4C9C27A466023D6E6A</vt:lpwstr>
  </property>
</Properties>
</file>